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版本号：N510923202500017520260615001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2025年大英县中职校计算机采购项目(三次)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N5109232025000175</w:t>
      </w:r>
    </w:p>
    <w:p>
      <w:pPr>
        <w:pStyle w:val="null3"/>
        <w:jc w:val="left"/>
        <w:outlineLvl w:val="2"/>
      </w:pPr>
      <w:r>
        <w:rPr>
          <w:rFonts w:ascii="仿宋_GB2312" w:hAnsi="仿宋_GB2312" w:cs="仿宋_GB2312" w:eastAsia="仿宋_GB2312"/>
          <w:sz w:val="28"/>
          <w:b/>
        </w:rPr>
        <w:t>四川省大英县中等职业技术学校</w:t>
      </w:r>
    </w:p>
    <w:p>
      <w:pPr>
        <w:pStyle w:val="null3"/>
        <w:jc w:val="center"/>
        <w:outlineLvl w:val="2"/>
      </w:pPr>
      <w:r>
        <w:rPr>
          <w:rFonts w:ascii="仿宋_GB2312" w:hAnsi="仿宋_GB2312" w:cs="仿宋_GB2312" w:eastAsia="仿宋_GB2312"/>
          <w:sz w:val="28"/>
          <w:b/>
        </w:rPr>
        <w:t>大英县政府采购中心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大英县政府采购中心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四川省大英县中等职业技术学校</w:t>
      </w:r>
      <w:r>
        <w:rPr>
          <w:rFonts w:ascii="仿宋_GB2312" w:hAnsi="仿宋_GB2312" w:cs="仿宋_GB2312" w:eastAsia="仿宋_GB2312"/>
        </w:rPr>
        <w:t xml:space="preserve"> 委托，拟对 </w:t>
      </w:r>
      <w:r>
        <w:rPr>
          <w:rFonts w:ascii="仿宋_GB2312" w:hAnsi="仿宋_GB2312" w:cs="仿宋_GB2312" w:eastAsia="仿宋_GB2312"/>
        </w:rPr>
        <w:t>2025年大英县中职校计算机采购项目(三次)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遂宁市大英县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N5109232025000175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2025年大英县中职校计算机采购项目(三次)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四川省大英县中等职业技术学校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大英县蓬莱镇天平街67号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13982526010</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大英县政府采购中心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四川省遂宁市大英县天星大道行政服务大楼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大英县政府采购中心</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0825-7826823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采购包1：957,000.00元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四川省大英县中等职业技术学校</w:t>
      </w:r>
      <w:r>
        <w:rPr>
          <w:rFonts w:ascii="仿宋_GB2312" w:hAnsi="仿宋_GB2312" w:cs="仿宋_GB2312" w:eastAsia="仿宋_GB2312"/>
        </w:rPr>
        <w:t xml:space="preserve"> 和 </w:t>
      </w:r>
      <w:r>
        <w:rPr>
          <w:rFonts w:ascii="仿宋_GB2312" w:hAnsi="仿宋_GB2312" w:cs="仿宋_GB2312" w:eastAsia="仿宋_GB2312"/>
        </w:rPr>
        <w:t>大英县政府采购中心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四川省大英县中等职业技术学校</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大英县政府采购中心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关于印发《政府采购需求管理办法》的通知（财库〔2021〕22号）和《财政部关于进一步加强政府采购需求和履约验收管理的指导意见》(财库〔2016〕205号)的要求以及采购文件、供应商的响应文件进行验收，以满足采购人的实际需求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按照采购文件的要求及成交人的响应文件及承诺与本合同约定标准进行验收。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按照采购文件的要求及成交人的响应文件及承诺与本合同约定标准进行验收。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关于印发《政府采购需求管理办法》的通知（财库〔2021〕22号）和《财政部关于进一步加强政府采购需求和履约验收管理的指导意见》(财库〔2016〕205号)的要求以及采购文件、供应商的响应文件进行验收，以满足采购人的实际需求为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四川省大英县中等职业技术学校</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大英县政府采购中心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大英县政府采购中心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联系人：大英县政府采购中心</w:t>
      </w:r>
    </w:p>
    <w:p>
      <w:pPr>
        <w:pStyle w:val="null3"/>
        <w:jc w:val="left"/>
      </w:pPr>
      <w:r>
        <w:rPr>
          <w:rFonts w:ascii="仿宋_GB2312" w:hAnsi="仿宋_GB2312" w:cs="仿宋_GB2312" w:eastAsia="仿宋_GB2312"/>
        </w:rPr>
        <w:t>联系电话：0825-7826823</w:t>
      </w:r>
    </w:p>
    <w:p>
      <w:pPr>
        <w:pStyle w:val="null3"/>
        <w:jc w:val="left"/>
      </w:pPr>
      <w:r>
        <w:rPr>
          <w:rFonts w:ascii="仿宋_GB2312" w:hAnsi="仿宋_GB2312" w:cs="仿宋_GB2312" w:eastAsia="仿宋_GB2312"/>
        </w:rPr>
        <w:t>地址：四川省遂宁市大英县天星大道行政服务大楼</w:t>
      </w:r>
    </w:p>
    <w:p>
      <w:pPr>
        <w:pStyle w:val="null3"/>
        <w:jc w:val="left"/>
      </w:pPr>
      <w:r>
        <w:rPr>
          <w:rFonts w:ascii="仿宋_GB2312" w:hAnsi="仿宋_GB2312" w:cs="仿宋_GB2312" w:eastAsia="仿宋_GB2312"/>
        </w:rPr>
        <w:t>邮编：629300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联系电话：13982526010</w:t>
      </w:r>
    </w:p>
    <w:p>
      <w:pPr>
        <w:pStyle w:val="null3"/>
        <w:jc w:val="left"/>
      </w:pPr>
      <w:r>
        <w:rPr>
          <w:rFonts w:ascii="仿宋_GB2312" w:hAnsi="仿宋_GB2312" w:cs="仿宋_GB2312" w:eastAsia="仿宋_GB2312"/>
        </w:rPr>
        <w:t>地址：大英县蓬莱镇天平街67号</w:t>
      </w:r>
    </w:p>
    <w:p>
      <w:pPr>
        <w:pStyle w:val="null3"/>
        <w:jc w:val="left"/>
      </w:pPr>
      <w:r>
        <w:rPr>
          <w:rFonts w:ascii="仿宋_GB2312" w:hAnsi="仿宋_GB2312" w:cs="仿宋_GB2312" w:eastAsia="仿宋_GB2312"/>
        </w:rPr>
        <w:t>邮编：629300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957,000.00</w:t>
      </w:r>
    </w:p>
    <w:p>
      <w:pPr>
        <w:pStyle w:val="null3"/>
        <w:jc w:val="left"/>
      </w:pPr>
      <w:r>
        <w:rPr>
          <w:rFonts w:ascii="仿宋_GB2312" w:hAnsi="仿宋_GB2312" w:cs="仿宋_GB2312" w:eastAsia="仿宋_GB2312"/>
        </w:rPr>
        <w:t>采购包最高限价（元）: 957,000.00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教学台式计算机</w:t>
            </w:r>
          </w:p>
        </w:tc>
        <w:tc>
          <w:tcPr>
            <w:tcW w:type="dxa" w:w="821"/>
          </w:tcPr>
          <w:p>
            <w:pPr>
              <w:pStyle w:val="null3"/>
              <w:jc w:val="right"/>
            </w:pPr>
            <w:r>
              <w:rPr>
                <w:rFonts w:ascii="仿宋_GB2312" w:hAnsi="仿宋_GB2312" w:cs="仿宋_GB2312" w:eastAsia="仿宋_GB2312"/>
              </w:rPr>
              <w:t>195.00（台）</w:t>
            </w:r>
          </w:p>
        </w:tc>
        <w:tc>
          <w:tcPr>
            <w:tcW w:type="dxa" w:w="821"/>
          </w:tcPr>
          <w:p>
            <w:pPr>
              <w:pStyle w:val="null3"/>
              <w:jc w:val="right"/>
            </w:pPr>
            <w:r>
              <w:rPr>
                <w:rFonts w:ascii="仿宋_GB2312" w:hAnsi="仿宋_GB2312" w:cs="仿宋_GB2312" w:eastAsia="仿宋_GB2312"/>
              </w:rPr>
              <w:t>957,000.00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教学台式计算机</w:t>
            </w:r>
          </w:p>
        </w:tc>
        <w:tc>
          <w:tcPr>
            <w:tcW w:type="dxa" w:w="977"/>
          </w:tcPr>
          <w:p>
            <w:pPr>
              <w:pStyle w:val="null3"/>
              <w:jc w:val="center"/>
            </w:pPr>
            <w:r>
              <w:rPr>
                <w:rFonts w:ascii="仿宋_GB2312" w:hAnsi="仿宋_GB2312" w:cs="仿宋_GB2312" w:eastAsia="仿宋_GB2312"/>
              </w:rPr>
              <w:t>台</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957,000.00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本项目采用单价报价(即xxxx元/台）。</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教学台式计算机</w:t>
            </w:r>
          </w:p>
        </w:tc>
        <w:tc>
          <w:tcPr>
            <w:tcW w:type="dxa" w:w="2492"/>
          </w:tcPr>
          <w:p>
            <w:pPr>
              <w:pStyle w:val="null3"/>
              <w:jc w:val="left"/>
            </w:pPr>
            <w:r>
              <w:rPr>
                <w:rFonts w:ascii="仿宋_GB2312" w:hAnsi="仿宋_GB2312" w:cs="仿宋_GB2312" w:eastAsia="仿宋_GB2312"/>
              </w:rPr>
              <w:t>教学台式计算机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教学台式计算机</w:t>
            </w:r>
          </w:p>
        </w:tc>
        <w:tc>
          <w:tcPr>
            <w:tcW w:type="dxa" w:w="2492"/>
          </w:tcPr>
          <w:p>
            <w:pPr>
              <w:pStyle w:val="null3"/>
              <w:jc w:val="left"/>
            </w:pPr>
            <w:r>
              <w:rPr>
                <w:rFonts w:ascii="仿宋_GB2312" w:hAnsi="仿宋_GB2312" w:cs="仿宋_GB2312" w:eastAsia="仿宋_GB2312"/>
              </w:rPr>
              <w:t>教学台式计算机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教学台式计算机</w:t>
            </w:r>
          </w:p>
        </w:tc>
        <w:tc>
          <w:tcPr>
            <w:tcW w:type="dxa" w:w="2492"/>
          </w:tcPr>
          <w:p>
            <w:pPr>
              <w:pStyle w:val="null3"/>
              <w:jc w:val="left"/>
            </w:pPr>
            <w:r>
              <w:rPr>
                <w:rFonts w:ascii="仿宋_GB2312" w:hAnsi="仿宋_GB2312" w:cs="仿宋_GB2312" w:eastAsia="仿宋_GB2312"/>
              </w:rPr>
              <w:t>教学台式计算机</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标的名称：教学台式计算机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教学台式计算机</w:t>
            </w:r>
          </w:p>
        </w:tc>
        <w:tc>
          <w:tcPr>
            <w:tcW w:type="dxa" w:w="5814"/>
          </w:tcPr>
          <w:p>
            <w:pPr>
              <w:pStyle w:val="null3"/>
              <w:jc w:val="left"/>
            </w:pPr>
            <w:r>
              <w:rPr>
                <w:rFonts w:ascii="仿宋_GB2312" w:hAnsi="仿宋_GB2312" w:cs="仿宋_GB2312" w:eastAsia="仿宋_GB2312"/>
              </w:rPr>
              <w:t>1、中央处理器：≥十四核二十线程处理器；基础主频≥2.5GHz，末级缓存≥24M；热设计功耗：≤65W；内存的最高速率：≥3200MT/s；内存通道数：≥2；内存位宽：≥64位宽。【说明：提供产品彩页或产品技术白皮书扫描件并加盖投标人电子签章。】</w:t>
            </w:r>
            <w:r>
              <w:br/>
            </w:r>
            <w:r>
              <w:rPr>
                <w:rFonts w:ascii="仿宋_GB2312" w:hAnsi="仿宋_GB2312" w:cs="仿宋_GB2312" w:eastAsia="仿宋_GB2312"/>
              </w:rPr>
              <w:t xml:space="preserve"> 2、主板芯片：主板集成模块：集成资源扩展模块、计算处理模块性能不低于770芯片组、集成可信平台模块（TPM）2.0、音频扩展模块等，主板的互联拓扑可通过处理器或交换电路实现；≥2个SATA接口；≥1个全高 PCI；≥2个M.2；≥1个PCIe x1；≥1个PCIe x16，主板集成降噪功能。【说明：提供功能截图并加盖投标人电子签章。】</w:t>
            </w:r>
            <w:r>
              <w:br/>
            </w:r>
            <w:r>
              <w:rPr>
                <w:rFonts w:ascii="仿宋_GB2312" w:hAnsi="仿宋_GB2312" w:cs="仿宋_GB2312" w:eastAsia="仿宋_GB2312"/>
              </w:rPr>
              <w:t xml:space="preserve"> 3、内存：≥16G DDR4-3200内存，最高可扩展至64G内存。</w:t>
            </w:r>
            <w:r>
              <w:br/>
            </w:r>
            <w:r>
              <w:rPr>
                <w:rFonts w:ascii="仿宋_GB2312" w:hAnsi="仿宋_GB2312" w:cs="仿宋_GB2312" w:eastAsia="仿宋_GB2312"/>
              </w:rPr>
              <w:t xml:space="preserve"> 4、硬盘：≥512GB NVMe 固态硬盘；支持硬盘故障前自检技术；≥500GB  机械硬盘，≥7200rpm。</w:t>
            </w:r>
            <w:r>
              <w:br/>
            </w:r>
            <w:r>
              <w:rPr>
                <w:rFonts w:ascii="仿宋_GB2312" w:hAnsi="仿宋_GB2312" w:cs="仿宋_GB2312" w:eastAsia="仿宋_GB2312"/>
              </w:rPr>
              <w:t xml:space="preserve"> 5、显卡：集成核心显卡及以上，基本频率≥300MHz,支持HDMI等接口，分辨率支持4K。</w:t>
            </w:r>
            <w:r>
              <w:br/>
            </w:r>
            <w:r>
              <w:rPr>
                <w:rFonts w:ascii="仿宋_GB2312" w:hAnsi="仿宋_GB2312" w:cs="仿宋_GB2312" w:eastAsia="仿宋_GB2312"/>
              </w:rPr>
              <w:t xml:space="preserve"> 6、网卡、声卡：有线网卡数量≥1，集成10/100/1000M自适应有线以太网卡、声卡。</w:t>
            </w:r>
            <w:r>
              <w:br/>
            </w:r>
            <w:r>
              <w:rPr>
                <w:rFonts w:ascii="仿宋_GB2312" w:hAnsi="仿宋_GB2312" w:cs="仿宋_GB2312" w:eastAsia="仿宋_GB2312"/>
              </w:rPr>
              <w:t xml:space="preserve"> 7、机箱：产品表面不应有凹痕、划伤、裂缝、变形和污染等，表面涂层均匀，不应起泡、龟裂、脱落和磨损，金属零部件无锈蚀及其它机械损伤；机箱体积应大于15L，机身颜色：黑色（可定制颜色）；具备冷却风扇技术。</w:t>
            </w:r>
            <w:r>
              <w:br/>
            </w:r>
            <w:r>
              <w:rPr>
                <w:rFonts w:ascii="仿宋_GB2312" w:hAnsi="仿宋_GB2312" w:cs="仿宋_GB2312" w:eastAsia="仿宋_GB2312"/>
              </w:rPr>
              <w:t xml:space="preserve"> 8、电源：≥350W EPA 90%，具备电源管理功能。</w:t>
            </w:r>
            <w:r>
              <w:br/>
            </w:r>
            <w:r>
              <w:rPr>
                <w:rFonts w:ascii="仿宋_GB2312" w:hAnsi="仿宋_GB2312" w:cs="仿宋_GB2312" w:eastAsia="仿宋_GB2312"/>
              </w:rPr>
              <w:t xml:space="preserve"> 9、I\O接口：音频接口数量：≥3个（前置1个耳麦通用插孔，后置1个音频输入、1个音频输出）；主机≥6个USB 端口（至少包含1个USB-C端口）；视频接口数量：≥2个。</w:t>
            </w:r>
            <w:r>
              <w:br/>
            </w:r>
            <w:r>
              <w:rPr>
                <w:rFonts w:ascii="仿宋_GB2312" w:hAnsi="仿宋_GB2312" w:cs="仿宋_GB2312" w:eastAsia="仿宋_GB2312"/>
              </w:rPr>
              <w:t xml:space="preserve"> 10、键鼠：鼠标数量≥1个。键盘数量≥1个。键盘按键数目≥104键。键鼠连接方式，有线。</w:t>
            </w:r>
            <w:r>
              <w:br/>
            </w:r>
            <w:r>
              <w:rPr>
                <w:rFonts w:ascii="仿宋_GB2312" w:hAnsi="仿宋_GB2312" w:cs="仿宋_GB2312" w:eastAsia="仿宋_GB2312"/>
              </w:rPr>
              <w:t xml:space="preserve"> 11、软件：出厂预装正版操作系统。</w:t>
            </w:r>
            <w:r>
              <w:br/>
            </w:r>
            <w:r>
              <w:rPr>
                <w:rFonts w:ascii="仿宋_GB2312" w:hAnsi="仿宋_GB2312" w:cs="仿宋_GB2312" w:eastAsia="仿宋_GB2312"/>
              </w:rPr>
              <w:t xml:space="preserve"> 12、网络同传功能：出厂自带BIOS版还原卡，支持系统自动还原、同时支持GPT分区和MBR分区、自动修改IP和计算机名、硬盘保护、网络同传、增量拷贝、断点续传、远程唤醒、远程重启、远程锁定、远程关机，千兆网络传输速度最大可以达到10GB/分钟或以上（百兆网络平均传输速度2.5GB/分钟或以上）、支持多硬盘拷贝；支持数据加密传输功能，支持任意机器作为主机对整个机房的维护和数据加密传输功能；具备支持网络传输故障定位。</w:t>
            </w:r>
            <w:r>
              <w:br/>
            </w:r>
            <w:r>
              <w:rPr>
                <w:rFonts w:ascii="仿宋_GB2312" w:hAnsi="仿宋_GB2312" w:cs="仿宋_GB2312" w:eastAsia="仿宋_GB2312"/>
              </w:rPr>
              <w:t xml:space="preserve"> 13、具有电脑管理功能：1-硬件主要参数检测；优化加速；2-系统垃圾清理；3-病毒查杀；4-原厂驱动更新；5-网络测速；网络诊断，6-自动识别品牌型号，自动识别序列号，自动识别保修开始至截止信息。</w:t>
            </w:r>
            <w:r>
              <w:br/>
            </w:r>
            <w:r>
              <w:rPr>
                <w:rFonts w:ascii="仿宋_GB2312" w:hAnsi="仿宋_GB2312" w:cs="仿宋_GB2312" w:eastAsia="仿宋_GB2312"/>
              </w:rPr>
              <w:t xml:space="preserve"> 14、显示器：≥23.8英寸，显示屏分辨率≥1920*1080，宽屏16:9 LED背光IPS液晶显示器，HDMI等接口；显示器外观颜色为：黑色/白色；显示屏屏占比≥80%，显示器支持防蓝光模式，显示屏低频闪≤-35dB；显示屏防眩目：显示屏镜面反射率≤10%。【说明：提供产品彩页或产品技术白皮书扫描件并加盖投标人电子签章。】</w:t>
            </w:r>
            <w:r>
              <w:br/>
            </w:r>
            <w:r>
              <w:rPr>
                <w:rFonts w:ascii="仿宋_GB2312" w:hAnsi="仿宋_GB2312" w:cs="仿宋_GB2312" w:eastAsia="仿宋_GB2312"/>
              </w:rPr>
              <w:t xml:space="preserve"> 15、服务：整机（主机+显示器）3年服务；所有配置必须原厂原装，可用厂家400/800电话或当地维修站（官网维修站网点电话为准）确认配置，不接受其他第三方改装配置，如不满足拒绝收货。 </w:t>
            </w:r>
            <w:r>
              <w:br/>
            </w:r>
            <w:r>
              <w:rPr>
                <w:rFonts w:ascii="仿宋_GB2312" w:hAnsi="仿宋_GB2312" w:cs="仿宋_GB2312" w:eastAsia="仿宋_GB2312"/>
              </w:rPr>
              <w:t xml:space="preserve"> 16、供应商承诺所提供产品须满足财政部 工业和信息化部关于印发《台式计算机政府采购需求标准（2023年版）》的通知。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15日历天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1、货物到达采购人指定地点后，达到付款条件起10日内，支付合同总金额的30.00%</w:t>
            </w:r>
          </w:p>
          <w:p>
            <w:pPr>
              <w:pStyle w:val="null3"/>
              <w:jc w:val="left"/>
            </w:pPr>
            <w:r>
              <w:rPr>
                <w:rFonts w:ascii="仿宋_GB2312" w:hAnsi="仿宋_GB2312" w:cs="仿宋_GB2312" w:eastAsia="仿宋_GB2312"/>
              </w:rPr>
              <w:t>2、验收合格后，达到付款条件起10日内，支付合同总金额的65.00%</w:t>
            </w:r>
          </w:p>
          <w:p>
            <w:pPr>
              <w:pStyle w:val="null3"/>
              <w:jc w:val="left"/>
            </w:pPr>
            <w:r>
              <w:rPr>
                <w:rFonts w:ascii="仿宋_GB2312" w:hAnsi="仿宋_GB2312" w:cs="仿宋_GB2312" w:eastAsia="仿宋_GB2312"/>
              </w:rPr>
              <w:t>3、试运行3个月后，达到付款条件起10日内，支付合同总金额的5.00%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关于印发《政府采购需求管理办法》的通知（财库〔2021〕22号）和《财政部关于进一步加强政府采购需求和履约验收管理的指导意见》(财库〔2016〕205号)的要求以及采购文件、供应商的响应文件进行验收，以满足采购人的实际需求为准。</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1.成交供应商必须严格按照采购文件要求的质量标准供货，在质保期出现质量问题（人为损坏除外），由成交供应商负责维修或更换，采购人不再另行支付维修或更换费用，该费用已经包含在成交供应商报价中。 2.本项目质保期：质保期3年。 3.国家规定“三包”范围的，其产品质量保证期不得低于“三包”规定；成交供应商的质量保证期承诺优于国家“三包”规定的，按成交供应商实际承诺执行。</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双方必须遵守本合同并执行合同中的各项规定，保证本合同的正常履行。 如因成交供应商工作人员在履行职务过程中的的疏忽、失职、过错等故意或者过失原因给出采购人造成损失或侵害，包括但不限于采购人本身的财产损失、由此而导致的采购人对任何第三方的法律责任等，成交供应商对此均应承担全部的赔偿责任。在执行本合同中发生的或与本合同有关的争端，双方应通过友好协商解决，协商不成时，应提交遂宁仲裁委员会仲裁。仲裁裁决应为最终决定，并对双方具有约束力。 除另有裁决外，仲裁费应由败诉方负担。在仲裁期间，除正在进行仲裁部分外，合同其他部分继续执行。若对仲裁裁决最终决定不满意，应提交采购人所在地人民法院管辖。</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谈判小组可以根据谈判文件和谈判情况实质性变动，但不得变动谈判文件中的其他内容。实质性变动的内容，须经采购人代表确认。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谈判小组可以根据谈判文件和谈判情况实质性变动，但不得变动谈判文件中的其他内容。实质性变动的内容，须经采购人代表确认。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响应文件封面,供应商应提交的相关证明材料,服务应答表,投标（响应）函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供应商应提交的相关证明材料,具有健全财务会计制度的证明材料,服务应答表,投标（响应）函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技术、服务及其他要求的响应情况</w:t>
            </w:r>
          </w:p>
        </w:tc>
        <w:tc>
          <w:tcPr>
            <w:tcW w:type="dxa" w:w="3322"/>
          </w:tcPr>
          <w:p>
            <w:pPr>
              <w:pStyle w:val="null3"/>
              <w:jc w:val="left"/>
            </w:pPr>
            <w:r>
              <w:rPr>
                <w:rFonts w:ascii="仿宋_GB2312" w:hAnsi="仿宋_GB2312" w:cs="仿宋_GB2312" w:eastAsia="仿宋_GB2312"/>
              </w:rPr>
              <w:t>供应商需针对第三章技术、服务及其他要求进行逐项响应并按要求提供相关证明材料。实质性要求未响应或不满足的作不通过处理。</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中小企业声明函,残疾人福利性单位声明函,供应商应提交的相关证明材料,服务应答表,监狱企业的证明文件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供应商应提交的相关证明材料,关于符合本国产品标准的声明函,投标（响应）函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教学台式计算机</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产品技术参数响应表,供应商应提交的相关证明材料,报价表,投标（响应）函</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供应商应提交的相关证明材料,服务应答表,投标（响应）函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