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F2E551">
      <w:pPr>
        <w:bidi w:val="0"/>
        <w:rPr>
          <w:rFonts w:hint="eastAsia" w:ascii="宋体" w:hAnsi="宋体" w:eastAsia="宋体" w:cs="宋体"/>
          <w:color w:val="auto"/>
          <w:highlight w:val="none"/>
          <w:lang w:val="zh-CN"/>
        </w:rPr>
      </w:pPr>
    </w:p>
    <w:p w14:paraId="7C3B3F69">
      <w:pPr>
        <w:bidi w:val="0"/>
        <w:rPr>
          <w:rFonts w:hint="eastAsia" w:ascii="宋体" w:hAnsi="宋体" w:eastAsia="宋体" w:cs="宋体"/>
          <w:color w:val="auto"/>
          <w:highlight w:val="none"/>
          <w:lang w:val="zh-CN"/>
        </w:rPr>
      </w:pPr>
    </w:p>
    <w:p w14:paraId="3411562C">
      <w:pPr>
        <w:bidi w:val="0"/>
        <w:rPr>
          <w:rFonts w:hint="eastAsia" w:ascii="宋体" w:hAnsi="宋体" w:eastAsia="宋体" w:cs="宋体"/>
          <w:color w:val="auto"/>
          <w:highlight w:val="none"/>
          <w:lang w:val="zh-CN"/>
        </w:rPr>
      </w:pPr>
    </w:p>
    <w:p w14:paraId="2F7829E9">
      <w:pPr>
        <w:bidi w:val="0"/>
        <w:ind w:left="0" w:leftChars="0" w:firstLine="0" w:firstLineChars="0"/>
        <w:jc w:val="center"/>
        <w:rPr>
          <w:rFonts w:hint="eastAsia" w:ascii="宋体" w:hAnsi="宋体" w:eastAsia="宋体" w:cs="宋体"/>
          <w:b/>
          <w:bCs/>
          <w:color w:val="auto"/>
          <w:sz w:val="84"/>
          <w:szCs w:val="84"/>
          <w:highlight w:val="none"/>
          <w:lang w:val="zh-CN"/>
        </w:rPr>
      </w:pPr>
    </w:p>
    <w:p w14:paraId="3FA8FB90">
      <w:pPr>
        <w:bidi w:val="0"/>
        <w:ind w:left="0" w:leftChars="0" w:firstLine="0" w:firstLineChars="0"/>
        <w:jc w:val="center"/>
        <w:rPr>
          <w:rFonts w:hint="eastAsia" w:ascii="宋体" w:hAnsi="宋体" w:eastAsia="宋体" w:cs="宋体"/>
          <w:b/>
          <w:bCs/>
          <w:color w:val="auto"/>
          <w:sz w:val="84"/>
          <w:szCs w:val="84"/>
          <w:highlight w:val="none"/>
        </w:rPr>
      </w:pPr>
      <w:r>
        <w:rPr>
          <w:rFonts w:hint="eastAsia" w:ascii="宋体" w:hAnsi="宋体" w:eastAsia="宋体" w:cs="宋体"/>
          <w:b/>
          <w:bCs/>
          <w:color w:val="auto"/>
          <w:sz w:val="84"/>
          <w:szCs w:val="84"/>
          <w:highlight w:val="none"/>
          <w:lang w:val="zh-CN"/>
        </w:rPr>
        <w:t>竞争性磋商文件</w:t>
      </w:r>
    </w:p>
    <w:p w14:paraId="197CCB07">
      <w:pPr>
        <w:bidi w:val="0"/>
        <w:rPr>
          <w:rFonts w:hint="eastAsia" w:ascii="宋体" w:hAnsi="宋体" w:eastAsia="宋体" w:cs="宋体"/>
          <w:color w:val="auto"/>
          <w:highlight w:val="none"/>
        </w:rPr>
      </w:pPr>
    </w:p>
    <w:p w14:paraId="64856F8E">
      <w:pPr>
        <w:bidi w:val="0"/>
        <w:rPr>
          <w:rFonts w:hint="eastAsia" w:ascii="宋体" w:hAnsi="宋体" w:eastAsia="宋体" w:cs="宋体"/>
          <w:color w:val="auto"/>
          <w:highlight w:val="none"/>
        </w:rPr>
      </w:pPr>
    </w:p>
    <w:p w14:paraId="5E0EE1E3">
      <w:pPr>
        <w:keepNext w:val="0"/>
        <w:keepLines w:val="0"/>
        <w:pageBreakBefore w:val="0"/>
        <w:widowControl w:val="0"/>
        <w:kinsoku/>
        <w:wordWrap/>
        <w:overflowPunct/>
        <w:topLinePunct w:val="0"/>
        <w:autoSpaceDE/>
        <w:autoSpaceDN/>
        <w:bidi w:val="0"/>
        <w:adjustRightInd/>
        <w:snapToGrid/>
        <w:ind w:left="2887" w:leftChars="266" w:hanging="2249" w:hangingChars="700"/>
        <w:textAlignment w:val="auto"/>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rPr>
        <w:t>采购项目名称：</w:t>
      </w:r>
      <w:r>
        <w:rPr>
          <w:rFonts w:hint="eastAsia" w:ascii="宋体" w:hAnsi="宋体" w:cs="宋体"/>
          <w:b/>
          <w:bCs/>
          <w:color w:val="auto"/>
          <w:sz w:val="32"/>
          <w:szCs w:val="32"/>
          <w:highlight w:val="none"/>
          <w:lang w:eastAsia="zh-CN"/>
        </w:rPr>
        <w:t>青海省财政厅信息机房设备维保服务项目</w:t>
      </w:r>
    </w:p>
    <w:p w14:paraId="7CA90845">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宋体" w:hAnsi="宋体" w:eastAsia="宋体" w:cs="宋体"/>
          <w:b/>
          <w:bCs/>
          <w:color w:val="auto"/>
          <w:sz w:val="32"/>
          <w:szCs w:val="32"/>
          <w:highlight w:val="none"/>
          <w:lang w:eastAsia="zh-CN"/>
        </w:rPr>
      </w:pPr>
    </w:p>
    <w:p w14:paraId="76AC4F08">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rPr>
        <w:t>采购项目编号：</w:t>
      </w:r>
      <w:r>
        <w:rPr>
          <w:rFonts w:hint="eastAsia" w:ascii="宋体" w:hAnsi="宋体" w:cs="宋体"/>
          <w:b/>
          <w:bCs/>
          <w:color w:val="auto"/>
          <w:sz w:val="32"/>
          <w:szCs w:val="32"/>
          <w:highlight w:val="none"/>
          <w:lang w:eastAsia="zh-CN"/>
        </w:rPr>
        <w:t>青海联祥磋商（服务）2026-057</w:t>
      </w:r>
    </w:p>
    <w:p w14:paraId="40C84197">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宋体" w:hAnsi="宋体" w:eastAsia="宋体" w:cs="宋体"/>
          <w:b/>
          <w:bCs/>
          <w:color w:val="auto"/>
          <w:sz w:val="32"/>
          <w:szCs w:val="32"/>
          <w:highlight w:val="none"/>
          <w:lang w:eastAsia="zh-CN"/>
        </w:rPr>
      </w:pPr>
    </w:p>
    <w:p w14:paraId="701B5AB6">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rPr>
        <w:t>采 购 单 位：</w:t>
      </w:r>
      <w:r>
        <w:rPr>
          <w:rFonts w:hint="eastAsia" w:ascii="宋体" w:hAnsi="宋体" w:cs="宋体"/>
          <w:b/>
          <w:bCs/>
          <w:color w:val="auto"/>
          <w:sz w:val="32"/>
          <w:szCs w:val="32"/>
          <w:highlight w:val="none"/>
          <w:lang w:eastAsia="zh-CN"/>
        </w:rPr>
        <w:t>青海省财政厅</w:t>
      </w:r>
    </w:p>
    <w:p w14:paraId="3016D631">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宋体" w:hAnsi="宋体" w:eastAsia="宋体" w:cs="宋体"/>
          <w:b/>
          <w:bCs/>
          <w:color w:val="auto"/>
          <w:sz w:val="32"/>
          <w:szCs w:val="32"/>
          <w:highlight w:val="none"/>
          <w:lang w:eastAsia="zh-CN"/>
        </w:rPr>
      </w:pPr>
    </w:p>
    <w:p w14:paraId="61672805">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采购代理机构：青海联祥招标代理有限公司</w:t>
      </w:r>
    </w:p>
    <w:p w14:paraId="46620851">
      <w:pPr>
        <w:bidi w:val="0"/>
        <w:rPr>
          <w:rFonts w:hint="eastAsia" w:ascii="宋体" w:hAnsi="宋体" w:eastAsia="宋体" w:cs="宋体"/>
          <w:b/>
          <w:bCs/>
          <w:color w:val="auto"/>
          <w:sz w:val="32"/>
          <w:szCs w:val="32"/>
          <w:highlight w:val="none"/>
        </w:rPr>
      </w:pPr>
    </w:p>
    <w:p w14:paraId="7B6D9699">
      <w:pPr>
        <w:bidi w:val="0"/>
        <w:rPr>
          <w:rFonts w:hint="eastAsia" w:ascii="宋体" w:hAnsi="宋体" w:eastAsia="宋体" w:cs="宋体"/>
          <w:b/>
          <w:bCs/>
          <w:color w:val="auto"/>
          <w:sz w:val="32"/>
          <w:szCs w:val="32"/>
          <w:highlight w:val="none"/>
        </w:rPr>
      </w:pPr>
    </w:p>
    <w:p w14:paraId="0F721264">
      <w:pPr>
        <w:bidi w:val="0"/>
        <w:rPr>
          <w:rFonts w:hint="eastAsia" w:ascii="宋体" w:hAnsi="宋体" w:eastAsia="宋体" w:cs="宋体"/>
          <w:b/>
          <w:bCs/>
          <w:color w:val="auto"/>
          <w:sz w:val="32"/>
          <w:szCs w:val="32"/>
          <w:highlight w:val="none"/>
        </w:rPr>
      </w:pPr>
    </w:p>
    <w:p w14:paraId="739AABB8">
      <w:pPr>
        <w:bidi w:val="0"/>
        <w:ind w:left="0" w:leftChars="0" w:firstLine="0" w:firstLineChars="0"/>
        <w:jc w:val="center"/>
        <w:rPr>
          <w:rFonts w:hint="eastAsia" w:ascii="宋体" w:hAnsi="宋体" w:eastAsia="宋体" w:cs="宋体"/>
          <w:b/>
          <w:bCs/>
          <w:color w:val="auto"/>
          <w:sz w:val="32"/>
          <w:szCs w:val="32"/>
          <w:highlight w:val="none"/>
          <w:lang w:eastAsia="zh-CN"/>
        </w:rPr>
      </w:pPr>
      <w:r>
        <w:rPr>
          <w:rFonts w:hint="eastAsia" w:ascii="宋体" w:hAnsi="宋体" w:cs="宋体"/>
          <w:b/>
          <w:bCs/>
          <w:color w:val="auto"/>
          <w:sz w:val="32"/>
          <w:szCs w:val="32"/>
          <w:highlight w:val="none"/>
          <w:lang w:eastAsia="zh-CN"/>
        </w:rPr>
        <w:t>2026年06月</w:t>
      </w:r>
    </w:p>
    <w:p w14:paraId="136D2004">
      <w:pPr>
        <w:bidi w:val="0"/>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1991FD41">
      <w:pPr>
        <w:adjustRightInd w:val="0"/>
        <w:spacing w:line="360" w:lineRule="auto"/>
        <w:ind w:left="0" w:leftChars="0" w:firstLine="0" w:firstLineChars="0"/>
        <w:jc w:val="center"/>
        <w:textAlignment w:val="baseline"/>
        <w:rPr>
          <w:rFonts w:hint="eastAsia" w:ascii="宋体" w:hAnsi="宋体" w:eastAsia="宋体" w:cs="宋体"/>
          <w:b/>
          <w:color w:val="auto"/>
          <w:sz w:val="52"/>
          <w:szCs w:val="52"/>
          <w:highlight w:val="none"/>
        </w:rPr>
      </w:pPr>
      <w:r>
        <w:rPr>
          <w:rFonts w:hint="eastAsia" w:ascii="宋体" w:hAnsi="宋体" w:eastAsia="宋体" w:cs="宋体"/>
          <w:color w:val="auto"/>
          <w:sz w:val="52"/>
          <w:szCs w:val="52"/>
          <w:highlight w:val="none"/>
        </w:rPr>
        <w:t>目    录</w:t>
      </w:r>
    </w:p>
    <w:p w14:paraId="6C11458D">
      <w:pPr>
        <w:pStyle w:val="42"/>
        <w:tabs>
          <w:tab w:val="right" w:leader="dot" w:pos="8250"/>
        </w:tabs>
      </w:pPr>
      <w:r>
        <w:rPr>
          <w:rStyle w:val="77"/>
          <w:rFonts w:hint="eastAsia" w:ascii="宋体" w:hAnsi="宋体" w:eastAsia="宋体" w:cs="宋体"/>
          <w:color w:val="auto"/>
          <w:sz w:val="21"/>
          <w:highlight w:val="none"/>
        </w:rPr>
        <w:fldChar w:fldCharType="begin"/>
      </w:r>
      <w:r>
        <w:rPr>
          <w:rStyle w:val="77"/>
          <w:rFonts w:hint="eastAsia" w:ascii="宋体" w:hAnsi="宋体" w:eastAsia="宋体" w:cs="宋体"/>
          <w:b w:val="0"/>
          <w:bCs w:val="0"/>
          <w:color w:val="auto"/>
          <w:kern w:val="0"/>
          <w:sz w:val="21"/>
          <w:szCs w:val="21"/>
          <w:highlight w:val="none"/>
        </w:rPr>
        <w:instrText xml:space="preserve"> TOC \o "1-3"\h \z \u </w:instrText>
      </w:r>
      <w:r>
        <w:rPr>
          <w:rStyle w:val="77"/>
          <w:rFonts w:hint="eastAsia" w:ascii="宋体" w:hAnsi="宋体" w:eastAsia="宋体" w:cs="宋体"/>
          <w:color w:val="auto"/>
          <w:sz w:val="21"/>
          <w:highlight w:val="none"/>
        </w:rPr>
        <w:fldChar w:fldCharType="separate"/>
      </w:r>
      <w:r>
        <w:rPr>
          <w:rFonts w:hint="eastAsia" w:ascii="宋体" w:hAnsi="宋体" w:eastAsia="宋体" w:cs="宋体"/>
          <w:color w:val="auto"/>
          <w:highlight w:val="none"/>
        </w:rPr>
        <w:fldChar w:fldCharType="begin"/>
      </w:r>
      <w:r>
        <w:rPr>
          <w:rFonts w:hint="eastAsia" w:ascii="宋体" w:hAnsi="宋体" w:eastAsia="宋体" w:cs="宋体"/>
          <w:highlight w:val="none"/>
        </w:rPr>
        <w:instrText xml:space="preserve"> HYPERLINK \l _Toc24880 </w:instrText>
      </w:r>
      <w:r>
        <w:rPr>
          <w:rFonts w:hint="eastAsia" w:ascii="宋体" w:hAnsi="宋体" w:eastAsia="宋体" w:cs="宋体"/>
          <w:highlight w:val="none"/>
        </w:rPr>
        <w:fldChar w:fldCharType="separate"/>
      </w:r>
      <w:r>
        <w:rPr>
          <w:rFonts w:hint="eastAsia" w:ascii="宋体" w:hAnsi="宋体" w:eastAsia="宋体" w:cs="宋体"/>
          <w:highlight w:val="none"/>
        </w:rPr>
        <w:t>第一部分</w:t>
      </w:r>
      <w:r>
        <w:rPr>
          <w:rFonts w:hint="eastAsia" w:ascii="宋体" w:hAnsi="宋体" w:eastAsia="宋体" w:cs="宋体"/>
          <w:highlight w:val="none"/>
          <w:lang w:val="en-US" w:eastAsia="zh-CN"/>
        </w:rPr>
        <w:t xml:space="preserve">  </w:t>
      </w:r>
      <w:r>
        <w:rPr>
          <w:rFonts w:hint="eastAsia" w:ascii="宋体" w:hAnsi="宋体" w:eastAsia="宋体" w:cs="宋体"/>
          <w:highlight w:val="none"/>
        </w:rPr>
        <w:t>竞争性磋商邀请公告</w:t>
      </w:r>
      <w:r>
        <w:tab/>
      </w:r>
      <w:r>
        <w:fldChar w:fldCharType="begin"/>
      </w:r>
      <w:r>
        <w:instrText xml:space="preserve"> PAGEREF _Toc24880 \h </w:instrText>
      </w:r>
      <w:r>
        <w:fldChar w:fldCharType="separate"/>
      </w:r>
      <w:r>
        <w:t>1</w:t>
      </w:r>
      <w:r>
        <w:fldChar w:fldCharType="end"/>
      </w:r>
      <w:r>
        <w:rPr>
          <w:rFonts w:hint="eastAsia" w:ascii="宋体" w:hAnsi="宋体" w:eastAsia="宋体" w:cs="宋体"/>
          <w:color w:val="auto"/>
          <w:highlight w:val="none"/>
        </w:rPr>
        <w:fldChar w:fldCharType="end"/>
      </w:r>
    </w:p>
    <w:p w14:paraId="2C3AC3AD">
      <w:pPr>
        <w:pStyle w:val="42"/>
        <w:tabs>
          <w:tab w:val="right" w:leader="dot" w:pos="8250"/>
        </w:tabs>
      </w:pPr>
      <w:r>
        <w:rPr>
          <w:rFonts w:hint="eastAsia" w:ascii="宋体" w:hAnsi="宋体" w:eastAsia="宋体" w:cs="宋体"/>
          <w:bCs w:val="0"/>
          <w:color w:val="auto"/>
          <w:kern w:val="0"/>
          <w:szCs w:val="21"/>
          <w:highlight w:val="none"/>
        </w:rPr>
        <w:fldChar w:fldCharType="begin"/>
      </w:r>
      <w:r>
        <w:rPr>
          <w:rFonts w:hint="eastAsia" w:ascii="宋体" w:hAnsi="宋体" w:eastAsia="宋体" w:cs="宋体"/>
          <w:bCs w:val="0"/>
          <w:kern w:val="0"/>
          <w:szCs w:val="21"/>
          <w:highlight w:val="none"/>
        </w:rPr>
        <w:instrText xml:space="preserve"> HYPERLINK \l _Toc23112 </w:instrText>
      </w:r>
      <w:r>
        <w:rPr>
          <w:rFonts w:hint="eastAsia" w:ascii="宋体" w:hAnsi="宋体" w:eastAsia="宋体" w:cs="宋体"/>
          <w:bCs w:val="0"/>
          <w:kern w:val="0"/>
          <w:szCs w:val="21"/>
          <w:highlight w:val="none"/>
        </w:rPr>
        <w:fldChar w:fldCharType="separate"/>
      </w:r>
      <w:r>
        <w:rPr>
          <w:rFonts w:hint="eastAsia" w:ascii="宋体" w:hAnsi="宋体" w:eastAsia="宋体" w:cs="宋体"/>
          <w:highlight w:val="none"/>
        </w:rPr>
        <w:t>第二部分</w:t>
      </w:r>
      <w:r>
        <w:rPr>
          <w:rFonts w:hint="eastAsia" w:ascii="宋体" w:hAnsi="宋体" w:eastAsia="宋体" w:cs="宋体"/>
          <w:highlight w:val="none"/>
          <w:lang w:val="en-US" w:eastAsia="zh-CN"/>
        </w:rPr>
        <w:t xml:space="preserve">  </w:t>
      </w:r>
      <w:r>
        <w:rPr>
          <w:rFonts w:hint="eastAsia" w:ascii="宋体" w:hAnsi="宋体" w:eastAsia="宋体" w:cs="宋体"/>
          <w:highlight w:val="none"/>
        </w:rPr>
        <w:t>磋商须知前附表</w:t>
      </w:r>
      <w:r>
        <w:tab/>
      </w:r>
      <w:r>
        <w:fldChar w:fldCharType="begin"/>
      </w:r>
      <w:r>
        <w:instrText xml:space="preserve"> PAGEREF _Toc23112 \h </w:instrText>
      </w:r>
      <w:r>
        <w:fldChar w:fldCharType="separate"/>
      </w:r>
      <w:r>
        <w:t>4</w:t>
      </w:r>
      <w:r>
        <w:fldChar w:fldCharType="end"/>
      </w:r>
      <w:r>
        <w:rPr>
          <w:rFonts w:hint="eastAsia" w:ascii="宋体" w:hAnsi="宋体" w:eastAsia="宋体" w:cs="宋体"/>
          <w:bCs w:val="0"/>
          <w:color w:val="auto"/>
          <w:kern w:val="0"/>
          <w:szCs w:val="21"/>
          <w:highlight w:val="none"/>
        </w:rPr>
        <w:fldChar w:fldCharType="end"/>
      </w:r>
    </w:p>
    <w:p w14:paraId="0B3FBF1A">
      <w:pPr>
        <w:pStyle w:val="42"/>
        <w:tabs>
          <w:tab w:val="right" w:leader="dot" w:pos="8250"/>
        </w:tabs>
      </w:pPr>
      <w:r>
        <w:rPr>
          <w:rFonts w:hint="eastAsia" w:ascii="宋体" w:hAnsi="宋体" w:eastAsia="宋体" w:cs="宋体"/>
          <w:bCs w:val="0"/>
          <w:color w:val="auto"/>
          <w:kern w:val="0"/>
          <w:szCs w:val="21"/>
          <w:highlight w:val="none"/>
        </w:rPr>
        <w:fldChar w:fldCharType="begin"/>
      </w:r>
      <w:r>
        <w:rPr>
          <w:rFonts w:hint="eastAsia" w:ascii="宋体" w:hAnsi="宋体" w:eastAsia="宋体" w:cs="宋体"/>
          <w:bCs w:val="0"/>
          <w:kern w:val="0"/>
          <w:szCs w:val="21"/>
          <w:highlight w:val="none"/>
        </w:rPr>
        <w:instrText xml:space="preserve"> HYPERLINK \l _Toc7556 </w:instrText>
      </w:r>
      <w:r>
        <w:rPr>
          <w:rFonts w:hint="eastAsia" w:ascii="宋体" w:hAnsi="宋体" w:eastAsia="宋体" w:cs="宋体"/>
          <w:bCs w:val="0"/>
          <w:kern w:val="0"/>
          <w:szCs w:val="21"/>
          <w:highlight w:val="none"/>
        </w:rPr>
        <w:fldChar w:fldCharType="separate"/>
      </w:r>
      <w:r>
        <w:rPr>
          <w:rFonts w:hint="eastAsia" w:ascii="宋体" w:hAnsi="宋体" w:eastAsia="宋体" w:cs="宋体"/>
          <w:highlight w:val="none"/>
        </w:rPr>
        <w:t>第三部分</w:t>
      </w:r>
      <w:r>
        <w:rPr>
          <w:rFonts w:hint="eastAsia" w:ascii="宋体" w:hAnsi="宋体" w:eastAsia="宋体" w:cs="宋体"/>
          <w:highlight w:val="none"/>
          <w:lang w:val="en-US" w:eastAsia="zh-CN"/>
        </w:rPr>
        <w:t xml:space="preserve">  </w:t>
      </w:r>
      <w:r>
        <w:rPr>
          <w:rFonts w:hint="eastAsia" w:ascii="宋体" w:hAnsi="宋体" w:eastAsia="宋体" w:cs="宋体"/>
          <w:highlight w:val="none"/>
        </w:rPr>
        <w:t>磋商供应商须知</w:t>
      </w:r>
      <w:r>
        <w:tab/>
      </w:r>
      <w:r>
        <w:fldChar w:fldCharType="begin"/>
      </w:r>
      <w:r>
        <w:instrText xml:space="preserve"> PAGEREF _Toc7556 \h </w:instrText>
      </w:r>
      <w:r>
        <w:fldChar w:fldCharType="separate"/>
      </w:r>
      <w:r>
        <w:t>8</w:t>
      </w:r>
      <w:r>
        <w:fldChar w:fldCharType="end"/>
      </w:r>
      <w:r>
        <w:rPr>
          <w:rFonts w:hint="eastAsia" w:ascii="宋体" w:hAnsi="宋体" w:eastAsia="宋体" w:cs="宋体"/>
          <w:bCs w:val="0"/>
          <w:color w:val="auto"/>
          <w:kern w:val="0"/>
          <w:szCs w:val="21"/>
          <w:highlight w:val="none"/>
        </w:rPr>
        <w:fldChar w:fldCharType="end"/>
      </w:r>
    </w:p>
    <w:p w14:paraId="6ADF26FF">
      <w:pPr>
        <w:pStyle w:val="54"/>
        <w:tabs>
          <w:tab w:val="right" w:leader="dot" w:pos="8250"/>
        </w:tabs>
      </w:pPr>
      <w:r>
        <w:rPr>
          <w:rFonts w:hint="eastAsia" w:ascii="宋体" w:hAnsi="宋体" w:eastAsia="宋体" w:cs="宋体"/>
          <w:bCs w:val="0"/>
          <w:color w:val="auto"/>
          <w:kern w:val="0"/>
          <w:szCs w:val="21"/>
          <w:highlight w:val="none"/>
        </w:rPr>
        <w:fldChar w:fldCharType="begin"/>
      </w:r>
      <w:r>
        <w:rPr>
          <w:rFonts w:hint="eastAsia" w:ascii="宋体" w:hAnsi="宋体" w:eastAsia="宋体" w:cs="宋体"/>
          <w:bCs w:val="0"/>
          <w:kern w:val="0"/>
          <w:szCs w:val="21"/>
          <w:highlight w:val="none"/>
        </w:rPr>
        <w:instrText xml:space="preserve"> HYPERLINK \l _Toc5877 </w:instrText>
      </w:r>
      <w:r>
        <w:rPr>
          <w:rFonts w:hint="eastAsia" w:ascii="宋体" w:hAnsi="宋体" w:eastAsia="宋体" w:cs="宋体"/>
          <w:bCs w:val="0"/>
          <w:kern w:val="0"/>
          <w:szCs w:val="21"/>
          <w:highlight w:val="none"/>
        </w:rPr>
        <w:fldChar w:fldCharType="separate"/>
      </w:r>
      <w:r>
        <w:rPr>
          <w:rFonts w:hint="eastAsia" w:ascii="宋体" w:hAnsi="宋体" w:eastAsia="宋体" w:cs="宋体"/>
          <w:highlight w:val="none"/>
        </w:rPr>
        <w:t>一、说  明</w:t>
      </w:r>
      <w:r>
        <w:tab/>
      </w:r>
      <w:r>
        <w:fldChar w:fldCharType="begin"/>
      </w:r>
      <w:r>
        <w:instrText xml:space="preserve"> PAGEREF _Toc5877 \h </w:instrText>
      </w:r>
      <w:r>
        <w:fldChar w:fldCharType="separate"/>
      </w:r>
      <w:r>
        <w:t>8</w:t>
      </w:r>
      <w:r>
        <w:fldChar w:fldCharType="end"/>
      </w:r>
      <w:r>
        <w:rPr>
          <w:rFonts w:hint="eastAsia" w:ascii="宋体" w:hAnsi="宋体" w:eastAsia="宋体" w:cs="宋体"/>
          <w:bCs w:val="0"/>
          <w:color w:val="auto"/>
          <w:kern w:val="0"/>
          <w:szCs w:val="21"/>
          <w:highlight w:val="none"/>
        </w:rPr>
        <w:fldChar w:fldCharType="end"/>
      </w:r>
    </w:p>
    <w:p w14:paraId="6D935B2F">
      <w:pPr>
        <w:pStyle w:val="34"/>
        <w:tabs>
          <w:tab w:val="right" w:leader="dot" w:pos="8250"/>
        </w:tabs>
      </w:pPr>
      <w:r>
        <w:rPr>
          <w:rFonts w:hint="eastAsia" w:ascii="宋体" w:hAnsi="宋体" w:eastAsia="宋体" w:cs="宋体"/>
          <w:bCs w:val="0"/>
          <w:color w:val="auto"/>
          <w:kern w:val="0"/>
          <w:szCs w:val="21"/>
          <w:highlight w:val="none"/>
        </w:rPr>
        <w:fldChar w:fldCharType="begin"/>
      </w:r>
      <w:r>
        <w:rPr>
          <w:rFonts w:hint="eastAsia" w:ascii="宋体" w:hAnsi="宋体" w:eastAsia="宋体" w:cs="宋体"/>
          <w:bCs w:val="0"/>
          <w:kern w:val="0"/>
          <w:szCs w:val="21"/>
          <w:highlight w:val="none"/>
        </w:rPr>
        <w:instrText xml:space="preserve"> HYPERLINK \l _Toc13605 </w:instrText>
      </w:r>
      <w:r>
        <w:rPr>
          <w:rFonts w:hint="eastAsia" w:ascii="宋体" w:hAnsi="宋体" w:eastAsia="宋体" w:cs="宋体"/>
          <w:bCs w:val="0"/>
          <w:kern w:val="0"/>
          <w:szCs w:val="21"/>
          <w:highlight w:val="none"/>
        </w:rPr>
        <w:fldChar w:fldCharType="separate"/>
      </w:r>
      <w:r>
        <w:rPr>
          <w:rFonts w:hint="eastAsia" w:ascii="宋体" w:hAnsi="宋体" w:eastAsia="宋体" w:cs="宋体"/>
          <w:kern w:val="2"/>
          <w:szCs w:val="30"/>
          <w:highlight w:val="none"/>
          <w:lang w:val="en-US" w:eastAsia="zh-CN" w:bidi="ar-SA"/>
        </w:rPr>
        <w:t>1．</w:t>
      </w:r>
      <w:r>
        <w:rPr>
          <w:rFonts w:hint="eastAsia" w:ascii="宋体" w:hAnsi="宋体" w:eastAsia="宋体" w:cs="宋体"/>
          <w:highlight w:val="none"/>
        </w:rPr>
        <w:t>适用范围</w:t>
      </w:r>
      <w:r>
        <w:tab/>
      </w:r>
      <w:r>
        <w:fldChar w:fldCharType="begin"/>
      </w:r>
      <w:r>
        <w:instrText xml:space="preserve"> PAGEREF _Toc13605 \h </w:instrText>
      </w:r>
      <w:r>
        <w:fldChar w:fldCharType="separate"/>
      </w:r>
      <w:r>
        <w:t>8</w:t>
      </w:r>
      <w:r>
        <w:fldChar w:fldCharType="end"/>
      </w:r>
      <w:r>
        <w:rPr>
          <w:rFonts w:hint="eastAsia" w:ascii="宋体" w:hAnsi="宋体" w:eastAsia="宋体" w:cs="宋体"/>
          <w:bCs w:val="0"/>
          <w:color w:val="auto"/>
          <w:kern w:val="0"/>
          <w:szCs w:val="21"/>
          <w:highlight w:val="none"/>
        </w:rPr>
        <w:fldChar w:fldCharType="end"/>
      </w:r>
    </w:p>
    <w:p w14:paraId="1E8F3B33">
      <w:pPr>
        <w:pStyle w:val="34"/>
        <w:tabs>
          <w:tab w:val="right" w:leader="dot" w:pos="8250"/>
        </w:tabs>
      </w:pPr>
      <w:r>
        <w:rPr>
          <w:rFonts w:hint="eastAsia" w:ascii="宋体" w:hAnsi="宋体" w:eastAsia="宋体" w:cs="宋体"/>
          <w:bCs w:val="0"/>
          <w:color w:val="auto"/>
          <w:kern w:val="0"/>
          <w:szCs w:val="21"/>
          <w:highlight w:val="none"/>
        </w:rPr>
        <w:fldChar w:fldCharType="begin"/>
      </w:r>
      <w:r>
        <w:rPr>
          <w:rFonts w:hint="eastAsia" w:ascii="宋体" w:hAnsi="宋体" w:eastAsia="宋体" w:cs="宋体"/>
          <w:bCs w:val="0"/>
          <w:kern w:val="0"/>
          <w:szCs w:val="21"/>
          <w:highlight w:val="none"/>
        </w:rPr>
        <w:instrText xml:space="preserve"> HYPERLINK \l _Toc32573 </w:instrText>
      </w:r>
      <w:r>
        <w:rPr>
          <w:rFonts w:hint="eastAsia" w:ascii="宋体" w:hAnsi="宋体" w:eastAsia="宋体" w:cs="宋体"/>
          <w:bCs w:val="0"/>
          <w:kern w:val="0"/>
          <w:szCs w:val="21"/>
          <w:highlight w:val="none"/>
        </w:rPr>
        <w:fldChar w:fldCharType="separate"/>
      </w:r>
      <w:r>
        <w:rPr>
          <w:rFonts w:hint="eastAsia" w:ascii="宋体" w:hAnsi="宋体" w:eastAsia="宋体" w:cs="宋体"/>
          <w:kern w:val="2"/>
          <w:szCs w:val="30"/>
          <w:highlight w:val="none"/>
          <w:lang w:val="en-US" w:eastAsia="zh-CN" w:bidi="ar-SA"/>
        </w:rPr>
        <w:t>2．</w:t>
      </w:r>
      <w:r>
        <w:rPr>
          <w:rFonts w:hint="eastAsia" w:ascii="宋体" w:hAnsi="宋体" w:eastAsia="宋体" w:cs="宋体"/>
          <w:highlight w:val="none"/>
        </w:rPr>
        <w:t>采购方式、合格的</w:t>
      </w:r>
      <w:r>
        <w:rPr>
          <w:rFonts w:hint="eastAsia" w:ascii="宋体" w:hAnsi="宋体" w:eastAsia="宋体" w:cs="宋体"/>
          <w:highlight w:val="none"/>
          <w:lang w:eastAsia="zh-CN"/>
        </w:rPr>
        <w:t>供应商</w:t>
      </w:r>
      <w:r>
        <w:tab/>
      </w:r>
      <w:r>
        <w:fldChar w:fldCharType="begin"/>
      </w:r>
      <w:r>
        <w:instrText xml:space="preserve"> PAGEREF _Toc32573 \h </w:instrText>
      </w:r>
      <w:r>
        <w:fldChar w:fldCharType="separate"/>
      </w:r>
      <w:r>
        <w:t>8</w:t>
      </w:r>
      <w:r>
        <w:fldChar w:fldCharType="end"/>
      </w:r>
      <w:r>
        <w:rPr>
          <w:rFonts w:hint="eastAsia" w:ascii="宋体" w:hAnsi="宋体" w:eastAsia="宋体" w:cs="宋体"/>
          <w:bCs w:val="0"/>
          <w:color w:val="auto"/>
          <w:kern w:val="0"/>
          <w:szCs w:val="21"/>
          <w:highlight w:val="none"/>
        </w:rPr>
        <w:fldChar w:fldCharType="end"/>
      </w:r>
    </w:p>
    <w:p w14:paraId="24781AEA">
      <w:pPr>
        <w:pStyle w:val="34"/>
        <w:tabs>
          <w:tab w:val="right" w:leader="dot" w:pos="8250"/>
        </w:tabs>
      </w:pPr>
      <w:r>
        <w:rPr>
          <w:rFonts w:hint="eastAsia" w:ascii="宋体" w:hAnsi="宋体" w:eastAsia="宋体" w:cs="宋体"/>
          <w:bCs w:val="0"/>
          <w:color w:val="auto"/>
          <w:kern w:val="0"/>
          <w:szCs w:val="21"/>
          <w:highlight w:val="none"/>
        </w:rPr>
        <w:fldChar w:fldCharType="begin"/>
      </w:r>
      <w:r>
        <w:rPr>
          <w:rFonts w:hint="eastAsia" w:ascii="宋体" w:hAnsi="宋体" w:eastAsia="宋体" w:cs="宋体"/>
          <w:bCs w:val="0"/>
          <w:kern w:val="0"/>
          <w:szCs w:val="21"/>
          <w:highlight w:val="none"/>
        </w:rPr>
        <w:instrText xml:space="preserve"> HYPERLINK \l _Toc9842 </w:instrText>
      </w:r>
      <w:r>
        <w:rPr>
          <w:rFonts w:hint="eastAsia" w:ascii="宋体" w:hAnsi="宋体" w:eastAsia="宋体" w:cs="宋体"/>
          <w:bCs w:val="0"/>
          <w:kern w:val="0"/>
          <w:szCs w:val="21"/>
          <w:highlight w:val="none"/>
        </w:rPr>
        <w:fldChar w:fldCharType="separate"/>
      </w:r>
      <w:r>
        <w:rPr>
          <w:rFonts w:hint="eastAsia" w:ascii="宋体" w:hAnsi="宋体" w:eastAsia="宋体" w:cs="宋体"/>
          <w:kern w:val="2"/>
          <w:szCs w:val="30"/>
          <w:highlight w:val="none"/>
          <w:lang w:val="en-US" w:eastAsia="zh-CN" w:bidi="ar-SA"/>
        </w:rPr>
        <w:t>3．</w:t>
      </w:r>
      <w:r>
        <w:rPr>
          <w:rFonts w:hint="eastAsia" w:ascii="宋体" w:hAnsi="宋体" w:eastAsia="宋体" w:cs="宋体"/>
          <w:highlight w:val="none"/>
        </w:rPr>
        <w:t>磋商费用</w:t>
      </w:r>
      <w:r>
        <w:tab/>
      </w:r>
      <w:r>
        <w:fldChar w:fldCharType="begin"/>
      </w:r>
      <w:r>
        <w:instrText xml:space="preserve"> PAGEREF _Toc9842 \h </w:instrText>
      </w:r>
      <w:r>
        <w:fldChar w:fldCharType="separate"/>
      </w:r>
      <w:r>
        <w:t>8</w:t>
      </w:r>
      <w:r>
        <w:fldChar w:fldCharType="end"/>
      </w:r>
      <w:r>
        <w:rPr>
          <w:rFonts w:hint="eastAsia" w:ascii="宋体" w:hAnsi="宋体" w:eastAsia="宋体" w:cs="宋体"/>
          <w:bCs w:val="0"/>
          <w:color w:val="auto"/>
          <w:kern w:val="0"/>
          <w:szCs w:val="21"/>
          <w:highlight w:val="none"/>
        </w:rPr>
        <w:fldChar w:fldCharType="end"/>
      </w:r>
    </w:p>
    <w:p w14:paraId="3FA1FC85">
      <w:pPr>
        <w:pStyle w:val="54"/>
        <w:tabs>
          <w:tab w:val="right" w:leader="dot" w:pos="8250"/>
        </w:tabs>
      </w:pPr>
      <w:r>
        <w:rPr>
          <w:rFonts w:hint="eastAsia" w:ascii="宋体" w:hAnsi="宋体" w:eastAsia="宋体" w:cs="宋体"/>
          <w:bCs w:val="0"/>
          <w:color w:val="auto"/>
          <w:kern w:val="0"/>
          <w:szCs w:val="21"/>
          <w:highlight w:val="none"/>
        </w:rPr>
        <w:fldChar w:fldCharType="begin"/>
      </w:r>
      <w:r>
        <w:rPr>
          <w:rFonts w:hint="eastAsia" w:ascii="宋体" w:hAnsi="宋体" w:eastAsia="宋体" w:cs="宋体"/>
          <w:bCs w:val="0"/>
          <w:kern w:val="0"/>
          <w:szCs w:val="21"/>
          <w:highlight w:val="none"/>
        </w:rPr>
        <w:instrText xml:space="preserve"> HYPERLINK \l _Toc1545 </w:instrText>
      </w:r>
      <w:r>
        <w:rPr>
          <w:rFonts w:hint="eastAsia" w:ascii="宋体" w:hAnsi="宋体" w:eastAsia="宋体" w:cs="宋体"/>
          <w:bCs w:val="0"/>
          <w:kern w:val="0"/>
          <w:szCs w:val="21"/>
          <w:highlight w:val="none"/>
        </w:rPr>
        <w:fldChar w:fldCharType="separate"/>
      </w:r>
      <w:r>
        <w:rPr>
          <w:rFonts w:hint="eastAsia" w:ascii="宋体" w:hAnsi="宋体" w:eastAsia="宋体" w:cs="宋体"/>
          <w:highlight w:val="none"/>
        </w:rPr>
        <w:t>二、磋商文件说明</w:t>
      </w:r>
      <w:r>
        <w:tab/>
      </w:r>
      <w:r>
        <w:fldChar w:fldCharType="begin"/>
      </w:r>
      <w:r>
        <w:instrText xml:space="preserve"> PAGEREF _Toc1545 \h </w:instrText>
      </w:r>
      <w:r>
        <w:fldChar w:fldCharType="separate"/>
      </w:r>
      <w:r>
        <w:t>8</w:t>
      </w:r>
      <w:r>
        <w:fldChar w:fldCharType="end"/>
      </w:r>
      <w:r>
        <w:rPr>
          <w:rFonts w:hint="eastAsia" w:ascii="宋体" w:hAnsi="宋体" w:eastAsia="宋体" w:cs="宋体"/>
          <w:bCs w:val="0"/>
          <w:color w:val="auto"/>
          <w:kern w:val="0"/>
          <w:szCs w:val="21"/>
          <w:highlight w:val="none"/>
        </w:rPr>
        <w:fldChar w:fldCharType="end"/>
      </w:r>
    </w:p>
    <w:p w14:paraId="15A41701">
      <w:pPr>
        <w:pStyle w:val="34"/>
        <w:tabs>
          <w:tab w:val="right" w:leader="dot" w:pos="8250"/>
        </w:tabs>
      </w:pPr>
      <w:r>
        <w:rPr>
          <w:rFonts w:hint="eastAsia" w:ascii="宋体" w:hAnsi="宋体" w:eastAsia="宋体" w:cs="宋体"/>
          <w:bCs w:val="0"/>
          <w:color w:val="auto"/>
          <w:kern w:val="0"/>
          <w:szCs w:val="21"/>
          <w:highlight w:val="none"/>
        </w:rPr>
        <w:fldChar w:fldCharType="begin"/>
      </w:r>
      <w:r>
        <w:rPr>
          <w:rFonts w:hint="eastAsia" w:ascii="宋体" w:hAnsi="宋体" w:eastAsia="宋体" w:cs="宋体"/>
          <w:bCs w:val="0"/>
          <w:kern w:val="0"/>
          <w:szCs w:val="21"/>
          <w:highlight w:val="none"/>
        </w:rPr>
        <w:instrText xml:space="preserve"> HYPERLINK \l _Toc30352 </w:instrText>
      </w:r>
      <w:r>
        <w:rPr>
          <w:rFonts w:hint="eastAsia" w:ascii="宋体" w:hAnsi="宋体" w:eastAsia="宋体" w:cs="宋体"/>
          <w:bCs w:val="0"/>
          <w:kern w:val="0"/>
          <w:szCs w:val="21"/>
          <w:highlight w:val="none"/>
        </w:rPr>
        <w:fldChar w:fldCharType="separate"/>
      </w:r>
      <w:r>
        <w:rPr>
          <w:rFonts w:hint="eastAsia" w:ascii="宋体" w:hAnsi="宋体" w:eastAsia="宋体" w:cs="宋体"/>
          <w:kern w:val="2"/>
          <w:szCs w:val="30"/>
          <w:highlight w:val="none"/>
          <w:lang w:val="en-US" w:eastAsia="zh-CN" w:bidi="ar-SA"/>
        </w:rPr>
        <w:t>4．</w:t>
      </w:r>
      <w:r>
        <w:rPr>
          <w:rFonts w:hint="eastAsia" w:ascii="宋体" w:hAnsi="宋体" w:eastAsia="宋体" w:cs="宋体"/>
          <w:highlight w:val="none"/>
        </w:rPr>
        <w:t>磋商文件的构成</w:t>
      </w:r>
      <w:r>
        <w:tab/>
      </w:r>
      <w:r>
        <w:fldChar w:fldCharType="begin"/>
      </w:r>
      <w:r>
        <w:instrText xml:space="preserve"> PAGEREF _Toc30352 \h </w:instrText>
      </w:r>
      <w:r>
        <w:fldChar w:fldCharType="separate"/>
      </w:r>
      <w:r>
        <w:t>8</w:t>
      </w:r>
      <w:r>
        <w:fldChar w:fldCharType="end"/>
      </w:r>
      <w:r>
        <w:rPr>
          <w:rFonts w:hint="eastAsia" w:ascii="宋体" w:hAnsi="宋体" w:eastAsia="宋体" w:cs="宋体"/>
          <w:bCs w:val="0"/>
          <w:color w:val="auto"/>
          <w:kern w:val="0"/>
          <w:szCs w:val="21"/>
          <w:highlight w:val="none"/>
        </w:rPr>
        <w:fldChar w:fldCharType="end"/>
      </w:r>
    </w:p>
    <w:p w14:paraId="7966BC43">
      <w:pPr>
        <w:pStyle w:val="34"/>
        <w:tabs>
          <w:tab w:val="right" w:leader="dot" w:pos="8250"/>
        </w:tabs>
      </w:pPr>
      <w:r>
        <w:rPr>
          <w:rFonts w:hint="eastAsia" w:ascii="宋体" w:hAnsi="宋体" w:eastAsia="宋体" w:cs="宋体"/>
          <w:bCs w:val="0"/>
          <w:color w:val="auto"/>
          <w:kern w:val="0"/>
          <w:szCs w:val="21"/>
          <w:highlight w:val="none"/>
        </w:rPr>
        <w:fldChar w:fldCharType="begin"/>
      </w:r>
      <w:r>
        <w:rPr>
          <w:rFonts w:hint="eastAsia" w:ascii="宋体" w:hAnsi="宋体" w:eastAsia="宋体" w:cs="宋体"/>
          <w:bCs w:val="0"/>
          <w:kern w:val="0"/>
          <w:szCs w:val="21"/>
          <w:highlight w:val="none"/>
        </w:rPr>
        <w:instrText xml:space="preserve"> HYPERLINK \l _Toc2632 </w:instrText>
      </w:r>
      <w:r>
        <w:rPr>
          <w:rFonts w:hint="eastAsia" w:ascii="宋体" w:hAnsi="宋体" w:eastAsia="宋体" w:cs="宋体"/>
          <w:bCs w:val="0"/>
          <w:kern w:val="0"/>
          <w:szCs w:val="21"/>
          <w:highlight w:val="none"/>
        </w:rPr>
        <w:fldChar w:fldCharType="separate"/>
      </w:r>
      <w:r>
        <w:rPr>
          <w:rFonts w:hint="eastAsia" w:ascii="宋体" w:hAnsi="宋体" w:eastAsia="宋体" w:cs="宋体"/>
          <w:kern w:val="2"/>
          <w:szCs w:val="30"/>
          <w:highlight w:val="none"/>
          <w:lang w:val="en-US" w:eastAsia="zh-CN" w:bidi="ar-SA"/>
        </w:rPr>
        <w:t>5．</w:t>
      </w:r>
      <w:r>
        <w:rPr>
          <w:rFonts w:hint="eastAsia" w:ascii="宋体" w:hAnsi="宋体" w:eastAsia="宋体" w:cs="宋体"/>
          <w:highlight w:val="none"/>
        </w:rPr>
        <w:t>磋商文件的质疑</w:t>
      </w:r>
      <w:r>
        <w:tab/>
      </w:r>
      <w:r>
        <w:fldChar w:fldCharType="begin"/>
      </w:r>
      <w:r>
        <w:instrText xml:space="preserve"> PAGEREF _Toc2632 \h </w:instrText>
      </w:r>
      <w:r>
        <w:fldChar w:fldCharType="separate"/>
      </w:r>
      <w:r>
        <w:t>8</w:t>
      </w:r>
      <w:r>
        <w:fldChar w:fldCharType="end"/>
      </w:r>
      <w:r>
        <w:rPr>
          <w:rFonts w:hint="eastAsia" w:ascii="宋体" w:hAnsi="宋体" w:eastAsia="宋体" w:cs="宋体"/>
          <w:bCs w:val="0"/>
          <w:color w:val="auto"/>
          <w:kern w:val="0"/>
          <w:szCs w:val="21"/>
          <w:highlight w:val="none"/>
        </w:rPr>
        <w:fldChar w:fldCharType="end"/>
      </w:r>
    </w:p>
    <w:p w14:paraId="2828CC1F">
      <w:pPr>
        <w:pStyle w:val="34"/>
        <w:tabs>
          <w:tab w:val="right" w:leader="dot" w:pos="8250"/>
        </w:tabs>
      </w:pPr>
      <w:r>
        <w:rPr>
          <w:rFonts w:hint="eastAsia" w:ascii="宋体" w:hAnsi="宋体" w:eastAsia="宋体" w:cs="宋体"/>
          <w:bCs w:val="0"/>
          <w:color w:val="auto"/>
          <w:kern w:val="0"/>
          <w:szCs w:val="21"/>
          <w:highlight w:val="none"/>
        </w:rPr>
        <w:fldChar w:fldCharType="begin"/>
      </w:r>
      <w:r>
        <w:rPr>
          <w:rFonts w:hint="eastAsia" w:ascii="宋体" w:hAnsi="宋体" w:eastAsia="宋体" w:cs="宋体"/>
          <w:bCs w:val="0"/>
          <w:kern w:val="0"/>
          <w:szCs w:val="21"/>
          <w:highlight w:val="none"/>
        </w:rPr>
        <w:instrText xml:space="preserve"> HYPERLINK \l _Toc9638 </w:instrText>
      </w:r>
      <w:r>
        <w:rPr>
          <w:rFonts w:hint="eastAsia" w:ascii="宋体" w:hAnsi="宋体" w:eastAsia="宋体" w:cs="宋体"/>
          <w:bCs w:val="0"/>
          <w:kern w:val="0"/>
          <w:szCs w:val="21"/>
          <w:highlight w:val="none"/>
        </w:rPr>
        <w:fldChar w:fldCharType="separate"/>
      </w:r>
      <w:r>
        <w:rPr>
          <w:rFonts w:hint="eastAsia" w:ascii="宋体" w:hAnsi="宋体" w:eastAsia="宋体" w:cs="宋体"/>
          <w:kern w:val="2"/>
          <w:szCs w:val="30"/>
          <w:highlight w:val="none"/>
          <w:lang w:val="en-US" w:eastAsia="zh-CN" w:bidi="ar-SA"/>
        </w:rPr>
        <w:t>6．</w:t>
      </w:r>
      <w:r>
        <w:rPr>
          <w:rFonts w:hint="eastAsia" w:ascii="宋体" w:hAnsi="宋体" w:eastAsia="宋体" w:cs="宋体"/>
          <w:highlight w:val="none"/>
        </w:rPr>
        <w:t>磋商文件的澄清、修改</w:t>
      </w:r>
      <w:r>
        <w:tab/>
      </w:r>
      <w:r>
        <w:fldChar w:fldCharType="begin"/>
      </w:r>
      <w:r>
        <w:instrText xml:space="preserve"> PAGEREF _Toc9638 \h </w:instrText>
      </w:r>
      <w:r>
        <w:fldChar w:fldCharType="separate"/>
      </w:r>
      <w:r>
        <w:t>9</w:t>
      </w:r>
      <w:r>
        <w:fldChar w:fldCharType="end"/>
      </w:r>
      <w:r>
        <w:rPr>
          <w:rFonts w:hint="eastAsia" w:ascii="宋体" w:hAnsi="宋体" w:eastAsia="宋体" w:cs="宋体"/>
          <w:bCs w:val="0"/>
          <w:color w:val="auto"/>
          <w:kern w:val="0"/>
          <w:szCs w:val="21"/>
          <w:highlight w:val="none"/>
        </w:rPr>
        <w:fldChar w:fldCharType="end"/>
      </w:r>
    </w:p>
    <w:p w14:paraId="38D2FFFF">
      <w:pPr>
        <w:pStyle w:val="54"/>
        <w:tabs>
          <w:tab w:val="right" w:leader="dot" w:pos="8250"/>
        </w:tabs>
      </w:pPr>
      <w:r>
        <w:rPr>
          <w:rFonts w:hint="eastAsia" w:ascii="宋体" w:hAnsi="宋体" w:eastAsia="宋体" w:cs="宋体"/>
          <w:bCs w:val="0"/>
          <w:color w:val="auto"/>
          <w:kern w:val="0"/>
          <w:szCs w:val="21"/>
          <w:highlight w:val="none"/>
        </w:rPr>
        <w:fldChar w:fldCharType="begin"/>
      </w:r>
      <w:r>
        <w:rPr>
          <w:rFonts w:hint="eastAsia" w:ascii="宋体" w:hAnsi="宋体" w:eastAsia="宋体" w:cs="宋体"/>
          <w:bCs w:val="0"/>
          <w:kern w:val="0"/>
          <w:szCs w:val="21"/>
          <w:highlight w:val="none"/>
        </w:rPr>
        <w:instrText xml:space="preserve"> HYPERLINK \l _Toc31921 </w:instrText>
      </w:r>
      <w:r>
        <w:rPr>
          <w:rFonts w:hint="eastAsia" w:ascii="宋体" w:hAnsi="宋体" w:eastAsia="宋体" w:cs="宋体"/>
          <w:bCs w:val="0"/>
          <w:kern w:val="0"/>
          <w:szCs w:val="21"/>
          <w:highlight w:val="none"/>
        </w:rPr>
        <w:fldChar w:fldCharType="separate"/>
      </w:r>
      <w:r>
        <w:rPr>
          <w:rFonts w:hint="eastAsia" w:ascii="宋体" w:hAnsi="宋体" w:eastAsia="宋体" w:cs="宋体"/>
          <w:highlight w:val="none"/>
        </w:rPr>
        <w:t>三、磋商响应文件的编制</w:t>
      </w:r>
      <w:r>
        <w:tab/>
      </w:r>
      <w:r>
        <w:fldChar w:fldCharType="begin"/>
      </w:r>
      <w:r>
        <w:instrText xml:space="preserve"> PAGEREF _Toc31921 \h </w:instrText>
      </w:r>
      <w:r>
        <w:fldChar w:fldCharType="separate"/>
      </w:r>
      <w:r>
        <w:t>9</w:t>
      </w:r>
      <w:r>
        <w:fldChar w:fldCharType="end"/>
      </w:r>
      <w:r>
        <w:rPr>
          <w:rFonts w:hint="eastAsia" w:ascii="宋体" w:hAnsi="宋体" w:eastAsia="宋体" w:cs="宋体"/>
          <w:bCs w:val="0"/>
          <w:color w:val="auto"/>
          <w:kern w:val="0"/>
          <w:szCs w:val="21"/>
          <w:highlight w:val="none"/>
        </w:rPr>
        <w:fldChar w:fldCharType="end"/>
      </w:r>
    </w:p>
    <w:p w14:paraId="1EEBA1CC">
      <w:pPr>
        <w:pStyle w:val="34"/>
        <w:tabs>
          <w:tab w:val="right" w:leader="dot" w:pos="8250"/>
        </w:tabs>
      </w:pPr>
      <w:r>
        <w:rPr>
          <w:rFonts w:hint="eastAsia" w:ascii="宋体" w:hAnsi="宋体" w:eastAsia="宋体" w:cs="宋体"/>
          <w:bCs w:val="0"/>
          <w:color w:val="auto"/>
          <w:kern w:val="0"/>
          <w:szCs w:val="21"/>
          <w:highlight w:val="none"/>
        </w:rPr>
        <w:fldChar w:fldCharType="begin"/>
      </w:r>
      <w:r>
        <w:rPr>
          <w:rFonts w:hint="eastAsia" w:ascii="宋体" w:hAnsi="宋体" w:eastAsia="宋体" w:cs="宋体"/>
          <w:bCs w:val="0"/>
          <w:kern w:val="0"/>
          <w:szCs w:val="21"/>
          <w:highlight w:val="none"/>
        </w:rPr>
        <w:instrText xml:space="preserve"> HYPERLINK \l _Toc13838 </w:instrText>
      </w:r>
      <w:r>
        <w:rPr>
          <w:rFonts w:hint="eastAsia" w:ascii="宋体" w:hAnsi="宋体" w:eastAsia="宋体" w:cs="宋体"/>
          <w:bCs w:val="0"/>
          <w:kern w:val="0"/>
          <w:szCs w:val="21"/>
          <w:highlight w:val="none"/>
        </w:rPr>
        <w:fldChar w:fldCharType="separate"/>
      </w:r>
      <w:r>
        <w:rPr>
          <w:rFonts w:hint="eastAsia" w:ascii="宋体" w:hAnsi="宋体" w:eastAsia="宋体" w:cs="宋体"/>
          <w:kern w:val="2"/>
          <w:szCs w:val="30"/>
          <w:highlight w:val="none"/>
          <w:lang w:val="en-US" w:eastAsia="zh-CN" w:bidi="ar-SA"/>
        </w:rPr>
        <w:t>7．</w:t>
      </w:r>
      <w:r>
        <w:rPr>
          <w:rFonts w:hint="eastAsia" w:ascii="宋体" w:hAnsi="宋体" w:eastAsia="宋体" w:cs="宋体"/>
          <w:highlight w:val="none"/>
        </w:rPr>
        <w:t>磋商响应文件的语言及度量衡单位</w:t>
      </w:r>
      <w:r>
        <w:tab/>
      </w:r>
      <w:r>
        <w:fldChar w:fldCharType="begin"/>
      </w:r>
      <w:r>
        <w:instrText xml:space="preserve"> PAGEREF _Toc13838 \h </w:instrText>
      </w:r>
      <w:r>
        <w:fldChar w:fldCharType="separate"/>
      </w:r>
      <w:r>
        <w:t>9</w:t>
      </w:r>
      <w:r>
        <w:fldChar w:fldCharType="end"/>
      </w:r>
      <w:r>
        <w:rPr>
          <w:rFonts w:hint="eastAsia" w:ascii="宋体" w:hAnsi="宋体" w:eastAsia="宋体" w:cs="宋体"/>
          <w:bCs w:val="0"/>
          <w:color w:val="auto"/>
          <w:kern w:val="0"/>
          <w:szCs w:val="21"/>
          <w:highlight w:val="none"/>
        </w:rPr>
        <w:fldChar w:fldCharType="end"/>
      </w:r>
    </w:p>
    <w:p w14:paraId="7210E881">
      <w:pPr>
        <w:pStyle w:val="34"/>
        <w:tabs>
          <w:tab w:val="right" w:leader="dot" w:pos="8250"/>
        </w:tabs>
      </w:pPr>
      <w:r>
        <w:rPr>
          <w:rFonts w:hint="eastAsia" w:ascii="宋体" w:hAnsi="宋体" w:eastAsia="宋体" w:cs="宋体"/>
          <w:bCs w:val="0"/>
          <w:color w:val="auto"/>
          <w:kern w:val="0"/>
          <w:szCs w:val="21"/>
          <w:highlight w:val="none"/>
        </w:rPr>
        <w:fldChar w:fldCharType="begin"/>
      </w:r>
      <w:r>
        <w:rPr>
          <w:rFonts w:hint="eastAsia" w:ascii="宋体" w:hAnsi="宋体" w:eastAsia="宋体" w:cs="宋体"/>
          <w:bCs w:val="0"/>
          <w:kern w:val="0"/>
          <w:szCs w:val="21"/>
          <w:highlight w:val="none"/>
        </w:rPr>
        <w:instrText xml:space="preserve"> HYPERLINK \l _Toc24745 </w:instrText>
      </w:r>
      <w:r>
        <w:rPr>
          <w:rFonts w:hint="eastAsia" w:ascii="宋体" w:hAnsi="宋体" w:eastAsia="宋体" w:cs="宋体"/>
          <w:bCs w:val="0"/>
          <w:kern w:val="0"/>
          <w:szCs w:val="21"/>
          <w:highlight w:val="none"/>
        </w:rPr>
        <w:fldChar w:fldCharType="separate"/>
      </w:r>
      <w:r>
        <w:rPr>
          <w:rFonts w:hint="eastAsia" w:ascii="宋体" w:hAnsi="宋体" w:eastAsia="宋体" w:cs="宋体"/>
          <w:kern w:val="2"/>
          <w:szCs w:val="30"/>
          <w:highlight w:val="none"/>
          <w:lang w:val="en-US" w:eastAsia="zh-CN" w:bidi="ar-SA"/>
        </w:rPr>
        <w:t>8．</w:t>
      </w:r>
      <w:r>
        <w:rPr>
          <w:rFonts w:hint="eastAsia" w:ascii="宋体" w:hAnsi="宋体" w:eastAsia="宋体" w:cs="宋体"/>
          <w:highlight w:val="none"/>
        </w:rPr>
        <w:t>磋商报价及币种</w:t>
      </w:r>
      <w:r>
        <w:tab/>
      </w:r>
      <w:r>
        <w:fldChar w:fldCharType="begin"/>
      </w:r>
      <w:r>
        <w:instrText xml:space="preserve"> PAGEREF _Toc24745 \h </w:instrText>
      </w:r>
      <w:r>
        <w:fldChar w:fldCharType="separate"/>
      </w:r>
      <w:r>
        <w:t>9</w:t>
      </w:r>
      <w:r>
        <w:fldChar w:fldCharType="end"/>
      </w:r>
      <w:r>
        <w:rPr>
          <w:rFonts w:hint="eastAsia" w:ascii="宋体" w:hAnsi="宋体" w:eastAsia="宋体" w:cs="宋体"/>
          <w:bCs w:val="0"/>
          <w:color w:val="auto"/>
          <w:kern w:val="0"/>
          <w:szCs w:val="21"/>
          <w:highlight w:val="none"/>
        </w:rPr>
        <w:fldChar w:fldCharType="end"/>
      </w:r>
    </w:p>
    <w:p w14:paraId="74DF4728">
      <w:pPr>
        <w:pStyle w:val="34"/>
        <w:tabs>
          <w:tab w:val="right" w:leader="dot" w:pos="8250"/>
        </w:tabs>
      </w:pPr>
      <w:r>
        <w:rPr>
          <w:rFonts w:hint="eastAsia" w:ascii="宋体" w:hAnsi="宋体" w:eastAsia="宋体" w:cs="宋体"/>
          <w:bCs w:val="0"/>
          <w:color w:val="auto"/>
          <w:kern w:val="0"/>
          <w:szCs w:val="21"/>
          <w:highlight w:val="none"/>
        </w:rPr>
        <w:fldChar w:fldCharType="begin"/>
      </w:r>
      <w:r>
        <w:rPr>
          <w:rFonts w:hint="eastAsia" w:ascii="宋体" w:hAnsi="宋体" w:eastAsia="宋体" w:cs="宋体"/>
          <w:bCs w:val="0"/>
          <w:kern w:val="0"/>
          <w:szCs w:val="21"/>
          <w:highlight w:val="none"/>
        </w:rPr>
        <w:instrText xml:space="preserve"> HYPERLINK \l _Toc26157 </w:instrText>
      </w:r>
      <w:r>
        <w:rPr>
          <w:rFonts w:hint="eastAsia" w:ascii="宋体" w:hAnsi="宋体" w:eastAsia="宋体" w:cs="宋体"/>
          <w:bCs w:val="0"/>
          <w:kern w:val="0"/>
          <w:szCs w:val="21"/>
          <w:highlight w:val="none"/>
        </w:rPr>
        <w:fldChar w:fldCharType="separate"/>
      </w:r>
      <w:r>
        <w:rPr>
          <w:rFonts w:hint="eastAsia" w:ascii="宋体" w:hAnsi="宋体" w:eastAsia="宋体" w:cs="宋体"/>
          <w:kern w:val="2"/>
          <w:szCs w:val="30"/>
          <w:highlight w:val="none"/>
          <w:lang w:val="en-US" w:eastAsia="zh-CN" w:bidi="ar-SA"/>
        </w:rPr>
        <w:t>9．</w:t>
      </w:r>
      <w:r>
        <w:rPr>
          <w:rFonts w:hint="eastAsia" w:ascii="宋体" w:hAnsi="宋体" w:eastAsia="宋体" w:cs="宋体"/>
          <w:highlight w:val="none"/>
        </w:rPr>
        <w:t>磋商有效期</w:t>
      </w:r>
      <w:r>
        <w:tab/>
      </w:r>
      <w:r>
        <w:fldChar w:fldCharType="begin"/>
      </w:r>
      <w:r>
        <w:instrText xml:space="preserve"> PAGEREF _Toc26157 \h </w:instrText>
      </w:r>
      <w:r>
        <w:fldChar w:fldCharType="separate"/>
      </w:r>
      <w:r>
        <w:t>10</w:t>
      </w:r>
      <w:r>
        <w:fldChar w:fldCharType="end"/>
      </w:r>
      <w:r>
        <w:rPr>
          <w:rFonts w:hint="eastAsia" w:ascii="宋体" w:hAnsi="宋体" w:eastAsia="宋体" w:cs="宋体"/>
          <w:bCs w:val="0"/>
          <w:color w:val="auto"/>
          <w:kern w:val="0"/>
          <w:szCs w:val="21"/>
          <w:highlight w:val="none"/>
        </w:rPr>
        <w:fldChar w:fldCharType="end"/>
      </w:r>
    </w:p>
    <w:p w14:paraId="69305061">
      <w:pPr>
        <w:pStyle w:val="34"/>
        <w:tabs>
          <w:tab w:val="right" w:leader="dot" w:pos="8250"/>
        </w:tabs>
      </w:pPr>
      <w:r>
        <w:rPr>
          <w:rFonts w:hint="eastAsia" w:ascii="宋体" w:hAnsi="宋体" w:eastAsia="宋体" w:cs="宋体"/>
          <w:bCs w:val="0"/>
          <w:color w:val="auto"/>
          <w:kern w:val="0"/>
          <w:szCs w:val="21"/>
          <w:highlight w:val="none"/>
        </w:rPr>
        <w:fldChar w:fldCharType="begin"/>
      </w:r>
      <w:r>
        <w:rPr>
          <w:rFonts w:hint="eastAsia" w:ascii="宋体" w:hAnsi="宋体" w:eastAsia="宋体" w:cs="宋体"/>
          <w:bCs w:val="0"/>
          <w:kern w:val="0"/>
          <w:szCs w:val="21"/>
          <w:highlight w:val="none"/>
        </w:rPr>
        <w:instrText xml:space="preserve"> HYPERLINK \l _Toc26962 </w:instrText>
      </w:r>
      <w:r>
        <w:rPr>
          <w:rFonts w:hint="eastAsia" w:ascii="宋体" w:hAnsi="宋体" w:eastAsia="宋体" w:cs="宋体"/>
          <w:bCs w:val="0"/>
          <w:kern w:val="0"/>
          <w:szCs w:val="21"/>
          <w:highlight w:val="none"/>
        </w:rPr>
        <w:fldChar w:fldCharType="separate"/>
      </w:r>
      <w:r>
        <w:rPr>
          <w:rFonts w:hint="eastAsia" w:ascii="宋体" w:hAnsi="宋体" w:eastAsia="宋体" w:cs="宋体"/>
          <w:kern w:val="2"/>
          <w:szCs w:val="30"/>
          <w:highlight w:val="none"/>
          <w:lang w:val="en-US" w:eastAsia="zh-CN" w:bidi="ar-SA"/>
        </w:rPr>
        <w:t>10．</w:t>
      </w:r>
      <w:r>
        <w:rPr>
          <w:rFonts w:hint="eastAsia" w:ascii="宋体" w:hAnsi="宋体" w:eastAsia="宋体" w:cs="宋体"/>
          <w:highlight w:val="none"/>
        </w:rPr>
        <w:t>磋商响应文件构成</w:t>
      </w:r>
      <w:r>
        <w:tab/>
      </w:r>
      <w:r>
        <w:fldChar w:fldCharType="begin"/>
      </w:r>
      <w:r>
        <w:instrText xml:space="preserve"> PAGEREF _Toc26962 \h </w:instrText>
      </w:r>
      <w:r>
        <w:fldChar w:fldCharType="separate"/>
      </w:r>
      <w:r>
        <w:t>10</w:t>
      </w:r>
      <w:r>
        <w:fldChar w:fldCharType="end"/>
      </w:r>
      <w:r>
        <w:rPr>
          <w:rFonts w:hint="eastAsia" w:ascii="宋体" w:hAnsi="宋体" w:eastAsia="宋体" w:cs="宋体"/>
          <w:bCs w:val="0"/>
          <w:color w:val="auto"/>
          <w:kern w:val="0"/>
          <w:szCs w:val="21"/>
          <w:highlight w:val="none"/>
        </w:rPr>
        <w:fldChar w:fldCharType="end"/>
      </w:r>
    </w:p>
    <w:p w14:paraId="0FA53F78">
      <w:pPr>
        <w:pStyle w:val="34"/>
        <w:tabs>
          <w:tab w:val="right" w:leader="dot" w:pos="8250"/>
        </w:tabs>
      </w:pPr>
      <w:r>
        <w:rPr>
          <w:rFonts w:hint="eastAsia" w:ascii="宋体" w:hAnsi="宋体" w:eastAsia="宋体" w:cs="宋体"/>
          <w:bCs w:val="0"/>
          <w:color w:val="auto"/>
          <w:kern w:val="0"/>
          <w:szCs w:val="21"/>
          <w:highlight w:val="none"/>
        </w:rPr>
        <w:fldChar w:fldCharType="begin"/>
      </w:r>
      <w:r>
        <w:rPr>
          <w:rFonts w:hint="eastAsia" w:ascii="宋体" w:hAnsi="宋体" w:eastAsia="宋体" w:cs="宋体"/>
          <w:bCs w:val="0"/>
          <w:kern w:val="0"/>
          <w:szCs w:val="21"/>
          <w:highlight w:val="none"/>
        </w:rPr>
        <w:instrText xml:space="preserve"> HYPERLINK \l _Toc31170 </w:instrText>
      </w:r>
      <w:r>
        <w:rPr>
          <w:rFonts w:hint="eastAsia" w:ascii="宋体" w:hAnsi="宋体" w:eastAsia="宋体" w:cs="宋体"/>
          <w:bCs w:val="0"/>
          <w:kern w:val="0"/>
          <w:szCs w:val="21"/>
          <w:highlight w:val="none"/>
        </w:rPr>
        <w:fldChar w:fldCharType="separate"/>
      </w:r>
      <w:r>
        <w:rPr>
          <w:rFonts w:hint="eastAsia" w:ascii="宋体" w:hAnsi="宋体" w:eastAsia="宋体" w:cs="宋体"/>
          <w:kern w:val="2"/>
          <w:szCs w:val="30"/>
          <w:highlight w:val="none"/>
          <w:lang w:val="en-US" w:eastAsia="zh-CN" w:bidi="ar-SA"/>
        </w:rPr>
        <w:t>11．</w:t>
      </w:r>
      <w:r>
        <w:rPr>
          <w:rFonts w:hint="eastAsia" w:ascii="宋体" w:hAnsi="宋体" w:eastAsia="宋体" w:cs="宋体"/>
          <w:highlight w:val="none"/>
        </w:rPr>
        <w:t>磋商响应文件编印和签署</w:t>
      </w:r>
      <w:r>
        <w:tab/>
      </w:r>
      <w:r>
        <w:fldChar w:fldCharType="begin"/>
      </w:r>
      <w:r>
        <w:instrText xml:space="preserve"> PAGEREF _Toc31170 \h </w:instrText>
      </w:r>
      <w:r>
        <w:fldChar w:fldCharType="separate"/>
      </w:r>
      <w:r>
        <w:t>11</w:t>
      </w:r>
      <w:r>
        <w:fldChar w:fldCharType="end"/>
      </w:r>
      <w:r>
        <w:rPr>
          <w:rFonts w:hint="eastAsia" w:ascii="宋体" w:hAnsi="宋体" w:eastAsia="宋体" w:cs="宋体"/>
          <w:bCs w:val="0"/>
          <w:color w:val="auto"/>
          <w:kern w:val="0"/>
          <w:szCs w:val="21"/>
          <w:highlight w:val="none"/>
        </w:rPr>
        <w:fldChar w:fldCharType="end"/>
      </w:r>
    </w:p>
    <w:p w14:paraId="71B86368">
      <w:pPr>
        <w:pStyle w:val="54"/>
        <w:tabs>
          <w:tab w:val="right" w:leader="dot" w:pos="8250"/>
        </w:tabs>
      </w:pPr>
      <w:r>
        <w:rPr>
          <w:rFonts w:hint="eastAsia" w:ascii="宋体" w:hAnsi="宋体" w:eastAsia="宋体" w:cs="宋体"/>
          <w:bCs w:val="0"/>
          <w:color w:val="auto"/>
          <w:kern w:val="0"/>
          <w:szCs w:val="21"/>
          <w:highlight w:val="none"/>
        </w:rPr>
        <w:fldChar w:fldCharType="begin"/>
      </w:r>
      <w:r>
        <w:rPr>
          <w:rFonts w:hint="eastAsia" w:ascii="宋体" w:hAnsi="宋体" w:eastAsia="宋体" w:cs="宋体"/>
          <w:bCs w:val="0"/>
          <w:kern w:val="0"/>
          <w:szCs w:val="21"/>
          <w:highlight w:val="none"/>
        </w:rPr>
        <w:instrText xml:space="preserve"> HYPERLINK \l _Toc15367 </w:instrText>
      </w:r>
      <w:r>
        <w:rPr>
          <w:rFonts w:hint="eastAsia" w:ascii="宋体" w:hAnsi="宋体" w:eastAsia="宋体" w:cs="宋体"/>
          <w:bCs w:val="0"/>
          <w:kern w:val="0"/>
          <w:szCs w:val="21"/>
          <w:highlight w:val="none"/>
        </w:rPr>
        <w:fldChar w:fldCharType="separate"/>
      </w:r>
      <w:r>
        <w:rPr>
          <w:rFonts w:hint="eastAsia" w:ascii="宋体" w:hAnsi="宋体" w:eastAsia="宋体" w:cs="宋体"/>
          <w:highlight w:val="none"/>
        </w:rPr>
        <w:t>四、磋商响应文件的递交</w:t>
      </w:r>
      <w:r>
        <w:tab/>
      </w:r>
      <w:r>
        <w:fldChar w:fldCharType="begin"/>
      </w:r>
      <w:r>
        <w:instrText xml:space="preserve"> PAGEREF _Toc15367 \h </w:instrText>
      </w:r>
      <w:r>
        <w:fldChar w:fldCharType="separate"/>
      </w:r>
      <w:r>
        <w:t>11</w:t>
      </w:r>
      <w:r>
        <w:fldChar w:fldCharType="end"/>
      </w:r>
      <w:r>
        <w:rPr>
          <w:rFonts w:hint="eastAsia" w:ascii="宋体" w:hAnsi="宋体" w:eastAsia="宋体" w:cs="宋体"/>
          <w:bCs w:val="0"/>
          <w:color w:val="auto"/>
          <w:kern w:val="0"/>
          <w:szCs w:val="21"/>
          <w:highlight w:val="none"/>
        </w:rPr>
        <w:fldChar w:fldCharType="end"/>
      </w:r>
    </w:p>
    <w:p w14:paraId="15B0E694">
      <w:pPr>
        <w:pStyle w:val="34"/>
        <w:tabs>
          <w:tab w:val="right" w:leader="dot" w:pos="8250"/>
        </w:tabs>
      </w:pPr>
      <w:r>
        <w:rPr>
          <w:rFonts w:hint="eastAsia" w:ascii="宋体" w:hAnsi="宋体" w:eastAsia="宋体" w:cs="宋体"/>
          <w:bCs w:val="0"/>
          <w:color w:val="auto"/>
          <w:kern w:val="0"/>
          <w:szCs w:val="21"/>
          <w:highlight w:val="none"/>
        </w:rPr>
        <w:fldChar w:fldCharType="begin"/>
      </w:r>
      <w:r>
        <w:rPr>
          <w:rFonts w:hint="eastAsia" w:ascii="宋体" w:hAnsi="宋体" w:eastAsia="宋体" w:cs="宋体"/>
          <w:bCs w:val="0"/>
          <w:kern w:val="0"/>
          <w:szCs w:val="21"/>
          <w:highlight w:val="none"/>
        </w:rPr>
        <w:instrText xml:space="preserve"> HYPERLINK \l _Toc5867 </w:instrText>
      </w:r>
      <w:r>
        <w:rPr>
          <w:rFonts w:hint="eastAsia" w:ascii="宋体" w:hAnsi="宋体" w:eastAsia="宋体" w:cs="宋体"/>
          <w:bCs w:val="0"/>
          <w:kern w:val="0"/>
          <w:szCs w:val="21"/>
          <w:highlight w:val="none"/>
        </w:rPr>
        <w:fldChar w:fldCharType="separate"/>
      </w:r>
      <w:r>
        <w:rPr>
          <w:rFonts w:hint="eastAsia" w:ascii="宋体" w:hAnsi="宋体" w:eastAsia="宋体" w:cs="宋体"/>
          <w:kern w:val="2"/>
          <w:szCs w:val="30"/>
          <w:highlight w:val="none"/>
          <w:lang w:val="en-US" w:eastAsia="zh-CN" w:bidi="ar-SA"/>
        </w:rPr>
        <w:t>12．</w:t>
      </w:r>
      <w:r>
        <w:rPr>
          <w:rFonts w:hint="eastAsia" w:ascii="宋体" w:hAnsi="宋体" w:eastAsia="宋体" w:cs="宋体"/>
          <w:highlight w:val="none"/>
        </w:rPr>
        <w:t>磋商响应文件的密封和标记</w:t>
      </w:r>
      <w:r>
        <w:tab/>
      </w:r>
      <w:r>
        <w:fldChar w:fldCharType="begin"/>
      </w:r>
      <w:r>
        <w:instrText xml:space="preserve"> PAGEREF _Toc5867 \h </w:instrText>
      </w:r>
      <w:r>
        <w:fldChar w:fldCharType="separate"/>
      </w:r>
      <w:r>
        <w:t>11</w:t>
      </w:r>
      <w:r>
        <w:fldChar w:fldCharType="end"/>
      </w:r>
      <w:r>
        <w:rPr>
          <w:rFonts w:hint="eastAsia" w:ascii="宋体" w:hAnsi="宋体" w:eastAsia="宋体" w:cs="宋体"/>
          <w:bCs w:val="0"/>
          <w:color w:val="auto"/>
          <w:kern w:val="0"/>
          <w:szCs w:val="21"/>
          <w:highlight w:val="none"/>
        </w:rPr>
        <w:fldChar w:fldCharType="end"/>
      </w:r>
    </w:p>
    <w:p w14:paraId="1225B005">
      <w:pPr>
        <w:pStyle w:val="34"/>
        <w:tabs>
          <w:tab w:val="right" w:leader="dot" w:pos="8250"/>
        </w:tabs>
      </w:pPr>
      <w:r>
        <w:rPr>
          <w:rFonts w:hint="eastAsia" w:ascii="宋体" w:hAnsi="宋体" w:eastAsia="宋体" w:cs="宋体"/>
          <w:bCs w:val="0"/>
          <w:color w:val="auto"/>
          <w:kern w:val="0"/>
          <w:szCs w:val="21"/>
          <w:highlight w:val="none"/>
        </w:rPr>
        <w:fldChar w:fldCharType="begin"/>
      </w:r>
      <w:r>
        <w:rPr>
          <w:rFonts w:hint="eastAsia" w:ascii="宋体" w:hAnsi="宋体" w:eastAsia="宋体" w:cs="宋体"/>
          <w:bCs w:val="0"/>
          <w:kern w:val="0"/>
          <w:szCs w:val="21"/>
          <w:highlight w:val="none"/>
        </w:rPr>
        <w:instrText xml:space="preserve"> HYPERLINK \l _Toc27607 </w:instrText>
      </w:r>
      <w:r>
        <w:rPr>
          <w:rFonts w:hint="eastAsia" w:ascii="宋体" w:hAnsi="宋体" w:eastAsia="宋体" w:cs="宋体"/>
          <w:bCs w:val="0"/>
          <w:kern w:val="0"/>
          <w:szCs w:val="21"/>
          <w:highlight w:val="none"/>
        </w:rPr>
        <w:fldChar w:fldCharType="separate"/>
      </w:r>
      <w:r>
        <w:rPr>
          <w:rFonts w:hint="eastAsia" w:ascii="宋体" w:hAnsi="宋体" w:eastAsia="宋体" w:cs="宋体"/>
          <w:kern w:val="2"/>
          <w:szCs w:val="30"/>
          <w:highlight w:val="none"/>
          <w:lang w:val="en-US" w:eastAsia="zh-CN" w:bidi="ar-SA"/>
        </w:rPr>
        <w:t>13．</w:t>
      </w:r>
      <w:r>
        <w:rPr>
          <w:rFonts w:hint="eastAsia" w:ascii="宋体" w:hAnsi="宋体" w:eastAsia="宋体" w:cs="宋体"/>
          <w:highlight w:val="none"/>
        </w:rPr>
        <w:t>递送磋商响应文件的地点、截止日期</w:t>
      </w:r>
      <w:r>
        <w:tab/>
      </w:r>
      <w:r>
        <w:fldChar w:fldCharType="begin"/>
      </w:r>
      <w:r>
        <w:instrText xml:space="preserve"> PAGEREF _Toc27607 \h </w:instrText>
      </w:r>
      <w:r>
        <w:fldChar w:fldCharType="separate"/>
      </w:r>
      <w:r>
        <w:t>11</w:t>
      </w:r>
      <w:r>
        <w:fldChar w:fldCharType="end"/>
      </w:r>
      <w:r>
        <w:rPr>
          <w:rFonts w:hint="eastAsia" w:ascii="宋体" w:hAnsi="宋体" w:eastAsia="宋体" w:cs="宋体"/>
          <w:bCs w:val="0"/>
          <w:color w:val="auto"/>
          <w:kern w:val="0"/>
          <w:szCs w:val="21"/>
          <w:highlight w:val="none"/>
        </w:rPr>
        <w:fldChar w:fldCharType="end"/>
      </w:r>
    </w:p>
    <w:p w14:paraId="05095E93">
      <w:pPr>
        <w:pStyle w:val="34"/>
        <w:tabs>
          <w:tab w:val="right" w:leader="dot" w:pos="8250"/>
        </w:tabs>
      </w:pPr>
      <w:r>
        <w:rPr>
          <w:rFonts w:hint="eastAsia" w:ascii="宋体" w:hAnsi="宋体" w:eastAsia="宋体" w:cs="宋体"/>
          <w:bCs w:val="0"/>
          <w:color w:val="auto"/>
          <w:kern w:val="0"/>
          <w:szCs w:val="21"/>
          <w:highlight w:val="none"/>
        </w:rPr>
        <w:fldChar w:fldCharType="begin"/>
      </w:r>
      <w:r>
        <w:rPr>
          <w:rFonts w:hint="eastAsia" w:ascii="宋体" w:hAnsi="宋体" w:eastAsia="宋体" w:cs="宋体"/>
          <w:bCs w:val="0"/>
          <w:kern w:val="0"/>
          <w:szCs w:val="21"/>
          <w:highlight w:val="none"/>
        </w:rPr>
        <w:instrText xml:space="preserve"> HYPERLINK \l _Toc7228 </w:instrText>
      </w:r>
      <w:r>
        <w:rPr>
          <w:rFonts w:hint="eastAsia" w:ascii="宋体" w:hAnsi="宋体" w:eastAsia="宋体" w:cs="宋体"/>
          <w:bCs w:val="0"/>
          <w:kern w:val="0"/>
          <w:szCs w:val="21"/>
          <w:highlight w:val="none"/>
        </w:rPr>
        <w:fldChar w:fldCharType="separate"/>
      </w:r>
      <w:r>
        <w:rPr>
          <w:rFonts w:hint="eastAsia" w:ascii="宋体" w:hAnsi="宋体" w:eastAsia="宋体" w:cs="宋体"/>
          <w:kern w:val="2"/>
          <w:szCs w:val="30"/>
          <w:highlight w:val="none"/>
          <w:lang w:val="en-US" w:eastAsia="zh-CN" w:bidi="ar-SA"/>
        </w:rPr>
        <w:t>14．</w:t>
      </w:r>
      <w:r>
        <w:rPr>
          <w:rFonts w:hint="eastAsia" w:ascii="宋体" w:hAnsi="宋体" w:eastAsia="宋体" w:cs="宋体"/>
          <w:highlight w:val="none"/>
        </w:rPr>
        <w:t>磋商响应文件的撤回</w:t>
      </w:r>
      <w:r>
        <w:tab/>
      </w:r>
      <w:r>
        <w:fldChar w:fldCharType="begin"/>
      </w:r>
      <w:r>
        <w:instrText xml:space="preserve"> PAGEREF _Toc7228 \h </w:instrText>
      </w:r>
      <w:r>
        <w:fldChar w:fldCharType="separate"/>
      </w:r>
      <w:r>
        <w:t>11</w:t>
      </w:r>
      <w:r>
        <w:fldChar w:fldCharType="end"/>
      </w:r>
      <w:r>
        <w:rPr>
          <w:rFonts w:hint="eastAsia" w:ascii="宋体" w:hAnsi="宋体" w:eastAsia="宋体" w:cs="宋体"/>
          <w:bCs w:val="0"/>
          <w:color w:val="auto"/>
          <w:kern w:val="0"/>
          <w:szCs w:val="21"/>
          <w:highlight w:val="none"/>
        </w:rPr>
        <w:fldChar w:fldCharType="end"/>
      </w:r>
    </w:p>
    <w:p w14:paraId="14E984E1">
      <w:pPr>
        <w:pStyle w:val="54"/>
        <w:tabs>
          <w:tab w:val="right" w:leader="dot" w:pos="8250"/>
        </w:tabs>
      </w:pPr>
      <w:r>
        <w:rPr>
          <w:rFonts w:hint="eastAsia" w:ascii="宋体" w:hAnsi="宋体" w:eastAsia="宋体" w:cs="宋体"/>
          <w:bCs w:val="0"/>
          <w:color w:val="auto"/>
          <w:kern w:val="0"/>
          <w:szCs w:val="21"/>
          <w:highlight w:val="none"/>
        </w:rPr>
        <w:fldChar w:fldCharType="begin"/>
      </w:r>
      <w:r>
        <w:rPr>
          <w:rFonts w:hint="eastAsia" w:ascii="宋体" w:hAnsi="宋体" w:eastAsia="宋体" w:cs="宋体"/>
          <w:bCs w:val="0"/>
          <w:kern w:val="0"/>
          <w:szCs w:val="21"/>
          <w:highlight w:val="none"/>
        </w:rPr>
        <w:instrText xml:space="preserve"> HYPERLINK \l _Toc7613 </w:instrText>
      </w:r>
      <w:r>
        <w:rPr>
          <w:rFonts w:hint="eastAsia" w:ascii="宋体" w:hAnsi="宋体" w:eastAsia="宋体" w:cs="宋体"/>
          <w:bCs w:val="0"/>
          <w:kern w:val="0"/>
          <w:szCs w:val="21"/>
          <w:highlight w:val="none"/>
        </w:rPr>
        <w:fldChar w:fldCharType="separate"/>
      </w:r>
      <w:r>
        <w:rPr>
          <w:rFonts w:hint="eastAsia" w:ascii="宋体" w:hAnsi="宋体" w:eastAsia="宋体" w:cs="宋体"/>
          <w:highlight w:val="none"/>
        </w:rPr>
        <w:t>五、磋商过程</w:t>
      </w:r>
      <w:r>
        <w:tab/>
      </w:r>
      <w:r>
        <w:fldChar w:fldCharType="begin"/>
      </w:r>
      <w:r>
        <w:instrText xml:space="preserve"> PAGEREF _Toc7613 \h </w:instrText>
      </w:r>
      <w:r>
        <w:fldChar w:fldCharType="separate"/>
      </w:r>
      <w:r>
        <w:t>11</w:t>
      </w:r>
      <w:r>
        <w:fldChar w:fldCharType="end"/>
      </w:r>
      <w:r>
        <w:rPr>
          <w:rFonts w:hint="eastAsia" w:ascii="宋体" w:hAnsi="宋体" w:eastAsia="宋体" w:cs="宋体"/>
          <w:bCs w:val="0"/>
          <w:color w:val="auto"/>
          <w:kern w:val="0"/>
          <w:szCs w:val="21"/>
          <w:highlight w:val="none"/>
        </w:rPr>
        <w:fldChar w:fldCharType="end"/>
      </w:r>
    </w:p>
    <w:p w14:paraId="165DEECC">
      <w:pPr>
        <w:pStyle w:val="34"/>
        <w:tabs>
          <w:tab w:val="right" w:leader="dot" w:pos="8250"/>
        </w:tabs>
      </w:pPr>
      <w:r>
        <w:rPr>
          <w:rFonts w:hint="eastAsia" w:ascii="宋体" w:hAnsi="宋体" w:eastAsia="宋体" w:cs="宋体"/>
          <w:bCs w:val="0"/>
          <w:color w:val="auto"/>
          <w:kern w:val="0"/>
          <w:szCs w:val="21"/>
          <w:highlight w:val="none"/>
        </w:rPr>
        <w:fldChar w:fldCharType="begin"/>
      </w:r>
      <w:r>
        <w:rPr>
          <w:rFonts w:hint="eastAsia" w:ascii="宋体" w:hAnsi="宋体" w:eastAsia="宋体" w:cs="宋体"/>
          <w:bCs w:val="0"/>
          <w:kern w:val="0"/>
          <w:szCs w:val="21"/>
          <w:highlight w:val="none"/>
        </w:rPr>
        <w:instrText xml:space="preserve"> HYPERLINK \l _Toc16535 </w:instrText>
      </w:r>
      <w:r>
        <w:rPr>
          <w:rFonts w:hint="eastAsia" w:ascii="宋体" w:hAnsi="宋体" w:eastAsia="宋体" w:cs="宋体"/>
          <w:bCs w:val="0"/>
          <w:kern w:val="0"/>
          <w:szCs w:val="21"/>
          <w:highlight w:val="none"/>
        </w:rPr>
        <w:fldChar w:fldCharType="separate"/>
      </w:r>
      <w:r>
        <w:rPr>
          <w:rFonts w:hint="eastAsia" w:ascii="宋体" w:hAnsi="宋体" w:eastAsia="宋体" w:cs="宋体"/>
          <w:kern w:val="2"/>
          <w:szCs w:val="30"/>
          <w:highlight w:val="none"/>
          <w:lang w:val="en-US" w:eastAsia="zh-CN" w:bidi="ar-SA"/>
        </w:rPr>
        <w:t>15．</w:t>
      </w:r>
      <w:r>
        <w:rPr>
          <w:rFonts w:hint="eastAsia" w:ascii="宋体" w:hAnsi="宋体" w:eastAsia="宋体" w:cs="宋体"/>
          <w:highlight w:val="none"/>
        </w:rPr>
        <w:t>磋商过程</w:t>
      </w:r>
      <w:r>
        <w:tab/>
      </w:r>
      <w:r>
        <w:fldChar w:fldCharType="begin"/>
      </w:r>
      <w:r>
        <w:instrText xml:space="preserve"> PAGEREF _Toc16535 \h </w:instrText>
      </w:r>
      <w:r>
        <w:fldChar w:fldCharType="separate"/>
      </w:r>
      <w:r>
        <w:t>11</w:t>
      </w:r>
      <w:r>
        <w:fldChar w:fldCharType="end"/>
      </w:r>
      <w:r>
        <w:rPr>
          <w:rFonts w:hint="eastAsia" w:ascii="宋体" w:hAnsi="宋体" w:eastAsia="宋体" w:cs="宋体"/>
          <w:bCs w:val="0"/>
          <w:color w:val="auto"/>
          <w:kern w:val="0"/>
          <w:szCs w:val="21"/>
          <w:highlight w:val="none"/>
        </w:rPr>
        <w:fldChar w:fldCharType="end"/>
      </w:r>
    </w:p>
    <w:p w14:paraId="457A3D10">
      <w:pPr>
        <w:pStyle w:val="54"/>
        <w:tabs>
          <w:tab w:val="right" w:leader="dot" w:pos="8250"/>
        </w:tabs>
      </w:pPr>
      <w:r>
        <w:rPr>
          <w:rFonts w:hint="eastAsia" w:ascii="宋体" w:hAnsi="宋体" w:eastAsia="宋体" w:cs="宋体"/>
          <w:bCs w:val="0"/>
          <w:color w:val="auto"/>
          <w:kern w:val="0"/>
          <w:szCs w:val="21"/>
          <w:highlight w:val="none"/>
        </w:rPr>
        <w:fldChar w:fldCharType="begin"/>
      </w:r>
      <w:r>
        <w:rPr>
          <w:rFonts w:hint="eastAsia" w:ascii="宋体" w:hAnsi="宋体" w:eastAsia="宋体" w:cs="宋体"/>
          <w:bCs w:val="0"/>
          <w:kern w:val="0"/>
          <w:szCs w:val="21"/>
          <w:highlight w:val="none"/>
        </w:rPr>
        <w:instrText xml:space="preserve"> HYPERLINK \l _Toc932 </w:instrText>
      </w:r>
      <w:r>
        <w:rPr>
          <w:rFonts w:hint="eastAsia" w:ascii="宋体" w:hAnsi="宋体" w:eastAsia="宋体" w:cs="宋体"/>
          <w:bCs w:val="0"/>
          <w:kern w:val="0"/>
          <w:szCs w:val="21"/>
          <w:highlight w:val="none"/>
        </w:rPr>
        <w:fldChar w:fldCharType="separate"/>
      </w:r>
      <w:r>
        <w:rPr>
          <w:rFonts w:hint="eastAsia" w:ascii="宋体" w:hAnsi="宋体" w:eastAsia="宋体" w:cs="宋体"/>
          <w:highlight w:val="none"/>
        </w:rPr>
        <w:t>六、磋商程序及方法</w:t>
      </w:r>
      <w:r>
        <w:tab/>
      </w:r>
      <w:r>
        <w:fldChar w:fldCharType="begin"/>
      </w:r>
      <w:r>
        <w:instrText xml:space="preserve"> PAGEREF _Toc932 \h </w:instrText>
      </w:r>
      <w:r>
        <w:fldChar w:fldCharType="separate"/>
      </w:r>
      <w:r>
        <w:t>12</w:t>
      </w:r>
      <w:r>
        <w:fldChar w:fldCharType="end"/>
      </w:r>
      <w:r>
        <w:rPr>
          <w:rFonts w:hint="eastAsia" w:ascii="宋体" w:hAnsi="宋体" w:eastAsia="宋体" w:cs="宋体"/>
          <w:bCs w:val="0"/>
          <w:color w:val="auto"/>
          <w:kern w:val="0"/>
          <w:szCs w:val="21"/>
          <w:highlight w:val="none"/>
        </w:rPr>
        <w:fldChar w:fldCharType="end"/>
      </w:r>
    </w:p>
    <w:p w14:paraId="6EC3CFC1">
      <w:pPr>
        <w:pStyle w:val="34"/>
        <w:tabs>
          <w:tab w:val="right" w:leader="dot" w:pos="8250"/>
        </w:tabs>
      </w:pPr>
      <w:r>
        <w:rPr>
          <w:rFonts w:hint="eastAsia" w:ascii="宋体" w:hAnsi="宋体" w:eastAsia="宋体" w:cs="宋体"/>
          <w:bCs w:val="0"/>
          <w:color w:val="auto"/>
          <w:kern w:val="0"/>
          <w:szCs w:val="21"/>
          <w:highlight w:val="none"/>
        </w:rPr>
        <w:fldChar w:fldCharType="begin"/>
      </w:r>
      <w:r>
        <w:rPr>
          <w:rFonts w:hint="eastAsia" w:ascii="宋体" w:hAnsi="宋体" w:eastAsia="宋体" w:cs="宋体"/>
          <w:bCs w:val="0"/>
          <w:kern w:val="0"/>
          <w:szCs w:val="21"/>
          <w:highlight w:val="none"/>
        </w:rPr>
        <w:instrText xml:space="preserve"> HYPERLINK \l _Toc4768 </w:instrText>
      </w:r>
      <w:r>
        <w:rPr>
          <w:rFonts w:hint="eastAsia" w:ascii="宋体" w:hAnsi="宋体" w:eastAsia="宋体" w:cs="宋体"/>
          <w:bCs w:val="0"/>
          <w:kern w:val="0"/>
          <w:szCs w:val="21"/>
          <w:highlight w:val="none"/>
        </w:rPr>
        <w:fldChar w:fldCharType="separate"/>
      </w:r>
      <w:r>
        <w:rPr>
          <w:rFonts w:hint="eastAsia" w:ascii="宋体" w:hAnsi="宋体" w:eastAsia="宋体" w:cs="宋体"/>
          <w:kern w:val="2"/>
          <w:szCs w:val="30"/>
          <w:highlight w:val="none"/>
          <w:lang w:val="en-US" w:eastAsia="zh-CN" w:bidi="ar-SA"/>
        </w:rPr>
        <w:t>16．</w:t>
      </w:r>
      <w:r>
        <w:rPr>
          <w:rFonts w:hint="eastAsia" w:ascii="宋体" w:hAnsi="宋体" w:eastAsia="宋体" w:cs="宋体"/>
          <w:highlight w:val="none"/>
        </w:rPr>
        <w:t>磋商小组</w:t>
      </w:r>
      <w:r>
        <w:tab/>
      </w:r>
      <w:r>
        <w:fldChar w:fldCharType="begin"/>
      </w:r>
      <w:r>
        <w:instrText xml:space="preserve"> PAGEREF _Toc4768 \h </w:instrText>
      </w:r>
      <w:r>
        <w:fldChar w:fldCharType="separate"/>
      </w:r>
      <w:r>
        <w:t>12</w:t>
      </w:r>
      <w:r>
        <w:fldChar w:fldCharType="end"/>
      </w:r>
      <w:r>
        <w:rPr>
          <w:rFonts w:hint="eastAsia" w:ascii="宋体" w:hAnsi="宋体" w:eastAsia="宋体" w:cs="宋体"/>
          <w:bCs w:val="0"/>
          <w:color w:val="auto"/>
          <w:kern w:val="0"/>
          <w:szCs w:val="21"/>
          <w:highlight w:val="none"/>
        </w:rPr>
        <w:fldChar w:fldCharType="end"/>
      </w:r>
    </w:p>
    <w:p w14:paraId="2D925631">
      <w:pPr>
        <w:pStyle w:val="34"/>
        <w:tabs>
          <w:tab w:val="right" w:leader="dot" w:pos="8250"/>
        </w:tabs>
      </w:pPr>
      <w:r>
        <w:rPr>
          <w:rFonts w:hint="eastAsia" w:ascii="宋体" w:hAnsi="宋体" w:eastAsia="宋体" w:cs="宋体"/>
          <w:bCs w:val="0"/>
          <w:color w:val="auto"/>
          <w:kern w:val="0"/>
          <w:szCs w:val="21"/>
          <w:highlight w:val="none"/>
        </w:rPr>
        <w:fldChar w:fldCharType="begin"/>
      </w:r>
      <w:r>
        <w:rPr>
          <w:rFonts w:hint="eastAsia" w:ascii="宋体" w:hAnsi="宋体" w:eastAsia="宋体" w:cs="宋体"/>
          <w:bCs w:val="0"/>
          <w:kern w:val="0"/>
          <w:szCs w:val="21"/>
          <w:highlight w:val="none"/>
        </w:rPr>
        <w:instrText xml:space="preserve"> HYPERLINK \l _Toc3190 </w:instrText>
      </w:r>
      <w:r>
        <w:rPr>
          <w:rFonts w:hint="eastAsia" w:ascii="宋体" w:hAnsi="宋体" w:eastAsia="宋体" w:cs="宋体"/>
          <w:bCs w:val="0"/>
          <w:kern w:val="0"/>
          <w:szCs w:val="21"/>
          <w:highlight w:val="none"/>
        </w:rPr>
        <w:fldChar w:fldCharType="separate"/>
      </w:r>
      <w:r>
        <w:rPr>
          <w:rFonts w:hint="eastAsia" w:ascii="宋体" w:hAnsi="宋体" w:eastAsia="宋体" w:cs="宋体"/>
          <w:kern w:val="2"/>
          <w:szCs w:val="30"/>
          <w:highlight w:val="none"/>
          <w:lang w:val="en-US" w:eastAsia="zh-CN" w:bidi="ar-SA"/>
        </w:rPr>
        <w:t>17．</w:t>
      </w:r>
      <w:r>
        <w:rPr>
          <w:rFonts w:hint="eastAsia" w:ascii="宋体" w:hAnsi="宋体" w:eastAsia="宋体" w:cs="宋体"/>
          <w:highlight w:val="none"/>
        </w:rPr>
        <w:t>磋商程序</w:t>
      </w:r>
      <w:r>
        <w:tab/>
      </w:r>
      <w:r>
        <w:fldChar w:fldCharType="begin"/>
      </w:r>
      <w:r>
        <w:instrText xml:space="preserve"> PAGEREF _Toc3190 \h </w:instrText>
      </w:r>
      <w:r>
        <w:fldChar w:fldCharType="separate"/>
      </w:r>
      <w:r>
        <w:t>13</w:t>
      </w:r>
      <w:r>
        <w:fldChar w:fldCharType="end"/>
      </w:r>
      <w:r>
        <w:rPr>
          <w:rFonts w:hint="eastAsia" w:ascii="宋体" w:hAnsi="宋体" w:eastAsia="宋体" w:cs="宋体"/>
          <w:bCs w:val="0"/>
          <w:color w:val="auto"/>
          <w:kern w:val="0"/>
          <w:szCs w:val="21"/>
          <w:highlight w:val="none"/>
        </w:rPr>
        <w:fldChar w:fldCharType="end"/>
      </w:r>
    </w:p>
    <w:p w14:paraId="1638B5CB">
      <w:pPr>
        <w:pStyle w:val="34"/>
        <w:tabs>
          <w:tab w:val="right" w:leader="dot" w:pos="8250"/>
        </w:tabs>
      </w:pPr>
      <w:r>
        <w:rPr>
          <w:rFonts w:hint="eastAsia" w:ascii="宋体" w:hAnsi="宋体" w:eastAsia="宋体" w:cs="宋体"/>
          <w:bCs w:val="0"/>
          <w:color w:val="auto"/>
          <w:kern w:val="0"/>
          <w:szCs w:val="21"/>
          <w:highlight w:val="none"/>
        </w:rPr>
        <w:fldChar w:fldCharType="begin"/>
      </w:r>
      <w:r>
        <w:rPr>
          <w:rFonts w:hint="eastAsia" w:ascii="宋体" w:hAnsi="宋体" w:eastAsia="宋体" w:cs="宋体"/>
          <w:bCs w:val="0"/>
          <w:kern w:val="0"/>
          <w:szCs w:val="21"/>
          <w:highlight w:val="none"/>
        </w:rPr>
        <w:instrText xml:space="preserve"> HYPERLINK \l _Toc23815 </w:instrText>
      </w:r>
      <w:r>
        <w:rPr>
          <w:rFonts w:hint="eastAsia" w:ascii="宋体" w:hAnsi="宋体" w:eastAsia="宋体" w:cs="宋体"/>
          <w:bCs w:val="0"/>
          <w:kern w:val="0"/>
          <w:szCs w:val="21"/>
          <w:highlight w:val="none"/>
        </w:rPr>
        <w:fldChar w:fldCharType="separate"/>
      </w:r>
      <w:r>
        <w:rPr>
          <w:rFonts w:hint="eastAsia" w:ascii="宋体" w:hAnsi="宋体" w:eastAsia="宋体" w:cs="宋体"/>
          <w:kern w:val="2"/>
          <w:szCs w:val="30"/>
          <w:highlight w:val="none"/>
          <w:lang w:val="en-US" w:eastAsia="zh-CN" w:bidi="ar-SA"/>
        </w:rPr>
        <w:t>18．</w:t>
      </w:r>
      <w:r>
        <w:rPr>
          <w:rFonts w:hint="eastAsia" w:ascii="宋体" w:hAnsi="宋体" w:eastAsia="宋体" w:cs="宋体"/>
          <w:highlight w:val="none"/>
        </w:rPr>
        <w:t>评审办法</w:t>
      </w:r>
      <w:r>
        <w:tab/>
      </w:r>
      <w:r>
        <w:fldChar w:fldCharType="begin"/>
      </w:r>
      <w:r>
        <w:instrText xml:space="preserve"> PAGEREF _Toc23815 \h </w:instrText>
      </w:r>
      <w:r>
        <w:fldChar w:fldCharType="separate"/>
      </w:r>
      <w:r>
        <w:t>15</w:t>
      </w:r>
      <w:r>
        <w:fldChar w:fldCharType="end"/>
      </w:r>
      <w:r>
        <w:rPr>
          <w:rFonts w:hint="eastAsia" w:ascii="宋体" w:hAnsi="宋体" w:eastAsia="宋体" w:cs="宋体"/>
          <w:bCs w:val="0"/>
          <w:color w:val="auto"/>
          <w:kern w:val="0"/>
          <w:szCs w:val="21"/>
          <w:highlight w:val="none"/>
        </w:rPr>
        <w:fldChar w:fldCharType="end"/>
      </w:r>
    </w:p>
    <w:p w14:paraId="15553632">
      <w:pPr>
        <w:pStyle w:val="54"/>
        <w:tabs>
          <w:tab w:val="right" w:leader="dot" w:pos="8250"/>
        </w:tabs>
      </w:pPr>
      <w:r>
        <w:rPr>
          <w:rFonts w:hint="eastAsia" w:ascii="宋体" w:hAnsi="宋体" w:eastAsia="宋体" w:cs="宋体"/>
          <w:bCs w:val="0"/>
          <w:color w:val="auto"/>
          <w:kern w:val="0"/>
          <w:szCs w:val="21"/>
          <w:highlight w:val="none"/>
        </w:rPr>
        <w:fldChar w:fldCharType="begin"/>
      </w:r>
      <w:r>
        <w:rPr>
          <w:rFonts w:hint="eastAsia" w:ascii="宋体" w:hAnsi="宋体" w:eastAsia="宋体" w:cs="宋体"/>
          <w:bCs w:val="0"/>
          <w:kern w:val="0"/>
          <w:szCs w:val="21"/>
          <w:highlight w:val="none"/>
        </w:rPr>
        <w:instrText xml:space="preserve"> HYPERLINK \l _Toc22987 </w:instrText>
      </w:r>
      <w:r>
        <w:rPr>
          <w:rFonts w:hint="eastAsia" w:ascii="宋体" w:hAnsi="宋体" w:eastAsia="宋体" w:cs="宋体"/>
          <w:bCs w:val="0"/>
          <w:kern w:val="0"/>
          <w:szCs w:val="21"/>
          <w:highlight w:val="none"/>
        </w:rPr>
        <w:fldChar w:fldCharType="separate"/>
      </w:r>
      <w:r>
        <w:rPr>
          <w:rFonts w:hint="eastAsia" w:ascii="宋体" w:hAnsi="宋体" w:eastAsia="宋体" w:cs="宋体"/>
          <w:highlight w:val="none"/>
        </w:rPr>
        <w:t>七、确定成交供应商</w:t>
      </w:r>
      <w:r>
        <w:tab/>
      </w:r>
      <w:r>
        <w:fldChar w:fldCharType="begin"/>
      </w:r>
      <w:r>
        <w:instrText xml:space="preserve"> PAGEREF _Toc22987 \h </w:instrText>
      </w:r>
      <w:r>
        <w:fldChar w:fldCharType="separate"/>
      </w:r>
      <w:r>
        <w:t>19</w:t>
      </w:r>
      <w:r>
        <w:fldChar w:fldCharType="end"/>
      </w:r>
      <w:r>
        <w:rPr>
          <w:rFonts w:hint="eastAsia" w:ascii="宋体" w:hAnsi="宋体" w:eastAsia="宋体" w:cs="宋体"/>
          <w:bCs w:val="0"/>
          <w:color w:val="auto"/>
          <w:kern w:val="0"/>
          <w:szCs w:val="21"/>
          <w:highlight w:val="none"/>
        </w:rPr>
        <w:fldChar w:fldCharType="end"/>
      </w:r>
    </w:p>
    <w:p w14:paraId="3718AB16">
      <w:pPr>
        <w:pStyle w:val="34"/>
        <w:tabs>
          <w:tab w:val="right" w:leader="dot" w:pos="8250"/>
        </w:tabs>
      </w:pPr>
      <w:r>
        <w:rPr>
          <w:rFonts w:hint="eastAsia" w:ascii="宋体" w:hAnsi="宋体" w:eastAsia="宋体" w:cs="宋体"/>
          <w:bCs w:val="0"/>
          <w:color w:val="auto"/>
          <w:kern w:val="0"/>
          <w:szCs w:val="21"/>
          <w:highlight w:val="none"/>
        </w:rPr>
        <w:fldChar w:fldCharType="begin"/>
      </w:r>
      <w:r>
        <w:rPr>
          <w:rFonts w:hint="eastAsia" w:ascii="宋体" w:hAnsi="宋体" w:eastAsia="宋体" w:cs="宋体"/>
          <w:bCs w:val="0"/>
          <w:kern w:val="0"/>
          <w:szCs w:val="21"/>
          <w:highlight w:val="none"/>
        </w:rPr>
        <w:instrText xml:space="preserve"> HYPERLINK \l _Toc24068 </w:instrText>
      </w:r>
      <w:r>
        <w:rPr>
          <w:rFonts w:hint="eastAsia" w:ascii="宋体" w:hAnsi="宋体" w:eastAsia="宋体" w:cs="宋体"/>
          <w:bCs w:val="0"/>
          <w:kern w:val="0"/>
          <w:szCs w:val="21"/>
          <w:highlight w:val="none"/>
        </w:rPr>
        <w:fldChar w:fldCharType="separate"/>
      </w:r>
      <w:r>
        <w:rPr>
          <w:rFonts w:hint="eastAsia" w:ascii="宋体" w:hAnsi="宋体" w:eastAsia="宋体" w:cs="宋体"/>
          <w:kern w:val="2"/>
          <w:szCs w:val="30"/>
          <w:highlight w:val="none"/>
          <w:lang w:val="en-US" w:eastAsia="zh-CN" w:bidi="ar-SA"/>
        </w:rPr>
        <w:t>19．</w:t>
      </w:r>
      <w:r>
        <w:rPr>
          <w:rFonts w:hint="eastAsia" w:ascii="宋体" w:hAnsi="宋体" w:eastAsia="宋体" w:cs="宋体"/>
          <w:highlight w:val="none"/>
        </w:rPr>
        <w:t>推荐并确定成交供应商</w:t>
      </w:r>
      <w:r>
        <w:tab/>
      </w:r>
      <w:r>
        <w:fldChar w:fldCharType="begin"/>
      </w:r>
      <w:r>
        <w:instrText xml:space="preserve"> PAGEREF _Toc24068 \h </w:instrText>
      </w:r>
      <w:r>
        <w:fldChar w:fldCharType="separate"/>
      </w:r>
      <w:r>
        <w:t>19</w:t>
      </w:r>
      <w:r>
        <w:fldChar w:fldCharType="end"/>
      </w:r>
      <w:r>
        <w:rPr>
          <w:rFonts w:hint="eastAsia" w:ascii="宋体" w:hAnsi="宋体" w:eastAsia="宋体" w:cs="宋体"/>
          <w:bCs w:val="0"/>
          <w:color w:val="auto"/>
          <w:kern w:val="0"/>
          <w:szCs w:val="21"/>
          <w:highlight w:val="none"/>
        </w:rPr>
        <w:fldChar w:fldCharType="end"/>
      </w:r>
    </w:p>
    <w:p w14:paraId="550D615D">
      <w:pPr>
        <w:pStyle w:val="34"/>
        <w:tabs>
          <w:tab w:val="right" w:leader="dot" w:pos="8250"/>
        </w:tabs>
      </w:pPr>
      <w:r>
        <w:rPr>
          <w:rFonts w:hint="eastAsia" w:ascii="宋体" w:hAnsi="宋体" w:eastAsia="宋体" w:cs="宋体"/>
          <w:bCs w:val="0"/>
          <w:color w:val="auto"/>
          <w:kern w:val="0"/>
          <w:szCs w:val="21"/>
          <w:highlight w:val="none"/>
        </w:rPr>
        <w:fldChar w:fldCharType="begin"/>
      </w:r>
      <w:r>
        <w:rPr>
          <w:rFonts w:hint="eastAsia" w:ascii="宋体" w:hAnsi="宋体" w:eastAsia="宋体" w:cs="宋体"/>
          <w:bCs w:val="0"/>
          <w:kern w:val="0"/>
          <w:szCs w:val="21"/>
          <w:highlight w:val="none"/>
        </w:rPr>
        <w:instrText xml:space="preserve"> HYPERLINK \l _Toc20473 </w:instrText>
      </w:r>
      <w:r>
        <w:rPr>
          <w:rFonts w:hint="eastAsia" w:ascii="宋体" w:hAnsi="宋体" w:eastAsia="宋体" w:cs="宋体"/>
          <w:bCs w:val="0"/>
          <w:kern w:val="0"/>
          <w:szCs w:val="21"/>
          <w:highlight w:val="none"/>
        </w:rPr>
        <w:fldChar w:fldCharType="separate"/>
      </w:r>
      <w:r>
        <w:rPr>
          <w:rFonts w:hint="eastAsia" w:ascii="宋体" w:hAnsi="宋体" w:eastAsia="宋体" w:cs="宋体"/>
          <w:kern w:val="2"/>
          <w:szCs w:val="30"/>
          <w:highlight w:val="none"/>
          <w:lang w:val="en-US" w:eastAsia="zh-CN" w:bidi="ar-SA"/>
        </w:rPr>
        <w:t>20．</w:t>
      </w:r>
      <w:r>
        <w:rPr>
          <w:rFonts w:hint="eastAsia" w:ascii="宋体" w:hAnsi="宋体" w:eastAsia="宋体" w:cs="宋体"/>
          <w:highlight w:val="none"/>
        </w:rPr>
        <w:t>成交通知</w:t>
      </w:r>
      <w:r>
        <w:tab/>
      </w:r>
      <w:r>
        <w:fldChar w:fldCharType="begin"/>
      </w:r>
      <w:r>
        <w:instrText xml:space="preserve"> PAGEREF _Toc20473 \h </w:instrText>
      </w:r>
      <w:r>
        <w:fldChar w:fldCharType="separate"/>
      </w:r>
      <w:r>
        <w:t>20</w:t>
      </w:r>
      <w:r>
        <w:fldChar w:fldCharType="end"/>
      </w:r>
      <w:r>
        <w:rPr>
          <w:rFonts w:hint="eastAsia" w:ascii="宋体" w:hAnsi="宋体" w:eastAsia="宋体" w:cs="宋体"/>
          <w:bCs w:val="0"/>
          <w:color w:val="auto"/>
          <w:kern w:val="0"/>
          <w:szCs w:val="21"/>
          <w:highlight w:val="none"/>
        </w:rPr>
        <w:fldChar w:fldCharType="end"/>
      </w:r>
    </w:p>
    <w:p w14:paraId="2EE87CE8">
      <w:pPr>
        <w:pStyle w:val="54"/>
        <w:tabs>
          <w:tab w:val="right" w:leader="dot" w:pos="8250"/>
        </w:tabs>
      </w:pPr>
      <w:r>
        <w:rPr>
          <w:rFonts w:hint="eastAsia" w:ascii="宋体" w:hAnsi="宋体" w:eastAsia="宋体" w:cs="宋体"/>
          <w:bCs w:val="0"/>
          <w:color w:val="auto"/>
          <w:kern w:val="0"/>
          <w:szCs w:val="21"/>
          <w:highlight w:val="none"/>
        </w:rPr>
        <w:fldChar w:fldCharType="begin"/>
      </w:r>
      <w:r>
        <w:rPr>
          <w:rFonts w:hint="eastAsia" w:ascii="宋体" w:hAnsi="宋体" w:eastAsia="宋体" w:cs="宋体"/>
          <w:bCs w:val="0"/>
          <w:kern w:val="0"/>
          <w:szCs w:val="21"/>
          <w:highlight w:val="none"/>
        </w:rPr>
        <w:instrText xml:space="preserve"> HYPERLINK \l _Toc29614 </w:instrText>
      </w:r>
      <w:r>
        <w:rPr>
          <w:rFonts w:hint="eastAsia" w:ascii="宋体" w:hAnsi="宋体" w:eastAsia="宋体" w:cs="宋体"/>
          <w:bCs w:val="0"/>
          <w:kern w:val="0"/>
          <w:szCs w:val="21"/>
          <w:highlight w:val="none"/>
        </w:rPr>
        <w:fldChar w:fldCharType="separate"/>
      </w:r>
      <w:r>
        <w:rPr>
          <w:rFonts w:hint="eastAsia" w:ascii="宋体" w:hAnsi="宋体" w:eastAsia="宋体" w:cs="宋体"/>
          <w:highlight w:val="none"/>
        </w:rPr>
        <w:t>八、授予合同</w:t>
      </w:r>
      <w:r>
        <w:tab/>
      </w:r>
      <w:r>
        <w:fldChar w:fldCharType="begin"/>
      </w:r>
      <w:r>
        <w:instrText xml:space="preserve"> PAGEREF _Toc29614 \h </w:instrText>
      </w:r>
      <w:r>
        <w:fldChar w:fldCharType="separate"/>
      </w:r>
      <w:r>
        <w:t>20</w:t>
      </w:r>
      <w:r>
        <w:fldChar w:fldCharType="end"/>
      </w:r>
      <w:r>
        <w:rPr>
          <w:rFonts w:hint="eastAsia" w:ascii="宋体" w:hAnsi="宋体" w:eastAsia="宋体" w:cs="宋体"/>
          <w:bCs w:val="0"/>
          <w:color w:val="auto"/>
          <w:kern w:val="0"/>
          <w:szCs w:val="21"/>
          <w:highlight w:val="none"/>
        </w:rPr>
        <w:fldChar w:fldCharType="end"/>
      </w:r>
    </w:p>
    <w:p w14:paraId="2796760C">
      <w:pPr>
        <w:pStyle w:val="34"/>
        <w:tabs>
          <w:tab w:val="right" w:leader="dot" w:pos="8250"/>
        </w:tabs>
      </w:pPr>
      <w:r>
        <w:rPr>
          <w:rFonts w:hint="eastAsia" w:ascii="宋体" w:hAnsi="宋体" w:eastAsia="宋体" w:cs="宋体"/>
          <w:bCs w:val="0"/>
          <w:color w:val="auto"/>
          <w:kern w:val="0"/>
          <w:szCs w:val="21"/>
          <w:highlight w:val="none"/>
        </w:rPr>
        <w:fldChar w:fldCharType="begin"/>
      </w:r>
      <w:r>
        <w:rPr>
          <w:rFonts w:hint="eastAsia" w:ascii="宋体" w:hAnsi="宋体" w:eastAsia="宋体" w:cs="宋体"/>
          <w:bCs w:val="0"/>
          <w:kern w:val="0"/>
          <w:szCs w:val="21"/>
          <w:highlight w:val="none"/>
        </w:rPr>
        <w:instrText xml:space="preserve"> HYPERLINK \l _Toc31619 </w:instrText>
      </w:r>
      <w:r>
        <w:rPr>
          <w:rFonts w:hint="eastAsia" w:ascii="宋体" w:hAnsi="宋体" w:eastAsia="宋体" w:cs="宋体"/>
          <w:bCs w:val="0"/>
          <w:kern w:val="0"/>
          <w:szCs w:val="21"/>
          <w:highlight w:val="none"/>
        </w:rPr>
        <w:fldChar w:fldCharType="separate"/>
      </w:r>
      <w:r>
        <w:rPr>
          <w:rFonts w:hint="eastAsia" w:ascii="宋体" w:hAnsi="宋体" w:eastAsia="宋体" w:cs="宋体"/>
          <w:kern w:val="2"/>
          <w:szCs w:val="30"/>
          <w:highlight w:val="none"/>
          <w:lang w:val="en-US" w:eastAsia="zh-CN" w:bidi="ar-SA"/>
        </w:rPr>
        <w:t>21．</w:t>
      </w:r>
      <w:r>
        <w:rPr>
          <w:rFonts w:hint="eastAsia" w:ascii="宋体" w:hAnsi="宋体" w:eastAsia="宋体" w:cs="宋体"/>
          <w:highlight w:val="none"/>
        </w:rPr>
        <w:t>签订合同</w:t>
      </w:r>
      <w:r>
        <w:tab/>
      </w:r>
      <w:r>
        <w:fldChar w:fldCharType="begin"/>
      </w:r>
      <w:r>
        <w:instrText xml:space="preserve"> PAGEREF _Toc31619 \h </w:instrText>
      </w:r>
      <w:r>
        <w:fldChar w:fldCharType="separate"/>
      </w:r>
      <w:r>
        <w:t>20</w:t>
      </w:r>
      <w:r>
        <w:fldChar w:fldCharType="end"/>
      </w:r>
      <w:r>
        <w:rPr>
          <w:rFonts w:hint="eastAsia" w:ascii="宋体" w:hAnsi="宋体" w:eastAsia="宋体" w:cs="宋体"/>
          <w:bCs w:val="0"/>
          <w:color w:val="auto"/>
          <w:kern w:val="0"/>
          <w:szCs w:val="21"/>
          <w:highlight w:val="none"/>
        </w:rPr>
        <w:fldChar w:fldCharType="end"/>
      </w:r>
    </w:p>
    <w:p w14:paraId="04EA1DBD">
      <w:pPr>
        <w:pStyle w:val="54"/>
        <w:tabs>
          <w:tab w:val="right" w:leader="dot" w:pos="8250"/>
        </w:tabs>
      </w:pPr>
      <w:r>
        <w:rPr>
          <w:rFonts w:hint="eastAsia" w:ascii="宋体" w:hAnsi="宋体" w:eastAsia="宋体" w:cs="宋体"/>
          <w:bCs w:val="0"/>
          <w:color w:val="auto"/>
          <w:kern w:val="0"/>
          <w:szCs w:val="21"/>
          <w:highlight w:val="none"/>
        </w:rPr>
        <w:fldChar w:fldCharType="begin"/>
      </w:r>
      <w:r>
        <w:rPr>
          <w:rFonts w:hint="eastAsia" w:ascii="宋体" w:hAnsi="宋体" w:eastAsia="宋体" w:cs="宋体"/>
          <w:bCs w:val="0"/>
          <w:kern w:val="0"/>
          <w:szCs w:val="21"/>
          <w:highlight w:val="none"/>
        </w:rPr>
        <w:instrText xml:space="preserve"> HYPERLINK \l _Toc11289 </w:instrText>
      </w:r>
      <w:r>
        <w:rPr>
          <w:rFonts w:hint="eastAsia" w:ascii="宋体" w:hAnsi="宋体" w:eastAsia="宋体" w:cs="宋体"/>
          <w:bCs w:val="0"/>
          <w:kern w:val="0"/>
          <w:szCs w:val="21"/>
          <w:highlight w:val="none"/>
        </w:rPr>
        <w:fldChar w:fldCharType="separate"/>
      </w:r>
      <w:r>
        <w:rPr>
          <w:rFonts w:hint="eastAsia" w:ascii="宋体" w:hAnsi="宋体" w:eastAsia="宋体" w:cs="宋体"/>
          <w:highlight w:val="none"/>
        </w:rPr>
        <w:t>九、磋商活动终止</w:t>
      </w:r>
      <w:r>
        <w:tab/>
      </w:r>
      <w:r>
        <w:fldChar w:fldCharType="begin"/>
      </w:r>
      <w:r>
        <w:instrText xml:space="preserve"> PAGEREF _Toc11289 \h </w:instrText>
      </w:r>
      <w:r>
        <w:fldChar w:fldCharType="separate"/>
      </w:r>
      <w:r>
        <w:t>21</w:t>
      </w:r>
      <w:r>
        <w:fldChar w:fldCharType="end"/>
      </w:r>
      <w:r>
        <w:rPr>
          <w:rFonts w:hint="eastAsia" w:ascii="宋体" w:hAnsi="宋体" w:eastAsia="宋体" w:cs="宋体"/>
          <w:bCs w:val="0"/>
          <w:color w:val="auto"/>
          <w:kern w:val="0"/>
          <w:szCs w:val="21"/>
          <w:highlight w:val="none"/>
        </w:rPr>
        <w:fldChar w:fldCharType="end"/>
      </w:r>
    </w:p>
    <w:p w14:paraId="4A0E76EA">
      <w:pPr>
        <w:pStyle w:val="34"/>
        <w:tabs>
          <w:tab w:val="right" w:leader="dot" w:pos="8250"/>
        </w:tabs>
      </w:pPr>
      <w:r>
        <w:rPr>
          <w:rFonts w:hint="eastAsia" w:ascii="宋体" w:hAnsi="宋体" w:eastAsia="宋体" w:cs="宋体"/>
          <w:bCs w:val="0"/>
          <w:color w:val="auto"/>
          <w:kern w:val="0"/>
          <w:szCs w:val="21"/>
          <w:highlight w:val="none"/>
        </w:rPr>
        <w:fldChar w:fldCharType="begin"/>
      </w:r>
      <w:r>
        <w:rPr>
          <w:rFonts w:hint="eastAsia" w:ascii="宋体" w:hAnsi="宋体" w:eastAsia="宋体" w:cs="宋体"/>
          <w:bCs w:val="0"/>
          <w:kern w:val="0"/>
          <w:szCs w:val="21"/>
          <w:highlight w:val="none"/>
        </w:rPr>
        <w:instrText xml:space="preserve"> HYPERLINK \l _Toc8006 </w:instrText>
      </w:r>
      <w:r>
        <w:rPr>
          <w:rFonts w:hint="eastAsia" w:ascii="宋体" w:hAnsi="宋体" w:eastAsia="宋体" w:cs="宋体"/>
          <w:bCs w:val="0"/>
          <w:kern w:val="0"/>
          <w:szCs w:val="21"/>
          <w:highlight w:val="none"/>
        </w:rPr>
        <w:fldChar w:fldCharType="separate"/>
      </w:r>
      <w:r>
        <w:rPr>
          <w:rFonts w:hint="eastAsia" w:ascii="宋体" w:hAnsi="宋体" w:eastAsia="宋体" w:cs="宋体"/>
          <w:kern w:val="2"/>
          <w:szCs w:val="30"/>
          <w:highlight w:val="none"/>
          <w:lang w:val="en-US" w:eastAsia="zh-CN" w:bidi="ar-SA"/>
        </w:rPr>
        <w:t>22．</w:t>
      </w:r>
      <w:r>
        <w:rPr>
          <w:rFonts w:hint="eastAsia" w:ascii="宋体" w:hAnsi="宋体" w:eastAsia="宋体" w:cs="宋体"/>
          <w:highlight w:val="none"/>
        </w:rPr>
        <w:t>终止情形</w:t>
      </w:r>
      <w:r>
        <w:tab/>
      </w:r>
      <w:r>
        <w:fldChar w:fldCharType="begin"/>
      </w:r>
      <w:r>
        <w:instrText xml:space="preserve"> PAGEREF _Toc8006 \h </w:instrText>
      </w:r>
      <w:r>
        <w:fldChar w:fldCharType="separate"/>
      </w:r>
      <w:r>
        <w:t>21</w:t>
      </w:r>
      <w:r>
        <w:fldChar w:fldCharType="end"/>
      </w:r>
      <w:r>
        <w:rPr>
          <w:rFonts w:hint="eastAsia" w:ascii="宋体" w:hAnsi="宋体" w:eastAsia="宋体" w:cs="宋体"/>
          <w:bCs w:val="0"/>
          <w:color w:val="auto"/>
          <w:kern w:val="0"/>
          <w:szCs w:val="21"/>
          <w:highlight w:val="none"/>
        </w:rPr>
        <w:fldChar w:fldCharType="end"/>
      </w:r>
    </w:p>
    <w:p w14:paraId="24C734B2">
      <w:pPr>
        <w:pStyle w:val="54"/>
        <w:tabs>
          <w:tab w:val="right" w:leader="dot" w:pos="8250"/>
        </w:tabs>
      </w:pPr>
      <w:r>
        <w:rPr>
          <w:rFonts w:hint="eastAsia" w:ascii="宋体" w:hAnsi="宋体" w:eastAsia="宋体" w:cs="宋体"/>
          <w:bCs w:val="0"/>
          <w:color w:val="auto"/>
          <w:kern w:val="0"/>
          <w:szCs w:val="21"/>
          <w:highlight w:val="none"/>
        </w:rPr>
        <w:fldChar w:fldCharType="begin"/>
      </w:r>
      <w:r>
        <w:rPr>
          <w:rFonts w:hint="eastAsia" w:ascii="宋体" w:hAnsi="宋体" w:eastAsia="宋体" w:cs="宋体"/>
          <w:bCs w:val="0"/>
          <w:kern w:val="0"/>
          <w:szCs w:val="21"/>
          <w:highlight w:val="none"/>
        </w:rPr>
        <w:instrText xml:space="preserve"> HYPERLINK \l _Toc24419 </w:instrText>
      </w:r>
      <w:r>
        <w:rPr>
          <w:rFonts w:hint="eastAsia" w:ascii="宋体" w:hAnsi="宋体" w:eastAsia="宋体" w:cs="宋体"/>
          <w:bCs w:val="0"/>
          <w:kern w:val="0"/>
          <w:szCs w:val="21"/>
          <w:highlight w:val="none"/>
        </w:rPr>
        <w:fldChar w:fldCharType="separate"/>
      </w:r>
      <w:r>
        <w:rPr>
          <w:rFonts w:hint="eastAsia" w:ascii="宋体" w:hAnsi="宋体" w:eastAsia="宋体" w:cs="宋体"/>
          <w:highlight w:val="none"/>
        </w:rPr>
        <w:t>十、处罚</w:t>
      </w:r>
      <w:r>
        <w:tab/>
      </w:r>
      <w:r>
        <w:fldChar w:fldCharType="begin"/>
      </w:r>
      <w:r>
        <w:instrText xml:space="preserve"> PAGEREF _Toc24419 \h </w:instrText>
      </w:r>
      <w:r>
        <w:fldChar w:fldCharType="separate"/>
      </w:r>
      <w:r>
        <w:t>21</w:t>
      </w:r>
      <w:r>
        <w:fldChar w:fldCharType="end"/>
      </w:r>
      <w:r>
        <w:rPr>
          <w:rFonts w:hint="eastAsia" w:ascii="宋体" w:hAnsi="宋体" w:eastAsia="宋体" w:cs="宋体"/>
          <w:bCs w:val="0"/>
          <w:color w:val="auto"/>
          <w:kern w:val="0"/>
          <w:szCs w:val="21"/>
          <w:highlight w:val="none"/>
        </w:rPr>
        <w:fldChar w:fldCharType="end"/>
      </w:r>
    </w:p>
    <w:p w14:paraId="1020B330">
      <w:pPr>
        <w:pStyle w:val="34"/>
        <w:tabs>
          <w:tab w:val="right" w:leader="dot" w:pos="8250"/>
        </w:tabs>
      </w:pPr>
      <w:r>
        <w:rPr>
          <w:rFonts w:hint="eastAsia" w:ascii="宋体" w:hAnsi="宋体" w:eastAsia="宋体" w:cs="宋体"/>
          <w:bCs w:val="0"/>
          <w:color w:val="auto"/>
          <w:kern w:val="0"/>
          <w:szCs w:val="21"/>
          <w:highlight w:val="none"/>
        </w:rPr>
        <w:fldChar w:fldCharType="begin"/>
      </w:r>
      <w:r>
        <w:rPr>
          <w:rFonts w:hint="eastAsia" w:ascii="宋体" w:hAnsi="宋体" w:eastAsia="宋体" w:cs="宋体"/>
          <w:bCs w:val="0"/>
          <w:kern w:val="0"/>
          <w:szCs w:val="21"/>
          <w:highlight w:val="none"/>
        </w:rPr>
        <w:instrText xml:space="preserve"> HYPERLINK \l _Toc6358 </w:instrText>
      </w:r>
      <w:r>
        <w:rPr>
          <w:rFonts w:hint="eastAsia" w:ascii="宋体" w:hAnsi="宋体" w:eastAsia="宋体" w:cs="宋体"/>
          <w:bCs w:val="0"/>
          <w:kern w:val="0"/>
          <w:szCs w:val="21"/>
          <w:highlight w:val="none"/>
        </w:rPr>
        <w:fldChar w:fldCharType="separate"/>
      </w:r>
      <w:r>
        <w:rPr>
          <w:rFonts w:hint="eastAsia" w:ascii="宋体" w:hAnsi="宋体" w:eastAsia="宋体" w:cs="宋体"/>
          <w:kern w:val="2"/>
          <w:szCs w:val="30"/>
          <w:highlight w:val="none"/>
          <w:lang w:val="en-US" w:eastAsia="zh-CN" w:bidi="ar-SA"/>
        </w:rPr>
        <w:t>23．</w:t>
      </w:r>
      <w:r>
        <w:rPr>
          <w:rFonts w:hint="eastAsia" w:ascii="宋体" w:hAnsi="宋体" w:eastAsia="宋体" w:cs="宋体"/>
          <w:highlight w:val="none"/>
        </w:rPr>
        <w:t>处罚情形</w:t>
      </w:r>
      <w:r>
        <w:tab/>
      </w:r>
      <w:r>
        <w:fldChar w:fldCharType="begin"/>
      </w:r>
      <w:r>
        <w:instrText xml:space="preserve"> PAGEREF _Toc6358 \h </w:instrText>
      </w:r>
      <w:r>
        <w:fldChar w:fldCharType="separate"/>
      </w:r>
      <w:r>
        <w:t>21</w:t>
      </w:r>
      <w:r>
        <w:fldChar w:fldCharType="end"/>
      </w:r>
      <w:r>
        <w:rPr>
          <w:rFonts w:hint="eastAsia" w:ascii="宋体" w:hAnsi="宋体" w:eastAsia="宋体" w:cs="宋体"/>
          <w:bCs w:val="0"/>
          <w:color w:val="auto"/>
          <w:kern w:val="0"/>
          <w:szCs w:val="21"/>
          <w:highlight w:val="none"/>
        </w:rPr>
        <w:fldChar w:fldCharType="end"/>
      </w:r>
    </w:p>
    <w:p w14:paraId="4D0AE078">
      <w:pPr>
        <w:pStyle w:val="54"/>
        <w:tabs>
          <w:tab w:val="right" w:leader="dot" w:pos="8250"/>
        </w:tabs>
      </w:pPr>
      <w:r>
        <w:rPr>
          <w:rFonts w:hint="eastAsia" w:ascii="宋体" w:hAnsi="宋体" w:eastAsia="宋体" w:cs="宋体"/>
          <w:bCs w:val="0"/>
          <w:color w:val="auto"/>
          <w:kern w:val="0"/>
          <w:szCs w:val="21"/>
          <w:highlight w:val="none"/>
        </w:rPr>
        <w:fldChar w:fldCharType="begin"/>
      </w:r>
      <w:r>
        <w:rPr>
          <w:rFonts w:hint="eastAsia" w:ascii="宋体" w:hAnsi="宋体" w:eastAsia="宋体" w:cs="宋体"/>
          <w:bCs w:val="0"/>
          <w:kern w:val="0"/>
          <w:szCs w:val="21"/>
          <w:highlight w:val="none"/>
        </w:rPr>
        <w:instrText xml:space="preserve"> HYPERLINK \l _Toc27406 </w:instrText>
      </w:r>
      <w:r>
        <w:rPr>
          <w:rFonts w:hint="eastAsia" w:ascii="宋体" w:hAnsi="宋体" w:eastAsia="宋体" w:cs="宋体"/>
          <w:bCs w:val="0"/>
          <w:kern w:val="0"/>
          <w:szCs w:val="21"/>
          <w:highlight w:val="none"/>
        </w:rPr>
        <w:fldChar w:fldCharType="separate"/>
      </w:r>
      <w:r>
        <w:rPr>
          <w:rFonts w:hint="eastAsia" w:ascii="宋体" w:hAnsi="宋体" w:eastAsia="宋体" w:cs="宋体"/>
          <w:highlight w:val="none"/>
        </w:rPr>
        <w:t>十一、其他</w:t>
      </w:r>
      <w:r>
        <w:tab/>
      </w:r>
      <w:r>
        <w:fldChar w:fldCharType="begin"/>
      </w:r>
      <w:r>
        <w:instrText xml:space="preserve"> PAGEREF _Toc27406 \h </w:instrText>
      </w:r>
      <w:r>
        <w:fldChar w:fldCharType="separate"/>
      </w:r>
      <w:r>
        <w:t>21</w:t>
      </w:r>
      <w:r>
        <w:fldChar w:fldCharType="end"/>
      </w:r>
      <w:r>
        <w:rPr>
          <w:rFonts w:hint="eastAsia" w:ascii="宋体" w:hAnsi="宋体" w:eastAsia="宋体" w:cs="宋体"/>
          <w:bCs w:val="0"/>
          <w:color w:val="auto"/>
          <w:kern w:val="0"/>
          <w:szCs w:val="21"/>
          <w:highlight w:val="none"/>
        </w:rPr>
        <w:fldChar w:fldCharType="end"/>
      </w:r>
    </w:p>
    <w:p w14:paraId="73EFA6D3">
      <w:pPr>
        <w:pStyle w:val="42"/>
        <w:tabs>
          <w:tab w:val="right" w:leader="dot" w:pos="8250"/>
        </w:tabs>
      </w:pPr>
      <w:r>
        <w:rPr>
          <w:rFonts w:hint="eastAsia" w:ascii="宋体" w:hAnsi="宋体" w:eastAsia="宋体" w:cs="宋体"/>
          <w:bCs w:val="0"/>
          <w:color w:val="auto"/>
          <w:kern w:val="0"/>
          <w:szCs w:val="21"/>
          <w:highlight w:val="none"/>
        </w:rPr>
        <w:fldChar w:fldCharType="begin"/>
      </w:r>
      <w:r>
        <w:rPr>
          <w:rFonts w:hint="eastAsia" w:ascii="宋体" w:hAnsi="宋体" w:eastAsia="宋体" w:cs="宋体"/>
          <w:bCs w:val="0"/>
          <w:kern w:val="0"/>
          <w:szCs w:val="21"/>
          <w:highlight w:val="none"/>
        </w:rPr>
        <w:instrText xml:space="preserve"> HYPERLINK \l _Toc29921 </w:instrText>
      </w:r>
      <w:r>
        <w:rPr>
          <w:rFonts w:hint="eastAsia" w:ascii="宋体" w:hAnsi="宋体" w:eastAsia="宋体" w:cs="宋体"/>
          <w:bCs w:val="0"/>
          <w:kern w:val="0"/>
          <w:szCs w:val="21"/>
          <w:highlight w:val="none"/>
        </w:rPr>
        <w:fldChar w:fldCharType="separate"/>
      </w:r>
      <w:r>
        <w:rPr>
          <w:rFonts w:hint="eastAsia" w:ascii="宋体" w:hAnsi="宋体" w:eastAsia="宋体" w:cs="宋体"/>
          <w:szCs w:val="60"/>
          <w:highlight w:val="none"/>
        </w:rPr>
        <w:t>第四部分</w:t>
      </w:r>
      <w:r>
        <w:rPr>
          <w:rFonts w:hint="eastAsia" w:ascii="宋体" w:hAnsi="宋体" w:eastAsia="宋体" w:cs="宋体"/>
          <w:szCs w:val="60"/>
          <w:highlight w:val="none"/>
          <w:lang w:val="en-US" w:eastAsia="zh-CN"/>
        </w:rPr>
        <w:t xml:space="preserve">  </w:t>
      </w:r>
      <w:r>
        <w:rPr>
          <w:rFonts w:hint="eastAsia" w:ascii="宋体" w:hAnsi="宋体" w:eastAsia="宋体" w:cs="宋体"/>
          <w:szCs w:val="60"/>
          <w:highlight w:val="none"/>
        </w:rPr>
        <w:t>青海省政府采购项目合同书范本</w:t>
      </w:r>
      <w:r>
        <w:tab/>
      </w:r>
      <w:r>
        <w:fldChar w:fldCharType="begin"/>
      </w:r>
      <w:r>
        <w:instrText xml:space="preserve"> PAGEREF _Toc29921 \h </w:instrText>
      </w:r>
      <w:r>
        <w:fldChar w:fldCharType="separate"/>
      </w:r>
      <w:r>
        <w:t>23</w:t>
      </w:r>
      <w:r>
        <w:fldChar w:fldCharType="end"/>
      </w:r>
      <w:r>
        <w:rPr>
          <w:rFonts w:hint="eastAsia" w:ascii="宋体" w:hAnsi="宋体" w:eastAsia="宋体" w:cs="宋体"/>
          <w:bCs w:val="0"/>
          <w:color w:val="auto"/>
          <w:kern w:val="0"/>
          <w:szCs w:val="21"/>
          <w:highlight w:val="none"/>
        </w:rPr>
        <w:fldChar w:fldCharType="end"/>
      </w:r>
    </w:p>
    <w:p w14:paraId="3F318AA3">
      <w:pPr>
        <w:pStyle w:val="42"/>
        <w:tabs>
          <w:tab w:val="right" w:leader="dot" w:pos="8250"/>
        </w:tabs>
      </w:pPr>
      <w:r>
        <w:rPr>
          <w:rFonts w:hint="eastAsia" w:ascii="宋体" w:hAnsi="宋体" w:eastAsia="宋体" w:cs="宋体"/>
          <w:bCs w:val="0"/>
          <w:color w:val="auto"/>
          <w:kern w:val="0"/>
          <w:szCs w:val="21"/>
          <w:highlight w:val="none"/>
        </w:rPr>
        <w:fldChar w:fldCharType="begin"/>
      </w:r>
      <w:r>
        <w:rPr>
          <w:rFonts w:hint="eastAsia" w:ascii="宋体" w:hAnsi="宋体" w:eastAsia="宋体" w:cs="宋体"/>
          <w:bCs w:val="0"/>
          <w:kern w:val="0"/>
          <w:szCs w:val="21"/>
          <w:highlight w:val="none"/>
        </w:rPr>
        <w:instrText xml:space="preserve"> HYPERLINK \l _Toc8547 </w:instrText>
      </w:r>
      <w:r>
        <w:rPr>
          <w:rFonts w:hint="eastAsia" w:ascii="宋体" w:hAnsi="宋体" w:eastAsia="宋体" w:cs="宋体"/>
          <w:bCs w:val="0"/>
          <w:kern w:val="0"/>
          <w:szCs w:val="21"/>
          <w:highlight w:val="none"/>
        </w:rPr>
        <w:fldChar w:fldCharType="separate"/>
      </w:r>
      <w:r>
        <w:rPr>
          <w:rFonts w:hint="eastAsia" w:ascii="宋体" w:hAnsi="宋体" w:eastAsia="宋体" w:cs="宋体"/>
          <w:highlight w:val="none"/>
        </w:rPr>
        <w:t>第五部分</w:t>
      </w:r>
      <w:r>
        <w:rPr>
          <w:rFonts w:hint="eastAsia" w:ascii="宋体" w:hAnsi="宋体" w:eastAsia="宋体" w:cs="宋体"/>
          <w:highlight w:val="none"/>
          <w:lang w:val="en-US" w:eastAsia="zh-CN"/>
        </w:rPr>
        <w:t xml:space="preserve">  </w:t>
      </w:r>
      <w:r>
        <w:rPr>
          <w:rFonts w:hint="eastAsia" w:ascii="宋体" w:hAnsi="宋体" w:eastAsia="宋体" w:cs="宋体"/>
          <w:highlight w:val="none"/>
        </w:rPr>
        <w:t>磋商响应文件格式</w:t>
      </w:r>
      <w:r>
        <w:tab/>
      </w:r>
      <w:r>
        <w:fldChar w:fldCharType="begin"/>
      </w:r>
      <w:r>
        <w:instrText xml:space="preserve"> PAGEREF _Toc8547 \h </w:instrText>
      </w:r>
      <w:r>
        <w:fldChar w:fldCharType="separate"/>
      </w:r>
      <w:r>
        <w:t>32</w:t>
      </w:r>
      <w:r>
        <w:fldChar w:fldCharType="end"/>
      </w:r>
      <w:r>
        <w:rPr>
          <w:rFonts w:hint="eastAsia" w:ascii="宋体" w:hAnsi="宋体" w:eastAsia="宋体" w:cs="宋体"/>
          <w:bCs w:val="0"/>
          <w:color w:val="auto"/>
          <w:kern w:val="0"/>
          <w:szCs w:val="21"/>
          <w:highlight w:val="none"/>
        </w:rPr>
        <w:fldChar w:fldCharType="end"/>
      </w:r>
    </w:p>
    <w:p w14:paraId="38A60730">
      <w:pPr>
        <w:pStyle w:val="54"/>
        <w:tabs>
          <w:tab w:val="right" w:leader="dot" w:pos="8250"/>
        </w:tabs>
      </w:pPr>
      <w:r>
        <w:rPr>
          <w:rFonts w:hint="eastAsia" w:ascii="宋体" w:hAnsi="宋体" w:eastAsia="宋体" w:cs="宋体"/>
          <w:bCs w:val="0"/>
          <w:color w:val="auto"/>
          <w:kern w:val="0"/>
          <w:szCs w:val="21"/>
          <w:highlight w:val="none"/>
        </w:rPr>
        <w:fldChar w:fldCharType="begin"/>
      </w:r>
      <w:r>
        <w:rPr>
          <w:rFonts w:hint="eastAsia" w:ascii="宋体" w:hAnsi="宋体" w:eastAsia="宋体" w:cs="宋体"/>
          <w:bCs w:val="0"/>
          <w:kern w:val="0"/>
          <w:szCs w:val="21"/>
          <w:highlight w:val="none"/>
        </w:rPr>
        <w:instrText xml:space="preserve"> HYPERLINK \l _Toc7065 </w:instrText>
      </w:r>
      <w:r>
        <w:rPr>
          <w:rFonts w:hint="eastAsia" w:ascii="宋体" w:hAnsi="宋体" w:eastAsia="宋体" w:cs="宋体"/>
          <w:bCs w:val="0"/>
          <w:kern w:val="0"/>
          <w:szCs w:val="21"/>
          <w:highlight w:val="none"/>
        </w:rPr>
        <w:fldChar w:fldCharType="separate"/>
      </w:r>
      <w:r>
        <w:rPr>
          <w:rFonts w:hint="eastAsia" w:ascii="宋体" w:hAnsi="宋体" w:eastAsia="宋体" w:cs="宋体"/>
          <w:highlight w:val="none"/>
        </w:rPr>
        <w:t>附件1：磋商响应文件封面</w:t>
      </w:r>
      <w:r>
        <w:tab/>
      </w:r>
      <w:r>
        <w:fldChar w:fldCharType="begin"/>
      </w:r>
      <w:r>
        <w:instrText xml:space="preserve"> PAGEREF _Toc7065 \h </w:instrText>
      </w:r>
      <w:r>
        <w:fldChar w:fldCharType="separate"/>
      </w:r>
      <w:r>
        <w:t>32</w:t>
      </w:r>
      <w:r>
        <w:fldChar w:fldCharType="end"/>
      </w:r>
      <w:r>
        <w:rPr>
          <w:rFonts w:hint="eastAsia" w:ascii="宋体" w:hAnsi="宋体" w:eastAsia="宋体" w:cs="宋体"/>
          <w:bCs w:val="0"/>
          <w:color w:val="auto"/>
          <w:kern w:val="0"/>
          <w:szCs w:val="21"/>
          <w:highlight w:val="none"/>
        </w:rPr>
        <w:fldChar w:fldCharType="end"/>
      </w:r>
    </w:p>
    <w:p w14:paraId="2C34CCFA">
      <w:pPr>
        <w:pStyle w:val="54"/>
        <w:tabs>
          <w:tab w:val="right" w:leader="dot" w:pos="8250"/>
        </w:tabs>
      </w:pPr>
      <w:r>
        <w:rPr>
          <w:rFonts w:hint="eastAsia" w:ascii="宋体" w:hAnsi="宋体" w:eastAsia="宋体" w:cs="宋体"/>
          <w:bCs w:val="0"/>
          <w:color w:val="auto"/>
          <w:kern w:val="0"/>
          <w:szCs w:val="21"/>
          <w:highlight w:val="none"/>
        </w:rPr>
        <w:fldChar w:fldCharType="begin"/>
      </w:r>
      <w:r>
        <w:rPr>
          <w:rFonts w:hint="eastAsia" w:ascii="宋体" w:hAnsi="宋体" w:eastAsia="宋体" w:cs="宋体"/>
          <w:bCs w:val="0"/>
          <w:kern w:val="0"/>
          <w:szCs w:val="21"/>
          <w:highlight w:val="none"/>
        </w:rPr>
        <w:instrText xml:space="preserve"> HYPERLINK \l _Toc21681 </w:instrText>
      </w:r>
      <w:r>
        <w:rPr>
          <w:rFonts w:hint="eastAsia" w:ascii="宋体" w:hAnsi="宋体" w:eastAsia="宋体" w:cs="宋体"/>
          <w:bCs w:val="0"/>
          <w:kern w:val="0"/>
          <w:szCs w:val="21"/>
          <w:highlight w:val="none"/>
        </w:rPr>
        <w:fldChar w:fldCharType="separate"/>
      </w:r>
      <w:r>
        <w:rPr>
          <w:rFonts w:hint="eastAsia" w:ascii="宋体" w:hAnsi="宋体" w:eastAsia="宋体" w:cs="宋体"/>
          <w:highlight w:val="none"/>
        </w:rPr>
        <w:t>附件2：目录格式</w:t>
      </w:r>
      <w:r>
        <w:tab/>
      </w:r>
      <w:r>
        <w:fldChar w:fldCharType="begin"/>
      </w:r>
      <w:r>
        <w:instrText xml:space="preserve"> PAGEREF _Toc21681 \h </w:instrText>
      </w:r>
      <w:r>
        <w:fldChar w:fldCharType="separate"/>
      </w:r>
      <w:r>
        <w:t>33</w:t>
      </w:r>
      <w:r>
        <w:fldChar w:fldCharType="end"/>
      </w:r>
      <w:r>
        <w:rPr>
          <w:rFonts w:hint="eastAsia" w:ascii="宋体" w:hAnsi="宋体" w:eastAsia="宋体" w:cs="宋体"/>
          <w:bCs w:val="0"/>
          <w:color w:val="auto"/>
          <w:kern w:val="0"/>
          <w:szCs w:val="21"/>
          <w:highlight w:val="none"/>
        </w:rPr>
        <w:fldChar w:fldCharType="end"/>
      </w:r>
    </w:p>
    <w:p w14:paraId="13316D77">
      <w:pPr>
        <w:pStyle w:val="54"/>
        <w:tabs>
          <w:tab w:val="right" w:leader="dot" w:pos="8250"/>
        </w:tabs>
      </w:pPr>
      <w:r>
        <w:rPr>
          <w:rFonts w:hint="eastAsia" w:ascii="宋体" w:hAnsi="宋体" w:eastAsia="宋体" w:cs="宋体"/>
          <w:bCs w:val="0"/>
          <w:color w:val="auto"/>
          <w:kern w:val="0"/>
          <w:szCs w:val="21"/>
          <w:highlight w:val="none"/>
        </w:rPr>
        <w:fldChar w:fldCharType="begin"/>
      </w:r>
      <w:r>
        <w:rPr>
          <w:rFonts w:hint="eastAsia" w:ascii="宋体" w:hAnsi="宋体" w:eastAsia="宋体" w:cs="宋体"/>
          <w:bCs w:val="0"/>
          <w:kern w:val="0"/>
          <w:szCs w:val="21"/>
          <w:highlight w:val="none"/>
        </w:rPr>
        <w:instrText xml:space="preserve"> HYPERLINK \l _Toc32110 </w:instrText>
      </w:r>
      <w:r>
        <w:rPr>
          <w:rFonts w:hint="eastAsia" w:ascii="宋体" w:hAnsi="宋体" w:eastAsia="宋体" w:cs="宋体"/>
          <w:bCs w:val="0"/>
          <w:kern w:val="0"/>
          <w:szCs w:val="21"/>
          <w:highlight w:val="none"/>
        </w:rPr>
        <w:fldChar w:fldCharType="separate"/>
      </w:r>
      <w:r>
        <w:rPr>
          <w:rFonts w:hint="eastAsia" w:ascii="宋体" w:hAnsi="宋体" w:eastAsia="宋体" w:cs="宋体"/>
          <w:highlight w:val="none"/>
        </w:rPr>
        <w:t>附件3：磋商函</w:t>
      </w:r>
      <w:r>
        <w:tab/>
      </w:r>
      <w:r>
        <w:fldChar w:fldCharType="begin"/>
      </w:r>
      <w:r>
        <w:instrText xml:space="preserve"> PAGEREF _Toc32110 \h </w:instrText>
      </w:r>
      <w:r>
        <w:fldChar w:fldCharType="separate"/>
      </w:r>
      <w:r>
        <w:t>34</w:t>
      </w:r>
      <w:r>
        <w:fldChar w:fldCharType="end"/>
      </w:r>
      <w:r>
        <w:rPr>
          <w:rFonts w:hint="eastAsia" w:ascii="宋体" w:hAnsi="宋体" w:eastAsia="宋体" w:cs="宋体"/>
          <w:bCs w:val="0"/>
          <w:color w:val="auto"/>
          <w:kern w:val="0"/>
          <w:szCs w:val="21"/>
          <w:highlight w:val="none"/>
        </w:rPr>
        <w:fldChar w:fldCharType="end"/>
      </w:r>
    </w:p>
    <w:p w14:paraId="0885E10F">
      <w:pPr>
        <w:pStyle w:val="54"/>
        <w:tabs>
          <w:tab w:val="right" w:leader="dot" w:pos="8250"/>
        </w:tabs>
      </w:pPr>
      <w:r>
        <w:rPr>
          <w:rFonts w:hint="eastAsia" w:ascii="宋体" w:hAnsi="宋体" w:eastAsia="宋体" w:cs="宋体"/>
          <w:bCs w:val="0"/>
          <w:color w:val="auto"/>
          <w:kern w:val="0"/>
          <w:szCs w:val="21"/>
          <w:highlight w:val="none"/>
        </w:rPr>
        <w:fldChar w:fldCharType="begin"/>
      </w:r>
      <w:r>
        <w:rPr>
          <w:rFonts w:hint="eastAsia" w:ascii="宋体" w:hAnsi="宋体" w:eastAsia="宋体" w:cs="宋体"/>
          <w:bCs w:val="0"/>
          <w:kern w:val="0"/>
          <w:szCs w:val="21"/>
          <w:highlight w:val="none"/>
        </w:rPr>
        <w:instrText xml:space="preserve"> HYPERLINK \l _Toc26010 </w:instrText>
      </w:r>
      <w:r>
        <w:rPr>
          <w:rFonts w:hint="eastAsia" w:ascii="宋体" w:hAnsi="宋体" w:eastAsia="宋体" w:cs="宋体"/>
          <w:bCs w:val="0"/>
          <w:kern w:val="0"/>
          <w:szCs w:val="21"/>
          <w:highlight w:val="none"/>
        </w:rPr>
        <w:fldChar w:fldCharType="separate"/>
      </w:r>
      <w:r>
        <w:rPr>
          <w:rFonts w:hint="eastAsia" w:ascii="宋体" w:hAnsi="宋体" w:eastAsia="宋体" w:cs="宋体"/>
          <w:highlight w:val="none"/>
        </w:rPr>
        <w:t>附件4：最初报价表</w:t>
      </w:r>
      <w:r>
        <w:tab/>
      </w:r>
      <w:r>
        <w:fldChar w:fldCharType="begin"/>
      </w:r>
      <w:r>
        <w:instrText xml:space="preserve"> PAGEREF _Toc26010 \h </w:instrText>
      </w:r>
      <w:r>
        <w:fldChar w:fldCharType="separate"/>
      </w:r>
      <w:r>
        <w:t>35</w:t>
      </w:r>
      <w:r>
        <w:fldChar w:fldCharType="end"/>
      </w:r>
      <w:r>
        <w:rPr>
          <w:rFonts w:hint="eastAsia" w:ascii="宋体" w:hAnsi="宋体" w:eastAsia="宋体" w:cs="宋体"/>
          <w:bCs w:val="0"/>
          <w:color w:val="auto"/>
          <w:kern w:val="0"/>
          <w:szCs w:val="21"/>
          <w:highlight w:val="none"/>
        </w:rPr>
        <w:fldChar w:fldCharType="end"/>
      </w:r>
    </w:p>
    <w:p w14:paraId="5E9A4FFA">
      <w:pPr>
        <w:pStyle w:val="54"/>
        <w:tabs>
          <w:tab w:val="right" w:leader="dot" w:pos="8250"/>
        </w:tabs>
      </w:pPr>
      <w:r>
        <w:rPr>
          <w:rFonts w:hint="eastAsia" w:ascii="宋体" w:hAnsi="宋体" w:eastAsia="宋体" w:cs="宋体"/>
          <w:bCs w:val="0"/>
          <w:color w:val="auto"/>
          <w:kern w:val="0"/>
          <w:szCs w:val="21"/>
          <w:highlight w:val="none"/>
        </w:rPr>
        <w:fldChar w:fldCharType="begin"/>
      </w:r>
      <w:r>
        <w:rPr>
          <w:rFonts w:hint="eastAsia" w:ascii="宋体" w:hAnsi="宋体" w:eastAsia="宋体" w:cs="宋体"/>
          <w:bCs w:val="0"/>
          <w:kern w:val="0"/>
          <w:szCs w:val="21"/>
          <w:highlight w:val="none"/>
        </w:rPr>
        <w:instrText xml:space="preserve"> HYPERLINK \l _Toc10913 </w:instrText>
      </w:r>
      <w:r>
        <w:rPr>
          <w:rFonts w:hint="eastAsia" w:ascii="宋体" w:hAnsi="宋体" w:eastAsia="宋体" w:cs="宋体"/>
          <w:bCs w:val="0"/>
          <w:kern w:val="0"/>
          <w:szCs w:val="21"/>
          <w:highlight w:val="none"/>
        </w:rPr>
        <w:fldChar w:fldCharType="separate"/>
      </w:r>
      <w:r>
        <w:rPr>
          <w:rFonts w:hint="eastAsia" w:ascii="宋体" w:hAnsi="宋体" w:eastAsia="宋体" w:cs="宋体"/>
          <w:highlight w:val="none"/>
        </w:rPr>
        <w:t>附件5：服务条款偏离表</w:t>
      </w:r>
      <w:r>
        <w:tab/>
      </w:r>
      <w:r>
        <w:fldChar w:fldCharType="begin"/>
      </w:r>
      <w:r>
        <w:instrText xml:space="preserve"> PAGEREF _Toc10913 \h </w:instrText>
      </w:r>
      <w:r>
        <w:fldChar w:fldCharType="separate"/>
      </w:r>
      <w:r>
        <w:t>36</w:t>
      </w:r>
      <w:r>
        <w:fldChar w:fldCharType="end"/>
      </w:r>
      <w:r>
        <w:rPr>
          <w:rFonts w:hint="eastAsia" w:ascii="宋体" w:hAnsi="宋体" w:eastAsia="宋体" w:cs="宋体"/>
          <w:bCs w:val="0"/>
          <w:color w:val="auto"/>
          <w:kern w:val="0"/>
          <w:szCs w:val="21"/>
          <w:highlight w:val="none"/>
        </w:rPr>
        <w:fldChar w:fldCharType="end"/>
      </w:r>
    </w:p>
    <w:p w14:paraId="5140BECF">
      <w:pPr>
        <w:pStyle w:val="54"/>
        <w:tabs>
          <w:tab w:val="right" w:leader="dot" w:pos="8250"/>
        </w:tabs>
      </w:pPr>
      <w:r>
        <w:rPr>
          <w:rFonts w:hint="eastAsia" w:ascii="宋体" w:hAnsi="宋体" w:eastAsia="宋体" w:cs="宋体"/>
          <w:bCs w:val="0"/>
          <w:color w:val="auto"/>
          <w:kern w:val="0"/>
          <w:szCs w:val="21"/>
          <w:highlight w:val="none"/>
        </w:rPr>
        <w:fldChar w:fldCharType="begin"/>
      </w:r>
      <w:r>
        <w:rPr>
          <w:rFonts w:hint="eastAsia" w:ascii="宋体" w:hAnsi="宋体" w:eastAsia="宋体" w:cs="宋体"/>
          <w:bCs w:val="0"/>
          <w:kern w:val="0"/>
          <w:szCs w:val="21"/>
          <w:highlight w:val="none"/>
        </w:rPr>
        <w:instrText xml:space="preserve"> HYPERLINK \l _Toc13528 </w:instrText>
      </w:r>
      <w:r>
        <w:rPr>
          <w:rFonts w:hint="eastAsia" w:ascii="宋体" w:hAnsi="宋体" w:eastAsia="宋体" w:cs="宋体"/>
          <w:bCs w:val="0"/>
          <w:kern w:val="0"/>
          <w:szCs w:val="21"/>
          <w:highlight w:val="none"/>
        </w:rPr>
        <w:fldChar w:fldCharType="separate"/>
      </w:r>
      <w:r>
        <w:rPr>
          <w:rFonts w:hint="eastAsia" w:ascii="宋体" w:hAnsi="宋体" w:eastAsia="宋体" w:cs="宋体"/>
          <w:highlight w:val="none"/>
        </w:rPr>
        <w:t>附件6：商务条款偏离表</w:t>
      </w:r>
      <w:r>
        <w:tab/>
      </w:r>
      <w:r>
        <w:fldChar w:fldCharType="begin"/>
      </w:r>
      <w:r>
        <w:instrText xml:space="preserve"> PAGEREF _Toc13528 \h </w:instrText>
      </w:r>
      <w:r>
        <w:fldChar w:fldCharType="separate"/>
      </w:r>
      <w:r>
        <w:t>37</w:t>
      </w:r>
      <w:r>
        <w:fldChar w:fldCharType="end"/>
      </w:r>
      <w:r>
        <w:rPr>
          <w:rFonts w:hint="eastAsia" w:ascii="宋体" w:hAnsi="宋体" w:eastAsia="宋体" w:cs="宋体"/>
          <w:bCs w:val="0"/>
          <w:color w:val="auto"/>
          <w:kern w:val="0"/>
          <w:szCs w:val="21"/>
          <w:highlight w:val="none"/>
        </w:rPr>
        <w:fldChar w:fldCharType="end"/>
      </w:r>
    </w:p>
    <w:p w14:paraId="24864310">
      <w:pPr>
        <w:pStyle w:val="54"/>
        <w:tabs>
          <w:tab w:val="right" w:leader="dot" w:pos="8250"/>
        </w:tabs>
      </w:pPr>
      <w:r>
        <w:rPr>
          <w:rFonts w:hint="eastAsia" w:ascii="宋体" w:hAnsi="宋体" w:eastAsia="宋体" w:cs="宋体"/>
          <w:bCs w:val="0"/>
          <w:color w:val="auto"/>
          <w:kern w:val="0"/>
          <w:szCs w:val="21"/>
          <w:highlight w:val="none"/>
        </w:rPr>
        <w:fldChar w:fldCharType="begin"/>
      </w:r>
      <w:r>
        <w:rPr>
          <w:rFonts w:hint="eastAsia" w:ascii="宋体" w:hAnsi="宋体" w:eastAsia="宋体" w:cs="宋体"/>
          <w:bCs w:val="0"/>
          <w:kern w:val="0"/>
          <w:szCs w:val="21"/>
          <w:highlight w:val="none"/>
        </w:rPr>
        <w:instrText xml:space="preserve"> HYPERLINK \l _Toc21630 </w:instrText>
      </w:r>
      <w:r>
        <w:rPr>
          <w:rFonts w:hint="eastAsia" w:ascii="宋体" w:hAnsi="宋体" w:eastAsia="宋体" w:cs="宋体"/>
          <w:bCs w:val="0"/>
          <w:kern w:val="0"/>
          <w:szCs w:val="21"/>
          <w:highlight w:val="none"/>
        </w:rPr>
        <w:fldChar w:fldCharType="separate"/>
      </w:r>
      <w:r>
        <w:rPr>
          <w:rFonts w:hint="eastAsia" w:ascii="宋体" w:hAnsi="宋体" w:eastAsia="宋体" w:cs="宋体"/>
          <w:highlight w:val="none"/>
        </w:rPr>
        <w:t>附件7：法定代表人证明书</w:t>
      </w:r>
      <w:r>
        <w:tab/>
      </w:r>
      <w:r>
        <w:fldChar w:fldCharType="begin"/>
      </w:r>
      <w:r>
        <w:instrText xml:space="preserve"> PAGEREF _Toc21630 \h </w:instrText>
      </w:r>
      <w:r>
        <w:fldChar w:fldCharType="separate"/>
      </w:r>
      <w:r>
        <w:t>38</w:t>
      </w:r>
      <w:r>
        <w:fldChar w:fldCharType="end"/>
      </w:r>
      <w:r>
        <w:rPr>
          <w:rFonts w:hint="eastAsia" w:ascii="宋体" w:hAnsi="宋体" w:eastAsia="宋体" w:cs="宋体"/>
          <w:bCs w:val="0"/>
          <w:color w:val="auto"/>
          <w:kern w:val="0"/>
          <w:szCs w:val="21"/>
          <w:highlight w:val="none"/>
        </w:rPr>
        <w:fldChar w:fldCharType="end"/>
      </w:r>
    </w:p>
    <w:p w14:paraId="2BAA5F9E">
      <w:pPr>
        <w:pStyle w:val="54"/>
        <w:tabs>
          <w:tab w:val="right" w:leader="dot" w:pos="8250"/>
        </w:tabs>
      </w:pPr>
      <w:r>
        <w:rPr>
          <w:rFonts w:hint="eastAsia" w:ascii="宋体" w:hAnsi="宋体" w:eastAsia="宋体" w:cs="宋体"/>
          <w:bCs w:val="0"/>
          <w:color w:val="auto"/>
          <w:kern w:val="0"/>
          <w:szCs w:val="21"/>
          <w:highlight w:val="none"/>
        </w:rPr>
        <w:fldChar w:fldCharType="begin"/>
      </w:r>
      <w:r>
        <w:rPr>
          <w:rFonts w:hint="eastAsia" w:ascii="宋体" w:hAnsi="宋体" w:eastAsia="宋体" w:cs="宋体"/>
          <w:bCs w:val="0"/>
          <w:kern w:val="0"/>
          <w:szCs w:val="21"/>
          <w:highlight w:val="none"/>
        </w:rPr>
        <w:instrText xml:space="preserve"> HYPERLINK \l _Toc7198 </w:instrText>
      </w:r>
      <w:r>
        <w:rPr>
          <w:rFonts w:hint="eastAsia" w:ascii="宋体" w:hAnsi="宋体" w:eastAsia="宋体" w:cs="宋体"/>
          <w:bCs w:val="0"/>
          <w:kern w:val="0"/>
          <w:szCs w:val="21"/>
          <w:highlight w:val="none"/>
        </w:rPr>
        <w:fldChar w:fldCharType="separate"/>
      </w:r>
      <w:r>
        <w:rPr>
          <w:rFonts w:hint="eastAsia" w:ascii="宋体" w:hAnsi="宋体" w:eastAsia="宋体" w:cs="宋体"/>
          <w:highlight w:val="none"/>
        </w:rPr>
        <w:t>附件8：法定代表人授权书</w:t>
      </w:r>
      <w:r>
        <w:tab/>
      </w:r>
      <w:r>
        <w:fldChar w:fldCharType="begin"/>
      </w:r>
      <w:r>
        <w:instrText xml:space="preserve"> PAGEREF _Toc7198 \h </w:instrText>
      </w:r>
      <w:r>
        <w:fldChar w:fldCharType="separate"/>
      </w:r>
      <w:r>
        <w:t>39</w:t>
      </w:r>
      <w:r>
        <w:fldChar w:fldCharType="end"/>
      </w:r>
      <w:r>
        <w:rPr>
          <w:rFonts w:hint="eastAsia" w:ascii="宋体" w:hAnsi="宋体" w:eastAsia="宋体" w:cs="宋体"/>
          <w:bCs w:val="0"/>
          <w:color w:val="auto"/>
          <w:kern w:val="0"/>
          <w:szCs w:val="21"/>
          <w:highlight w:val="none"/>
        </w:rPr>
        <w:fldChar w:fldCharType="end"/>
      </w:r>
    </w:p>
    <w:p w14:paraId="413749DE">
      <w:pPr>
        <w:pStyle w:val="54"/>
        <w:tabs>
          <w:tab w:val="right" w:leader="dot" w:pos="8250"/>
        </w:tabs>
      </w:pPr>
      <w:r>
        <w:rPr>
          <w:rFonts w:hint="eastAsia" w:ascii="宋体" w:hAnsi="宋体" w:eastAsia="宋体" w:cs="宋体"/>
          <w:bCs w:val="0"/>
          <w:color w:val="auto"/>
          <w:kern w:val="0"/>
          <w:szCs w:val="21"/>
          <w:highlight w:val="none"/>
        </w:rPr>
        <w:fldChar w:fldCharType="begin"/>
      </w:r>
      <w:r>
        <w:rPr>
          <w:rFonts w:hint="eastAsia" w:ascii="宋体" w:hAnsi="宋体" w:eastAsia="宋体" w:cs="宋体"/>
          <w:bCs w:val="0"/>
          <w:kern w:val="0"/>
          <w:szCs w:val="21"/>
          <w:highlight w:val="none"/>
        </w:rPr>
        <w:instrText xml:space="preserve"> HYPERLINK \l _Toc27956 </w:instrText>
      </w:r>
      <w:r>
        <w:rPr>
          <w:rFonts w:hint="eastAsia" w:ascii="宋体" w:hAnsi="宋体" w:eastAsia="宋体" w:cs="宋体"/>
          <w:bCs w:val="0"/>
          <w:kern w:val="0"/>
          <w:szCs w:val="21"/>
          <w:highlight w:val="none"/>
        </w:rPr>
        <w:fldChar w:fldCharType="separate"/>
      </w:r>
      <w:r>
        <w:rPr>
          <w:rFonts w:hint="eastAsia" w:ascii="宋体" w:hAnsi="宋体" w:eastAsia="宋体" w:cs="宋体"/>
          <w:highlight w:val="none"/>
        </w:rPr>
        <w:t>附件9：供应商承诺函</w:t>
      </w:r>
      <w:r>
        <w:tab/>
      </w:r>
      <w:r>
        <w:fldChar w:fldCharType="begin"/>
      </w:r>
      <w:r>
        <w:instrText xml:space="preserve"> PAGEREF _Toc27956 \h </w:instrText>
      </w:r>
      <w:r>
        <w:fldChar w:fldCharType="separate"/>
      </w:r>
      <w:r>
        <w:t>40</w:t>
      </w:r>
      <w:r>
        <w:fldChar w:fldCharType="end"/>
      </w:r>
      <w:r>
        <w:rPr>
          <w:rFonts w:hint="eastAsia" w:ascii="宋体" w:hAnsi="宋体" w:eastAsia="宋体" w:cs="宋体"/>
          <w:bCs w:val="0"/>
          <w:color w:val="auto"/>
          <w:kern w:val="0"/>
          <w:szCs w:val="21"/>
          <w:highlight w:val="none"/>
        </w:rPr>
        <w:fldChar w:fldCharType="end"/>
      </w:r>
    </w:p>
    <w:p w14:paraId="2F33DBC8">
      <w:pPr>
        <w:pStyle w:val="54"/>
        <w:tabs>
          <w:tab w:val="right" w:leader="dot" w:pos="8250"/>
        </w:tabs>
      </w:pPr>
      <w:r>
        <w:rPr>
          <w:rFonts w:hint="eastAsia" w:ascii="宋体" w:hAnsi="宋体" w:eastAsia="宋体" w:cs="宋体"/>
          <w:bCs w:val="0"/>
          <w:color w:val="auto"/>
          <w:kern w:val="0"/>
          <w:szCs w:val="21"/>
          <w:highlight w:val="none"/>
        </w:rPr>
        <w:fldChar w:fldCharType="begin"/>
      </w:r>
      <w:r>
        <w:rPr>
          <w:rFonts w:hint="eastAsia" w:ascii="宋体" w:hAnsi="宋体" w:eastAsia="宋体" w:cs="宋体"/>
          <w:bCs w:val="0"/>
          <w:kern w:val="0"/>
          <w:szCs w:val="21"/>
          <w:highlight w:val="none"/>
        </w:rPr>
        <w:instrText xml:space="preserve"> HYPERLINK \l _Toc28415 </w:instrText>
      </w:r>
      <w:r>
        <w:rPr>
          <w:rFonts w:hint="eastAsia" w:ascii="宋体" w:hAnsi="宋体" w:eastAsia="宋体" w:cs="宋体"/>
          <w:bCs w:val="0"/>
          <w:kern w:val="0"/>
          <w:szCs w:val="21"/>
          <w:highlight w:val="none"/>
        </w:rPr>
        <w:fldChar w:fldCharType="separate"/>
      </w:r>
      <w:r>
        <w:rPr>
          <w:rFonts w:hint="eastAsia" w:ascii="宋体" w:hAnsi="宋体" w:eastAsia="宋体" w:cs="宋体"/>
          <w:highlight w:val="none"/>
        </w:rPr>
        <w:t>附件10：供应商诚信承诺书</w:t>
      </w:r>
      <w:r>
        <w:tab/>
      </w:r>
      <w:r>
        <w:fldChar w:fldCharType="begin"/>
      </w:r>
      <w:r>
        <w:instrText xml:space="preserve"> PAGEREF _Toc28415 \h </w:instrText>
      </w:r>
      <w:r>
        <w:fldChar w:fldCharType="separate"/>
      </w:r>
      <w:r>
        <w:t>42</w:t>
      </w:r>
      <w:r>
        <w:fldChar w:fldCharType="end"/>
      </w:r>
      <w:r>
        <w:rPr>
          <w:rFonts w:hint="eastAsia" w:ascii="宋体" w:hAnsi="宋体" w:eastAsia="宋体" w:cs="宋体"/>
          <w:bCs w:val="0"/>
          <w:color w:val="auto"/>
          <w:kern w:val="0"/>
          <w:szCs w:val="21"/>
          <w:highlight w:val="none"/>
        </w:rPr>
        <w:fldChar w:fldCharType="end"/>
      </w:r>
    </w:p>
    <w:p w14:paraId="67F2B36B">
      <w:pPr>
        <w:pStyle w:val="54"/>
        <w:tabs>
          <w:tab w:val="right" w:leader="dot" w:pos="8250"/>
        </w:tabs>
      </w:pPr>
      <w:r>
        <w:rPr>
          <w:rFonts w:hint="eastAsia" w:ascii="宋体" w:hAnsi="宋体" w:eastAsia="宋体" w:cs="宋体"/>
          <w:bCs w:val="0"/>
          <w:color w:val="auto"/>
          <w:kern w:val="0"/>
          <w:szCs w:val="21"/>
          <w:highlight w:val="none"/>
        </w:rPr>
        <w:fldChar w:fldCharType="begin"/>
      </w:r>
      <w:r>
        <w:rPr>
          <w:rFonts w:hint="eastAsia" w:ascii="宋体" w:hAnsi="宋体" w:eastAsia="宋体" w:cs="宋体"/>
          <w:bCs w:val="0"/>
          <w:kern w:val="0"/>
          <w:szCs w:val="21"/>
          <w:highlight w:val="none"/>
        </w:rPr>
        <w:instrText xml:space="preserve"> HYPERLINK \l _Toc937 </w:instrText>
      </w:r>
      <w:r>
        <w:rPr>
          <w:rFonts w:hint="eastAsia" w:ascii="宋体" w:hAnsi="宋体" w:eastAsia="宋体" w:cs="宋体"/>
          <w:bCs w:val="0"/>
          <w:kern w:val="0"/>
          <w:szCs w:val="21"/>
          <w:highlight w:val="none"/>
        </w:rPr>
        <w:fldChar w:fldCharType="separate"/>
      </w:r>
      <w:r>
        <w:rPr>
          <w:rFonts w:hint="eastAsia" w:ascii="宋体" w:hAnsi="宋体" w:eastAsia="宋体" w:cs="宋体"/>
          <w:highlight w:val="none"/>
        </w:rPr>
        <w:t>附件11：资格证明材料</w:t>
      </w:r>
      <w:r>
        <w:tab/>
      </w:r>
      <w:r>
        <w:fldChar w:fldCharType="begin"/>
      </w:r>
      <w:r>
        <w:instrText xml:space="preserve"> PAGEREF _Toc937 \h </w:instrText>
      </w:r>
      <w:r>
        <w:fldChar w:fldCharType="separate"/>
      </w:r>
      <w:r>
        <w:t>43</w:t>
      </w:r>
      <w:r>
        <w:fldChar w:fldCharType="end"/>
      </w:r>
      <w:r>
        <w:rPr>
          <w:rFonts w:hint="eastAsia" w:ascii="宋体" w:hAnsi="宋体" w:eastAsia="宋体" w:cs="宋体"/>
          <w:bCs w:val="0"/>
          <w:color w:val="auto"/>
          <w:kern w:val="0"/>
          <w:szCs w:val="21"/>
          <w:highlight w:val="none"/>
        </w:rPr>
        <w:fldChar w:fldCharType="end"/>
      </w:r>
    </w:p>
    <w:p w14:paraId="112462A9">
      <w:pPr>
        <w:pStyle w:val="54"/>
        <w:tabs>
          <w:tab w:val="right" w:leader="dot" w:pos="8250"/>
        </w:tabs>
      </w:pPr>
      <w:r>
        <w:rPr>
          <w:rFonts w:hint="eastAsia" w:ascii="宋体" w:hAnsi="宋体" w:eastAsia="宋体" w:cs="宋体"/>
          <w:bCs w:val="0"/>
          <w:color w:val="auto"/>
          <w:kern w:val="0"/>
          <w:szCs w:val="21"/>
          <w:highlight w:val="none"/>
        </w:rPr>
        <w:fldChar w:fldCharType="begin"/>
      </w:r>
      <w:r>
        <w:rPr>
          <w:rFonts w:hint="eastAsia" w:ascii="宋体" w:hAnsi="宋体" w:eastAsia="宋体" w:cs="宋体"/>
          <w:bCs w:val="0"/>
          <w:kern w:val="0"/>
          <w:szCs w:val="21"/>
          <w:highlight w:val="none"/>
        </w:rPr>
        <w:instrText xml:space="preserve"> HYPERLINK \l _Toc19453 </w:instrText>
      </w:r>
      <w:r>
        <w:rPr>
          <w:rFonts w:hint="eastAsia" w:ascii="宋体" w:hAnsi="宋体" w:eastAsia="宋体" w:cs="宋体"/>
          <w:bCs w:val="0"/>
          <w:kern w:val="0"/>
          <w:szCs w:val="21"/>
          <w:highlight w:val="none"/>
        </w:rPr>
        <w:fldChar w:fldCharType="separate"/>
      </w:r>
      <w:r>
        <w:rPr>
          <w:rFonts w:hint="eastAsia" w:ascii="宋体" w:hAnsi="宋体" w:eastAsia="宋体" w:cs="宋体"/>
          <w:highlight w:val="none"/>
        </w:rPr>
        <w:t>附件12：财务状况、缴纳税收和社会保障资金证明</w:t>
      </w:r>
      <w:r>
        <w:tab/>
      </w:r>
      <w:r>
        <w:fldChar w:fldCharType="begin"/>
      </w:r>
      <w:r>
        <w:instrText xml:space="preserve"> PAGEREF _Toc19453 \h </w:instrText>
      </w:r>
      <w:r>
        <w:fldChar w:fldCharType="separate"/>
      </w:r>
      <w:r>
        <w:t>44</w:t>
      </w:r>
      <w:r>
        <w:fldChar w:fldCharType="end"/>
      </w:r>
      <w:r>
        <w:rPr>
          <w:rFonts w:hint="eastAsia" w:ascii="宋体" w:hAnsi="宋体" w:eastAsia="宋体" w:cs="宋体"/>
          <w:bCs w:val="0"/>
          <w:color w:val="auto"/>
          <w:kern w:val="0"/>
          <w:szCs w:val="21"/>
          <w:highlight w:val="none"/>
        </w:rPr>
        <w:fldChar w:fldCharType="end"/>
      </w:r>
    </w:p>
    <w:p w14:paraId="56440FE9">
      <w:pPr>
        <w:pStyle w:val="54"/>
        <w:tabs>
          <w:tab w:val="right" w:leader="dot" w:pos="8250"/>
        </w:tabs>
      </w:pPr>
      <w:r>
        <w:rPr>
          <w:rFonts w:hint="eastAsia" w:ascii="宋体" w:hAnsi="宋体" w:eastAsia="宋体" w:cs="宋体"/>
          <w:bCs w:val="0"/>
          <w:color w:val="auto"/>
          <w:kern w:val="0"/>
          <w:szCs w:val="21"/>
          <w:highlight w:val="none"/>
        </w:rPr>
        <w:fldChar w:fldCharType="begin"/>
      </w:r>
      <w:r>
        <w:rPr>
          <w:rFonts w:hint="eastAsia" w:ascii="宋体" w:hAnsi="宋体" w:eastAsia="宋体" w:cs="宋体"/>
          <w:bCs w:val="0"/>
          <w:kern w:val="0"/>
          <w:szCs w:val="21"/>
          <w:highlight w:val="none"/>
        </w:rPr>
        <w:instrText xml:space="preserve"> HYPERLINK \l _Toc8894 </w:instrText>
      </w:r>
      <w:r>
        <w:rPr>
          <w:rFonts w:hint="eastAsia" w:ascii="宋体" w:hAnsi="宋体" w:eastAsia="宋体" w:cs="宋体"/>
          <w:bCs w:val="0"/>
          <w:kern w:val="0"/>
          <w:szCs w:val="21"/>
          <w:highlight w:val="none"/>
        </w:rPr>
        <w:fldChar w:fldCharType="separate"/>
      </w:r>
      <w:r>
        <w:rPr>
          <w:rFonts w:hint="eastAsia" w:ascii="宋体" w:hAnsi="宋体" w:eastAsia="宋体" w:cs="宋体"/>
          <w:szCs w:val="28"/>
          <w:highlight w:val="none"/>
        </w:rPr>
        <w:t>附件</w:t>
      </w:r>
      <w:r>
        <w:rPr>
          <w:rFonts w:hint="eastAsia" w:ascii="宋体" w:hAnsi="宋体" w:eastAsia="宋体" w:cs="宋体"/>
          <w:smallCaps/>
          <w:spacing w:val="20"/>
          <w:kern w:val="2"/>
          <w:szCs w:val="28"/>
          <w:highlight w:val="none"/>
        </w:rPr>
        <w:t>13：</w:t>
      </w:r>
      <w:r>
        <w:rPr>
          <w:rFonts w:hint="eastAsia" w:ascii="宋体" w:hAnsi="宋体" w:eastAsia="宋体" w:cs="宋体"/>
          <w:smallCaps/>
          <w:spacing w:val="20"/>
          <w:kern w:val="2"/>
          <w:szCs w:val="28"/>
          <w:highlight w:val="none"/>
          <w:lang w:val="zh-CN"/>
        </w:rPr>
        <w:t>具备履行合同所必须的设备和专业技术能力证明</w:t>
      </w:r>
      <w:r>
        <w:tab/>
      </w:r>
      <w:r>
        <w:fldChar w:fldCharType="begin"/>
      </w:r>
      <w:r>
        <w:instrText xml:space="preserve"> PAGEREF _Toc8894 \h </w:instrText>
      </w:r>
      <w:r>
        <w:fldChar w:fldCharType="separate"/>
      </w:r>
      <w:r>
        <w:t>45</w:t>
      </w:r>
      <w:r>
        <w:fldChar w:fldCharType="end"/>
      </w:r>
      <w:r>
        <w:rPr>
          <w:rFonts w:hint="eastAsia" w:ascii="宋体" w:hAnsi="宋体" w:eastAsia="宋体" w:cs="宋体"/>
          <w:bCs w:val="0"/>
          <w:color w:val="auto"/>
          <w:kern w:val="0"/>
          <w:szCs w:val="21"/>
          <w:highlight w:val="none"/>
        </w:rPr>
        <w:fldChar w:fldCharType="end"/>
      </w:r>
    </w:p>
    <w:p w14:paraId="2D9121C3">
      <w:pPr>
        <w:pStyle w:val="54"/>
        <w:tabs>
          <w:tab w:val="right" w:leader="dot" w:pos="8250"/>
        </w:tabs>
      </w:pPr>
      <w:r>
        <w:rPr>
          <w:rFonts w:hint="eastAsia" w:ascii="宋体" w:hAnsi="宋体" w:eastAsia="宋体" w:cs="宋体"/>
          <w:bCs w:val="0"/>
          <w:color w:val="auto"/>
          <w:kern w:val="0"/>
          <w:szCs w:val="21"/>
          <w:highlight w:val="none"/>
        </w:rPr>
        <w:fldChar w:fldCharType="begin"/>
      </w:r>
      <w:r>
        <w:rPr>
          <w:rFonts w:hint="eastAsia" w:ascii="宋体" w:hAnsi="宋体" w:eastAsia="宋体" w:cs="宋体"/>
          <w:bCs w:val="0"/>
          <w:kern w:val="0"/>
          <w:szCs w:val="21"/>
          <w:highlight w:val="none"/>
        </w:rPr>
        <w:instrText xml:space="preserve"> HYPERLINK \l _Toc1842 </w:instrText>
      </w:r>
      <w:r>
        <w:rPr>
          <w:rFonts w:hint="eastAsia" w:ascii="宋体" w:hAnsi="宋体" w:eastAsia="宋体" w:cs="宋体"/>
          <w:bCs w:val="0"/>
          <w:kern w:val="0"/>
          <w:szCs w:val="21"/>
          <w:highlight w:val="none"/>
        </w:rPr>
        <w:fldChar w:fldCharType="separate"/>
      </w:r>
      <w:r>
        <w:rPr>
          <w:rFonts w:hint="eastAsia" w:ascii="宋体" w:hAnsi="宋体" w:eastAsia="宋体" w:cs="宋体"/>
          <w:highlight w:val="none"/>
        </w:rPr>
        <w:t>附件14：无重大违法记录声明</w:t>
      </w:r>
      <w:r>
        <w:tab/>
      </w:r>
      <w:r>
        <w:fldChar w:fldCharType="begin"/>
      </w:r>
      <w:r>
        <w:instrText xml:space="preserve"> PAGEREF _Toc1842 \h </w:instrText>
      </w:r>
      <w:r>
        <w:fldChar w:fldCharType="separate"/>
      </w:r>
      <w:r>
        <w:t>46</w:t>
      </w:r>
      <w:r>
        <w:fldChar w:fldCharType="end"/>
      </w:r>
      <w:r>
        <w:rPr>
          <w:rFonts w:hint="eastAsia" w:ascii="宋体" w:hAnsi="宋体" w:eastAsia="宋体" w:cs="宋体"/>
          <w:bCs w:val="0"/>
          <w:color w:val="auto"/>
          <w:kern w:val="0"/>
          <w:szCs w:val="21"/>
          <w:highlight w:val="none"/>
        </w:rPr>
        <w:fldChar w:fldCharType="end"/>
      </w:r>
    </w:p>
    <w:p w14:paraId="0EE0054A">
      <w:pPr>
        <w:pStyle w:val="54"/>
        <w:tabs>
          <w:tab w:val="right" w:leader="dot" w:pos="8250"/>
        </w:tabs>
      </w:pPr>
      <w:r>
        <w:rPr>
          <w:rFonts w:hint="eastAsia" w:ascii="宋体" w:hAnsi="宋体" w:eastAsia="宋体" w:cs="宋体"/>
          <w:bCs w:val="0"/>
          <w:color w:val="auto"/>
          <w:kern w:val="0"/>
          <w:szCs w:val="21"/>
          <w:highlight w:val="none"/>
        </w:rPr>
        <w:fldChar w:fldCharType="begin"/>
      </w:r>
      <w:r>
        <w:rPr>
          <w:rFonts w:hint="eastAsia" w:ascii="宋体" w:hAnsi="宋体" w:eastAsia="宋体" w:cs="宋体"/>
          <w:bCs w:val="0"/>
          <w:kern w:val="0"/>
          <w:szCs w:val="21"/>
          <w:highlight w:val="none"/>
        </w:rPr>
        <w:instrText xml:space="preserve"> HYPERLINK \l _Toc30685 </w:instrText>
      </w:r>
      <w:r>
        <w:rPr>
          <w:rFonts w:hint="eastAsia" w:ascii="宋体" w:hAnsi="宋体" w:eastAsia="宋体" w:cs="宋体"/>
          <w:bCs w:val="0"/>
          <w:kern w:val="0"/>
          <w:szCs w:val="21"/>
          <w:highlight w:val="none"/>
        </w:rPr>
        <w:fldChar w:fldCharType="separate"/>
      </w:r>
      <w:r>
        <w:rPr>
          <w:rFonts w:hint="eastAsia" w:ascii="宋体" w:hAnsi="宋体" w:eastAsia="宋体" w:cs="宋体"/>
          <w:highlight w:val="none"/>
        </w:rPr>
        <w:t>附件15：类似业绩证明材料</w:t>
      </w:r>
      <w:r>
        <w:tab/>
      </w:r>
      <w:r>
        <w:fldChar w:fldCharType="begin"/>
      </w:r>
      <w:r>
        <w:instrText xml:space="preserve"> PAGEREF _Toc30685 \h </w:instrText>
      </w:r>
      <w:r>
        <w:fldChar w:fldCharType="separate"/>
      </w:r>
      <w:r>
        <w:t>47</w:t>
      </w:r>
      <w:r>
        <w:fldChar w:fldCharType="end"/>
      </w:r>
      <w:r>
        <w:rPr>
          <w:rFonts w:hint="eastAsia" w:ascii="宋体" w:hAnsi="宋体" w:eastAsia="宋体" w:cs="宋体"/>
          <w:bCs w:val="0"/>
          <w:color w:val="auto"/>
          <w:kern w:val="0"/>
          <w:szCs w:val="21"/>
          <w:highlight w:val="none"/>
        </w:rPr>
        <w:fldChar w:fldCharType="end"/>
      </w:r>
    </w:p>
    <w:p w14:paraId="656CD683">
      <w:pPr>
        <w:pStyle w:val="54"/>
        <w:tabs>
          <w:tab w:val="right" w:leader="dot" w:pos="8250"/>
        </w:tabs>
      </w:pPr>
      <w:r>
        <w:rPr>
          <w:rFonts w:hint="eastAsia" w:ascii="宋体" w:hAnsi="宋体" w:eastAsia="宋体" w:cs="宋体"/>
          <w:bCs w:val="0"/>
          <w:color w:val="auto"/>
          <w:kern w:val="0"/>
          <w:szCs w:val="21"/>
          <w:highlight w:val="none"/>
        </w:rPr>
        <w:fldChar w:fldCharType="begin"/>
      </w:r>
      <w:r>
        <w:rPr>
          <w:rFonts w:hint="eastAsia" w:ascii="宋体" w:hAnsi="宋体" w:eastAsia="宋体" w:cs="宋体"/>
          <w:bCs w:val="0"/>
          <w:kern w:val="0"/>
          <w:szCs w:val="21"/>
          <w:highlight w:val="none"/>
        </w:rPr>
        <w:instrText xml:space="preserve"> HYPERLINK \l _Toc824 </w:instrText>
      </w:r>
      <w:r>
        <w:rPr>
          <w:rFonts w:hint="eastAsia" w:ascii="宋体" w:hAnsi="宋体" w:eastAsia="宋体" w:cs="宋体"/>
          <w:bCs w:val="0"/>
          <w:kern w:val="0"/>
          <w:szCs w:val="21"/>
          <w:highlight w:val="none"/>
        </w:rPr>
        <w:fldChar w:fldCharType="separate"/>
      </w:r>
      <w:r>
        <w:rPr>
          <w:rFonts w:hint="eastAsia" w:ascii="宋体" w:hAnsi="宋体" w:eastAsia="宋体" w:cs="宋体"/>
          <w:highlight w:val="none"/>
        </w:rPr>
        <w:t>附件1</w:t>
      </w:r>
      <w:r>
        <w:rPr>
          <w:rFonts w:hint="eastAsia" w:ascii="宋体" w:hAnsi="宋体" w:cs="宋体"/>
          <w:highlight w:val="none"/>
          <w:lang w:val="en-US" w:eastAsia="zh-CN"/>
        </w:rPr>
        <w:t>6</w:t>
      </w:r>
      <w:r>
        <w:rPr>
          <w:rFonts w:hint="eastAsia" w:ascii="宋体" w:hAnsi="宋体" w:eastAsia="宋体" w:cs="宋体"/>
          <w:highlight w:val="none"/>
        </w:rPr>
        <w:t>：服务能力与方案</w:t>
      </w:r>
      <w:r>
        <w:tab/>
      </w:r>
      <w:r>
        <w:fldChar w:fldCharType="begin"/>
      </w:r>
      <w:r>
        <w:instrText xml:space="preserve"> PAGEREF _Toc824 \h </w:instrText>
      </w:r>
      <w:r>
        <w:fldChar w:fldCharType="separate"/>
      </w:r>
      <w:r>
        <w:t>48</w:t>
      </w:r>
      <w:r>
        <w:fldChar w:fldCharType="end"/>
      </w:r>
      <w:r>
        <w:rPr>
          <w:rFonts w:hint="eastAsia" w:ascii="宋体" w:hAnsi="宋体" w:eastAsia="宋体" w:cs="宋体"/>
          <w:bCs w:val="0"/>
          <w:color w:val="auto"/>
          <w:kern w:val="0"/>
          <w:szCs w:val="21"/>
          <w:highlight w:val="none"/>
        </w:rPr>
        <w:fldChar w:fldCharType="end"/>
      </w:r>
    </w:p>
    <w:p w14:paraId="09A8FB0E">
      <w:pPr>
        <w:pStyle w:val="54"/>
        <w:tabs>
          <w:tab w:val="right" w:leader="dot" w:pos="8250"/>
        </w:tabs>
      </w:pPr>
      <w:r>
        <w:rPr>
          <w:rFonts w:hint="eastAsia" w:ascii="宋体" w:hAnsi="宋体" w:eastAsia="宋体" w:cs="宋体"/>
          <w:bCs w:val="0"/>
          <w:color w:val="auto"/>
          <w:kern w:val="0"/>
          <w:szCs w:val="21"/>
          <w:highlight w:val="none"/>
        </w:rPr>
        <w:fldChar w:fldCharType="begin"/>
      </w:r>
      <w:r>
        <w:rPr>
          <w:rFonts w:hint="eastAsia" w:ascii="宋体" w:hAnsi="宋体" w:eastAsia="宋体" w:cs="宋体"/>
          <w:bCs w:val="0"/>
          <w:kern w:val="0"/>
          <w:szCs w:val="21"/>
          <w:highlight w:val="none"/>
        </w:rPr>
        <w:instrText xml:space="preserve"> HYPERLINK \l _Toc25285 </w:instrText>
      </w:r>
      <w:r>
        <w:rPr>
          <w:rFonts w:hint="eastAsia" w:ascii="宋体" w:hAnsi="宋体" w:eastAsia="宋体" w:cs="宋体"/>
          <w:bCs w:val="0"/>
          <w:kern w:val="0"/>
          <w:szCs w:val="21"/>
          <w:highlight w:val="none"/>
        </w:rPr>
        <w:fldChar w:fldCharType="separate"/>
      </w:r>
      <w:r>
        <w:rPr>
          <w:rFonts w:hint="eastAsia" w:ascii="宋体" w:hAnsi="宋体" w:eastAsia="宋体" w:cs="宋体"/>
          <w:highlight w:val="none"/>
        </w:rPr>
        <w:t>附件1</w:t>
      </w:r>
      <w:r>
        <w:rPr>
          <w:rFonts w:hint="eastAsia" w:ascii="宋体" w:hAnsi="宋体" w:cs="宋体"/>
          <w:highlight w:val="none"/>
          <w:lang w:val="en-US" w:eastAsia="zh-CN"/>
        </w:rPr>
        <w:t>7</w:t>
      </w:r>
      <w:r>
        <w:rPr>
          <w:rFonts w:hint="eastAsia" w:ascii="宋体" w:hAnsi="宋体" w:eastAsia="宋体" w:cs="宋体"/>
          <w:highlight w:val="none"/>
        </w:rPr>
        <w:t>：最终报价表</w:t>
      </w:r>
      <w:r>
        <w:tab/>
      </w:r>
      <w:r>
        <w:fldChar w:fldCharType="begin"/>
      </w:r>
      <w:r>
        <w:instrText xml:space="preserve"> PAGEREF _Toc25285 \h </w:instrText>
      </w:r>
      <w:r>
        <w:fldChar w:fldCharType="separate"/>
      </w:r>
      <w:r>
        <w:t>49</w:t>
      </w:r>
      <w:r>
        <w:fldChar w:fldCharType="end"/>
      </w:r>
      <w:r>
        <w:rPr>
          <w:rFonts w:hint="eastAsia" w:ascii="宋体" w:hAnsi="宋体" w:eastAsia="宋体" w:cs="宋体"/>
          <w:bCs w:val="0"/>
          <w:color w:val="auto"/>
          <w:kern w:val="0"/>
          <w:szCs w:val="21"/>
          <w:highlight w:val="none"/>
        </w:rPr>
        <w:fldChar w:fldCharType="end"/>
      </w:r>
    </w:p>
    <w:p w14:paraId="6229A488">
      <w:pPr>
        <w:pStyle w:val="54"/>
        <w:tabs>
          <w:tab w:val="right" w:leader="dot" w:pos="8250"/>
        </w:tabs>
      </w:pPr>
      <w:r>
        <w:rPr>
          <w:rFonts w:hint="eastAsia" w:ascii="宋体" w:hAnsi="宋体" w:eastAsia="宋体" w:cs="宋体"/>
          <w:bCs w:val="0"/>
          <w:color w:val="auto"/>
          <w:kern w:val="0"/>
          <w:szCs w:val="21"/>
          <w:highlight w:val="none"/>
        </w:rPr>
        <w:fldChar w:fldCharType="begin"/>
      </w:r>
      <w:r>
        <w:rPr>
          <w:rFonts w:hint="eastAsia" w:ascii="宋体" w:hAnsi="宋体" w:eastAsia="宋体" w:cs="宋体"/>
          <w:bCs w:val="0"/>
          <w:kern w:val="0"/>
          <w:szCs w:val="21"/>
          <w:highlight w:val="none"/>
        </w:rPr>
        <w:instrText xml:space="preserve"> HYPERLINK \l _Toc12846 </w:instrText>
      </w:r>
      <w:r>
        <w:rPr>
          <w:rFonts w:hint="eastAsia" w:ascii="宋体" w:hAnsi="宋体" w:eastAsia="宋体" w:cs="宋体"/>
          <w:bCs w:val="0"/>
          <w:kern w:val="0"/>
          <w:szCs w:val="21"/>
          <w:highlight w:val="none"/>
        </w:rPr>
        <w:fldChar w:fldCharType="separate"/>
      </w:r>
      <w:r>
        <w:rPr>
          <w:rFonts w:hint="eastAsia" w:ascii="宋体" w:hAnsi="宋体" w:eastAsia="宋体" w:cs="宋体"/>
          <w:highlight w:val="none"/>
        </w:rPr>
        <w:t>附件1</w:t>
      </w:r>
      <w:r>
        <w:rPr>
          <w:rFonts w:hint="eastAsia" w:ascii="宋体" w:hAnsi="宋体" w:cs="宋体"/>
          <w:highlight w:val="none"/>
          <w:lang w:val="en-US" w:eastAsia="zh-CN"/>
        </w:rPr>
        <w:t>8</w:t>
      </w:r>
      <w:r>
        <w:rPr>
          <w:rFonts w:hint="eastAsia" w:ascii="宋体" w:hAnsi="宋体" w:eastAsia="宋体" w:cs="宋体"/>
          <w:highlight w:val="none"/>
        </w:rPr>
        <w:t>：</w:t>
      </w:r>
      <w:r>
        <w:rPr>
          <w:rFonts w:hint="eastAsia" w:ascii="宋体" w:hAnsi="宋体" w:eastAsia="宋体" w:cs="宋体"/>
          <w:highlight w:val="none"/>
          <w:lang w:eastAsia="zh-CN"/>
        </w:rPr>
        <w:t>供应商认为在其他方面有必要说明的事项</w:t>
      </w:r>
      <w:r>
        <w:tab/>
      </w:r>
      <w:r>
        <w:fldChar w:fldCharType="begin"/>
      </w:r>
      <w:r>
        <w:instrText xml:space="preserve"> PAGEREF _Toc12846 \h </w:instrText>
      </w:r>
      <w:r>
        <w:fldChar w:fldCharType="separate"/>
      </w:r>
      <w:r>
        <w:t>50</w:t>
      </w:r>
      <w:r>
        <w:fldChar w:fldCharType="end"/>
      </w:r>
      <w:r>
        <w:rPr>
          <w:rFonts w:hint="eastAsia" w:ascii="宋体" w:hAnsi="宋体" w:eastAsia="宋体" w:cs="宋体"/>
          <w:bCs w:val="0"/>
          <w:color w:val="auto"/>
          <w:kern w:val="0"/>
          <w:szCs w:val="21"/>
          <w:highlight w:val="none"/>
        </w:rPr>
        <w:fldChar w:fldCharType="end"/>
      </w:r>
    </w:p>
    <w:p w14:paraId="1ADA151B">
      <w:pPr>
        <w:pStyle w:val="54"/>
        <w:tabs>
          <w:tab w:val="right" w:leader="dot" w:pos="8250"/>
        </w:tabs>
      </w:pPr>
      <w:r>
        <w:rPr>
          <w:rFonts w:hint="eastAsia" w:ascii="宋体" w:hAnsi="宋体" w:eastAsia="宋体" w:cs="宋体"/>
          <w:bCs w:val="0"/>
          <w:color w:val="auto"/>
          <w:kern w:val="0"/>
          <w:szCs w:val="21"/>
          <w:highlight w:val="none"/>
        </w:rPr>
        <w:fldChar w:fldCharType="begin"/>
      </w:r>
      <w:r>
        <w:rPr>
          <w:rFonts w:hint="eastAsia" w:ascii="宋体" w:hAnsi="宋体" w:eastAsia="宋体" w:cs="宋体"/>
          <w:bCs w:val="0"/>
          <w:kern w:val="0"/>
          <w:szCs w:val="21"/>
          <w:highlight w:val="none"/>
        </w:rPr>
        <w:instrText xml:space="preserve"> HYPERLINK \l _Toc24821 </w:instrText>
      </w:r>
      <w:r>
        <w:rPr>
          <w:rFonts w:hint="eastAsia" w:ascii="宋体" w:hAnsi="宋体" w:eastAsia="宋体" w:cs="宋体"/>
          <w:bCs w:val="0"/>
          <w:kern w:val="0"/>
          <w:szCs w:val="21"/>
          <w:highlight w:val="none"/>
        </w:rPr>
        <w:fldChar w:fldCharType="separate"/>
      </w:r>
      <w:r>
        <w:rPr>
          <w:rFonts w:hint="eastAsia" w:ascii="宋体" w:hAnsi="宋体" w:eastAsia="宋体" w:cs="宋体"/>
          <w:highlight w:val="none"/>
        </w:rPr>
        <w:t>附件</w:t>
      </w:r>
      <w:r>
        <w:rPr>
          <w:rFonts w:hint="eastAsia" w:ascii="宋体" w:hAnsi="宋体" w:cs="宋体"/>
          <w:highlight w:val="none"/>
          <w:lang w:val="en-US" w:eastAsia="zh-CN"/>
        </w:rPr>
        <w:t>19</w:t>
      </w:r>
      <w:r>
        <w:rPr>
          <w:rFonts w:hint="eastAsia" w:ascii="宋体" w:hAnsi="宋体" w:eastAsia="宋体" w:cs="宋体"/>
          <w:highlight w:val="none"/>
        </w:rPr>
        <w:t>：享受政府采购政策优惠的证明资料</w:t>
      </w:r>
      <w:r>
        <w:tab/>
      </w:r>
      <w:r>
        <w:fldChar w:fldCharType="begin"/>
      </w:r>
      <w:r>
        <w:instrText xml:space="preserve"> PAGEREF _Toc24821 \h </w:instrText>
      </w:r>
      <w:r>
        <w:fldChar w:fldCharType="separate"/>
      </w:r>
      <w:r>
        <w:t>51</w:t>
      </w:r>
      <w:r>
        <w:fldChar w:fldCharType="end"/>
      </w:r>
      <w:r>
        <w:rPr>
          <w:rFonts w:hint="eastAsia" w:ascii="宋体" w:hAnsi="宋体" w:eastAsia="宋体" w:cs="宋体"/>
          <w:bCs w:val="0"/>
          <w:color w:val="auto"/>
          <w:kern w:val="0"/>
          <w:szCs w:val="21"/>
          <w:highlight w:val="none"/>
        </w:rPr>
        <w:fldChar w:fldCharType="end"/>
      </w:r>
    </w:p>
    <w:p w14:paraId="4E9FAA71">
      <w:pPr>
        <w:pStyle w:val="42"/>
        <w:tabs>
          <w:tab w:val="right" w:leader="dot" w:pos="8250"/>
        </w:tabs>
      </w:pPr>
      <w:r>
        <w:rPr>
          <w:rFonts w:hint="eastAsia" w:ascii="宋体" w:hAnsi="宋体" w:eastAsia="宋体" w:cs="宋体"/>
          <w:bCs w:val="0"/>
          <w:color w:val="auto"/>
          <w:kern w:val="0"/>
          <w:szCs w:val="21"/>
          <w:highlight w:val="none"/>
        </w:rPr>
        <w:fldChar w:fldCharType="begin"/>
      </w:r>
      <w:r>
        <w:rPr>
          <w:rFonts w:hint="eastAsia" w:ascii="宋体" w:hAnsi="宋体" w:eastAsia="宋体" w:cs="宋体"/>
          <w:bCs w:val="0"/>
          <w:kern w:val="0"/>
          <w:szCs w:val="21"/>
          <w:highlight w:val="none"/>
        </w:rPr>
        <w:instrText xml:space="preserve"> HYPERLINK \l _Toc2063 </w:instrText>
      </w:r>
      <w:r>
        <w:rPr>
          <w:rFonts w:hint="eastAsia" w:ascii="宋体" w:hAnsi="宋体" w:eastAsia="宋体" w:cs="宋体"/>
          <w:bCs w:val="0"/>
          <w:kern w:val="0"/>
          <w:szCs w:val="21"/>
          <w:highlight w:val="none"/>
        </w:rPr>
        <w:fldChar w:fldCharType="separate"/>
      </w:r>
      <w:r>
        <w:rPr>
          <w:rFonts w:hint="eastAsia" w:ascii="宋体" w:hAnsi="宋体" w:eastAsia="宋体" w:cs="宋体"/>
          <w:highlight w:val="none"/>
        </w:rPr>
        <w:t>第六部分 磋商及采购项目技术要求</w:t>
      </w:r>
      <w:r>
        <w:tab/>
      </w:r>
      <w:r>
        <w:fldChar w:fldCharType="begin"/>
      </w:r>
      <w:r>
        <w:instrText xml:space="preserve"> PAGEREF _Toc2063 \h </w:instrText>
      </w:r>
      <w:r>
        <w:fldChar w:fldCharType="separate"/>
      </w:r>
      <w:r>
        <w:t>54</w:t>
      </w:r>
      <w:r>
        <w:fldChar w:fldCharType="end"/>
      </w:r>
      <w:r>
        <w:rPr>
          <w:rFonts w:hint="eastAsia" w:ascii="宋体" w:hAnsi="宋体" w:eastAsia="宋体" w:cs="宋体"/>
          <w:bCs w:val="0"/>
          <w:color w:val="auto"/>
          <w:kern w:val="0"/>
          <w:szCs w:val="21"/>
          <w:highlight w:val="none"/>
        </w:rPr>
        <w:fldChar w:fldCharType="end"/>
      </w:r>
    </w:p>
    <w:p w14:paraId="6728DFE7">
      <w:pPr>
        <w:pStyle w:val="54"/>
        <w:tabs>
          <w:tab w:val="right" w:leader="dot" w:pos="8250"/>
        </w:tabs>
      </w:pPr>
      <w:r>
        <w:rPr>
          <w:rFonts w:hint="eastAsia" w:ascii="宋体" w:hAnsi="宋体" w:eastAsia="宋体" w:cs="宋体"/>
          <w:bCs w:val="0"/>
          <w:color w:val="auto"/>
          <w:kern w:val="0"/>
          <w:szCs w:val="21"/>
          <w:highlight w:val="none"/>
        </w:rPr>
        <w:fldChar w:fldCharType="begin"/>
      </w:r>
      <w:r>
        <w:rPr>
          <w:rFonts w:hint="eastAsia" w:ascii="宋体" w:hAnsi="宋体" w:eastAsia="宋体" w:cs="宋体"/>
          <w:bCs w:val="0"/>
          <w:kern w:val="0"/>
          <w:szCs w:val="21"/>
          <w:highlight w:val="none"/>
        </w:rPr>
        <w:instrText xml:space="preserve"> HYPERLINK \l _Toc6431 </w:instrText>
      </w:r>
      <w:r>
        <w:rPr>
          <w:rFonts w:hint="eastAsia" w:ascii="宋体" w:hAnsi="宋体" w:eastAsia="宋体" w:cs="宋体"/>
          <w:bCs w:val="0"/>
          <w:kern w:val="0"/>
          <w:szCs w:val="21"/>
          <w:highlight w:val="none"/>
        </w:rPr>
        <w:fldChar w:fldCharType="separate"/>
      </w:r>
      <w:r>
        <w:rPr>
          <w:rFonts w:hint="eastAsia" w:ascii="宋体" w:hAnsi="宋体"/>
          <w:bCs/>
          <w:szCs w:val="27"/>
          <w:highlight w:val="none"/>
        </w:rPr>
        <w:t>1、投标说明</w:t>
      </w:r>
      <w:r>
        <w:tab/>
      </w:r>
      <w:r>
        <w:fldChar w:fldCharType="begin"/>
      </w:r>
      <w:r>
        <w:instrText xml:space="preserve"> PAGEREF _Toc6431 \h </w:instrText>
      </w:r>
      <w:r>
        <w:fldChar w:fldCharType="separate"/>
      </w:r>
      <w:r>
        <w:t>54</w:t>
      </w:r>
      <w:r>
        <w:fldChar w:fldCharType="end"/>
      </w:r>
      <w:r>
        <w:rPr>
          <w:rFonts w:hint="eastAsia" w:ascii="宋体" w:hAnsi="宋体" w:eastAsia="宋体" w:cs="宋体"/>
          <w:bCs w:val="0"/>
          <w:color w:val="auto"/>
          <w:kern w:val="0"/>
          <w:szCs w:val="21"/>
          <w:highlight w:val="none"/>
        </w:rPr>
        <w:fldChar w:fldCharType="end"/>
      </w:r>
    </w:p>
    <w:p w14:paraId="597763DE">
      <w:pPr>
        <w:pStyle w:val="54"/>
        <w:tabs>
          <w:tab w:val="right" w:leader="dot" w:pos="8250"/>
        </w:tabs>
      </w:pPr>
      <w:r>
        <w:rPr>
          <w:rFonts w:hint="eastAsia" w:ascii="宋体" w:hAnsi="宋体" w:eastAsia="宋体" w:cs="宋体"/>
          <w:bCs w:val="0"/>
          <w:color w:val="auto"/>
          <w:kern w:val="0"/>
          <w:szCs w:val="21"/>
          <w:highlight w:val="none"/>
        </w:rPr>
        <w:fldChar w:fldCharType="begin"/>
      </w:r>
      <w:r>
        <w:rPr>
          <w:rFonts w:hint="eastAsia" w:ascii="宋体" w:hAnsi="宋体" w:eastAsia="宋体" w:cs="宋体"/>
          <w:bCs w:val="0"/>
          <w:kern w:val="0"/>
          <w:szCs w:val="21"/>
          <w:highlight w:val="none"/>
        </w:rPr>
        <w:instrText xml:space="preserve"> HYPERLINK \l _Toc12483 </w:instrText>
      </w:r>
      <w:r>
        <w:rPr>
          <w:rFonts w:hint="eastAsia" w:ascii="宋体" w:hAnsi="宋体" w:eastAsia="宋体" w:cs="宋体"/>
          <w:bCs w:val="0"/>
          <w:kern w:val="0"/>
          <w:szCs w:val="21"/>
          <w:highlight w:val="none"/>
        </w:rPr>
        <w:fldChar w:fldCharType="separate"/>
      </w:r>
      <w:r>
        <w:rPr>
          <w:rFonts w:hint="eastAsia" w:ascii="宋体" w:hAnsi="宋体"/>
          <w:bCs/>
          <w:szCs w:val="27"/>
          <w:highlight w:val="none"/>
        </w:rPr>
        <w:t>2、报价说明</w:t>
      </w:r>
      <w:r>
        <w:tab/>
      </w:r>
      <w:r>
        <w:fldChar w:fldCharType="begin"/>
      </w:r>
      <w:r>
        <w:instrText xml:space="preserve"> PAGEREF _Toc12483 \h </w:instrText>
      </w:r>
      <w:r>
        <w:fldChar w:fldCharType="separate"/>
      </w:r>
      <w:r>
        <w:t>54</w:t>
      </w:r>
      <w:r>
        <w:fldChar w:fldCharType="end"/>
      </w:r>
      <w:r>
        <w:rPr>
          <w:rFonts w:hint="eastAsia" w:ascii="宋体" w:hAnsi="宋体" w:eastAsia="宋体" w:cs="宋体"/>
          <w:bCs w:val="0"/>
          <w:color w:val="auto"/>
          <w:kern w:val="0"/>
          <w:szCs w:val="21"/>
          <w:highlight w:val="none"/>
        </w:rPr>
        <w:fldChar w:fldCharType="end"/>
      </w:r>
    </w:p>
    <w:p w14:paraId="723972E9">
      <w:pPr>
        <w:pStyle w:val="54"/>
        <w:tabs>
          <w:tab w:val="right" w:leader="dot" w:pos="8250"/>
        </w:tabs>
      </w:pPr>
      <w:r>
        <w:rPr>
          <w:rFonts w:hint="eastAsia" w:ascii="宋体" w:hAnsi="宋体" w:eastAsia="宋体" w:cs="宋体"/>
          <w:bCs w:val="0"/>
          <w:color w:val="auto"/>
          <w:kern w:val="0"/>
          <w:szCs w:val="21"/>
          <w:highlight w:val="none"/>
        </w:rPr>
        <w:fldChar w:fldCharType="begin"/>
      </w:r>
      <w:r>
        <w:rPr>
          <w:rFonts w:hint="eastAsia" w:ascii="宋体" w:hAnsi="宋体" w:eastAsia="宋体" w:cs="宋体"/>
          <w:bCs w:val="0"/>
          <w:kern w:val="0"/>
          <w:szCs w:val="21"/>
          <w:highlight w:val="none"/>
        </w:rPr>
        <w:instrText xml:space="preserve"> HYPERLINK \l _Toc12173 </w:instrText>
      </w:r>
      <w:r>
        <w:rPr>
          <w:rFonts w:hint="eastAsia" w:ascii="宋体" w:hAnsi="宋体" w:eastAsia="宋体" w:cs="宋体"/>
          <w:bCs w:val="0"/>
          <w:kern w:val="0"/>
          <w:szCs w:val="21"/>
          <w:highlight w:val="none"/>
        </w:rPr>
        <w:fldChar w:fldCharType="separate"/>
      </w:r>
      <w:r>
        <w:rPr>
          <w:rFonts w:hint="eastAsia" w:ascii="宋体" w:hAnsi="宋体"/>
          <w:bCs/>
          <w:szCs w:val="27"/>
          <w:highlight w:val="none"/>
        </w:rPr>
        <w:t>3、商务要求</w:t>
      </w:r>
      <w:r>
        <w:tab/>
      </w:r>
      <w:r>
        <w:fldChar w:fldCharType="begin"/>
      </w:r>
      <w:r>
        <w:instrText xml:space="preserve"> PAGEREF _Toc12173 \h </w:instrText>
      </w:r>
      <w:r>
        <w:fldChar w:fldCharType="separate"/>
      </w:r>
      <w:r>
        <w:t>54</w:t>
      </w:r>
      <w:r>
        <w:fldChar w:fldCharType="end"/>
      </w:r>
      <w:r>
        <w:rPr>
          <w:rFonts w:hint="eastAsia" w:ascii="宋体" w:hAnsi="宋体" w:eastAsia="宋体" w:cs="宋体"/>
          <w:bCs w:val="0"/>
          <w:color w:val="auto"/>
          <w:kern w:val="0"/>
          <w:szCs w:val="21"/>
          <w:highlight w:val="none"/>
        </w:rPr>
        <w:fldChar w:fldCharType="end"/>
      </w:r>
    </w:p>
    <w:p w14:paraId="3F747EF8">
      <w:pPr>
        <w:pStyle w:val="54"/>
        <w:tabs>
          <w:tab w:val="right" w:leader="dot" w:pos="8250"/>
        </w:tabs>
      </w:pPr>
      <w:r>
        <w:rPr>
          <w:rFonts w:hint="eastAsia" w:ascii="宋体" w:hAnsi="宋体" w:eastAsia="宋体" w:cs="宋体"/>
          <w:bCs w:val="0"/>
          <w:color w:val="auto"/>
          <w:kern w:val="0"/>
          <w:szCs w:val="21"/>
          <w:highlight w:val="none"/>
        </w:rPr>
        <w:fldChar w:fldCharType="begin"/>
      </w:r>
      <w:r>
        <w:rPr>
          <w:rFonts w:hint="eastAsia" w:ascii="宋体" w:hAnsi="宋体" w:eastAsia="宋体" w:cs="宋体"/>
          <w:bCs w:val="0"/>
          <w:kern w:val="0"/>
          <w:szCs w:val="21"/>
          <w:highlight w:val="none"/>
        </w:rPr>
        <w:instrText xml:space="preserve"> HYPERLINK \l _Toc12159 </w:instrText>
      </w:r>
      <w:r>
        <w:rPr>
          <w:rFonts w:hint="eastAsia" w:ascii="宋体" w:hAnsi="宋体" w:eastAsia="宋体" w:cs="宋体"/>
          <w:bCs w:val="0"/>
          <w:kern w:val="0"/>
          <w:szCs w:val="21"/>
          <w:highlight w:val="none"/>
        </w:rPr>
        <w:fldChar w:fldCharType="separate"/>
      </w:r>
      <w:r>
        <w:rPr>
          <w:rFonts w:hint="eastAsia" w:ascii="宋体" w:hAnsi="宋体" w:eastAsia="宋体"/>
          <w:bCs/>
          <w:szCs w:val="27"/>
          <w:highlight w:val="none"/>
          <w:lang w:val="en-US" w:eastAsia="zh-CN"/>
        </w:rPr>
        <w:t>4.采购需求</w:t>
      </w:r>
      <w:r>
        <w:tab/>
      </w:r>
      <w:r>
        <w:fldChar w:fldCharType="begin"/>
      </w:r>
      <w:r>
        <w:instrText xml:space="preserve"> PAGEREF _Toc12159 \h </w:instrText>
      </w:r>
      <w:r>
        <w:fldChar w:fldCharType="separate"/>
      </w:r>
      <w:r>
        <w:t>55</w:t>
      </w:r>
      <w:r>
        <w:fldChar w:fldCharType="end"/>
      </w:r>
      <w:r>
        <w:rPr>
          <w:rFonts w:hint="eastAsia" w:ascii="宋体" w:hAnsi="宋体" w:eastAsia="宋体" w:cs="宋体"/>
          <w:bCs w:val="0"/>
          <w:color w:val="auto"/>
          <w:kern w:val="0"/>
          <w:szCs w:val="21"/>
          <w:highlight w:val="none"/>
        </w:rPr>
        <w:fldChar w:fldCharType="end"/>
      </w:r>
    </w:p>
    <w:p w14:paraId="55C5FFBB">
      <w:pPr>
        <w:pStyle w:val="54"/>
        <w:tabs>
          <w:tab w:val="right" w:leader="dot" w:pos="8250"/>
        </w:tabs>
      </w:pPr>
    </w:p>
    <w:p w14:paraId="3D208C8B">
      <w:pPr>
        <w:pStyle w:val="42"/>
        <w:keepNext w:val="0"/>
        <w:keepLines w:val="0"/>
        <w:pageBreakBefore w:val="0"/>
        <w:widowControl w:val="0"/>
        <w:tabs>
          <w:tab w:val="right" w:leader="dot" w:pos="8723"/>
        </w:tabs>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caps w:val="0"/>
          <w:color w:val="auto"/>
          <w:sz w:val="21"/>
          <w:szCs w:val="22"/>
          <w:highlight w:val="none"/>
        </w:rPr>
        <w:sectPr>
          <w:headerReference r:id="rId6" w:type="first"/>
          <w:footerReference r:id="rId9" w:type="first"/>
          <w:headerReference r:id="rId5" w:type="default"/>
          <w:footerReference r:id="rId7" w:type="default"/>
          <w:footerReference r:id="rId8" w:type="even"/>
          <w:pgSz w:w="11850" w:h="16783"/>
          <w:pgMar w:top="1440" w:right="1800" w:bottom="1440" w:left="1800" w:header="680" w:footer="1021" w:gutter="0"/>
          <w:pgNumType w:start="0" w:chapStyle="1"/>
          <w:cols w:space="425" w:num="1"/>
          <w:titlePg/>
          <w:docGrid w:linePitch="312" w:charSpace="0"/>
        </w:sectPr>
      </w:pPr>
      <w:r>
        <w:rPr>
          <w:rFonts w:hint="eastAsia" w:ascii="宋体" w:hAnsi="宋体" w:eastAsia="宋体" w:cs="宋体"/>
          <w:bCs w:val="0"/>
          <w:color w:val="auto"/>
          <w:kern w:val="0"/>
          <w:szCs w:val="21"/>
          <w:highlight w:val="none"/>
        </w:rPr>
        <w:fldChar w:fldCharType="end"/>
      </w:r>
      <w:bookmarkStart w:id="0" w:name="_Toc447725347"/>
    </w:p>
    <w:p w14:paraId="43BDAAF6">
      <w:pPr>
        <w:pStyle w:val="3"/>
        <w:numPr>
          <w:ilvl w:val="0"/>
          <w:numId w:val="0"/>
        </w:numPr>
        <w:bidi w:val="0"/>
        <w:ind w:leftChars="0"/>
        <w:jc w:val="center"/>
        <w:rPr>
          <w:rFonts w:hint="eastAsia" w:ascii="宋体" w:hAnsi="宋体" w:eastAsia="宋体" w:cs="宋体"/>
          <w:color w:val="auto"/>
          <w:highlight w:val="none"/>
        </w:rPr>
      </w:pPr>
      <w:bookmarkStart w:id="1" w:name="_Toc24880"/>
      <w:bookmarkStart w:id="226" w:name="_GoBack"/>
      <w:bookmarkEnd w:id="226"/>
      <w:r>
        <w:rPr>
          <w:rFonts w:hint="eastAsia" w:ascii="宋体" w:hAnsi="宋体" w:eastAsia="宋体" w:cs="宋体"/>
          <w:color w:val="auto"/>
          <w:highlight w:val="none"/>
        </w:rPr>
        <w:t>第一部分</w:t>
      </w:r>
      <w:bookmarkEnd w:id="0"/>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竞争性磋商邀请公告</w:t>
      </w:r>
      <w:bookmarkEnd w:id="1"/>
    </w:p>
    <w:p w14:paraId="7400D51C">
      <w:pPr>
        <w:bidi w:val="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青海联祥招标代理有限公司受</w:t>
      </w:r>
      <w:r>
        <w:rPr>
          <w:rFonts w:hint="eastAsia" w:ascii="宋体" w:hAnsi="宋体" w:cs="宋体"/>
          <w:bCs/>
          <w:color w:val="auto"/>
          <w:sz w:val="24"/>
          <w:highlight w:val="none"/>
          <w:lang w:eastAsia="zh-CN"/>
        </w:rPr>
        <w:t>青海省财政厅</w:t>
      </w:r>
      <w:r>
        <w:rPr>
          <w:rFonts w:hint="eastAsia" w:ascii="宋体" w:hAnsi="宋体" w:eastAsia="宋体" w:cs="宋体"/>
          <w:color w:val="auto"/>
          <w:sz w:val="24"/>
          <w:highlight w:val="none"/>
          <w:lang w:eastAsia="zh-CN"/>
        </w:rPr>
        <w:t>委托，拟对</w:t>
      </w:r>
      <w:r>
        <w:rPr>
          <w:rFonts w:hint="eastAsia" w:ascii="宋体" w:hAnsi="宋体" w:cs="宋体"/>
          <w:bCs/>
          <w:color w:val="auto"/>
          <w:sz w:val="24"/>
          <w:highlight w:val="none"/>
          <w:lang w:val="zh-CN" w:eastAsia="zh-CN"/>
        </w:rPr>
        <w:t>青海省财政厅信息机房设备维保服务项目</w:t>
      </w:r>
      <w:r>
        <w:rPr>
          <w:rFonts w:hint="eastAsia" w:ascii="宋体" w:hAnsi="宋体" w:eastAsia="宋体" w:cs="宋体"/>
          <w:color w:val="auto"/>
          <w:sz w:val="24"/>
          <w:highlight w:val="none"/>
          <w:lang w:eastAsia="zh-CN"/>
        </w:rPr>
        <w:t>进行国内竞争性磋商采购，现予以公告，欢迎符合条件的供应商前来参加投标。</w:t>
      </w:r>
    </w:p>
    <w:tbl>
      <w:tblPr>
        <w:tblStyle w:val="67"/>
        <w:tblW w:w="8599" w:type="dxa"/>
        <w:jc w:val="center"/>
        <w:shd w:val="clear" w:color="auto" w:fill="auto"/>
        <w:tblLayout w:type="fixed"/>
        <w:tblCellMar>
          <w:top w:w="0" w:type="dxa"/>
          <w:left w:w="108" w:type="dxa"/>
          <w:bottom w:w="0" w:type="dxa"/>
          <w:right w:w="108" w:type="dxa"/>
        </w:tblCellMar>
      </w:tblPr>
      <w:tblGrid>
        <w:gridCol w:w="2679"/>
        <w:gridCol w:w="5920"/>
      </w:tblGrid>
      <w:tr w14:paraId="0F01F569">
        <w:tblPrEx>
          <w:shd w:val="clear" w:color="auto" w:fill="auto"/>
          <w:tblCellMar>
            <w:top w:w="0" w:type="dxa"/>
            <w:left w:w="108" w:type="dxa"/>
            <w:bottom w:w="0" w:type="dxa"/>
            <w:right w:w="108" w:type="dxa"/>
          </w:tblCellMar>
        </w:tblPrEx>
        <w:trPr>
          <w:trHeight w:val="421" w:hRule="atLeast"/>
          <w:jc w:val="center"/>
        </w:trPr>
        <w:tc>
          <w:tcPr>
            <w:tcW w:w="267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1688DB7">
            <w:pPr>
              <w:pStyle w:val="13"/>
              <w:bidi w:val="0"/>
              <w:rPr>
                <w:rFonts w:hint="eastAsia" w:ascii="宋体" w:hAnsi="宋体" w:eastAsia="宋体" w:cs="宋体"/>
                <w:color w:val="auto"/>
                <w:highlight w:val="none"/>
                <w:lang w:val="zh-CN"/>
              </w:rPr>
            </w:pPr>
            <w:bookmarkStart w:id="2" w:name="OLE_LINK1"/>
            <w:r>
              <w:rPr>
                <w:rFonts w:hint="eastAsia" w:ascii="宋体" w:hAnsi="宋体" w:eastAsia="宋体" w:cs="宋体"/>
                <w:color w:val="auto"/>
                <w:highlight w:val="none"/>
                <w:lang w:val="zh-CN"/>
              </w:rPr>
              <w:t>采购项目名称</w:t>
            </w:r>
          </w:p>
        </w:tc>
        <w:tc>
          <w:tcPr>
            <w:tcW w:w="592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A0B557A">
            <w:pPr>
              <w:pStyle w:val="13"/>
              <w:bidi w:val="0"/>
              <w:rPr>
                <w:rFonts w:hint="eastAsia" w:ascii="宋体" w:hAnsi="宋体" w:eastAsia="宋体" w:cs="宋体"/>
                <w:color w:val="auto"/>
                <w:highlight w:val="none"/>
              </w:rPr>
            </w:pPr>
            <w:r>
              <w:rPr>
                <w:rFonts w:hint="eastAsia" w:ascii="宋体" w:hAnsi="宋体" w:cs="宋体"/>
                <w:color w:val="auto"/>
                <w:highlight w:val="none"/>
                <w:lang w:val="zh-CN"/>
              </w:rPr>
              <w:t>青海省财政厅信息机房设备维保服务项目</w:t>
            </w:r>
          </w:p>
        </w:tc>
      </w:tr>
      <w:tr w14:paraId="2C5451C0">
        <w:tblPrEx>
          <w:tblCellMar>
            <w:top w:w="0" w:type="dxa"/>
            <w:left w:w="108" w:type="dxa"/>
            <w:bottom w:w="0" w:type="dxa"/>
            <w:right w:w="108" w:type="dxa"/>
          </w:tblCellMar>
        </w:tblPrEx>
        <w:trPr>
          <w:trHeight w:val="408" w:hRule="atLeast"/>
          <w:jc w:val="center"/>
        </w:trPr>
        <w:tc>
          <w:tcPr>
            <w:tcW w:w="267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B5CDF29">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采购项目编号</w:t>
            </w:r>
          </w:p>
        </w:tc>
        <w:tc>
          <w:tcPr>
            <w:tcW w:w="592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0C79068">
            <w:pPr>
              <w:pStyle w:val="13"/>
              <w:bidi w:val="0"/>
              <w:rPr>
                <w:rFonts w:hint="eastAsia" w:ascii="宋体" w:hAnsi="宋体" w:eastAsia="宋体" w:cs="宋体"/>
                <w:color w:val="auto"/>
                <w:highlight w:val="none"/>
              </w:rPr>
            </w:pPr>
            <w:r>
              <w:rPr>
                <w:rFonts w:hint="eastAsia" w:ascii="宋体" w:hAnsi="宋体" w:cs="宋体"/>
                <w:color w:val="auto"/>
                <w:highlight w:val="none"/>
                <w:lang w:val="zh-CN"/>
              </w:rPr>
              <w:t>青海联祥磋商（服务）2026-057</w:t>
            </w:r>
          </w:p>
        </w:tc>
      </w:tr>
      <w:tr w14:paraId="01B19BE8">
        <w:tblPrEx>
          <w:shd w:val="clear" w:color="auto" w:fill="auto"/>
          <w:tblCellMar>
            <w:top w:w="0" w:type="dxa"/>
            <w:left w:w="108" w:type="dxa"/>
            <w:bottom w:w="0" w:type="dxa"/>
            <w:right w:w="108" w:type="dxa"/>
          </w:tblCellMar>
        </w:tblPrEx>
        <w:trPr>
          <w:trHeight w:val="383" w:hRule="atLeast"/>
          <w:jc w:val="center"/>
        </w:trPr>
        <w:tc>
          <w:tcPr>
            <w:tcW w:w="267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8D62E1E">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采购方式</w:t>
            </w:r>
          </w:p>
        </w:tc>
        <w:tc>
          <w:tcPr>
            <w:tcW w:w="592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B110914">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竞争性磋商</w:t>
            </w:r>
          </w:p>
        </w:tc>
      </w:tr>
      <w:tr w14:paraId="54C69AEA">
        <w:tblPrEx>
          <w:shd w:val="clear" w:color="auto" w:fill="auto"/>
          <w:tblCellMar>
            <w:top w:w="0" w:type="dxa"/>
            <w:left w:w="108" w:type="dxa"/>
            <w:bottom w:w="0" w:type="dxa"/>
            <w:right w:w="108" w:type="dxa"/>
          </w:tblCellMar>
        </w:tblPrEx>
        <w:trPr>
          <w:trHeight w:val="90" w:hRule="atLeast"/>
          <w:jc w:val="center"/>
        </w:trPr>
        <w:tc>
          <w:tcPr>
            <w:tcW w:w="267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734B7E4">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采购预算金额</w:t>
            </w:r>
          </w:p>
        </w:tc>
        <w:tc>
          <w:tcPr>
            <w:tcW w:w="592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CC7C9CC">
            <w:pPr>
              <w:pStyle w:val="13"/>
              <w:bidi w:val="0"/>
              <w:rPr>
                <w:rFonts w:hint="eastAsia" w:ascii="宋体" w:hAnsi="宋体" w:eastAsia="宋体" w:cs="宋体"/>
                <w:color w:val="auto"/>
                <w:highlight w:val="none"/>
                <w:lang w:val="en-US"/>
              </w:rPr>
            </w:pPr>
            <w:r>
              <w:rPr>
                <w:rFonts w:hint="eastAsia" w:ascii="宋体" w:hAnsi="宋体" w:cs="宋体"/>
                <w:color w:val="auto"/>
                <w:highlight w:val="none"/>
                <w:lang w:val="en-US" w:eastAsia="zh-CN"/>
              </w:rPr>
              <w:t>88.6万元</w:t>
            </w:r>
          </w:p>
        </w:tc>
      </w:tr>
      <w:tr w14:paraId="602A601E">
        <w:tblPrEx>
          <w:shd w:val="clear" w:color="auto" w:fill="auto"/>
          <w:tblCellMar>
            <w:top w:w="0" w:type="dxa"/>
            <w:left w:w="108" w:type="dxa"/>
            <w:bottom w:w="0" w:type="dxa"/>
            <w:right w:w="108" w:type="dxa"/>
          </w:tblCellMar>
        </w:tblPrEx>
        <w:trPr>
          <w:trHeight w:val="333" w:hRule="atLeast"/>
          <w:jc w:val="center"/>
        </w:trPr>
        <w:tc>
          <w:tcPr>
            <w:tcW w:w="267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E92B9EE">
            <w:pPr>
              <w:pStyle w:val="13"/>
              <w:bidi w:val="0"/>
              <w:rPr>
                <w:rFonts w:hint="eastAsia" w:ascii="宋体" w:hAnsi="宋体" w:eastAsia="宋体" w:cs="宋体"/>
                <w:color w:val="auto"/>
                <w:highlight w:val="none"/>
              </w:rPr>
            </w:pPr>
            <w:r>
              <w:rPr>
                <w:rFonts w:hint="eastAsia" w:ascii="宋体" w:hAnsi="宋体" w:eastAsia="宋体" w:cs="宋体"/>
                <w:color w:val="auto"/>
                <w:highlight w:val="none"/>
              </w:rPr>
              <w:t>最高限价</w:t>
            </w:r>
          </w:p>
        </w:tc>
        <w:tc>
          <w:tcPr>
            <w:tcW w:w="592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090FC2C">
            <w:pPr>
              <w:pStyle w:val="13"/>
              <w:bidi w:val="0"/>
              <w:rPr>
                <w:rFonts w:hint="eastAsia" w:ascii="宋体" w:hAnsi="宋体" w:eastAsia="宋体" w:cs="宋体"/>
                <w:color w:val="auto"/>
                <w:highlight w:val="none"/>
              </w:rPr>
            </w:pPr>
            <w:r>
              <w:rPr>
                <w:rFonts w:hint="eastAsia" w:ascii="宋体" w:hAnsi="宋体" w:cs="宋体"/>
                <w:color w:val="auto"/>
                <w:highlight w:val="none"/>
                <w:lang w:val="en-US" w:eastAsia="zh-CN"/>
              </w:rPr>
              <w:t>88.6万元</w:t>
            </w:r>
          </w:p>
        </w:tc>
      </w:tr>
      <w:tr w14:paraId="6D22CF2E">
        <w:tblPrEx>
          <w:shd w:val="clear" w:color="auto" w:fill="auto"/>
          <w:tblCellMar>
            <w:top w:w="0" w:type="dxa"/>
            <w:left w:w="108" w:type="dxa"/>
            <w:bottom w:w="0" w:type="dxa"/>
            <w:right w:w="108" w:type="dxa"/>
          </w:tblCellMar>
        </w:tblPrEx>
        <w:trPr>
          <w:trHeight w:val="90" w:hRule="atLeast"/>
          <w:jc w:val="center"/>
        </w:trPr>
        <w:tc>
          <w:tcPr>
            <w:tcW w:w="267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E65FB06">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项目分包个数</w:t>
            </w:r>
          </w:p>
        </w:tc>
        <w:tc>
          <w:tcPr>
            <w:tcW w:w="592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3F33BAD">
            <w:pPr>
              <w:pStyle w:val="13"/>
              <w:bidi w:val="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不分包</w:t>
            </w:r>
          </w:p>
        </w:tc>
      </w:tr>
      <w:tr w14:paraId="05E07BEA">
        <w:tblPrEx>
          <w:shd w:val="clear" w:color="auto" w:fill="auto"/>
          <w:tblCellMar>
            <w:top w:w="0" w:type="dxa"/>
            <w:left w:w="108" w:type="dxa"/>
            <w:bottom w:w="0" w:type="dxa"/>
            <w:right w:w="108" w:type="dxa"/>
          </w:tblCellMar>
        </w:tblPrEx>
        <w:trPr>
          <w:trHeight w:val="381" w:hRule="atLeast"/>
          <w:jc w:val="center"/>
        </w:trPr>
        <w:tc>
          <w:tcPr>
            <w:tcW w:w="267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EF754AC">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采购要求</w:t>
            </w:r>
          </w:p>
        </w:tc>
        <w:tc>
          <w:tcPr>
            <w:tcW w:w="592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A5950C9">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具体内容详见《</w:t>
            </w:r>
            <w:r>
              <w:rPr>
                <w:rFonts w:hint="eastAsia" w:ascii="宋体" w:hAnsi="宋体" w:eastAsia="宋体" w:cs="宋体"/>
                <w:color w:val="auto"/>
                <w:highlight w:val="none"/>
              </w:rPr>
              <w:t>磋商文件</w:t>
            </w:r>
            <w:r>
              <w:rPr>
                <w:rFonts w:hint="eastAsia" w:ascii="宋体" w:hAnsi="宋体" w:eastAsia="宋体" w:cs="宋体"/>
                <w:color w:val="auto"/>
                <w:highlight w:val="none"/>
                <w:lang w:val="zh-CN"/>
              </w:rPr>
              <w:t>》</w:t>
            </w:r>
          </w:p>
        </w:tc>
      </w:tr>
      <w:tr w14:paraId="691897CB">
        <w:tblPrEx>
          <w:shd w:val="clear" w:color="auto" w:fill="auto"/>
          <w:tblCellMar>
            <w:top w:w="0" w:type="dxa"/>
            <w:left w:w="108" w:type="dxa"/>
            <w:bottom w:w="0" w:type="dxa"/>
            <w:right w:w="108" w:type="dxa"/>
          </w:tblCellMar>
        </w:tblPrEx>
        <w:trPr>
          <w:trHeight w:val="565" w:hRule="atLeast"/>
          <w:jc w:val="center"/>
        </w:trPr>
        <w:tc>
          <w:tcPr>
            <w:tcW w:w="267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6F9FEE8">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供应商资格条件</w:t>
            </w:r>
          </w:p>
        </w:tc>
        <w:tc>
          <w:tcPr>
            <w:tcW w:w="592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5C9214F">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1、按照《政府采购法》第22条规定提供以下相关材料：</w:t>
            </w:r>
          </w:p>
          <w:p w14:paraId="6097A2E0">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(1)</w:t>
            </w:r>
            <w:r>
              <w:rPr>
                <w:rFonts w:hint="eastAsia" w:ascii="宋体" w:hAnsi="宋体" w:cs="宋体"/>
                <w:color w:val="auto"/>
                <w:highlight w:val="none"/>
                <w:lang w:val="zh-CN"/>
              </w:rPr>
              <w:t>供应商</w:t>
            </w:r>
            <w:r>
              <w:rPr>
                <w:rFonts w:hint="eastAsia" w:ascii="宋体" w:hAnsi="宋体" w:eastAsia="宋体" w:cs="宋体"/>
                <w:color w:val="auto"/>
                <w:highlight w:val="none"/>
                <w:lang w:val="zh-CN"/>
              </w:rPr>
              <w:t>的营业执照等证明文件，自然人的身份证明。</w:t>
            </w:r>
          </w:p>
          <w:p w14:paraId="6B825D9B">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(2)财务状况报告，依法缴纳税收和社会保障资金的相关材料。</w:t>
            </w:r>
          </w:p>
          <w:p w14:paraId="4BEF53EB">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(3)具备履行合同所</w:t>
            </w:r>
            <w:r>
              <w:rPr>
                <w:rFonts w:hint="eastAsia" w:ascii="宋体" w:hAnsi="宋体" w:cs="宋体"/>
                <w:color w:val="auto"/>
                <w:highlight w:val="none"/>
                <w:lang w:val="en-US" w:eastAsia="zh-CN"/>
              </w:rPr>
              <w:t>必需</w:t>
            </w:r>
            <w:r>
              <w:rPr>
                <w:rFonts w:hint="eastAsia" w:ascii="宋体" w:hAnsi="宋体" w:eastAsia="宋体" w:cs="宋体"/>
                <w:color w:val="auto"/>
                <w:highlight w:val="none"/>
                <w:lang w:val="zh-CN"/>
              </w:rPr>
              <w:t>的设备和专业技术能力的证明材料。</w:t>
            </w:r>
          </w:p>
          <w:p w14:paraId="695ABB91">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(4)参加政府采购活动前3年内在经营活动中没有重大违法记录的书面声明。</w:t>
            </w:r>
          </w:p>
          <w:p w14:paraId="5B5E1441">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(5)具备法律、行政法规规定的其他条件的证明材料。</w:t>
            </w:r>
          </w:p>
          <w:p w14:paraId="33DF27B8">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2、经信用中国（www.creditchina.gov.cn）、中国政府采购网（www.ccgp.gov.cn）等渠道查询后，列入失信被执行人、重大税收违法失信主体、政府采购严重违法失信行为记录名单的，取消投标资格。</w:t>
            </w:r>
          </w:p>
          <w:p w14:paraId="04C77508">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3、单位负责人为同一人或者存在直接控股、管理关系的不同</w:t>
            </w:r>
            <w:r>
              <w:rPr>
                <w:rFonts w:hint="eastAsia" w:ascii="宋体" w:hAnsi="宋体" w:cs="宋体"/>
                <w:color w:val="auto"/>
                <w:highlight w:val="none"/>
                <w:lang w:val="zh-CN"/>
              </w:rPr>
              <w:t>供应商</w:t>
            </w:r>
            <w:r>
              <w:rPr>
                <w:rFonts w:hint="eastAsia" w:ascii="宋体" w:hAnsi="宋体" w:eastAsia="宋体" w:cs="宋体"/>
                <w:color w:val="auto"/>
                <w:highlight w:val="none"/>
                <w:lang w:val="zh-CN"/>
              </w:rPr>
              <w:t>，不得参加同一合同项下的政府采购活动。否则，皆取消投标资格（需提供承诺函）；</w:t>
            </w:r>
          </w:p>
          <w:p w14:paraId="625311A7">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4、为本采购项目提供整体设计、规范编制或者项目管理、监理、检测等服务的</w:t>
            </w:r>
            <w:r>
              <w:rPr>
                <w:rFonts w:hint="eastAsia" w:ascii="宋体" w:hAnsi="宋体" w:cs="宋体"/>
                <w:color w:val="auto"/>
                <w:highlight w:val="none"/>
                <w:lang w:val="zh-CN"/>
              </w:rPr>
              <w:t>供应商</w:t>
            </w:r>
            <w:r>
              <w:rPr>
                <w:rFonts w:hint="eastAsia" w:ascii="宋体" w:hAnsi="宋体" w:eastAsia="宋体" w:cs="宋体"/>
                <w:color w:val="auto"/>
                <w:highlight w:val="none"/>
                <w:lang w:val="zh-CN"/>
              </w:rPr>
              <w:t>，不得再参加该采购项目的其他采购活动（需提供承诺函）；</w:t>
            </w:r>
          </w:p>
          <w:p w14:paraId="20DD7E89">
            <w:pPr>
              <w:pStyle w:val="13"/>
              <w:bidi w:val="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zh-CN"/>
              </w:rPr>
              <w:t>5、本项目不接受</w:t>
            </w:r>
            <w:r>
              <w:rPr>
                <w:rFonts w:hint="eastAsia" w:ascii="宋体" w:hAnsi="宋体" w:cs="宋体"/>
                <w:color w:val="auto"/>
                <w:highlight w:val="none"/>
                <w:lang w:val="zh-CN"/>
              </w:rPr>
              <w:t>供应商</w:t>
            </w:r>
            <w:r>
              <w:rPr>
                <w:rFonts w:hint="eastAsia" w:ascii="宋体" w:hAnsi="宋体" w:eastAsia="宋体" w:cs="宋体"/>
                <w:color w:val="auto"/>
                <w:highlight w:val="none"/>
                <w:lang w:val="zh-CN"/>
              </w:rPr>
              <w:t>以联合体方式进行投标。</w:t>
            </w:r>
          </w:p>
        </w:tc>
      </w:tr>
      <w:tr w14:paraId="3C3AD534">
        <w:tblPrEx>
          <w:shd w:val="clear" w:color="auto" w:fill="auto"/>
          <w:tblCellMar>
            <w:top w:w="0" w:type="dxa"/>
            <w:left w:w="108" w:type="dxa"/>
            <w:bottom w:w="0" w:type="dxa"/>
            <w:right w:w="108" w:type="dxa"/>
          </w:tblCellMar>
        </w:tblPrEx>
        <w:trPr>
          <w:trHeight w:val="396" w:hRule="atLeast"/>
          <w:jc w:val="center"/>
        </w:trPr>
        <w:tc>
          <w:tcPr>
            <w:tcW w:w="267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99DB0BB">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公告发布时间</w:t>
            </w:r>
          </w:p>
        </w:tc>
        <w:tc>
          <w:tcPr>
            <w:tcW w:w="592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EFBCABD">
            <w:pPr>
              <w:pStyle w:val="13"/>
              <w:bidi w:val="0"/>
              <w:rPr>
                <w:rFonts w:hint="eastAsia" w:ascii="宋体" w:hAnsi="宋体" w:eastAsia="宋体" w:cs="宋体"/>
                <w:color w:val="auto"/>
                <w:highlight w:val="none"/>
                <w:lang w:val="zh-CN"/>
              </w:rPr>
            </w:pPr>
            <w:r>
              <w:rPr>
                <w:rFonts w:hint="eastAsia" w:ascii="宋体" w:hAnsi="宋体" w:cs="宋体"/>
                <w:color w:val="auto"/>
                <w:highlight w:val="none"/>
                <w:lang w:val="zh-CN"/>
              </w:rPr>
              <w:t>2026年06月09日</w:t>
            </w:r>
          </w:p>
        </w:tc>
      </w:tr>
      <w:tr w14:paraId="51B4C81A">
        <w:tblPrEx>
          <w:shd w:val="clear" w:color="auto" w:fill="auto"/>
          <w:tblCellMar>
            <w:top w:w="0" w:type="dxa"/>
            <w:left w:w="108" w:type="dxa"/>
            <w:bottom w:w="0" w:type="dxa"/>
            <w:right w:w="108" w:type="dxa"/>
          </w:tblCellMar>
        </w:tblPrEx>
        <w:trPr>
          <w:trHeight w:val="753" w:hRule="atLeast"/>
          <w:jc w:val="center"/>
        </w:trPr>
        <w:tc>
          <w:tcPr>
            <w:tcW w:w="267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B586477">
            <w:pPr>
              <w:pStyle w:val="13"/>
              <w:bidi w:val="0"/>
              <w:rPr>
                <w:rFonts w:hint="eastAsia" w:ascii="宋体" w:hAnsi="宋体" w:eastAsia="宋体" w:cs="宋体"/>
                <w:color w:val="auto"/>
                <w:highlight w:val="none"/>
              </w:rPr>
            </w:pPr>
            <w:r>
              <w:rPr>
                <w:rFonts w:hint="eastAsia" w:ascii="宋体" w:hAnsi="宋体" w:eastAsia="宋体" w:cs="宋体"/>
                <w:color w:val="auto"/>
                <w:highlight w:val="none"/>
              </w:rPr>
              <w:t>获取磋商文件时间</w:t>
            </w:r>
          </w:p>
        </w:tc>
        <w:tc>
          <w:tcPr>
            <w:tcW w:w="592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FA93675">
            <w:pPr>
              <w:pStyle w:val="13"/>
              <w:bidi w:val="0"/>
              <w:rPr>
                <w:rFonts w:hint="eastAsia" w:ascii="宋体" w:hAnsi="宋体" w:eastAsia="宋体" w:cs="宋体"/>
                <w:color w:val="auto"/>
                <w:highlight w:val="none"/>
                <w:lang w:val="zh-CN"/>
              </w:rPr>
            </w:pPr>
            <w:r>
              <w:rPr>
                <w:rFonts w:hint="eastAsia" w:ascii="宋体" w:hAnsi="宋体" w:cs="宋体"/>
                <w:color w:val="auto"/>
                <w:highlight w:val="none"/>
                <w:lang w:val="zh-CN"/>
              </w:rPr>
              <w:t>2026年06月</w:t>
            </w:r>
            <w:r>
              <w:rPr>
                <w:rFonts w:hint="eastAsia" w:ascii="宋体" w:hAnsi="宋体" w:cs="宋体"/>
                <w:color w:val="auto"/>
                <w:highlight w:val="none"/>
                <w:lang w:val="en-US" w:eastAsia="zh-CN"/>
              </w:rPr>
              <w:t>10</w:t>
            </w:r>
            <w:r>
              <w:rPr>
                <w:rFonts w:hint="eastAsia" w:ascii="宋体" w:hAnsi="宋体" w:eastAsia="宋体" w:cs="宋体"/>
                <w:color w:val="auto"/>
                <w:highlight w:val="none"/>
                <w:lang w:val="zh-CN"/>
              </w:rPr>
              <w:t>日至</w:t>
            </w:r>
            <w:r>
              <w:rPr>
                <w:rFonts w:hint="eastAsia" w:ascii="宋体" w:hAnsi="宋体" w:cs="宋体"/>
                <w:color w:val="auto"/>
                <w:highlight w:val="none"/>
                <w:lang w:val="zh-CN"/>
              </w:rPr>
              <w:t>2026年</w:t>
            </w:r>
            <w:r>
              <w:rPr>
                <w:rFonts w:hint="eastAsia" w:ascii="宋体" w:hAnsi="宋体" w:cs="宋体"/>
                <w:color w:val="auto"/>
                <w:highlight w:val="none"/>
                <w:lang w:val="en-US" w:eastAsia="zh-CN"/>
              </w:rPr>
              <w:t>06</w:t>
            </w:r>
            <w:r>
              <w:rPr>
                <w:rFonts w:hint="eastAsia" w:ascii="宋体" w:hAnsi="宋体" w:eastAsia="宋体" w:cs="宋体"/>
                <w:color w:val="auto"/>
                <w:highlight w:val="none"/>
                <w:lang w:val="zh-CN"/>
              </w:rPr>
              <w:t>月</w:t>
            </w:r>
            <w:r>
              <w:rPr>
                <w:rFonts w:hint="eastAsia" w:ascii="宋体" w:hAnsi="宋体" w:cs="宋体"/>
                <w:color w:val="auto"/>
                <w:highlight w:val="none"/>
                <w:lang w:val="en-US" w:eastAsia="zh-CN"/>
              </w:rPr>
              <w:t>16</w:t>
            </w:r>
            <w:r>
              <w:rPr>
                <w:rFonts w:hint="eastAsia" w:ascii="宋体" w:hAnsi="宋体" w:eastAsia="宋体" w:cs="宋体"/>
                <w:color w:val="auto"/>
                <w:highlight w:val="none"/>
                <w:lang w:val="zh-CN"/>
              </w:rPr>
              <w:t>日每天上午00:00至12:00，下午12:00至23:59（北京时间，法定节假日除外）。</w:t>
            </w:r>
          </w:p>
        </w:tc>
      </w:tr>
      <w:tr w14:paraId="5A74A2E3">
        <w:tblPrEx>
          <w:shd w:val="clear" w:color="auto" w:fill="auto"/>
          <w:tblCellMar>
            <w:top w:w="0" w:type="dxa"/>
            <w:left w:w="108" w:type="dxa"/>
            <w:bottom w:w="0" w:type="dxa"/>
            <w:right w:w="108" w:type="dxa"/>
          </w:tblCellMar>
        </w:tblPrEx>
        <w:trPr>
          <w:trHeight w:val="511" w:hRule="atLeast"/>
          <w:jc w:val="center"/>
        </w:trPr>
        <w:tc>
          <w:tcPr>
            <w:tcW w:w="267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924C812">
            <w:pPr>
              <w:pStyle w:val="13"/>
              <w:bidi w:val="0"/>
              <w:rPr>
                <w:rFonts w:hint="eastAsia" w:ascii="宋体" w:hAnsi="宋体" w:eastAsia="宋体" w:cs="宋体"/>
                <w:color w:val="auto"/>
                <w:highlight w:val="none"/>
              </w:rPr>
            </w:pPr>
            <w:r>
              <w:rPr>
                <w:rFonts w:hint="eastAsia" w:ascii="宋体" w:hAnsi="宋体" w:eastAsia="宋体" w:cs="宋体"/>
                <w:color w:val="auto"/>
                <w:highlight w:val="none"/>
              </w:rPr>
              <w:t>获取磋商文件地点</w:t>
            </w:r>
          </w:p>
        </w:tc>
        <w:tc>
          <w:tcPr>
            <w:tcW w:w="592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3BAA093">
            <w:pPr>
              <w:pStyle w:val="13"/>
              <w:bidi w:val="0"/>
              <w:rPr>
                <w:rFonts w:hint="eastAsia" w:ascii="宋体" w:hAnsi="宋体" w:eastAsia="宋体" w:cs="宋体"/>
                <w:color w:val="auto"/>
                <w:highlight w:val="none"/>
              </w:rPr>
            </w:pPr>
            <w:r>
              <w:rPr>
                <w:rFonts w:hint="eastAsia" w:ascii="宋体" w:hAnsi="宋体" w:eastAsia="宋体" w:cs="宋体"/>
                <w:color w:val="auto"/>
                <w:highlight w:val="none"/>
              </w:rPr>
              <w:t>政采云平台线上</w:t>
            </w:r>
          </w:p>
        </w:tc>
      </w:tr>
      <w:tr w14:paraId="604A4ADA">
        <w:tblPrEx>
          <w:shd w:val="clear" w:color="auto" w:fill="auto"/>
          <w:tblCellMar>
            <w:top w:w="0" w:type="dxa"/>
            <w:left w:w="108" w:type="dxa"/>
            <w:bottom w:w="0" w:type="dxa"/>
            <w:right w:w="108" w:type="dxa"/>
          </w:tblCellMar>
        </w:tblPrEx>
        <w:trPr>
          <w:trHeight w:val="511" w:hRule="atLeast"/>
          <w:jc w:val="center"/>
        </w:trPr>
        <w:tc>
          <w:tcPr>
            <w:tcW w:w="267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8EFEC34">
            <w:pPr>
              <w:pStyle w:val="13"/>
              <w:bidi w:val="0"/>
              <w:rPr>
                <w:rFonts w:hint="eastAsia" w:ascii="宋体" w:hAnsi="宋体" w:eastAsia="宋体" w:cs="宋体"/>
                <w:color w:val="auto"/>
                <w:highlight w:val="none"/>
              </w:rPr>
            </w:pPr>
            <w:r>
              <w:rPr>
                <w:rFonts w:hint="eastAsia" w:ascii="宋体" w:hAnsi="宋体" w:eastAsia="宋体" w:cs="宋体"/>
                <w:color w:val="auto"/>
                <w:highlight w:val="none"/>
              </w:rPr>
              <w:t>磋商文件售价</w:t>
            </w:r>
          </w:p>
        </w:tc>
        <w:tc>
          <w:tcPr>
            <w:tcW w:w="592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18544A3">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rPr>
              <w:t>0</w:t>
            </w:r>
            <w:r>
              <w:rPr>
                <w:rFonts w:hint="eastAsia" w:ascii="宋体" w:hAnsi="宋体" w:eastAsia="宋体" w:cs="宋体"/>
                <w:color w:val="auto"/>
                <w:highlight w:val="none"/>
                <w:lang w:val="zh-CN"/>
              </w:rPr>
              <w:t>元/</w:t>
            </w:r>
            <w:r>
              <w:rPr>
                <w:rFonts w:hint="eastAsia" w:ascii="宋体" w:hAnsi="宋体" w:eastAsia="宋体" w:cs="宋体"/>
                <w:color w:val="auto"/>
                <w:highlight w:val="none"/>
              </w:rPr>
              <w:t>份</w:t>
            </w:r>
            <w:r>
              <w:rPr>
                <w:rFonts w:hint="eastAsia" w:ascii="宋体" w:hAnsi="宋体" w:eastAsia="宋体" w:cs="宋体"/>
                <w:color w:val="auto"/>
                <w:highlight w:val="none"/>
                <w:lang w:val="zh-CN"/>
              </w:rPr>
              <w:t>（政采云平台网上下载）</w:t>
            </w:r>
          </w:p>
        </w:tc>
      </w:tr>
      <w:tr w14:paraId="349A8417">
        <w:tblPrEx>
          <w:shd w:val="clear" w:color="auto" w:fill="auto"/>
          <w:tblCellMar>
            <w:top w:w="0" w:type="dxa"/>
            <w:left w:w="108" w:type="dxa"/>
            <w:bottom w:w="0" w:type="dxa"/>
            <w:right w:w="108" w:type="dxa"/>
          </w:tblCellMar>
        </w:tblPrEx>
        <w:trPr>
          <w:trHeight w:val="1169" w:hRule="atLeast"/>
          <w:jc w:val="center"/>
        </w:trPr>
        <w:tc>
          <w:tcPr>
            <w:tcW w:w="267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7C903CE">
            <w:pPr>
              <w:pStyle w:val="13"/>
              <w:bidi w:val="0"/>
              <w:rPr>
                <w:rFonts w:hint="eastAsia" w:ascii="宋体" w:hAnsi="宋体" w:eastAsia="宋体" w:cs="宋体"/>
                <w:color w:val="auto"/>
                <w:highlight w:val="none"/>
              </w:rPr>
            </w:pPr>
            <w:r>
              <w:rPr>
                <w:rFonts w:hint="eastAsia" w:ascii="宋体" w:hAnsi="宋体" w:eastAsia="宋体" w:cs="宋体"/>
                <w:color w:val="auto"/>
                <w:highlight w:val="none"/>
              </w:rPr>
              <w:t>获取磋商文件方式</w:t>
            </w:r>
          </w:p>
        </w:tc>
        <w:tc>
          <w:tcPr>
            <w:tcW w:w="592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3B00406">
            <w:pPr>
              <w:pStyle w:val="13"/>
              <w:bidi w:val="0"/>
              <w:rPr>
                <w:rFonts w:hint="eastAsia" w:ascii="宋体" w:hAnsi="宋体" w:eastAsia="宋体" w:cs="宋体"/>
                <w:color w:val="auto"/>
                <w:highlight w:val="none"/>
              </w:rPr>
            </w:pPr>
            <w:r>
              <w:rPr>
                <w:rFonts w:hint="eastAsia" w:ascii="宋体" w:hAnsi="宋体" w:eastAsia="宋体" w:cs="宋体"/>
                <w:color w:val="auto"/>
                <w:highlight w:val="none"/>
              </w:rPr>
              <w:t>政采云平台线上获取</w:t>
            </w:r>
          </w:p>
          <w:p w14:paraId="536CA619">
            <w:pPr>
              <w:pStyle w:val="13"/>
              <w:bidi w:val="0"/>
              <w:rPr>
                <w:rFonts w:hint="eastAsia" w:ascii="宋体" w:hAnsi="宋体" w:eastAsia="宋体" w:cs="宋体"/>
                <w:color w:val="auto"/>
                <w:highlight w:val="none"/>
              </w:rPr>
            </w:pPr>
            <w:r>
              <w:rPr>
                <w:rFonts w:hint="eastAsia" w:ascii="宋体" w:hAnsi="宋体" w:eastAsia="宋体" w:cs="宋体"/>
                <w:color w:val="auto"/>
                <w:highlight w:val="none"/>
              </w:rPr>
              <w:t>供应商登录政采云平台https://www.zcygov.cn/在线申请获取采购文件（进入“项目采购”应用，在获取采购文件菜单中选择项目，申请获取采购文件）</w:t>
            </w:r>
          </w:p>
        </w:tc>
      </w:tr>
      <w:tr w14:paraId="4EFEEA94">
        <w:tblPrEx>
          <w:shd w:val="clear" w:color="auto" w:fill="auto"/>
          <w:tblCellMar>
            <w:top w:w="0" w:type="dxa"/>
            <w:left w:w="108" w:type="dxa"/>
            <w:bottom w:w="0" w:type="dxa"/>
            <w:right w:w="108" w:type="dxa"/>
          </w:tblCellMar>
        </w:tblPrEx>
        <w:trPr>
          <w:trHeight w:val="469" w:hRule="atLeast"/>
          <w:jc w:val="center"/>
        </w:trPr>
        <w:tc>
          <w:tcPr>
            <w:tcW w:w="267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310DBFF">
            <w:pPr>
              <w:pStyle w:val="13"/>
              <w:bidi w:val="0"/>
              <w:rPr>
                <w:rFonts w:hint="eastAsia" w:ascii="宋体" w:hAnsi="宋体" w:eastAsia="宋体" w:cs="宋体"/>
                <w:color w:val="auto"/>
                <w:highlight w:val="none"/>
              </w:rPr>
            </w:pPr>
            <w:r>
              <w:rPr>
                <w:rFonts w:hint="eastAsia" w:ascii="宋体" w:hAnsi="宋体" w:eastAsia="宋体" w:cs="宋体"/>
                <w:color w:val="auto"/>
                <w:highlight w:val="none"/>
              </w:rPr>
              <w:t>提交响应文件截止时间</w:t>
            </w:r>
          </w:p>
        </w:tc>
        <w:tc>
          <w:tcPr>
            <w:tcW w:w="592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670FCBE">
            <w:pPr>
              <w:pStyle w:val="13"/>
              <w:bidi w:val="0"/>
              <w:rPr>
                <w:rFonts w:hint="eastAsia" w:ascii="宋体" w:hAnsi="宋体" w:eastAsia="宋体" w:cs="宋体"/>
                <w:color w:val="auto"/>
                <w:highlight w:val="none"/>
                <w:lang w:val="zh-CN"/>
              </w:rPr>
            </w:pPr>
            <w:r>
              <w:rPr>
                <w:rFonts w:hint="eastAsia" w:ascii="宋体" w:hAnsi="宋体" w:cs="宋体"/>
                <w:color w:val="auto"/>
                <w:highlight w:val="none"/>
                <w:lang w:val="zh-CN"/>
              </w:rPr>
              <w:t>2026年06月24日15时00分（北京时间）</w:t>
            </w:r>
          </w:p>
        </w:tc>
      </w:tr>
      <w:tr w14:paraId="248D7A64">
        <w:tblPrEx>
          <w:shd w:val="clear" w:color="auto" w:fill="auto"/>
          <w:tblCellMar>
            <w:top w:w="0" w:type="dxa"/>
            <w:left w:w="108" w:type="dxa"/>
            <w:bottom w:w="0" w:type="dxa"/>
            <w:right w:w="108" w:type="dxa"/>
          </w:tblCellMar>
        </w:tblPrEx>
        <w:trPr>
          <w:trHeight w:val="331" w:hRule="atLeast"/>
          <w:jc w:val="center"/>
        </w:trPr>
        <w:tc>
          <w:tcPr>
            <w:tcW w:w="267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2221BF8">
            <w:pPr>
              <w:pStyle w:val="13"/>
              <w:bidi w:val="0"/>
              <w:rPr>
                <w:rFonts w:hint="eastAsia" w:ascii="宋体" w:hAnsi="宋体" w:eastAsia="宋体" w:cs="宋体"/>
                <w:color w:val="auto"/>
                <w:highlight w:val="none"/>
              </w:rPr>
            </w:pPr>
            <w:r>
              <w:rPr>
                <w:rFonts w:hint="eastAsia" w:ascii="宋体" w:hAnsi="宋体" w:eastAsia="宋体" w:cs="宋体"/>
                <w:color w:val="auto"/>
                <w:highlight w:val="none"/>
              </w:rPr>
              <w:t>响应文件开启时间</w:t>
            </w:r>
          </w:p>
        </w:tc>
        <w:tc>
          <w:tcPr>
            <w:tcW w:w="592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7239C6C">
            <w:pPr>
              <w:pStyle w:val="13"/>
              <w:bidi w:val="0"/>
              <w:rPr>
                <w:rFonts w:hint="eastAsia" w:ascii="宋体" w:hAnsi="宋体" w:eastAsia="宋体" w:cs="宋体"/>
                <w:color w:val="auto"/>
                <w:highlight w:val="none"/>
                <w:lang w:val="zh-CN"/>
              </w:rPr>
            </w:pPr>
            <w:r>
              <w:rPr>
                <w:rFonts w:hint="eastAsia" w:ascii="宋体" w:hAnsi="宋体" w:cs="宋体"/>
                <w:color w:val="auto"/>
                <w:highlight w:val="none"/>
                <w:lang w:val="zh-CN"/>
              </w:rPr>
              <w:t>2026年06月24日15时00分（北京时间）</w:t>
            </w:r>
          </w:p>
        </w:tc>
      </w:tr>
      <w:tr w14:paraId="675539B4">
        <w:tblPrEx>
          <w:shd w:val="clear" w:color="auto" w:fill="auto"/>
          <w:tblCellMar>
            <w:top w:w="0" w:type="dxa"/>
            <w:left w:w="108" w:type="dxa"/>
            <w:bottom w:w="0" w:type="dxa"/>
            <w:right w:w="108" w:type="dxa"/>
          </w:tblCellMar>
        </w:tblPrEx>
        <w:trPr>
          <w:trHeight w:val="90" w:hRule="atLeast"/>
          <w:jc w:val="center"/>
        </w:trPr>
        <w:tc>
          <w:tcPr>
            <w:tcW w:w="267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77C14E9">
            <w:pPr>
              <w:pStyle w:val="13"/>
              <w:bidi w:val="0"/>
              <w:rPr>
                <w:rFonts w:hint="eastAsia" w:ascii="宋体" w:hAnsi="宋体" w:eastAsia="宋体" w:cs="宋体"/>
                <w:color w:val="auto"/>
                <w:highlight w:val="none"/>
              </w:rPr>
            </w:pPr>
            <w:r>
              <w:rPr>
                <w:rFonts w:hint="eastAsia" w:ascii="宋体" w:hAnsi="宋体" w:eastAsia="宋体" w:cs="宋体"/>
                <w:color w:val="auto"/>
                <w:highlight w:val="none"/>
              </w:rPr>
              <w:t>提交响应文件地点</w:t>
            </w:r>
          </w:p>
        </w:tc>
        <w:tc>
          <w:tcPr>
            <w:tcW w:w="592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A9AC2F5">
            <w:pPr>
              <w:pStyle w:val="13"/>
              <w:bidi w:val="0"/>
              <w:rPr>
                <w:rFonts w:hint="eastAsia" w:ascii="宋体" w:hAnsi="宋体" w:eastAsia="宋体" w:cs="宋体"/>
                <w:color w:val="auto"/>
                <w:highlight w:val="none"/>
              </w:rPr>
            </w:pPr>
            <w:r>
              <w:rPr>
                <w:rFonts w:hint="eastAsia" w:ascii="宋体" w:hAnsi="宋体" w:eastAsia="宋体" w:cs="宋体"/>
                <w:color w:val="auto"/>
                <w:highlight w:val="none"/>
              </w:rPr>
              <w:t>在政采云平台（https://www.zcygov.cn/）递交，进行线上解密。</w:t>
            </w:r>
          </w:p>
        </w:tc>
      </w:tr>
      <w:tr w14:paraId="00AFA1AC">
        <w:tblPrEx>
          <w:shd w:val="clear" w:color="auto" w:fill="auto"/>
          <w:tblCellMar>
            <w:top w:w="0" w:type="dxa"/>
            <w:left w:w="108" w:type="dxa"/>
            <w:bottom w:w="0" w:type="dxa"/>
            <w:right w:w="108" w:type="dxa"/>
          </w:tblCellMar>
        </w:tblPrEx>
        <w:trPr>
          <w:trHeight w:val="592" w:hRule="atLeast"/>
          <w:jc w:val="center"/>
        </w:trPr>
        <w:tc>
          <w:tcPr>
            <w:tcW w:w="267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D70F6A1">
            <w:pPr>
              <w:pStyle w:val="13"/>
              <w:bidi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响应</w:t>
            </w:r>
            <w:r>
              <w:rPr>
                <w:rFonts w:hint="eastAsia" w:ascii="宋体" w:hAnsi="宋体" w:eastAsia="宋体" w:cs="宋体"/>
                <w:color w:val="auto"/>
                <w:highlight w:val="none"/>
              </w:rPr>
              <w:t>及</w:t>
            </w:r>
            <w:r>
              <w:rPr>
                <w:rFonts w:hint="eastAsia" w:ascii="宋体" w:hAnsi="宋体" w:eastAsia="宋体" w:cs="宋体"/>
                <w:color w:val="auto"/>
                <w:highlight w:val="none"/>
                <w:lang w:val="en-US" w:eastAsia="zh-CN"/>
              </w:rPr>
              <w:t>开启</w:t>
            </w:r>
            <w:r>
              <w:rPr>
                <w:rFonts w:hint="eastAsia" w:ascii="宋体" w:hAnsi="宋体" w:eastAsia="宋体" w:cs="宋体"/>
                <w:color w:val="auto"/>
                <w:highlight w:val="none"/>
              </w:rPr>
              <w:t>地点</w:t>
            </w:r>
          </w:p>
        </w:tc>
        <w:tc>
          <w:tcPr>
            <w:tcW w:w="592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EFD44AC">
            <w:pPr>
              <w:pStyle w:val="13"/>
              <w:bidi w:val="0"/>
              <w:rPr>
                <w:rFonts w:hint="eastAsia" w:ascii="宋体" w:hAnsi="宋体" w:eastAsia="宋体" w:cs="宋体"/>
                <w:color w:val="auto"/>
                <w:highlight w:val="none"/>
              </w:rPr>
            </w:pPr>
            <w:r>
              <w:rPr>
                <w:rFonts w:hint="eastAsia" w:ascii="宋体" w:hAnsi="宋体" w:eastAsia="宋体" w:cs="宋体"/>
                <w:color w:val="auto"/>
                <w:highlight w:val="none"/>
              </w:rPr>
              <w:t>在政采云平台（https://www.zcygov.cn/）递交，进行线上解密。</w:t>
            </w:r>
          </w:p>
        </w:tc>
      </w:tr>
      <w:tr w14:paraId="42BB76F8">
        <w:tblPrEx>
          <w:shd w:val="clear" w:color="auto" w:fill="auto"/>
          <w:tblCellMar>
            <w:top w:w="0" w:type="dxa"/>
            <w:left w:w="108" w:type="dxa"/>
            <w:bottom w:w="0" w:type="dxa"/>
            <w:right w:w="108" w:type="dxa"/>
          </w:tblCellMar>
        </w:tblPrEx>
        <w:trPr>
          <w:trHeight w:val="444" w:hRule="atLeast"/>
          <w:jc w:val="center"/>
        </w:trPr>
        <w:tc>
          <w:tcPr>
            <w:tcW w:w="267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05B49F5">
            <w:pPr>
              <w:pStyle w:val="13"/>
              <w:bidi w:val="0"/>
              <w:rPr>
                <w:rFonts w:hint="eastAsia" w:ascii="宋体" w:hAnsi="宋体" w:eastAsia="宋体" w:cs="宋体"/>
                <w:color w:val="auto"/>
                <w:highlight w:val="yellow"/>
                <w:lang w:eastAsia="zh-CN"/>
              </w:rPr>
            </w:pPr>
            <w:r>
              <w:rPr>
                <w:rFonts w:hint="eastAsia" w:ascii="宋体" w:hAnsi="宋体" w:eastAsia="宋体" w:cs="宋体"/>
                <w:color w:val="auto"/>
                <w:highlight w:val="none"/>
                <w:lang w:eastAsia="zh-CN"/>
              </w:rPr>
              <w:t>采购人及联系人电话</w:t>
            </w:r>
          </w:p>
        </w:tc>
        <w:tc>
          <w:tcPr>
            <w:tcW w:w="592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859B4B3">
            <w:pPr>
              <w:pStyle w:val="13"/>
              <w:bidi w:val="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采购人：青海省财政厅</w:t>
            </w:r>
          </w:p>
          <w:p w14:paraId="29B0B3C1">
            <w:pPr>
              <w:pStyle w:val="13"/>
              <w:bidi w:val="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联系人：滕老师</w:t>
            </w:r>
          </w:p>
          <w:p w14:paraId="1902CE0A">
            <w:pPr>
              <w:pStyle w:val="13"/>
              <w:bidi w:val="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联系电话：0971-3660304</w:t>
            </w:r>
          </w:p>
          <w:p w14:paraId="642DAA07">
            <w:pPr>
              <w:pStyle w:val="13"/>
              <w:bidi w:val="0"/>
              <w:rPr>
                <w:rFonts w:hint="eastAsia" w:ascii="宋体" w:hAnsi="宋体" w:eastAsia="宋体" w:cs="宋体"/>
                <w:color w:val="auto"/>
                <w:highlight w:val="yellow"/>
                <w:lang w:val="en-US" w:eastAsia="zh-CN"/>
              </w:rPr>
            </w:pPr>
            <w:r>
              <w:rPr>
                <w:rFonts w:hint="eastAsia" w:ascii="宋体" w:hAnsi="宋体" w:eastAsia="宋体" w:cs="宋体"/>
                <w:color w:val="auto"/>
                <w:highlight w:val="none"/>
                <w:lang w:eastAsia="zh-CN"/>
              </w:rPr>
              <w:t>联系地址：青海省西宁市城西区黄河路30号</w:t>
            </w:r>
          </w:p>
        </w:tc>
      </w:tr>
      <w:tr w14:paraId="1DC2950D">
        <w:tblPrEx>
          <w:shd w:val="clear" w:color="auto" w:fill="auto"/>
          <w:tblCellMar>
            <w:top w:w="0" w:type="dxa"/>
            <w:left w:w="108" w:type="dxa"/>
            <w:bottom w:w="0" w:type="dxa"/>
            <w:right w:w="108" w:type="dxa"/>
          </w:tblCellMar>
        </w:tblPrEx>
        <w:trPr>
          <w:trHeight w:val="1116" w:hRule="atLeast"/>
          <w:jc w:val="center"/>
        </w:trPr>
        <w:tc>
          <w:tcPr>
            <w:tcW w:w="267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0C75A15">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采购代理机构及联系人电话</w:t>
            </w:r>
          </w:p>
        </w:tc>
        <w:tc>
          <w:tcPr>
            <w:tcW w:w="592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7EE25AA">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采购代理机构：青海联祥招标代理有限公司</w:t>
            </w:r>
          </w:p>
          <w:p w14:paraId="13C0DD15">
            <w:pPr>
              <w:pStyle w:val="13"/>
              <w:bidi w:val="0"/>
              <w:rPr>
                <w:rFonts w:hint="eastAsia" w:ascii="宋体" w:hAnsi="宋体" w:eastAsia="宋体" w:cs="宋体"/>
                <w:color w:val="auto"/>
                <w:highlight w:val="none"/>
              </w:rPr>
            </w:pPr>
            <w:r>
              <w:rPr>
                <w:rFonts w:hint="eastAsia" w:ascii="宋体" w:hAnsi="宋体" w:eastAsia="宋体" w:cs="宋体"/>
                <w:color w:val="auto"/>
                <w:highlight w:val="none"/>
                <w:lang w:val="zh-CN"/>
              </w:rPr>
              <w:t>项目负责人：</w:t>
            </w:r>
            <w:r>
              <w:rPr>
                <w:rFonts w:hint="eastAsia" w:ascii="宋体" w:hAnsi="宋体" w:cs="宋体"/>
                <w:color w:val="auto"/>
                <w:highlight w:val="none"/>
                <w:lang w:val="en-US" w:eastAsia="zh-CN"/>
              </w:rPr>
              <w:t>马女士</w:t>
            </w:r>
          </w:p>
          <w:p w14:paraId="646F36BA">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联系电话：0971-6511500</w:t>
            </w:r>
          </w:p>
          <w:p w14:paraId="28D22EC0">
            <w:pPr>
              <w:pStyle w:val="13"/>
              <w:bidi w:val="0"/>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邮箱：qinghailianxiang@163.com</w:t>
            </w:r>
          </w:p>
          <w:p w14:paraId="0A7F6E46">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联系地址：青海省西宁市城西区胜利路4号时代盛华写字楼13楼11304室</w:t>
            </w:r>
          </w:p>
        </w:tc>
      </w:tr>
      <w:tr w14:paraId="66543229">
        <w:tblPrEx>
          <w:shd w:val="clear" w:color="auto" w:fill="auto"/>
          <w:tblCellMar>
            <w:top w:w="0" w:type="dxa"/>
            <w:left w:w="108" w:type="dxa"/>
            <w:bottom w:w="0" w:type="dxa"/>
            <w:right w:w="108" w:type="dxa"/>
          </w:tblCellMar>
        </w:tblPrEx>
        <w:trPr>
          <w:trHeight w:val="495" w:hRule="atLeast"/>
          <w:jc w:val="center"/>
        </w:trPr>
        <w:tc>
          <w:tcPr>
            <w:tcW w:w="267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F54B4B0">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采购代理机构开户银行</w:t>
            </w:r>
          </w:p>
        </w:tc>
        <w:tc>
          <w:tcPr>
            <w:tcW w:w="592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EDBE08F">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中国建设银行股份有限公司西宁城西支行</w:t>
            </w:r>
          </w:p>
        </w:tc>
      </w:tr>
      <w:tr w14:paraId="4E6359C7">
        <w:tblPrEx>
          <w:shd w:val="clear" w:color="auto" w:fill="auto"/>
          <w:tblCellMar>
            <w:top w:w="0" w:type="dxa"/>
            <w:left w:w="108" w:type="dxa"/>
            <w:bottom w:w="0" w:type="dxa"/>
            <w:right w:w="108" w:type="dxa"/>
          </w:tblCellMar>
        </w:tblPrEx>
        <w:trPr>
          <w:trHeight w:val="498" w:hRule="atLeast"/>
          <w:jc w:val="center"/>
        </w:trPr>
        <w:tc>
          <w:tcPr>
            <w:tcW w:w="267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34CB428">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收款人</w:t>
            </w:r>
          </w:p>
        </w:tc>
        <w:tc>
          <w:tcPr>
            <w:tcW w:w="592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644D0FC">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青海联祥招标代理有限公司</w:t>
            </w:r>
          </w:p>
        </w:tc>
      </w:tr>
      <w:tr w14:paraId="47DA825A">
        <w:tblPrEx>
          <w:shd w:val="clear" w:color="auto" w:fill="auto"/>
          <w:tblCellMar>
            <w:top w:w="0" w:type="dxa"/>
            <w:left w:w="108" w:type="dxa"/>
            <w:bottom w:w="0" w:type="dxa"/>
            <w:right w:w="108" w:type="dxa"/>
          </w:tblCellMar>
        </w:tblPrEx>
        <w:trPr>
          <w:trHeight w:val="510" w:hRule="atLeast"/>
          <w:jc w:val="center"/>
        </w:trPr>
        <w:tc>
          <w:tcPr>
            <w:tcW w:w="267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E87471F">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银行账号</w:t>
            </w:r>
          </w:p>
        </w:tc>
        <w:tc>
          <w:tcPr>
            <w:tcW w:w="592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12DE83D">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63001373637050216012</w:t>
            </w:r>
          </w:p>
        </w:tc>
      </w:tr>
      <w:tr w14:paraId="6FE33F67">
        <w:tblPrEx>
          <w:tblCellMar>
            <w:top w:w="0" w:type="dxa"/>
            <w:left w:w="108" w:type="dxa"/>
            <w:bottom w:w="0" w:type="dxa"/>
            <w:right w:w="108" w:type="dxa"/>
          </w:tblCellMar>
        </w:tblPrEx>
        <w:trPr>
          <w:trHeight w:val="661" w:hRule="atLeast"/>
          <w:jc w:val="center"/>
        </w:trPr>
        <w:tc>
          <w:tcPr>
            <w:tcW w:w="267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50C2E50">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其他事项</w:t>
            </w:r>
          </w:p>
        </w:tc>
        <w:tc>
          <w:tcPr>
            <w:tcW w:w="592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62C6C2F">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1、本次磋商采用线上提交响应文件的方式进行采购，线上投标文件必须在投标文件递交截止时间前上传平台。</w:t>
            </w:r>
          </w:p>
          <w:p w14:paraId="0B4CD156">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2、线上电子化开评标系统操作及办理CA锁等相关事宜请咨询政采云：咨询电话：95763。</w:t>
            </w:r>
          </w:p>
          <w:p w14:paraId="3FD703AB">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3、本项目磋商公告在《青海省政府采购网》、《青海省公共资源交易网》、《中国采购与招标网》上发布。以《青海省政府采购网》为准。</w:t>
            </w:r>
          </w:p>
          <w:p w14:paraId="2CFA8087">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4、本项目线上进行，供应商无需到现场开标；如非系统原因造成无法解密的或非系统原因加密文件上传不成功的或没办理CA锁而造成加密投标文件无法解密、加密投标文件无法上传的视为无效投标。</w:t>
            </w:r>
          </w:p>
          <w:p w14:paraId="4FF81BAA">
            <w:pPr>
              <w:pStyle w:val="13"/>
              <w:bidi w:val="0"/>
              <w:rPr>
                <w:rFonts w:hint="eastAsia" w:ascii="宋体" w:hAnsi="宋体" w:eastAsia="宋体" w:cs="宋体"/>
                <w:color w:val="auto"/>
                <w:highlight w:val="none"/>
                <w:lang w:val="en-US" w:eastAsia="zh-CN"/>
              </w:rPr>
            </w:pPr>
            <w:r>
              <w:rPr>
                <w:rFonts w:hint="eastAsia" w:ascii="宋体" w:hAnsi="宋体" w:eastAsia="宋体" w:cs="宋体"/>
                <w:b/>
                <w:bCs/>
                <w:color w:val="auto"/>
                <w:highlight w:val="none"/>
                <w:lang w:val="zh-CN"/>
              </w:rPr>
              <w:t>5、不同</w:t>
            </w:r>
            <w:r>
              <w:rPr>
                <w:rFonts w:hint="eastAsia" w:ascii="宋体" w:hAnsi="宋体" w:cs="宋体"/>
                <w:b/>
                <w:bCs/>
                <w:color w:val="auto"/>
                <w:highlight w:val="none"/>
                <w:lang w:val="zh-CN"/>
              </w:rPr>
              <w:t>供应商</w:t>
            </w:r>
            <w:r>
              <w:rPr>
                <w:rFonts w:hint="eastAsia" w:ascii="宋体" w:hAnsi="宋体" w:eastAsia="宋体" w:cs="宋体"/>
                <w:b/>
                <w:bCs/>
                <w:color w:val="auto"/>
                <w:highlight w:val="none"/>
                <w:lang w:val="zh-CN"/>
              </w:rPr>
              <w:t>编制或者提交投标文件的计算机网卡MAC地址、IP地址、CPU序列号、硬盘序列号等硬件信息异常一致并触发预警的，由此原因导致投标无效的责任自负。</w:t>
            </w:r>
          </w:p>
        </w:tc>
      </w:tr>
      <w:tr w14:paraId="6FCD2106">
        <w:tblPrEx>
          <w:tblCellMar>
            <w:top w:w="0" w:type="dxa"/>
            <w:left w:w="108" w:type="dxa"/>
            <w:bottom w:w="0" w:type="dxa"/>
            <w:right w:w="108" w:type="dxa"/>
          </w:tblCellMar>
        </w:tblPrEx>
        <w:trPr>
          <w:trHeight w:val="800" w:hRule="atLeast"/>
          <w:jc w:val="center"/>
        </w:trPr>
        <w:tc>
          <w:tcPr>
            <w:tcW w:w="267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CD7E097">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监督部门及电话</w:t>
            </w:r>
          </w:p>
        </w:tc>
        <w:tc>
          <w:tcPr>
            <w:tcW w:w="592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63A3EAC">
            <w:pPr>
              <w:pStyle w:val="13"/>
              <w:bidi w:val="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监督单位：青海省财政厅</w:t>
            </w:r>
          </w:p>
          <w:p w14:paraId="2576692A">
            <w:pPr>
              <w:pStyle w:val="13"/>
              <w:bidi w:val="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联系电话：0971-3660357</w:t>
            </w:r>
          </w:p>
        </w:tc>
      </w:tr>
    </w:tbl>
    <w:p w14:paraId="46280F8E">
      <w:pPr>
        <w:bidi w:val="0"/>
        <w:ind w:left="0" w:leftChars="0" w:firstLine="0" w:firstLineChars="0"/>
        <w:jc w:val="right"/>
        <w:rPr>
          <w:rFonts w:hint="eastAsia" w:ascii="宋体" w:hAnsi="宋体" w:eastAsia="宋体" w:cs="宋体"/>
          <w:color w:val="auto"/>
          <w:highlight w:val="none"/>
        </w:rPr>
      </w:pPr>
      <w:r>
        <w:rPr>
          <w:rFonts w:hint="eastAsia" w:ascii="宋体" w:hAnsi="宋体" w:eastAsia="宋体" w:cs="宋体"/>
          <w:color w:val="auto"/>
          <w:highlight w:val="none"/>
        </w:rPr>
        <w:t>青海联祥招标代理有限公司</w:t>
      </w:r>
    </w:p>
    <w:bookmarkEnd w:id="2"/>
    <w:p w14:paraId="2E233CBA">
      <w:pPr>
        <w:wordWrap w:val="0"/>
        <w:bidi w:val="0"/>
        <w:ind w:left="0" w:leftChars="0" w:firstLine="0" w:firstLineChars="0"/>
        <w:jc w:val="right"/>
        <w:rPr>
          <w:rFonts w:hint="eastAsia" w:ascii="宋体" w:hAnsi="宋体" w:cs="宋体"/>
          <w:color w:val="auto"/>
          <w:highlight w:val="none"/>
          <w:lang w:val="en-US" w:eastAsia="zh-CN"/>
        </w:rPr>
      </w:pPr>
      <w:r>
        <w:rPr>
          <w:rFonts w:hint="eastAsia" w:ascii="宋体" w:hAnsi="宋体" w:cs="宋体"/>
          <w:color w:val="auto"/>
          <w:highlight w:val="none"/>
          <w:lang w:val="en-US" w:eastAsia="zh-CN"/>
        </w:rPr>
        <w:t>2026年06月09日</w:t>
      </w:r>
    </w:p>
    <w:p w14:paraId="186F0068">
      <w:pPr>
        <w:rPr>
          <w:rFonts w:hint="eastAsia" w:ascii="宋体" w:hAnsi="宋体" w:cs="宋体"/>
          <w:color w:val="auto"/>
          <w:highlight w:val="none"/>
          <w:lang w:val="en-US" w:eastAsia="zh-CN"/>
        </w:rPr>
      </w:pPr>
      <w:r>
        <w:rPr>
          <w:rFonts w:hint="eastAsia" w:ascii="宋体" w:hAnsi="宋体" w:cs="宋体"/>
          <w:color w:val="auto"/>
          <w:highlight w:val="none"/>
          <w:lang w:val="en-US" w:eastAsia="zh-CN"/>
        </w:rPr>
        <w:br w:type="page"/>
      </w:r>
    </w:p>
    <w:p w14:paraId="634C6DF8">
      <w:pPr>
        <w:wordWrap w:val="0"/>
        <w:bidi w:val="0"/>
        <w:ind w:left="0" w:leftChars="0" w:firstLine="0" w:firstLineChars="0"/>
        <w:jc w:val="righ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  </w:t>
      </w:r>
    </w:p>
    <w:p w14:paraId="608984F3">
      <w:pPr>
        <w:pStyle w:val="3"/>
        <w:numPr>
          <w:ilvl w:val="0"/>
          <w:numId w:val="0"/>
        </w:numPr>
        <w:bidi w:val="0"/>
        <w:ind w:left="0" w:leftChars="0" w:firstLine="0" w:firstLineChars="0"/>
        <w:rPr>
          <w:rFonts w:hint="eastAsia" w:ascii="宋体" w:hAnsi="宋体" w:eastAsia="宋体" w:cs="宋体"/>
          <w:color w:val="auto"/>
          <w:highlight w:val="none"/>
        </w:rPr>
      </w:pPr>
      <w:bookmarkStart w:id="3" w:name="_Toc23112"/>
      <w:bookmarkStart w:id="4" w:name="_Toc447725348"/>
      <w:r>
        <w:rPr>
          <w:rFonts w:hint="eastAsia" w:ascii="宋体" w:hAnsi="宋体" w:eastAsia="宋体" w:cs="宋体"/>
          <w:color w:val="auto"/>
          <w:highlight w:val="none"/>
        </w:rPr>
        <w:t>第二部分</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磋商须知前附表</w:t>
      </w:r>
      <w:bookmarkEnd w:id="3"/>
      <w:bookmarkEnd w:id="4"/>
    </w:p>
    <w:p w14:paraId="6F47AC7F">
      <w:pPr>
        <w:bidi w:val="0"/>
        <w:rPr>
          <w:rFonts w:hint="eastAsia" w:ascii="宋体" w:hAnsi="宋体" w:eastAsia="宋体" w:cs="宋体"/>
          <w:color w:val="auto"/>
          <w:highlight w:val="none"/>
        </w:rPr>
      </w:pPr>
    </w:p>
    <w:tbl>
      <w:tblPr>
        <w:tblStyle w:val="67"/>
        <w:tblW w:w="8539" w:type="dxa"/>
        <w:jc w:val="center"/>
        <w:shd w:val="clear" w:color="auto" w:fill="auto"/>
        <w:tblLayout w:type="fixed"/>
        <w:tblCellMar>
          <w:top w:w="0" w:type="dxa"/>
          <w:left w:w="108" w:type="dxa"/>
          <w:bottom w:w="0" w:type="dxa"/>
          <w:right w:w="108" w:type="dxa"/>
        </w:tblCellMar>
      </w:tblPr>
      <w:tblGrid>
        <w:gridCol w:w="710"/>
        <w:gridCol w:w="1822"/>
        <w:gridCol w:w="6007"/>
      </w:tblGrid>
      <w:tr w14:paraId="4023C3C9">
        <w:tblPrEx>
          <w:shd w:val="clear" w:color="auto" w:fill="auto"/>
          <w:tblCellMar>
            <w:top w:w="0" w:type="dxa"/>
            <w:left w:w="108" w:type="dxa"/>
            <w:bottom w:w="0" w:type="dxa"/>
            <w:right w:w="108" w:type="dxa"/>
          </w:tblCellMar>
        </w:tblPrEx>
        <w:trPr>
          <w:trHeight w:val="833" w:hRule="atLeast"/>
          <w:jc w:val="center"/>
        </w:trPr>
        <w:tc>
          <w:tcPr>
            <w:tcW w:w="71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31074E9">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序号</w:t>
            </w:r>
          </w:p>
        </w:tc>
        <w:tc>
          <w:tcPr>
            <w:tcW w:w="7829"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7C9A5673">
            <w:pPr>
              <w:pStyle w:val="13"/>
              <w:bidi w:val="0"/>
              <w:jc w:val="center"/>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内容</w:t>
            </w:r>
          </w:p>
        </w:tc>
      </w:tr>
      <w:tr w14:paraId="66F6803E">
        <w:tblPrEx>
          <w:shd w:val="clear" w:color="auto" w:fill="auto"/>
          <w:tblCellMar>
            <w:top w:w="0" w:type="dxa"/>
            <w:left w:w="108" w:type="dxa"/>
            <w:bottom w:w="0" w:type="dxa"/>
            <w:right w:w="108" w:type="dxa"/>
          </w:tblCellMar>
        </w:tblPrEx>
        <w:trPr>
          <w:trHeight w:val="638" w:hRule="atLeast"/>
          <w:jc w:val="center"/>
        </w:trPr>
        <w:tc>
          <w:tcPr>
            <w:tcW w:w="71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8706D5C">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1</w:t>
            </w:r>
          </w:p>
        </w:tc>
        <w:tc>
          <w:tcPr>
            <w:tcW w:w="182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A38C47D">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采购项目名称</w:t>
            </w:r>
          </w:p>
        </w:tc>
        <w:tc>
          <w:tcPr>
            <w:tcW w:w="600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77A8A06">
            <w:pPr>
              <w:pStyle w:val="13"/>
              <w:bidi w:val="0"/>
              <w:rPr>
                <w:rFonts w:hint="eastAsia" w:ascii="宋体" w:hAnsi="宋体" w:eastAsia="宋体" w:cs="宋体"/>
                <w:color w:val="auto"/>
                <w:highlight w:val="none"/>
              </w:rPr>
            </w:pPr>
            <w:r>
              <w:rPr>
                <w:rFonts w:hint="eastAsia" w:ascii="宋体" w:hAnsi="宋体" w:cs="宋体"/>
                <w:color w:val="auto"/>
                <w:highlight w:val="none"/>
                <w:lang w:val="zh-CN"/>
              </w:rPr>
              <w:t>青海省财政厅信息机房设备维保服务项目</w:t>
            </w:r>
          </w:p>
        </w:tc>
      </w:tr>
      <w:tr w14:paraId="326E701C">
        <w:tblPrEx>
          <w:shd w:val="clear" w:color="auto" w:fill="auto"/>
          <w:tblCellMar>
            <w:top w:w="0" w:type="dxa"/>
            <w:left w:w="108" w:type="dxa"/>
            <w:bottom w:w="0" w:type="dxa"/>
            <w:right w:w="108" w:type="dxa"/>
          </w:tblCellMar>
        </w:tblPrEx>
        <w:trPr>
          <w:trHeight w:val="423" w:hRule="atLeast"/>
          <w:jc w:val="center"/>
        </w:trPr>
        <w:tc>
          <w:tcPr>
            <w:tcW w:w="71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F9A0AAB">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2</w:t>
            </w:r>
          </w:p>
        </w:tc>
        <w:tc>
          <w:tcPr>
            <w:tcW w:w="182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2473083">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采购项目编号</w:t>
            </w:r>
          </w:p>
        </w:tc>
        <w:tc>
          <w:tcPr>
            <w:tcW w:w="600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B054473">
            <w:pPr>
              <w:pStyle w:val="13"/>
              <w:bidi w:val="0"/>
              <w:rPr>
                <w:rFonts w:hint="eastAsia" w:ascii="宋体" w:hAnsi="宋体" w:eastAsia="宋体" w:cs="宋体"/>
                <w:color w:val="auto"/>
                <w:highlight w:val="none"/>
              </w:rPr>
            </w:pPr>
            <w:r>
              <w:rPr>
                <w:rFonts w:hint="eastAsia" w:ascii="宋体" w:hAnsi="宋体" w:cs="宋体"/>
                <w:color w:val="auto"/>
                <w:highlight w:val="none"/>
                <w:lang w:val="zh-CN"/>
              </w:rPr>
              <w:t>青海联祥磋商（服务）2026-057</w:t>
            </w:r>
          </w:p>
        </w:tc>
      </w:tr>
      <w:tr w14:paraId="75935580">
        <w:tblPrEx>
          <w:shd w:val="clear" w:color="auto" w:fill="auto"/>
          <w:tblCellMar>
            <w:top w:w="0" w:type="dxa"/>
            <w:left w:w="108" w:type="dxa"/>
            <w:bottom w:w="0" w:type="dxa"/>
            <w:right w:w="108" w:type="dxa"/>
          </w:tblCellMar>
        </w:tblPrEx>
        <w:trPr>
          <w:trHeight w:val="423" w:hRule="atLeast"/>
          <w:jc w:val="center"/>
        </w:trPr>
        <w:tc>
          <w:tcPr>
            <w:tcW w:w="71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E3CDDA8">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3</w:t>
            </w:r>
          </w:p>
        </w:tc>
        <w:tc>
          <w:tcPr>
            <w:tcW w:w="182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A0096A2">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采购人</w:t>
            </w:r>
          </w:p>
        </w:tc>
        <w:tc>
          <w:tcPr>
            <w:tcW w:w="600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7940741">
            <w:pPr>
              <w:pStyle w:val="13"/>
              <w:bidi w:val="0"/>
              <w:rPr>
                <w:rFonts w:hint="eastAsia" w:ascii="宋体" w:hAnsi="宋体" w:eastAsia="宋体" w:cs="宋体"/>
                <w:color w:val="auto"/>
                <w:highlight w:val="none"/>
                <w:lang w:eastAsia="zh-CN"/>
              </w:rPr>
            </w:pPr>
            <w:r>
              <w:rPr>
                <w:rFonts w:hint="eastAsia" w:ascii="宋体" w:hAnsi="宋体" w:cs="宋体"/>
                <w:color w:val="auto"/>
                <w:highlight w:val="none"/>
                <w:lang w:eastAsia="zh-CN"/>
              </w:rPr>
              <w:t>青海省财政厅</w:t>
            </w:r>
          </w:p>
        </w:tc>
      </w:tr>
      <w:tr w14:paraId="68BCCB28">
        <w:tblPrEx>
          <w:shd w:val="clear" w:color="auto" w:fill="auto"/>
          <w:tblCellMar>
            <w:top w:w="0" w:type="dxa"/>
            <w:left w:w="108" w:type="dxa"/>
            <w:bottom w:w="0" w:type="dxa"/>
            <w:right w:w="108" w:type="dxa"/>
          </w:tblCellMar>
        </w:tblPrEx>
        <w:trPr>
          <w:trHeight w:val="423" w:hRule="atLeast"/>
          <w:jc w:val="center"/>
        </w:trPr>
        <w:tc>
          <w:tcPr>
            <w:tcW w:w="71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9D3F008">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4</w:t>
            </w:r>
          </w:p>
        </w:tc>
        <w:tc>
          <w:tcPr>
            <w:tcW w:w="182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A939DBB">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采购代理机构</w:t>
            </w:r>
          </w:p>
        </w:tc>
        <w:tc>
          <w:tcPr>
            <w:tcW w:w="600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871CD6C">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青海联祥招标代理有限公司</w:t>
            </w:r>
          </w:p>
        </w:tc>
      </w:tr>
      <w:tr w14:paraId="6EC36628">
        <w:tblPrEx>
          <w:shd w:val="clear" w:color="auto" w:fill="auto"/>
          <w:tblCellMar>
            <w:top w:w="0" w:type="dxa"/>
            <w:left w:w="108" w:type="dxa"/>
            <w:bottom w:w="0" w:type="dxa"/>
            <w:right w:w="108" w:type="dxa"/>
          </w:tblCellMar>
        </w:tblPrEx>
        <w:trPr>
          <w:trHeight w:val="423" w:hRule="atLeast"/>
          <w:jc w:val="center"/>
        </w:trPr>
        <w:tc>
          <w:tcPr>
            <w:tcW w:w="71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604EFE0">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5</w:t>
            </w:r>
          </w:p>
        </w:tc>
        <w:tc>
          <w:tcPr>
            <w:tcW w:w="182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E8A2F6D">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采购方式</w:t>
            </w:r>
          </w:p>
        </w:tc>
        <w:tc>
          <w:tcPr>
            <w:tcW w:w="600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695A4ED">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竞争性磋商</w:t>
            </w:r>
          </w:p>
        </w:tc>
      </w:tr>
      <w:tr w14:paraId="3248367B">
        <w:tblPrEx>
          <w:shd w:val="clear" w:color="auto" w:fill="auto"/>
          <w:tblCellMar>
            <w:top w:w="0" w:type="dxa"/>
            <w:left w:w="108" w:type="dxa"/>
            <w:bottom w:w="0" w:type="dxa"/>
            <w:right w:w="108" w:type="dxa"/>
          </w:tblCellMar>
        </w:tblPrEx>
        <w:trPr>
          <w:trHeight w:val="423" w:hRule="atLeast"/>
          <w:jc w:val="center"/>
        </w:trPr>
        <w:tc>
          <w:tcPr>
            <w:tcW w:w="71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2C6A37F">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6</w:t>
            </w:r>
          </w:p>
        </w:tc>
        <w:tc>
          <w:tcPr>
            <w:tcW w:w="182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6BC3A52">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评分办法</w:t>
            </w:r>
          </w:p>
        </w:tc>
        <w:tc>
          <w:tcPr>
            <w:tcW w:w="600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DBA0030">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综合评分法</w:t>
            </w:r>
          </w:p>
        </w:tc>
      </w:tr>
      <w:tr w14:paraId="708BD305">
        <w:tblPrEx>
          <w:shd w:val="clear" w:color="auto" w:fill="auto"/>
          <w:tblCellMar>
            <w:top w:w="0" w:type="dxa"/>
            <w:left w:w="108" w:type="dxa"/>
            <w:bottom w:w="0" w:type="dxa"/>
            <w:right w:w="108" w:type="dxa"/>
          </w:tblCellMar>
        </w:tblPrEx>
        <w:trPr>
          <w:trHeight w:val="423" w:hRule="atLeast"/>
          <w:jc w:val="center"/>
        </w:trPr>
        <w:tc>
          <w:tcPr>
            <w:tcW w:w="71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ABB7241">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7</w:t>
            </w:r>
          </w:p>
        </w:tc>
        <w:tc>
          <w:tcPr>
            <w:tcW w:w="182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C82BAE2">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项目分包个数</w:t>
            </w:r>
          </w:p>
        </w:tc>
        <w:tc>
          <w:tcPr>
            <w:tcW w:w="600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52FD715">
            <w:pPr>
              <w:pStyle w:val="13"/>
              <w:bidi w:val="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不分包</w:t>
            </w:r>
          </w:p>
        </w:tc>
      </w:tr>
      <w:tr w14:paraId="02941190">
        <w:tblPrEx>
          <w:shd w:val="clear" w:color="auto" w:fill="auto"/>
          <w:tblCellMar>
            <w:top w:w="0" w:type="dxa"/>
            <w:left w:w="108" w:type="dxa"/>
            <w:bottom w:w="0" w:type="dxa"/>
            <w:right w:w="108" w:type="dxa"/>
          </w:tblCellMar>
        </w:tblPrEx>
        <w:trPr>
          <w:trHeight w:val="423" w:hRule="atLeast"/>
          <w:jc w:val="center"/>
        </w:trPr>
        <w:tc>
          <w:tcPr>
            <w:tcW w:w="71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5C6EFD6">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8</w:t>
            </w:r>
          </w:p>
        </w:tc>
        <w:tc>
          <w:tcPr>
            <w:tcW w:w="182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4952C89">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采购要求</w:t>
            </w:r>
          </w:p>
        </w:tc>
        <w:tc>
          <w:tcPr>
            <w:tcW w:w="600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A0E2896">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具体内容详见《磋商文件》</w:t>
            </w:r>
          </w:p>
        </w:tc>
      </w:tr>
      <w:tr w14:paraId="3CF4207B">
        <w:tblPrEx>
          <w:shd w:val="clear" w:color="auto" w:fill="auto"/>
          <w:tblCellMar>
            <w:top w:w="0" w:type="dxa"/>
            <w:left w:w="108" w:type="dxa"/>
            <w:bottom w:w="0" w:type="dxa"/>
            <w:right w:w="108" w:type="dxa"/>
          </w:tblCellMar>
        </w:tblPrEx>
        <w:trPr>
          <w:trHeight w:val="90" w:hRule="atLeast"/>
          <w:jc w:val="center"/>
        </w:trPr>
        <w:tc>
          <w:tcPr>
            <w:tcW w:w="71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AC169EF">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9</w:t>
            </w:r>
          </w:p>
        </w:tc>
        <w:tc>
          <w:tcPr>
            <w:tcW w:w="182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EB02116">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供应商资格条件</w:t>
            </w:r>
          </w:p>
        </w:tc>
        <w:tc>
          <w:tcPr>
            <w:tcW w:w="600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EB78125">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1、按照《政府采购法》第22条规定提供以下相关材料：</w:t>
            </w:r>
          </w:p>
          <w:p w14:paraId="0C884278">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(1)</w:t>
            </w:r>
            <w:r>
              <w:rPr>
                <w:rFonts w:hint="eastAsia" w:ascii="宋体" w:hAnsi="宋体" w:cs="宋体"/>
                <w:color w:val="auto"/>
                <w:highlight w:val="none"/>
                <w:lang w:val="zh-CN"/>
              </w:rPr>
              <w:t>供应商</w:t>
            </w:r>
            <w:r>
              <w:rPr>
                <w:rFonts w:hint="eastAsia" w:ascii="宋体" w:hAnsi="宋体" w:eastAsia="宋体" w:cs="宋体"/>
                <w:color w:val="auto"/>
                <w:highlight w:val="none"/>
                <w:lang w:val="zh-CN"/>
              </w:rPr>
              <w:t>的营业执照等证明文件，自然人的身份证明。</w:t>
            </w:r>
          </w:p>
          <w:p w14:paraId="7DE24451">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(2)财务状况报告，依法缴纳税收和社会保障资金的相关材料。</w:t>
            </w:r>
          </w:p>
          <w:p w14:paraId="45BCF1D7">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(3)具备履行合同所</w:t>
            </w:r>
            <w:r>
              <w:rPr>
                <w:rFonts w:hint="eastAsia" w:ascii="宋体" w:hAnsi="宋体" w:cs="宋体"/>
                <w:color w:val="auto"/>
                <w:highlight w:val="none"/>
                <w:lang w:val="en-US" w:eastAsia="zh-CN"/>
              </w:rPr>
              <w:t>必需</w:t>
            </w:r>
            <w:r>
              <w:rPr>
                <w:rFonts w:hint="eastAsia" w:ascii="宋体" w:hAnsi="宋体" w:eastAsia="宋体" w:cs="宋体"/>
                <w:color w:val="auto"/>
                <w:highlight w:val="none"/>
                <w:lang w:val="zh-CN"/>
              </w:rPr>
              <w:t>的设备和专业技术能力的证明材料。</w:t>
            </w:r>
          </w:p>
          <w:p w14:paraId="778C6511">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(4)参加政府采购活动前3年内在经营活动中没有重大违法记录的书面声明。</w:t>
            </w:r>
          </w:p>
          <w:p w14:paraId="5D22DA0C">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(5)具备法律、行政法规规定的其他条件的证明材料。</w:t>
            </w:r>
          </w:p>
          <w:p w14:paraId="025C57D5">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2、经信用中国（www.creditchina.gov.cn）、中国政府采购网（www.ccgp.gov.cn）等渠道查询后，列入失信被执行人、重大税收违法失信主体、政府采购严重违法失信行为记录名单的，取消投标资格。</w:t>
            </w:r>
          </w:p>
          <w:p w14:paraId="72821C54">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3、单位负责人为同一人或者存在直接控股、管理关系的不同</w:t>
            </w:r>
            <w:r>
              <w:rPr>
                <w:rFonts w:hint="eastAsia" w:ascii="宋体" w:hAnsi="宋体" w:cs="宋体"/>
                <w:color w:val="auto"/>
                <w:highlight w:val="none"/>
                <w:lang w:val="zh-CN"/>
              </w:rPr>
              <w:t>供应商</w:t>
            </w:r>
            <w:r>
              <w:rPr>
                <w:rFonts w:hint="eastAsia" w:ascii="宋体" w:hAnsi="宋体" w:eastAsia="宋体" w:cs="宋体"/>
                <w:color w:val="auto"/>
                <w:highlight w:val="none"/>
                <w:lang w:val="zh-CN"/>
              </w:rPr>
              <w:t>，不得参加同一合同项下的政府采购活动。否则，皆取消投标资格（需提供承诺函）；</w:t>
            </w:r>
          </w:p>
          <w:p w14:paraId="6D15793C">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4、为本采购项目提供整体设计、规范编制或者项目管理、监理、检测等服务的</w:t>
            </w:r>
            <w:r>
              <w:rPr>
                <w:rFonts w:hint="eastAsia" w:ascii="宋体" w:hAnsi="宋体" w:cs="宋体"/>
                <w:color w:val="auto"/>
                <w:highlight w:val="none"/>
                <w:lang w:val="zh-CN"/>
              </w:rPr>
              <w:t>供应商</w:t>
            </w:r>
            <w:r>
              <w:rPr>
                <w:rFonts w:hint="eastAsia" w:ascii="宋体" w:hAnsi="宋体" w:eastAsia="宋体" w:cs="宋体"/>
                <w:color w:val="auto"/>
                <w:highlight w:val="none"/>
                <w:lang w:val="zh-CN"/>
              </w:rPr>
              <w:t>，不得再参加该采购项目的其他采购活动（需提供承诺函）；</w:t>
            </w:r>
          </w:p>
          <w:p w14:paraId="5F7D6165">
            <w:pPr>
              <w:pStyle w:val="13"/>
              <w:bidi w:val="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zh-CN"/>
              </w:rPr>
              <w:t>5、本项目不接受</w:t>
            </w:r>
            <w:r>
              <w:rPr>
                <w:rFonts w:hint="eastAsia" w:ascii="宋体" w:hAnsi="宋体" w:cs="宋体"/>
                <w:color w:val="auto"/>
                <w:highlight w:val="none"/>
                <w:lang w:val="zh-CN"/>
              </w:rPr>
              <w:t>供应商</w:t>
            </w:r>
            <w:r>
              <w:rPr>
                <w:rFonts w:hint="eastAsia" w:ascii="宋体" w:hAnsi="宋体" w:eastAsia="宋体" w:cs="宋体"/>
                <w:color w:val="auto"/>
                <w:highlight w:val="none"/>
                <w:lang w:val="zh-CN"/>
              </w:rPr>
              <w:t>以联合体方式进行投标。</w:t>
            </w:r>
          </w:p>
        </w:tc>
      </w:tr>
      <w:tr w14:paraId="004466CF">
        <w:tblPrEx>
          <w:shd w:val="clear" w:color="auto" w:fill="auto"/>
          <w:tblCellMar>
            <w:top w:w="0" w:type="dxa"/>
            <w:left w:w="108" w:type="dxa"/>
            <w:bottom w:w="0" w:type="dxa"/>
            <w:right w:w="108" w:type="dxa"/>
          </w:tblCellMar>
        </w:tblPrEx>
        <w:trPr>
          <w:trHeight w:val="2884" w:hRule="atLeast"/>
          <w:jc w:val="center"/>
        </w:trPr>
        <w:tc>
          <w:tcPr>
            <w:tcW w:w="71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989E7DA">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10</w:t>
            </w:r>
          </w:p>
        </w:tc>
        <w:tc>
          <w:tcPr>
            <w:tcW w:w="182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B819CFF">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rPr>
              <w:t>响应</w:t>
            </w:r>
            <w:r>
              <w:rPr>
                <w:rFonts w:hint="eastAsia" w:ascii="宋体" w:hAnsi="宋体" w:eastAsia="宋体" w:cs="宋体"/>
                <w:color w:val="auto"/>
                <w:highlight w:val="none"/>
                <w:lang w:val="zh-CN"/>
              </w:rPr>
              <w:t>文件编制</w:t>
            </w:r>
            <w:r>
              <w:rPr>
                <w:rFonts w:hint="eastAsia" w:ascii="宋体" w:hAnsi="宋体" w:eastAsia="宋体" w:cs="宋体"/>
                <w:color w:val="auto"/>
                <w:highlight w:val="none"/>
              </w:rPr>
              <w:t>和签署</w:t>
            </w:r>
            <w:r>
              <w:rPr>
                <w:rFonts w:hint="eastAsia" w:ascii="宋体" w:hAnsi="宋体" w:eastAsia="宋体" w:cs="宋体"/>
                <w:color w:val="auto"/>
                <w:highlight w:val="none"/>
                <w:lang w:val="zh-CN"/>
              </w:rPr>
              <w:t>要求</w:t>
            </w:r>
          </w:p>
        </w:tc>
        <w:tc>
          <w:tcPr>
            <w:tcW w:w="600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4D6CC4F">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1、电子响应文件编制要求按政采云平台操作要求上传。</w:t>
            </w:r>
          </w:p>
          <w:p w14:paraId="13F1B96C">
            <w:pPr>
              <w:pStyle w:val="13"/>
              <w:bidi w:val="0"/>
              <w:rPr>
                <w:rFonts w:hint="eastAsia" w:ascii="宋体" w:hAnsi="宋体" w:eastAsia="宋体" w:cs="宋体"/>
                <w:color w:val="auto"/>
                <w:highlight w:val="none"/>
              </w:rPr>
            </w:pPr>
            <w:r>
              <w:rPr>
                <w:rFonts w:hint="eastAsia" w:ascii="宋体" w:hAnsi="宋体" w:eastAsia="宋体" w:cs="宋体"/>
                <w:color w:val="auto"/>
                <w:highlight w:val="none"/>
              </w:rPr>
              <w:t>2、磋商响应文件中的扫描或复印件内容应清晰可辨，且要求正向放置。</w:t>
            </w:r>
          </w:p>
          <w:p w14:paraId="2146BBF3">
            <w:pPr>
              <w:pStyle w:val="13"/>
              <w:bidi w:val="0"/>
              <w:rPr>
                <w:rFonts w:hint="eastAsia" w:ascii="宋体" w:hAnsi="宋体" w:eastAsia="宋体" w:cs="宋体"/>
                <w:color w:val="auto"/>
                <w:highlight w:val="none"/>
              </w:rPr>
            </w:pPr>
            <w:r>
              <w:rPr>
                <w:rFonts w:hint="eastAsia" w:ascii="宋体" w:hAnsi="宋体" w:eastAsia="宋体" w:cs="宋体"/>
                <w:color w:val="auto"/>
                <w:highlight w:val="none"/>
              </w:rPr>
              <w:t>3、磋商响应文件要求签字、盖章的地方必须由供应商的法定代表人或委托代理人按要求签字、盖章。</w:t>
            </w:r>
          </w:p>
          <w:p w14:paraId="3A463CC2">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rPr>
              <w:t>4、供应商应在提交磋商响应文件截止时间前上传磋商响应文件。</w:t>
            </w:r>
          </w:p>
        </w:tc>
      </w:tr>
      <w:tr w14:paraId="34652114">
        <w:tblPrEx>
          <w:shd w:val="clear" w:color="auto" w:fill="auto"/>
          <w:tblCellMar>
            <w:top w:w="0" w:type="dxa"/>
            <w:left w:w="108" w:type="dxa"/>
            <w:bottom w:w="0" w:type="dxa"/>
            <w:right w:w="108" w:type="dxa"/>
          </w:tblCellMar>
        </w:tblPrEx>
        <w:trPr>
          <w:trHeight w:val="833" w:hRule="atLeast"/>
          <w:jc w:val="center"/>
        </w:trPr>
        <w:tc>
          <w:tcPr>
            <w:tcW w:w="71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B4D27B3">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11</w:t>
            </w:r>
          </w:p>
        </w:tc>
        <w:tc>
          <w:tcPr>
            <w:tcW w:w="182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28CE7A0">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递交</w:t>
            </w:r>
            <w:r>
              <w:rPr>
                <w:rFonts w:hint="eastAsia" w:ascii="宋体" w:hAnsi="宋体" w:eastAsia="宋体" w:cs="宋体"/>
                <w:color w:val="auto"/>
                <w:highlight w:val="none"/>
              </w:rPr>
              <w:t>响应文件</w:t>
            </w:r>
            <w:r>
              <w:rPr>
                <w:rFonts w:hint="eastAsia" w:ascii="宋体" w:hAnsi="宋体" w:eastAsia="宋体" w:cs="宋体"/>
                <w:color w:val="auto"/>
                <w:highlight w:val="none"/>
                <w:lang w:val="zh-CN"/>
              </w:rPr>
              <w:t>方式</w:t>
            </w:r>
          </w:p>
        </w:tc>
        <w:tc>
          <w:tcPr>
            <w:tcW w:w="600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F895375">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rPr>
              <w:t>政采云平台线上上传。</w:t>
            </w:r>
          </w:p>
        </w:tc>
      </w:tr>
      <w:tr w14:paraId="54CC8DD4">
        <w:tblPrEx>
          <w:shd w:val="clear" w:color="auto" w:fill="auto"/>
          <w:tblCellMar>
            <w:top w:w="0" w:type="dxa"/>
            <w:left w:w="108" w:type="dxa"/>
            <w:bottom w:w="0" w:type="dxa"/>
            <w:right w:w="108" w:type="dxa"/>
          </w:tblCellMar>
        </w:tblPrEx>
        <w:trPr>
          <w:trHeight w:val="833" w:hRule="atLeast"/>
          <w:jc w:val="center"/>
        </w:trPr>
        <w:tc>
          <w:tcPr>
            <w:tcW w:w="71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6D9C9AA">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12</w:t>
            </w:r>
          </w:p>
        </w:tc>
        <w:tc>
          <w:tcPr>
            <w:tcW w:w="182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F197B94">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rPr>
              <w:t>提交响应文件截止时间</w:t>
            </w:r>
          </w:p>
        </w:tc>
        <w:tc>
          <w:tcPr>
            <w:tcW w:w="600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D59E678">
            <w:pPr>
              <w:pStyle w:val="13"/>
              <w:bidi w:val="0"/>
              <w:rPr>
                <w:rFonts w:hint="eastAsia" w:ascii="宋体" w:hAnsi="宋体" w:eastAsia="宋体" w:cs="宋体"/>
                <w:color w:val="auto"/>
                <w:highlight w:val="none"/>
              </w:rPr>
            </w:pPr>
            <w:r>
              <w:rPr>
                <w:rFonts w:hint="eastAsia" w:ascii="宋体" w:hAnsi="宋体" w:cs="宋体"/>
                <w:color w:val="auto"/>
                <w:highlight w:val="none"/>
                <w:lang w:val="zh-CN"/>
              </w:rPr>
              <w:t>2026年06月24日15时00分（北京时间）</w:t>
            </w:r>
          </w:p>
        </w:tc>
      </w:tr>
      <w:tr w14:paraId="79C70A2E">
        <w:tblPrEx>
          <w:shd w:val="clear" w:color="auto" w:fill="auto"/>
          <w:tblCellMar>
            <w:top w:w="0" w:type="dxa"/>
            <w:left w:w="108" w:type="dxa"/>
            <w:bottom w:w="0" w:type="dxa"/>
            <w:right w:w="108" w:type="dxa"/>
          </w:tblCellMar>
        </w:tblPrEx>
        <w:trPr>
          <w:trHeight w:val="833" w:hRule="atLeast"/>
          <w:jc w:val="center"/>
        </w:trPr>
        <w:tc>
          <w:tcPr>
            <w:tcW w:w="71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9480428">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13</w:t>
            </w:r>
          </w:p>
        </w:tc>
        <w:tc>
          <w:tcPr>
            <w:tcW w:w="182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EE5CE58">
            <w:pPr>
              <w:pStyle w:val="13"/>
              <w:bidi w:val="0"/>
              <w:rPr>
                <w:rFonts w:hint="eastAsia" w:ascii="宋体" w:hAnsi="宋体" w:eastAsia="宋体" w:cs="宋体"/>
                <w:color w:val="auto"/>
                <w:highlight w:val="none"/>
              </w:rPr>
            </w:pPr>
            <w:r>
              <w:rPr>
                <w:rFonts w:hint="eastAsia" w:ascii="宋体" w:hAnsi="宋体" w:eastAsia="宋体" w:cs="宋体"/>
                <w:color w:val="auto"/>
                <w:highlight w:val="none"/>
              </w:rPr>
              <w:t>响应文件开启时间</w:t>
            </w:r>
          </w:p>
        </w:tc>
        <w:tc>
          <w:tcPr>
            <w:tcW w:w="600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C7B67E6">
            <w:pPr>
              <w:pStyle w:val="13"/>
              <w:bidi w:val="0"/>
              <w:rPr>
                <w:rFonts w:hint="eastAsia" w:ascii="宋体" w:hAnsi="宋体" w:eastAsia="宋体" w:cs="宋体"/>
                <w:color w:val="auto"/>
                <w:highlight w:val="none"/>
                <w:lang w:val="zh-CN"/>
              </w:rPr>
            </w:pPr>
            <w:r>
              <w:rPr>
                <w:rFonts w:hint="eastAsia" w:ascii="宋体" w:hAnsi="宋体" w:cs="宋体"/>
                <w:color w:val="auto"/>
                <w:highlight w:val="none"/>
                <w:lang w:val="zh-CN"/>
              </w:rPr>
              <w:t>2026年06月24日15时00分（北京时间）</w:t>
            </w:r>
          </w:p>
        </w:tc>
      </w:tr>
      <w:tr w14:paraId="4CEF1303">
        <w:tblPrEx>
          <w:shd w:val="clear" w:color="auto" w:fill="auto"/>
          <w:tblCellMar>
            <w:top w:w="0" w:type="dxa"/>
            <w:left w:w="108" w:type="dxa"/>
            <w:bottom w:w="0" w:type="dxa"/>
            <w:right w:w="108" w:type="dxa"/>
          </w:tblCellMar>
        </w:tblPrEx>
        <w:trPr>
          <w:trHeight w:val="833" w:hRule="atLeast"/>
          <w:jc w:val="center"/>
        </w:trPr>
        <w:tc>
          <w:tcPr>
            <w:tcW w:w="71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29AC7C8">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14</w:t>
            </w:r>
          </w:p>
        </w:tc>
        <w:tc>
          <w:tcPr>
            <w:tcW w:w="182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CB916C7">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rPr>
              <w:t>提交响应文件地点</w:t>
            </w:r>
          </w:p>
        </w:tc>
        <w:tc>
          <w:tcPr>
            <w:tcW w:w="600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9872228">
            <w:pPr>
              <w:pStyle w:val="13"/>
              <w:bidi w:val="0"/>
              <w:rPr>
                <w:rFonts w:hint="eastAsia" w:ascii="宋体" w:hAnsi="宋体" w:eastAsia="宋体" w:cs="宋体"/>
                <w:color w:val="auto"/>
                <w:highlight w:val="none"/>
              </w:rPr>
            </w:pPr>
            <w:r>
              <w:rPr>
                <w:rFonts w:hint="eastAsia" w:ascii="宋体" w:hAnsi="宋体" w:eastAsia="宋体" w:cs="宋体"/>
                <w:color w:val="auto"/>
                <w:highlight w:val="none"/>
              </w:rPr>
              <w:t>在政采云平台（https://www.zcygov.cn/）递交，进行线上解密。</w:t>
            </w:r>
          </w:p>
        </w:tc>
      </w:tr>
      <w:tr w14:paraId="6B79429B">
        <w:tblPrEx>
          <w:shd w:val="clear" w:color="auto" w:fill="auto"/>
          <w:tblCellMar>
            <w:top w:w="0" w:type="dxa"/>
            <w:left w:w="108" w:type="dxa"/>
            <w:bottom w:w="0" w:type="dxa"/>
            <w:right w:w="108" w:type="dxa"/>
          </w:tblCellMar>
        </w:tblPrEx>
        <w:trPr>
          <w:trHeight w:val="833" w:hRule="atLeast"/>
          <w:jc w:val="center"/>
        </w:trPr>
        <w:tc>
          <w:tcPr>
            <w:tcW w:w="71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85D51E9">
            <w:pPr>
              <w:pStyle w:val="13"/>
              <w:bidi w:val="0"/>
              <w:ind w:left="0" w:leftChars="0" w:firstLine="0" w:firstLineChars="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15</w:t>
            </w:r>
          </w:p>
        </w:tc>
        <w:tc>
          <w:tcPr>
            <w:tcW w:w="182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A1A86B6">
            <w:pPr>
              <w:pStyle w:val="13"/>
              <w:bidi w:val="0"/>
              <w:ind w:left="0" w:leftChars="0" w:firstLine="0" w:firstLineChars="0"/>
              <w:rPr>
                <w:rFonts w:hint="eastAsia" w:ascii="宋体" w:hAnsi="宋体" w:eastAsia="宋体" w:cs="宋体"/>
                <w:color w:val="auto"/>
                <w:highlight w:val="none"/>
              </w:rPr>
            </w:pPr>
            <w:r>
              <w:rPr>
                <w:rFonts w:hint="eastAsia" w:ascii="宋体" w:hAnsi="宋体" w:eastAsia="宋体" w:cs="宋体"/>
                <w:color w:val="auto"/>
                <w:highlight w:val="none"/>
                <w:lang w:val="zh-CN"/>
              </w:rPr>
              <w:t>答疑澄清方式</w:t>
            </w:r>
          </w:p>
        </w:tc>
        <w:tc>
          <w:tcPr>
            <w:tcW w:w="600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8306A29">
            <w:pPr>
              <w:pStyle w:val="13"/>
              <w:bidi w:val="0"/>
              <w:rPr>
                <w:rFonts w:hint="eastAsia" w:ascii="宋体" w:hAnsi="宋体" w:eastAsia="宋体" w:cs="宋体"/>
                <w:color w:val="auto"/>
                <w:highlight w:val="none"/>
              </w:rPr>
            </w:pPr>
            <w:r>
              <w:rPr>
                <w:rFonts w:hint="eastAsia" w:ascii="宋体" w:hAnsi="宋体" w:eastAsia="宋体" w:cs="宋体"/>
                <w:color w:val="auto"/>
                <w:highlight w:val="none"/>
              </w:rPr>
              <w:t>线上答疑。</w:t>
            </w:r>
          </w:p>
          <w:p w14:paraId="7C548FF4">
            <w:pPr>
              <w:pStyle w:val="13"/>
              <w:bidi w:val="0"/>
              <w:ind w:left="0" w:leftChars="0" w:firstLine="0" w:firstLineChars="0"/>
              <w:rPr>
                <w:rFonts w:hint="eastAsia" w:ascii="宋体" w:hAnsi="宋体" w:eastAsia="宋体" w:cs="宋体"/>
                <w:color w:val="auto"/>
                <w:highlight w:val="none"/>
              </w:rPr>
            </w:pPr>
            <w:r>
              <w:rPr>
                <w:rFonts w:hint="eastAsia" w:ascii="宋体" w:hAnsi="宋体" w:eastAsia="宋体" w:cs="宋体"/>
                <w:color w:val="auto"/>
                <w:highlight w:val="none"/>
              </w:rPr>
              <w:t>评标委员会根据投标情况确定答疑时间，答疑或澄清采用在政采云平台上进行，</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可在政采云平台上的“我的澄清”界面了解答疑时间等信息。</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须提供准确的联系方式（手机和固定电话），在项目开标、评标时须在线了解开标信息，掌握答疑时间，需由法定代表人或委托代理人对评标委员会提出的质疑做出应答。如在规定的时间内联系无果，无法在政采云平台上进行答疑者，视同放弃答疑。</w:t>
            </w:r>
          </w:p>
        </w:tc>
      </w:tr>
      <w:tr w14:paraId="7CF4D798">
        <w:tblPrEx>
          <w:shd w:val="clear" w:color="auto" w:fill="auto"/>
          <w:tblCellMar>
            <w:top w:w="0" w:type="dxa"/>
            <w:left w:w="108" w:type="dxa"/>
            <w:bottom w:w="0" w:type="dxa"/>
            <w:right w:w="108" w:type="dxa"/>
          </w:tblCellMar>
        </w:tblPrEx>
        <w:trPr>
          <w:trHeight w:val="7256" w:hRule="atLeast"/>
          <w:jc w:val="center"/>
        </w:trPr>
        <w:tc>
          <w:tcPr>
            <w:tcW w:w="71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4F9468C">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16</w:t>
            </w:r>
          </w:p>
        </w:tc>
        <w:tc>
          <w:tcPr>
            <w:tcW w:w="182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21B3A3F">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代理服务费收取</w:t>
            </w:r>
          </w:p>
        </w:tc>
        <w:tc>
          <w:tcPr>
            <w:tcW w:w="600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CC48FEA">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收取对象：</w:t>
            </w:r>
            <w:r>
              <w:rPr>
                <w:rFonts w:hint="eastAsia" w:ascii="宋体" w:hAnsi="宋体" w:eastAsia="宋体" w:cs="宋体"/>
                <w:color w:val="auto"/>
                <w:highlight w:val="none"/>
                <w:lang w:val="en-US" w:eastAsia="zh-CN"/>
              </w:rPr>
              <w:t>成交人</w:t>
            </w:r>
            <w:r>
              <w:rPr>
                <w:rFonts w:hint="eastAsia" w:ascii="宋体" w:hAnsi="宋体" w:eastAsia="宋体" w:cs="宋体"/>
                <w:color w:val="auto"/>
                <w:highlight w:val="none"/>
                <w:lang w:val="zh-CN"/>
              </w:rPr>
              <w:t>。</w:t>
            </w:r>
          </w:p>
          <w:p w14:paraId="0F71DF93">
            <w:pPr>
              <w:pStyle w:val="13"/>
              <w:bidi w:val="0"/>
              <w:rPr>
                <w:rFonts w:hint="eastAsia"/>
                <w:highlight w:val="none"/>
                <w:lang w:val="zh-CN"/>
              </w:rPr>
            </w:pPr>
            <w:r>
              <w:rPr>
                <w:rFonts w:hint="eastAsia" w:ascii="宋体" w:hAnsi="宋体" w:eastAsia="宋体" w:cs="宋体"/>
                <w:color w:val="auto"/>
                <w:highlight w:val="none"/>
                <w:lang w:val="zh-CN"/>
              </w:rPr>
              <w:t>收费标准：</w:t>
            </w:r>
            <w:r>
              <w:rPr>
                <w:rFonts w:hint="eastAsia" w:ascii="宋体" w:hAnsi="宋体" w:cs="宋体"/>
                <w:color w:val="000000"/>
                <w:kern w:val="0"/>
                <w:highlight w:val="none"/>
                <w:lang w:val="en-US" w:eastAsia="zh-CN"/>
              </w:rPr>
              <w:t>根据《关于进一步放开建设项目专项业务服务价格的通知》（发改价格[2015]299号）规定，实行市场调节价，应严格遵守《价格法》、《关于商品和服务实行明码标价的规定》等法律法规的规定，由采购人和采购代理机构共同确定合理的收费金额，以项目中标价为基准计算后收取</w:t>
            </w:r>
            <w:r>
              <w:rPr>
                <w:rFonts w:hint="eastAsia"/>
                <w:highlight w:val="none"/>
                <w:lang w:val="zh-CN"/>
              </w:rPr>
              <w:t>。最终服务费低于5000元则按5000元收取。</w:t>
            </w:r>
          </w:p>
          <w:tbl>
            <w:tblPr>
              <w:tblStyle w:val="67"/>
              <w:tblW w:w="58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9"/>
              <w:gridCol w:w="2990"/>
            </w:tblGrid>
            <w:tr w14:paraId="02EE5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849" w:type="dxa"/>
                  <w:noWrap w:val="0"/>
                  <w:vAlign w:val="top"/>
                </w:tcPr>
                <w:p w14:paraId="2C26A5D3">
                  <w:pPr>
                    <w:jc w:val="left"/>
                    <w:rPr>
                      <w:rFonts w:hint="eastAsia" w:ascii="宋体" w:hAnsi="宋体" w:eastAsia="宋体" w:cs="宋体"/>
                      <w:b/>
                      <w:sz w:val="21"/>
                      <w:szCs w:val="21"/>
                      <w:highlight w:val="none"/>
                    </w:rPr>
                  </w:pPr>
                  <w:r>
                    <w:rPr>
                      <w:rFonts w:hint="eastAsia" w:ascii="宋体" w:hAnsi="宋体" w:eastAsia="宋体" w:cs="宋体"/>
                      <w:b/>
                      <w:sz w:val="21"/>
                      <w:szCs w:val="21"/>
                      <w:highlight w:val="none"/>
                    </w:rPr>
                    <w:t>中标金额（万元）</w:t>
                  </w:r>
                </w:p>
              </w:tc>
              <w:tc>
                <w:tcPr>
                  <w:tcW w:w="2990" w:type="dxa"/>
                  <w:noWrap w:val="0"/>
                  <w:vAlign w:val="center"/>
                </w:tcPr>
                <w:p w14:paraId="32F7958C">
                  <w:pPr>
                    <w:bidi w:val="0"/>
                    <w:jc w:val="center"/>
                    <w:rPr>
                      <w:rFonts w:hint="eastAsia"/>
                      <w:b/>
                      <w:bCs/>
                      <w:highlight w:val="none"/>
                    </w:rPr>
                  </w:pPr>
                  <w:r>
                    <w:rPr>
                      <w:rFonts w:hint="eastAsia"/>
                      <w:b/>
                      <w:bCs/>
                      <w:highlight w:val="none"/>
                    </w:rPr>
                    <w:t>服务招标</w:t>
                  </w:r>
                  <w:r>
                    <w:rPr>
                      <w:rFonts w:hint="eastAsia"/>
                      <w:b/>
                      <w:bCs/>
                      <w:highlight w:val="none"/>
                      <w:lang w:eastAsia="zh-CN"/>
                    </w:rPr>
                    <w:t>（</w:t>
                  </w:r>
                  <w:r>
                    <w:rPr>
                      <w:rFonts w:hint="eastAsia"/>
                      <w:b/>
                      <w:bCs/>
                      <w:highlight w:val="none"/>
                      <w:lang w:val="en-US" w:eastAsia="zh-CN"/>
                    </w:rPr>
                    <w:t>费率</w:t>
                  </w:r>
                  <w:r>
                    <w:rPr>
                      <w:rFonts w:hint="eastAsia"/>
                      <w:b/>
                      <w:bCs/>
                      <w:highlight w:val="none"/>
                      <w:lang w:eastAsia="zh-CN"/>
                    </w:rPr>
                    <w:t>）</w:t>
                  </w:r>
                </w:p>
              </w:tc>
            </w:tr>
            <w:tr w14:paraId="63605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849" w:type="dxa"/>
                  <w:noWrap w:val="0"/>
                  <w:vAlign w:val="top"/>
                </w:tcPr>
                <w:p w14:paraId="53120060">
                  <w:pPr>
                    <w:jc w:val="center"/>
                    <w:rPr>
                      <w:rFonts w:hint="eastAsia"/>
                      <w:highlight w:val="none"/>
                    </w:rPr>
                  </w:pPr>
                  <w:r>
                    <w:rPr>
                      <w:rFonts w:hint="eastAsia"/>
                      <w:highlight w:val="none"/>
                    </w:rPr>
                    <w:t>100以下</w:t>
                  </w:r>
                </w:p>
              </w:tc>
              <w:tc>
                <w:tcPr>
                  <w:tcW w:w="2990" w:type="dxa"/>
                  <w:noWrap w:val="0"/>
                  <w:vAlign w:val="top"/>
                </w:tcPr>
                <w:p w14:paraId="3DDC12F9">
                  <w:pPr>
                    <w:jc w:val="center"/>
                    <w:rPr>
                      <w:rFonts w:hint="eastAsia"/>
                      <w:highlight w:val="none"/>
                    </w:rPr>
                  </w:pPr>
                  <w:r>
                    <w:rPr>
                      <w:rFonts w:hint="eastAsia"/>
                      <w:highlight w:val="none"/>
                    </w:rPr>
                    <w:t>1.5%</w:t>
                  </w:r>
                </w:p>
              </w:tc>
            </w:tr>
            <w:tr w14:paraId="1C57C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849" w:type="dxa"/>
                  <w:noWrap w:val="0"/>
                  <w:vAlign w:val="top"/>
                </w:tcPr>
                <w:p w14:paraId="51E1023A">
                  <w:pPr>
                    <w:jc w:val="center"/>
                    <w:rPr>
                      <w:rFonts w:hint="eastAsia"/>
                      <w:highlight w:val="none"/>
                    </w:rPr>
                  </w:pPr>
                  <w:r>
                    <w:rPr>
                      <w:rFonts w:hint="eastAsia"/>
                      <w:highlight w:val="none"/>
                    </w:rPr>
                    <w:t>100-500</w:t>
                  </w:r>
                </w:p>
              </w:tc>
              <w:tc>
                <w:tcPr>
                  <w:tcW w:w="2990" w:type="dxa"/>
                  <w:noWrap w:val="0"/>
                  <w:vAlign w:val="top"/>
                </w:tcPr>
                <w:p w14:paraId="60A7DAE4">
                  <w:pPr>
                    <w:jc w:val="center"/>
                    <w:rPr>
                      <w:rFonts w:hint="eastAsia"/>
                      <w:highlight w:val="none"/>
                    </w:rPr>
                  </w:pPr>
                  <w:r>
                    <w:rPr>
                      <w:rFonts w:hint="eastAsia"/>
                      <w:highlight w:val="none"/>
                    </w:rPr>
                    <w:t>0.8%</w:t>
                  </w:r>
                </w:p>
              </w:tc>
            </w:tr>
            <w:tr w14:paraId="77FD4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849" w:type="dxa"/>
                  <w:noWrap w:val="0"/>
                  <w:vAlign w:val="top"/>
                </w:tcPr>
                <w:p w14:paraId="1F22AE27">
                  <w:pPr>
                    <w:jc w:val="center"/>
                    <w:rPr>
                      <w:rFonts w:hint="eastAsia"/>
                      <w:highlight w:val="none"/>
                    </w:rPr>
                  </w:pPr>
                  <w:r>
                    <w:rPr>
                      <w:rFonts w:hint="eastAsia"/>
                      <w:highlight w:val="none"/>
                    </w:rPr>
                    <w:t>500-1000</w:t>
                  </w:r>
                </w:p>
              </w:tc>
              <w:tc>
                <w:tcPr>
                  <w:tcW w:w="2990" w:type="dxa"/>
                  <w:noWrap w:val="0"/>
                  <w:vAlign w:val="top"/>
                </w:tcPr>
                <w:p w14:paraId="63C89857">
                  <w:pPr>
                    <w:jc w:val="center"/>
                    <w:rPr>
                      <w:rFonts w:hint="eastAsia"/>
                      <w:highlight w:val="none"/>
                    </w:rPr>
                  </w:pPr>
                  <w:r>
                    <w:rPr>
                      <w:rFonts w:hint="eastAsia"/>
                      <w:highlight w:val="none"/>
                    </w:rPr>
                    <w:t>0.45%</w:t>
                  </w:r>
                </w:p>
              </w:tc>
            </w:tr>
            <w:tr w14:paraId="66D76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849" w:type="dxa"/>
                  <w:noWrap w:val="0"/>
                  <w:vAlign w:val="top"/>
                </w:tcPr>
                <w:p w14:paraId="0981F97A">
                  <w:pPr>
                    <w:jc w:val="center"/>
                    <w:rPr>
                      <w:rFonts w:hint="eastAsia"/>
                      <w:highlight w:val="none"/>
                    </w:rPr>
                  </w:pPr>
                  <w:r>
                    <w:rPr>
                      <w:rFonts w:hint="eastAsia"/>
                      <w:highlight w:val="none"/>
                    </w:rPr>
                    <w:t>1000-5000</w:t>
                  </w:r>
                </w:p>
              </w:tc>
              <w:tc>
                <w:tcPr>
                  <w:tcW w:w="2990" w:type="dxa"/>
                  <w:noWrap w:val="0"/>
                  <w:vAlign w:val="top"/>
                </w:tcPr>
                <w:p w14:paraId="7036D737">
                  <w:pPr>
                    <w:jc w:val="center"/>
                    <w:rPr>
                      <w:rFonts w:hint="eastAsia"/>
                      <w:highlight w:val="none"/>
                    </w:rPr>
                  </w:pPr>
                  <w:r>
                    <w:rPr>
                      <w:rFonts w:hint="eastAsia"/>
                      <w:highlight w:val="none"/>
                    </w:rPr>
                    <w:t>0.25%</w:t>
                  </w:r>
                </w:p>
              </w:tc>
            </w:tr>
            <w:tr w14:paraId="32CFE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849" w:type="dxa"/>
                  <w:noWrap w:val="0"/>
                  <w:vAlign w:val="top"/>
                </w:tcPr>
                <w:p w14:paraId="4C85043B">
                  <w:pPr>
                    <w:jc w:val="center"/>
                    <w:rPr>
                      <w:rFonts w:hint="eastAsia"/>
                      <w:highlight w:val="none"/>
                    </w:rPr>
                  </w:pPr>
                  <w:r>
                    <w:rPr>
                      <w:rFonts w:hint="eastAsia"/>
                      <w:highlight w:val="none"/>
                    </w:rPr>
                    <w:t>5000-10000</w:t>
                  </w:r>
                </w:p>
              </w:tc>
              <w:tc>
                <w:tcPr>
                  <w:tcW w:w="2990" w:type="dxa"/>
                  <w:noWrap w:val="0"/>
                  <w:vAlign w:val="top"/>
                </w:tcPr>
                <w:p w14:paraId="00909194">
                  <w:pPr>
                    <w:jc w:val="center"/>
                    <w:rPr>
                      <w:rFonts w:hint="eastAsia"/>
                      <w:highlight w:val="none"/>
                    </w:rPr>
                  </w:pPr>
                  <w:r>
                    <w:rPr>
                      <w:rFonts w:hint="eastAsia"/>
                      <w:highlight w:val="none"/>
                    </w:rPr>
                    <w:t>0.1%</w:t>
                  </w:r>
                </w:p>
              </w:tc>
            </w:tr>
            <w:tr w14:paraId="3AA5C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849" w:type="dxa"/>
                  <w:noWrap w:val="0"/>
                  <w:vAlign w:val="top"/>
                </w:tcPr>
                <w:p w14:paraId="4EC4E50A">
                  <w:pPr>
                    <w:jc w:val="center"/>
                    <w:rPr>
                      <w:rFonts w:hint="eastAsia"/>
                      <w:highlight w:val="none"/>
                    </w:rPr>
                  </w:pPr>
                  <w:r>
                    <w:rPr>
                      <w:rFonts w:hint="eastAsia"/>
                      <w:highlight w:val="none"/>
                    </w:rPr>
                    <w:t>10000-100000</w:t>
                  </w:r>
                </w:p>
              </w:tc>
              <w:tc>
                <w:tcPr>
                  <w:tcW w:w="2990" w:type="dxa"/>
                  <w:noWrap w:val="0"/>
                  <w:vAlign w:val="top"/>
                </w:tcPr>
                <w:p w14:paraId="4ED9A3D0">
                  <w:pPr>
                    <w:jc w:val="center"/>
                    <w:rPr>
                      <w:rFonts w:hint="eastAsia"/>
                      <w:highlight w:val="none"/>
                    </w:rPr>
                  </w:pPr>
                  <w:r>
                    <w:rPr>
                      <w:rFonts w:hint="eastAsia"/>
                      <w:highlight w:val="none"/>
                    </w:rPr>
                    <w:t>0.05%</w:t>
                  </w:r>
                </w:p>
              </w:tc>
            </w:tr>
            <w:tr w14:paraId="16C0F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849" w:type="dxa"/>
                  <w:noWrap w:val="0"/>
                  <w:vAlign w:val="top"/>
                </w:tcPr>
                <w:p w14:paraId="2B061A85">
                  <w:pPr>
                    <w:jc w:val="center"/>
                    <w:rPr>
                      <w:rFonts w:hint="eastAsia"/>
                      <w:highlight w:val="none"/>
                    </w:rPr>
                  </w:pPr>
                  <w:r>
                    <w:rPr>
                      <w:rFonts w:hint="eastAsia"/>
                      <w:highlight w:val="none"/>
                    </w:rPr>
                    <w:t>1000000以上</w:t>
                  </w:r>
                </w:p>
              </w:tc>
              <w:tc>
                <w:tcPr>
                  <w:tcW w:w="2990" w:type="dxa"/>
                  <w:noWrap w:val="0"/>
                  <w:vAlign w:val="top"/>
                </w:tcPr>
                <w:p w14:paraId="20819DE1">
                  <w:pPr>
                    <w:jc w:val="center"/>
                    <w:rPr>
                      <w:rFonts w:hint="eastAsia"/>
                      <w:highlight w:val="none"/>
                    </w:rPr>
                  </w:pPr>
                  <w:r>
                    <w:rPr>
                      <w:rFonts w:hint="eastAsia"/>
                      <w:highlight w:val="none"/>
                    </w:rPr>
                    <w:t>0.01%</w:t>
                  </w:r>
                </w:p>
              </w:tc>
            </w:tr>
            <w:tr w14:paraId="6F3BB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5839" w:type="dxa"/>
                  <w:gridSpan w:val="2"/>
                  <w:noWrap w:val="0"/>
                  <w:vAlign w:val="top"/>
                </w:tcPr>
                <w:p w14:paraId="0B86DD1B">
                  <w:pPr>
                    <w:jc w:val="center"/>
                    <w:rPr>
                      <w:rFonts w:hint="eastAsia"/>
                      <w:highlight w:val="none"/>
                    </w:rPr>
                  </w:pPr>
                  <w:r>
                    <w:rPr>
                      <w:rFonts w:hint="eastAsia" w:ascii="宋体" w:hAnsi="宋体"/>
                      <w:szCs w:val="21"/>
                      <w:highlight w:val="none"/>
                    </w:rPr>
                    <w:t>招标代理服务收费按差额定率累进法计算</w:t>
                  </w:r>
                </w:p>
              </w:tc>
            </w:tr>
          </w:tbl>
          <w:p w14:paraId="4E5635AB">
            <w:pPr>
              <w:pStyle w:val="13"/>
              <w:bidi w:val="0"/>
              <w:rPr>
                <w:rFonts w:hint="eastAsia"/>
                <w:highlight w:val="yellow"/>
                <w:lang w:val="zh-CN"/>
              </w:rPr>
            </w:pPr>
          </w:p>
        </w:tc>
      </w:tr>
      <w:tr w14:paraId="0E8F2432">
        <w:tblPrEx>
          <w:shd w:val="clear" w:color="auto" w:fill="auto"/>
          <w:tblCellMar>
            <w:top w:w="0" w:type="dxa"/>
            <w:left w:w="108" w:type="dxa"/>
            <w:bottom w:w="0" w:type="dxa"/>
            <w:right w:w="108" w:type="dxa"/>
          </w:tblCellMar>
        </w:tblPrEx>
        <w:trPr>
          <w:trHeight w:val="476" w:hRule="atLeast"/>
          <w:jc w:val="center"/>
        </w:trPr>
        <w:tc>
          <w:tcPr>
            <w:tcW w:w="71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0659CC4">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17</w:t>
            </w:r>
          </w:p>
        </w:tc>
        <w:tc>
          <w:tcPr>
            <w:tcW w:w="182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BA6AD41">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合同签订有效期</w:t>
            </w:r>
          </w:p>
        </w:tc>
        <w:tc>
          <w:tcPr>
            <w:tcW w:w="600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39F9AAC">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自</w:t>
            </w:r>
            <w:r>
              <w:rPr>
                <w:rFonts w:hint="eastAsia" w:ascii="宋体" w:hAnsi="宋体" w:eastAsia="宋体" w:cs="宋体"/>
                <w:color w:val="auto"/>
                <w:highlight w:val="none"/>
                <w:lang w:val="en-US" w:eastAsia="zh-CN"/>
              </w:rPr>
              <w:t>成交</w:t>
            </w:r>
            <w:r>
              <w:rPr>
                <w:rFonts w:hint="eastAsia" w:ascii="宋体" w:hAnsi="宋体" w:eastAsia="宋体" w:cs="宋体"/>
                <w:color w:val="auto"/>
                <w:highlight w:val="none"/>
                <w:lang w:val="zh-CN"/>
              </w:rPr>
              <w:t>通知书发出之日起</w:t>
            </w:r>
            <w:r>
              <w:rPr>
                <w:rFonts w:hint="eastAsia" w:ascii="宋体" w:hAnsi="宋体" w:eastAsia="宋体" w:cs="宋体"/>
                <w:color w:val="auto"/>
                <w:highlight w:val="none"/>
              </w:rPr>
              <w:t>30</w:t>
            </w:r>
            <w:r>
              <w:rPr>
                <w:rFonts w:hint="eastAsia" w:ascii="宋体" w:hAnsi="宋体" w:eastAsia="宋体" w:cs="宋体"/>
                <w:color w:val="auto"/>
                <w:highlight w:val="none"/>
                <w:lang w:val="zh-CN"/>
              </w:rPr>
              <w:t>日内与采购人签订合同。</w:t>
            </w:r>
          </w:p>
        </w:tc>
      </w:tr>
      <w:tr w14:paraId="3F108E76">
        <w:tblPrEx>
          <w:shd w:val="clear" w:color="auto" w:fill="auto"/>
          <w:tblCellMar>
            <w:top w:w="0" w:type="dxa"/>
            <w:left w:w="108" w:type="dxa"/>
            <w:bottom w:w="0" w:type="dxa"/>
            <w:right w:w="108" w:type="dxa"/>
          </w:tblCellMar>
        </w:tblPrEx>
        <w:trPr>
          <w:trHeight w:val="833" w:hRule="atLeast"/>
          <w:jc w:val="center"/>
        </w:trPr>
        <w:tc>
          <w:tcPr>
            <w:tcW w:w="71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E15C587">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18</w:t>
            </w:r>
          </w:p>
        </w:tc>
        <w:tc>
          <w:tcPr>
            <w:tcW w:w="182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34BD82D">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政府采购合同备案</w:t>
            </w:r>
          </w:p>
        </w:tc>
        <w:tc>
          <w:tcPr>
            <w:tcW w:w="600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C749BBB">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采购合同全数返回采购代理机构鉴证，盖章。</w:t>
            </w:r>
          </w:p>
          <w:p w14:paraId="2ED4EDC8">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采购代理机构留存贰份备案。</w:t>
            </w:r>
          </w:p>
        </w:tc>
      </w:tr>
      <w:tr w14:paraId="6D6C239E">
        <w:tblPrEx>
          <w:shd w:val="clear" w:color="auto" w:fill="auto"/>
          <w:tblCellMar>
            <w:top w:w="0" w:type="dxa"/>
            <w:left w:w="108" w:type="dxa"/>
            <w:bottom w:w="0" w:type="dxa"/>
            <w:right w:w="108" w:type="dxa"/>
          </w:tblCellMar>
        </w:tblPrEx>
        <w:trPr>
          <w:trHeight w:val="446" w:hRule="atLeast"/>
          <w:jc w:val="center"/>
        </w:trPr>
        <w:tc>
          <w:tcPr>
            <w:tcW w:w="71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113240D">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19</w:t>
            </w:r>
          </w:p>
        </w:tc>
        <w:tc>
          <w:tcPr>
            <w:tcW w:w="182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BBDCBCF">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rPr>
              <w:t>磋商有效期</w:t>
            </w:r>
          </w:p>
        </w:tc>
        <w:tc>
          <w:tcPr>
            <w:tcW w:w="600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2D3BA28">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rPr>
              <w:t>磋商有效期为自磋商开始之日起60天</w:t>
            </w:r>
            <w:r>
              <w:rPr>
                <w:rFonts w:hint="eastAsia" w:ascii="宋体" w:hAnsi="宋体" w:eastAsia="宋体" w:cs="宋体"/>
                <w:color w:val="auto"/>
                <w:highlight w:val="none"/>
                <w:lang w:val="zh-CN"/>
              </w:rPr>
              <w:t>。</w:t>
            </w:r>
          </w:p>
        </w:tc>
      </w:tr>
      <w:tr w14:paraId="7A21F7FD">
        <w:tblPrEx>
          <w:shd w:val="clear" w:color="auto" w:fill="auto"/>
          <w:tblCellMar>
            <w:top w:w="0" w:type="dxa"/>
            <w:left w:w="108" w:type="dxa"/>
            <w:bottom w:w="0" w:type="dxa"/>
            <w:right w:w="108" w:type="dxa"/>
          </w:tblCellMar>
        </w:tblPrEx>
        <w:trPr>
          <w:trHeight w:val="1388" w:hRule="atLeast"/>
          <w:jc w:val="center"/>
        </w:trPr>
        <w:tc>
          <w:tcPr>
            <w:tcW w:w="71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31C742A">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20</w:t>
            </w:r>
          </w:p>
        </w:tc>
        <w:tc>
          <w:tcPr>
            <w:tcW w:w="182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734A153">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其他事项</w:t>
            </w:r>
          </w:p>
        </w:tc>
        <w:tc>
          <w:tcPr>
            <w:tcW w:w="600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7649276">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1、本次磋商采用线上提交响应文件的方式进行采购，线上投标文件必须在投标文件递交截止时间前上传平台。</w:t>
            </w:r>
          </w:p>
          <w:p w14:paraId="5E66E4F7">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2、线上电子化开评标系统操作及办理CA锁等相关事宜请咨询政采云：咨询电话：95763。</w:t>
            </w:r>
          </w:p>
          <w:p w14:paraId="0E67879C">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3、本项目磋商公告在《青海省政府采购网》、《青海省公共资源交易网》、《中国采购与招标网》上发布。以《青海省政府采购网》为准。</w:t>
            </w:r>
          </w:p>
          <w:p w14:paraId="2C8AF31D">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4、本项目线上进行，供应商无需到现场开标；如非系统原因造成无法解密的或非系统原因加密文件上传不成功的或没办理CA锁而造成加密投标文件无法解密、加密投标文件无法上传的视为无效投标。</w:t>
            </w:r>
          </w:p>
          <w:p w14:paraId="4007C9D6">
            <w:pPr>
              <w:pStyle w:val="13"/>
              <w:bidi w:val="0"/>
              <w:rPr>
                <w:rFonts w:hint="eastAsia" w:ascii="宋体" w:hAnsi="宋体" w:eastAsia="宋体" w:cs="宋体"/>
                <w:color w:val="auto"/>
                <w:highlight w:val="none"/>
                <w:lang w:val="en-US" w:eastAsia="zh-CN"/>
              </w:rPr>
            </w:pPr>
            <w:r>
              <w:rPr>
                <w:rFonts w:hint="eastAsia" w:ascii="宋体" w:hAnsi="宋体" w:eastAsia="宋体" w:cs="宋体"/>
                <w:b/>
                <w:bCs/>
                <w:color w:val="auto"/>
                <w:highlight w:val="none"/>
                <w:lang w:val="zh-CN"/>
              </w:rPr>
              <w:t>5、不同</w:t>
            </w:r>
            <w:r>
              <w:rPr>
                <w:rFonts w:hint="eastAsia" w:ascii="宋体" w:hAnsi="宋体" w:cs="宋体"/>
                <w:b/>
                <w:bCs/>
                <w:color w:val="auto"/>
                <w:highlight w:val="none"/>
                <w:lang w:val="zh-CN"/>
              </w:rPr>
              <w:t>供应商</w:t>
            </w:r>
            <w:r>
              <w:rPr>
                <w:rFonts w:hint="eastAsia" w:ascii="宋体" w:hAnsi="宋体" w:eastAsia="宋体" w:cs="宋体"/>
                <w:b/>
                <w:bCs/>
                <w:color w:val="auto"/>
                <w:highlight w:val="none"/>
                <w:lang w:val="zh-CN"/>
              </w:rPr>
              <w:t>编制或者提交投标文件的计算机网卡MAC地址、IP地址、CPU序列号、硬盘序列号等硬件信息异常一致并触发预警的，由此原因导致投标无效的责任自负。</w:t>
            </w:r>
          </w:p>
        </w:tc>
      </w:tr>
    </w:tbl>
    <w:p w14:paraId="5D168AF5">
      <w:pPr>
        <w:bidi w:val="0"/>
        <w:rPr>
          <w:rFonts w:hint="eastAsia" w:ascii="宋体" w:hAnsi="宋体" w:eastAsia="宋体" w:cs="宋体"/>
          <w:color w:val="auto"/>
          <w:highlight w:val="none"/>
        </w:rPr>
      </w:pPr>
      <w:bookmarkStart w:id="5" w:name="_Toc376936727"/>
    </w:p>
    <w:p w14:paraId="714EABC1">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1B1F23B3">
      <w:pPr>
        <w:pStyle w:val="3"/>
        <w:numPr>
          <w:ilvl w:val="0"/>
          <w:numId w:val="0"/>
        </w:numPr>
        <w:bidi w:val="0"/>
        <w:ind w:left="0" w:leftChars="0" w:firstLine="0" w:firstLineChars="0"/>
        <w:rPr>
          <w:rFonts w:hint="eastAsia" w:ascii="宋体" w:hAnsi="宋体" w:eastAsia="宋体" w:cs="宋体"/>
          <w:color w:val="auto"/>
          <w:highlight w:val="none"/>
        </w:rPr>
      </w:pPr>
      <w:bookmarkStart w:id="6" w:name="_Toc7556"/>
      <w:r>
        <w:rPr>
          <w:rFonts w:hint="eastAsia" w:ascii="宋体" w:hAnsi="宋体" w:eastAsia="宋体" w:cs="宋体"/>
          <w:color w:val="auto"/>
          <w:highlight w:val="none"/>
        </w:rPr>
        <w:t>第三部分</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磋商供应商须知</w:t>
      </w:r>
      <w:bookmarkEnd w:id="5"/>
      <w:bookmarkEnd w:id="6"/>
      <w:bookmarkStart w:id="7" w:name="_Toc325725997"/>
    </w:p>
    <w:p w14:paraId="7D45AA47">
      <w:pPr>
        <w:pStyle w:val="5"/>
        <w:bidi w:val="0"/>
        <w:rPr>
          <w:rFonts w:hint="eastAsia" w:ascii="宋体" w:hAnsi="宋体" w:eastAsia="宋体" w:cs="宋体"/>
          <w:color w:val="auto"/>
          <w:highlight w:val="none"/>
        </w:rPr>
      </w:pPr>
      <w:bookmarkStart w:id="8" w:name="_Toc5877"/>
      <w:bookmarkStart w:id="9" w:name="_Toc376936728"/>
      <w:r>
        <w:rPr>
          <w:rFonts w:hint="eastAsia" w:ascii="宋体" w:hAnsi="宋体" w:eastAsia="宋体" w:cs="宋体"/>
          <w:color w:val="auto"/>
          <w:highlight w:val="none"/>
        </w:rPr>
        <w:t>一、说  明</w:t>
      </w:r>
      <w:bookmarkEnd w:id="7"/>
      <w:bookmarkEnd w:id="8"/>
      <w:bookmarkEnd w:id="9"/>
    </w:p>
    <w:p w14:paraId="0A4B792A">
      <w:pPr>
        <w:pStyle w:val="4"/>
        <w:numPr>
          <w:ilvl w:val="2"/>
          <w:numId w:val="0"/>
        </w:numPr>
        <w:bidi w:val="0"/>
        <w:ind w:left="0" w:leftChars="0" w:firstLine="400" w:firstLineChars="0"/>
        <w:rPr>
          <w:rFonts w:hint="eastAsia" w:ascii="宋体" w:hAnsi="宋体" w:eastAsia="宋体" w:cs="宋体"/>
          <w:color w:val="auto"/>
          <w:highlight w:val="none"/>
        </w:rPr>
      </w:pPr>
      <w:bookmarkStart w:id="10" w:name="_Toc13605"/>
      <w:bookmarkStart w:id="11" w:name="_Toc325725998"/>
      <w:bookmarkStart w:id="12" w:name="_Toc376936729"/>
      <w:r>
        <w:rPr>
          <w:rFonts w:hint="eastAsia" w:ascii="宋体" w:hAnsi="宋体" w:eastAsia="宋体" w:cs="宋体"/>
          <w:b/>
          <w:color w:val="auto"/>
          <w:kern w:val="2"/>
          <w:sz w:val="30"/>
          <w:szCs w:val="30"/>
          <w:highlight w:val="none"/>
          <w:lang w:val="en-US" w:eastAsia="zh-CN" w:bidi="ar-SA"/>
        </w:rPr>
        <w:t>1．</w:t>
      </w:r>
      <w:r>
        <w:rPr>
          <w:rFonts w:hint="eastAsia" w:ascii="宋体" w:hAnsi="宋体" w:eastAsia="宋体" w:cs="宋体"/>
          <w:color w:val="auto"/>
          <w:highlight w:val="none"/>
        </w:rPr>
        <w:t>适用范围</w:t>
      </w:r>
      <w:bookmarkEnd w:id="10"/>
      <w:bookmarkEnd w:id="11"/>
      <w:bookmarkEnd w:id="12"/>
    </w:p>
    <w:p w14:paraId="75FD11B4">
      <w:pPr>
        <w:bidi w:val="0"/>
        <w:rPr>
          <w:rFonts w:hint="eastAsia" w:ascii="宋体" w:hAnsi="宋体" w:eastAsia="宋体" w:cs="宋体"/>
          <w:color w:val="auto"/>
          <w:highlight w:val="none"/>
          <w:lang w:val="zh-CN"/>
        </w:rPr>
      </w:pPr>
      <w:r>
        <w:rPr>
          <w:rFonts w:hint="eastAsia" w:ascii="宋体" w:hAnsi="宋体" w:eastAsia="宋体" w:cs="宋体"/>
          <w:color w:val="auto"/>
          <w:highlight w:val="none"/>
        </w:rPr>
        <w:t>1.1本次采购依据</w:t>
      </w:r>
      <w:r>
        <w:rPr>
          <w:rFonts w:hint="eastAsia" w:ascii="宋体" w:hAnsi="宋体" w:eastAsia="宋体" w:cs="宋体"/>
          <w:color w:val="auto"/>
          <w:highlight w:val="none"/>
          <w:lang w:val="zh-CN"/>
        </w:rPr>
        <w:t>采购人的采购计划</w:t>
      </w:r>
      <w:r>
        <w:rPr>
          <w:rFonts w:hint="eastAsia" w:ascii="宋体" w:hAnsi="宋体" w:eastAsia="宋体" w:cs="宋体"/>
          <w:color w:val="auto"/>
          <w:highlight w:val="none"/>
        </w:rPr>
        <w:t>，仅适用于本竞争性磋商文件（以下简称“磋商文件”）中所叙述的项目。</w:t>
      </w:r>
    </w:p>
    <w:p w14:paraId="305A2BDB">
      <w:pPr>
        <w:pStyle w:val="4"/>
        <w:numPr>
          <w:ilvl w:val="2"/>
          <w:numId w:val="0"/>
        </w:numPr>
        <w:bidi w:val="0"/>
        <w:ind w:left="0" w:leftChars="0" w:firstLine="400" w:firstLineChars="0"/>
        <w:rPr>
          <w:rFonts w:hint="eastAsia" w:ascii="宋体" w:hAnsi="宋体" w:eastAsia="宋体" w:cs="宋体"/>
          <w:color w:val="auto"/>
          <w:highlight w:val="none"/>
          <w:lang w:eastAsia="zh-CN"/>
        </w:rPr>
      </w:pPr>
      <w:bookmarkStart w:id="13" w:name="_Toc325725999"/>
      <w:bookmarkStart w:id="14" w:name="_Toc376936730"/>
      <w:bookmarkStart w:id="15" w:name="_Toc32573"/>
      <w:r>
        <w:rPr>
          <w:rFonts w:hint="eastAsia" w:ascii="宋体" w:hAnsi="宋体" w:eastAsia="宋体" w:cs="宋体"/>
          <w:b/>
          <w:color w:val="auto"/>
          <w:kern w:val="2"/>
          <w:sz w:val="30"/>
          <w:szCs w:val="30"/>
          <w:highlight w:val="none"/>
          <w:lang w:val="en-US" w:eastAsia="zh-CN" w:bidi="ar-SA"/>
        </w:rPr>
        <w:t>2．</w:t>
      </w:r>
      <w:r>
        <w:rPr>
          <w:rFonts w:hint="eastAsia" w:ascii="宋体" w:hAnsi="宋体" w:eastAsia="宋体" w:cs="宋体"/>
          <w:color w:val="auto"/>
          <w:highlight w:val="none"/>
        </w:rPr>
        <w:t>采购方式、合格的</w:t>
      </w:r>
      <w:bookmarkEnd w:id="13"/>
      <w:bookmarkEnd w:id="14"/>
      <w:r>
        <w:rPr>
          <w:rFonts w:hint="eastAsia" w:ascii="宋体" w:hAnsi="宋体" w:eastAsia="宋体" w:cs="宋体"/>
          <w:color w:val="auto"/>
          <w:highlight w:val="none"/>
          <w:lang w:eastAsia="zh-CN"/>
        </w:rPr>
        <w:t>供应商</w:t>
      </w:r>
      <w:bookmarkEnd w:id="15"/>
    </w:p>
    <w:p w14:paraId="062DFDBB">
      <w:pPr>
        <w:bidi w:val="0"/>
        <w:rPr>
          <w:rFonts w:hint="eastAsia" w:ascii="宋体" w:hAnsi="宋体" w:eastAsia="宋体" w:cs="宋体"/>
          <w:color w:val="auto"/>
          <w:highlight w:val="none"/>
        </w:rPr>
      </w:pPr>
      <w:r>
        <w:rPr>
          <w:rFonts w:hint="eastAsia" w:ascii="宋体" w:hAnsi="宋体" w:eastAsia="宋体" w:cs="宋体"/>
          <w:color w:val="auto"/>
          <w:highlight w:val="none"/>
        </w:rPr>
        <w:t>2.1本次采购采取竞争性磋商方式。</w:t>
      </w:r>
    </w:p>
    <w:p w14:paraId="08191BC6">
      <w:pPr>
        <w:bidi w:val="0"/>
        <w:rPr>
          <w:rFonts w:hint="eastAsia" w:ascii="宋体" w:hAnsi="宋体" w:eastAsia="宋体" w:cs="宋体"/>
          <w:color w:val="auto"/>
          <w:highlight w:val="none"/>
        </w:rPr>
      </w:pPr>
      <w:bookmarkStart w:id="16" w:name="_Toc325726000"/>
      <w:bookmarkStart w:id="17" w:name="_Toc376936731"/>
      <w:r>
        <w:rPr>
          <w:rFonts w:hint="eastAsia" w:ascii="宋体" w:hAnsi="宋体" w:eastAsia="宋体" w:cs="宋体"/>
          <w:color w:val="auto"/>
          <w:highlight w:val="none"/>
          <w:lang w:val="zh-CN"/>
        </w:rPr>
        <w:t>2.2合格的</w:t>
      </w:r>
      <w:r>
        <w:rPr>
          <w:rFonts w:hint="eastAsia" w:ascii="宋体" w:hAnsi="宋体" w:eastAsia="宋体" w:cs="宋体"/>
          <w:color w:val="auto"/>
          <w:highlight w:val="none"/>
          <w:lang w:val="en-US" w:eastAsia="zh-CN"/>
        </w:rPr>
        <w:t>磋商</w:t>
      </w:r>
      <w:r>
        <w:rPr>
          <w:rFonts w:hint="eastAsia" w:ascii="宋体" w:hAnsi="宋体" w:eastAsia="宋体" w:cs="宋体"/>
          <w:color w:val="auto"/>
          <w:highlight w:val="none"/>
        </w:rPr>
        <w:t>供应商</w:t>
      </w:r>
      <w:r>
        <w:rPr>
          <w:rFonts w:hint="eastAsia" w:ascii="宋体" w:hAnsi="宋体" w:eastAsia="宋体" w:cs="宋体"/>
          <w:color w:val="auto"/>
          <w:highlight w:val="none"/>
          <w:lang w:val="zh-CN"/>
        </w:rPr>
        <w:t>：详见第一部分</w:t>
      </w:r>
      <w:r>
        <w:rPr>
          <w:rFonts w:hint="eastAsia" w:ascii="宋体" w:hAnsi="宋体" w:eastAsia="宋体" w:cs="宋体"/>
          <w:color w:val="auto"/>
          <w:highlight w:val="none"/>
        </w:rPr>
        <w:t>“供应商资格条件”。</w:t>
      </w:r>
    </w:p>
    <w:p w14:paraId="3510BA84">
      <w:pPr>
        <w:pStyle w:val="4"/>
        <w:numPr>
          <w:ilvl w:val="2"/>
          <w:numId w:val="0"/>
        </w:numPr>
        <w:bidi w:val="0"/>
        <w:ind w:left="0" w:leftChars="0" w:firstLine="400" w:firstLineChars="0"/>
        <w:rPr>
          <w:rFonts w:hint="eastAsia" w:ascii="宋体" w:hAnsi="宋体" w:eastAsia="宋体" w:cs="宋体"/>
          <w:color w:val="auto"/>
          <w:highlight w:val="none"/>
        </w:rPr>
      </w:pPr>
      <w:bookmarkStart w:id="18" w:name="_Toc9842"/>
      <w:r>
        <w:rPr>
          <w:rFonts w:hint="eastAsia" w:ascii="宋体" w:hAnsi="宋体" w:eastAsia="宋体" w:cs="宋体"/>
          <w:b/>
          <w:color w:val="auto"/>
          <w:kern w:val="2"/>
          <w:sz w:val="30"/>
          <w:szCs w:val="30"/>
          <w:highlight w:val="none"/>
          <w:lang w:val="en-US" w:eastAsia="zh-CN" w:bidi="ar-SA"/>
        </w:rPr>
        <w:t>3．</w:t>
      </w:r>
      <w:r>
        <w:rPr>
          <w:rFonts w:hint="eastAsia" w:ascii="宋体" w:hAnsi="宋体" w:eastAsia="宋体" w:cs="宋体"/>
          <w:color w:val="auto"/>
          <w:highlight w:val="none"/>
        </w:rPr>
        <w:t>磋商费用</w:t>
      </w:r>
      <w:bookmarkEnd w:id="16"/>
      <w:bookmarkEnd w:id="17"/>
      <w:bookmarkEnd w:id="18"/>
    </w:p>
    <w:p w14:paraId="04745122">
      <w:pPr>
        <w:bidi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磋商</w:t>
      </w:r>
      <w:r>
        <w:rPr>
          <w:rFonts w:hint="eastAsia" w:ascii="宋体" w:hAnsi="宋体" w:eastAsia="宋体" w:cs="宋体"/>
          <w:color w:val="auto"/>
          <w:highlight w:val="none"/>
        </w:rPr>
        <w:t>供应商应自愿承担与参加本次</w:t>
      </w:r>
      <w:r>
        <w:rPr>
          <w:rFonts w:hint="eastAsia" w:ascii="宋体" w:hAnsi="宋体" w:eastAsia="宋体" w:cs="宋体"/>
          <w:color w:val="auto"/>
          <w:highlight w:val="none"/>
          <w:lang w:val="en-US" w:eastAsia="zh-CN"/>
        </w:rPr>
        <w:t>响应</w:t>
      </w:r>
      <w:r>
        <w:rPr>
          <w:rFonts w:hint="eastAsia" w:ascii="宋体" w:hAnsi="宋体" w:eastAsia="宋体" w:cs="宋体"/>
          <w:color w:val="auto"/>
          <w:highlight w:val="none"/>
        </w:rPr>
        <w:t>有关的费用。采购代理机构对</w:t>
      </w:r>
      <w:r>
        <w:rPr>
          <w:rFonts w:hint="eastAsia" w:ascii="宋体" w:hAnsi="宋体" w:eastAsia="宋体" w:cs="宋体"/>
          <w:color w:val="auto"/>
          <w:highlight w:val="none"/>
          <w:lang w:val="en-US" w:eastAsia="zh-CN"/>
        </w:rPr>
        <w:t>磋商</w:t>
      </w:r>
      <w:r>
        <w:rPr>
          <w:rFonts w:hint="eastAsia" w:ascii="宋体" w:hAnsi="宋体" w:eastAsia="宋体" w:cs="宋体"/>
          <w:color w:val="auto"/>
          <w:highlight w:val="none"/>
        </w:rPr>
        <w:t>供应商发生的费用不承担任何责任。</w:t>
      </w:r>
      <w:bookmarkStart w:id="19" w:name="_Toc325726001"/>
      <w:bookmarkStart w:id="20" w:name="_Toc376936732"/>
    </w:p>
    <w:p w14:paraId="66209E32">
      <w:pPr>
        <w:pStyle w:val="5"/>
        <w:bidi w:val="0"/>
        <w:rPr>
          <w:rFonts w:hint="eastAsia" w:ascii="宋体" w:hAnsi="宋体" w:eastAsia="宋体" w:cs="宋体"/>
          <w:color w:val="auto"/>
          <w:highlight w:val="none"/>
        </w:rPr>
      </w:pPr>
      <w:bookmarkStart w:id="21" w:name="_Toc1545"/>
      <w:r>
        <w:rPr>
          <w:rFonts w:hint="eastAsia" w:ascii="宋体" w:hAnsi="宋体" w:eastAsia="宋体" w:cs="宋体"/>
          <w:color w:val="auto"/>
          <w:highlight w:val="none"/>
        </w:rPr>
        <w:t>二、磋商文件说明</w:t>
      </w:r>
      <w:bookmarkEnd w:id="21"/>
    </w:p>
    <w:bookmarkEnd w:id="19"/>
    <w:bookmarkEnd w:id="20"/>
    <w:p w14:paraId="4F0A6857">
      <w:pPr>
        <w:pStyle w:val="4"/>
        <w:numPr>
          <w:ilvl w:val="2"/>
          <w:numId w:val="0"/>
        </w:numPr>
        <w:bidi w:val="0"/>
        <w:ind w:left="0" w:leftChars="0" w:firstLine="400" w:firstLineChars="0"/>
        <w:rPr>
          <w:rFonts w:hint="eastAsia" w:ascii="宋体" w:hAnsi="宋体" w:eastAsia="宋体" w:cs="宋体"/>
          <w:color w:val="auto"/>
          <w:highlight w:val="none"/>
        </w:rPr>
      </w:pPr>
      <w:bookmarkStart w:id="22" w:name="_Toc325726002"/>
      <w:bookmarkStart w:id="23" w:name="_Toc30352"/>
      <w:bookmarkStart w:id="24" w:name="_Toc376936733"/>
      <w:r>
        <w:rPr>
          <w:rFonts w:hint="eastAsia" w:ascii="宋体" w:hAnsi="宋体" w:eastAsia="宋体" w:cs="宋体"/>
          <w:b/>
          <w:color w:val="auto"/>
          <w:kern w:val="2"/>
          <w:sz w:val="30"/>
          <w:szCs w:val="30"/>
          <w:highlight w:val="none"/>
          <w:lang w:val="en-US" w:eastAsia="zh-CN" w:bidi="ar-SA"/>
        </w:rPr>
        <w:t>4．</w:t>
      </w:r>
      <w:r>
        <w:rPr>
          <w:rFonts w:hint="eastAsia" w:ascii="宋体" w:hAnsi="宋体" w:eastAsia="宋体" w:cs="宋体"/>
          <w:color w:val="auto"/>
          <w:highlight w:val="none"/>
        </w:rPr>
        <w:t>磋商文件的构成</w:t>
      </w:r>
      <w:bookmarkEnd w:id="22"/>
      <w:bookmarkEnd w:id="23"/>
      <w:bookmarkEnd w:id="24"/>
    </w:p>
    <w:p w14:paraId="3A5354D7">
      <w:pPr>
        <w:bidi w:val="0"/>
        <w:rPr>
          <w:rFonts w:hint="eastAsia" w:ascii="宋体" w:hAnsi="宋体" w:eastAsia="宋体" w:cs="宋体"/>
          <w:color w:val="auto"/>
          <w:highlight w:val="none"/>
        </w:rPr>
      </w:pPr>
      <w:r>
        <w:rPr>
          <w:rFonts w:hint="eastAsia" w:ascii="宋体" w:hAnsi="宋体" w:eastAsia="宋体" w:cs="宋体"/>
          <w:color w:val="auto"/>
          <w:highlight w:val="none"/>
        </w:rPr>
        <w:t>4.1磋商文件包括：</w:t>
      </w:r>
    </w:p>
    <w:p w14:paraId="070C0289">
      <w:pPr>
        <w:bidi w:val="0"/>
        <w:rPr>
          <w:rFonts w:hint="eastAsia" w:ascii="宋体" w:hAnsi="宋体" w:eastAsia="宋体" w:cs="宋体"/>
          <w:color w:val="auto"/>
          <w:highlight w:val="none"/>
        </w:rPr>
      </w:pPr>
      <w:r>
        <w:rPr>
          <w:rFonts w:hint="eastAsia" w:ascii="宋体" w:hAnsi="宋体" w:eastAsia="宋体" w:cs="宋体"/>
          <w:color w:val="auto"/>
          <w:highlight w:val="none"/>
        </w:rPr>
        <w:t>（1）磋商须知前附表</w:t>
      </w:r>
    </w:p>
    <w:p w14:paraId="16B8CC21">
      <w:pPr>
        <w:bidi w:val="0"/>
        <w:rPr>
          <w:rFonts w:hint="eastAsia" w:ascii="宋体" w:hAnsi="宋体" w:eastAsia="宋体" w:cs="宋体"/>
          <w:color w:val="auto"/>
          <w:highlight w:val="none"/>
        </w:rPr>
      </w:pPr>
      <w:r>
        <w:rPr>
          <w:rFonts w:hint="eastAsia" w:ascii="宋体" w:hAnsi="宋体" w:eastAsia="宋体" w:cs="宋体"/>
          <w:color w:val="auto"/>
          <w:highlight w:val="none"/>
        </w:rPr>
        <w:t>（2）磋商供应商须知</w:t>
      </w:r>
    </w:p>
    <w:p w14:paraId="101D9221">
      <w:pPr>
        <w:bidi w:val="0"/>
        <w:rPr>
          <w:rFonts w:hint="eastAsia" w:ascii="宋体" w:hAnsi="宋体" w:eastAsia="宋体" w:cs="宋体"/>
          <w:color w:val="auto"/>
          <w:highlight w:val="none"/>
        </w:rPr>
      </w:pPr>
      <w:r>
        <w:rPr>
          <w:rFonts w:hint="eastAsia" w:ascii="宋体" w:hAnsi="宋体" w:eastAsia="宋体" w:cs="宋体"/>
          <w:color w:val="auto"/>
          <w:highlight w:val="none"/>
        </w:rPr>
        <w:t>（3）青海省政府采购项目合同书范本</w:t>
      </w:r>
    </w:p>
    <w:p w14:paraId="0923AE7E">
      <w:pPr>
        <w:bidi w:val="0"/>
        <w:rPr>
          <w:rFonts w:hint="eastAsia" w:ascii="宋体" w:hAnsi="宋体" w:eastAsia="宋体" w:cs="宋体"/>
          <w:color w:val="auto"/>
          <w:highlight w:val="none"/>
        </w:rPr>
      </w:pPr>
      <w:r>
        <w:rPr>
          <w:rFonts w:hint="eastAsia" w:ascii="宋体" w:hAnsi="宋体" w:eastAsia="宋体" w:cs="宋体"/>
          <w:color w:val="auto"/>
          <w:highlight w:val="none"/>
        </w:rPr>
        <w:t>（4）磋商响应文件格式（相关附件）</w:t>
      </w:r>
    </w:p>
    <w:p w14:paraId="326B37DC">
      <w:pPr>
        <w:bidi w:val="0"/>
        <w:rPr>
          <w:rFonts w:hint="eastAsia" w:ascii="宋体" w:hAnsi="宋体" w:eastAsia="宋体" w:cs="宋体"/>
          <w:color w:val="auto"/>
          <w:highlight w:val="none"/>
        </w:rPr>
      </w:pPr>
      <w:r>
        <w:rPr>
          <w:rFonts w:hint="eastAsia" w:ascii="宋体" w:hAnsi="宋体" w:eastAsia="宋体" w:cs="宋体"/>
          <w:color w:val="auto"/>
          <w:highlight w:val="none"/>
        </w:rPr>
        <w:t>（5）磋商及采购项目技术要求</w:t>
      </w:r>
    </w:p>
    <w:p w14:paraId="5DA6B20F">
      <w:pPr>
        <w:bidi w:val="0"/>
        <w:rPr>
          <w:rFonts w:hint="eastAsia" w:ascii="宋体" w:hAnsi="宋体" w:eastAsia="宋体" w:cs="宋体"/>
          <w:color w:val="auto"/>
          <w:highlight w:val="none"/>
        </w:rPr>
      </w:pPr>
      <w:r>
        <w:rPr>
          <w:rFonts w:hint="eastAsia" w:ascii="宋体" w:hAnsi="宋体" w:eastAsia="宋体" w:cs="宋体"/>
          <w:color w:val="auto"/>
          <w:highlight w:val="none"/>
        </w:rPr>
        <w:t>（6）磋商过程中发生的澄清、变更和补充文件</w:t>
      </w:r>
    </w:p>
    <w:p w14:paraId="3E5508BF">
      <w:pPr>
        <w:bidi w:val="0"/>
        <w:rPr>
          <w:rFonts w:hint="eastAsia" w:ascii="宋体" w:hAnsi="宋体" w:eastAsia="宋体" w:cs="宋体"/>
          <w:color w:val="auto"/>
          <w:highlight w:val="none"/>
        </w:rPr>
      </w:pPr>
      <w:r>
        <w:rPr>
          <w:rFonts w:hint="eastAsia" w:ascii="宋体" w:hAnsi="宋体" w:eastAsia="宋体" w:cs="宋体"/>
          <w:color w:val="auto"/>
          <w:highlight w:val="none"/>
        </w:rPr>
        <w:t xml:space="preserve">4.2 </w:t>
      </w:r>
      <w:r>
        <w:rPr>
          <w:rFonts w:hint="eastAsia" w:ascii="宋体" w:hAnsi="宋体" w:eastAsia="宋体" w:cs="宋体"/>
          <w:color w:val="auto"/>
          <w:highlight w:val="none"/>
          <w:lang w:val="en-US" w:eastAsia="zh-CN"/>
        </w:rPr>
        <w:t>磋商</w:t>
      </w:r>
      <w:r>
        <w:rPr>
          <w:rFonts w:hint="eastAsia" w:ascii="宋体" w:hAnsi="宋体" w:eastAsia="宋体" w:cs="宋体"/>
          <w:color w:val="auto"/>
          <w:highlight w:val="none"/>
        </w:rPr>
        <w:t>供应商应认真阅读磋商文件中列示的事项、格式、条款和要求等内容。如果</w:t>
      </w:r>
      <w:r>
        <w:rPr>
          <w:rFonts w:hint="eastAsia" w:ascii="宋体" w:hAnsi="宋体" w:eastAsia="宋体" w:cs="宋体"/>
          <w:color w:val="auto"/>
          <w:highlight w:val="none"/>
          <w:lang w:val="en-US" w:eastAsia="zh-CN"/>
        </w:rPr>
        <w:t>磋商</w:t>
      </w:r>
      <w:r>
        <w:rPr>
          <w:rFonts w:hint="eastAsia" w:ascii="宋体" w:hAnsi="宋体" w:eastAsia="宋体" w:cs="宋体"/>
          <w:color w:val="auto"/>
          <w:highlight w:val="none"/>
        </w:rPr>
        <w:t>供应商未按磋商文件要求提交全部资料，或者对磋商文件未作出实质性响应的，将视为无效响应。</w:t>
      </w:r>
    </w:p>
    <w:p w14:paraId="420413F9">
      <w:pPr>
        <w:pStyle w:val="4"/>
        <w:numPr>
          <w:ilvl w:val="2"/>
          <w:numId w:val="0"/>
        </w:numPr>
        <w:bidi w:val="0"/>
        <w:ind w:left="0" w:leftChars="0" w:firstLine="400" w:firstLineChars="0"/>
        <w:rPr>
          <w:rFonts w:hint="eastAsia" w:ascii="宋体" w:hAnsi="宋体" w:eastAsia="宋体" w:cs="宋体"/>
          <w:color w:val="auto"/>
          <w:highlight w:val="none"/>
        </w:rPr>
      </w:pPr>
      <w:bookmarkStart w:id="25" w:name="_Toc325726003"/>
      <w:bookmarkStart w:id="26" w:name="_Toc376936734"/>
      <w:bookmarkStart w:id="27" w:name="_Toc2632"/>
      <w:r>
        <w:rPr>
          <w:rFonts w:hint="eastAsia" w:ascii="宋体" w:hAnsi="宋体" w:eastAsia="宋体" w:cs="宋体"/>
          <w:b/>
          <w:color w:val="auto"/>
          <w:kern w:val="2"/>
          <w:sz w:val="30"/>
          <w:szCs w:val="30"/>
          <w:highlight w:val="none"/>
          <w:lang w:val="en-US" w:eastAsia="zh-CN" w:bidi="ar-SA"/>
        </w:rPr>
        <w:t>5．</w:t>
      </w:r>
      <w:r>
        <w:rPr>
          <w:rFonts w:hint="eastAsia" w:ascii="宋体" w:hAnsi="宋体" w:eastAsia="宋体" w:cs="宋体"/>
          <w:color w:val="auto"/>
          <w:highlight w:val="none"/>
        </w:rPr>
        <w:t>磋商文件的</w:t>
      </w:r>
      <w:bookmarkEnd w:id="25"/>
      <w:bookmarkEnd w:id="26"/>
      <w:r>
        <w:rPr>
          <w:rFonts w:hint="eastAsia" w:ascii="宋体" w:hAnsi="宋体" w:eastAsia="宋体" w:cs="宋体"/>
          <w:color w:val="auto"/>
          <w:highlight w:val="none"/>
        </w:rPr>
        <w:t>质疑</w:t>
      </w:r>
      <w:bookmarkEnd w:id="27"/>
    </w:p>
    <w:p w14:paraId="20716306">
      <w:pPr>
        <w:bidi w:val="0"/>
        <w:rPr>
          <w:rFonts w:hint="eastAsia" w:ascii="宋体" w:hAnsi="宋体" w:eastAsia="宋体" w:cs="宋体"/>
          <w:color w:val="auto"/>
          <w:highlight w:val="none"/>
        </w:rPr>
      </w:pPr>
      <w:r>
        <w:rPr>
          <w:rFonts w:hint="eastAsia" w:ascii="宋体" w:hAnsi="宋体" w:eastAsia="宋体" w:cs="宋体"/>
          <w:color w:val="auto"/>
          <w:highlight w:val="none"/>
        </w:rPr>
        <w:t>供应商认为磋商文件使自己的权益受到损害的，应在获取磋商文件之后以书面形式提出质疑（不接受匿名质疑），供应商须在法定质疑期内一次性提出针对同一采购程序环节的质疑。采购人、采购代理机构在收到供应商的书面质疑后7个工作日内予以答复，并将变更事宜在青海省政府采购网上发布公告，告知本项目的所有潜在供应商。</w:t>
      </w:r>
      <w:bookmarkStart w:id="28" w:name="_Toc376936735"/>
      <w:bookmarkStart w:id="29" w:name="_Toc325726004"/>
    </w:p>
    <w:p w14:paraId="31511D8E">
      <w:pPr>
        <w:pStyle w:val="4"/>
        <w:numPr>
          <w:ilvl w:val="2"/>
          <w:numId w:val="0"/>
        </w:numPr>
        <w:bidi w:val="0"/>
        <w:ind w:left="0" w:leftChars="0" w:firstLine="400" w:firstLineChars="0"/>
        <w:rPr>
          <w:rFonts w:hint="eastAsia" w:ascii="宋体" w:hAnsi="宋体" w:eastAsia="宋体" w:cs="宋体"/>
          <w:color w:val="auto"/>
          <w:highlight w:val="none"/>
        </w:rPr>
      </w:pPr>
      <w:bookmarkStart w:id="30" w:name="_Toc9638"/>
      <w:r>
        <w:rPr>
          <w:rFonts w:hint="eastAsia" w:ascii="宋体" w:hAnsi="宋体" w:eastAsia="宋体" w:cs="宋体"/>
          <w:b/>
          <w:color w:val="auto"/>
          <w:kern w:val="2"/>
          <w:sz w:val="30"/>
          <w:szCs w:val="30"/>
          <w:highlight w:val="none"/>
          <w:lang w:val="en-US" w:eastAsia="zh-CN" w:bidi="ar-SA"/>
        </w:rPr>
        <w:t>6．</w:t>
      </w:r>
      <w:r>
        <w:rPr>
          <w:rFonts w:hint="eastAsia" w:ascii="宋体" w:hAnsi="宋体" w:eastAsia="宋体" w:cs="宋体"/>
          <w:color w:val="auto"/>
          <w:highlight w:val="none"/>
        </w:rPr>
        <w:t>磋商文件的澄清、修改</w:t>
      </w:r>
      <w:bookmarkEnd w:id="28"/>
      <w:bookmarkEnd w:id="29"/>
      <w:bookmarkEnd w:id="30"/>
    </w:p>
    <w:p w14:paraId="60455CE4">
      <w:pPr>
        <w:bidi w:val="0"/>
        <w:rPr>
          <w:rFonts w:hint="eastAsia" w:ascii="宋体" w:hAnsi="宋体" w:eastAsia="宋体" w:cs="宋体"/>
          <w:color w:val="auto"/>
          <w:highlight w:val="none"/>
        </w:rPr>
      </w:pPr>
      <w:r>
        <w:rPr>
          <w:rFonts w:hint="eastAsia" w:ascii="宋体" w:hAnsi="宋体" w:eastAsia="宋体" w:cs="宋体"/>
          <w:color w:val="auto"/>
          <w:highlight w:val="none"/>
        </w:rPr>
        <w:t>6.1 在磋商响应文件递交截止期前，采购代理机构可对磋商文件进行必要的修改或者澄清。</w:t>
      </w:r>
    </w:p>
    <w:p w14:paraId="733D744B">
      <w:pPr>
        <w:bidi w:val="0"/>
        <w:rPr>
          <w:rFonts w:hint="eastAsia" w:ascii="宋体" w:hAnsi="宋体" w:eastAsia="宋体" w:cs="宋体"/>
          <w:color w:val="auto"/>
          <w:highlight w:val="none"/>
        </w:rPr>
      </w:pPr>
      <w:r>
        <w:rPr>
          <w:rFonts w:hint="eastAsia" w:ascii="宋体" w:hAnsi="宋体" w:eastAsia="宋体" w:cs="宋体"/>
          <w:color w:val="auto"/>
          <w:highlight w:val="none"/>
        </w:rPr>
        <w:t>6.2 采购代理机构对已发出磋商文件进行必要的澄清或者修改的，在磋商文件要求提交首次磋商响应文件截止时间至少5日前，在青海省政府采购网上发布公告；不足5日的，顺延提交首次磋商响应文件的截止时间。该澄清或者修改的内容为磋商文件的组成部分。</w:t>
      </w:r>
    </w:p>
    <w:p w14:paraId="4B4D4704">
      <w:pPr>
        <w:bidi w:val="0"/>
        <w:rPr>
          <w:rFonts w:hint="eastAsia" w:ascii="宋体" w:hAnsi="宋体" w:eastAsia="宋体" w:cs="宋体"/>
          <w:color w:val="auto"/>
          <w:highlight w:val="none"/>
        </w:rPr>
      </w:pPr>
      <w:r>
        <w:rPr>
          <w:rFonts w:hint="eastAsia" w:ascii="宋体" w:hAnsi="宋体" w:eastAsia="宋体" w:cs="宋体"/>
          <w:color w:val="auto"/>
          <w:highlight w:val="none"/>
        </w:rPr>
        <w:t>6.3在磋商响应文件递交截止期前，采购人或采购代理机构可以视采购具体情况，延长</w:t>
      </w:r>
      <w:r>
        <w:rPr>
          <w:rFonts w:hint="eastAsia" w:ascii="宋体" w:hAnsi="宋体" w:eastAsia="宋体" w:cs="宋体"/>
          <w:color w:val="auto"/>
          <w:highlight w:val="none"/>
          <w:lang w:val="en-US" w:eastAsia="zh-CN"/>
        </w:rPr>
        <w:t>响应文件</w:t>
      </w:r>
      <w:r>
        <w:rPr>
          <w:rFonts w:hint="eastAsia" w:ascii="宋体" w:hAnsi="宋体" w:eastAsia="宋体" w:cs="宋体"/>
          <w:color w:val="auto"/>
          <w:highlight w:val="none"/>
        </w:rPr>
        <w:t>截止时间和</w:t>
      </w:r>
      <w:r>
        <w:rPr>
          <w:rFonts w:hint="eastAsia" w:ascii="宋体" w:hAnsi="宋体" w:eastAsia="宋体" w:cs="宋体"/>
          <w:color w:val="auto"/>
          <w:highlight w:val="none"/>
          <w:lang w:val="en-US" w:eastAsia="zh-CN"/>
        </w:rPr>
        <w:t>开启</w:t>
      </w:r>
      <w:r>
        <w:rPr>
          <w:rFonts w:hint="eastAsia" w:ascii="宋体" w:hAnsi="宋体" w:eastAsia="宋体" w:cs="宋体"/>
          <w:color w:val="auto"/>
          <w:highlight w:val="none"/>
        </w:rPr>
        <w:t>时间，并在磋商文件中要求的磋商截止时间和磋商时间的三日前，将变更公告发布在青海省政府采购网上。</w:t>
      </w:r>
    </w:p>
    <w:p w14:paraId="022A524C">
      <w:pPr>
        <w:pStyle w:val="5"/>
        <w:bidi w:val="0"/>
        <w:rPr>
          <w:rFonts w:hint="eastAsia" w:ascii="宋体" w:hAnsi="宋体" w:eastAsia="宋体" w:cs="宋体"/>
          <w:color w:val="auto"/>
          <w:highlight w:val="none"/>
        </w:rPr>
      </w:pPr>
      <w:bookmarkStart w:id="31" w:name="_Toc376936736"/>
      <w:bookmarkStart w:id="32" w:name="_Toc325726005"/>
      <w:bookmarkStart w:id="33" w:name="_Toc31921"/>
      <w:r>
        <w:rPr>
          <w:rFonts w:hint="eastAsia" w:ascii="宋体" w:hAnsi="宋体" w:eastAsia="宋体" w:cs="宋体"/>
          <w:color w:val="auto"/>
          <w:highlight w:val="none"/>
        </w:rPr>
        <w:t>三、磋商响应文件的编制</w:t>
      </w:r>
      <w:bookmarkEnd w:id="31"/>
      <w:bookmarkEnd w:id="32"/>
      <w:bookmarkEnd w:id="33"/>
    </w:p>
    <w:p w14:paraId="6AAB4BEF">
      <w:pPr>
        <w:pStyle w:val="4"/>
        <w:numPr>
          <w:ilvl w:val="2"/>
          <w:numId w:val="0"/>
        </w:numPr>
        <w:bidi w:val="0"/>
        <w:ind w:left="0" w:leftChars="0" w:firstLine="400" w:firstLineChars="0"/>
        <w:rPr>
          <w:rFonts w:hint="eastAsia" w:ascii="宋体" w:hAnsi="宋体" w:eastAsia="宋体" w:cs="宋体"/>
          <w:color w:val="auto"/>
          <w:highlight w:val="none"/>
        </w:rPr>
      </w:pPr>
      <w:bookmarkStart w:id="34" w:name="_Toc13838"/>
      <w:bookmarkStart w:id="35" w:name="_Toc325726006"/>
      <w:bookmarkStart w:id="36" w:name="_Toc376936737"/>
      <w:r>
        <w:rPr>
          <w:rFonts w:hint="eastAsia" w:ascii="宋体" w:hAnsi="宋体" w:eastAsia="宋体" w:cs="宋体"/>
          <w:b/>
          <w:color w:val="auto"/>
          <w:kern w:val="2"/>
          <w:sz w:val="30"/>
          <w:szCs w:val="30"/>
          <w:highlight w:val="none"/>
          <w:lang w:val="en-US" w:eastAsia="zh-CN" w:bidi="ar-SA"/>
        </w:rPr>
        <w:t>7．</w:t>
      </w:r>
      <w:r>
        <w:rPr>
          <w:rFonts w:hint="eastAsia" w:ascii="宋体" w:hAnsi="宋体" w:eastAsia="宋体" w:cs="宋体"/>
          <w:color w:val="auto"/>
          <w:highlight w:val="none"/>
        </w:rPr>
        <w:t>磋商响应文件的语言及度量衡单位</w:t>
      </w:r>
      <w:bookmarkEnd w:id="34"/>
      <w:bookmarkEnd w:id="35"/>
      <w:bookmarkEnd w:id="36"/>
    </w:p>
    <w:p w14:paraId="6875B6D4">
      <w:pPr>
        <w:bidi w:val="0"/>
        <w:rPr>
          <w:rFonts w:hint="eastAsia" w:ascii="宋体" w:hAnsi="宋体" w:eastAsia="宋体" w:cs="宋体"/>
          <w:color w:val="auto"/>
          <w:highlight w:val="none"/>
        </w:rPr>
      </w:pPr>
      <w:r>
        <w:rPr>
          <w:rFonts w:hint="eastAsia" w:ascii="宋体" w:hAnsi="宋体" w:eastAsia="宋体" w:cs="宋体"/>
          <w:color w:val="auto"/>
          <w:highlight w:val="none"/>
        </w:rPr>
        <w:t>7.1</w:t>
      </w:r>
      <w:r>
        <w:rPr>
          <w:rFonts w:hint="eastAsia" w:ascii="宋体" w:hAnsi="宋体" w:eastAsia="宋体" w:cs="宋体"/>
          <w:color w:val="auto"/>
          <w:highlight w:val="none"/>
          <w:lang w:eastAsia="zh-CN"/>
        </w:rPr>
        <w:t>磋商供应商</w:t>
      </w:r>
      <w:r>
        <w:rPr>
          <w:rFonts w:hint="eastAsia" w:ascii="宋体" w:hAnsi="宋体" w:eastAsia="宋体" w:cs="宋体"/>
          <w:color w:val="auto"/>
          <w:highlight w:val="none"/>
        </w:rPr>
        <w:t>提交的磋商响应文件以及</w:t>
      </w:r>
      <w:r>
        <w:rPr>
          <w:rFonts w:hint="eastAsia" w:ascii="宋体" w:hAnsi="宋体" w:eastAsia="宋体" w:cs="宋体"/>
          <w:color w:val="auto"/>
          <w:highlight w:val="none"/>
          <w:lang w:eastAsia="zh-CN"/>
        </w:rPr>
        <w:t>磋商供应商</w:t>
      </w:r>
      <w:r>
        <w:rPr>
          <w:rFonts w:hint="eastAsia" w:ascii="宋体" w:hAnsi="宋体" w:eastAsia="宋体" w:cs="宋体"/>
          <w:color w:val="auto"/>
          <w:highlight w:val="none"/>
        </w:rPr>
        <w:t>与采购代理机构就此磋商发生的所有来往函电均应使用简体中文。除签名、盖章、专用名称等特殊情形外，以中文汉语以外的文字表述的磋商响应文件视同未提供。</w:t>
      </w:r>
    </w:p>
    <w:p w14:paraId="2F6B2250">
      <w:pPr>
        <w:bidi w:val="0"/>
        <w:rPr>
          <w:rFonts w:hint="eastAsia" w:ascii="宋体" w:hAnsi="宋体" w:eastAsia="宋体" w:cs="宋体"/>
          <w:color w:val="auto"/>
          <w:highlight w:val="none"/>
        </w:rPr>
      </w:pPr>
      <w:r>
        <w:rPr>
          <w:rFonts w:hint="eastAsia" w:ascii="宋体" w:hAnsi="宋体" w:eastAsia="宋体" w:cs="宋体"/>
          <w:color w:val="auto"/>
          <w:highlight w:val="none"/>
        </w:rPr>
        <w:t>7.2 除磋商文件中另有规定外，磋商响应文件所使用的度量衡单位，均须采用国家法定计量单位。</w:t>
      </w:r>
    </w:p>
    <w:p w14:paraId="61727498">
      <w:pPr>
        <w:bidi w:val="0"/>
        <w:rPr>
          <w:rFonts w:hint="eastAsia" w:ascii="宋体" w:hAnsi="宋体" w:eastAsia="宋体" w:cs="宋体"/>
          <w:color w:val="auto"/>
          <w:highlight w:val="none"/>
        </w:rPr>
      </w:pPr>
      <w:r>
        <w:rPr>
          <w:rFonts w:hint="eastAsia" w:ascii="宋体" w:hAnsi="宋体" w:eastAsia="宋体" w:cs="宋体"/>
          <w:color w:val="auto"/>
          <w:highlight w:val="none"/>
        </w:rPr>
        <w:t>7.3附有外文资料的，须翻译成中文并加盖供应商公章，如果翻译的中文资料与外文资料存在差异和矛盾时，以中文资料为准。其准确性由磋商供应商负责。</w:t>
      </w:r>
    </w:p>
    <w:p w14:paraId="5CC93262">
      <w:pPr>
        <w:pStyle w:val="4"/>
        <w:numPr>
          <w:ilvl w:val="2"/>
          <w:numId w:val="0"/>
        </w:numPr>
        <w:bidi w:val="0"/>
        <w:ind w:left="0" w:leftChars="0" w:firstLine="400" w:firstLineChars="0"/>
        <w:rPr>
          <w:rFonts w:hint="eastAsia" w:ascii="宋体" w:hAnsi="宋体" w:eastAsia="宋体" w:cs="宋体"/>
          <w:color w:val="auto"/>
          <w:highlight w:val="none"/>
        </w:rPr>
      </w:pPr>
      <w:bookmarkStart w:id="37" w:name="_Toc376936738"/>
      <w:bookmarkStart w:id="38" w:name="_Toc24745"/>
      <w:bookmarkStart w:id="39" w:name="_Toc325726007"/>
      <w:r>
        <w:rPr>
          <w:rFonts w:hint="eastAsia" w:ascii="宋体" w:hAnsi="宋体" w:eastAsia="宋体" w:cs="宋体"/>
          <w:b/>
          <w:color w:val="auto"/>
          <w:kern w:val="2"/>
          <w:sz w:val="30"/>
          <w:szCs w:val="30"/>
          <w:highlight w:val="none"/>
          <w:lang w:val="en-US" w:eastAsia="zh-CN" w:bidi="ar-SA"/>
        </w:rPr>
        <w:t>8．</w:t>
      </w:r>
      <w:r>
        <w:rPr>
          <w:rFonts w:hint="eastAsia" w:ascii="宋体" w:hAnsi="宋体" w:eastAsia="宋体" w:cs="宋体"/>
          <w:color w:val="auto"/>
          <w:highlight w:val="none"/>
        </w:rPr>
        <w:t>磋商报价及币种</w:t>
      </w:r>
      <w:bookmarkEnd w:id="37"/>
      <w:bookmarkEnd w:id="38"/>
      <w:bookmarkEnd w:id="39"/>
    </w:p>
    <w:p w14:paraId="46C05FFD">
      <w:pPr>
        <w:bidi w:val="0"/>
        <w:rPr>
          <w:rFonts w:hint="eastAsia" w:ascii="宋体" w:hAnsi="宋体" w:eastAsia="宋体" w:cs="宋体"/>
          <w:color w:val="auto"/>
          <w:highlight w:val="none"/>
        </w:rPr>
      </w:pPr>
      <w:r>
        <w:rPr>
          <w:rFonts w:hint="eastAsia" w:ascii="宋体" w:hAnsi="宋体" w:eastAsia="宋体" w:cs="宋体"/>
          <w:color w:val="auto"/>
          <w:highlight w:val="none"/>
        </w:rPr>
        <w:t>8.l磋商报价为总报价。必须包括：</w:t>
      </w:r>
      <w:r>
        <w:rPr>
          <w:rFonts w:hint="eastAsia" w:ascii="宋体" w:hAnsi="宋体" w:cs="宋体"/>
          <w:color w:val="auto"/>
          <w:highlight w:val="none"/>
          <w:lang w:val="en-US" w:eastAsia="zh-CN"/>
        </w:rPr>
        <w:t>设备租赁费、</w:t>
      </w:r>
      <w:r>
        <w:rPr>
          <w:rFonts w:hint="eastAsia" w:ascii="宋体" w:hAnsi="宋体" w:eastAsia="宋体" w:cs="宋体"/>
          <w:color w:val="auto"/>
          <w:highlight w:val="none"/>
        </w:rPr>
        <w:t>服务费、人员工资、管理费、</w:t>
      </w:r>
      <w:r>
        <w:rPr>
          <w:rFonts w:hint="eastAsia" w:ascii="宋体" w:hAnsi="宋体" w:cs="宋体"/>
          <w:color w:val="auto"/>
          <w:highlight w:val="none"/>
          <w:lang w:val="en-US" w:eastAsia="zh-CN"/>
        </w:rPr>
        <w:t>培训费、</w:t>
      </w:r>
      <w:r>
        <w:rPr>
          <w:rFonts w:hint="eastAsia" w:ascii="宋体" w:hAnsi="宋体" w:eastAsia="宋体" w:cs="宋体"/>
          <w:color w:val="auto"/>
          <w:highlight w:val="none"/>
        </w:rPr>
        <w:t>验收费、手续费、保险费、</w:t>
      </w:r>
      <w:r>
        <w:rPr>
          <w:rFonts w:hint="eastAsia" w:ascii="宋体" w:hAnsi="宋体" w:cs="宋体"/>
          <w:color w:val="auto"/>
          <w:highlight w:val="none"/>
          <w:lang w:eastAsia="zh-CN"/>
        </w:rPr>
        <w:t>差旅费、</w:t>
      </w:r>
      <w:r>
        <w:rPr>
          <w:rFonts w:hint="eastAsia" w:ascii="宋体" w:hAnsi="宋体" w:eastAsia="宋体" w:cs="宋体"/>
          <w:color w:val="auto"/>
          <w:highlight w:val="none"/>
          <w:lang w:eastAsia="zh-CN"/>
        </w:rPr>
        <w:t>成交服务费</w:t>
      </w:r>
      <w:r>
        <w:rPr>
          <w:rFonts w:hint="eastAsia" w:ascii="宋体" w:hAnsi="宋体" w:eastAsia="宋体" w:cs="宋体"/>
          <w:color w:val="auto"/>
          <w:highlight w:val="none"/>
        </w:rPr>
        <w:t>及服务过程中包含的不可预见等全部费用。</w:t>
      </w:r>
    </w:p>
    <w:p w14:paraId="08B27200">
      <w:pPr>
        <w:bidi w:val="0"/>
        <w:rPr>
          <w:rFonts w:hint="eastAsia" w:ascii="宋体" w:hAnsi="宋体" w:eastAsia="宋体" w:cs="宋体"/>
          <w:color w:val="auto"/>
          <w:highlight w:val="none"/>
        </w:rPr>
      </w:pPr>
      <w:r>
        <w:rPr>
          <w:rFonts w:hint="eastAsia" w:ascii="宋体" w:hAnsi="宋体" w:eastAsia="宋体" w:cs="宋体"/>
          <w:color w:val="auto"/>
          <w:highlight w:val="none"/>
        </w:rPr>
        <w:t>8.2 磋商函中应注明磋商有效期。</w:t>
      </w:r>
    </w:p>
    <w:p w14:paraId="7FB62A58">
      <w:pPr>
        <w:bidi w:val="0"/>
        <w:rPr>
          <w:rFonts w:hint="eastAsia" w:ascii="宋体" w:hAnsi="宋体" w:eastAsia="宋体" w:cs="宋体"/>
          <w:color w:val="auto"/>
          <w:highlight w:val="none"/>
        </w:rPr>
      </w:pPr>
      <w:r>
        <w:rPr>
          <w:rFonts w:hint="eastAsia" w:ascii="宋体" w:hAnsi="宋体" w:eastAsia="宋体" w:cs="宋体"/>
          <w:color w:val="auto"/>
          <w:highlight w:val="none"/>
        </w:rPr>
        <w:t xml:space="preserve">8.3 </w:t>
      </w:r>
      <w:r>
        <w:rPr>
          <w:rFonts w:hint="eastAsia" w:ascii="宋体" w:hAnsi="宋体" w:eastAsia="宋体" w:cs="宋体"/>
          <w:color w:val="auto"/>
          <w:highlight w:val="none"/>
          <w:lang w:eastAsia="zh-CN"/>
        </w:rPr>
        <w:t>磋商供应商</w:t>
      </w:r>
      <w:r>
        <w:rPr>
          <w:rFonts w:hint="eastAsia" w:ascii="宋体" w:hAnsi="宋体" w:eastAsia="宋体" w:cs="宋体"/>
          <w:color w:val="auto"/>
          <w:highlight w:val="none"/>
        </w:rPr>
        <w:t>应根据磋商文件规定的格式完整填写所有内容，并保证所提供的全部资料真实可信，自愿承担相应责任。</w:t>
      </w:r>
    </w:p>
    <w:p w14:paraId="587C0B57">
      <w:pPr>
        <w:bidi w:val="0"/>
        <w:rPr>
          <w:rFonts w:hint="eastAsia" w:ascii="宋体" w:hAnsi="宋体" w:eastAsia="宋体" w:cs="宋体"/>
          <w:color w:val="auto"/>
          <w:highlight w:val="none"/>
        </w:rPr>
      </w:pPr>
      <w:r>
        <w:rPr>
          <w:rFonts w:hint="eastAsia" w:ascii="宋体" w:hAnsi="宋体" w:eastAsia="宋体" w:cs="宋体"/>
          <w:color w:val="auto"/>
          <w:highlight w:val="none"/>
        </w:rPr>
        <w:t>8.4 磋商最后报价为闭口价，即成交后在合同有效期内价格不变。</w:t>
      </w:r>
    </w:p>
    <w:p w14:paraId="02673D34">
      <w:pPr>
        <w:bidi w:val="0"/>
        <w:rPr>
          <w:rFonts w:hint="eastAsia" w:ascii="宋体" w:hAnsi="宋体" w:eastAsia="宋体" w:cs="宋体"/>
          <w:color w:val="auto"/>
          <w:highlight w:val="none"/>
        </w:rPr>
      </w:pPr>
      <w:r>
        <w:rPr>
          <w:rFonts w:hint="eastAsia" w:ascii="宋体" w:hAnsi="宋体" w:eastAsia="宋体" w:cs="宋体"/>
          <w:color w:val="auto"/>
          <w:highlight w:val="none"/>
        </w:rPr>
        <w:t>8.5 磋商币种为人民币。</w:t>
      </w:r>
    </w:p>
    <w:p w14:paraId="04528424">
      <w:pPr>
        <w:pStyle w:val="4"/>
        <w:numPr>
          <w:ilvl w:val="2"/>
          <w:numId w:val="0"/>
        </w:numPr>
        <w:bidi w:val="0"/>
        <w:ind w:left="0" w:leftChars="0" w:firstLine="400" w:firstLineChars="0"/>
        <w:rPr>
          <w:rFonts w:hint="eastAsia" w:ascii="宋体" w:hAnsi="宋体" w:eastAsia="宋体" w:cs="宋体"/>
          <w:color w:val="auto"/>
          <w:highlight w:val="none"/>
        </w:rPr>
      </w:pPr>
      <w:bookmarkStart w:id="40" w:name="_Toc26157"/>
      <w:bookmarkStart w:id="41" w:name="_Toc376936744"/>
      <w:bookmarkStart w:id="42" w:name="_Toc325726013"/>
      <w:r>
        <w:rPr>
          <w:rFonts w:hint="eastAsia" w:ascii="宋体" w:hAnsi="宋体" w:eastAsia="宋体" w:cs="宋体"/>
          <w:b/>
          <w:color w:val="auto"/>
          <w:kern w:val="2"/>
          <w:sz w:val="30"/>
          <w:szCs w:val="30"/>
          <w:highlight w:val="none"/>
          <w:lang w:val="en-US" w:eastAsia="zh-CN" w:bidi="ar-SA"/>
        </w:rPr>
        <w:t>9．</w:t>
      </w:r>
      <w:r>
        <w:rPr>
          <w:rFonts w:hint="eastAsia" w:ascii="宋体" w:hAnsi="宋体" w:eastAsia="宋体" w:cs="宋体"/>
          <w:color w:val="auto"/>
          <w:highlight w:val="none"/>
        </w:rPr>
        <w:t>磋商有效期</w:t>
      </w:r>
      <w:bookmarkEnd w:id="40"/>
      <w:bookmarkEnd w:id="41"/>
      <w:bookmarkEnd w:id="42"/>
    </w:p>
    <w:p w14:paraId="0256744A">
      <w:pPr>
        <w:ind w:firstLine="480"/>
        <w:rPr>
          <w:rFonts w:hint="eastAsia" w:ascii="宋体" w:hAnsi="宋体" w:eastAsia="宋体" w:cs="宋体"/>
          <w:color w:val="auto"/>
          <w:highlight w:val="none"/>
        </w:rPr>
      </w:pPr>
      <w:r>
        <w:rPr>
          <w:rFonts w:hint="eastAsia" w:ascii="宋体" w:hAnsi="宋体" w:eastAsia="宋体" w:cs="宋体"/>
          <w:color w:val="auto"/>
          <w:highlight w:val="none"/>
        </w:rPr>
        <w:t>磋商有效期为自磋商开始之日起60天。</w:t>
      </w:r>
    </w:p>
    <w:p w14:paraId="58BA0DF9">
      <w:pPr>
        <w:pStyle w:val="4"/>
        <w:numPr>
          <w:ilvl w:val="2"/>
          <w:numId w:val="0"/>
        </w:numPr>
        <w:bidi w:val="0"/>
        <w:ind w:left="0" w:leftChars="0" w:firstLine="400" w:firstLineChars="0"/>
        <w:rPr>
          <w:rFonts w:hint="eastAsia" w:ascii="宋体" w:hAnsi="宋体" w:eastAsia="宋体" w:cs="宋体"/>
          <w:color w:val="auto"/>
          <w:highlight w:val="none"/>
        </w:rPr>
      </w:pPr>
      <w:bookmarkStart w:id="43" w:name="_Toc376936739"/>
      <w:bookmarkStart w:id="44" w:name="_Toc26962"/>
      <w:bookmarkStart w:id="45" w:name="_Toc325726008"/>
      <w:r>
        <w:rPr>
          <w:rFonts w:hint="eastAsia" w:ascii="宋体" w:hAnsi="宋体" w:eastAsia="宋体" w:cs="宋体"/>
          <w:b/>
          <w:color w:val="auto"/>
          <w:kern w:val="2"/>
          <w:sz w:val="30"/>
          <w:szCs w:val="30"/>
          <w:highlight w:val="none"/>
          <w:lang w:val="en-US" w:eastAsia="zh-CN" w:bidi="ar-SA"/>
        </w:rPr>
        <w:t>10．</w:t>
      </w:r>
      <w:r>
        <w:rPr>
          <w:rFonts w:hint="eastAsia" w:ascii="宋体" w:hAnsi="宋体" w:eastAsia="宋体" w:cs="宋体"/>
          <w:color w:val="auto"/>
          <w:highlight w:val="none"/>
        </w:rPr>
        <w:t>磋商响应文件构成</w:t>
      </w:r>
      <w:bookmarkEnd w:id="43"/>
      <w:bookmarkEnd w:id="44"/>
      <w:bookmarkEnd w:id="45"/>
    </w:p>
    <w:p w14:paraId="6616C569">
      <w:pPr>
        <w:bidi w:val="0"/>
        <w:rPr>
          <w:rFonts w:hint="eastAsia" w:ascii="宋体" w:hAnsi="宋体" w:eastAsia="宋体" w:cs="宋体"/>
          <w:color w:val="auto"/>
          <w:highlight w:val="none"/>
        </w:rPr>
      </w:pPr>
      <w:r>
        <w:rPr>
          <w:rFonts w:hint="eastAsia" w:ascii="宋体" w:hAnsi="宋体" w:eastAsia="宋体" w:cs="宋体"/>
          <w:color w:val="auto"/>
          <w:highlight w:val="none"/>
          <w:lang w:val="zh-CN"/>
        </w:rPr>
        <w:t>10.1</w:t>
      </w:r>
      <w:r>
        <w:rPr>
          <w:rFonts w:hint="eastAsia" w:ascii="宋体" w:hAnsi="宋体" w:eastAsia="宋体" w:cs="宋体"/>
          <w:color w:val="auto"/>
          <w:highlight w:val="none"/>
          <w:lang w:eastAsia="zh-CN"/>
        </w:rPr>
        <w:t>磋商供应商</w:t>
      </w:r>
      <w:r>
        <w:rPr>
          <w:rFonts w:hint="eastAsia" w:ascii="宋体" w:hAnsi="宋体" w:eastAsia="宋体" w:cs="宋体"/>
          <w:color w:val="auto"/>
          <w:highlight w:val="none"/>
        </w:rPr>
        <w:t>应提交相关证明材料，作为其参加磋商和成交后有能力履行合同的证明。编写的磋商响应文件须包括以下内容（格式详见磋商文件第五部分内容）：</w:t>
      </w:r>
    </w:p>
    <w:p w14:paraId="534CBB44">
      <w:pPr>
        <w:bidi w:val="0"/>
        <w:rPr>
          <w:rFonts w:hint="eastAsia" w:ascii="宋体" w:hAnsi="宋体" w:eastAsia="宋体" w:cs="宋体"/>
          <w:color w:val="auto"/>
          <w:highlight w:val="none"/>
        </w:rPr>
      </w:pPr>
      <w:r>
        <w:rPr>
          <w:rFonts w:hint="eastAsia" w:ascii="宋体" w:hAnsi="宋体" w:eastAsia="宋体" w:cs="宋体"/>
          <w:color w:val="auto"/>
          <w:highlight w:val="none"/>
        </w:rPr>
        <w:t>（1）磋商响应文件封面</w:t>
      </w:r>
    </w:p>
    <w:p w14:paraId="57608D8F">
      <w:pPr>
        <w:bidi w:val="0"/>
        <w:rPr>
          <w:rFonts w:hint="eastAsia" w:ascii="宋体" w:hAnsi="宋体" w:eastAsia="宋体" w:cs="宋体"/>
          <w:color w:val="auto"/>
          <w:highlight w:val="none"/>
        </w:rPr>
      </w:pPr>
      <w:r>
        <w:rPr>
          <w:rFonts w:hint="eastAsia" w:ascii="宋体" w:hAnsi="宋体" w:eastAsia="宋体" w:cs="宋体"/>
          <w:color w:val="auto"/>
          <w:highlight w:val="none"/>
        </w:rPr>
        <w:t>（2）磋商函</w:t>
      </w:r>
    </w:p>
    <w:p w14:paraId="1DBE9C64">
      <w:pPr>
        <w:bidi w:val="0"/>
        <w:rPr>
          <w:rFonts w:hint="eastAsia" w:ascii="宋体" w:hAnsi="宋体" w:eastAsia="宋体" w:cs="宋体"/>
          <w:color w:val="auto"/>
          <w:highlight w:val="none"/>
        </w:rPr>
      </w:pPr>
      <w:r>
        <w:rPr>
          <w:rFonts w:hint="eastAsia" w:ascii="宋体" w:hAnsi="宋体" w:eastAsia="宋体" w:cs="宋体"/>
          <w:color w:val="auto"/>
          <w:highlight w:val="none"/>
        </w:rPr>
        <w:t>（3）最初报价表</w:t>
      </w:r>
    </w:p>
    <w:p w14:paraId="449346B5">
      <w:pPr>
        <w:bidi w:val="0"/>
        <w:rPr>
          <w:rFonts w:hint="eastAsia" w:ascii="宋体" w:hAnsi="宋体" w:eastAsia="宋体" w:cs="宋体"/>
          <w:color w:val="auto"/>
          <w:highlight w:val="none"/>
        </w:rPr>
      </w:pPr>
      <w:r>
        <w:rPr>
          <w:rFonts w:hint="eastAsia" w:ascii="宋体" w:hAnsi="宋体" w:eastAsia="宋体" w:cs="宋体"/>
          <w:color w:val="auto"/>
          <w:highlight w:val="none"/>
        </w:rPr>
        <w:t>（4）服务条款偏离表</w:t>
      </w:r>
    </w:p>
    <w:p w14:paraId="253A8C77">
      <w:pPr>
        <w:bidi w:val="0"/>
        <w:rPr>
          <w:rFonts w:hint="eastAsia" w:ascii="宋体" w:hAnsi="宋体" w:eastAsia="宋体" w:cs="宋体"/>
          <w:color w:val="auto"/>
          <w:highlight w:val="none"/>
        </w:rPr>
      </w:pPr>
      <w:r>
        <w:rPr>
          <w:rFonts w:hint="eastAsia" w:ascii="宋体" w:hAnsi="宋体" w:eastAsia="宋体" w:cs="宋体"/>
          <w:color w:val="auto"/>
          <w:highlight w:val="none"/>
        </w:rPr>
        <w:t>（5）商务条款偏离表</w:t>
      </w:r>
    </w:p>
    <w:p w14:paraId="2AF0B209">
      <w:pPr>
        <w:bidi w:val="0"/>
        <w:rPr>
          <w:rFonts w:hint="eastAsia" w:ascii="宋体" w:hAnsi="宋体" w:eastAsia="宋体" w:cs="宋体"/>
          <w:color w:val="auto"/>
          <w:highlight w:val="none"/>
        </w:rPr>
      </w:pPr>
      <w:r>
        <w:rPr>
          <w:rFonts w:hint="eastAsia" w:ascii="宋体" w:hAnsi="宋体" w:eastAsia="宋体" w:cs="宋体"/>
          <w:color w:val="auto"/>
          <w:highlight w:val="none"/>
        </w:rPr>
        <w:t>（6）法定代表人证明书</w:t>
      </w:r>
    </w:p>
    <w:p w14:paraId="1724ABFA">
      <w:pPr>
        <w:bidi w:val="0"/>
        <w:rPr>
          <w:rFonts w:hint="eastAsia" w:ascii="宋体" w:hAnsi="宋体" w:eastAsia="宋体" w:cs="宋体"/>
          <w:color w:val="auto"/>
          <w:highlight w:val="none"/>
        </w:rPr>
      </w:pPr>
      <w:r>
        <w:rPr>
          <w:rFonts w:hint="eastAsia" w:ascii="宋体" w:hAnsi="宋体" w:eastAsia="宋体" w:cs="宋体"/>
          <w:color w:val="auto"/>
          <w:highlight w:val="none"/>
        </w:rPr>
        <w:t>（7）法定代表人授权书</w:t>
      </w:r>
    </w:p>
    <w:p w14:paraId="370C3FB6">
      <w:pPr>
        <w:bidi w:val="0"/>
        <w:rPr>
          <w:rFonts w:hint="eastAsia" w:ascii="宋体" w:hAnsi="宋体" w:eastAsia="宋体" w:cs="宋体"/>
          <w:color w:val="auto"/>
          <w:highlight w:val="none"/>
        </w:rPr>
      </w:pPr>
      <w:r>
        <w:rPr>
          <w:rFonts w:hint="eastAsia" w:ascii="宋体" w:hAnsi="宋体" w:eastAsia="宋体" w:cs="宋体"/>
          <w:color w:val="auto"/>
          <w:highlight w:val="none"/>
        </w:rPr>
        <w:t>（8）</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承诺函</w:t>
      </w:r>
    </w:p>
    <w:p w14:paraId="08A013B0">
      <w:pPr>
        <w:bidi w:val="0"/>
        <w:rPr>
          <w:rFonts w:hint="eastAsia" w:ascii="宋体" w:hAnsi="宋体" w:eastAsia="宋体" w:cs="宋体"/>
          <w:color w:val="auto"/>
          <w:highlight w:val="none"/>
        </w:rPr>
      </w:pPr>
      <w:r>
        <w:rPr>
          <w:rFonts w:hint="eastAsia" w:ascii="宋体" w:hAnsi="宋体" w:eastAsia="宋体" w:cs="宋体"/>
          <w:color w:val="auto"/>
          <w:highlight w:val="none"/>
        </w:rPr>
        <w:t>（9）供应商诚信承诺书</w:t>
      </w:r>
    </w:p>
    <w:p w14:paraId="75644186">
      <w:pPr>
        <w:bidi w:val="0"/>
        <w:rPr>
          <w:rFonts w:hint="eastAsia" w:ascii="宋体" w:hAnsi="宋体" w:eastAsia="宋体" w:cs="宋体"/>
          <w:color w:val="auto"/>
          <w:highlight w:val="none"/>
        </w:rPr>
      </w:pPr>
      <w:r>
        <w:rPr>
          <w:rFonts w:hint="eastAsia" w:ascii="宋体" w:hAnsi="宋体" w:eastAsia="宋体" w:cs="宋体"/>
          <w:color w:val="auto"/>
          <w:highlight w:val="none"/>
        </w:rPr>
        <w:t>（10）资格证明材料</w:t>
      </w:r>
    </w:p>
    <w:p w14:paraId="672FC46B">
      <w:pPr>
        <w:bidi w:val="0"/>
        <w:rPr>
          <w:rFonts w:hint="eastAsia" w:ascii="宋体" w:hAnsi="宋体" w:eastAsia="宋体" w:cs="宋体"/>
          <w:color w:val="auto"/>
          <w:highlight w:val="none"/>
        </w:rPr>
      </w:pPr>
      <w:r>
        <w:rPr>
          <w:rFonts w:hint="eastAsia" w:ascii="宋体" w:hAnsi="宋体" w:eastAsia="宋体" w:cs="宋体"/>
          <w:color w:val="auto"/>
          <w:highlight w:val="none"/>
        </w:rPr>
        <w:t>（11）财务状况、缴纳税收和社会保障资金证明</w:t>
      </w:r>
    </w:p>
    <w:p w14:paraId="13216318">
      <w:pPr>
        <w:bidi w:val="0"/>
        <w:rPr>
          <w:rFonts w:hint="eastAsia" w:ascii="宋体" w:hAnsi="宋体" w:eastAsia="宋体" w:cs="宋体"/>
          <w:color w:val="auto"/>
          <w:highlight w:val="none"/>
        </w:rPr>
      </w:pPr>
      <w:r>
        <w:rPr>
          <w:rFonts w:hint="eastAsia" w:ascii="宋体" w:hAnsi="宋体" w:eastAsia="宋体" w:cs="宋体"/>
          <w:color w:val="auto"/>
          <w:highlight w:val="none"/>
        </w:rPr>
        <w:t>（12）</w:t>
      </w:r>
      <w:r>
        <w:rPr>
          <w:rFonts w:hint="eastAsia" w:ascii="宋体" w:hAnsi="宋体" w:eastAsia="宋体" w:cs="宋体"/>
          <w:color w:val="auto"/>
          <w:highlight w:val="none"/>
          <w:lang w:val="zh-CN"/>
        </w:rPr>
        <w:t>具备履行合同所必须的设备和专业技术能力证明</w:t>
      </w:r>
    </w:p>
    <w:p w14:paraId="5969FDC2">
      <w:pPr>
        <w:bidi w:val="0"/>
        <w:rPr>
          <w:rFonts w:hint="eastAsia" w:ascii="宋体" w:hAnsi="宋体" w:eastAsia="宋体" w:cs="宋体"/>
          <w:color w:val="auto"/>
          <w:highlight w:val="none"/>
        </w:rPr>
      </w:pPr>
      <w:r>
        <w:rPr>
          <w:rFonts w:hint="eastAsia" w:ascii="宋体" w:hAnsi="宋体" w:eastAsia="宋体" w:cs="宋体"/>
          <w:color w:val="auto"/>
          <w:highlight w:val="none"/>
        </w:rPr>
        <w:t>（13）无重大违法记录声明</w:t>
      </w:r>
    </w:p>
    <w:p w14:paraId="6359FCA4">
      <w:pPr>
        <w:bidi w:val="0"/>
        <w:rPr>
          <w:rFonts w:hint="eastAsia" w:ascii="宋体" w:hAnsi="宋体" w:eastAsia="宋体" w:cs="宋体"/>
          <w:color w:val="auto"/>
          <w:highlight w:val="none"/>
        </w:rPr>
      </w:pPr>
      <w:r>
        <w:rPr>
          <w:rFonts w:hint="eastAsia" w:ascii="宋体" w:hAnsi="宋体" w:eastAsia="宋体" w:cs="宋体"/>
          <w:color w:val="auto"/>
          <w:highlight w:val="none"/>
        </w:rPr>
        <w:t>（14）类似业绩证明材料</w:t>
      </w:r>
    </w:p>
    <w:p w14:paraId="2661812D">
      <w:pPr>
        <w:bidi w:val="0"/>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cs="宋体"/>
          <w:color w:val="auto"/>
          <w:highlight w:val="none"/>
          <w:lang w:val="en-US" w:eastAsia="zh-CN"/>
        </w:rPr>
        <w:t>5</w:t>
      </w:r>
      <w:r>
        <w:rPr>
          <w:rFonts w:hint="eastAsia" w:ascii="宋体" w:hAnsi="宋体" w:eastAsia="宋体" w:cs="宋体"/>
          <w:color w:val="auto"/>
          <w:highlight w:val="none"/>
        </w:rPr>
        <w:t>）服务能力与方案</w:t>
      </w:r>
    </w:p>
    <w:p w14:paraId="339B5CD3">
      <w:pPr>
        <w:bidi w:val="0"/>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cs="宋体"/>
          <w:color w:val="auto"/>
          <w:highlight w:val="none"/>
          <w:lang w:val="en-US" w:eastAsia="zh-CN"/>
        </w:rPr>
        <w:t>6</w:t>
      </w:r>
      <w:r>
        <w:rPr>
          <w:rFonts w:hint="eastAsia" w:ascii="宋体" w:hAnsi="宋体" w:eastAsia="宋体" w:cs="宋体"/>
          <w:color w:val="auto"/>
          <w:highlight w:val="none"/>
        </w:rPr>
        <w:t>）最终报价表</w:t>
      </w:r>
    </w:p>
    <w:p w14:paraId="7F87D34D">
      <w:pPr>
        <w:bidi w:val="0"/>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cs="宋体"/>
          <w:color w:val="auto"/>
          <w:highlight w:val="none"/>
          <w:lang w:val="en-US" w:eastAsia="zh-CN"/>
        </w:rPr>
        <w:t>7</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供应商认为有必要说明的其他方面事项</w:t>
      </w:r>
    </w:p>
    <w:p w14:paraId="62DFA603">
      <w:pPr>
        <w:bidi w:val="0"/>
        <w:rPr>
          <w:rFonts w:hint="eastAsia" w:ascii="宋体" w:hAnsi="宋体" w:eastAsia="宋体" w:cs="宋体"/>
          <w:color w:val="auto"/>
          <w:highlight w:val="none"/>
          <w:lang w:val="zh-CN"/>
        </w:rPr>
      </w:pPr>
      <w:r>
        <w:rPr>
          <w:rFonts w:hint="eastAsia" w:ascii="宋体" w:hAnsi="宋体" w:eastAsia="宋体" w:cs="宋体"/>
          <w:color w:val="auto"/>
          <w:highlight w:val="none"/>
        </w:rPr>
        <w:t>（1</w:t>
      </w:r>
      <w:r>
        <w:rPr>
          <w:rFonts w:hint="eastAsia" w:ascii="宋体" w:hAnsi="宋体" w:cs="宋体"/>
          <w:color w:val="auto"/>
          <w:highlight w:val="none"/>
          <w:lang w:val="en-US" w:eastAsia="zh-CN"/>
        </w:rPr>
        <w:t>8</w:t>
      </w:r>
      <w:r>
        <w:rPr>
          <w:rFonts w:hint="eastAsia" w:ascii="宋体" w:hAnsi="宋体" w:eastAsia="宋体" w:cs="宋体"/>
          <w:color w:val="auto"/>
          <w:highlight w:val="none"/>
        </w:rPr>
        <w:t>）享受政府采购政策优惠的证明资料</w:t>
      </w:r>
    </w:p>
    <w:p w14:paraId="10CEC24D">
      <w:pPr>
        <w:bidi w:val="0"/>
        <w:rPr>
          <w:rFonts w:hint="eastAsia" w:ascii="宋体" w:hAnsi="宋体" w:eastAsia="宋体" w:cs="宋体"/>
          <w:color w:val="auto"/>
          <w:highlight w:val="none"/>
        </w:rPr>
      </w:pPr>
      <w:r>
        <w:rPr>
          <w:rFonts w:hint="eastAsia" w:ascii="宋体" w:hAnsi="宋体" w:eastAsia="宋体" w:cs="宋体"/>
          <w:color w:val="auto"/>
          <w:highlight w:val="none"/>
        </w:rPr>
        <w:t>注：磋商文件要求签字、盖章的地方必须由</w:t>
      </w:r>
      <w:r>
        <w:rPr>
          <w:rFonts w:hint="eastAsia" w:ascii="宋体" w:hAnsi="宋体" w:eastAsia="宋体" w:cs="宋体"/>
          <w:color w:val="auto"/>
          <w:highlight w:val="none"/>
          <w:lang w:eastAsia="zh-CN"/>
        </w:rPr>
        <w:t>磋商供应商</w:t>
      </w:r>
      <w:r>
        <w:rPr>
          <w:rFonts w:hint="eastAsia" w:ascii="宋体" w:hAnsi="宋体" w:eastAsia="宋体" w:cs="宋体"/>
          <w:color w:val="auto"/>
          <w:highlight w:val="none"/>
        </w:rPr>
        <w:t>的法定代表人或委托代理人按要求签字、盖章；</w:t>
      </w:r>
      <w:r>
        <w:rPr>
          <w:rFonts w:hint="eastAsia" w:ascii="宋体" w:hAnsi="宋体" w:eastAsia="宋体" w:cs="宋体"/>
          <w:color w:val="auto"/>
          <w:highlight w:val="none"/>
          <w:lang w:eastAsia="zh-CN"/>
        </w:rPr>
        <w:t>磋商供应商</w:t>
      </w:r>
      <w:r>
        <w:rPr>
          <w:rFonts w:hint="eastAsia" w:ascii="宋体" w:hAnsi="宋体" w:eastAsia="宋体" w:cs="宋体"/>
          <w:color w:val="auto"/>
          <w:highlight w:val="none"/>
        </w:rPr>
        <w:t>提供的扫描（或复印）件均需加盖公章。</w:t>
      </w:r>
      <w:r>
        <w:rPr>
          <w:rFonts w:hint="eastAsia" w:ascii="宋体" w:hAnsi="宋体" w:eastAsia="宋体" w:cs="宋体"/>
          <w:color w:val="auto"/>
          <w:highlight w:val="none"/>
          <w:lang w:eastAsia="zh-CN"/>
        </w:rPr>
        <w:t>磋商供应商</w:t>
      </w:r>
      <w:r>
        <w:rPr>
          <w:rFonts w:hint="eastAsia" w:ascii="宋体" w:hAnsi="宋体" w:eastAsia="宋体" w:cs="宋体"/>
          <w:color w:val="auto"/>
          <w:highlight w:val="none"/>
        </w:rPr>
        <w:t>须按上述内容、顺序和格式编制磋商响应文件，并按要求编制目录、页码。</w:t>
      </w:r>
    </w:p>
    <w:p w14:paraId="411F6AD9">
      <w:pPr>
        <w:pStyle w:val="4"/>
        <w:numPr>
          <w:ilvl w:val="2"/>
          <w:numId w:val="0"/>
        </w:numPr>
        <w:bidi w:val="0"/>
        <w:ind w:left="0" w:leftChars="0" w:firstLine="400" w:firstLineChars="0"/>
        <w:rPr>
          <w:rFonts w:hint="eastAsia" w:ascii="宋体" w:hAnsi="宋体" w:eastAsia="宋体" w:cs="宋体"/>
          <w:color w:val="auto"/>
          <w:highlight w:val="none"/>
        </w:rPr>
      </w:pPr>
      <w:bookmarkStart w:id="46" w:name="_Toc412617729"/>
      <w:bookmarkStart w:id="47" w:name="_Toc31170"/>
      <w:bookmarkStart w:id="48" w:name="_Toc373392580"/>
      <w:r>
        <w:rPr>
          <w:rFonts w:hint="eastAsia" w:ascii="宋体" w:hAnsi="宋体" w:eastAsia="宋体" w:cs="宋体"/>
          <w:b/>
          <w:color w:val="auto"/>
          <w:kern w:val="2"/>
          <w:sz w:val="30"/>
          <w:szCs w:val="30"/>
          <w:highlight w:val="none"/>
          <w:lang w:val="en-US" w:eastAsia="zh-CN" w:bidi="ar-SA"/>
        </w:rPr>
        <w:t>11．</w:t>
      </w:r>
      <w:r>
        <w:rPr>
          <w:rFonts w:hint="eastAsia" w:ascii="宋体" w:hAnsi="宋体" w:eastAsia="宋体" w:cs="宋体"/>
          <w:color w:val="auto"/>
          <w:highlight w:val="none"/>
        </w:rPr>
        <w:t>磋商响应文件编印和签署</w:t>
      </w:r>
      <w:bookmarkEnd w:id="46"/>
      <w:bookmarkEnd w:id="47"/>
      <w:bookmarkEnd w:id="48"/>
    </w:p>
    <w:p w14:paraId="2D8E9D7D">
      <w:pPr>
        <w:bidi w:val="0"/>
        <w:rPr>
          <w:rFonts w:hint="eastAsia" w:ascii="宋体" w:hAnsi="宋体" w:eastAsia="宋体" w:cs="宋体"/>
          <w:color w:val="auto"/>
          <w:highlight w:val="none"/>
        </w:rPr>
      </w:pPr>
      <w:r>
        <w:rPr>
          <w:rFonts w:hint="eastAsia" w:ascii="宋体" w:hAnsi="宋体" w:eastAsia="宋体" w:cs="宋体"/>
          <w:color w:val="auto"/>
          <w:highlight w:val="none"/>
        </w:rPr>
        <w:t>11.1 磋商文件编制和签署：详见磋商须知前附表。</w:t>
      </w:r>
    </w:p>
    <w:p w14:paraId="67BD3FC4">
      <w:pPr>
        <w:bidi w:val="0"/>
        <w:rPr>
          <w:rFonts w:hint="eastAsia" w:ascii="宋体" w:hAnsi="宋体" w:eastAsia="宋体" w:cs="宋体"/>
          <w:color w:val="auto"/>
          <w:highlight w:val="none"/>
        </w:rPr>
      </w:pPr>
      <w:r>
        <w:rPr>
          <w:rFonts w:hint="eastAsia" w:ascii="宋体" w:hAnsi="宋体" w:eastAsia="宋体" w:cs="宋体"/>
          <w:color w:val="auto"/>
          <w:highlight w:val="none"/>
        </w:rPr>
        <w:t>11.2磋商供应商须在 “法定代表人授权书”中提供被授权人（委托代理人）准确的联系方式（手机或固定电话）。</w:t>
      </w:r>
    </w:p>
    <w:p w14:paraId="5A907D8D">
      <w:pPr>
        <w:bidi w:val="0"/>
        <w:rPr>
          <w:rFonts w:hint="eastAsia" w:ascii="宋体" w:hAnsi="宋体" w:eastAsia="宋体" w:cs="宋体"/>
          <w:color w:val="auto"/>
          <w:highlight w:val="none"/>
        </w:rPr>
      </w:pPr>
      <w:r>
        <w:rPr>
          <w:rFonts w:hint="eastAsia" w:ascii="宋体" w:hAnsi="宋体" w:eastAsia="宋体" w:cs="宋体"/>
          <w:color w:val="auto"/>
          <w:highlight w:val="none"/>
        </w:rPr>
        <w:t>11.3</w:t>
      </w:r>
      <w:r>
        <w:rPr>
          <w:rFonts w:hint="eastAsia" w:ascii="宋体" w:hAnsi="宋体" w:eastAsia="宋体" w:cs="宋体"/>
          <w:color w:val="auto"/>
          <w:highlight w:val="none"/>
          <w:lang w:val="en-US" w:eastAsia="zh-CN"/>
        </w:rPr>
        <w:t>供应商</w:t>
      </w:r>
      <w:r>
        <w:rPr>
          <w:rFonts w:hint="eastAsia" w:ascii="宋体" w:hAnsi="宋体" w:eastAsia="宋体" w:cs="宋体"/>
          <w:color w:val="auto"/>
          <w:highlight w:val="none"/>
        </w:rPr>
        <w:t>必须按照磋商文件的要求编制</w:t>
      </w:r>
      <w:r>
        <w:rPr>
          <w:rFonts w:hint="eastAsia" w:ascii="宋体" w:hAnsi="宋体" w:eastAsia="宋体" w:cs="宋体"/>
          <w:color w:val="auto"/>
          <w:highlight w:val="none"/>
          <w:lang w:val="en-US" w:eastAsia="zh-CN"/>
        </w:rPr>
        <w:t>磋商</w:t>
      </w:r>
      <w:r>
        <w:rPr>
          <w:rFonts w:hint="eastAsia" w:ascii="宋体" w:hAnsi="宋体" w:eastAsia="宋体" w:cs="宋体"/>
          <w:color w:val="auto"/>
          <w:highlight w:val="none"/>
        </w:rPr>
        <w:t>响应文件。</w:t>
      </w:r>
      <w:r>
        <w:rPr>
          <w:rFonts w:hint="eastAsia" w:ascii="宋体" w:hAnsi="宋体" w:eastAsia="宋体" w:cs="宋体"/>
          <w:color w:val="auto"/>
          <w:highlight w:val="none"/>
          <w:lang w:val="en-US" w:eastAsia="zh-CN"/>
        </w:rPr>
        <w:t>磋商</w:t>
      </w:r>
      <w:r>
        <w:rPr>
          <w:rFonts w:hint="eastAsia" w:ascii="宋体" w:hAnsi="宋体" w:eastAsia="宋体" w:cs="宋体"/>
          <w:color w:val="auto"/>
          <w:highlight w:val="none"/>
        </w:rPr>
        <w:t>响应文件必须对磋商文件提出的要求和条件作出明确响应。</w:t>
      </w:r>
    </w:p>
    <w:p w14:paraId="07E38B48">
      <w:pPr>
        <w:bidi w:val="0"/>
        <w:rPr>
          <w:rFonts w:hint="eastAsia" w:ascii="宋体" w:hAnsi="宋体" w:eastAsia="宋体" w:cs="宋体"/>
          <w:color w:val="auto"/>
          <w:highlight w:val="none"/>
        </w:rPr>
      </w:pPr>
      <w:r>
        <w:rPr>
          <w:rFonts w:hint="eastAsia" w:ascii="宋体" w:hAnsi="宋体" w:eastAsia="宋体" w:cs="宋体"/>
          <w:color w:val="auto"/>
          <w:highlight w:val="none"/>
        </w:rPr>
        <w:t>11.4</w:t>
      </w:r>
      <w:r>
        <w:rPr>
          <w:rFonts w:hint="eastAsia" w:ascii="宋体" w:hAnsi="宋体" w:eastAsia="宋体" w:cs="宋体"/>
          <w:color w:val="auto"/>
          <w:highlight w:val="none"/>
          <w:lang w:val="en-US" w:eastAsia="zh-CN"/>
        </w:rPr>
        <w:t>供应商</w:t>
      </w:r>
      <w:r>
        <w:rPr>
          <w:rFonts w:hint="eastAsia" w:ascii="宋体" w:hAnsi="宋体" w:eastAsia="宋体" w:cs="宋体"/>
          <w:color w:val="auto"/>
          <w:highlight w:val="none"/>
        </w:rPr>
        <w:t>应对</w:t>
      </w:r>
      <w:r>
        <w:rPr>
          <w:rFonts w:hint="eastAsia" w:ascii="宋体" w:hAnsi="宋体" w:eastAsia="宋体" w:cs="宋体"/>
          <w:color w:val="auto"/>
          <w:highlight w:val="none"/>
          <w:lang w:val="en-US" w:eastAsia="zh-CN"/>
        </w:rPr>
        <w:t>磋商</w:t>
      </w:r>
      <w:r>
        <w:rPr>
          <w:rFonts w:hint="eastAsia" w:ascii="宋体" w:hAnsi="宋体" w:eastAsia="宋体" w:cs="宋体"/>
          <w:color w:val="auto"/>
          <w:highlight w:val="none"/>
        </w:rPr>
        <w:t>响应文件中所提供资料的真实性负责，若有虚假，将依法承担相应责任。</w:t>
      </w:r>
    </w:p>
    <w:p w14:paraId="6C26ABA8">
      <w:pPr>
        <w:bidi w:val="0"/>
        <w:rPr>
          <w:rFonts w:hint="eastAsia" w:ascii="宋体" w:hAnsi="宋体" w:eastAsia="宋体" w:cs="宋体"/>
          <w:color w:val="auto"/>
          <w:highlight w:val="none"/>
        </w:rPr>
      </w:pPr>
      <w:r>
        <w:rPr>
          <w:rFonts w:hint="eastAsia" w:ascii="宋体" w:hAnsi="宋体" w:eastAsia="宋体" w:cs="宋体"/>
          <w:color w:val="auto"/>
          <w:highlight w:val="none"/>
        </w:rPr>
        <w:t>11.5因</w:t>
      </w:r>
      <w:r>
        <w:rPr>
          <w:rFonts w:hint="eastAsia" w:ascii="宋体" w:hAnsi="宋体" w:eastAsia="宋体" w:cs="宋体"/>
          <w:color w:val="auto"/>
          <w:highlight w:val="none"/>
          <w:lang w:val="en-US" w:eastAsia="zh-CN"/>
        </w:rPr>
        <w:t>供应商磋商</w:t>
      </w:r>
      <w:r>
        <w:rPr>
          <w:rFonts w:hint="eastAsia" w:ascii="宋体" w:hAnsi="宋体" w:eastAsia="宋体" w:cs="宋体"/>
          <w:color w:val="auto"/>
          <w:highlight w:val="none"/>
        </w:rPr>
        <w:t>响应文件填报的内容不详，或没有提供磋商文件中所要求的全部资料及数据等，由此产生的后果及责任由</w:t>
      </w:r>
      <w:r>
        <w:rPr>
          <w:rFonts w:hint="eastAsia" w:ascii="宋体" w:hAnsi="宋体" w:eastAsia="宋体" w:cs="宋体"/>
          <w:color w:val="auto"/>
          <w:highlight w:val="none"/>
          <w:lang w:val="en-US" w:eastAsia="zh-CN"/>
        </w:rPr>
        <w:t>供应商</w:t>
      </w:r>
      <w:r>
        <w:rPr>
          <w:rFonts w:hint="eastAsia" w:ascii="宋体" w:hAnsi="宋体" w:eastAsia="宋体" w:cs="宋体"/>
          <w:color w:val="auto"/>
          <w:highlight w:val="none"/>
        </w:rPr>
        <w:t>自行承担。</w:t>
      </w:r>
    </w:p>
    <w:p w14:paraId="4CC6E8A7">
      <w:pPr>
        <w:pStyle w:val="5"/>
        <w:bidi w:val="0"/>
        <w:rPr>
          <w:rFonts w:hint="eastAsia" w:ascii="宋体" w:hAnsi="宋体" w:eastAsia="宋体" w:cs="宋体"/>
          <w:color w:val="auto"/>
          <w:highlight w:val="none"/>
        </w:rPr>
      </w:pPr>
      <w:bookmarkStart w:id="49" w:name="_Toc412617730"/>
      <w:bookmarkStart w:id="50" w:name="_Toc15367"/>
      <w:bookmarkStart w:id="51" w:name="_Toc371090029"/>
      <w:bookmarkStart w:id="52" w:name="_Toc376936748"/>
      <w:r>
        <w:rPr>
          <w:rFonts w:hint="eastAsia" w:ascii="宋体" w:hAnsi="宋体" w:eastAsia="宋体" w:cs="宋体"/>
          <w:color w:val="auto"/>
          <w:highlight w:val="none"/>
        </w:rPr>
        <w:t>四、磋商响应文件的递交</w:t>
      </w:r>
      <w:bookmarkEnd w:id="49"/>
      <w:bookmarkEnd w:id="50"/>
    </w:p>
    <w:p w14:paraId="26336336">
      <w:pPr>
        <w:pStyle w:val="4"/>
        <w:numPr>
          <w:ilvl w:val="2"/>
          <w:numId w:val="0"/>
        </w:numPr>
        <w:bidi w:val="0"/>
        <w:ind w:left="0" w:leftChars="0" w:firstLine="400" w:firstLineChars="0"/>
        <w:rPr>
          <w:rFonts w:hint="eastAsia" w:ascii="宋体" w:hAnsi="宋体" w:eastAsia="宋体" w:cs="宋体"/>
          <w:color w:val="auto"/>
          <w:highlight w:val="none"/>
        </w:rPr>
      </w:pPr>
      <w:bookmarkStart w:id="53" w:name="_Toc5867"/>
      <w:bookmarkStart w:id="54" w:name="_Toc412617731"/>
      <w:bookmarkStart w:id="55" w:name="_Toc325726016"/>
      <w:bookmarkStart w:id="56" w:name="_Toc373392582"/>
      <w:r>
        <w:rPr>
          <w:rFonts w:hint="eastAsia" w:ascii="宋体" w:hAnsi="宋体" w:eastAsia="宋体" w:cs="宋体"/>
          <w:b/>
          <w:color w:val="auto"/>
          <w:kern w:val="2"/>
          <w:sz w:val="30"/>
          <w:szCs w:val="30"/>
          <w:highlight w:val="none"/>
          <w:lang w:val="en-US" w:eastAsia="zh-CN" w:bidi="ar-SA"/>
        </w:rPr>
        <w:t>12．</w:t>
      </w:r>
      <w:r>
        <w:rPr>
          <w:rFonts w:hint="eastAsia" w:ascii="宋体" w:hAnsi="宋体" w:eastAsia="宋体" w:cs="宋体"/>
          <w:color w:val="auto"/>
          <w:highlight w:val="none"/>
        </w:rPr>
        <w:t>磋商响应文件的密封和标记</w:t>
      </w:r>
      <w:bookmarkEnd w:id="53"/>
      <w:bookmarkEnd w:id="54"/>
      <w:bookmarkEnd w:id="55"/>
      <w:bookmarkEnd w:id="56"/>
    </w:p>
    <w:p w14:paraId="001C91D2">
      <w:pPr>
        <w:bidi w:val="0"/>
        <w:rPr>
          <w:rFonts w:hint="eastAsia" w:ascii="宋体" w:hAnsi="宋体" w:eastAsia="宋体" w:cs="宋体"/>
          <w:color w:val="auto"/>
          <w:highlight w:val="none"/>
        </w:rPr>
      </w:pPr>
      <w:r>
        <w:rPr>
          <w:rFonts w:hint="eastAsia" w:ascii="宋体" w:hAnsi="宋体" w:eastAsia="宋体" w:cs="宋体"/>
          <w:color w:val="auto"/>
          <w:highlight w:val="none"/>
        </w:rPr>
        <w:t>12.1 磋商响应文件的密封和标记：本次采用政采云平台线上上传磋商响应文件。</w:t>
      </w:r>
    </w:p>
    <w:bookmarkEnd w:id="51"/>
    <w:bookmarkEnd w:id="52"/>
    <w:p w14:paraId="1F1E5E27">
      <w:pPr>
        <w:pStyle w:val="4"/>
        <w:numPr>
          <w:ilvl w:val="2"/>
          <w:numId w:val="0"/>
        </w:numPr>
        <w:bidi w:val="0"/>
        <w:ind w:left="0" w:leftChars="0" w:firstLine="400" w:firstLineChars="0"/>
        <w:rPr>
          <w:rFonts w:hint="eastAsia" w:ascii="宋体" w:hAnsi="宋体" w:eastAsia="宋体" w:cs="宋体"/>
          <w:color w:val="auto"/>
          <w:highlight w:val="none"/>
        </w:rPr>
      </w:pPr>
      <w:bookmarkStart w:id="57" w:name="_Toc412617732"/>
      <w:bookmarkStart w:id="58" w:name="_Toc27607"/>
      <w:bookmarkStart w:id="59" w:name="_Toc373392583"/>
      <w:bookmarkStart w:id="60" w:name="_Toc325726017"/>
      <w:bookmarkStart w:id="61" w:name="_Toc371090030"/>
      <w:bookmarkStart w:id="62" w:name="_Toc376936749"/>
      <w:r>
        <w:rPr>
          <w:rFonts w:hint="eastAsia" w:ascii="宋体" w:hAnsi="宋体" w:eastAsia="宋体" w:cs="宋体"/>
          <w:b/>
          <w:color w:val="auto"/>
          <w:kern w:val="2"/>
          <w:sz w:val="30"/>
          <w:szCs w:val="30"/>
          <w:highlight w:val="none"/>
          <w:lang w:val="en-US" w:eastAsia="zh-CN" w:bidi="ar-SA"/>
        </w:rPr>
        <w:t>13．</w:t>
      </w:r>
      <w:r>
        <w:rPr>
          <w:rFonts w:hint="eastAsia" w:ascii="宋体" w:hAnsi="宋体" w:eastAsia="宋体" w:cs="宋体"/>
          <w:color w:val="auto"/>
          <w:highlight w:val="none"/>
        </w:rPr>
        <w:t>递送磋商响应文件的地点、截止日期</w:t>
      </w:r>
      <w:bookmarkEnd w:id="57"/>
      <w:bookmarkEnd w:id="58"/>
      <w:bookmarkEnd w:id="59"/>
      <w:bookmarkEnd w:id="60"/>
    </w:p>
    <w:p w14:paraId="2DC5E2A6">
      <w:pPr>
        <w:bidi w:val="0"/>
        <w:rPr>
          <w:rFonts w:hint="eastAsia" w:ascii="宋体" w:hAnsi="宋体" w:eastAsia="宋体" w:cs="宋体"/>
          <w:color w:val="auto"/>
          <w:highlight w:val="none"/>
        </w:rPr>
      </w:pPr>
      <w:r>
        <w:rPr>
          <w:rFonts w:hint="eastAsia" w:ascii="宋体" w:hAnsi="宋体" w:eastAsia="宋体" w:cs="宋体"/>
          <w:color w:val="auto"/>
          <w:highlight w:val="none"/>
        </w:rPr>
        <w:t>13.1磋商响应文件的递交地点与磋商地点相同。</w:t>
      </w:r>
    </w:p>
    <w:p w14:paraId="13C326A1">
      <w:pPr>
        <w:bidi w:val="0"/>
        <w:rPr>
          <w:rFonts w:hint="eastAsia" w:ascii="宋体" w:hAnsi="宋体" w:eastAsia="宋体" w:cs="宋体"/>
          <w:color w:val="auto"/>
          <w:highlight w:val="none"/>
        </w:rPr>
      </w:pPr>
      <w:r>
        <w:rPr>
          <w:rFonts w:hint="eastAsia" w:ascii="宋体" w:hAnsi="宋体" w:eastAsia="宋体" w:cs="宋体"/>
          <w:color w:val="auto"/>
          <w:highlight w:val="none"/>
        </w:rPr>
        <w:t>13.2所有磋商响应文件都必须按“磋商须知前附表”中规定的磋商截止时间之前上传至政采云平台。</w:t>
      </w:r>
    </w:p>
    <w:p w14:paraId="6A7DF39A">
      <w:pPr>
        <w:bidi w:val="0"/>
        <w:rPr>
          <w:rFonts w:hint="eastAsia" w:ascii="宋体" w:hAnsi="宋体" w:eastAsia="宋体" w:cs="宋体"/>
          <w:color w:val="auto"/>
          <w:highlight w:val="none"/>
        </w:rPr>
      </w:pPr>
      <w:r>
        <w:rPr>
          <w:rFonts w:hint="eastAsia" w:ascii="宋体" w:hAnsi="宋体" w:eastAsia="宋体" w:cs="宋体"/>
          <w:color w:val="auto"/>
          <w:highlight w:val="none"/>
        </w:rPr>
        <w:t>13.3采购代理机构将拒绝接受在磋商截止时间之后上传的磋商响应文件。</w:t>
      </w:r>
    </w:p>
    <w:p w14:paraId="5C47B8B5">
      <w:pPr>
        <w:pStyle w:val="4"/>
        <w:numPr>
          <w:ilvl w:val="2"/>
          <w:numId w:val="0"/>
        </w:numPr>
        <w:bidi w:val="0"/>
        <w:ind w:left="0" w:leftChars="0" w:firstLine="400" w:firstLineChars="0"/>
        <w:rPr>
          <w:rFonts w:hint="eastAsia" w:ascii="宋体" w:hAnsi="宋体" w:eastAsia="宋体" w:cs="宋体"/>
          <w:color w:val="auto"/>
          <w:highlight w:val="none"/>
        </w:rPr>
      </w:pPr>
      <w:bookmarkStart w:id="63" w:name="_Toc7228"/>
      <w:r>
        <w:rPr>
          <w:rFonts w:hint="eastAsia" w:ascii="宋体" w:hAnsi="宋体" w:eastAsia="宋体" w:cs="宋体"/>
          <w:b/>
          <w:color w:val="auto"/>
          <w:kern w:val="2"/>
          <w:sz w:val="30"/>
          <w:szCs w:val="30"/>
          <w:highlight w:val="none"/>
          <w:lang w:val="en-US" w:eastAsia="zh-CN" w:bidi="ar-SA"/>
        </w:rPr>
        <w:t>14．</w:t>
      </w:r>
      <w:r>
        <w:rPr>
          <w:rFonts w:hint="eastAsia" w:ascii="宋体" w:hAnsi="宋体" w:eastAsia="宋体" w:cs="宋体"/>
          <w:color w:val="auto"/>
          <w:highlight w:val="none"/>
        </w:rPr>
        <w:t>磋商响应文件的撤回</w:t>
      </w:r>
      <w:bookmarkEnd w:id="61"/>
      <w:bookmarkEnd w:id="62"/>
      <w:bookmarkEnd w:id="63"/>
    </w:p>
    <w:p w14:paraId="1476FEA3">
      <w:pPr>
        <w:bidi w:val="0"/>
        <w:rPr>
          <w:rFonts w:hint="eastAsia" w:ascii="宋体" w:hAnsi="宋体" w:eastAsia="宋体" w:cs="宋体"/>
          <w:color w:val="auto"/>
          <w:highlight w:val="none"/>
        </w:rPr>
      </w:pPr>
      <w:r>
        <w:rPr>
          <w:rFonts w:hint="eastAsia" w:ascii="宋体" w:hAnsi="宋体" w:eastAsia="宋体" w:cs="宋体"/>
          <w:color w:val="auto"/>
          <w:highlight w:val="none"/>
        </w:rPr>
        <w:t>允许</w:t>
      </w:r>
      <w:r>
        <w:rPr>
          <w:rFonts w:hint="eastAsia" w:ascii="宋体" w:hAnsi="宋体" w:eastAsia="宋体" w:cs="宋体"/>
          <w:color w:val="auto"/>
          <w:highlight w:val="none"/>
          <w:lang w:eastAsia="zh-CN"/>
        </w:rPr>
        <w:t>磋商供应商</w:t>
      </w:r>
      <w:r>
        <w:rPr>
          <w:rFonts w:hint="eastAsia" w:ascii="宋体" w:hAnsi="宋体" w:eastAsia="宋体" w:cs="宋体"/>
          <w:color w:val="auto"/>
          <w:highlight w:val="none"/>
        </w:rPr>
        <w:t>在提交最后报价之前声明撤回磋商响应文件，但提交最后报价之后不得撤回其投标。</w:t>
      </w:r>
    </w:p>
    <w:p w14:paraId="3751BCD5">
      <w:pPr>
        <w:pStyle w:val="5"/>
        <w:bidi w:val="0"/>
        <w:rPr>
          <w:rFonts w:hint="eastAsia" w:ascii="宋体" w:hAnsi="宋体" w:eastAsia="宋体" w:cs="宋体"/>
          <w:color w:val="auto"/>
          <w:highlight w:val="none"/>
        </w:rPr>
      </w:pPr>
      <w:bookmarkStart w:id="64" w:name="_Toc376936750"/>
      <w:bookmarkStart w:id="65" w:name="_Toc325726019"/>
      <w:bookmarkStart w:id="66" w:name="_Toc7613"/>
      <w:r>
        <w:rPr>
          <w:rFonts w:hint="eastAsia" w:ascii="宋体" w:hAnsi="宋体" w:eastAsia="宋体" w:cs="宋体"/>
          <w:color w:val="auto"/>
          <w:highlight w:val="none"/>
        </w:rPr>
        <w:t>五、</w:t>
      </w:r>
      <w:bookmarkEnd w:id="64"/>
      <w:bookmarkEnd w:id="65"/>
      <w:r>
        <w:rPr>
          <w:rFonts w:hint="eastAsia" w:ascii="宋体" w:hAnsi="宋体" w:eastAsia="宋体" w:cs="宋体"/>
          <w:color w:val="auto"/>
          <w:highlight w:val="none"/>
        </w:rPr>
        <w:t>磋商过程</w:t>
      </w:r>
      <w:bookmarkEnd w:id="66"/>
    </w:p>
    <w:p w14:paraId="5E09E33C">
      <w:pPr>
        <w:pStyle w:val="4"/>
        <w:numPr>
          <w:ilvl w:val="2"/>
          <w:numId w:val="0"/>
        </w:numPr>
        <w:bidi w:val="0"/>
        <w:ind w:left="0" w:leftChars="0" w:firstLine="400" w:firstLineChars="0"/>
        <w:rPr>
          <w:rFonts w:hint="eastAsia" w:ascii="宋体" w:hAnsi="宋体" w:eastAsia="宋体" w:cs="宋体"/>
          <w:color w:val="auto"/>
          <w:highlight w:val="none"/>
        </w:rPr>
      </w:pPr>
      <w:bookmarkStart w:id="67" w:name="_Toc16535"/>
      <w:r>
        <w:rPr>
          <w:rFonts w:hint="eastAsia" w:ascii="宋体" w:hAnsi="宋体" w:eastAsia="宋体" w:cs="宋体"/>
          <w:b/>
          <w:color w:val="auto"/>
          <w:kern w:val="2"/>
          <w:sz w:val="30"/>
          <w:szCs w:val="30"/>
          <w:highlight w:val="none"/>
          <w:lang w:val="en-US" w:eastAsia="zh-CN" w:bidi="ar-SA"/>
        </w:rPr>
        <w:t>15．</w:t>
      </w:r>
      <w:r>
        <w:rPr>
          <w:rFonts w:hint="eastAsia" w:ascii="宋体" w:hAnsi="宋体" w:eastAsia="宋体" w:cs="宋体"/>
          <w:color w:val="auto"/>
          <w:highlight w:val="none"/>
        </w:rPr>
        <w:t>磋商过程</w:t>
      </w:r>
      <w:bookmarkEnd w:id="67"/>
    </w:p>
    <w:p w14:paraId="7B00FE9F">
      <w:pPr>
        <w:bidi w:val="0"/>
        <w:rPr>
          <w:rFonts w:hint="eastAsia" w:ascii="宋体" w:hAnsi="宋体" w:eastAsia="宋体" w:cs="宋体"/>
          <w:color w:val="auto"/>
          <w:highlight w:val="none"/>
        </w:rPr>
      </w:pPr>
      <w:r>
        <w:rPr>
          <w:rFonts w:hint="eastAsia" w:ascii="宋体" w:hAnsi="宋体" w:eastAsia="宋体" w:cs="宋体"/>
          <w:color w:val="auto"/>
          <w:highlight w:val="none"/>
        </w:rPr>
        <w:t>15.1采购代理机构按本磋商文件中确定的时间和地点组织本项目的磋商活动。</w:t>
      </w:r>
    </w:p>
    <w:p w14:paraId="49D4F3F5">
      <w:pPr>
        <w:bidi w:val="0"/>
        <w:rPr>
          <w:rFonts w:hint="eastAsia" w:ascii="宋体" w:hAnsi="宋体" w:eastAsia="宋体" w:cs="宋体"/>
          <w:color w:val="auto"/>
          <w:highlight w:val="none"/>
        </w:rPr>
      </w:pPr>
      <w:r>
        <w:rPr>
          <w:rFonts w:hint="eastAsia" w:ascii="宋体" w:hAnsi="宋体" w:eastAsia="宋体" w:cs="宋体"/>
          <w:color w:val="auto"/>
          <w:highlight w:val="none"/>
        </w:rPr>
        <w:t>15.2  磋商时，磋商响应文件中大写金额与小写金额不一致的，以大写金额为准；总价金额与按单价汇总金额不一致的，以单价汇总金额计算结果为准</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单价金额小数点有明显错位的，以总价为准，并修改单价；对不同文字文本磋商响应文件的解释发生异议的，以中文文本为准。</w:t>
      </w:r>
    </w:p>
    <w:p w14:paraId="4DA35E05">
      <w:pPr>
        <w:bidi w:val="0"/>
        <w:rPr>
          <w:rFonts w:hint="eastAsia" w:ascii="宋体" w:hAnsi="宋体" w:eastAsia="宋体" w:cs="宋体"/>
          <w:color w:val="auto"/>
          <w:highlight w:val="none"/>
        </w:rPr>
      </w:pPr>
      <w:r>
        <w:rPr>
          <w:rFonts w:hint="eastAsia" w:ascii="宋体" w:hAnsi="宋体" w:eastAsia="宋体" w:cs="宋体"/>
          <w:color w:val="auto"/>
          <w:highlight w:val="none"/>
        </w:rPr>
        <w:t>15.3磋商工作由采购代理机构组织，采购人、采购监管、纪检监察等有关方面代表可根据采购项目的具体情况列席。</w:t>
      </w:r>
    </w:p>
    <w:p w14:paraId="7F9859D5">
      <w:pPr>
        <w:bidi w:val="0"/>
        <w:rPr>
          <w:rFonts w:hint="eastAsia" w:ascii="宋体" w:hAnsi="宋体" w:eastAsia="宋体" w:cs="宋体"/>
          <w:color w:val="auto"/>
          <w:highlight w:val="none"/>
        </w:rPr>
      </w:pPr>
      <w:r>
        <w:rPr>
          <w:rFonts w:hint="eastAsia" w:ascii="宋体" w:hAnsi="宋体" w:eastAsia="宋体" w:cs="宋体"/>
          <w:color w:val="auto"/>
          <w:highlight w:val="none"/>
        </w:rPr>
        <w:t>15.4磋商过程有专人记录，并存档备查。</w:t>
      </w:r>
      <w:bookmarkStart w:id="68" w:name="_Toc325726021"/>
      <w:bookmarkStart w:id="69" w:name="_Toc376936752"/>
    </w:p>
    <w:p w14:paraId="62EB2B19">
      <w:pPr>
        <w:bidi w:val="0"/>
        <w:rPr>
          <w:rFonts w:hint="eastAsia" w:ascii="宋体" w:hAnsi="宋体" w:eastAsia="宋体" w:cs="宋体"/>
          <w:color w:val="auto"/>
          <w:highlight w:val="none"/>
        </w:rPr>
      </w:pPr>
      <w:r>
        <w:rPr>
          <w:rFonts w:hint="eastAsia" w:ascii="宋体" w:hAnsi="宋体" w:eastAsia="宋体" w:cs="宋体"/>
          <w:color w:val="auto"/>
          <w:highlight w:val="none"/>
        </w:rPr>
        <w:t>15.5磋商报价不能超过磋商文件中规定的最高限价。</w:t>
      </w:r>
    </w:p>
    <w:p w14:paraId="5E9848DF">
      <w:pPr>
        <w:bidi w:val="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15.6响应文件解密时间为30分钟，</w:t>
      </w:r>
      <w:r>
        <w:rPr>
          <w:rFonts w:hint="eastAsia" w:ascii="宋体" w:hAnsi="宋体" w:eastAsia="宋体" w:cs="宋体"/>
          <w:color w:val="auto"/>
          <w:highlight w:val="none"/>
        </w:rPr>
        <w:t>开</w:t>
      </w:r>
      <w:r>
        <w:rPr>
          <w:rFonts w:hint="eastAsia" w:ascii="宋体" w:hAnsi="宋体" w:eastAsia="宋体" w:cs="宋体"/>
          <w:color w:val="auto"/>
          <w:highlight w:val="none"/>
          <w:lang w:val="en-US" w:eastAsia="zh-CN"/>
        </w:rPr>
        <w:t>启</w:t>
      </w:r>
      <w:r>
        <w:rPr>
          <w:rFonts w:hint="eastAsia" w:ascii="宋体" w:hAnsi="宋体" w:eastAsia="宋体" w:cs="宋体"/>
          <w:color w:val="auto"/>
          <w:highlight w:val="none"/>
        </w:rPr>
        <w:t>后</w:t>
      </w:r>
      <w:r>
        <w:rPr>
          <w:rFonts w:hint="eastAsia" w:ascii="宋体" w:hAnsi="宋体" w:eastAsia="宋体" w:cs="宋体"/>
          <w:color w:val="auto"/>
          <w:highlight w:val="none"/>
          <w:lang w:val="en-US" w:eastAsia="zh-CN"/>
        </w:rPr>
        <w:t>供应商</w:t>
      </w:r>
      <w:r>
        <w:rPr>
          <w:rFonts w:hint="eastAsia" w:ascii="宋体" w:hAnsi="宋体" w:eastAsia="宋体" w:cs="宋体"/>
          <w:color w:val="auto"/>
          <w:highlight w:val="none"/>
        </w:rPr>
        <w:t>必须在规定的时间内解密文件，因</w:t>
      </w:r>
      <w:r>
        <w:rPr>
          <w:rFonts w:hint="eastAsia" w:ascii="宋体" w:hAnsi="宋体" w:eastAsia="宋体" w:cs="宋体"/>
          <w:color w:val="auto"/>
          <w:highlight w:val="none"/>
          <w:lang w:val="en-US" w:eastAsia="zh-CN"/>
        </w:rPr>
        <w:t>供应商</w:t>
      </w:r>
      <w:r>
        <w:rPr>
          <w:rFonts w:hint="eastAsia" w:ascii="宋体" w:hAnsi="宋体" w:eastAsia="宋体" w:cs="宋体"/>
          <w:color w:val="auto"/>
          <w:highlight w:val="none"/>
        </w:rPr>
        <w:t>原因未能按时完成解密、或上传的</w:t>
      </w:r>
      <w:r>
        <w:rPr>
          <w:rFonts w:hint="eastAsia" w:ascii="宋体" w:hAnsi="宋体" w:eastAsia="宋体" w:cs="宋体"/>
          <w:color w:val="auto"/>
          <w:highlight w:val="none"/>
          <w:lang w:val="en-US" w:eastAsia="zh-CN"/>
        </w:rPr>
        <w:t>响应</w:t>
      </w:r>
      <w:r>
        <w:rPr>
          <w:rFonts w:hint="eastAsia" w:ascii="宋体" w:hAnsi="宋体" w:eastAsia="宋体" w:cs="宋体"/>
          <w:color w:val="auto"/>
          <w:highlight w:val="none"/>
        </w:rPr>
        <w:t>文件损坏无法正常打开的，将会被视为无效投标。</w:t>
      </w:r>
    </w:p>
    <w:p w14:paraId="5B5EB62A">
      <w:pPr>
        <w:pStyle w:val="5"/>
        <w:bidi w:val="0"/>
        <w:rPr>
          <w:rFonts w:hint="eastAsia" w:ascii="宋体" w:hAnsi="宋体" w:eastAsia="宋体" w:cs="宋体"/>
          <w:color w:val="auto"/>
          <w:highlight w:val="none"/>
        </w:rPr>
      </w:pPr>
      <w:bookmarkStart w:id="70" w:name="_Toc932"/>
      <w:r>
        <w:rPr>
          <w:rFonts w:hint="eastAsia" w:ascii="宋体" w:hAnsi="宋体" w:eastAsia="宋体" w:cs="宋体"/>
          <w:color w:val="auto"/>
          <w:highlight w:val="none"/>
        </w:rPr>
        <w:t>六、磋商程序及方法</w:t>
      </w:r>
      <w:bookmarkEnd w:id="68"/>
      <w:bookmarkEnd w:id="69"/>
      <w:bookmarkEnd w:id="70"/>
    </w:p>
    <w:p w14:paraId="0B236F7B">
      <w:pPr>
        <w:pStyle w:val="4"/>
        <w:numPr>
          <w:ilvl w:val="2"/>
          <w:numId w:val="0"/>
        </w:numPr>
        <w:bidi w:val="0"/>
        <w:ind w:left="0" w:leftChars="0" w:firstLine="400" w:firstLineChars="0"/>
        <w:rPr>
          <w:rFonts w:hint="eastAsia" w:ascii="宋体" w:hAnsi="宋体" w:eastAsia="宋体" w:cs="宋体"/>
          <w:color w:val="auto"/>
          <w:highlight w:val="none"/>
        </w:rPr>
      </w:pPr>
      <w:bookmarkStart w:id="71" w:name="_Toc4768"/>
      <w:bookmarkStart w:id="72" w:name="_Toc376936753"/>
      <w:bookmarkStart w:id="73" w:name="_Toc325726022"/>
      <w:r>
        <w:rPr>
          <w:rFonts w:hint="eastAsia" w:ascii="宋体" w:hAnsi="宋体" w:eastAsia="宋体" w:cs="宋体"/>
          <w:b/>
          <w:color w:val="auto"/>
          <w:kern w:val="2"/>
          <w:sz w:val="30"/>
          <w:szCs w:val="30"/>
          <w:highlight w:val="none"/>
          <w:lang w:val="en-US" w:eastAsia="zh-CN" w:bidi="ar-SA"/>
        </w:rPr>
        <w:t>16．</w:t>
      </w:r>
      <w:r>
        <w:rPr>
          <w:rFonts w:hint="eastAsia" w:ascii="宋体" w:hAnsi="宋体" w:eastAsia="宋体" w:cs="宋体"/>
          <w:color w:val="auto"/>
          <w:highlight w:val="none"/>
        </w:rPr>
        <w:t>磋商小组</w:t>
      </w:r>
      <w:bookmarkEnd w:id="71"/>
      <w:bookmarkEnd w:id="72"/>
      <w:bookmarkEnd w:id="73"/>
    </w:p>
    <w:p w14:paraId="71443209">
      <w:pPr>
        <w:bidi w:val="0"/>
        <w:rPr>
          <w:rFonts w:hint="eastAsia" w:ascii="宋体" w:hAnsi="宋体" w:eastAsia="宋体" w:cs="宋体"/>
          <w:color w:val="auto"/>
          <w:highlight w:val="none"/>
        </w:rPr>
      </w:pPr>
      <w:r>
        <w:rPr>
          <w:rFonts w:hint="eastAsia" w:ascii="宋体" w:hAnsi="宋体" w:eastAsia="宋体" w:cs="宋体"/>
          <w:color w:val="auto"/>
          <w:highlight w:val="none"/>
        </w:rPr>
        <w:t>16.1 采购代理机构将根据采购项目的特点依法组建磋商小组，其成员由具有一定专业水平的技术、经济等方面的专家和采购人代表等三人以上单数组成。其中技术、经济等方面的专家不少于成员总数的三分之二。</w:t>
      </w:r>
    </w:p>
    <w:p w14:paraId="3A82E56E">
      <w:pPr>
        <w:bidi w:val="0"/>
        <w:rPr>
          <w:rFonts w:hint="eastAsia" w:ascii="宋体" w:hAnsi="宋体" w:eastAsia="宋体" w:cs="宋体"/>
          <w:color w:val="auto"/>
          <w:highlight w:val="none"/>
        </w:rPr>
      </w:pPr>
      <w:r>
        <w:rPr>
          <w:rFonts w:hint="eastAsia" w:ascii="宋体" w:hAnsi="宋体" w:eastAsia="宋体" w:cs="宋体"/>
          <w:color w:val="auto"/>
          <w:highlight w:val="none"/>
        </w:rPr>
        <w:t>16.2磋商由采购代理机构负责组织，具体磋商事务由依法组建的磋商小组负责，并独立履行下列职责：</w:t>
      </w:r>
    </w:p>
    <w:p w14:paraId="34567E19">
      <w:pPr>
        <w:bidi w:val="0"/>
        <w:rPr>
          <w:rFonts w:hint="eastAsia" w:ascii="宋体" w:hAnsi="宋体" w:eastAsia="宋体" w:cs="宋体"/>
          <w:color w:val="auto"/>
          <w:highlight w:val="none"/>
        </w:rPr>
      </w:pPr>
      <w:r>
        <w:rPr>
          <w:rFonts w:hint="eastAsia" w:ascii="宋体" w:hAnsi="宋体" w:eastAsia="宋体" w:cs="宋体"/>
          <w:color w:val="auto"/>
          <w:highlight w:val="none"/>
        </w:rPr>
        <w:t>（1）审查磋商响应文件是否符合磋商文件要求，并作出评价；</w:t>
      </w:r>
    </w:p>
    <w:p w14:paraId="1F78E3E0">
      <w:pPr>
        <w:bidi w:val="0"/>
        <w:rPr>
          <w:rFonts w:hint="eastAsia" w:ascii="宋体" w:hAnsi="宋体" w:eastAsia="宋体" w:cs="宋体"/>
          <w:color w:val="auto"/>
          <w:highlight w:val="none"/>
        </w:rPr>
      </w:pPr>
      <w:r>
        <w:rPr>
          <w:rFonts w:hint="eastAsia" w:ascii="宋体" w:hAnsi="宋体" w:eastAsia="宋体" w:cs="宋体"/>
          <w:color w:val="auto"/>
          <w:highlight w:val="none"/>
        </w:rPr>
        <w:t>（2）要求</w:t>
      </w:r>
      <w:r>
        <w:rPr>
          <w:rFonts w:hint="eastAsia" w:ascii="宋体" w:hAnsi="宋体" w:eastAsia="宋体" w:cs="宋体"/>
          <w:color w:val="auto"/>
          <w:highlight w:val="none"/>
          <w:lang w:eastAsia="zh-CN"/>
        </w:rPr>
        <w:t>磋商供应商</w:t>
      </w:r>
      <w:r>
        <w:rPr>
          <w:rFonts w:hint="eastAsia" w:ascii="宋体" w:hAnsi="宋体" w:eastAsia="宋体" w:cs="宋体"/>
          <w:color w:val="auto"/>
          <w:highlight w:val="none"/>
        </w:rPr>
        <w:t>对磋商响应文件有关事项作出解释或澄清；</w:t>
      </w:r>
    </w:p>
    <w:p w14:paraId="5177DF9F">
      <w:pPr>
        <w:bidi w:val="0"/>
        <w:rPr>
          <w:rFonts w:hint="eastAsia" w:ascii="宋体" w:hAnsi="宋体" w:eastAsia="宋体" w:cs="宋体"/>
          <w:color w:val="auto"/>
          <w:highlight w:val="none"/>
        </w:rPr>
      </w:pPr>
      <w:r>
        <w:rPr>
          <w:rFonts w:hint="eastAsia" w:ascii="宋体" w:hAnsi="宋体" w:eastAsia="宋体" w:cs="宋体"/>
          <w:color w:val="auto"/>
          <w:highlight w:val="none"/>
        </w:rPr>
        <w:t>（3）推荐预成交候选供应商；</w:t>
      </w:r>
    </w:p>
    <w:p w14:paraId="4DF4A622">
      <w:pPr>
        <w:bidi w:val="0"/>
        <w:rPr>
          <w:rFonts w:hint="eastAsia" w:ascii="宋体" w:hAnsi="宋体" w:eastAsia="宋体" w:cs="宋体"/>
          <w:color w:val="auto"/>
          <w:highlight w:val="none"/>
        </w:rPr>
      </w:pPr>
      <w:r>
        <w:rPr>
          <w:rFonts w:hint="eastAsia" w:ascii="宋体" w:hAnsi="宋体" w:eastAsia="宋体" w:cs="宋体"/>
          <w:color w:val="auto"/>
          <w:highlight w:val="none"/>
        </w:rPr>
        <w:t>（4）对非法干预评标工作的人员和机构进行举报或投诉。</w:t>
      </w:r>
    </w:p>
    <w:p w14:paraId="526BA334">
      <w:pPr>
        <w:bidi w:val="0"/>
        <w:rPr>
          <w:rFonts w:hint="eastAsia" w:ascii="宋体" w:hAnsi="宋体" w:eastAsia="宋体" w:cs="宋体"/>
          <w:color w:val="auto"/>
          <w:highlight w:val="none"/>
        </w:rPr>
      </w:pPr>
      <w:r>
        <w:rPr>
          <w:rFonts w:hint="eastAsia" w:ascii="宋体" w:hAnsi="宋体" w:eastAsia="宋体" w:cs="宋体"/>
          <w:color w:val="auto"/>
          <w:highlight w:val="none"/>
        </w:rPr>
        <w:t>16.3磋商小组应遵守并履行下列义务：</w:t>
      </w:r>
    </w:p>
    <w:p w14:paraId="71BC2199">
      <w:pPr>
        <w:bidi w:val="0"/>
        <w:rPr>
          <w:rFonts w:hint="eastAsia" w:ascii="宋体" w:hAnsi="宋体" w:eastAsia="宋体" w:cs="宋体"/>
          <w:color w:val="auto"/>
          <w:highlight w:val="none"/>
        </w:rPr>
      </w:pPr>
      <w:r>
        <w:rPr>
          <w:rFonts w:hint="eastAsia" w:ascii="宋体" w:hAnsi="宋体" w:eastAsia="宋体" w:cs="宋体"/>
          <w:color w:val="auto"/>
          <w:highlight w:val="none"/>
        </w:rPr>
        <w:t>（1）遵纪守法，客观、公正、廉洁地履行职责；</w:t>
      </w:r>
    </w:p>
    <w:p w14:paraId="3681F792">
      <w:pPr>
        <w:bidi w:val="0"/>
        <w:rPr>
          <w:rFonts w:hint="eastAsia" w:ascii="宋体" w:hAnsi="宋体" w:eastAsia="宋体" w:cs="宋体"/>
          <w:color w:val="auto"/>
          <w:highlight w:val="none"/>
        </w:rPr>
      </w:pPr>
      <w:r>
        <w:rPr>
          <w:rFonts w:hint="eastAsia" w:ascii="宋体" w:hAnsi="宋体" w:eastAsia="宋体" w:cs="宋体"/>
          <w:color w:val="auto"/>
          <w:highlight w:val="none"/>
        </w:rPr>
        <w:t>（2）按照磋商文件规定的评审方法和评审标准进行评审，对评审意见承担磋商小组成员责任；</w:t>
      </w:r>
    </w:p>
    <w:p w14:paraId="7AF71694">
      <w:pPr>
        <w:bidi w:val="0"/>
        <w:rPr>
          <w:rFonts w:hint="eastAsia" w:ascii="宋体" w:hAnsi="宋体" w:eastAsia="宋体" w:cs="宋体"/>
          <w:color w:val="auto"/>
          <w:highlight w:val="none"/>
        </w:rPr>
      </w:pPr>
      <w:r>
        <w:rPr>
          <w:rFonts w:hint="eastAsia" w:ascii="宋体" w:hAnsi="宋体" w:eastAsia="宋体" w:cs="宋体"/>
          <w:color w:val="auto"/>
          <w:highlight w:val="none"/>
        </w:rPr>
        <w:t>（3）对磋商响应文件、磋商情况和磋商中获悉的商业秘密保密；</w:t>
      </w:r>
    </w:p>
    <w:p w14:paraId="1E24EA39">
      <w:pPr>
        <w:bidi w:val="0"/>
        <w:rPr>
          <w:rFonts w:hint="eastAsia" w:ascii="宋体" w:hAnsi="宋体" w:eastAsia="宋体" w:cs="宋体"/>
          <w:color w:val="auto"/>
          <w:highlight w:val="none"/>
        </w:rPr>
      </w:pPr>
      <w:r>
        <w:rPr>
          <w:rFonts w:hint="eastAsia" w:ascii="宋体" w:hAnsi="宋体" w:eastAsia="宋体" w:cs="宋体"/>
          <w:color w:val="auto"/>
          <w:highlight w:val="none"/>
        </w:rPr>
        <w:t>（4）参与磋商报告的起草；</w:t>
      </w:r>
    </w:p>
    <w:p w14:paraId="28D25968">
      <w:pPr>
        <w:bidi w:val="0"/>
        <w:rPr>
          <w:rFonts w:hint="eastAsia" w:ascii="宋体" w:hAnsi="宋体" w:eastAsia="宋体" w:cs="宋体"/>
          <w:color w:val="auto"/>
          <w:highlight w:val="none"/>
        </w:rPr>
      </w:pPr>
      <w:r>
        <w:rPr>
          <w:rFonts w:hint="eastAsia" w:ascii="宋体" w:hAnsi="宋体" w:eastAsia="宋体" w:cs="宋体"/>
          <w:color w:val="auto"/>
          <w:highlight w:val="none"/>
        </w:rPr>
        <w:t>（5）解答</w:t>
      </w:r>
      <w:r>
        <w:rPr>
          <w:rFonts w:hint="eastAsia" w:ascii="宋体" w:hAnsi="宋体" w:eastAsia="宋体" w:cs="宋体"/>
          <w:color w:val="auto"/>
          <w:highlight w:val="none"/>
          <w:lang w:eastAsia="zh-CN"/>
        </w:rPr>
        <w:t>磋商供应商</w:t>
      </w:r>
      <w:r>
        <w:rPr>
          <w:rFonts w:hint="eastAsia" w:ascii="宋体" w:hAnsi="宋体" w:eastAsia="宋体" w:cs="宋体"/>
          <w:color w:val="auto"/>
          <w:highlight w:val="none"/>
        </w:rPr>
        <w:t>及有关方面的质疑；</w:t>
      </w:r>
    </w:p>
    <w:p w14:paraId="7D27F86F">
      <w:pPr>
        <w:bidi w:val="0"/>
        <w:rPr>
          <w:rFonts w:hint="eastAsia" w:ascii="宋体" w:hAnsi="宋体" w:eastAsia="宋体" w:cs="宋体"/>
          <w:color w:val="auto"/>
          <w:highlight w:val="none"/>
        </w:rPr>
      </w:pPr>
      <w:r>
        <w:rPr>
          <w:rFonts w:hint="eastAsia" w:ascii="宋体" w:hAnsi="宋体" w:eastAsia="宋体" w:cs="宋体"/>
          <w:color w:val="auto"/>
          <w:highlight w:val="none"/>
        </w:rPr>
        <w:t>（6）配合纪检部门进行投诉处理工作。</w:t>
      </w:r>
    </w:p>
    <w:p w14:paraId="062FF90E">
      <w:pPr>
        <w:bidi w:val="0"/>
        <w:rPr>
          <w:rFonts w:hint="eastAsia" w:ascii="宋体" w:hAnsi="宋体" w:eastAsia="宋体" w:cs="宋体"/>
          <w:color w:val="auto"/>
          <w:highlight w:val="none"/>
        </w:rPr>
      </w:pPr>
      <w:r>
        <w:rPr>
          <w:rFonts w:hint="eastAsia" w:ascii="宋体" w:hAnsi="宋体" w:eastAsia="宋体" w:cs="宋体"/>
          <w:color w:val="auto"/>
          <w:highlight w:val="none"/>
        </w:rPr>
        <w:t>16.4磋商小组所有成员应当集中与单一供应商分别进行磋商，并给予所有参加磋商的供应商平等的磋商机会。</w:t>
      </w:r>
    </w:p>
    <w:p w14:paraId="245E0218">
      <w:pPr>
        <w:bidi w:val="0"/>
        <w:rPr>
          <w:rFonts w:hint="eastAsia" w:ascii="宋体" w:hAnsi="宋体" w:eastAsia="宋体" w:cs="宋体"/>
          <w:color w:val="auto"/>
          <w:highlight w:val="none"/>
        </w:rPr>
      </w:pPr>
      <w:r>
        <w:rPr>
          <w:rFonts w:hint="eastAsia" w:ascii="宋体" w:hAnsi="宋体" w:eastAsia="宋体" w:cs="宋体"/>
          <w:color w:val="auto"/>
          <w:highlight w:val="none"/>
        </w:rPr>
        <w:t>16.5磋商工作在有关部门的监督和严格保密的情况下依法开展，任何单位和个人不得非法干预、影响磋商工作和磋商结果。</w:t>
      </w:r>
    </w:p>
    <w:p w14:paraId="7656E4E7">
      <w:pPr>
        <w:pStyle w:val="4"/>
        <w:numPr>
          <w:ilvl w:val="2"/>
          <w:numId w:val="0"/>
        </w:numPr>
        <w:bidi w:val="0"/>
        <w:ind w:left="0" w:leftChars="0" w:firstLine="400" w:firstLineChars="0"/>
        <w:rPr>
          <w:rFonts w:hint="eastAsia" w:ascii="宋体" w:hAnsi="宋体" w:eastAsia="宋体" w:cs="宋体"/>
          <w:color w:val="auto"/>
          <w:highlight w:val="none"/>
        </w:rPr>
      </w:pPr>
      <w:bookmarkStart w:id="74" w:name="_Toc376936754"/>
      <w:bookmarkStart w:id="75" w:name="_Toc3190"/>
      <w:bookmarkStart w:id="76" w:name="_Toc325726023"/>
      <w:r>
        <w:rPr>
          <w:rFonts w:hint="eastAsia" w:ascii="宋体" w:hAnsi="宋体" w:eastAsia="宋体" w:cs="宋体"/>
          <w:b/>
          <w:color w:val="auto"/>
          <w:kern w:val="2"/>
          <w:sz w:val="30"/>
          <w:szCs w:val="30"/>
          <w:highlight w:val="none"/>
          <w:lang w:val="en-US" w:eastAsia="zh-CN" w:bidi="ar-SA"/>
        </w:rPr>
        <w:t>17．</w:t>
      </w:r>
      <w:r>
        <w:rPr>
          <w:rFonts w:hint="eastAsia" w:ascii="宋体" w:hAnsi="宋体" w:eastAsia="宋体" w:cs="宋体"/>
          <w:color w:val="auto"/>
          <w:highlight w:val="none"/>
        </w:rPr>
        <w:t>磋商程序</w:t>
      </w:r>
      <w:bookmarkEnd w:id="74"/>
      <w:bookmarkEnd w:id="75"/>
      <w:bookmarkEnd w:id="76"/>
    </w:p>
    <w:p w14:paraId="322DF7FB">
      <w:pPr>
        <w:bidi w:val="0"/>
        <w:rPr>
          <w:rFonts w:hint="eastAsia" w:ascii="宋体" w:hAnsi="宋体" w:eastAsia="宋体" w:cs="宋体"/>
          <w:color w:val="auto"/>
          <w:highlight w:val="none"/>
        </w:rPr>
      </w:pPr>
      <w:r>
        <w:rPr>
          <w:rFonts w:hint="eastAsia" w:ascii="宋体" w:hAnsi="宋体" w:eastAsia="宋体" w:cs="宋体"/>
          <w:color w:val="auto"/>
          <w:highlight w:val="none"/>
        </w:rPr>
        <w:t>17.1进入磋商阶段后，磋商小组成员按照客观、公正、审慎的原则，根据磋商文件规定的评审程序、评审方法和评审标准进行独立开展评审工作，负责审议所有磋商响应文件，并按先初审、后复审的程序对磋商响应文件进行评审、评分。</w:t>
      </w:r>
    </w:p>
    <w:p w14:paraId="3F996D1C">
      <w:pPr>
        <w:bidi w:val="0"/>
        <w:rPr>
          <w:rFonts w:hint="eastAsia" w:ascii="宋体" w:hAnsi="宋体" w:eastAsia="宋体" w:cs="宋体"/>
          <w:color w:val="auto"/>
          <w:highlight w:val="none"/>
        </w:rPr>
      </w:pPr>
      <w:r>
        <w:rPr>
          <w:rFonts w:hint="eastAsia" w:ascii="宋体" w:hAnsi="宋体" w:eastAsia="宋体" w:cs="宋体"/>
          <w:color w:val="auto"/>
          <w:highlight w:val="none"/>
        </w:rPr>
        <w:t>17.2初审阶段为资格性审查和符合性审查。磋商响应文件在响应磋商文件要求方面出现的偏离，分为实质性偏离和非实质性偏离。</w:t>
      </w:r>
    </w:p>
    <w:p w14:paraId="085B634E">
      <w:pPr>
        <w:bidi w:val="0"/>
        <w:rPr>
          <w:rFonts w:hint="eastAsia" w:ascii="宋体" w:hAnsi="宋体" w:eastAsia="宋体" w:cs="宋体"/>
          <w:color w:val="auto"/>
          <w:highlight w:val="none"/>
        </w:rPr>
      </w:pPr>
      <w:r>
        <w:rPr>
          <w:rFonts w:hint="eastAsia" w:ascii="宋体" w:hAnsi="宋体" w:eastAsia="宋体" w:cs="宋体"/>
          <w:color w:val="auto"/>
          <w:highlight w:val="none"/>
        </w:rPr>
        <w:t>17.2.1实质性偏离是指磋商响应文件未能实质性响应磋商文件的要求。以下情况属于实质性偏离，磋商响应文件有下列情况之一的，按无效响应处理。</w:t>
      </w:r>
    </w:p>
    <w:p w14:paraId="02BAE0F8">
      <w:pPr>
        <w:bidi w:val="0"/>
        <w:rPr>
          <w:rFonts w:hint="eastAsia" w:ascii="宋体" w:hAnsi="宋体" w:eastAsia="宋体" w:cs="宋体"/>
          <w:color w:val="auto"/>
          <w:highlight w:val="none"/>
        </w:rPr>
      </w:pPr>
      <w:r>
        <w:rPr>
          <w:rFonts w:hint="eastAsia" w:ascii="宋体" w:hAnsi="宋体" w:eastAsia="宋体" w:cs="宋体"/>
          <w:color w:val="auto"/>
          <w:highlight w:val="none"/>
        </w:rPr>
        <w:t>（1）不符合第</w:t>
      </w:r>
      <w:r>
        <w:rPr>
          <w:rFonts w:hint="eastAsia" w:ascii="宋体" w:hAnsi="宋体" w:eastAsia="宋体" w:cs="宋体"/>
          <w:color w:val="auto"/>
          <w:highlight w:val="none"/>
          <w:lang w:val="zh-CN"/>
        </w:rPr>
        <w:t>2</w:t>
      </w:r>
      <w:r>
        <w:rPr>
          <w:rFonts w:hint="eastAsia" w:ascii="宋体" w:hAnsi="宋体" w:eastAsia="宋体" w:cs="宋体"/>
          <w:color w:val="auto"/>
          <w:highlight w:val="none"/>
        </w:rPr>
        <w:t>.</w:t>
      </w:r>
      <w:r>
        <w:rPr>
          <w:rFonts w:hint="eastAsia" w:ascii="宋体" w:hAnsi="宋体" w:eastAsia="宋体" w:cs="宋体"/>
          <w:color w:val="auto"/>
          <w:highlight w:val="none"/>
          <w:lang w:val="zh-CN"/>
        </w:rPr>
        <w:t>2款“合格的磋商供应商”之规定的；</w:t>
      </w:r>
    </w:p>
    <w:p w14:paraId="4F8BEB0E">
      <w:pPr>
        <w:bidi w:val="0"/>
        <w:rPr>
          <w:rFonts w:hint="eastAsia" w:ascii="宋体" w:hAnsi="宋体" w:eastAsia="宋体" w:cs="宋体"/>
          <w:color w:val="auto"/>
          <w:highlight w:val="none"/>
        </w:rPr>
      </w:pPr>
      <w:r>
        <w:rPr>
          <w:rFonts w:hint="eastAsia" w:ascii="宋体" w:hAnsi="宋体" w:eastAsia="宋体" w:cs="宋体"/>
          <w:color w:val="auto"/>
          <w:highlight w:val="none"/>
          <w:lang w:val="zh-CN"/>
        </w:rPr>
        <w:t>（2）未按第10</w:t>
      </w:r>
      <w:r>
        <w:rPr>
          <w:rFonts w:hint="eastAsia" w:ascii="宋体" w:hAnsi="宋体" w:eastAsia="宋体" w:cs="宋体"/>
          <w:color w:val="auto"/>
          <w:highlight w:val="none"/>
        </w:rPr>
        <w:t>.</w:t>
      </w:r>
      <w:r>
        <w:rPr>
          <w:rFonts w:hint="eastAsia" w:ascii="宋体" w:hAnsi="宋体" w:eastAsia="宋体" w:cs="宋体"/>
          <w:color w:val="auto"/>
          <w:highlight w:val="none"/>
          <w:lang w:val="zh-CN"/>
        </w:rPr>
        <w:t>1款（1）-（</w:t>
      </w:r>
      <w:r>
        <w:rPr>
          <w:rFonts w:hint="eastAsia" w:ascii="宋体" w:hAnsi="宋体" w:cs="宋体"/>
          <w:color w:val="auto"/>
          <w:highlight w:val="none"/>
          <w:lang w:val="en-US" w:eastAsia="zh-CN"/>
        </w:rPr>
        <w:t>13</w:t>
      </w:r>
      <w:r>
        <w:rPr>
          <w:rFonts w:hint="eastAsia" w:ascii="宋体" w:hAnsi="宋体" w:eastAsia="宋体" w:cs="宋体"/>
          <w:color w:val="auto"/>
          <w:highlight w:val="none"/>
          <w:lang w:val="zh-CN"/>
        </w:rPr>
        <w:t>）要求提供相关资料的；</w:t>
      </w:r>
    </w:p>
    <w:p w14:paraId="47E3E2EB">
      <w:pPr>
        <w:bidi w:val="0"/>
        <w:rPr>
          <w:rFonts w:hint="eastAsia" w:ascii="宋体" w:hAnsi="宋体" w:eastAsia="宋体" w:cs="宋体"/>
          <w:color w:val="auto"/>
          <w:highlight w:val="none"/>
        </w:rPr>
      </w:pPr>
      <w:r>
        <w:rPr>
          <w:rFonts w:hint="eastAsia" w:ascii="宋体" w:hAnsi="宋体" w:eastAsia="宋体" w:cs="宋体"/>
          <w:color w:val="auto"/>
          <w:highlight w:val="none"/>
        </w:rPr>
        <w:t>（3）磋商响应文件内容没有按磋商文件规定和要求签字、盖章的；</w:t>
      </w:r>
    </w:p>
    <w:p w14:paraId="6D54073F">
      <w:pPr>
        <w:bidi w:val="0"/>
        <w:rPr>
          <w:rFonts w:hint="eastAsia" w:ascii="宋体" w:hAnsi="宋体" w:eastAsia="宋体" w:cs="宋体"/>
          <w:color w:val="auto"/>
          <w:highlight w:val="none"/>
        </w:rPr>
      </w:pPr>
      <w:r>
        <w:rPr>
          <w:rFonts w:hint="eastAsia" w:ascii="宋体" w:hAnsi="宋体" w:eastAsia="宋体" w:cs="宋体"/>
          <w:color w:val="auto"/>
          <w:highlight w:val="none"/>
        </w:rPr>
        <w:t>（4）磋商响应文件编排混乱，且擅自修改磋商文件规定的格式内容的；</w:t>
      </w:r>
    </w:p>
    <w:p w14:paraId="4B576242">
      <w:pPr>
        <w:bidi w:val="0"/>
        <w:rPr>
          <w:rFonts w:hint="eastAsia" w:ascii="宋体" w:hAnsi="宋体" w:eastAsia="宋体" w:cs="宋体"/>
          <w:color w:val="auto"/>
          <w:highlight w:val="none"/>
        </w:rPr>
      </w:pPr>
      <w:r>
        <w:rPr>
          <w:rFonts w:hint="eastAsia" w:ascii="宋体" w:hAnsi="宋体" w:eastAsia="宋体" w:cs="宋体"/>
          <w:color w:val="auto"/>
          <w:highlight w:val="none"/>
        </w:rPr>
        <w:t>（5）项目服务期、磋商有效期、法定代表人授权期限不能满足磋商文件要求的；</w:t>
      </w:r>
    </w:p>
    <w:p w14:paraId="1062F98E">
      <w:pPr>
        <w:bidi w:val="0"/>
        <w:rPr>
          <w:rFonts w:hint="eastAsia" w:ascii="宋体" w:hAnsi="宋体" w:eastAsia="宋体" w:cs="宋体"/>
          <w:color w:val="auto"/>
          <w:highlight w:val="none"/>
        </w:rPr>
      </w:pPr>
      <w:r>
        <w:rPr>
          <w:rFonts w:hint="eastAsia" w:ascii="宋体" w:hAnsi="宋体" w:eastAsia="宋体" w:cs="宋体"/>
          <w:color w:val="auto"/>
          <w:highlight w:val="none"/>
        </w:rPr>
        <w:t>（6）磋商项目的服务内容、服务标准明显不符合采购项目要求的；</w:t>
      </w:r>
    </w:p>
    <w:p w14:paraId="24C22236">
      <w:pPr>
        <w:bidi w:val="0"/>
        <w:rPr>
          <w:rFonts w:hint="eastAsia" w:ascii="宋体" w:hAnsi="宋体" w:eastAsia="宋体" w:cs="宋体"/>
          <w:color w:val="auto"/>
          <w:highlight w:val="none"/>
        </w:rPr>
      </w:pPr>
      <w:r>
        <w:rPr>
          <w:rFonts w:hint="eastAsia" w:ascii="宋体" w:hAnsi="宋体" w:eastAsia="宋体" w:cs="宋体"/>
          <w:color w:val="auto"/>
          <w:highlight w:val="none"/>
        </w:rPr>
        <w:t>（7）磋商响应文件中附有采购人不能接受的条件的；</w:t>
      </w:r>
    </w:p>
    <w:p w14:paraId="1707D4AD">
      <w:pPr>
        <w:bidi w:val="0"/>
        <w:rPr>
          <w:rFonts w:hint="eastAsia" w:ascii="宋体" w:hAnsi="宋体" w:eastAsia="宋体" w:cs="宋体"/>
          <w:color w:val="auto"/>
          <w:highlight w:val="none"/>
        </w:rPr>
      </w:pPr>
      <w:r>
        <w:rPr>
          <w:rFonts w:hint="eastAsia" w:ascii="宋体" w:hAnsi="宋体" w:eastAsia="宋体" w:cs="宋体"/>
          <w:color w:val="auto"/>
          <w:highlight w:val="none"/>
        </w:rPr>
        <w:t>（8）磋商小组认为应按无效响应处理的其他情况；</w:t>
      </w:r>
    </w:p>
    <w:p w14:paraId="3872B608">
      <w:pPr>
        <w:bidi w:val="0"/>
        <w:rPr>
          <w:rFonts w:hint="eastAsia" w:ascii="宋体" w:hAnsi="宋体" w:eastAsia="宋体" w:cs="宋体"/>
          <w:color w:val="auto"/>
          <w:highlight w:val="none"/>
        </w:rPr>
      </w:pPr>
      <w:r>
        <w:rPr>
          <w:rFonts w:hint="eastAsia" w:ascii="宋体" w:hAnsi="宋体" w:eastAsia="宋体" w:cs="宋体"/>
          <w:color w:val="auto"/>
          <w:highlight w:val="none"/>
        </w:rPr>
        <w:t>（9）法律、法规规定的其他情形。</w:t>
      </w:r>
    </w:p>
    <w:p w14:paraId="545F1671">
      <w:pPr>
        <w:bidi w:val="0"/>
        <w:rPr>
          <w:rFonts w:hint="eastAsia" w:ascii="宋体" w:hAnsi="宋体" w:eastAsia="宋体" w:cs="宋体"/>
          <w:color w:val="auto"/>
          <w:highlight w:val="none"/>
        </w:rPr>
      </w:pPr>
      <w:r>
        <w:rPr>
          <w:rFonts w:hint="eastAsia" w:ascii="宋体" w:hAnsi="宋体" w:eastAsia="宋体" w:cs="宋体"/>
          <w:color w:val="auto"/>
          <w:highlight w:val="none"/>
        </w:rPr>
        <w:t>17.2.2非实质性偏离是对磋商响应文件的有效性、完整性和响应程度进行审查时，可以要求供应商对磋商响应文件中含义不明确、同类问题表述不一致或者明显文字和计算错误的内容作出必要的澄清、说明或者补正后这些内容不会改变磋商响应文件的实质性。以下情况属于非实质性偏离：</w:t>
      </w:r>
    </w:p>
    <w:p w14:paraId="45411E52">
      <w:pPr>
        <w:bidi w:val="0"/>
        <w:rPr>
          <w:rFonts w:hint="eastAsia" w:ascii="宋体" w:hAnsi="宋体" w:eastAsia="宋体" w:cs="宋体"/>
          <w:color w:val="auto"/>
          <w:highlight w:val="none"/>
        </w:rPr>
      </w:pPr>
      <w:r>
        <w:rPr>
          <w:rFonts w:hint="eastAsia" w:ascii="宋体" w:hAnsi="宋体" w:eastAsia="宋体" w:cs="宋体"/>
          <w:color w:val="auto"/>
          <w:highlight w:val="none"/>
        </w:rPr>
        <w:t>（1）磋商响应文件文字表述的内容含义不明确；</w:t>
      </w:r>
    </w:p>
    <w:p w14:paraId="3E67D87A">
      <w:pPr>
        <w:bidi w:val="0"/>
        <w:rPr>
          <w:rFonts w:hint="eastAsia" w:ascii="宋体" w:hAnsi="宋体" w:eastAsia="宋体" w:cs="宋体"/>
          <w:color w:val="auto"/>
          <w:highlight w:val="none"/>
        </w:rPr>
      </w:pPr>
      <w:r>
        <w:rPr>
          <w:rFonts w:hint="eastAsia" w:ascii="宋体" w:hAnsi="宋体" w:eastAsia="宋体" w:cs="宋体"/>
          <w:color w:val="auto"/>
          <w:highlight w:val="none"/>
        </w:rPr>
        <w:t>（2）同类问题表述不一致；</w:t>
      </w:r>
    </w:p>
    <w:p w14:paraId="11CB3754">
      <w:pPr>
        <w:bidi w:val="0"/>
        <w:rPr>
          <w:rFonts w:hint="eastAsia" w:ascii="宋体" w:hAnsi="宋体" w:eastAsia="宋体" w:cs="宋体"/>
          <w:color w:val="auto"/>
          <w:highlight w:val="none"/>
        </w:rPr>
      </w:pPr>
      <w:r>
        <w:rPr>
          <w:rFonts w:hint="eastAsia" w:ascii="宋体" w:hAnsi="宋体" w:eastAsia="宋体" w:cs="宋体"/>
          <w:color w:val="auto"/>
          <w:highlight w:val="none"/>
        </w:rPr>
        <w:t>（3）有明显文字和计算错误；</w:t>
      </w:r>
    </w:p>
    <w:p w14:paraId="78ADFFD9">
      <w:pPr>
        <w:bidi w:val="0"/>
        <w:rPr>
          <w:rFonts w:hint="eastAsia" w:ascii="宋体" w:hAnsi="宋体" w:eastAsia="宋体" w:cs="宋体"/>
          <w:color w:val="auto"/>
          <w:highlight w:val="none"/>
        </w:rPr>
      </w:pPr>
      <w:r>
        <w:rPr>
          <w:rFonts w:hint="eastAsia" w:ascii="宋体" w:hAnsi="宋体" w:eastAsia="宋体" w:cs="宋体"/>
          <w:color w:val="auto"/>
          <w:highlight w:val="none"/>
        </w:rPr>
        <w:t>（4）提供的技术信息和数据资料不完整；</w:t>
      </w:r>
    </w:p>
    <w:p w14:paraId="6B912FDC">
      <w:pPr>
        <w:bidi w:val="0"/>
        <w:rPr>
          <w:rFonts w:hint="eastAsia" w:ascii="宋体" w:hAnsi="宋体" w:eastAsia="宋体" w:cs="宋体"/>
          <w:color w:val="auto"/>
          <w:highlight w:val="none"/>
        </w:rPr>
      </w:pPr>
      <w:r>
        <w:rPr>
          <w:rFonts w:hint="eastAsia" w:ascii="宋体" w:hAnsi="宋体" w:eastAsia="宋体" w:cs="宋体"/>
          <w:color w:val="auto"/>
          <w:highlight w:val="none"/>
        </w:rPr>
        <w:t>（5）磋商小组认定的其他非实质性偏离情况。</w:t>
      </w:r>
    </w:p>
    <w:p w14:paraId="278D754B">
      <w:pPr>
        <w:bidi w:val="0"/>
        <w:rPr>
          <w:rFonts w:hint="eastAsia" w:ascii="宋体" w:hAnsi="宋体" w:eastAsia="宋体" w:cs="宋体"/>
          <w:color w:val="auto"/>
          <w:highlight w:val="none"/>
        </w:rPr>
      </w:pPr>
      <w:r>
        <w:rPr>
          <w:rFonts w:hint="eastAsia" w:ascii="宋体" w:hAnsi="宋体" w:eastAsia="宋体" w:cs="宋体"/>
          <w:color w:val="auto"/>
          <w:highlight w:val="none"/>
        </w:rPr>
        <w:t>磋商响应文件有上述情形之一的，磋商小组应当要求</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在规定的时间内予以澄清、说明。澄清说明材料由供应商法定代表人或委托代理人在规定的时间上传至指定地点等候答疑，并对评委提出的质疑做出应答（如不在线则视为自动放弃）。该内容不得超出磋商响应文件的范围或者改变磋商响应文件的实质性内容，并作为磋商响应文件的组成部分。答疑期间，</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拒绝或在规定的时间内未做出澄清、说明，或澄清、说明的内容仍不能说明问题的，磋商小组将按照磋商文件的要求对现有的磋商资料做出评审意见。磋商小组对</w:t>
      </w:r>
      <w:r>
        <w:rPr>
          <w:rFonts w:hint="eastAsia" w:ascii="宋体" w:hAnsi="宋体" w:eastAsia="宋体" w:cs="宋体"/>
          <w:color w:val="auto"/>
          <w:highlight w:val="none"/>
          <w:lang w:eastAsia="zh-CN"/>
        </w:rPr>
        <w:t>磋商供应商</w:t>
      </w:r>
      <w:r>
        <w:rPr>
          <w:rFonts w:hint="eastAsia" w:ascii="宋体" w:hAnsi="宋体" w:eastAsia="宋体" w:cs="宋体"/>
          <w:color w:val="auto"/>
          <w:highlight w:val="none"/>
        </w:rPr>
        <w:t>主动提出的澄清、说明的内容将不予接受。</w:t>
      </w:r>
    </w:p>
    <w:p w14:paraId="45E5B017">
      <w:pPr>
        <w:bidi w:val="0"/>
        <w:rPr>
          <w:rFonts w:hint="eastAsia" w:ascii="宋体" w:hAnsi="宋体" w:eastAsia="宋体" w:cs="宋体"/>
          <w:color w:val="auto"/>
          <w:highlight w:val="none"/>
        </w:rPr>
      </w:pPr>
      <w:r>
        <w:rPr>
          <w:rFonts w:hint="eastAsia" w:ascii="宋体" w:hAnsi="宋体" w:eastAsia="宋体" w:cs="宋体"/>
          <w:color w:val="auto"/>
          <w:highlight w:val="none"/>
        </w:rPr>
        <w:t>17.2.3 在磋商响应文件初审、复审过程中，如果磋商小组成员出现对评审结果有不同意见的，应当以书面形式反映，磋商报告中应注明该不同意见。磋商小组成员拒绝在磋商报告中签字又不书面说明其不同意见和理由的，视为同意磋商结果。</w:t>
      </w:r>
    </w:p>
    <w:p w14:paraId="6B59F8C2">
      <w:pPr>
        <w:bidi w:val="0"/>
        <w:rPr>
          <w:rFonts w:hint="eastAsia" w:ascii="宋体" w:hAnsi="宋体" w:eastAsia="宋体" w:cs="宋体"/>
          <w:color w:val="auto"/>
          <w:highlight w:val="none"/>
        </w:rPr>
      </w:pPr>
      <w:r>
        <w:rPr>
          <w:rFonts w:hint="eastAsia" w:ascii="宋体" w:hAnsi="宋体" w:eastAsia="宋体" w:cs="宋体"/>
          <w:color w:val="auto"/>
          <w:highlight w:val="none"/>
        </w:rPr>
        <w:t>17.3 在磋商过程中，磋商小组可以根据磋商文件和磋商情况实质性变动采购</w:t>
      </w:r>
      <w:r>
        <w:rPr>
          <w:rFonts w:hint="eastAsia" w:ascii="宋体" w:hAnsi="宋体" w:eastAsia="宋体" w:cs="宋体"/>
          <w:color w:val="auto"/>
          <w:highlight w:val="none"/>
          <w:lang w:val="en-US" w:eastAsia="zh-CN"/>
        </w:rPr>
        <w:t>项目</w:t>
      </w:r>
      <w:r>
        <w:rPr>
          <w:rFonts w:hint="eastAsia" w:ascii="宋体" w:hAnsi="宋体" w:eastAsia="宋体" w:cs="宋体"/>
          <w:color w:val="auto"/>
          <w:highlight w:val="none"/>
        </w:rPr>
        <w:t>中的技术、服务要求以及合同草案条款，但不得变动磋商文件中的其他内容。实质性变动的内容，须经采购人代表确认。对磋商文件作出的实质性变动是磋商文件的有效组成部分，磋商小组应及时以书面形式同时通知所有参加磋商的供应商。供应商应当按照磋商文件的变动情况和磋商小组的要求重新提交响应文件，并由其法定代表人或委托代理人签字或者加盖公章。</w:t>
      </w:r>
    </w:p>
    <w:p w14:paraId="5F5527BA">
      <w:pPr>
        <w:bidi w:val="0"/>
        <w:rPr>
          <w:rFonts w:hint="eastAsia" w:ascii="宋体" w:hAnsi="宋体" w:eastAsia="宋体" w:cs="宋体"/>
          <w:color w:val="auto"/>
          <w:highlight w:val="none"/>
        </w:rPr>
      </w:pPr>
      <w:r>
        <w:rPr>
          <w:rFonts w:hint="eastAsia" w:ascii="宋体" w:hAnsi="宋体" w:eastAsia="宋体" w:cs="宋体"/>
          <w:color w:val="auto"/>
          <w:highlight w:val="none"/>
        </w:rPr>
        <w:t>17.4比较与评价：磋商小组将按磋商文件中规定的评审办法和标准，对初审阶段合格的磋商响应文件进行商务和服务评估方面的综合比较与评价。即在最大限度地满足磋商文件实质性要求的前提下，按照磋商文件中规定的各项因素进行综合评审，以评审总得分由高到低排序推荐预成交候选人。若得分相同时，按最后报价由低到高顺序排列；得分相同且最后报价相同的，按服务能力与方案得分由高到低顺序排列。</w:t>
      </w:r>
    </w:p>
    <w:p w14:paraId="71BA6E4D">
      <w:pPr>
        <w:autoSpaceDE w:val="0"/>
        <w:autoSpaceDN w:val="0"/>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17.5磋商小组认为供应商的报价明显低于其他通过符合性审查供应商的报价，有可能影响产品质量或者不能诚信履约的，应当要求其在评标现场合理的时间内提供书面说明，必要时提交相关证明材料；供应商不能证明其报价合理性的，磋商小组应当将其作为无效投标处理。</w:t>
      </w:r>
    </w:p>
    <w:p w14:paraId="7F91F668">
      <w:pPr>
        <w:autoSpaceDE w:val="0"/>
        <w:autoSpaceDN w:val="0"/>
        <w:spacing w:line="360" w:lineRule="auto"/>
        <w:ind w:firstLine="480" w:firstLineChars="200"/>
        <w:rPr>
          <w:rFonts w:hint="eastAsia" w:ascii="宋体" w:hAnsi="宋体" w:cs="宋体"/>
          <w:color w:val="auto"/>
          <w:highlight w:val="none"/>
          <w:shd w:val="clear" w:color="auto" w:fill="FFFFFF"/>
        </w:rPr>
      </w:pPr>
      <w:r>
        <w:rPr>
          <w:rFonts w:hint="eastAsia" w:ascii="宋体" w:hAnsi="宋体" w:cs="宋体"/>
          <w:color w:val="auto"/>
          <w:highlight w:val="none"/>
          <w:shd w:val="clear" w:color="auto" w:fill="FFFFFF"/>
        </w:rPr>
        <w:t>政府采购评审中出现下列情形之一的，评审委员会应当启动异常低价投标（响应）审查程序：</w:t>
      </w:r>
    </w:p>
    <w:p w14:paraId="5F03663F">
      <w:pPr>
        <w:autoSpaceDE w:val="0"/>
        <w:autoSpaceDN w:val="0"/>
        <w:spacing w:line="360" w:lineRule="auto"/>
        <w:ind w:firstLine="480" w:firstLineChars="200"/>
        <w:rPr>
          <w:rFonts w:hint="eastAsia" w:ascii="宋体" w:hAnsi="宋体" w:cs="宋体"/>
          <w:color w:val="auto"/>
          <w:highlight w:val="none"/>
          <w:shd w:val="clear" w:color="auto" w:fill="FFFFFF"/>
        </w:rPr>
      </w:pPr>
      <w:r>
        <w:rPr>
          <w:rFonts w:hint="eastAsia" w:ascii="宋体" w:hAnsi="宋体" w:cs="宋体"/>
          <w:color w:val="auto"/>
          <w:highlight w:val="none"/>
          <w:shd w:val="clear" w:color="auto" w:fill="FFFFFF"/>
        </w:rPr>
        <w:t>1.投标（响应）报价低于全部通过符合性审查供应商投标（响应）报价平均值50%的，即投标（响应）报价&lt;全部通过符合性审查供应商投标（响应）报价平均值×50%；</w:t>
      </w:r>
    </w:p>
    <w:p w14:paraId="13B08E7B">
      <w:pPr>
        <w:autoSpaceDE w:val="0"/>
        <w:autoSpaceDN w:val="0"/>
        <w:spacing w:line="360" w:lineRule="auto"/>
        <w:ind w:firstLine="480" w:firstLineChars="200"/>
        <w:rPr>
          <w:rFonts w:hint="eastAsia" w:ascii="宋体" w:hAnsi="宋体" w:cs="宋体"/>
          <w:color w:val="auto"/>
          <w:highlight w:val="none"/>
          <w:shd w:val="clear" w:color="auto" w:fill="FFFFFF"/>
        </w:rPr>
      </w:pPr>
      <w:r>
        <w:rPr>
          <w:rFonts w:hint="eastAsia" w:ascii="宋体" w:hAnsi="宋体" w:cs="宋体"/>
          <w:color w:val="auto"/>
          <w:highlight w:val="none"/>
          <w:shd w:val="clear" w:color="auto" w:fill="FFFFFF"/>
        </w:rPr>
        <w:t>2.投标（响应）报价低于通过符合性审查的次低报价供应商投标（响应）报价50%的，即投标（响应）报价&lt;通过符合性审查的次低报价供应商投标（响应）报价×50%；</w:t>
      </w:r>
    </w:p>
    <w:p w14:paraId="376D59EE">
      <w:pPr>
        <w:autoSpaceDE w:val="0"/>
        <w:autoSpaceDN w:val="0"/>
        <w:spacing w:line="360" w:lineRule="auto"/>
        <w:ind w:firstLine="480" w:firstLineChars="200"/>
        <w:rPr>
          <w:rFonts w:hint="eastAsia" w:ascii="宋体" w:hAnsi="宋体" w:cs="宋体"/>
          <w:color w:val="auto"/>
          <w:highlight w:val="none"/>
          <w:shd w:val="clear" w:color="auto" w:fill="FFFFFF"/>
        </w:rPr>
      </w:pPr>
      <w:r>
        <w:rPr>
          <w:rFonts w:hint="eastAsia" w:ascii="宋体" w:hAnsi="宋体" w:cs="宋体"/>
          <w:color w:val="auto"/>
          <w:highlight w:val="none"/>
          <w:shd w:val="clear" w:color="auto" w:fill="FFFFFF"/>
        </w:rPr>
        <w:t>3.投标（响应）报价低于采购项目最高限价45%的，即投标（响应）报价&lt;采购项目最高限价×45%；</w:t>
      </w:r>
    </w:p>
    <w:p w14:paraId="3D0ABF51">
      <w:pPr>
        <w:autoSpaceDE w:val="0"/>
        <w:autoSpaceDN w:val="0"/>
        <w:spacing w:line="360" w:lineRule="auto"/>
        <w:ind w:firstLine="480" w:firstLineChars="200"/>
        <w:rPr>
          <w:rFonts w:hint="eastAsia" w:ascii="宋体" w:hAnsi="宋体" w:cs="宋体"/>
          <w:color w:val="auto"/>
          <w:highlight w:val="none"/>
          <w:shd w:val="clear" w:color="auto" w:fill="FFFFFF"/>
        </w:rPr>
      </w:pPr>
      <w:r>
        <w:rPr>
          <w:rFonts w:hint="eastAsia" w:ascii="宋体" w:hAnsi="宋体" w:cs="宋体"/>
          <w:color w:val="auto"/>
          <w:highlight w:val="none"/>
          <w:shd w:val="clear" w:color="auto" w:fill="FFFFFF"/>
        </w:rPr>
        <w:t>4.评审委员会基于专业判断，认为供应商报价过低，有可能影响产品质量或者不能诚信履约的其他情形。</w:t>
      </w:r>
    </w:p>
    <w:p w14:paraId="2FE0C849">
      <w:pPr>
        <w:autoSpaceDE w:val="0"/>
        <w:autoSpaceDN w:val="0"/>
        <w:spacing w:line="360" w:lineRule="auto"/>
        <w:ind w:firstLine="480" w:firstLineChars="200"/>
        <w:rPr>
          <w:rFonts w:hint="eastAsia" w:ascii="宋体" w:hAnsi="宋体" w:cs="宋体"/>
          <w:color w:val="auto"/>
          <w:highlight w:val="none"/>
          <w:shd w:val="clear" w:color="auto" w:fill="FFFFFF"/>
        </w:rPr>
      </w:pPr>
      <w:r>
        <w:rPr>
          <w:rFonts w:hint="eastAsia" w:ascii="宋体" w:hAnsi="宋体" w:cs="宋体"/>
          <w:color w:val="auto"/>
          <w:highlight w:val="none"/>
          <w:shd w:val="clear" w:color="auto" w:fill="FFFFFF"/>
        </w:rPr>
        <w:t>相关法律法规对供应商报价有规定的，从其规定。</w:t>
      </w:r>
    </w:p>
    <w:p w14:paraId="24F10307">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s="宋体"/>
          <w:color w:val="auto"/>
          <w:highlight w:val="none"/>
          <w:shd w:val="clear" w:color="auto" w:fill="FFFFFF"/>
          <w:lang w:eastAsia="zh-CN"/>
        </w:rPr>
      </w:pPr>
      <w:r>
        <w:rPr>
          <w:rFonts w:hint="eastAsia" w:ascii="宋体" w:hAnsi="宋体" w:cs="宋体"/>
          <w:color w:val="auto"/>
          <w:highlight w:val="none"/>
          <w:shd w:val="clear" w:color="auto" w:fill="FFFFFF"/>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r>
        <w:rPr>
          <w:rFonts w:hint="eastAsia" w:ascii="宋体" w:hAnsi="宋体" w:cs="宋体"/>
          <w:color w:val="auto"/>
          <w:highlight w:val="none"/>
          <w:shd w:val="clear" w:color="auto" w:fill="FFFFFF"/>
          <w:lang w:eastAsia="zh-CN"/>
        </w:rPr>
        <w:t>。</w:t>
      </w:r>
    </w:p>
    <w:p w14:paraId="738537D9">
      <w:pPr>
        <w:bidi w:val="0"/>
        <w:rPr>
          <w:rFonts w:hint="eastAsia" w:ascii="宋体" w:hAnsi="宋体" w:eastAsia="宋体" w:cs="宋体"/>
          <w:color w:val="auto"/>
          <w:highlight w:val="none"/>
        </w:rPr>
      </w:pPr>
      <w:r>
        <w:rPr>
          <w:rFonts w:hint="eastAsia" w:ascii="宋体" w:hAnsi="宋体" w:cs="宋体"/>
          <w:color w:val="auto"/>
          <w:highlight w:val="none"/>
          <w:shd w:val="clear" w:color="auto" w:fill="FFFFFF"/>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2AAB5A18">
      <w:pPr>
        <w:pStyle w:val="4"/>
        <w:numPr>
          <w:ilvl w:val="2"/>
          <w:numId w:val="0"/>
        </w:numPr>
        <w:bidi w:val="0"/>
        <w:ind w:left="0" w:leftChars="0" w:firstLine="400" w:firstLineChars="0"/>
        <w:rPr>
          <w:rFonts w:hint="eastAsia" w:ascii="宋体" w:hAnsi="宋体" w:eastAsia="宋体" w:cs="宋体"/>
          <w:color w:val="auto"/>
          <w:highlight w:val="none"/>
        </w:rPr>
      </w:pPr>
      <w:bookmarkStart w:id="77" w:name="_Toc376936755"/>
      <w:bookmarkStart w:id="78" w:name="_Toc23815"/>
      <w:bookmarkStart w:id="79" w:name="_Toc325726024"/>
      <w:r>
        <w:rPr>
          <w:rFonts w:hint="eastAsia" w:ascii="宋体" w:hAnsi="宋体" w:eastAsia="宋体" w:cs="宋体"/>
          <w:b/>
          <w:color w:val="auto"/>
          <w:kern w:val="2"/>
          <w:sz w:val="30"/>
          <w:szCs w:val="30"/>
          <w:highlight w:val="none"/>
          <w:lang w:val="en-US" w:eastAsia="zh-CN" w:bidi="ar-SA"/>
        </w:rPr>
        <w:t>18．</w:t>
      </w:r>
      <w:r>
        <w:rPr>
          <w:rFonts w:hint="eastAsia" w:ascii="宋体" w:hAnsi="宋体" w:eastAsia="宋体" w:cs="宋体"/>
          <w:color w:val="auto"/>
          <w:highlight w:val="none"/>
        </w:rPr>
        <w:t>评审办法</w:t>
      </w:r>
      <w:bookmarkEnd w:id="77"/>
      <w:bookmarkEnd w:id="78"/>
      <w:bookmarkEnd w:id="79"/>
    </w:p>
    <w:p w14:paraId="374C4890">
      <w:pPr>
        <w:bidi w:val="0"/>
        <w:rPr>
          <w:rFonts w:hint="eastAsia" w:ascii="宋体" w:hAnsi="宋体" w:eastAsia="宋体" w:cs="宋体"/>
          <w:color w:val="auto"/>
          <w:highlight w:val="none"/>
          <w:lang w:val="zh-CN"/>
        </w:rPr>
      </w:pPr>
      <w:r>
        <w:rPr>
          <w:rFonts w:hint="eastAsia" w:ascii="宋体" w:hAnsi="宋体" w:eastAsia="宋体" w:cs="宋体"/>
          <w:color w:val="auto"/>
          <w:highlight w:val="none"/>
        </w:rPr>
        <w:t>18.1</w:t>
      </w:r>
      <w:r>
        <w:rPr>
          <w:rFonts w:hint="eastAsia" w:ascii="宋体" w:hAnsi="宋体" w:eastAsia="宋体" w:cs="宋体"/>
          <w:color w:val="auto"/>
          <w:highlight w:val="none"/>
          <w:lang w:val="zh-CN"/>
        </w:rPr>
        <w:t>本次综合评分的主要因素是：</w:t>
      </w:r>
      <w:r>
        <w:rPr>
          <w:rFonts w:hint="eastAsia" w:ascii="宋体" w:hAnsi="宋体" w:cs="宋体"/>
          <w:b/>
          <w:bCs/>
          <w:color w:val="auto"/>
          <w:highlight w:val="none"/>
          <w:lang w:val="en-US" w:eastAsia="zh-CN"/>
        </w:rPr>
        <w:t>价格部分</w:t>
      </w:r>
      <w:r>
        <w:rPr>
          <w:rFonts w:hint="eastAsia" w:ascii="宋体" w:hAnsi="宋体" w:eastAsia="宋体" w:cs="宋体"/>
          <w:b/>
          <w:bCs/>
          <w:color w:val="auto"/>
          <w:highlight w:val="none"/>
        </w:rPr>
        <w:t>、</w:t>
      </w:r>
      <w:r>
        <w:rPr>
          <w:rFonts w:hint="eastAsia" w:ascii="宋体" w:hAnsi="宋体" w:cs="宋体"/>
          <w:b/>
          <w:bCs/>
          <w:color w:val="auto"/>
          <w:highlight w:val="none"/>
          <w:lang w:val="en-US" w:eastAsia="zh-CN"/>
        </w:rPr>
        <w:t>技术部分</w:t>
      </w:r>
      <w:r>
        <w:rPr>
          <w:rFonts w:hint="eastAsia" w:ascii="宋体" w:hAnsi="宋体" w:cs="宋体"/>
          <w:b/>
          <w:bCs/>
          <w:color w:val="auto"/>
          <w:highlight w:val="none"/>
          <w:lang w:eastAsia="zh-CN"/>
        </w:rPr>
        <w:t>、</w:t>
      </w:r>
      <w:r>
        <w:rPr>
          <w:rFonts w:hint="eastAsia" w:ascii="宋体" w:hAnsi="宋体" w:cs="宋体"/>
          <w:b/>
          <w:bCs/>
          <w:color w:val="auto"/>
          <w:highlight w:val="none"/>
          <w:lang w:val="en-US" w:eastAsia="zh-CN"/>
        </w:rPr>
        <w:t>商务部分</w:t>
      </w:r>
      <w:r>
        <w:rPr>
          <w:rFonts w:hint="eastAsia" w:ascii="宋体" w:hAnsi="宋体" w:eastAsia="宋体" w:cs="宋体"/>
          <w:color w:val="auto"/>
          <w:highlight w:val="none"/>
          <w:lang w:val="zh-CN"/>
        </w:rPr>
        <w:t>。评审过程中，在同等条件下，优先采购具有环境标志、节能、自主创新的产品。（注：环境标志产品是指由财政部、国家环境保护总局颁布的环境标志产品政府采购品目清单”中的有效期内的产品；节能产品是指由财政部、国家发展改革委颁布的“节能产品政府采购品目清单” 中的有效期内的产品。）</w:t>
      </w:r>
    </w:p>
    <w:p w14:paraId="6A0B000B">
      <w:pPr>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根据《政府采购促进中小企业发展管理办法》，</w:t>
      </w:r>
      <w:r>
        <w:rPr>
          <w:rFonts w:hint="eastAsia" w:ascii="宋体" w:hAnsi="宋体" w:eastAsia="宋体" w:cs="宋体"/>
          <w:color w:val="auto"/>
          <w:highlight w:val="none"/>
        </w:rPr>
        <w:t>中小</w:t>
      </w:r>
      <w:r>
        <w:rPr>
          <w:rFonts w:hint="eastAsia" w:ascii="宋体" w:hAnsi="宋体" w:eastAsia="宋体" w:cs="宋体"/>
          <w:color w:val="auto"/>
          <w:highlight w:val="none"/>
          <w:lang w:val="zh-CN"/>
        </w:rPr>
        <w:t>企业</w:t>
      </w:r>
      <w:r>
        <w:rPr>
          <w:rFonts w:hint="eastAsia" w:ascii="宋体" w:hAnsi="宋体" w:eastAsia="宋体" w:cs="宋体"/>
          <w:color w:val="auto"/>
          <w:highlight w:val="none"/>
        </w:rPr>
        <w:t>承接</w:t>
      </w:r>
      <w:r>
        <w:rPr>
          <w:rFonts w:hint="eastAsia" w:ascii="宋体" w:hAnsi="宋体" w:eastAsia="宋体" w:cs="宋体"/>
          <w:color w:val="auto"/>
          <w:highlight w:val="none"/>
          <w:lang w:val="zh-CN"/>
        </w:rPr>
        <w:t>的服务，</w:t>
      </w:r>
      <w:r>
        <w:rPr>
          <w:rFonts w:hint="eastAsia" w:ascii="宋体" w:hAnsi="宋体" w:eastAsia="宋体" w:cs="宋体"/>
          <w:color w:val="auto"/>
          <w:highlight w:val="none"/>
        </w:rPr>
        <w:t>供应商须提</w:t>
      </w:r>
      <w:r>
        <w:rPr>
          <w:rFonts w:hint="eastAsia" w:ascii="宋体" w:hAnsi="宋体" w:eastAsia="宋体" w:cs="宋体"/>
          <w:color w:val="auto"/>
          <w:highlight w:val="none"/>
          <w:lang w:val="zh-CN"/>
        </w:rPr>
        <w:t>供《</w:t>
      </w:r>
      <w:r>
        <w:rPr>
          <w:rFonts w:hint="eastAsia" w:ascii="宋体" w:hAnsi="宋体" w:eastAsia="宋体" w:cs="宋体"/>
          <w:b/>
          <w:bCs/>
          <w:color w:val="auto"/>
          <w:highlight w:val="none"/>
          <w:lang w:val="zh-CN"/>
        </w:rPr>
        <w:t>中小企业声明函</w:t>
      </w:r>
      <w:r>
        <w:rPr>
          <w:rFonts w:hint="eastAsia" w:ascii="宋体" w:hAnsi="宋体" w:eastAsia="宋体" w:cs="宋体"/>
          <w:color w:val="auto"/>
          <w:highlight w:val="none"/>
          <w:lang w:val="zh-CN"/>
        </w:rPr>
        <w:t>》，并由供应商加盖公章，其划型标准严格按照国家工信部、国家统计局、国家发改委、财政部出台的《中小企业划型标准规定》（工信部联企业[2011]300号）执行。</w:t>
      </w:r>
      <w:r>
        <w:rPr>
          <w:rFonts w:hint="eastAsia" w:ascii="宋体" w:hAnsi="宋体" w:eastAsia="宋体" w:cs="宋体"/>
          <w:b/>
          <w:bCs/>
          <w:color w:val="auto"/>
          <w:highlight w:val="none"/>
          <w:lang w:val="zh-CN"/>
        </w:rPr>
        <w:t>磋商供应商提供的《中小企业声明函》资料必须真实，否则，按照有关规定予以处理。</w:t>
      </w:r>
    </w:p>
    <w:p w14:paraId="45482CEA">
      <w:pPr>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根据财政部、民政部、中国残疾人联合会出台的《关于促进残疾人就业政府采购政策的通知》（财库[2017]141号），属残疾人福利性单位的，供应商须提供《残疾人福利性单位声明函》，并由供应商加盖公章，残疾人福利性单位视同小微企业，享受预留份额、评标中价格扣除等促进中小企业发展的政府采购政策。向残疾人福利性单位采购的金额，计入面向中小企业采购的统计数据。</w:t>
      </w:r>
      <w:r>
        <w:rPr>
          <w:rFonts w:hint="eastAsia" w:ascii="宋体" w:hAnsi="宋体" w:eastAsia="宋体" w:cs="宋体"/>
          <w:b/>
          <w:bCs/>
          <w:color w:val="auto"/>
          <w:highlight w:val="none"/>
          <w:lang w:val="zh-CN"/>
        </w:rPr>
        <w:t>供应商提供的《残疾人福利性单位声明函》资料必须真实，否则，按照有关规定予以处理。</w:t>
      </w:r>
    </w:p>
    <w:p w14:paraId="39CDC508">
      <w:pPr>
        <w:bidi w:val="0"/>
        <w:rPr>
          <w:rFonts w:hint="eastAsia" w:ascii="宋体" w:hAnsi="宋体" w:eastAsia="宋体" w:cs="宋体"/>
          <w:b/>
          <w:bCs/>
          <w:color w:val="auto"/>
          <w:highlight w:val="none"/>
        </w:rPr>
      </w:pPr>
      <w:r>
        <w:rPr>
          <w:rFonts w:hint="eastAsia" w:ascii="宋体" w:hAnsi="宋体" w:eastAsia="宋体" w:cs="宋体"/>
          <w:color w:val="auto"/>
          <w:highlight w:val="none"/>
        </w:rPr>
        <w:t>根据</w:t>
      </w:r>
      <w:r>
        <w:rPr>
          <w:rFonts w:hint="eastAsia" w:ascii="宋体" w:hAnsi="宋体" w:eastAsia="宋体" w:cs="宋体"/>
          <w:color w:val="auto"/>
          <w:highlight w:val="none"/>
          <w:lang w:val="zh-CN"/>
        </w:rPr>
        <w:t>《财政部司法部关于政府采购支持监狱企业发展有关问题的通知》（财库[2014]68号）的相关规定，属于</w:t>
      </w:r>
      <w:r>
        <w:rPr>
          <w:rFonts w:hint="eastAsia" w:ascii="宋体" w:hAnsi="宋体" w:eastAsia="宋体" w:cs="宋体"/>
          <w:color w:val="auto"/>
          <w:highlight w:val="none"/>
        </w:rPr>
        <w:t>监狱企业</w:t>
      </w:r>
      <w:r>
        <w:rPr>
          <w:rFonts w:hint="eastAsia" w:ascii="宋体" w:hAnsi="宋体" w:eastAsia="宋体" w:cs="宋体"/>
          <w:color w:val="auto"/>
          <w:highlight w:val="none"/>
          <w:lang w:val="zh-CN"/>
        </w:rPr>
        <w:t>的，供应商须按要求出具属于监狱企业的证明文件。</w:t>
      </w:r>
      <w:r>
        <w:rPr>
          <w:rFonts w:hint="eastAsia" w:ascii="宋体" w:hAnsi="宋体" w:eastAsia="宋体" w:cs="宋体"/>
          <w:color w:val="auto"/>
          <w:highlight w:val="none"/>
        </w:rPr>
        <w:t>监狱企业视同小微企业，享受预留份额、评标中价格扣除等促进中小企业发展的政府采购政策。向监狱企业采购的金额，计入面向中小企业采购的统计数据。</w:t>
      </w:r>
      <w:r>
        <w:rPr>
          <w:rFonts w:hint="eastAsia" w:ascii="宋体" w:hAnsi="宋体" w:eastAsia="宋体" w:cs="宋体"/>
          <w:b/>
          <w:bCs/>
          <w:color w:val="auto"/>
          <w:highlight w:val="none"/>
        </w:rPr>
        <w:t>供应商提供的监狱企业证明文件资料必须真实，如有虚假，将依法承担相应责任。</w:t>
      </w:r>
    </w:p>
    <w:p w14:paraId="7B07D919">
      <w:pPr>
        <w:bidi w:val="0"/>
        <w:rPr>
          <w:rFonts w:hint="eastAsia" w:ascii="宋体" w:hAnsi="宋体" w:eastAsia="宋体" w:cs="宋体"/>
          <w:color w:val="auto"/>
          <w:highlight w:val="none"/>
        </w:rPr>
      </w:pPr>
      <w:r>
        <w:rPr>
          <w:rFonts w:hint="eastAsia" w:ascii="宋体" w:hAnsi="宋体" w:eastAsia="宋体" w:cs="宋体"/>
          <w:color w:val="auto"/>
          <w:highlight w:val="none"/>
        </w:rPr>
        <w:t>依照《中华人民共和国政府采购法》、《中华人民共和国政府采购法实施条例》、《关于加强政府采购货物和服务项目价格评审管理的通知》、《政府采购竞争性磋商采购方式管理暂行办法》</w:t>
      </w:r>
      <w:r>
        <w:rPr>
          <w:rFonts w:hint="eastAsia" w:ascii="宋体" w:hAnsi="宋体" w:cs="宋体"/>
          <w:color w:val="auto"/>
          <w:highlight w:val="none"/>
          <w:lang w:val="en-US" w:eastAsia="zh-CN"/>
        </w:rPr>
        <w:t>等</w:t>
      </w:r>
      <w:r>
        <w:rPr>
          <w:rFonts w:hint="eastAsia" w:ascii="宋体" w:hAnsi="宋体" w:eastAsia="宋体" w:cs="宋体"/>
          <w:color w:val="auto"/>
          <w:highlight w:val="none"/>
        </w:rPr>
        <w:t>规定，结合该项目的特点制定本评审办法。本次评审采用综合评分法，评审内容分为</w:t>
      </w:r>
      <w:r>
        <w:rPr>
          <w:rFonts w:hint="eastAsia" w:ascii="宋体" w:hAnsi="宋体" w:cs="宋体"/>
          <w:b/>
          <w:bCs/>
          <w:color w:val="auto"/>
          <w:highlight w:val="none"/>
          <w:lang w:val="en-US" w:eastAsia="zh-CN"/>
        </w:rPr>
        <w:t>价格部分</w:t>
      </w:r>
      <w:r>
        <w:rPr>
          <w:rFonts w:hint="eastAsia" w:ascii="宋体" w:hAnsi="宋体" w:eastAsia="宋体" w:cs="宋体"/>
          <w:b/>
          <w:bCs/>
          <w:color w:val="auto"/>
          <w:highlight w:val="none"/>
        </w:rPr>
        <w:t>、</w:t>
      </w:r>
      <w:r>
        <w:rPr>
          <w:rFonts w:hint="eastAsia" w:ascii="宋体" w:hAnsi="宋体" w:cs="宋体"/>
          <w:b/>
          <w:bCs/>
          <w:color w:val="auto"/>
          <w:highlight w:val="none"/>
          <w:lang w:val="en-US" w:eastAsia="zh-CN"/>
        </w:rPr>
        <w:t>技术部分</w:t>
      </w:r>
      <w:r>
        <w:rPr>
          <w:rFonts w:hint="eastAsia" w:ascii="宋体" w:hAnsi="宋体" w:cs="宋体"/>
          <w:b/>
          <w:bCs/>
          <w:color w:val="auto"/>
          <w:highlight w:val="none"/>
          <w:lang w:eastAsia="zh-CN"/>
        </w:rPr>
        <w:t>、</w:t>
      </w:r>
      <w:r>
        <w:rPr>
          <w:rFonts w:hint="eastAsia" w:ascii="宋体" w:hAnsi="宋体" w:cs="宋体"/>
          <w:b/>
          <w:bCs/>
          <w:color w:val="auto"/>
          <w:highlight w:val="none"/>
          <w:lang w:val="en-US" w:eastAsia="zh-CN"/>
        </w:rPr>
        <w:t>商务部分</w:t>
      </w:r>
      <w:r>
        <w:rPr>
          <w:rFonts w:hint="eastAsia" w:ascii="宋体" w:hAnsi="宋体" w:eastAsia="宋体" w:cs="宋体"/>
          <w:color w:val="auto"/>
          <w:highlight w:val="none"/>
        </w:rPr>
        <w:t>三部分组成（满分100分）。</w:t>
      </w:r>
    </w:p>
    <w:p w14:paraId="7B498E1E">
      <w:pPr>
        <w:bidi w:val="0"/>
        <w:rPr>
          <w:rFonts w:hint="eastAsia" w:ascii="宋体" w:hAnsi="宋体" w:eastAsia="宋体" w:cs="宋体"/>
          <w:color w:val="auto"/>
          <w:highlight w:val="none"/>
        </w:rPr>
      </w:pPr>
      <w:r>
        <w:rPr>
          <w:rFonts w:hint="eastAsia" w:ascii="宋体" w:hAnsi="宋体" w:eastAsia="宋体" w:cs="宋体"/>
          <w:color w:val="auto"/>
          <w:highlight w:val="none"/>
        </w:rPr>
        <w:t>18.2评审标准和分值分配：</w:t>
      </w:r>
    </w:p>
    <w:p w14:paraId="3C7C51DE">
      <w:pPr>
        <w:bidi w:val="0"/>
        <w:rPr>
          <w:rFonts w:hint="eastAsia" w:ascii="宋体" w:hAnsi="宋体" w:eastAsia="宋体" w:cs="宋体"/>
          <w:color w:val="auto"/>
          <w:highlight w:val="none"/>
        </w:rPr>
      </w:pPr>
      <w:r>
        <w:rPr>
          <w:rFonts w:hint="eastAsia" w:ascii="宋体" w:hAnsi="宋体" w:eastAsia="宋体" w:cs="宋体"/>
          <w:color w:val="auto"/>
          <w:highlight w:val="none"/>
        </w:rPr>
        <w:t>评分细则：</w:t>
      </w:r>
      <w:bookmarkStart w:id="80" w:name="_Toc376936756"/>
      <w:bookmarkStart w:id="81" w:name="_Toc325726025"/>
    </w:p>
    <w:tbl>
      <w:tblPr>
        <w:tblStyle w:val="67"/>
        <w:tblW w:w="951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84"/>
        <w:gridCol w:w="984"/>
        <w:gridCol w:w="966"/>
        <w:gridCol w:w="6583"/>
      </w:tblGrid>
      <w:tr w14:paraId="26817A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984" w:type="dxa"/>
            <w:tcBorders>
              <w:top w:val="single" w:color="auto" w:sz="4" w:space="0"/>
              <w:left w:val="single" w:color="auto" w:sz="4" w:space="0"/>
              <w:bottom w:val="single" w:color="auto" w:sz="4" w:space="0"/>
              <w:right w:val="single" w:color="auto" w:sz="4" w:space="0"/>
            </w:tcBorders>
            <w:vAlign w:val="center"/>
          </w:tcPr>
          <w:p w14:paraId="5C5211E7">
            <w:pPr>
              <w:ind w:left="0" w:leftChars="0" w:firstLine="0" w:firstLineChars="0"/>
              <w:jc w:val="center"/>
              <w:rPr>
                <w:rFonts w:hint="default" w:ascii="宋体" w:hAnsi="Cambria" w:eastAsia="宋体" w:cs="宋体"/>
                <w:b/>
                <w:bCs/>
                <w:color w:val="auto"/>
                <w:kern w:val="0"/>
                <w:sz w:val="24"/>
                <w:szCs w:val="22"/>
                <w:highlight w:val="none"/>
                <w:lang w:val="zh-CN" w:eastAsia="zh-CN" w:bidi="ar-SA"/>
              </w:rPr>
            </w:pPr>
            <w:r>
              <w:rPr>
                <w:rFonts w:hint="eastAsia" w:ascii="宋体" w:hAnsi="Cambria" w:eastAsia="宋体" w:cs="宋体"/>
                <w:b/>
                <w:bCs/>
                <w:color w:val="auto"/>
                <w:kern w:val="0"/>
                <w:sz w:val="24"/>
                <w:szCs w:val="22"/>
                <w:highlight w:val="none"/>
                <w:lang w:val="zh-CN" w:eastAsia="zh-CN" w:bidi="ar-SA"/>
              </w:rPr>
              <w:t>评审内容</w:t>
            </w:r>
          </w:p>
        </w:tc>
        <w:tc>
          <w:tcPr>
            <w:tcW w:w="984" w:type="dxa"/>
            <w:tcBorders>
              <w:top w:val="single" w:color="auto" w:sz="4" w:space="0"/>
              <w:left w:val="single" w:color="auto" w:sz="4" w:space="0"/>
              <w:bottom w:val="single" w:color="auto" w:sz="4" w:space="0"/>
              <w:right w:val="single" w:color="auto" w:sz="4" w:space="0"/>
            </w:tcBorders>
            <w:vAlign w:val="center"/>
          </w:tcPr>
          <w:p w14:paraId="29B51C70">
            <w:pPr>
              <w:ind w:left="0" w:leftChars="0" w:firstLine="0" w:firstLineChars="0"/>
              <w:jc w:val="center"/>
              <w:rPr>
                <w:rFonts w:hint="default" w:ascii="宋体" w:hAnsi="Cambria" w:eastAsia="宋体" w:cs="宋体"/>
                <w:b/>
                <w:bCs/>
                <w:color w:val="auto"/>
                <w:kern w:val="0"/>
                <w:sz w:val="24"/>
                <w:szCs w:val="22"/>
                <w:highlight w:val="none"/>
                <w:lang w:val="zh-CN" w:eastAsia="zh-CN" w:bidi="ar-SA"/>
              </w:rPr>
            </w:pPr>
            <w:r>
              <w:rPr>
                <w:rFonts w:hint="eastAsia" w:ascii="宋体" w:hAnsi="Cambria" w:eastAsia="宋体" w:cs="宋体"/>
                <w:b/>
                <w:bCs/>
                <w:color w:val="auto"/>
                <w:kern w:val="0"/>
                <w:sz w:val="24"/>
                <w:szCs w:val="22"/>
                <w:highlight w:val="none"/>
                <w:lang w:val="zh-CN" w:eastAsia="zh-CN" w:bidi="ar-SA"/>
              </w:rPr>
              <w:t>评审项目</w:t>
            </w:r>
          </w:p>
        </w:tc>
        <w:tc>
          <w:tcPr>
            <w:tcW w:w="966" w:type="dxa"/>
            <w:tcBorders>
              <w:top w:val="single" w:color="auto" w:sz="4" w:space="0"/>
              <w:left w:val="nil"/>
              <w:bottom w:val="single" w:color="auto" w:sz="4" w:space="0"/>
              <w:right w:val="single" w:color="auto" w:sz="4" w:space="0"/>
            </w:tcBorders>
            <w:vAlign w:val="center"/>
          </w:tcPr>
          <w:p w14:paraId="00A9775C">
            <w:pPr>
              <w:ind w:left="0" w:leftChars="0" w:firstLine="0" w:firstLineChars="0"/>
              <w:jc w:val="center"/>
              <w:rPr>
                <w:rFonts w:hint="default" w:ascii="宋体" w:hAnsi="Cambria" w:eastAsia="宋体" w:cs="宋体"/>
                <w:b/>
                <w:bCs/>
                <w:color w:val="auto"/>
                <w:kern w:val="0"/>
                <w:sz w:val="24"/>
                <w:szCs w:val="22"/>
                <w:highlight w:val="none"/>
                <w:lang w:val="zh-CN" w:eastAsia="zh-CN" w:bidi="ar-SA"/>
              </w:rPr>
            </w:pPr>
            <w:r>
              <w:rPr>
                <w:rFonts w:hint="eastAsia" w:ascii="宋体" w:hAnsi="Cambria" w:eastAsia="宋体" w:cs="宋体"/>
                <w:b/>
                <w:bCs/>
                <w:color w:val="auto"/>
                <w:kern w:val="0"/>
                <w:sz w:val="24"/>
                <w:szCs w:val="22"/>
                <w:highlight w:val="none"/>
                <w:lang w:val="zh-CN" w:eastAsia="zh-CN" w:bidi="ar-SA"/>
              </w:rPr>
              <w:t>满分 分值</w:t>
            </w:r>
          </w:p>
        </w:tc>
        <w:tc>
          <w:tcPr>
            <w:tcW w:w="6583" w:type="dxa"/>
            <w:tcBorders>
              <w:top w:val="single" w:color="auto" w:sz="4" w:space="0"/>
              <w:left w:val="nil"/>
              <w:bottom w:val="single" w:color="auto" w:sz="4" w:space="0"/>
              <w:right w:val="single" w:color="auto" w:sz="4" w:space="0"/>
            </w:tcBorders>
            <w:vAlign w:val="center"/>
          </w:tcPr>
          <w:p w14:paraId="30704EB5">
            <w:pPr>
              <w:ind w:left="0" w:leftChars="0" w:firstLine="0" w:firstLineChars="0"/>
              <w:jc w:val="center"/>
              <w:rPr>
                <w:rFonts w:hint="default" w:ascii="宋体" w:hAnsi="Cambria" w:eastAsia="宋体" w:cs="宋体"/>
                <w:b/>
                <w:bCs/>
                <w:color w:val="auto"/>
                <w:kern w:val="0"/>
                <w:sz w:val="24"/>
                <w:szCs w:val="22"/>
                <w:highlight w:val="none"/>
                <w:lang w:val="zh-CN" w:eastAsia="zh-CN" w:bidi="ar-SA"/>
              </w:rPr>
            </w:pPr>
            <w:r>
              <w:rPr>
                <w:rFonts w:hint="eastAsia" w:ascii="宋体" w:hAnsi="Cambria" w:eastAsia="宋体" w:cs="宋体"/>
                <w:b/>
                <w:bCs/>
                <w:color w:val="auto"/>
                <w:kern w:val="0"/>
                <w:sz w:val="24"/>
                <w:szCs w:val="22"/>
                <w:highlight w:val="none"/>
                <w:lang w:val="zh-CN" w:eastAsia="zh-CN" w:bidi="ar-SA"/>
              </w:rPr>
              <w:t>评审标准</w:t>
            </w:r>
          </w:p>
        </w:tc>
      </w:tr>
      <w:tr w14:paraId="431179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01" w:hRule="atLeast"/>
          <w:jc w:val="center"/>
        </w:trPr>
        <w:tc>
          <w:tcPr>
            <w:tcW w:w="984" w:type="dxa"/>
            <w:tcBorders>
              <w:top w:val="single" w:color="auto" w:sz="4" w:space="0"/>
              <w:left w:val="single" w:color="auto" w:sz="4" w:space="0"/>
              <w:bottom w:val="single" w:color="auto" w:sz="4" w:space="0"/>
              <w:right w:val="single" w:color="auto" w:sz="4" w:space="0"/>
            </w:tcBorders>
            <w:vAlign w:val="center"/>
          </w:tcPr>
          <w:p w14:paraId="6350E6AC">
            <w:pPr>
              <w:ind w:left="0" w:leftChars="0" w:firstLine="0" w:firstLineChars="0"/>
              <w:jc w:val="both"/>
              <w:rPr>
                <w:rFonts w:hint="eastAsia" w:ascii="宋体" w:hAnsi="Cambria" w:eastAsia="宋体" w:cs="宋体"/>
                <w:color w:val="auto"/>
                <w:kern w:val="0"/>
                <w:sz w:val="24"/>
                <w:szCs w:val="22"/>
                <w:highlight w:val="none"/>
                <w:lang w:val="zh-CN" w:eastAsia="zh-CN" w:bidi="ar-SA"/>
              </w:rPr>
            </w:pPr>
            <w:r>
              <w:rPr>
                <w:rFonts w:hint="eastAsia" w:ascii="宋体" w:hAnsi="Cambria" w:eastAsia="宋体" w:cs="宋体"/>
                <w:color w:val="auto"/>
                <w:kern w:val="0"/>
                <w:sz w:val="24"/>
                <w:szCs w:val="22"/>
                <w:highlight w:val="none"/>
                <w:lang w:val="zh-CN" w:eastAsia="zh-CN" w:bidi="ar-SA"/>
              </w:rPr>
              <w:t>报价部分（10分）</w:t>
            </w:r>
          </w:p>
        </w:tc>
        <w:tc>
          <w:tcPr>
            <w:tcW w:w="984" w:type="dxa"/>
            <w:tcBorders>
              <w:top w:val="single" w:color="auto" w:sz="4" w:space="0"/>
              <w:left w:val="single" w:color="auto" w:sz="4" w:space="0"/>
              <w:bottom w:val="single" w:color="auto" w:sz="4" w:space="0"/>
              <w:right w:val="single" w:color="auto" w:sz="4" w:space="0"/>
            </w:tcBorders>
            <w:vAlign w:val="center"/>
          </w:tcPr>
          <w:p w14:paraId="5E70BB33">
            <w:pPr>
              <w:ind w:left="0" w:leftChars="0" w:firstLine="0" w:firstLineChars="0"/>
              <w:jc w:val="both"/>
              <w:rPr>
                <w:rFonts w:hint="eastAsia" w:ascii="宋体" w:hAnsi="Cambria" w:eastAsia="宋体" w:cs="宋体"/>
                <w:color w:val="auto"/>
                <w:kern w:val="0"/>
                <w:sz w:val="24"/>
                <w:szCs w:val="22"/>
                <w:highlight w:val="none"/>
                <w:lang w:val="zh-CN" w:eastAsia="zh-CN" w:bidi="ar-SA"/>
              </w:rPr>
            </w:pPr>
            <w:r>
              <w:rPr>
                <w:rFonts w:hint="eastAsia" w:ascii="宋体" w:hAnsi="Cambria" w:eastAsia="宋体" w:cs="宋体"/>
                <w:color w:val="auto"/>
                <w:kern w:val="0"/>
                <w:sz w:val="24"/>
                <w:szCs w:val="22"/>
                <w:highlight w:val="none"/>
                <w:lang w:val="zh-CN" w:eastAsia="zh-CN" w:bidi="ar-SA"/>
              </w:rPr>
              <w:t>报价分</w:t>
            </w:r>
          </w:p>
        </w:tc>
        <w:tc>
          <w:tcPr>
            <w:tcW w:w="966" w:type="dxa"/>
            <w:tcBorders>
              <w:top w:val="single" w:color="auto" w:sz="4" w:space="0"/>
              <w:left w:val="nil"/>
              <w:bottom w:val="single" w:color="auto" w:sz="4" w:space="0"/>
              <w:right w:val="single" w:color="auto" w:sz="4" w:space="0"/>
            </w:tcBorders>
            <w:vAlign w:val="center"/>
          </w:tcPr>
          <w:p w14:paraId="34CB333D">
            <w:pPr>
              <w:ind w:left="0" w:leftChars="0" w:firstLine="0" w:firstLineChars="0"/>
              <w:jc w:val="both"/>
              <w:rPr>
                <w:rFonts w:hint="eastAsia" w:ascii="宋体" w:hAnsi="Cambria" w:eastAsia="宋体" w:cs="宋体"/>
                <w:color w:val="auto"/>
                <w:kern w:val="0"/>
                <w:sz w:val="24"/>
                <w:szCs w:val="22"/>
                <w:highlight w:val="none"/>
                <w:lang w:val="zh-CN" w:eastAsia="zh-CN" w:bidi="ar-SA"/>
              </w:rPr>
            </w:pPr>
            <w:r>
              <w:rPr>
                <w:rFonts w:hint="eastAsia" w:ascii="宋体" w:hAnsi="Cambria" w:eastAsia="宋体" w:cs="宋体"/>
                <w:color w:val="auto"/>
                <w:kern w:val="0"/>
                <w:sz w:val="24"/>
                <w:szCs w:val="22"/>
                <w:highlight w:val="none"/>
                <w:lang w:val="zh-CN" w:eastAsia="zh-CN" w:bidi="ar-SA"/>
              </w:rPr>
              <w:t>10分</w:t>
            </w:r>
          </w:p>
        </w:tc>
        <w:tc>
          <w:tcPr>
            <w:tcW w:w="6583" w:type="dxa"/>
            <w:tcBorders>
              <w:top w:val="single" w:color="auto" w:sz="4" w:space="0"/>
              <w:left w:val="nil"/>
              <w:bottom w:val="single" w:color="auto" w:sz="4" w:space="0"/>
              <w:right w:val="single" w:color="auto" w:sz="4" w:space="0"/>
            </w:tcBorders>
            <w:vAlign w:val="center"/>
          </w:tcPr>
          <w:p w14:paraId="341D5338">
            <w:pPr>
              <w:ind w:left="0" w:leftChars="0" w:firstLine="0" w:firstLineChars="0"/>
              <w:jc w:val="both"/>
              <w:rPr>
                <w:rFonts w:hint="eastAsia" w:ascii="宋体" w:hAnsi="Cambria" w:eastAsia="宋体" w:cs="宋体"/>
                <w:color w:val="auto"/>
                <w:kern w:val="0"/>
                <w:sz w:val="24"/>
                <w:szCs w:val="22"/>
                <w:highlight w:val="none"/>
                <w:lang w:val="zh-CN" w:eastAsia="zh-CN" w:bidi="ar-SA"/>
              </w:rPr>
            </w:pPr>
            <w:r>
              <w:rPr>
                <w:rFonts w:hint="eastAsia" w:ascii="宋体" w:hAnsi="Cambria" w:eastAsia="宋体" w:cs="宋体"/>
                <w:color w:val="auto"/>
                <w:kern w:val="0"/>
                <w:sz w:val="24"/>
                <w:szCs w:val="22"/>
                <w:highlight w:val="none"/>
                <w:lang w:val="zh-CN" w:eastAsia="zh-CN" w:bidi="ar-SA"/>
              </w:rPr>
              <w:t>在所有的有效投标报价中，以最终最低投标报价为基准价，其价格分为满分。其他投标人的报价分统一按下列公式计算：投标报价得分=(评标基准价／投标报价)×价格权值（10%）×100（四舍五入后保留小数点后两位）。</w:t>
            </w:r>
          </w:p>
          <w:p w14:paraId="3C884146">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color w:val="auto"/>
                <w:highlight w:val="none"/>
              </w:rPr>
            </w:pPr>
            <w:r>
              <w:rPr>
                <w:rFonts w:hint="eastAsia"/>
                <w:color w:val="auto"/>
                <w:highlight w:val="none"/>
              </w:rPr>
              <w:t>注：1.根据《政府采购促进中小企业发展管理办法》等相关规定，对由小型和微型企业、残疾人福利性单位、监狱企业承接的服务，价格给予10%的扣除，用扣除后的价格参与评标。</w:t>
            </w:r>
          </w:p>
          <w:p w14:paraId="363C3E5D">
            <w:pPr>
              <w:ind w:left="0" w:leftChars="0" w:firstLine="0" w:firstLineChars="0"/>
              <w:jc w:val="both"/>
              <w:rPr>
                <w:rFonts w:hint="default" w:ascii="宋体" w:hAnsi="Cambria" w:eastAsia="宋体" w:cs="宋体"/>
                <w:color w:val="auto"/>
                <w:kern w:val="0"/>
                <w:sz w:val="24"/>
                <w:szCs w:val="22"/>
                <w:highlight w:val="none"/>
                <w:lang w:val="zh-CN" w:eastAsia="zh-CN" w:bidi="ar-SA"/>
              </w:rPr>
            </w:pPr>
            <w:r>
              <w:rPr>
                <w:rFonts w:hint="eastAsia"/>
                <w:color w:val="auto"/>
                <w:highlight w:val="none"/>
              </w:rPr>
              <w:t>残疾人福利性单位、监狱企业属于小型、微型企业的，不重复享受政策。</w:t>
            </w:r>
          </w:p>
        </w:tc>
      </w:tr>
      <w:tr w14:paraId="661AB7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8" w:hRule="atLeast"/>
          <w:jc w:val="center"/>
        </w:trPr>
        <w:tc>
          <w:tcPr>
            <w:tcW w:w="984" w:type="dxa"/>
            <w:vMerge w:val="restart"/>
            <w:tcBorders>
              <w:top w:val="single" w:color="auto" w:sz="4" w:space="0"/>
              <w:left w:val="single" w:color="auto" w:sz="4" w:space="0"/>
              <w:right w:val="single" w:color="auto" w:sz="4" w:space="0"/>
            </w:tcBorders>
            <w:vAlign w:val="center"/>
          </w:tcPr>
          <w:p w14:paraId="5D94D330">
            <w:pPr>
              <w:ind w:left="0" w:leftChars="0" w:firstLine="0" w:firstLineChars="0"/>
              <w:jc w:val="both"/>
              <w:rPr>
                <w:rFonts w:hint="eastAsia" w:ascii="宋体" w:hAnsi="Cambria" w:eastAsia="宋体" w:cs="宋体"/>
                <w:color w:val="auto"/>
                <w:kern w:val="0"/>
                <w:sz w:val="24"/>
                <w:szCs w:val="22"/>
                <w:highlight w:val="none"/>
                <w:lang w:val="zh-CN" w:eastAsia="zh-CN" w:bidi="ar-SA"/>
              </w:rPr>
            </w:pPr>
            <w:r>
              <w:rPr>
                <w:rFonts w:hint="eastAsia" w:ascii="宋体" w:hAnsi="Cambria" w:eastAsia="宋体" w:cs="宋体"/>
                <w:color w:val="auto"/>
                <w:kern w:val="0"/>
                <w:sz w:val="24"/>
                <w:szCs w:val="22"/>
                <w:highlight w:val="none"/>
                <w:lang w:val="zh-CN" w:eastAsia="zh-CN" w:bidi="ar-SA"/>
              </w:rPr>
              <w:t>技术部分（64分）</w:t>
            </w:r>
          </w:p>
        </w:tc>
        <w:tc>
          <w:tcPr>
            <w:tcW w:w="984" w:type="dxa"/>
            <w:tcBorders>
              <w:top w:val="single" w:color="auto" w:sz="4" w:space="0"/>
              <w:left w:val="single" w:color="auto" w:sz="4" w:space="0"/>
              <w:bottom w:val="single" w:color="auto" w:sz="4" w:space="0"/>
              <w:right w:val="single" w:color="auto" w:sz="4" w:space="0"/>
            </w:tcBorders>
            <w:vAlign w:val="center"/>
          </w:tcPr>
          <w:p w14:paraId="04B8CA3E">
            <w:pPr>
              <w:ind w:left="0" w:leftChars="0" w:firstLine="0" w:firstLineChars="0"/>
              <w:jc w:val="both"/>
              <w:rPr>
                <w:rFonts w:hint="eastAsia" w:ascii="宋体" w:hAnsi="Cambria" w:eastAsia="宋体" w:cs="宋体"/>
                <w:color w:val="auto"/>
                <w:kern w:val="0"/>
                <w:sz w:val="24"/>
                <w:szCs w:val="22"/>
                <w:highlight w:val="none"/>
                <w:lang w:val="zh-CN" w:eastAsia="zh-CN" w:bidi="ar-SA"/>
              </w:rPr>
            </w:pPr>
            <w:r>
              <w:rPr>
                <w:rFonts w:hint="eastAsia" w:ascii="宋体" w:hAnsi="Cambria" w:eastAsia="宋体" w:cs="宋体"/>
                <w:color w:val="auto"/>
                <w:kern w:val="0"/>
                <w:sz w:val="24"/>
                <w:szCs w:val="22"/>
                <w:highlight w:val="none"/>
                <w:lang w:val="zh-CN" w:eastAsia="zh-CN" w:bidi="ar-SA"/>
              </w:rPr>
              <w:t>技术服务方案</w:t>
            </w:r>
          </w:p>
        </w:tc>
        <w:tc>
          <w:tcPr>
            <w:tcW w:w="966" w:type="dxa"/>
            <w:tcBorders>
              <w:top w:val="single" w:color="auto" w:sz="4" w:space="0"/>
              <w:left w:val="nil"/>
              <w:bottom w:val="single" w:color="auto" w:sz="4" w:space="0"/>
              <w:right w:val="single" w:color="auto" w:sz="4" w:space="0"/>
            </w:tcBorders>
            <w:vAlign w:val="center"/>
          </w:tcPr>
          <w:p w14:paraId="5D188B0E">
            <w:pPr>
              <w:ind w:left="0" w:leftChars="0" w:firstLine="0" w:firstLineChars="0"/>
              <w:jc w:val="both"/>
              <w:rPr>
                <w:rFonts w:hint="eastAsia" w:ascii="宋体" w:hAnsi="Cambria" w:eastAsia="宋体" w:cs="宋体"/>
                <w:color w:val="auto"/>
                <w:kern w:val="0"/>
                <w:sz w:val="24"/>
                <w:szCs w:val="22"/>
                <w:highlight w:val="none"/>
                <w:lang w:val="zh-CN" w:eastAsia="zh-CN" w:bidi="ar-SA"/>
              </w:rPr>
            </w:pPr>
            <w:r>
              <w:rPr>
                <w:rFonts w:hint="eastAsia" w:ascii="宋体" w:hAnsi="Cambria" w:eastAsia="宋体" w:cs="宋体"/>
                <w:color w:val="auto"/>
                <w:kern w:val="0"/>
                <w:sz w:val="24"/>
                <w:szCs w:val="22"/>
                <w:highlight w:val="none"/>
                <w:lang w:val="zh-CN" w:eastAsia="zh-CN" w:bidi="ar-SA"/>
              </w:rPr>
              <w:t>20分</w:t>
            </w:r>
          </w:p>
        </w:tc>
        <w:tc>
          <w:tcPr>
            <w:tcW w:w="6583" w:type="dxa"/>
            <w:tcBorders>
              <w:top w:val="single" w:color="auto" w:sz="4" w:space="0"/>
              <w:left w:val="nil"/>
              <w:bottom w:val="single" w:color="auto" w:sz="4" w:space="0"/>
              <w:right w:val="single" w:color="auto" w:sz="4" w:space="0"/>
            </w:tcBorders>
            <w:vAlign w:val="center"/>
          </w:tcPr>
          <w:p w14:paraId="57135BBF">
            <w:pPr>
              <w:ind w:left="0" w:leftChars="0" w:firstLine="0" w:firstLineChars="0"/>
              <w:jc w:val="both"/>
              <w:rPr>
                <w:rFonts w:hint="default" w:ascii="宋体" w:hAnsi="Cambria" w:eastAsia="宋体" w:cs="宋体"/>
                <w:color w:val="auto"/>
                <w:kern w:val="0"/>
                <w:sz w:val="24"/>
                <w:szCs w:val="22"/>
                <w:highlight w:val="none"/>
                <w:lang w:val="zh-CN" w:eastAsia="zh-CN" w:bidi="ar-SA"/>
              </w:rPr>
            </w:pPr>
            <w:r>
              <w:rPr>
                <w:rFonts w:hint="eastAsia" w:ascii="宋体" w:hAnsi="Cambria" w:eastAsia="宋体" w:cs="宋体"/>
                <w:color w:val="auto"/>
                <w:kern w:val="0"/>
                <w:sz w:val="24"/>
                <w:szCs w:val="22"/>
                <w:highlight w:val="none"/>
                <w:lang w:val="zh-CN" w:eastAsia="zh-CN" w:bidi="ar-SA"/>
              </w:rPr>
              <w:t>供应商根据采购需求提供技术服务方案，包含①对本项目的环境熟悉程度及服务理解程度②对本项目实施过程中的重难点分析③对本项目的专业性建议④按服务工作内容和要求制定的服务方案。</w:t>
            </w:r>
            <w:r>
              <w:rPr>
                <w:rFonts w:hint="eastAsia" w:ascii="宋体" w:hAnsi="宋体" w:eastAsia="宋体" w:cs="宋体"/>
                <w:sz w:val="24"/>
                <w:szCs w:val="24"/>
                <w:highlight w:val="none"/>
                <w:lang w:val="en-US" w:eastAsia="zh-CN"/>
              </w:rPr>
              <w:t>方案内容完全满足以上要求且专门针对本项目方案的得20分，每缺少一项内容扣5分，每有一项内容存在缺陷，或此项内容部分不能满足采购需求的扣3分，不提供不得分。</w:t>
            </w:r>
          </w:p>
          <w:p w14:paraId="3F959966">
            <w:pPr>
              <w:ind w:left="0" w:leftChars="0" w:firstLine="0" w:firstLineChars="0"/>
              <w:jc w:val="both"/>
              <w:rPr>
                <w:rFonts w:hint="default" w:ascii="宋体" w:hAnsi="Cambria" w:eastAsia="宋体" w:cs="宋体"/>
                <w:color w:val="auto"/>
                <w:kern w:val="0"/>
                <w:sz w:val="24"/>
                <w:szCs w:val="22"/>
                <w:highlight w:val="none"/>
                <w:lang w:val="zh-CN" w:eastAsia="zh-CN" w:bidi="ar-SA"/>
              </w:rPr>
            </w:pPr>
            <w:r>
              <w:rPr>
                <w:rFonts w:hint="eastAsia" w:ascii="宋体" w:hAnsi="Cambria" w:eastAsia="宋体" w:cs="宋体"/>
                <w:color w:val="auto"/>
                <w:kern w:val="0"/>
                <w:sz w:val="24"/>
                <w:szCs w:val="22"/>
                <w:highlight w:val="none"/>
                <w:lang w:val="zh-CN" w:eastAsia="zh-CN" w:bidi="ar-SA"/>
              </w:rPr>
              <w:t>注：内容存在缺陷是指方案内容不切合行业实际、不符合行业政策;或存在项目名称错误、地点区域错误、内容与本项目需求无关、方案内容矛盾或表述前后不一致、仅有框架或标题、适用的标准(方法)错误、明显复制其他项目内容;或内容不适用项目实际情况;或内容逻辑漏洞或原理错误等任意一种情形。</w:t>
            </w:r>
          </w:p>
        </w:tc>
      </w:tr>
      <w:tr w14:paraId="6E684B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26" w:hRule="atLeast"/>
          <w:jc w:val="center"/>
        </w:trPr>
        <w:tc>
          <w:tcPr>
            <w:tcW w:w="984" w:type="dxa"/>
            <w:vMerge w:val="continue"/>
            <w:tcBorders>
              <w:left w:val="single" w:color="auto" w:sz="4" w:space="0"/>
              <w:right w:val="single" w:color="auto" w:sz="4" w:space="0"/>
            </w:tcBorders>
            <w:vAlign w:val="center"/>
          </w:tcPr>
          <w:p w14:paraId="4232B4C0">
            <w:pPr>
              <w:ind w:left="0" w:leftChars="0" w:firstLine="0" w:firstLineChars="0"/>
              <w:jc w:val="both"/>
              <w:rPr>
                <w:rFonts w:hint="eastAsia" w:ascii="宋体" w:hAnsi="Cambria" w:eastAsia="宋体" w:cs="宋体"/>
                <w:color w:val="auto"/>
                <w:kern w:val="0"/>
                <w:sz w:val="24"/>
                <w:szCs w:val="22"/>
                <w:highlight w:val="none"/>
                <w:lang w:val="zh-CN" w:eastAsia="zh-CN" w:bidi="ar-SA"/>
              </w:rPr>
            </w:pPr>
          </w:p>
        </w:tc>
        <w:tc>
          <w:tcPr>
            <w:tcW w:w="984" w:type="dxa"/>
            <w:tcBorders>
              <w:top w:val="single" w:color="auto" w:sz="4" w:space="0"/>
              <w:left w:val="single" w:color="auto" w:sz="4" w:space="0"/>
              <w:bottom w:val="single" w:color="auto" w:sz="4" w:space="0"/>
              <w:right w:val="single" w:color="auto" w:sz="4" w:space="0"/>
            </w:tcBorders>
            <w:vAlign w:val="center"/>
          </w:tcPr>
          <w:p w14:paraId="52888CB7">
            <w:pPr>
              <w:ind w:left="0" w:leftChars="0" w:firstLine="0" w:firstLineChars="0"/>
              <w:jc w:val="both"/>
              <w:rPr>
                <w:rFonts w:hint="eastAsia" w:ascii="宋体" w:hAnsi="Cambria" w:eastAsia="宋体" w:cs="宋体"/>
                <w:color w:val="auto"/>
                <w:kern w:val="0"/>
                <w:sz w:val="24"/>
                <w:szCs w:val="22"/>
                <w:highlight w:val="none"/>
                <w:lang w:val="zh-CN" w:eastAsia="zh-CN" w:bidi="ar-SA"/>
              </w:rPr>
            </w:pPr>
            <w:r>
              <w:rPr>
                <w:rFonts w:hint="eastAsia" w:ascii="宋体" w:hAnsi="Cambria" w:eastAsia="宋体" w:cs="宋体"/>
                <w:color w:val="auto"/>
                <w:kern w:val="0"/>
                <w:sz w:val="24"/>
                <w:szCs w:val="22"/>
                <w:highlight w:val="none"/>
                <w:lang w:val="zh-CN" w:eastAsia="zh-CN" w:bidi="ar-SA"/>
              </w:rPr>
              <w:t>巡检方案</w:t>
            </w:r>
          </w:p>
        </w:tc>
        <w:tc>
          <w:tcPr>
            <w:tcW w:w="966" w:type="dxa"/>
            <w:tcBorders>
              <w:top w:val="single" w:color="auto" w:sz="4" w:space="0"/>
              <w:left w:val="nil"/>
              <w:bottom w:val="nil"/>
              <w:right w:val="single" w:color="auto" w:sz="4" w:space="0"/>
            </w:tcBorders>
            <w:vAlign w:val="center"/>
          </w:tcPr>
          <w:p w14:paraId="6D06321C">
            <w:pPr>
              <w:ind w:left="0" w:leftChars="0" w:firstLine="0" w:firstLineChars="0"/>
              <w:jc w:val="both"/>
              <w:rPr>
                <w:rFonts w:hint="eastAsia" w:ascii="宋体" w:hAnsi="Cambria" w:eastAsia="宋体" w:cs="宋体"/>
                <w:color w:val="auto"/>
                <w:kern w:val="0"/>
                <w:sz w:val="24"/>
                <w:szCs w:val="22"/>
                <w:highlight w:val="none"/>
                <w:lang w:val="zh-CN" w:eastAsia="zh-CN" w:bidi="ar-SA"/>
              </w:rPr>
            </w:pPr>
            <w:r>
              <w:rPr>
                <w:rFonts w:hint="eastAsia" w:ascii="宋体" w:hAnsi="Cambria" w:eastAsia="宋体" w:cs="宋体"/>
                <w:color w:val="auto"/>
                <w:kern w:val="0"/>
                <w:sz w:val="24"/>
                <w:szCs w:val="22"/>
                <w:highlight w:val="none"/>
                <w:lang w:val="zh-CN" w:eastAsia="zh-CN" w:bidi="ar-SA"/>
              </w:rPr>
              <w:t>15分</w:t>
            </w:r>
          </w:p>
        </w:tc>
        <w:tc>
          <w:tcPr>
            <w:tcW w:w="6583" w:type="dxa"/>
            <w:tcBorders>
              <w:top w:val="single" w:color="auto" w:sz="4" w:space="0"/>
              <w:left w:val="nil"/>
              <w:bottom w:val="nil"/>
              <w:right w:val="single" w:color="auto" w:sz="4" w:space="0"/>
            </w:tcBorders>
            <w:vAlign w:val="center"/>
          </w:tcPr>
          <w:p w14:paraId="6C693184">
            <w:pPr>
              <w:ind w:left="0" w:leftChars="0" w:firstLine="0" w:firstLineChars="0"/>
              <w:jc w:val="both"/>
              <w:rPr>
                <w:rFonts w:hint="default" w:ascii="宋体" w:hAnsi="Cambria" w:eastAsia="宋体" w:cs="宋体"/>
                <w:color w:val="auto"/>
                <w:kern w:val="0"/>
                <w:sz w:val="24"/>
                <w:szCs w:val="22"/>
                <w:highlight w:val="none"/>
                <w:lang w:val="zh-CN" w:eastAsia="zh-CN" w:bidi="ar-SA"/>
              </w:rPr>
            </w:pPr>
            <w:r>
              <w:rPr>
                <w:rFonts w:hint="eastAsia" w:ascii="宋体" w:hAnsi="Cambria" w:eastAsia="宋体" w:cs="宋体"/>
                <w:color w:val="auto"/>
                <w:kern w:val="0"/>
                <w:sz w:val="24"/>
                <w:szCs w:val="22"/>
                <w:highlight w:val="none"/>
                <w:lang w:val="zh-CN" w:eastAsia="zh-CN" w:bidi="ar-SA"/>
              </w:rPr>
              <w:t>供应商根据采购需求提供巡检方案，包含①日常巡检方案②设备巡检方法③巡检要求④运行监控⑤巡检报告及健康检查报告。</w:t>
            </w:r>
            <w:r>
              <w:rPr>
                <w:rFonts w:hint="eastAsia" w:ascii="宋体" w:hAnsi="宋体" w:eastAsia="宋体" w:cs="宋体"/>
                <w:sz w:val="24"/>
                <w:szCs w:val="24"/>
                <w:highlight w:val="none"/>
                <w:lang w:val="en-US" w:eastAsia="zh-CN"/>
              </w:rPr>
              <w:t>方案内容完全满足以上要求且专门针对本项目方案的得15分，每缺少一项内容扣3分，每有一项内容存在缺陷，或此项内容部分不能满足采购需求的扣2分，不提供不得分。</w:t>
            </w:r>
          </w:p>
          <w:p w14:paraId="04BEE7B2">
            <w:pPr>
              <w:ind w:left="0" w:leftChars="0" w:firstLine="0" w:firstLineChars="0"/>
              <w:jc w:val="both"/>
              <w:rPr>
                <w:rFonts w:hint="default" w:ascii="宋体" w:hAnsi="Cambria" w:eastAsia="宋体" w:cs="宋体"/>
                <w:color w:val="auto"/>
                <w:kern w:val="0"/>
                <w:sz w:val="24"/>
                <w:szCs w:val="22"/>
                <w:highlight w:val="none"/>
                <w:lang w:val="zh-CN" w:eastAsia="zh-CN" w:bidi="ar-SA"/>
              </w:rPr>
            </w:pPr>
            <w:r>
              <w:rPr>
                <w:rFonts w:hint="eastAsia" w:ascii="宋体" w:hAnsi="Cambria" w:eastAsia="宋体" w:cs="宋体"/>
                <w:color w:val="auto"/>
                <w:kern w:val="0"/>
                <w:sz w:val="24"/>
                <w:szCs w:val="22"/>
                <w:highlight w:val="none"/>
                <w:lang w:val="zh-CN" w:eastAsia="zh-CN" w:bidi="ar-SA"/>
              </w:rPr>
              <w:t>注：内容存在缺陷是指方案内容不切合行业实际、不符合行业政策;或存在项目名称错误、地点区域错误、内容与本项目需求无关、方案内容矛盾或表述前后不一致、仅有框架或标题、适用的标准(方法)错误、明显复制其他项目内容;或内容不适用项目实际情况;或内容逻辑漏洞或原理错误等任意一种情形。</w:t>
            </w:r>
          </w:p>
        </w:tc>
      </w:tr>
      <w:tr w14:paraId="145485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2" w:hRule="atLeast"/>
          <w:jc w:val="center"/>
        </w:trPr>
        <w:tc>
          <w:tcPr>
            <w:tcW w:w="984" w:type="dxa"/>
            <w:vMerge w:val="continue"/>
            <w:tcBorders>
              <w:left w:val="single" w:color="auto" w:sz="4" w:space="0"/>
              <w:right w:val="single" w:color="auto" w:sz="4" w:space="0"/>
            </w:tcBorders>
            <w:vAlign w:val="center"/>
          </w:tcPr>
          <w:p w14:paraId="17468C3F">
            <w:pPr>
              <w:ind w:left="0" w:leftChars="0" w:firstLine="0" w:firstLineChars="0"/>
              <w:jc w:val="both"/>
              <w:rPr>
                <w:rFonts w:hint="eastAsia" w:ascii="宋体" w:hAnsi="Cambria" w:eastAsia="宋体" w:cs="宋体"/>
                <w:color w:val="auto"/>
                <w:kern w:val="0"/>
                <w:sz w:val="24"/>
                <w:szCs w:val="22"/>
                <w:highlight w:val="none"/>
                <w:lang w:val="zh-CN" w:eastAsia="zh-CN" w:bidi="ar-SA"/>
              </w:rPr>
            </w:pPr>
          </w:p>
        </w:tc>
        <w:tc>
          <w:tcPr>
            <w:tcW w:w="984" w:type="dxa"/>
            <w:tcBorders>
              <w:top w:val="single" w:color="auto" w:sz="4" w:space="0"/>
              <w:left w:val="single" w:color="auto" w:sz="4" w:space="0"/>
              <w:bottom w:val="single" w:color="auto" w:sz="4" w:space="0"/>
              <w:right w:val="single" w:color="auto" w:sz="4" w:space="0"/>
            </w:tcBorders>
            <w:vAlign w:val="center"/>
          </w:tcPr>
          <w:p w14:paraId="19945F38">
            <w:pPr>
              <w:ind w:left="0" w:leftChars="0" w:firstLine="0" w:firstLineChars="0"/>
              <w:jc w:val="both"/>
              <w:rPr>
                <w:rFonts w:hint="eastAsia" w:ascii="宋体" w:hAnsi="Cambria" w:eastAsia="宋体" w:cs="宋体"/>
                <w:color w:val="auto"/>
                <w:kern w:val="0"/>
                <w:sz w:val="24"/>
                <w:szCs w:val="22"/>
                <w:highlight w:val="none"/>
                <w:lang w:val="zh-CN" w:eastAsia="zh-CN" w:bidi="ar-SA"/>
              </w:rPr>
            </w:pPr>
            <w:r>
              <w:rPr>
                <w:rFonts w:hint="eastAsia" w:ascii="宋体" w:hAnsi="Cambria" w:eastAsia="宋体" w:cs="宋体"/>
                <w:color w:val="auto"/>
                <w:kern w:val="0"/>
                <w:sz w:val="24"/>
                <w:szCs w:val="22"/>
                <w:highlight w:val="none"/>
                <w:lang w:val="zh-CN" w:eastAsia="zh-CN" w:bidi="ar-SA"/>
              </w:rPr>
              <w:t>应急故障处理方案</w:t>
            </w:r>
          </w:p>
        </w:tc>
        <w:tc>
          <w:tcPr>
            <w:tcW w:w="966" w:type="dxa"/>
            <w:tcBorders>
              <w:top w:val="single" w:color="auto" w:sz="4" w:space="0"/>
              <w:left w:val="nil"/>
              <w:bottom w:val="nil"/>
              <w:right w:val="single" w:color="auto" w:sz="4" w:space="0"/>
            </w:tcBorders>
            <w:vAlign w:val="center"/>
          </w:tcPr>
          <w:p w14:paraId="5BBFE90E">
            <w:pPr>
              <w:ind w:left="0" w:leftChars="0" w:firstLine="0" w:firstLineChars="0"/>
              <w:jc w:val="both"/>
              <w:rPr>
                <w:rFonts w:hint="eastAsia" w:ascii="宋体" w:hAnsi="Cambria" w:eastAsia="宋体" w:cs="宋体"/>
                <w:color w:val="auto"/>
                <w:kern w:val="0"/>
                <w:sz w:val="24"/>
                <w:szCs w:val="22"/>
                <w:highlight w:val="none"/>
                <w:lang w:val="zh-CN" w:eastAsia="zh-CN" w:bidi="ar-SA"/>
              </w:rPr>
            </w:pPr>
            <w:r>
              <w:rPr>
                <w:rFonts w:hint="eastAsia" w:ascii="宋体" w:hAnsi="Cambria" w:eastAsia="宋体" w:cs="宋体"/>
                <w:color w:val="auto"/>
                <w:kern w:val="0"/>
                <w:sz w:val="24"/>
                <w:szCs w:val="22"/>
                <w:highlight w:val="none"/>
                <w:lang w:val="zh-CN" w:eastAsia="zh-CN" w:bidi="ar-SA"/>
              </w:rPr>
              <w:t>15分</w:t>
            </w:r>
          </w:p>
        </w:tc>
        <w:tc>
          <w:tcPr>
            <w:tcW w:w="6583" w:type="dxa"/>
            <w:tcBorders>
              <w:top w:val="single" w:color="auto" w:sz="4" w:space="0"/>
              <w:left w:val="nil"/>
              <w:bottom w:val="nil"/>
              <w:right w:val="single" w:color="auto" w:sz="4" w:space="0"/>
            </w:tcBorders>
            <w:vAlign w:val="center"/>
          </w:tcPr>
          <w:p w14:paraId="72932159">
            <w:pPr>
              <w:ind w:left="0" w:leftChars="0" w:firstLine="0" w:firstLineChars="0"/>
              <w:jc w:val="both"/>
              <w:rPr>
                <w:rFonts w:hint="default" w:ascii="宋体" w:hAnsi="Cambria" w:eastAsia="宋体" w:cs="宋体"/>
                <w:color w:val="auto"/>
                <w:kern w:val="0"/>
                <w:sz w:val="24"/>
                <w:szCs w:val="22"/>
                <w:highlight w:val="none"/>
                <w:lang w:val="zh-CN" w:eastAsia="zh-CN" w:bidi="ar-SA"/>
              </w:rPr>
            </w:pPr>
            <w:r>
              <w:rPr>
                <w:rFonts w:hint="eastAsia" w:ascii="宋体" w:hAnsi="Cambria" w:eastAsia="宋体" w:cs="宋体"/>
                <w:color w:val="auto"/>
                <w:kern w:val="0"/>
                <w:sz w:val="24"/>
                <w:szCs w:val="22"/>
                <w:highlight w:val="none"/>
                <w:lang w:val="zh-CN" w:eastAsia="zh-CN" w:bidi="ar-SA"/>
              </w:rPr>
              <w:t>供应商提供应急故障处理方案，包含①应急保障方案②应急处理方案③应急处理工作流程④应急恢复策略及时效性⑤事后处理工作及故障处理方法。</w:t>
            </w:r>
            <w:r>
              <w:rPr>
                <w:rFonts w:hint="eastAsia" w:ascii="宋体" w:hAnsi="宋体" w:eastAsia="宋体" w:cs="宋体"/>
                <w:sz w:val="24"/>
                <w:szCs w:val="24"/>
                <w:highlight w:val="none"/>
                <w:lang w:val="en-US" w:eastAsia="zh-CN"/>
              </w:rPr>
              <w:t>方案内容完全满足以上要求且专门针对本项目方案的得15分，每缺少一项内容扣3分，每有一项内容存在缺陷，或此项内容部分不能满足采购需求的扣2分，不提供不得分。</w:t>
            </w:r>
          </w:p>
          <w:p w14:paraId="152DACB0">
            <w:pPr>
              <w:ind w:left="0" w:leftChars="0" w:firstLine="0" w:firstLineChars="0"/>
              <w:jc w:val="both"/>
              <w:rPr>
                <w:rFonts w:hint="default" w:ascii="宋体" w:hAnsi="Cambria" w:eastAsia="宋体" w:cs="宋体"/>
                <w:color w:val="auto"/>
                <w:kern w:val="0"/>
                <w:sz w:val="24"/>
                <w:szCs w:val="22"/>
                <w:highlight w:val="none"/>
                <w:lang w:val="zh-CN" w:eastAsia="zh-CN" w:bidi="ar-SA"/>
              </w:rPr>
            </w:pPr>
            <w:r>
              <w:rPr>
                <w:rFonts w:hint="eastAsia" w:ascii="宋体" w:hAnsi="Cambria" w:eastAsia="宋体" w:cs="宋体"/>
                <w:color w:val="auto"/>
                <w:kern w:val="0"/>
                <w:sz w:val="24"/>
                <w:szCs w:val="22"/>
                <w:highlight w:val="none"/>
                <w:lang w:val="zh-CN" w:eastAsia="zh-CN" w:bidi="ar-SA"/>
              </w:rPr>
              <w:t>注：内容存在缺陷是指方案内容不切合行业实际、不符合行业政策;或存在项目名称错误、地点区域错误、内容与本项目需求无关、方案内容矛盾或表述前后不一致、仅有框架或标题、适用的标准(方法)错误、明显复制其他项目内容;或内容不适用项目实际情况;或内容逻辑漏洞或原理错误等任意一种情形。</w:t>
            </w:r>
          </w:p>
        </w:tc>
      </w:tr>
      <w:tr w14:paraId="3E37B4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11" w:hRule="atLeast"/>
          <w:jc w:val="center"/>
        </w:trPr>
        <w:tc>
          <w:tcPr>
            <w:tcW w:w="984" w:type="dxa"/>
            <w:vMerge w:val="continue"/>
            <w:tcBorders>
              <w:left w:val="single" w:color="auto" w:sz="4" w:space="0"/>
              <w:right w:val="single" w:color="auto" w:sz="4" w:space="0"/>
            </w:tcBorders>
            <w:vAlign w:val="center"/>
          </w:tcPr>
          <w:p w14:paraId="0162ED79">
            <w:pPr>
              <w:ind w:left="0" w:leftChars="0" w:firstLine="0" w:firstLineChars="0"/>
              <w:jc w:val="both"/>
              <w:rPr>
                <w:rFonts w:hint="eastAsia" w:ascii="宋体" w:hAnsi="Cambria" w:eastAsia="宋体" w:cs="宋体"/>
                <w:color w:val="auto"/>
                <w:kern w:val="0"/>
                <w:sz w:val="24"/>
                <w:szCs w:val="22"/>
                <w:highlight w:val="none"/>
                <w:lang w:val="zh-CN" w:eastAsia="zh-CN" w:bidi="ar-SA"/>
              </w:rPr>
            </w:pPr>
          </w:p>
        </w:tc>
        <w:tc>
          <w:tcPr>
            <w:tcW w:w="984" w:type="dxa"/>
            <w:tcBorders>
              <w:top w:val="single" w:color="auto" w:sz="4" w:space="0"/>
              <w:left w:val="single" w:color="auto" w:sz="4" w:space="0"/>
              <w:bottom w:val="single" w:color="auto" w:sz="4" w:space="0"/>
              <w:right w:val="single" w:color="auto" w:sz="4" w:space="0"/>
            </w:tcBorders>
            <w:vAlign w:val="center"/>
          </w:tcPr>
          <w:p w14:paraId="5B27D4BF">
            <w:pPr>
              <w:ind w:left="0" w:leftChars="0" w:firstLine="0" w:firstLineChars="0"/>
              <w:jc w:val="both"/>
              <w:rPr>
                <w:rFonts w:hint="eastAsia" w:ascii="宋体" w:hAnsi="Cambria" w:eastAsia="宋体" w:cs="宋体"/>
                <w:color w:val="auto"/>
                <w:kern w:val="0"/>
                <w:sz w:val="24"/>
                <w:szCs w:val="22"/>
                <w:highlight w:val="none"/>
                <w:lang w:val="zh-CN" w:eastAsia="zh-CN" w:bidi="ar-SA"/>
              </w:rPr>
            </w:pPr>
            <w:r>
              <w:rPr>
                <w:rFonts w:hint="eastAsia" w:ascii="宋体" w:hAnsi="Cambria" w:eastAsia="宋体" w:cs="宋体"/>
                <w:color w:val="auto"/>
                <w:kern w:val="0"/>
                <w:sz w:val="24"/>
                <w:szCs w:val="22"/>
                <w:highlight w:val="none"/>
                <w:lang w:val="zh-CN" w:eastAsia="zh-CN" w:bidi="ar-SA"/>
              </w:rPr>
              <w:t>拟投入该项目的设备情况</w:t>
            </w:r>
          </w:p>
        </w:tc>
        <w:tc>
          <w:tcPr>
            <w:tcW w:w="966" w:type="dxa"/>
            <w:tcBorders>
              <w:top w:val="single" w:color="auto" w:sz="4" w:space="0"/>
              <w:left w:val="nil"/>
              <w:bottom w:val="nil"/>
              <w:right w:val="single" w:color="auto" w:sz="4" w:space="0"/>
            </w:tcBorders>
            <w:vAlign w:val="center"/>
          </w:tcPr>
          <w:p w14:paraId="681F66A1">
            <w:pPr>
              <w:ind w:left="0" w:leftChars="0" w:firstLine="0" w:firstLineChars="0"/>
              <w:jc w:val="both"/>
              <w:rPr>
                <w:rFonts w:hint="eastAsia" w:ascii="宋体" w:hAnsi="Cambria" w:eastAsia="宋体" w:cs="宋体"/>
                <w:color w:val="auto"/>
                <w:kern w:val="0"/>
                <w:sz w:val="24"/>
                <w:szCs w:val="22"/>
                <w:highlight w:val="none"/>
                <w:lang w:val="zh-CN" w:eastAsia="zh-CN" w:bidi="ar-SA"/>
              </w:rPr>
            </w:pPr>
            <w:r>
              <w:rPr>
                <w:rFonts w:hint="eastAsia" w:ascii="宋体" w:hAnsi="Cambria" w:eastAsia="宋体" w:cs="宋体"/>
                <w:color w:val="auto"/>
                <w:kern w:val="0"/>
                <w:sz w:val="24"/>
                <w:szCs w:val="22"/>
                <w:highlight w:val="none"/>
                <w:lang w:val="zh-CN" w:eastAsia="zh-CN" w:bidi="ar-SA"/>
              </w:rPr>
              <w:t>4分</w:t>
            </w:r>
          </w:p>
        </w:tc>
        <w:tc>
          <w:tcPr>
            <w:tcW w:w="6583" w:type="dxa"/>
            <w:tcBorders>
              <w:top w:val="single" w:color="auto" w:sz="4" w:space="0"/>
              <w:left w:val="nil"/>
              <w:bottom w:val="nil"/>
              <w:right w:val="single" w:color="auto" w:sz="4" w:space="0"/>
            </w:tcBorders>
          </w:tcPr>
          <w:p w14:paraId="66A60914">
            <w:pPr>
              <w:ind w:left="0" w:leftChars="0" w:firstLine="0" w:firstLineChars="0"/>
              <w:jc w:val="both"/>
              <w:rPr>
                <w:rFonts w:hint="default" w:ascii="宋体" w:hAnsi="Cambria" w:eastAsia="宋体" w:cs="宋体"/>
                <w:color w:val="auto"/>
                <w:kern w:val="0"/>
                <w:sz w:val="24"/>
                <w:szCs w:val="22"/>
                <w:highlight w:val="none"/>
                <w:lang w:val="zh-CN" w:eastAsia="zh-CN" w:bidi="ar-SA"/>
              </w:rPr>
            </w:pPr>
            <w:r>
              <w:rPr>
                <w:rFonts w:hint="eastAsia" w:ascii="宋体" w:hAnsi="Cambria" w:eastAsia="宋体" w:cs="宋体"/>
                <w:color w:val="auto"/>
                <w:kern w:val="0"/>
                <w:sz w:val="24"/>
                <w:szCs w:val="22"/>
                <w:highlight w:val="none"/>
                <w:lang w:val="zh-CN" w:eastAsia="zh-CN" w:bidi="ar-SA"/>
              </w:rPr>
              <w:t>供应商在满足磋商文件要求的基础上提供拟投入该项目的设备情况，包含①拟投入设备②设备先进性。</w:t>
            </w:r>
            <w:r>
              <w:rPr>
                <w:rFonts w:hint="eastAsia" w:ascii="宋体" w:hAnsi="宋体" w:eastAsia="宋体" w:cs="宋体"/>
                <w:sz w:val="24"/>
                <w:szCs w:val="24"/>
                <w:highlight w:val="none"/>
                <w:lang w:val="en-US" w:eastAsia="zh-CN"/>
              </w:rPr>
              <w:t>方案内容完全满足以上要求且专门针对本项目方案的得4分，每缺少一项内容扣2分，每有一项内容存在缺陷，或此项内容部分不能满足采购需求的扣1分，不提供不得分。</w:t>
            </w:r>
          </w:p>
          <w:p w14:paraId="1F80EFD2">
            <w:pPr>
              <w:ind w:left="0" w:leftChars="0" w:firstLine="0" w:firstLineChars="0"/>
              <w:jc w:val="both"/>
              <w:rPr>
                <w:rFonts w:hint="eastAsia" w:ascii="宋体" w:hAnsi="Cambria" w:eastAsia="宋体" w:cs="宋体"/>
                <w:color w:val="auto"/>
                <w:kern w:val="0"/>
                <w:sz w:val="24"/>
                <w:szCs w:val="22"/>
                <w:highlight w:val="none"/>
                <w:lang w:val="zh-CN" w:eastAsia="zh-CN" w:bidi="ar-SA"/>
              </w:rPr>
            </w:pPr>
            <w:r>
              <w:rPr>
                <w:rFonts w:hint="eastAsia" w:ascii="宋体" w:hAnsi="Cambria" w:eastAsia="宋体" w:cs="宋体"/>
                <w:color w:val="auto"/>
                <w:kern w:val="0"/>
                <w:sz w:val="24"/>
                <w:szCs w:val="22"/>
                <w:highlight w:val="none"/>
                <w:lang w:val="zh-CN" w:eastAsia="zh-CN" w:bidi="ar-SA"/>
              </w:rPr>
              <w:t>注：内容存在缺陷是指方案内容不切合行业实际、不符合行业政策;或存在项目名称错误、地点区域错误、内容与本项目需求无关、方案内容矛盾或表述前后不一致、仅有框架或标题、适用的标准(方法)错误、明显复制其他项目内容;或内容不适用项目实际情况;或内容逻辑漏洞或原理错误等任意一种情形。</w:t>
            </w:r>
          </w:p>
        </w:tc>
      </w:tr>
      <w:tr w14:paraId="0AF8E5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984" w:type="dxa"/>
            <w:vMerge w:val="continue"/>
            <w:tcBorders>
              <w:left w:val="single" w:color="auto" w:sz="4" w:space="0"/>
              <w:bottom w:val="single" w:color="auto" w:sz="4" w:space="0"/>
              <w:right w:val="single" w:color="auto" w:sz="4" w:space="0"/>
            </w:tcBorders>
            <w:vAlign w:val="center"/>
          </w:tcPr>
          <w:p w14:paraId="2F059BDF">
            <w:pPr>
              <w:ind w:left="0" w:leftChars="0" w:firstLine="0" w:firstLineChars="0"/>
              <w:jc w:val="both"/>
              <w:rPr>
                <w:rFonts w:hint="eastAsia" w:ascii="宋体" w:hAnsi="Cambria" w:eastAsia="宋体" w:cs="宋体"/>
                <w:color w:val="auto"/>
                <w:kern w:val="0"/>
                <w:sz w:val="24"/>
                <w:szCs w:val="22"/>
                <w:highlight w:val="none"/>
                <w:lang w:val="zh-CN" w:eastAsia="zh-CN" w:bidi="ar-SA"/>
              </w:rPr>
            </w:pPr>
          </w:p>
        </w:tc>
        <w:tc>
          <w:tcPr>
            <w:tcW w:w="984" w:type="dxa"/>
            <w:tcBorders>
              <w:top w:val="single" w:color="auto" w:sz="4" w:space="0"/>
              <w:left w:val="single" w:color="auto" w:sz="4" w:space="0"/>
              <w:bottom w:val="single" w:color="auto" w:sz="4" w:space="0"/>
              <w:right w:val="single" w:color="auto" w:sz="4" w:space="0"/>
            </w:tcBorders>
            <w:vAlign w:val="center"/>
          </w:tcPr>
          <w:p w14:paraId="7BC416A3">
            <w:pPr>
              <w:ind w:left="0" w:leftChars="0" w:firstLine="0" w:firstLineChars="0"/>
              <w:jc w:val="both"/>
              <w:rPr>
                <w:rFonts w:hint="eastAsia" w:ascii="宋体" w:hAnsi="Cambria" w:eastAsia="宋体" w:cs="宋体"/>
                <w:color w:val="auto"/>
                <w:kern w:val="0"/>
                <w:sz w:val="24"/>
                <w:szCs w:val="22"/>
                <w:highlight w:val="none"/>
                <w:lang w:val="zh-CN" w:eastAsia="zh-CN" w:bidi="ar-SA"/>
              </w:rPr>
            </w:pPr>
            <w:r>
              <w:rPr>
                <w:rFonts w:hint="eastAsia" w:ascii="宋体" w:hAnsi="Cambria" w:eastAsia="宋体" w:cs="宋体"/>
                <w:color w:val="auto"/>
                <w:kern w:val="0"/>
                <w:sz w:val="24"/>
                <w:szCs w:val="22"/>
                <w:highlight w:val="none"/>
                <w:lang w:val="zh-CN" w:eastAsia="zh-CN" w:bidi="ar-SA"/>
              </w:rPr>
              <w:t>维保相关管理制度</w:t>
            </w:r>
          </w:p>
        </w:tc>
        <w:tc>
          <w:tcPr>
            <w:tcW w:w="966" w:type="dxa"/>
            <w:tcBorders>
              <w:top w:val="single" w:color="auto" w:sz="4" w:space="0"/>
              <w:left w:val="nil"/>
              <w:bottom w:val="nil"/>
              <w:right w:val="single" w:color="auto" w:sz="4" w:space="0"/>
            </w:tcBorders>
            <w:vAlign w:val="center"/>
          </w:tcPr>
          <w:p w14:paraId="5442C48A">
            <w:pPr>
              <w:ind w:left="0" w:leftChars="0" w:firstLine="0" w:firstLineChars="0"/>
              <w:jc w:val="both"/>
              <w:rPr>
                <w:rFonts w:hint="eastAsia" w:ascii="宋体" w:hAnsi="Cambria" w:eastAsia="宋体" w:cs="宋体"/>
                <w:color w:val="auto"/>
                <w:kern w:val="0"/>
                <w:sz w:val="24"/>
                <w:szCs w:val="22"/>
                <w:highlight w:val="none"/>
                <w:lang w:val="zh-CN" w:eastAsia="zh-CN" w:bidi="ar-SA"/>
              </w:rPr>
            </w:pPr>
            <w:r>
              <w:rPr>
                <w:rFonts w:hint="eastAsia" w:ascii="宋体" w:hAnsi="Cambria" w:eastAsia="宋体" w:cs="宋体"/>
                <w:color w:val="auto"/>
                <w:kern w:val="0"/>
                <w:sz w:val="24"/>
                <w:szCs w:val="22"/>
                <w:highlight w:val="none"/>
                <w:lang w:val="zh-CN" w:eastAsia="zh-CN" w:bidi="ar-SA"/>
              </w:rPr>
              <w:t>10分</w:t>
            </w:r>
          </w:p>
        </w:tc>
        <w:tc>
          <w:tcPr>
            <w:tcW w:w="6583" w:type="dxa"/>
            <w:tcBorders>
              <w:top w:val="single" w:color="auto" w:sz="4" w:space="0"/>
              <w:left w:val="nil"/>
              <w:bottom w:val="nil"/>
              <w:right w:val="single" w:color="auto" w:sz="4" w:space="0"/>
            </w:tcBorders>
            <w:vAlign w:val="center"/>
          </w:tcPr>
          <w:p w14:paraId="25721481">
            <w:pPr>
              <w:ind w:left="0" w:leftChars="0" w:firstLine="0" w:firstLineChars="0"/>
              <w:jc w:val="both"/>
              <w:rPr>
                <w:rFonts w:hint="default" w:ascii="宋体" w:hAnsi="Cambria" w:eastAsia="宋体" w:cs="宋体"/>
                <w:color w:val="auto"/>
                <w:kern w:val="0"/>
                <w:sz w:val="24"/>
                <w:szCs w:val="22"/>
                <w:highlight w:val="none"/>
                <w:lang w:val="zh-CN" w:eastAsia="zh-CN" w:bidi="ar-SA"/>
              </w:rPr>
            </w:pPr>
            <w:r>
              <w:rPr>
                <w:rFonts w:hint="eastAsia" w:ascii="宋体" w:hAnsi="Cambria" w:eastAsia="宋体" w:cs="宋体"/>
                <w:color w:val="auto"/>
                <w:kern w:val="0"/>
                <w:sz w:val="24"/>
                <w:szCs w:val="22"/>
                <w:highlight w:val="none"/>
                <w:lang w:val="zh-CN" w:eastAsia="zh-CN" w:bidi="ar-SA"/>
              </w:rPr>
              <w:t>供应商提供维保相关管理制度，包含①维保制度②质量管理制度③安全操作规范④岗位职责制度⑤安全管理制度。</w:t>
            </w:r>
            <w:r>
              <w:rPr>
                <w:rFonts w:hint="eastAsia" w:ascii="宋体" w:hAnsi="宋体" w:eastAsia="宋体" w:cs="宋体"/>
                <w:sz w:val="24"/>
                <w:szCs w:val="24"/>
                <w:highlight w:val="none"/>
                <w:lang w:val="en-US" w:eastAsia="zh-CN"/>
              </w:rPr>
              <w:t>方案内容完全满足以上要求且专门针对本项目方案的得10分，每缺少一项内容扣2分，每有一项内容存在缺陷，或此项内容部分不能满足采购需求的扣1分，不提供不得分。</w:t>
            </w:r>
          </w:p>
          <w:p w14:paraId="063A67F6">
            <w:pPr>
              <w:ind w:left="0" w:leftChars="0" w:firstLine="0" w:firstLineChars="0"/>
              <w:jc w:val="both"/>
              <w:rPr>
                <w:rFonts w:hint="default" w:ascii="宋体" w:hAnsi="Cambria" w:eastAsia="宋体" w:cs="宋体"/>
                <w:color w:val="auto"/>
                <w:kern w:val="0"/>
                <w:sz w:val="24"/>
                <w:szCs w:val="22"/>
                <w:highlight w:val="none"/>
                <w:lang w:val="zh-CN" w:eastAsia="zh-CN" w:bidi="ar-SA"/>
              </w:rPr>
            </w:pPr>
            <w:r>
              <w:rPr>
                <w:rFonts w:hint="eastAsia" w:ascii="宋体" w:hAnsi="Cambria" w:eastAsia="宋体" w:cs="宋体"/>
                <w:color w:val="auto"/>
                <w:kern w:val="0"/>
                <w:sz w:val="24"/>
                <w:szCs w:val="22"/>
                <w:highlight w:val="none"/>
                <w:lang w:val="zh-CN" w:eastAsia="zh-CN" w:bidi="ar-SA"/>
              </w:rPr>
              <w:t>注：内容存在缺陷是指方案内容不切合行业实际、不符合行业政策;或存在项目名称错误、地点区域错误、内容与本项目需求无关、方案内容矛盾或表述前后不一致、仅有框架或标题、适用的标准(方法)错误、明显复制其他项目内容;或内容不适用项目实际情况;或内容逻辑漏洞或原理错误等任意一种情形。</w:t>
            </w:r>
          </w:p>
        </w:tc>
      </w:tr>
      <w:tr w14:paraId="2A2388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6" w:hRule="atLeast"/>
          <w:jc w:val="center"/>
        </w:trPr>
        <w:tc>
          <w:tcPr>
            <w:tcW w:w="984" w:type="dxa"/>
            <w:vMerge w:val="restart"/>
            <w:tcBorders>
              <w:top w:val="single" w:color="auto" w:sz="4" w:space="0"/>
              <w:left w:val="single" w:color="auto" w:sz="4" w:space="0"/>
              <w:right w:val="single" w:color="auto" w:sz="4" w:space="0"/>
            </w:tcBorders>
            <w:vAlign w:val="center"/>
          </w:tcPr>
          <w:p w14:paraId="6B2462FB">
            <w:pPr>
              <w:ind w:left="0" w:leftChars="0" w:firstLine="0" w:firstLineChars="0"/>
              <w:jc w:val="both"/>
              <w:rPr>
                <w:rFonts w:hint="eastAsia" w:ascii="宋体" w:hAnsi="Cambria" w:eastAsia="宋体" w:cs="宋体"/>
                <w:color w:val="auto"/>
                <w:kern w:val="0"/>
                <w:sz w:val="24"/>
                <w:szCs w:val="22"/>
                <w:highlight w:val="none"/>
                <w:lang w:val="zh-CN" w:eastAsia="zh-CN" w:bidi="ar-SA"/>
              </w:rPr>
            </w:pPr>
            <w:r>
              <w:rPr>
                <w:rFonts w:hint="eastAsia" w:ascii="宋体" w:hAnsi="Cambria" w:eastAsia="宋体" w:cs="宋体"/>
                <w:color w:val="auto"/>
                <w:kern w:val="0"/>
                <w:sz w:val="24"/>
                <w:szCs w:val="22"/>
                <w:highlight w:val="none"/>
                <w:lang w:val="zh-CN" w:eastAsia="zh-CN" w:bidi="ar-SA"/>
              </w:rPr>
              <w:t>商务部分（26分）</w:t>
            </w:r>
          </w:p>
        </w:tc>
        <w:tc>
          <w:tcPr>
            <w:tcW w:w="984" w:type="dxa"/>
            <w:tcBorders>
              <w:top w:val="single" w:color="auto" w:sz="4" w:space="0"/>
              <w:left w:val="single" w:color="auto" w:sz="4" w:space="0"/>
              <w:bottom w:val="single" w:color="auto" w:sz="4" w:space="0"/>
              <w:right w:val="single" w:color="auto" w:sz="4" w:space="0"/>
            </w:tcBorders>
            <w:vAlign w:val="center"/>
          </w:tcPr>
          <w:p w14:paraId="0EC28B48">
            <w:pPr>
              <w:ind w:left="0" w:leftChars="0" w:firstLine="0" w:firstLineChars="0"/>
              <w:jc w:val="both"/>
              <w:rPr>
                <w:rFonts w:hint="eastAsia" w:ascii="宋体" w:hAnsi="Cambria" w:eastAsia="宋体" w:cs="宋体"/>
                <w:color w:val="auto"/>
                <w:kern w:val="0"/>
                <w:sz w:val="24"/>
                <w:szCs w:val="22"/>
                <w:highlight w:val="none"/>
                <w:lang w:val="zh-CN" w:eastAsia="zh-CN" w:bidi="ar-SA"/>
              </w:rPr>
            </w:pPr>
            <w:r>
              <w:rPr>
                <w:rFonts w:hint="eastAsia" w:ascii="宋体" w:hAnsi="Cambria" w:eastAsia="宋体" w:cs="宋体"/>
                <w:color w:val="auto"/>
                <w:kern w:val="0"/>
                <w:sz w:val="24"/>
                <w:szCs w:val="22"/>
                <w:highlight w:val="none"/>
                <w:lang w:val="zh-CN" w:eastAsia="zh-CN" w:bidi="ar-SA"/>
              </w:rPr>
              <w:t>人员配置</w:t>
            </w:r>
          </w:p>
        </w:tc>
        <w:tc>
          <w:tcPr>
            <w:tcW w:w="966" w:type="dxa"/>
            <w:tcBorders>
              <w:top w:val="single" w:color="auto" w:sz="4" w:space="0"/>
              <w:left w:val="nil"/>
              <w:bottom w:val="nil"/>
              <w:right w:val="single" w:color="auto" w:sz="4" w:space="0"/>
            </w:tcBorders>
            <w:vAlign w:val="center"/>
          </w:tcPr>
          <w:p w14:paraId="642A3DA6">
            <w:pPr>
              <w:ind w:left="0" w:leftChars="0" w:firstLine="0" w:firstLineChars="0"/>
              <w:jc w:val="both"/>
              <w:rPr>
                <w:rFonts w:hint="eastAsia" w:ascii="宋体" w:hAnsi="Cambria" w:eastAsia="宋体" w:cs="宋体"/>
                <w:color w:val="auto"/>
                <w:kern w:val="0"/>
                <w:sz w:val="24"/>
                <w:szCs w:val="22"/>
                <w:highlight w:val="none"/>
                <w:lang w:val="zh-CN" w:eastAsia="zh-CN" w:bidi="ar-SA"/>
              </w:rPr>
            </w:pPr>
            <w:r>
              <w:rPr>
                <w:rFonts w:hint="eastAsia" w:ascii="宋体" w:hAnsi="Cambria" w:eastAsia="宋体" w:cs="宋体"/>
                <w:color w:val="auto"/>
                <w:kern w:val="0"/>
                <w:sz w:val="24"/>
                <w:szCs w:val="22"/>
                <w:highlight w:val="none"/>
                <w:lang w:val="zh-CN" w:eastAsia="zh-CN" w:bidi="ar-SA"/>
              </w:rPr>
              <w:t>6分</w:t>
            </w:r>
          </w:p>
        </w:tc>
        <w:tc>
          <w:tcPr>
            <w:tcW w:w="6583" w:type="dxa"/>
            <w:tcBorders>
              <w:top w:val="single" w:color="auto" w:sz="4" w:space="0"/>
              <w:left w:val="nil"/>
              <w:bottom w:val="nil"/>
              <w:right w:val="single" w:color="auto" w:sz="4" w:space="0"/>
            </w:tcBorders>
            <w:vAlign w:val="center"/>
          </w:tcPr>
          <w:p w14:paraId="4616717A">
            <w:pPr>
              <w:ind w:left="0" w:leftChars="0" w:firstLine="0" w:firstLineChars="0"/>
              <w:jc w:val="both"/>
              <w:rPr>
                <w:rFonts w:hint="default" w:ascii="宋体" w:hAnsi="Cambria" w:eastAsia="宋体" w:cs="宋体"/>
                <w:color w:val="auto"/>
                <w:kern w:val="0"/>
                <w:sz w:val="24"/>
                <w:szCs w:val="22"/>
                <w:highlight w:val="none"/>
                <w:lang w:val="zh-CN" w:eastAsia="zh-CN" w:bidi="ar-SA"/>
              </w:rPr>
            </w:pPr>
            <w:r>
              <w:rPr>
                <w:rFonts w:hint="eastAsia" w:ascii="宋体" w:hAnsi="Cambria" w:eastAsia="宋体" w:cs="宋体"/>
                <w:color w:val="auto"/>
                <w:kern w:val="0"/>
                <w:sz w:val="24"/>
                <w:szCs w:val="22"/>
                <w:highlight w:val="none"/>
                <w:lang w:val="zh-CN" w:eastAsia="zh-CN" w:bidi="ar-SA"/>
              </w:rPr>
              <w:t>参与硬件服务的专业技术工程师不少于3人，包含一名</w:t>
            </w:r>
            <w:r>
              <w:rPr>
                <w:rFonts w:hint="eastAsia" w:ascii="宋体" w:hAnsi="Cambria" w:eastAsia="宋体" w:cs="宋体"/>
                <w:color w:val="auto"/>
                <w:kern w:val="0"/>
                <w:sz w:val="24"/>
                <w:szCs w:val="22"/>
                <w:highlight w:val="none"/>
                <w:lang w:val="en-US" w:eastAsia="zh-CN" w:bidi="ar-SA"/>
              </w:rPr>
              <w:t>H3CIE认证互联网络专家</w:t>
            </w:r>
            <w:r>
              <w:rPr>
                <w:rFonts w:hint="eastAsia" w:ascii="宋体" w:hAnsi="Cambria" w:eastAsia="宋体" w:cs="宋体"/>
                <w:color w:val="auto"/>
                <w:kern w:val="0"/>
                <w:sz w:val="24"/>
                <w:szCs w:val="22"/>
                <w:highlight w:val="none"/>
                <w:lang w:val="zh-CN" w:eastAsia="zh-CN" w:bidi="ar-SA"/>
              </w:rPr>
              <w:t>，一名VCP工程师，一名RHCE工程师，每提供一名得2分，满分6分。需提供专业技术工程师资格证书、劳动合同或相关证明材料（证明该人员为本单位人员）。</w:t>
            </w:r>
          </w:p>
        </w:tc>
      </w:tr>
      <w:tr w14:paraId="301633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76" w:hRule="atLeast"/>
          <w:jc w:val="center"/>
        </w:trPr>
        <w:tc>
          <w:tcPr>
            <w:tcW w:w="984" w:type="dxa"/>
            <w:vMerge w:val="continue"/>
            <w:tcBorders>
              <w:left w:val="single" w:color="auto" w:sz="4" w:space="0"/>
              <w:right w:val="single" w:color="auto" w:sz="4" w:space="0"/>
            </w:tcBorders>
            <w:vAlign w:val="center"/>
          </w:tcPr>
          <w:p w14:paraId="7D540606">
            <w:pPr>
              <w:ind w:left="0" w:leftChars="0" w:firstLine="0" w:firstLineChars="0"/>
              <w:jc w:val="both"/>
              <w:rPr>
                <w:rFonts w:hint="eastAsia" w:ascii="宋体" w:hAnsi="Cambria" w:eastAsia="宋体" w:cs="宋体"/>
                <w:color w:val="auto"/>
                <w:kern w:val="0"/>
                <w:sz w:val="24"/>
                <w:szCs w:val="22"/>
                <w:highlight w:val="none"/>
                <w:lang w:val="zh-CN" w:eastAsia="zh-CN" w:bidi="ar-SA"/>
              </w:rPr>
            </w:pPr>
          </w:p>
        </w:tc>
        <w:tc>
          <w:tcPr>
            <w:tcW w:w="984" w:type="dxa"/>
            <w:tcBorders>
              <w:top w:val="single" w:color="auto" w:sz="4" w:space="0"/>
              <w:left w:val="single" w:color="auto" w:sz="4" w:space="0"/>
              <w:bottom w:val="single" w:color="auto" w:sz="4" w:space="0"/>
              <w:right w:val="single" w:color="auto" w:sz="4" w:space="0"/>
            </w:tcBorders>
            <w:vAlign w:val="center"/>
          </w:tcPr>
          <w:p w14:paraId="02537B18">
            <w:pPr>
              <w:ind w:left="0" w:leftChars="0" w:firstLine="0" w:firstLineChars="0"/>
              <w:jc w:val="both"/>
              <w:rPr>
                <w:rFonts w:hint="eastAsia" w:ascii="宋体" w:hAnsi="Cambria" w:eastAsia="宋体" w:cs="宋体"/>
                <w:color w:val="auto"/>
                <w:kern w:val="0"/>
                <w:sz w:val="24"/>
                <w:szCs w:val="22"/>
                <w:highlight w:val="none"/>
                <w:lang w:val="zh-CN" w:eastAsia="zh-CN" w:bidi="ar-SA"/>
              </w:rPr>
            </w:pPr>
            <w:r>
              <w:rPr>
                <w:rFonts w:hint="eastAsia" w:ascii="宋体" w:hAnsi="Cambria" w:eastAsia="宋体" w:cs="宋体"/>
                <w:color w:val="auto"/>
                <w:kern w:val="0"/>
                <w:sz w:val="24"/>
                <w:szCs w:val="22"/>
                <w:highlight w:val="none"/>
                <w:lang w:val="zh-CN" w:eastAsia="zh-CN" w:bidi="ar-SA"/>
              </w:rPr>
              <w:t>服务能力</w:t>
            </w:r>
          </w:p>
        </w:tc>
        <w:tc>
          <w:tcPr>
            <w:tcW w:w="966" w:type="dxa"/>
            <w:tcBorders>
              <w:top w:val="single" w:color="auto" w:sz="4" w:space="0"/>
              <w:left w:val="nil"/>
              <w:bottom w:val="nil"/>
              <w:right w:val="single" w:color="auto" w:sz="4" w:space="0"/>
            </w:tcBorders>
            <w:vAlign w:val="center"/>
          </w:tcPr>
          <w:p w14:paraId="21C8A2B3">
            <w:pPr>
              <w:ind w:left="0" w:leftChars="0" w:firstLine="0" w:firstLineChars="0"/>
              <w:jc w:val="both"/>
              <w:rPr>
                <w:rFonts w:hint="eastAsia" w:ascii="宋体" w:hAnsi="Cambria" w:eastAsia="宋体" w:cs="宋体"/>
                <w:color w:val="auto"/>
                <w:kern w:val="0"/>
                <w:sz w:val="24"/>
                <w:szCs w:val="22"/>
                <w:highlight w:val="none"/>
                <w:lang w:val="zh-CN" w:eastAsia="zh-CN" w:bidi="ar-SA"/>
              </w:rPr>
            </w:pPr>
            <w:r>
              <w:rPr>
                <w:rFonts w:hint="eastAsia" w:ascii="宋体" w:hAnsi="Cambria" w:eastAsia="宋体" w:cs="宋体"/>
                <w:color w:val="auto"/>
                <w:kern w:val="0"/>
                <w:sz w:val="24"/>
                <w:szCs w:val="22"/>
                <w:highlight w:val="none"/>
                <w:lang w:val="zh-CN" w:eastAsia="zh-CN" w:bidi="ar-SA"/>
              </w:rPr>
              <w:t>8分</w:t>
            </w:r>
          </w:p>
        </w:tc>
        <w:tc>
          <w:tcPr>
            <w:tcW w:w="6583" w:type="dxa"/>
            <w:tcBorders>
              <w:top w:val="single" w:color="auto" w:sz="4" w:space="0"/>
              <w:left w:val="nil"/>
              <w:bottom w:val="nil"/>
              <w:right w:val="single" w:color="auto" w:sz="4" w:space="0"/>
            </w:tcBorders>
            <w:vAlign w:val="center"/>
          </w:tcPr>
          <w:p w14:paraId="64F14CF9">
            <w:pPr>
              <w:ind w:left="0" w:leftChars="0" w:firstLine="0" w:firstLineChars="0"/>
              <w:jc w:val="both"/>
              <w:rPr>
                <w:rFonts w:hint="default" w:ascii="宋体" w:hAnsi="Cambria" w:eastAsia="宋体" w:cs="宋体"/>
                <w:color w:val="auto"/>
                <w:kern w:val="0"/>
                <w:sz w:val="24"/>
                <w:szCs w:val="22"/>
                <w:highlight w:val="none"/>
                <w:lang w:val="zh-CN" w:eastAsia="zh-CN" w:bidi="ar-SA"/>
              </w:rPr>
            </w:pPr>
            <w:r>
              <w:rPr>
                <w:rFonts w:hint="eastAsia" w:ascii="宋体" w:hAnsi="Cambria" w:eastAsia="宋体" w:cs="宋体"/>
                <w:color w:val="auto"/>
                <w:kern w:val="0"/>
                <w:sz w:val="24"/>
                <w:szCs w:val="22"/>
                <w:highlight w:val="none"/>
                <w:lang w:val="zh-CN" w:eastAsia="zh-CN" w:bidi="ar-SA"/>
              </w:rPr>
              <w:t>供应商提供由国家版权局颁发的计算机软件著作权登记证书的，包括①计算机硬件设备维护保养系统类②网络安全运行环境监测系统类③大数据网络安全智能管理平台类④物联网计算机设备故障管理平台类，每提供1项得2分，满分8分；不提供不得分。</w:t>
            </w:r>
          </w:p>
        </w:tc>
      </w:tr>
      <w:tr w14:paraId="1DFAF0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7" w:hRule="atLeast"/>
          <w:jc w:val="center"/>
        </w:trPr>
        <w:tc>
          <w:tcPr>
            <w:tcW w:w="984" w:type="dxa"/>
            <w:vMerge w:val="continue"/>
            <w:tcBorders>
              <w:left w:val="single" w:color="auto" w:sz="4" w:space="0"/>
              <w:right w:val="single" w:color="auto" w:sz="4" w:space="0"/>
            </w:tcBorders>
            <w:vAlign w:val="center"/>
          </w:tcPr>
          <w:p w14:paraId="421729A3">
            <w:pPr>
              <w:ind w:left="0" w:leftChars="0" w:firstLine="0" w:firstLineChars="0"/>
              <w:jc w:val="both"/>
              <w:rPr>
                <w:rFonts w:hint="eastAsia" w:ascii="宋体" w:hAnsi="Cambria" w:eastAsia="宋体" w:cs="宋体"/>
                <w:color w:val="auto"/>
                <w:kern w:val="0"/>
                <w:sz w:val="24"/>
                <w:szCs w:val="22"/>
                <w:highlight w:val="none"/>
                <w:lang w:val="zh-CN" w:eastAsia="zh-CN" w:bidi="ar-SA"/>
              </w:rPr>
            </w:pPr>
          </w:p>
        </w:tc>
        <w:tc>
          <w:tcPr>
            <w:tcW w:w="984" w:type="dxa"/>
            <w:tcBorders>
              <w:top w:val="single" w:color="auto" w:sz="4" w:space="0"/>
              <w:left w:val="single" w:color="auto" w:sz="4" w:space="0"/>
              <w:bottom w:val="single" w:color="auto" w:sz="4" w:space="0"/>
              <w:right w:val="single" w:color="auto" w:sz="4" w:space="0"/>
            </w:tcBorders>
            <w:vAlign w:val="center"/>
          </w:tcPr>
          <w:p w14:paraId="3E7EA1C9">
            <w:pPr>
              <w:ind w:left="0" w:leftChars="0" w:firstLine="0" w:firstLineChars="0"/>
              <w:jc w:val="both"/>
              <w:rPr>
                <w:rFonts w:hint="eastAsia" w:ascii="宋体" w:hAnsi="Cambria" w:eastAsia="宋体" w:cs="宋体"/>
                <w:color w:val="auto"/>
                <w:kern w:val="0"/>
                <w:sz w:val="24"/>
                <w:szCs w:val="22"/>
                <w:highlight w:val="none"/>
                <w:lang w:val="zh-CN" w:eastAsia="zh-CN" w:bidi="ar-SA"/>
              </w:rPr>
            </w:pPr>
            <w:r>
              <w:rPr>
                <w:rFonts w:hint="eastAsia" w:ascii="宋体" w:hAnsi="Cambria" w:eastAsia="宋体" w:cs="宋体"/>
                <w:color w:val="auto"/>
                <w:kern w:val="0"/>
                <w:sz w:val="24"/>
                <w:szCs w:val="22"/>
                <w:highlight w:val="none"/>
                <w:lang w:val="zh-CN" w:eastAsia="zh-CN" w:bidi="ar-SA"/>
              </w:rPr>
              <w:t>类似业绩</w:t>
            </w:r>
          </w:p>
        </w:tc>
        <w:tc>
          <w:tcPr>
            <w:tcW w:w="966" w:type="dxa"/>
            <w:tcBorders>
              <w:top w:val="single" w:color="auto" w:sz="4" w:space="0"/>
              <w:left w:val="nil"/>
              <w:bottom w:val="nil"/>
              <w:right w:val="single" w:color="auto" w:sz="4" w:space="0"/>
            </w:tcBorders>
            <w:vAlign w:val="center"/>
          </w:tcPr>
          <w:p w14:paraId="1ACB45D9">
            <w:pPr>
              <w:ind w:left="0" w:leftChars="0" w:firstLine="0" w:firstLineChars="0"/>
              <w:jc w:val="both"/>
              <w:rPr>
                <w:rFonts w:hint="eastAsia" w:ascii="宋体" w:hAnsi="Cambria" w:eastAsia="宋体" w:cs="宋体"/>
                <w:color w:val="auto"/>
                <w:kern w:val="0"/>
                <w:sz w:val="24"/>
                <w:szCs w:val="22"/>
                <w:highlight w:val="none"/>
                <w:lang w:val="zh-CN" w:eastAsia="zh-CN" w:bidi="ar-SA"/>
              </w:rPr>
            </w:pPr>
            <w:r>
              <w:rPr>
                <w:rFonts w:hint="eastAsia" w:ascii="宋体" w:hAnsi="Cambria" w:eastAsia="宋体" w:cs="宋体"/>
                <w:color w:val="auto"/>
                <w:kern w:val="0"/>
                <w:sz w:val="24"/>
                <w:szCs w:val="22"/>
                <w:highlight w:val="none"/>
                <w:lang w:val="zh-CN" w:eastAsia="zh-CN" w:bidi="ar-SA"/>
              </w:rPr>
              <w:t>10分</w:t>
            </w:r>
          </w:p>
        </w:tc>
        <w:tc>
          <w:tcPr>
            <w:tcW w:w="6583" w:type="dxa"/>
            <w:tcBorders>
              <w:top w:val="single" w:color="auto" w:sz="4" w:space="0"/>
              <w:left w:val="nil"/>
              <w:bottom w:val="nil"/>
              <w:right w:val="single" w:color="auto" w:sz="4" w:space="0"/>
            </w:tcBorders>
            <w:vAlign w:val="center"/>
          </w:tcPr>
          <w:p w14:paraId="1019C4C3">
            <w:pPr>
              <w:ind w:left="0" w:leftChars="0" w:firstLine="0" w:firstLineChars="0"/>
              <w:jc w:val="both"/>
              <w:rPr>
                <w:rFonts w:hint="default" w:ascii="宋体" w:hAnsi="Cambria" w:eastAsia="宋体" w:cs="宋体"/>
                <w:color w:val="auto"/>
                <w:kern w:val="0"/>
                <w:sz w:val="24"/>
                <w:szCs w:val="22"/>
                <w:highlight w:val="none"/>
                <w:lang w:val="zh-CN" w:eastAsia="zh-CN" w:bidi="ar-SA"/>
              </w:rPr>
            </w:pPr>
            <w:r>
              <w:rPr>
                <w:rFonts w:hint="eastAsia" w:ascii="宋体" w:hAnsi="Cambria" w:eastAsia="宋体" w:cs="宋体"/>
                <w:color w:val="auto"/>
                <w:kern w:val="0"/>
                <w:sz w:val="24"/>
                <w:szCs w:val="22"/>
                <w:highlight w:val="none"/>
                <w:lang w:val="zh-CN" w:eastAsia="zh-CN" w:bidi="ar-SA"/>
              </w:rPr>
              <w:t>提供20</w:t>
            </w:r>
            <w:r>
              <w:rPr>
                <w:rFonts w:hint="eastAsia" w:ascii="宋体" w:hAnsi="Cambria" w:eastAsia="宋体" w:cs="宋体"/>
                <w:color w:val="auto"/>
                <w:kern w:val="0"/>
                <w:sz w:val="24"/>
                <w:szCs w:val="22"/>
                <w:highlight w:val="none"/>
                <w:lang w:val="en-US" w:eastAsia="zh-CN" w:bidi="ar-SA"/>
              </w:rPr>
              <w:t>23</w:t>
            </w:r>
            <w:r>
              <w:rPr>
                <w:rFonts w:hint="eastAsia" w:ascii="宋体" w:hAnsi="Cambria" w:eastAsia="宋体" w:cs="宋体"/>
                <w:color w:val="auto"/>
                <w:kern w:val="0"/>
                <w:sz w:val="24"/>
                <w:szCs w:val="22"/>
                <w:highlight w:val="none"/>
                <w:lang w:val="zh-CN" w:eastAsia="zh-CN" w:bidi="ar-SA"/>
              </w:rPr>
              <w:t>年1月1日以来（以合同签订时间为准）的类似业绩证明材料。每提供一项有效证明材料得2分，最高分为10分；不提供不得分。（需提供包含合同首页、合同内容及金额所在页、签字盖章页的扫描或复印件）。</w:t>
            </w:r>
          </w:p>
        </w:tc>
      </w:tr>
      <w:tr w14:paraId="6D71FC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984" w:type="dxa"/>
            <w:vMerge w:val="continue"/>
            <w:tcBorders>
              <w:left w:val="single" w:color="auto" w:sz="4" w:space="0"/>
              <w:bottom w:val="single" w:color="auto" w:sz="4" w:space="0"/>
              <w:right w:val="single" w:color="auto" w:sz="4" w:space="0"/>
            </w:tcBorders>
            <w:vAlign w:val="center"/>
          </w:tcPr>
          <w:p w14:paraId="34D56A56">
            <w:pPr>
              <w:ind w:left="0" w:leftChars="0" w:firstLine="0" w:firstLineChars="0"/>
              <w:jc w:val="both"/>
              <w:rPr>
                <w:rFonts w:hint="eastAsia" w:ascii="宋体" w:hAnsi="Cambria" w:eastAsia="宋体" w:cs="宋体"/>
                <w:color w:val="auto"/>
                <w:kern w:val="0"/>
                <w:sz w:val="24"/>
                <w:szCs w:val="22"/>
                <w:highlight w:val="none"/>
                <w:lang w:val="zh-CN" w:eastAsia="zh-CN" w:bidi="ar-SA"/>
              </w:rPr>
            </w:pPr>
          </w:p>
        </w:tc>
        <w:tc>
          <w:tcPr>
            <w:tcW w:w="984" w:type="dxa"/>
            <w:tcBorders>
              <w:top w:val="single" w:color="auto" w:sz="4" w:space="0"/>
              <w:left w:val="single" w:color="auto" w:sz="4" w:space="0"/>
              <w:bottom w:val="single" w:color="auto" w:sz="4" w:space="0"/>
              <w:right w:val="single" w:color="auto" w:sz="4" w:space="0"/>
            </w:tcBorders>
            <w:vAlign w:val="center"/>
          </w:tcPr>
          <w:p w14:paraId="641872C4">
            <w:pPr>
              <w:ind w:left="0" w:leftChars="0" w:firstLine="0" w:firstLineChars="0"/>
              <w:jc w:val="both"/>
              <w:rPr>
                <w:rFonts w:hint="eastAsia" w:ascii="宋体" w:hAnsi="Cambria" w:eastAsia="宋体" w:cs="宋体"/>
                <w:color w:val="auto"/>
                <w:kern w:val="0"/>
                <w:sz w:val="24"/>
                <w:szCs w:val="22"/>
                <w:highlight w:val="none"/>
                <w:lang w:val="zh-CN" w:eastAsia="zh-CN" w:bidi="ar-SA"/>
              </w:rPr>
            </w:pPr>
            <w:r>
              <w:rPr>
                <w:rFonts w:hint="eastAsia" w:ascii="宋体" w:hAnsi="Cambria" w:eastAsia="宋体" w:cs="宋体"/>
                <w:color w:val="auto"/>
                <w:kern w:val="0"/>
                <w:sz w:val="24"/>
                <w:szCs w:val="22"/>
                <w:highlight w:val="none"/>
                <w:lang w:val="zh-CN" w:eastAsia="zh-CN" w:bidi="ar-SA"/>
              </w:rPr>
              <w:t>本地化服务</w:t>
            </w:r>
          </w:p>
        </w:tc>
        <w:tc>
          <w:tcPr>
            <w:tcW w:w="966" w:type="dxa"/>
            <w:tcBorders>
              <w:top w:val="single" w:color="auto" w:sz="4" w:space="0"/>
              <w:left w:val="nil"/>
              <w:bottom w:val="single" w:color="auto" w:sz="4" w:space="0"/>
              <w:right w:val="single" w:color="auto" w:sz="4" w:space="0"/>
            </w:tcBorders>
            <w:vAlign w:val="center"/>
          </w:tcPr>
          <w:p w14:paraId="1CEEF102">
            <w:pPr>
              <w:ind w:left="0" w:leftChars="0" w:firstLine="0" w:firstLineChars="0"/>
              <w:jc w:val="both"/>
              <w:rPr>
                <w:rFonts w:hint="eastAsia" w:ascii="宋体" w:hAnsi="Cambria" w:eastAsia="宋体" w:cs="宋体"/>
                <w:color w:val="auto"/>
                <w:kern w:val="0"/>
                <w:sz w:val="24"/>
                <w:szCs w:val="22"/>
                <w:highlight w:val="none"/>
                <w:lang w:val="zh-CN" w:eastAsia="zh-CN" w:bidi="ar-SA"/>
              </w:rPr>
            </w:pPr>
            <w:r>
              <w:rPr>
                <w:rFonts w:hint="eastAsia" w:ascii="宋体" w:hAnsi="Cambria" w:eastAsia="宋体" w:cs="宋体"/>
                <w:color w:val="auto"/>
                <w:kern w:val="0"/>
                <w:sz w:val="24"/>
                <w:szCs w:val="22"/>
                <w:highlight w:val="none"/>
                <w:lang w:val="zh-CN" w:eastAsia="zh-CN" w:bidi="ar-SA"/>
              </w:rPr>
              <w:t>2分</w:t>
            </w:r>
          </w:p>
        </w:tc>
        <w:tc>
          <w:tcPr>
            <w:tcW w:w="6583" w:type="dxa"/>
            <w:tcBorders>
              <w:top w:val="single" w:color="auto" w:sz="4" w:space="0"/>
              <w:left w:val="nil"/>
              <w:bottom w:val="single" w:color="auto" w:sz="4" w:space="0"/>
              <w:right w:val="single" w:color="auto" w:sz="4" w:space="0"/>
            </w:tcBorders>
            <w:vAlign w:val="center"/>
          </w:tcPr>
          <w:p w14:paraId="5F701AF4">
            <w:pPr>
              <w:ind w:left="0" w:leftChars="0" w:firstLine="0" w:firstLineChars="0"/>
              <w:jc w:val="both"/>
              <w:rPr>
                <w:rFonts w:hint="default" w:ascii="宋体" w:hAnsi="Cambria" w:eastAsia="宋体" w:cs="宋体"/>
                <w:color w:val="auto"/>
                <w:kern w:val="0"/>
                <w:sz w:val="24"/>
                <w:szCs w:val="22"/>
                <w:highlight w:val="none"/>
                <w:lang w:val="zh-CN" w:eastAsia="zh-CN" w:bidi="ar-SA"/>
              </w:rPr>
            </w:pPr>
            <w:r>
              <w:rPr>
                <w:rFonts w:hint="default" w:ascii="宋体" w:hAnsi="Cambria" w:eastAsia="宋体" w:cs="宋体"/>
                <w:color w:val="auto"/>
                <w:kern w:val="0"/>
                <w:sz w:val="24"/>
                <w:szCs w:val="22"/>
                <w:highlight w:val="none"/>
                <w:lang w:val="zh-CN" w:eastAsia="zh-CN" w:bidi="ar-SA"/>
              </w:rPr>
              <w:t>供应商提供本地化服务承诺的</w:t>
            </w:r>
            <w:r>
              <w:rPr>
                <w:rFonts w:hint="eastAsia" w:ascii="宋体" w:hAnsi="Cambria" w:eastAsia="宋体" w:cs="宋体"/>
                <w:color w:val="auto"/>
                <w:kern w:val="0"/>
                <w:sz w:val="24"/>
                <w:szCs w:val="22"/>
                <w:highlight w:val="none"/>
                <w:lang w:val="zh-CN" w:eastAsia="zh-CN" w:bidi="ar-SA"/>
              </w:rPr>
              <w:t>得2分，不提供的不得分。</w:t>
            </w:r>
          </w:p>
        </w:tc>
      </w:tr>
    </w:tbl>
    <w:p w14:paraId="2F66C70C">
      <w:pPr>
        <w:pStyle w:val="2"/>
        <w:ind w:firstLine="0" w:firstLineChars="0"/>
        <w:rPr>
          <w:rFonts w:hint="eastAsia" w:ascii="宋体" w:hAnsi="宋体" w:eastAsia="宋体" w:cs="宋体"/>
          <w:color w:val="auto"/>
          <w:highlight w:val="none"/>
        </w:rPr>
      </w:pPr>
    </w:p>
    <w:p w14:paraId="3A454242">
      <w:pPr>
        <w:pStyle w:val="5"/>
        <w:bidi w:val="0"/>
        <w:rPr>
          <w:rFonts w:hint="eastAsia" w:ascii="宋体" w:hAnsi="宋体" w:eastAsia="宋体" w:cs="宋体"/>
          <w:color w:val="auto"/>
          <w:highlight w:val="none"/>
        </w:rPr>
      </w:pPr>
      <w:bookmarkStart w:id="82" w:name="_Toc22987"/>
      <w:r>
        <w:rPr>
          <w:rFonts w:hint="eastAsia" w:ascii="宋体" w:hAnsi="宋体" w:eastAsia="宋体" w:cs="宋体"/>
          <w:color w:val="auto"/>
          <w:highlight w:val="none"/>
        </w:rPr>
        <w:t>七、</w:t>
      </w:r>
      <w:bookmarkEnd w:id="80"/>
      <w:bookmarkEnd w:id="81"/>
      <w:r>
        <w:rPr>
          <w:rFonts w:hint="eastAsia" w:ascii="宋体" w:hAnsi="宋体" w:eastAsia="宋体" w:cs="宋体"/>
          <w:color w:val="auto"/>
          <w:highlight w:val="none"/>
        </w:rPr>
        <w:t>确定成交供应商</w:t>
      </w:r>
      <w:bookmarkEnd w:id="82"/>
    </w:p>
    <w:p w14:paraId="7263F1F6">
      <w:pPr>
        <w:pStyle w:val="4"/>
        <w:numPr>
          <w:ilvl w:val="2"/>
          <w:numId w:val="0"/>
        </w:numPr>
        <w:bidi w:val="0"/>
        <w:ind w:left="0" w:leftChars="0" w:firstLine="400" w:firstLineChars="0"/>
        <w:rPr>
          <w:rFonts w:hint="eastAsia" w:ascii="宋体" w:hAnsi="宋体" w:eastAsia="宋体" w:cs="宋体"/>
          <w:color w:val="auto"/>
          <w:highlight w:val="none"/>
        </w:rPr>
      </w:pPr>
      <w:bookmarkStart w:id="83" w:name="_Toc325726026"/>
      <w:bookmarkStart w:id="84" w:name="_Toc376936757"/>
      <w:bookmarkStart w:id="85" w:name="_Toc24068"/>
      <w:r>
        <w:rPr>
          <w:rFonts w:hint="eastAsia" w:ascii="宋体" w:hAnsi="宋体" w:eastAsia="宋体" w:cs="宋体"/>
          <w:b/>
          <w:color w:val="auto"/>
          <w:kern w:val="2"/>
          <w:sz w:val="30"/>
          <w:szCs w:val="30"/>
          <w:highlight w:val="none"/>
          <w:lang w:val="en-US" w:eastAsia="zh-CN" w:bidi="ar-SA"/>
        </w:rPr>
        <w:t>19．</w:t>
      </w:r>
      <w:r>
        <w:rPr>
          <w:rFonts w:hint="eastAsia" w:ascii="宋体" w:hAnsi="宋体" w:eastAsia="宋体" w:cs="宋体"/>
          <w:color w:val="auto"/>
          <w:highlight w:val="none"/>
        </w:rPr>
        <w:t>推荐并确定成交</w:t>
      </w:r>
      <w:bookmarkEnd w:id="83"/>
      <w:bookmarkEnd w:id="84"/>
      <w:r>
        <w:rPr>
          <w:rFonts w:hint="eastAsia" w:ascii="宋体" w:hAnsi="宋体" w:eastAsia="宋体" w:cs="宋体"/>
          <w:color w:val="auto"/>
          <w:highlight w:val="none"/>
        </w:rPr>
        <w:t>供应商</w:t>
      </w:r>
      <w:bookmarkEnd w:id="85"/>
    </w:p>
    <w:p w14:paraId="5651ABE8">
      <w:pPr>
        <w:bidi w:val="0"/>
        <w:rPr>
          <w:rFonts w:hint="eastAsia" w:ascii="宋体" w:hAnsi="宋体" w:eastAsia="宋体" w:cs="宋体"/>
          <w:color w:val="auto"/>
          <w:highlight w:val="none"/>
        </w:rPr>
      </w:pPr>
      <w:r>
        <w:rPr>
          <w:rFonts w:hint="eastAsia" w:ascii="宋体" w:hAnsi="宋体" w:eastAsia="宋体" w:cs="宋体"/>
          <w:color w:val="auto"/>
          <w:highlight w:val="none"/>
        </w:rPr>
        <w:t>19.1磋商小组根据评审总得分由高到低排序推荐预成交供应商候选人，并由采购人确定成交供应商。</w:t>
      </w:r>
    </w:p>
    <w:p w14:paraId="41D85A7D">
      <w:pPr>
        <w:bidi w:val="0"/>
        <w:rPr>
          <w:rFonts w:hint="eastAsia" w:ascii="宋体" w:hAnsi="宋体" w:eastAsia="宋体" w:cs="宋体"/>
          <w:color w:val="auto"/>
          <w:highlight w:val="none"/>
        </w:rPr>
      </w:pPr>
      <w:r>
        <w:rPr>
          <w:rFonts w:hint="eastAsia" w:ascii="宋体" w:hAnsi="宋体" w:eastAsia="宋体" w:cs="宋体"/>
          <w:color w:val="auto"/>
          <w:highlight w:val="none"/>
        </w:rPr>
        <w:t>19.2成交供应商因不可抗力或自身原因不能履行合同时，采购人可以按照磋商报告推荐的预成交供应商候选人名单排序，确定下一候选人为成交供应商，也可重新开展政府采购活动。</w:t>
      </w:r>
      <w:bookmarkStart w:id="86" w:name="_Toc325726027"/>
    </w:p>
    <w:p w14:paraId="172AD964">
      <w:pPr>
        <w:bidi w:val="0"/>
        <w:rPr>
          <w:rFonts w:hint="eastAsia" w:ascii="宋体" w:hAnsi="宋体" w:eastAsia="宋体" w:cs="宋体"/>
          <w:b/>
          <w:bCs/>
          <w:color w:val="auto"/>
          <w:highlight w:val="none"/>
        </w:rPr>
      </w:pPr>
      <w:r>
        <w:rPr>
          <w:rFonts w:hint="eastAsia" w:ascii="宋体" w:hAnsi="宋体" w:eastAsia="宋体" w:cs="宋体"/>
          <w:b/>
          <w:bCs/>
          <w:color w:val="auto"/>
          <w:highlight w:val="none"/>
        </w:rPr>
        <w:t>19.3</w:t>
      </w:r>
      <w:r>
        <w:rPr>
          <w:rFonts w:hint="eastAsia" w:ascii="宋体" w:hAnsi="宋体" w:eastAsia="宋体" w:cs="宋体"/>
          <w:b/>
          <w:bCs/>
          <w:color w:val="auto"/>
          <w:highlight w:val="none"/>
          <w:lang w:val="zh-CN"/>
        </w:rPr>
        <w:t>成交供应商需提供一正两副（纸质版）和一份电子版（PDF）响应文件。</w:t>
      </w:r>
    </w:p>
    <w:p w14:paraId="39EE9028">
      <w:pPr>
        <w:pStyle w:val="4"/>
        <w:numPr>
          <w:ilvl w:val="2"/>
          <w:numId w:val="0"/>
        </w:numPr>
        <w:bidi w:val="0"/>
        <w:ind w:left="0" w:leftChars="0" w:firstLine="400" w:firstLineChars="0"/>
        <w:rPr>
          <w:rFonts w:hint="eastAsia" w:ascii="宋体" w:hAnsi="宋体" w:eastAsia="宋体" w:cs="宋体"/>
          <w:color w:val="auto"/>
          <w:highlight w:val="none"/>
        </w:rPr>
      </w:pPr>
      <w:bookmarkStart w:id="87" w:name="_Toc20473"/>
      <w:bookmarkStart w:id="88" w:name="_Toc376936759"/>
      <w:bookmarkStart w:id="89" w:name="_Toc325726028"/>
      <w:r>
        <w:rPr>
          <w:rFonts w:hint="eastAsia" w:ascii="宋体" w:hAnsi="宋体" w:eastAsia="宋体" w:cs="宋体"/>
          <w:b/>
          <w:color w:val="auto"/>
          <w:kern w:val="2"/>
          <w:sz w:val="30"/>
          <w:szCs w:val="30"/>
          <w:highlight w:val="none"/>
          <w:lang w:val="en-US" w:eastAsia="zh-CN" w:bidi="ar-SA"/>
        </w:rPr>
        <w:t>20．</w:t>
      </w:r>
      <w:r>
        <w:rPr>
          <w:rFonts w:hint="eastAsia" w:ascii="宋体" w:hAnsi="宋体" w:eastAsia="宋体" w:cs="宋体"/>
          <w:color w:val="auto"/>
          <w:highlight w:val="none"/>
        </w:rPr>
        <w:t>成交通知</w:t>
      </w:r>
      <w:bookmarkEnd w:id="87"/>
      <w:bookmarkEnd w:id="88"/>
      <w:bookmarkEnd w:id="89"/>
    </w:p>
    <w:p w14:paraId="0D31D0B6">
      <w:pPr>
        <w:bidi w:val="0"/>
        <w:rPr>
          <w:rFonts w:hint="eastAsia" w:ascii="宋体" w:hAnsi="宋体" w:eastAsia="宋体" w:cs="宋体"/>
          <w:color w:val="auto"/>
          <w:highlight w:val="none"/>
        </w:rPr>
      </w:pPr>
      <w:r>
        <w:rPr>
          <w:rFonts w:hint="eastAsia" w:ascii="宋体" w:hAnsi="宋体" w:eastAsia="宋体" w:cs="宋体"/>
          <w:color w:val="auto"/>
          <w:highlight w:val="none"/>
        </w:rPr>
        <w:t>20.1采购代理机构自成交供应商确定之日起2个工作日内发出《成交通知书》，并在青海省政府采购网上公告成交结果。</w:t>
      </w:r>
    </w:p>
    <w:p w14:paraId="26244DCB">
      <w:pPr>
        <w:bidi w:val="0"/>
        <w:rPr>
          <w:rFonts w:hint="eastAsia" w:ascii="宋体" w:hAnsi="宋体" w:eastAsia="宋体" w:cs="宋体"/>
          <w:color w:val="auto"/>
          <w:highlight w:val="none"/>
        </w:rPr>
      </w:pPr>
      <w:r>
        <w:rPr>
          <w:rFonts w:hint="eastAsia" w:ascii="宋体" w:hAnsi="宋体" w:eastAsia="宋体" w:cs="宋体"/>
          <w:color w:val="auto"/>
          <w:highlight w:val="none"/>
        </w:rPr>
        <w:t>20.2《成交通知书》发出后，采购人改变成交结果的，或者成交供应商无正当理由放弃成交项目的，依法承担法律责任。</w:t>
      </w:r>
    </w:p>
    <w:p w14:paraId="3CD6A1F0">
      <w:pPr>
        <w:pStyle w:val="5"/>
        <w:bidi w:val="0"/>
        <w:rPr>
          <w:rFonts w:hint="eastAsia" w:ascii="宋体" w:hAnsi="宋体" w:eastAsia="宋体" w:cs="宋体"/>
          <w:color w:val="auto"/>
          <w:highlight w:val="none"/>
        </w:rPr>
      </w:pPr>
      <w:bookmarkStart w:id="90" w:name="_Toc29614"/>
      <w:bookmarkStart w:id="91" w:name="_Toc376936758"/>
      <w:r>
        <w:rPr>
          <w:rFonts w:hint="eastAsia" w:ascii="宋体" w:hAnsi="宋体" w:eastAsia="宋体" w:cs="宋体"/>
          <w:color w:val="auto"/>
          <w:highlight w:val="none"/>
        </w:rPr>
        <w:t>八、授予合同</w:t>
      </w:r>
      <w:bookmarkEnd w:id="86"/>
      <w:bookmarkEnd w:id="90"/>
      <w:bookmarkEnd w:id="91"/>
    </w:p>
    <w:p w14:paraId="5D9C87EC">
      <w:pPr>
        <w:pStyle w:val="4"/>
        <w:numPr>
          <w:ilvl w:val="2"/>
          <w:numId w:val="0"/>
        </w:numPr>
        <w:bidi w:val="0"/>
        <w:ind w:left="0" w:leftChars="0" w:firstLine="400" w:firstLineChars="0"/>
        <w:rPr>
          <w:rFonts w:hint="eastAsia" w:ascii="宋体" w:hAnsi="宋体" w:eastAsia="宋体" w:cs="宋体"/>
          <w:color w:val="auto"/>
          <w:highlight w:val="none"/>
        </w:rPr>
      </w:pPr>
      <w:bookmarkStart w:id="92" w:name="_Toc31619"/>
      <w:bookmarkStart w:id="93" w:name="_Toc325726029"/>
      <w:bookmarkStart w:id="94" w:name="_Toc376936760"/>
      <w:r>
        <w:rPr>
          <w:rFonts w:hint="eastAsia" w:ascii="宋体" w:hAnsi="宋体" w:eastAsia="宋体" w:cs="宋体"/>
          <w:b/>
          <w:color w:val="auto"/>
          <w:kern w:val="2"/>
          <w:sz w:val="30"/>
          <w:szCs w:val="30"/>
          <w:highlight w:val="none"/>
          <w:lang w:val="en-US" w:eastAsia="zh-CN" w:bidi="ar-SA"/>
        </w:rPr>
        <w:t>21．</w:t>
      </w:r>
      <w:r>
        <w:rPr>
          <w:rFonts w:hint="eastAsia" w:ascii="宋体" w:hAnsi="宋体" w:eastAsia="宋体" w:cs="宋体"/>
          <w:color w:val="auto"/>
          <w:highlight w:val="none"/>
        </w:rPr>
        <w:t>签订合同</w:t>
      </w:r>
      <w:bookmarkEnd w:id="92"/>
      <w:bookmarkEnd w:id="93"/>
      <w:bookmarkEnd w:id="94"/>
    </w:p>
    <w:p w14:paraId="5EE83A7A">
      <w:pPr>
        <w:bidi w:val="0"/>
        <w:rPr>
          <w:rFonts w:hint="eastAsia" w:ascii="宋体" w:hAnsi="宋体" w:eastAsia="宋体" w:cs="宋体"/>
          <w:color w:val="auto"/>
          <w:highlight w:val="none"/>
        </w:rPr>
      </w:pPr>
      <w:bookmarkStart w:id="95" w:name="_Toc376936761"/>
      <w:bookmarkStart w:id="96" w:name="_Toc325726030"/>
      <w:r>
        <w:rPr>
          <w:rFonts w:hint="eastAsia" w:ascii="宋体" w:hAnsi="宋体" w:eastAsia="宋体" w:cs="宋体"/>
          <w:color w:val="auto"/>
          <w:highlight w:val="none"/>
        </w:rPr>
        <w:t>21.1采购人与成交供应商双方应当自《成交通知书》发出之日起30日内，按照磋商文件确定的合同文本以及采购标的、规格型号、采购金额、采购数量、技术和服务要求等事项签订政府采购合同，并报青海联祥招标代理有限公司审核备案。</w:t>
      </w:r>
    </w:p>
    <w:p w14:paraId="6FC3E62F">
      <w:pPr>
        <w:bidi w:val="0"/>
        <w:rPr>
          <w:rFonts w:hint="eastAsia" w:ascii="宋体" w:hAnsi="宋体" w:eastAsia="宋体" w:cs="宋体"/>
          <w:color w:val="auto"/>
          <w:highlight w:val="none"/>
        </w:rPr>
      </w:pPr>
      <w:r>
        <w:rPr>
          <w:rFonts w:hint="eastAsia" w:ascii="宋体" w:hAnsi="宋体" w:eastAsia="宋体" w:cs="宋体"/>
          <w:color w:val="auto"/>
          <w:highlight w:val="none"/>
        </w:rPr>
        <w:t>21.2采购人不得向成交供应商提出超出磋商文件以外的任何要求作为订立合同的条件，不得与成交供应商订立背离磋商文件确定的合同文本以及采购标的、规格型号、采购金额、采购数量、技术和服务要求等实质性内容的协议。</w:t>
      </w:r>
    </w:p>
    <w:p w14:paraId="006A6953">
      <w:pPr>
        <w:bidi w:val="0"/>
        <w:rPr>
          <w:rFonts w:hint="eastAsia" w:ascii="宋体" w:hAnsi="宋体" w:eastAsia="宋体" w:cs="宋体"/>
          <w:color w:val="auto"/>
          <w:highlight w:val="none"/>
        </w:rPr>
      </w:pPr>
      <w:r>
        <w:rPr>
          <w:rFonts w:hint="eastAsia" w:ascii="宋体" w:hAnsi="宋体" w:eastAsia="宋体" w:cs="宋体"/>
          <w:color w:val="auto"/>
          <w:highlight w:val="none"/>
        </w:rPr>
        <w:t>21.3签订合同时，成交供应商应按规定向采购人提交履约保证金</w:t>
      </w:r>
      <w:r>
        <w:rPr>
          <w:rFonts w:hint="eastAsia" w:ascii="宋体" w:hAnsi="宋体" w:eastAsia="宋体" w:cs="宋体"/>
          <w:color w:val="auto"/>
          <w:highlight w:val="none"/>
          <w:lang w:val="zh-CN"/>
        </w:rPr>
        <w:t>（履约保证金的数额由采购人与成交供应商商定，但数额不得超出采购合同总金额的10%）</w:t>
      </w:r>
      <w:r>
        <w:rPr>
          <w:rFonts w:hint="eastAsia" w:ascii="宋体" w:hAnsi="宋体" w:eastAsia="宋体" w:cs="宋体"/>
          <w:color w:val="auto"/>
          <w:highlight w:val="none"/>
        </w:rPr>
        <w:t>，履约保证金须缴纳到采购人指定的账户</w:t>
      </w:r>
      <w:r>
        <w:rPr>
          <w:rFonts w:hint="eastAsia" w:ascii="宋体" w:hAnsi="宋体" w:eastAsia="宋体" w:cs="宋体"/>
          <w:b/>
          <w:bCs/>
          <w:color w:val="auto"/>
          <w:highlight w:val="none"/>
        </w:rPr>
        <w:t>（详见合同）</w:t>
      </w:r>
      <w:r>
        <w:rPr>
          <w:rFonts w:hint="eastAsia" w:ascii="宋体" w:hAnsi="宋体" w:eastAsia="宋体" w:cs="宋体"/>
          <w:color w:val="auto"/>
          <w:highlight w:val="none"/>
        </w:rPr>
        <w:t>。</w:t>
      </w:r>
    </w:p>
    <w:p w14:paraId="6DC5679C">
      <w:pPr>
        <w:bidi w:val="0"/>
        <w:rPr>
          <w:rFonts w:hint="eastAsia" w:ascii="宋体" w:hAnsi="宋体" w:eastAsia="宋体" w:cs="宋体"/>
          <w:color w:val="auto"/>
          <w:highlight w:val="none"/>
        </w:rPr>
      </w:pPr>
      <w:r>
        <w:rPr>
          <w:rFonts w:hint="eastAsia" w:ascii="宋体" w:hAnsi="宋体" w:eastAsia="宋体" w:cs="宋体"/>
          <w:color w:val="auto"/>
          <w:highlight w:val="none"/>
        </w:rPr>
        <w:t>21.4成交供应商在法定期限内无正当理由拒签合同的，按违约处理。同时，采购代理机构和采购人可依成交供应商候选人排序重新确定成交供应商，并协调双方签订采购合同。</w:t>
      </w:r>
    </w:p>
    <w:p w14:paraId="220F979D">
      <w:pPr>
        <w:bidi w:val="0"/>
        <w:rPr>
          <w:rFonts w:hint="eastAsia" w:ascii="宋体" w:hAnsi="宋体" w:eastAsia="宋体" w:cs="宋体"/>
          <w:color w:val="auto"/>
          <w:highlight w:val="none"/>
        </w:rPr>
      </w:pPr>
      <w:r>
        <w:rPr>
          <w:rFonts w:hint="eastAsia" w:ascii="宋体" w:hAnsi="宋体" w:eastAsia="宋体" w:cs="宋体"/>
          <w:color w:val="auto"/>
          <w:highlight w:val="none"/>
        </w:rPr>
        <w:t>21.5磋商文件、成交供应商的磋商响应文件、《成交通知书》及其澄清、说明文件等，均为签订采购合同的依据。</w:t>
      </w:r>
    </w:p>
    <w:p w14:paraId="74F86DC6">
      <w:pPr>
        <w:bidi w:val="0"/>
        <w:rPr>
          <w:rFonts w:hint="eastAsia" w:ascii="宋体" w:hAnsi="宋体" w:eastAsia="宋体" w:cs="宋体"/>
          <w:color w:val="auto"/>
          <w:highlight w:val="none"/>
        </w:rPr>
      </w:pPr>
      <w:r>
        <w:rPr>
          <w:rFonts w:hint="eastAsia" w:ascii="宋体" w:hAnsi="宋体" w:eastAsia="宋体" w:cs="宋体"/>
          <w:color w:val="auto"/>
          <w:highlight w:val="none"/>
        </w:rPr>
        <w:t>21.6采购人或采购代理机构应当自采购合同签订之日起2个工作日内，将采购合同在青海省政府采购网上公告，但政府采购合同中涉及国家秘密、商业秘密的内容除外。</w:t>
      </w:r>
    </w:p>
    <w:p w14:paraId="78B52856">
      <w:pPr>
        <w:pStyle w:val="5"/>
        <w:bidi w:val="0"/>
        <w:rPr>
          <w:rFonts w:hint="eastAsia" w:ascii="宋体" w:hAnsi="宋体" w:eastAsia="宋体" w:cs="宋体"/>
          <w:color w:val="auto"/>
          <w:highlight w:val="none"/>
        </w:rPr>
      </w:pPr>
      <w:bookmarkStart w:id="97" w:name="_Toc11289"/>
      <w:r>
        <w:rPr>
          <w:rFonts w:hint="eastAsia" w:ascii="宋体" w:hAnsi="宋体" w:eastAsia="宋体" w:cs="宋体"/>
          <w:color w:val="auto"/>
          <w:highlight w:val="none"/>
        </w:rPr>
        <w:t>九、</w:t>
      </w:r>
      <w:bookmarkEnd w:id="95"/>
      <w:bookmarkEnd w:id="96"/>
      <w:r>
        <w:rPr>
          <w:rFonts w:hint="eastAsia" w:ascii="宋体" w:hAnsi="宋体" w:eastAsia="宋体" w:cs="宋体"/>
          <w:color w:val="auto"/>
          <w:highlight w:val="none"/>
        </w:rPr>
        <w:t>磋商活动终止</w:t>
      </w:r>
      <w:bookmarkEnd w:id="97"/>
    </w:p>
    <w:p w14:paraId="1EC91B60">
      <w:pPr>
        <w:pStyle w:val="4"/>
        <w:numPr>
          <w:ilvl w:val="2"/>
          <w:numId w:val="0"/>
        </w:numPr>
        <w:bidi w:val="0"/>
        <w:ind w:left="0" w:leftChars="0" w:firstLine="400" w:firstLineChars="0"/>
        <w:rPr>
          <w:rFonts w:hint="eastAsia" w:ascii="宋体" w:hAnsi="宋体" w:eastAsia="宋体" w:cs="宋体"/>
          <w:color w:val="auto"/>
          <w:highlight w:val="none"/>
        </w:rPr>
      </w:pPr>
      <w:bookmarkStart w:id="98" w:name="_Toc8006"/>
      <w:bookmarkStart w:id="99" w:name="_Toc325726031"/>
      <w:bookmarkStart w:id="100" w:name="_Toc376936762"/>
      <w:r>
        <w:rPr>
          <w:rFonts w:hint="eastAsia" w:ascii="宋体" w:hAnsi="宋体" w:eastAsia="宋体" w:cs="宋体"/>
          <w:b/>
          <w:color w:val="auto"/>
          <w:kern w:val="2"/>
          <w:sz w:val="30"/>
          <w:szCs w:val="30"/>
          <w:highlight w:val="none"/>
          <w:lang w:val="en-US" w:eastAsia="zh-CN" w:bidi="ar-SA"/>
        </w:rPr>
        <w:t>22．</w:t>
      </w:r>
      <w:r>
        <w:rPr>
          <w:rFonts w:hint="eastAsia" w:ascii="宋体" w:hAnsi="宋体" w:eastAsia="宋体" w:cs="宋体"/>
          <w:color w:val="auto"/>
          <w:highlight w:val="none"/>
        </w:rPr>
        <w:t>终止情形</w:t>
      </w:r>
      <w:bookmarkEnd w:id="98"/>
    </w:p>
    <w:p w14:paraId="1C43532D">
      <w:pPr>
        <w:bidi w:val="0"/>
        <w:rPr>
          <w:rFonts w:hint="eastAsia" w:ascii="宋体" w:hAnsi="宋体" w:eastAsia="宋体" w:cs="宋体"/>
          <w:color w:val="auto"/>
          <w:highlight w:val="none"/>
        </w:rPr>
      </w:pPr>
      <w:r>
        <w:rPr>
          <w:rFonts w:hint="eastAsia" w:ascii="宋体" w:hAnsi="宋体" w:eastAsia="宋体" w:cs="宋体"/>
          <w:color w:val="auto"/>
          <w:highlight w:val="none"/>
        </w:rPr>
        <w:t>22.1在竞争性磋商采购中，出现下列情形之一的，终止磋商活动：</w:t>
      </w:r>
      <w:bookmarkEnd w:id="99"/>
      <w:bookmarkEnd w:id="100"/>
    </w:p>
    <w:p w14:paraId="6C9E70AB">
      <w:pPr>
        <w:bidi w:val="0"/>
        <w:rPr>
          <w:rFonts w:hint="eastAsia" w:ascii="宋体" w:hAnsi="宋体" w:eastAsia="宋体" w:cs="宋体"/>
          <w:color w:val="auto"/>
          <w:highlight w:val="none"/>
        </w:rPr>
      </w:pPr>
      <w:r>
        <w:rPr>
          <w:rFonts w:hint="eastAsia" w:ascii="宋体" w:hAnsi="宋体" w:eastAsia="宋体" w:cs="宋体"/>
          <w:color w:val="auto"/>
          <w:highlight w:val="none"/>
        </w:rPr>
        <w:t>（1）因情况变化，不再符合规定的竞争性磋商采购方式适用情形的。</w:t>
      </w:r>
    </w:p>
    <w:p w14:paraId="01E763E1">
      <w:pPr>
        <w:bidi w:val="0"/>
        <w:rPr>
          <w:rFonts w:hint="eastAsia" w:ascii="宋体" w:hAnsi="宋体" w:eastAsia="宋体" w:cs="宋体"/>
          <w:color w:val="auto"/>
          <w:highlight w:val="none"/>
        </w:rPr>
      </w:pPr>
      <w:r>
        <w:rPr>
          <w:rFonts w:hint="eastAsia" w:ascii="宋体" w:hAnsi="宋体" w:eastAsia="宋体" w:cs="宋体"/>
          <w:color w:val="auto"/>
          <w:highlight w:val="none"/>
        </w:rPr>
        <w:t>（2）出现影响采购活动公正的违法、违规行为的。</w:t>
      </w:r>
    </w:p>
    <w:p w14:paraId="0518ACAB">
      <w:pPr>
        <w:bidi w:val="0"/>
        <w:rPr>
          <w:rFonts w:hint="eastAsia" w:ascii="宋体" w:hAnsi="宋体" w:eastAsia="宋体" w:cs="宋体"/>
          <w:color w:val="auto"/>
          <w:highlight w:val="none"/>
        </w:rPr>
      </w:pPr>
      <w:r>
        <w:rPr>
          <w:rFonts w:hint="eastAsia" w:ascii="宋体" w:hAnsi="宋体" w:eastAsia="宋体" w:cs="宋体"/>
          <w:color w:val="auto"/>
          <w:highlight w:val="none"/>
        </w:rPr>
        <w:t>（3）符合要求的供应商或者报价未超过最高限价的供应商不足三家的。</w:t>
      </w:r>
    </w:p>
    <w:p w14:paraId="383F8183">
      <w:pPr>
        <w:bidi w:val="0"/>
        <w:rPr>
          <w:rFonts w:hint="eastAsia" w:ascii="宋体" w:hAnsi="宋体" w:eastAsia="宋体" w:cs="宋体"/>
          <w:color w:val="auto"/>
          <w:highlight w:val="none"/>
        </w:rPr>
      </w:pPr>
      <w:r>
        <w:rPr>
          <w:rFonts w:hint="eastAsia" w:ascii="宋体" w:hAnsi="宋体" w:eastAsia="宋体" w:cs="宋体"/>
          <w:color w:val="auto"/>
          <w:highlight w:val="none"/>
        </w:rPr>
        <w:t>（4）因重大变故，采购任务取消的。</w:t>
      </w:r>
    </w:p>
    <w:p w14:paraId="71E68E31">
      <w:pPr>
        <w:bidi w:val="0"/>
        <w:rPr>
          <w:rFonts w:hint="eastAsia" w:ascii="宋体" w:hAnsi="宋体" w:eastAsia="宋体" w:cs="宋体"/>
          <w:color w:val="auto"/>
          <w:highlight w:val="none"/>
        </w:rPr>
      </w:pPr>
      <w:r>
        <w:rPr>
          <w:rFonts w:hint="eastAsia" w:ascii="宋体" w:hAnsi="宋体" w:eastAsia="宋体" w:cs="宋体"/>
          <w:color w:val="auto"/>
          <w:highlight w:val="none"/>
        </w:rPr>
        <w:t>22.2终止磋商活动后，由采购代理机构发布终止公告并说明原因。</w:t>
      </w:r>
      <w:bookmarkStart w:id="101" w:name="_Toc325726032"/>
    </w:p>
    <w:p w14:paraId="1C7ED468">
      <w:pPr>
        <w:pStyle w:val="5"/>
        <w:bidi w:val="0"/>
        <w:rPr>
          <w:rFonts w:hint="eastAsia" w:ascii="宋体" w:hAnsi="宋体" w:eastAsia="宋体" w:cs="宋体"/>
          <w:color w:val="auto"/>
          <w:highlight w:val="none"/>
        </w:rPr>
      </w:pPr>
      <w:bookmarkStart w:id="102" w:name="_Toc376936763"/>
      <w:bookmarkStart w:id="103" w:name="_Toc24419"/>
      <w:r>
        <w:rPr>
          <w:rFonts w:hint="eastAsia" w:ascii="宋体" w:hAnsi="宋体" w:eastAsia="宋体" w:cs="宋体"/>
          <w:color w:val="auto"/>
          <w:highlight w:val="none"/>
        </w:rPr>
        <w:t>十、处罚</w:t>
      </w:r>
      <w:bookmarkEnd w:id="101"/>
      <w:bookmarkEnd w:id="102"/>
      <w:bookmarkEnd w:id="103"/>
    </w:p>
    <w:p w14:paraId="0646B3CA">
      <w:pPr>
        <w:pStyle w:val="4"/>
        <w:numPr>
          <w:ilvl w:val="2"/>
          <w:numId w:val="0"/>
        </w:numPr>
        <w:bidi w:val="0"/>
        <w:ind w:left="0" w:leftChars="0" w:firstLine="400" w:firstLineChars="0"/>
        <w:rPr>
          <w:rFonts w:hint="eastAsia" w:ascii="宋体" w:hAnsi="宋体" w:eastAsia="宋体" w:cs="宋体"/>
          <w:color w:val="auto"/>
          <w:highlight w:val="none"/>
        </w:rPr>
      </w:pPr>
      <w:bookmarkStart w:id="104" w:name="_Toc325726033"/>
      <w:bookmarkStart w:id="105" w:name="_Toc6358"/>
      <w:bookmarkStart w:id="106" w:name="_Toc376936764"/>
      <w:r>
        <w:rPr>
          <w:rFonts w:hint="eastAsia" w:ascii="宋体" w:hAnsi="宋体" w:eastAsia="宋体" w:cs="宋体"/>
          <w:b/>
          <w:color w:val="auto"/>
          <w:kern w:val="2"/>
          <w:sz w:val="30"/>
          <w:szCs w:val="30"/>
          <w:highlight w:val="none"/>
          <w:lang w:val="en-US" w:eastAsia="zh-CN" w:bidi="ar-SA"/>
        </w:rPr>
        <w:t>23．</w:t>
      </w:r>
      <w:r>
        <w:rPr>
          <w:rFonts w:hint="eastAsia" w:ascii="宋体" w:hAnsi="宋体" w:eastAsia="宋体" w:cs="宋体"/>
          <w:color w:val="auto"/>
          <w:highlight w:val="none"/>
        </w:rPr>
        <w:t>处罚情形</w:t>
      </w:r>
      <w:bookmarkEnd w:id="104"/>
      <w:bookmarkEnd w:id="105"/>
      <w:bookmarkEnd w:id="106"/>
    </w:p>
    <w:p w14:paraId="511D6FA0">
      <w:pPr>
        <w:bidi w:val="0"/>
        <w:rPr>
          <w:rFonts w:hint="eastAsia" w:ascii="宋体" w:hAnsi="宋体" w:eastAsia="宋体" w:cs="宋体"/>
          <w:color w:val="auto"/>
          <w:highlight w:val="none"/>
        </w:rPr>
      </w:pPr>
      <w:r>
        <w:rPr>
          <w:rFonts w:hint="eastAsia" w:ascii="宋体" w:hAnsi="宋体" w:eastAsia="宋体" w:cs="宋体"/>
          <w:color w:val="auto"/>
          <w:highlight w:val="none"/>
        </w:rPr>
        <w:t>有下列情形之一的，成交供应商的成交结果无效履约保证金（如有）不予退还。情节严重的，报省财政厅依法进行处理：</w:t>
      </w:r>
    </w:p>
    <w:p w14:paraId="355FB771">
      <w:pPr>
        <w:bidi w:val="0"/>
        <w:rPr>
          <w:rFonts w:hint="eastAsia" w:ascii="宋体" w:hAnsi="宋体" w:eastAsia="宋体" w:cs="宋体"/>
          <w:color w:val="auto"/>
          <w:highlight w:val="none"/>
        </w:rPr>
      </w:pPr>
      <w:r>
        <w:rPr>
          <w:rFonts w:hint="eastAsia" w:ascii="宋体" w:hAnsi="宋体" w:eastAsia="宋体" w:cs="宋体"/>
          <w:color w:val="auto"/>
          <w:highlight w:val="none"/>
        </w:rPr>
        <w:t>23.1</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在提交响应文件截止时间之后撤回响应文件的。</w:t>
      </w:r>
    </w:p>
    <w:p w14:paraId="23EF8546">
      <w:pPr>
        <w:bidi w:val="0"/>
        <w:rPr>
          <w:rFonts w:hint="eastAsia" w:ascii="宋体" w:hAnsi="宋体" w:eastAsia="宋体" w:cs="宋体"/>
          <w:color w:val="auto"/>
          <w:highlight w:val="none"/>
        </w:rPr>
      </w:pPr>
      <w:r>
        <w:rPr>
          <w:rFonts w:hint="eastAsia" w:ascii="宋体" w:hAnsi="宋体" w:eastAsia="宋体" w:cs="宋体"/>
          <w:color w:val="auto"/>
          <w:highlight w:val="none"/>
        </w:rPr>
        <w:t>23.2</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在响应文件中提供虚假材料的。</w:t>
      </w:r>
    </w:p>
    <w:p w14:paraId="07222180">
      <w:pPr>
        <w:bidi w:val="0"/>
        <w:rPr>
          <w:rFonts w:hint="eastAsia" w:ascii="宋体" w:hAnsi="宋体" w:eastAsia="宋体" w:cs="宋体"/>
          <w:color w:val="auto"/>
          <w:highlight w:val="none"/>
        </w:rPr>
      </w:pPr>
      <w:r>
        <w:rPr>
          <w:rFonts w:hint="eastAsia" w:ascii="宋体" w:hAnsi="宋体" w:eastAsia="宋体" w:cs="宋体"/>
          <w:color w:val="auto"/>
          <w:highlight w:val="none"/>
        </w:rPr>
        <w:t>23.3采取不正当手段诋毁、排挤其他供应商的。</w:t>
      </w:r>
    </w:p>
    <w:p w14:paraId="70D0034A">
      <w:pPr>
        <w:bidi w:val="0"/>
        <w:rPr>
          <w:rFonts w:hint="eastAsia" w:ascii="宋体" w:hAnsi="宋体" w:eastAsia="宋体" w:cs="宋体"/>
          <w:color w:val="auto"/>
          <w:highlight w:val="none"/>
        </w:rPr>
      </w:pPr>
      <w:r>
        <w:rPr>
          <w:rFonts w:hint="eastAsia" w:ascii="宋体" w:hAnsi="宋体" w:eastAsia="宋体" w:cs="宋体"/>
          <w:color w:val="auto"/>
          <w:highlight w:val="none"/>
        </w:rPr>
        <w:t>23.4有恶意串通等不正当竞争行为的。</w:t>
      </w:r>
    </w:p>
    <w:p w14:paraId="65745EE9">
      <w:pPr>
        <w:bidi w:val="0"/>
        <w:rPr>
          <w:rFonts w:hint="eastAsia" w:ascii="宋体" w:hAnsi="宋体" w:eastAsia="宋体" w:cs="宋体"/>
          <w:color w:val="auto"/>
          <w:highlight w:val="none"/>
        </w:rPr>
      </w:pPr>
      <w:r>
        <w:rPr>
          <w:rFonts w:hint="eastAsia" w:ascii="宋体" w:hAnsi="宋体" w:eastAsia="宋体" w:cs="宋体"/>
          <w:color w:val="auto"/>
          <w:highlight w:val="none"/>
        </w:rPr>
        <w:t>23.5成交后无正当理由拒不与采购人签订采购合同的。</w:t>
      </w:r>
    </w:p>
    <w:p w14:paraId="6C32D88D">
      <w:pPr>
        <w:bidi w:val="0"/>
        <w:rPr>
          <w:rFonts w:hint="eastAsia" w:ascii="宋体" w:hAnsi="宋体" w:eastAsia="宋体" w:cs="宋体"/>
          <w:color w:val="auto"/>
          <w:highlight w:val="none"/>
        </w:rPr>
      </w:pPr>
      <w:r>
        <w:rPr>
          <w:rFonts w:hint="eastAsia" w:ascii="宋体" w:hAnsi="宋体" w:eastAsia="宋体" w:cs="宋体"/>
          <w:color w:val="auto"/>
          <w:highlight w:val="none"/>
        </w:rPr>
        <w:t>23.6未按照磋商文件、磋商响应文件确定的事项签订采购合同的。</w:t>
      </w:r>
    </w:p>
    <w:p w14:paraId="41A9C0D0">
      <w:pPr>
        <w:bidi w:val="0"/>
        <w:rPr>
          <w:rFonts w:hint="eastAsia" w:ascii="宋体" w:hAnsi="宋体" w:eastAsia="宋体" w:cs="宋体"/>
          <w:color w:val="auto"/>
          <w:highlight w:val="none"/>
        </w:rPr>
      </w:pPr>
      <w:r>
        <w:rPr>
          <w:rFonts w:hint="eastAsia" w:ascii="宋体" w:hAnsi="宋体" w:eastAsia="宋体" w:cs="宋体"/>
          <w:color w:val="auto"/>
          <w:highlight w:val="none"/>
        </w:rPr>
        <w:t>23.7擅自变更、中止或者终止政府采购合同的。</w:t>
      </w:r>
    </w:p>
    <w:p w14:paraId="713954B3">
      <w:pPr>
        <w:bidi w:val="0"/>
        <w:rPr>
          <w:rFonts w:hint="eastAsia" w:ascii="宋体" w:hAnsi="宋体" w:eastAsia="宋体" w:cs="宋体"/>
          <w:color w:val="auto"/>
          <w:highlight w:val="none"/>
        </w:rPr>
      </w:pPr>
      <w:r>
        <w:rPr>
          <w:rFonts w:hint="eastAsia" w:ascii="宋体" w:hAnsi="宋体" w:eastAsia="宋体" w:cs="宋体"/>
          <w:color w:val="auto"/>
          <w:highlight w:val="none"/>
        </w:rPr>
        <w:t>23.8成交供应商签订合同后，因种种原因不能履约或无故拖延履约期的。</w:t>
      </w:r>
    </w:p>
    <w:p w14:paraId="650E7B82">
      <w:pPr>
        <w:bidi w:val="0"/>
        <w:rPr>
          <w:rFonts w:hint="eastAsia" w:ascii="宋体" w:hAnsi="宋体" w:eastAsia="宋体" w:cs="宋体"/>
          <w:color w:val="auto"/>
          <w:highlight w:val="none"/>
        </w:rPr>
      </w:pPr>
      <w:r>
        <w:rPr>
          <w:rFonts w:hint="eastAsia" w:ascii="宋体" w:hAnsi="宋体" w:eastAsia="宋体" w:cs="宋体"/>
          <w:color w:val="auto"/>
          <w:highlight w:val="none"/>
        </w:rPr>
        <w:t>23.9法律、法规规定的其他情形的。</w:t>
      </w:r>
      <w:bookmarkStart w:id="107" w:name="_Toc325726034"/>
      <w:bookmarkStart w:id="108" w:name="_Toc376936765"/>
    </w:p>
    <w:p w14:paraId="6DF4834B">
      <w:pPr>
        <w:pStyle w:val="5"/>
        <w:bidi w:val="0"/>
        <w:rPr>
          <w:rFonts w:hint="eastAsia" w:ascii="宋体" w:hAnsi="宋体" w:eastAsia="宋体" w:cs="宋体"/>
          <w:color w:val="auto"/>
          <w:highlight w:val="none"/>
        </w:rPr>
      </w:pPr>
      <w:bookmarkStart w:id="109" w:name="_Toc27406"/>
      <w:r>
        <w:rPr>
          <w:rFonts w:hint="eastAsia" w:ascii="宋体" w:hAnsi="宋体" w:eastAsia="宋体" w:cs="宋体"/>
          <w:color w:val="auto"/>
          <w:highlight w:val="none"/>
        </w:rPr>
        <w:t>十一、其他</w:t>
      </w:r>
      <w:bookmarkEnd w:id="107"/>
      <w:bookmarkEnd w:id="108"/>
      <w:bookmarkEnd w:id="109"/>
    </w:p>
    <w:p w14:paraId="7042D587">
      <w:pPr>
        <w:bidi w:val="0"/>
        <w:rPr>
          <w:rFonts w:hint="eastAsia" w:ascii="宋体" w:hAnsi="宋体" w:eastAsia="宋体" w:cs="宋体"/>
          <w:color w:val="auto"/>
          <w:highlight w:val="none"/>
        </w:rPr>
      </w:pPr>
      <w:r>
        <w:rPr>
          <w:rFonts w:hint="eastAsia" w:ascii="宋体" w:hAnsi="宋体" w:eastAsia="宋体" w:cs="宋体"/>
          <w:color w:val="auto"/>
          <w:highlight w:val="none"/>
        </w:rPr>
        <w:t>其他未尽事宜，按照《中华人民共和国政府采购法》、《中华人民共和国民法典》、《中华人民共和国政府采购法实施条例》、《政府采购竞争性磋商采购方式管理暂行办法》等法律法规的有关条款执行。</w:t>
      </w:r>
    </w:p>
    <w:p w14:paraId="7019AF87">
      <w:pPr>
        <w:bidi w:val="0"/>
        <w:rPr>
          <w:rFonts w:hint="eastAsia" w:ascii="宋体" w:hAnsi="宋体" w:eastAsia="宋体" w:cs="宋体"/>
          <w:color w:val="auto"/>
          <w:highlight w:val="none"/>
        </w:rPr>
      </w:pPr>
      <w:bookmarkStart w:id="110" w:name="_Toc376936766"/>
      <w:r>
        <w:rPr>
          <w:rFonts w:hint="eastAsia" w:ascii="宋体" w:hAnsi="宋体" w:eastAsia="宋体" w:cs="宋体"/>
          <w:color w:val="auto"/>
          <w:highlight w:val="none"/>
        </w:rPr>
        <w:br w:type="page"/>
      </w:r>
    </w:p>
    <w:p w14:paraId="4E2B7B1A">
      <w:pPr>
        <w:pStyle w:val="3"/>
        <w:numPr>
          <w:ilvl w:val="0"/>
          <w:numId w:val="0"/>
        </w:numPr>
        <w:bidi w:val="0"/>
        <w:ind w:left="0" w:leftChars="0" w:firstLine="0" w:firstLineChars="0"/>
        <w:rPr>
          <w:rFonts w:hint="eastAsia" w:ascii="宋体" w:hAnsi="宋体" w:eastAsia="宋体" w:cs="宋体"/>
          <w:color w:val="auto"/>
          <w:sz w:val="40"/>
          <w:szCs w:val="60"/>
          <w:highlight w:val="none"/>
        </w:rPr>
      </w:pPr>
      <w:bookmarkStart w:id="111" w:name="_Toc29921"/>
      <w:r>
        <w:rPr>
          <w:rFonts w:hint="eastAsia" w:ascii="宋体" w:hAnsi="宋体" w:eastAsia="宋体" w:cs="宋体"/>
          <w:color w:val="auto"/>
          <w:sz w:val="40"/>
          <w:szCs w:val="60"/>
          <w:highlight w:val="none"/>
        </w:rPr>
        <w:t>第四部分</w:t>
      </w:r>
      <w:bookmarkEnd w:id="110"/>
      <w:r>
        <w:rPr>
          <w:rFonts w:hint="eastAsia" w:ascii="宋体" w:hAnsi="宋体" w:eastAsia="宋体" w:cs="宋体"/>
          <w:color w:val="auto"/>
          <w:sz w:val="40"/>
          <w:szCs w:val="60"/>
          <w:highlight w:val="none"/>
          <w:lang w:val="en-US" w:eastAsia="zh-CN"/>
        </w:rPr>
        <w:t xml:space="preserve">  </w:t>
      </w:r>
      <w:r>
        <w:rPr>
          <w:rFonts w:hint="eastAsia" w:ascii="宋体" w:hAnsi="宋体" w:eastAsia="宋体" w:cs="宋体"/>
          <w:color w:val="auto"/>
          <w:sz w:val="40"/>
          <w:szCs w:val="60"/>
          <w:highlight w:val="none"/>
        </w:rPr>
        <w:t>青海省政府采购项目合同书范本</w:t>
      </w:r>
      <w:bookmarkEnd w:id="111"/>
    </w:p>
    <w:p w14:paraId="7A42E7DA">
      <w:pPr>
        <w:bidi w:val="0"/>
        <w:rPr>
          <w:rFonts w:hint="eastAsia" w:ascii="宋体" w:hAnsi="宋体" w:eastAsia="宋体" w:cs="宋体"/>
          <w:color w:val="auto"/>
          <w:highlight w:val="none"/>
        </w:rPr>
      </w:pPr>
    </w:p>
    <w:p w14:paraId="3C95D102">
      <w:pPr>
        <w:bidi w:val="0"/>
        <w:rPr>
          <w:rFonts w:hint="eastAsia" w:ascii="宋体" w:hAnsi="宋体" w:eastAsia="宋体" w:cs="宋体"/>
          <w:color w:val="auto"/>
          <w:highlight w:val="none"/>
        </w:rPr>
      </w:pPr>
      <w:bookmarkStart w:id="112" w:name="_Toc373936315"/>
      <w:bookmarkStart w:id="113" w:name="_Toc375576842"/>
      <w:bookmarkStart w:id="114" w:name="_Toc373954603"/>
    </w:p>
    <w:p w14:paraId="7F3BBEB8">
      <w:pPr>
        <w:bidi w:val="0"/>
        <w:rPr>
          <w:rFonts w:hint="eastAsia" w:ascii="宋体" w:hAnsi="宋体" w:eastAsia="宋体" w:cs="宋体"/>
          <w:color w:val="auto"/>
          <w:highlight w:val="none"/>
        </w:rPr>
      </w:pPr>
    </w:p>
    <w:p w14:paraId="17395456">
      <w:pPr>
        <w:bidi w:val="0"/>
        <w:ind w:left="0" w:leftChars="0" w:firstLine="0" w:firstLineChars="0"/>
        <w:jc w:val="center"/>
        <w:rPr>
          <w:rFonts w:hint="eastAsia" w:ascii="宋体" w:hAnsi="宋体" w:eastAsia="宋体" w:cs="宋体"/>
          <w:color w:val="auto"/>
          <w:sz w:val="72"/>
          <w:szCs w:val="72"/>
          <w:highlight w:val="none"/>
        </w:rPr>
      </w:pPr>
      <w:bookmarkStart w:id="115" w:name="_Toc448330810"/>
      <w:r>
        <w:rPr>
          <w:rFonts w:hint="eastAsia" w:ascii="宋体" w:hAnsi="宋体" w:eastAsia="宋体" w:cs="宋体"/>
          <w:color w:val="auto"/>
          <w:sz w:val="72"/>
          <w:szCs w:val="72"/>
          <w:highlight w:val="none"/>
        </w:rPr>
        <w:t>政府采购项目合同</w:t>
      </w:r>
      <w:bookmarkEnd w:id="112"/>
      <w:bookmarkEnd w:id="113"/>
      <w:bookmarkEnd w:id="114"/>
      <w:r>
        <w:rPr>
          <w:rFonts w:hint="eastAsia" w:ascii="宋体" w:hAnsi="宋体" w:eastAsia="宋体" w:cs="宋体"/>
          <w:color w:val="auto"/>
          <w:sz w:val="72"/>
          <w:szCs w:val="72"/>
          <w:highlight w:val="none"/>
        </w:rPr>
        <w:t>书</w:t>
      </w:r>
      <w:bookmarkEnd w:id="115"/>
    </w:p>
    <w:p w14:paraId="7CCEC12A">
      <w:pPr>
        <w:bidi w:val="0"/>
        <w:rPr>
          <w:rFonts w:hint="eastAsia" w:ascii="宋体" w:hAnsi="宋体" w:eastAsia="宋体" w:cs="宋体"/>
          <w:color w:val="auto"/>
          <w:highlight w:val="none"/>
        </w:rPr>
      </w:pPr>
    </w:p>
    <w:p w14:paraId="7C18536B">
      <w:pPr>
        <w:bidi w:val="0"/>
        <w:rPr>
          <w:rFonts w:hint="eastAsia" w:ascii="宋体" w:hAnsi="宋体" w:eastAsia="宋体" w:cs="宋体"/>
          <w:color w:val="auto"/>
          <w:highlight w:val="none"/>
        </w:rPr>
      </w:pPr>
    </w:p>
    <w:p w14:paraId="7D327651">
      <w:pPr>
        <w:bidi w:val="0"/>
        <w:rPr>
          <w:rFonts w:hint="eastAsia" w:ascii="宋体" w:hAnsi="宋体" w:eastAsia="宋体" w:cs="宋体"/>
          <w:color w:val="auto"/>
          <w:highlight w:val="none"/>
        </w:rPr>
      </w:pPr>
    </w:p>
    <w:p w14:paraId="1FD82362">
      <w:pPr>
        <w:bidi w:val="0"/>
        <w:ind w:left="2525" w:leftChars="232" w:hanging="1968" w:hangingChars="700"/>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采购项目名称：</w:t>
      </w:r>
      <w:r>
        <w:rPr>
          <w:rFonts w:hint="eastAsia" w:ascii="宋体" w:hAnsi="宋体" w:cs="宋体"/>
          <w:b/>
          <w:bCs/>
          <w:color w:val="auto"/>
          <w:sz w:val="28"/>
          <w:szCs w:val="28"/>
          <w:highlight w:val="none"/>
          <w:u w:val="single"/>
          <w:lang w:val="en-US" w:eastAsia="zh-CN"/>
        </w:rPr>
        <w:t>青海省财政厅信息机房设备维保服务项目</w:t>
      </w:r>
    </w:p>
    <w:p w14:paraId="240EBCC4">
      <w:pPr>
        <w:bidi w:val="0"/>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采购项目编号：</w:t>
      </w:r>
      <w:r>
        <w:rPr>
          <w:rFonts w:hint="eastAsia" w:ascii="宋体" w:hAnsi="宋体" w:cs="宋体"/>
          <w:b/>
          <w:bCs/>
          <w:color w:val="auto"/>
          <w:sz w:val="28"/>
          <w:szCs w:val="28"/>
          <w:highlight w:val="none"/>
          <w:u w:val="single"/>
          <w:lang w:val="en-US" w:eastAsia="zh-CN"/>
        </w:rPr>
        <w:t>青海联祥磋商（服务）2026-057</w:t>
      </w:r>
    </w:p>
    <w:p w14:paraId="783D27E1">
      <w:pPr>
        <w:bidi w:val="0"/>
        <w:rPr>
          <w:rFonts w:hint="default"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采购合同编号：</w:t>
      </w:r>
      <w:r>
        <w:rPr>
          <w:rFonts w:hint="eastAsia" w:ascii="宋体" w:hAnsi="宋体" w:eastAsia="宋体" w:cs="宋体"/>
          <w:b/>
          <w:bCs/>
          <w:color w:val="auto"/>
          <w:sz w:val="28"/>
          <w:szCs w:val="28"/>
          <w:highlight w:val="none"/>
          <w:u w:val="single"/>
          <w:lang w:val="en-US" w:eastAsia="zh-CN"/>
        </w:rPr>
        <w:t>QHLX-</w:t>
      </w:r>
      <w:r>
        <w:rPr>
          <w:rFonts w:hint="eastAsia" w:ascii="宋体" w:hAnsi="宋体" w:cs="宋体"/>
          <w:b/>
          <w:bCs/>
          <w:color w:val="auto"/>
          <w:sz w:val="28"/>
          <w:szCs w:val="28"/>
          <w:highlight w:val="none"/>
          <w:u w:val="single"/>
          <w:lang w:val="en-US" w:eastAsia="zh-CN"/>
        </w:rPr>
        <w:t>2026-057</w:t>
      </w:r>
    </w:p>
    <w:p w14:paraId="7D9F02FB">
      <w:pPr>
        <w:bidi w:val="0"/>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采购单位：</w:t>
      </w:r>
      <w:r>
        <w:rPr>
          <w:rFonts w:hint="eastAsia" w:ascii="宋体" w:hAnsi="宋体" w:cs="宋体"/>
          <w:b/>
          <w:bCs/>
          <w:color w:val="auto"/>
          <w:sz w:val="28"/>
          <w:szCs w:val="28"/>
          <w:highlight w:val="none"/>
          <w:u w:val="single"/>
          <w:lang w:val="en-US" w:eastAsia="zh-CN"/>
        </w:rPr>
        <w:t>青海省财政厅</w:t>
      </w:r>
    </w:p>
    <w:p w14:paraId="2A088DCA">
      <w:pPr>
        <w:bidi w:val="0"/>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供应商：</w:t>
      </w:r>
      <w:r>
        <w:rPr>
          <w:rFonts w:hint="eastAsia" w:ascii="宋体" w:hAnsi="宋体" w:eastAsia="宋体" w:cs="宋体"/>
          <w:b/>
          <w:bCs/>
          <w:color w:val="auto"/>
          <w:sz w:val="28"/>
          <w:szCs w:val="28"/>
          <w:highlight w:val="none"/>
          <w:u w:val="single"/>
          <w:lang w:val="en-US" w:eastAsia="zh-CN"/>
        </w:rPr>
        <w:t xml:space="preserve">                           </w:t>
      </w:r>
    </w:p>
    <w:p w14:paraId="7549FF0F">
      <w:pPr>
        <w:bidi w:val="0"/>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合同金额：</w:t>
      </w:r>
      <w:r>
        <w:rPr>
          <w:rFonts w:hint="eastAsia" w:ascii="宋体" w:hAnsi="宋体" w:eastAsia="宋体" w:cs="宋体"/>
          <w:b/>
          <w:bCs/>
          <w:color w:val="auto"/>
          <w:sz w:val="28"/>
          <w:szCs w:val="28"/>
          <w:highlight w:val="none"/>
          <w:u w:val="single"/>
          <w:lang w:val="en-US" w:eastAsia="zh-CN"/>
        </w:rPr>
        <w:t xml:space="preserve">                         </w:t>
      </w:r>
    </w:p>
    <w:p w14:paraId="13BF7E0E">
      <w:pPr>
        <w:bidi w:val="0"/>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磋商日期：</w:t>
      </w:r>
      <w:r>
        <w:rPr>
          <w:rFonts w:hint="eastAsia" w:ascii="宋体" w:hAnsi="宋体" w:eastAsia="宋体" w:cs="宋体"/>
          <w:b/>
          <w:bCs/>
          <w:color w:val="auto"/>
          <w:sz w:val="28"/>
          <w:szCs w:val="28"/>
          <w:highlight w:val="none"/>
          <w:u w:val="single"/>
          <w:lang w:val="en-US" w:eastAsia="zh-CN"/>
        </w:rPr>
        <w:t xml:space="preserve">    年  月  日 </w:t>
      </w:r>
    </w:p>
    <w:p w14:paraId="41A1B554">
      <w:pPr>
        <w:pStyle w:val="2"/>
        <w:ind w:firstLine="0" w:firstLineChars="0"/>
        <w:rPr>
          <w:rFonts w:hint="eastAsia" w:ascii="宋体" w:hAnsi="宋体" w:eastAsia="宋体" w:cs="宋体"/>
          <w:b/>
          <w:bCs/>
          <w:color w:val="auto"/>
          <w:kern w:val="0"/>
          <w:szCs w:val="24"/>
          <w:highlight w:val="none"/>
        </w:rPr>
      </w:pPr>
    </w:p>
    <w:p w14:paraId="7367106B">
      <w:pPr>
        <w:bidi w:val="0"/>
        <w:rPr>
          <w:rFonts w:hint="eastAsia" w:ascii="宋体" w:hAnsi="宋体" w:eastAsia="宋体" w:cs="宋体"/>
          <w:b/>
          <w:bCs/>
          <w:color w:val="auto"/>
          <w:highlight w:val="none"/>
        </w:rPr>
      </w:pPr>
      <w:r>
        <w:rPr>
          <w:rFonts w:hint="eastAsia" w:ascii="宋体" w:hAnsi="宋体" w:eastAsia="宋体" w:cs="宋体"/>
          <w:b/>
          <w:bCs/>
          <w:color w:val="auto"/>
          <w:highlight w:val="none"/>
          <w:lang w:val="en-US" w:eastAsia="zh-CN"/>
        </w:rPr>
        <w:t>注：本合同格式为合同的参考文本，合同签订双方可根据项目的具体要求进行修订，但合同金额、服务承诺、履约方式等必须与磋商文件和供应商的响应文件保持一致。在不违反原采购方案要求和各方认可的文件内容前提下，合同当事人可对合同范本中个别非磋商文件规定和响应文件承诺的合同条款共同协商完善补充修订。</w:t>
      </w:r>
    </w:p>
    <w:p w14:paraId="4A8087EC">
      <w:pPr>
        <w:pStyle w:val="2"/>
        <w:ind w:firstLine="0" w:firstLineChars="0"/>
        <w:rPr>
          <w:rFonts w:hint="eastAsia" w:ascii="宋体" w:hAnsi="宋体" w:eastAsia="宋体" w:cs="宋体"/>
          <w:b/>
          <w:bCs/>
          <w:color w:val="auto"/>
          <w:kern w:val="0"/>
          <w:szCs w:val="24"/>
          <w:highlight w:val="none"/>
        </w:rPr>
      </w:pPr>
    </w:p>
    <w:p w14:paraId="77768FDD">
      <w:pPr>
        <w:rPr>
          <w:rFonts w:hint="eastAsia" w:ascii="宋体" w:hAnsi="宋体" w:eastAsia="宋体" w:cs="宋体"/>
          <w:b/>
          <w:bCs/>
          <w:color w:val="auto"/>
          <w:highlight w:val="none"/>
          <w:lang w:val="zh-CN"/>
        </w:rPr>
      </w:pPr>
      <w:bookmarkStart w:id="116" w:name="_Toc325726036"/>
      <w:bookmarkStart w:id="117" w:name="_Toc376936767"/>
    </w:p>
    <w:p w14:paraId="0DBAF35A">
      <w:pPr>
        <w:autoSpaceDE w:val="0"/>
        <w:autoSpaceDN w:val="0"/>
        <w:adjustRightInd w:val="0"/>
        <w:spacing w:line="360" w:lineRule="auto"/>
        <w:ind w:left="0" w:leftChars="0" w:firstLine="0" w:firstLineChars="0"/>
        <w:rPr>
          <w:rFonts w:hint="eastAsia" w:ascii="宋体" w:hAnsi="宋体" w:eastAsia="宋体" w:cs="宋体"/>
          <w:b/>
          <w:bCs/>
          <w:color w:val="auto"/>
          <w:highlight w:val="none"/>
          <w:lang w:val="zh-CN"/>
        </w:rPr>
      </w:pPr>
    </w:p>
    <w:p w14:paraId="438A98BE">
      <w:pPr>
        <w:autoSpaceDE w:val="0"/>
        <w:autoSpaceDN w:val="0"/>
        <w:adjustRightInd w:val="0"/>
        <w:spacing w:line="360" w:lineRule="auto"/>
        <w:ind w:left="0" w:leftChars="0" w:firstLine="0" w:firstLineChars="0"/>
        <w:rPr>
          <w:rFonts w:hint="eastAsia" w:ascii="宋体" w:hAnsi="宋体" w:eastAsia="宋体" w:cs="宋体"/>
          <w:b/>
          <w:bCs/>
          <w:color w:val="auto"/>
          <w:highlight w:val="none"/>
          <w:lang w:val="zh-CN"/>
        </w:rPr>
      </w:pPr>
    </w:p>
    <w:p w14:paraId="28B3D332">
      <w:pPr>
        <w:pStyle w:val="80"/>
        <w:rPr>
          <w:rFonts w:hint="eastAsia"/>
          <w:color w:val="auto"/>
          <w:highlight w:val="none"/>
          <w:lang w:val="zh-CN"/>
        </w:rPr>
      </w:pPr>
    </w:p>
    <w:p w14:paraId="5116D9A4">
      <w:pPr>
        <w:autoSpaceDE w:val="0"/>
        <w:autoSpaceDN w:val="0"/>
        <w:adjustRightInd w:val="0"/>
        <w:spacing w:line="360" w:lineRule="auto"/>
        <w:ind w:left="0" w:leftChars="0" w:firstLine="0" w:firstLineChars="0"/>
        <w:rPr>
          <w:rFonts w:hint="eastAsia" w:ascii="宋体" w:hAnsi="宋体" w:eastAsia="宋体" w:cs="宋体"/>
          <w:b/>
          <w:bCs/>
          <w:color w:val="000000"/>
        </w:rPr>
      </w:pPr>
      <w:r>
        <w:rPr>
          <w:rFonts w:hint="eastAsia" w:ascii="宋体" w:hAnsi="宋体" w:eastAsia="宋体" w:cs="宋体"/>
          <w:b/>
          <w:bCs/>
          <w:color w:val="000000"/>
          <w:lang w:val="zh-CN"/>
        </w:rPr>
        <w:t>采</w:t>
      </w:r>
      <w:r>
        <w:rPr>
          <w:rFonts w:hint="eastAsia" w:ascii="宋体" w:hAnsi="宋体" w:eastAsia="宋体" w:cs="宋体"/>
          <w:b/>
          <w:bCs/>
          <w:color w:val="000000"/>
        </w:rPr>
        <w:t xml:space="preserve"> </w:t>
      </w:r>
      <w:r>
        <w:rPr>
          <w:rFonts w:hint="eastAsia" w:ascii="宋体" w:hAnsi="宋体" w:eastAsia="宋体" w:cs="宋体"/>
          <w:b/>
          <w:bCs/>
          <w:color w:val="000000"/>
          <w:lang w:val="zh-CN"/>
        </w:rPr>
        <w:t>购</w:t>
      </w:r>
      <w:r>
        <w:rPr>
          <w:rFonts w:hint="eastAsia" w:ascii="宋体" w:hAnsi="宋体" w:eastAsia="宋体" w:cs="宋体"/>
          <w:b/>
          <w:bCs/>
          <w:color w:val="000000"/>
        </w:rPr>
        <w:t xml:space="preserve"> </w:t>
      </w:r>
      <w:r>
        <w:rPr>
          <w:rFonts w:hint="eastAsia" w:ascii="宋体" w:hAnsi="宋体" w:eastAsia="宋体" w:cs="宋体"/>
          <w:b/>
          <w:bCs/>
          <w:color w:val="000000"/>
          <w:lang w:val="zh-CN"/>
        </w:rPr>
        <w:t>人（以下简称甲方）：</w:t>
      </w:r>
      <w:r>
        <w:rPr>
          <w:rFonts w:hint="eastAsia" w:ascii="宋体" w:hAnsi="宋体" w:eastAsia="宋体" w:cs="宋体"/>
          <w:b/>
          <w:bCs/>
          <w:color w:val="000000"/>
        </w:rPr>
        <w:t xml:space="preserve"> </w:t>
      </w:r>
    </w:p>
    <w:p w14:paraId="37A6818E">
      <w:pPr>
        <w:autoSpaceDE w:val="0"/>
        <w:autoSpaceDN w:val="0"/>
        <w:adjustRightInd w:val="0"/>
        <w:spacing w:line="360" w:lineRule="auto"/>
        <w:ind w:left="0" w:leftChars="0" w:firstLine="0" w:firstLineChars="0"/>
        <w:rPr>
          <w:rFonts w:hint="eastAsia" w:ascii="宋体" w:hAnsi="宋体" w:eastAsia="宋体" w:cs="宋体"/>
          <w:color w:val="000000"/>
        </w:rPr>
      </w:pPr>
      <w:r>
        <w:rPr>
          <w:rFonts w:hint="eastAsia" w:ascii="宋体" w:hAnsi="宋体" w:eastAsia="宋体" w:cs="宋体"/>
          <w:b/>
          <w:bCs/>
          <w:color w:val="000000"/>
        </w:rPr>
        <w:t>供 应 商</w:t>
      </w:r>
      <w:r>
        <w:rPr>
          <w:rFonts w:hint="eastAsia" w:ascii="宋体" w:hAnsi="宋体" w:eastAsia="宋体" w:cs="宋体"/>
          <w:b/>
          <w:bCs/>
          <w:color w:val="000000"/>
          <w:lang w:val="zh-CN"/>
        </w:rPr>
        <w:t>（以下简称乙方）：</w:t>
      </w:r>
    </w:p>
    <w:p w14:paraId="0889374A">
      <w:pPr>
        <w:bidi w:val="0"/>
        <w:rPr>
          <w:rFonts w:hint="eastAsia" w:ascii="宋体" w:hAnsi="宋体" w:eastAsia="宋体" w:cs="宋体"/>
          <w:lang w:val="zh-CN"/>
        </w:rPr>
      </w:pPr>
      <w:r>
        <w:rPr>
          <w:rFonts w:hint="eastAsia" w:ascii="宋体" w:hAnsi="宋体" w:eastAsia="宋体" w:cs="宋体"/>
          <w:lang w:val="zh-CN"/>
        </w:rPr>
        <w:t>甲、乙双方根据</w:t>
      </w:r>
      <w:r>
        <w:rPr>
          <w:rFonts w:hint="eastAsia" w:ascii="宋体" w:hAnsi="宋体" w:eastAsia="宋体" w:cs="宋体"/>
        </w:rPr>
        <w:t xml:space="preserve">    </w:t>
      </w:r>
      <w:r>
        <w:rPr>
          <w:rFonts w:hint="eastAsia" w:ascii="宋体" w:hAnsi="宋体" w:eastAsia="宋体" w:cs="宋体"/>
          <w:lang w:val="zh-CN"/>
        </w:rPr>
        <w:t>年</w:t>
      </w:r>
      <w:r>
        <w:rPr>
          <w:rFonts w:hint="eastAsia" w:ascii="宋体" w:hAnsi="宋体" w:eastAsia="宋体" w:cs="宋体"/>
        </w:rPr>
        <w:t xml:space="preserve">  </w:t>
      </w:r>
      <w:r>
        <w:rPr>
          <w:rFonts w:hint="eastAsia" w:ascii="宋体" w:hAnsi="宋体" w:eastAsia="宋体" w:cs="宋体"/>
          <w:highlight w:val="none"/>
          <w:lang w:val="zh-CN"/>
        </w:rPr>
        <w:t>月</w:t>
      </w:r>
      <w:r>
        <w:rPr>
          <w:rFonts w:hint="eastAsia" w:ascii="宋体" w:hAnsi="宋体" w:eastAsia="宋体" w:cs="宋体"/>
          <w:highlight w:val="none"/>
        </w:rPr>
        <w:t xml:space="preserve">  </w:t>
      </w:r>
      <w:r>
        <w:rPr>
          <w:rFonts w:hint="eastAsia" w:ascii="宋体" w:hAnsi="宋体" w:eastAsia="宋体" w:cs="宋体"/>
          <w:highlight w:val="none"/>
          <w:lang w:val="zh-CN"/>
        </w:rPr>
        <w:t>日（</w:t>
      </w:r>
      <w:r>
        <w:rPr>
          <w:rFonts w:hint="eastAsia" w:ascii="宋体" w:hAnsi="宋体" w:cs="宋体"/>
          <w:highlight w:val="none"/>
          <w:lang w:val="zh-CN"/>
        </w:rPr>
        <w:t>青海省财政厅信息机房设备维保服务项目</w:t>
      </w:r>
      <w:r>
        <w:rPr>
          <w:rFonts w:hint="eastAsia" w:ascii="宋体" w:hAnsi="宋体" w:eastAsia="宋体" w:cs="宋体"/>
          <w:highlight w:val="none"/>
          <w:lang w:val="zh-CN"/>
        </w:rPr>
        <w:t>）（青海联祥磋商（服务）2026-057）的</w:t>
      </w:r>
      <w:r>
        <w:rPr>
          <w:rFonts w:hint="eastAsia" w:ascii="宋体" w:hAnsi="宋体" w:eastAsia="宋体" w:cs="宋体"/>
          <w:highlight w:val="none"/>
        </w:rPr>
        <w:t>磋</w:t>
      </w:r>
      <w:r>
        <w:rPr>
          <w:rFonts w:hint="eastAsia" w:ascii="宋体" w:hAnsi="宋体" w:eastAsia="宋体" w:cs="宋体"/>
        </w:rPr>
        <w:t>商</w:t>
      </w:r>
      <w:r>
        <w:rPr>
          <w:rFonts w:hint="eastAsia" w:ascii="宋体" w:hAnsi="宋体" w:eastAsia="宋体" w:cs="宋体"/>
          <w:lang w:val="zh-CN"/>
        </w:rPr>
        <w:t>文件要求和采购代理机构出具的《</w:t>
      </w:r>
      <w:r>
        <w:rPr>
          <w:rFonts w:hint="eastAsia" w:ascii="宋体" w:hAnsi="宋体" w:eastAsia="宋体" w:cs="宋体"/>
        </w:rPr>
        <w:t>成交</w:t>
      </w:r>
      <w:r>
        <w:rPr>
          <w:rFonts w:hint="eastAsia" w:ascii="宋体" w:hAnsi="宋体" w:eastAsia="宋体" w:cs="宋体"/>
          <w:lang w:val="zh-CN"/>
        </w:rPr>
        <w:t>通知书》，并经双方协商一致，签订本合同协议书。</w:t>
      </w:r>
    </w:p>
    <w:p w14:paraId="483A749F">
      <w:pPr>
        <w:bidi w:val="0"/>
        <w:rPr>
          <w:rFonts w:hint="eastAsia" w:ascii="宋体" w:hAnsi="宋体" w:eastAsia="宋体" w:cs="宋体"/>
          <w:b/>
          <w:bCs/>
          <w:lang w:val="zh-CN"/>
        </w:rPr>
      </w:pPr>
      <w:r>
        <w:rPr>
          <w:rFonts w:hint="eastAsia" w:ascii="宋体" w:hAnsi="宋体" w:eastAsia="宋体" w:cs="宋体"/>
          <w:b/>
          <w:bCs/>
          <w:lang w:val="zh-CN"/>
        </w:rPr>
        <w:t>签订本政府采购合同的依据：</w:t>
      </w:r>
    </w:p>
    <w:p w14:paraId="5F33C656">
      <w:pPr>
        <w:bidi w:val="0"/>
        <w:ind w:left="0" w:leftChars="0" w:firstLine="0" w:firstLineChars="0"/>
        <w:rPr>
          <w:rFonts w:hint="eastAsia" w:ascii="宋体" w:hAnsi="宋体" w:eastAsia="宋体" w:cs="宋体"/>
          <w:lang w:val="zh-CN"/>
        </w:rPr>
      </w:pPr>
      <w:r>
        <w:rPr>
          <w:rFonts w:hint="eastAsia" w:ascii="宋体" w:hAnsi="宋体" w:eastAsia="宋体" w:cs="宋体"/>
          <w:b/>
          <w:bCs/>
        </w:rPr>
        <w:t>一、</w:t>
      </w:r>
      <w:r>
        <w:rPr>
          <w:rFonts w:hint="eastAsia" w:ascii="宋体" w:hAnsi="宋体" w:eastAsia="宋体" w:cs="宋体"/>
          <w:b/>
          <w:bCs/>
          <w:lang w:val="zh-CN"/>
        </w:rPr>
        <w:t>本政府采购合同所附下列文件是构成本政府采购合同不可分割的部分：</w:t>
      </w:r>
    </w:p>
    <w:p w14:paraId="049CFE59">
      <w:pPr>
        <w:bidi w:val="0"/>
        <w:rPr>
          <w:rFonts w:hint="eastAsia" w:ascii="宋体" w:hAnsi="宋体" w:eastAsia="宋体" w:cs="宋体"/>
        </w:rPr>
      </w:pPr>
      <w:r>
        <w:rPr>
          <w:rFonts w:hint="eastAsia" w:ascii="宋体" w:hAnsi="宋体" w:eastAsia="宋体" w:cs="宋体"/>
        </w:rPr>
        <w:t>1、磋商文件；</w:t>
      </w:r>
    </w:p>
    <w:p w14:paraId="505BFA99">
      <w:pPr>
        <w:bidi w:val="0"/>
        <w:rPr>
          <w:rFonts w:hint="eastAsia" w:ascii="宋体" w:hAnsi="宋体" w:eastAsia="宋体" w:cs="宋体"/>
        </w:rPr>
      </w:pPr>
      <w:r>
        <w:rPr>
          <w:rFonts w:hint="eastAsia" w:ascii="宋体" w:hAnsi="宋体" w:eastAsia="宋体" w:cs="宋体"/>
        </w:rPr>
        <w:t>2、磋商文件的更正、变更公告；</w:t>
      </w:r>
    </w:p>
    <w:p w14:paraId="042D6147">
      <w:pPr>
        <w:bidi w:val="0"/>
        <w:rPr>
          <w:rFonts w:hint="eastAsia" w:ascii="宋体" w:hAnsi="宋体" w:eastAsia="宋体" w:cs="宋体"/>
        </w:rPr>
      </w:pPr>
      <w:r>
        <w:rPr>
          <w:rFonts w:hint="eastAsia" w:ascii="宋体" w:hAnsi="宋体" w:eastAsia="宋体" w:cs="宋体"/>
        </w:rPr>
        <w:t>3、成交人提交的</w:t>
      </w:r>
      <w:r>
        <w:rPr>
          <w:rFonts w:hint="eastAsia" w:ascii="宋体" w:hAnsi="宋体" w:eastAsia="宋体" w:cs="宋体"/>
          <w:lang w:val="en-US" w:eastAsia="zh-CN"/>
        </w:rPr>
        <w:t>投标响应</w:t>
      </w:r>
      <w:r>
        <w:rPr>
          <w:rFonts w:hint="eastAsia" w:ascii="宋体" w:hAnsi="宋体" w:eastAsia="宋体" w:cs="宋体"/>
        </w:rPr>
        <w:t>文件；</w:t>
      </w:r>
    </w:p>
    <w:p w14:paraId="70896F50">
      <w:pPr>
        <w:bidi w:val="0"/>
        <w:rPr>
          <w:rFonts w:hint="eastAsia" w:ascii="宋体" w:hAnsi="宋体" w:eastAsia="宋体" w:cs="宋体"/>
        </w:rPr>
      </w:pPr>
      <w:r>
        <w:rPr>
          <w:rFonts w:hint="eastAsia" w:ascii="宋体" w:hAnsi="宋体" w:eastAsia="宋体" w:cs="宋体"/>
        </w:rPr>
        <w:t>4、磋商文件中规定的政府采购合同通用条款；</w:t>
      </w:r>
    </w:p>
    <w:p w14:paraId="3F1611E7">
      <w:pPr>
        <w:bidi w:val="0"/>
        <w:rPr>
          <w:rFonts w:hint="eastAsia" w:ascii="宋体" w:hAnsi="宋体" w:eastAsia="宋体" w:cs="宋体"/>
        </w:rPr>
      </w:pPr>
      <w:r>
        <w:rPr>
          <w:rFonts w:hint="eastAsia" w:ascii="宋体" w:hAnsi="宋体" w:eastAsia="宋体" w:cs="宋体"/>
        </w:rPr>
        <w:t>5、成交通知书；</w:t>
      </w:r>
    </w:p>
    <w:p w14:paraId="4FD2C125">
      <w:pPr>
        <w:bidi w:val="0"/>
        <w:rPr>
          <w:rFonts w:hint="eastAsia" w:ascii="宋体" w:hAnsi="宋体" w:eastAsia="宋体" w:cs="宋体"/>
        </w:rPr>
      </w:pPr>
      <w:r>
        <w:rPr>
          <w:rFonts w:hint="eastAsia" w:ascii="宋体" w:hAnsi="宋体" w:eastAsia="宋体" w:cs="宋体"/>
        </w:rPr>
        <w:t>6、最终报价表；</w:t>
      </w:r>
    </w:p>
    <w:p w14:paraId="02D22FDA">
      <w:pPr>
        <w:bidi w:val="0"/>
        <w:rPr>
          <w:rFonts w:hint="eastAsia" w:ascii="宋体" w:hAnsi="宋体" w:eastAsia="宋体" w:cs="宋体"/>
          <w:lang w:eastAsia="zh-CN"/>
        </w:rPr>
      </w:pPr>
      <w:r>
        <w:rPr>
          <w:rFonts w:hint="eastAsia" w:ascii="宋体" w:hAnsi="宋体" w:eastAsia="宋体" w:cs="宋体"/>
        </w:rPr>
        <w:t>7、履约保证金缴款证明</w:t>
      </w:r>
    </w:p>
    <w:p w14:paraId="3107A651">
      <w:pPr>
        <w:bidi w:val="0"/>
        <w:ind w:left="0" w:leftChars="0" w:firstLine="0" w:firstLineChars="0"/>
        <w:rPr>
          <w:rFonts w:hint="eastAsia" w:ascii="宋体" w:hAnsi="宋体" w:eastAsia="宋体" w:cs="宋体"/>
          <w:lang w:val="zh-CN"/>
        </w:rPr>
      </w:pPr>
      <w:r>
        <w:rPr>
          <w:rFonts w:hint="eastAsia" w:ascii="宋体" w:hAnsi="宋体" w:eastAsia="宋体" w:cs="宋体"/>
          <w:b/>
          <w:bCs/>
          <w:lang w:val="zh-CN"/>
        </w:rPr>
        <w:t>二、合同标的及金额</w:t>
      </w:r>
    </w:p>
    <w:p w14:paraId="61EAF858">
      <w:pPr>
        <w:bidi w:val="0"/>
        <w:jc w:val="right"/>
        <w:rPr>
          <w:rFonts w:hint="eastAsia" w:ascii="宋体" w:hAnsi="宋体" w:eastAsia="宋体" w:cs="宋体"/>
          <w:lang w:val="zh-CN"/>
        </w:rPr>
      </w:pPr>
      <w:r>
        <w:rPr>
          <w:rFonts w:hint="eastAsia" w:ascii="宋体" w:hAnsi="宋体" w:eastAsia="宋体" w:cs="宋体"/>
          <w:lang w:val="zh-CN"/>
        </w:rPr>
        <w:t xml:space="preserve">      单位：元</w:t>
      </w:r>
    </w:p>
    <w:tbl>
      <w:tblPr>
        <w:tblStyle w:val="67"/>
        <w:tblW w:w="8768" w:type="dxa"/>
        <w:jc w:val="center"/>
        <w:tblLayout w:type="fixed"/>
        <w:tblCellMar>
          <w:top w:w="0" w:type="dxa"/>
          <w:left w:w="108" w:type="dxa"/>
          <w:bottom w:w="0" w:type="dxa"/>
          <w:right w:w="108" w:type="dxa"/>
        </w:tblCellMar>
      </w:tblPr>
      <w:tblGrid>
        <w:gridCol w:w="1728"/>
        <w:gridCol w:w="3377"/>
        <w:gridCol w:w="1487"/>
        <w:gridCol w:w="1276"/>
        <w:gridCol w:w="900"/>
      </w:tblGrid>
      <w:tr w14:paraId="7C581966">
        <w:tblPrEx>
          <w:tblCellMar>
            <w:top w:w="0" w:type="dxa"/>
            <w:left w:w="108" w:type="dxa"/>
            <w:bottom w:w="0" w:type="dxa"/>
            <w:right w:w="108" w:type="dxa"/>
          </w:tblCellMar>
        </w:tblPrEx>
        <w:trPr>
          <w:cantSplit/>
          <w:trHeight w:val="900" w:hRule="atLeast"/>
          <w:jc w:val="center"/>
        </w:trPr>
        <w:tc>
          <w:tcPr>
            <w:tcW w:w="1728" w:type="dxa"/>
            <w:tcBorders>
              <w:top w:val="single" w:color="auto" w:sz="4" w:space="0"/>
              <w:left w:val="single" w:color="auto" w:sz="4" w:space="0"/>
              <w:bottom w:val="single" w:color="auto" w:sz="4" w:space="0"/>
              <w:right w:val="single" w:color="auto" w:sz="4" w:space="0"/>
            </w:tcBorders>
            <w:vAlign w:val="center"/>
          </w:tcPr>
          <w:p w14:paraId="1E55C5D5">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宋体" w:hAnsi="宋体" w:eastAsia="宋体" w:cs="宋体"/>
                <w:lang w:val="zh-CN"/>
              </w:rPr>
            </w:pPr>
            <w:r>
              <w:rPr>
                <w:rFonts w:hint="eastAsia" w:ascii="宋体" w:hAnsi="宋体" w:eastAsia="宋体" w:cs="宋体"/>
                <w:lang w:val="zh-CN"/>
              </w:rPr>
              <w:t>序号</w:t>
            </w:r>
          </w:p>
        </w:tc>
        <w:tc>
          <w:tcPr>
            <w:tcW w:w="3377" w:type="dxa"/>
            <w:tcBorders>
              <w:top w:val="single" w:color="auto" w:sz="4" w:space="0"/>
              <w:left w:val="single" w:color="auto" w:sz="4" w:space="0"/>
              <w:bottom w:val="single" w:color="auto" w:sz="4" w:space="0"/>
              <w:right w:val="single" w:color="auto" w:sz="4" w:space="0"/>
            </w:tcBorders>
            <w:vAlign w:val="center"/>
          </w:tcPr>
          <w:p w14:paraId="7105B976">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宋体" w:hAnsi="宋体" w:eastAsia="宋体" w:cs="宋体"/>
                <w:lang w:val="en-US" w:eastAsia="zh-CN"/>
              </w:rPr>
            </w:pPr>
            <w:r>
              <w:rPr>
                <w:rFonts w:hint="eastAsia" w:ascii="宋体" w:hAnsi="宋体" w:eastAsia="宋体" w:cs="宋体"/>
                <w:lang w:val="zh-CN"/>
              </w:rPr>
              <w:t>服务</w:t>
            </w:r>
            <w:r>
              <w:rPr>
                <w:rFonts w:hint="eastAsia" w:ascii="宋体" w:hAnsi="宋体" w:eastAsia="宋体" w:cs="宋体"/>
                <w:lang w:val="en-US" w:eastAsia="zh-CN"/>
              </w:rPr>
              <w:t>内容</w:t>
            </w:r>
          </w:p>
        </w:tc>
        <w:tc>
          <w:tcPr>
            <w:tcW w:w="1487" w:type="dxa"/>
            <w:tcBorders>
              <w:top w:val="single" w:color="auto" w:sz="4" w:space="0"/>
              <w:left w:val="single" w:color="auto" w:sz="4" w:space="0"/>
              <w:bottom w:val="single" w:color="auto" w:sz="4" w:space="0"/>
              <w:right w:val="single" w:color="auto" w:sz="4" w:space="0"/>
            </w:tcBorders>
            <w:vAlign w:val="center"/>
          </w:tcPr>
          <w:p w14:paraId="136BF66D">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宋体" w:hAnsi="宋体" w:eastAsia="宋体" w:cs="宋体"/>
                <w:lang w:val="en-US" w:eastAsia="zh-CN"/>
              </w:rPr>
            </w:pPr>
            <w:r>
              <w:rPr>
                <w:rFonts w:hint="eastAsia" w:ascii="宋体" w:hAnsi="宋体" w:eastAsia="宋体" w:cs="宋体"/>
                <w:lang w:val="en-US" w:eastAsia="zh-CN"/>
              </w:rPr>
              <w:t>数量及单位</w:t>
            </w:r>
          </w:p>
        </w:tc>
        <w:tc>
          <w:tcPr>
            <w:tcW w:w="1276" w:type="dxa"/>
            <w:tcBorders>
              <w:top w:val="single" w:color="auto" w:sz="4" w:space="0"/>
              <w:left w:val="single" w:color="auto" w:sz="4" w:space="0"/>
              <w:bottom w:val="single" w:color="auto" w:sz="4" w:space="0"/>
              <w:right w:val="single" w:color="auto" w:sz="4" w:space="0"/>
            </w:tcBorders>
            <w:vAlign w:val="center"/>
          </w:tcPr>
          <w:p w14:paraId="25EF5E70">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宋体" w:hAnsi="宋体" w:eastAsia="宋体" w:cs="宋体"/>
                <w:lang w:val="zh-CN"/>
              </w:rPr>
            </w:pPr>
            <w:r>
              <w:rPr>
                <w:rFonts w:hint="eastAsia" w:ascii="宋体" w:hAnsi="宋体" w:eastAsia="宋体" w:cs="宋体"/>
              </w:rPr>
              <w:t>金额</w:t>
            </w:r>
          </w:p>
        </w:tc>
        <w:tc>
          <w:tcPr>
            <w:tcW w:w="900" w:type="dxa"/>
            <w:tcBorders>
              <w:top w:val="single" w:color="auto" w:sz="4" w:space="0"/>
              <w:left w:val="single" w:color="auto" w:sz="4" w:space="0"/>
              <w:bottom w:val="single" w:color="auto" w:sz="4" w:space="0"/>
              <w:right w:val="single" w:color="auto" w:sz="4" w:space="0"/>
            </w:tcBorders>
            <w:vAlign w:val="center"/>
          </w:tcPr>
          <w:p w14:paraId="2074FF4C">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宋体" w:hAnsi="宋体" w:eastAsia="宋体" w:cs="宋体"/>
                <w:lang w:val="zh-CN"/>
              </w:rPr>
            </w:pPr>
            <w:r>
              <w:rPr>
                <w:rFonts w:hint="eastAsia" w:ascii="宋体" w:hAnsi="宋体" w:eastAsia="宋体" w:cs="宋体"/>
                <w:lang w:val="zh-CN"/>
              </w:rPr>
              <w:t>备注</w:t>
            </w:r>
          </w:p>
        </w:tc>
      </w:tr>
      <w:tr w14:paraId="3A6A50CE">
        <w:tblPrEx>
          <w:tblCellMar>
            <w:top w:w="0" w:type="dxa"/>
            <w:left w:w="108" w:type="dxa"/>
            <w:bottom w:w="0" w:type="dxa"/>
            <w:right w:w="108" w:type="dxa"/>
          </w:tblCellMar>
        </w:tblPrEx>
        <w:trPr>
          <w:cantSplit/>
          <w:trHeight w:val="590" w:hRule="atLeast"/>
          <w:jc w:val="center"/>
        </w:trPr>
        <w:tc>
          <w:tcPr>
            <w:tcW w:w="1728" w:type="dxa"/>
            <w:tcBorders>
              <w:top w:val="single" w:color="auto" w:sz="4" w:space="0"/>
              <w:left w:val="single" w:color="auto" w:sz="4" w:space="0"/>
              <w:bottom w:val="single" w:color="auto" w:sz="4" w:space="0"/>
              <w:right w:val="single" w:color="auto" w:sz="4" w:space="0"/>
            </w:tcBorders>
          </w:tcPr>
          <w:p w14:paraId="337B0E60">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宋体" w:hAnsi="宋体" w:eastAsia="宋体" w:cs="宋体"/>
                <w:lang w:val="zh-CN"/>
              </w:rPr>
            </w:pPr>
            <w:r>
              <w:rPr>
                <w:rFonts w:hint="eastAsia" w:ascii="宋体" w:hAnsi="宋体" w:eastAsia="宋体" w:cs="宋体"/>
                <w:lang w:val="zh-CN"/>
              </w:rPr>
              <w:t>1</w:t>
            </w:r>
          </w:p>
        </w:tc>
        <w:tc>
          <w:tcPr>
            <w:tcW w:w="3377" w:type="dxa"/>
            <w:tcBorders>
              <w:top w:val="single" w:color="auto" w:sz="4" w:space="0"/>
              <w:left w:val="single" w:color="auto" w:sz="4" w:space="0"/>
              <w:bottom w:val="single" w:color="auto" w:sz="4" w:space="0"/>
              <w:right w:val="single" w:color="auto" w:sz="4" w:space="0"/>
            </w:tcBorders>
            <w:vAlign w:val="center"/>
          </w:tcPr>
          <w:p w14:paraId="79A5F67D">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宋体" w:hAnsi="宋体" w:eastAsia="宋体" w:cs="宋体"/>
                <w:lang w:val="zh-CN"/>
              </w:rPr>
            </w:pPr>
          </w:p>
        </w:tc>
        <w:tc>
          <w:tcPr>
            <w:tcW w:w="1487" w:type="dxa"/>
            <w:tcBorders>
              <w:top w:val="single" w:color="auto" w:sz="4" w:space="0"/>
              <w:left w:val="single" w:color="auto" w:sz="4" w:space="0"/>
              <w:bottom w:val="single" w:color="auto" w:sz="4" w:space="0"/>
              <w:right w:val="single" w:color="auto" w:sz="4" w:space="0"/>
            </w:tcBorders>
            <w:vAlign w:val="center"/>
          </w:tcPr>
          <w:p w14:paraId="201F5F5A">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宋体" w:hAnsi="宋体" w:eastAsia="宋体" w:cs="宋体"/>
                <w:lang w:val="zh-CN"/>
              </w:rPr>
            </w:pPr>
          </w:p>
        </w:tc>
        <w:tc>
          <w:tcPr>
            <w:tcW w:w="1276" w:type="dxa"/>
            <w:tcBorders>
              <w:top w:val="single" w:color="auto" w:sz="4" w:space="0"/>
              <w:left w:val="single" w:color="auto" w:sz="4" w:space="0"/>
              <w:bottom w:val="single" w:color="auto" w:sz="4" w:space="0"/>
              <w:right w:val="single" w:color="auto" w:sz="4" w:space="0"/>
            </w:tcBorders>
            <w:vAlign w:val="center"/>
          </w:tcPr>
          <w:p w14:paraId="3B76427A">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宋体" w:hAnsi="宋体" w:eastAsia="宋体" w:cs="宋体"/>
                <w:lang w:val="zh-CN"/>
              </w:rPr>
            </w:pPr>
          </w:p>
        </w:tc>
        <w:tc>
          <w:tcPr>
            <w:tcW w:w="900" w:type="dxa"/>
            <w:tcBorders>
              <w:top w:val="single" w:color="auto" w:sz="4" w:space="0"/>
              <w:left w:val="single" w:color="auto" w:sz="4" w:space="0"/>
              <w:bottom w:val="single" w:color="auto" w:sz="4" w:space="0"/>
              <w:right w:val="single" w:color="auto" w:sz="4" w:space="0"/>
            </w:tcBorders>
            <w:vAlign w:val="center"/>
          </w:tcPr>
          <w:p w14:paraId="1CDE30A5">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宋体" w:hAnsi="宋体" w:eastAsia="宋体" w:cs="宋体"/>
                <w:lang w:val="zh-CN"/>
              </w:rPr>
            </w:pPr>
          </w:p>
        </w:tc>
      </w:tr>
      <w:tr w14:paraId="380F221E">
        <w:tblPrEx>
          <w:tblCellMar>
            <w:top w:w="0" w:type="dxa"/>
            <w:left w:w="108" w:type="dxa"/>
            <w:bottom w:w="0" w:type="dxa"/>
            <w:right w:w="108" w:type="dxa"/>
          </w:tblCellMar>
        </w:tblPrEx>
        <w:trPr>
          <w:cantSplit/>
          <w:trHeight w:val="664" w:hRule="atLeast"/>
          <w:jc w:val="center"/>
        </w:trPr>
        <w:tc>
          <w:tcPr>
            <w:tcW w:w="1728" w:type="dxa"/>
            <w:tcBorders>
              <w:top w:val="single" w:color="auto" w:sz="4" w:space="0"/>
              <w:left w:val="single" w:color="auto" w:sz="4" w:space="0"/>
              <w:bottom w:val="single" w:color="auto" w:sz="4" w:space="0"/>
              <w:right w:val="single" w:color="auto" w:sz="4" w:space="0"/>
            </w:tcBorders>
          </w:tcPr>
          <w:p w14:paraId="4F429A1D">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宋体" w:hAnsi="宋体" w:eastAsia="宋体" w:cs="宋体"/>
                <w:lang w:val="zh-CN"/>
              </w:rPr>
            </w:pPr>
            <w:r>
              <w:rPr>
                <w:rFonts w:hint="eastAsia" w:ascii="宋体" w:hAnsi="宋体" w:eastAsia="宋体" w:cs="宋体"/>
                <w:lang w:val="zh-CN"/>
              </w:rPr>
              <w:t>2</w:t>
            </w:r>
          </w:p>
        </w:tc>
        <w:tc>
          <w:tcPr>
            <w:tcW w:w="3377" w:type="dxa"/>
            <w:tcBorders>
              <w:top w:val="single" w:color="auto" w:sz="4" w:space="0"/>
              <w:left w:val="single" w:color="auto" w:sz="4" w:space="0"/>
              <w:bottom w:val="single" w:color="auto" w:sz="4" w:space="0"/>
              <w:right w:val="single" w:color="auto" w:sz="4" w:space="0"/>
            </w:tcBorders>
            <w:vAlign w:val="center"/>
          </w:tcPr>
          <w:p w14:paraId="397EE916">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宋体" w:hAnsi="宋体" w:eastAsia="宋体" w:cs="宋体"/>
                <w:lang w:val="zh-CN"/>
              </w:rPr>
            </w:pPr>
          </w:p>
        </w:tc>
        <w:tc>
          <w:tcPr>
            <w:tcW w:w="1487" w:type="dxa"/>
            <w:tcBorders>
              <w:top w:val="single" w:color="auto" w:sz="4" w:space="0"/>
              <w:left w:val="single" w:color="auto" w:sz="4" w:space="0"/>
              <w:bottom w:val="single" w:color="auto" w:sz="4" w:space="0"/>
              <w:right w:val="single" w:color="auto" w:sz="4" w:space="0"/>
            </w:tcBorders>
            <w:vAlign w:val="center"/>
          </w:tcPr>
          <w:p w14:paraId="28399E07">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宋体" w:hAnsi="宋体" w:eastAsia="宋体" w:cs="宋体"/>
                <w:lang w:val="zh-CN"/>
              </w:rPr>
            </w:pPr>
          </w:p>
        </w:tc>
        <w:tc>
          <w:tcPr>
            <w:tcW w:w="1276" w:type="dxa"/>
            <w:tcBorders>
              <w:top w:val="single" w:color="auto" w:sz="4" w:space="0"/>
              <w:left w:val="single" w:color="auto" w:sz="4" w:space="0"/>
              <w:bottom w:val="single" w:color="auto" w:sz="4" w:space="0"/>
              <w:right w:val="single" w:color="auto" w:sz="4" w:space="0"/>
            </w:tcBorders>
            <w:vAlign w:val="center"/>
          </w:tcPr>
          <w:p w14:paraId="13A136D0">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宋体" w:hAnsi="宋体" w:eastAsia="宋体" w:cs="宋体"/>
                <w:lang w:val="zh-CN"/>
              </w:rPr>
            </w:pPr>
          </w:p>
        </w:tc>
        <w:tc>
          <w:tcPr>
            <w:tcW w:w="900" w:type="dxa"/>
            <w:tcBorders>
              <w:top w:val="single" w:color="auto" w:sz="4" w:space="0"/>
              <w:left w:val="single" w:color="auto" w:sz="4" w:space="0"/>
              <w:bottom w:val="single" w:color="auto" w:sz="4" w:space="0"/>
              <w:right w:val="single" w:color="auto" w:sz="4" w:space="0"/>
            </w:tcBorders>
            <w:vAlign w:val="center"/>
          </w:tcPr>
          <w:p w14:paraId="23901D2F">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宋体" w:hAnsi="宋体" w:eastAsia="宋体" w:cs="宋体"/>
                <w:lang w:val="zh-CN"/>
              </w:rPr>
            </w:pPr>
          </w:p>
        </w:tc>
      </w:tr>
      <w:tr w14:paraId="372FA8EE">
        <w:tblPrEx>
          <w:tblCellMar>
            <w:top w:w="0" w:type="dxa"/>
            <w:left w:w="108" w:type="dxa"/>
            <w:bottom w:w="0" w:type="dxa"/>
            <w:right w:w="108" w:type="dxa"/>
          </w:tblCellMar>
        </w:tblPrEx>
        <w:trPr>
          <w:cantSplit/>
          <w:trHeight w:val="664" w:hRule="atLeast"/>
          <w:jc w:val="center"/>
        </w:trPr>
        <w:tc>
          <w:tcPr>
            <w:tcW w:w="1728" w:type="dxa"/>
            <w:tcBorders>
              <w:top w:val="single" w:color="auto" w:sz="4" w:space="0"/>
              <w:left w:val="single" w:color="auto" w:sz="4" w:space="0"/>
              <w:bottom w:val="single" w:color="auto" w:sz="4" w:space="0"/>
              <w:right w:val="single" w:color="auto" w:sz="4" w:space="0"/>
            </w:tcBorders>
          </w:tcPr>
          <w:p w14:paraId="25DE1415">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宋体" w:hAnsi="宋体" w:eastAsia="宋体" w:cs="宋体"/>
                <w:lang w:val="zh-CN"/>
              </w:rPr>
            </w:pPr>
            <w:r>
              <w:rPr>
                <w:rFonts w:hint="eastAsia" w:ascii="宋体" w:hAnsi="宋体" w:eastAsia="宋体" w:cs="宋体"/>
              </w:rPr>
              <w:t>…</w:t>
            </w:r>
          </w:p>
        </w:tc>
        <w:tc>
          <w:tcPr>
            <w:tcW w:w="3377" w:type="dxa"/>
            <w:tcBorders>
              <w:top w:val="single" w:color="auto" w:sz="4" w:space="0"/>
              <w:left w:val="single" w:color="auto" w:sz="4" w:space="0"/>
              <w:bottom w:val="single" w:color="auto" w:sz="4" w:space="0"/>
              <w:right w:val="single" w:color="auto" w:sz="4" w:space="0"/>
            </w:tcBorders>
            <w:vAlign w:val="center"/>
          </w:tcPr>
          <w:p w14:paraId="1A5A97EF">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宋体" w:hAnsi="宋体" w:eastAsia="宋体" w:cs="宋体"/>
                <w:lang w:val="zh-CN"/>
              </w:rPr>
            </w:pPr>
          </w:p>
        </w:tc>
        <w:tc>
          <w:tcPr>
            <w:tcW w:w="1487" w:type="dxa"/>
            <w:tcBorders>
              <w:top w:val="single" w:color="auto" w:sz="4" w:space="0"/>
              <w:left w:val="single" w:color="auto" w:sz="4" w:space="0"/>
              <w:bottom w:val="single" w:color="auto" w:sz="4" w:space="0"/>
              <w:right w:val="single" w:color="auto" w:sz="4" w:space="0"/>
            </w:tcBorders>
            <w:vAlign w:val="center"/>
          </w:tcPr>
          <w:p w14:paraId="198DD3F3">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宋体" w:hAnsi="宋体" w:eastAsia="宋体" w:cs="宋体"/>
                <w:lang w:val="zh-CN"/>
              </w:rPr>
            </w:pPr>
          </w:p>
        </w:tc>
        <w:tc>
          <w:tcPr>
            <w:tcW w:w="1276" w:type="dxa"/>
            <w:tcBorders>
              <w:top w:val="single" w:color="auto" w:sz="4" w:space="0"/>
              <w:left w:val="single" w:color="auto" w:sz="4" w:space="0"/>
              <w:bottom w:val="single" w:color="auto" w:sz="4" w:space="0"/>
              <w:right w:val="single" w:color="auto" w:sz="4" w:space="0"/>
            </w:tcBorders>
            <w:vAlign w:val="center"/>
          </w:tcPr>
          <w:p w14:paraId="25792526">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宋体" w:hAnsi="宋体" w:eastAsia="宋体" w:cs="宋体"/>
                <w:lang w:val="zh-CN"/>
              </w:rPr>
            </w:pPr>
          </w:p>
        </w:tc>
        <w:tc>
          <w:tcPr>
            <w:tcW w:w="900" w:type="dxa"/>
            <w:tcBorders>
              <w:top w:val="single" w:color="auto" w:sz="4" w:space="0"/>
              <w:left w:val="single" w:color="auto" w:sz="4" w:space="0"/>
              <w:bottom w:val="single" w:color="auto" w:sz="4" w:space="0"/>
              <w:right w:val="single" w:color="auto" w:sz="4" w:space="0"/>
            </w:tcBorders>
            <w:vAlign w:val="center"/>
          </w:tcPr>
          <w:p w14:paraId="1E257FFE">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宋体" w:hAnsi="宋体" w:eastAsia="宋体" w:cs="宋体"/>
                <w:lang w:val="zh-CN"/>
              </w:rPr>
            </w:pPr>
          </w:p>
        </w:tc>
      </w:tr>
      <w:tr w14:paraId="6DB67583">
        <w:tblPrEx>
          <w:tblCellMar>
            <w:top w:w="0" w:type="dxa"/>
            <w:left w:w="108" w:type="dxa"/>
            <w:bottom w:w="0" w:type="dxa"/>
            <w:right w:w="108" w:type="dxa"/>
          </w:tblCellMar>
        </w:tblPrEx>
        <w:trPr>
          <w:cantSplit/>
          <w:trHeight w:val="664" w:hRule="atLeast"/>
          <w:jc w:val="center"/>
        </w:trPr>
        <w:tc>
          <w:tcPr>
            <w:tcW w:w="1728" w:type="dxa"/>
            <w:tcBorders>
              <w:top w:val="single" w:color="auto" w:sz="4" w:space="0"/>
              <w:left w:val="single" w:color="auto" w:sz="4" w:space="0"/>
              <w:bottom w:val="single" w:color="auto" w:sz="4" w:space="0"/>
              <w:right w:val="single" w:color="auto" w:sz="4" w:space="0"/>
            </w:tcBorders>
          </w:tcPr>
          <w:p w14:paraId="1611A4C8">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宋体" w:hAnsi="宋体" w:eastAsia="宋体" w:cs="宋体"/>
              </w:rPr>
            </w:pPr>
            <w:r>
              <w:rPr>
                <w:rFonts w:hint="eastAsia" w:ascii="宋体" w:hAnsi="宋体" w:eastAsia="宋体" w:cs="宋体"/>
              </w:rPr>
              <w:t>合计总金额：</w:t>
            </w:r>
          </w:p>
        </w:tc>
        <w:tc>
          <w:tcPr>
            <w:tcW w:w="7040" w:type="dxa"/>
            <w:gridSpan w:val="4"/>
            <w:tcBorders>
              <w:top w:val="single" w:color="auto" w:sz="4" w:space="0"/>
              <w:left w:val="single" w:color="auto" w:sz="4" w:space="0"/>
              <w:bottom w:val="single" w:color="auto" w:sz="4" w:space="0"/>
              <w:right w:val="single" w:color="auto" w:sz="4" w:space="0"/>
            </w:tcBorders>
            <w:vAlign w:val="center"/>
          </w:tcPr>
          <w:p w14:paraId="7F7BE157">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宋体" w:hAnsi="宋体" w:eastAsia="宋体" w:cs="宋体"/>
                <w:lang w:val="zh-CN"/>
              </w:rPr>
            </w:pPr>
          </w:p>
        </w:tc>
      </w:tr>
    </w:tbl>
    <w:p w14:paraId="5BE518EA">
      <w:pPr>
        <w:spacing w:line="360" w:lineRule="auto"/>
        <w:rPr>
          <w:rFonts w:hint="eastAsia" w:ascii="宋体" w:hAnsi="宋体" w:eastAsia="宋体" w:cs="宋体"/>
          <w:lang w:val="zh-CN"/>
        </w:rPr>
      </w:pPr>
    </w:p>
    <w:p w14:paraId="7C8C595F">
      <w:pPr>
        <w:bidi w:val="0"/>
        <w:rPr>
          <w:rFonts w:hint="eastAsia" w:ascii="宋体" w:hAnsi="宋体" w:eastAsia="宋体" w:cs="宋体"/>
          <w:lang w:val="zh-CN"/>
        </w:rPr>
      </w:pPr>
      <w:r>
        <w:rPr>
          <w:rFonts w:hint="eastAsia" w:ascii="宋体" w:hAnsi="宋体" w:eastAsia="宋体" w:cs="宋体"/>
          <w:lang w:val="zh-CN"/>
        </w:rPr>
        <w:t>根据上述政府采购合同文件要求，本政府采购合同的总金额为人民币</w:t>
      </w:r>
      <w:r>
        <w:rPr>
          <w:rFonts w:hint="eastAsia" w:ascii="宋体" w:hAnsi="宋体" w:eastAsia="宋体" w:cs="宋体"/>
          <w:u w:val="single"/>
          <w:lang w:val="zh-CN"/>
        </w:rPr>
        <w:t xml:space="preserve">   </w:t>
      </w:r>
      <w:r>
        <w:rPr>
          <w:rFonts w:hint="eastAsia" w:ascii="宋体" w:hAnsi="宋体" w:eastAsia="宋体" w:cs="宋体"/>
          <w:lang w:val="zh-CN"/>
        </w:rPr>
        <w:t>元，（大写：</w:t>
      </w:r>
      <w:r>
        <w:rPr>
          <w:rFonts w:hint="eastAsia" w:ascii="宋体" w:hAnsi="宋体" w:eastAsia="宋体" w:cs="宋体"/>
          <w:u w:val="single"/>
          <w:lang w:val="zh-CN"/>
        </w:rPr>
        <w:t xml:space="preserve">      </w:t>
      </w:r>
      <w:r>
        <w:rPr>
          <w:rFonts w:hint="eastAsia" w:ascii="宋体" w:hAnsi="宋体" w:eastAsia="宋体" w:cs="宋体"/>
          <w:lang w:val="zh-CN"/>
        </w:rPr>
        <w:t xml:space="preserve">） </w:t>
      </w:r>
    </w:p>
    <w:p w14:paraId="0609FE96">
      <w:pPr>
        <w:bidi w:val="0"/>
        <w:rPr>
          <w:rFonts w:hint="eastAsia" w:ascii="宋体" w:hAnsi="宋体" w:eastAsia="宋体" w:cs="宋体"/>
        </w:rPr>
      </w:pPr>
      <w:r>
        <w:rPr>
          <w:rFonts w:hint="eastAsia" w:ascii="宋体" w:hAnsi="宋体" w:eastAsia="宋体" w:cs="宋体"/>
          <w:lang w:val="zh-CN"/>
        </w:rPr>
        <w:t>本合同以人民币进行结算，投标报价包括：项目</w:t>
      </w:r>
      <w:r>
        <w:rPr>
          <w:rFonts w:hint="eastAsia" w:ascii="宋体" w:hAnsi="宋体" w:eastAsia="宋体" w:cs="宋体"/>
        </w:rPr>
        <w:t>服务费、人员工资、管理费、验收费、手续费、保险费、差旅费、中标服务费及服务过程中包含的不可预见等全部费用。</w:t>
      </w:r>
    </w:p>
    <w:p w14:paraId="7B1E57D2">
      <w:pPr>
        <w:bidi w:val="0"/>
        <w:ind w:left="0" w:leftChars="0" w:firstLine="0" w:firstLineChars="0"/>
        <w:rPr>
          <w:rFonts w:hint="eastAsia" w:ascii="宋体" w:hAnsi="宋体" w:eastAsia="宋体" w:cs="宋体"/>
          <w:b/>
          <w:bCs/>
        </w:rPr>
      </w:pPr>
      <w:r>
        <w:rPr>
          <w:rFonts w:hint="eastAsia" w:ascii="宋体" w:hAnsi="宋体" w:eastAsia="宋体" w:cs="宋体"/>
          <w:b/>
          <w:bCs/>
        </w:rPr>
        <w:t>三、合同有效期限</w:t>
      </w:r>
    </w:p>
    <w:p w14:paraId="2F21B73D">
      <w:pPr>
        <w:bidi w:val="0"/>
        <w:rPr>
          <w:rFonts w:hint="eastAsia" w:ascii="宋体" w:hAnsi="宋体" w:eastAsia="宋体" w:cs="宋体"/>
          <w:highlight w:val="none"/>
          <w:lang w:eastAsia="zh-CN"/>
        </w:rPr>
      </w:pPr>
      <w:r>
        <w:rPr>
          <w:rFonts w:hint="eastAsia" w:ascii="宋体" w:hAnsi="宋体" w:eastAsia="宋体" w:cs="宋体"/>
          <w:highlight w:val="none"/>
        </w:rPr>
        <w:t>1、</w:t>
      </w:r>
      <w:r>
        <w:rPr>
          <w:rFonts w:hint="eastAsia" w:ascii="宋体" w:hAnsi="宋体" w:eastAsia="宋体" w:cs="宋体"/>
          <w:highlight w:val="none"/>
          <w:lang w:eastAsia="zh-CN"/>
        </w:rPr>
        <w:t>服务期限</w:t>
      </w:r>
      <w:r>
        <w:rPr>
          <w:rFonts w:hint="eastAsia" w:ascii="宋体" w:hAnsi="宋体" w:eastAsia="宋体" w:cs="宋体"/>
          <w:highlight w:val="none"/>
        </w:rPr>
        <w:t>：</w:t>
      </w:r>
      <w:r>
        <w:rPr>
          <w:rFonts w:hint="eastAsia" w:ascii="宋体" w:hAnsi="宋体" w:eastAsia="宋体" w:cs="宋体"/>
          <w:b w:val="0"/>
          <w:bCs w:val="0"/>
          <w:sz w:val="24"/>
          <w:szCs w:val="24"/>
          <w:highlight w:val="none"/>
        </w:rPr>
        <w:t>1年(</w:t>
      </w:r>
      <w:r>
        <w:rPr>
          <w:rFonts w:hint="eastAsia" w:ascii="宋体" w:hAnsi="宋体" w:eastAsia="宋体" w:cs="宋体"/>
          <w:b w:val="0"/>
          <w:bCs w:val="0"/>
          <w:sz w:val="24"/>
          <w:szCs w:val="24"/>
          <w:highlight w:val="none"/>
          <w:lang w:val="en-US" w:eastAsia="zh-CN"/>
        </w:rPr>
        <w:t xml:space="preserve">   </w:t>
      </w:r>
      <w:r>
        <w:rPr>
          <w:rFonts w:hint="eastAsia" w:ascii="宋体" w:hAnsi="宋体" w:eastAsia="宋体" w:cs="宋体"/>
          <w:b w:val="0"/>
          <w:bCs w:val="0"/>
          <w:sz w:val="24"/>
          <w:szCs w:val="24"/>
          <w:highlight w:val="none"/>
        </w:rPr>
        <w:t>年</w:t>
      </w:r>
      <w:r>
        <w:rPr>
          <w:rFonts w:hint="eastAsia" w:ascii="宋体" w:hAnsi="宋体" w:eastAsia="宋体" w:cs="宋体"/>
          <w:b w:val="0"/>
          <w:bCs w:val="0"/>
          <w:sz w:val="24"/>
          <w:szCs w:val="24"/>
          <w:highlight w:val="none"/>
          <w:lang w:val="en-US" w:eastAsia="zh-CN"/>
        </w:rPr>
        <w:t xml:space="preserve">  </w:t>
      </w:r>
      <w:r>
        <w:rPr>
          <w:rFonts w:hint="eastAsia" w:ascii="宋体" w:hAnsi="宋体" w:eastAsia="宋体" w:cs="宋体"/>
          <w:b w:val="0"/>
          <w:bCs w:val="0"/>
          <w:sz w:val="24"/>
          <w:szCs w:val="24"/>
          <w:highlight w:val="none"/>
        </w:rPr>
        <w:t>月</w:t>
      </w:r>
      <w:r>
        <w:rPr>
          <w:rFonts w:hint="eastAsia" w:ascii="宋体" w:hAnsi="宋体" w:eastAsia="宋体" w:cs="宋体"/>
          <w:b w:val="0"/>
          <w:bCs w:val="0"/>
          <w:sz w:val="24"/>
          <w:szCs w:val="24"/>
          <w:highlight w:val="none"/>
          <w:lang w:val="en-US" w:eastAsia="zh-CN"/>
        </w:rPr>
        <w:t xml:space="preserve">  </w:t>
      </w:r>
      <w:r>
        <w:rPr>
          <w:rFonts w:hint="eastAsia" w:ascii="宋体" w:hAnsi="宋体" w:eastAsia="宋体" w:cs="宋体"/>
          <w:b w:val="0"/>
          <w:bCs w:val="0"/>
          <w:sz w:val="24"/>
          <w:szCs w:val="24"/>
          <w:highlight w:val="none"/>
        </w:rPr>
        <w:t>日-</w:t>
      </w:r>
      <w:r>
        <w:rPr>
          <w:rFonts w:hint="eastAsia" w:ascii="宋体" w:hAnsi="宋体" w:eastAsia="宋体" w:cs="宋体"/>
          <w:b w:val="0"/>
          <w:bCs w:val="0"/>
          <w:sz w:val="24"/>
          <w:szCs w:val="24"/>
          <w:highlight w:val="none"/>
          <w:lang w:val="en-US" w:eastAsia="zh-CN"/>
        </w:rPr>
        <w:t xml:space="preserve">   </w:t>
      </w:r>
      <w:r>
        <w:rPr>
          <w:rFonts w:hint="eastAsia" w:ascii="宋体" w:hAnsi="宋体" w:eastAsia="宋体" w:cs="宋体"/>
          <w:b w:val="0"/>
          <w:bCs w:val="0"/>
          <w:sz w:val="24"/>
          <w:szCs w:val="24"/>
          <w:highlight w:val="none"/>
        </w:rPr>
        <w:t>年</w:t>
      </w:r>
      <w:r>
        <w:rPr>
          <w:rFonts w:hint="eastAsia" w:ascii="宋体" w:hAnsi="宋体" w:eastAsia="宋体" w:cs="宋体"/>
          <w:b w:val="0"/>
          <w:bCs w:val="0"/>
          <w:sz w:val="24"/>
          <w:szCs w:val="24"/>
          <w:highlight w:val="none"/>
          <w:lang w:val="en-US" w:eastAsia="zh-CN"/>
        </w:rPr>
        <w:t xml:space="preserve">  </w:t>
      </w:r>
      <w:r>
        <w:rPr>
          <w:rFonts w:hint="eastAsia" w:ascii="宋体" w:hAnsi="宋体" w:eastAsia="宋体" w:cs="宋体"/>
          <w:b w:val="0"/>
          <w:bCs w:val="0"/>
          <w:sz w:val="24"/>
          <w:szCs w:val="24"/>
          <w:highlight w:val="none"/>
        </w:rPr>
        <w:t>月</w:t>
      </w:r>
      <w:r>
        <w:rPr>
          <w:rFonts w:hint="eastAsia" w:ascii="宋体" w:hAnsi="宋体" w:eastAsia="宋体" w:cs="宋体"/>
          <w:b w:val="0"/>
          <w:bCs w:val="0"/>
          <w:sz w:val="24"/>
          <w:szCs w:val="24"/>
          <w:highlight w:val="none"/>
          <w:lang w:val="en-US" w:eastAsia="zh-CN"/>
        </w:rPr>
        <w:t xml:space="preserve">  </w:t>
      </w:r>
      <w:r>
        <w:rPr>
          <w:rFonts w:hint="eastAsia" w:ascii="宋体" w:hAnsi="宋体" w:eastAsia="宋体" w:cs="宋体"/>
          <w:b w:val="0"/>
          <w:bCs w:val="0"/>
          <w:sz w:val="24"/>
          <w:szCs w:val="24"/>
          <w:highlight w:val="none"/>
        </w:rPr>
        <w:t>日)</w:t>
      </w:r>
    </w:p>
    <w:p w14:paraId="79EA1F46">
      <w:pPr>
        <w:bidi w:val="0"/>
        <w:rPr>
          <w:rFonts w:hint="eastAsia" w:ascii="宋体" w:hAnsi="宋体" w:eastAsia="宋体" w:cs="宋体"/>
          <w:highlight w:val="none"/>
          <w:lang w:val="en-US" w:eastAsia="zh-CN"/>
        </w:rPr>
      </w:pPr>
      <w:r>
        <w:rPr>
          <w:rFonts w:hint="eastAsia" w:ascii="宋体" w:hAnsi="宋体" w:eastAsia="宋体" w:cs="宋体"/>
          <w:highlight w:val="none"/>
          <w:lang w:val="zh-CN"/>
        </w:rPr>
        <w:t>2、服务地点：青海省财政厅指定地点</w:t>
      </w:r>
      <w:r>
        <w:rPr>
          <w:rFonts w:hint="eastAsia" w:ascii="宋体" w:hAnsi="宋体" w:eastAsia="宋体" w:cs="宋体"/>
          <w:highlight w:val="none"/>
          <w:lang w:val="en-US" w:eastAsia="zh-CN"/>
        </w:rPr>
        <w:t>。</w:t>
      </w:r>
    </w:p>
    <w:p w14:paraId="27604873">
      <w:pPr>
        <w:bidi w:val="0"/>
        <w:rPr>
          <w:rFonts w:hint="eastAsia" w:ascii="宋体" w:hAnsi="宋体" w:eastAsia="宋体" w:cs="宋体"/>
          <w:highlight w:val="none"/>
          <w:lang w:val="zh-CN"/>
        </w:rPr>
      </w:pPr>
      <w:r>
        <w:rPr>
          <w:rFonts w:hint="eastAsia" w:ascii="宋体" w:hAnsi="宋体" w:eastAsia="宋体" w:cs="宋体"/>
          <w:highlight w:val="none"/>
          <w:lang w:val="zh-CN"/>
        </w:rPr>
        <w:t xml:space="preserve">3、付款方式: </w:t>
      </w:r>
    </w:p>
    <w:p w14:paraId="6F534035">
      <w:pPr>
        <w:bidi w:val="0"/>
        <w:rPr>
          <w:rFonts w:hint="eastAsia" w:ascii="宋体" w:hAnsi="宋体" w:eastAsia="宋体" w:cs="宋体"/>
          <w:highlight w:val="none"/>
          <w:lang w:val="zh-CN" w:eastAsia="zh-CN"/>
        </w:rPr>
      </w:pPr>
      <w:r>
        <w:rPr>
          <w:rFonts w:hint="eastAsia" w:ascii="宋体" w:hAnsi="宋体" w:cs="宋体"/>
          <w:highlight w:val="none"/>
          <w:lang w:val="en-US" w:eastAsia="zh-CN"/>
        </w:rPr>
        <w:t>1.</w:t>
      </w:r>
      <w:r>
        <w:rPr>
          <w:rFonts w:hint="eastAsia" w:ascii="宋体" w:hAnsi="宋体" w:eastAsia="宋体" w:cs="宋体"/>
          <w:highlight w:val="none"/>
          <w:lang w:val="zh-CN" w:eastAsia="zh-CN"/>
        </w:rPr>
        <w:t>合同签订前，乙方向甲方缴纳合同总金额的10%，即人民币：</w:t>
      </w:r>
      <w:r>
        <w:rPr>
          <w:rFonts w:hint="eastAsia" w:ascii="宋体" w:hAnsi="宋体" w:eastAsia="宋体" w:cs="宋体"/>
          <w:highlight w:val="none"/>
          <w:u w:val="single"/>
          <w:lang w:val="zh-CN" w:eastAsia="zh-CN"/>
        </w:rPr>
        <w:t xml:space="preserve">   </w:t>
      </w:r>
      <w:r>
        <w:rPr>
          <w:rFonts w:hint="eastAsia" w:ascii="宋体" w:hAnsi="宋体" w:eastAsia="宋体" w:cs="宋体"/>
          <w:highlight w:val="none"/>
          <w:lang w:val="zh-CN" w:eastAsia="zh-CN"/>
        </w:rPr>
        <w:t>元（大写：</w:t>
      </w:r>
      <w:r>
        <w:rPr>
          <w:rFonts w:hint="eastAsia" w:ascii="宋体" w:hAnsi="宋体" w:eastAsia="宋体" w:cs="宋体"/>
          <w:highlight w:val="none"/>
          <w:u w:val="single"/>
          <w:lang w:val="zh-CN" w:eastAsia="zh-CN"/>
        </w:rPr>
        <w:t xml:space="preserve">     </w:t>
      </w:r>
      <w:r>
        <w:rPr>
          <w:rFonts w:hint="eastAsia" w:ascii="宋体" w:hAnsi="宋体" w:eastAsia="宋体" w:cs="宋体"/>
          <w:highlight w:val="none"/>
          <w:lang w:val="zh-CN" w:eastAsia="zh-CN"/>
        </w:rPr>
        <w:t>）作为履约保证金，待项目验收合格后，甲方向乙方返还，不计利息。</w:t>
      </w:r>
    </w:p>
    <w:p w14:paraId="08D5667E">
      <w:pPr>
        <w:bidi w:val="0"/>
        <w:rPr>
          <w:rFonts w:hint="eastAsia" w:ascii="宋体" w:hAnsi="宋体" w:eastAsia="宋体" w:cs="宋体"/>
          <w:highlight w:val="none"/>
          <w:lang w:val="zh-CN"/>
        </w:rPr>
      </w:pPr>
      <w:r>
        <w:rPr>
          <w:rFonts w:hint="eastAsia" w:ascii="宋体" w:hAnsi="宋体" w:eastAsia="宋体" w:cs="宋体"/>
          <w:highlight w:val="none"/>
          <w:lang w:val="zh-CN" w:eastAsia="zh-CN"/>
        </w:rPr>
        <w:t>2.合同签订后，乙方提交开具的正规发票及采购人财务部门要求的其他付款凭据后，10个工作日内，甲方向乙方支付合同总金额的</w:t>
      </w:r>
      <w:r>
        <w:rPr>
          <w:rFonts w:hint="eastAsia" w:ascii="宋体" w:hAnsi="宋体" w:eastAsia="宋体" w:cs="宋体"/>
          <w:highlight w:val="none"/>
          <w:lang w:val="en-US" w:eastAsia="zh-CN"/>
        </w:rPr>
        <w:t>50</w:t>
      </w:r>
      <w:r>
        <w:rPr>
          <w:rFonts w:hint="eastAsia" w:ascii="宋体" w:hAnsi="宋体" w:eastAsia="宋体" w:cs="宋体"/>
          <w:highlight w:val="none"/>
          <w:lang w:val="zh-CN" w:eastAsia="zh-CN"/>
        </w:rPr>
        <w:t>%，即人民币：</w:t>
      </w:r>
      <w:r>
        <w:rPr>
          <w:rFonts w:hint="eastAsia" w:ascii="宋体" w:hAnsi="宋体" w:eastAsia="宋体" w:cs="宋体"/>
          <w:highlight w:val="none"/>
          <w:u w:val="single"/>
          <w:lang w:val="zh-CN" w:eastAsia="zh-CN"/>
        </w:rPr>
        <w:t xml:space="preserve">   </w:t>
      </w:r>
      <w:r>
        <w:rPr>
          <w:rFonts w:hint="eastAsia" w:ascii="宋体" w:hAnsi="宋体" w:eastAsia="宋体" w:cs="宋体"/>
          <w:highlight w:val="none"/>
          <w:lang w:val="zh-CN" w:eastAsia="zh-CN"/>
        </w:rPr>
        <w:t>元（大写：</w:t>
      </w:r>
      <w:r>
        <w:rPr>
          <w:rFonts w:hint="eastAsia" w:ascii="宋体" w:hAnsi="宋体" w:eastAsia="宋体" w:cs="宋体"/>
          <w:highlight w:val="none"/>
          <w:u w:val="single"/>
          <w:lang w:val="zh-CN" w:eastAsia="zh-CN"/>
        </w:rPr>
        <w:t xml:space="preserve">     </w:t>
      </w:r>
      <w:r>
        <w:rPr>
          <w:rFonts w:hint="eastAsia" w:ascii="宋体" w:hAnsi="宋体" w:eastAsia="宋体" w:cs="宋体"/>
          <w:highlight w:val="none"/>
          <w:lang w:val="zh-CN" w:eastAsia="zh-CN"/>
        </w:rPr>
        <w:t>），验收通过后支付剩余50%，即人民币：</w:t>
      </w:r>
      <w:r>
        <w:rPr>
          <w:rFonts w:hint="eastAsia" w:ascii="宋体" w:hAnsi="宋体" w:eastAsia="宋体" w:cs="宋体"/>
          <w:highlight w:val="none"/>
          <w:u w:val="single"/>
          <w:lang w:val="zh-CN" w:eastAsia="zh-CN"/>
        </w:rPr>
        <w:t xml:space="preserve">   </w:t>
      </w:r>
      <w:r>
        <w:rPr>
          <w:rFonts w:hint="eastAsia" w:ascii="宋体" w:hAnsi="宋体" w:eastAsia="宋体" w:cs="宋体"/>
          <w:highlight w:val="none"/>
          <w:lang w:val="zh-CN" w:eastAsia="zh-CN"/>
        </w:rPr>
        <w:t>元（大写：</w:t>
      </w:r>
      <w:r>
        <w:rPr>
          <w:rFonts w:hint="eastAsia" w:ascii="宋体" w:hAnsi="宋体" w:eastAsia="宋体" w:cs="宋体"/>
          <w:highlight w:val="none"/>
          <w:u w:val="single"/>
          <w:lang w:val="zh-CN" w:eastAsia="zh-CN"/>
        </w:rPr>
        <w:t xml:space="preserve">     </w:t>
      </w:r>
      <w:r>
        <w:rPr>
          <w:rFonts w:hint="eastAsia" w:ascii="宋体" w:hAnsi="宋体" w:eastAsia="宋体" w:cs="宋体"/>
          <w:highlight w:val="none"/>
          <w:lang w:val="zh-CN" w:eastAsia="zh-CN"/>
        </w:rPr>
        <w:t>）。</w:t>
      </w:r>
    </w:p>
    <w:p w14:paraId="7797C604">
      <w:pPr>
        <w:bidi w:val="0"/>
        <w:rPr>
          <w:rFonts w:hint="eastAsia" w:ascii="宋体" w:hAnsi="宋体" w:eastAsia="宋体" w:cs="宋体"/>
          <w:lang w:val="zh-CN"/>
        </w:rPr>
      </w:pPr>
      <w:r>
        <w:rPr>
          <w:rFonts w:hint="eastAsia" w:ascii="宋体" w:hAnsi="宋体" w:eastAsia="宋体" w:cs="宋体"/>
          <w:lang w:val="zh-CN"/>
        </w:rPr>
        <w:t>4、履约验收：</w:t>
      </w:r>
    </w:p>
    <w:p w14:paraId="354146C8">
      <w:pPr>
        <w:bidi w:val="0"/>
        <w:rPr>
          <w:rFonts w:hint="eastAsia" w:ascii="宋体" w:hAnsi="宋体" w:eastAsia="宋体" w:cs="宋体"/>
          <w:lang w:val="zh-CN" w:eastAsia="zh-CN"/>
        </w:rPr>
      </w:pPr>
      <w:r>
        <w:rPr>
          <w:rFonts w:hint="eastAsia" w:ascii="宋体" w:hAnsi="宋体" w:eastAsia="宋体" w:cs="宋体"/>
          <w:lang w:val="zh-CN" w:eastAsia="zh-CN"/>
        </w:rPr>
        <w:t>（</w:t>
      </w:r>
      <w:r>
        <w:rPr>
          <w:rFonts w:hint="eastAsia" w:ascii="宋体" w:hAnsi="宋体" w:eastAsia="宋体" w:cs="宋体"/>
          <w:lang w:val="en-US" w:eastAsia="zh-CN"/>
        </w:rPr>
        <w:t>1</w:t>
      </w:r>
      <w:r>
        <w:rPr>
          <w:rFonts w:hint="eastAsia" w:ascii="宋体" w:hAnsi="宋体" w:eastAsia="宋体" w:cs="宋体"/>
          <w:lang w:val="zh-CN" w:eastAsia="zh-CN"/>
        </w:rPr>
        <w:t>）履约验收时间:供应商提出验收申请之日起15日内组织验收。</w:t>
      </w:r>
    </w:p>
    <w:p w14:paraId="3436A8BD">
      <w:pPr>
        <w:bidi w:val="0"/>
        <w:rPr>
          <w:rFonts w:hint="eastAsia" w:ascii="宋体" w:hAnsi="宋体" w:eastAsia="宋体" w:cs="宋体"/>
          <w:lang w:val="en-US" w:eastAsia="zh-CN"/>
        </w:rPr>
      </w:pPr>
      <w:r>
        <w:rPr>
          <w:rFonts w:hint="eastAsia" w:ascii="宋体" w:hAnsi="宋体" w:eastAsia="宋体" w:cs="宋体"/>
          <w:lang w:val="zh-CN" w:eastAsia="zh-CN"/>
        </w:rPr>
        <w:t>（</w:t>
      </w:r>
      <w:r>
        <w:rPr>
          <w:rFonts w:hint="eastAsia" w:ascii="宋体" w:hAnsi="宋体" w:eastAsia="宋体" w:cs="宋体"/>
          <w:lang w:val="en-US" w:eastAsia="zh-CN"/>
        </w:rPr>
        <w:t>2</w:t>
      </w:r>
      <w:r>
        <w:rPr>
          <w:rFonts w:hint="eastAsia" w:ascii="宋体" w:hAnsi="宋体" w:eastAsia="宋体" w:cs="宋体"/>
          <w:lang w:val="zh-CN" w:eastAsia="zh-CN"/>
        </w:rPr>
        <w:t>）</w:t>
      </w:r>
      <w:r>
        <w:rPr>
          <w:rFonts w:hint="eastAsia" w:ascii="宋体" w:hAnsi="宋体" w:eastAsia="宋体" w:cs="宋体"/>
          <w:lang w:val="en-US" w:eastAsia="zh-CN"/>
        </w:rPr>
        <w:t>技术履约验收内容:一是查看运维记录，对比是否按合同约定完成所有工作；二是做好使用单位的满意度调查；三是开展运维质量评审。</w:t>
      </w:r>
    </w:p>
    <w:p w14:paraId="061C75AA">
      <w:pPr>
        <w:bidi w:val="0"/>
        <w:rPr>
          <w:rFonts w:hint="eastAsia" w:ascii="宋体" w:hAnsi="宋体" w:eastAsia="宋体" w:cs="宋体"/>
          <w:lang w:val="en-US" w:eastAsia="zh-CN"/>
        </w:rPr>
      </w:pPr>
      <w:r>
        <w:rPr>
          <w:rFonts w:hint="eastAsia" w:ascii="宋体" w:hAnsi="宋体" w:eastAsia="宋体" w:cs="宋体"/>
          <w:lang w:val="zh-CN" w:eastAsia="zh-CN"/>
        </w:rPr>
        <w:t>（</w:t>
      </w:r>
      <w:r>
        <w:rPr>
          <w:rFonts w:hint="eastAsia" w:ascii="宋体" w:hAnsi="宋体" w:eastAsia="宋体" w:cs="宋体"/>
          <w:lang w:val="en-US" w:eastAsia="zh-CN"/>
        </w:rPr>
        <w:t>3</w:t>
      </w:r>
      <w:r>
        <w:rPr>
          <w:rFonts w:hint="eastAsia" w:ascii="宋体" w:hAnsi="宋体" w:eastAsia="宋体" w:cs="宋体"/>
          <w:lang w:val="zh-CN" w:eastAsia="zh-CN"/>
        </w:rPr>
        <w:t>）</w:t>
      </w:r>
      <w:r>
        <w:rPr>
          <w:rFonts w:hint="eastAsia" w:ascii="宋体" w:hAnsi="宋体" w:eastAsia="宋体" w:cs="宋体"/>
          <w:lang w:val="en-US" w:eastAsia="zh-CN"/>
        </w:rPr>
        <w:t>商务履约验收内容:按照本项目竞争性磋商文件中商务要求及成交供应商响应文件中的商务要求。</w:t>
      </w:r>
    </w:p>
    <w:p w14:paraId="13909199">
      <w:pPr>
        <w:bidi w:val="0"/>
        <w:rPr>
          <w:rFonts w:hint="default" w:ascii="宋体" w:hAnsi="宋体" w:eastAsia="宋体" w:cs="宋体"/>
          <w:lang w:val="en-US" w:eastAsia="zh-CN"/>
        </w:rPr>
      </w:pPr>
      <w:r>
        <w:rPr>
          <w:rFonts w:hint="eastAsia" w:ascii="宋体" w:hAnsi="宋体" w:eastAsia="宋体" w:cs="宋体"/>
          <w:lang w:val="zh-CN" w:eastAsia="zh-CN"/>
        </w:rPr>
        <w:t>（</w:t>
      </w:r>
      <w:r>
        <w:rPr>
          <w:rFonts w:hint="eastAsia" w:ascii="宋体" w:hAnsi="宋体" w:eastAsia="宋体" w:cs="宋体"/>
          <w:lang w:val="en-US" w:eastAsia="zh-CN"/>
        </w:rPr>
        <w:t>4</w:t>
      </w:r>
      <w:r>
        <w:rPr>
          <w:rFonts w:hint="eastAsia" w:ascii="宋体" w:hAnsi="宋体" w:eastAsia="宋体" w:cs="宋体"/>
          <w:lang w:val="zh-CN" w:eastAsia="zh-CN"/>
        </w:rPr>
        <w:t>）</w:t>
      </w:r>
      <w:r>
        <w:rPr>
          <w:rFonts w:hint="eastAsia" w:ascii="宋体" w:hAnsi="宋体" w:eastAsia="宋体" w:cs="宋体"/>
          <w:lang w:val="en-US" w:eastAsia="zh-CN"/>
        </w:rPr>
        <w:t>履约验收标准:按合同约定的标的要求，提供符合行业标准参数验收。</w:t>
      </w:r>
    </w:p>
    <w:p w14:paraId="2CF54AD5">
      <w:pPr>
        <w:bidi w:val="0"/>
        <w:rPr>
          <w:rFonts w:hint="eastAsia" w:ascii="宋体" w:hAnsi="宋体" w:eastAsia="宋体" w:cs="宋体"/>
          <w:lang w:val="zh-CN" w:eastAsia="zh-CN"/>
        </w:rPr>
      </w:pPr>
      <w:r>
        <w:rPr>
          <w:rFonts w:hint="eastAsia" w:ascii="宋体" w:hAnsi="宋体" w:eastAsia="宋体" w:cs="宋体"/>
          <w:lang w:val="zh-CN" w:eastAsia="zh-CN"/>
        </w:rPr>
        <w:t>（</w:t>
      </w:r>
      <w:r>
        <w:rPr>
          <w:rFonts w:hint="eastAsia" w:ascii="宋体" w:hAnsi="宋体" w:eastAsia="宋体" w:cs="宋体"/>
          <w:lang w:val="en-US" w:eastAsia="zh-CN"/>
        </w:rPr>
        <w:t>5</w:t>
      </w:r>
      <w:r>
        <w:rPr>
          <w:rFonts w:hint="eastAsia" w:ascii="宋体" w:hAnsi="宋体" w:eastAsia="宋体" w:cs="宋体"/>
          <w:lang w:val="zh-CN" w:eastAsia="zh-CN"/>
        </w:rPr>
        <w:t>）</w:t>
      </w:r>
      <w:r>
        <w:rPr>
          <w:rFonts w:hint="eastAsia" w:ascii="宋体" w:hAnsi="宋体" w:eastAsia="宋体" w:cs="宋体"/>
          <w:lang w:val="en-US" w:eastAsia="zh-CN"/>
        </w:rPr>
        <w:t>履约验收主体:青海省财政厅</w:t>
      </w:r>
    </w:p>
    <w:p w14:paraId="61C04524">
      <w:pPr>
        <w:bidi w:val="0"/>
        <w:ind w:left="0" w:leftChars="0" w:firstLine="0" w:firstLineChars="0"/>
        <w:rPr>
          <w:rFonts w:hint="eastAsia" w:ascii="宋体" w:hAnsi="宋体" w:eastAsia="宋体" w:cs="宋体"/>
          <w:b/>
          <w:bCs/>
        </w:rPr>
      </w:pPr>
      <w:r>
        <w:rPr>
          <w:rFonts w:hint="eastAsia" w:ascii="宋体" w:hAnsi="宋体" w:eastAsia="宋体" w:cs="宋体"/>
          <w:b/>
          <w:bCs/>
        </w:rPr>
        <w:t>四、合同的变更、终止与转让</w:t>
      </w:r>
    </w:p>
    <w:p w14:paraId="69399839">
      <w:pPr>
        <w:bidi w:val="0"/>
        <w:rPr>
          <w:rFonts w:hint="eastAsia" w:ascii="宋体" w:hAnsi="宋体" w:eastAsia="宋体" w:cs="宋体"/>
        </w:rPr>
      </w:pPr>
      <w:r>
        <w:rPr>
          <w:rFonts w:hint="eastAsia" w:ascii="宋体" w:hAnsi="宋体" w:eastAsia="宋体" w:cs="宋体"/>
        </w:rPr>
        <w:t>1</w:t>
      </w:r>
      <w:r>
        <w:rPr>
          <w:rFonts w:hint="eastAsia" w:ascii="宋体" w:hAnsi="宋体" w:eastAsia="宋体" w:cs="宋体"/>
          <w:lang w:eastAsia="zh-CN"/>
        </w:rPr>
        <w:t>、</w:t>
      </w:r>
      <w:r>
        <w:rPr>
          <w:rFonts w:hint="eastAsia" w:ascii="宋体" w:hAnsi="宋体" w:eastAsia="宋体" w:cs="宋体"/>
        </w:rPr>
        <w:t>除《中华人民共和国政府采购法》第50条规定的情形外，本合同一经签订，甲乙双方不得擅自变更、中止或终止。</w:t>
      </w:r>
    </w:p>
    <w:p w14:paraId="20DAD6C7">
      <w:pPr>
        <w:bidi w:val="0"/>
        <w:rPr>
          <w:rFonts w:hint="eastAsia" w:ascii="宋体" w:hAnsi="宋体" w:eastAsia="宋体" w:cs="宋体"/>
        </w:rPr>
      </w:pPr>
      <w:r>
        <w:rPr>
          <w:rFonts w:hint="eastAsia" w:ascii="宋体" w:hAnsi="宋体" w:eastAsia="宋体" w:cs="宋体"/>
        </w:rPr>
        <w:t>2</w:t>
      </w:r>
      <w:r>
        <w:rPr>
          <w:rFonts w:hint="eastAsia" w:ascii="宋体" w:hAnsi="宋体" w:eastAsia="宋体" w:cs="宋体"/>
          <w:lang w:eastAsia="zh-CN"/>
        </w:rPr>
        <w:t>、</w:t>
      </w:r>
      <w:r>
        <w:rPr>
          <w:rFonts w:hint="eastAsia" w:ascii="宋体" w:hAnsi="宋体" w:eastAsia="宋体" w:cs="宋体"/>
        </w:rPr>
        <w:t>乙方不得擅自转让其应履行的合同义务。</w:t>
      </w:r>
    </w:p>
    <w:p w14:paraId="71D9D0CF">
      <w:pPr>
        <w:bidi w:val="0"/>
        <w:ind w:left="0" w:leftChars="0" w:firstLine="0" w:firstLineChars="0"/>
        <w:rPr>
          <w:rFonts w:hint="eastAsia" w:ascii="宋体" w:hAnsi="宋体" w:eastAsia="宋体" w:cs="宋体"/>
          <w:b/>
          <w:bCs/>
        </w:rPr>
      </w:pPr>
      <w:r>
        <w:rPr>
          <w:rFonts w:hint="eastAsia" w:ascii="宋体" w:hAnsi="宋体" w:eastAsia="宋体" w:cs="宋体"/>
          <w:b/>
          <w:bCs/>
        </w:rPr>
        <w:t>五、违约责任</w:t>
      </w:r>
    </w:p>
    <w:p w14:paraId="153036B0">
      <w:pPr>
        <w:bidi w:val="0"/>
        <w:rPr>
          <w:rFonts w:hint="eastAsia" w:ascii="宋体" w:hAnsi="宋体" w:eastAsia="宋体" w:cs="宋体"/>
        </w:rPr>
      </w:pPr>
      <w:r>
        <w:rPr>
          <w:rFonts w:hint="eastAsia" w:ascii="宋体" w:hAnsi="宋体" w:eastAsia="宋体" w:cs="宋体"/>
        </w:rPr>
        <w:t>1</w:t>
      </w:r>
      <w:r>
        <w:rPr>
          <w:rFonts w:hint="eastAsia" w:ascii="宋体" w:hAnsi="宋体" w:eastAsia="宋体" w:cs="宋体"/>
          <w:lang w:val="en-US" w:eastAsia="zh-CN"/>
        </w:rPr>
        <w:t>、</w:t>
      </w:r>
      <w:r>
        <w:rPr>
          <w:rFonts w:hint="eastAsia" w:ascii="宋体" w:hAnsi="宋体" w:eastAsia="宋体" w:cs="宋体"/>
        </w:rPr>
        <w:t>乙方所提供的服务内容、服务标准、服务要求等质量不合格的，应在甲方提出后的15个工作日内，完成整改；整改不及时的，按逾期服务处罚，每逾期1日需承担合同总价款0.5%的违约金；因质量问题甲方不同意接收的，质保金全额扣除，并由乙方赔偿由此引起的甲方的一切经济损失。</w:t>
      </w:r>
    </w:p>
    <w:p w14:paraId="5FBC2190">
      <w:pPr>
        <w:bidi w:val="0"/>
        <w:rPr>
          <w:rFonts w:hint="eastAsia" w:ascii="宋体" w:hAnsi="宋体" w:eastAsia="宋体" w:cs="宋体"/>
        </w:rPr>
      </w:pPr>
      <w:r>
        <w:rPr>
          <w:rFonts w:hint="eastAsia" w:ascii="宋体" w:hAnsi="宋体" w:eastAsia="宋体" w:cs="宋体"/>
        </w:rPr>
        <w:t>2</w:t>
      </w:r>
      <w:r>
        <w:rPr>
          <w:rFonts w:hint="eastAsia" w:ascii="宋体" w:hAnsi="宋体" w:eastAsia="宋体" w:cs="宋体"/>
          <w:lang w:val="en-US" w:eastAsia="zh-CN"/>
        </w:rPr>
        <w:t>、</w:t>
      </w:r>
      <w:r>
        <w:rPr>
          <w:rFonts w:hint="eastAsia" w:ascii="宋体" w:hAnsi="宋体" w:eastAsia="宋体" w:cs="宋体"/>
        </w:rPr>
        <w:t>乙方提供的服务如侵犯了第三方权益而引发纠纷或诉讼的，均由乙方负责交涉并承担全部责任。</w:t>
      </w:r>
    </w:p>
    <w:p w14:paraId="40FB3739">
      <w:pPr>
        <w:bidi w:val="0"/>
        <w:rPr>
          <w:rFonts w:hint="eastAsia" w:ascii="宋体" w:hAnsi="宋体" w:eastAsia="宋体" w:cs="宋体"/>
        </w:rPr>
      </w:pPr>
      <w:r>
        <w:rPr>
          <w:rFonts w:hint="eastAsia" w:ascii="宋体" w:hAnsi="宋体" w:eastAsia="宋体" w:cs="宋体"/>
        </w:rPr>
        <w:t>3</w:t>
      </w:r>
      <w:r>
        <w:rPr>
          <w:rFonts w:hint="eastAsia" w:ascii="宋体" w:hAnsi="宋体" w:eastAsia="宋体" w:cs="宋体"/>
          <w:lang w:val="en-US" w:eastAsia="zh-CN"/>
        </w:rPr>
        <w:t>、</w:t>
      </w:r>
      <w:r>
        <w:rPr>
          <w:rFonts w:hint="eastAsia" w:ascii="宋体" w:hAnsi="宋体" w:eastAsia="宋体" w:cs="宋体"/>
        </w:rPr>
        <w:t>乙方未按本合同和投标文件中规定的服务承诺提供售后服务的，乙方应按本合同合计金额的5%向甲方支付违约金。</w:t>
      </w:r>
    </w:p>
    <w:p w14:paraId="4CADA9CD">
      <w:pPr>
        <w:bidi w:val="0"/>
        <w:rPr>
          <w:rFonts w:hint="eastAsia" w:ascii="宋体" w:hAnsi="宋体" w:eastAsia="宋体" w:cs="宋体"/>
        </w:rPr>
      </w:pPr>
      <w:r>
        <w:rPr>
          <w:rFonts w:hint="eastAsia" w:ascii="宋体" w:hAnsi="宋体" w:eastAsia="宋体" w:cs="宋体"/>
        </w:rPr>
        <w:t>4</w:t>
      </w:r>
      <w:r>
        <w:rPr>
          <w:rFonts w:hint="eastAsia" w:ascii="宋体" w:hAnsi="宋体" w:eastAsia="宋体" w:cs="宋体"/>
          <w:lang w:val="en-US" w:eastAsia="zh-CN"/>
        </w:rPr>
        <w:t>、</w:t>
      </w:r>
      <w:r>
        <w:rPr>
          <w:rFonts w:hint="eastAsia" w:ascii="宋体" w:hAnsi="宋体" w:eastAsia="宋体" w:cs="宋体"/>
        </w:rPr>
        <w:t>乙方提供的服务在服务期内，因标准、内容或管理的缺陷和其它质量原因造成的问题，由乙方负责，费用从履约保证金中扣除，不足另补。</w:t>
      </w:r>
    </w:p>
    <w:p w14:paraId="5936FFB1">
      <w:pPr>
        <w:bidi w:val="0"/>
        <w:ind w:left="0" w:leftChars="0" w:firstLine="0" w:firstLineChars="0"/>
        <w:rPr>
          <w:rFonts w:hint="eastAsia" w:ascii="宋体" w:hAnsi="宋体" w:eastAsia="宋体" w:cs="宋体"/>
          <w:b/>
          <w:bCs/>
        </w:rPr>
      </w:pPr>
      <w:r>
        <w:rPr>
          <w:rFonts w:hint="eastAsia" w:ascii="宋体" w:hAnsi="宋体" w:eastAsia="宋体" w:cs="宋体"/>
          <w:b/>
          <w:bCs/>
        </w:rPr>
        <w:t>六、不可抗力</w:t>
      </w:r>
    </w:p>
    <w:p w14:paraId="4F5D5229">
      <w:pPr>
        <w:bidi w:val="0"/>
        <w:rPr>
          <w:rFonts w:hint="eastAsia" w:ascii="宋体" w:hAnsi="宋体" w:eastAsia="宋体" w:cs="宋体"/>
        </w:rPr>
      </w:pPr>
      <w:r>
        <w:rPr>
          <w:rFonts w:hint="eastAsia" w:ascii="宋体" w:hAnsi="宋体" w:eastAsia="宋体" w:cs="宋体"/>
        </w:rPr>
        <w:t>1</w:t>
      </w:r>
      <w:r>
        <w:rPr>
          <w:rFonts w:hint="eastAsia" w:ascii="宋体" w:hAnsi="宋体" w:eastAsia="宋体" w:cs="宋体"/>
          <w:lang w:eastAsia="zh-CN"/>
        </w:rPr>
        <w:t>、</w:t>
      </w:r>
      <w:r>
        <w:rPr>
          <w:rFonts w:hint="eastAsia" w:ascii="宋体" w:hAnsi="宋体" w:eastAsia="宋体" w:cs="宋体"/>
        </w:rPr>
        <w:t>不可抗力使合同的某些内容有变更必要的，双方应通过协商在</w:t>
      </w:r>
      <w:r>
        <w:rPr>
          <w:rFonts w:hint="eastAsia" w:ascii="宋体" w:hAnsi="宋体" w:eastAsia="宋体" w:cs="宋体"/>
          <w:u w:val="single"/>
        </w:rPr>
        <w:t xml:space="preserve">   </w:t>
      </w:r>
      <w:r>
        <w:rPr>
          <w:rFonts w:hint="eastAsia" w:ascii="宋体" w:hAnsi="宋体" w:eastAsia="宋体" w:cs="宋体"/>
        </w:rPr>
        <w:t>天内达成进一步履行合同的协议，因不可抗力致使合同不能履行的，合同终止。</w:t>
      </w:r>
    </w:p>
    <w:p w14:paraId="5EFE5863">
      <w:pPr>
        <w:bidi w:val="0"/>
        <w:rPr>
          <w:rFonts w:hint="eastAsia" w:ascii="宋体" w:hAnsi="宋体" w:eastAsia="宋体" w:cs="宋体"/>
        </w:rPr>
      </w:pPr>
      <w:r>
        <w:rPr>
          <w:rFonts w:hint="eastAsia" w:ascii="宋体" w:hAnsi="宋体" w:eastAsia="宋体" w:cs="宋体"/>
        </w:rPr>
        <w:t>2</w:t>
      </w:r>
      <w:r>
        <w:rPr>
          <w:rFonts w:hint="eastAsia" w:ascii="宋体" w:hAnsi="宋体" w:eastAsia="宋体" w:cs="宋体"/>
          <w:lang w:eastAsia="zh-CN"/>
        </w:rPr>
        <w:t>、</w:t>
      </w:r>
      <w:r>
        <w:rPr>
          <w:rFonts w:hint="eastAsia" w:ascii="宋体" w:hAnsi="宋体" w:eastAsia="宋体" w:cs="宋体"/>
        </w:rPr>
        <w:t>除法律、法规规定的不可抗力情形外，双方约定出现</w:t>
      </w:r>
      <w:r>
        <w:rPr>
          <w:rFonts w:hint="eastAsia" w:ascii="宋体" w:hAnsi="宋体" w:eastAsia="宋体" w:cs="宋体"/>
          <w:u w:val="single"/>
        </w:rPr>
        <w:t xml:space="preserve">         </w:t>
      </w:r>
      <w:r>
        <w:rPr>
          <w:rFonts w:hint="eastAsia" w:ascii="宋体" w:hAnsi="宋体" w:eastAsia="宋体" w:cs="宋体"/>
        </w:rPr>
        <w:t>情况亦视为不可抗力。</w:t>
      </w:r>
    </w:p>
    <w:p w14:paraId="785C1049">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b/>
          <w:bCs/>
        </w:rPr>
      </w:pPr>
      <w:r>
        <w:rPr>
          <w:rFonts w:hint="eastAsia" w:ascii="宋体" w:hAnsi="宋体" w:cs="宋体"/>
          <w:b/>
          <w:bCs/>
          <w:lang w:val="en-US" w:eastAsia="zh-CN"/>
        </w:rPr>
        <w:t>七</w:t>
      </w:r>
      <w:r>
        <w:rPr>
          <w:rFonts w:hint="eastAsia" w:ascii="宋体" w:hAnsi="宋体" w:eastAsia="宋体" w:cs="宋体"/>
          <w:b/>
          <w:bCs/>
        </w:rPr>
        <w:t>、其他约定：</w:t>
      </w:r>
    </w:p>
    <w:p w14:paraId="03CD1E24">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b/>
          <w:bCs/>
        </w:rPr>
      </w:pPr>
      <w:r>
        <w:rPr>
          <w:rFonts w:hint="eastAsia" w:ascii="宋体" w:hAnsi="宋体" w:cs="宋体"/>
          <w:b/>
          <w:bCs/>
          <w:lang w:val="en-US" w:eastAsia="zh-CN"/>
        </w:rPr>
        <w:t>八</w:t>
      </w:r>
      <w:r>
        <w:rPr>
          <w:rFonts w:hint="eastAsia" w:ascii="宋体" w:hAnsi="宋体" w:eastAsia="宋体" w:cs="宋体"/>
          <w:b/>
          <w:bCs/>
        </w:rPr>
        <w:t>、合同争议解决</w:t>
      </w:r>
    </w:p>
    <w:p w14:paraId="0BC6160E">
      <w:pPr>
        <w:bidi w:val="0"/>
        <w:rPr>
          <w:rFonts w:hint="eastAsia" w:ascii="宋体" w:hAnsi="宋体" w:eastAsia="宋体" w:cs="宋体"/>
        </w:rPr>
      </w:pPr>
      <w:r>
        <w:rPr>
          <w:rFonts w:hint="eastAsia" w:ascii="宋体" w:hAnsi="宋体" w:eastAsia="宋体" w:cs="宋体"/>
        </w:rPr>
        <w:t>1</w:t>
      </w:r>
      <w:r>
        <w:rPr>
          <w:rFonts w:hint="eastAsia" w:ascii="宋体" w:hAnsi="宋体" w:eastAsia="宋体" w:cs="宋体"/>
          <w:lang w:val="en-US" w:eastAsia="zh-CN"/>
        </w:rPr>
        <w:t>、</w:t>
      </w:r>
      <w:r>
        <w:rPr>
          <w:rFonts w:hint="eastAsia" w:ascii="宋体" w:hAnsi="宋体" w:eastAsia="宋体" w:cs="宋体"/>
        </w:rPr>
        <w:t>因履行本合同引起的或与本合同有关的争议，甲乙双方应首先通过友好协商解决，如果协商不能解决，可向甲方所在地有管辖权的人民法院提起诉讼。</w:t>
      </w:r>
    </w:p>
    <w:p w14:paraId="0A398302">
      <w:pPr>
        <w:bidi w:val="0"/>
        <w:rPr>
          <w:rFonts w:hint="eastAsia" w:ascii="宋体" w:hAnsi="宋体" w:eastAsia="宋体" w:cs="宋体"/>
        </w:rPr>
      </w:pPr>
      <w:r>
        <w:rPr>
          <w:rFonts w:hint="eastAsia" w:ascii="宋体" w:hAnsi="宋体" w:eastAsia="宋体" w:cs="宋体"/>
        </w:rPr>
        <w:t>2</w:t>
      </w:r>
      <w:r>
        <w:rPr>
          <w:rFonts w:hint="eastAsia" w:ascii="宋体" w:hAnsi="宋体" w:eastAsia="宋体" w:cs="宋体"/>
          <w:lang w:val="en-US" w:eastAsia="zh-CN"/>
        </w:rPr>
        <w:t>、</w:t>
      </w:r>
      <w:r>
        <w:rPr>
          <w:rFonts w:hint="eastAsia" w:ascii="宋体" w:hAnsi="宋体" w:eastAsia="宋体" w:cs="宋体"/>
        </w:rPr>
        <w:t>诉讼期间，本合同继续履行。</w:t>
      </w:r>
    </w:p>
    <w:p w14:paraId="778AF8A2">
      <w:pPr>
        <w:bidi w:val="0"/>
        <w:ind w:left="0" w:leftChars="0" w:firstLine="0" w:firstLineChars="0"/>
        <w:rPr>
          <w:rFonts w:hint="eastAsia" w:ascii="宋体" w:hAnsi="宋体" w:eastAsia="宋体" w:cs="宋体"/>
        </w:rPr>
      </w:pPr>
      <w:r>
        <w:rPr>
          <w:rFonts w:hint="eastAsia" w:ascii="宋体" w:hAnsi="宋体" w:cs="宋体"/>
          <w:b/>
          <w:bCs/>
          <w:lang w:val="en-US" w:eastAsia="zh-CN"/>
        </w:rPr>
        <w:t>九</w:t>
      </w:r>
      <w:r>
        <w:rPr>
          <w:rFonts w:hint="eastAsia" w:ascii="宋体" w:hAnsi="宋体" w:eastAsia="宋体" w:cs="宋体"/>
          <w:b/>
          <w:bCs/>
        </w:rPr>
        <w:t>、合同生效及其它：</w:t>
      </w:r>
    </w:p>
    <w:p w14:paraId="3013A50C">
      <w:pPr>
        <w:bidi w:val="0"/>
        <w:rPr>
          <w:rFonts w:hint="eastAsia" w:ascii="宋体" w:hAnsi="宋体" w:eastAsia="宋体" w:cs="宋体"/>
        </w:rPr>
      </w:pPr>
      <w:r>
        <w:rPr>
          <w:rFonts w:hint="eastAsia" w:ascii="宋体" w:hAnsi="宋体" w:eastAsia="宋体" w:cs="宋体"/>
        </w:rPr>
        <w:t>1</w:t>
      </w:r>
      <w:r>
        <w:rPr>
          <w:rFonts w:hint="eastAsia" w:ascii="宋体" w:hAnsi="宋体" w:eastAsia="宋体" w:cs="宋体"/>
          <w:lang w:eastAsia="zh-CN"/>
        </w:rPr>
        <w:t>、</w:t>
      </w:r>
      <w:r>
        <w:rPr>
          <w:rFonts w:hint="eastAsia" w:ascii="宋体" w:hAnsi="宋体" w:eastAsia="宋体" w:cs="宋体"/>
        </w:rPr>
        <w:t>本合同一式</w:t>
      </w:r>
      <w:r>
        <w:rPr>
          <w:rFonts w:hint="eastAsia" w:ascii="宋体" w:hAnsi="宋体" w:eastAsia="宋体" w:cs="宋体"/>
          <w:u w:val="single"/>
        </w:rPr>
        <w:t xml:space="preserve">    </w:t>
      </w:r>
      <w:r>
        <w:rPr>
          <w:rFonts w:hint="eastAsia" w:ascii="宋体" w:hAnsi="宋体" w:eastAsia="宋体" w:cs="宋体"/>
        </w:rPr>
        <w:t>份，甲方</w:t>
      </w:r>
      <w:r>
        <w:rPr>
          <w:rFonts w:hint="eastAsia" w:ascii="宋体" w:hAnsi="宋体" w:eastAsia="宋体" w:cs="宋体"/>
          <w:u w:val="single"/>
        </w:rPr>
        <w:t xml:space="preserve">     </w:t>
      </w:r>
      <w:r>
        <w:rPr>
          <w:rFonts w:hint="eastAsia" w:ascii="宋体" w:hAnsi="宋体" w:eastAsia="宋体" w:cs="宋体"/>
        </w:rPr>
        <w:t>份，乙方</w:t>
      </w:r>
      <w:r>
        <w:rPr>
          <w:rFonts w:hint="eastAsia" w:ascii="宋体" w:hAnsi="宋体" w:eastAsia="宋体" w:cs="宋体"/>
          <w:u w:val="single"/>
        </w:rPr>
        <w:t xml:space="preserve">     </w:t>
      </w:r>
      <w:r>
        <w:rPr>
          <w:rFonts w:hint="eastAsia" w:ascii="宋体" w:hAnsi="宋体" w:eastAsia="宋体" w:cs="宋体"/>
        </w:rPr>
        <w:t>份，代理机构</w:t>
      </w:r>
      <w:r>
        <w:rPr>
          <w:rFonts w:hint="eastAsia" w:ascii="宋体" w:hAnsi="宋体" w:eastAsia="宋体" w:cs="宋体"/>
          <w:u w:val="single"/>
          <w:lang w:val="en-US" w:eastAsia="zh-CN"/>
        </w:rPr>
        <w:t xml:space="preserve"> </w:t>
      </w:r>
      <w:r>
        <w:rPr>
          <w:rFonts w:hint="eastAsia" w:ascii="宋体" w:hAnsi="宋体" w:eastAsia="宋体" w:cs="宋体"/>
          <w:u w:val="single"/>
        </w:rPr>
        <w:t>2</w:t>
      </w:r>
      <w:r>
        <w:rPr>
          <w:rFonts w:hint="eastAsia" w:ascii="宋体" w:hAnsi="宋体" w:eastAsia="宋体" w:cs="宋体"/>
          <w:u w:val="single"/>
          <w:lang w:val="en-US" w:eastAsia="zh-CN"/>
        </w:rPr>
        <w:t xml:space="preserve"> </w:t>
      </w:r>
      <w:r>
        <w:rPr>
          <w:rFonts w:hint="eastAsia" w:ascii="宋体" w:hAnsi="宋体" w:eastAsia="宋体" w:cs="宋体"/>
        </w:rPr>
        <w:t>份，经甲乙双方授权代表签字盖章后生效。</w:t>
      </w:r>
    </w:p>
    <w:p w14:paraId="24CF4274">
      <w:pPr>
        <w:bidi w:val="0"/>
        <w:rPr>
          <w:rFonts w:hint="eastAsia" w:ascii="宋体" w:hAnsi="宋体" w:eastAsia="宋体" w:cs="宋体"/>
        </w:rPr>
      </w:pPr>
      <w:r>
        <w:rPr>
          <w:rFonts w:hint="eastAsia" w:ascii="宋体" w:hAnsi="宋体" w:eastAsia="宋体" w:cs="宋体"/>
        </w:rPr>
        <w:t>2</w:t>
      </w:r>
      <w:r>
        <w:rPr>
          <w:rFonts w:hint="eastAsia" w:ascii="宋体" w:hAnsi="宋体" w:eastAsia="宋体" w:cs="宋体"/>
          <w:lang w:eastAsia="zh-CN"/>
        </w:rPr>
        <w:t>、</w:t>
      </w:r>
      <w:r>
        <w:rPr>
          <w:rFonts w:hint="eastAsia" w:ascii="宋体" w:hAnsi="宋体" w:eastAsia="宋体" w:cs="宋体"/>
          <w:lang w:val="zh-CN"/>
        </w:rPr>
        <w:t>本合同未尽事宜，按《民法典》有关规定处理。</w:t>
      </w:r>
    </w:p>
    <w:p w14:paraId="01BDC54F">
      <w:pPr>
        <w:bidi w:val="0"/>
        <w:rPr>
          <w:rFonts w:hint="eastAsia" w:ascii="宋体" w:hAnsi="宋体" w:eastAsia="宋体" w:cs="宋体"/>
        </w:rPr>
      </w:pPr>
    </w:p>
    <w:p w14:paraId="34E37540">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rPr>
      </w:pPr>
      <w:r>
        <w:rPr>
          <w:rFonts w:hint="eastAsia" w:ascii="宋体" w:hAnsi="宋体" w:eastAsia="宋体" w:cs="宋体"/>
          <w:lang w:val="zh-CN"/>
        </w:rPr>
        <w:t>甲方（盖章）：                             乙方（盖章）：</w:t>
      </w:r>
    </w:p>
    <w:p w14:paraId="70311DB8">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rPr>
      </w:pPr>
      <w:r>
        <w:rPr>
          <w:rFonts w:hint="eastAsia" w:ascii="宋体" w:hAnsi="宋体" w:eastAsia="宋体" w:cs="宋体"/>
          <w:lang w:val="zh-CN"/>
        </w:rPr>
        <w:t>法定代表人或委托代理人</w:t>
      </w:r>
      <w:r>
        <w:rPr>
          <w:rFonts w:hint="eastAsia" w:ascii="宋体" w:hAnsi="宋体" w:eastAsia="宋体" w:cs="宋体"/>
        </w:rPr>
        <w:t xml:space="preserve">：                   </w:t>
      </w:r>
      <w:r>
        <w:rPr>
          <w:rFonts w:hint="eastAsia" w:ascii="宋体" w:hAnsi="宋体" w:eastAsia="宋体" w:cs="宋体"/>
          <w:lang w:val="zh-CN"/>
        </w:rPr>
        <w:t>法定代表人或委托代理人</w:t>
      </w:r>
      <w:r>
        <w:rPr>
          <w:rFonts w:hint="eastAsia" w:ascii="宋体" w:hAnsi="宋体" w:eastAsia="宋体" w:cs="宋体"/>
        </w:rPr>
        <w:t>：</w:t>
      </w:r>
    </w:p>
    <w:p w14:paraId="1F450260">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rPr>
      </w:pPr>
      <w:r>
        <w:rPr>
          <w:rFonts w:hint="eastAsia" w:ascii="宋体" w:hAnsi="宋体" w:eastAsia="宋体" w:cs="宋体"/>
          <w:lang w:val="zh-CN"/>
        </w:rPr>
        <w:t>开户银行：</w:t>
      </w:r>
    </w:p>
    <w:p w14:paraId="6868BAF0">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lang w:val="zh-CN"/>
        </w:rPr>
      </w:pPr>
      <w:r>
        <w:rPr>
          <w:rFonts w:hint="eastAsia" w:ascii="宋体" w:hAnsi="宋体" w:eastAsia="宋体" w:cs="宋体"/>
          <w:lang w:val="zh-CN"/>
        </w:rPr>
        <w:t>联系电话：                                 账号：</w:t>
      </w:r>
    </w:p>
    <w:p w14:paraId="1A09E2F3">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lang w:val="zh-CN"/>
        </w:rPr>
      </w:pPr>
      <w:r>
        <w:rPr>
          <w:rFonts w:hint="eastAsia" w:ascii="宋体" w:hAnsi="宋体" w:eastAsia="宋体" w:cs="宋体"/>
        </w:rPr>
        <w:t xml:space="preserve">                                           </w:t>
      </w:r>
      <w:r>
        <w:rPr>
          <w:rFonts w:hint="eastAsia" w:ascii="宋体" w:hAnsi="宋体" w:eastAsia="宋体" w:cs="宋体"/>
          <w:lang w:val="zh-CN"/>
        </w:rPr>
        <w:t xml:space="preserve">联系电话： </w:t>
      </w:r>
    </w:p>
    <w:p w14:paraId="31737202">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rPr>
      </w:pPr>
      <w:r>
        <w:rPr>
          <w:rFonts w:hint="eastAsia" w:ascii="宋体" w:hAnsi="宋体" w:eastAsia="宋体" w:cs="宋体"/>
          <w:lang w:val="zh-CN"/>
        </w:rPr>
        <w:t>签约时间：  年  月  日</w:t>
      </w:r>
    </w:p>
    <w:p w14:paraId="433A14D4">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rPr>
      </w:pPr>
    </w:p>
    <w:p w14:paraId="57F40889">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rPr>
      </w:pPr>
      <w:r>
        <w:rPr>
          <w:rFonts w:hint="eastAsia" w:ascii="宋体" w:hAnsi="宋体" w:eastAsia="宋体" w:cs="宋体"/>
        </w:rPr>
        <w:t>采购代理机构（盖章）：青海联祥招标代理有限公司</w:t>
      </w:r>
    </w:p>
    <w:p w14:paraId="1F369643">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rPr>
      </w:pPr>
      <w:r>
        <w:rPr>
          <w:rFonts w:hint="eastAsia" w:ascii="宋体" w:hAnsi="宋体" w:eastAsia="宋体" w:cs="宋体"/>
        </w:rPr>
        <w:t>地址：</w:t>
      </w:r>
      <w:r>
        <w:rPr>
          <w:rFonts w:hint="eastAsia" w:ascii="宋体" w:hAnsi="宋体" w:eastAsia="宋体" w:cs="宋体"/>
          <w:lang w:val="zh-CN"/>
        </w:rPr>
        <w:t>青海省西宁市城西区胜利路4号时代盛华写字楼13楼11304室</w:t>
      </w:r>
    </w:p>
    <w:p w14:paraId="7D671110">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rPr>
      </w:pPr>
      <w:r>
        <w:rPr>
          <w:rFonts w:hint="eastAsia" w:ascii="宋体" w:hAnsi="宋体" w:eastAsia="宋体" w:cs="宋体"/>
          <w:lang w:val="en-US" w:eastAsia="zh-CN"/>
        </w:rPr>
        <w:t>项目负责人</w:t>
      </w:r>
      <w:r>
        <w:rPr>
          <w:rFonts w:hint="eastAsia" w:ascii="宋体" w:hAnsi="宋体" w:eastAsia="宋体" w:cs="宋体"/>
        </w:rPr>
        <w:t>：</w:t>
      </w:r>
    </w:p>
    <w:p w14:paraId="757F3E34">
      <w:pPr>
        <w:rPr>
          <w:rFonts w:hint="eastAsia" w:ascii="宋体" w:hAnsi="宋体" w:eastAsia="宋体" w:cs="宋体"/>
          <w:b/>
          <w:bCs/>
          <w:color w:val="auto"/>
          <w:sz w:val="28"/>
          <w:szCs w:val="28"/>
          <w:highlight w:val="none"/>
          <w:lang w:val="zh-CN"/>
        </w:rPr>
      </w:pPr>
      <w:r>
        <w:rPr>
          <w:rFonts w:hint="eastAsia" w:ascii="宋体" w:hAnsi="宋体" w:eastAsia="宋体" w:cs="宋体"/>
        </w:rPr>
        <w:t>合同备案时间：</w:t>
      </w:r>
      <w:r>
        <w:rPr>
          <w:rFonts w:hint="eastAsia" w:ascii="宋体" w:hAnsi="宋体" w:eastAsia="宋体" w:cs="宋体"/>
          <w:b/>
          <w:bCs/>
          <w:color w:val="auto"/>
          <w:sz w:val="28"/>
          <w:szCs w:val="28"/>
          <w:highlight w:val="none"/>
          <w:lang w:val="zh-CN"/>
        </w:rPr>
        <w:br w:type="page"/>
      </w:r>
    </w:p>
    <w:p w14:paraId="5861E06E">
      <w:pPr>
        <w:bidi w:val="0"/>
        <w:ind w:left="0" w:leftChars="0" w:firstLine="0" w:firstLineChars="0"/>
        <w:jc w:val="center"/>
        <w:rPr>
          <w:rFonts w:hint="eastAsia" w:ascii="宋体" w:hAnsi="宋体" w:eastAsia="宋体" w:cs="宋体"/>
          <w:b/>
          <w:bCs/>
          <w:sz w:val="28"/>
          <w:szCs w:val="28"/>
        </w:rPr>
      </w:pPr>
      <w:r>
        <w:rPr>
          <w:rFonts w:hint="eastAsia" w:ascii="宋体" w:hAnsi="宋体" w:eastAsia="宋体" w:cs="宋体"/>
          <w:b/>
          <w:bCs/>
          <w:sz w:val="28"/>
          <w:szCs w:val="28"/>
          <w:lang w:val="zh-CN"/>
        </w:rPr>
        <w:t>合同通用条款</w:t>
      </w:r>
    </w:p>
    <w:p w14:paraId="09B077FB">
      <w:pPr>
        <w:bidi w:val="0"/>
        <w:rPr>
          <w:rFonts w:hint="eastAsia" w:ascii="宋体" w:hAnsi="宋体" w:eastAsia="宋体" w:cs="宋体"/>
        </w:rPr>
      </w:pPr>
      <w:r>
        <w:rPr>
          <w:rFonts w:hint="eastAsia" w:ascii="宋体" w:hAnsi="宋体" w:eastAsia="宋体" w:cs="宋体"/>
          <w:lang w:val="zh-CN"/>
        </w:rPr>
        <w:t>根据《中华人民共和国民法典》、《中华人民共和国政府采购法》的规定，合同双方经协商达成一致，自愿订立本合同，遵循公平原则明确双方的权利、义务，确保双方诚实守信地履行合同。</w:t>
      </w:r>
    </w:p>
    <w:p w14:paraId="15C0662F">
      <w:pPr>
        <w:bidi w:val="0"/>
        <w:ind w:left="0" w:leftChars="0" w:firstLine="0" w:firstLineChars="0"/>
        <w:rPr>
          <w:rFonts w:hint="eastAsia" w:ascii="宋体" w:hAnsi="宋体" w:eastAsia="宋体" w:cs="宋体"/>
          <w:b/>
          <w:bCs/>
        </w:rPr>
      </w:pPr>
      <w:r>
        <w:rPr>
          <w:rFonts w:hint="eastAsia" w:ascii="宋体" w:hAnsi="宋体" w:eastAsia="宋体" w:cs="宋体"/>
          <w:b/>
          <w:bCs/>
        </w:rPr>
        <w:t>1.</w:t>
      </w:r>
      <w:r>
        <w:rPr>
          <w:rFonts w:hint="eastAsia" w:ascii="宋体" w:hAnsi="宋体" w:eastAsia="宋体" w:cs="宋体"/>
          <w:b/>
          <w:bCs/>
          <w:lang w:val="zh-CN"/>
        </w:rPr>
        <w:t>定义</w:t>
      </w:r>
    </w:p>
    <w:p w14:paraId="63B37C75">
      <w:pPr>
        <w:bidi w:val="0"/>
        <w:rPr>
          <w:rFonts w:hint="eastAsia" w:ascii="宋体" w:hAnsi="宋体" w:eastAsia="宋体" w:cs="宋体"/>
        </w:rPr>
      </w:pPr>
      <w:r>
        <w:rPr>
          <w:rFonts w:hint="eastAsia" w:ascii="宋体" w:hAnsi="宋体" w:eastAsia="宋体" w:cs="宋体"/>
          <w:lang w:val="zh-CN"/>
        </w:rPr>
        <w:t>本合同中的下列术语应解释为：</w:t>
      </w:r>
    </w:p>
    <w:p w14:paraId="1D4F22A0">
      <w:pPr>
        <w:bidi w:val="0"/>
        <w:rPr>
          <w:rFonts w:hint="eastAsia" w:ascii="宋体" w:hAnsi="宋体" w:eastAsia="宋体" w:cs="宋体"/>
        </w:rPr>
      </w:pPr>
      <w:r>
        <w:rPr>
          <w:rFonts w:hint="eastAsia" w:ascii="宋体" w:hAnsi="宋体" w:eastAsia="宋体" w:cs="宋体"/>
        </w:rPr>
        <w:t xml:space="preserve">1.1 </w:t>
      </w:r>
      <w:r>
        <w:rPr>
          <w:rFonts w:hint="eastAsia" w:ascii="宋体" w:hAnsi="宋体" w:eastAsia="宋体" w:cs="宋体"/>
          <w:lang w:val="zh-CN"/>
        </w:rPr>
        <w:t>“合同”指甲乙双方签署的、载明的甲乙双方权利义务的协议，包括所有的附件、附录和上述文件所提到的构成合同的所有文件。</w:t>
      </w:r>
    </w:p>
    <w:p w14:paraId="7AA35388">
      <w:pPr>
        <w:bidi w:val="0"/>
        <w:rPr>
          <w:rFonts w:hint="eastAsia" w:ascii="宋体" w:hAnsi="宋体" w:eastAsia="宋体" w:cs="宋体"/>
        </w:rPr>
      </w:pPr>
      <w:r>
        <w:rPr>
          <w:rFonts w:hint="eastAsia" w:ascii="宋体" w:hAnsi="宋体" w:eastAsia="宋体" w:cs="宋体"/>
        </w:rPr>
        <w:t xml:space="preserve">1.2 </w:t>
      </w:r>
      <w:r>
        <w:rPr>
          <w:rFonts w:hint="eastAsia" w:ascii="宋体" w:hAnsi="宋体" w:eastAsia="宋体" w:cs="宋体"/>
          <w:lang w:val="zh-CN"/>
        </w:rPr>
        <w:t>“合同金额”指根据合同规定，乙方在正确地完全履行合同义务后甲方应付给乙方的价款。</w:t>
      </w:r>
    </w:p>
    <w:p w14:paraId="3617AF8C">
      <w:pPr>
        <w:bidi w:val="0"/>
        <w:rPr>
          <w:rFonts w:hint="eastAsia" w:ascii="宋体" w:hAnsi="宋体" w:eastAsia="宋体" w:cs="宋体"/>
        </w:rPr>
      </w:pPr>
      <w:r>
        <w:rPr>
          <w:rFonts w:hint="eastAsia" w:ascii="宋体" w:hAnsi="宋体" w:eastAsia="宋体" w:cs="宋体"/>
        </w:rPr>
        <w:t xml:space="preserve">1.3 </w:t>
      </w:r>
      <w:r>
        <w:rPr>
          <w:rFonts w:hint="eastAsia" w:ascii="宋体" w:hAnsi="宋体" w:eastAsia="宋体" w:cs="宋体"/>
          <w:lang w:val="zh-CN"/>
        </w:rPr>
        <w:t>“合同条款”指本合同条款。</w:t>
      </w:r>
    </w:p>
    <w:p w14:paraId="2EF2C229">
      <w:pPr>
        <w:bidi w:val="0"/>
        <w:rPr>
          <w:rFonts w:hint="eastAsia" w:ascii="宋体" w:hAnsi="宋体" w:eastAsia="宋体" w:cs="宋体"/>
        </w:rPr>
      </w:pPr>
      <w:r>
        <w:rPr>
          <w:rFonts w:hint="eastAsia" w:ascii="宋体" w:hAnsi="宋体" w:eastAsia="宋体" w:cs="宋体"/>
        </w:rPr>
        <w:t>1.</w:t>
      </w:r>
      <w:r>
        <w:rPr>
          <w:rFonts w:hint="eastAsia" w:ascii="宋体" w:hAnsi="宋体" w:cs="宋体"/>
          <w:lang w:val="en-US" w:eastAsia="zh-CN"/>
        </w:rPr>
        <w:t>4</w:t>
      </w:r>
      <w:r>
        <w:rPr>
          <w:rFonts w:hint="eastAsia" w:ascii="宋体" w:hAnsi="宋体" w:eastAsia="宋体" w:cs="宋体"/>
        </w:rPr>
        <w:t xml:space="preserve"> </w:t>
      </w:r>
      <w:r>
        <w:rPr>
          <w:rFonts w:hint="eastAsia" w:ascii="宋体" w:hAnsi="宋体" w:eastAsia="宋体" w:cs="宋体"/>
          <w:lang w:val="zh-CN"/>
        </w:rPr>
        <w:t>“甲方”指购买货物和服务的单位。</w:t>
      </w:r>
    </w:p>
    <w:p w14:paraId="35B12161">
      <w:pPr>
        <w:bidi w:val="0"/>
        <w:rPr>
          <w:rFonts w:hint="eastAsia" w:ascii="宋体" w:hAnsi="宋体" w:eastAsia="宋体" w:cs="宋体"/>
        </w:rPr>
      </w:pPr>
      <w:r>
        <w:rPr>
          <w:rFonts w:hint="eastAsia" w:ascii="宋体" w:hAnsi="宋体" w:eastAsia="宋体" w:cs="宋体"/>
        </w:rPr>
        <w:t>1.</w:t>
      </w:r>
      <w:r>
        <w:rPr>
          <w:rFonts w:hint="eastAsia" w:ascii="宋体" w:hAnsi="宋体" w:cs="宋体"/>
          <w:lang w:val="en-US" w:eastAsia="zh-CN"/>
        </w:rPr>
        <w:t>5</w:t>
      </w:r>
      <w:r>
        <w:rPr>
          <w:rFonts w:hint="eastAsia" w:ascii="宋体" w:hAnsi="宋体" w:eastAsia="宋体" w:cs="宋体"/>
        </w:rPr>
        <w:t xml:space="preserve"> </w:t>
      </w:r>
      <w:r>
        <w:rPr>
          <w:rFonts w:hint="eastAsia" w:ascii="宋体" w:hAnsi="宋体" w:eastAsia="宋体" w:cs="宋体"/>
          <w:lang w:val="zh-CN"/>
        </w:rPr>
        <w:t>“乙方”指提供本合同条款下货物和服务的公司或其他实体。</w:t>
      </w:r>
    </w:p>
    <w:p w14:paraId="6CB1B84B">
      <w:pPr>
        <w:bidi w:val="0"/>
        <w:rPr>
          <w:rFonts w:hint="eastAsia" w:ascii="宋体" w:hAnsi="宋体" w:eastAsia="宋体" w:cs="宋体"/>
        </w:rPr>
      </w:pPr>
      <w:r>
        <w:rPr>
          <w:rFonts w:hint="eastAsia" w:ascii="宋体" w:hAnsi="宋体" w:eastAsia="宋体" w:cs="宋体"/>
        </w:rPr>
        <w:t>1.</w:t>
      </w:r>
      <w:r>
        <w:rPr>
          <w:rFonts w:hint="eastAsia" w:ascii="宋体" w:hAnsi="宋体" w:cs="宋体"/>
          <w:lang w:val="en-US" w:eastAsia="zh-CN"/>
        </w:rPr>
        <w:t xml:space="preserve">6 </w:t>
      </w:r>
      <w:r>
        <w:rPr>
          <w:rFonts w:hint="eastAsia" w:ascii="宋体" w:hAnsi="宋体" w:eastAsia="宋体" w:cs="宋体"/>
          <w:lang w:val="zh-CN"/>
        </w:rPr>
        <w:t>“验收”指合同双方依据强制性的国家技术质量规范和合同约定，确认合同条款下的符合合同规定的活动。</w:t>
      </w:r>
    </w:p>
    <w:p w14:paraId="3404CC08">
      <w:pPr>
        <w:bidi w:val="0"/>
        <w:rPr>
          <w:rFonts w:hint="eastAsia" w:ascii="宋体" w:hAnsi="宋体" w:eastAsia="宋体" w:cs="宋体"/>
        </w:rPr>
      </w:pPr>
      <w:r>
        <w:rPr>
          <w:rFonts w:hint="eastAsia" w:ascii="宋体" w:hAnsi="宋体" w:eastAsia="宋体" w:cs="宋体"/>
        </w:rPr>
        <w:t>1.</w:t>
      </w:r>
      <w:r>
        <w:rPr>
          <w:rFonts w:hint="eastAsia" w:ascii="宋体" w:hAnsi="宋体" w:cs="宋体"/>
          <w:lang w:val="en-US" w:eastAsia="zh-CN"/>
        </w:rPr>
        <w:t>7</w:t>
      </w:r>
      <w:r>
        <w:rPr>
          <w:rFonts w:hint="eastAsia" w:ascii="宋体" w:hAnsi="宋体" w:eastAsia="宋体" w:cs="宋体"/>
        </w:rPr>
        <w:t xml:space="preserve"> </w:t>
      </w:r>
      <w:r>
        <w:rPr>
          <w:rFonts w:hint="eastAsia" w:ascii="宋体" w:hAnsi="宋体" w:eastAsia="宋体" w:cs="宋体"/>
          <w:lang w:val="zh-CN"/>
        </w:rPr>
        <w:t>原产地：指产品的生产地，或提供服务的来源地。</w:t>
      </w:r>
    </w:p>
    <w:p w14:paraId="6BADE559">
      <w:pPr>
        <w:bidi w:val="0"/>
        <w:rPr>
          <w:rFonts w:hint="eastAsia" w:ascii="宋体" w:hAnsi="宋体" w:eastAsia="宋体" w:cs="宋体"/>
        </w:rPr>
      </w:pPr>
      <w:r>
        <w:rPr>
          <w:rFonts w:hint="eastAsia" w:ascii="宋体" w:hAnsi="宋体" w:eastAsia="宋体" w:cs="宋体"/>
        </w:rPr>
        <w:t>1.</w:t>
      </w:r>
      <w:r>
        <w:rPr>
          <w:rFonts w:hint="eastAsia" w:ascii="宋体" w:hAnsi="宋体" w:cs="宋体"/>
          <w:lang w:val="en-US" w:eastAsia="zh-CN"/>
        </w:rPr>
        <w:t>8</w:t>
      </w:r>
      <w:r>
        <w:rPr>
          <w:rFonts w:hint="eastAsia" w:ascii="宋体" w:hAnsi="宋体" w:eastAsia="宋体" w:cs="宋体"/>
        </w:rPr>
        <w:t xml:space="preserve"> </w:t>
      </w:r>
      <w:r>
        <w:rPr>
          <w:rFonts w:hint="eastAsia" w:ascii="宋体" w:hAnsi="宋体" w:eastAsia="宋体" w:cs="宋体"/>
          <w:lang w:val="zh-CN"/>
        </w:rPr>
        <w:t>“工作日”指国家法定工作日，“天”指日历天数。</w:t>
      </w:r>
    </w:p>
    <w:p w14:paraId="7B95E8CA">
      <w:pPr>
        <w:bidi w:val="0"/>
        <w:ind w:left="0" w:leftChars="0" w:firstLine="0" w:firstLineChars="0"/>
        <w:rPr>
          <w:rFonts w:hint="eastAsia" w:ascii="宋体" w:hAnsi="宋体" w:eastAsia="宋体" w:cs="宋体"/>
          <w:b/>
          <w:bCs/>
        </w:rPr>
      </w:pPr>
      <w:r>
        <w:rPr>
          <w:rFonts w:hint="eastAsia" w:ascii="宋体" w:hAnsi="宋体" w:eastAsia="宋体" w:cs="宋体"/>
          <w:b/>
          <w:bCs/>
        </w:rPr>
        <w:t>2.</w:t>
      </w:r>
      <w:r>
        <w:rPr>
          <w:rFonts w:hint="eastAsia" w:ascii="宋体" w:hAnsi="宋体" w:eastAsia="宋体" w:cs="宋体"/>
          <w:b/>
          <w:bCs/>
          <w:lang w:val="zh-CN"/>
        </w:rPr>
        <w:t>技术规格要求</w:t>
      </w:r>
    </w:p>
    <w:p w14:paraId="79639D2E">
      <w:pPr>
        <w:bidi w:val="0"/>
        <w:rPr>
          <w:rFonts w:hint="eastAsia" w:ascii="宋体" w:hAnsi="宋体" w:eastAsia="宋体" w:cs="宋体"/>
        </w:rPr>
      </w:pPr>
      <w:r>
        <w:rPr>
          <w:rFonts w:hint="eastAsia" w:ascii="宋体" w:hAnsi="宋体" w:eastAsia="宋体" w:cs="宋体"/>
        </w:rPr>
        <w:t xml:space="preserve">2.1 </w:t>
      </w:r>
      <w:r>
        <w:rPr>
          <w:rFonts w:hint="eastAsia" w:ascii="宋体" w:hAnsi="宋体" w:eastAsia="宋体" w:cs="宋体"/>
          <w:lang w:val="zh-CN"/>
        </w:rPr>
        <w:t>本合同条款下提交</w:t>
      </w:r>
      <w:r>
        <w:rPr>
          <w:rFonts w:hint="eastAsia" w:ascii="宋体" w:hAnsi="宋体" w:cs="宋体"/>
          <w:lang w:val="en-US" w:eastAsia="zh-CN"/>
        </w:rPr>
        <w:t>服务</w:t>
      </w:r>
      <w:r>
        <w:rPr>
          <w:rFonts w:hint="eastAsia" w:ascii="宋体" w:hAnsi="宋体" w:eastAsia="宋体" w:cs="宋体"/>
          <w:lang w:val="zh-CN"/>
        </w:rPr>
        <w:t>要求应等于或优于</w:t>
      </w:r>
      <w:r>
        <w:rPr>
          <w:rFonts w:hint="eastAsia" w:ascii="宋体" w:hAnsi="宋体" w:eastAsia="宋体" w:cs="宋体"/>
          <w:lang w:val="en-US" w:eastAsia="zh-CN"/>
        </w:rPr>
        <w:t>磋商文、响应</w:t>
      </w:r>
      <w:r>
        <w:rPr>
          <w:rFonts w:hint="eastAsia" w:ascii="宋体" w:hAnsi="宋体" w:eastAsia="宋体" w:cs="宋体"/>
          <w:lang w:val="zh-CN"/>
        </w:rPr>
        <w:t>文件技术规格要求。若技术规格要求中无相应规定，则应符合相应的国家有关部门最新颁布的相应正式标准。</w:t>
      </w:r>
    </w:p>
    <w:p w14:paraId="7E6740B2">
      <w:pPr>
        <w:bidi w:val="0"/>
        <w:rPr>
          <w:rFonts w:hint="eastAsia" w:ascii="宋体" w:hAnsi="宋体" w:eastAsia="宋体" w:cs="宋体"/>
        </w:rPr>
      </w:pPr>
      <w:r>
        <w:rPr>
          <w:rFonts w:hint="eastAsia" w:ascii="宋体" w:hAnsi="宋体" w:eastAsia="宋体" w:cs="宋体"/>
        </w:rPr>
        <w:t xml:space="preserve">2.2 </w:t>
      </w:r>
      <w:r>
        <w:rPr>
          <w:rFonts w:hint="eastAsia" w:ascii="宋体" w:hAnsi="宋体" w:eastAsia="宋体" w:cs="宋体"/>
          <w:lang w:val="zh-CN"/>
        </w:rPr>
        <w:t>乙方应向甲方提供货物及服务有关的标准的中文文本。</w:t>
      </w:r>
    </w:p>
    <w:p w14:paraId="7883AAC4">
      <w:pPr>
        <w:bidi w:val="0"/>
        <w:rPr>
          <w:rFonts w:hint="eastAsia" w:ascii="宋体" w:hAnsi="宋体" w:eastAsia="宋体" w:cs="宋体"/>
        </w:rPr>
      </w:pPr>
      <w:r>
        <w:rPr>
          <w:rFonts w:hint="eastAsia" w:ascii="宋体" w:hAnsi="宋体" w:eastAsia="宋体" w:cs="宋体"/>
        </w:rPr>
        <w:t xml:space="preserve">2.3 </w:t>
      </w:r>
      <w:r>
        <w:rPr>
          <w:rFonts w:hint="eastAsia" w:ascii="宋体" w:hAnsi="宋体" w:eastAsia="宋体" w:cs="宋体"/>
          <w:lang w:val="zh-CN"/>
        </w:rPr>
        <w:t>除非技术规范中另有规定，计量单位均采用中华人民共和国法定计量单位。</w:t>
      </w:r>
    </w:p>
    <w:p w14:paraId="36E05EDF">
      <w:pPr>
        <w:bidi w:val="0"/>
        <w:ind w:left="0" w:leftChars="0" w:firstLine="0" w:firstLineChars="0"/>
        <w:rPr>
          <w:rFonts w:hint="eastAsia" w:ascii="宋体" w:hAnsi="宋体" w:eastAsia="宋体" w:cs="宋体"/>
          <w:b/>
          <w:bCs/>
        </w:rPr>
      </w:pPr>
      <w:r>
        <w:rPr>
          <w:rFonts w:hint="eastAsia" w:ascii="宋体" w:hAnsi="宋体" w:eastAsia="宋体" w:cs="宋体"/>
          <w:b/>
          <w:bCs/>
        </w:rPr>
        <w:t>3.</w:t>
      </w:r>
      <w:r>
        <w:rPr>
          <w:rFonts w:hint="eastAsia" w:ascii="宋体" w:hAnsi="宋体" w:eastAsia="宋体" w:cs="宋体"/>
          <w:b/>
          <w:bCs/>
          <w:lang w:val="zh-CN"/>
        </w:rPr>
        <w:t>合同范围</w:t>
      </w:r>
    </w:p>
    <w:p w14:paraId="2DC679BA">
      <w:pPr>
        <w:bidi w:val="0"/>
        <w:rPr>
          <w:rFonts w:hint="eastAsia" w:ascii="宋体" w:hAnsi="宋体" w:eastAsia="宋体" w:cs="宋体"/>
        </w:rPr>
      </w:pPr>
      <w:r>
        <w:rPr>
          <w:rFonts w:hint="eastAsia" w:ascii="宋体" w:hAnsi="宋体" w:eastAsia="宋体" w:cs="宋体"/>
        </w:rPr>
        <w:t>3.</w:t>
      </w:r>
      <w:r>
        <w:rPr>
          <w:rFonts w:hint="eastAsia" w:ascii="宋体" w:hAnsi="宋体" w:cs="宋体"/>
          <w:lang w:val="en-US" w:eastAsia="zh-CN"/>
        </w:rPr>
        <w:t>1</w:t>
      </w:r>
      <w:r>
        <w:rPr>
          <w:rFonts w:hint="eastAsia" w:ascii="宋体" w:hAnsi="宋体" w:eastAsia="宋体" w:cs="宋体"/>
        </w:rPr>
        <w:t xml:space="preserve"> </w:t>
      </w:r>
      <w:r>
        <w:rPr>
          <w:rFonts w:hint="eastAsia" w:ascii="宋体" w:hAnsi="宋体" w:eastAsia="宋体" w:cs="宋体"/>
          <w:lang w:val="zh-CN"/>
        </w:rPr>
        <w:t>乙方应负责培训甲方的技术人员。</w:t>
      </w:r>
    </w:p>
    <w:p w14:paraId="1294F373">
      <w:pPr>
        <w:bidi w:val="0"/>
        <w:rPr>
          <w:rFonts w:hint="eastAsia" w:ascii="宋体" w:hAnsi="宋体" w:eastAsia="宋体" w:cs="宋体"/>
        </w:rPr>
      </w:pPr>
      <w:r>
        <w:rPr>
          <w:rFonts w:hint="eastAsia" w:ascii="宋体" w:hAnsi="宋体" w:eastAsia="宋体" w:cs="宋体"/>
        </w:rPr>
        <w:t>3.</w:t>
      </w:r>
      <w:r>
        <w:rPr>
          <w:rFonts w:hint="eastAsia" w:ascii="宋体" w:hAnsi="宋体" w:cs="宋体"/>
          <w:lang w:val="en-US" w:eastAsia="zh-CN"/>
        </w:rPr>
        <w:t>2</w:t>
      </w:r>
      <w:r>
        <w:rPr>
          <w:rFonts w:hint="eastAsia" w:ascii="宋体" w:hAnsi="宋体" w:eastAsia="宋体" w:cs="宋体"/>
        </w:rPr>
        <w:t xml:space="preserve"> </w:t>
      </w:r>
      <w:r>
        <w:rPr>
          <w:rFonts w:hint="eastAsia" w:ascii="宋体" w:hAnsi="宋体" w:eastAsia="宋体" w:cs="宋体"/>
          <w:lang w:val="zh-CN"/>
        </w:rPr>
        <w:t>按照甲方的要求，乙方应在合同规定的质量保证期和免费保修期内，免费负责修理或更换有缺陷的零部件或整机，对软件产品进行免费升级，同时在合同规定的质量保证期和免费保修期满后，以最优惠的价格，向买方提供合同货物大修和维护所需的配件及服务。</w:t>
      </w:r>
    </w:p>
    <w:p w14:paraId="36E3618F">
      <w:pPr>
        <w:bidi w:val="0"/>
        <w:ind w:left="0" w:leftChars="0" w:firstLine="0" w:firstLineChars="0"/>
        <w:rPr>
          <w:rFonts w:hint="eastAsia" w:ascii="宋体" w:hAnsi="宋体" w:eastAsia="宋体" w:cs="宋体"/>
          <w:b/>
          <w:bCs/>
        </w:rPr>
      </w:pPr>
      <w:r>
        <w:rPr>
          <w:rFonts w:hint="eastAsia" w:ascii="宋体" w:hAnsi="宋体" w:eastAsia="宋体" w:cs="宋体"/>
          <w:b/>
          <w:bCs/>
        </w:rPr>
        <w:t>4.</w:t>
      </w:r>
      <w:r>
        <w:rPr>
          <w:rFonts w:hint="eastAsia" w:ascii="宋体" w:hAnsi="宋体" w:eastAsia="宋体" w:cs="宋体"/>
          <w:b/>
          <w:bCs/>
          <w:lang w:val="zh-CN"/>
        </w:rPr>
        <w:t>合同文件和资料</w:t>
      </w:r>
    </w:p>
    <w:p w14:paraId="2ACDE35E">
      <w:pPr>
        <w:bidi w:val="0"/>
        <w:rPr>
          <w:rFonts w:hint="eastAsia" w:ascii="宋体" w:hAnsi="宋体" w:eastAsia="宋体" w:cs="宋体"/>
        </w:rPr>
      </w:pPr>
      <w:r>
        <w:rPr>
          <w:rFonts w:hint="eastAsia" w:ascii="宋体" w:hAnsi="宋体" w:eastAsia="宋体" w:cs="宋体"/>
        </w:rPr>
        <w:t xml:space="preserve">4.1 </w:t>
      </w:r>
      <w:r>
        <w:rPr>
          <w:rFonts w:hint="eastAsia" w:ascii="宋体" w:hAnsi="宋体" w:eastAsia="宋体" w:cs="宋体"/>
          <w:lang w:val="zh-CN"/>
        </w:rPr>
        <w:t>乙方在提供</w:t>
      </w:r>
      <w:r>
        <w:rPr>
          <w:rFonts w:hint="eastAsia" w:ascii="宋体" w:hAnsi="宋体" w:cs="宋体"/>
          <w:lang w:val="en-US" w:eastAsia="zh-CN"/>
        </w:rPr>
        <w:t>服务</w:t>
      </w:r>
      <w:r>
        <w:rPr>
          <w:rFonts w:hint="eastAsia" w:ascii="宋体" w:hAnsi="宋体" w:eastAsia="宋体" w:cs="宋体"/>
          <w:lang w:val="zh-CN"/>
        </w:rPr>
        <w:t>同时提供中文版相关的技术资料，如目录索引、图纸、操作手册、使用指南、维修指南、服务手册等。</w:t>
      </w:r>
    </w:p>
    <w:p w14:paraId="28638E94">
      <w:pPr>
        <w:bidi w:val="0"/>
        <w:rPr>
          <w:rFonts w:hint="eastAsia" w:ascii="宋体" w:hAnsi="宋体" w:eastAsia="宋体" w:cs="宋体"/>
        </w:rPr>
      </w:pPr>
      <w:r>
        <w:rPr>
          <w:rFonts w:hint="eastAsia" w:ascii="宋体" w:hAnsi="宋体" w:eastAsia="宋体" w:cs="宋体"/>
        </w:rPr>
        <w:t xml:space="preserve">4.2 </w:t>
      </w:r>
      <w:r>
        <w:rPr>
          <w:rFonts w:hint="eastAsia" w:ascii="宋体" w:hAnsi="宋体" w:eastAsia="宋体" w:cs="宋体"/>
          <w:lang w:val="zh-CN"/>
        </w:rPr>
        <w:t>未经甲方事先的书面同意，乙方不得将由甲方或代表甲方提供的有关合同或任何合同条文、规格、计划或资料提供给与履行本合同无关的任何其他人，如向与履行本合同有关的人员提供，则应严格保密并限于履行本合同所必须的范围。</w:t>
      </w:r>
    </w:p>
    <w:p w14:paraId="46CF6122">
      <w:pPr>
        <w:bidi w:val="0"/>
        <w:ind w:left="0" w:leftChars="0" w:firstLine="0" w:firstLineChars="0"/>
        <w:rPr>
          <w:rFonts w:hint="eastAsia" w:ascii="宋体" w:hAnsi="宋体" w:eastAsia="宋体" w:cs="宋体"/>
          <w:b/>
          <w:bCs/>
        </w:rPr>
      </w:pPr>
      <w:r>
        <w:rPr>
          <w:rFonts w:hint="eastAsia" w:ascii="宋体" w:hAnsi="宋体" w:eastAsia="宋体" w:cs="宋体"/>
          <w:b/>
          <w:bCs/>
        </w:rPr>
        <w:t>5.</w:t>
      </w:r>
      <w:r>
        <w:rPr>
          <w:rFonts w:hint="eastAsia" w:ascii="宋体" w:hAnsi="宋体" w:eastAsia="宋体" w:cs="宋体"/>
          <w:b/>
          <w:bCs/>
          <w:lang w:val="zh-CN"/>
        </w:rPr>
        <w:t>知识产权</w:t>
      </w:r>
    </w:p>
    <w:p w14:paraId="3F509A4A">
      <w:pPr>
        <w:bidi w:val="0"/>
        <w:rPr>
          <w:rFonts w:hint="eastAsia" w:ascii="宋体" w:hAnsi="宋体" w:eastAsia="宋体" w:cs="宋体"/>
        </w:rPr>
      </w:pPr>
      <w:r>
        <w:rPr>
          <w:rFonts w:hint="eastAsia" w:ascii="宋体" w:hAnsi="宋体" w:eastAsia="宋体" w:cs="宋体"/>
        </w:rPr>
        <w:t xml:space="preserve">5.1 </w:t>
      </w:r>
      <w:r>
        <w:rPr>
          <w:rFonts w:hint="eastAsia" w:ascii="宋体" w:hAnsi="宋体" w:eastAsia="宋体" w:cs="宋体"/>
          <w:lang w:val="zh-CN"/>
        </w:rPr>
        <w:t>乙方应保证甲方在使用该货物或其任何一部分时不受第三方提出的侵犯专利权、著作权、商标权和工业设计权等的起诉。</w:t>
      </w:r>
    </w:p>
    <w:p w14:paraId="3834CBD7">
      <w:pPr>
        <w:bidi w:val="0"/>
        <w:rPr>
          <w:rFonts w:hint="eastAsia" w:ascii="宋体" w:hAnsi="宋体" w:eastAsia="宋体" w:cs="宋体"/>
        </w:rPr>
      </w:pPr>
      <w:r>
        <w:rPr>
          <w:rFonts w:hint="eastAsia" w:ascii="宋体" w:hAnsi="宋体" w:eastAsia="宋体" w:cs="宋体"/>
        </w:rPr>
        <w:t xml:space="preserve">5.2 </w:t>
      </w:r>
      <w:r>
        <w:rPr>
          <w:rFonts w:hint="eastAsia" w:ascii="宋体" w:hAnsi="宋体" w:eastAsia="宋体" w:cs="宋体"/>
          <w:lang w:val="zh-CN"/>
        </w:rPr>
        <w:t>任何第三方提出侵权指控，乙方须与第三方交涉并承担由此产生的一切责任、费用和经济赔偿。</w:t>
      </w:r>
    </w:p>
    <w:p w14:paraId="5FE79C93">
      <w:pPr>
        <w:bidi w:val="0"/>
        <w:rPr>
          <w:rFonts w:hint="eastAsia" w:ascii="宋体" w:hAnsi="宋体" w:eastAsia="宋体" w:cs="宋体"/>
        </w:rPr>
      </w:pPr>
      <w:r>
        <w:rPr>
          <w:rFonts w:hint="eastAsia" w:ascii="宋体" w:hAnsi="宋体" w:eastAsia="宋体" w:cs="宋体"/>
        </w:rPr>
        <w:t xml:space="preserve">5.3 </w:t>
      </w:r>
      <w:r>
        <w:rPr>
          <w:rFonts w:hint="eastAsia" w:ascii="宋体" w:hAnsi="宋体" w:eastAsia="宋体" w:cs="宋体"/>
          <w:lang w:val="zh-CN"/>
        </w:rPr>
        <w:t>双方应共同遵守国家有关版权、专利、商标等知识产权方面的法律规定，相互尊重对方的知识产权，对本合同内容、对方的技术秘密和商业秘密负有保密责任。如有违反，违约方负相关法律责任。</w:t>
      </w:r>
    </w:p>
    <w:p w14:paraId="5FECBD8F">
      <w:pPr>
        <w:bidi w:val="0"/>
        <w:rPr>
          <w:rFonts w:hint="eastAsia" w:ascii="宋体" w:hAnsi="宋体" w:eastAsia="宋体" w:cs="宋体"/>
        </w:rPr>
      </w:pPr>
      <w:r>
        <w:rPr>
          <w:rFonts w:hint="eastAsia" w:ascii="宋体" w:hAnsi="宋体" w:eastAsia="宋体" w:cs="宋体"/>
        </w:rPr>
        <w:t xml:space="preserve">5.4 </w:t>
      </w:r>
      <w:r>
        <w:rPr>
          <w:rFonts w:hint="eastAsia" w:ascii="宋体" w:hAnsi="宋体" w:eastAsia="宋体" w:cs="宋体"/>
          <w:lang w:val="zh-CN"/>
        </w:rPr>
        <w:t>在本合同生效时已经存在并为各方合法拥有或使用的所有技术、资料和信息的知识产权，仍应属于其各自的原权利人所有或享有，另有约定的除外。</w:t>
      </w:r>
    </w:p>
    <w:p w14:paraId="7F3CA5E0">
      <w:pPr>
        <w:bidi w:val="0"/>
        <w:rPr>
          <w:rFonts w:hint="eastAsia" w:ascii="宋体" w:hAnsi="宋体" w:eastAsia="宋体" w:cs="宋体"/>
        </w:rPr>
      </w:pPr>
      <w:r>
        <w:rPr>
          <w:rFonts w:hint="eastAsia" w:ascii="宋体" w:hAnsi="宋体" w:eastAsia="宋体" w:cs="宋体"/>
        </w:rPr>
        <w:t xml:space="preserve">5.5 </w:t>
      </w:r>
      <w:r>
        <w:rPr>
          <w:rFonts w:hint="eastAsia" w:ascii="宋体" w:hAnsi="宋体" w:eastAsia="宋体" w:cs="宋体"/>
          <w:lang w:val="zh-CN"/>
        </w:rPr>
        <w:t>乙方保证拥有由其提供给甲方的所有软件的合法使用权，并且已获得进行许可的正当授权及其有权将软件许可及其相关材料授权或转让给甲方。甲方可独立对本合同条款下软件产品进行后续开发，不受版权限制。乙方承诺并保证甲方除本协议的付款义务外无需支付任何其它的许可使用费，以非独家的、永久的、全球的、不可撤销的方式使用本合同条款下软件产品。</w:t>
      </w:r>
    </w:p>
    <w:p w14:paraId="7EE81F9D">
      <w:pPr>
        <w:bidi w:val="0"/>
        <w:ind w:left="0" w:leftChars="0" w:firstLine="0" w:firstLineChars="0"/>
        <w:rPr>
          <w:rFonts w:hint="eastAsia" w:ascii="宋体" w:hAnsi="宋体" w:eastAsia="宋体" w:cs="宋体"/>
          <w:b/>
          <w:bCs/>
        </w:rPr>
      </w:pPr>
      <w:r>
        <w:rPr>
          <w:rFonts w:hint="eastAsia" w:ascii="宋体" w:hAnsi="宋体" w:eastAsia="宋体" w:cs="宋体"/>
          <w:b/>
          <w:bCs/>
        </w:rPr>
        <w:t>6.</w:t>
      </w:r>
      <w:r>
        <w:rPr>
          <w:rFonts w:hint="eastAsia" w:ascii="宋体" w:hAnsi="宋体" w:eastAsia="宋体" w:cs="宋体"/>
          <w:b/>
          <w:bCs/>
          <w:lang w:val="zh-CN"/>
        </w:rPr>
        <w:t>保密</w:t>
      </w:r>
    </w:p>
    <w:p w14:paraId="09C3B7EE">
      <w:pPr>
        <w:bidi w:val="0"/>
        <w:rPr>
          <w:rFonts w:hint="eastAsia" w:ascii="宋体" w:hAnsi="宋体" w:eastAsia="宋体" w:cs="宋体"/>
        </w:rPr>
      </w:pPr>
      <w:r>
        <w:rPr>
          <w:rFonts w:hint="eastAsia" w:ascii="宋体" w:hAnsi="宋体" w:eastAsia="宋体" w:cs="宋体"/>
        </w:rPr>
        <w:t xml:space="preserve">6.1 </w:t>
      </w:r>
      <w:r>
        <w:rPr>
          <w:rFonts w:hint="eastAsia" w:ascii="宋体" w:hAnsi="宋体" w:eastAsia="宋体" w:cs="宋体"/>
          <w:lang w:val="zh-CN"/>
        </w:rPr>
        <w:t>在本合同履行期间及履行完毕后的任何时候，任何一方均应对因履行本合同从对方获取或知悉的保密信息承担保密责任，未经对方书面同意不得向第三方透露，否则应赔偿由此给对方造成的全部损失。</w:t>
      </w:r>
    </w:p>
    <w:p w14:paraId="3848BF52">
      <w:pPr>
        <w:bidi w:val="0"/>
        <w:rPr>
          <w:rFonts w:hint="eastAsia" w:ascii="宋体" w:hAnsi="宋体" w:eastAsia="宋体" w:cs="宋体"/>
        </w:rPr>
      </w:pPr>
      <w:r>
        <w:rPr>
          <w:rFonts w:hint="eastAsia" w:ascii="宋体" w:hAnsi="宋体" w:eastAsia="宋体" w:cs="宋体"/>
        </w:rPr>
        <w:t xml:space="preserve">6.2 </w:t>
      </w:r>
      <w:r>
        <w:rPr>
          <w:rFonts w:hint="eastAsia" w:ascii="宋体" w:hAnsi="宋体" w:eastAsia="宋体" w:cs="宋体"/>
          <w:lang w:val="zh-CN"/>
        </w:rPr>
        <w:t>保密信息指任何一方因履行本合同所知悉的任何以口头、书面、图表或电子形式存在的对方信息，具体包括：</w:t>
      </w:r>
    </w:p>
    <w:p w14:paraId="42549EE2">
      <w:pPr>
        <w:bidi w:val="0"/>
        <w:rPr>
          <w:rFonts w:hint="eastAsia" w:ascii="宋体" w:hAnsi="宋体" w:eastAsia="宋体" w:cs="宋体"/>
        </w:rPr>
      </w:pPr>
      <w:r>
        <w:rPr>
          <w:rFonts w:hint="eastAsia" w:ascii="宋体" w:hAnsi="宋体" w:eastAsia="宋体" w:cs="宋体"/>
        </w:rPr>
        <w:t xml:space="preserve">6.2.1 </w:t>
      </w:r>
      <w:r>
        <w:rPr>
          <w:rFonts w:hint="eastAsia" w:ascii="宋体" w:hAnsi="宋体" w:eastAsia="宋体" w:cs="宋体"/>
          <w:lang w:val="zh-CN"/>
        </w:rPr>
        <w:t>任何涉及对方过去、现在或将来的商业计划、规章制度、操作规程、处理手段、财务信息；</w:t>
      </w:r>
    </w:p>
    <w:p w14:paraId="6C46D2D5">
      <w:pPr>
        <w:bidi w:val="0"/>
        <w:rPr>
          <w:rFonts w:hint="eastAsia" w:ascii="宋体" w:hAnsi="宋体" w:eastAsia="宋体" w:cs="宋体"/>
        </w:rPr>
      </w:pPr>
      <w:r>
        <w:rPr>
          <w:rFonts w:hint="eastAsia" w:ascii="宋体" w:hAnsi="宋体" w:eastAsia="宋体" w:cs="宋体"/>
        </w:rPr>
        <w:t xml:space="preserve">6.2.2 </w:t>
      </w:r>
      <w:r>
        <w:rPr>
          <w:rFonts w:hint="eastAsia" w:ascii="宋体" w:hAnsi="宋体" w:eastAsia="宋体" w:cs="宋体"/>
          <w:lang w:val="zh-CN"/>
        </w:rPr>
        <w:t>任何对方的技术措施、技术方案、软件应用及开发，硬件设备的品种、质量、数量、品牌等；</w:t>
      </w:r>
    </w:p>
    <w:p w14:paraId="7D79668C">
      <w:pPr>
        <w:bidi w:val="0"/>
        <w:rPr>
          <w:rFonts w:hint="eastAsia" w:ascii="宋体" w:hAnsi="宋体" w:eastAsia="宋体" w:cs="宋体"/>
        </w:rPr>
      </w:pPr>
      <w:r>
        <w:rPr>
          <w:rFonts w:hint="eastAsia" w:ascii="宋体" w:hAnsi="宋体" w:eastAsia="宋体" w:cs="宋体"/>
        </w:rPr>
        <w:t xml:space="preserve">6.2.3 </w:t>
      </w:r>
      <w:r>
        <w:rPr>
          <w:rFonts w:hint="eastAsia" w:ascii="宋体" w:hAnsi="宋体" w:eastAsia="宋体" w:cs="宋体"/>
          <w:lang w:val="zh-CN"/>
        </w:rPr>
        <w:t>任何对方的技术秘密或专有知识、文件、报告、数据、客户软件、流程图、数据库、发明、知识、贸易秘密。</w:t>
      </w:r>
    </w:p>
    <w:p w14:paraId="3FBD60FE">
      <w:pPr>
        <w:bidi w:val="0"/>
        <w:rPr>
          <w:rFonts w:hint="eastAsia" w:ascii="宋体" w:hAnsi="宋体" w:eastAsia="宋体" w:cs="宋体"/>
        </w:rPr>
      </w:pPr>
      <w:r>
        <w:rPr>
          <w:rFonts w:hint="eastAsia" w:ascii="宋体" w:hAnsi="宋体" w:eastAsia="宋体" w:cs="宋体"/>
        </w:rPr>
        <w:t xml:space="preserve">6.3 </w:t>
      </w:r>
      <w:r>
        <w:rPr>
          <w:rFonts w:hint="eastAsia" w:ascii="宋体" w:hAnsi="宋体" w:eastAsia="宋体" w:cs="宋体"/>
          <w:lang w:val="zh-CN"/>
        </w:rPr>
        <w:t>乙方应根据甲方的要求签署相应的保密协议，保密协议与本条款存在不一致的，以保密协议为准。</w:t>
      </w:r>
    </w:p>
    <w:p w14:paraId="3F8CFE22">
      <w:pPr>
        <w:bidi w:val="0"/>
        <w:ind w:left="0" w:leftChars="0" w:firstLine="0" w:firstLineChars="0"/>
        <w:rPr>
          <w:rFonts w:hint="eastAsia" w:ascii="宋体" w:hAnsi="宋体" w:eastAsia="宋体" w:cs="宋体"/>
          <w:b/>
          <w:bCs/>
        </w:rPr>
      </w:pPr>
      <w:r>
        <w:rPr>
          <w:rFonts w:hint="eastAsia" w:ascii="宋体" w:hAnsi="宋体" w:cs="宋体"/>
          <w:b/>
          <w:bCs/>
          <w:lang w:val="en-US" w:eastAsia="zh-CN"/>
        </w:rPr>
        <w:t>7</w:t>
      </w:r>
      <w:r>
        <w:rPr>
          <w:rFonts w:hint="eastAsia" w:ascii="宋体" w:hAnsi="宋体" w:eastAsia="宋体" w:cs="宋体"/>
          <w:b/>
          <w:bCs/>
        </w:rPr>
        <w:t>.</w:t>
      </w:r>
      <w:r>
        <w:rPr>
          <w:rFonts w:hint="eastAsia" w:ascii="宋体" w:hAnsi="宋体" w:eastAsia="宋体" w:cs="宋体"/>
          <w:b/>
          <w:bCs/>
          <w:lang w:val="zh-CN"/>
        </w:rPr>
        <w:t>价格</w:t>
      </w:r>
    </w:p>
    <w:p w14:paraId="1A0F4011">
      <w:pPr>
        <w:bidi w:val="0"/>
        <w:rPr>
          <w:rFonts w:hint="eastAsia" w:ascii="宋体" w:hAnsi="宋体" w:eastAsia="宋体" w:cs="宋体"/>
        </w:rPr>
      </w:pPr>
      <w:r>
        <w:rPr>
          <w:rFonts w:hint="eastAsia" w:ascii="宋体" w:hAnsi="宋体" w:cs="宋体"/>
          <w:lang w:val="en-US" w:eastAsia="zh-CN"/>
        </w:rPr>
        <w:t>7</w:t>
      </w:r>
      <w:r>
        <w:rPr>
          <w:rFonts w:hint="eastAsia" w:ascii="宋体" w:hAnsi="宋体" w:eastAsia="宋体" w:cs="宋体"/>
        </w:rPr>
        <w:t>.</w:t>
      </w:r>
      <w:r>
        <w:rPr>
          <w:rFonts w:hint="eastAsia" w:ascii="宋体" w:hAnsi="宋体" w:cs="宋体"/>
          <w:lang w:val="en-US" w:eastAsia="zh-CN"/>
        </w:rPr>
        <w:t>1</w:t>
      </w:r>
      <w:r>
        <w:rPr>
          <w:rFonts w:hint="eastAsia" w:ascii="宋体" w:hAnsi="宋体" w:eastAsia="宋体" w:cs="宋体"/>
        </w:rPr>
        <w:t xml:space="preserve"> </w:t>
      </w:r>
      <w:r>
        <w:rPr>
          <w:rFonts w:hint="eastAsia" w:ascii="宋体" w:hAnsi="宋体" w:eastAsia="宋体" w:cs="宋体"/>
          <w:lang w:val="zh-CN"/>
        </w:rPr>
        <w:t>本合同价格为固定价格，包括了乙方履行合同全过程产生的所有成本和费用以及乙方应承担的一切税费。</w:t>
      </w:r>
    </w:p>
    <w:p w14:paraId="4A4A7E8E">
      <w:pPr>
        <w:bidi w:val="0"/>
        <w:rPr>
          <w:rFonts w:hint="eastAsia" w:ascii="宋体" w:hAnsi="宋体" w:eastAsia="宋体" w:cs="宋体"/>
        </w:rPr>
      </w:pPr>
      <w:r>
        <w:rPr>
          <w:rFonts w:hint="eastAsia" w:ascii="宋体" w:hAnsi="宋体" w:cs="宋体"/>
          <w:lang w:val="en-US" w:eastAsia="zh-CN"/>
        </w:rPr>
        <w:t>7</w:t>
      </w:r>
      <w:r>
        <w:rPr>
          <w:rFonts w:hint="eastAsia" w:ascii="宋体" w:hAnsi="宋体" w:eastAsia="宋体" w:cs="宋体"/>
        </w:rPr>
        <w:t>.</w:t>
      </w:r>
      <w:r>
        <w:rPr>
          <w:rFonts w:hint="eastAsia" w:ascii="宋体" w:hAnsi="宋体" w:cs="宋体"/>
          <w:lang w:val="en-US" w:eastAsia="zh-CN"/>
        </w:rPr>
        <w:t>2</w:t>
      </w:r>
      <w:r>
        <w:rPr>
          <w:rFonts w:hint="eastAsia" w:ascii="宋体" w:hAnsi="宋体" w:eastAsia="宋体" w:cs="宋体"/>
        </w:rPr>
        <w:t xml:space="preserve"> </w:t>
      </w:r>
      <w:r>
        <w:rPr>
          <w:rFonts w:hint="eastAsia" w:ascii="宋体" w:hAnsi="宋体" w:eastAsia="宋体" w:cs="宋体"/>
          <w:lang w:val="zh-CN"/>
        </w:rPr>
        <w:t>检验费用</w:t>
      </w:r>
    </w:p>
    <w:p w14:paraId="229DEA5C">
      <w:pPr>
        <w:bidi w:val="0"/>
        <w:rPr>
          <w:rFonts w:hint="eastAsia" w:ascii="宋体" w:hAnsi="宋体" w:eastAsia="宋体" w:cs="宋体"/>
        </w:rPr>
      </w:pPr>
      <w:r>
        <w:rPr>
          <w:rFonts w:hint="eastAsia" w:ascii="宋体" w:hAnsi="宋体" w:cs="宋体"/>
          <w:lang w:val="en-US" w:eastAsia="zh-CN"/>
        </w:rPr>
        <w:t>7</w:t>
      </w:r>
      <w:r>
        <w:rPr>
          <w:rFonts w:hint="eastAsia" w:ascii="宋体" w:hAnsi="宋体" w:eastAsia="宋体" w:cs="宋体"/>
        </w:rPr>
        <w:t>.</w:t>
      </w:r>
      <w:r>
        <w:rPr>
          <w:rFonts w:hint="eastAsia" w:ascii="宋体" w:hAnsi="宋体" w:cs="宋体"/>
          <w:lang w:val="en-US" w:eastAsia="zh-CN"/>
        </w:rPr>
        <w:t>2</w:t>
      </w:r>
      <w:r>
        <w:rPr>
          <w:rFonts w:hint="eastAsia" w:ascii="宋体" w:hAnsi="宋体" w:eastAsia="宋体" w:cs="宋体"/>
        </w:rPr>
        <w:t xml:space="preserve">.1 </w:t>
      </w:r>
      <w:r>
        <w:rPr>
          <w:rFonts w:hint="eastAsia" w:ascii="宋体" w:hAnsi="宋体" w:eastAsia="宋体" w:cs="宋体"/>
          <w:lang w:val="zh-CN"/>
        </w:rPr>
        <w:t>乙方必须负担本条款下属于乙方负责的检验、测试、调试、试运行和验收的所有费用，并负责乙方派往买方组织的检验、测试和验收人员的所有费用。</w:t>
      </w:r>
    </w:p>
    <w:p w14:paraId="2A924D6F">
      <w:pPr>
        <w:bidi w:val="0"/>
        <w:rPr>
          <w:rFonts w:hint="eastAsia" w:ascii="宋体" w:hAnsi="宋体" w:eastAsia="宋体" w:cs="宋体"/>
        </w:rPr>
      </w:pPr>
      <w:r>
        <w:rPr>
          <w:rFonts w:hint="eastAsia" w:ascii="宋体" w:hAnsi="宋体" w:cs="宋体"/>
          <w:lang w:val="en-US" w:eastAsia="zh-CN"/>
        </w:rPr>
        <w:t>7</w:t>
      </w:r>
      <w:r>
        <w:rPr>
          <w:rFonts w:hint="eastAsia" w:ascii="宋体" w:hAnsi="宋体" w:eastAsia="宋体" w:cs="宋体"/>
        </w:rPr>
        <w:t>.</w:t>
      </w:r>
      <w:r>
        <w:rPr>
          <w:rFonts w:hint="eastAsia" w:ascii="宋体" w:hAnsi="宋体" w:cs="宋体"/>
          <w:lang w:val="en-US" w:eastAsia="zh-CN"/>
        </w:rPr>
        <w:t>2</w:t>
      </w:r>
      <w:r>
        <w:rPr>
          <w:rFonts w:hint="eastAsia" w:ascii="宋体" w:hAnsi="宋体" w:eastAsia="宋体" w:cs="宋体"/>
        </w:rPr>
        <w:t xml:space="preserve">.2 </w:t>
      </w:r>
      <w:r>
        <w:rPr>
          <w:rFonts w:hint="eastAsia" w:ascii="宋体" w:hAnsi="宋体" w:eastAsia="宋体" w:cs="宋体"/>
          <w:lang w:val="zh-CN"/>
        </w:rPr>
        <w:t>甲方按合同计划参加在乙方工厂所在地检验、测试和验收的费用全部由乙方负责并已包含在合同总价中。</w:t>
      </w:r>
    </w:p>
    <w:p w14:paraId="25C4FB9B">
      <w:pPr>
        <w:bidi w:val="0"/>
        <w:rPr>
          <w:rFonts w:hint="eastAsia" w:ascii="宋体" w:hAnsi="宋体" w:eastAsia="宋体" w:cs="宋体"/>
        </w:rPr>
      </w:pPr>
      <w:r>
        <w:rPr>
          <w:rFonts w:hint="eastAsia" w:ascii="宋体" w:hAnsi="宋体" w:cs="宋体"/>
          <w:lang w:val="en-US" w:eastAsia="zh-CN"/>
        </w:rPr>
        <w:t>7</w:t>
      </w:r>
      <w:r>
        <w:rPr>
          <w:rFonts w:hint="eastAsia" w:ascii="宋体" w:hAnsi="宋体" w:eastAsia="宋体" w:cs="宋体"/>
        </w:rPr>
        <w:t>.</w:t>
      </w:r>
      <w:r>
        <w:rPr>
          <w:rFonts w:hint="eastAsia" w:ascii="宋体" w:hAnsi="宋体" w:cs="宋体"/>
          <w:lang w:val="en-US" w:eastAsia="zh-CN"/>
        </w:rPr>
        <w:t>2</w:t>
      </w:r>
      <w:r>
        <w:rPr>
          <w:rFonts w:hint="eastAsia" w:ascii="宋体" w:hAnsi="宋体" w:eastAsia="宋体" w:cs="宋体"/>
        </w:rPr>
        <w:t xml:space="preserve">.3 </w:t>
      </w:r>
      <w:r>
        <w:rPr>
          <w:rFonts w:hint="eastAsia" w:ascii="宋体" w:hAnsi="宋体" w:eastAsia="宋体" w:cs="宋体"/>
          <w:lang w:val="zh-CN"/>
        </w:rPr>
        <w:t>甲方检验人员已到卖方所在地，测试无法依照合同进行，而引起甲方人员延长逗留时间，所有由此产生的包括甲方人员在内的直接费用及成本由乙方承担。</w:t>
      </w:r>
    </w:p>
    <w:p w14:paraId="3105023C">
      <w:pPr>
        <w:bidi w:val="0"/>
        <w:ind w:left="0" w:leftChars="0" w:firstLine="0" w:firstLineChars="0"/>
        <w:rPr>
          <w:rFonts w:hint="eastAsia" w:ascii="宋体" w:hAnsi="宋体" w:eastAsia="宋体" w:cs="宋体"/>
          <w:b/>
          <w:bCs/>
          <w:lang w:val="zh-CN"/>
        </w:rPr>
      </w:pPr>
      <w:r>
        <w:rPr>
          <w:rFonts w:hint="eastAsia" w:ascii="宋体" w:hAnsi="宋体" w:cs="宋体"/>
          <w:b/>
          <w:bCs/>
          <w:lang w:val="en-US" w:eastAsia="zh-CN"/>
        </w:rPr>
        <w:t>8</w:t>
      </w:r>
      <w:r>
        <w:rPr>
          <w:rFonts w:hint="eastAsia" w:ascii="宋体" w:hAnsi="宋体" w:eastAsia="宋体" w:cs="宋体"/>
          <w:b/>
          <w:bCs/>
          <w:lang w:val="zh-CN"/>
        </w:rPr>
        <w:t>.付款方法和条件</w:t>
      </w:r>
    </w:p>
    <w:p w14:paraId="6A07343B">
      <w:pPr>
        <w:bidi w:val="0"/>
        <w:rPr>
          <w:rFonts w:hint="eastAsia" w:ascii="宋体" w:hAnsi="宋体" w:eastAsia="宋体" w:cs="宋体"/>
        </w:rPr>
      </w:pPr>
      <w:r>
        <w:rPr>
          <w:rFonts w:hint="eastAsia" w:ascii="宋体" w:hAnsi="宋体" w:eastAsia="宋体" w:cs="宋体"/>
          <w:lang w:val="zh-CN"/>
        </w:rPr>
        <w:t>本合同条款下的付款方法和条件在“青海省政府采购项目合同书”中具体规定。</w:t>
      </w:r>
    </w:p>
    <w:p w14:paraId="051470A7">
      <w:pPr>
        <w:bidi w:val="0"/>
        <w:ind w:left="0" w:leftChars="0" w:firstLine="0" w:firstLineChars="0"/>
        <w:rPr>
          <w:rFonts w:hint="eastAsia" w:ascii="宋体" w:hAnsi="宋体" w:eastAsia="宋体" w:cs="宋体"/>
          <w:b/>
          <w:bCs/>
          <w:lang w:val="zh-CN"/>
        </w:rPr>
      </w:pPr>
      <w:r>
        <w:rPr>
          <w:rFonts w:hint="eastAsia" w:ascii="宋体" w:hAnsi="宋体" w:cs="宋体"/>
          <w:b/>
          <w:bCs/>
          <w:lang w:val="en-US" w:eastAsia="zh-CN"/>
        </w:rPr>
        <w:t>9</w:t>
      </w:r>
      <w:r>
        <w:rPr>
          <w:rFonts w:hint="eastAsia" w:ascii="宋体" w:hAnsi="宋体" w:eastAsia="宋体" w:cs="宋体"/>
          <w:b/>
          <w:bCs/>
          <w:lang w:val="zh-CN"/>
        </w:rPr>
        <w:t>.履约保证金</w:t>
      </w:r>
    </w:p>
    <w:p w14:paraId="0571830D">
      <w:pPr>
        <w:bidi w:val="0"/>
        <w:rPr>
          <w:rFonts w:hint="eastAsia" w:ascii="宋体" w:hAnsi="宋体" w:eastAsia="宋体" w:cs="宋体"/>
        </w:rPr>
      </w:pPr>
      <w:r>
        <w:rPr>
          <w:rFonts w:hint="eastAsia" w:ascii="宋体" w:hAnsi="宋体" w:cs="宋体"/>
          <w:lang w:val="en-US" w:eastAsia="zh-CN"/>
        </w:rPr>
        <w:t>9</w:t>
      </w:r>
      <w:r>
        <w:rPr>
          <w:rFonts w:hint="eastAsia" w:ascii="宋体" w:hAnsi="宋体" w:eastAsia="宋体" w:cs="宋体"/>
        </w:rPr>
        <w:t>.1</w:t>
      </w:r>
      <w:r>
        <w:rPr>
          <w:rFonts w:hint="eastAsia" w:ascii="宋体" w:hAnsi="宋体" w:eastAsia="宋体" w:cs="宋体"/>
          <w:lang w:val="zh-CN"/>
        </w:rPr>
        <w:t>乙方应在合同签订前，按约定提交履约保证金</w:t>
      </w:r>
      <w:r>
        <w:rPr>
          <w:rFonts w:hint="eastAsia" w:ascii="宋体" w:hAnsi="宋体" w:eastAsia="宋体" w:cs="宋体"/>
        </w:rPr>
        <w:t>。</w:t>
      </w:r>
    </w:p>
    <w:p w14:paraId="7ABA60A7">
      <w:pPr>
        <w:bidi w:val="0"/>
        <w:rPr>
          <w:rFonts w:hint="eastAsia" w:ascii="宋体" w:hAnsi="宋体" w:eastAsia="宋体" w:cs="宋体"/>
        </w:rPr>
      </w:pPr>
      <w:r>
        <w:rPr>
          <w:rFonts w:hint="eastAsia" w:ascii="宋体" w:hAnsi="宋体" w:cs="宋体"/>
          <w:lang w:val="en-US" w:eastAsia="zh-CN"/>
        </w:rPr>
        <w:t>9</w:t>
      </w:r>
      <w:r>
        <w:rPr>
          <w:rFonts w:hint="eastAsia" w:ascii="宋体" w:hAnsi="宋体" w:eastAsia="宋体" w:cs="宋体"/>
        </w:rPr>
        <w:t xml:space="preserve">.2 </w:t>
      </w:r>
      <w:r>
        <w:rPr>
          <w:rFonts w:hint="eastAsia" w:ascii="宋体" w:hAnsi="宋体" w:eastAsia="宋体" w:cs="宋体"/>
          <w:lang w:val="zh-CN"/>
        </w:rPr>
        <w:t>履约保证金用于补偿甲方因乙方不能履行其合同义务而蒙受的损失。</w:t>
      </w:r>
    </w:p>
    <w:p w14:paraId="2F32580F">
      <w:pPr>
        <w:bidi w:val="0"/>
        <w:rPr>
          <w:rFonts w:hint="eastAsia" w:ascii="宋体" w:hAnsi="宋体" w:eastAsia="宋体" w:cs="宋体"/>
        </w:rPr>
      </w:pPr>
      <w:r>
        <w:rPr>
          <w:rFonts w:hint="eastAsia" w:ascii="宋体" w:hAnsi="宋体" w:cs="宋体"/>
          <w:lang w:val="en-US" w:eastAsia="zh-CN"/>
        </w:rPr>
        <w:t>9</w:t>
      </w:r>
      <w:r>
        <w:rPr>
          <w:rFonts w:hint="eastAsia" w:ascii="宋体" w:hAnsi="宋体" w:eastAsia="宋体" w:cs="宋体"/>
        </w:rPr>
        <w:t xml:space="preserve">.3 </w:t>
      </w:r>
      <w:r>
        <w:rPr>
          <w:rFonts w:hint="eastAsia" w:ascii="宋体" w:hAnsi="宋体" w:eastAsia="宋体" w:cs="宋体"/>
          <w:lang w:val="zh-CN"/>
        </w:rPr>
        <w:t>履约保证金应使用本合同货币，按下述方式之一提交（招标文件中另有约定的除外）：</w:t>
      </w:r>
    </w:p>
    <w:p w14:paraId="06A2487B">
      <w:pPr>
        <w:bidi w:val="0"/>
        <w:rPr>
          <w:rFonts w:hint="eastAsia" w:ascii="宋体" w:hAnsi="宋体" w:eastAsia="宋体" w:cs="宋体"/>
        </w:rPr>
      </w:pPr>
      <w:r>
        <w:rPr>
          <w:rFonts w:hint="eastAsia" w:ascii="宋体" w:hAnsi="宋体" w:cs="宋体"/>
          <w:lang w:val="en-US" w:eastAsia="zh-CN"/>
        </w:rPr>
        <w:t>9</w:t>
      </w:r>
      <w:r>
        <w:rPr>
          <w:rFonts w:hint="eastAsia" w:ascii="宋体" w:hAnsi="宋体" w:eastAsia="宋体" w:cs="宋体"/>
        </w:rPr>
        <w:t xml:space="preserve">.3.1 </w:t>
      </w:r>
      <w:r>
        <w:rPr>
          <w:rFonts w:hint="eastAsia" w:ascii="宋体" w:hAnsi="宋体" w:eastAsia="宋体" w:cs="宋体"/>
          <w:lang w:val="zh-CN"/>
        </w:rPr>
        <w:t>甲方可接受的在中华人民共和国注册和营业的银行出具的履约保函；</w:t>
      </w:r>
    </w:p>
    <w:p w14:paraId="2747C796">
      <w:pPr>
        <w:bidi w:val="0"/>
        <w:rPr>
          <w:rFonts w:hint="eastAsia" w:ascii="宋体" w:hAnsi="宋体" w:eastAsia="宋体" w:cs="宋体"/>
        </w:rPr>
      </w:pPr>
      <w:r>
        <w:rPr>
          <w:rFonts w:hint="eastAsia" w:ascii="宋体" w:hAnsi="宋体" w:cs="宋体"/>
          <w:lang w:val="en-US" w:eastAsia="zh-CN"/>
        </w:rPr>
        <w:t>9</w:t>
      </w:r>
      <w:r>
        <w:rPr>
          <w:rFonts w:hint="eastAsia" w:ascii="宋体" w:hAnsi="宋体" w:eastAsia="宋体" w:cs="宋体"/>
        </w:rPr>
        <w:t xml:space="preserve">.3.2 </w:t>
      </w:r>
      <w:r>
        <w:rPr>
          <w:rFonts w:hint="eastAsia" w:ascii="宋体" w:hAnsi="宋体" w:eastAsia="宋体" w:cs="宋体"/>
          <w:lang w:val="zh-CN"/>
        </w:rPr>
        <w:t>支票或汇票。</w:t>
      </w:r>
    </w:p>
    <w:p w14:paraId="637B4DD8">
      <w:pPr>
        <w:bidi w:val="0"/>
        <w:rPr>
          <w:rFonts w:hint="eastAsia" w:ascii="宋体" w:hAnsi="宋体" w:eastAsia="宋体" w:cs="宋体"/>
        </w:rPr>
      </w:pPr>
      <w:r>
        <w:rPr>
          <w:rFonts w:hint="eastAsia" w:ascii="宋体" w:hAnsi="宋体" w:cs="宋体"/>
          <w:lang w:val="en-US" w:eastAsia="zh-CN"/>
        </w:rPr>
        <w:t>9</w:t>
      </w:r>
      <w:r>
        <w:rPr>
          <w:rFonts w:hint="eastAsia" w:ascii="宋体" w:hAnsi="宋体" w:eastAsia="宋体" w:cs="宋体"/>
        </w:rPr>
        <w:t xml:space="preserve">.4 </w:t>
      </w:r>
      <w:r>
        <w:rPr>
          <w:rFonts w:hint="eastAsia" w:ascii="宋体" w:hAnsi="宋体" w:eastAsia="宋体" w:cs="宋体"/>
          <w:lang w:val="zh-CN"/>
        </w:rPr>
        <w:t>乙方未能按合同规定履行其义务，甲方有权从履约保证金中取得补偿。货物验收合格后，甲方将履约保证金退还乙方或转为质量保证金。</w:t>
      </w:r>
    </w:p>
    <w:p w14:paraId="518CB324">
      <w:pPr>
        <w:bidi w:val="0"/>
        <w:ind w:left="0" w:leftChars="0" w:firstLine="0" w:firstLineChars="0"/>
        <w:rPr>
          <w:rFonts w:hint="eastAsia" w:ascii="宋体" w:hAnsi="宋体" w:eastAsia="宋体" w:cs="宋体"/>
          <w:b/>
          <w:bCs/>
          <w:lang w:val="en-US" w:eastAsia="zh-CN"/>
        </w:rPr>
      </w:pPr>
      <w:r>
        <w:rPr>
          <w:rFonts w:hint="eastAsia" w:ascii="宋体" w:hAnsi="宋体" w:cs="宋体"/>
          <w:b/>
          <w:bCs/>
          <w:lang w:val="en-US" w:eastAsia="zh-CN"/>
        </w:rPr>
        <w:t>10</w:t>
      </w:r>
      <w:r>
        <w:rPr>
          <w:rFonts w:hint="eastAsia" w:ascii="宋体" w:hAnsi="宋体" w:eastAsia="宋体" w:cs="宋体"/>
          <w:b/>
          <w:bCs/>
          <w:lang w:val="zh-CN"/>
        </w:rPr>
        <w:t>.迟延</w:t>
      </w:r>
      <w:r>
        <w:rPr>
          <w:rFonts w:hint="eastAsia" w:ascii="宋体" w:hAnsi="宋体" w:cs="宋体"/>
          <w:b/>
          <w:bCs/>
          <w:lang w:val="en-US" w:eastAsia="zh-CN"/>
        </w:rPr>
        <w:t>服务</w:t>
      </w:r>
    </w:p>
    <w:p w14:paraId="02CA3903">
      <w:pPr>
        <w:bidi w:val="0"/>
        <w:rPr>
          <w:rFonts w:hint="eastAsia" w:ascii="宋体" w:hAnsi="宋体" w:eastAsia="宋体" w:cs="宋体"/>
        </w:rPr>
      </w:pPr>
      <w:r>
        <w:rPr>
          <w:rFonts w:hint="eastAsia" w:ascii="宋体" w:hAnsi="宋体" w:cs="宋体"/>
          <w:lang w:val="en-US" w:eastAsia="zh-CN"/>
        </w:rPr>
        <w:t>10</w:t>
      </w:r>
      <w:r>
        <w:rPr>
          <w:rFonts w:hint="eastAsia" w:ascii="宋体" w:hAnsi="宋体" w:eastAsia="宋体" w:cs="宋体"/>
        </w:rPr>
        <w:t xml:space="preserve">.1 </w:t>
      </w:r>
      <w:r>
        <w:rPr>
          <w:rFonts w:hint="eastAsia" w:ascii="宋体" w:hAnsi="宋体" w:eastAsia="宋体" w:cs="宋体"/>
          <w:lang w:val="zh-CN"/>
        </w:rPr>
        <w:t>乙方应按照合同约定的时间提供服务。</w:t>
      </w:r>
    </w:p>
    <w:p w14:paraId="1DBB028E">
      <w:pPr>
        <w:bidi w:val="0"/>
        <w:rPr>
          <w:rFonts w:hint="eastAsia" w:ascii="宋体" w:hAnsi="宋体" w:eastAsia="宋体" w:cs="宋体"/>
        </w:rPr>
      </w:pPr>
      <w:r>
        <w:rPr>
          <w:rFonts w:hint="eastAsia" w:ascii="宋体" w:hAnsi="宋体" w:cs="宋体"/>
          <w:lang w:val="en-US" w:eastAsia="zh-CN"/>
        </w:rPr>
        <w:t>10</w:t>
      </w:r>
      <w:r>
        <w:rPr>
          <w:rFonts w:hint="eastAsia" w:ascii="宋体" w:hAnsi="宋体" w:eastAsia="宋体" w:cs="宋体"/>
        </w:rPr>
        <w:t xml:space="preserve">.2 </w:t>
      </w:r>
      <w:r>
        <w:rPr>
          <w:rFonts w:hint="eastAsia" w:ascii="宋体" w:hAnsi="宋体" w:eastAsia="宋体" w:cs="宋体"/>
          <w:lang w:val="zh-CN"/>
        </w:rPr>
        <w:t>除不可抗力因素外，乙方</w:t>
      </w:r>
      <w:r>
        <w:rPr>
          <w:rFonts w:hint="eastAsia" w:ascii="宋体" w:hAnsi="宋体" w:cs="宋体"/>
          <w:lang w:val="en-US" w:eastAsia="zh-CN"/>
        </w:rPr>
        <w:t>无法完成服务</w:t>
      </w:r>
      <w:r>
        <w:rPr>
          <w:rFonts w:hint="eastAsia" w:ascii="宋体" w:hAnsi="宋体" w:eastAsia="宋体" w:cs="宋体"/>
          <w:lang w:val="zh-CN"/>
        </w:rPr>
        <w:t>，甲方有权提出违约损失赔偿或解除合同。</w:t>
      </w:r>
    </w:p>
    <w:p w14:paraId="24FA51F2">
      <w:pPr>
        <w:bidi w:val="0"/>
        <w:rPr>
          <w:rFonts w:hint="eastAsia" w:ascii="宋体" w:hAnsi="宋体" w:eastAsia="宋体" w:cs="宋体"/>
        </w:rPr>
      </w:pPr>
      <w:r>
        <w:rPr>
          <w:rFonts w:hint="eastAsia" w:ascii="宋体" w:hAnsi="宋体" w:cs="宋体"/>
          <w:lang w:val="en-US" w:eastAsia="zh-CN"/>
        </w:rPr>
        <w:t>10</w:t>
      </w:r>
      <w:r>
        <w:rPr>
          <w:rFonts w:hint="eastAsia" w:ascii="宋体" w:hAnsi="宋体" w:eastAsia="宋体" w:cs="宋体"/>
        </w:rPr>
        <w:t xml:space="preserve">.3 </w:t>
      </w:r>
      <w:r>
        <w:rPr>
          <w:rFonts w:hint="eastAsia" w:ascii="宋体" w:hAnsi="宋体" w:eastAsia="宋体" w:cs="宋体"/>
          <w:lang w:val="zh-CN"/>
        </w:rPr>
        <w:t>在履行合同过程中，乙方遇到不能按时提供服务的情况，应及时以书面形式将不能按时</w:t>
      </w:r>
      <w:r>
        <w:rPr>
          <w:rFonts w:hint="eastAsia" w:ascii="宋体" w:hAnsi="宋体" w:cs="宋体"/>
          <w:lang w:val="en-US" w:eastAsia="zh-CN"/>
        </w:rPr>
        <w:t>提供服务</w:t>
      </w:r>
      <w:r>
        <w:rPr>
          <w:rFonts w:hint="eastAsia" w:ascii="宋体" w:hAnsi="宋体" w:eastAsia="宋体" w:cs="宋体"/>
          <w:lang w:val="zh-CN"/>
        </w:rPr>
        <w:t>的理由、预期延误时间通知甲方。甲方收到乙方通知后，认为其理由正当的，可酌情延长交货时间。</w:t>
      </w:r>
    </w:p>
    <w:p w14:paraId="77225018">
      <w:pPr>
        <w:bidi w:val="0"/>
        <w:ind w:left="0" w:leftChars="0" w:firstLine="0" w:firstLineChars="0"/>
        <w:rPr>
          <w:rFonts w:hint="eastAsia" w:ascii="宋体" w:hAnsi="宋体" w:eastAsia="宋体" w:cs="宋体"/>
          <w:b/>
          <w:bCs/>
          <w:lang w:val="zh-CN"/>
        </w:rPr>
      </w:pPr>
      <w:r>
        <w:rPr>
          <w:rFonts w:hint="eastAsia" w:ascii="宋体" w:hAnsi="宋体" w:eastAsia="宋体" w:cs="宋体"/>
          <w:b/>
          <w:bCs/>
          <w:lang w:val="zh-CN"/>
        </w:rPr>
        <w:t>1</w:t>
      </w:r>
      <w:r>
        <w:rPr>
          <w:rFonts w:hint="eastAsia" w:ascii="宋体" w:hAnsi="宋体" w:cs="宋体"/>
          <w:b/>
          <w:bCs/>
          <w:lang w:val="en-US" w:eastAsia="zh-CN"/>
        </w:rPr>
        <w:t>1</w:t>
      </w:r>
      <w:r>
        <w:rPr>
          <w:rFonts w:hint="eastAsia" w:ascii="宋体" w:hAnsi="宋体" w:eastAsia="宋体" w:cs="宋体"/>
          <w:b/>
          <w:bCs/>
          <w:lang w:val="zh-CN"/>
        </w:rPr>
        <w:t>.违约赔偿</w:t>
      </w:r>
    </w:p>
    <w:p w14:paraId="2DC77FB1">
      <w:pPr>
        <w:bidi w:val="0"/>
        <w:rPr>
          <w:rFonts w:hint="eastAsia" w:ascii="宋体" w:hAnsi="宋体" w:eastAsia="宋体" w:cs="宋体"/>
        </w:rPr>
      </w:pPr>
      <w:r>
        <w:rPr>
          <w:rFonts w:hint="eastAsia" w:ascii="宋体" w:hAnsi="宋体" w:eastAsia="宋体" w:cs="宋体"/>
          <w:lang w:val="zh-CN"/>
        </w:rPr>
        <w:t>除不可抗力因素外，乙方没有按照合同规定的时间交货和提供服务，甲方可要求乙方支付违约金。违约金每日按合同总价款的千分之五计收。</w:t>
      </w:r>
    </w:p>
    <w:p w14:paraId="18F8D9A5">
      <w:pPr>
        <w:bidi w:val="0"/>
        <w:ind w:left="0" w:leftChars="0" w:firstLine="0" w:firstLineChars="0"/>
        <w:rPr>
          <w:rFonts w:hint="eastAsia" w:ascii="宋体" w:hAnsi="宋体" w:eastAsia="宋体" w:cs="宋体"/>
          <w:b/>
          <w:bCs/>
          <w:lang w:val="zh-CN"/>
        </w:rPr>
      </w:pPr>
      <w:r>
        <w:rPr>
          <w:rFonts w:hint="eastAsia" w:ascii="宋体" w:hAnsi="宋体" w:eastAsia="宋体" w:cs="宋体"/>
          <w:b/>
          <w:bCs/>
          <w:lang w:val="zh-CN"/>
        </w:rPr>
        <w:t>1</w:t>
      </w:r>
      <w:r>
        <w:rPr>
          <w:rFonts w:hint="eastAsia" w:ascii="宋体" w:hAnsi="宋体" w:cs="宋体"/>
          <w:b/>
          <w:bCs/>
          <w:lang w:val="en-US" w:eastAsia="zh-CN"/>
        </w:rPr>
        <w:t>2</w:t>
      </w:r>
      <w:r>
        <w:rPr>
          <w:rFonts w:hint="eastAsia" w:ascii="宋体" w:hAnsi="宋体" w:eastAsia="宋体" w:cs="宋体"/>
          <w:b/>
          <w:bCs/>
          <w:lang w:val="zh-CN"/>
        </w:rPr>
        <w:t>.不可抗力</w:t>
      </w:r>
    </w:p>
    <w:p w14:paraId="33436A84">
      <w:pPr>
        <w:bidi w:val="0"/>
        <w:rPr>
          <w:rFonts w:hint="eastAsia" w:ascii="宋体" w:hAnsi="宋体" w:eastAsia="宋体" w:cs="宋体"/>
        </w:rPr>
      </w:pPr>
      <w:r>
        <w:rPr>
          <w:rFonts w:hint="eastAsia" w:ascii="宋体" w:hAnsi="宋体" w:cs="宋体"/>
          <w:lang w:val="en-US" w:eastAsia="zh-CN"/>
        </w:rPr>
        <w:t>12</w:t>
      </w:r>
      <w:r>
        <w:rPr>
          <w:rFonts w:hint="eastAsia" w:ascii="宋体" w:hAnsi="宋体" w:eastAsia="宋体" w:cs="宋体"/>
        </w:rPr>
        <w:t xml:space="preserve">.1 </w:t>
      </w:r>
      <w:r>
        <w:rPr>
          <w:rFonts w:hint="eastAsia" w:ascii="宋体" w:hAnsi="宋体" w:eastAsia="宋体" w:cs="宋体"/>
          <w:lang w:val="zh-CN"/>
        </w:rPr>
        <w:t>双方中任何一方遭遇法律规定的不可抗力，致使合同履行受阻时，履行合同的期限应予延长，延长的期限应相当于不可抗力所影响的时间。</w:t>
      </w:r>
    </w:p>
    <w:p w14:paraId="2EC6D9B9">
      <w:pPr>
        <w:bidi w:val="0"/>
        <w:rPr>
          <w:rFonts w:hint="eastAsia" w:ascii="宋体" w:hAnsi="宋体" w:eastAsia="宋体" w:cs="宋体"/>
        </w:rPr>
      </w:pPr>
      <w:r>
        <w:rPr>
          <w:rFonts w:hint="eastAsia" w:ascii="宋体" w:hAnsi="宋体" w:cs="宋体"/>
          <w:lang w:val="en-US" w:eastAsia="zh-CN"/>
        </w:rPr>
        <w:t>12</w:t>
      </w:r>
      <w:r>
        <w:rPr>
          <w:rFonts w:hint="eastAsia" w:ascii="宋体" w:hAnsi="宋体" w:eastAsia="宋体" w:cs="宋体"/>
        </w:rPr>
        <w:t xml:space="preserve">.2 </w:t>
      </w:r>
      <w:r>
        <w:rPr>
          <w:rFonts w:hint="eastAsia" w:ascii="宋体" w:hAnsi="宋体" w:eastAsia="宋体" w:cs="宋体"/>
          <w:lang w:val="zh-CN"/>
        </w:rPr>
        <w:t>受事故影响的一方应在不可抗力的事故发生后以书面形式通知另一方。</w:t>
      </w:r>
    </w:p>
    <w:p w14:paraId="59615564">
      <w:pPr>
        <w:bidi w:val="0"/>
        <w:rPr>
          <w:rFonts w:hint="eastAsia" w:ascii="宋体" w:hAnsi="宋体" w:eastAsia="宋体" w:cs="宋体"/>
        </w:rPr>
      </w:pPr>
      <w:r>
        <w:rPr>
          <w:rFonts w:hint="eastAsia" w:ascii="宋体" w:hAnsi="宋体" w:cs="宋体"/>
          <w:lang w:val="en-US" w:eastAsia="zh-CN"/>
        </w:rPr>
        <w:t>12</w:t>
      </w:r>
      <w:r>
        <w:rPr>
          <w:rFonts w:hint="eastAsia" w:ascii="宋体" w:hAnsi="宋体" w:eastAsia="宋体" w:cs="宋体"/>
        </w:rPr>
        <w:t xml:space="preserve">.3 </w:t>
      </w:r>
      <w:r>
        <w:rPr>
          <w:rFonts w:hint="eastAsia" w:ascii="宋体" w:hAnsi="宋体" w:eastAsia="宋体" w:cs="宋体"/>
          <w:lang w:val="zh-CN"/>
        </w:rPr>
        <w:t>不可抗力使合同的某些内容有变更必要的，双方应通过协商达成进一步履行合同的协议，因不可抗力致使合同不能履行的，合同终止。</w:t>
      </w:r>
    </w:p>
    <w:p w14:paraId="3E50A4E2">
      <w:pPr>
        <w:bidi w:val="0"/>
        <w:ind w:left="0" w:leftChars="0" w:firstLine="0" w:firstLineChars="0"/>
        <w:rPr>
          <w:rFonts w:hint="eastAsia" w:ascii="宋体" w:hAnsi="宋体" w:eastAsia="宋体" w:cs="宋体"/>
          <w:b/>
          <w:bCs/>
          <w:lang w:val="zh-CN"/>
        </w:rPr>
      </w:pPr>
      <w:r>
        <w:rPr>
          <w:rFonts w:hint="eastAsia" w:ascii="宋体" w:hAnsi="宋体" w:eastAsia="宋体" w:cs="宋体"/>
          <w:b/>
          <w:bCs/>
          <w:lang w:val="zh-CN"/>
        </w:rPr>
        <w:t>1</w:t>
      </w:r>
      <w:r>
        <w:rPr>
          <w:rFonts w:hint="eastAsia" w:ascii="宋体" w:hAnsi="宋体" w:cs="宋体"/>
          <w:b/>
          <w:bCs/>
          <w:lang w:val="en-US" w:eastAsia="zh-CN"/>
        </w:rPr>
        <w:t>3</w:t>
      </w:r>
      <w:r>
        <w:rPr>
          <w:rFonts w:hint="eastAsia" w:ascii="宋体" w:hAnsi="宋体" w:eastAsia="宋体" w:cs="宋体"/>
          <w:b/>
          <w:bCs/>
          <w:lang w:val="zh-CN"/>
        </w:rPr>
        <w:t>.税费</w:t>
      </w:r>
    </w:p>
    <w:p w14:paraId="3A2C7BD4">
      <w:pPr>
        <w:bidi w:val="0"/>
        <w:rPr>
          <w:rFonts w:hint="eastAsia" w:ascii="宋体" w:hAnsi="宋体" w:eastAsia="宋体" w:cs="宋体"/>
        </w:rPr>
      </w:pPr>
      <w:r>
        <w:rPr>
          <w:rFonts w:hint="eastAsia" w:ascii="宋体" w:hAnsi="宋体" w:eastAsia="宋体" w:cs="宋体"/>
          <w:lang w:val="zh-CN"/>
        </w:rPr>
        <w:t>与本合同有关的一切税费均由乙方承担。</w:t>
      </w:r>
    </w:p>
    <w:p w14:paraId="1F248778">
      <w:pPr>
        <w:bidi w:val="0"/>
        <w:ind w:left="0" w:leftChars="0" w:firstLine="0" w:firstLineChars="0"/>
        <w:rPr>
          <w:rFonts w:hint="eastAsia" w:ascii="宋体" w:hAnsi="宋体" w:eastAsia="宋体" w:cs="宋体"/>
          <w:b/>
          <w:bCs/>
          <w:lang w:val="zh-CN"/>
        </w:rPr>
      </w:pPr>
      <w:r>
        <w:rPr>
          <w:rFonts w:hint="eastAsia" w:ascii="宋体" w:hAnsi="宋体" w:eastAsia="宋体" w:cs="宋体"/>
          <w:b/>
          <w:bCs/>
          <w:lang w:val="zh-CN"/>
        </w:rPr>
        <w:t>1</w:t>
      </w:r>
      <w:r>
        <w:rPr>
          <w:rFonts w:hint="eastAsia" w:ascii="宋体" w:hAnsi="宋体" w:cs="宋体"/>
          <w:b/>
          <w:bCs/>
          <w:lang w:val="en-US" w:eastAsia="zh-CN"/>
        </w:rPr>
        <w:t>4</w:t>
      </w:r>
      <w:r>
        <w:rPr>
          <w:rFonts w:hint="eastAsia" w:ascii="宋体" w:hAnsi="宋体" w:eastAsia="宋体" w:cs="宋体"/>
          <w:b/>
          <w:bCs/>
          <w:lang w:val="zh-CN"/>
        </w:rPr>
        <w:t>.合同争议的解决</w:t>
      </w:r>
    </w:p>
    <w:p w14:paraId="6D36DD20">
      <w:pPr>
        <w:bidi w:val="0"/>
        <w:rPr>
          <w:rFonts w:hint="eastAsia" w:ascii="宋体" w:hAnsi="宋体" w:eastAsia="宋体" w:cs="宋体"/>
        </w:rPr>
      </w:pPr>
      <w:r>
        <w:rPr>
          <w:rFonts w:hint="eastAsia" w:ascii="宋体" w:hAnsi="宋体" w:eastAsia="宋体" w:cs="宋体"/>
        </w:rPr>
        <w:t>1</w:t>
      </w:r>
      <w:r>
        <w:rPr>
          <w:rFonts w:hint="eastAsia" w:ascii="宋体" w:hAnsi="宋体" w:cs="宋体"/>
          <w:lang w:val="en-US" w:eastAsia="zh-CN"/>
        </w:rPr>
        <w:t>4</w:t>
      </w:r>
      <w:r>
        <w:rPr>
          <w:rFonts w:hint="eastAsia" w:ascii="宋体" w:hAnsi="宋体" w:eastAsia="宋体" w:cs="宋体"/>
        </w:rPr>
        <w:t xml:space="preserve">.1 </w:t>
      </w:r>
      <w:r>
        <w:rPr>
          <w:rFonts w:hint="eastAsia" w:ascii="宋体" w:hAnsi="宋体" w:eastAsia="宋体" w:cs="宋体"/>
          <w:lang w:val="zh-CN"/>
        </w:rPr>
        <w:t>甲方和乙方由于本合同的履行而发生任何争议时，双方可先通过协商解决。</w:t>
      </w:r>
    </w:p>
    <w:p w14:paraId="7FA34335">
      <w:pPr>
        <w:bidi w:val="0"/>
        <w:rPr>
          <w:rFonts w:hint="eastAsia" w:ascii="宋体" w:hAnsi="宋体" w:eastAsia="宋体" w:cs="宋体"/>
        </w:rPr>
      </w:pPr>
      <w:r>
        <w:rPr>
          <w:rFonts w:hint="eastAsia" w:ascii="宋体" w:hAnsi="宋体" w:eastAsia="宋体" w:cs="宋体"/>
        </w:rPr>
        <w:t>1</w:t>
      </w:r>
      <w:r>
        <w:rPr>
          <w:rFonts w:hint="eastAsia" w:ascii="宋体" w:hAnsi="宋体" w:cs="宋体"/>
          <w:lang w:val="en-US" w:eastAsia="zh-CN"/>
        </w:rPr>
        <w:t>4</w:t>
      </w:r>
      <w:r>
        <w:rPr>
          <w:rFonts w:hint="eastAsia" w:ascii="宋体" w:hAnsi="宋体" w:eastAsia="宋体" w:cs="宋体"/>
        </w:rPr>
        <w:t xml:space="preserve">.2 </w:t>
      </w:r>
      <w:r>
        <w:rPr>
          <w:rFonts w:hint="eastAsia" w:ascii="宋体" w:hAnsi="宋体" w:eastAsia="宋体" w:cs="宋体"/>
          <w:lang w:val="zh-CN"/>
        </w:rPr>
        <w:t>任何一方不愿通过协商或通过协商仍不能解决争议，则双方中任何一方均应向甲方所在地人民法院起诉。</w:t>
      </w:r>
    </w:p>
    <w:p w14:paraId="59CB278B">
      <w:pPr>
        <w:bidi w:val="0"/>
        <w:ind w:left="0" w:leftChars="0" w:firstLine="0" w:firstLineChars="0"/>
        <w:rPr>
          <w:rFonts w:hint="eastAsia" w:ascii="宋体" w:hAnsi="宋体" w:eastAsia="宋体" w:cs="宋体"/>
          <w:b/>
          <w:bCs/>
          <w:lang w:val="zh-CN"/>
        </w:rPr>
      </w:pPr>
      <w:r>
        <w:rPr>
          <w:rFonts w:hint="eastAsia" w:ascii="宋体" w:hAnsi="宋体" w:cs="宋体"/>
          <w:b/>
          <w:bCs/>
          <w:lang w:val="en-US" w:eastAsia="zh-CN"/>
        </w:rPr>
        <w:t>15</w:t>
      </w:r>
      <w:r>
        <w:rPr>
          <w:rFonts w:hint="eastAsia" w:ascii="宋体" w:hAnsi="宋体" w:eastAsia="宋体" w:cs="宋体"/>
          <w:b/>
          <w:bCs/>
          <w:lang w:val="zh-CN"/>
        </w:rPr>
        <w:t>.违约解除合同</w:t>
      </w:r>
    </w:p>
    <w:p w14:paraId="76AEB303">
      <w:pPr>
        <w:bidi w:val="0"/>
        <w:rPr>
          <w:rFonts w:hint="eastAsia" w:ascii="宋体" w:hAnsi="宋体" w:eastAsia="宋体" w:cs="宋体"/>
        </w:rPr>
      </w:pPr>
      <w:r>
        <w:rPr>
          <w:rFonts w:hint="eastAsia" w:ascii="宋体" w:hAnsi="宋体" w:cs="宋体"/>
          <w:lang w:val="en-US" w:eastAsia="zh-CN"/>
        </w:rPr>
        <w:t>15</w:t>
      </w:r>
      <w:r>
        <w:rPr>
          <w:rFonts w:hint="eastAsia" w:ascii="宋体" w:hAnsi="宋体" w:eastAsia="宋体" w:cs="宋体"/>
        </w:rPr>
        <w:t xml:space="preserve">.1 </w:t>
      </w:r>
      <w:r>
        <w:rPr>
          <w:rFonts w:hint="eastAsia" w:ascii="宋体" w:hAnsi="宋体" w:eastAsia="宋体" w:cs="宋体"/>
          <w:lang w:val="zh-CN"/>
        </w:rPr>
        <w:t>出现下列情形之一的，视为乙方违约。甲方可向乙方发出书面通知，部分或全部终止合同，同时保留向乙方索赔的权利。</w:t>
      </w:r>
    </w:p>
    <w:p w14:paraId="6F01EDCC">
      <w:pPr>
        <w:bidi w:val="0"/>
        <w:rPr>
          <w:rFonts w:hint="eastAsia" w:ascii="宋体" w:hAnsi="宋体" w:eastAsia="宋体" w:cs="宋体"/>
        </w:rPr>
      </w:pPr>
      <w:r>
        <w:rPr>
          <w:rFonts w:hint="eastAsia" w:ascii="宋体" w:hAnsi="宋体" w:cs="宋体"/>
          <w:lang w:val="en-US" w:eastAsia="zh-CN"/>
        </w:rPr>
        <w:t>15</w:t>
      </w:r>
      <w:r>
        <w:rPr>
          <w:rFonts w:hint="eastAsia" w:ascii="宋体" w:hAnsi="宋体" w:eastAsia="宋体" w:cs="宋体"/>
        </w:rPr>
        <w:t xml:space="preserve">.1.1 </w:t>
      </w:r>
      <w:r>
        <w:rPr>
          <w:rFonts w:hint="eastAsia" w:ascii="宋体" w:hAnsi="宋体" w:eastAsia="宋体" w:cs="宋体"/>
          <w:lang w:val="zh-CN"/>
        </w:rPr>
        <w:t>乙方未能在合同规定的限期或甲方同意延长的限期内，提供全部或部分货物的；</w:t>
      </w:r>
    </w:p>
    <w:p w14:paraId="482ACC6E">
      <w:pPr>
        <w:bidi w:val="0"/>
        <w:rPr>
          <w:rFonts w:hint="eastAsia" w:ascii="宋体" w:hAnsi="宋体" w:eastAsia="宋体" w:cs="宋体"/>
        </w:rPr>
      </w:pPr>
      <w:r>
        <w:rPr>
          <w:rFonts w:hint="eastAsia" w:ascii="宋体" w:hAnsi="宋体" w:cs="宋体"/>
          <w:lang w:val="en-US" w:eastAsia="zh-CN"/>
        </w:rPr>
        <w:t>15</w:t>
      </w:r>
      <w:r>
        <w:rPr>
          <w:rFonts w:hint="eastAsia" w:ascii="宋体" w:hAnsi="宋体" w:eastAsia="宋体" w:cs="宋体"/>
        </w:rPr>
        <w:t xml:space="preserve">.1.2 </w:t>
      </w:r>
      <w:r>
        <w:rPr>
          <w:rFonts w:hint="eastAsia" w:ascii="宋体" w:hAnsi="宋体" w:eastAsia="宋体" w:cs="宋体"/>
          <w:lang w:val="zh-CN"/>
        </w:rPr>
        <w:t>乙方未能履行合同规定的其它主要义务的；</w:t>
      </w:r>
    </w:p>
    <w:p w14:paraId="6D22E0AE">
      <w:pPr>
        <w:bidi w:val="0"/>
        <w:rPr>
          <w:rFonts w:hint="eastAsia" w:ascii="宋体" w:hAnsi="宋体" w:eastAsia="宋体" w:cs="宋体"/>
        </w:rPr>
      </w:pPr>
      <w:r>
        <w:rPr>
          <w:rFonts w:hint="eastAsia" w:ascii="宋体" w:hAnsi="宋体" w:cs="宋体"/>
          <w:lang w:val="en-US" w:eastAsia="zh-CN"/>
        </w:rPr>
        <w:t>15</w:t>
      </w:r>
      <w:r>
        <w:rPr>
          <w:rFonts w:hint="eastAsia" w:ascii="宋体" w:hAnsi="宋体" w:eastAsia="宋体" w:cs="宋体"/>
        </w:rPr>
        <w:t xml:space="preserve">.1.3 </w:t>
      </w:r>
      <w:r>
        <w:rPr>
          <w:rFonts w:hint="eastAsia" w:ascii="宋体" w:hAnsi="宋体" w:eastAsia="宋体" w:cs="宋体"/>
          <w:lang w:val="zh-CN"/>
        </w:rPr>
        <w:t>乙方在本合同履行过程中有欺诈行为的。</w:t>
      </w:r>
    </w:p>
    <w:p w14:paraId="01A7444C">
      <w:pPr>
        <w:bidi w:val="0"/>
        <w:rPr>
          <w:rFonts w:hint="eastAsia" w:ascii="宋体" w:hAnsi="宋体" w:eastAsia="宋体" w:cs="宋体"/>
        </w:rPr>
      </w:pPr>
      <w:r>
        <w:rPr>
          <w:rFonts w:hint="eastAsia" w:ascii="宋体" w:hAnsi="宋体" w:cs="宋体"/>
          <w:lang w:val="en-US" w:eastAsia="zh-CN"/>
        </w:rPr>
        <w:t>15</w:t>
      </w:r>
      <w:r>
        <w:rPr>
          <w:rFonts w:hint="eastAsia" w:ascii="宋体" w:hAnsi="宋体" w:eastAsia="宋体" w:cs="宋体"/>
        </w:rPr>
        <w:t xml:space="preserve">.2 </w:t>
      </w:r>
      <w:r>
        <w:rPr>
          <w:rFonts w:hint="eastAsia" w:ascii="宋体" w:hAnsi="宋体" w:eastAsia="宋体" w:cs="宋体"/>
          <w:lang w:val="zh-CN"/>
        </w:rPr>
        <w:t>甲方全部或部分解除合同之后，应当遵循诚实信用原则购买与未交付的货物类似的货物或服务，乙方应承担买方购买类似货物或服务而产生的额外支出。部分解除合同的，乙方应继续履行合同中未解除的部分。</w:t>
      </w:r>
    </w:p>
    <w:p w14:paraId="45F3129A">
      <w:pPr>
        <w:bidi w:val="0"/>
        <w:ind w:left="0" w:leftChars="0" w:firstLine="0" w:firstLineChars="0"/>
        <w:rPr>
          <w:rFonts w:hint="eastAsia" w:ascii="宋体" w:hAnsi="宋体" w:eastAsia="宋体" w:cs="宋体"/>
          <w:b/>
          <w:bCs/>
          <w:lang w:val="zh-CN"/>
        </w:rPr>
      </w:pPr>
      <w:r>
        <w:rPr>
          <w:rFonts w:hint="eastAsia" w:ascii="宋体" w:hAnsi="宋体" w:cs="宋体"/>
          <w:b/>
          <w:bCs/>
          <w:lang w:val="en-US" w:eastAsia="zh-CN"/>
        </w:rPr>
        <w:t>16</w:t>
      </w:r>
      <w:r>
        <w:rPr>
          <w:rFonts w:hint="eastAsia" w:ascii="宋体" w:hAnsi="宋体" w:eastAsia="宋体" w:cs="宋体"/>
          <w:b/>
          <w:bCs/>
          <w:lang w:val="zh-CN"/>
        </w:rPr>
        <w:t>.破产终止合同</w:t>
      </w:r>
    </w:p>
    <w:p w14:paraId="1B411F33">
      <w:pPr>
        <w:bidi w:val="0"/>
        <w:rPr>
          <w:rFonts w:hint="eastAsia" w:ascii="宋体" w:hAnsi="宋体" w:eastAsia="宋体" w:cs="宋体"/>
        </w:rPr>
      </w:pPr>
      <w:r>
        <w:rPr>
          <w:rFonts w:hint="eastAsia" w:ascii="宋体" w:hAnsi="宋体" w:eastAsia="宋体" w:cs="宋体"/>
          <w:lang w:val="zh-CN"/>
        </w:rPr>
        <w:t>乙方破产而无法完全履行本合同义务时，甲方可以书面方式通知乙方终止合同而不给予乙方补偿。该合同的终止将不损害或不影响甲方已经采取或将要采取任何行动或补救措施的权利。</w:t>
      </w:r>
    </w:p>
    <w:p w14:paraId="5C1D4FE8">
      <w:pPr>
        <w:bidi w:val="0"/>
        <w:ind w:left="0" w:leftChars="0" w:firstLine="0" w:firstLineChars="0"/>
        <w:rPr>
          <w:rFonts w:hint="eastAsia" w:ascii="宋体" w:hAnsi="宋体" w:eastAsia="宋体" w:cs="宋体"/>
          <w:b/>
          <w:bCs/>
          <w:lang w:val="zh-CN"/>
        </w:rPr>
      </w:pPr>
      <w:r>
        <w:rPr>
          <w:rFonts w:hint="eastAsia" w:ascii="宋体" w:hAnsi="宋体" w:cs="宋体"/>
          <w:b/>
          <w:bCs/>
          <w:lang w:val="en-US" w:eastAsia="zh-CN"/>
        </w:rPr>
        <w:t>17</w:t>
      </w:r>
      <w:r>
        <w:rPr>
          <w:rFonts w:hint="eastAsia" w:ascii="宋体" w:hAnsi="宋体" w:eastAsia="宋体" w:cs="宋体"/>
          <w:b/>
          <w:bCs/>
          <w:lang w:val="zh-CN"/>
        </w:rPr>
        <w:t>.转让和分包</w:t>
      </w:r>
    </w:p>
    <w:p w14:paraId="2E7FFEA3">
      <w:pPr>
        <w:bidi w:val="0"/>
        <w:rPr>
          <w:rFonts w:hint="eastAsia" w:ascii="宋体" w:hAnsi="宋体" w:eastAsia="宋体" w:cs="宋体"/>
        </w:rPr>
      </w:pPr>
      <w:r>
        <w:rPr>
          <w:rFonts w:hint="eastAsia" w:ascii="宋体" w:hAnsi="宋体" w:cs="宋体"/>
          <w:lang w:val="en-US" w:eastAsia="zh-CN"/>
        </w:rPr>
        <w:t>17</w:t>
      </w:r>
      <w:r>
        <w:rPr>
          <w:rFonts w:hint="eastAsia" w:ascii="宋体" w:hAnsi="宋体" w:eastAsia="宋体" w:cs="宋体"/>
        </w:rPr>
        <w:t xml:space="preserve">.1 </w:t>
      </w:r>
      <w:r>
        <w:rPr>
          <w:rFonts w:hint="eastAsia" w:ascii="宋体" w:hAnsi="宋体" w:eastAsia="宋体" w:cs="宋体"/>
          <w:lang w:val="zh-CN"/>
        </w:rPr>
        <w:t>政府采购合同不能转让。</w:t>
      </w:r>
    </w:p>
    <w:p w14:paraId="7F62D130">
      <w:pPr>
        <w:bidi w:val="0"/>
        <w:rPr>
          <w:rFonts w:hint="eastAsia" w:ascii="宋体" w:hAnsi="宋体" w:eastAsia="宋体" w:cs="宋体"/>
        </w:rPr>
      </w:pPr>
      <w:r>
        <w:rPr>
          <w:rFonts w:hint="eastAsia" w:ascii="宋体" w:hAnsi="宋体" w:cs="宋体"/>
          <w:lang w:val="en-US" w:eastAsia="zh-CN"/>
        </w:rPr>
        <w:t>17</w:t>
      </w:r>
      <w:r>
        <w:rPr>
          <w:rFonts w:hint="eastAsia" w:ascii="宋体" w:hAnsi="宋体" w:eastAsia="宋体" w:cs="宋体"/>
        </w:rPr>
        <w:t xml:space="preserve">.2 </w:t>
      </w:r>
      <w:r>
        <w:rPr>
          <w:rFonts w:hint="eastAsia" w:ascii="宋体" w:hAnsi="宋体" w:eastAsia="宋体" w:cs="宋体"/>
          <w:lang w:val="zh-CN"/>
        </w:rPr>
        <w:t>经甲方书面同意乙方可以将合同条款下非主体、非关键性工作分包给他人完成。接受分包的人应当具备相应的资格条件，并不得再次分包。分包后不能解除卖方履行本合同的责任和义务，接受分包的人与乙方共同对甲方连带承担合同的责任和义务。</w:t>
      </w:r>
    </w:p>
    <w:p w14:paraId="5EDAC103">
      <w:pPr>
        <w:bidi w:val="0"/>
        <w:ind w:left="0" w:leftChars="0" w:firstLine="0" w:firstLineChars="0"/>
        <w:rPr>
          <w:rFonts w:hint="eastAsia" w:ascii="宋体" w:hAnsi="宋体" w:eastAsia="宋体" w:cs="宋体"/>
          <w:b/>
          <w:bCs/>
          <w:lang w:val="zh-CN"/>
        </w:rPr>
      </w:pPr>
      <w:r>
        <w:rPr>
          <w:rFonts w:hint="eastAsia" w:ascii="宋体" w:hAnsi="宋体" w:cs="宋体"/>
          <w:b/>
          <w:bCs/>
          <w:lang w:val="en-US" w:eastAsia="zh-CN"/>
        </w:rPr>
        <w:t>18</w:t>
      </w:r>
      <w:r>
        <w:rPr>
          <w:rFonts w:hint="eastAsia" w:ascii="宋体" w:hAnsi="宋体" w:eastAsia="宋体" w:cs="宋体"/>
          <w:b/>
          <w:bCs/>
          <w:lang w:val="zh-CN"/>
        </w:rPr>
        <w:t>.合同修改</w:t>
      </w:r>
    </w:p>
    <w:p w14:paraId="251AAF40">
      <w:pPr>
        <w:bidi w:val="0"/>
        <w:rPr>
          <w:rFonts w:hint="eastAsia" w:ascii="宋体" w:hAnsi="宋体" w:eastAsia="宋体" w:cs="宋体"/>
        </w:rPr>
      </w:pPr>
      <w:r>
        <w:rPr>
          <w:rFonts w:hint="eastAsia" w:ascii="宋体" w:hAnsi="宋体" w:eastAsia="宋体" w:cs="宋体"/>
        </w:rPr>
        <w:t>政府采购合同的双方当事人不得擅自变更、中止或者终止合同</w:t>
      </w:r>
    </w:p>
    <w:p w14:paraId="7A474242">
      <w:pPr>
        <w:bidi w:val="0"/>
        <w:ind w:left="0" w:leftChars="0" w:firstLine="0" w:firstLineChars="0"/>
        <w:rPr>
          <w:rFonts w:hint="eastAsia" w:ascii="宋体" w:hAnsi="宋体" w:eastAsia="宋体" w:cs="宋体"/>
          <w:b/>
          <w:bCs/>
          <w:lang w:val="zh-CN"/>
        </w:rPr>
      </w:pPr>
      <w:r>
        <w:rPr>
          <w:rFonts w:hint="eastAsia" w:ascii="宋体" w:hAnsi="宋体" w:cs="宋体"/>
          <w:b/>
          <w:bCs/>
          <w:lang w:val="en-US" w:eastAsia="zh-CN"/>
        </w:rPr>
        <w:t>19</w:t>
      </w:r>
      <w:r>
        <w:rPr>
          <w:rFonts w:hint="eastAsia" w:ascii="宋体" w:hAnsi="宋体" w:eastAsia="宋体" w:cs="宋体"/>
          <w:b/>
          <w:bCs/>
          <w:lang w:val="zh-CN"/>
        </w:rPr>
        <w:t>.通知</w:t>
      </w:r>
    </w:p>
    <w:p w14:paraId="0071A5BF">
      <w:pPr>
        <w:bidi w:val="0"/>
        <w:rPr>
          <w:rFonts w:hint="eastAsia" w:ascii="宋体" w:hAnsi="宋体" w:eastAsia="宋体" w:cs="宋体"/>
        </w:rPr>
      </w:pPr>
      <w:r>
        <w:rPr>
          <w:rFonts w:hint="eastAsia" w:ascii="宋体" w:hAnsi="宋体" w:eastAsia="宋体" w:cs="宋体"/>
          <w:lang w:val="zh-CN"/>
        </w:rPr>
        <w:t>本合同任何一方给另一方的通知，都应以书面形式发送，而另一方也应以书面形式确认并发送到对方明确的地址。</w:t>
      </w:r>
    </w:p>
    <w:p w14:paraId="7632BE02">
      <w:pPr>
        <w:bidi w:val="0"/>
        <w:ind w:left="0" w:leftChars="0" w:firstLine="0" w:firstLineChars="0"/>
        <w:rPr>
          <w:rFonts w:hint="eastAsia" w:ascii="宋体" w:hAnsi="宋体" w:eastAsia="宋体" w:cs="宋体"/>
          <w:b/>
          <w:bCs/>
          <w:lang w:val="zh-CN"/>
        </w:rPr>
      </w:pPr>
      <w:r>
        <w:rPr>
          <w:rFonts w:hint="eastAsia" w:ascii="宋体" w:hAnsi="宋体" w:cs="宋体"/>
          <w:b/>
          <w:bCs/>
          <w:lang w:val="en-US" w:eastAsia="zh-CN"/>
        </w:rPr>
        <w:t>20</w:t>
      </w:r>
      <w:r>
        <w:rPr>
          <w:rFonts w:hint="eastAsia" w:ascii="宋体" w:hAnsi="宋体" w:eastAsia="宋体" w:cs="宋体"/>
          <w:b/>
          <w:bCs/>
          <w:lang w:val="zh-CN"/>
        </w:rPr>
        <w:t>.计量单位</w:t>
      </w:r>
    </w:p>
    <w:p w14:paraId="225F5CEA">
      <w:pPr>
        <w:bidi w:val="0"/>
        <w:rPr>
          <w:rFonts w:hint="eastAsia" w:ascii="宋体" w:hAnsi="宋体" w:eastAsia="宋体" w:cs="宋体"/>
        </w:rPr>
      </w:pPr>
      <w:r>
        <w:rPr>
          <w:rFonts w:hint="eastAsia" w:ascii="宋体" w:hAnsi="宋体" w:eastAsia="宋体" w:cs="宋体"/>
          <w:lang w:val="zh-CN"/>
        </w:rPr>
        <w:t>除技术规范中另有规定外</w:t>
      </w:r>
      <w:r>
        <w:rPr>
          <w:rFonts w:hint="eastAsia" w:ascii="宋体" w:hAnsi="宋体" w:eastAsia="宋体" w:cs="宋体"/>
        </w:rPr>
        <w:t>,</w:t>
      </w:r>
      <w:r>
        <w:rPr>
          <w:rFonts w:hint="eastAsia" w:ascii="宋体" w:hAnsi="宋体" w:eastAsia="宋体" w:cs="宋体"/>
          <w:lang w:val="zh-CN"/>
        </w:rPr>
        <w:t>计量单位均使用国家法定计量单位。</w:t>
      </w:r>
    </w:p>
    <w:p w14:paraId="3579012E">
      <w:pPr>
        <w:bidi w:val="0"/>
        <w:ind w:left="0" w:leftChars="0" w:firstLine="0" w:firstLineChars="0"/>
        <w:rPr>
          <w:rFonts w:hint="eastAsia" w:ascii="宋体" w:hAnsi="宋体" w:eastAsia="宋体" w:cs="宋体"/>
          <w:b/>
          <w:bCs/>
          <w:lang w:val="zh-CN"/>
        </w:rPr>
      </w:pPr>
      <w:r>
        <w:rPr>
          <w:rFonts w:hint="eastAsia" w:ascii="宋体" w:hAnsi="宋体" w:cs="宋体"/>
          <w:b/>
          <w:bCs/>
          <w:lang w:val="en-US" w:eastAsia="zh-CN"/>
        </w:rPr>
        <w:t>21</w:t>
      </w:r>
      <w:r>
        <w:rPr>
          <w:rFonts w:hint="eastAsia" w:ascii="宋体" w:hAnsi="宋体" w:eastAsia="宋体" w:cs="宋体"/>
          <w:b/>
          <w:bCs/>
          <w:lang w:val="zh-CN"/>
        </w:rPr>
        <w:t>.适用法律</w:t>
      </w:r>
    </w:p>
    <w:p w14:paraId="76E266CF">
      <w:pPr>
        <w:bidi w:val="0"/>
        <w:rPr>
          <w:rFonts w:hint="eastAsia" w:ascii="宋体" w:hAnsi="宋体" w:eastAsia="宋体" w:cs="宋体"/>
        </w:rPr>
      </w:pPr>
      <w:r>
        <w:rPr>
          <w:rFonts w:hint="eastAsia" w:ascii="宋体" w:hAnsi="宋体" w:eastAsia="宋体" w:cs="宋体"/>
          <w:lang w:val="zh-CN"/>
        </w:rPr>
        <w:t>本合同按照中华人民共和国的相关法律进行解释。</w:t>
      </w:r>
    </w:p>
    <w:p w14:paraId="2F61AF11">
      <w:pPr>
        <w:spacing w:line="480" w:lineRule="auto"/>
        <w:ind w:firstLine="480"/>
        <w:rPr>
          <w:rFonts w:hint="eastAsia" w:ascii="宋体" w:hAnsi="宋体" w:eastAsia="宋体" w:cs="宋体"/>
          <w:color w:val="auto"/>
          <w:highlight w:val="none"/>
        </w:rPr>
      </w:pPr>
    </w:p>
    <w:p w14:paraId="7A843884">
      <w:pPr>
        <w:rPr>
          <w:rFonts w:hint="eastAsia" w:ascii="宋体" w:hAnsi="宋体" w:eastAsia="宋体" w:cs="宋体"/>
          <w:b/>
          <w:color w:val="auto"/>
          <w:kern w:val="28"/>
          <w:sz w:val="36"/>
          <w:szCs w:val="20"/>
          <w:highlight w:val="none"/>
        </w:rPr>
      </w:pPr>
      <w:r>
        <w:rPr>
          <w:rFonts w:hint="eastAsia" w:ascii="宋体" w:hAnsi="宋体" w:eastAsia="宋体" w:cs="宋体"/>
          <w:b/>
          <w:color w:val="auto"/>
          <w:kern w:val="28"/>
          <w:sz w:val="36"/>
          <w:szCs w:val="20"/>
          <w:highlight w:val="none"/>
        </w:rPr>
        <w:br w:type="page"/>
      </w:r>
    </w:p>
    <w:p w14:paraId="11BDAE17">
      <w:pPr>
        <w:pStyle w:val="3"/>
        <w:numPr>
          <w:ilvl w:val="0"/>
          <w:numId w:val="0"/>
        </w:numPr>
        <w:bidi w:val="0"/>
        <w:ind w:left="0" w:leftChars="0" w:firstLine="0" w:firstLineChars="0"/>
        <w:rPr>
          <w:rFonts w:hint="eastAsia" w:ascii="宋体" w:hAnsi="宋体" w:eastAsia="宋体" w:cs="宋体"/>
          <w:color w:val="auto"/>
          <w:highlight w:val="none"/>
        </w:rPr>
      </w:pPr>
      <w:bookmarkStart w:id="118" w:name="_Toc8547"/>
      <w:r>
        <w:rPr>
          <w:rFonts w:hint="eastAsia" w:ascii="宋体" w:hAnsi="宋体" w:eastAsia="宋体" w:cs="宋体"/>
          <w:color w:val="auto"/>
          <w:highlight w:val="none"/>
        </w:rPr>
        <w:t>第五部分</w:t>
      </w:r>
      <w:bookmarkEnd w:id="116"/>
      <w:bookmarkEnd w:id="117"/>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磋商响应文件格式</w:t>
      </w:r>
      <w:bookmarkEnd w:id="118"/>
    </w:p>
    <w:p w14:paraId="2CBEEBF3">
      <w:pPr>
        <w:pStyle w:val="5"/>
        <w:bidi w:val="0"/>
        <w:jc w:val="both"/>
        <w:rPr>
          <w:rFonts w:hint="eastAsia" w:ascii="宋体" w:hAnsi="宋体" w:eastAsia="宋体" w:cs="宋体"/>
          <w:color w:val="auto"/>
          <w:highlight w:val="none"/>
        </w:rPr>
      </w:pPr>
      <w:bookmarkStart w:id="119" w:name="_Toc4176"/>
      <w:bookmarkStart w:id="120" w:name="_Toc7065"/>
      <w:r>
        <w:rPr>
          <w:rFonts w:hint="eastAsia" w:ascii="宋体" w:hAnsi="宋体" w:eastAsia="宋体" w:cs="宋体"/>
          <w:color w:val="auto"/>
          <w:highlight w:val="none"/>
        </w:rPr>
        <w:t>附件1：磋商响应文件封面</w:t>
      </w:r>
      <w:bookmarkEnd w:id="119"/>
      <w:bookmarkEnd w:id="120"/>
    </w:p>
    <w:p w14:paraId="15186A25">
      <w:pPr>
        <w:bidi w:val="0"/>
        <w:rPr>
          <w:rFonts w:hint="eastAsia" w:ascii="宋体" w:hAnsi="宋体" w:eastAsia="宋体" w:cs="宋体"/>
          <w:color w:val="auto"/>
          <w:highlight w:val="none"/>
        </w:rPr>
      </w:pPr>
    </w:p>
    <w:p w14:paraId="769FCF55">
      <w:pPr>
        <w:bidi w:val="0"/>
        <w:rPr>
          <w:rFonts w:hint="eastAsia" w:ascii="宋体" w:hAnsi="宋体" w:eastAsia="宋体" w:cs="宋体"/>
          <w:color w:val="auto"/>
          <w:highlight w:val="none"/>
        </w:rPr>
      </w:pPr>
    </w:p>
    <w:p w14:paraId="7B06FFBB">
      <w:pPr>
        <w:bidi w:val="0"/>
        <w:rPr>
          <w:rFonts w:hint="eastAsia" w:ascii="宋体" w:hAnsi="宋体" w:eastAsia="宋体" w:cs="宋体"/>
          <w:color w:val="auto"/>
          <w:highlight w:val="none"/>
        </w:rPr>
      </w:pPr>
    </w:p>
    <w:p w14:paraId="4935DAE9">
      <w:pPr>
        <w:bidi w:val="0"/>
        <w:ind w:left="0" w:leftChars="0" w:firstLine="0" w:firstLineChars="0"/>
        <w:jc w:val="center"/>
        <w:rPr>
          <w:rFonts w:hint="eastAsia" w:ascii="宋体" w:hAnsi="宋体" w:eastAsia="宋体" w:cs="宋体"/>
          <w:b/>
          <w:bCs/>
          <w:color w:val="auto"/>
          <w:sz w:val="72"/>
          <w:szCs w:val="72"/>
          <w:highlight w:val="none"/>
        </w:rPr>
      </w:pPr>
      <w:r>
        <w:rPr>
          <w:rFonts w:hint="eastAsia" w:ascii="宋体" w:hAnsi="宋体" w:eastAsia="宋体" w:cs="宋体"/>
          <w:b/>
          <w:bCs/>
          <w:color w:val="auto"/>
          <w:sz w:val="72"/>
          <w:szCs w:val="72"/>
          <w:highlight w:val="none"/>
        </w:rPr>
        <w:t>磋商响应文件</w:t>
      </w:r>
    </w:p>
    <w:p w14:paraId="4FE5106E">
      <w:pPr>
        <w:bidi w:val="0"/>
        <w:rPr>
          <w:rFonts w:hint="eastAsia" w:ascii="宋体" w:hAnsi="宋体" w:eastAsia="宋体" w:cs="宋体"/>
          <w:color w:val="auto"/>
          <w:highlight w:val="none"/>
        </w:rPr>
      </w:pPr>
    </w:p>
    <w:p w14:paraId="3FEB5BCA">
      <w:pPr>
        <w:bidi w:val="0"/>
        <w:rPr>
          <w:rFonts w:hint="eastAsia" w:ascii="宋体" w:hAnsi="宋体" w:eastAsia="宋体" w:cs="宋体"/>
          <w:color w:val="auto"/>
          <w:highlight w:val="none"/>
        </w:rPr>
      </w:pPr>
    </w:p>
    <w:p w14:paraId="0BB78AD6">
      <w:pPr>
        <w:bidi w:val="0"/>
        <w:rPr>
          <w:rFonts w:hint="eastAsia" w:ascii="宋体" w:hAnsi="宋体" w:eastAsia="宋体" w:cs="宋体"/>
          <w:color w:val="auto"/>
          <w:highlight w:val="none"/>
        </w:rPr>
      </w:pPr>
    </w:p>
    <w:p w14:paraId="11AC607E">
      <w:pPr>
        <w:bidi w:val="0"/>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rPr>
        <w:t>采购项目编号：</w:t>
      </w:r>
      <w:r>
        <w:rPr>
          <w:rFonts w:hint="eastAsia" w:ascii="宋体" w:hAnsi="宋体" w:cs="宋体"/>
          <w:b/>
          <w:bCs/>
          <w:color w:val="auto"/>
          <w:sz w:val="32"/>
          <w:szCs w:val="32"/>
          <w:highlight w:val="none"/>
          <w:lang w:eastAsia="zh-CN"/>
        </w:rPr>
        <w:t>青海联祥磋商（服务）2026-057</w:t>
      </w:r>
    </w:p>
    <w:p w14:paraId="1DC9EFF2">
      <w:pPr>
        <w:bidi w:val="0"/>
        <w:ind w:left="2887" w:leftChars="266" w:hanging="2249" w:hangingChars="700"/>
        <w:rPr>
          <w:rFonts w:hint="eastAsia" w:ascii="宋体" w:hAnsi="宋体" w:eastAsia="宋体" w:cs="宋体"/>
          <w:b/>
          <w:bCs/>
          <w:color w:val="auto"/>
          <w:sz w:val="32"/>
          <w:szCs w:val="32"/>
          <w:highlight w:val="none"/>
          <w:lang w:val="zh-CN"/>
        </w:rPr>
      </w:pPr>
      <w:r>
        <w:rPr>
          <w:rFonts w:hint="eastAsia" w:ascii="宋体" w:hAnsi="宋体" w:eastAsia="宋体" w:cs="宋体"/>
          <w:b/>
          <w:bCs/>
          <w:color w:val="auto"/>
          <w:sz w:val="32"/>
          <w:szCs w:val="32"/>
          <w:highlight w:val="none"/>
        </w:rPr>
        <w:t>采购项目名称：</w:t>
      </w:r>
      <w:r>
        <w:rPr>
          <w:rFonts w:hint="eastAsia" w:ascii="宋体" w:hAnsi="宋体" w:cs="宋体"/>
          <w:b/>
          <w:bCs/>
          <w:color w:val="auto"/>
          <w:sz w:val="32"/>
          <w:szCs w:val="32"/>
          <w:highlight w:val="none"/>
          <w:lang w:val="zh-CN"/>
        </w:rPr>
        <w:t>青海省财政厅信息机房设备维保服务项目</w:t>
      </w:r>
    </w:p>
    <w:p w14:paraId="37DB31A0">
      <w:pPr>
        <w:bidi w:val="0"/>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lang w:eastAsia="zh-CN"/>
        </w:rPr>
        <w:t>供应商</w:t>
      </w:r>
      <w:r>
        <w:rPr>
          <w:rFonts w:hint="eastAsia" w:ascii="宋体" w:hAnsi="宋体" w:eastAsia="宋体" w:cs="宋体"/>
          <w:b/>
          <w:bCs/>
          <w:color w:val="auto"/>
          <w:sz w:val="32"/>
          <w:szCs w:val="32"/>
          <w:highlight w:val="none"/>
        </w:rPr>
        <w:t>：               （公章）</w:t>
      </w:r>
    </w:p>
    <w:p w14:paraId="076CB0D9">
      <w:pPr>
        <w:bidi w:val="0"/>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法定代表人或委托代理人：（签字或盖章）</w:t>
      </w:r>
    </w:p>
    <w:p w14:paraId="11F25B19">
      <w:pPr>
        <w:bidi w:val="0"/>
        <w:rPr>
          <w:rFonts w:hint="eastAsia" w:ascii="宋体" w:hAnsi="宋体" w:eastAsia="宋体" w:cs="宋体"/>
          <w:b/>
          <w:bCs/>
          <w:color w:val="auto"/>
          <w:sz w:val="32"/>
          <w:szCs w:val="32"/>
          <w:highlight w:val="none"/>
        </w:rPr>
      </w:pPr>
    </w:p>
    <w:p w14:paraId="7CD6FBCA">
      <w:pPr>
        <w:bidi w:val="0"/>
        <w:ind w:left="0" w:leftChars="0" w:firstLine="0" w:firstLineChars="0"/>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2"/>
          <w:szCs w:val="32"/>
          <w:highlight w:val="none"/>
        </w:rPr>
        <w:t>年  月  日</w:t>
      </w:r>
      <w:bookmarkStart w:id="121" w:name="_Toc1011"/>
    </w:p>
    <w:p w14:paraId="32CCC893">
      <w:pPr>
        <w:bidi w:val="0"/>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3F241C92">
      <w:pPr>
        <w:pStyle w:val="5"/>
        <w:bidi w:val="0"/>
        <w:jc w:val="both"/>
        <w:rPr>
          <w:rFonts w:hint="eastAsia" w:ascii="宋体" w:hAnsi="宋体" w:eastAsia="宋体" w:cs="宋体"/>
          <w:color w:val="auto"/>
          <w:highlight w:val="none"/>
        </w:rPr>
      </w:pPr>
      <w:bookmarkStart w:id="122" w:name="_Toc21681"/>
      <w:r>
        <w:rPr>
          <w:rFonts w:hint="eastAsia" w:ascii="宋体" w:hAnsi="宋体" w:eastAsia="宋体" w:cs="宋体"/>
          <w:color w:val="auto"/>
          <w:highlight w:val="none"/>
        </w:rPr>
        <w:t>附件2：目录格式</w:t>
      </w:r>
      <w:bookmarkEnd w:id="121"/>
      <w:bookmarkEnd w:id="122"/>
    </w:p>
    <w:tbl>
      <w:tblPr>
        <w:tblStyle w:val="67"/>
        <w:tblpPr w:leftFromText="180" w:rightFromText="180" w:horzAnchor="margin" w:tblpXSpec="center" w:tblpY="990"/>
        <w:tblW w:w="8419" w:type="dxa"/>
        <w:jc w:val="center"/>
        <w:tblLayout w:type="fixed"/>
        <w:tblCellMar>
          <w:top w:w="0" w:type="dxa"/>
          <w:left w:w="108" w:type="dxa"/>
          <w:bottom w:w="0" w:type="dxa"/>
          <w:right w:w="108" w:type="dxa"/>
        </w:tblCellMar>
      </w:tblPr>
      <w:tblGrid>
        <w:gridCol w:w="7014"/>
        <w:gridCol w:w="665"/>
        <w:gridCol w:w="740"/>
      </w:tblGrid>
      <w:tr w14:paraId="098C0318">
        <w:tblPrEx>
          <w:tblCellMar>
            <w:top w:w="0" w:type="dxa"/>
            <w:left w:w="108" w:type="dxa"/>
            <w:bottom w:w="0" w:type="dxa"/>
            <w:right w:w="108" w:type="dxa"/>
          </w:tblCellMar>
        </w:tblPrEx>
        <w:trPr>
          <w:trHeight w:val="462" w:hRule="exact"/>
          <w:jc w:val="center"/>
        </w:trPr>
        <w:tc>
          <w:tcPr>
            <w:tcW w:w="7014" w:type="dxa"/>
            <w:vAlign w:val="center"/>
          </w:tcPr>
          <w:p w14:paraId="1A04CF78">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color w:val="auto"/>
                <w:highlight w:val="none"/>
              </w:rPr>
            </w:pPr>
          </w:p>
        </w:tc>
        <w:tc>
          <w:tcPr>
            <w:tcW w:w="1405" w:type="dxa"/>
            <w:gridSpan w:val="2"/>
            <w:vAlign w:val="center"/>
          </w:tcPr>
          <w:p w14:paraId="216E42AC">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color w:val="auto"/>
                <w:highlight w:val="none"/>
              </w:rPr>
            </w:pPr>
            <w:r>
              <w:rPr>
                <w:rFonts w:hint="eastAsia" w:ascii="宋体" w:hAnsi="宋体" w:eastAsia="宋体" w:cs="宋体"/>
                <w:color w:val="auto"/>
                <w:highlight w:val="none"/>
              </w:rPr>
              <w:t>页码</w:t>
            </w:r>
          </w:p>
        </w:tc>
      </w:tr>
      <w:tr w14:paraId="45E3DD16">
        <w:tblPrEx>
          <w:tblCellMar>
            <w:top w:w="0" w:type="dxa"/>
            <w:left w:w="108" w:type="dxa"/>
            <w:bottom w:w="0" w:type="dxa"/>
            <w:right w:w="108" w:type="dxa"/>
          </w:tblCellMar>
        </w:tblPrEx>
        <w:trPr>
          <w:trHeight w:val="406" w:hRule="exact"/>
          <w:jc w:val="center"/>
        </w:trPr>
        <w:tc>
          <w:tcPr>
            <w:tcW w:w="7014" w:type="dxa"/>
            <w:vAlign w:val="center"/>
          </w:tcPr>
          <w:p w14:paraId="11DB368E">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color w:val="auto"/>
                <w:highlight w:val="none"/>
              </w:rPr>
            </w:pPr>
            <w:r>
              <w:rPr>
                <w:rFonts w:hint="eastAsia" w:ascii="宋体" w:hAnsi="宋体" w:eastAsia="宋体" w:cs="宋体"/>
                <w:color w:val="auto"/>
                <w:highlight w:val="none"/>
              </w:rPr>
              <w:t>1、磋商函</w:t>
            </w:r>
          </w:p>
        </w:tc>
        <w:tc>
          <w:tcPr>
            <w:tcW w:w="665" w:type="dxa"/>
            <w:vAlign w:val="center"/>
          </w:tcPr>
          <w:p w14:paraId="49779D6F">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p>
        </w:tc>
        <w:tc>
          <w:tcPr>
            <w:tcW w:w="740" w:type="dxa"/>
            <w:vAlign w:val="center"/>
          </w:tcPr>
          <w:p w14:paraId="4C9FF155">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color w:val="auto"/>
                <w:highlight w:val="none"/>
              </w:rPr>
            </w:pPr>
          </w:p>
          <w:p w14:paraId="5F7F6380">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color w:val="auto"/>
                <w:highlight w:val="none"/>
              </w:rPr>
            </w:pPr>
          </w:p>
          <w:p w14:paraId="08D1EEC3">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color w:val="auto"/>
                <w:highlight w:val="none"/>
              </w:rPr>
            </w:pPr>
          </w:p>
          <w:p w14:paraId="3DBA2FE3">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color w:val="auto"/>
                <w:highlight w:val="none"/>
              </w:rPr>
            </w:pPr>
          </w:p>
        </w:tc>
      </w:tr>
      <w:tr w14:paraId="53F0824F">
        <w:tblPrEx>
          <w:tblCellMar>
            <w:top w:w="0" w:type="dxa"/>
            <w:left w:w="108" w:type="dxa"/>
            <w:bottom w:w="0" w:type="dxa"/>
            <w:right w:w="108" w:type="dxa"/>
          </w:tblCellMar>
        </w:tblPrEx>
        <w:trPr>
          <w:trHeight w:val="674" w:hRule="exact"/>
          <w:jc w:val="center"/>
        </w:trPr>
        <w:tc>
          <w:tcPr>
            <w:tcW w:w="7014" w:type="dxa"/>
            <w:vAlign w:val="center"/>
          </w:tcPr>
          <w:p w14:paraId="1ADF735F">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color w:val="auto"/>
                <w:highlight w:val="none"/>
              </w:rPr>
            </w:pPr>
            <w:r>
              <w:rPr>
                <w:rFonts w:hint="eastAsia" w:ascii="宋体" w:hAnsi="宋体" w:eastAsia="宋体" w:cs="宋体"/>
                <w:color w:val="auto"/>
                <w:highlight w:val="none"/>
              </w:rPr>
              <w:t>2、最初报价表</w:t>
            </w:r>
          </w:p>
        </w:tc>
        <w:tc>
          <w:tcPr>
            <w:tcW w:w="665" w:type="dxa"/>
            <w:vAlign w:val="center"/>
          </w:tcPr>
          <w:p w14:paraId="3251DE9F">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p>
        </w:tc>
        <w:tc>
          <w:tcPr>
            <w:tcW w:w="740" w:type="dxa"/>
            <w:vAlign w:val="center"/>
          </w:tcPr>
          <w:p w14:paraId="5BFC15F4">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color w:val="auto"/>
                <w:highlight w:val="none"/>
              </w:rPr>
            </w:pPr>
          </w:p>
        </w:tc>
      </w:tr>
      <w:tr w14:paraId="0E8A65E8">
        <w:tblPrEx>
          <w:tblCellMar>
            <w:top w:w="0" w:type="dxa"/>
            <w:left w:w="108" w:type="dxa"/>
            <w:bottom w:w="0" w:type="dxa"/>
            <w:right w:w="108" w:type="dxa"/>
          </w:tblCellMar>
        </w:tblPrEx>
        <w:trPr>
          <w:trHeight w:val="588" w:hRule="exact"/>
          <w:jc w:val="center"/>
        </w:trPr>
        <w:tc>
          <w:tcPr>
            <w:tcW w:w="7014" w:type="dxa"/>
            <w:vAlign w:val="center"/>
          </w:tcPr>
          <w:p w14:paraId="4846ACBC">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color w:val="auto"/>
                <w:highlight w:val="none"/>
              </w:rPr>
            </w:pPr>
            <w:r>
              <w:rPr>
                <w:rFonts w:hint="eastAsia" w:ascii="宋体" w:hAnsi="宋体" w:eastAsia="宋体" w:cs="宋体"/>
                <w:color w:val="auto"/>
                <w:highlight w:val="none"/>
              </w:rPr>
              <w:t>3、服务条款偏离表</w:t>
            </w:r>
          </w:p>
        </w:tc>
        <w:tc>
          <w:tcPr>
            <w:tcW w:w="665" w:type="dxa"/>
            <w:vAlign w:val="center"/>
          </w:tcPr>
          <w:p w14:paraId="3E0ADC93">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p>
        </w:tc>
        <w:tc>
          <w:tcPr>
            <w:tcW w:w="740" w:type="dxa"/>
            <w:vAlign w:val="center"/>
          </w:tcPr>
          <w:p w14:paraId="2C50CC18">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color w:val="auto"/>
                <w:highlight w:val="none"/>
              </w:rPr>
            </w:pPr>
          </w:p>
        </w:tc>
      </w:tr>
      <w:tr w14:paraId="2EF31A2C">
        <w:tblPrEx>
          <w:tblCellMar>
            <w:top w:w="0" w:type="dxa"/>
            <w:left w:w="108" w:type="dxa"/>
            <w:bottom w:w="0" w:type="dxa"/>
            <w:right w:w="108" w:type="dxa"/>
          </w:tblCellMar>
        </w:tblPrEx>
        <w:trPr>
          <w:trHeight w:val="588" w:hRule="exact"/>
          <w:jc w:val="center"/>
        </w:trPr>
        <w:tc>
          <w:tcPr>
            <w:tcW w:w="7014" w:type="dxa"/>
            <w:vAlign w:val="center"/>
          </w:tcPr>
          <w:p w14:paraId="3F08D2FA">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color w:val="auto"/>
                <w:highlight w:val="none"/>
              </w:rPr>
            </w:pPr>
            <w:r>
              <w:rPr>
                <w:rFonts w:hint="eastAsia" w:ascii="宋体" w:hAnsi="宋体" w:eastAsia="宋体" w:cs="宋体"/>
                <w:color w:val="auto"/>
                <w:highlight w:val="none"/>
              </w:rPr>
              <w:t>4、商务条款偏离表</w:t>
            </w:r>
          </w:p>
        </w:tc>
        <w:tc>
          <w:tcPr>
            <w:tcW w:w="665" w:type="dxa"/>
            <w:vAlign w:val="center"/>
          </w:tcPr>
          <w:p w14:paraId="0B6392D2">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p>
        </w:tc>
        <w:tc>
          <w:tcPr>
            <w:tcW w:w="740" w:type="dxa"/>
            <w:vAlign w:val="center"/>
          </w:tcPr>
          <w:p w14:paraId="7D14C14C">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color w:val="auto"/>
                <w:highlight w:val="none"/>
              </w:rPr>
            </w:pPr>
          </w:p>
        </w:tc>
      </w:tr>
      <w:tr w14:paraId="761A9021">
        <w:tblPrEx>
          <w:tblCellMar>
            <w:top w:w="0" w:type="dxa"/>
            <w:left w:w="108" w:type="dxa"/>
            <w:bottom w:w="0" w:type="dxa"/>
            <w:right w:w="108" w:type="dxa"/>
          </w:tblCellMar>
        </w:tblPrEx>
        <w:trPr>
          <w:trHeight w:val="588" w:hRule="exact"/>
          <w:jc w:val="center"/>
        </w:trPr>
        <w:tc>
          <w:tcPr>
            <w:tcW w:w="7014" w:type="dxa"/>
            <w:vAlign w:val="center"/>
          </w:tcPr>
          <w:p w14:paraId="029818AB">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color w:val="auto"/>
                <w:highlight w:val="none"/>
              </w:rPr>
            </w:pPr>
            <w:r>
              <w:rPr>
                <w:rFonts w:hint="eastAsia" w:ascii="宋体" w:hAnsi="宋体" w:eastAsia="宋体" w:cs="宋体"/>
                <w:color w:val="auto"/>
                <w:highlight w:val="none"/>
              </w:rPr>
              <w:t>5、法定代表人证明书</w:t>
            </w:r>
          </w:p>
        </w:tc>
        <w:tc>
          <w:tcPr>
            <w:tcW w:w="665" w:type="dxa"/>
            <w:vAlign w:val="center"/>
          </w:tcPr>
          <w:p w14:paraId="1E043454">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p>
        </w:tc>
        <w:tc>
          <w:tcPr>
            <w:tcW w:w="740" w:type="dxa"/>
            <w:vAlign w:val="center"/>
          </w:tcPr>
          <w:p w14:paraId="43AC0A37">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color w:val="auto"/>
                <w:highlight w:val="none"/>
              </w:rPr>
            </w:pPr>
          </w:p>
        </w:tc>
      </w:tr>
      <w:tr w14:paraId="0A98052B">
        <w:tblPrEx>
          <w:tblCellMar>
            <w:top w:w="0" w:type="dxa"/>
            <w:left w:w="108" w:type="dxa"/>
            <w:bottom w:w="0" w:type="dxa"/>
            <w:right w:w="108" w:type="dxa"/>
          </w:tblCellMar>
        </w:tblPrEx>
        <w:trPr>
          <w:trHeight w:val="588" w:hRule="exact"/>
          <w:jc w:val="center"/>
        </w:trPr>
        <w:tc>
          <w:tcPr>
            <w:tcW w:w="7014" w:type="dxa"/>
            <w:vAlign w:val="center"/>
          </w:tcPr>
          <w:p w14:paraId="1474D0C9">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color w:val="auto"/>
                <w:highlight w:val="none"/>
              </w:rPr>
            </w:pPr>
            <w:r>
              <w:rPr>
                <w:rFonts w:hint="eastAsia" w:ascii="宋体" w:hAnsi="宋体" w:eastAsia="宋体" w:cs="宋体"/>
                <w:color w:val="auto"/>
                <w:highlight w:val="none"/>
              </w:rPr>
              <w:t>6、法定代表人授权书</w:t>
            </w:r>
          </w:p>
        </w:tc>
        <w:tc>
          <w:tcPr>
            <w:tcW w:w="665" w:type="dxa"/>
            <w:vAlign w:val="center"/>
          </w:tcPr>
          <w:p w14:paraId="48B8B228">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p>
        </w:tc>
        <w:tc>
          <w:tcPr>
            <w:tcW w:w="740" w:type="dxa"/>
            <w:vAlign w:val="center"/>
          </w:tcPr>
          <w:p w14:paraId="77047D27">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color w:val="auto"/>
                <w:highlight w:val="none"/>
              </w:rPr>
            </w:pPr>
          </w:p>
        </w:tc>
      </w:tr>
      <w:tr w14:paraId="1EB95C47">
        <w:tblPrEx>
          <w:tblCellMar>
            <w:top w:w="0" w:type="dxa"/>
            <w:left w:w="108" w:type="dxa"/>
            <w:bottom w:w="0" w:type="dxa"/>
            <w:right w:w="108" w:type="dxa"/>
          </w:tblCellMar>
        </w:tblPrEx>
        <w:trPr>
          <w:trHeight w:val="588" w:hRule="exact"/>
          <w:jc w:val="center"/>
        </w:trPr>
        <w:tc>
          <w:tcPr>
            <w:tcW w:w="7014" w:type="dxa"/>
            <w:vAlign w:val="center"/>
          </w:tcPr>
          <w:p w14:paraId="14F0AA15">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color w:val="auto"/>
                <w:highlight w:val="none"/>
              </w:rPr>
            </w:pPr>
            <w:r>
              <w:rPr>
                <w:rFonts w:hint="eastAsia" w:ascii="宋体" w:hAnsi="宋体" w:eastAsia="宋体" w:cs="宋体"/>
                <w:color w:val="auto"/>
                <w:highlight w:val="none"/>
              </w:rPr>
              <w:t>7、供应商承诺函</w:t>
            </w:r>
          </w:p>
        </w:tc>
        <w:tc>
          <w:tcPr>
            <w:tcW w:w="665" w:type="dxa"/>
            <w:vAlign w:val="center"/>
          </w:tcPr>
          <w:p w14:paraId="10C8F524">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p>
        </w:tc>
        <w:tc>
          <w:tcPr>
            <w:tcW w:w="740" w:type="dxa"/>
            <w:vAlign w:val="center"/>
          </w:tcPr>
          <w:p w14:paraId="6C74BEAF">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color w:val="auto"/>
                <w:highlight w:val="none"/>
              </w:rPr>
            </w:pPr>
          </w:p>
        </w:tc>
      </w:tr>
      <w:tr w14:paraId="5E9EE446">
        <w:tblPrEx>
          <w:tblCellMar>
            <w:top w:w="0" w:type="dxa"/>
            <w:left w:w="108" w:type="dxa"/>
            <w:bottom w:w="0" w:type="dxa"/>
            <w:right w:w="108" w:type="dxa"/>
          </w:tblCellMar>
        </w:tblPrEx>
        <w:trPr>
          <w:trHeight w:val="588" w:hRule="exact"/>
          <w:jc w:val="center"/>
        </w:trPr>
        <w:tc>
          <w:tcPr>
            <w:tcW w:w="7014" w:type="dxa"/>
            <w:vAlign w:val="center"/>
          </w:tcPr>
          <w:p w14:paraId="4EC3C10B">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color w:val="auto"/>
                <w:highlight w:val="none"/>
              </w:rPr>
            </w:pPr>
            <w:r>
              <w:rPr>
                <w:rFonts w:hint="eastAsia" w:ascii="宋体" w:hAnsi="宋体" w:eastAsia="宋体" w:cs="宋体"/>
                <w:color w:val="auto"/>
                <w:highlight w:val="none"/>
              </w:rPr>
              <w:t>8、供应商诚信承诺书</w:t>
            </w:r>
          </w:p>
        </w:tc>
        <w:tc>
          <w:tcPr>
            <w:tcW w:w="665" w:type="dxa"/>
            <w:vAlign w:val="center"/>
          </w:tcPr>
          <w:p w14:paraId="6E26AA8F">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p>
        </w:tc>
        <w:tc>
          <w:tcPr>
            <w:tcW w:w="740" w:type="dxa"/>
            <w:vAlign w:val="center"/>
          </w:tcPr>
          <w:p w14:paraId="37A24EAA">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color w:val="auto"/>
                <w:highlight w:val="none"/>
              </w:rPr>
            </w:pPr>
          </w:p>
        </w:tc>
      </w:tr>
      <w:tr w14:paraId="722905FD">
        <w:tblPrEx>
          <w:tblCellMar>
            <w:top w:w="0" w:type="dxa"/>
            <w:left w:w="108" w:type="dxa"/>
            <w:bottom w:w="0" w:type="dxa"/>
            <w:right w:w="108" w:type="dxa"/>
          </w:tblCellMar>
        </w:tblPrEx>
        <w:trPr>
          <w:trHeight w:val="588" w:hRule="exact"/>
          <w:jc w:val="center"/>
        </w:trPr>
        <w:tc>
          <w:tcPr>
            <w:tcW w:w="7014" w:type="dxa"/>
            <w:vAlign w:val="center"/>
          </w:tcPr>
          <w:p w14:paraId="0662FDD1">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color w:val="auto"/>
                <w:highlight w:val="none"/>
              </w:rPr>
            </w:pPr>
            <w:r>
              <w:rPr>
                <w:rFonts w:hint="eastAsia" w:ascii="宋体" w:hAnsi="宋体" w:eastAsia="宋体" w:cs="宋体"/>
                <w:color w:val="auto"/>
                <w:highlight w:val="none"/>
              </w:rPr>
              <w:t>9、资格证明材料</w:t>
            </w:r>
          </w:p>
        </w:tc>
        <w:tc>
          <w:tcPr>
            <w:tcW w:w="665" w:type="dxa"/>
            <w:vAlign w:val="center"/>
          </w:tcPr>
          <w:p w14:paraId="1BA097A1">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p>
        </w:tc>
        <w:tc>
          <w:tcPr>
            <w:tcW w:w="740" w:type="dxa"/>
            <w:vAlign w:val="center"/>
          </w:tcPr>
          <w:p w14:paraId="4429B536">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color w:val="auto"/>
                <w:highlight w:val="none"/>
              </w:rPr>
            </w:pPr>
          </w:p>
        </w:tc>
      </w:tr>
      <w:tr w14:paraId="0EB22980">
        <w:tblPrEx>
          <w:tblCellMar>
            <w:top w:w="0" w:type="dxa"/>
            <w:left w:w="108" w:type="dxa"/>
            <w:bottom w:w="0" w:type="dxa"/>
            <w:right w:w="108" w:type="dxa"/>
          </w:tblCellMar>
        </w:tblPrEx>
        <w:trPr>
          <w:trHeight w:val="588" w:hRule="exact"/>
          <w:jc w:val="center"/>
        </w:trPr>
        <w:tc>
          <w:tcPr>
            <w:tcW w:w="7014" w:type="dxa"/>
            <w:vAlign w:val="center"/>
          </w:tcPr>
          <w:p w14:paraId="1B869D05">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color w:val="auto"/>
                <w:highlight w:val="none"/>
              </w:rPr>
            </w:pPr>
            <w:r>
              <w:rPr>
                <w:rFonts w:hint="eastAsia" w:ascii="宋体" w:hAnsi="宋体" w:eastAsia="宋体" w:cs="宋体"/>
                <w:color w:val="auto"/>
                <w:highlight w:val="none"/>
              </w:rPr>
              <w:t>10、财务状况、缴纳税收和社会保障资金证明</w:t>
            </w:r>
          </w:p>
        </w:tc>
        <w:tc>
          <w:tcPr>
            <w:tcW w:w="665" w:type="dxa"/>
            <w:vAlign w:val="center"/>
          </w:tcPr>
          <w:p w14:paraId="5B816C29">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p>
        </w:tc>
        <w:tc>
          <w:tcPr>
            <w:tcW w:w="740" w:type="dxa"/>
            <w:vAlign w:val="center"/>
          </w:tcPr>
          <w:p w14:paraId="3C8009AC">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color w:val="auto"/>
                <w:highlight w:val="none"/>
              </w:rPr>
            </w:pPr>
          </w:p>
        </w:tc>
      </w:tr>
      <w:tr w14:paraId="6C1206BF">
        <w:tblPrEx>
          <w:tblCellMar>
            <w:top w:w="0" w:type="dxa"/>
            <w:left w:w="108" w:type="dxa"/>
            <w:bottom w:w="0" w:type="dxa"/>
            <w:right w:w="108" w:type="dxa"/>
          </w:tblCellMar>
        </w:tblPrEx>
        <w:trPr>
          <w:trHeight w:val="588" w:hRule="exact"/>
          <w:jc w:val="center"/>
        </w:trPr>
        <w:tc>
          <w:tcPr>
            <w:tcW w:w="7014" w:type="dxa"/>
            <w:vAlign w:val="center"/>
          </w:tcPr>
          <w:p w14:paraId="4F178DAC">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color w:val="auto"/>
                <w:highlight w:val="none"/>
              </w:rPr>
            </w:pPr>
            <w:r>
              <w:rPr>
                <w:rFonts w:hint="eastAsia" w:ascii="宋体" w:hAnsi="宋体" w:eastAsia="宋体" w:cs="宋体"/>
                <w:color w:val="auto"/>
                <w:highlight w:val="none"/>
              </w:rPr>
              <w:t>11、</w:t>
            </w:r>
            <w:r>
              <w:rPr>
                <w:rFonts w:hint="eastAsia" w:ascii="宋体" w:hAnsi="宋体" w:eastAsia="宋体" w:cs="宋体"/>
                <w:color w:val="auto"/>
                <w:highlight w:val="none"/>
                <w:lang w:val="zh-CN"/>
              </w:rPr>
              <w:t>具备履行合同所必须的设备和专业技术能力证明</w:t>
            </w:r>
          </w:p>
        </w:tc>
        <w:tc>
          <w:tcPr>
            <w:tcW w:w="665" w:type="dxa"/>
            <w:vAlign w:val="center"/>
          </w:tcPr>
          <w:p w14:paraId="3B28112A">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p>
        </w:tc>
        <w:tc>
          <w:tcPr>
            <w:tcW w:w="740" w:type="dxa"/>
            <w:vAlign w:val="center"/>
          </w:tcPr>
          <w:p w14:paraId="551ACED3">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color w:val="auto"/>
                <w:highlight w:val="none"/>
              </w:rPr>
            </w:pPr>
          </w:p>
        </w:tc>
      </w:tr>
      <w:tr w14:paraId="6BC6F94B">
        <w:tblPrEx>
          <w:tblCellMar>
            <w:top w:w="0" w:type="dxa"/>
            <w:left w:w="108" w:type="dxa"/>
            <w:bottom w:w="0" w:type="dxa"/>
            <w:right w:w="108" w:type="dxa"/>
          </w:tblCellMar>
        </w:tblPrEx>
        <w:trPr>
          <w:trHeight w:val="588" w:hRule="exact"/>
          <w:jc w:val="center"/>
        </w:trPr>
        <w:tc>
          <w:tcPr>
            <w:tcW w:w="7014" w:type="dxa"/>
            <w:vAlign w:val="center"/>
          </w:tcPr>
          <w:p w14:paraId="7C0459BC">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color w:val="auto"/>
                <w:highlight w:val="none"/>
              </w:rPr>
            </w:pPr>
            <w:r>
              <w:rPr>
                <w:rFonts w:hint="eastAsia" w:ascii="宋体" w:hAnsi="宋体" w:eastAsia="宋体" w:cs="宋体"/>
                <w:color w:val="auto"/>
                <w:highlight w:val="none"/>
              </w:rPr>
              <w:t>12、无重大违法记录声明</w:t>
            </w:r>
          </w:p>
        </w:tc>
        <w:tc>
          <w:tcPr>
            <w:tcW w:w="665" w:type="dxa"/>
            <w:vAlign w:val="center"/>
          </w:tcPr>
          <w:p w14:paraId="0890A5F4">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p>
        </w:tc>
        <w:tc>
          <w:tcPr>
            <w:tcW w:w="740" w:type="dxa"/>
            <w:vAlign w:val="center"/>
          </w:tcPr>
          <w:p w14:paraId="35DE3910">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color w:val="auto"/>
                <w:highlight w:val="none"/>
              </w:rPr>
            </w:pPr>
          </w:p>
        </w:tc>
      </w:tr>
      <w:tr w14:paraId="416E4960">
        <w:tblPrEx>
          <w:tblCellMar>
            <w:top w:w="0" w:type="dxa"/>
            <w:left w:w="108" w:type="dxa"/>
            <w:bottom w:w="0" w:type="dxa"/>
            <w:right w:w="108" w:type="dxa"/>
          </w:tblCellMar>
        </w:tblPrEx>
        <w:trPr>
          <w:trHeight w:val="588" w:hRule="exact"/>
          <w:jc w:val="center"/>
        </w:trPr>
        <w:tc>
          <w:tcPr>
            <w:tcW w:w="7014" w:type="dxa"/>
            <w:vAlign w:val="center"/>
          </w:tcPr>
          <w:p w14:paraId="3240796C">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color w:val="auto"/>
                <w:highlight w:val="none"/>
              </w:rPr>
            </w:pPr>
            <w:r>
              <w:rPr>
                <w:rFonts w:hint="eastAsia" w:ascii="宋体" w:hAnsi="宋体" w:eastAsia="宋体" w:cs="宋体"/>
                <w:color w:val="auto"/>
                <w:highlight w:val="none"/>
              </w:rPr>
              <w:t>13、人员简历表</w:t>
            </w:r>
          </w:p>
        </w:tc>
        <w:tc>
          <w:tcPr>
            <w:tcW w:w="665" w:type="dxa"/>
            <w:vAlign w:val="center"/>
          </w:tcPr>
          <w:p w14:paraId="31F9B162">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p>
        </w:tc>
        <w:tc>
          <w:tcPr>
            <w:tcW w:w="740" w:type="dxa"/>
            <w:vAlign w:val="center"/>
          </w:tcPr>
          <w:p w14:paraId="3A58D9F9">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color w:val="auto"/>
                <w:highlight w:val="none"/>
              </w:rPr>
            </w:pPr>
          </w:p>
        </w:tc>
      </w:tr>
      <w:tr w14:paraId="7EF44433">
        <w:tblPrEx>
          <w:tblCellMar>
            <w:top w:w="0" w:type="dxa"/>
            <w:left w:w="108" w:type="dxa"/>
            <w:bottom w:w="0" w:type="dxa"/>
            <w:right w:w="108" w:type="dxa"/>
          </w:tblCellMar>
        </w:tblPrEx>
        <w:trPr>
          <w:trHeight w:val="588" w:hRule="exact"/>
          <w:jc w:val="center"/>
        </w:trPr>
        <w:tc>
          <w:tcPr>
            <w:tcW w:w="7014" w:type="dxa"/>
            <w:vAlign w:val="center"/>
          </w:tcPr>
          <w:p w14:paraId="07B19857">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color w:val="auto"/>
                <w:highlight w:val="none"/>
              </w:rPr>
            </w:pPr>
            <w:r>
              <w:rPr>
                <w:rFonts w:hint="eastAsia" w:ascii="宋体" w:hAnsi="宋体" w:eastAsia="宋体" w:cs="宋体"/>
                <w:color w:val="auto"/>
                <w:highlight w:val="none"/>
              </w:rPr>
              <w:t>14、类似业绩证明材料</w:t>
            </w:r>
          </w:p>
        </w:tc>
        <w:tc>
          <w:tcPr>
            <w:tcW w:w="665" w:type="dxa"/>
            <w:vAlign w:val="center"/>
          </w:tcPr>
          <w:p w14:paraId="0D4A832C">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p>
        </w:tc>
        <w:tc>
          <w:tcPr>
            <w:tcW w:w="740" w:type="dxa"/>
            <w:vAlign w:val="center"/>
          </w:tcPr>
          <w:p w14:paraId="681C5EE8">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color w:val="auto"/>
                <w:highlight w:val="none"/>
              </w:rPr>
            </w:pPr>
          </w:p>
        </w:tc>
      </w:tr>
      <w:tr w14:paraId="574E7EB2">
        <w:tblPrEx>
          <w:tblCellMar>
            <w:top w:w="0" w:type="dxa"/>
            <w:left w:w="108" w:type="dxa"/>
            <w:bottom w:w="0" w:type="dxa"/>
            <w:right w:w="108" w:type="dxa"/>
          </w:tblCellMar>
        </w:tblPrEx>
        <w:trPr>
          <w:trHeight w:val="588" w:hRule="exact"/>
          <w:jc w:val="center"/>
        </w:trPr>
        <w:tc>
          <w:tcPr>
            <w:tcW w:w="7014" w:type="dxa"/>
            <w:vAlign w:val="center"/>
          </w:tcPr>
          <w:p w14:paraId="65ECEE7D">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color w:val="auto"/>
                <w:highlight w:val="none"/>
              </w:rPr>
            </w:pPr>
            <w:r>
              <w:rPr>
                <w:rFonts w:hint="eastAsia" w:ascii="宋体" w:hAnsi="宋体" w:eastAsia="宋体" w:cs="宋体"/>
                <w:color w:val="auto"/>
                <w:highlight w:val="none"/>
              </w:rPr>
              <w:t>15、服务能力与方案</w:t>
            </w:r>
          </w:p>
        </w:tc>
        <w:tc>
          <w:tcPr>
            <w:tcW w:w="665" w:type="dxa"/>
            <w:vAlign w:val="center"/>
          </w:tcPr>
          <w:p w14:paraId="330D8774">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p>
        </w:tc>
        <w:tc>
          <w:tcPr>
            <w:tcW w:w="740" w:type="dxa"/>
            <w:vAlign w:val="center"/>
          </w:tcPr>
          <w:p w14:paraId="61C4DDF0">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color w:val="auto"/>
                <w:highlight w:val="none"/>
              </w:rPr>
            </w:pPr>
          </w:p>
        </w:tc>
      </w:tr>
      <w:tr w14:paraId="36A78479">
        <w:tblPrEx>
          <w:tblCellMar>
            <w:top w:w="0" w:type="dxa"/>
            <w:left w:w="108" w:type="dxa"/>
            <w:bottom w:w="0" w:type="dxa"/>
            <w:right w:w="108" w:type="dxa"/>
          </w:tblCellMar>
        </w:tblPrEx>
        <w:trPr>
          <w:trHeight w:val="588" w:hRule="exact"/>
          <w:jc w:val="center"/>
        </w:trPr>
        <w:tc>
          <w:tcPr>
            <w:tcW w:w="7014" w:type="dxa"/>
            <w:vAlign w:val="center"/>
          </w:tcPr>
          <w:p w14:paraId="1CC18BAA">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color w:val="auto"/>
                <w:highlight w:val="none"/>
              </w:rPr>
            </w:pPr>
            <w:r>
              <w:rPr>
                <w:rFonts w:hint="eastAsia" w:ascii="宋体" w:hAnsi="宋体" w:eastAsia="宋体" w:cs="宋体"/>
                <w:color w:val="auto"/>
                <w:highlight w:val="none"/>
              </w:rPr>
              <w:t>16、最终报价表</w:t>
            </w:r>
          </w:p>
        </w:tc>
        <w:tc>
          <w:tcPr>
            <w:tcW w:w="665" w:type="dxa"/>
            <w:vAlign w:val="center"/>
          </w:tcPr>
          <w:p w14:paraId="2E23EF08">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p>
        </w:tc>
        <w:tc>
          <w:tcPr>
            <w:tcW w:w="740" w:type="dxa"/>
            <w:vAlign w:val="center"/>
          </w:tcPr>
          <w:p w14:paraId="457336D7">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color w:val="auto"/>
                <w:highlight w:val="none"/>
              </w:rPr>
            </w:pPr>
          </w:p>
        </w:tc>
      </w:tr>
      <w:tr w14:paraId="455E0A31">
        <w:tblPrEx>
          <w:tblCellMar>
            <w:top w:w="0" w:type="dxa"/>
            <w:left w:w="108" w:type="dxa"/>
            <w:bottom w:w="0" w:type="dxa"/>
            <w:right w:w="108" w:type="dxa"/>
          </w:tblCellMar>
        </w:tblPrEx>
        <w:trPr>
          <w:trHeight w:val="588" w:hRule="exact"/>
          <w:jc w:val="center"/>
        </w:trPr>
        <w:tc>
          <w:tcPr>
            <w:tcW w:w="7014" w:type="dxa"/>
            <w:vAlign w:val="center"/>
          </w:tcPr>
          <w:p w14:paraId="636A6A4C">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color w:val="auto"/>
                <w:highlight w:val="none"/>
              </w:rPr>
            </w:pPr>
            <w:r>
              <w:rPr>
                <w:rFonts w:hint="eastAsia" w:ascii="宋体" w:hAnsi="宋体" w:eastAsia="宋体" w:cs="宋体"/>
                <w:color w:val="auto"/>
                <w:highlight w:val="none"/>
              </w:rPr>
              <w:t>17、</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认为有必要说明的其他方面事项</w:t>
            </w:r>
          </w:p>
        </w:tc>
        <w:tc>
          <w:tcPr>
            <w:tcW w:w="665" w:type="dxa"/>
            <w:vAlign w:val="center"/>
          </w:tcPr>
          <w:p w14:paraId="4B548CF1">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p>
        </w:tc>
        <w:tc>
          <w:tcPr>
            <w:tcW w:w="740" w:type="dxa"/>
            <w:vAlign w:val="center"/>
          </w:tcPr>
          <w:p w14:paraId="42AEB7F6">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color w:val="auto"/>
                <w:highlight w:val="none"/>
              </w:rPr>
            </w:pPr>
          </w:p>
        </w:tc>
      </w:tr>
      <w:tr w14:paraId="00AE4BB1">
        <w:tblPrEx>
          <w:tblCellMar>
            <w:top w:w="0" w:type="dxa"/>
            <w:left w:w="108" w:type="dxa"/>
            <w:bottom w:w="0" w:type="dxa"/>
            <w:right w:w="108" w:type="dxa"/>
          </w:tblCellMar>
        </w:tblPrEx>
        <w:trPr>
          <w:trHeight w:val="588" w:hRule="exact"/>
          <w:jc w:val="center"/>
        </w:trPr>
        <w:tc>
          <w:tcPr>
            <w:tcW w:w="7014" w:type="dxa"/>
            <w:vAlign w:val="center"/>
          </w:tcPr>
          <w:p w14:paraId="33835C28">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color w:val="auto"/>
                <w:highlight w:val="none"/>
              </w:rPr>
            </w:pPr>
            <w:r>
              <w:rPr>
                <w:rFonts w:hint="eastAsia" w:ascii="宋体" w:hAnsi="宋体" w:eastAsia="宋体" w:cs="宋体"/>
                <w:color w:val="auto"/>
                <w:highlight w:val="none"/>
              </w:rPr>
              <w:t>18、享受政府采购政策优惠的证明资料</w:t>
            </w:r>
          </w:p>
        </w:tc>
        <w:tc>
          <w:tcPr>
            <w:tcW w:w="665" w:type="dxa"/>
            <w:vAlign w:val="center"/>
          </w:tcPr>
          <w:p w14:paraId="0247479D">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p>
        </w:tc>
        <w:tc>
          <w:tcPr>
            <w:tcW w:w="740" w:type="dxa"/>
            <w:vAlign w:val="center"/>
          </w:tcPr>
          <w:p w14:paraId="57FE6239">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color w:val="auto"/>
                <w:highlight w:val="none"/>
              </w:rPr>
            </w:pPr>
          </w:p>
        </w:tc>
      </w:tr>
      <w:tr w14:paraId="4EBEE8DC">
        <w:tblPrEx>
          <w:tblCellMar>
            <w:top w:w="0" w:type="dxa"/>
            <w:left w:w="108" w:type="dxa"/>
            <w:bottom w:w="0" w:type="dxa"/>
            <w:right w:w="108" w:type="dxa"/>
          </w:tblCellMar>
        </w:tblPrEx>
        <w:trPr>
          <w:trHeight w:val="588" w:hRule="exact"/>
          <w:jc w:val="center"/>
        </w:trPr>
        <w:tc>
          <w:tcPr>
            <w:tcW w:w="7014" w:type="dxa"/>
            <w:vAlign w:val="center"/>
          </w:tcPr>
          <w:p w14:paraId="033E31CB">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color w:val="auto"/>
                <w:highlight w:val="none"/>
              </w:rPr>
            </w:pPr>
          </w:p>
        </w:tc>
        <w:tc>
          <w:tcPr>
            <w:tcW w:w="665" w:type="dxa"/>
            <w:vAlign w:val="center"/>
          </w:tcPr>
          <w:p w14:paraId="18DF7B93">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color w:val="auto"/>
                <w:highlight w:val="none"/>
              </w:rPr>
            </w:pPr>
          </w:p>
        </w:tc>
        <w:tc>
          <w:tcPr>
            <w:tcW w:w="740" w:type="dxa"/>
            <w:vAlign w:val="center"/>
          </w:tcPr>
          <w:p w14:paraId="7ED515DB">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color w:val="auto"/>
                <w:highlight w:val="none"/>
              </w:rPr>
            </w:pPr>
          </w:p>
        </w:tc>
      </w:tr>
    </w:tbl>
    <w:p w14:paraId="1CB5B63C">
      <w:pPr>
        <w:bidi w:val="0"/>
        <w:rPr>
          <w:rFonts w:hint="eastAsia" w:ascii="宋体" w:hAnsi="宋体" w:eastAsia="宋体" w:cs="宋体"/>
          <w:color w:val="auto"/>
          <w:highlight w:val="none"/>
        </w:rPr>
      </w:pPr>
    </w:p>
    <w:p w14:paraId="43098F59">
      <w:pPr>
        <w:bidi w:val="0"/>
        <w:rPr>
          <w:rFonts w:hint="eastAsia" w:ascii="宋体" w:hAnsi="宋体" w:eastAsia="宋体" w:cs="宋体"/>
          <w:color w:val="auto"/>
          <w:highlight w:val="none"/>
        </w:rPr>
      </w:pPr>
    </w:p>
    <w:p w14:paraId="39A330EF">
      <w:pPr>
        <w:bidi w:val="0"/>
        <w:rPr>
          <w:rFonts w:hint="eastAsia" w:ascii="宋体" w:hAnsi="宋体" w:eastAsia="宋体" w:cs="宋体"/>
          <w:color w:val="auto"/>
          <w:highlight w:val="none"/>
        </w:rPr>
      </w:pPr>
    </w:p>
    <w:p w14:paraId="58AF5113">
      <w:pPr>
        <w:pStyle w:val="5"/>
        <w:bidi w:val="0"/>
        <w:jc w:val="both"/>
        <w:rPr>
          <w:rFonts w:hint="eastAsia" w:ascii="宋体" w:hAnsi="宋体" w:eastAsia="宋体" w:cs="宋体"/>
          <w:color w:val="auto"/>
          <w:highlight w:val="none"/>
        </w:rPr>
      </w:pPr>
      <w:bookmarkStart w:id="123" w:name="_Toc32110"/>
      <w:r>
        <w:rPr>
          <w:rFonts w:hint="eastAsia" w:ascii="宋体" w:hAnsi="宋体" w:eastAsia="宋体" w:cs="宋体"/>
          <w:color w:val="auto"/>
          <w:highlight w:val="none"/>
        </w:rPr>
        <w:t>附件</w:t>
      </w:r>
      <w:bookmarkStart w:id="124" w:name="_Toc325726037"/>
      <w:bookmarkStart w:id="125" w:name="_Toc376936768"/>
      <w:r>
        <w:rPr>
          <w:rFonts w:hint="eastAsia" w:ascii="宋体" w:hAnsi="宋体" w:eastAsia="宋体" w:cs="宋体"/>
          <w:color w:val="auto"/>
          <w:highlight w:val="none"/>
        </w:rPr>
        <w:t>3：磋商函</w:t>
      </w:r>
      <w:bookmarkEnd w:id="123"/>
      <w:bookmarkEnd w:id="124"/>
      <w:bookmarkEnd w:id="125"/>
    </w:p>
    <w:p w14:paraId="7CC35D27">
      <w:pPr>
        <w:bidi w:val="0"/>
        <w:ind w:left="0" w:leftChars="0" w:firstLine="0" w:firstLineChars="0"/>
        <w:jc w:val="center"/>
        <w:rPr>
          <w:rFonts w:hint="eastAsia" w:ascii="宋体" w:hAnsi="宋体" w:eastAsia="宋体" w:cs="宋体"/>
          <w:b/>
          <w:bCs/>
          <w:color w:val="auto"/>
          <w:sz w:val="32"/>
          <w:szCs w:val="32"/>
          <w:highlight w:val="none"/>
          <w:lang w:val="zh-CN"/>
        </w:rPr>
      </w:pPr>
      <w:r>
        <w:rPr>
          <w:rFonts w:hint="eastAsia" w:ascii="宋体" w:hAnsi="宋体" w:eastAsia="宋体" w:cs="宋体"/>
          <w:b/>
          <w:bCs/>
          <w:color w:val="auto"/>
          <w:sz w:val="32"/>
          <w:szCs w:val="32"/>
          <w:highlight w:val="none"/>
          <w:lang w:val="zh-CN"/>
        </w:rPr>
        <w:t>磋商函</w:t>
      </w:r>
    </w:p>
    <w:p w14:paraId="60F60B72">
      <w:pPr>
        <w:bidi w:val="0"/>
        <w:ind w:left="0" w:leftChars="0" w:firstLine="0" w:firstLineChars="0"/>
        <w:rPr>
          <w:rFonts w:hint="eastAsia" w:ascii="宋体" w:hAnsi="宋体" w:eastAsia="宋体" w:cs="宋体"/>
          <w:b/>
          <w:bCs/>
          <w:color w:val="auto"/>
          <w:highlight w:val="none"/>
        </w:rPr>
      </w:pPr>
      <w:r>
        <w:rPr>
          <w:rFonts w:hint="eastAsia" w:ascii="宋体" w:hAnsi="宋体" w:eastAsia="宋体" w:cs="宋体"/>
          <w:b/>
          <w:bCs/>
          <w:color w:val="auto"/>
          <w:highlight w:val="none"/>
        </w:rPr>
        <w:t>致：青海联祥招标代理有限公司</w:t>
      </w:r>
    </w:p>
    <w:p w14:paraId="37B54440">
      <w:pPr>
        <w:bidi w:val="0"/>
        <w:rPr>
          <w:rFonts w:hint="eastAsia" w:ascii="宋体" w:hAnsi="宋体" w:eastAsia="宋体" w:cs="宋体"/>
          <w:color w:val="auto"/>
          <w:highlight w:val="none"/>
        </w:rPr>
      </w:pPr>
    </w:p>
    <w:p w14:paraId="0EEF867A">
      <w:pPr>
        <w:bidi w:val="0"/>
        <w:rPr>
          <w:rFonts w:hint="eastAsia" w:ascii="宋体" w:hAnsi="宋体" w:eastAsia="宋体" w:cs="宋体"/>
          <w:color w:val="auto"/>
          <w:highlight w:val="none"/>
        </w:rPr>
      </w:pPr>
      <w:r>
        <w:rPr>
          <w:rFonts w:hint="eastAsia" w:ascii="宋体" w:hAnsi="宋体" w:eastAsia="宋体" w:cs="宋体"/>
          <w:color w:val="auto"/>
          <w:highlight w:val="none"/>
        </w:rPr>
        <w:t>我们收到</w:t>
      </w:r>
      <w:r>
        <w:rPr>
          <w:rFonts w:hint="eastAsia" w:ascii="宋体" w:hAnsi="宋体" w:eastAsia="宋体" w:cs="宋体"/>
          <w:color w:val="auto"/>
          <w:highlight w:val="none"/>
          <w:u w:val="single"/>
          <w:lang w:val="zh-CN"/>
        </w:rPr>
        <w:t>采购项目名称（采购项目编号）</w:t>
      </w:r>
      <w:r>
        <w:rPr>
          <w:rFonts w:hint="eastAsia" w:ascii="宋体" w:hAnsi="宋体" w:eastAsia="宋体" w:cs="宋体"/>
          <w:color w:val="auto"/>
          <w:highlight w:val="none"/>
        </w:rPr>
        <w:t>磋商文件，经研究，法定代表人</w:t>
      </w:r>
      <w:r>
        <w:rPr>
          <w:rFonts w:hint="eastAsia" w:ascii="宋体" w:hAnsi="宋体" w:eastAsia="宋体" w:cs="宋体"/>
          <w:color w:val="auto"/>
          <w:highlight w:val="none"/>
          <w:u w:val="single"/>
        </w:rPr>
        <w:t>（姓名、职务）</w:t>
      </w:r>
      <w:r>
        <w:rPr>
          <w:rFonts w:hint="eastAsia" w:ascii="宋体" w:hAnsi="宋体" w:eastAsia="宋体" w:cs="宋体"/>
          <w:color w:val="auto"/>
          <w:highlight w:val="none"/>
        </w:rPr>
        <w:t>正式授权</w:t>
      </w:r>
      <w:r>
        <w:rPr>
          <w:rFonts w:hint="eastAsia" w:ascii="宋体" w:hAnsi="宋体" w:eastAsia="宋体" w:cs="宋体"/>
          <w:color w:val="auto"/>
          <w:highlight w:val="none"/>
          <w:u w:val="single"/>
        </w:rPr>
        <w:t>（委托代理人姓名、职务）</w:t>
      </w:r>
      <w:r>
        <w:rPr>
          <w:rFonts w:hint="eastAsia" w:ascii="宋体" w:hAnsi="宋体" w:eastAsia="宋体" w:cs="宋体"/>
          <w:color w:val="auto"/>
          <w:highlight w:val="none"/>
        </w:rPr>
        <w:t>代表</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u w:val="single"/>
        </w:rPr>
        <w:t>（</w:t>
      </w:r>
      <w:r>
        <w:rPr>
          <w:rFonts w:hint="eastAsia" w:ascii="宋体" w:hAnsi="宋体" w:eastAsia="宋体" w:cs="宋体"/>
          <w:color w:val="auto"/>
          <w:highlight w:val="none"/>
          <w:u w:val="single"/>
          <w:lang w:eastAsia="zh-CN"/>
        </w:rPr>
        <w:t>供应商</w:t>
      </w:r>
      <w:r>
        <w:rPr>
          <w:rFonts w:hint="eastAsia" w:ascii="宋体" w:hAnsi="宋体" w:eastAsia="宋体" w:cs="宋体"/>
          <w:color w:val="auto"/>
          <w:highlight w:val="none"/>
          <w:u w:val="single"/>
        </w:rPr>
        <w:t>名称、地址）</w:t>
      </w:r>
      <w:r>
        <w:rPr>
          <w:rFonts w:hint="eastAsia" w:ascii="宋体" w:hAnsi="宋体" w:eastAsia="宋体" w:cs="宋体"/>
          <w:color w:val="auto"/>
          <w:highlight w:val="none"/>
        </w:rPr>
        <w:t>提交磋商响应文件。</w:t>
      </w:r>
    </w:p>
    <w:p w14:paraId="515AC9A6">
      <w:pPr>
        <w:bidi w:val="0"/>
        <w:rPr>
          <w:rFonts w:hint="eastAsia" w:ascii="宋体" w:hAnsi="宋体" w:eastAsia="宋体" w:cs="宋体"/>
          <w:color w:val="auto"/>
          <w:highlight w:val="none"/>
        </w:rPr>
      </w:pPr>
      <w:r>
        <w:rPr>
          <w:rFonts w:hint="eastAsia" w:ascii="宋体" w:hAnsi="宋体" w:eastAsia="宋体" w:cs="宋体"/>
          <w:color w:val="auto"/>
          <w:highlight w:val="none"/>
        </w:rPr>
        <w:t>据此函，签字代表宣布同意如下：</w:t>
      </w:r>
    </w:p>
    <w:p w14:paraId="395209F4">
      <w:pPr>
        <w:bidi w:val="0"/>
        <w:rPr>
          <w:rFonts w:hint="eastAsia" w:ascii="宋体" w:hAnsi="宋体" w:eastAsia="宋体" w:cs="宋体"/>
          <w:color w:val="auto"/>
          <w:highlight w:val="none"/>
        </w:rPr>
      </w:pPr>
      <w:r>
        <w:rPr>
          <w:rFonts w:hint="eastAsia" w:ascii="宋体" w:hAnsi="宋体" w:eastAsia="宋体" w:cs="宋体"/>
          <w:color w:val="auto"/>
          <w:highlight w:val="none"/>
        </w:rPr>
        <w:t>1、我方已详阅磋商文件的全部内容，包括澄清、修改条款等有关附件，承诺对其完全理解并接受。</w:t>
      </w:r>
    </w:p>
    <w:p w14:paraId="4F597A40">
      <w:pPr>
        <w:bidi w:val="0"/>
        <w:rPr>
          <w:rFonts w:hint="eastAsia" w:ascii="宋体" w:hAnsi="宋体" w:eastAsia="宋体" w:cs="宋体"/>
          <w:color w:val="auto"/>
          <w:highlight w:val="none"/>
        </w:rPr>
      </w:pPr>
      <w:r>
        <w:rPr>
          <w:rFonts w:hint="eastAsia" w:ascii="宋体" w:hAnsi="宋体" w:eastAsia="宋体" w:cs="宋体"/>
          <w:color w:val="auto"/>
          <w:highlight w:val="none"/>
        </w:rPr>
        <w:t>2、磋商有效期自开标之日起</w:t>
      </w:r>
      <w:r>
        <w:rPr>
          <w:rFonts w:hint="eastAsia" w:ascii="宋体" w:hAnsi="宋体" w:eastAsia="宋体" w:cs="宋体"/>
          <w:color w:val="auto"/>
          <w:highlight w:val="none"/>
          <w:u w:val="single"/>
        </w:rPr>
        <w:t>60天</w:t>
      </w:r>
      <w:r>
        <w:rPr>
          <w:rFonts w:hint="eastAsia" w:ascii="宋体" w:hAnsi="宋体" w:eastAsia="宋体" w:cs="宋体"/>
          <w:color w:val="auto"/>
          <w:highlight w:val="none"/>
        </w:rPr>
        <w:t>内有效。如果在规定的磋商时间后，我方在磋商有效期内撤回投标或成交后不签约的，按违约处理，成交供应商的成交结果无效，情节严重的，报监督部门依法进行处理。</w:t>
      </w:r>
    </w:p>
    <w:p w14:paraId="0DEFCAD7">
      <w:pPr>
        <w:bidi w:val="0"/>
        <w:rPr>
          <w:rFonts w:hint="eastAsia" w:ascii="宋体" w:hAnsi="宋体" w:eastAsia="宋体" w:cs="宋体"/>
          <w:color w:val="auto"/>
          <w:highlight w:val="none"/>
        </w:rPr>
      </w:pPr>
      <w:r>
        <w:rPr>
          <w:rFonts w:hint="eastAsia" w:ascii="宋体" w:hAnsi="宋体" w:eastAsia="宋体" w:cs="宋体"/>
          <w:color w:val="auto"/>
          <w:highlight w:val="none"/>
        </w:rPr>
        <w:t>3、我方同意按照贵方要求提供与磋商有关的一切数据或资料，理解并接受贵方制定的评标办法。</w:t>
      </w:r>
    </w:p>
    <w:p w14:paraId="03B2D755">
      <w:pPr>
        <w:bidi w:val="0"/>
        <w:rPr>
          <w:rFonts w:hint="eastAsia" w:ascii="宋体" w:hAnsi="宋体" w:eastAsia="宋体" w:cs="宋体"/>
          <w:color w:val="auto"/>
          <w:highlight w:val="none"/>
        </w:rPr>
      </w:pPr>
      <w:r>
        <w:rPr>
          <w:rFonts w:hint="eastAsia" w:ascii="宋体" w:hAnsi="宋体" w:eastAsia="宋体" w:cs="宋体"/>
          <w:color w:val="auto"/>
          <w:highlight w:val="none"/>
        </w:rPr>
        <w:t>4、与本磋商有关的一切正式往来通讯请寄：</w:t>
      </w:r>
    </w:p>
    <w:p w14:paraId="129875FC">
      <w:pPr>
        <w:bidi w:val="0"/>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地址：</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rPr>
        <w:t xml:space="preserve">        邮编：</w:t>
      </w:r>
      <w:r>
        <w:rPr>
          <w:rFonts w:hint="eastAsia" w:ascii="宋体" w:hAnsi="宋体" w:eastAsia="宋体" w:cs="宋体"/>
          <w:color w:val="auto"/>
          <w:highlight w:val="none"/>
          <w:u w:val="single"/>
          <w:lang w:val="en-US" w:eastAsia="zh-CN"/>
        </w:rPr>
        <w:t xml:space="preserve">           </w:t>
      </w:r>
    </w:p>
    <w:p w14:paraId="373FF8AC">
      <w:pPr>
        <w:bidi w:val="0"/>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电话：</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rPr>
        <w:t xml:space="preserve">        传真：</w:t>
      </w:r>
      <w:r>
        <w:rPr>
          <w:rFonts w:hint="eastAsia" w:ascii="宋体" w:hAnsi="宋体" w:eastAsia="宋体" w:cs="宋体"/>
          <w:color w:val="auto"/>
          <w:highlight w:val="none"/>
          <w:u w:val="single"/>
          <w:lang w:val="en-US" w:eastAsia="zh-CN"/>
        </w:rPr>
        <w:t xml:space="preserve">           </w:t>
      </w:r>
    </w:p>
    <w:p w14:paraId="5BBDA47E">
      <w:pPr>
        <w:bidi w:val="0"/>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法定代表人姓名：</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rPr>
        <w:t xml:space="preserve"> 职务：</w:t>
      </w:r>
      <w:r>
        <w:rPr>
          <w:rFonts w:hint="eastAsia" w:ascii="宋体" w:hAnsi="宋体" w:eastAsia="宋体" w:cs="宋体"/>
          <w:color w:val="auto"/>
          <w:highlight w:val="none"/>
          <w:u w:val="single"/>
          <w:lang w:val="en-US" w:eastAsia="zh-CN"/>
        </w:rPr>
        <w:t xml:space="preserve">           </w:t>
      </w:r>
    </w:p>
    <w:p w14:paraId="3825971F">
      <w:pPr>
        <w:bidi w:val="0"/>
        <w:rPr>
          <w:rFonts w:hint="eastAsia" w:ascii="宋体" w:hAnsi="宋体" w:eastAsia="宋体" w:cs="宋体"/>
          <w:color w:val="auto"/>
          <w:highlight w:val="none"/>
        </w:rPr>
      </w:pPr>
    </w:p>
    <w:p w14:paraId="7DD600B5">
      <w:pPr>
        <w:bidi w:val="0"/>
        <w:rPr>
          <w:rFonts w:hint="eastAsia" w:ascii="宋体" w:hAnsi="宋体" w:eastAsia="宋体" w:cs="宋体"/>
          <w:color w:val="auto"/>
          <w:highlight w:val="none"/>
        </w:rPr>
      </w:pPr>
    </w:p>
    <w:p w14:paraId="79DFB627">
      <w:pPr>
        <w:bidi w:val="0"/>
        <w:rPr>
          <w:rFonts w:hint="eastAsia" w:ascii="宋体" w:hAnsi="宋体" w:eastAsia="宋体" w:cs="宋体"/>
          <w:color w:val="auto"/>
          <w:highlight w:val="none"/>
        </w:rPr>
      </w:pPr>
    </w:p>
    <w:p w14:paraId="05FC3C0A">
      <w:pPr>
        <w:bidi w:val="0"/>
        <w:jc w:val="center"/>
        <w:rPr>
          <w:rFonts w:hint="eastAsia" w:ascii="宋体" w:hAnsi="宋体" w:eastAsia="宋体" w:cs="宋体"/>
          <w:b/>
          <w:bCs/>
          <w:color w:val="auto"/>
          <w:highlight w:val="none"/>
          <w:lang w:val="zh-CN"/>
        </w:rPr>
      </w:pPr>
      <w:r>
        <w:rPr>
          <w:rFonts w:hint="eastAsia" w:ascii="宋体" w:hAnsi="宋体" w:eastAsia="宋体" w:cs="宋体"/>
          <w:b/>
          <w:bCs/>
          <w:color w:val="auto"/>
          <w:highlight w:val="none"/>
          <w:lang w:val="zh-CN"/>
        </w:rPr>
        <w:t>供应商：</w:t>
      </w:r>
      <w:r>
        <w:rPr>
          <w:rFonts w:hint="eastAsia" w:ascii="宋体" w:hAnsi="宋体" w:eastAsia="宋体" w:cs="宋体"/>
          <w:b/>
          <w:bCs/>
          <w:color w:val="auto"/>
          <w:highlight w:val="none"/>
          <w:lang w:val="en-US" w:eastAsia="zh-CN"/>
        </w:rPr>
        <w:t xml:space="preserve">            </w:t>
      </w:r>
      <w:r>
        <w:rPr>
          <w:rFonts w:hint="eastAsia" w:ascii="宋体" w:hAnsi="宋体" w:eastAsia="宋体" w:cs="宋体"/>
          <w:b/>
          <w:bCs/>
          <w:color w:val="auto"/>
          <w:highlight w:val="none"/>
          <w:lang w:val="zh-CN"/>
        </w:rPr>
        <w:t>（公章）</w:t>
      </w:r>
    </w:p>
    <w:p w14:paraId="3F3A1F86">
      <w:pPr>
        <w:bidi w:val="0"/>
        <w:jc w:val="center"/>
        <w:rPr>
          <w:rFonts w:hint="eastAsia" w:ascii="宋体" w:hAnsi="宋体" w:eastAsia="宋体" w:cs="宋体"/>
          <w:b/>
          <w:bCs/>
          <w:color w:val="auto"/>
          <w:highlight w:val="none"/>
          <w:lang w:val="zh-CN"/>
        </w:rPr>
      </w:pPr>
      <w:r>
        <w:rPr>
          <w:rFonts w:hint="eastAsia" w:ascii="宋体" w:hAnsi="宋体" w:eastAsia="宋体" w:cs="宋体"/>
          <w:b/>
          <w:bCs/>
          <w:color w:val="auto"/>
          <w:highlight w:val="none"/>
          <w:lang w:val="zh-CN"/>
        </w:rPr>
        <w:t>法定代表人或委托代理人：</w:t>
      </w:r>
      <w:r>
        <w:rPr>
          <w:rFonts w:hint="eastAsia" w:ascii="宋体" w:hAnsi="宋体" w:eastAsia="宋体" w:cs="宋体"/>
          <w:b/>
          <w:bCs/>
          <w:color w:val="auto"/>
          <w:highlight w:val="none"/>
          <w:lang w:val="en-US" w:eastAsia="zh-CN"/>
        </w:rPr>
        <w:t xml:space="preserve">     </w:t>
      </w:r>
      <w:r>
        <w:rPr>
          <w:rFonts w:hint="eastAsia" w:ascii="宋体" w:hAnsi="宋体" w:eastAsia="宋体" w:cs="宋体"/>
          <w:b/>
          <w:bCs/>
          <w:color w:val="auto"/>
          <w:highlight w:val="none"/>
          <w:lang w:val="zh-CN"/>
        </w:rPr>
        <w:t>（签字或盖章）</w:t>
      </w:r>
    </w:p>
    <w:p w14:paraId="6652F065">
      <w:pPr>
        <w:bidi w:val="0"/>
        <w:jc w:val="center"/>
        <w:rPr>
          <w:rFonts w:hint="eastAsia" w:ascii="宋体" w:hAnsi="宋体" w:eastAsia="宋体" w:cs="宋体"/>
          <w:b/>
          <w:bCs/>
          <w:color w:val="auto"/>
          <w:highlight w:val="none"/>
          <w:lang w:val="zh-CN"/>
        </w:rPr>
      </w:pPr>
      <w:r>
        <w:rPr>
          <w:rFonts w:hint="eastAsia" w:ascii="宋体" w:hAnsi="宋体" w:eastAsia="宋体" w:cs="宋体"/>
          <w:b/>
          <w:bCs/>
          <w:color w:val="auto"/>
          <w:highlight w:val="none"/>
          <w:lang w:val="zh-CN"/>
        </w:rPr>
        <w:t>年</w:t>
      </w:r>
      <w:r>
        <w:rPr>
          <w:rFonts w:hint="eastAsia" w:ascii="宋体" w:hAnsi="宋体" w:eastAsia="宋体" w:cs="宋体"/>
          <w:b/>
          <w:bCs/>
          <w:color w:val="auto"/>
          <w:highlight w:val="none"/>
          <w:lang w:val="en-US" w:eastAsia="zh-CN"/>
        </w:rPr>
        <w:t xml:space="preserve">  </w:t>
      </w:r>
      <w:r>
        <w:rPr>
          <w:rFonts w:hint="eastAsia" w:ascii="宋体" w:hAnsi="宋体" w:eastAsia="宋体" w:cs="宋体"/>
          <w:b/>
          <w:bCs/>
          <w:color w:val="auto"/>
          <w:highlight w:val="none"/>
          <w:lang w:val="zh-CN"/>
        </w:rPr>
        <w:t xml:space="preserve"> 月 </w:t>
      </w:r>
      <w:r>
        <w:rPr>
          <w:rFonts w:hint="eastAsia" w:ascii="宋体" w:hAnsi="宋体" w:eastAsia="宋体" w:cs="宋体"/>
          <w:b/>
          <w:bCs/>
          <w:color w:val="auto"/>
          <w:highlight w:val="none"/>
          <w:lang w:val="en-US" w:eastAsia="zh-CN"/>
        </w:rPr>
        <w:t xml:space="preserve">  </w:t>
      </w:r>
      <w:r>
        <w:rPr>
          <w:rFonts w:hint="eastAsia" w:ascii="宋体" w:hAnsi="宋体" w:eastAsia="宋体" w:cs="宋体"/>
          <w:b/>
          <w:bCs/>
          <w:color w:val="auto"/>
          <w:highlight w:val="none"/>
          <w:lang w:val="zh-CN"/>
        </w:rPr>
        <w:t>日</w:t>
      </w:r>
    </w:p>
    <w:p w14:paraId="43CDC82F">
      <w:pP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p>
    <w:p w14:paraId="56CF84D8">
      <w:pPr>
        <w:pStyle w:val="5"/>
        <w:bidi w:val="0"/>
        <w:jc w:val="both"/>
        <w:rPr>
          <w:rFonts w:hint="eastAsia" w:ascii="宋体" w:hAnsi="宋体" w:eastAsia="宋体" w:cs="宋体"/>
          <w:color w:val="auto"/>
          <w:highlight w:val="none"/>
        </w:rPr>
      </w:pPr>
      <w:bookmarkStart w:id="126" w:name="_Toc26010"/>
      <w:r>
        <w:rPr>
          <w:rFonts w:hint="eastAsia" w:ascii="宋体" w:hAnsi="宋体" w:eastAsia="宋体" w:cs="宋体"/>
          <w:color w:val="auto"/>
          <w:highlight w:val="none"/>
        </w:rPr>
        <w:t>附件</w:t>
      </w:r>
      <w:bookmarkStart w:id="127" w:name="_Toc376936769"/>
      <w:bookmarkStart w:id="128" w:name="_Toc325726038"/>
      <w:r>
        <w:rPr>
          <w:rFonts w:hint="eastAsia" w:ascii="宋体" w:hAnsi="宋体" w:eastAsia="宋体" w:cs="宋体"/>
          <w:color w:val="auto"/>
          <w:highlight w:val="none"/>
        </w:rPr>
        <w:t>4：</w:t>
      </w:r>
      <w:bookmarkEnd w:id="127"/>
      <w:bookmarkEnd w:id="128"/>
      <w:r>
        <w:rPr>
          <w:rFonts w:hint="eastAsia" w:ascii="宋体" w:hAnsi="宋体" w:eastAsia="宋体" w:cs="宋体"/>
          <w:color w:val="auto"/>
          <w:highlight w:val="none"/>
        </w:rPr>
        <w:t>最初报价表</w:t>
      </w:r>
      <w:bookmarkEnd w:id="126"/>
    </w:p>
    <w:p w14:paraId="6DC1B3F8">
      <w:pPr>
        <w:bidi w:val="0"/>
        <w:ind w:left="0" w:leftChars="0" w:firstLine="0" w:firstLineChars="0"/>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最初报价表</w:t>
      </w:r>
    </w:p>
    <w:p w14:paraId="198FD562">
      <w:pPr>
        <w:bidi w:val="0"/>
        <w:rPr>
          <w:rFonts w:hint="eastAsia" w:ascii="宋体" w:hAnsi="宋体" w:eastAsia="宋体" w:cs="宋体"/>
          <w:color w:val="auto"/>
          <w:highlight w:val="none"/>
        </w:rPr>
      </w:pPr>
    </w:p>
    <w:p w14:paraId="768DDAEA">
      <w:pPr>
        <w:bidi w:val="0"/>
        <w:rPr>
          <w:rFonts w:hint="eastAsia" w:ascii="宋体" w:hAnsi="宋体" w:eastAsia="宋体" w:cs="宋体"/>
          <w:color w:val="auto"/>
          <w:highlight w:val="none"/>
          <w:lang w:val="en-US" w:eastAsia="zh-CN"/>
        </w:rPr>
      </w:pPr>
      <w:bookmarkStart w:id="129" w:name="_Toc74901830"/>
      <w:bookmarkStart w:id="130" w:name="_Toc83829262"/>
      <w:bookmarkStart w:id="131" w:name="_Toc88122782"/>
      <w:bookmarkStart w:id="132" w:name="_Toc7431"/>
      <w:bookmarkStart w:id="133" w:name="_Toc69898404"/>
      <w:r>
        <w:rPr>
          <w:rFonts w:hint="eastAsia" w:ascii="宋体" w:hAnsi="宋体" w:eastAsia="宋体" w:cs="宋体"/>
          <w:color w:val="auto"/>
          <w:highlight w:val="none"/>
        </w:rPr>
        <w:t>项目名称：</w:t>
      </w:r>
      <w:bookmarkEnd w:id="129"/>
      <w:bookmarkEnd w:id="130"/>
      <w:bookmarkEnd w:id="131"/>
      <w:bookmarkEnd w:id="132"/>
      <w:bookmarkEnd w:id="133"/>
      <w:r>
        <w:rPr>
          <w:rFonts w:hint="eastAsia" w:ascii="宋体" w:hAnsi="宋体" w:eastAsia="宋体" w:cs="宋体"/>
          <w:color w:val="auto"/>
          <w:highlight w:val="none"/>
          <w:lang w:val="en-US" w:eastAsia="zh-CN"/>
        </w:rPr>
        <w:t xml:space="preserve">                                           </w:t>
      </w:r>
    </w:p>
    <w:tbl>
      <w:tblPr>
        <w:tblStyle w:val="67"/>
        <w:tblW w:w="83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2559"/>
        <w:gridCol w:w="5820"/>
      </w:tblGrid>
      <w:tr w14:paraId="6A7E5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37" w:hRule="atLeast"/>
          <w:jc w:val="center"/>
        </w:trPr>
        <w:tc>
          <w:tcPr>
            <w:tcW w:w="2559" w:type="dxa"/>
            <w:vAlign w:val="center"/>
          </w:tcPr>
          <w:p w14:paraId="58AE860A">
            <w:pPr>
              <w:pStyle w:val="13"/>
              <w:bidi w:val="0"/>
              <w:rPr>
                <w:rFonts w:hint="eastAsia" w:ascii="宋体" w:hAnsi="宋体" w:eastAsia="宋体" w:cs="宋体"/>
                <w:color w:val="auto"/>
                <w:highlight w:val="none"/>
              </w:rPr>
            </w:pPr>
            <w:r>
              <w:rPr>
                <w:rFonts w:hint="eastAsia" w:ascii="宋体" w:hAnsi="宋体" w:eastAsia="宋体" w:cs="宋体"/>
                <w:color w:val="auto"/>
                <w:highlight w:val="none"/>
              </w:rPr>
              <w:t>供应商名称</w:t>
            </w:r>
          </w:p>
        </w:tc>
        <w:tc>
          <w:tcPr>
            <w:tcW w:w="5820" w:type="dxa"/>
            <w:vAlign w:val="center"/>
          </w:tcPr>
          <w:p w14:paraId="78759036">
            <w:pPr>
              <w:pStyle w:val="13"/>
              <w:bidi w:val="0"/>
              <w:rPr>
                <w:rFonts w:hint="eastAsia" w:ascii="宋体" w:hAnsi="宋体" w:eastAsia="宋体" w:cs="宋体"/>
                <w:color w:val="auto"/>
                <w:highlight w:val="none"/>
              </w:rPr>
            </w:pPr>
          </w:p>
        </w:tc>
      </w:tr>
      <w:tr w14:paraId="5BB91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62" w:hRule="atLeast"/>
          <w:jc w:val="center"/>
        </w:trPr>
        <w:tc>
          <w:tcPr>
            <w:tcW w:w="2559" w:type="dxa"/>
            <w:vAlign w:val="center"/>
          </w:tcPr>
          <w:p w14:paraId="6708264B">
            <w:pPr>
              <w:pStyle w:val="13"/>
              <w:bidi w:val="0"/>
              <w:rPr>
                <w:rFonts w:hint="eastAsia" w:ascii="宋体" w:hAnsi="宋体" w:eastAsia="宋体" w:cs="宋体"/>
                <w:color w:val="auto"/>
                <w:highlight w:val="none"/>
              </w:rPr>
            </w:pPr>
            <w:r>
              <w:rPr>
                <w:rFonts w:hint="eastAsia" w:ascii="宋体" w:hAnsi="宋体" w:eastAsia="宋体" w:cs="宋体"/>
                <w:color w:val="auto"/>
                <w:highlight w:val="none"/>
              </w:rPr>
              <w:t>磋商</w:t>
            </w:r>
            <w:r>
              <w:rPr>
                <w:rFonts w:hint="eastAsia" w:ascii="宋体" w:hAnsi="宋体" w:eastAsia="宋体" w:cs="宋体"/>
                <w:color w:val="auto"/>
                <w:highlight w:val="none"/>
                <w:lang w:val="zh-CN"/>
              </w:rPr>
              <w:t>报价（</w:t>
            </w:r>
            <w:r>
              <w:rPr>
                <w:rFonts w:hint="eastAsia" w:ascii="宋体" w:hAnsi="宋体" w:eastAsia="宋体" w:cs="宋体"/>
                <w:color w:val="auto"/>
                <w:highlight w:val="none"/>
              </w:rPr>
              <w:t>元</w:t>
            </w:r>
            <w:r>
              <w:rPr>
                <w:rFonts w:hint="eastAsia" w:ascii="宋体" w:hAnsi="宋体" w:eastAsia="宋体" w:cs="宋体"/>
                <w:color w:val="auto"/>
                <w:highlight w:val="none"/>
                <w:lang w:val="zh-CN"/>
              </w:rPr>
              <w:t>）</w:t>
            </w:r>
          </w:p>
        </w:tc>
        <w:tc>
          <w:tcPr>
            <w:tcW w:w="5820" w:type="dxa"/>
            <w:vAlign w:val="center"/>
          </w:tcPr>
          <w:p w14:paraId="63239892">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大写：</w:t>
            </w:r>
          </w:p>
          <w:p w14:paraId="2B0C4D55">
            <w:pPr>
              <w:pStyle w:val="13"/>
              <w:bidi w:val="0"/>
              <w:rPr>
                <w:rFonts w:hint="eastAsia" w:ascii="宋体" w:hAnsi="宋体" w:eastAsia="宋体" w:cs="宋体"/>
                <w:color w:val="auto"/>
                <w:highlight w:val="none"/>
              </w:rPr>
            </w:pPr>
            <w:r>
              <w:rPr>
                <w:rFonts w:hint="eastAsia" w:ascii="宋体" w:hAnsi="宋体" w:eastAsia="宋体" w:cs="宋体"/>
                <w:color w:val="auto"/>
                <w:highlight w:val="none"/>
                <w:lang w:val="zh-CN"/>
              </w:rPr>
              <w:t>小写：</w:t>
            </w:r>
          </w:p>
        </w:tc>
      </w:tr>
      <w:tr w14:paraId="32E27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37" w:hRule="atLeast"/>
          <w:jc w:val="center"/>
        </w:trPr>
        <w:tc>
          <w:tcPr>
            <w:tcW w:w="2559" w:type="dxa"/>
            <w:vAlign w:val="center"/>
          </w:tcPr>
          <w:p w14:paraId="31A377C7">
            <w:pPr>
              <w:bidi w:val="0"/>
              <w:ind w:left="0" w:leftChars="0" w:firstLine="0" w:firstLineChars="0"/>
              <w:rPr>
                <w:rFonts w:hint="eastAsia" w:ascii="宋体" w:hAnsi="宋体" w:eastAsia="宋体" w:cs="宋体"/>
                <w:color w:val="auto"/>
                <w:highlight w:val="none"/>
              </w:rPr>
            </w:pPr>
            <w:r>
              <w:rPr>
                <w:rFonts w:hint="eastAsia" w:ascii="宋体" w:hAnsi="宋体"/>
                <w:color w:val="auto"/>
                <w:sz w:val="24"/>
                <w:highlight w:val="none"/>
              </w:rPr>
              <w:t>服务期：</w:t>
            </w:r>
          </w:p>
        </w:tc>
        <w:tc>
          <w:tcPr>
            <w:tcW w:w="5820" w:type="dxa"/>
            <w:vAlign w:val="center"/>
          </w:tcPr>
          <w:p w14:paraId="0786E5B6">
            <w:pPr>
              <w:pStyle w:val="13"/>
              <w:bidi w:val="0"/>
              <w:rPr>
                <w:rFonts w:hint="eastAsia" w:ascii="宋体" w:hAnsi="宋体" w:eastAsia="宋体" w:cs="宋体"/>
                <w:color w:val="auto"/>
                <w:highlight w:val="none"/>
              </w:rPr>
            </w:pPr>
          </w:p>
        </w:tc>
      </w:tr>
      <w:tr w14:paraId="61DB2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50" w:hRule="atLeast"/>
          <w:jc w:val="center"/>
        </w:trPr>
        <w:tc>
          <w:tcPr>
            <w:tcW w:w="2559" w:type="dxa"/>
            <w:vAlign w:val="center"/>
          </w:tcPr>
          <w:p w14:paraId="06294257">
            <w:pPr>
              <w:pStyle w:val="13"/>
              <w:bidi w:val="0"/>
              <w:rPr>
                <w:rFonts w:hint="eastAsia" w:ascii="宋体" w:hAnsi="宋体" w:eastAsia="宋体" w:cs="宋体"/>
                <w:color w:val="auto"/>
                <w:highlight w:val="none"/>
              </w:rPr>
            </w:pPr>
            <w:r>
              <w:rPr>
                <w:rFonts w:hint="eastAsia" w:ascii="宋体" w:hAnsi="宋体" w:eastAsia="宋体" w:cs="宋体"/>
                <w:color w:val="auto"/>
                <w:highlight w:val="none"/>
              </w:rPr>
              <w:t>优惠承诺及其他</w:t>
            </w:r>
          </w:p>
        </w:tc>
        <w:tc>
          <w:tcPr>
            <w:tcW w:w="5820" w:type="dxa"/>
            <w:vAlign w:val="center"/>
          </w:tcPr>
          <w:p w14:paraId="01F3D984">
            <w:pPr>
              <w:pStyle w:val="13"/>
              <w:bidi w:val="0"/>
              <w:rPr>
                <w:rFonts w:hint="eastAsia" w:ascii="宋体" w:hAnsi="宋体" w:eastAsia="宋体" w:cs="宋体"/>
                <w:color w:val="auto"/>
                <w:highlight w:val="none"/>
              </w:rPr>
            </w:pPr>
          </w:p>
        </w:tc>
      </w:tr>
    </w:tbl>
    <w:p w14:paraId="7EDF522B">
      <w:pPr>
        <w:bidi w:val="0"/>
        <w:rPr>
          <w:rFonts w:hint="eastAsia" w:ascii="宋体" w:hAnsi="宋体" w:eastAsia="宋体" w:cs="宋体"/>
          <w:color w:val="auto"/>
          <w:highlight w:val="none"/>
        </w:rPr>
      </w:pPr>
      <w:r>
        <w:rPr>
          <w:rFonts w:hint="eastAsia" w:ascii="宋体" w:hAnsi="宋体" w:eastAsia="宋体" w:cs="宋体"/>
          <w:color w:val="auto"/>
          <w:highlight w:val="none"/>
        </w:rPr>
        <w:t>注：1、填写此表时不得改变表格形式。</w:t>
      </w:r>
    </w:p>
    <w:p w14:paraId="3B0D03E4">
      <w:pPr>
        <w:bidi w:val="0"/>
        <w:rPr>
          <w:rFonts w:hint="eastAsia" w:ascii="宋体" w:hAnsi="宋体" w:eastAsia="宋体" w:cs="宋体"/>
          <w:color w:val="auto"/>
          <w:highlight w:val="none"/>
        </w:rPr>
      </w:pPr>
      <w:r>
        <w:rPr>
          <w:rFonts w:hint="eastAsia" w:ascii="宋体" w:hAnsi="宋体" w:eastAsia="宋体" w:cs="宋体"/>
          <w:color w:val="auto"/>
          <w:highlight w:val="none"/>
        </w:rPr>
        <w:t xml:space="preserve">    2、磋商报价为总报价。必须包括：</w:t>
      </w:r>
      <w:r>
        <w:rPr>
          <w:rFonts w:hint="eastAsia" w:ascii="宋体" w:hAnsi="宋体" w:eastAsia="宋体" w:cs="宋体"/>
          <w:color w:val="auto"/>
          <w:highlight w:val="none"/>
          <w:lang w:val="en-US" w:eastAsia="zh-CN"/>
        </w:rPr>
        <w:t>设备租赁费、</w:t>
      </w:r>
      <w:r>
        <w:rPr>
          <w:rFonts w:hint="eastAsia" w:ascii="宋体" w:hAnsi="宋体" w:eastAsia="宋体" w:cs="宋体"/>
          <w:color w:val="auto"/>
          <w:highlight w:val="none"/>
        </w:rPr>
        <w:t>服务费、人员工资、管理费、</w:t>
      </w:r>
      <w:r>
        <w:rPr>
          <w:rFonts w:hint="eastAsia" w:ascii="宋体" w:hAnsi="宋体" w:eastAsia="宋体" w:cs="宋体"/>
          <w:color w:val="auto"/>
          <w:highlight w:val="none"/>
          <w:lang w:val="en-US" w:eastAsia="zh-CN"/>
        </w:rPr>
        <w:t>培训费、</w:t>
      </w:r>
      <w:r>
        <w:rPr>
          <w:rFonts w:hint="eastAsia" w:ascii="宋体" w:hAnsi="宋体" w:eastAsia="宋体" w:cs="宋体"/>
          <w:color w:val="auto"/>
          <w:highlight w:val="none"/>
        </w:rPr>
        <w:t>验收费、手续费、保险费、</w:t>
      </w:r>
      <w:r>
        <w:rPr>
          <w:rFonts w:hint="eastAsia" w:ascii="宋体" w:hAnsi="宋体" w:eastAsia="宋体" w:cs="宋体"/>
          <w:color w:val="auto"/>
          <w:highlight w:val="none"/>
          <w:lang w:eastAsia="zh-CN"/>
        </w:rPr>
        <w:t>差旅费、成交服务费</w:t>
      </w:r>
      <w:r>
        <w:rPr>
          <w:rFonts w:hint="eastAsia" w:ascii="宋体" w:hAnsi="宋体" w:eastAsia="宋体" w:cs="宋体"/>
          <w:color w:val="auto"/>
          <w:highlight w:val="none"/>
        </w:rPr>
        <w:t>及服务过程中包含的不可预见等全部费用。</w:t>
      </w:r>
    </w:p>
    <w:p w14:paraId="5E28092C">
      <w:pPr>
        <w:bidi w:val="0"/>
        <w:rPr>
          <w:rFonts w:hint="eastAsia" w:ascii="宋体" w:hAnsi="宋体" w:eastAsia="宋体" w:cs="宋体"/>
          <w:color w:val="auto"/>
          <w:highlight w:val="none"/>
        </w:rPr>
      </w:pPr>
    </w:p>
    <w:p w14:paraId="7CD6ABDC">
      <w:pPr>
        <w:bidi w:val="0"/>
        <w:rPr>
          <w:rFonts w:hint="eastAsia" w:ascii="宋体" w:hAnsi="宋体" w:eastAsia="宋体" w:cs="宋体"/>
          <w:color w:val="auto"/>
          <w:highlight w:val="none"/>
        </w:rPr>
      </w:pPr>
    </w:p>
    <w:p w14:paraId="13E5586A">
      <w:pPr>
        <w:bidi w:val="0"/>
        <w:rPr>
          <w:rFonts w:hint="eastAsia" w:ascii="宋体" w:hAnsi="宋体" w:eastAsia="宋体" w:cs="宋体"/>
          <w:color w:val="auto"/>
          <w:highlight w:val="none"/>
        </w:rPr>
      </w:pPr>
    </w:p>
    <w:p w14:paraId="04BD14D1">
      <w:pPr>
        <w:bidi w:val="0"/>
        <w:rPr>
          <w:rFonts w:hint="eastAsia" w:ascii="宋体" w:hAnsi="宋体" w:eastAsia="宋体" w:cs="宋体"/>
          <w:color w:val="auto"/>
          <w:highlight w:val="none"/>
        </w:rPr>
      </w:pPr>
    </w:p>
    <w:p w14:paraId="79836AF1">
      <w:pPr>
        <w:bidi w:val="0"/>
        <w:rPr>
          <w:rFonts w:hint="eastAsia" w:ascii="宋体" w:hAnsi="宋体" w:eastAsia="宋体" w:cs="宋体"/>
          <w:color w:val="auto"/>
          <w:highlight w:val="none"/>
        </w:rPr>
      </w:pPr>
    </w:p>
    <w:p w14:paraId="1D665A9D">
      <w:pPr>
        <w:bidi w:val="0"/>
        <w:jc w:val="center"/>
        <w:rPr>
          <w:rFonts w:hint="eastAsia" w:ascii="宋体" w:hAnsi="宋体" w:eastAsia="宋体" w:cs="宋体"/>
          <w:b/>
          <w:bCs/>
          <w:color w:val="auto"/>
          <w:highlight w:val="none"/>
          <w:lang w:val="zh-CN"/>
        </w:rPr>
      </w:pPr>
      <w:r>
        <w:rPr>
          <w:rFonts w:hint="eastAsia" w:ascii="宋体" w:hAnsi="宋体" w:eastAsia="宋体" w:cs="宋体"/>
          <w:b/>
          <w:bCs/>
          <w:color w:val="auto"/>
          <w:highlight w:val="none"/>
          <w:lang w:val="zh-CN"/>
        </w:rPr>
        <w:t>供应商：</w:t>
      </w:r>
      <w:r>
        <w:rPr>
          <w:rFonts w:hint="eastAsia" w:ascii="宋体" w:hAnsi="宋体" w:eastAsia="宋体" w:cs="宋体"/>
          <w:b/>
          <w:bCs/>
          <w:color w:val="auto"/>
          <w:highlight w:val="none"/>
          <w:lang w:val="en-US" w:eastAsia="zh-CN"/>
        </w:rPr>
        <w:t xml:space="preserve">            </w:t>
      </w:r>
      <w:r>
        <w:rPr>
          <w:rFonts w:hint="eastAsia" w:ascii="宋体" w:hAnsi="宋体" w:eastAsia="宋体" w:cs="宋体"/>
          <w:b/>
          <w:bCs/>
          <w:color w:val="auto"/>
          <w:highlight w:val="none"/>
          <w:lang w:val="zh-CN"/>
        </w:rPr>
        <w:t>（公章）</w:t>
      </w:r>
    </w:p>
    <w:p w14:paraId="0E6D6C98">
      <w:pPr>
        <w:bidi w:val="0"/>
        <w:jc w:val="center"/>
        <w:rPr>
          <w:rFonts w:hint="eastAsia" w:ascii="宋体" w:hAnsi="宋体" w:eastAsia="宋体" w:cs="宋体"/>
          <w:b/>
          <w:bCs/>
          <w:color w:val="auto"/>
          <w:highlight w:val="none"/>
          <w:lang w:val="zh-CN"/>
        </w:rPr>
      </w:pPr>
      <w:r>
        <w:rPr>
          <w:rFonts w:hint="eastAsia" w:ascii="宋体" w:hAnsi="宋体" w:eastAsia="宋体" w:cs="宋体"/>
          <w:b/>
          <w:bCs/>
          <w:color w:val="auto"/>
          <w:highlight w:val="none"/>
          <w:lang w:val="zh-CN"/>
        </w:rPr>
        <w:t>法定代表人或委托代理人：</w:t>
      </w:r>
      <w:r>
        <w:rPr>
          <w:rFonts w:hint="eastAsia" w:ascii="宋体" w:hAnsi="宋体" w:eastAsia="宋体" w:cs="宋体"/>
          <w:b/>
          <w:bCs/>
          <w:color w:val="auto"/>
          <w:highlight w:val="none"/>
          <w:lang w:val="en-US" w:eastAsia="zh-CN"/>
        </w:rPr>
        <w:t xml:space="preserve">     </w:t>
      </w:r>
      <w:r>
        <w:rPr>
          <w:rFonts w:hint="eastAsia" w:ascii="宋体" w:hAnsi="宋体" w:eastAsia="宋体" w:cs="宋体"/>
          <w:b/>
          <w:bCs/>
          <w:color w:val="auto"/>
          <w:highlight w:val="none"/>
          <w:lang w:val="zh-CN"/>
        </w:rPr>
        <w:t>（签字或盖章）</w:t>
      </w:r>
    </w:p>
    <w:p w14:paraId="71F917F7">
      <w:pPr>
        <w:bidi w:val="0"/>
        <w:jc w:val="center"/>
        <w:rPr>
          <w:rFonts w:hint="eastAsia" w:ascii="宋体" w:hAnsi="宋体" w:eastAsia="宋体" w:cs="宋体"/>
          <w:b/>
          <w:bCs/>
          <w:color w:val="auto"/>
          <w:highlight w:val="none"/>
          <w:lang w:val="zh-CN"/>
        </w:rPr>
      </w:pPr>
      <w:r>
        <w:rPr>
          <w:rFonts w:hint="eastAsia" w:ascii="宋体" w:hAnsi="宋体" w:eastAsia="宋体" w:cs="宋体"/>
          <w:b/>
          <w:bCs/>
          <w:color w:val="auto"/>
          <w:highlight w:val="none"/>
          <w:lang w:val="zh-CN"/>
        </w:rPr>
        <w:t>年</w:t>
      </w:r>
      <w:r>
        <w:rPr>
          <w:rFonts w:hint="eastAsia" w:ascii="宋体" w:hAnsi="宋体" w:eastAsia="宋体" w:cs="宋体"/>
          <w:b/>
          <w:bCs/>
          <w:color w:val="auto"/>
          <w:highlight w:val="none"/>
          <w:lang w:val="en-US" w:eastAsia="zh-CN"/>
        </w:rPr>
        <w:t xml:space="preserve">  </w:t>
      </w:r>
      <w:r>
        <w:rPr>
          <w:rFonts w:hint="eastAsia" w:ascii="宋体" w:hAnsi="宋体" w:eastAsia="宋体" w:cs="宋体"/>
          <w:b/>
          <w:bCs/>
          <w:color w:val="auto"/>
          <w:highlight w:val="none"/>
          <w:lang w:val="zh-CN"/>
        </w:rPr>
        <w:t xml:space="preserve"> 月 </w:t>
      </w:r>
      <w:r>
        <w:rPr>
          <w:rFonts w:hint="eastAsia" w:ascii="宋体" w:hAnsi="宋体" w:eastAsia="宋体" w:cs="宋体"/>
          <w:b/>
          <w:bCs/>
          <w:color w:val="auto"/>
          <w:highlight w:val="none"/>
          <w:lang w:val="en-US" w:eastAsia="zh-CN"/>
        </w:rPr>
        <w:t xml:space="preserve">  </w:t>
      </w:r>
      <w:r>
        <w:rPr>
          <w:rFonts w:hint="eastAsia" w:ascii="宋体" w:hAnsi="宋体" w:eastAsia="宋体" w:cs="宋体"/>
          <w:b/>
          <w:bCs/>
          <w:color w:val="auto"/>
          <w:highlight w:val="none"/>
          <w:lang w:val="zh-CN"/>
        </w:rPr>
        <w:t>日</w:t>
      </w:r>
    </w:p>
    <w:p w14:paraId="1BC0B83E">
      <w:pPr>
        <w:bidi w:val="0"/>
        <w:rPr>
          <w:rFonts w:hint="eastAsia" w:ascii="宋体" w:hAnsi="宋体" w:eastAsia="宋体" w:cs="宋体"/>
          <w:color w:val="auto"/>
          <w:highlight w:val="none"/>
          <w:lang w:val="zh-CN"/>
        </w:rPr>
      </w:pPr>
    </w:p>
    <w:p w14:paraId="3931FA25">
      <w:pPr>
        <w:pStyle w:val="86"/>
        <w:ind w:firstLine="442"/>
        <w:rPr>
          <w:rFonts w:hint="eastAsia" w:ascii="宋体" w:hAnsi="宋体" w:eastAsia="宋体" w:cs="宋体"/>
          <w:b/>
          <w:bCs/>
          <w:color w:val="auto"/>
          <w:highlight w:val="none"/>
          <w:lang w:val="zh-CN"/>
        </w:rPr>
      </w:pPr>
    </w:p>
    <w:p w14:paraId="47F024EA">
      <w:pPr>
        <w:rPr>
          <w:rFonts w:hint="eastAsia" w:ascii="宋体" w:hAnsi="宋体" w:eastAsia="宋体" w:cs="宋体"/>
          <w:b/>
          <w:bCs/>
          <w:color w:val="auto"/>
          <w:highlight w:val="none"/>
          <w:lang w:val="zh-CN"/>
        </w:rPr>
      </w:pPr>
    </w:p>
    <w:p w14:paraId="278B88DE">
      <w:pPr>
        <w:pStyle w:val="2"/>
        <w:ind w:firstLine="482"/>
        <w:rPr>
          <w:rFonts w:hint="eastAsia" w:ascii="宋体" w:hAnsi="宋体" w:eastAsia="宋体" w:cs="宋体"/>
          <w:b/>
          <w:bCs/>
          <w:color w:val="auto"/>
          <w:highlight w:val="none"/>
          <w:lang w:val="zh-CN"/>
        </w:rPr>
      </w:pPr>
    </w:p>
    <w:p w14:paraId="2F732FF4">
      <w:pPr>
        <w:pStyle w:val="2"/>
        <w:ind w:firstLine="482"/>
        <w:rPr>
          <w:rFonts w:hint="eastAsia" w:ascii="宋体" w:hAnsi="宋体" w:eastAsia="宋体" w:cs="宋体"/>
          <w:b/>
          <w:bCs/>
          <w:color w:val="auto"/>
          <w:highlight w:val="none"/>
          <w:lang w:val="zh-CN"/>
        </w:rPr>
      </w:pPr>
    </w:p>
    <w:p w14:paraId="6917BEAF">
      <w:pPr>
        <w:ind w:left="0" w:leftChars="0" w:firstLine="0" w:firstLineChars="0"/>
        <w:rPr>
          <w:rFonts w:hint="eastAsia" w:ascii="宋体" w:hAnsi="宋体" w:eastAsia="宋体" w:cs="宋体"/>
          <w:color w:val="auto"/>
          <w:highlight w:val="none"/>
          <w:lang w:val="zh-CN"/>
        </w:rPr>
      </w:pPr>
    </w:p>
    <w:p w14:paraId="5DCB9314">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6D7C3E4B">
      <w:pPr>
        <w:pStyle w:val="5"/>
        <w:bidi w:val="0"/>
        <w:jc w:val="both"/>
        <w:rPr>
          <w:rFonts w:hint="eastAsia" w:ascii="宋体" w:hAnsi="宋体" w:eastAsia="宋体" w:cs="宋体"/>
          <w:color w:val="auto"/>
          <w:highlight w:val="none"/>
        </w:rPr>
      </w:pPr>
      <w:bookmarkStart w:id="134" w:name="_Toc10913"/>
      <w:r>
        <w:rPr>
          <w:rFonts w:hint="eastAsia" w:ascii="宋体" w:hAnsi="宋体" w:eastAsia="宋体" w:cs="宋体"/>
          <w:color w:val="auto"/>
          <w:highlight w:val="none"/>
        </w:rPr>
        <w:t>附件5：服务条款偏离表</w:t>
      </w:r>
      <w:bookmarkEnd w:id="134"/>
    </w:p>
    <w:p w14:paraId="3C8CB4B5">
      <w:pPr>
        <w:bidi w:val="0"/>
        <w:rPr>
          <w:rFonts w:hint="eastAsia" w:ascii="宋体" w:hAnsi="宋体" w:eastAsia="宋体" w:cs="宋体"/>
          <w:color w:val="auto"/>
          <w:highlight w:val="none"/>
        </w:rPr>
      </w:pPr>
    </w:p>
    <w:p w14:paraId="39F568EA">
      <w:pPr>
        <w:bidi w:val="0"/>
        <w:ind w:left="0" w:leftChars="0" w:firstLine="0" w:firstLineChars="0"/>
        <w:jc w:val="center"/>
        <w:rPr>
          <w:rFonts w:hint="eastAsia" w:ascii="宋体" w:hAnsi="宋体" w:eastAsia="宋体" w:cs="宋体"/>
          <w:b/>
          <w:color w:val="auto"/>
          <w:sz w:val="28"/>
          <w:szCs w:val="28"/>
          <w:highlight w:val="none"/>
        </w:rPr>
      </w:pPr>
      <w:r>
        <w:rPr>
          <w:rFonts w:hint="eastAsia" w:ascii="宋体" w:hAnsi="宋体" w:eastAsia="宋体" w:cs="宋体"/>
          <w:b/>
          <w:bCs/>
          <w:color w:val="auto"/>
          <w:sz w:val="32"/>
          <w:szCs w:val="32"/>
          <w:highlight w:val="none"/>
          <w:lang w:val="zh-CN"/>
        </w:rPr>
        <w:t>服务条款偏离表</w:t>
      </w:r>
    </w:p>
    <w:tbl>
      <w:tblPr>
        <w:tblStyle w:val="67"/>
        <w:tblW w:w="8505"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709"/>
        <w:gridCol w:w="2126"/>
        <w:gridCol w:w="2126"/>
        <w:gridCol w:w="1560"/>
        <w:gridCol w:w="992"/>
        <w:gridCol w:w="992"/>
      </w:tblGrid>
      <w:tr w14:paraId="06867F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09" w:type="dxa"/>
            <w:vAlign w:val="center"/>
          </w:tcPr>
          <w:p w14:paraId="6C54EA31">
            <w:pPr>
              <w:pStyle w:val="13"/>
              <w:bidi w:val="0"/>
              <w:rPr>
                <w:rFonts w:hint="eastAsia" w:ascii="宋体" w:hAnsi="宋体" w:eastAsia="宋体" w:cs="宋体"/>
                <w:color w:val="auto"/>
                <w:highlight w:val="none"/>
              </w:rPr>
            </w:pPr>
            <w:r>
              <w:rPr>
                <w:rFonts w:hint="eastAsia" w:ascii="宋体" w:hAnsi="宋体" w:eastAsia="宋体" w:cs="宋体"/>
                <w:color w:val="auto"/>
                <w:highlight w:val="none"/>
              </w:rPr>
              <w:t>序号</w:t>
            </w:r>
          </w:p>
        </w:tc>
        <w:tc>
          <w:tcPr>
            <w:tcW w:w="2126" w:type="dxa"/>
            <w:vAlign w:val="center"/>
          </w:tcPr>
          <w:p w14:paraId="36A8365D">
            <w:pPr>
              <w:pStyle w:val="13"/>
              <w:bidi w:val="0"/>
              <w:rPr>
                <w:rFonts w:hint="eastAsia" w:ascii="宋体" w:hAnsi="宋体" w:eastAsia="宋体" w:cs="宋体"/>
                <w:color w:val="auto"/>
                <w:highlight w:val="none"/>
              </w:rPr>
            </w:pPr>
            <w:r>
              <w:rPr>
                <w:rFonts w:hint="eastAsia" w:ascii="宋体" w:hAnsi="宋体" w:eastAsia="宋体" w:cs="宋体"/>
                <w:color w:val="auto"/>
                <w:highlight w:val="none"/>
              </w:rPr>
              <w:t>磋商文件服务内容</w:t>
            </w:r>
          </w:p>
        </w:tc>
        <w:tc>
          <w:tcPr>
            <w:tcW w:w="2126" w:type="dxa"/>
          </w:tcPr>
          <w:p w14:paraId="20C01AEA">
            <w:pPr>
              <w:pStyle w:val="13"/>
              <w:bidi w:val="0"/>
              <w:rPr>
                <w:rFonts w:hint="eastAsia" w:ascii="宋体" w:hAnsi="宋体" w:eastAsia="宋体" w:cs="宋体"/>
                <w:color w:val="auto"/>
                <w:highlight w:val="none"/>
              </w:rPr>
            </w:pPr>
            <w:r>
              <w:rPr>
                <w:rFonts w:hint="eastAsia" w:ascii="宋体" w:hAnsi="宋体" w:eastAsia="宋体" w:cs="宋体"/>
                <w:color w:val="auto"/>
                <w:highlight w:val="none"/>
              </w:rPr>
              <w:t>响应文件服务内容</w:t>
            </w:r>
          </w:p>
        </w:tc>
        <w:tc>
          <w:tcPr>
            <w:tcW w:w="1560" w:type="dxa"/>
            <w:vAlign w:val="center"/>
          </w:tcPr>
          <w:p w14:paraId="140B7E97">
            <w:pPr>
              <w:pStyle w:val="13"/>
              <w:bidi w:val="0"/>
              <w:rPr>
                <w:rFonts w:hint="eastAsia" w:ascii="宋体" w:hAnsi="宋体" w:eastAsia="宋体" w:cs="宋体"/>
                <w:color w:val="auto"/>
                <w:highlight w:val="none"/>
              </w:rPr>
            </w:pPr>
            <w:r>
              <w:rPr>
                <w:rFonts w:hint="eastAsia" w:ascii="宋体" w:hAnsi="宋体" w:eastAsia="宋体" w:cs="宋体"/>
                <w:color w:val="auto"/>
                <w:highlight w:val="none"/>
              </w:rPr>
              <w:t>响应情况</w:t>
            </w:r>
          </w:p>
        </w:tc>
        <w:tc>
          <w:tcPr>
            <w:tcW w:w="992" w:type="dxa"/>
            <w:vAlign w:val="center"/>
          </w:tcPr>
          <w:p w14:paraId="4F62A768">
            <w:pPr>
              <w:pStyle w:val="13"/>
              <w:bidi w:val="0"/>
              <w:rPr>
                <w:rFonts w:hint="eastAsia" w:ascii="宋体" w:hAnsi="宋体" w:eastAsia="宋体" w:cs="宋体"/>
                <w:color w:val="auto"/>
                <w:highlight w:val="none"/>
              </w:rPr>
            </w:pPr>
            <w:r>
              <w:rPr>
                <w:rFonts w:hint="eastAsia" w:ascii="宋体" w:hAnsi="宋体" w:eastAsia="宋体" w:cs="宋体"/>
                <w:color w:val="auto"/>
                <w:highlight w:val="none"/>
              </w:rPr>
              <w:t>偏离</w:t>
            </w:r>
          </w:p>
        </w:tc>
        <w:tc>
          <w:tcPr>
            <w:tcW w:w="992" w:type="dxa"/>
            <w:vAlign w:val="center"/>
          </w:tcPr>
          <w:p w14:paraId="532DA969">
            <w:pPr>
              <w:pStyle w:val="13"/>
              <w:bidi w:val="0"/>
              <w:rPr>
                <w:rFonts w:hint="eastAsia" w:ascii="宋体" w:hAnsi="宋体" w:eastAsia="宋体" w:cs="宋体"/>
                <w:color w:val="auto"/>
                <w:highlight w:val="none"/>
              </w:rPr>
            </w:pPr>
            <w:r>
              <w:rPr>
                <w:rFonts w:hint="eastAsia" w:ascii="宋体" w:hAnsi="宋体" w:eastAsia="宋体" w:cs="宋体"/>
                <w:color w:val="auto"/>
                <w:highlight w:val="none"/>
              </w:rPr>
              <w:t>说明</w:t>
            </w:r>
          </w:p>
        </w:tc>
      </w:tr>
      <w:tr w14:paraId="08D8F3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09" w:type="dxa"/>
            <w:vAlign w:val="center"/>
          </w:tcPr>
          <w:p w14:paraId="51AF4D9E">
            <w:pPr>
              <w:pStyle w:val="13"/>
              <w:bidi w:val="0"/>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2126" w:type="dxa"/>
            <w:vAlign w:val="center"/>
          </w:tcPr>
          <w:p w14:paraId="5063CEA1">
            <w:pPr>
              <w:pStyle w:val="13"/>
              <w:bidi w:val="0"/>
              <w:rPr>
                <w:rFonts w:hint="eastAsia" w:ascii="宋体" w:hAnsi="宋体" w:eastAsia="宋体" w:cs="宋体"/>
                <w:color w:val="auto"/>
                <w:highlight w:val="none"/>
              </w:rPr>
            </w:pPr>
          </w:p>
        </w:tc>
        <w:tc>
          <w:tcPr>
            <w:tcW w:w="2126" w:type="dxa"/>
          </w:tcPr>
          <w:p w14:paraId="3A655DDE">
            <w:pPr>
              <w:pStyle w:val="13"/>
              <w:bidi w:val="0"/>
              <w:rPr>
                <w:rFonts w:hint="eastAsia" w:ascii="宋体" w:hAnsi="宋体" w:eastAsia="宋体" w:cs="宋体"/>
                <w:color w:val="auto"/>
                <w:highlight w:val="none"/>
              </w:rPr>
            </w:pPr>
          </w:p>
        </w:tc>
        <w:tc>
          <w:tcPr>
            <w:tcW w:w="1560" w:type="dxa"/>
            <w:vAlign w:val="center"/>
          </w:tcPr>
          <w:p w14:paraId="0678C11E">
            <w:pPr>
              <w:pStyle w:val="13"/>
              <w:bidi w:val="0"/>
              <w:rPr>
                <w:rFonts w:hint="eastAsia" w:ascii="宋体" w:hAnsi="宋体" w:eastAsia="宋体" w:cs="宋体"/>
                <w:color w:val="auto"/>
                <w:highlight w:val="none"/>
              </w:rPr>
            </w:pPr>
          </w:p>
        </w:tc>
        <w:tc>
          <w:tcPr>
            <w:tcW w:w="992" w:type="dxa"/>
            <w:vAlign w:val="center"/>
          </w:tcPr>
          <w:p w14:paraId="1CECB4D1">
            <w:pPr>
              <w:pStyle w:val="13"/>
              <w:bidi w:val="0"/>
              <w:rPr>
                <w:rFonts w:hint="eastAsia" w:ascii="宋体" w:hAnsi="宋体" w:eastAsia="宋体" w:cs="宋体"/>
                <w:color w:val="auto"/>
                <w:highlight w:val="none"/>
              </w:rPr>
            </w:pPr>
          </w:p>
        </w:tc>
        <w:tc>
          <w:tcPr>
            <w:tcW w:w="992" w:type="dxa"/>
            <w:vAlign w:val="center"/>
          </w:tcPr>
          <w:p w14:paraId="00BD50F8">
            <w:pPr>
              <w:pStyle w:val="13"/>
              <w:bidi w:val="0"/>
              <w:rPr>
                <w:rFonts w:hint="eastAsia" w:ascii="宋体" w:hAnsi="宋体" w:eastAsia="宋体" w:cs="宋体"/>
                <w:color w:val="auto"/>
                <w:highlight w:val="none"/>
              </w:rPr>
            </w:pPr>
          </w:p>
        </w:tc>
      </w:tr>
      <w:tr w14:paraId="32263A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09" w:type="dxa"/>
            <w:vAlign w:val="center"/>
          </w:tcPr>
          <w:p w14:paraId="6FBC9637">
            <w:pPr>
              <w:pStyle w:val="13"/>
              <w:bidi w:val="0"/>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2126" w:type="dxa"/>
            <w:vAlign w:val="center"/>
          </w:tcPr>
          <w:p w14:paraId="4E571F53">
            <w:pPr>
              <w:pStyle w:val="13"/>
              <w:bidi w:val="0"/>
              <w:rPr>
                <w:rFonts w:hint="eastAsia" w:ascii="宋体" w:hAnsi="宋体" w:eastAsia="宋体" w:cs="宋体"/>
                <w:color w:val="auto"/>
                <w:highlight w:val="none"/>
              </w:rPr>
            </w:pPr>
          </w:p>
        </w:tc>
        <w:tc>
          <w:tcPr>
            <w:tcW w:w="2126" w:type="dxa"/>
          </w:tcPr>
          <w:p w14:paraId="6F8DE6B5">
            <w:pPr>
              <w:pStyle w:val="13"/>
              <w:bidi w:val="0"/>
              <w:rPr>
                <w:rFonts w:hint="eastAsia" w:ascii="宋体" w:hAnsi="宋体" w:eastAsia="宋体" w:cs="宋体"/>
                <w:color w:val="auto"/>
                <w:highlight w:val="none"/>
              </w:rPr>
            </w:pPr>
          </w:p>
        </w:tc>
        <w:tc>
          <w:tcPr>
            <w:tcW w:w="1560" w:type="dxa"/>
            <w:vAlign w:val="center"/>
          </w:tcPr>
          <w:p w14:paraId="685125BD">
            <w:pPr>
              <w:pStyle w:val="13"/>
              <w:bidi w:val="0"/>
              <w:rPr>
                <w:rFonts w:hint="eastAsia" w:ascii="宋体" w:hAnsi="宋体" w:eastAsia="宋体" w:cs="宋体"/>
                <w:color w:val="auto"/>
                <w:highlight w:val="none"/>
              </w:rPr>
            </w:pPr>
          </w:p>
        </w:tc>
        <w:tc>
          <w:tcPr>
            <w:tcW w:w="992" w:type="dxa"/>
            <w:vAlign w:val="center"/>
          </w:tcPr>
          <w:p w14:paraId="319AE194">
            <w:pPr>
              <w:pStyle w:val="13"/>
              <w:bidi w:val="0"/>
              <w:rPr>
                <w:rFonts w:hint="eastAsia" w:ascii="宋体" w:hAnsi="宋体" w:eastAsia="宋体" w:cs="宋体"/>
                <w:color w:val="auto"/>
                <w:highlight w:val="none"/>
              </w:rPr>
            </w:pPr>
          </w:p>
        </w:tc>
        <w:tc>
          <w:tcPr>
            <w:tcW w:w="992" w:type="dxa"/>
            <w:vAlign w:val="center"/>
          </w:tcPr>
          <w:p w14:paraId="5E52A399">
            <w:pPr>
              <w:pStyle w:val="13"/>
              <w:bidi w:val="0"/>
              <w:rPr>
                <w:rFonts w:hint="eastAsia" w:ascii="宋体" w:hAnsi="宋体" w:eastAsia="宋体" w:cs="宋体"/>
                <w:color w:val="auto"/>
                <w:highlight w:val="none"/>
              </w:rPr>
            </w:pPr>
          </w:p>
        </w:tc>
      </w:tr>
      <w:tr w14:paraId="69831F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09" w:type="dxa"/>
            <w:vAlign w:val="center"/>
          </w:tcPr>
          <w:p w14:paraId="3BCFB6D0">
            <w:pPr>
              <w:pStyle w:val="13"/>
              <w:bidi w:val="0"/>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2126" w:type="dxa"/>
            <w:vAlign w:val="center"/>
          </w:tcPr>
          <w:p w14:paraId="4541482F">
            <w:pPr>
              <w:pStyle w:val="13"/>
              <w:bidi w:val="0"/>
              <w:rPr>
                <w:rFonts w:hint="eastAsia" w:ascii="宋体" w:hAnsi="宋体" w:eastAsia="宋体" w:cs="宋体"/>
                <w:color w:val="auto"/>
                <w:highlight w:val="none"/>
              </w:rPr>
            </w:pPr>
          </w:p>
        </w:tc>
        <w:tc>
          <w:tcPr>
            <w:tcW w:w="2126" w:type="dxa"/>
          </w:tcPr>
          <w:p w14:paraId="3DD57A15">
            <w:pPr>
              <w:pStyle w:val="13"/>
              <w:bidi w:val="0"/>
              <w:rPr>
                <w:rFonts w:hint="eastAsia" w:ascii="宋体" w:hAnsi="宋体" w:eastAsia="宋体" w:cs="宋体"/>
                <w:color w:val="auto"/>
                <w:highlight w:val="none"/>
              </w:rPr>
            </w:pPr>
          </w:p>
        </w:tc>
        <w:tc>
          <w:tcPr>
            <w:tcW w:w="1560" w:type="dxa"/>
            <w:vAlign w:val="center"/>
          </w:tcPr>
          <w:p w14:paraId="4FF98852">
            <w:pPr>
              <w:pStyle w:val="13"/>
              <w:bidi w:val="0"/>
              <w:rPr>
                <w:rFonts w:hint="eastAsia" w:ascii="宋体" w:hAnsi="宋体" w:eastAsia="宋体" w:cs="宋体"/>
                <w:color w:val="auto"/>
                <w:highlight w:val="none"/>
              </w:rPr>
            </w:pPr>
          </w:p>
        </w:tc>
        <w:tc>
          <w:tcPr>
            <w:tcW w:w="992" w:type="dxa"/>
            <w:vAlign w:val="center"/>
          </w:tcPr>
          <w:p w14:paraId="5EE332FA">
            <w:pPr>
              <w:pStyle w:val="13"/>
              <w:bidi w:val="0"/>
              <w:rPr>
                <w:rFonts w:hint="eastAsia" w:ascii="宋体" w:hAnsi="宋体" w:eastAsia="宋体" w:cs="宋体"/>
                <w:color w:val="auto"/>
                <w:highlight w:val="none"/>
              </w:rPr>
            </w:pPr>
          </w:p>
        </w:tc>
        <w:tc>
          <w:tcPr>
            <w:tcW w:w="992" w:type="dxa"/>
            <w:vAlign w:val="center"/>
          </w:tcPr>
          <w:p w14:paraId="06E705F1">
            <w:pPr>
              <w:pStyle w:val="13"/>
              <w:bidi w:val="0"/>
              <w:rPr>
                <w:rFonts w:hint="eastAsia" w:ascii="宋体" w:hAnsi="宋体" w:eastAsia="宋体" w:cs="宋体"/>
                <w:color w:val="auto"/>
                <w:highlight w:val="none"/>
              </w:rPr>
            </w:pPr>
          </w:p>
        </w:tc>
      </w:tr>
      <w:tr w14:paraId="47797D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09" w:type="dxa"/>
            <w:vAlign w:val="center"/>
          </w:tcPr>
          <w:p w14:paraId="1308870C">
            <w:pPr>
              <w:pStyle w:val="13"/>
              <w:bidi w:val="0"/>
              <w:rPr>
                <w:rFonts w:hint="eastAsia" w:ascii="宋体" w:hAnsi="宋体" w:eastAsia="宋体" w:cs="宋体"/>
                <w:color w:val="auto"/>
                <w:highlight w:val="none"/>
              </w:rPr>
            </w:pPr>
            <w:r>
              <w:rPr>
                <w:rFonts w:hint="eastAsia" w:ascii="宋体" w:hAnsi="宋体" w:eastAsia="宋体" w:cs="宋体"/>
                <w:color w:val="auto"/>
                <w:highlight w:val="none"/>
              </w:rPr>
              <w:t>……</w:t>
            </w:r>
          </w:p>
        </w:tc>
        <w:tc>
          <w:tcPr>
            <w:tcW w:w="2126" w:type="dxa"/>
            <w:vAlign w:val="center"/>
          </w:tcPr>
          <w:p w14:paraId="1E7181B9">
            <w:pPr>
              <w:pStyle w:val="13"/>
              <w:bidi w:val="0"/>
              <w:rPr>
                <w:rFonts w:hint="eastAsia" w:ascii="宋体" w:hAnsi="宋体" w:eastAsia="宋体" w:cs="宋体"/>
                <w:color w:val="auto"/>
                <w:highlight w:val="none"/>
              </w:rPr>
            </w:pPr>
          </w:p>
        </w:tc>
        <w:tc>
          <w:tcPr>
            <w:tcW w:w="2126" w:type="dxa"/>
          </w:tcPr>
          <w:p w14:paraId="59687A84">
            <w:pPr>
              <w:pStyle w:val="13"/>
              <w:bidi w:val="0"/>
              <w:rPr>
                <w:rFonts w:hint="eastAsia" w:ascii="宋体" w:hAnsi="宋体" w:eastAsia="宋体" w:cs="宋体"/>
                <w:color w:val="auto"/>
                <w:highlight w:val="none"/>
              </w:rPr>
            </w:pPr>
          </w:p>
        </w:tc>
        <w:tc>
          <w:tcPr>
            <w:tcW w:w="1560" w:type="dxa"/>
            <w:vAlign w:val="center"/>
          </w:tcPr>
          <w:p w14:paraId="5D141950">
            <w:pPr>
              <w:pStyle w:val="13"/>
              <w:bidi w:val="0"/>
              <w:rPr>
                <w:rFonts w:hint="eastAsia" w:ascii="宋体" w:hAnsi="宋体" w:eastAsia="宋体" w:cs="宋体"/>
                <w:color w:val="auto"/>
                <w:highlight w:val="none"/>
              </w:rPr>
            </w:pPr>
          </w:p>
        </w:tc>
        <w:tc>
          <w:tcPr>
            <w:tcW w:w="992" w:type="dxa"/>
            <w:vAlign w:val="center"/>
          </w:tcPr>
          <w:p w14:paraId="0D40EA35">
            <w:pPr>
              <w:pStyle w:val="13"/>
              <w:bidi w:val="0"/>
              <w:rPr>
                <w:rFonts w:hint="eastAsia" w:ascii="宋体" w:hAnsi="宋体" w:eastAsia="宋体" w:cs="宋体"/>
                <w:color w:val="auto"/>
                <w:highlight w:val="none"/>
              </w:rPr>
            </w:pPr>
          </w:p>
        </w:tc>
        <w:tc>
          <w:tcPr>
            <w:tcW w:w="992" w:type="dxa"/>
            <w:vAlign w:val="center"/>
          </w:tcPr>
          <w:p w14:paraId="2A0F275A">
            <w:pPr>
              <w:pStyle w:val="13"/>
              <w:bidi w:val="0"/>
              <w:rPr>
                <w:rFonts w:hint="eastAsia" w:ascii="宋体" w:hAnsi="宋体" w:eastAsia="宋体" w:cs="宋体"/>
                <w:color w:val="auto"/>
                <w:highlight w:val="none"/>
              </w:rPr>
            </w:pPr>
          </w:p>
        </w:tc>
      </w:tr>
    </w:tbl>
    <w:p w14:paraId="1112A7D3">
      <w:pPr>
        <w:bidi w:val="0"/>
        <w:rPr>
          <w:rFonts w:hint="eastAsia" w:ascii="宋体" w:hAnsi="宋体" w:eastAsia="宋体" w:cs="宋体"/>
          <w:color w:val="auto"/>
          <w:highlight w:val="none"/>
        </w:rPr>
      </w:pPr>
      <w:r>
        <w:rPr>
          <w:rFonts w:hint="eastAsia" w:ascii="宋体" w:hAnsi="宋体" w:eastAsia="宋体" w:cs="宋体"/>
          <w:color w:val="auto"/>
          <w:highlight w:val="none"/>
          <w:lang w:val="zh-CN"/>
        </w:rPr>
        <w:t>注：1.本表应</w:t>
      </w:r>
      <w:r>
        <w:rPr>
          <w:rFonts w:hint="eastAsia" w:ascii="宋体" w:hAnsi="宋体" w:eastAsia="宋体" w:cs="宋体"/>
          <w:color w:val="auto"/>
          <w:highlight w:val="none"/>
          <w:lang w:val="en-US" w:eastAsia="zh-CN"/>
        </w:rPr>
        <w:t>依照</w:t>
      </w:r>
      <w:r>
        <w:rPr>
          <w:rFonts w:hint="eastAsia" w:ascii="宋体" w:hAnsi="宋体" w:eastAsia="宋体" w:cs="宋体"/>
          <w:color w:val="auto"/>
          <w:highlight w:val="none"/>
          <w:lang w:val="zh-CN"/>
        </w:rPr>
        <w:t>“</w:t>
      </w:r>
      <w:r>
        <w:rPr>
          <w:rFonts w:hint="eastAsia" w:ascii="宋体" w:hAnsi="宋体" w:eastAsia="宋体" w:cs="宋体"/>
          <w:color w:val="auto"/>
          <w:highlight w:val="none"/>
        </w:rPr>
        <w:t>第六部分 磋商及采购项目技术要求</w:t>
      </w:r>
      <w:r>
        <w:rPr>
          <w:rFonts w:hint="eastAsia" w:ascii="宋体" w:hAnsi="宋体" w:eastAsia="宋体" w:cs="宋体"/>
          <w:color w:val="auto"/>
          <w:highlight w:val="none"/>
          <w:lang w:val="zh-CN"/>
        </w:rPr>
        <w:t>”</w:t>
      </w:r>
      <w:r>
        <w:rPr>
          <w:rFonts w:hint="eastAsia" w:ascii="宋体" w:hAnsi="宋体" w:cs="宋体"/>
          <w:color w:val="auto"/>
          <w:highlight w:val="none"/>
          <w:lang w:val="en-US" w:eastAsia="zh-CN"/>
        </w:rPr>
        <w:t>中的4.采购需求</w:t>
      </w:r>
      <w:r>
        <w:rPr>
          <w:rFonts w:hint="eastAsia" w:ascii="宋体" w:hAnsi="宋体" w:eastAsia="宋体" w:cs="宋体"/>
          <w:color w:val="auto"/>
          <w:highlight w:val="none"/>
          <w:lang w:val="zh-CN"/>
        </w:rPr>
        <w:t>中</w:t>
      </w:r>
      <w:r>
        <w:rPr>
          <w:rFonts w:hint="eastAsia" w:ascii="宋体" w:hAnsi="宋体" w:cs="宋体"/>
          <w:color w:val="auto"/>
          <w:highlight w:val="none"/>
          <w:lang w:val="en-US" w:eastAsia="zh-CN"/>
        </w:rPr>
        <w:t>所有</w:t>
      </w:r>
      <w:r>
        <w:rPr>
          <w:rFonts w:hint="eastAsia" w:ascii="宋体" w:hAnsi="宋体" w:eastAsia="宋体" w:cs="宋体"/>
          <w:color w:val="auto"/>
          <w:highlight w:val="none"/>
          <w:lang w:val="zh-CN"/>
        </w:rPr>
        <w:t>指标</w:t>
      </w:r>
      <w:r>
        <w:rPr>
          <w:rFonts w:hint="eastAsia" w:ascii="宋体" w:hAnsi="宋体" w:eastAsia="宋体" w:cs="宋体"/>
          <w:color w:val="auto"/>
          <w:highlight w:val="none"/>
          <w:lang w:val="en-US" w:eastAsia="zh-CN"/>
        </w:rPr>
        <w:t>逐项</w:t>
      </w:r>
      <w:r>
        <w:rPr>
          <w:rFonts w:hint="eastAsia" w:ascii="宋体" w:hAnsi="宋体" w:eastAsia="宋体" w:cs="宋体"/>
          <w:color w:val="auto"/>
          <w:highlight w:val="none"/>
          <w:lang w:val="zh-CN"/>
        </w:rPr>
        <w:t>填写，不得遗漏，</w:t>
      </w:r>
      <w:r>
        <w:rPr>
          <w:rFonts w:hint="eastAsia" w:ascii="宋体" w:hAnsi="宋体" w:eastAsia="宋体" w:cs="宋体"/>
          <w:color w:val="auto"/>
          <w:highlight w:val="none"/>
        </w:rPr>
        <w:t>否则，按无效</w:t>
      </w:r>
      <w:r>
        <w:rPr>
          <w:rFonts w:hint="eastAsia" w:ascii="宋体" w:hAnsi="宋体" w:eastAsia="宋体" w:cs="宋体"/>
          <w:color w:val="auto"/>
          <w:highlight w:val="none"/>
          <w:lang w:val="en-US" w:eastAsia="zh-CN"/>
        </w:rPr>
        <w:t>响应</w:t>
      </w:r>
      <w:r>
        <w:rPr>
          <w:rFonts w:hint="eastAsia" w:ascii="宋体" w:hAnsi="宋体" w:eastAsia="宋体" w:cs="宋体"/>
          <w:color w:val="auto"/>
          <w:highlight w:val="none"/>
        </w:rPr>
        <w:t>处理。</w:t>
      </w:r>
    </w:p>
    <w:p w14:paraId="648D5549">
      <w:pPr>
        <w:bidi w:val="0"/>
        <w:rPr>
          <w:rFonts w:hint="eastAsia" w:ascii="宋体" w:hAnsi="宋体" w:eastAsia="宋体" w:cs="宋体"/>
          <w:color w:val="auto"/>
          <w:highlight w:val="none"/>
          <w:lang w:val="zh-CN"/>
        </w:rPr>
      </w:pPr>
      <w:r>
        <w:rPr>
          <w:rFonts w:hint="eastAsia" w:ascii="宋体" w:hAnsi="宋体" w:cs="宋体"/>
          <w:color w:val="auto"/>
          <w:highlight w:val="none"/>
          <w:lang w:val="en-US" w:eastAsia="zh-CN"/>
        </w:rPr>
        <w:t>2.</w:t>
      </w:r>
      <w:r>
        <w:rPr>
          <w:rFonts w:hint="eastAsia" w:ascii="宋体" w:hAnsi="宋体" w:eastAsia="宋体" w:cs="宋体"/>
          <w:color w:val="auto"/>
          <w:highlight w:val="none"/>
          <w:lang w:val="zh-CN"/>
        </w:rPr>
        <w:t>填写此表时以</w:t>
      </w:r>
      <w:r>
        <w:rPr>
          <w:rFonts w:hint="eastAsia" w:ascii="宋体" w:hAnsi="宋体" w:eastAsia="宋体" w:cs="宋体"/>
          <w:color w:val="auto"/>
          <w:highlight w:val="none"/>
        </w:rPr>
        <w:t>磋商文件第六部分 “磋商及采购项目技术要求”</w:t>
      </w:r>
      <w:r>
        <w:rPr>
          <w:rFonts w:hint="eastAsia" w:ascii="宋体" w:hAnsi="宋体" w:cs="宋体"/>
          <w:color w:val="auto"/>
          <w:highlight w:val="none"/>
          <w:lang w:val="en-US" w:eastAsia="zh-CN"/>
        </w:rPr>
        <w:t>中的4.采购需求指标</w:t>
      </w:r>
      <w:r>
        <w:rPr>
          <w:rFonts w:hint="eastAsia" w:ascii="宋体" w:hAnsi="宋体" w:eastAsia="宋体" w:cs="宋体"/>
          <w:color w:val="auto"/>
          <w:highlight w:val="none"/>
          <w:lang w:val="zh-CN"/>
        </w:rPr>
        <w:t>为基本要求，满足</w:t>
      </w:r>
      <w:r>
        <w:rPr>
          <w:rFonts w:hint="eastAsia" w:ascii="宋体" w:hAnsi="宋体" w:eastAsia="宋体" w:cs="宋体"/>
          <w:color w:val="auto"/>
          <w:highlight w:val="none"/>
        </w:rPr>
        <w:t>磋商文件第六部分 “磋商及采购项目技术要求”</w:t>
      </w:r>
      <w:r>
        <w:rPr>
          <w:rFonts w:hint="eastAsia" w:ascii="宋体" w:hAnsi="宋体" w:cs="宋体"/>
          <w:color w:val="auto"/>
          <w:highlight w:val="none"/>
          <w:lang w:val="en-US" w:eastAsia="zh-CN"/>
        </w:rPr>
        <w:t>中</w:t>
      </w:r>
      <w:r>
        <w:rPr>
          <w:rFonts w:hint="eastAsia" w:ascii="宋体" w:hAnsi="宋体" w:eastAsia="宋体" w:cs="宋体"/>
          <w:color w:val="auto"/>
          <w:highlight w:val="none"/>
          <w:lang w:val="zh-CN"/>
        </w:rPr>
        <w:t>的</w:t>
      </w:r>
      <w:r>
        <w:rPr>
          <w:rFonts w:hint="eastAsia" w:ascii="宋体" w:hAnsi="宋体" w:cs="宋体"/>
          <w:color w:val="auto"/>
          <w:highlight w:val="none"/>
          <w:lang w:val="en-US" w:eastAsia="zh-CN"/>
        </w:rPr>
        <w:t>4.采购需求</w:t>
      </w:r>
      <w:r>
        <w:rPr>
          <w:rFonts w:hint="eastAsia" w:ascii="宋体" w:hAnsi="宋体" w:eastAsia="宋体" w:cs="宋体"/>
          <w:color w:val="auto"/>
          <w:highlight w:val="none"/>
          <w:lang w:val="zh-CN"/>
        </w:rPr>
        <w:t>指标需列出“</w:t>
      </w:r>
      <w:r>
        <w:rPr>
          <w:rFonts w:hint="eastAsia" w:ascii="宋体" w:hAnsi="宋体" w:eastAsia="宋体" w:cs="宋体"/>
          <w:color w:val="auto"/>
          <w:highlight w:val="none"/>
        </w:rPr>
        <w:t>0</w:t>
      </w:r>
      <w:r>
        <w:rPr>
          <w:rFonts w:hint="eastAsia" w:ascii="宋体" w:hAnsi="宋体" w:eastAsia="宋体" w:cs="宋体"/>
          <w:color w:val="auto"/>
          <w:highlight w:val="none"/>
          <w:lang w:val="zh-CN"/>
        </w:rPr>
        <w:t>”；超出、不满足招标项目参数要求的指标需列出“+”、“-”偏差，并做出详细说明；如果只注明“+”、“-”或未填写，将视为该项指标不响应。</w:t>
      </w:r>
    </w:p>
    <w:p w14:paraId="6CDDD467">
      <w:pPr>
        <w:bidi w:val="0"/>
        <w:rPr>
          <w:rFonts w:hint="eastAsia" w:ascii="宋体" w:hAnsi="宋体" w:eastAsia="宋体" w:cs="宋体"/>
          <w:color w:val="auto"/>
          <w:highlight w:val="none"/>
          <w:lang w:val="zh-CN"/>
        </w:rPr>
      </w:pPr>
      <w:r>
        <w:rPr>
          <w:rFonts w:hint="eastAsia" w:ascii="宋体" w:hAnsi="宋体" w:eastAsia="宋体" w:cs="宋体"/>
          <w:color w:val="auto"/>
          <w:highlight w:val="none"/>
        </w:rPr>
        <w:t>3</w:t>
      </w:r>
      <w:r>
        <w:rPr>
          <w:rFonts w:hint="eastAsia" w:ascii="宋体" w:hAnsi="宋体" w:eastAsia="宋体" w:cs="宋体"/>
          <w:color w:val="auto"/>
          <w:highlight w:val="none"/>
          <w:lang w:val="zh-CN"/>
        </w:rPr>
        <w:t>.</w:t>
      </w:r>
      <w:r>
        <w:rPr>
          <w:rFonts w:hint="eastAsia" w:ascii="宋体" w:hAnsi="宋体" w:eastAsia="宋体" w:cs="宋体"/>
          <w:color w:val="auto"/>
          <w:highlight w:val="none"/>
          <w:lang w:val="en-US" w:eastAsia="zh-CN"/>
        </w:rPr>
        <w:t>供应商</w:t>
      </w:r>
      <w:r>
        <w:rPr>
          <w:rFonts w:hint="eastAsia" w:ascii="宋体" w:hAnsi="宋体" w:eastAsia="宋体" w:cs="宋体"/>
          <w:color w:val="auto"/>
          <w:highlight w:val="none"/>
          <w:lang w:val="zh-CN"/>
        </w:rPr>
        <w:t>响应采购需求应具体、明确，含糊不清、不确切或伪造、编造证明材料的，按照实质性不响应处理。对伪造、编造证明材料的，将报告本级财政部门。</w:t>
      </w:r>
    </w:p>
    <w:p w14:paraId="63A7E098">
      <w:pPr>
        <w:bidi w:val="0"/>
        <w:rPr>
          <w:rFonts w:hint="eastAsia" w:ascii="宋体" w:hAnsi="宋体" w:eastAsia="宋体" w:cs="宋体"/>
          <w:color w:val="auto"/>
          <w:highlight w:val="none"/>
        </w:rPr>
      </w:pPr>
    </w:p>
    <w:p w14:paraId="359CBA1F">
      <w:pPr>
        <w:bidi w:val="0"/>
        <w:rPr>
          <w:rFonts w:hint="eastAsia" w:ascii="宋体" w:hAnsi="宋体" w:eastAsia="宋体" w:cs="宋体"/>
          <w:color w:val="auto"/>
          <w:highlight w:val="none"/>
        </w:rPr>
      </w:pPr>
    </w:p>
    <w:p w14:paraId="0D8341F8">
      <w:pPr>
        <w:bidi w:val="0"/>
        <w:rPr>
          <w:rFonts w:hint="eastAsia" w:ascii="宋体" w:hAnsi="宋体" w:eastAsia="宋体" w:cs="宋体"/>
          <w:color w:val="auto"/>
          <w:highlight w:val="none"/>
        </w:rPr>
      </w:pPr>
    </w:p>
    <w:p w14:paraId="5D614F25">
      <w:pPr>
        <w:bidi w:val="0"/>
        <w:rPr>
          <w:rFonts w:hint="eastAsia" w:ascii="宋体" w:hAnsi="宋体" w:eastAsia="宋体" w:cs="宋体"/>
          <w:color w:val="auto"/>
          <w:highlight w:val="none"/>
        </w:rPr>
      </w:pPr>
    </w:p>
    <w:p w14:paraId="2F903736">
      <w:pPr>
        <w:bidi w:val="0"/>
        <w:rPr>
          <w:rFonts w:hint="eastAsia" w:ascii="宋体" w:hAnsi="宋体" w:eastAsia="宋体" w:cs="宋体"/>
          <w:color w:val="auto"/>
          <w:highlight w:val="none"/>
        </w:rPr>
      </w:pPr>
    </w:p>
    <w:p w14:paraId="33B198E8">
      <w:pPr>
        <w:bidi w:val="0"/>
        <w:jc w:val="center"/>
        <w:rPr>
          <w:rFonts w:hint="eastAsia" w:ascii="宋体" w:hAnsi="宋体" w:eastAsia="宋体" w:cs="宋体"/>
          <w:b/>
          <w:bCs/>
          <w:color w:val="auto"/>
          <w:highlight w:val="none"/>
          <w:lang w:val="zh-CN"/>
        </w:rPr>
      </w:pPr>
      <w:r>
        <w:rPr>
          <w:rFonts w:hint="eastAsia" w:ascii="宋体" w:hAnsi="宋体" w:eastAsia="宋体" w:cs="宋体"/>
          <w:b/>
          <w:bCs/>
          <w:color w:val="auto"/>
          <w:highlight w:val="none"/>
          <w:lang w:val="zh-CN"/>
        </w:rPr>
        <w:t>供应商：</w:t>
      </w:r>
      <w:r>
        <w:rPr>
          <w:rFonts w:hint="eastAsia" w:ascii="宋体" w:hAnsi="宋体" w:eastAsia="宋体" w:cs="宋体"/>
          <w:b/>
          <w:bCs/>
          <w:color w:val="auto"/>
          <w:highlight w:val="none"/>
          <w:lang w:val="en-US" w:eastAsia="zh-CN"/>
        </w:rPr>
        <w:t xml:space="preserve">            </w:t>
      </w:r>
      <w:r>
        <w:rPr>
          <w:rFonts w:hint="eastAsia" w:ascii="宋体" w:hAnsi="宋体" w:eastAsia="宋体" w:cs="宋体"/>
          <w:b/>
          <w:bCs/>
          <w:color w:val="auto"/>
          <w:highlight w:val="none"/>
          <w:lang w:val="zh-CN"/>
        </w:rPr>
        <w:t>（公章）</w:t>
      </w:r>
    </w:p>
    <w:p w14:paraId="6BFD42AB">
      <w:pPr>
        <w:bidi w:val="0"/>
        <w:jc w:val="center"/>
        <w:rPr>
          <w:rFonts w:hint="eastAsia" w:ascii="宋体" w:hAnsi="宋体" w:eastAsia="宋体" w:cs="宋体"/>
          <w:b/>
          <w:bCs/>
          <w:color w:val="auto"/>
          <w:highlight w:val="none"/>
          <w:lang w:val="zh-CN"/>
        </w:rPr>
      </w:pPr>
      <w:r>
        <w:rPr>
          <w:rFonts w:hint="eastAsia" w:ascii="宋体" w:hAnsi="宋体" w:eastAsia="宋体" w:cs="宋体"/>
          <w:b/>
          <w:bCs/>
          <w:color w:val="auto"/>
          <w:highlight w:val="none"/>
          <w:lang w:val="zh-CN"/>
        </w:rPr>
        <w:t>法定代表人或委托代理人：</w:t>
      </w:r>
      <w:r>
        <w:rPr>
          <w:rFonts w:hint="eastAsia" w:ascii="宋体" w:hAnsi="宋体" w:eastAsia="宋体" w:cs="宋体"/>
          <w:b/>
          <w:bCs/>
          <w:color w:val="auto"/>
          <w:highlight w:val="none"/>
          <w:lang w:val="en-US" w:eastAsia="zh-CN"/>
        </w:rPr>
        <w:t xml:space="preserve">     </w:t>
      </w:r>
      <w:r>
        <w:rPr>
          <w:rFonts w:hint="eastAsia" w:ascii="宋体" w:hAnsi="宋体" w:eastAsia="宋体" w:cs="宋体"/>
          <w:b/>
          <w:bCs/>
          <w:color w:val="auto"/>
          <w:highlight w:val="none"/>
          <w:lang w:val="zh-CN"/>
        </w:rPr>
        <w:t>（签字或盖章）</w:t>
      </w:r>
    </w:p>
    <w:p w14:paraId="5D9CE2AB">
      <w:pPr>
        <w:bidi w:val="0"/>
        <w:jc w:val="center"/>
        <w:rPr>
          <w:rFonts w:hint="eastAsia" w:ascii="宋体" w:hAnsi="宋体" w:eastAsia="宋体" w:cs="宋体"/>
          <w:b/>
          <w:bCs/>
          <w:color w:val="auto"/>
          <w:highlight w:val="none"/>
          <w:lang w:val="zh-CN"/>
        </w:rPr>
      </w:pPr>
      <w:r>
        <w:rPr>
          <w:rFonts w:hint="eastAsia" w:ascii="宋体" w:hAnsi="宋体" w:eastAsia="宋体" w:cs="宋体"/>
          <w:b/>
          <w:bCs/>
          <w:color w:val="auto"/>
          <w:highlight w:val="none"/>
          <w:lang w:val="zh-CN"/>
        </w:rPr>
        <w:t>年</w:t>
      </w:r>
      <w:r>
        <w:rPr>
          <w:rFonts w:hint="eastAsia" w:ascii="宋体" w:hAnsi="宋体" w:eastAsia="宋体" w:cs="宋体"/>
          <w:b/>
          <w:bCs/>
          <w:color w:val="auto"/>
          <w:highlight w:val="none"/>
          <w:lang w:val="en-US" w:eastAsia="zh-CN"/>
        </w:rPr>
        <w:t xml:space="preserve">  </w:t>
      </w:r>
      <w:r>
        <w:rPr>
          <w:rFonts w:hint="eastAsia" w:ascii="宋体" w:hAnsi="宋体" w:eastAsia="宋体" w:cs="宋体"/>
          <w:b/>
          <w:bCs/>
          <w:color w:val="auto"/>
          <w:highlight w:val="none"/>
          <w:lang w:val="zh-CN"/>
        </w:rPr>
        <w:t xml:space="preserve"> 月 </w:t>
      </w:r>
      <w:r>
        <w:rPr>
          <w:rFonts w:hint="eastAsia" w:ascii="宋体" w:hAnsi="宋体" w:eastAsia="宋体" w:cs="宋体"/>
          <w:b/>
          <w:bCs/>
          <w:color w:val="auto"/>
          <w:highlight w:val="none"/>
          <w:lang w:val="en-US" w:eastAsia="zh-CN"/>
        </w:rPr>
        <w:t xml:space="preserve">  </w:t>
      </w:r>
      <w:r>
        <w:rPr>
          <w:rFonts w:hint="eastAsia" w:ascii="宋体" w:hAnsi="宋体" w:eastAsia="宋体" w:cs="宋体"/>
          <w:b/>
          <w:bCs/>
          <w:color w:val="auto"/>
          <w:highlight w:val="none"/>
          <w:lang w:val="zh-CN"/>
        </w:rPr>
        <w:t>日</w:t>
      </w:r>
    </w:p>
    <w:p w14:paraId="5C1E8367">
      <w:pPr>
        <w:bidi w:val="0"/>
        <w:rPr>
          <w:rFonts w:hint="eastAsia" w:ascii="宋体" w:hAnsi="宋体" w:eastAsia="宋体" w:cs="宋体"/>
          <w:color w:val="auto"/>
          <w:highlight w:val="none"/>
        </w:rPr>
      </w:pPr>
    </w:p>
    <w:p w14:paraId="3EF45064">
      <w:pPr>
        <w:bidi w:val="0"/>
        <w:rPr>
          <w:rFonts w:hint="eastAsia" w:ascii="宋体" w:hAnsi="宋体" w:eastAsia="宋体" w:cs="宋体"/>
          <w:color w:val="auto"/>
          <w:highlight w:val="none"/>
        </w:rPr>
      </w:pPr>
    </w:p>
    <w:p w14:paraId="6B9EE06B">
      <w:pPr>
        <w:bidi w:val="0"/>
        <w:rPr>
          <w:rFonts w:hint="eastAsia" w:ascii="宋体" w:hAnsi="宋体" w:eastAsia="宋体" w:cs="宋体"/>
          <w:color w:val="auto"/>
          <w:highlight w:val="none"/>
        </w:rPr>
      </w:pPr>
      <w:bookmarkStart w:id="135" w:name="_Toc30481"/>
    </w:p>
    <w:p w14:paraId="513FC0BA">
      <w:pPr>
        <w:pStyle w:val="5"/>
        <w:bidi w:val="0"/>
        <w:jc w:val="both"/>
        <w:rPr>
          <w:rFonts w:hint="eastAsia" w:ascii="宋体" w:hAnsi="宋体" w:eastAsia="宋体" w:cs="宋体"/>
          <w:color w:val="auto"/>
          <w:highlight w:val="none"/>
        </w:rPr>
      </w:pPr>
      <w:bookmarkStart w:id="136" w:name="_Toc13528"/>
      <w:r>
        <w:rPr>
          <w:rFonts w:hint="eastAsia" w:ascii="宋体" w:hAnsi="宋体" w:eastAsia="宋体" w:cs="宋体"/>
          <w:color w:val="auto"/>
          <w:highlight w:val="none"/>
        </w:rPr>
        <w:t>附件6：商务条款偏离表</w:t>
      </w:r>
      <w:bookmarkEnd w:id="135"/>
      <w:bookmarkEnd w:id="136"/>
    </w:p>
    <w:p w14:paraId="4DCFE260">
      <w:pPr>
        <w:bidi w:val="0"/>
        <w:rPr>
          <w:rFonts w:hint="eastAsia" w:ascii="宋体" w:hAnsi="宋体" w:eastAsia="宋体" w:cs="宋体"/>
          <w:color w:val="auto"/>
          <w:highlight w:val="none"/>
        </w:rPr>
      </w:pPr>
    </w:p>
    <w:p w14:paraId="6EA76F95">
      <w:pPr>
        <w:bidi w:val="0"/>
        <w:ind w:left="0" w:leftChars="0" w:firstLine="0" w:firstLineChars="0"/>
        <w:jc w:val="center"/>
        <w:rPr>
          <w:rFonts w:hint="eastAsia" w:ascii="宋体" w:hAnsi="宋体" w:eastAsia="宋体" w:cs="宋体"/>
          <w:color w:val="auto"/>
          <w:highlight w:val="none"/>
        </w:rPr>
      </w:pPr>
      <w:bookmarkStart w:id="137" w:name="_Toc21393"/>
      <w:r>
        <w:rPr>
          <w:rFonts w:hint="eastAsia" w:ascii="宋体" w:hAnsi="宋体" w:eastAsia="宋体" w:cs="宋体"/>
          <w:b/>
          <w:bCs/>
          <w:color w:val="auto"/>
          <w:sz w:val="32"/>
          <w:szCs w:val="32"/>
          <w:highlight w:val="none"/>
          <w:lang w:val="zh-CN"/>
        </w:rPr>
        <w:t>商务条款偏离表</w:t>
      </w:r>
      <w:bookmarkEnd w:id="137"/>
    </w:p>
    <w:tbl>
      <w:tblPr>
        <w:tblStyle w:val="67"/>
        <w:tblW w:w="85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9"/>
        <w:gridCol w:w="2647"/>
        <w:gridCol w:w="2599"/>
        <w:gridCol w:w="852"/>
        <w:gridCol w:w="1160"/>
      </w:tblGrid>
      <w:tr w14:paraId="05178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9" w:hRule="atLeast"/>
          <w:jc w:val="center"/>
        </w:trPr>
        <w:tc>
          <w:tcPr>
            <w:tcW w:w="1339" w:type="dxa"/>
            <w:noWrap/>
            <w:vAlign w:val="center"/>
          </w:tcPr>
          <w:p w14:paraId="535A6A7E">
            <w:pPr>
              <w:pStyle w:val="13"/>
              <w:bidi w:val="0"/>
              <w:rPr>
                <w:rFonts w:hint="eastAsia" w:ascii="宋体" w:hAnsi="宋体" w:eastAsia="宋体" w:cs="宋体"/>
                <w:color w:val="auto"/>
                <w:highlight w:val="none"/>
              </w:rPr>
            </w:pPr>
            <w:r>
              <w:rPr>
                <w:rFonts w:hint="eastAsia" w:ascii="宋体" w:hAnsi="宋体" w:eastAsia="宋体" w:cs="宋体"/>
                <w:color w:val="auto"/>
                <w:highlight w:val="none"/>
              </w:rPr>
              <w:t>序号</w:t>
            </w:r>
          </w:p>
        </w:tc>
        <w:tc>
          <w:tcPr>
            <w:tcW w:w="2647" w:type="dxa"/>
            <w:noWrap/>
            <w:vAlign w:val="center"/>
          </w:tcPr>
          <w:p w14:paraId="2C435A8C">
            <w:pPr>
              <w:pStyle w:val="13"/>
              <w:bidi w:val="0"/>
              <w:rPr>
                <w:rFonts w:hint="eastAsia" w:ascii="宋体" w:hAnsi="宋体" w:eastAsia="宋体" w:cs="宋体"/>
                <w:color w:val="auto"/>
                <w:highlight w:val="none"/>
              </w:rPr>
            </w:pPr>
            <w:r>
              <w:rPr>
                <w:rFonts w:hint="eastAsia" w:ascii="宋体" w:hAnsi="宋体" w:eastAsia="宋体" w:cs="宋体"/>
                <w:color w:val="auto"/>
                <w:highlight w:val="none"/>
              </w:rPr>
              <w:t>磋商文件的商务条款（商务要求）</w:t>
            </w:r>
          </w:p>
        </w:tc>
        <w:tc>
          <w:tcPr>
            <w:tcW w:w="2599" w:type="dxa"/>
            <w:noWrap/>
            <w:vAlign w:val="center"/>
          </w:tcPr>
          <w:p w14:paraId="6FB7B3F9">
            <w:pPr>
              <w:pStyle w:val="13"/>
              <w:bidi w:val="0"/>
              <w:rPr>
                <w:rFonts w:hint="eastAsia" w:ascii="宋体" w:hAnsi="宋体" w:eastAsia="宋体" w:cs="宋体"/>
                <w:color w:val="auto"/>
                <w:highlight w:val="none"/>
              </w:rPr>
            </w:pPr>
            <w:r>
              <w:rPr>
                <w:rFonts w:hint="eastAsia" w:ascii="宋体" w:hAnsi="宋体" w:eastAsia="宋体" w:cs="宋体"/>
                <w:color w:val="auto"/>
                <w:highlight w:val="none"/>
              </w:rPr>
              <w:t>响应文件的商务条款</w:t>
            </w:r>
          </w:p>
        </w:tc>
        <w:tc>
          <w:tcPr>
            <w:tcW w:w="852" w:type="dxa"/>
            <w:noWrap/>
            <w:vAlign w:val="center"/>
          </w:tcPr>
          <w:p w14:paraId="463000B0">
            <w:pPr>
              <w:pStyle w:val="13"/>
              <w:bidi w:val="0"/>
              <w:rPr>
                <w:rFonts w:hint="eastAsia" w:ascii="宋体" w:hAnsi="宋体" w:eastAsia="宋体" w:cs="宋体"/>
                <w:color w:val="auto"/>
                <w:highlight w:val="none"/>
              </w:rPr>
            </w:pPr>
            <w:r>
              <w:rPr>
                <w:rFonts w:hint="eastAsia" w:ascii="宋体" w:hAnsi="宋体" w:eastAsia="宋体" w:cs="宋体"/>
                <w:color w:val="auto"/>
                <w:highlight w:val="none"/>
              </w:rPr>
              <w:t>偏离</w:t>
            </w:r>
          </w:p>
        </w:tc>
        <w:tc>
          <w:tcPr>
            <w:tcW w:w="1160" w:type="dxa"/>
            <w:noWrap/>
            <w:vAlign w:val="center"/>
          </w:tcPr>
          <w:p w14:paraId="7F0C04FF">
            <w:pPr>
              <w:pStyle w:val="13"/>
              <w:bidi w:val="0"/>
              <w:rPr>
                <w:rFonts w:hint="eastAsia" w:ascii="宋体" w:hAnsi="宋体" w:eastAsia="宋体" w:cs="宋体"/>
                <w:color w:val="auto"/>
                <w:highlight w:val="none"/>
              </w:rPr>
            </w:pPr>
            <w:r>
              <w:rPr>
                <w:rFonts w:hint="eastAsia" w:ascii="宋体" w:hAnsi="宋体" w:eastAsia="宋体" w:cs="宋体"/>
                <w:color w:val="auto"/>
                <w:highlight w:val="none"/>
              </w:rPr>
              <w:t>说明</w:t>
            </w:r>
          </w:p>
        </w:tc>
      </w:tr>
      <w:tr w14:paraId="3E4B4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339" w:type="dxa"/>
            <w:noWrap/>
            <w:vAlign w:val="center"/>
          </w:tcPr>
          <w:p w14:paraId="5C1703E3">
            <w:pPr>
              <w:pStyle w:val="13"/>
              <w:bidi w:val="0"/>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2647" w:type="dxa"/>
            <w:noWrap/>
            <w:vAlign w:val="center"/>
          </w:tcPr>
          <w:p w14:paraId="525CBAEB">
            <w:pPr>
              <w:pStyle w:val="13"/>
              <w:bidi w:val="0"/>
              <w:rPr>
                <w:rFonts w:hint="eastAsia" w:ascii="宋体" w:hAnsi="宋体" w:eastAsia="宋体" w:cs="宋体"/>
                <w:color w:val="auto"/>
                <w:highlight w:val="none"/>
              </w:rPr>
            </w:pPr>
          </w:p>
        </w:tc>
        <w:tc>
          <w:tcPr>
            <w:tcW w:w="2599" w:type="dxa"/>
            <w:noWrap/>
            <w:vAlign w:val="center"/>
          </w:tcPr>
          <w:p w14:paraId="5E66E09C">
            <w:pPr>
              <w:pStyle w:val="13"/>
              <w:bidi w:val="0"/>
              <w:rPr>
                <w:rFonts w:hint="eastAsia" w:ascii="宋体" w:hAnsi="宋体" w:eastAsia="宋体" w:cs="宋体"/>
                <w:color w:val="auto"/>
                <w:highlight w:val="none"/>
              </w:rPr>
            </w:pPr>
          </w:p>
        </w:tc>
        <w:tc>
          <w:tcPr>
            <w:tcW w:w="852" w:type="dxa"/>
            <w:noWrap/>
            <w:vAlign w:val="center"/>
          </w:tcPr>
          <w:p w14:paraId="5026E53F">
            <w:pPr>
              <w:pStyle w:val="13"/>
              <w:bidi w:val="0"/>
              <w:rPr>
                <w:rFonts w:hint="eastAsia" w:ascii="宋体" w:hAnsi="宋体" w:eastAsia="宋体" w:cs="宋体"/>
                <w:color w:val="auto"/>
                <w:highlight w:val="none"/>
              </w:rPr>
            </w:pPr>
          </w:p>
        </w:tc>
        <w:tc>
          <w:tcPr>
            <w:tcW w:w="1160" w:type="dxa"/>
            <w:noWrap/>
            <w:vAlign w:val="center"/>
          </w:tcPr>
          <w:p w14:paraId="2FDAF3A6">
            <w:pPr>
              <w:pStyle w:val="13"/>
              <w:bidi w:val="0"/>
              <w:rPr>
                <w:rFonts w:hint="eastAsia" w:ascii="宋体" w:hAnsi="宋体" w:eastAsia="宋体" w:cs="宋体"/>
                <w:color w:val="auto"/>
                <w:highlight w:val="none"/>
              </w:rPr>
            </w:pPr>
          </w:p>
        </w:tc>
      </w:tr>
      <w:tr w14:paraId="3E95C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339" w:type="dxa"/>
            <w:noWrap/>
            <w:vAlign w:val="center"/>
          </w:tcPr>
          <w:p w14:paraId="6F27F87A">
            <w:pPr>
              <w:pStyle w:val="13"/>
              <w:bidi w:val="0"/>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2647" w:type="dxa"/>
            <w:noWrap/>
            <w:vAlign w:val="center"/>
          </w:tcPr>
          <w:p w14:paraId="77326229">
            <w:pPr>
              <w:pStyle w:val="13"/>
              <w:bidi w:val="0"/>
              <w:rPr>
                <w:rFonts w:hint="eastAsia" w:ascii="宋体" w:hAnsi="宋体" w:eastAsia="宋体" w:cs="宋体"/>
                <w:color w:val="auto"/>
                <w:highlight w:val="none"/>
              </w:rPr>
            </w:pPr>
          </w:p>
        </w:tc>
        <w:tc>
          <w:tcPr>
            <w:tcW w:w="2599" w:type="dxa"/>
            <w:noWrap/>
            <w:vAlign w:val="center"/>
          </w:tcPr>
          <w:p w14:paraId="726EE440">
            <w:pPr>
              <w:pStyle w:val="13"/>
              <w:bidi w:val="0"/>
              <w:rPr>
                <w:rFonts w:hint="eastAsia" w:ascii="宋体" w:hAnsi="宋体" w:eastAsia="宋体" w:cs="宋体"/>
                <w:color w:val="auto"/>
                <w:highlight w:val="none"/>
              </w:rPr>
            </w:pPr>
          </w:p>
        </w:tc>
        <w:tc>
          <w:tcPr>
            <w:tcW w:w="852" w:type="dxa"/>
            <w:noWrap/>
            <w:vAlign w:val="center"/>
          </w:tcPr>
          <w:p w14:paraId="4365844C">
            <w:pPr>
              <w:pStyle w:val="13"/>
              <w:bidi w:val="0"/>
              <w:rPr>
                <w:rFonts w:hint="eastAsia" w:ascii="宋体" w:hAnsi="宋体" w:eastAsia="宋体" w:cs="宋体"/>
                <w:color w:val="auto"/>
                <w:highlight w:val="none"/>
              </w:rPr>
            </w:pPr>
          </w:p>
        </w:tc>
        <w:tc>
          <w:tcPr>
            <w:tcW w:w="1160" w:type="dxa"/>
            <w:noWrap/>
            <w:vAlign w:val="center"/>
          </w:tcPr>
          <w:p w14:paraId="790F917F">
            <w:pPr>
              <w:pStyle w:val="13"/>
              <w:bidi w:val="0"/>
              <w:rPr>
                <w:rFonts w:hint="eastAsia" w:ascii="宋体" w:hAnsi="宋体" w:eastAsia="宋体" w:cs="宋体"/>
                <w:color w:val="auto"/>
                <w:highlight w:val="none"/>
              </w:rPr>
            </w:pPr>
          </w:p>
        </w:tc>
      </w:tr>
      <w:tr w14:paraId="20BF8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339" w:type="dxa"/>
            <w:noWrap/>
            <w:vAlign w:val="center"/>
          </w:tcPr>
          <w:p w14:paraId="5B5224EF">
            <w:pPr>
              <w:pStyle w:val="13"/>
              <w:bidi w:val="0"/>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2647" w:type="dxa"/>
            <w:noWrap/>
            <w:vAlign w:val="center"/>
          </w:tcPr>
          <w:p w14:paraId="0A80844E">
            <w:pPr>
              <w:pStyle w:val="13"/>
              <w:bidi w:val="0"/>
              <w:rPr>
                <w:rFonts w:hint="eastAsia" w:ascii="宋体" w:hAnsi="宋体" w:eastAsia="宋体" w:cs="宋体"/>
                <w:color w:val="auto"/>
                <w:highlight w:val="none"/>
              </w:rPr>
            </w:pPr>
          </w:p>
        </w:tc>
        <w:tc>
          <w:tcPr>
            <w:tcW w:w="2599" w:type="dxa"/>
            <w:noWrap/>
            <w:vAlign w:val="center"/>
          </w:tcPr>
          <w:p w14:paraId="18F0B5B0">
            <w:pPr>
              <w:pStyle w:val="13"/>
              <w:bidi w:val="0"/>
              <w:rPr>
                <w:rFonts w:hint="eastAsia" w:ascii="宋体" w:hAnsi="宋体" w:eastAsia="宋体" w:cs="宋体"/>
                <w:color w:val="auto"/>
                <w:highlight w:val="none"/>
              </w:rPr>
            </w:pPr>
          </w:p>
        </w:tc>
        <w:tc>
          <w:tcPr>
            <w:tcW w:w="852" w:type="dxa"/>
            <w:noWrap/>
            <w:vAlign w:val="center"/>
          </w:tcPr>
          <w:p w14:paraId="17E3554E">
            <w:pPr>
              <w:pStyle w:val="13"/>
              <w:bidi w:val="0"/>
              <w:rPr>
                <w:rFonts w:hint="eastAsia" w:ascii="宋体" w:hAnsi="宋体" w:eastAsia="宋体" w:cs="宋体"/>
                <w:color w:val="auto"/>
                <w:highlight w:val="none"/>
              </w:rPr>
            </w:pPr>
          </w:p>
        </w:tc>
        <w:tc>
          <w:tcPr>
            <w:tcW w:w="1160" w:type="dxa"/>
            <w:noWrap/>
            <w:vAlign w:val="center"/>
          </w:tcPr>
          <w:p w14:paraId="0C46BAAA">
            <w:pPr>
              <w:pStyle w:val="13"/>
              <w:bidi w:val="0"/>
              <w:rPr>
                <w:rFonts w:hint="eastAsia" w:ascii="宋体" w:hAnsi="宋体" w:eastAsia="宋体" w:cs="宋体"/>
                <w:color w:val="auto"/>
                <w:highlight w:val="none"/>
              </w:rPr>
            </w:pPr>
          </w:p>
        </w:tc>
      </w:tr>
      <w:tr w14:paraId="45A95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339" w:type="dxa"/>
            <w:noWrap/>
            <w:vAlign w:val="center"/>
          </w:tcPr>
          <w:p w14:paraId="4A843861">
            <w:pPr>
              <w:pStyle w:val="13"/>
              <w:bidi w:val="0"/>
              <w:rPr>
                <w:rFonts w:hint="eastAsia" w:ascii="宋体" w:hAnsi="宋体" w:eastAsia="宋体" w:cs="宋体"/>
                <w:color w:val="auto"/>
                <w:highlight w:val="none"/>
              </w:rPr>
            </w:pPr>
            <w:r>
              <w:rPr>
                <w:rFonts w:hint="eastAsia" w:ascii="宋体" w:hAnsi="宋体" w:eastAsia="宋体" w:cs="宋体"/>
                <w:color w:val="auto"/>
                <w:highlight w:val="none"/>
              </w:rPr>
              <w:t>4</w:t>
            </w:r>
          </w:p>
        </w:tc>
        <w:tc>
          <w:tcPr>
            <w:tcW w:w="2647" w:type="dxa"/>
            <w:noWrap/>
            <w:vAlign w:val="center"/>
          </w:tcPr>
          <w:p w14:paraId="13E0BE59">
            <w:pPr>
              <w:pStyle w:val="13"/>
              <w:bidi w:val="0"/>
              <w:rPr>
                <w:rFonts w:hint="eastAsia" w:ascii="宋体" w:hAnsi="宋体" w:eastAsia="宋体" w:cs="宋体"/>
                <w:color w:val="auto"/>
                <w:highlight w:val="none"/>
              </w:rPr>
            </w:pPr>
          </w:p>
        </w:tc>
        <w:tc>
          <w:tcPr>
            <w:tcW w:w="2599" w:type="dxa"/>
            <w:noWrap/>
            <w:vAlign w:val="center"/>
          </w:tcPr>
          <w:p w14:paraId="4456096D">
            <w:pPr>
              <w:pStyle w:val="13"/>
              <w:bidi w:val="0"/>
              <w:rPr>
                <w:rFonts w:hint="eastAsia" w:ascii="宋体" w:hAnsi="宋体" w:eastAsia="宋体" w:cs="宋体"/>
                <w:color w:val="auto"/>
                <w:highlight w:val="none"/>
              </w:rPr>
            </w:pPr>
          </w:p>
        </w:tc>
        <w:tc>
          <w:tcPr>
            <w:tcW w:w="852" w:type="dxa"/>
            <w:noWrap/>
            <w:vAlign w:val="center"/>
          </w:tcPr>
          <w:p w14:paraId="32A445CC">
            <w:pPr>
              <w:pStyle w:val="13"/>
              <w:bidi w:val="0"/>
              <w:rPr>
                <w:rFonts w:hint="eastAsia" w:ascii="宋体" w:hAnsi="宋体" w:eastAsia="宋体" w:cs="宋体"/>
                <w:color w:val="auto"/>
                <w:highlight w:val="none"/>
              </w:rPr>
            </w:pPr>
          </w:p>
        </w:tc>
        <w:tc>
          <w:tcPr>
            <w:tcW w:w="1160" w:type="dxa"/>
            <w:noWrap/>
            <w:vAlign w:val="center"/>
          </w:tcPr>
          <w:p w14:paraId="4DFA6D84">
            <w:pPr>
              <w:pStyle w:val="13"/>
              <w:bidi w:val="0"/>
              <w:rPr>
                <w:rFonts w:hint="eastAsia" w:ascii="宋体" w:hAnsi="宋体" w:eastAsia="宋体" w:cs="宋体"/>
                <w:color w:val="auto"/>
                <w:highlight w:val="none"/>
              </w:rPr>
            </w:pPr>
          </w:p>
        </w:tc>
      </w:tr>
      <w:tr w14:paraId="56F80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339" w:type="dxa"/>
            <w:noWrap/>
            <w:vAlign w:val="center"/>
          </w:tcPr>
          <w:p w14:paraId="4102B8D9">
            <w:pPr>
              <w:pStyle w:val="13"/>
              <w:bidi w:val="0"/>
              <w:rPr>
                <w:rFonts w:hint="eastAsia" w:ascii="宋体" w:hAnsi="宋体" w:eastAsia="宋体" w:cs="宋体"/>
                <w:color w:val="auto"/>
                <w:highlight w:val="none"/>
              </w:rPr>
            </w:pPr>
            <w:r>
              <w:rPr>
                <w:rFonts w:hint="eastAsia" w:ascii="宋体" w:hAnsi="宋体" w:eastAsia="宋体" w:cs="宋体"/>
                <w:color w:val="auto"/>
                <w:highlight w:val="none"/>
              </w:rPr>
              <w:t>……</w:t>
            </w:r>
          </w:p>
        </w:tc>
        <w:tc>
          <w:tcPr>
            <w:tcW w:w="2647" w:type="dxa"/>
            <w:noWrap/>
            <w:vAlign w:val="center"/>
          </w:tcPr>
          <w:p w14:paraId="12917A52">
            <w:pPr>
              <w:pStyle w:val="13"/>
              <w:bidi w:val="0"/>
              <w:rPr>
                <w:rFonts w:hint="eastAsia" w:ascii="宋体" w:hAnsi="宋体" w:eastAsia="宋体" w:cs="宋体"/>
                <w:color w:val="auto"/>
                <w:highlight w:val="none"/>
              </w:rPr>
            </w:pPr>
          </w:p>
        </w:tc>
        <w:tc>
          <w:tcPr>
            <w:tcW w:w="2599" w:type="dxa"/>
            <w:noWrap/>
            <w:vAlign w:val="center"/>
          </w:tcPr>
          <w:p w14:paraId="5B3A7D4A">
            <w:pPr>
              <w:pStyle w:val="13"/>
              <w:bidi w:val="0"/>
              <w:rPr>
                <w:rFonts w:hint="eastAsia" w:ascii="宋体" w:hAnsi="宋体" w:eastAsia="宋体" w:cs="宋体"/>
                <w:color w:val="auto"/>
                <w:highlight w:val="none"/>
              </w:rPr>
            </w:pPr>
          </w:p>
        </w:tc>
        <w:tc>
          <w:tcPr>
            <w:tcW w:w="852" w:type="dxa"/>
            <w:noWrap/>
            <w:vAlign w:val="center"/>
          </w:tcPr>
          <w:p w14:paraId="0B16C9B7">
            <w:pPr>
              <w:pStyle w:val="13"/>
              <w:bidi w:val="0"/>
              <w:rPr>
                <w:rFonts w:hint="eastAsia" w:ascii="宋体" w:hAnsi="宋体" w:eastAsia="宋体" w:cs="宋体"/>
                <w:color w:val="auto"/>
                <w:highlight w:val="none"/>
              </w:rPr>
            </w:pPr>
          </w:p>
        </w:tc>
        <w:tc>
          <w:tcPr>
            <w:tcW w:w="1160" w:type="dxa"/>
            <w:noWrap/>
            <w:vAlign w:val="center"/>
          </w:tcPr>
          <w:p w14:paraId="2CD5F6D2">
            <w:pPr>
              <w:pStyle w:val="13"/>
              <w:bidi w:val="0"/>
              <w:rPr>
                <w:rFonts w:hint="eastAsia" w:ascii="宋体" w:hAnsi="宋体" w:eastAsia="宋体" w:cs="宋体"/>
                <w:color w:val="auto"/>
                <w:highlight w:val="none"/>
              </w:rPr>
            </w:pPr>
          </w:p>
        </w:tc>
      </w:tr>
    </w:tbl>
    <w:p w14:paraId="16FEC579">
      <w:pPr>
        <w:bidi w:val="0"/>
        <w:rPr>
          <w:rFonts w:hint="eastAsia" w:ascii="宋体" w:hAnsi="宋体" w:eastAsia="宋体" w:cs="宋体"/>
          <w:color w:val="auto"/>
          <w:highlight w:val="none"/>
        </w:rPr>
      </w:pPr>
    </w:p>
    <w:p w14:paraId="3AE053C1">
      <w:pPr>
        <w:bidi w:val="0"/>
        <w:rPr>
          <w:rFonts w:hint="eastAsia" w:ascii="宋体" w:hAnsi="宋体" w:eastAsia="宋体" w:cs="宋体"/>
          <w:color w:val="auto"/>
          <w:highlight w:val="none"/>
        </w:rPr>
      </w:pPr>
      <w:r>
        <w:rPr>
          <w:rFonts w:hint="eastAsia" w:ascii="宋体" w:hAnsi="宋体" w:eastAsia="宋体" w:cs="宋体"/>
          <w:color w:val="auto"/>
          <w:highlight w:val="none"/>
        </w:rPr>
        <w:t>说明：此表应根据</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 xml:space="preserve">第六部分 </w:t>
      </w:r>
      <w:r>
        <w:rPr>
          <w:rFonts w:hint="eastAsia" w:ascii="宋体" w:hAnsi="宋体" w:eastAsia="宋体" w:cs="宋体"/>
          <w:color w:val="auto"/>
          <w:highlight w:val="none"/>
        </w:rPr>
        <w:t>磋商及采购项目</w:t>
      </w:r>
      <w:r>
        <w:rPr>
          <w:rFonts w:hint="eastAsia" w:ascii="宋体" w:hAnsi="宋体" w:eastAsia="宋体" w:cs="宋体"/>
          <w:color w:val="auto"/>
          <w:highlight w:val="none"/>
          <w:lang w:val="en-US" w:eastAsia="zh-CN"/>
        </w:rPr>
        <w:t>技术</w:t>
      </w:r>
      <w:r>
        <w:rPr>
          <w:rFonts w:hint="eastAsia" w:ascii="宋体" w:hAnsi="宋体" w:eastAsia="宋体" w:cs="宋体"/>
          <w:color w:val="auto"/>
          <w:highlight w:val="none"/>
        </w:rPr>
        <w:t>要求</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中的商务要求填写，若全部无偏离的，则标明所有商务条款无偏离；若有偏离的则需逐项说明。</w:t>
      </w:r>
    </w:p>
    <w:p w14:paraId="5DF42904">
      <w:pPr>
        <w:bidi w:val="0"/>
        <w:rPr>
          <w:rFonts w:hint="eastAsia" w:ascii="宋体" w:hAnsi="宋体" w:eastAsia="宋体" w:cs="宋体"/>
          <w:color w:val="auto"/>
          <w:highlight w:val="none"/>
        </w:rPr>
      </w:pPr>
    </w:p>
    <w:p w14:paraId="02A7F93B">
      <w:pPr>
        <w:bidi w:val="0"/>
        <w:rPr>
          <w:rFonts w:hint="eastAsia" w:ascii="宋体" w:hAnsi="宋体" w:eastAsia="宋体" w:cs="宋体"/>
          <w:color w:val="auto"/>
          <w:highlight w:val="none"/>
        </w:rPr>
      </w:pPr>
    </w:p>
    <w:p w14:paraId="6E86E52C">
      <w:pPr>
        <w:bidi w:val="0"/>
        <w:rPr>
          <w:rFonts w:hint="eastAsia" w:ascii="宋体" w:hAnsi="宋体" w:eastAsia="宋体" w:cs="宋体"/>
          <w:color w:val="auto"/>
          <w:highlight w:val="none"/>
        </w:rPr>
      </w:pPr>
    </w:p>
    <w:p w14:paraId="4333E326">
      <w:pPr>
        <w:bidi w:val="0"/>
        <w:rPr>
          <w:rFonts w:hint="eastAsia" w:ascii="宋体" w:hAnsi="宋体" w:eastAsia="宋体" w:cs="宋体"/>
          <w:color w:val="auto"/>
          <w:highlight w:val="none"/>
        </w:rPr>
      </w:pPr>
    </w:p>
    <w:p w14:paraId="67DC039F">
      <w:pPr>
        <w:bidi w:val="0"/>
        <w:rPr>
          <w:rFonts w:hint="eastAsia" w:ascii="宋体" w:hAnsi="宋体" w:eastAsia="宋体" w:cs="宋体"/>
          <w:color w:val="auto"/>
          <w:highlight w:val="none"/>
        </w:rPr>
      </w:pPr>
    </w:p>
    <w:p w14:paraId="59FD71A5">
      <w:pPr>
        <w:bidi w:val="0"/>
        <w:rPr>
          <w:rFonts w:hint="eastAsia" w:ascii="宋体" w:hAnsi="宋体" w:eastAsia="宋体" w:cs="宋体"/>
          <w:color w:val="auto"/>
          <w:highlight w:val="none"/>
        </w:rPr>
      </w:pPr>
    </w:p>
    <w:p w14:paraId="4A8B1891">
      <w:pPr>
        <w:bidi w:val="0"/>
        <w:rPr>
          <w:rFonts w:hint="eastAsia" w:ascii="宋体" w:hAnsi="宋体" w:eastAsia="宋体" w:cs="宋体"/>
          <w:color w:val="auto"/>
          <w:highlight w:val="none"/>
        </w:rPr>
      </w:pPr>
    </w:p>
    <w:p w14:paraId="66192B73">
      <w:pPr>
        <w:bidi w:val="0"/>
        <w:jc w:val="center"/>
        <w:rPr>
          <w:rFonts w:hint="eastAsia" w:ascii="宋体" w:hAnsi="宋体" w:eastAsia="宋体" w:cs="宋体"/>
          <w:b/>
          <w:bCs/>
          <w:color w:val="auto"/>
          <w:highlight w:val="none"/>
          <w:lang w:val="zh-CN"/>
        </w:rPr>
      </w:pPr>
      <w:r>
        <w:rPr>
          <w:rFonts w:hint="eastAsia" w:ascii="宋体" w:hAnsi="宋体" w:eastAsia="宋体" w:cs="宋体"/>
          <w:b/>
          <w:bCs/>
          <w:color w:val="auto"/>
          <w:highlight w:val="none"/>
          <w:lang w:val="zh-CN"/>
        </w:rPr>
        <w:t>供应商：</w:t>
      </w:r>
      <w:r>
        <w:rPr>
          <w:rFonts w:hint="eastAsia" w:ascii="宋体" w:hAnsi="宋体" w:eastAsia="宋体" w:cs="宋体"/>
          <w:b/>
          <w:bCs/>
          <w:color w:val="auto"/>
          <w:highlight w:val="none"/>
          <w:lang w:val="en-US" w:eastAsia="zh-CN"/>
        </w:rPr>
        <w:t xml:space="preserve">            </w:t>
      </w:r>
      <w:r>
        <w:rPr>
          <w:rFonts w:hint="eastAsia" w:ascii="宋体" w:hAnsi="宋体" w:eastAsia="宋体" w:cs="宋体"/>
          <w:b/>
          <w:bCs/>
          <w:color w:val="auto"/>
          <w:highlight w:val="none"/>
          <w:lang w:val="zh-CN"/>
        </w:rPr>
        <w:t>（公章）</w:t>
      </w:r>
    </w:p>
    <w:p w14:paraId="535A389A">
      <w:pPr>
        <w:bidi w:val="0"/>
        <w:jc w:val="center"/>
        <w:rPr>
          <w:rFonts w:hint="eastAsia" w:ascii="宋体" w:hAnsi="宋体" w:eastAsia="宋体" w:cs="宋体"/>
          <w:b/>
          <w:bCs/>
          <w:color w:val="auto"/>
          <w:highlight w:val="none"/>
          <w:lang w:val="zh-CN"/>
        </w:rPr>
      </w:pPr>
      <w:r>
        <w:rPr>
          <w:rFonts w:hint="eastAsia" w:ascii="宋体" w:hAnsi="宋体" w:eastAsia="宋体" w:cs="宋体"/>
          <w:b/>
          <w:bCs/>
          <w:color w:val="auto"/>
          <w:highlight w:val="none"/>
          <w:lang w:val="zh-CN"/>
        </w:rPr>
        <w:t>法定代表人或委托代理人：</w:t>
      </w:r>
      <w:r>
        <w:rPr>
          <w:rFonts w:hint="eastAsia" w:ascii="宋体" w:hAnsi="宋体" w:eastAsia="宋体" w:cs="宋体"/>
          <w:b/>
          <w:bCs/>
          <w:color w:val="auto"/>
          <w:highlight w:val="none"/>
          <w:lang w:val="en-US" w:eastAsia="zh-CN"/>
        </w:rPr>
        <w:t xml:space="preserve">     </w:t>
      </w:r>
      <w:r>
        <w:rPr>
          <w:rFonts w:hint="eastAsia" w:ascii="宋体" w:hAnsi="宋体" w:eastAsia="宋体" w:cs="宋体"/>
          <w:b/>
          <w:bCs/>
          <w:color w:val="auto"/>
          <w:highlight w:val="none"/>
          <w:lang w:val="zh-CN"/>
        </w:rPr>
        <w:t>（签字或盖章）</w:t>
      </w:r>
    </w:p>
    <w:p w14:paraId="77779A7C">
      <w:pPr>
        <w:bidi w:val="0"/>
        <w:jc w:val="center"/>
        <w:rPr>
          <w:rFonts w:hint="eastAsia" w:ascii="宋体" w:hAnsi="宋体" w:eastAsia="宋体" w:cs="宋体"/>
          <w:b/>
          <w:bCs/>
          <w:color w:val="auto"/>
          <w:highlight w:val="none"/>
          <w:lang w:val="zh-CN"/>
        </w:rPr>
      </w:pPr>
      <w:r>
        <w:rPr>
          <w:rFonts w:hint="eastAsia" w:ascii="宋体" w:hAnsi="宋体" w:eastAsia="宋体" w:cs="宋体"/>
          <w:b/>
          <w:bCs/>
          <w:color w:val="auto"/>
          <w:highlight w:val="none"/>
          <w:lang w:val="zh-CN"/>
        </w:rPr>
        <w:t>年</w:t>
      </w:r>
      <w:r>
        <w:rPr>
          <w:rFonts w:hint="eastAsia" w:ascii="宋体" w:hAnsi="宋体" w:eastAsia="宋体" w:cs="宋体"/>
          <w:b/>
          <w:bCs/>
          <w:color w:val="auto"/>
          <w:highlight w:val="none"/>
          <w:lang w:val="en-US" w:eastAsia="zh-CN"/>
        </w:rPr>
        <w:t xml:space="preserve">  </w:t>
      </w:r>
      <w:r>
        <w:rPr>
          <w:rFonts w:hint="eastAsia" w:ascii="宋体" w:hAnsi="宋体" w:eastAsia="宋体" w:cs="宋体"/>
          <w:b/>
          <w:bCs/>
          <w:color w:val="auto"/>
          <w:highlight w:val="none"/>
          <w:lang w:val="zh-CN"/>
        </w:rPr>
        <w:t xml:space="preserve"> 月 </w:t>
      </w:r>
      <w:r>
        <w:rPr>
          <w:rFonts w:hint="eastAsia" w:ascii="宋体" w:hAnsi="宋体" w:eastAsia="宋体" w:cs="宋体"/>
          <w:b/>
          <w:bCs/>
          <w:color w:val="auto"/>
          <w:highlight w:val="none"/>
          <w:lang w:val="en-US" w:eastAsia="zh-CN"/>
        </w:rPr>
        <w:t xml:space="preserve">  </w:t>
      </w:r>
      <w:r>
        <w:rPr>
          <w:rFonts w:hint="eastAsia" w:ascii="宋体" w:hAnsi="宋体" w:eastAsia="宋体" w:cs="宋体"/>
          <w:b/>
          <w:bCs/>
          <w:color w:val="auto"/>
          <w:highlight w:val="none"/>
          <w:lang w:val="zh-CN"/>
        </w:rPr>
        <w:t>日</w:t>
      </w:r>
    </w:p>
    <w:p w14:paraId="7C7B92F6">
      <w:pPr>
        <w:bidi w:val="0"/>
        <w:rPr>
          <w:rFonts w:hint="eastAsia" w:ascii="宋体" w:hAnsi="宋体" w:eastAsia="宋体" w:cs="宋体"/>
          <w:color w:val="auto"/>
          <w:highlight w:val="none"/>
        </w:rPr>
      </w:pPr>
    </w:p>
    <w:p w14:paraId="771DFAAE">
      <w:pPr>
        <w:bidi w:val="0"/>
        <w:rPr>
          <w:rFonts w:hint="eastAsia" w:ascii="宋体" w:hAnsi="宋体" w:eastAsia="宋体" w:cs="宋体"/>
          <w:color w:val="auto"/>
          <w:highlight w:val="none"/>
        </w:rPr>
      </w:pPr>
    </w:p>
    <w:p w14:paraId="38B4EFCE">
      <w:pPr>
        <w:bidi w:val="0"/>
        <w:rPr>
          <w:rFonts w:hint="eastAsia" w:ascii="宋体" w:hAnsi="宋体" w:eastAsia="宋体" w:cs="宋体"/>
          <w:color w:val="auto"/>
          <w:highlight w:val="none"/>
        </w:rPr>
      </w:pPr>
    </w:p>
    <w:p w14:paraId="25FB08C0">
      <w:pPr>
        <w:rPr>
          <w:rFonts w:hint="eastAsia" w:ascii="宋体" w:hAnsi="宋体" w:eastAsia="宋体" w:cs="宋体"/>
          <w:color w:val="auto"/>
          <w:sz w:val="28"/>
          <w:szCs w:val="28"/>
          <w:highlight w:val="none"/>
        </w:rPr>
      </w:pPr>
      <w:bookmarkStart w:id="138" w:name="_Toc31923"/>
    </w:p>
    <w:p w14:paraId="6E6ABB32">
      <w:pPr>
        <w:pStyle w:val="5"/>
        <w:bidi w:val="0"/>
        <w:jc w:val="both"/>
        <w:rPr>
          <w:rFonts w:hint="eastAsia" w:ascii="宋体" w:hAnsi="宋体" w:eastAsia="宋体" w:cs="宋体"/>
          <w:color w:val="auto"/>
          <w:highlight w:val="none"/>
        </w:rPr>
      </w:pPr>
      <w:bookmarkStart w:id="139" w:name="_Toc21630"/>
      <w:r>
        <w:rPr>
          <w:rFonts w:hint="eastAsia" w:ascii="宋体" w:hAnsi="宋体" w:eastAsia="宋体" w:cs="宋体"/>
          <w:color w:val="auto"/>
          <w:highlight w:val="none"/>
        </w:rPr>
        <w:t>附件</w:t>
      </w:r>
      <w:bookmarkStart w:id="140" w:name="_Toc325726043"/>
      <w:bookmarkStart w:id="141" w:name="_Toc376936774"/>
      <w:bookmarkStart w:id="142" w:name="_Toc376936773"/>
      <w:bookmarkStart w:id="143" w:name="_Toc325726042"/>
      <w:r>
        <w:rPr>
          <w:rFonts w:hint="eastAsia" w:ascii="宋体" w:hAnsi="宋体" w:eastAsia="宋体" w:cs="宋体"/>
          <w:color w:val="auto"/>
          <w:highlight w:val="none"/>
        </w:rPr>
        <w:t>7：法定代表人证明书</w:t>
      </w:r>
      <w:bookmarkEnd w:id="138"/>
      <w:bookmarkEnd w:id="139"/>
      <w:bookmarkEnd w:id="140"/>
      <w:bookmarkEnd w:id="141"/>
    </w:p>
    <w:p w14:paraId="7FFA9487">
      <w:pPr>
        <w:bidi w:val="0"/>
        <w:rPr>
          <w:rFonts w:hint="eastAsia" w:ascii="宋体" w:hAnsi="宋体" w:eastAsia="宋体" w:cs="宋体"/>
          <w:color w:val="auto"/>
          <w:highlight w:val="none"/>
        </w:rPr>
      </w:pPr>
    </w:p>
    <w:p w14:paraId="01F7E054">
      <w:pPr>
        <w:bidi w:val="0"/>
        <w:ind w:left="0" w:leftChars="0" w:firstLine="0" w:firstLineChars="0"/>
        <w:jc w:val="center"/>
        <w:rPr>
          <w:rFonts w:hint="eastAsia" w:ascii="宋体" w:hAnsi="宋体" w:eastAsia="宋体" w:cs="宋体"/>
          <w:b/>
          <w:bCs/>
          <w:color w:val="auto"/>
          <w:highlight w:val="none"/>
        </w:rPr>
      </w:pPr>
      <w:r>
        <w:rPr>
          <w:rFonts w:hint="eastAsia" w:ascii="宋体" w:hAnsi="宋体" w:eastAsia="宋体" w:cs="宋体"/>
          <w:b/>
          <w:bCs/>
          <w:color w:val="auto"/>
          <w:sz w:val="32"/>
          <w:szCs w:val="32"/>
          <w:highlight w:val="none"/>
          <w:lang w:val="zh-CN"/>
        </w:rPr>
        <w:t>法定代表人证明书</w:t>
      </w:r>
    </w:p>
    <w:bookmarkEnd w:id="142"/>
    <w:bookmarkEnd w:id="143"/>
    <w:p w14:paraId="7CAE9403">
      <w:pPr>
        <w:bidi w:val="0"/>
        <w:ind w:left="0" w:leftChars="0" w:firstLine="0" w:firstLineChars="0"/>
        <w:rPr>
          <w:rFonts w:hint="eastAsia" w:ascii="宋体" w:hAnsi="宋体" w:eastAsia="宋体" w:cs="宋体"/>
          <w:b/>
          <w:bCs/>
          <w:color w:val="auto"/>
          <w:highlight w:val="none"/>
        </w:rPr>
      </w:pPr>
      <w:bookmarkStart w:id="144" w:name="_Toc324756736"/>
      <w:bookmarkStart w:id="145" w:name="_Toc201287639"/>
      <w:r>
        <w:rPr>
          <w:rFonts w:hint="eastAsia" w:ascii="宋体" w:hAnsi="宋体" w:eastAsia="宋体" w:cs="宋体"/>
          <w:b/>
          <w:bCs/>
          <w:color w:val="auto"/>
          <w:highlight w:val="none"/>
        </w:rPr>
        <w:t>致：青海联祥招标代理有限公司</w:t>
      </w:r>
    </w:p>
    <w:p w14:paraId="557C3928">
      <w:pPr>
        <w:bidi w:val="0"/>
        <w:rPr>
          <w:rFonts w:hint="eastAsia" w:ascii="宋体" w:hAnsi="宋体" w:eastAsia="宋体" w:cs="宋体"/>
          <w:color w:val="auto"/>
          <w:highlight w:val="none"/>
          <w:lang w:val="zh-CN"/>
        </w:rPr>
      </w:pPr>
    </w:p>
    <w:p w14:paraId="42FE8EAB">
      <w:pPr>
        <w:bidi w:val="0"/>
        <w:rPr>
          <w:rFonts w:hint="eastAsia" w:ascii="宋体" w:hAnsi="宋体" w:eastAsia="宋体" w:cs="宋体"/>
          <w:color w:val="auto"/>
          <w:highlight w:val="none"/>
          <w:lang w:val="zh-CN"/>
        </w:rPr>
      </w:pPr>
      <w:r>
        <w:rPr>
          <w:rFonts w:hint="eastAsia" w:ascii="宋体" w:hAnsi="宋体" w:eastAsia="宋体" w:cs="宋体"/>
          <w:color w:val="auto"/>
          <w:highlight w:val="none"/>
          <w:u w:val="single"/>
          <w:lang w:val="zh-CN"/>
        </w:rPr>
        <w:t>（法定代表人姓名）</w:t>
      </w:r>
      <w:r>
        <w:rPr>
          <w:rFonts w:hint="eastAsia" w:ascii="宋体" w:hAnsi="宋体" w:eastAsia="宋体" w:cs="宋体"/>
          <w:color w:val="auto"/>
          <w:highlight w:val="none"/>
          <w:lang w:val="zh-CN"/>
        </w:rPr>
        <w:t>现任我单位</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lang w:val="zh-CN"/>
        </w:rPr>
        <w:t>职务，为法定代表人，特此证明。</w:t>
      </w:r>
    </w:p>
    <w:p w14:paraId="3AD0FC5F">
      <w:pPr>
        <w:bidi w:val="0"/>
        <w:rPr>
          <w:rFonts w:hint="eastAsia" w:ascii="宋体" w:hAnsi="宋体" w:eastAsia="宋体" w:cs="宋体"/>
          <w:color w:val="auto"/>
          <w:highlight w:val="none"/>
          <w:lang w:val="zh-CN"/>
        </w:rPr>
      </w:pPr>
    </w:p>
    <w:p w14:paraId="65F6E76A">
      <w:pPr>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法定代表人基本情况：</w:t>
      </w:r>
    </w:p>
    <w:p w14:paraId="69C8825F">
      <w:pPr>
        <w:bidi w:val="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zh-CN"/>
        </w:rPr>
        <w:t>性别：                  年龄：                民族：</w:t>
      </w:r>
      <w:r>
        <w:rPr>
          <w:rFonts w:hint="eastAsia" w:ascii="宋体" w:hAnsi="宋体" w:eastAsia="宋体" w:cs="宋体"/>
          <w:color w:val="auto"/>
          <w:highlight w:val="none"/>
          <w:lang w:val="en-US" w:eastAsia="zh-CN"/>
        </w:rPr>
        <w:t xml:space="preserve">  </w:t>
      </w:r>
    </w:p>
    <w:p w14:paraId="449589C2">
      <w:pPr>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地址：</w:t>
      </w:r>
    </w:p>
    <w:p w14:paraId="674E9583">
      <w:pPr>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身份证号码：</w:t>
      </w:r>
    </w:p>
    <w:p w14:paraId="38195DCB">
      <w:pPr>
        <w:bidi w:val="0"/>
        <w:rPr>
          <w:rFonts w:hint="eastAsia" w:ascii="宋体" w:hAnsi="宋体" w:eastAsia="宋体" w:cs="宋体"/>
          <w:color w:val="auto"/>
          <w:highlight w:val="none"/>
          <w:lang w:val="zh-CN"/>
        </w:rPr>
      </w:pPr>
    </w:p>
    <w:p w14:paraId="119DECE4">
      <w:pPr>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附法定代表人第二代身份证双面扫描（或复印）件</w:t>
      </w:r>
    </w:p>
    <w:p w14:paraId="3FA41839">
      <w:pPr>
        <w:bidi w:val="0"/>
        <w:rPr>
          <w:rFonts w:hint="eastAsia" w:ascii="宋体" w:hAnsi="宋体" w:eastAsia="宋体" w:cs="宋体"/>
          <w:color w:val="auto"/>
          <w:highlight w:val="none"/>
          <w:lang w:val="zh-CN"/>
        </w:rPr>
      </w:pPr>
    </w:p>
    <w:p w14:paraId="6C890C49">
      <w:pPr>
        <w:bidi w:val="0"/>
        <w:rPr>
          <w:rFonts w:hint="eastAsia" w:ascii="宋体" w:hAnsi="宋体" w:eastAsia="宋体" w:cs="宋体"/>
          <w:color w:val="auto"/>
          <w:highlight w:val="none"/>
          <w:lang w:val="zh-CN"/>
        </w:rPr>
      </w:pPr>
    </w:p>
    <w:p w14:paraId="44F330B5">
      <w:pPr>
        <w:bidi w:val="0"/>
        <w:rPr>
          <w:rFonts w:hint="eastAsia" w:ascii="宋体" w:hAnsi="宋体" w:eastAsia="宋体" w:cs="宋体"/>
          <w:color w:val="auto"/>
          <w:highlight w:val="none"/>
          <w:lang w:val="zh-CN"/>
        </w:rPr>
      </w:pPr>
    </w:p>
    <w:p w14:paraId="39A108C8">
      <w:pPr>
        <w:bidi w:val="0"/>
        <w:rPr>
          <w:rFonts w:hint="eastAsia" w:ascii="宋体" w:hAnsi="宋体" w:eastAsia="宋体" w:cs="宋体"/>
          <w:color w:val="auto"/>
          <w:highlight w:val="none"/>
          <w:lang w:val="zh-CN"/>
        </w:rPr>
      </w:pPr>
    </w:p>
    <w:p w14:paraId="397D7206">
      <w:pPr>
        <w:bidi w:val="0"/>
        <w:rPr>
          <w:rFonts w:hint="eastAsia" w:ascii="宋体" w:hAnsi="宋体" w:eastAsia="宋体" w:cs="宋体"/>
          <w:color w:val="auto"/>
          <w:highlight w:val="none"/>
          <w:lang w:val="zh-CN"/>
        </w:rPr>
      </w:pPr>
    </w:p>
    <w:p w14:paraId="6B735ED2">
      <w:pPr>
        <w:bidi w:val="0"/>
        <w:jc w:val="center"/>
        <w:rPr>
          <w:rFonts w:hint="eastAsia" w:ascii="宋体" w:hAnsi="宋体" w:eastAsia="宋体" w:cs="宋体"/>
          <w:b/>
          <w:bCs/>
          <w:color w:val="auto"/>
          <w:highlight w:val="none"/>
          <w:lang w:val="zh-CN"/>
        </w:rPr>
      </w:pPr>
      <w:r>
        <w:rPr>
          <w:rFonts w:hint="eastAsia" w:ascii="宋体" w:hAnsi="宋体" w:eastAsia="宋体" w:cs="宋体"/>
          <w:b/>
          <w:bCs/>
          <w:color w:val="auto"/>
          <w:highlight w:val="none"/>
          <w:lang w:val="zh-CN"/>
        </w:rPr>
        <w:t>供应商：</w:t>
      </w:r>
      <w:r>
        <w:rPr>
          <w:rFonts w:hint="eastAsia" w:ascii="宋体" w:hAnsi="宋体" w:eastAsia="宋体" w:cs="宋体"/>
          <w:b/>
          <w:bCs/>
          <w:color w:val="auto"/>
          <w:highlight w:val="none"/>
          <w:lang w:val="en-US" w:eastAsia="zh-CN"/>
        </w:rPr>
        <w:t xml:space="preserve">            </w:t>
      </w:r>
      <w:r>
        <w:rPr>
          <w:rFonts w:hint="eastAsia" w:ascii="宋体" w:hAnsi="宋体" w:eastAsia="宋体" w:cs="宋体"/>
          <w:b/>
          <w:bCs/>
          <w:color w:val="auto"/>
          <w:highlight w:val="none"/>
          <w:lang w:val="zh-CN"/>
        </w:rPr>
        <w:t>（公章）</w:t>
      </w:r>
    </w:p>
    <w:p w14:paraId="245C7FE7">
      <w:pPr>
        <w:bidi w:val="0"/>
        <w:jc w:val="center"/>
        <w:rPr>
          <w:rFonts w:hint="eastAsia" w:ascii="宋体" w:hAnsi="宋体" w:eastAsia="宋体" w:cs="宋体"/>
          <w:b/>
          <w:bCs/>
          <w:color w:val="auto"/>
          <w:highlight w:val="none"/>
          <w:lang w:val="zh-CN"/>
        </w:rPr>
      </w:pPr>
      <w:r>
        <w:rPr>
          <w:rFonts w:hint="eastAsia" w:ascii="宋体" w:hAnsi="宋体" w:eastAsia="宋体" w:cs="宋体"/>
          <w:b/>
          <w:bCs/>
          <w:color w:val="auto"/>
          <w:highlight w:val="none"/>
          <w:lang w:val="zh-CN"/>
        </w:rPr>
        <w:t>年</w:t>
      </w:r>
      <w:r>
        <w:rPr>
          <w:rFonts w:hint="eastAsia" w:ascii="宋体" w:hAnsi="宋体" w:eastAsia="宋体" w:cs="宋体"/>
          <w:b/>
          <w:bCs/>
          <w:color w:val="auto"/>
          <w:highlight w:val="none"/>
          <w:lang w:val="en-US" w:eastAsia="zh-CN"/>
        </w:rPr>
        <w:t xml:space="preserve">  </w:t>
      </w:r>
      <w:r>
        <w:rPr>
          <w:rFonts w:hint="eastAsia" w:ascii="宋体" w:hAnsi="宋体" w:eastAsia="宋体" w:cs="宋体"/>
          <w:b/>
          <w:bCs/>
          <w:color w:val="auto"/>
          <w:highlight w:val="none"/>
          <w:lang w:val="zh-CN"/>
        </w:rPr>
        <w:t xml:space="preserve"> 月 </w:t>
      </w:r>
      <w:r>
        <w:rPr>
          <w:rFonts w:hint="eastAsia" w:ascii="宋体" w:hAnsi="宋体" w:eastAsia="宋体" w:cs="宋体"/>
          <w:b/>
          <w:bCs/>
          <w:color w:val="auto"/>
          <w:highlight w:val="none"/>
          <w:lang w:val="en-US" w:eastAsia="zh-CN"/>
        </w:rPr>
        <w:t xml:space="preserve">  </w:t>
      </w:r>
      <w:r>
        <w:rPr>
          <w:rFonts w:hint="eastAsia" w:ascii="宋体" w:hAnsi="宋体" w:eastAsia="宋体" w:cs="宋体"/>
          <w:b/>
          <w:bCs/>
          <w:color w:val="auto"/>
          <w:highlight w:val="none"/>
          <w:lang w:val="zh-CN"/>
        </w:rPr>
        <w:t>日</w:t>
      </w:r>
    </w:p>
    <w:p w14:paraId="62D3A053">
      <w:pPr>
        <w:bidi w:val="0"/>
        <w:rPr>
          <w:rFonts w:hint="eastAsia" w:ascii="宋体" w:hAnsi="宋体" w:eastAsia="宋体" w:cs="宋体"/>
          <w:color w:val="auto"/>
          <w:highlight w:val="none"/>
        </w:rPr>
      </w:pPr>
    </w:p>
    <w:p w14:paraId="0008A68B">
      <w:pPr>
        <w:bidi w:val="0"/>
        <w:rPr>
          <w:rFonts w:hint="eastAsia" w:ascii="宋体" w:hAnsi="宋体" w:eastAsia="宋体" w:cs="宋体"/>
          <w:color w:val="auto"/>
          <w:highlight w:val="none"/>
        </w:rPr>
      </w:pPr>
    </w:p>
    <w:p w14:paraId="279F9B80">
      <w:pPr>
        <w:bidi w:val="0"/>
        <w:rPr>
          <w:rFonts w:hint="eastAsia" w:ascii="宋体" w:hAnsi="宋体" w:eastAsia="宋体" w:cs="宋体"/>
          <w:color w:val="auto"/>
          <w:highlight w:val="none"/>
        </w:rPr>
      </w:pPr>
    </w:p>
    <w:p w14:paraId="51435ADF">
      <w:pPr>
        <w:bidi w:val="0"/>
        <w:rPr>
          <w:rFonts w:hint="eastAsia" w:ascii="宋体" w:hAnsi="宋体" w:eastAsia="宋体" w:cs="宋体"/>
          <w:color w:val="auto"/>
          <w:highlight w:val="none"/>
        </w:rPr>
      </w:pPr>
    </w:p>
    <w:p w14:paraId="1E0FA2F7">
      <w:pPr>
        <w:bidi w:val="0"/>
        <w:rPr>
          <w:rFonts w:hint="eastAsia" w:ascii="宋体" w:hAnsi="宋体" w:eastAsia="宋体" w:cs="宋体"/>
          <w:color w:val="auto"/>
          <w:highlight w:val="none"/>
        </w:rPr>
      </w:pPr>
    </w:p>
    <w:p w14:paraId="1B9B1740">
      <w:pPr>
        <w:bidi w:val="0"/>
        <w:rPr>
          <w:rFonts w:hint="eastAsia" w:ascii="宋体" w:hAnsi="宋体" w:eastAsia="宋体" w:cs="宋体"/>
          <w:color w:val="auto"/>
          <w:highlight w:val="none"/>
        </w:rPr>
      </w:pPr>
    </w:p>
    <w:p w14:paraId="6AB7FBCA">
      <w:pP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p>
    <w:p w14:paraId="2B7711F5">
      <w:pPr>
        <w:pStyle w:val="5"/>
        <w:bidi w:val="0"/>
        <w:jc w:val="both"/>
        <w:rPr>
          <w:rFonts w:hint="eastAsia" w:ascii="宋体" w:hAnsi="宋体" w:eastAsia="宋体" w:cs="宋体"/>
          <w:color w:val="auto"/>
          <w:highlight w:val="none"/>
        </w:rPr>
      </w:pPr>
      <w:bookmarkStart w:id="146" w:name="_Toc7198"/>
      <w:r>
        <w:rPr>
          <w:rFonts w:hint="eastAsia" w:ascii="宋体" w:hAnsi="宋体" w:eastAsia="宋体" w:cs="宋体"/>
          <w:color w:val="auto"/>
          <w:highlight w:val="none"/>
        </w:rPr>
        <w:t>附件</w:t>
      </w:r>
      <w:bookmarkEnd w:id="144"/>
      <w:bookmarkEnd w:id="145"/>
      <w:r>
        <w:rPr>
          <w:rFonts w:hint="eastAsia" w:ascii="宋体" w:hAnsi="宋体" w:eastAsia="宋体" w:cs="宋体"/>
          <w:color w:val="auto"/>
          <w:highlight w:val="none"/>
        </w:rPr>
        <w:t>8：法定代表人授权书</w:t>
      </w:r>
      <w:bookmarkEnd w:id="146"/>
    </w:p>
    <w:p w14:paraId="3102DA7E">
      <w:pPr>
        <w:bidi w:val="0"/>
        <w:rPr>
          <w:rFonts w:hint="eastAsia" w:ascii="宋体" w:hAnsi="宋体" w:eastAsia="宋体" w:cs="宋体"/>
          <w:color w:val="auto"/>
          <w:highlight w:val="none"/>
          <w:lang w:val="zh-CN"/>
        </w:rPr>
      </w:pPr>
    </w:p>
    <w:p w14:paraId="26B8FEB3">
      <w:pPr>
        <w:bidi w:val="0"/>
        <w:ind w:left="0" w:leftChars="0" w:firstLine="0" w:firstLineChars="0"/>
        <w:jc w:val="center"/>
        <w:rPr>
          <w:rFonts w:hint="eastAsia" w:ascii="宋体" w:hAnsi="宋体" w:eastAsia="宋体" w:cs="宋体"/>
          <w:color w:val="auto"/>
          <w:highlight w:val="none"/>
        </w:rPr>
      </w:pPr>
      <w:bookmarkStart w:id="147" w:name="_Toc25817"/>
      <w:r>
        <w:rPr>
          <w:rFonts w:hint="eastAsia" w:ascii="宋体" w:hAnsi="宋体" w:eastAsia="宋体" w:cs="宋体"/>
          <w:b/>
          <w:bCs/>
          <w:color w:val="auto"/>
          <w:sz w:val="32"/>
          <w:szCs w:val="32"/>
          <w:highlight w:val="none"/>
          <w:lang w:val="zh-CN"/>
        </w:rPr>
        <w:t>法定代表人授权书</w:t>
      </w:r>
    </w:p>
    <w:p w14:paraId="5E056923">
      <w:pPr>
        <w:bidi w:val="0"/>
        <w:ind w:left="0" w:leftChars="0" w:firstLine="0" w:firstLineChars="0"/>
        <w:rPr>
          <w:rFonts w:hint="eastAsia" w:ascii="宋体" w:hAnsi="宋体" w:eastAsia="宋体" w:cs="宋体"/>
          <w:b/>
          <w:bCs/>
          <w:color w:val="auto"/>
          <w:highlight w:val="none"/>
        </w:rPr>
      </w:pPr>
      <w:r>
        <w:rPr>
          <w:rFonts w:hint="eastAsia" w:ascii="宋体" w:hAnsi="宋体" w:eastAsia="宋体" w:cs="宋体"/>
          <w:b/>
          <w:bCs/>
          <w:color w:val="auto"/>
          <w:highlight w:val="none"/>
        </w:rPr>
        <w:t>致：青海联祥招标代理有限公司</w:t>
      </w:r>
    </w:p>
    <w:p w14:paraId="03120C01">
      <w:pPr>
        <w:bidi w:val="0"/>
        <w:rPr>
          <w:rFonts w:hint="eastAsia" w:ascii="宋体" w:hAnsi="宋体" w:eastAsia="宋体" w:cs="宋体"/>
          <w:color w:val="auto"/>
          <w:highlight w:val="none"/>
        </w:rPr>
      </w:pPr>
      <w:r>
        <w:rPr>
          <w:rFonts w:hint="eastAsia" w:ascii="宋体" w:hAnsi="宋体" w:eastAsia="宋体" w:cs="宋体"/>
          <w:color w:val="auto"/>
          <w:highlight w:val="none"/>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供应商</w:t>
      </w:r>
      <w:r>
        <w:rPr>
          <w:rFonts w:hint="eastAsia" w:ascii="宋体" w:hAnsi="宋体" w:eastAsia="宋体" w:cs="宋体"/>
          <w:color w:val="auto"/>
          <w:highlight w:val="none"/>
          <w:u w:val="single"/>
        </w:rPr>
        <w:t xml:space="preserve">名称）  </w:t>
      </w:r>
      <w:r>
        <w:rPr>
          <w:rFonts w:hint="eastAsia" w:ascii="宋体" w:hAnsi="宋体" w:eastAsia="宋体" w:cs="宋体"/>
          <w:color w:val="auto"/>
          <w:highlight w:val="none"/>
        </w:rPr>
        <w:t>系中华人民共和国合法企业，法定地址：</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5C14B4D9">
      <w:pPr>
        <w:bidi w:val="0"/>
        <w:rPr>
          <w:rFonts w:hint="eastAsia" w:ascii="宋体" w:hAnsi="宋体" w:eastAsia="宋体" w:cs="宋体"/>
          <w:color w:val="auto"/>
          <w:highlight w:val="none"/>
        </w:rPr>
      </w:pPr>
      <w:r>
        <w:rPr>
          <w:rFonts w:hint="eastAsia" w:ascii="宋体" w:hAnsi="宋体" w:eastAsia="宋体" w:cs="宋体"/>
          <w:color w:val="auto"/>
          <w:highlight w:val="none"/>
          <w:u w:val="single"/>
        </w:rPr>
        <w:t xml:space="preserve">（法定代表人姓名）  </w:t>
      </w:r>
      <w:r>
        <w:rPr>
          <w:rFonts w:hint="eastAsia" w:ascii="宋体" w:hAnsi="宋体" w:eastAsia="宋体" w:cs="宋体"/>
          <w:color w:val="auto"/>
          <w:highlight w:val="none"/>
        </w:rPr>
        <w:t xml:space="preserve"> 特授权 </w:t>
      </w:r>
      <w:r>
        <w:rPr>
          <w:rFonts w:hint="eastAsia" w:ascii="宋体" w:hAnsi="宋体" w:eastAsia="宋体" w:cs="宋体"/>
          <w:color w:val="auto"/>
          <w:highlight w:val="none"/>
          <w:u w:val="single"/>
        </w:rPr>
        <w:t xml:space="preserve">（委托代理人姓名）  </w:t>
      </w:r>
      <w:r>
        <w:rPr>
          <w:rFonts w:hint="eastAsia" w:ascii="宋体" w:hAnsi="宋体" w:eastAsia="宋体" w:cs="宋体"/>
          <w:color w:val="auto"/>
          <w:highlight w:val="none"/>
        </w:rPr>
        <w:t>代表我单位全权办理针对</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项目的投标、答疑等具体工作，并签署全部有关的文件、资料。</w:t>
      </w:r>
    </w:p>
    <w:p w14:paraId="67428974">
      <w:pPr>
        <w:bidi w:val="0"/>
        <w:rPr>
          <w:rFonts w:hint="eastAsia" w:ascii="宋体" w:hAnsi="宋体" w:eastAsia="宋体" w:cs="宋体"/>
          <w:color w:val="auto"/>
          <w:highlight w:val="none"/>
        </w:rPr>
      </w:pPr>
      <w:r>
        <w:rPr>
          <w:rFonts w:hint="eastAsia" w:ascii="宋体" w:hAnsi="宋体" w:eastAsia="宋体" w:cs="宋体"/>
          <w:color w:val="auto"/>
          <w:highlight w:val="none"/>
        </w:rPr>
        <w:t>我单位对被授权人的签名负全部责任。</w:t>
      </w:r>
    </w:p>
    <w:p w14:paraId="722343B8">
      <w:pPr>
        <w:bidi w:val="0"/>
        <w:rPr>
          <w:rFonts w:hint="eastAsia" w:ascii="宋体" w:hAnsi="宋体" w:eastAsia="宋体" w:cs="宋体"/>
          <w:color w:val="auto"/>
          <w:highlight w:val="none"/>
        </w:rPr>
      </w:pPr>
      <w:r>
        <w:rPr>
          <w:rFonts w:hint="eastAsia" w:ascii="宋体" w:hAnsi="宋体" w:eastAsia="宋体" w:cs="宋体"/>
          <w:color w:val="auto"/>
          <w:highlight w:val="none"/>
        </w:rPr>
        <w:t>在撤销授权的书面通知以前，本授权书一直有效，被授权人签署的所有文件（在授权书有效期内签署的）不因授权的撤销而失效。</w:t>
      </w:r>
    </w:p>
    <w:p w14:paraId="3312E4C2">
      <w:pPr>
        <w:bidi w:val="0"/>
        <w:rPr>
          <w:rFonts w:hint="eastAsia" w:ascii="宋体" w:hAnsi="宋体" w:eastAsia="宋体" w:cs="宋体"/>
          <w:color w:val="auto"/>
          <w:highlight w:val="none"/>
        </w:rPr>
      </w:pPr>
    </w:p>
    <w:p w14:paraId="2A72C681">
      <w:pPr>
        <w:bidi w:val="0"/>
        <w:rPr>
          <w:rFonts w:hint="eastAsia" w:ascii="宋体" w:hAnsi="宋体" w:eastAsia="宋体" w:cs="宋体"/>
          <w:color w:val="auto"/>
          <w:highlight w:val="none"/>
        </w:rPr>
      </w:pPr>
      <w:r>
        <w:rPr>
          <w:rFonts w:hint="eastAsia" w:ascii="宋体" w:hAnsi="宋体" w:eastAsia="宋体" w:cs="宋体"/>
          <w:color w:val="auto"/>
          <w:highlight w:val="none"/>
        </w:rPr>
        <w:t>被授权人联系电话：</w:t>
      </w:r>
    </w:p>
    <w:p w14:paraId="70180E98">
      <w:pPr>
        <w:bidi w:val="0"/>
        <w:rPr>
          <w:rFonts w:hint="eastAsia" w:ascii="宋体" w:hAnsi="宋体" w:eastAsia="宋体" w:cs="宋体"/>
          <w:color w:val="auto"/>
          <w:highlight w:val="none"/>
        </w:rPr>
      </w:pPr>
    </w:p>
    <w:p w14:paraId="0AC1C833">
      <w:pPr>
        <w:bidi w:val="0"/>
        <w:rPr>
          <w:rFonts w:hint="eastAsia" w:ascii="宋体" w:hAnsi="宋体" w:eastAsia="宋体" w:cs="宋体"/>
          <w:color w:val="auto"/>
          <w:highlight w:val="none"/>
        </w:rPr>
      </w:pPr>
      <w:r>
        <w:rPr>
          <w:rFonts w:hint="eastAsia" w:ascii="宋体" w:hAnsi="宋体" w:eastAsia="宋体" w:cs="宋体"/>
          <w:color w:val="auto"/>
          <w:highlight w:val="none"/>
        </w:rPr>
        <w:t xml:space="preserve">被授权人（委托代理人）签字或盖章：   </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职务：</w:t>
      </w:r>
    </w:p>
    <w:p w14:paraId="2897E7EF">
      <w:pPr>
        <w:bidi w:val="0"/>
        <w:rPr>
          <w:rFonts w:hint="eastAsia" w:ascii="宋体" w:hAnsi="宋体" w:eastAsia="宋体" w:cs="宋体"/>
          <w:color w:val="auto"/>
          <w:highlight w:val="none"/>
        </w:rPr>
      </w:pPr>
    </w:p>
    <w:p w14:paraId="5C66C2ED">
      <w:pPr>
        <w:bidi w:val="0"/>
        <w:rPr>
          <w:rFonts w:hint="eastAsia" w:ascii="宋体" w:hAnsi="宋体" w:eastAsia="宋体" w:cs="宋体"/>
          <w:color w:val="auto"/>
          <w:highlight w:val="none"/>
        </w:rPr>
      </w:pPr>
      <w:r>
        <w:rPr>
          <w:rFonts w:hint="eastAsia" w:ascii="宋体" w:hAnsi="宋体" w:eastAsia="宋体" w:cs="宋体"/>
          <w:color w:val="auto"/>
          <w:highlight w:val="none"/>
        </w:rPr>
        <w:t xml:space="preserve">授权人（法定代表人）签字或盖章：     </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职务：</w:t>
      </w:r>
    </w:p>
    <w:p w14:paraId="0A7251E7">
      <w:pPr>
        <w:bidi w:val="0"/>
        <w:rPr>
          <w:rFonts w:hint="eastAsia" w:ascii="宋体" w:hAnsi="宋体" w:eastAsia="宋体" w:cs="宋体"/>
          <w:color w:val="auto"/>
          <w:highlight w:val="none"/>
        </w:rPr>
      </w:pPr>
    </w:p>
    <w:p w14:paraId="2497EE30">
      <w:pPr>
        <w:bidi w:val="0"/>
        <w:rPr>
          <w:rFonts w:hint="eastAsia" w:ascii="宋体" w:hAnsi="宋体" w:eastAsia="宋体" w:cs="宋体"/>
          <w:color w:val="auto"/>
          <w:highlight w:val="none"/>
        </w:rPr>
      </w:pPr>
      <w:r>
        <w:rPr>
          <w:rFonts w:hint="eastAsia" w:ascii="宋体" w:hAnsi="宋体" w:eastAsia="宋体" w:cs="宋体"/>
          <w:color w:val="auto"/>
          <w:highlight w:val="none"/>
        </w:rPr>
        <w:t>附被授权人第二代身份证双面扫描（或复印）件</w:t>
      </w:r>
    </w:p>
    <w:p w14:paraId="4950FF94">
      <w:pPr>
        <w:bidi w:val="0"/>
        <w:rPr>
          <w:rFonts w:hint="eastAsia" w:ascii="宋体" w:hAnsi="宋体" w:eastAsia="宋体" w:cs="宋体"/>
          <w:color w:val="auto"/>
          <w:highlight w:val="none"/>
        </w:rPr>
      </w:pPr>
    </w:p>
    <w:p w14:paraId="1E18CB94">
      <w:pPr>
        <w:bidi w:val="0"/>
        <w:rPr>
          <w:rFonts w:hint="eastAsia" w:ascii="宋体" w:hAnsi="宋体" w:eastAsia="宋体" w:cs="宋体"/>
          <w:color w:val="auto"/>
          <w:highlight w:val="none"/>
          <w:lang w:val="zh-CN"/>
        </w:rPr>
      </w:pPr>
    </w:p>
    <w:p w14:paraId="2A9FEE92">
      <w:pPr>
        <w:bidi w:val="0"/>
        <w:rPr>
          <w:rFonts w:hint="eastAsia" w:ascii="宋体" w:hAnsi="宋体" w:eastAsia="宋体" w:cs="宋体"/>
          <w:color w:val="auto"/>
          <w:highlight w:val="none"/>
          <w:lang w:val="zh-CN"/>
        </w:rPr>
      </w:pPr>
    </w:p>
    <w:p w14:paraId="7866471C">
      <w:pPr>
        <w:bidi w:val="0"/>
        <w:rPr>
          <w:rFonts w:hint="eastAsia" w:ascii="宋体" w:hAnsi="宋体" w:eastAsia="宋体" w:cs="宋体"/>
          <w:color w:val="auto"/>
          <w:highlight w:val="none"/>
          <w:lang w:val="zh-CN"/>
        </w:rPr>
      </w:pPr>
    </w:p>
    <w:p w14:paraId="35C9032C">
      <w:pPr>
        <w:bidi w:val="0"/>
        <w:rPr>
          <w:rFonts w:hint="eastAsia" w:ascii="宋体" w:hAnsi="宋体" w:eastAsia="宋体" w:cs="宋体"/>
          <w:color w:val="auto"/>
          <w:highlight w:val="none"/>
          <w:lang w:val="zh-CN"/>
        </w:rPr>
      </w:pPr>
    </w:p>
    <w:p w14:paraId="26AF15DB">
      <w:pPr>
        <w:bidi w:val="0"/>
        <w:jc w:val="center"/>
        <w:rPr>
          <w:rFonts w:hint="eastAsia" w:ascii="宋体" w:hAnsi="宋体" w:eastAsia="宋体" w:cs="宋体"/>
          <w:b/>
          <w:bCs/>
          <w:color w:val="auto"/>
          <w:highlight w:val="none"/>
          <w:lang w:val="zh-CN"/>
        </w:rPr>
      </w:pPr>
      <w:r>
        <w:rPr>
          <w:rFonts w:hint="eastAsia" w:ascii="宋体" w:hAnsi="宋体" w:eastAsia="宋体" w:cs="宋体"/>
          <w:b/>
          <w:bCs/>
          <w:color w:val="auto"/>
          <w:highlight w:val="none"/>
          <w:lang w:val="zh-CN"/>
        </w:rPr>
        <w:t>供应商：</w:t>
      </w:r>
      <w:r>
        <w:rPr>
          <w:rFonts w:hint="eastAsia" w:ascii="宋体" w:hAnsi="宋体" w:eastAsia="宋体" w:cs="宋体"/>
          <w:b/>
          <w:bCs/>
          <w:color w:val="auto"/>
          <w:highlight w:val="none"/>
          <w:lang w:val="en-US" w:eastAsia="zh-CN"/>
        </w:rPr>
        <w:t xml:space="preserve">            </w:t>
      </w:r>
      <w:r>
        <w:rPr>
          <w:rFonts w:hint="eastAsia" w:ascii="宋体" w:hAnsi="宋体" w:eastAsia="宋体" w:cs="宋体"/>
          <w:b/>
          <w:bCs/>
          <w:color w:val="auto"/>
          <w:highlight w:val="none"/>
          <w:lang w:val="zh-CN"/>
        </w:rPr>
        <w:t>（公章）</w:t>
      </w:r>
    </w:p>
    <w:p w14:paraId="2D2903D3">
      <w:pPr>
        <w:bidi w:val="0"/>
        <w:jc w:val="center"/>
        <w:rPr>
          <w:rFonts w:hint="eastAsia" w:ascii="宋体" w:hAnsi="宋体" w:eastAsia="宋体" w:cs="宋体"/>
          <w:b/>
          <w:bCs/>
          <w:color w:val="auto"/>
          <w:highlight w:val="none"/>
          <w:lang w:val="zh-CN"/>
        </w:rPr>
      </w:pPr>
      <w:r>
        <w:rPr>
          <w:rFonts w:hint="eastAsia" w:ascii="宋体" w:hAnsi="宋体" w:eastAsia="宋体" w:cs="宋体"/>
          <w:b/>
          <w:bCs/>
          <w:color w:val="auto"/>
          <w:highlight w:val="none"/>
          <w:lang w:val="zh-CN"/>
        </w:rPr>
        <w:t>年</w:t>
      </w:r>
      <w:r>
        <w:rPr>
          <w:rFonts w:hint="eastAsia" w:ascii="宋体" w:hAnsi="宋体" w:eastAsia="宋体" w:cs="宋体"/>
          <w:b/>
          <w:bCs/>
          <w:color w:val="auto"/>
          <w:highlight w:val="none"/>
          <w:lang w:val="en-US" w:eastAsia="zh-CN"/>
        </w:rPr>
        <w:t xml:space="preserve">  </w:t>
      </w:r>
      <w:r>
        <w:rPr>
          <w:rFonts w:hint="eastAsia" w:ascii="宋体" w:hAnsi="宋体" w:eastAsia="宋体" w:cs="宋体"/>
          <w:b/>
          <w:bCs/>
          <w:color w:val="auto"/>
          <w:highlight w:val="none"/>
          <w:lang w:val="zh-CN"/>
        </w:rPr>
        <w:t xml:space="preserve"> 月 </w:t>
      </w:r>
      <w:r>
        <w:rPr>
          <w:rFonts w:hint="eastAsia" w:ascii="宋体" w:hAnsi="宋体" w:eastAsia="宋体" w:cs="宋体"/>
          <w:b/>
          <w:bCs/>
          <w:color w:val="auto"/>
          <w:highlight w:val="none"/>
          <w:lang w:val="en-US" w:eastAsia="zh-CN"/>
        </w:rPr>
        <w:t xml:space="preserve">  </w:t>
      </w:r>
      <w:r>
        <w:rPr>
          <w:rFonts w:hint="eastAsia" w:ascii="宋体" w:hAnsi="宋体" w:eastAsia="宋体" w:cs="宋体"/>
          <w:b/>
          <w:bCs/>
          <w:color w:val="auto"/>
          <w:highlight w:val="none"/>
          <w:lang w:val="zh-CN"/>
        </w:rPr>
        <w:t>日</w:t>
      </w:r>
    </w:p>
    <w:p w14:paraId="1DAFCB65">
      <w:pPr>
        <w:bidi w:val="0"/>
        <w:rPr>
          <w:rFonts w:hint="eastAsia" w:ascii="宋体" w:hAnsi="宋体" w:eastAsia="宋体" w:cs="宋体"/>
          <w:color w:val="auto"/>
          <w:highlight w:val="none"/>
          <w:lang w:val="zh-CN"/>
        </w:rPr>
      </w:pPr>
    </w:p>
    <w:p w14:paraId="75323C2E">
      <w:pPr>
        <w:bidi w:val="0"/>
        <w:rPr>
          <w:rFonts w:hint="eastAsia" w:ascii="宋体" w:hAnsi="宋体" w:eastAsia="宋体" w:cs="宋体"/>
          <w:color w:val="auto"/>
          <w:highlight w:val="none"/>
          <w:lang w:val="zh-CN"/>
        </w:rPr>
      </w:pPr>
    </w:p>
    <w:p w14:paraId="1AA24355">
      <w:pPr>
        <w:bidi w:val="0"/>
        <w:rPr>
          <w:rFonts w:hint="eastAsia" w:ascii="宋体" w:hAnsi="宋体" w:eastAsia="宋体" w:cs="宋体"/>
          <w:color w:val="auto"/>
          <w:highlight w:val="none"/>
        </w:rPr>
      </w:pPr>
    </w:p>
    <w:p w14:paraId="6292A470">
      <w:pPr>
        <w:pStyle w:val="5"/>
        <w:bidi w:val="0"/>
        <w:jc w:val="both"/>
        <w:rPr>
          <w:rFonts w:hint="eastAsia" w:ascii="宋体" w:hAnsi="宋体" w:eastAsia="宋体" w:cs="宋体"/>
          <w:color w:val="auto"/>
          <w:highlight w:val="none"/>
        </w:rPr>
      </w:pPr>
      <w:bookmarkStart w:id="148" w:name="_Toc27956"/>
      <w:r>
        <w:rPr>
          <w:rFonts w:hint="eastAsia" w:ascii="宋体" w:hAnsi="宋体" w:eastAsia="宋体" w:cs="宋体"/>
          <w:color w:val="auto"/>
          <w:highlight w:val="none"/>
        </w:rPr>
        <w:t>附件9：供应商承诺函</w:t>
      </w:r>
      <w:bookmarkEnd w:id="147"/>
      <w:bookmarkEnd w:id="148"/>
    </w:p>
    <w:p w14:paraId="675A83A3">
      <w:pPr>
        <w:bidi w:val="0"/>
        <w:rPr>
          <w:rFonts w:hint="eastAsia" w:ascii="宋体" w:hAnsi="宋体" w:eastAsia="宋体" w:cs="宋体"/>
          <w:color w:val="auto"/>
          <w:highlight w:val="none"/>
        </w:rPr>
      </w:pPr>
    </w:p>
    <w:p w14:paraId="290B610F">
      <w:pPr>
        <w:bidi w:val="0"/>
        <w:ind w:left="0" w:leftChars="0" w:firstLine="0" w:firstLineChars="0"/>
        <w:jc w:val="center"/>
        <w:rPr>
          <w:rFonts w:hint="eastAsia" w:ascii="宋体" w:hAnsi="宋体" w:eastAsia="宋体" w:cs="宋体"/>
          <w:b/>
          <w:bCs/>
          <w:color w:val="auto"/>
          <w:sz w:val="32"/>
          <w:szCs w:val="32"/>
          <w:highlight w:val="none"/>
          <w:lang w:val="zh-CN"/>
        </w:rPr>
      </w:pPr>
      <w:r>
        <w:rPr>
          <w:rFonts w:hint="eastAsia" w:ascii="宋体" w:hAnsi="宋体" w:eastAsia="宋体" w:cs="宋体"/>
          <w:b/>
          <w:bCs/>
          <w:color w:val="auto"/>
          <w:sz w:val="32"/>
          <w:szCs w:val="32"/>
          <w:highlight w:val="none"/>
          <w:lang w:val="zh-CN"/>
        </w:rPr>
        <w:t>供应商承诺函</w:t>
      </w:r>
    </w:p>
    <w:p w14:paraId="1105372F">
      <w:pPr>
        <w:bidi w:val="0"/>
        <w:ind w:left="0" w:leftChars="0" w:firstLine="0" w:firstLineChars="0"/>
        <w:rPr>
          <w:rFonts w:hint="eastAsia" w:ascii="宋体" w:hAnsi="宋体" w:eastAsia="宋体" w:cs="宋体"/>
          <w:b/>
          <w:bCs/>
          <w:color w:val="auto"/>
          <w:highlight w:val="none"/>
        </w:rPr>
      </w:pPr>
      <w:r>
        <w:rPr>
          <w:rFonts w:hint="eastAsia" w:ascii="宋体" w:hAnsi="宋体" w:eastAsia="宋体" w:cs="宋体"/>
          <w:b/>
          <w:bCs/>
          <w:color w:val="auto"/>
          <w:highlight w:val="none"/>
        </w:rPr>
        <w:t>致：青海联祥招标代理有限公司</w:t>
      </w:r>
    </w:p>
    <w:p w14:paraId="6787F0CB">
      <w:pPr>
        <w:bidi w:val="0"/>
        <w:rPr>
          <w:rFonts w:hint="eastAsia" w:ascii="宋体" w:hAnsi="宋体" w:eastAsia="宋体" w:cs="宋体"/>
          <w:color w:val="auto"/>
          <w:highlight w:val="none"/>
        </w:rPr>
      </w:pPr>
      <w:r>
        <w:rPr>
          <w:rFonts w:hint="eastAsia" w:ascii="宋体" w:hAnsi="宋体" w:eastAsia="宋体" w:cs="宋体"/>
          <w:color w:val="auto"/>
          <w:highlight w:val="none"/>
        </w:rPr>
        <w:t>关于贵方</w:t>
      </w:r>
      <w:r>
        <w:rPr>
          <w:rFonts w:hint="eastAsia" w:ascii="宋体" w:hAnsi="宋体" w:eastAsia="宋体" w:cs="宋体"/>
          <w:color w:val="auto"/>
          <w:highlight w:val="none"/>
          <w:u w:val="single"/>
        </w:rPr>
        <w:t xml:space="preserve">   年  月  日 （项目名称） </w:t>
      </w:r>
      <w:r>
        <w:rPr>
          <w:rFonts w:hint="eastAsia" w:ascii="宋体" w:hAnsi="宋体" w:eastAsia="宋体" w:cs="宋体"/>
          <w:color w:val="auto"/>
          <w:highlight w:val="none"/>
        </w:rPr>
        <w:t>采购项目，本签字人愿意参加磋商，提供采购项目技术要求的所有服务，并证实提交的所有资料是准确的和真实的。同时，我代表</w:t>
      </w:r>
      <w:r>
        <w:rPr>
          <w:rFonts w:hint="eastAsia" w:ascii="宋体" w:hAnsi="宋体" w:eastAsia="宋体" w:cs="宋体"/>
          <w:color w:val="auto"/>
          <w:highlight w:val="none"/>
          <w:u w:val="single"/>
        </w:rPr>
        <w:t>（</w:t>
      </w:r>
      <w:r>
        <w:rPr>
          <w:rFonts w:hint="eastAsia" w:ascii="宋体" w:hAnsi="宋体" w:eastAsia="宋体" w:cs="宋体"/>
          <w:color w:val="auto"/>
          <w:highlight w:val="none"/>
          <w:u w:val="single"/>
          <w:lang w:eastAsia="zh-CN"/>
        </w:rPr>
        <w:t>供应商</w:t>
      </w:r>
      <w:r>
        <w:rPr>
          <w:rFonts w:hint="eastAsia" w:ascii="宋体" w:hAnsi="宋体" w:eastAsia="宋体" w:cs="宋体"/>
          <w:color w:val="auto"/>
          <w:highlight w:val="none"/>
          <w:u w:val="single"/>
        </w:rPr>
        <w:t>名称）</w:t>
      </w:r>
      <w:r>
        <w:rPr>
          <w:rFonts w:hint="eastAsia" w:ascii="宋体" w:hAnsi="宋体" w:eastAsia="宋体" w:cs="宋体"/>
          <w:color w:val="auto"/>
          <w:highlight w:val="none"/>
        </w:rPr>
        <w:t>，在此作如下承诺：</w:t>
      </w:r>
    </w:p>
    <w:p w14:paraId="0993F44F">
      <w:pPr>
        <w:numPr>
          <w:ilvl w:val="0"/>
          <w:numId w:val="0"/>
        </w:numPr>
        <w:bidi w:val="0"/>
        <w:ind w:firstLine="480" w:firstLineChars="200"/>
        <w:rPr>
          <w:rFonts w:hint="eastAsia" w:ascii="宋体" w:hAnsi="宋体" w:eastAsia="宋体" w:cs="宋体"/>
          <w:color w:val="auto"/>
          <w:highlight w:val="none"/>
        </w:rPr>
      </w:pPr>
      <w:r>
        <w:rPr>
          <w:rFonts w:hint="eastAsia" w:ascii="宋体" w:hAnsi="宋体" w:eastAsia="宋体" w:cs="宋体"/>
          <w:color w:val="auto"/>
          <w:kern w:val="2"/>
          <w:sz w:val="24"/>
          <w:szCs w:val="24"/>
          <w:highlight w:val="none"/>
          <w:lang w:val="en-US" w:eastAsia="zh-CN" w:bidi="ar-SA"/>
        </w:rPr>
        <w:t>1、</w:t>
      </w:r>
      <w:r>
        <w:rPr>
          <w:rFonts w:hint="eastAsia" w:ascii="宋体" w:hAnsi="宋体" w:eastAsia="宋体" w:cs="宋体"/>
          <w:color w:val="auto"/>
          <w:highlight w:val="none"/>
        </w:rPr>
        <w:t>完全理解和接受磋商文件的一切规定和要求；</w:t>
      </w:r>
    </w:p>
    <w:p w14:paraId="64A8B78C">
      <w:pPr>
        <w:numPr>
          <w:ilvl w:val="0"/>
          <w:numId w:val="0"/>
        </w:numPr>
        <w:bidi w:val="0"/>
        <w:ind w:firstLine="480" w:firstLineChars="200"/>
        <w:rPr>
          <w:rFonts w:hint="eastAsia" w:ascii="宋体" w:hAnsi="宋体" w:eastAsia="宋体" w:cs="宋体"/>
          <w:color w:val="auto"/>
          <w:highlight w:val="none"/>
        </w:rPr>
      </w:pPr>
      <w:r>
        <w:rPr>
          <w:rFonts w:hint="eastAsia" w:ascii="宋体" w:hAnsi="宋体" w:eastAsia="宋体" w:cs="宋体"/>
          <w:color w:val="auto"/>
          <w:kern w:val="2"/>
          <w:sz w:val="24"/>
          <w:szCs w:val="24"/>
          <w:highlight w:val="none"/>
          <w:lang w:val="en-US" w:eastAsia="zh-CN" w:bidi="ar-SA"/>
        </w:rPr>
        <w:t>2、</w:t>
      </w:r>
      <w:r>
        <w:rPr>
          <w:rFonts w:hint="eastAsia" w:ascii="宋体" w:hAnsi="宋体" w:eastAsia="宋体" w:cs="宋体"/>
          <w:color w:val="auto"/>
          <w:highlight w:val="none"/>
        </w:rPr>
        <w:t>若成交，我方将按照磋商文件的具体规定与采购人签订采购合同，并且严格履行合同义务，按时提供优质的服务。如果在合同执行过程中，发现服务质量、数量出现问题，我方一定尽快完善，并承担相应的经济责任；</w:t>
      </w:r>
    </w:p>
    <w:p w14:paraId="104D435C">
      <w:pPr>
        <w:bidi w:val="0"/>
        <w:rPr>
          <w:rFonts w:hint="eastAsia" w:ascii="宋体" w:hAnsi="宋体" w:eastAsia="宋体" w:cs="宋体"/>
          <w:color w:val="auto"/>
          <w:highlight w:val="none"/>
        </w:rPr>
      </w:pPr>
      <w:r>
        <w:rPr>
          <w:rFonts w:hint="eastAsia" w:ascii="宋体" w:hAnsi="宋体" w:eastAsia="宋体" w:cs="宋体"/>
          <w:color w:val="auto"/>
          <w:highlight w:val="none"/>
        </w:rPr>
        <w:t>3、我方保证甲方在使用该产品或其任何一部分时，不受第三方提出的侵犯专利权、著作权、商标权和工业设计权等知识产权的起诉，若有违犯，愿承担相应的一切责任。</w:t>
      </w:r>
    </w:p>
    <w:p w14:paraId="021BA961">
      <w:pPr>
        <w:bidi w:val="0"/>
        <w:rPr>
          <w:rFonts w:hint="eastAsia" w:ascii="宋体" w:hAnsi="宋体" w:eastAsia="宋体" w:cs="宋体"/>
          <w:color w:val="auto"/>
          <w:highlight w:val="none"/>
        </w:rPr>
      </w:pPr>
      <w:r>
        <w:rPr>
          <w:rFonts w:hint="eastAsia" w:ascii="宋体" w:hAnsi="宋体" w:eastAsia="宋体" w:cs="宋体"/>
          <w:color w:val="auto"/>
          <w:highlight w:val="none"/>
        </w:rPr>
        <w:t>4、我方承诺，除招标文件中规定的进口产品外，所投的产品均为国产产品，且均符合国家强制性标准。若有不实，愿承担相应的责任。</w:t>
      </w:r>
    </w:p>
    <w:p w14:paraId="013305A3">
      <w:pPr>
        <w:bidi w:val="0"/>
        <w:rPr>
          <w:rFonts w:hint="eastAsia" w:ascii="宋体" w:hAnsi="宋体" w:eastAsia="宋体" w:cs="宋体"/>
          <w:color w:val="auto"/>
          <w:highlight w:val="none"/>
        </w:rPr>
      </w:pPr>
      <w:r>
        <w:rPr>
          <w:rFonts w:hint="eastAsia" w:ascii="宋体" w:hAnsi="宋体" w:eastAsia="宋体" w:cs="宋体"/>
          <w:color w:val="auto"/>
          <w:highlight w:val="none"/>
        </w:rPr>
        <w:t>5、针对本项目，我方承诺具备履行合同所</w:t>
      </w:r>
      <w:r>
        <w:rPr>
          <w:rFonts w:hint="eastAsia" w:ascii="宋体" w:hAnsi="宋体" w:cs="宋体"/>
          <w:color w:val="auto"/>
          <w:highlight w:val="none"/>
          <w:lang w:val="en-US" w:eastAsia="zh-CN"/>
        </w:rPr>
        <w:t>必须</w:t>
      </w:r>
      <w:r>
        <w:rPr>
          <w:rFonts w:hint="eastAsia" w:ascii="宋体" w:hAnsi="宋体" w:eastAsia="宋体" w:cs="宋体"/>
          <w:color w:val="auto"/>
          <w:highlight w:val="none"/>
        </w:rPr>
        <w:t>的设备和专业技术能力。</w:t>
      </w:r>
    </w:p>
    <w:p w14:paraId="3DF57A3F">
      <w:pPr>
        <w:bidi w:val="0"/>
        <w:rPr>
          <w:rFonts w:hint="eastAsia" w:ascii="宋体" w:hAnsi="宋体" w:eastAsia="宋体" w:cs="宋体"/>
          <w:color w:val="auto"/>
          <w:highlight w:val="none"/>
        </w:rPr>
      </w:pPr>
      <w:r>
        <w:rPr>
          <w:rFonts w:hint="eastAsia" w:ascii="宋体" w:hAnsi="宋体" w:eastAsia="宋体" w:cs="宋体"/>
          <w:color w:val="auto"/>
          <w:highlight w:val="none"/>
        </w:rPr>
        <w:t>6、在整个磋商过程中我方若有违规行为，贵方可按磋商文件之规定给予处罚，我方完全接受。</w:t>
      </w:r>
    </w:p>
    <w:p w14:paraId="56175FAA">
      <w:pPr>
        <w:bidi w:val="0"/>
        <w:rPr>
          <w:rFonts w:hint="eastAsia" w:ascii="宋体" w:hAnsi="宋体" w:eastAsia="宋体" w:cs="宋体"/>
          <w:color w:val="auto"/>
          <w:highlight w:val="none"/>
        </w:rPr>
      </w:pPr>
      <w:r>
        <w:rPr>
          <w:rFonts w:hint="eastAsia" w:ascii="宋体" w:hAnsi="宋体" w:eastAsia="宋体" w:cs="宋体"/>
          <w:color w:val="auto"/>
          <w:highlight w:val="none"/>
        </w:rPr>
        <w:t>7、若成交，本承诺将成为合同不可分割的一部分，与合同具有同等的法律效力。</w:t>
      </w:r>
    </w:p>
    <w:p w14:paraId="48604158">
      <w:pPr>
        <w:bidi w:val="0"/>
        <w:rPr>
          <w:rFonts w:hint="eastAsia" w:ascii="宋体" w:hAnsi="宋体" w:eastAsia="宋体" w:cs="宋体"/>
          <w:color w:val="auto"/>
          <w:highlight w:val="none"/>
        </w:rPr>
      </w:pPr>
    </w:p>
    <w:p w14:paraId="18896032">
      <w:pPr>
        <w:bidi w:val="0"/>
        <w:rPr>
          <w:rFonts w:hint="eastAsia" w:ascii="宋体" w:hAnsi="宋体" w:eastAsia="宋体" w:cs="宋体"/>
          <w:color w:val="auto"/>
          <w:highlight w:val="none"/>
          <w:lang w:val="zh-CN"/>
        </w:rPr>
      </w:pPr>
    </w:p>
    <w:p w14:paraId="56C79B5E">
      <w:pPr>
        <w:bidi w:val="0"/>
        <w:jc w:val="center"/>
        <w:rPr>
          <w:rFonts w:hint="eastAsia" w:ascii="宋体" w:hAnsi="宋体" w:eastAsia="宋体" w:cs="宋体"/>
          <w:b/>
          <w:bCs/>
          <w:color w:val="auto"/>
          <w:highlight w:val="none"/>
          <w:lang w:val="zh-CN"/>
        </w:rPr>
      </w:pPr>
      <w:r>
        <w:rPr>
          <w:rFonts w:hint="eastAsia" w:ascii="宋体" w:hAnsi="宋体" w:eastAsia="宋体" w:cs="宋体"/>
          <w:b/>
          <w:bCs/>
          <w:color w:val="auto"/>
          <w:highlight w:val="none"/>
          <w:lang w:val="zh-CN"/>
        </w:rPr>
        <w:t>供应商：</w:t>
      </w:r>
      <w:r>
        <w:rPr>
          <w:rFonts w:hint="eastAsia" w:ascii="宋体" w:hAnsi="宋体" w:eastAsia="宋体" w:cs="宋体"/>
          <w:b/>
          <w:bCs/>
          <w:color w:val="auto"/>
          <w:highlight w:val="none"/>
          <w:lang w:val="en-US" w:eastAsia="zh-CN"/>
        </w:rPr>
        <w:t xml:space="preserve">            </w:t>
      </w:r>
      <w:r>
        <w:rPr>
          <w:rFonts w:hint="eastAsia" w:ascii="宋体" w:hAnsi="宋体" w:eastAsia="宋体" w:cs="宋体"/>
          <w:b/>
          <w:bCs/>
          <w:color w:val="auto"/>
          <w:highlight w:val="none"/>
          <w:lang w:val="zh-CN"/>
        </w:rPr>
        <w:t>（公章）</w:t>
      </w:r>
    </w:p>
    <w:p w14:paraId="29B197B5">
      <w:pPr>
        <w:bidi w:val="0"/>
        <w:jc w:val="center"/>
        <w:rPr>
          <w:rFonts w:hint="eastAsia" w:ascii="宋体" w:hAnsi="宋体" w:eastAsia="宋体" w:cs="宋体"/>
          <w:b/>
          <w:bCs/>
          <w:color w:val="auto"/>
          <w:highlight w:val="none"/>
          <w:lang w:val="zh-CN"/>
        </w:rPr>
      </w:pPr>
      <w:r>
        <w:rPr>
          <w:rFonts w:hint="eastAsia" w:ascii="宋体" w:hAnsi="宋体" w:eastAsia="宋体" w:cs="宋体"/>
          <w:b/>
          <w:bCs/>
          <w:color w:val="auto"/>
          <w:highlight w:val="none"/>
          <w:lang w:val="zh-CN"/>
        </w:rPr>
        <w:t>法定代表人或委托代理人：</w:t>
      </w:r>
      <w:r>
        <w:rPr>
          <w:rFonts w:hint="eastAsia" w:ascii="宋体" w:hAnsi="宋体" w:eastAsia="宋体" w:cs="宋体"/>
          <w:b/>
          <w:bCs/>
          <w:color w:val="auto"/>
          <w:highlight w:val="none"/>
          <w:lang w:val="en-US" w:eastAsia="zh-CN"/>
        </w:rPr>
        <w:t xml:space="preserve">     </w:t>
      </w:r>
      <w:r>
        <w:rPr>
          <w:rFonts w:hint="eastAsia" w:ascii="宋体" w:hAnsi="宋体" w:eastAsia="宋体" w:cs="宋体"/>
          <w:b/>
          <w:bCs/>
          <w:color w:val="auto"/>
          <w:highlight w:val="none"/>
          <w:lang w:val="zh-CN"/>
        </w:rPr>
        <w:t>（签字或盖章）</w:t>
      </w:r>
    </w:p>
    <w:p w14:paraId="117B1D7A">
      <w:pPr>
        <w:bidi w:val="0"/>
        <w:jc w:val="center"/>
        <w:rPr>
          <w:rFonts w:hint="eastAsia" w:ascii="宋体" w:hAnsi="宋体" w:eastAsia="宋体" w:cs="宋体"/>
          <w:b/>
          <w:bCs/>
          <w:color w:val="auto"/>
          <w:highlight w:val="none"/>
          <w:lang w:val="zh-CN"/>
        </w:rPr>
      </w:pPr>
      <w:r>
        <w:rPr>
          <w:rFonts w:hint="eastAsia" w:ascii="宋体" w:hAnsi="宋体" w:eastAsia="宋体" w:cs="宋体"/>
          <w:b/>
          <w:bCs/>
          <w:color w:val="auto"/>
          <w:highlight w:val="none"/>
          <w:lang w:val="zh-CN"/>
        </w:rPr>
        <w:t>年</w:t>
      </w:r>
      <w:r>
        <w:rPr>
          <w:rFonts w:hint="eastAsia" w:ascii="宋体" w:hAnsi="宋体" w:eastAsia="宋体" w:cs="宋体"/>
          <w:b/>
          <w:bCs/>
          <w:color w:val="auto"/>
          <w:highlight w:val="none"/>
          <w:lang w:val="en-US" w:eastAsia="zh-CN"/>
        </w:rPr>
        <w:t xml:space="preserve">  </w:t>
      </w:r>
      <w:r>
        <w:rPr>
          <w:rFonts w:hint="eastAsia" w:ascii="宋体" w:hAnsi="宋体" w:eastAsia="宋体" w:cs="宋体"/>
          <w:b/>
          <w:bCs/>
          <w:color w:val="auto"/>
          <w:highlight w:val="none"/>
          <w:lang w:val="zh-CN"/>
        </w:rPr>
        <w:t xml:space="preserve"> 月 </w:t>
      </w:r>
      <w:r>
        <w:rPr>
          <w:rFonts w:hint="eastAsia" w:ascii="宋体" w:hAnsi="宋体" w:eastAsia="宋体" w:cs="宋体"/>
          <w:b/>
          <w:bCs/>
          <w:color w:val="auto"/>
          <w:highlight w:val="none"/>
          <w:lang w:val="en-US" w:eastAsia="zh-CN"/>
        </w:rPr>
        <w:t xml:space="preserve">  </w:t>
      </w:r>
      <w:r>
        <w:rPr>
          <w:rFonts w:hint="eastAsia" w:ascii="宋体" w:hAnsi="宋体" w:eastAsia="宋体" w:cs="宋体"/>
          <w:b/>
          <w:bCs/>
          <w:color w:val="auto"/>
          <w:highlight w:val="none"/>
          <w:lang w:val="zh-CN"/>
        </w:rPr>
        <w:t>日</w:t>
      </w:r>
    </w:p>
    <w:p w14:paraId="21C9B2F3">
      <w:pPr>
        <w:pStyle w:val="2"/>
        <w:ind w:firstLine="482"/>
        <w:rPr>
          <w:rFonts w:hint="eastAsia" w:ascii="宋体" w:hAnsi="宋体" w:eastAsia="宋体" w:cs="宋体"/>
          <w:b/>
          <w:bCs/>
          <w:color w:val="auto"/>
          <w:highlight w:val="none"/>
          <w:lang w:val="zh-CN"/>
        </w:rPr>
      </w:pPr>
    </w:p>
    <w:p w14:paraId="75E6B700">
      <w:pPr>
        <w:pStyle w:val="2"/>
        <w:ind w:firstLine="482"/>
        <w:rPr>
          <w:rFonts w:hint="eastAsia" w:ascii="宋体" w:hAnsi="宋体" w:eastAsia="宋体" w:cs="宋体"/>
          <w:b/>
          <w:bCs/>
          <w:color w:val="auto"/>
          <w:highlight w:val="none"/>
          <w:lang w:val="zh-CN"/>
        </w:rPr>
      </w:pPr>
    </w:p>
    <w:p w14:paraId="4173BD7C">
      <w:pPr>
        <w:rPr>
          <w:rFonts w:hint="eastAsia" w:ascii="宋体" w:hAnsi="宋体" w:eastAsia="宋体" w:cs="宋体"/>
          <w:b/>
          <w:bCs/>
          <w:color w:val="auto"/>
          <w:highlight w:val="none"/>
        </w:rPr>
      </w:pPr>
    </w:p>
    <w:p w14:paraId="54478155">
      <w:pPr>
        <w:bidi w:val="0"/>
        <w:ind w:left="0" w:leftChars="0" w:firstLine="0" w:firstLineChars="0"/>
        <w:rPr>
          <w:rFonts w:hint="eastAsia" w:ascii="宋体" w:hAnsi="宋体" w:eastAsia="宋体" w:cs="宋体"/>
          <w:b/>
          <w:bCs/>
          <w:color w:val="auto"/>
          <w:highlight w:val="none"/>
        </w:rPr>
      </w:pPr>
      <w:r>
        <w:rPr>
          <w:rFonts w:hint="eastAsia" w:ascii="宋体" w:hAnsi="宋体" w:eastAsia="宋体" w:cs="宋体"/>
          <w:b/>
          <w:bCs/>
          <w:color w:val="auto"/>
          <w:highlight w:val="none"/>
        </w:rPr>
        <w:t>附件9.1：单位负责人为同一人或者存在直接控股、管理关系的不同</w:t>
      </w:r>
      <w:r>
        <w:rPr>
          <w:rFonts w:hint="eastAsia" w:ascii="宋体" w:hAnsi="宋体" w:eastAsia="宋体" w:cs="宋体"/>
          <w:b/>
          <w:bCs/>
          <w:color w:val="auto"/>
          <w:highlight w:val="none"/>
          <w:lang w:val="en-US" w:eastAsia="zh-CN"/>
        </w:rPr>
        <w:t>供应商</w:t>
      </w:r>
      <w:r>
        <w:rPr>
          <w:rFonts w:hint="eastAsia" w:ascii="宋体" w:hAnsi="宋体" w:eastAsia="宋体" w:cs="宋体"/>
          <w:b/>
          <w:bCs/>
          <w:color w:val="auto"/>
          <w:highlight w:val="none"/>
        </w:rPr>
        <w:t>，不得参加同一合同项下的政府采购活动的承诺函。</w:t>
      </w:r>
    </w:p>
    <w:p w14:paraId="0235D5BD">
      <w:pPr>
        <w:bidi w:val="0"/>
        <w:rPr>
          <w:rFonts w:hint="eastAsia" w:ascii="宋体" w:hAnsi="宋体" w:eastAsia="宋体" w:cs="宋体"/>
          <w:color w:val="auto"/>
          <w:highlight w:val="none"/>
        </w:rPr>
      </w:pPr>
    </w:p>
    <w:p w14:paraId="2D3956F9">
      <w:pPr>
        <w:bidi w:val="0"/>
        <w:rPr>
          <w:rFonts w:hint="eastAsia" w:ascii="宋体" w:hAnsi="宋体" w:eastAsia="宋体" w:cs="宋体"/>
          <w:color w:val="auto"/>
          <w:highlight w:val="none"/>
        </w:rPr>
      </w:pPr>
    </w:p>
    <w:p w14:paraId="3BD282A2">
      <w:pPr>
        <w:bidi w:val="0"/>
        <w:rPr>
          <w:rFonts w:hint="eastAsia" w:ascii="宋体" w:hAnsi="宋体" w:eastAsia="宋体" w:cs="宋体"/>
          <w:color w:val="auto"/>
          <w:highlight w:val="none"/>
        </w:rPr>
      </w:pPr>
      <w:bookmarkStart w:id="149" w:name="_Toc5930"/>
      <w:bookmarkStart w:id="150" w:name="_Toc83829270"/>
      <w:bookmarkStart w:id="151" w:name="_Toc69898412"/>
      <w:bookmarkStart w:id="152" w:name="_Toc74901838"/>
      <w:r>
        <w:rPr>
          <w:rFonts w:hint="eastAsia" w:ascii="宋体" w:hAnsi="宋体" w:eastAsia="宋体" w:cs="宋体"/>
          <w:color w:val="auto"/>
          <w:highlight w:val="none"/>
        </w:rPr>
        <w:t>格式自拟。</w:t>
      </w:r>
      <w:bookmarkEnd w:id="149"/>
      <w:bookmarkEnd w:id="150"/>
      <w:bookmarkEnd w:id="151"/>
      <w:bookmarkEnd w:id="152"/>
    </w:p>
    <w:p w14:paraId="6A06A7AE">
      <w:pPr>
        <w:bidi w:val="0"/>
        <w:rPr>
          <w:rFonts w:hint="eastAsia" w:ascii="宋体" w:hAnsi="宋体" w:eastAsia="宋体" w:cs="宋体"/>
          <w:color w:val="auto"/>
          <w:highlight w:val="none"/>
        </w:rPr>
      </w:pPr>
    </w:p>
    <w:p w14:paraId="5C8DE956">
      <w:pPr>
        <w:bidi w:val="0"/>
        <w:rPr>
          <w:rFonts w:hint="eastAsia" w:ascii="宋体" w:hAnsi="宋体" w:eastAsia="宋体" w:cs="宋体"/>
          <w:color w:val="auto"/>
          <w:highlight w:val="none"/>
        </w:rPr>
      </w:pPr>
    </w:p>
    <w:p w14:paraId="184D992C">
      <w:pPr>
        <w:bidi w:val="0"/>
        <w:rPr>
          <w:rFonts w:hint="eastAsia" w:ascii="宋体" w:hAnsi="宋体" w:eastAsia="宋体" w:cs="宋体"/>
          <w:color w:val="auto"/>
          <w:highlight w:val="none"/>
        </w:rPr>
      </w:pPr>
    </w:p>
    <w:p w14:paraId="46ABBFDE">
      <w:pPr>
        <w:bidi w:val="0"/>
        <w:ind w:left="0" w:leftChars="0" w:firstLine="0" w:firstLineChars="0"/>
        <w:rPr>
          <w:rFonts w:hint="eastAsia" w:ascii="宋体" w:hAnsi="宋体" w:eastAsia="宋体" w:cs="宋体"/>
          <w:b/>
          <w:bCs/>
          <w:color w:val="auto"/>
          <w:highlight w:val="none"/>
        </w:rPr>
      </w:pPr>
      <w:r>
        <w:rPr>
          <w:rFonts w:hint="eastAsia" w:ascii="宋体" w:hAnsi="宋体" w:eastAsia="宋体" w:cs="宋体"/>
          <w:b/>
          <w:bCs/>
          <w:color w:val="auto"/>
          <w:highlight w:val="none"/>
        </w:rPr>
        <w:t>附件9.2：为本采购项目提供整体设计、规范编制或者项目管理、监理、检测等服务的</w:t>
      </w:r>
      <w:r>
        <w:rPr>
          <w:rFonts w:hint="eastAsia" w:ascii="宋体" w:hAnsi="宋体" w:eastAsia="宋体" w:cs="宋体"/>
          <w:b/>
          <w:bCs/>
          <w:color w:val="auto"/>
          <w:highlight w:val="none"/>
          <w:lang w:val="en-US" w:eastAsia="zh-CN"/>
        </w:rPr>
        <w:t>供应商</w:t>
      </w:r>
      <w:r>
        <w:rPr>
          <w:rFonts w:hint="eastAsia" w:ascii="宋体" w:hAnsi="宋体" w:eastAsia="宋体" w:cs="宋体"/>
          <w:b/>
          <w:bCs/>
          <w:color w:val="auto"/>
          <w:highlight w:val="none"/>
        </w:rPr>
        <w:t>，不得再参加该采购项目的其他采购活动的承诺函。</w:t>
      </w:r>
    </w:p>
    <w:p w14:paraId="4D1DEE32">
      <w:pPr>
        <w:bidi w:val="0"/>
        <w:rPr>
          <w:rFonts w:hint="eastAsia" w:ascii="宋体" w:hAnsi="宋体" w:eastAsia="宋体" w:cs="宋体"/>
          <w:color w:val="auto"/>
          <w:highlight w:val="none"/>
        </w:rPr>
      </w:pPr>
    </w:p>
    <w:p w14:paraId="16133845">
      <w:pPr>
        <w:bidi w:val="0"/>
        <w:rPr>
          <w:rFonts w:hint="eastAsia" w:ascii="宋体" w:hAnsi="宋体" w:eastAsia="宋体" w:cs="宋体"/>
          <w:color w:val="auto"/>
          <w:highlight w:val="none"/>
        </w:rPr>
      </w:pPr>
    </w:p>
    <w:p w14:paraId="6D2D7B9C">
      <w:pPr>
        <w:bidi w:val="0"/>
        <w:rPr>
          <w:rFonts w:hint="eastAsia" w:ascii="宋体" w:hAnsi="宋体" w:eastAsia="宋体" w:cs="宋体"/>
          <w:color w:val="auto"/>
          <w:highlight w:val="none"/>
        </w:rPr>
      </w:pPr>
      <w:r>
        <w:rPr>
          <w:rFonts w:hint="eastAsia" w:ascii="宋体" w:hAnsi="宋体" w:eastAsia="宋体" w:cs="宋体"/>
          <w:color w:val="auto"/>
          <w:highlight w:val="none"/>
        </w:rPr>
        <w:t>格式自拟。</w:t>
      </w:r>
    </w:p>
    <w:p w14:paraId="0AFA8A71">
      <w:pPr>
        <w:bidi w:val="0"/>
        <w:rPr>
          <w:rFonts w:hint="eastAsia" w:ascii="宋体" w:hAnsi="宋体" w:eastAsia="宋体" w:cs="宋体"/>
          <w:color w:val="auto"/>
          <w:highlight w:val="none"/>
        </w:rPr>
      </w:pPr>
    </w:p>
    <w:p w14:paraId="21CFDBE3">
      <w:pPr>
        <w:bidi w:val="0"/>
        <w:rPr>
          <w:rFonts w:hint="eastAsia" w:ascii="宋体" w:hAnsi="宋体" w:eastAsia="宋体" w:cs="宋体"/>
          <w:color w:val="auto"/>
          <w:highlight w:val="none"/>
        </w:rPr>
      </w:pPr>
    </w:p>
    <w:p w14:paraId="43905CAA">
      <w:pPr>
        <w:bidi w:val="0"/>
        <w:rPr>
          <w:rFonts w:hint="eastAsia" w:ascii="宋体" w:hAnsi="宋体" w:eastAsia="宋体" w:cs="宋体"/>
          <w:color w:val="auto"/>
          <w:highlight w:val="none"/>
        </w:rPr>
      </w:pPr>
    </w:p>
    <w:p w14:paraId="7EA60790">
      <w:pPr>
        <w:bidi w:val="0"/>
        <w:rPr>
          <w:rFonts w:hint="eastAsia" w:ascii="宋体" w:hAnsi="宋体" w:eastAsia="宋体" w:cs="宋体"/>
          <w:color w:val="auto"/>
          <w:highlight w:val="none"/>
        </w:rPr>
      </w:pPr>
    </w:p>
    <w:p w14:paraId="535CF5E9">
      <w:pPr>
        <w:bidi w:val="0"/>
        <w:rPr>
          <w:rFonts w:hint="eastAsia" w:ascii="宋体" w:hAnsi="宋体" w:eastAsia="宋体" w:cs="宋体"/>
          <w:color w:val="auto"/>
          <w:highlight w:val="none"/>
        </w:rPr>
      </w:pPr>
    </w:p>
    <w:p w14:paraId="38F7E71A">
      <w:pPr>
        <w:bidi w:val="0"/>
        <w:rPr>
          <w:rFonts w:hint="eastAsia" w:ascii="宋体" w:hAnsi="宋体" w:eastAsia="宋体" w:cs="宋体"/>
          <w:color w:val="auto"/>
          <w:highlight w:val="none"/>
        </w:rPr>
      </w:pPr>
      <w:bookmarkStart w:id="153" w:name="_Toc25458"/>
    </w:p>
    <w:p w14:paraId="28EA902F">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3E0C4BB1">
      <w:pPr>
        <w:pStyle w:val="5"/>
        <w:bidi w:val="0"/>
        <w:jc w:val="both"/>
        <w:rPr>
          <w:rFonts w:hint="eastAsia" w:ascii="宋体" w:hAnsi="宋体" w:eastAsia="宋体" w:cs="宋体"/>
          <w:color w:val="auto"/>
          <w:highlight w:val="none"/>
        </w:rPr>
      </w:pPr>
      <w:bookmarkStart w:id="154" w:name="_Toc28415"/>
      <w:r>
        <w:rPr>
          <w:rFonts w:hint="eastAsia" w:ascii="宋体" w:hAnsi="宋体" w:eastAsia="宋体" w:cs="宋体"/>
          <w:color w:val="auto"/>
          <w:highlight w:val="none"/>
        </w:rPr>
        <w:t>附件</w:t>
      </w:r>
      <w:bookmarkStart w:id="155" w:name="_Toc351475542"/>
      <w:bookmarkStart w:id="156" w:name="_Toc376936779"/>
      <w:bookmarkStart w:id="157" w:name="_Toc365019584"/>
      <w:r>
        <w:rPr>
          <w:rFonts w:hint="eastAsia" w:ascii="宋体" w:hAnsi="宋体" w:eastAsia="宋体" w:cs="宋体"/>
          <w:color w:val="auto"/>
          <w:highlight w:val="none"/>
        </w:rPr>
        <w:t>10：供应商诚信承诺书</w:t>
      </w:r>
      <w:bookmarkEnd w:id="153"/>
      <w:bookmarkEnd w:id="154"/>
      <w:bookmarkEnd w:id="155"/>
      <w:bookmarkEnd w:id="156"/>
      <w:bookmarkEnd w:id="157"/>
    </w:p>
    <w:p w14:paraId="4FB5D9EC">
      <w:pPr>
        <w:bidi w:val="0"/>
        <w:ind w:left="0" w:leftChars="0" w:firstLine="0" w:firstLineChars="0"/>
        <w:jc w:val="center"/>
        <w:rPr>
          <w:rFonts w:hint="eastAsia" w:ascii="宋体" w:hAnsi="宋体" w:eastAsia="宋体" w:cs="宋体"/>
          <w:b/>
          <w:bCs/>
          <w:color w:val="auto"/>
          <w:sz w:val="32"/>
          <w:szCs w:val="32"/>
          <w:highlight w:val="none"/>
          <w:lang w:val="zh-CN"/>
        </w:rPr>
      </w:pPr>
      <w:r>
        <w:rPr>
          <w:rFonts w:hint="eastAsia" w:ascii="宋体" w:hAnsi="宋体" w:eastAsia="宋体" w:cs="宋体"/>
          <w:b/>
          <w:bCs/>
          <w:color w:val="auto"/>
          <w:sz w:val="32"/>
          <w:szCs w:val="32"/>
          <w:highlight w:val="none"/>
          <w:lang w:val="zh-CN"/>
        </w:rPr>
        <w:t>供应商诚信承诺书</w:t>
      </w:r>
    </w:p>
    <w:p w14:paraId="47054592">
      <w:pPr>
        <w:bidi w:val="0"/>
        <w:ind w:left="0" w:leftChars="0" w:firstLine="0" w:firstLineChars="0"/>
        <w:rPr>
          <w:rFonts w:hint="eastAsia" w:ascii="宋体" w:hAnsi="宋体" w:eastAsia="宋体" w:cs="宋体"/>
          <w:b/>
          <w:bCs/>
          <w:color w:val="auto"/>
          <w:highlight w:val="none"/>
        </w:rPr>
      </w:pPr>
      <w:r>
        <w:rPr>
          <w:rFonts w:hint="eastAsia" w:ascii="宋体" w:hAnsi="宋体" w:eastAsia="宋体" w:cs="宋体"/>
          <w:b/>
          <w:bCs/>
          <w:color w:val="auto"/>
          <w:highlight w:val="none"/>
        </w:rPr>
        <w:t>致：青海联祥招标代理有限公司</w:t>
      </w:r>
    </w:p>
    <w:p w14:paraId="7A48A461">
      <w:pPr>
        <w:bidi w:val="0"/>
        <w:rPr>
          <w:rFonts w:hint="eastAsia" w:ascii="宋体" w:hAnsi="宋体" w:eastAsia="宋体" w:cs="宋体"/>
          <w:color w:val="auto"/>
          <w:highlight w:val="none"/>
        </w:rPr>
      </w:pPr>
      <w:r>
        <w:rPr>
          <w:rFonts w:hint="eastAsia" w:ascii="宋体" w:hAnsi="宋体" w:eastAsia="宋体" w:cs="宋体"/>
          <w:color w:val="auto"/>
          <w:highlight w:val="none"/>
        </w:rPr>
        <w:t>为了诚实、客观、有序地参与青海省政府采购活动，愿就以下内容作出承诺：</w:t>
      </w:r>
    </w:p>
    <w:p w14:paraId="381841CE">
      <w:pPr>
        <w:bidi w:val="0"/>
        <w:rPr>
          <w:rFonts w:hint="eastAsia" w:ascii="宋体" w:hAnsi="宋体" w:eastAsia="宋体" w:cs="宋体"/>
          <w:color w:val="auto"/>
          <w:highlight w:val="none"/>
        </w:rPr>
      </w:pPr>
      <w:r>
        <w:rPr>
          <w:rFonts w:hint="eastAsia" w:ascii="宋体" w:hAnsi="宋体" w:eastAsia="宋体" w:cs="宋体"/>
          <w:color w:val="auto"/>
          <w:highlight w:val="none"/>
        </w:rPr>
        <w:t>一、自觉遵守各项法律、法规、规章、制度以及社会公德，维护廉洁环境，与同场竞争的供应商平等参加政府采购活动。</w:t>
      </w:r>
    </w:p>
    <w:p w14:paraId="1F9F95DA">
      <w:pPr>
        <w:bidi w:val="0"/>
        <w:rPr>
          <w:rFonts w:hint="eastAsia" w:ascii="宋体" w:hAnsi="宋体" w:eastAsia="宋体" w:cs="宋体"/>
          <w:color w:val="auto"/>
          <w:highlight w:val="none"/>
        </w:rPr>
      </w:pPr>
      <w:r>
        <w:rPr>
          <w:rFonts w:hint="eastAsia" w:ascii="宋体" w:hAnsi="宋体" w:eastAsia="宋体" w:cs="宋体"/>
          <w:color w:val="auto"/>
          <w:highlight w:val="none"/>
        </w:rPr>
        <w:t>二、参加青海联祥招标代理有限公司组织的政府采购活动时，严格按照磋商文件的规定和要求提供所需的相关材料，并对所提供的各类资料的真实性负责，不虚假应标，不虚列业绩。</w:t>
      </w:r>
    </w:p>
    <w:p w14:paraId="1AD5A4D4">
      <w:pPr>
        <w:bidi w:val="0"/>
        <w:rPr>
          <w:rFonts w:hint="eastAsia" w:ascii="宋体" w:hAnsi="宋体" w:eastAsia="宋体" w:cs="宋体"/>
          <w:color w:val="auto"/>
          <w:highlight w:val="none"/>
        </w:rPr>
      </w:pPr>
      <w:r>
        <w:rPr>
          <w:rFonts w:hint="eastAsia" w:ascii="宋体" w:hAnsi="宋体" w:eastAsia="宋体" w:cs="宋体"/>
          <w:color w:val="auto"/>
          <w:highlight w:val="none"/>
        </w:rPr>
        <w:t>三、尊重参与政府采购活动各相关方的合法行为，接受政府采购活动依法形成的意见、结果。</w:t>
      </w:r>
    </w:p>
    <w:p w14:paraId="010A2818">
      <w:pPr>
        <w:bidi w:val="0"/>
        <w:rPr>
          <w:rFonts w:hint="eastAsia" w:ascii="宋体" w:hAnsi="宋体" w:eastAsia="宋体" w:cs="宋体"/>
          <w:color w:val="auto"/>
          <w:highlight w:val="none"/>
        </w:rPr>
      </w:pPr>
      <w:r>
        <w:rPr>
          <w:rFonts w:hint="eastAsia" w:ascii="宋体" w:hAnsi="宋体" w:eastAsia="宋体" w:cs="宋体"/>
          <w:color w:val="auto"/>
          <w:highlight w:val="none"/>
        </w:rPr>
        <w:t>四、依法参加政府采购活动，不围标、串标，维护市场秩序，不提供“三无”产品、以次充好。</w:t>
      </w:r>
    </w:p>
    <w:p w14:paraId="53304EDD">
      <w:pPr>
        <w:bidi w:val="0"/>
        <w:rPr>
          <w:rFonts w:hint="eastAsia" w:ascii="宋体" w:hAnsi="宋体" w:eastAsia="宋体" w:cs="宋体"/>
          <w:color w:val="auto"/>
          <w:highlight w:val="none"/>
        </w:rPr>
      </w:pPr>
      <w:r>
        <w:rPr>
          <w:rFonts w:hint="eastAsia" w:ascii="宋体" w:hAnsi="宋体" w:eastAsia="宋体" w:cs="宋体"/>
          <w:color w:val="auto"/>
          <w:highlight w:val="none"/>
        </w:rPr>
        <w:t>五、积极推动政府采购活动健康开展，对采购活动有疑问、异议时，按法律规定的程序实名（加盖单位章和法定代表人签名）反映情况，不恶意中伤、无事生非，以和谐、平等的心态参加政府采购活动。</w:t>
      </w:r>
    </w:p>
    <w:p w14:paraId="65FE35C1">
      <w:pPr>
        <w:bidi w:val="0"/>
        <w:rPr>
          <w:rFonts w:hint="eastAsia" w:ascii="宋体" w:hAnsi="宋体" w:eastAsia="宋体" w:cs="宋体"/>
          <w:color w:val="auto"/>
          <w:highlight w:val="none"/>
        </w:rPr>
      </w:pPr>
      <w:r>
        <w:rPr>
          <w:rFonts w:hint="eastAsia" w:ascii="宋体" w:hAnsi="宋体" w:eastAsia="宋体" w:cs="宋体"/>
          <w:color w:val="auto"/>
          <w:highlight w:val="none"/>
        </w:rPr>
        <w:t>六、认真履行成交供应商应承担的责任和义务，全面执行采购合同规定的各项内容，保质保量地按时提供采购服务。</w:t>
      </w:r>
    </w:p>
    <w:p w14:paraId="30A3CCB8">
      <w:pPr>
        <w:bidi w:val="0"/>
        <w:rPr>
          <w:rFonts w:hint="eastAsia" w:ascii="宋体" w:hAnsi="宋体" w:eastAsia="宋体" w:cs="宋体"/>
          <w:color w:val="auto"/>
          <w:highlight w:val="none"/>
        </w:rPr>
      </w:pPr>
      <w:r>
        <w:rPr>
          <w:rFonts w:hint="eastAsia" w:ascii="宋体" w:hAnsi="宋体" w:eastAsia="宋体" w:cs="宋体"/>
          <w:color w:val="auto"/>
          <w:highlight w:val="none"/>
        </w:rPr>
        <w:t>若本企业（单位）发生有悖于上述承诺的行为，愿意接受《中华人民共和国政府采购法》和《政府采购法实施条例》中对供应商的相关处理。</w:t>
      </w:r>
    </w:p>
    <w:p w14:paraId="15E31C1C">
      <w:pPr>
        <w:bidi w:val="0"/>
        <w:rPr>
          <w:rFonts w:hint="eastAsia" w:ascii="宋体" w:hAnsi="宋体" w:eastAsia="宋体" w:cs="宋体"/>
          <w:color w:val="auto"/>
          <w:highlight w:val="none"/>
        </w:rPr>
      </w:pPr>
      <w:r>
        <w:rPr>
          <w:rFonts w:hint="eastAsia" w:ascii="宋体" w:hAnsi="宋体" w:eastAsia="宋体" w:cs="宋体"/>
          <w:color w:val="auto"/>
          <w:highlight w:val="none"/>
        </w:rPr>
        <w:t>本承诺是采购项目磋商响应文件的组成部分。</w:t>
      </w:r>
    </w:p>
    <w:p w14:paraId="463AF9DC">
      <w:pPr>
        <w:bidi w:val="0"/>
        <w:rPr>
          <w:rFonts w:hint="eastAsia" w:ascii="宋体" w:hAnsi="宋体" w:eastAsia="宋体" w:cs="宋体"/>
          <w:color w:val="auto"/>
          <w:highlight w:val="none"/>
        </w:rPr>
      </w:pPr>
    </w:p>
    <w:p w14:paraId="7DA1920A">
      <w:pPr>
        <w:bidi w:val="0"/>
        <w:rPr>
          <w:rFonts w:hint="eastAsia" w:ascii="宋体" w:hAnsi="宋体" w:eastAsia="宋体" w:cs="宋体"/>
          <w:color w:val="auto"/>
          <w:highlight w:val="none"/>
        </w:rPr>
      </w:pPr>
    </w:p>
    <w:p w14:paraId="3CED22BC">
      <w:pPr>
        <w:bidi w:val="0"/>
        <w:jc w:val="center"/>
        <w:rPr>
          <w:rFonts w:hint="eastAsia" w:ascii="宋体" w:hAnsi="宋体" w:eastAsia="宋体" w:cs="宋体"/>
          <w:b/>
          <w:bCs/>
          <w:color w:val="auto"/>
          <w:highlight w:val="none"/>
          <w:lang w:val="zh-CN"/>
        </w:rPr>
      </w:pPr>
      <w:bookmarkStart w:id="158" w:name="_Toc23931"/>
      <w:r>
        <w:rPr>
          <w:rFonts w:hint="eastAsia" w:ascii="宋体" w:hAnsi="宋体" w:eastAsia="宋体" w:cs="宋体"/>
          <w:b/>
          <w:bCs/>
          <w:color w:val="auto"/>
          <w:highlight w:val="none"/>
          <w:lang w:val="zh-CN"/>
        </w:rPr>
        <w:t>供应商：</w:t>
      </w:r>
      <w:r>
        <w:rPr>
          <w:rFonts w:hint="eastAsia" w:ascii="宋体" w:hAnsi="宋体" w:eastAsia="宋体" w:cs="宋体"/>
          <w:b/>
          <w:bCs/>
          <w:color w:val="auto"/>
          <w:highlight w:val="none"/>
          <w:lang w:val="en-US" w:eastAsia="zh-CN"/>
        </w:rPr>
        <w:t xml:space="preserve">            </w:t>
      </w:r>
      <w:r>
        <w:rPr>
          <w:rFonts w:hint="eastAsia" w:ascii="宋体" w:hAnsi="宋体" w:eastAsia="宋体" w:cs="宋体"/>
          <w:b/>
          <w:bCs/>
          <w:color w:val="auto"/>
          <w:highlight w:val="none"/>
          <w:lang w:val="zh-CN"/>
        </w:rPr>
        <w:t>（公章）</w:t>
      </w:r>
    </w:p>
    <w:p w14:paraId="7609291B">
      <w:pPr>
        <w:bidi w:val="0"/>
        <w:jc w:val="center"/>
        <w:rPr>
          <w:rFonts w:hint="eastAsia" w:ascii="宋体" w:hAnsi="宋体" w:eastAsia="宋体" w:cs="宋体"/>
          <w:b/>
          <w:bCs/>
          <w:color w:val="auto"/>
          <w:highlight w:val="none"/>
          <w:lang w:val="zh-CN"/>
        </w:rPr>
      </w:pPr>
      <w:r>
        <w:rPr>
          <w:rFonts w:hint="eastAsia" w:ascii="宋体" w:hAnsi="宋体" w:eastAsia="宋体" w:cs="宋体"/>
          <w:b/>
          <w:bCs/>
          <w:color w:val="auto"/>
          <w:highlight w:val="none"/>
          <w:lang w:val="zh-CN"/>
        </w:rPr>
        <w:t>法定代表人或委托代理人：</w:t>
      </w:r>
      <w:r>
        <w:rPr>
          <w:rFonts w:hint="eastAsia" w:ascii="宋体" w:hAnsi="宋体" w:eastAsia="宋体" w:cs="宋体"/>
          <w:b/>
          <w:bCs/>
          <w:color w:val="auto"/>
          <w:highlight w:val="none"/>
          <w:lang w:val="en-US" w:eastAsia="zh-CN"/>
        </w:rPr>
        <w:t xml:space="preserve">     </w:t>
      </w:r>
      <w:r>
        <w:rPr>
          <w:rFonts w:hint="eastAsia" w:ascii="宋体" w:hAnsi="宋体" w:eastAsia="宋体" w:cs="宋体"/>
          <w:b/>
          <w:bCs/>
          <w:color w:val="auto"/>
          <w:highlight w:val="none"/>
          <w:lang w:val="zh-CN"/>
        </w:rPr>
        <w:t>（签字或盖章）</w:t>
      </w:r>
    </w:p>
    <w:p w14:paraId="70E6BD67">
      <w:pPr>
        <w:bidi w:val="0"/>
        <w:jc w:val="center"/>
        <w:rPr>
          <w:rFonts w:hint="eastAsia" w:ascii="宋体" w:hAnsi="宋体" w:eastAsia="宋体" w:cs="宋体"/>
          <w:b/>
          <w:bCs/>
          <w:color w:val="auto"/>
          <w:highlight w:val="none"/>
          <w:lang w:val="zh-CN"/>
        </w:rPr>
      </w:pPr>
      <w:r>
        <w:rPr>
          <w:rFonts w:hint="eastAsia" w:ascii="宋体" w:hAnsi="宋体" w:eastAsia="宋体" w:cs="宋体"/>
          <w:b/>
          <w:bCs/>
          <w:color w:val="auto"/>
          <w:highlight w:val="none"/>
          <w:lang w:val="zh-CN"/>
        </w:rPr>
        <w:t>年</w:t>
      </w:r>
      <w:r>
        <w:rPr>
          <w:rFonts w:hint="eastAsia" w:ascii="宋体" w:hAnsi="宋体" w:eastAsia="宋体" w:cs="宋体"/>
          <w:b/>
          <w:bCs/>
          <w:color w:val="auto"/>
          <w:highlight w:val="none"/>
          <w:lang w:val="en-US" w:eastAsia="zh-CN"/>
        </w:rPr>
        <w:t xml:space="preserve">  </w:t>
      </w:r>
      <w:r>
        <w:rPr>
          <w:rFonts w:hint="eastAsia" w:ascii="宋体" w:hAnsi="宋体" w:eastAsia="宋体" w:cs="宋体"/>
          <w:b/>
          <w:bCs/>
          <w:color w:val="auto"/>
          <w:highlight w:val="none"/>
          <w:lang w:val="zh-CN"/>
        </w:rPr>
        <w:t xml:space="preserve"> 月 </w:t>
      </w:r>
      <w:r>
        <w:rPr>
          <w:rFonts w:hint="eastAsia" w:ascii="宋体" w:hAnsi="宋体" w:eastAsia="宋体" w:cs="宋体"/>
          <w:b/>
          <w:bCs/>
          <w:color w:val="auto"/>
          <w:highlight w:val="none"/>
          <w:lang w:val="en-US" w:eastAsia="zh-CN"/>
        </w:rPr>
        <w:t xml:space="preserve">  </w:t>
      </w:r>
      <w:r>
        <w:rPr>
          <w:rFonts w:hint="eastAsia" w:ascii="宋体" w:hAnsi="宋体" w:eastAsia="宋体" w:cs="宋体"/>
          <w:b/>
          <w:bCs/>
          <w:color w:val="auto"/>
          <w:highlight w:val="none"/>
          <w:lang w:val="zh-CN"/>
        </w:rPr>
        <w:t>日</w:t>
      </w:r>
    </w:p>
    <w:p w14:paraId="423D1DD0">
      <w:pPr>
        <w:bidi w:val="0"/>
        <w:rPr>
          <w:rFonts w:hint="eastAsia" w:ascii="宋体" w:hAnsi="宋体" w:eastAsia="宋体" w:cs="宋体"/>
          <w:color w:val="auto"/>
          <w:highlight w:val="none"/>
        </w:rPr>
      </w:pPr>
    </w:p>
    <w:p w14:paraId="2E01EA76">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29434732">
      <w:pPr>
        <w:pStyle w:val="5"/>
        <w:bidi w:val="0"/>
        <w:jc w:val="both"/>
        <w:rPr>
          <w:rFonts w:hint="eastAsia" w:ascii="宋体" w:hAnsi="宋体" w:eastAsia="宋体" w:cs="宋体"/>
          <w:color w:val="auto"/>
          <w:highlight w:val="none"/>
        </w:rPr>
      </w:pPr>
      <w:bookmarkStart w:id="159" w:name="_Toc937"/>
      <w:r>
        <w:rPr>
          <w:rFonts w:hint="eastAsia" w:ascii="宋体" w:hAnsi="宋体" w:eastAsia="宋体" w:cs="宋体"/>
          <w:color w:val="auto"/>
          <w:highlight w:val="none"/>
        </w:rPr>
        <w:t>附件11：资格证明材料</w:t>
      </w:r>
      <w:bookmarkEnd w:id="158"/>
      <w:bookmarkEnd w:id="159"/>
    </w:p>
    <w:p w14:paraId="52AEF5FF">
      <w:pPr>
        <w:bidi w:val="0"/>
        <w:rPr>
          <w:rFonts w:hint="eastAsia" w:ascii="宋体" w:hAnsi="宋体" w:eastAsia="宋体" w:cs="宋体"/>
          <w:color w:val="auto"/>
          <w:highlight w:val="none"/>
        </w:rPr>
      </w:pPr>
    </w:p>
    <w:p w14:paraId="6BCC37A6">
      <w:pPr>
        <w:bidi w:val="0"/>
        <w:ind w:left="0" w:leftChars="0" w:firstLine="0" w:firstLineChars="0"/>
        <w:jc w:val="center"/>
        <w:rPr>
          <w:rFonts w:hint="eastAsia" w:ascii="宋体" w:hAnsi="宋体" w:eastAsia="宋体" w:cs="宋体"/>
          <w:b/>
          <w:bCs/>
          <w:color w:val="auto"/>
          <w:sz w:val="32"/>
          <w:szCs w:val="32"/>
          <w:highlight w:val="none"/>
          <w:lang w:val="zh-CN"/>
        </w:rPr>
      </w:pPr>
      <w:r>
        <w:rPr>
          <w:rFonts w:hint="eastAsia" w:ascii="宋体" w:hAnsi="宋体" w:eastAsia="宋体" w:cs="宋体"/>
          <w:b/>
          <w:bCs/>
          <w:color w:val="auto"/>
          <w:sz w:val="32"/>
          <w:szCs w:val="32"/>
          <w:highlight w:val="none"/>
          <w:lang w:val="zh-CN"/>
        </w:rPr>
        <w:t>资格证明材料</w:t>
      </w:r>
    </w:p>
    <w:p w14:paraId="68662971">
      <w:pPr>
        <w:bidi w:val="0"/>
        <w:ind w:left="0" w:leftChars="0" w:firstLine="0" w:firstLineChars="0"/>
        <w:rPr>
          <w:rFonts w:hint="eastAsia" w:ascii="宋体" w:hAnsi="宋体" w:eastAsia="宋体" w:cs="宋体"/>
          <w:b/>
          <w:bCs/>
          <w:color w:val="auto"/>
          <w:highlight w:val="none"/>
        </w:rPr>
      </w:pPr>
      <w:r>
        <w:rPr>
          <w:rFonts w:hint="eastAsia" w:ascii="宋体" w:hAnsi="宋体" w:eastAsia="宋体" w:cs="宋体"/>
          <w:b/>
          <w:bCs/>
          <w:color w:val="auto"/>
          <w:highlight w:val="none"/>
        </w:rPr>
        <w:t>资格证明材料包括：</w:t>
      </w:r>
    </w:p>
    <w:p w14:paraId="6936A8D9">
      <w:pPr>
        <w:bidi w:val="0"/>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提供有效的营业执照、税务登记证、机构代码证或三证（五证）合一统一社会代码证及其他资格证明文件（扫描或复印件）；</w:t>
      </w:r>
    </w:p>
    <w:p w14:paraId="76F3BF20">
      <w:pPr>
        <w:bidi w:val="0"/>
        <w:rPr>
          <w:rFonts w:hint="eastAsia" w:ascii="宋体" w:hAnsi="宋体" w:eastAsia="宋体" w:cs="宋体"/>
          <w:color w:val="auto"/>
          <w:highlight w:val="none"/>
        </w:rPr>
      </w:pPr>
      <w:r>
        <w:rPr>
          <w:rFonts w:hint="eastAsia" w:ascii="宋体" w:hAnsi="宋体" w:eastAsia="宋体" w:cs="宋体"/>
          <w:color w:val="auto"/>
          <w:highlight w:val="none"/>
        </w:rPr>
        <w:t>企业法人需提交“统一社会信用代码的营业执照”，未换证的提交“营业执照、组织机构代码证、税务登记证”；事业法人需提交“统一社会信用代码的事业单位法人证书”，未换证的提交“事业单位法人证书或组织机构代码证”；其他组织需提交“统一社会信用代码的社会团体法人登记证书”或“统一社会信用代码的民办非企业单位登记证书”或“统一社会信用代码的基金会法人登记证书”，未换证的提交“社会团体法人登记证书”或“民办非企业单位登记证书”或“基金会法人登记证书”和“组织机构代码证”；个体工商户需提交“统一社会信用代码的营业执照”或“营业执照、税务登记证”；自然人需提交身份证明。</w:t>
      </w:r>
    </w:p>
    <w:p w14:paraId="69EACD5C">
      <w:pPr>
        <w:bidi w:val="0"/>
        <w:rPr>
          <w:rFonts w:hint="eastAsia" w:ascii="宋体" w:hAnsi="宋体" w:eastAsia="宋体" w:cs="宋体"/>
          <w:color w:val="auto"/>
          <w:highlight w:val="none"/>
        </w:rPr>
      </w:pPr>
      <w:r>
        <w:rPr>
          <w:rFonts w:hint="eastAsia" w:ascii="宋体" w:hAnsi="宋体" w:eastAsia="宋体" w:cs="宋体"/>
          <w:color w:val="auto"/>
          <w:highlight w:val="none"/>
        </w:rPr>
        <w:t>分支机构参与本项目政府采购活动须提供总公司针对本项目的授权,同时提供总公司和分支机构营业执照副本复印件。（银行、保险、电信、电力、石油石化、邮政、铁路等特殊行业，可出具总公司的有关文件或制度等能够证明总公司授权其独立开展业务的证明）</w:t>
      </w:r>
    </w:p>
    <w:p w14:paraId="2DF8968D">
      <w:pPr>
        <w:bidi w:val="0"/>
        <w:rPr>
          <w:rFonts w:hint="eastAsia" w:ascii="宋体" w:hAnsi="宋体" w:eastAsia="宋体" w:cs="宋体"/>
          <w:color w:val="auto"/>
          <w:highlight w:val="none"/>
        </w:rPr>
      </w:pPr>
      <w:r>
        <w:rPr>
          <w:rFonts w:hint="eastAsia" w:ascii="宋体" w:hAnsi="宋体" w:eastAsia="宋体" w:cs="宋体"/>
          <w:color w:val="auto"/>
          <w:highlight w:val="none"/>
        </w:rPr>
        <w:t>（2）磋商文件规定的有关资格证书、许可证书、认证等；</w:t>
      </w:r>
    </w:p>
    <w:p w14:paraId="2CA795D9">
      <w:pPr>
        <w:bidi w:val="0"/>
        <w:rPr>
          <w:rFonts w:hint="eastAsia"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认为有必要提供的其他资格证明文件。</w:t>
      </w:r>
    </w:p>
    <w:p w14:paraId="17ECE63D">
      <w:pPr>
        <w:bidi w:val="0"/>
        <w:rPr>
          <w:rFonts w:hint="eastAsia" w:ascii="宋体" w:hAnsi="宋体" w:eastAsia="宋体" w:cs="宋体"/>
          <w:color w:val="auto"/>
          <w:highlight w:val="none"/>
        </w:rPr>
      </w:pPr>
    </w:p>
    <w:p w14:paraId="18F2EE90">
      <w:pPr>
        <w:bidi w:val="0"/>
        <w:rPr>
          <w:rFonts w:hint="eastAsia" w:ascii="宋体" w:hAnsi="宋体" w:eastAsia="宋体" w:cs="宋体"/>
          <w:color w:val="auto"/>
          <w:highlight w:val="none"/>
        </w:rPr>
      </w:pPr>
    </w:p>
    <w:p w14:paraId="2CDD525D">
      <w:pPr>
        <w:bidi w:val="0"/>
        <w:rPr>
          <w:rFonts w:hint="eastAsia" w:ascii="宋体" w:hAnsi="宋体" w:eastAsia="宋体" w:cs="宋体"/>
          <w:color w:val="auto"/>
          <w:highlight w:val="none"/>
        </w:rPr>
      </w:pPr>
    </w:p>
    <w:p w14:paraId="15A8059E">
      <w:pPr>
        <w:bidi w:val="0"/>
        <w:rPr>
          <w:rFonts w:hint="eastAsia" w:ascii="宋体" w:hAnsi="宋体" w:eastAsia="宋体" w:cs="宋体"/>
          <w:color w:val="auto"/>
          <w:highlight w:val="none"/>
        </w:rPr>
      </w:pPr>
    </w:p>
    <w:p w14:paraId="79D19C89">
      <w:pPr>
        <w:bidi w:val="0"/>
        <w:rPr>
          <w:rFonts w:hint="eastAsia" w:ascii="宋体" w:hAnsi="宋体" w:eastAsia="宋体" w:cs="宋体"/>
          <w:color w:val="auto"/>
          <w:highlight w:val="none"/>
        </w:rPr>
      </w:pPr>
    </w:p>
    <w:p w14:paraId="5FAA15A8">
      <w:pPr>
        <w:bidi w:val="0"/>
        <w:rPr>
          <w:rFonts w:hint="eastAsia" w:ascii="宋体" w:hAnsi="宋体" w:eastAsia="宋体" w:cs="宋体"/>
          <w:color w:val="auto"/>
          <w:highlight w:val="none"/>
        </w:rPr>
      </w:pPr>
    </w:p>
    <w:p w14:paraId="67941292">
      <w:pPr>
        <w:bidi w:val="0"/>
        <w:rPr>
          <w:rFonts w:hint="eastAsia" w:ascii="宋体" w:hAnsi="宋体" w:eastAsia="宋体" w:cs="宋体"/>
          <w:color w:val="auto"/>
          <w:highlight w:val="none"/>
        </w:rPr>
      </w:pPr>
    </w:p>
    <w:p w14:paraId="6315FB1F">
      <w:pPr>
        <w:bidi w:val="0"/>
        <w:rPr>
          <w:rFonts w:hint="eastAsia" w:ascii="宋体" w:hAnsi="宋体" w:eastAsia="宋体" w:cs="宋体"/>
          <w:color w:val="auto"/>
          <w:highlight w:val="none"/>
        </w:rPr>
      </w:pPr>
    </w:p>
    <w:p w14:paraId="3361F52B">
      <w:pPr>
        <w:rPr>
          <w:rFonts w:hint="eastAsia" w:ascii="宋体" w:hAnsi="宋体" w:eastAsia="宋体" w:cs="宋体"/>
          <w:color w:val="auto"/>
          <w:highlight w:val="none"/>
        </w:rPr>
      </w:pPr>
      <w:bookmarkStart w:id="160" w:name="_Toc32025"/>
    </w:p>
    <w:p w14:paraId="02BBDB06">
      <w:pPr>
        <w:pStyle w:val="5"/>
        <w:bidi w:val="0"/>
        <w:jc w:val="both"/>
        <w:rPr>
          <w:rFonts w:hint="eastAsia" w:ascii="宋体" w:hAnsi="宋体" w:eastAsia="宋体" w:cs="宋体"/>
          <w:color w:val="auto"/>
          <w:highlight w:val="none"/>
        </w:rPr>
      </w:pPr>
      <w:bookmarkStart w:id="161" w:name="_Toc19453"/>
      <w:r>
        <w:rPr>
          <w:rFonts w:hint="eastAsia" w:ascii="宋体" w:hAnsi="宋体" w:eastAsia="宋体" w:cs="宋体"/>
          <w:color w:val="auto"/>
          <w:highlight w:val="none"/>
        </w:rPr>
        <w:t>附件12：财务状况、缴纳税收和社会保障资金证明</w:t>
      </w:r>
      <w:bookmarkEnd w:id="160"/>
      <w:bookmarkEnd w:id="161"/>
    </w:p>
    <w:p w14:paraId="0C1C1E56">
      <w:pPr>
        <w:bidi w:val="0"/>
        <w:rPr>
          <w:rFonts w:hint="eastAsia" w:ascii="宋体" w:hAnsi="宋体" w:eastAsia="宋体" w:cs="宋体"/>
          <w:color w:val="auto"/>
          <w:highlight w:val="none"/>
        </w:rPr>
      </w:pPr>
    </w:p>
    <w:p w14:paraId="7F0D1B15">
      <w:pPr>
        <w:bidi w:val="0"/>
        <w:ind w:left="0" w:leftChars="0" w:firstLine="0" w:firstLineChars="0"/>
        <w:jc w:val="center"/>
        <w:rPr>
          <w:rFonts w:hint="eastAsia" w:ascii="宋体" w:hAnsi="宋体" w:eastAsia="宋体" w:cs="宋体"/>
          <w:b/>
          <w:bCs/>
          <w:color w:val="auto"/>
          <w:sz w:val="32"/>
          <w:szCs w:val="32"/>
          <w:highlight w:val="none"/>
          <w:lang w:val="zh-CN"/>
        </w:rPr>
      </w:pPr>
      <w:r>
        <w:rPr>
          <w:rFonts w:hint="eastAsia" w:ascii="宋体" w:hAnsi="宋体" w:eastAsia="宋体" w:cs="宋体"/>
          <w:b/>
          <w:bCs/>
          <w:color w:val="auto"/>
          <w:sz w:val="32"/>
          <w:szCs w:val="32"/>
          <w:highlight w:val="none"/>
          <w:lang w:val="zh-CN"/>
        </w:rPr>
        <w:t>财务状况、缴纳税收和社会保障资金证明</w:t>
      </w:r>
    </w:p>
    <w:p w14:paraId="2600C815">
      <w:pPr>
        <w:bidi w:val="0"/>
        <w:rPr>
          <w:rFonts w:hint="eastAsia" w:ascii="宋体" w:hAnsi="宋体" w:eastAsia="宋体" w:cs="宋体"/>
          <w:color w:val="auto"/>
          <w:highlight w:val="none"/>
        </w:rPr>
      </w:pPr>
      <w:r>
        <w:rPr>
          <w:rFonts w:hint="eastAsia" w:ascii="宋体" w:hAnsi="宋体" w:eastAsia="宋体" w:cs="宋体"/>
          <w:color w:val="auto"/>
          <w:highlight w:val="none"/>
          <w:lang w:val="zh-CN"/>
        </w:rPr>
        <w:t>按照《政府采购法》第22条规定提供以下相关材料：</w:t>
      </w:r>
    </w:p>
    <w:p w14:paraId="525EDCB1">
      <w:pPr>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1、供应商是法人的，提供基本开户银行</w:t>
      </w:r>
      <w:r>
        <w:rPr>
          <w:rFonts w:hint="eastAsia" w:ascii="宋体" w:hAnsi="宋体" w:eastAsia="宋体" w:cs="宋体"/>
          <w:color w:val="auto"/>
          <w:highlight w:val="none"/>
        </w:rPr>
        <w:t>开标前</w:t>
      </w:r>
      <w:r>
        <w:rPr>
          <w:rFonts w:hint="eastAsia" w:ascii="宋体" w:hAnsi="宋体" w:eastAsia="宋体" w:cs="宋体"/>
          <w:color w:val="auto"/>
          <w:highlight w:val="none"/>
          <w:lang w:val="zh-CN"/>
        </w:rPr>
        <w:t>近三个月内出具的资信证明（同时提供基本账户开户许可证或基本账户信息）</w:t>
      </w:r>
      <w:r>
        <w:rPr>
          <w:rFonts w:hint="eastAsia" w:ascii="宋体" w:hAnsi="宋体" w:eastAsia="宋体" w:cs="宋体"/>
          <w:color w:val="auto"/>
          <w:highlight w:val="none"/>
          <w:lang w:val="en-US" w:eastAsia="zh-CN"/>
        </w:rPr>
        <w:t>或</w:t>
      </w:r>
      <w:r>
        <w:rPr>
          <w:rFonts w:hint="eastAsia" w:ascii="宋体" w:hAnsi="宋体" w:cs="宋体"/>
          <w:color w:val="auto"/>
          <w:highlight w:val="none"/>
          <w:lang w:val="en-US" w:eastAsia="zh-CN"/>
        </w:rPr>
        <w:t>2025年度</w:t>
      </w:r>
      <w:r>
        <w:rPr>
          <w:rFonts w:hint="eastAsia" w:ascii="宋体" w:hAnsi="宋体" w:eastAsia="宋体" w:cs="宋体"/>
          <w:color w:val="auto"/>
          <w:highlight w:val="none"/>
        </w:rPr>
        <w:t>经第三方审计的财务状况报告</w:t>
      </w:r>
      <w:r>
        <w:rPr>
          <w:rFonts w:hint="eastAsia" w:ascii="宋体" w:hAnsi="宋体" w:eastAsia="宋体" w:cs="宋体"/>
          <w:color w:val="auto"/>
          <w:highlight w:val="none"/>
          <w:lang w:val="zh-CN"/>
        </w:rPr>
        <w:t>（扫描或复印件应全面、完整、清晰），包括资产负债表、现金流量表、利润表和财务（会计）报表附注</w:t>
      </w:r>
      <w:r>
        <w:rPr>
          <w:rFonts w:hint="eastAsia" w:ascii="宋体" w:hAnsi="宋体" w:eastAsia="宋体" w:cs="宋体"/>
          <w:color w:val="auto"/>
          <w:highlight w:val="none"/>
        </w:rPr>
        <w:t>，</w:t>
      </w:r>
      <w:r>
        <w:rPr>
          <w:rFonts w:hint="eastAsia" w:ascii="宋体" w:hAnsi="宋体" w:eastAsia="宋体" w:cs="宋体"/>
          <w:color w:val="auto"/>
          <w:highlight w:val="none"/>
          <w:lang w:val="zh-CN"/>
        </w:rPr>
        <w:t>并提供第三方机构的营业执照、执业证书、</w:t>
      </w:r>
      <w:r>
        <w:rPr>
          <w:rFonts w:hint="eastAsia" w:ascii="宋体" w:hAnsi="宋体" w:eastAsia="宋体" w:cs="宋体"/>
          <w:color w:val="auto"/>
          <w:highlight w:val="none"/>
        </w:rPr>
        <w:t>注册会计师证书</w:t>
      </w:r>
      <w:r>
        <w:rPr>
          <w:rFonts w:hint="eastAsia" w:ascii="宋体" w:hAnsi="宋体" w:eastAsia="宋体" w:cs="宋体"/>
          <w:color w:val="auto"/>
          <w:highlight w:val="none"/>
          <w:lang w:val="zh-CN"/>
        </w:rPr>
        <w:t>。</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是其他组织和自然人，没有经审计的财务报告，可以提供基本开户银行出具的资信证明（同时提供基本账户开户许可证</w:t>
      </w:r>
      <w:r>
        <w:rPr>
          <w:rFonts w:hint="eastAsia" w:ascii="宋体" w:hAnsi="宋体" w:eastAsia="宋体" w:cs="宋体"/>
          <w:color w:val="auto"/>
          <w:highlight w:val="none"/>
          <w:lang w:val="zh-CN"/>
        </w:rPr>
        <w:t>或基本账户信息</w:t>
      </w:r>
      <w:r>
        <w:rPr>
          <w:rFonts w:hint="eastAsia" w:ascii="宋体" w:hAnsi="宋体" w:eastAsia="宋体" w:cs="宋体"/>
          <w:color w:val="auto"/>
          <w:highlight w:val="none"/>
        </w:rPr>
        <w:t>）。</w:t>
      </w:r>
    </w:p>
    <w:p w14:paraId="7FA4F1C7">
      <w:pPr>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2、开标前近半年内任意三个月的依法缴纳税收</w:t>
      </w:r>
      <w:r>
        <w:rPr>
          <w:rFonts w:hint="eastAsia" w:ascii="宋体" w:hAnsi="宋体" w:cs="宋体"/>
          <w:color w:val="auto"/>
          <w:highlight w:val="none"/>
          <w:lang w:val="zh-CN"/>
        </w:rPr>
        <w:t>(不含个人所得税)</w:t>
      </w:r>
      <w:r>
        <w:rPr>
          <w:rFonts w:hint="eastAsia" w:ascii="宋体" w:hAnsi="宋体" w:eastAsia="宋体" w:cs="宋体"/>
          <w:color w:val="auto"/>
          <w:highlight w:val="none"/>
          <w:lang w:val="zh-CN"/>
        </w:rPr>
        <w:t>和社会保障资金记录的证明材料；依法免税或不需要缴纳社会保障资金的供应商须提供相应文件证明其依法免税或不需要缴纳社会保障资金。（成立时间不足三个月的公司按成立月份提供）</w:t>
      </w:r>
    </w:p>
    <w:p w14:paraId="729A7931">
      <w:pPr>
        <w:bidi w:val="0"/>
        <w:rPr>
          <w:rFonts w:hint="eastAsia" w:ascii="宋体" w:hAnsi="宋体" w:eastAsia="宋体" w:cs="宋体"/>
          <w:color w:val="auto"/>
          <w:highlight w:val="none"/>
        </w:rPr>
      </w:pPr>
    </w:p>
    <w:p w14:paraId="0FE22A42">
      <w:pPr>
        <w:bidi w:val="0"/>
        <w:rPr>
          <w:rFonts w:hint="eastAsia" w:ascii="宋体" w:hAnsi="宋体" w:eastAsia="宋体" w:cs="宋体"/>
          <w:color w:val="auto"/>
          <w:highlight w:val="none"/>
        </w:rPr>
      </w:pPr>
    </w:p>
    <w:p w14:paraId="635D9D4F">
      <w:pPr>
        <w:bidi w:val="0"/>
        <w:rPr>
          <w:rFonts w:hint="eastAsia" w:ascii="宋体" w:hAnsi="宋体" w:eastAsia="宋体" w:cs="宋体"/>
          <w:color w:val="auto"/>
          <w:highlight w:val="none"/>
        </w:rPr>
      </w:pPr>
    </w:p>
    <w:p w14:paraId="2056907F">
      <w:pPr>
        <w:bidi w:val="0"/>
        <w:rPr>
          <w:rFonts w:hint="eastAsia" w:ascii="宋体" w:hAnsi="宋体" w:eastAsia="宋体" w:cs="宋体"/>
          <w:color w:val="auto"/>
          <w:highlight w:val="none"/>
        </w:rPr>
      </w:pPr>
    </w:p>
    <w:p w14:paraId="3361582C">
      <w:pPr>
        <w:bidi w:val="0"/>
        <w:rPr>
          <w:rFonts w:hint="eastAsia" w:ascii="宋体" w:hAnsi="宋体" w:eastAsia="宋体" w:cs="宋体"/>
          <w:color w:val="auto"/>
          <w:highlight w:val="none"/>
        </w:rPr>
      </w:pPr>
    </w:p>
    <w:p w14:paraId="07BB4813">
      <w:pPr>
        <w:bidi w:val="0"/>
        <w:rPr>
          <w:rFonts w:hint="eastAsia" w:ascii="宋体" w:hAnsi="宋体" w:eastAsia="宋体" w:cs="宋体"/>
          <w:color w:val="auto"/>
          <w:highlight w:val="none"/>
        </w:rPr>
      </w:pPr>
    </w:p>
    <w:p w14:paraId="3085D3C5">
      <w:pPr>
        <w:bidi w:val="0"/>
        <w:rPr>
          <w:rFonts w:hint="eastAsia" w:ascii="宋体" w:hAnsi="宋体" w:eastAsia="宋体" w:cs="宋体"/>
          <w:color w:val="auto"/>
          <w:highlight w:val="none"/>
        </w:rPr>
      </w:pPr>
    </w:p>
    <w:p w14:paraId="4BE25CF2">
      <w:pPr>
        <w:bidi w:val="0"/>
        <w:rPr>
          <w:rFonts w:hint="eastAsia" w:ascii="宋体" w:hAnsi="宋体" w:eastAsia="宋体" w:cs="宋体"/>
          <w:color w:val="auto"/>
          <w:highlight w:val="none"/>
        </w:rPr>
      </w:pPr>
    </w:p>
    <w:p w14:paraId="6BD8EAEA">
      <w:pPr>
        <w:bidi w:val="0"/>
        <w:rPr>
          <w:rFonts w:hint="eastAsia" w:ascii="宋体" w:hAnsi="宋体" w:eastAsia="宋体" w:cs="宋体"/>
          <w:color w:val="auto"/>
          <w:highlight w:val="none"/>
        </w:rPr>
      </w:pPr>
    </w:p>
    <w:p w14:paraId="0662A7DD">
      <w:pPr>
        <w:bidi w:val="0"/>
        <w:rPr>
          <w:rFonts w:hint="eastAsia" w:ascii="宋体" w:hAnsi="宋体" w:eastAsia="宋体" w:cs="宋体"/>
          <w:color w:val="auto"/>
          <w:highlight w:val="none"/>
        </w:rPr>
      </w:pPr>
    </w:p>
    <w:p w14:paraId="5D41E82D">
      <w:pPr>
        <w:bidi w:val="0"/>
        <w:rPr>
          <w:rFonts w:hint="eastAsia" w:ascii="宋体" w:hAnsi="宋体" w:eastAsia="宋体" w:cs="宋体"/>
          <w:color w:val="auto"/>
          <w:highlight w:val="none"/>
        </w:rPr>
      </w:pPr>
      <w:bookmarkStart w:id="162" w:name="_Toc26496"/>
    </w:p>
    <w:p w14:paraId="2AA40304">
      <w:pP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p>
    <w:p w14:paraId="78E5156D">
      <w:pPr>
        <w:pStyle w:val="5"/>
        <w:bidi w:val="0"/>
        <w:jc w:val="both"/>
        <w:rPr>
          <w:rFonts w:hint="eastAsia" w:ascii="宋体" w:hAnsi="宋体" w:eastAsia="宋体" w:cs="宋体"/>
          <w:smallCaps/>
          <w:color w:val="auto"/>
          <w:spacing w:val="20"/>
          <w:kern w:val="2"/>
          <w:sz w:val="28"/>
          <w:szCs w:val="28"/>
          <w:highlight w:val="none"/>
          <w:lang w:val="zh-CN"/>
        </w:rPr>
      </w:pPr>
      <w:bookmarkStart w:id="163" w:name="_Toc8894"/>
      <w:r>
        <w:rPr>
          <w:rFonts w:hint="eastAsia" w:ascii="宋体" w:hAnsi="宋体" w:eastAsia="宋体" w:cs="宋体"/>
          <w:color w:val="auto"/>
          <w:sz w:val="28"/>
          <w:szCs w:val="28"/>
          <w:highlight w:val="none"/>
        </w:rPr>
        <w:t>附件</w:t>
      </w:r>
      <w:r>
        <w:rPr>
          <w:rFonts w:hint="eastAsia" w:ascii="宋体" w:hAnsi="宋体" w:eastAsia="宋体" w:cs="宋体"/>
          <w:smallCaps/>
          <w:color w:val="auto"/>
          <w:spacing w:val="20"/>
          <w:kern w:val="2"/>
          <w:sz w:val="28"/>
          <w:szCs w:val="28"/>
          <w:highlight w:val="none"/>
        </w:rPr>
        <w:t>13：</w:t>
      </w:r>
      <w:bookmarkEnd w:id="162"/>
      <w:r>
        <w:rPr>
          <w:rFonts w:hint="eastAsia" w:ascii="宋体" w:hAnsi="宋体" w:eastAsia="宋体" w:cs="宋体"/>
          <w:smallCaps/>
          <w:color w:val="auto"/>
          <w:spacing w:val="20"/>
          <w:kern w:val="2"/>
          <w:sz w:val="28"/>
          <w:szCs w:val="28"/>
          <w:highlight w:val="none"/>
          <w:lang w:val="zh-CN"/>
        </w:rPr>
        <w:t>具备履行合同所必须的设备和专业技术能力证明</w:t>
      </w:r>
      <w:bookmarkEnd w:id="163"/>
    </w:p>
    <w:p w14:paraId="7CFE1EB4">
      <w:pPr>
        <w:bidi w:val="0"/>
        <w:rPr>
          <w:rFonts w:hint="eastAsia" w:ascii="宋体" w:hAnsi="宋体" w:eastAsia="宋体" w:cs="宋体"/>
          <w:color w:val="auto"/>
          <w:highlight w:val="none"/>
          <w:lang w:val="zh-CN"/>
        </w:rPr>
      </w:pPr>
    </w:p>
    <w:p w14:paraId="42F8ECE3">
      <w:pPr>
        <w:bidi w:val="0"/>
        <w:ind w:left="0" w:leftChars="0" w:firstLine="0" w:firstLineChars="0"/>
        <w:jc w:val="center"/>
        <w:rPr>
          <w:rFonts w:hint="eastAsia" w:ascii="宋体" w:hAnsi="宋体" w:eastAsia="宋体" w:cs="宋体"/>
          <w:b/>
          <w:bCs/>
          <w:color w:val="auto"/>
          <w:sz w:val="32"/>
          <w:szCs w:val="32"/>
          <w:highlight w:val="none"/>
          <w:lang w:val="zh-CN"/>
        </w:rPr>
      </w:pPr>
      <w:r>
        <w:rPr>
          <w:rFonts w:hint="eastAsia" w:ascii="宋体" w:hAnsi="宋体" w:eastAsia="宋体" w:cs="宋体"/>
          <w:b/>
          <w:bCs/>
          <w:color w:val="auto"/>
          <w:sz w:val="32"/>
          <w:szCs w:val="32"/>
          <w:highlight w:val="none"/>
          <w:lang w:val="zh-CN"/>
        </w:rPr>
        <w:t>具备履行合同所必须的设备和专业技术能力证明</w:t>
      </w:r>
    </w:p>
    <w:p w14:paraId="2577C857">
      <w:pPr>
        <w:bidi w:val="0"/>
        <w:rPr>
          <w:rFonts w:hint="eastAsia" w:ascii="宋体" w:hAnsi="宋体" w:eastAsia="宋体" w:cs="宋体"/>
          <w:color w:val="auto"/>
          <w:highlight w:val="none"/>
          <w:lang w:val="zh-CN"/>
        </w:rPr>
      </w:pPr>
    </w:p>
    <w:p w14:paraId="2CA6716F">
      <w:pPr>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为保证本项目合同的顺利履行，供应商必须具备履行合同的设备和专业技术能力，须提供必须具备履行合同的设备和专业技术能力的承诺函（格式自拟）或提供相关设备的购置发票或相关人员的职称证书、用工合同等证明材料。</w:t>
      </w:r>
    </w:p>
    <w:p w14:paraId="0488F0FF">
      <w:pPr>
        <w:bidi w:val="0"/>
        <w:rPr>
          <w:rFonts w:hint="eastAsia" w:ascii="宋体" w:hAnsi="宋体" w:eastAsia="宋体" w:cs="宋体"/>
          <w:color w:val="auto"/>
          <w:highlight w:val="none"/>
          <w:lang w:val="zh-CN"/>
        </w:rPr>
      </w:pPr>
    </w:p>
    <w:p w14:paraId="417D8F85">
      <w:pPr>
        <w:bidi w:val="0"/>
        <w:rPr>
          <w:rFonts w:hint="eastAsia" w:ascii="宋体" w:hAnsi="宋体" w:eastAsia="宋体" w:cs="宋体"/>
          <w:color w:val="auto"/>
          <w:highlight w:val="none"/>
          <w:lang w:val="zh-CN" w:eastAsia="zh-CN"/>
        </w:rPr>
        <w:sectPr>
          <w:headerReference r:id="rId12" w:type="first"/>
          <w:footerReference r:id="rId15" w:type="first"/>
          <w:headerReference r:id="rId10" w:type="default"/>
          <w:footerReference r:id="rId13" w:type="default"/>
          <w:headerReference r:id="rId11" w:type="even"/>
          <w:footerReference r:id="rId14" w:type="even"/>
          <w:pgSz w:w="11849" w:h="16781"/>
          <w:pgMar w:top="1440" w:right="1800" w:bottom="1440" w:left="1800" w:header="624" w:footer="992" w:gutter="0"/>
          <w:pgNumType w:start="1"/>
          <w:cols w:space="720" w:num="1"/>
          <w:docGrid w:linePitch="397" w:charSpace="0"/>
        </w:sectPr>
      </w:pPr>
    </w:p>
    <w:p w14:paraId="23A70246">
      <w:pPr>
        <w:pStyle w:val="5"/>
        <w:bidi w:val="0"/>
        <w:jc w:val="both"/>
        <w:rPr>
          <w:rFonts w:hint="eastAsia" w:ascii="宋体" w:hAnsi="宋体" w:eastAsia="宋体" w:cs="宋体"/>
          <w:color w:val="auto"/>
          <w:highlight w:val="none"/>
        </w:rPr>
      </w:pPr>
      <w:bookmarkStart w:id="164" w:name="_Toc1842"/>
      <w:r>
        <w:rPr>
          <w:rFonts w:hint="eastAsia" w:ascii="宋体" w:hAnsi="宋体" w:eastAsia="宋体" w:cs="宋体"/>
          <w:color w:val="auto"/>
          <w:highlight w:val="none"/>
        </w:rPr>
        <w:t>附件14：无重大违法记录声明</w:t>
      </w:r>
      <w:bookmarkEnd w:id="164"/>
    </w:p>
    <w:p w14:paraId="0E28934A">
      <w:pPr>
        <w:bidi w:val="0"/>
        <w:rPr>
          <w:rFonts w:hint="eastAsia" w:ascii="宋体" w:hAnsi="宋体" w:eastAsia="宋体" w:cs="宋体"/>
          <w:color w:val="auto"/>
          <w:highlight w:val="none"/>
        </w:rPr>
      </w:pPr>
    </w:p>
    <w:p w14:paraId="3829B9FA">
      <w:pPr>
        <w:bidi w:val="0"/>
        <w:ind w:left="0" w:leftChars="0" w:firstLine="0" w:firstLineChars="0"/>
        <w:jc w:val="center"/>
        <w:rPr>
          <w:rFonts w:hint="eastAsia" w:ascii="宋体" w:hAnsi="宋体" w:eastAsia="宋体" w:cs="宋体"/>
          <w:b/>
          <w:bCs/>
          <w:color w:val="auto"/>
          <w:sz w:val="32"/>
          <w:szCs w:val="32"/>
          <w:highlight w:val="none"/>
          <w:lang w:val="zh-CN"/>
        </w:rPr>
      </w:pPr>
      <w:r>
        <w:rPr>
          <w:rFonts w:hint="eastAsia" w:ascii="宋体" w:hAnsi="宋体" w:eastAsia="宋体" w:cs="宋体"/>
          <w:b/>
          <w:bCs/>
          <w:color w:val="auto"/>
          <w:sz w:val="32"/>
          <w:szCs w:val="32"/>
          <w:highlight w:val="none"/>
          <w:lang w:val="zh-CN"/>
        </w:rPr>
        <w:t>无重大违法记录声明</w:t>
      </w:r>
    </w:p>
    <w:p w14:paraId="214DA379">
      <w:pPr>
        <w:bidi w:val="0"/>
        <w:ind w:left="0" w:leftChars="0" w:firstLine="0" w:firstLineChars="0"/>
        <w:rPr>
          <w:rFonts w:hint="eastAsia" w:ascii="宋体" w:hAnsi="宋体" w:eastAsia="宋体" w:cs="宋体"/>
          <w:b/>
          <w:bCs/>
          <w:color w:val="auto"/>
          <w:highlight w:val="none"/>
        </w:rPr>
      </w:pPr>
      <w:r>
        <w:rPr>
          <w:rFonts w:hint="eastAsia" w:ascii="宋体" w:hAnsi="宋体" w:eastAsia="宋体" w:cs="宋体"/>
          <w:b/>
          <w:bCs/>
          <w:color w:val="auto"/>
          <w:highlight w:val="none"/>
        </w:rPr>
        <w:t>致：青海联祥招标代理有限公司</w:t>
      </w:r>
    </w:p>
    <w:p w14:paraId="291722B6">
      <w:pPr>
        <w:bidi w:val="0"/>
        <w:rPr>
          <w:rFonts w:hint="eastAsia" w:ascii="宋体" w:hAnsi="宋体" w:eastAsia="宋体" w:cs="宋体"/>
          <w:color w:val="auto"/>
          <w:highlight w:val="none"/>
          <w:lang w:val="zh-CN"/>
        </w:rPr>
      </w:pPr>
      <w:r>
        <w:rPr>
          <w:rFonts w:hint="eastAsia" w:ascii="宋体" w:hAnsi="宋体" w:eastAsia="宋体" w:cs="宋体"/>
          <w:color w:val="auto"/>
          <w:highlight w:val="none"/>
        </w:rPr>
        <w:t>提供参加政府采购活动前3年内在经营活动中没有重大违法记录的书面声明（格式可自定）。</w:t>
      </w:r>
    </w:p>
    <w:p w14:paraId="154A6A81">
      <w:pPr>
        <w:tabs>
          <w:tab w:val="left" w:pos="168"/>
        </w:tabs>
        <w:adjustRightInd w:val="0"/>
        <w:textAlignment w:val="baseline"/>
        <w:rPr>
          <w:rFonts w:hint="eastAsia" w:ascii="宋体" w:hAnsi="宋体" w:eastAsia="宋体" w:cs="宋体"/>
          <w:b/>
          <w:bCs/>
          <w:color w:val="auto"/>
          <w:highlight w:val="none"/>
        </w:rPr>
      </w:pPr>
    </w:p>
    <w:p w14:paraId="68A2468A">
      <w:pPr>
        <w:tabs>
          <w:tab w:val="left" w:pos="168"/>
        </w:tabs>
        <w:adjustRightInd w:val="0"/>
        <w:textAlignment w:val="baseline"/>
        <w:rPr>
          <w:rFonts w:hint="eastAsia" w:ascii="宋体" w:hAnsi="宋体" w:eastAsia="宋体" w:cs="宋体"/>
          <w:b/>
          <w:bCs/>
          <w:color w:val="auto"/>
          <w:highlight w:val="none"/>
        </w:rPr>
      </w:pPr>
    </w:p>
    <w:p w14:paraId="6EA2175E">
      <w:pPr>
        <w:tabs>
          <w:tab w:val="left" w:pos="168"/>
        </w:tabs>
        <w:adjustRightInd w:val="0"/>
        <w:textAlignment w:val="baseline"/>
        <w:rPr>
          <w:rFonts w:hint="eastAsia" w:ascii="宋体" w:hAnsi="宋体" w:eastAsia="宋体" w:cs="宋体"/>
          <w:b/>
          <w:bCs/>
          <w:color w:val="auto"/>
          <w:highlight w:val="none"/>
        </w:rPr>
      </w:pPr>
    </w:p>
    <w:p w14:paraId="5E4408B6">
      <w:pPr>
        <w:bidi w:val="0"/>
        <w:jc w:val="center"/>
        <w:rPr>
          <w:rFonts w:hint="eastAsia" w:ascii="宋体" w:hAnsi="宋体" w:eastAsia="宋体" w:cs="宋体"/>
          <w:b/>
          <w:bCs/>
          <w:color w:val="auto"/>
          <w:highlight w:val="none"/>
          <w:lang w:val="zh-CN"/>
        </w:rPr>
      </w:pPr>
      <w:r>
        <w:rPr>
          <w:rFonts w:hint="eastAsia" w:ascii="宋体" w:hAnsi="宋体" w:eastAsia="宋体" w:cs="宋体"/>
          <w:b/>
          <w:bCs/>
          <w:color w:val="auto"/>
          <w:highlight w:val="none"/>
          <w:lang w:val="zh-CN"/>
        </w:rPr>
        <w:t>供应商：</w:t>
      </w:r>
      <w:r>
        <w:rPr>
          <w:rFonts w:hint="eastAsia" w:ascii="宋体" w:hAnsi="宋体" w:eastAsia="宋体" w:cs="宋体"/>
          <w:b/>
          <w:bCs/>
          <w:color w:val="auto"/>
          <w:highlight w:val="none"/>
          <w:lang w:val="en-US" w:eastAsia="zh-CN"/>
        </w:rPr>
        <w:t xml:space="preserve">            </w:t>
      </w:r>
      <w:r>
        <w:rPr>
          <w:rFonts w:hint="eastAsia" w:ascii="宋体" w:hAnsi="宋体" w:eastAsia="宋体" w:cs="宋体"/>
          <w:b/>
          <w:bCs/>
          <w:color w:val="auto"/>
          <w:highlight w:val="none"/>
          <w:lang w:val="zh-CN"/>
        </w:rPr>
        <w:t>（公章）</w:t>
      </w:r>
    </w:p>
    <w:p w14:paraId="6E297395">
      <w:pPr>
        <w:bidi w:val="0"/>
        <w:jc w:val="center"/>
        <w:rPr>
          <w:rFonts w:hint="eastAsia" w:ascii="宋体" w:hAnsi="宋体" w:eastAsia="宋体" w:cs="宋体"/>
          <w:b/>
          <w:bCs/>
          <w:color w:val="auto"/>
          <w:highlight w:val="none"/>
          <w:lang w:val="zh-CN"/>
        </w:rPr>
      </w:pPr>
      <w:r>
        <w:rPr>
          <w:rFonts w:hint="eastAsia" w:ascii="宋体" w:hAnsi="宋体" w:eastAsia="宋体" w:cs="宋体"/>
          <w:b/>
          <w:bCs/>
          <w:color w:val="auto"/>
          <w:highlight w:val="none"/>
          <w:lang w:val="zh-CN"/>
        </w:rPr>
        <w:t>法定代表人或委托代理人：</w:t>
      </w:r>
      <w:r>
        <w:rPr>
          <w:rFonts w:hint="eastAsia" w:ascii="宋体" w:hAnsi="宋体" w:eastAsia="宋体" w:cs="宋体"/>
          <w:b/>
          <w:bCs/>
          <w:color w:val="auto"/>
          <w:highlight w:val="none"/>
          <w:lang w:val="en-US" w:eastAsia="zh-CN"/>
        </w:rPr>
        <w:t xml:space="preserve">     </w:t>
      </w:r>
      <w:r>
        <w:rPr>
          <w:rFonts w:hint="eastAsia" w:ascii="宋体" w:hAnsi="宋体" w:eastAsia="宋体" w:cs="宋体"/>
          <w:b/>
          <w:bCs/>
          <w:color w:val="auto"/>
          <w:highlight w:val="none"/>
          <w:lang w:val="zh-CN"/>
        </w:rPr>
        <w:t>（签字或盖章）</w:t>
      </w:r>
    </w:p>
    <w:p w14:paraId="5EE2C8B0">
      <w:pPr>
        <w:bidi w:val="0"/>
        <w:jc w:val="center"/>
        <w:rPr>
          <w:rFonts w:hint="eastAsia" w:ascii="宋体" w:hAnsi="宋体" w:eastAsia="宋体" w:cs="宋体"/>
          <w:b/>
          <w:bCs/>
          <w:color w:val="auto"/>
          <w:highlight w:val="none"/>
          <w:lang w:val="zh-CN"/>
        </w:rPr>
      </w:pPr>
      <w:r>
        <w:rPr>
          <w:rFonts w:hint="eastAsia" w:ascii="宋体" w:hAnsi="宋体" w:eastAsia="宋体" w:cs="宋体"/>
          <w:b/>
          <w:bCs/>
          <w:color w:val="auto"/>
          <w:highlight w:val="none"/>
          <w:lang w:val="zh-CN"/>
        </w:rPr>
        <w:t>年</w:t>
      </w:r>
      <w:r>
        <w:rPr>
          <w:rFonts w:hint="eastAsia" w:ascii="宋体" w:hAnsi="宋体" w:eastAsia="宋体" w:cs="宋体"/>
          <w:b/>
          <w:bCs/>
          <w:color w:val="auto"/>
          <w:highlight w:val="none"/>
          <w:lang w:val="en-US" w:eastAsia="zh-CN"/>
        </w:rPr>
        <w:t xml:space="preserve">  </w:t>
      </w:r>
      <w:r>
        <w:rPr>
          <w:rFonts w:hint="eastAsia" w:ascii="宋体" w:hAnsi="宋体" w:eastAsia="宋体" w:cs="宋体"/>
          <w:b/>
          <w:bCs/>
          <w:color w:val="auto"/>
          <w:highlight w:val="none"/>
          <w:lang w:val="zh-CN"/>
        </w:rPr>
        <w:t xml:space="preserve"> 月 </w:t>
      </w:r>
      <w:r>
        <w:rPr>
          <w:rFonts w:hint="eastAsia" w:ascii="宋体" w:hAnsi="宋体" w:eastAsia="宋体" w:cs="宋体"/>
          <w:b/>
          <w:bCs/>
          <w:color w:val="auto"/>
          <w:highlight w:val="none"/>
          <w:lang w:val="en-US" w:eastAsia="zh-CN"/>
        </w:rPr>
        <w:t xml:space="preserve">  </w:t>
      </w:r>
      <w:r>
        <w:rPr>
          <w:rFonts w:hint="eastAsia" w:ascii="宋体" w:hAnsi="宋体" w:eastAsia="宋体" w:cs="宋体"/>
          <w:b/>
          <w:bCs/>
          <w:color w:val="auto"/>
          <w:highlight w:val="none"/>
          <w:lang w:val="zh-CN"/>
        </w:rPr>
        <w:t>日</w:t>
      </w:r>
    </w:p>
    <w:p w14:paraId="36568A74">
      <w:pPr>
        <w:tabs>
          <w:tab w:val="left" w:pos="168"/>
        </w:tabs>
        <w:adjustRightInd w:val="0"/>
        <w:textAlignment w:val="baseline"/>
        <w:rPr>
          <w:rFonts w:hint="eastAsia" w:ascii="宋体" w:hAnsi="宋体" w:eastAsia="宋体" w:cs="宋体"/>
          <w:color w:val="auto"/>
          <w:highlight w:val="none"/>
        </w:rPr>
      </w:pPr>
    </w:p>
    <w:p w14:paraId="10829891">
      <w:pPr>
        <w:tabs>
          <w:tab w:val="left" w:pos="168"/>
        </w:tabs>
        <w:adjustRightInd w:val="0"/>
        <w:textAlignment w:val="baseline"/>
        <w:rPr>
          <w:rFonts w:hint="eastAsia" w:ascii="宋体" w:hAnsi="宋体" w:eastAsia="宋体" w:cs="宋体"/>
          <w:b/>
          <w:bCs/>
          <w:color w:val="auto"/>
          <w:highlight w:val="none"/>
        </w:rPr>
      </w:pPr>
    </w:p>
    <w:p w14:paraId="658232E6">
      <w:pPr>
        <w:tabs>
          <w:tab w:val="left" w:pos="168"/>
        </w:tabs>
        <w:adjustRightInd w:val="0"/>
        <w:textAlignment w:val="baseline"/>
        <w:rPr>
          <w:rFonts w:hint="eastAsia" w:ascii="宋体" w:hAnsi="宋体" w:eastAsia="宋体" w:cs="宋体"/>
          <w:b/>
          <w:bCs/>
          <w:color w:val="auto"/>
          <w:highlight w:val="none"/>
        </w:rPr>
      </w:pPr>
    </w:p>
    <w:p w14:paraId="23074260">
      <w:pPr>
        <w:tabs>
          <w:tab w:val="left" w:pos="168"/>
        </w:tabs>
        <w:adjustRightInd w:val="0"/>
        <w:textAlignment w:val="baseline"/>
        <w:rPr>
          <w:rFonts w:hint="eastAsia" w:ascii="宋体" w:hAnsi="宋体" w:eastAsia="宋体" w:cs="宋体"/>
          <w:b/>
          <w:bCs/>
          <w:color w:val="auto"/>
          <w:highlight w:val="none"/>
        </w:rPr>
      </w:pPr>
    </w:p>
    <w:p w14:paraId="1A05B151">
      <w:pPr>
        <w:tabs>
          <w:tab w:val="left" w:pos="168"/>
        </w:tabs>
        <w:adjustRightInd w:val="0"/>
        <w:textAlignment w:val="baseline"/>
        <w:rPr>
          <w:rFonts w:hint="eastAsia" w:ascii="宋体" w:hAnsi="宋体" w:eastAsia="宋体" w:cs="宋体"/>
          <w:b/>
          <w:bCs/>
          <w:color w:val="auto"/>
          <w:highlight w:val="none"/>
        </w:rPr>
      </w:pPr>
    </w:p>
    <w:p w14:paraId="68E1A57E">
      <w:pPr>
        <w:tabs>
          <w:tab w:val="left" w:pos="168"/>
        </w:tabs>
        <w:adjustRightInd w:val="0"/>
        <w:textAlignment w:val="baseline"/>
        <w:rPr>
          <w:rFonts w:hint="eastAsia" w:ascii="宋体" w:hAnsi="宋体" w:eastAsia="宋体" w:cs="宋体"/>
          <w:b/>
          <w:bCs/>
          <w:color w:val="auto"/>
          <w:highlight w:val="none"/>
        </w:rPr>
      </w:pPr>
    </w:p>
    <w:p w14:paraId="7A4EBA9F">
      <w:pPr>
        <w:bidi w:val="0"/>
        <w:rPr>
          <w:rFonts w:hint="eastAsia" w:ascii="宋体" w:hAnsi="宋体" w:eastAsia="宋体" w:cs="宋体"/>
          <w:color w:val="auto"/>
          <w:highlight w:val="none"/>
        </w:rPr>
      </w:pPr>
      <w:bookmarkStart w:id="165" w:name="_Toc22940"/>
    </w:p>
    <w:p w14:paraId="7645F78B">
      <w:pP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p>
    <w:p w14:paraId="0DDC9B7D">
      <w:pPr>
        <w:pStyle w:val="5"/>
        <w:bidi w:val="0"/>
        <w:jc w:val="both"/>
        <w:rPr>
          <w:rFonts w:hint="eastAsia" w:ascii="宋体" w:hAnsi="宋体" w:eastAsia="宋体" w:cs="宋体"/>
          <w:color w:val="auto"/>
          <w:highlight w:val="none"/>
        </w:rPr>
      </w:pPr>
      <w:bookmarkStart w:id="166" w:name="_Toc30685"/>
      <w:r>
        <w:rPr>
          <w:rFonts w:hint="eastAsia" w:ascii="宋体" w:hAnsi="宋体" w:eastAsia="宋体" w:cs="宋体"/>
          <w:color w:val="auto"/>
          <w:highlight w:val="none"/>
        </w:rPr>
        <w:t>附件15：</w:t>
      </w:r>
      <w:bookmarkEnd w:id="165"/>
      <w:r>
        <w:rPr>
          <w:rFonts w:hint="eastAsia" w:ascii="宋体" w:hAnsi="宋体" w:eastAsia="宋体" w:cs="宋体"/>
          <w:color w:val="auto"/>
          <w:highlight w:val="none"/>
        </w:rPr>
        <w:t>类似业绩证明材料</w:t>
      </w:r>
      <w:bookmarkEnd w:id="166"/>
    </w:p>
    <w:p w14:paraId="5D9A7746">
      <w:pPr>
        <w:bidi w:val="0"/>
        <w:ind w:left="0" w:leftChars="0" w:firstLine="0" w:firstLineChars="0"/>
        <w:jc w:val="center"/>
        <w:rPr>
          <w:rFonts w:hint="eastAsia" w:ascii="宋体" w:hAnsi="宋体" w:eastAsia="宋体" w:cs="宋体"/>
          <w:b/>
          <w:bCs/>
          <w:color w:val="auto"/>
          <w:sz w:val="32"/>
          <w:szCs w:val="32"/>
          <w:highlight w:val="none"/>
          <w:lang w:val="zh-CN"/>
        </w:rPr>
      </w:pPr>
      <w:r>
        <w:rPr>
          <w:rFonts w:hint="eastAsia" w:ascii="宋体" w:hAnsi="宋体" w:eastAsia="宋体" w:cs="宋体"/>
          <w:b/>
          <w:bCs/>
          <w:color w:val="auto"/>
          <w:sz w:val="32"/>
          <w:szCs w:val="32"/>
          <w:highlight w:val="none"/>
          <w:lang w:val="zh-CN"/>
        </w:rPr>
        <w:t>类似业绩证明材料</w:t>
      </w:r>
    </w:p>
    <w:p w14:paraId="31D898DF">
      <w:pPr>
        <w:bidi w:val="0"/>
        <w:rPr>
          <w:rFonts w:hint="eastAsia" w:ascii="宋体" w:hAnsi="宋体" w:eastAsia="宋体" w:cs="宋体"/>
          <w:color w:val="auto"/>
          <w:highlight w:val="none"/>
        </w:rPr>
      </w:pPr>
    </w:p>
    <w:p w14:paraId="0FB2FDCF">
      <w:pPr>
        <w:bidi w:val="0"/>
        <w:rPr>
          <w:rFonts w:hint="eastAsia" w:ascii="宋体" w:hAnsi="宋体" w:eastAsia="宋体" w:cs="宋体"/>
          <w:color w:val="auto"/>
          <w:highlight w:val="none"/>
          <w:lang w:eastAsia="zh-CN"/>
        </w:rPr>
      </w:pPr>
      <w:r>
        <w:rPr>
          <w:rFonts w:hint="eastAsia" w:ascii="宋体" w:hAnsi="宋体" w:eastAsia="宋体" w:cs="宋体"/>
          <w:color w:val="auto"/>
          <w:highlight w:val="none"/>
        </w:rPr>
        <w:t>提供</w:t>
      </w:r>
      <w:r>
        <w:rPr>
          <w:rFonts w:hint="eastAsia" w:ascii="宋体" w:hAnsi="Cambria" w:eastAsia="宋体" w:cs="宋体"/>
          <w:color w:val="auto"/>
          <w:kern w:val="0"/>
          <w:sz w:val="24"/>
          <w:szCs w:val="22"/>
          <w:highlight w:val="none"/>
          <w:lang w:val="zh-CN" w:eastAsia="zh-CN" w:bidi="ar-SA"/>
        </w:rPr>
        <w:t xml:space="preserve"> 20</w:t>
      </w:r>
      <w:r>
        <w:rPr>
          <w:rFonts w:hint="eastAsia" w:ascii="宋体" w:hAnsi="Cambria" w:cs="宋体"/>
          <w:color w:val="auto"/>
          <w:kern w:val="0"/>
          <w:sz w:val="24"/>
          <w:szCs w:val="22"/>
          <w:highlight w:val="none"/>
          <w:lang w:val="en-US" w:eastAsia="zh-CN" w:bidi="ar-SA"/>
        </w:rPr>
        <w:t>23</w:t>
      </w:r>
      <w:r>
        <w:rPr>
          <w:rFonts w:hint="eastAsia" w:ascii="宋体" w:hAnsi="Cambria" w:eastAsia="宋体" w:cs="宋体"/>
          <w:color w:val="auto"/>
          <w:kern w:val="0"/>
          <w:sz w:val="24"/>
          <w:szCs w:val="22"/>
          <w:highlight w:val="none"/>
          <w:lang w:val="zh-CN" w:eastAsia="zh-CN" w:bidi="ar-SA"/>
        </w:rPr>
        <w:t>年</w:t>
      </w:r>
      <w:r>
        <w:rPr>
          <w:rFonts w:hint="eastAsia" w:ascii="宋体" w:hAnsi="Cambria" w:cs="宋体"/>
          <w:color w:val="auto"/>
          <w:kern w:val="0"/>
          <w:sz w:val="24"/>
          <w:szCs w:val="22"/>
          <w:highlight w:val="none"/>
          <w:lang w:val="en-US" w:eastAsia="zh-CN" w:bidi="ar-SA"/>
        </w:rPr>
        <w:t>1月1日</w:t>
      </w:r>
      <w:r>
        <w:rPr>
          <w:rFonts w:hint="eastAsia" w:ascii="宋体" w:hAnsi="Cambria" w:eastAsia="宋体" w:cs="宋体"/>
          <w:color w:val="auto"/>
          <w:kern w:val="0"/>
          <w:sz w:val="24"/>
          <w:szCs w:val="22"/>
          <w:highlight w:val="none"/>
          <w:lang w:val="zh-CN" w:eastAsia="zh-CN" w:bidi="ar-SA"/>
        </w:rPr>
        <w:t>以来的</w:t>
      </w:r>
      <w:r>
        <w:rPr>
          <w:rFonts w:hint="eastAsia" w:ascii="宋体" w:hAnsi="宋体" w:eastAsia="宋体" w:cs="宋体"/>
          <w:color w:val="auto"/>
          <w:highlight w:val="none"/>
        </w:rPr>
        <w:t>类似业绩证明材料（</w:t>
      </w:r>
      <w:r>
        <w:rPr>
          <w:rFonts w:hint="eastAsia" w:ascii="宋体" w:hAnsi="宋体" w:cs="宋体"/>
          <w:spacing w:val="1"/>
          <w:sz w:val="24"/>
          <w:szCs w:val="24"/>
          <w:highlight w:val="none"/>
          <w:lang w:val="en-US" w:eastAsia="zh-CN"/>
        </w:rPr>
        <w:t>合同(以合同签订时间为准)，合同</w:t>
      </w:r>
      <w:r>
        <w:rPr>
          <w:rFonts w:hint="eastAsia" w:ascii="宋体" w:hAnsi="宋体" w:cs="宋体"/>
          <w:spacing w:val="1"/>
          <w:sz w:val="24"/>
          <w:szCs w:val="24"/>
          <w:highlight w:val="none"/>
          <w:lang w:val="zh-CN"/>
        </w:rPr>
        <w:t>需提供包含合同首页、标的及金额所在页、签字盖章页的合同复印(扫描)件</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w:t>
      </w:r>
    </w:p>
    <w:p w14:paraId="674AE499">
      <w:pPr>
        <w:bidi w:val="0"/>
        <w:rPr>
          <w:rFonts w:hint="eastAsia" w:ascii="宋体" w:hAnsi="宋体" w:eastAsia="宋体" w:cs="宋体"/>
          <w:color w:val="auto"/>
          <w:highlight w:val="none"/>
        </w:rPr>
      </w:pPr>
    </w:p>
    <w:p w14:paraId="378D10CD">
      <w:pPr>
        <w:bidi w:val="0"/>
        <w:rPr>
          <w:rFonts w:hint="eastAsia" w:ascii="宋体" w:hAnsi="宋体" w:eastAsia="宋体" w:cs="宋体"/>
          <w:color w:val="auto"/>
          <w:highlight w:val="none"/>
        </w:rPr>
      </w:pPr>
    </w:p>
    <w:p w14:paraId="0D581EDC">
      <w:pPr>
        <w:bidi w:val="0"/>
        <w:rPr>
          <w:rFonts w:hint="eastAsia" w:ascii="宋体" w:hAnsi="宋体" w:eastAsia="宋体" w:cs="宋体"/>
          <w:color w:val="auto"/>
          <w:highlight w:val="none"/>
        </w:rPr>
      </w:pPr>
    </w:p>
    <w:p w14:paraId="180AAF2A">
      <w:pPr>
        <w:bidi w:val="0"/>
        <w:rPr>
          <w:rFonts w:hint="eastAsia" w:ascii="宋体" w:hAnsi="宋体" w:eastAsia="宋体" w:cs="宋体"/>
          <w:color w:val="auto"/>
          <w:highlight w:val="none"/>
        </w:rPr>
      </w:pPr>
    </w:p>
    <w:p w14:paraId="2659275A">
      <w:pPr>
        <w:bidi w:val="0"/>
        <w:rPr>
          <w:rFonts w:hint="eastAsia" w:ascii="宋体" w:hAnsi="宋体" w:eastAsia="宋体" w:cs="宋体"/>
          <w:color w:val="auto"/>
          <w:highlight w:val="none"/>
        </w:rPr>
      </w:pPr>
    </w:p>
    <w:p w14:paraId="7DCFB0DC">
      <w:pPr>
        <w:bidi w:val="0"/>
        <w:rPr>
          <w:rFonts w:hint="eastAsia" w:ascii="宋体" w:hAnsi="宋体" w:eastAsia="宋体" w:cs="宋体"/>
          <w:color w:val="auto"/>
          <w:highlight w:val="none"/>
        </w:rPr>
      </w:pPr>
    </w:p>
    <w:p w14:paraId="487B40D9">
      <w:pPr>
        <w:bidi w:val="0"/>
        <w:rPr>
          <w:rFonts w:hint="eastAsia" w:ascii="宋体" w:hAnsi="宋体" w:eastAsia="宋体" w:cs="宋体"/>
          <w:color w:val="auto"/>
          <w:highlight w:val="none"/>
        </w:rPr>
      </w:pPr>
    </w:p>
    <w:p w14:paraId="7097E347">
      <w:pPr>
        <w:bidi w:val="0"/>
        <w:rPr>
          <w:rFonts w:hint="eastAsia" w:ascii="宋体" w:hAnsi="宋体" w:eastAsia="宋体" w:cs="宋体"/>
          <w:color w:val="auto"/>
          <w:highlight w:val="none"/>
        </w:rPr>
      </w:pPr>
    </w:p>
    <w:p w14:paraId="3D7AFD06">
      <w:pPr>
        <w:bidi w:val="0"/>
        <w:rPr>
          <w:rFonts w:hint="eastAsia" w:ascii="宋体" w:hAnsi="宋体" w:eastAsia="宋体" w:cs="宋体"/>
          <w:color w:val="auto"/>
          <w:highlight w:val="none"/>
        </w:rPr>
      </w:pPr>
    </w:p>
    <w:p w14:paraId="10632357">
      <w:pPr>
        <w:bidi w:val="0"/>
        <w:rPr>
          <w:rFonts w:hint="eastAsia" w:ascii="宋体" w:hAnsi="宋体" w:eastAsia="宋体" w:cs="宋体"/>
          <w:color w:val="auto"/>
          <w:highlight w:val="none"/>
        </w:rPr>
      </w:pPr>
    </w:p>
    <w:p w14:paraId="57C0AA34">
      <w:pPr>
        <w:bidi w:val="0"/>
        <w:rPr>
          <w:rFonts w:hint="eastAsia" w:ascii="宋体" w:hAnsi="宋体" w:eastAsia="宋体" w:cs="宋体"/>
          <w:color w:val="auto"/>
          <w:highlight w:val="none"/>
        </w:rPr>
      </w:pPr>
    </w:p>
    <w:p w14:paraId="404E2898">
      <w:pPr>
        <w:bidi w:val="0"/>
        <w:rPr>
          <w:rFonts w:hint="eastAsia" w:ascii="宋体" w:hAnsi="宋体" w:eastAsia="宋体" w:cs="宋体"/>
          <w:color w:val="auto"/>
          <w:highlight w:val="none"/>
        </w:rPr>
      </w:pPr>
    </w:p>
    <w:p w14:paraId="64479A1C">
      <w:pPr>
        <w:bidi w:val="0"/>
        <w:rPr>
          <w:rFonts w:hint="eastAsia" w:ascii="宋体" w:hAnsi="宋体" w:eastAsia="宋体" w:cs="宋体"/>
          <w:color w:val="auto"/>
          <w:highlight w:val="none"/>
        </w:rPr>
      </w:pPr>
    </w:p>
    <w:p w14:paraId="27D71402">
      <w:pPr>
        <w:bidi w:val="0"/>
        <w:rPr>
          <w:rFonts w:hint="eastAsia" w:ascii="宋体" w:hAnsi="宋体" w:eastAsia="宋体" w:cs="宋体"/>
          <w:color w:val="auto"/>
          <w:highlight w:val="none"/>
        </w:rPr>
      </w:pPr>
    </w:p>
    <w:p w14:paraId="491F03EE">
      <w:pPr>
        <w:bidi w:val="0"/>
        <w:rPr>
          <w:rFonts w:hint="eastAsia" w:ascii="宋体" w:hAnsi="宋体" w:eastAsia="宋体" w:cs="宋体"/>
          <w:color w:val="auto"/>
          <w:highlight w:val="none"/>
        </w:rPr>
      </w:pPr>
    </w:p>
    <w:p w14:paraId="5DF137F7">
      <w:pP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p>
    <w:p w14:paraId="1C47DF60">
      <w:pPr>
        <w:pStyle w:val="5"/>
        <w:bidi w:val="0"/>
        <w:jc w:val="both"/>
        <w:rPr>
          <w:rFonts w:hint="eastAsia" w:ascii="宋体" w:hAnsi="宋体" w:eastAsia="宋体" w:cs="宋体"/>
          <w:color w:val="auto"/>
          <w:highlight w:val="none"/>
        </w:rPr>
      </w:pPr>
      <w:bookmarkStart w:id="167" w:name="_Toc824"/>
      <w:r>
        <w:rPr>
          <w:rFonts w:hint="eastAsia" w:ascii="宋体" w:hAnsi="宋体" w:eastAsia="宋体" w:cs="宋体"/>
          <w:color w:val="auto"/>
          <w:highlight w:val="none"/>
        </w:rPr>
        <w:t>附件1</w:t>
      </w:r>
      <w:bookmarkStart w:id="168" w:name="_Toc376936781"/>
      <w:bookmarkStart w:id="169" w:name="_Toc325726049"/>
      <w:r>
        <w:rPr>
          <w:rFonts w:hint="eastAsia" w:ascii="宋体" w:hAnsi="宋体" w:cs="宋体"/>
          <w:color w:val="auto"/>
          <w:highlight w:val="none"/>
          <w:lang w:val="en-US" w:eastAsia="zh-CN"/>
        </w:rPr>
        <w:t>6</w:t>
      </w:r>
      <w:r>
        <w:rPr>
          <w:rFonts w:hint="eastAsia" w:ascii="宋体" w:hAnsi="宋体" w:eastAsia="宋体" w:cs="宋体"/>
          <w:color w:val="auto"/>
          <w:highlight w:val="none"/>
        </w:rPr>
        <w:t>：</w:t>
      </w:r>
      <w:bookmarkEnd w:id="168"/>
      <w:bookmarkEnd w:id="169"/>
      <w:r>
        <w:rPr>
          <w:rFonts w:hint="eastAsia" w:ascii="宋体" w:hAnsi="宋体" w:eastAsia="宋体" w:cs="宋体"/>
          <w:color w:val="auto"/>
          <w:highlight w:val="none"/>
        </w:rPr>
        <w:t>服务能力与方案</w:t>
      </w:r>
      <w:bookmarkEnd w:id="167"/>
      <w:bookmarkStart w:id="170" w:name="_Toc91517357"/>
      <w:bookmarkStart w:id="171" w:name="_Toc91517563"/>
      <w:bookmarkStart w:id="172" w:name="_Toc416363470"/>
      <w:bookmarkStart w:id="173" w:name="_Toc21098"/>
    </w:p>
    <w:p w14:paraId="118D4549">
      <w:pPr>
        <w:pStyle w:val="8"/>
        <w:rPr>
          <w:rFonts w:hint="eastAsia"/>
          <w:highlight w:val="none"/>
        </w:rPr>
      </w:pPr>
    </w:p>
    <w:p w14:paraId="25211596">
      <w:pPr>
        <w:bidi w:val="0"/>
        <w:rPr>
          <w:rFonts w:hint="eastAsia" w:ascii="宋体" w:hAnsi="宋体" w:eastAsia="宋体" w:cs="宋体"/>
          <w:color w:val="auto"/>
          <w:highlight w:val="none"/>
        </w:rPr>
      </w:pPr>
      <w:r>
        <w:rPr>
          <w:rFonts w:hint="eastAsia" w:ascii="宋体" w:hAnsi="宋体" w:eastAsia="宋体" w:cs="宋体"/>
          <w:color w:val="auto"/>
          <w:highlight w:val="none"/>
        </w:rPr>
        <w:t>根据采购项目内容及评分标准，提供详细的服务方案等。</w:t>
      </w:r>
      <w:bookmarkEnd w:id="170"/>
      <w:bookmarkEnd w:id="171"/>
    </w:p>
    <w:p w14:paraId="18710DEF">
      <w:pPr>
        <w:bidi w:val="0"/>
        <w:rPr>
          <w:rFonts w:hint="eastAsia" w:ascii="宋体" w:hAnsi="宋体" w:eastAsia="宋体" w:cs="宋体"/>
          <w:color w:val="auto"/>
          <w:highlight w:val="none"/>
          <w:lang w:val="zh-CN"/>
        </w:rPr>
      </w:pPr>
    </w:p>
    <w:p w14:paraId="0426F772">
      <w:pPr>
        <w:bidi w:val="0"/>
        <w:rPr>
          <w:rFonts w:hint="eastAsia" w:ascii="宋体" w:hAnsi="宋体" w:eastAsia="宋体" w:cs="宋体"/>
          <w:color w:val="auto"/>
          <w:highlight w:val="none"/>
          <w:lang w:val="zh-CN"/>
        </w:rPr>
      </w:pPr>
    </w:p>
    <w:p w14:paraId="0089CBB0">
      <w:pPr>
        <w:bidi w:val="0"/>
        <w:rPr>
          <w:rFonts w:hint="eastAsia" w:ascii="宋体" w:hAnsi="宋体" w:eastAsia="宋体" w:cs="宋体"/>
          <w:color w:val="auto"/>
          <w:highlight w:val="none"/>
          <w:lang w:val="zh-CN"/>
        </w:rPr>
      </w:pPr>
    </w:p>
    <w:p w14:paraId="4DD1E143">
      <w:pPr>
        <w:bidi w:val="0"/>
        <w:rPr>
          <w:rFonts w:hint="eastAsia" w:ascii="宋体" w:hAnsi="宋体" w:eastAsia="宋体" w:cs="宋体"/>
          <w:color w:val="auto"/>
          <w:highlight w:val="none"/>
          <w:lang w:val="zh-CN"/>
        </w:rPr>
      </w:pPr>
    </w:p>
    <w:p w14:paraId="20C088EE">
      <w:pPr>
        <w:bidi w:val="0"/>
        <w:rPr>
          <w:rFonts w:hint="eastAsia" w:ascii="宋体" w:hAnsi="宋体" w:eastAsia="宋体" w:cs="宋体"/>
          <w:color w:val="auto"/>
          <w:highlight w:val="none"/>
          <w:lang w:val="zh-CN"/>
        </w:rPr>
      </w:pPr>
    </w:p>
    <w:p w14:paraId="6049E927">
      <w:pPr>
        <w:bidi w:val="0"/>
        <w:rPr>
          <w:rFonts w:hint="eastAsia" w:ascii="宋体" w:hAnsi="宋体" w:eastAsia="宋体" w:cs="宋体"/>
          <w:color w:val="auto"/>
          <w:highlight w:val="none"/>
          <w:lang w:val="zh-CN"/>
        </w:rPr>
      </w:pPr>
    </w:p>
    <w:p w14:paraId="5EA26501">
      <w:pPr>
        <w:bidi w:val="0"/>
        <w:rPr>
          <w:rFonts w:hint="eastAsia" w:ascii="宋体" w:hAnsi="宋体" w:eastAsia="宋体" w:cs="宋体"/>
          <w:color w:val="auto"/>
          <w:highlight w:val="none"/>
          <w:lang w:val="zh-CN"/>
        </w:rPr>
      </w:pPr>
    </w:p>
    <w:p w14:paraId="3F702F60">
      <w:pPr>
        <w:bidi w:val="0"/>
        <w:rPr>
          <w:rFonts w:hint="eastAsia" w:ascii="宋体" w:hAnsi="宋体" w:eastAsia="宋体" w:cs="宋体"/>
          <w:color w:val="auto"/>
          <w:highlight w:val="none"/>
          <w:lang w:val="zh-CN"/>
        </w:rPr>
      </w:pPr>
    </w:p>
    <w:p w14:paraId="6D0A333A">
      <w:pPr>
        <w:bidi w:val="0"/>
        <w:rPr>
          <w:rFonts w:hint="eastAsia" w:ascii="宋体" w:hAnsi="宋体" w:eastAsia="宋体" w:cs="宋体"/>
          <w:color w:val="auto"/>
          <w:highlight w:val="none"/>
          <w:lang w:val="zh-CN"/>
        </w:rPr>
      </w:pPr>
    </w:p>
    <w:p w14:paraId="28CF29BA">
      <w:pPr>
        <w:bidi w:val="0"/>
        <w:rPr>
          <w:rFonts w:hint="eastAsia" w:ascii="宋体" w:hAnsi="宋体" w:eastAsia="宋体" w:cs="宋体"/>
          <w:color w:val="auto"/>
          <w:highlight w:val="none"/>
          <w:lang w:val="zh-CN"/>
        </w:rPr>
      </w:pPr>
    </w:p>
    <w:p w14:paraId="137BF0A4">
      <w:pPr>
        <w:bidi w:val="0"/>
        <w:rPr>
          <w:rFonts w:hint="eastAsia" w:ascii="宋体" w:hAnsi="宋体" w:eastAsia="宋体" w:cs="宋体"/>
          <w:color w:val="auto"/>
          <w:highlight w:val="none"/>
          <w:lang w:val="zh-CN"/>
        </w:rPr>
      </w:pPr>
    </w:p>
    <w:p w14:paraId="3B8BB3B1">
      <w:pPr>
        <w:bidi w:val="0"/>
        <w:rPr>
          <w:rFonts w:hint="eastAsia" w:ascii="宋体" w:hAnsi="宋体" w:eastAsia="宋体" w:cs="宋体"/>
          <w:color w:val="auto"/>
          <w:highlight w:val="none"/>
          <w:lang w:val="zh-CN"/>
        </w:rPr>
      </w:pPr>
    </w:p>
    <w:p w14:paraId="519A8B2D">
      <w:pPr>
        <w:bidi w:val="0"/>
        <w:rPr>
          <w:rFonts w:hint="eastAsia" w:ascii="宋体" w:hAnsi="宋体" w:eastAsia="宋体" w:cs="宋体"/>
          <w:color w:val="auto"/>
          <w:highlight w:val="none"/>
          <w:lang w:val="zh-CN"/>
        </w:rPr>
      </w:pPr>
    </w:p>
    <w:p w14:paraId="47A79799">
      <w:pPr>
        <w:bidi w:val="0"/>
        <w:rPr>
          <w:rFonts w:hint="eastAsia" w:ascii="宋体" w:hAnsi="宋体" w:eastAsia="宋体" w:cs="宋体"/>
          <w:color w:val="auto"/>
          <w:highlight w:val="none"/>
          <w:lang w:val="zh-CN"/>
        </w:rPr>
      </w:pPr>
    </w:p>
    <w:p w14:paraId="5C9D6921">
      <w:pPr>
        <w:bidi w:val="0"/>
        <w:rPr>
          <w:rFonts w:hint="eastAsia" w:ascii="宋体" w:hAnsi="宋体" w:eastAsia="宋体" w:cs="宋体"/>
          <w:color w:val="auto"/>
          <w:highlight w:val="none"/>
          <w:lang w:val="zh-CN"/>
        </w:rPr>
      </w:pPr>
    </w:p>
    <w:p w14:paraId="64EA45E8">
      <w:pPr>
        <w:bidi w:val="0"/>
        <w:rPr>
          <w:rFonts w:hint="eastAsia" w:ascii="宋体" w:hAnsi="宋体" w:eastAsia="宋体" w:cs="宋体"/>
          <w:color w:val="auto"/>
          <w:highlight w:val="none"/>
          <w:lang w:val="zh-CN"/>
        </w:rPr>
      </w:pPr>
    </w:p>
    <w:p w14:paraId="44129D9A">
      <w:pPr>
        <w:bidi w:val="0"/>
        <w:rPr>
          <w:rFonts w:hint="eastAsia" w:ascii="宋体" w:hAnsi="宋体" w:eastAsia="宋体" w:cs="宋体"/>
          <w:color w:val="auto"/>
          <w:highlight w:val="none"/>
          <w:lang w:val="zh-CN"/>
        </w:rPr>
      </w:pPr>
    </w:p>
    <w:p w14:paraId="05EFB87D">
      <w:pPr>
        <w:bidi w:val="0"/>
        <w:rPr>
          <w:rFonts w:hint="eastAsia" w:ascii="宋体" w:hAnsi="宋体" w:eastAsia="宋体" w:cs="宋体"/>
          <w:color w:val="auto"/>
          <w:highlight w:val="none"/>
        </w:rPr>
      </w:pPr>
    </w:p>
    <w:p w14:paraId="398DCBE9">
      <w:pPr>
        <w:bidi w:val="0"/>
        <w:rPr>
          <w:rFonts w:hint="eastAsia" w:ascii="宋体" w:hAnsi="宋体" w:eastAsia="宋体" w:cs="宋体"/>
          <w:color w:val="auto"/>
          <w:highlight w:val="none"/>
        </w:rPr>
      </w:pPr>
    </w:p>
    <w:p w14:paraId="1D5FA273">
      <w:pPr>
        <w:bidi w:val="0"/>
        <w:rPr>
          <w:rFonts w:hint="eastAsia" w:ascii="宋体" w:hAnsi="宋体" w:eastAsia="宋体" w:cs="宋体"/>
          <w:color w:val="auto"/>
          <w:highlight w:val="none"/>
        </w:rPr>
      </w:pPr>
    </w:p>
    <w:p w14:paraId="5AB50228">
      <w:pP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p>
    <w:p w14:paraId="655B8B5B">
      <w:pPr>
        <w:pStyle w:val="5"/>
        <w:bidi w:val="0"/>
        <w:jc w:val="both"/>
        <w:rPr>
          <w:rFonts w:hint="eastAsia" w:ascii="宋体" w:hAnsi="宋体" w:eastAsia="宋体" w:cs="宋体"/>
          <w:color w:val="auto"/>
          <w:highlight w:val="none"/>
        </w:rPr>
      </w:pPr>
      <w:bookmarkStart w:id="174" w:name="_Toc25285"/>
      <w:r>
        <w:rPr>
          <w:rFonts w:hint="eastAsia" w:ascii="宋体" w:hAnsi="宋体" w:eastAsia="宋体" w:cs="宋体"/>
          <w:color w:val="auto"/>
          <w:highlight w:val="none"/>
        </w:rPr>
        <w:t>附件1</w:t>
      </w:r>
      <w:r>
        <w:rPr>
          <w:rFonts w:hint="eastAsia" w:ascii="宋体" w:hAnsi="宋体" w:cs="宋体"/>
          <w:color w:val="auto"/>
          <w:highlight w:val="none"/>
          <w:lang w:val="en-US" w:eastAsia="zh-CN"/>
        </w:rPr>
        <w:t>7</w:t>
      </w:r>
      <w:r>
        <w:rPr>
          <w:rFonts w:hint="eastAsia" w:ascii="宋体" w:hAnsi="宋体" w:eastAsia="宋体" w:cs="宋体"/>
          <w:color w:val="auto"/>
          <w:highlight w:val="none"/>
        </w:rPr>
        <w:t>：最终报价表</w:t>
      </w:r>
      <w:bookmarkEnd w:id="172"/>
      <w:bookmarkEnd w:id="173"/>
      <w:bookmarkEnd w:id="174"/>
    </w:p>
    <w:p w14:paraId="3C9F0295">
      <w:pPr>
        <w:bidi w:val="0"/>
        <w:rPr>
          <w:rFonts w:hint="eastAsia" w:ascii="宋体" w:hAnsi="宋体" w:eastAsia="宋体" w:cs="宋体"/>
          <w:color w:val="auto"/>
          <w:highlight w:val="none"/>
        </w:rPr>
      </w:pPr>
    </w:p>
    <w:p w14:paraId="175D21DA">
      <w:pPr>
        <w:bidi w:val="0"/>
        <w:ind w:left="0" w:leftChars="0" w:firstLine="0" w:firstLineChars="0"/>
        <w:jc w:val="center"/>
        <w:rPr>
          <w:rFonts w:hint="eastAsia" w:ascii="宋体" w:hAnsi="宋体" w:eastAsia="宋体" w:cs="宋体"/>
          <w:b/>
          <w:bCs/>
          <w:color w:val="auto"/>
          <w:sz w:val="32"/>
          <w:szCs w:val="32"/>
          <w:highlight w:val="none"/>
          <w:lang w:val="zh-CN"/>
        </w:rPr>
      </w:pPr>
      <w:bookmarkStart w:id="175" w:name="_Toc408326292"/>
      <w:r>
        <w:rPr>
          <w:rFonts w:hint="eastAsia" w:ascii="宋体" w:hAnsi="宋体" w:eastAsia="宋体" w:cs="宋体"/>
          <w:b/>
          <w:bCs/>
          <w:color w:val="auto"/>
          <w:sz w:val="32"/>
          <w:szCs w:val="32"/>
          <w:highlight w:val="none"/>
          <w:lang w:val="zh-CN"/>
        </w:rPr>
        <w:t>最终报价</w:t>
      </w:r>
      <w:bookmarkEnd w:id="175"/>
      <w:r>
        <w:rPr>
          <w:rFonts w:hint="eastAsia" w:ascii="宋体" w:hAnsi="宋体" w:eastAsia="宋体" w:cs="宋体"/>
          <w:b/>
          <w:bCs/>
          <w:color w:val="auto"/>
          <w:sz w:val="32"/>
          <w:szCs w:val="32"/>
          <w:highlight w:val="none"/>
          <w:lang w:val="zh-CN"/>
        </w:rPr>
        <w:t>表</w:t>
      </w:r>
    </w:p>
    <w:p w14:paraId="08F3FD1E">
      <w:pPr>
        <w:bidi w:val="0"/>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项目名称：</w:t>
      </w:r>
      <w:r>
        <w:rPr>
          <w:rFonts w:hint="eastAsia" w:ascii="宋体" w:hAnsi="宋体" w:eastAsia="宋体" w:cs="宋体"/>
          <w:color w:val="auto"/>
          <w:highlight w:val="none"/>
          <w:lang w:val="en-US" w:eastAsia="zh-CN"/>
        </w:rPr>
        <w:t xml:space="preserve">                                                </w:t>
      </w:r>
    </w:p>
    <w:tbl>
      <w:tblPr>
        <w:tblStyle w:val="6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04"/>
        <w:gridCol w:w="6318"/>
      </w:tblGrid>
      <w:tr w14:paraId="7B817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4" w:type="dxa"/>
            <w:vAlign w:val="center"/>
          </w:tcPr>
          <w:p w14:paraId="17EC3C46">
            <w:pPr>
              <w:pStyle w:val="13"/>
              <w:bidi w:val="0"/>
              <w:rPr>
                <w:rFonts w:hint="eastAsia" w:ascii="宋体" w:hAnsi="宋体" w:eastAsia="宋体" w:cs="宋体"/>
                <w:color w:val="auto"/>
                <w:highlight w:val="none"/>
              </w:rPr>
            </w:pPr>
            <w:r>
              <w:rPr>
                <w:rFonts w:hint="eastAsia" w:ascii="宋体" w:hAnsi="宋体" w:eastAsia="宋体" w:cs="宋体"/>
                <w:color w:val="auto"/>
                <w:highlight w:val="none"/>
              </w:rPr>
              <w:t>供应商名称</w:t>
            </w:r>
          </w:p>
        </w:tc>
        <w:tc>
          <w:tcPr>
            <w:tcW w:w="6318" w:type="dxa"/>
            <w:vAlign w:val="center"/>
          </w:tcPr>
          <w:p w14:paraId="145F67CF">
            <w:pPr>
              <w:pStyle w:val="13"/>
              <w:bidi w:val="0"/>
              <w:rPr>
                <w:rFonts w:hint="eastAsia" w:ascii="宋体" w:hAnsi="宋体" w:eastAsia="宋体" w:cs="宋体"/>
                <w:color w:val="auto"/>
                <w:highlight w:val="none"/>
              </w:rPr>
            </w:pPr>
          </w:p>
        </w:tc>
      </w:tr>
      <w:tr w14:paraId="03589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4" w:type="dxa"/>
            <w:vAlign w:val="center"/>
          </w:tcPr>
          <w:p w14:paraId="77E924AE">
            <w:pPr>
              <w:pStyle w:val="13"/>
              <w:bidi w:val="0"/>
              <w:rPr>
                <w:rFonts w:hint="eastAsia" w:ascii="宋体" w:hAnsi="宋体" w:eastAsia="宋体" w:cs="宋体"/>
                <w:color w:val="auto"/>
                <w:highlight w:val="none"/>
              </w:rPr>
            </w:pPr>
            <w:r>
              <w:rPr>
                <w:rFonts w:hint="eastAsia" w:ascii="宋体" w:hAnsi="宋体" w:eastAsia="宋体" w:cs="宋体"/>
                <w:color w:val="auto"/>
                <w:highlight w:val="none"/>
              </w:rPr>
              <w:t>磋商</w:t>
            </w:r>
            <w:r>
              <w:rPr>
                <w:rFonts w:hint="eastAsia" w:ascii="宋体" w:hAnsi="宋体" w:eastAsia="宋体" w:cs="宋体"/>
                <w:color w:val="auto"/>
                <w:highlight w:val="none"/>
                <w:lang w:val="zh-CN"/>
              </w:rPr>
              <w:t>报价（</w:t>
            </w:r>
            <w:r>
              <w:rPr>
                <w:rFonts w:hint="eastAsia" w:ascii="宋体" w:hAnsi="宋体" w:eastAsia="宋体" w:cs="宋体"/>
                <w:color w:val="auto"/>
                <w:highlight w:val="none"/>
              </w:rPr>
              <w:t>元</w:t>
            </w:r>
            <w:r>
              <w:rPr>
                <w:rFonts w:hint="eastAsia" w:ascii="宋体" w:hAnsi="宋体" w:eastAsia="宋体" w:cs="宋体"/>
                <w:color w:val="auto"/>
                <w:highlight w:val="none"/>
                <w:lang w:val="zh-CN"/>
              </w:rPr>
              <w:t>）</w:t>
            </w:r>
          </w:p>
        </w:tc>
        <w:tc>
          <w:tcPr>
            <w:tcW w:w="6318" w:type="dxa"/>
            <w:vAlign w:val="center"/>
          </w:tcPr>
          <w:p w14:paraId="6AA53E62">
            <w:pPr>
              <w:pStyle w:val="13"/>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大写：</w:t>
            </w:r>
          </w:p>
          <w:p w14:paraId="31B267DF">
            <w:pPr>
              <w:pStyle w:val="13"/>
              <w:bidi w:val="0"/>
              <w:rPr>
                <w:rFonts w:hint="eastAsia" w:ascii="宋体" w:hAnsi="宋体" w:eastAsia="宋体" w:cs="宋体"/>
                <w:color w:val="auto"/>
                <w:highlight w:val="none"/>
              </w:rPr>
            </w:pPr>
            <w:r>
              <w:rPr>
                <w:rFonts w:hint="eastAsia" w:ascii="宋体" w:hAnsi="宋体" w:eastAsia="宋体" w:cs="宋体"/>
                <w:color w:val="auto"/>
                <w:highlight w:val="none"/>
                <w:lang w:val="zh-CN"/>
              </w:rPr>
              <w:t>小写：</w:t>
            </w:r>
          </w:p>
        </w:tc>
      </w:tr>
      <w:tr w14:paraId="11607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4" w:type="dxa"/>
            <w:vAlign w:val="center"/>
          </w:tcPr>
          <w:p w14:paraId="4CDA9056">
            <w:pPr>
              <w:bidi w:val="0"/>
              <w:ind w:left="0" w:leftChars="0" w:firstLine="0" w:firstLineChars="0"/>
              <w:rPr>
                <w:rFonts w:hint="eastAsia" w:ascii="宋体" w:hAnsi="宋体" w:eastAsia="宋体" w:cs="宋体"/>
                <w:color w:val="auto"/>
                <w:highlight w:val="none"/>
                <w:lang w:val="en-US" w:eastAsia="zh-CN"/>
              </w:rPr>
            </w:pPr>
            <w:r>
              <w:rPr>
                <w:rFonts w:hint="eastAsia" w:ascii="宋体" w:hAnsi="宋体"/>
                <w:color w:val="auto"/>
                <w:sz w:val="24"/>
                <w:highlight w:val="none"/>
              </w:rPr>
              <w:t>服务期：</w:t>
            </w:r>
          </w:p>
        </w:tc>
        <w:tc>
          <w:tcPr>
            <w:tcW w:w="6318" w:type="dxa"/>
            <w:vAlign w:val="center"/>
          </w:tcPr>
          <w:p w14:paraId="22FCC173">
            <w:pPr>
              <w:pStyle w:val="13"/>
              <w:bidi w:val="0"/>
              <w:rPr>
                <w:rFonts w:hint="eastAsia" w:ascii="宋体" w:hAnsi="宋体" w:eastAsia="宋体" w:cs="宋体"/>
                <w:color w:val="auto"/>
                <w:highlight w:val="none"/>
              </w:rPr>
            </w:pPr>
          </w:p>
        </w:tc>
      </w:tr>
      <w:tr w14:paraId="0A750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4" w:type="dxa"/>
            <w:vAlign w:val="center"/>
          </w:tcPr>
          <w:p w14:paraId="21B48200">
            <w:pPr>
              <w:pStyle w:val="13"/>
              <w:bidi w:val="0"/>
              <w:rPr>
                <w:rFonts w:hint="eastAsia" w:ascii="宋体" w:hAnsi="宋体" w:eastAsia="宋体" w:cs="宋体"/>
                <w:color w:val="auto"/>
                <w:highlight w:val="none"/>
              </w:rPr>
            </w:pPr>
            <w:r>
              <w:rPr>
                <w:rFonts w:hint="eastAsia" w:ascii="宋体" w:hAnsi="宋体" w:eastAsia="宋体" w:cs="宋体"/>
                <w:color w:val="auto"/>
                <w:highlight w:val="none"/>
              </w:rPr>
              <w:t>优惠承诺及其他</w:t>
            </w:r>
          </w:p>
        </w:tc>
        <w:tc>
          <w:tcPr>
            <w:tcW w:w="6318" w:type="dxa"/>
            <w:vAlign w:val="center"/>
          </w:tcPr>
          <w:p w14:paraId="06447AAB">
            <w:pPr>
              <w:pStyle w:val="13"/>
              <w:bidi w:val="0"/>
              <w:rPr>
                <w:rFonts w:hint="eastAsia" w:ascii="宋体" w:hAnsi="宋体" w:eastAsia="宋体" w:cs="宋体"/>
                <w:color w:val="auto"/>
                <w:highlight w:val="none"/>
              </w:rPr>
            </w:pPr>
          </w:p>
        </w:tc>
      </w:tr>
    </w:tbl>
    <w:p w14:paraId="21E15D8E">
      <w:pPr>
        <w:bidi w:val="0"/>
        <w:rPr>
          <w:rFonts w:hint="eastAsia" w:ascii="宋体" w:hAnsi="宋体" w:eastAsia="宋体" w:cs="宋体"/>
          <w:color w:val="auto"/>
          <w:highlight w:val="none"/>
        </w:rPr>
      </w:pPr>
      <w:r>
        <w:rPr>
          <w:rFonts w:hint="eastAsia" w:ascii="宋体" w:hAnsi="宋体" w:eastAsia="宋体" w:cs="宋体"/>
          <w:color w:val="auto"/>
          <w:highlight w:val="none"/>
        </w:rPr>
        <w:t>注：1、磋商报价为总报价。必须包括</w:t>
      </w:r>
      <w:r>
        <w:rPr>
          <w:rFonts w:hint="eastAsia" w:ascii="宋体" w:hAnsi="宋体" w:cs="宋体"/>
          <w:color w:val="auto"/>
          <w:highlight w:val="none"/>
          <w:lang w:val="en-US" w:eastAsia="zh-CN"/>
        </w:rPr>
        <w:t>设备租赁费、</w:t>
      </w:r>
      <w:r>
        <w:rPr>
          <w:rFonts w:hint="eastAsia" w:ascii="宋体" w:hAnsi="宋体" w:eastAsia="宋体" w:cs="宋体"/>
          <w:color w:val="auto"/>
          <w:highlight w:val="none"/>
        </w:rPr>
        <w:t>服务费、人员工资、管理费、</w:t>
      </w:r>
      <w:r>
        <w:rPr>
          <w:rFonts w:hint="eastAsia" w:ascii="宋体" w:hAnsi="宋体" w:cs="宋体"/>
          <w:color w:val="auto"/>
          <w:highlight w:val="none"/>
          <w:lang w:val="en-US" w:eastAsia="zh-CN"/>
        </w:rPr>
        <w:t>培训费、</w:t>
      </w:r>
      <w:r>
        <w:rPr>
          <w:rFonts w:hint="eastAsia" w:ascii="宋体" w:hAnsi="宋体" w:eastAsia="宋体" w:cs="宋体"/>
          <w:color w:val="auto"/>
          <w:highlight w:val="none"/>
        </w:rPr>
        <w:t>验收费、手续费、保险费、</w:t>
      </w:r>
      <w:r>
        <w:rPr>
          <w:rFonts w:hint="eastAsia" w:ascii="宋体" w:hAnsi="宋体" w:cs="宋体"/>
          <w:color w:val="auto"/>
          <w:highlight w:val="none"/>
          <w:lang w:eastAsia="zh-CN"/>
        </w:rPr>
        <w:t>差旅费、</w:t>
      </w:r>
      <w:r>
        <w:rPr>
          <w:rFonts w:hint="eastAsia" w:ascii="宋体" w:hAnsi="宋体" w:eastAsia="宋体" w:cs="宋体"/>
          <w:color w:val="auto"/>
          <w:highlight w:val="none"/>
          <w:lang w:eastAsia="zh-CN"/>
        </w:rPr>
        <w:t>成交服务费</w:t>
      </w:r>
      <w:r>
        <w:rPr>
          <w:rFonts w:hint="eastAsia" w:ascii="宋体" w:hAnsi="宋体" w:eastAsia="宋体" w:cs="宋体"/>
          <w:color w:val="auto"/>
          <w:highlight w:val="none"/>
        </w:rPr>
        <w:t>及服务过程中包含的不可预见等全部费用。</w:t>
      </w:r>
    </w:p>
    <w:p w14:paraId="6194F6C7">
      <w:pPr>
        <w:bidi w:val="0"/>
        <w:rPr>
          <w:rFonts w:hint="eastAsia" w:ascii="宋体" w:hAnsi="宋体" w:eastAsia="宋体" w:cs="宋体"/>
          <w:color w:val="auto"/>
          <w:highlight w:val="none"/>
        </w:rPr>
      </w:pPr>
      <w:r>
        <w:rPr>
          <w:rFonts w:hint="eastAsia" w:ascii="宋体" w:hAnsi="宋体" w:eastAsia="宋体" w:cs="宋体"/>
          <w:b/>
          <w:bCs/>
          <w:color w:val="auto"/>
          <w:highlight w:val="none"/>
        </w:rPr>
        <w:t>2、此表在磋商期间，由磋商小组确定合格的供应商后，在政采云平台线上填写。</w:t>
      </w:r>
    </w:p>
    <w:p w14:paraId="059FE57E">
      <w:pPr>
        <w:bidi w:val="0"/>
        <w:rPr>
          <w:rFonts w:hint="eastAsia" w:ascii="宋体" w:hAnsi="宋体" w:eastAsia="宋体" w:cs="宋体"/>
          <w:color w:val="auto"/>
          <w:highlight w:val="none"/>
        </w:rPr>
      </w:pPr>
    </w:p>
    <w:p w14:paraId="4F1AE434">
      <w:pPr>
        <w:bidi w:val="0"/>
        <w:rPr>
          <w:rFonts w:hint="eastAsia" w:ascii="宋体" w:hAnsi="宋体" w:eastAsia="宋体" w:cs="宋体"/>
          <w:color w:val="auto"/>
          <w:highlight w:val="none"/>
        </w:rPr>
      </w:pPr>
    </w:p>
    <w:p w14:paraId="249F577D">
      <w:pPr>
        <w:bidi w:val="0"/>
        <w:rPr>
          <w:rFonts w:hint="eastAsia" w:ascii="宋体" w:hAnsi="宋体" w:eastAsia="宋体" w:cs="宋体"/>
          <w:color w:val="auto"/>
          <w:highlight w:val="none"/>
        </w:rPr>
      </w:pPr>
    </w:p>
    <w:p w14:paraId="17327620">
      <w:pPr>
        <w:bidi w:val="0"/>
        <w:jc w:val="center"/>
        <w:rPr>
          <w:rFonts w:hint="eastAsia" w:ascii="宋体" w:hAnsi="宋体" w:eastAsia="宋体" w:cs="宋体"/>
          <w:b/>
          <w:bCs/>
          <w:color w:val="auto"/>
          <w:highlight w:val="none"/>
          <w:lang w:val="zh-CN"/>
        </w:rPr>
      </w:pPr>
      <w:bookmarkStart w:id="176" w:name="_Toc31842"/>
      <w:r>
        <w:rPr>
          <w:rFonts w:hint="eastAsia" w:ascii="宋体" w:hAnsi="宋体" w:eastAsia="宋体" w:cs="宋体"/>
          <w:b/>
          <w:bCs/>
          <w:color w:val="auto"/>
          <w:highlight w:val="none"/>
          <w:lang w:val="zh-CN"/>
        </w:rPr>
        <w:t>供应商：</w:t>
      </w:r>
      <w:r>
        <w:rPr>
          <w:rFonts w:hint="eastAsia" w:ascii="宋体" w:hAnsi="宋体" w:eastAsia="宋体" w:cs="宋体"/>
          <w:b/>
          <w:bCs/>
          <w:color w:val="auto"/>
          <w:highlight w:val="none"/>
          <w:lang w:val="en-US" w:eastAsia="zh-CN"/>
        </w:rPr>
        <w:t xml:space="preserve">            </w:t>
      </w:r>
      <w:r>
        <w:rPr>
          <w:rFonts w:hint="eastAsia" w:ascii="宋体" w:hAnsi="宋体" w:eastAsia="宋体" w:cs="宋体"/>
          <w:b/>
          <w:bCs/>
          <w:color w:val="auto"/>
          <w:highlight w:val="none"/>
          <w:lang w:val="zh-CN"/>
        </w:rPr>
        <w:t>（公章）</w:t>
      </w:r>
    </w:p>
    <w:p w14:paraId="65563C75">
      <w:pPr>
        <w:bidi w:val="0"/>
        <w:jc w:val="center"/>
        <w:rPr>
          <w:rFonts w:hint="eastAsia" w:ascii="宋体" w:hAnsi="宋体" w:eastAsia="宋体" w:cs="宋体"/>
          <w:b/>
          <w:bCs/>
          <w:color w:val="auto"/>
          <w:highlight w:val="none"/>
          <w:lang w:val="zh-CN"/>
        </w:rPr>
      </w:pPr>
      <w:r>
        <w:rPr>
          <w:rFonts w:hint="eastAsia" w:ascii="宋体" w:hAnsi="宋体" w:eastAsia="宋体" w:cs="宋体"/>
          <w:b/>
          <w:bCs/>
          <w:color w:val="auto"/>
          <w:highlight w:val="none"/>
          <w:lang w:val="zh-CN"/>
        </w:rPr>
        <w:t>法定代表人或委托代理人：</w:t>
      </w:r>
      <w:r>
        <w:rPr>
          <w:rFonts w:hint="eastAsia" w:ascii="宋体" w:hAnsi="宋体" w:eastAsia="宋体" w:cs="宋体"/>
          <w:b/>
          <w:bCs/>
          <w:color w:val="auto"/>
          <w:highlight w:val="none"/>
          <w:lang w:val="en-US" w:eastAsia="zh-CN"/>
        </w:rPr>
        <w:t xml:space="preserve">     </w:t>
      </w:r>
      <w:r>
        <w:rPr>
          <w:rFonts w:hint="eastAsia" w:ascii="宋体" w:hAnsi="宋体" w:eastAsia="宋体" w:cs="宋体"/>
          <w:b/>
          <w:bCs/>
          <w:color w:val="auto"/>
          <w:highlight w:val="none"/>
          <w:lang w:val="zh-CN"/>
        </w:rPr>
        <w:t>（签字或盖章）</w:t>
      </w:r>
    </w:p>
    <w:p w14:paraId="0A0EB073">
      <w:pPr>
        <w:bidi w:val="0"/>
        <w:jc w:val="center"/>
        <w:rPr>
          <w:rFonts w:hint="eastAsia" w:ascii="宋体" w:hAnsi="宋体" w:eastAsia="宋体" w:cs="宋体"/>
          <w:b/>
          <w:bCs/>
          <w:color w:val="auto"/>
          <w:highlight w:val="none"/>
          <w:lang w:val="zh-CN"/>
        </w:rPr>
      </w:pPr>
      <w:r>
        <w:rPr>
          <w:rFonts w:hint="eastAsia" w:ascii="宋体" w:hAnsi="宋体" w:eastAsia="宋体" w:cs="宋体"/>
          <w:b/>
          <w:bCs/>
          <w:color w:val="auto"/>
          <w:highlight w:val="none"/>
          <w:lang w:val="zh-CN"/>
        </w:rPr>
        <w:t>年</w:t>
      </w:r>
      <w:r>
        <w:rPr>
          <w:rFonts w:hint="eastAsia" w:ascii="宋体" w:hAnsi="宋体" w:eastAsia="宋体" w:cs="宋体"/>
          <w:b/>
          <w:bCs/>
          <w:color w:val="auto"/>
          <w:highlight w:val="none"/>
          <w:lang w:val="en-US" w:eastAsia="zh-CN"/>
        </w:rPr>
        <w:t xml:space="preserve">  </w:t>
      </w:r>
      <w:r>
        <w:rPr>
          <w:rFonts w:hint="eastAsia" w:ascii="宋体" w:hAnsi="宋体" w:eastAsia="宋体" w:cs="宋体"/>
          <w:b/>
          <w:bCs/>
          <w:color w:val="auto"/>
          <w:highlight w:val="none"/>
          <w:lang w:val="zh-CN"/>
        </w:rPr>
        <w:t xml:space="preserve"> 月 </w:t>
      </w:r>
      <w:r>
        <w:rPr>
          <w:rFonts w:hint="eastAsia" w:ascii="宋体" w:hAnsi="宋体" w:eastAsia="宋体" w:cs="宋体"/>
          <w:b/>
          <w:bCs/>
          <w:color w:val="auto"/>
          <w:highlight w:val="none"/>
          <w:lang w:val="en-US" w:eastAsia="zh-CN"/>
        </w:rPr>
        <w:t xml:space="preserve">  </w:t>
      </w:r>
      <w:r>
        <w:rPr>
          <w:rFonts w:hint="eastAsia" w:ascii="宋体" w:hAnsi="宋体" w:eastAsia="宋体" w:cs="宋体"/>
          <w:b/>
          <w:bCs/>
          <w:color w:val="auto"/>
          <w:highlight w:val="none"/>
          <w:lang w:val="zh-CN"/>
        </w:rPr>
        <w:t>日</w:t>
      </w:r>
    </w:p>
    <w:p w14:paraId="6E418D07">
      <w:pPr>
        <w:bidi w:val="0"/>
        <w:rPr>
          <w:rFonts w:hint="eastAsia" w:ascii="宋体" w:hAnsi="宋体" w:eastAsia="宋体" w:cs="宋体"/>
          <w:color w:val="auto"/>
          <w:highlight w:val="none"/>
        </w:rPr>
      </w:pPr>
    </w:p>
    <w:p w14:paraId="10558F84">
      <w:pPr>
        <w:bidi w:val="0"/>
        <w:rPr>
          <w:rFonts w:hint="eastAsia" w:ascii="宋体" w:hAnsi="宋体" w:eastAsia="宋体" w:cs="宋体"/>
          <w:color w:val="auto"/>
          <w:highlight w:val="none"/>
        </w:rPr>
      </w:pPr>
    </w:p>
    <w:p w14:paraId="531F4D36">
      <w:pPr>
        <w:bidi w:val="0"/>
        <w:rPr>
          <w:rFonts w:hint="eastAsia" w:ascii="宋体" w:hAnsi="宋体" w:eastAsia="宋体" w:cs="宋体"/>
          <w:color w:val="auto"/>
          <w:highlight w:val="none"/>
        </w:rPr>
      </w:pPr>
    </w:p>
    <w:p w14:paraId="7417DB13">
      <w:pPr>
        <w:bidi w:val="0"/>
        <w:rPr>
          <w:rFonts w:hint="eastAsia" w:ascii="宋体" w:hAnsi="宋体" w:eastAsia="宋体" w:cs="宋体"/>
          <w:color w:val="auto"/>
          <w:highlight w:val="none"/>
        </w:rPr>
      </w:pPr>
    </w:p>
    <w:p w14:paraId="414BC1EA">
      <w:pPr>
        <w:bidi w:val="0"/>
        <w:rPr>
          <w:rFonts w:hint="eastAsia" w:ascii="宋体" w:hAnsi="宋体" w:eastAsia="宋体" w:cs="宋体"/>
          <w:color w:val="auto"/>
          <w:highlight w:val="none"/>
        </w:rPr>
      </w:pPr>
    </w:p>
    <w:p w14:paraId="41BF5DAF">
      <w:pPr>
        <w:bidi w:val="0"/>
        <w:rPr>
          <w:rFonts w:hint="eastAsia" w:ascii="宋体" w:hAnsi="宋体" w:eastAsia="宋体" w:cs="宋体"/>
          <w:color w:val="auto"/>
          <w:highlight w:val="none"/>
        </w:rPr>
      </w:pPr>
    </w:p>
    <w:p w14:paraId="7478917B">
      <w:pPr>
        <w:bidi w:val="0"/>
        <w:ind w:left="0" w:leftChars="0" w:firstLine="0" w:firstLineChars="0"/>
        <w:rPr>
          <w:rFonts w:hint="eastAsia" w:ascii="宋体" w:hAnsi="宋体" w:eastAsia="宋体" w:cs="宋体"/>
          <w:color w:val="auto"/>
          <w:highlight w:val="none"/>
        </w:rPr>
      </w:pPr>
    </w:p>
    <w:p w14:paraId="4FD77F89">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444CD897">
      <w:pPr>
        <w:pStyle w:val="5"/>
        <w:bidi w:val="0"/>
        <w:jc w:val="both"/>
        <w:rPr>
          <w:rFonts w:hint="eastAsia" w:ascii="宋体" w:hAnsi="宋体" w:eastAsia="宋体" w:cs="宋体"/>
          <w:color w:val="auto"/>
          <w:highlight w:val="none"/>
          <w:lang w:eastAsia="zh-CN"/>
        </w:rPr>
      </w:pPr>
      <w:bookmarkStart w:id="177" w:name="_Toc12846"/>
      <w:r>
        <w:rPr>
          <w:rFonts w:hint="eastAsia" w:ascii="宋体" w:hAnsi="宋体" w:eastAsia="宋体" w:cs="宋体"/>
          <w:color w:val="auto"/>
          <w:highlight w:val="none"/>
        </w:rPr>
        <w:t>附件1</w:t>
      </w:r>
      <w:r>
        <w:rPr>
          <w:rFonts w:hint="eastAsia" w:ascii="宋体" w:hAnsi="宋体" w:cs="宋体"/>
          <w:color w:val="auto"/>
          <w:highlight w:val="none"/>
          <w:lang w:val="en-US" w:eastAsia="zh-CN"/>
        </w:rPr>
        <w:t>8</w:t>
      </w:r>
      <w:r>
        <w:rPr>
          <w:rFonts w:hint="eastAsia" w:ascii="宋体" w:hAnsi="宋体" w:eastAsia="宋体" w:cs="宋体"/>
          <w:color w:val="auto"/>
          <w:highlight w:val="none"/>
        </w:rPr>
        <w:t>：</w:t>
      </w:r>
      <w:bookmarkEnd w:id="176"/>
      <w:r>
        <w:rPr>
          <w:rFonts w:hint="eastAsia" w:ascii="宋体" w:hAnsi="宋体" w:eastAsia="宋体" w:cs="宋体"/>
          <w:color w:val="auto"/>
          <w:highlight w:val="none"/>
          <w:lang w:eastAsia="zh-CN"/>
        </w:rPr>
        <w:t>供应商认为在其他方面有必要说明的事项</w:t>
      </w:r>
      <w:bookmarkEnd w:id="177"/>
    </w:p>
    <w:p w14:paraId="442B88F5">
      <w:pPr>
        <w:bidi w:val="0"/>
        <w:ind w:left="0" w:leftChars="0" w:firstLine="0" w:firstLineChars="0"/>
        <w:jc w:val="center"/>
        <w:rPr>
          <w:rFonts w:hint="eastAsia" w:ascii="宋体" w:hAnsi="宋体" w:eastAsia="宋体" w:cs="宋体"/>
          <w:b/>
          <w:bCs/>
          <w:color w:val="auto"/>
          <w:sz w:val="32"/>
          <w:szCs w:val="32"/>
          <w:highlight w:val="none"/>
          <w:lang w:val="zh-CN"/>
        </w:rPr>
      </w:pPr>
    </w:p>
    <w:p w14:paraId="59CEE6A7">
      <w:pPr>
        <w:bidi w:val="0"/>
        <w:ind w:left="0" w:leftChars="0" w:firstLine="0" w:firstLineChars="0"/>
        <w:jc w:val="center"/>
        <w:rPr>
          <w:rFonts w:hint="eastAsia" w:ascii="宋体" w:hAnsi="宋体" w:eastAsia="宋体" w:cs="宋体"/>
          <w:b/>
          <w:bCs/>
          <w:color w:val="auto"/>
          <w:sz w:val="32"/>
          <w:szCs w:val="32"/>
          <w:highlight w:val="none"/>
          <w:lang w:val="zh-CN"/>
        </w:rPr>
      </w:pPr>
    </w:p>
    <w:p w14:paraId="33365594">
      <w:pPr>
        <w:bidi w:val="0"/>
        <w:ind w:left="0" w:leftChars="0" w:firstLine="0" w:firstLineChars="0"/>
        <w:jc w:val="center"/>
        <w:rPr>
          <w:rFonts w:hint="eastAsia" w:ascii="宋体" w:hAnsi="宋体" w:eastAsia="宋体" w:cs="宋体"/>
          <w:b/>
          <w:bCs/>
          <w:color w:val="auto"/>
          <w:sz w:val="32"/>
          <w:szCs w:val="32"/>
          <w:highlight w:val="none"/>
          <w:lang w:val="zh-CN"/>
        </w:rPr>
      </w:pPr>
      <w:r>
        <w:rPr>
          <w:rFonts w:hint="eastAsia" w:ascii="宋体" w:hAnsi="宋体" w:eastAsia="宋体" w:cs="宋体"/>
          <w:b/>
          <w:bCs/>
          <w:color w:val="auto"/>
          <w:sz w:val="32"/>
          <w:szCs w:val="32"/>
          <w:highlight w:val="none"/>
          <w:lang w:val="zh-CN"/>
        </w:rPr>
        <w:t>供应商认为在其他方面有必要说明的事项</w:t>
      </w:r>
    </w:p>
    <w:p w14:paraId="4E97888D">
      <w:pPr>
        <w:bidi w:val="0"/>
        <w:rPr>
          <w:rFonts w:hint="eastAsia" w:ascii="宋体" w:hAnsi="宋体" w:eastAsia="宋体" w:cs="宋体"/>
          <w:color w:val="auto"/>
          <w:highlight w:val="none"/>
          <w:lang w:val="zh-CN"/>
        </w:rPr>
      </w:pPr>
      <w:bookmarkStart w:id="178" w:name="_Toc25058"/>
      <w:bookmarkStart w:id="179" w:name="_Toc74901848"/>
      <w:bookmarkStart w:id="180" w:name="_Toc69898423"/>
    </w:p>
    <w:p w14:paraId="7F3E6F11">
      <w:pPr>
        <w:bidi w:val="0"/>
        <w:rPr>
          <w:rFonts w:hint="eastAsia" w:ascii="宋体" w:hAnsi="宋体" w:eastAsia="宋体" w:cs="宋体"/>
          <w:color w:val="auto"/>
          <w:highlight w:val="none"/>
          <w:lang w:val="zh-CN"/>
        </w:rPr>
      </w:pPr>
    </w:p>
    <w:p w14:paraId="781E306D">
      <w:pPr>
        <w:bidi w:val="0"/>
        <w:rPr>
          <w:rFonts w:hint="eastAsia" w:ascii="宋体" w:hAnsi="宋体" w:eastAsia="宋体" w:cs="宋体"/>
          <w:b/>
          <w:bCs/>
          <w:color w:val="auto"/>
          <w:highlight w:val="none"/>
          <w:lang w:val="zh-CN"/>
        </w:rPr>
      </w:pPr>
      <w:r>
        <w:rPr>
          <w:rFonts w:hint="eastAsia" w:ascii="宋体" w:hAnsi="宋体" w:eastAsia="宋体" w:cs="宋体"/>
          <w:b/>
          <w:bCs/>
          <w:color w:val="auto"/>
          <w:highlight w:val="none"/>
          <w:lang w:val="zh-CN"/>
        </w:rPr>
        <w:t>格式自拟</w:t>
      </w:r>
      <w:bookmarkEnd w:id="178"/>
    </w:p>
    <w:p w14:paraId="5F82EA68">
      <w:pPr>
        <w:bidi w:val="0"/>
        <w:rPr>
          <w:rFonts w:hint="eastAsia" w:ascii="宋体" w:hAnsi="宋体" w:eastAsia="宋体" w:cs="宋体"/>
          <w:color w:val="auto"/>
          <w:highlight w:val="none"/>
          <w:lang w:val="zh-CN"/>
        </w:rPr>
      </w:pPr>
    </w:p>
    <w:bookmarkEnd w:id="179"/>
    <w:bookmarkEnd w:id="180"/>
    <w:p w14:paraId="3228E932">
      <w:pPr>
        <w:bidi w:val="0"/>
        <w:rPr>
          <w:rFonts w:hint="eastAsia" w:ascii="宋体" w:hAnsi="宋体" w:eastAsia="宋体" w:cs="宋体"/>
          <w:color w:val="auto"/>
          <w:highlight w:val="none"/>
          <w:lang w:val="zh-CN" w:eastAsia="zh-CN"/>
        </w:rPr>
      </w:pPr>
      <w:bookmarkStart w:id="181" w:name="_Toc6454"/>
      <w:bookmarkStart w:id="182" w:name="_Toc22784_WPSOffice_Level3"/>
      <w:bookmarkStart w:id="183" w:name="_Toc31539"/>
      <w:bookmarkStart w:id="184" w:name="_Toc325726051"/>
      <w:bookmarkStart w:id="185" w:name="_Toc376936782"/>
    </w:p>
    <w:p w14:paraId="6AB366E8">
      <w:pPr>
        <w:bidi w:val="0"/>
        <w:rPr>
          <w:rFonts w:hint="eastAsia" w:ascii="宋体" w:hAnsi="宋体" w:eastAsia="宋体" w:cs="宋体"/>
          <w:color w:val="auto"/>
          <w:highlight w:val="none"/>
          <w:lang w:val="zh-CN"/>
        </w:rPr>
      </w:pPr>
    </w:p>
    <w:p w14:paraId="718BC45C">
      <w:pPr>
        <w:bidi w:val="0"/>
        <w:rPr>
          <w:rFonts w:hint="eastAsia" w:ascii="宋体" w:hAnsi="宋体" w:eastAsia="宋体" w:cs="宋体"/>
          <w:color w:val="auto"/>
          <w:highlight w:val="none"/>
          <w:lang w:val="zh-CN"/>
        </w:rPr>
      </w:pPr>
    </w:p>
    <w:p w14:paraId="592854C5">
      <w:pPr>
        <w:bidi w:val="0"/>
        <w:rPr>
          <w:rFonts w:hint="eastAsia" w:ascii="宋体" w:hAnsi="宋体" w:eastAsia="宋体" w:cs="宋体"/>
          <w:color w:val="auto"/>
          <w:highlight w:val="none"/>
          <w:lang w:val="zh-CN"/>
        </w:rPr>
      </w:pPr>
    </w:p>
    <w:p w14:paraId="0F75D769">
      <w:pPr>
        <w:bidi w:val="0"/>
        <w:rPr>
          <w:rFonts w:hint="eastAsia" w:ascii="宋体" w:hAnsi="宋体" w:eastAsia="宋体" w:cs="宋体"/>
          <w:color w:val="auto"/>
          <w:highlight w:val="none"/>
          <w:lang w:val="zh-CN"/>
        </w:rPr>
      </w:pPr>
    </w:p>
    <w:p w14:paraId="4D905F71">
      <w:pPr>
        <w:bidi w:val="0"/>
        <w:rPr>
          <w:rFonts w:hint="eastAsia" w:ascii="宋体" w:hAnsi="宋体" w:eastAsia="宋体" w:cs="宋体"/>
          <w:color w:val="auto"/>
          <w:highlight w:val="none"/>
          <w:lang w:val="zh-CN"/>
        </w:rPr>
      </w:pPr>
    </w:p>
    <w:p w14:paraId="6D5328C1">
      <w:pPr>
        <w:bidi w:val="0"/>
        <w:rPr>
          <w:rFonts w:hint="eastAsia" w:ascii="宋体" w:hAnsi="宋体" w:eastAsia="宋体" w:cs="宋体"/>
          <w:color w:val="auto"/>
          <w:highlight w:val="none"/>
          <w:lang w:val="zh-CN"/>
        </w:rPr>
      </w:pPr>
    </w:p>
    <w:p w14:paraId="5BAD77C4">
      <w:pPr>
        <w:bidi w:val="0"/>
        <w:rPr>
          <w:rFonts w:hint="eastAsia" w:ascii="宋体" w:hAnsi="宋体" w:eastAsia="宋体" w:cs="宋体"/>
          <w:color w:val="auto"/>
          <w:highlight w:val="none"/>
          <w:lang w:val="zh-CN"/>
        </w:rPr>
      </w:pPr>
    </w:p>
    <w:p w14:paraId="14566D19">
      <w:pPr>
        <w:bidi w:val="0"/>
        <w:rPr>
          <w:rFonts w:hint="eastAsia" w:ascii="宋体" w:hAnsi="宋体" w:eastAsia="宋体" w:cs="宋体"/>
          <w:color w:val="auto"/>
          <w:highlight w:val="none"/>
          <w:lang w:val="zh-CN"/>
        </w:rPr>
      </w:pPr>
    </w:p>
    <w:p w14:paraId="0D19838C">
      <w:pPr>
        <w:bidi w:val="0"/>
        <w:rPr>
          <w:rFonts w:hint="eastAsia" w:ascii="宋体" w:hAnsi="宋体" w:eastAsia="宋体" w:cs="宋体"/>
          <w:color w:val="auto"/>
          <w:highlight w:val="none"/>
          <w:lang w:val="zh-CN"/>
        </w:rPr>
      </w:pPr>
    </w:p>
    <w:p w14:paraId="64F9A8BA">
      <w:pPr>
        <w:bidi w:val="0"/>
        <w:rPr>
          <w:rFonts w:hint="eastAsia" w:ascii="宋体" w:hAnsi="宋体" w:eastAsia="宋体" w:cs="宋体"/>
          <w:color w:val="auto"/>
          <w:highlight w:val="none"/>
          <w:lang w:val="zh-CN"/>
        </w:rPr>
      </w:pPr>
    </w:p>
    <w:p w14:paraId="75C1C16F">
      <w:pPr>
        <w:bidi w:val="0"/>
        <w:rPr>
          <w:rFonts w:hint="eastAsia" w:ascii="宋体" w:hAnsi="宋体" w:eastAsia="宋体" w:cs="宋体"/>
          <w:color w:val="auto"/>
          <w:highlight w:val="none"/>
          <w:lang w:val="zh-CN"/>
        </w:rPr>
      </w:pPr>
    </w:p>
    <w:p w14:paraId="482FDDAE">
      <w:pPr>
        <w:bidi w:val="0"/>
        <w:rPr>
          <w:rFonts w:hint="eastAsia" w:ascii="宋体" w:hAnsi="宋体" w:eastAsia="宋体" w:cs="宋体"/>
          <w:color w:val="auto"/>
          <w:highlight w:val="none"/>
          <w:lang w:val="zh-CN"/>
        </w:rPr>
      </w:pPr>
    </w:p>
    <w:p w14:paraId="75956D3C">
      <w:pPr>
        <w:bidi w:val="0"/>
        <w:rPr>
          <w:rFonts w:hint="eastAsia" w:ascii="宋体" w:hAnsi="宋体" w:eastAsia="宋体" w:cs="宋体"/>
          <w:color w:val="auto"/>
          <w:highlight w:val="none"/>
          <w:lang w:val="zh-CN"/>
        </w:rPr>
      </w:pPr>
    </w:p>
    <w:p w14:paraId="6738F024">
      <w:pPr>
        <w:bidi w:val="0"/>
        <w:rPr>
          <w:rFonts w:hint="eastAsia" w:ascii="宋体" w:hAnsi="宋体" w:eastAsia="宋体" w:cs="宋体"/>
          <w:color w:val="auto"/>
          <w:highlight w:val="none"/>
          <w:lang w:val="zh-CN"/>
        </w:rPr>
      </w:pPr>
    </w:p>
    <w:p w14:paraId="3EAE4034">
      <w:pPr>
        <w:bidi w:val="0"/>
        <w:rPr>
          <w:rFonts w:hint="eastAsia" w:ascii="宋体" w:hAnsi="宋体" w:eastAsia="宋体" w:cs="宋体"/>
          <w:color w:val="auto"/>
          <w:highlight w:val="none"/>
          <w:lang w:val="zh-CN"/>
        </w:rPr>
      </w:pPr>
    </w:p>
    <w:p w14:paraId="71ACCC87">
      <w:pPr>
        <w:bidi w:val="0"/>
        <w:rPr>
          <w:rFonts w:hint="eastAsia" w:ascii="宋体" w:hAnsi="宋体" w:eastAsia="宋体" w:cs="宋体"/>
          <w:color w:val="auto"/>
          <w:highlight w:val="none"/>
          <w:lang w:val="zh-CN"/>
        </w:rPr>
      </w:pPr>
    </w:p>
    <w:p w14:paraId="1841A4C9">
      <w:pPr>
        <w:bidi w:val="0"/>
        <w:rPr>
          <w:rFonts w:hint="eastAsia" w:ascii="宋体" w:hAnsi="宋体" w:eastAsia="宋体" w:cs="宋体"/>
          <w:color w:val="auto"/>
          <w:highlight w:val="none"/>
          <w:lang w:val="zh-CN"/>
        </w:rPr>
      </w:pPr>
    </w:p>
    <w:p w14:paraId="321D9ED6">
      <w:pPr>
        <w:rPr>
          <w:rFonts w:hint="eastAsia" w:ascii="宋体" w:hAnsi="宋体" w:eastAsia="宋体" w:cs="宋体"/>
          <w:smallCaps/>
          <w:color w:val="auto"/>
          <w:spacing w:val="20"/>
          <w:sz w:val="28"/>
          <w:szCs w:val="28"/>
          <w:highlight w:val="none"/>
        </w:rPr>
      </w:pPr>
      <w:r>
        <w:rPr>
          <w:rFonts w:hint="eastAsia" w:ascii="宋体" w:hAnsi="宋体" w:eastAsia="宋体" w:cs="宋体"/>
          <w:smallCaps/>
          <w:color w:val="auto"/>
          <w:spacing w:val="20"/>
          <w:sz w:val="28"/>
          <w:szCs w:val="28"/>
          <w:highlight w:val="none"/>
        </w:rPr>
        <w:br w:type="page"/>
      </w:r>
    </w:p>
    <w:p w14:paraId="589D2452">
      <w:pPr>
        <w:pStyle w:val="5"/>
        <w:bidi w:val="0"/>
        <w:jc w:val="both"/>
        <w:rPr>
          <w:rFonts w:hint="eastAsia" w:ascii="宋体" w:hAnsi="宋体" w:eastAsia="宋体" w:cs="宋体"/>
          <w:color w:val="auto"/>
          <w:highlight w:val="none"/>
        </w:rPr>
      </w:pPr>
      <w:bookmarkStart w:id="186" w:name="_Toc24821"/>
      <w:r>
        <w:rPr>
          <w:rFonts w:hint="eastAsia" w:ascii="宋体" w:hAnsi="宋体" w:eastAsia="宋体" w:cs="宋体"/>
          <w:color w:val="auto"/>
          <w:highlight w:val="none"/>
        </w:rPr>
        <w:t>附件</w:t>
      </w:r>
      <w:r>
        <w:rPr>
          <w:rFonts w:hint="eastAsia" w:ascii="宋体" w:hAnsi="宋体" w:cs="宋体"/>
          <w:color w:val="auto"/>
          <w:highlight w:val="none"/>
          <w:lang w:val="en-US" w:eastAsia="zh-CN"/>
        </w:rPr>
        <w:t>19</w:t>
      </w:r>
      <w:r>
        <w:rPr>
          <w:rFonts w:hint="eastAsia" w:ascii="宋体" w:hAnsi="宋体" w:eastAsia="宋体" w:cs="宋体"/>
          <w:color w:val="auto"/>
          <w:highlight w:val="none"/>
        </w:rPr>
        <w:t>：享受政府采购政策优惠的证明资料</w:t>
      </w:r>
      <w:bookmarkEnd w:id="186"/>
    </w:p>
    <w:p w14:paraId="6C9AAD9E">
      <w:pPr>
        <w:bidi w:val="0"/>
        <w:ind w:left="0" w:leftChars="0" w:firstLine="0" w:firstLineChars="0"/>
        <w:rPr>
          <w:rFonts w:hint="eastAsia" w:ascii="宋体" w:hAnsi="宋体" w:eastAsia="宋体" w:cs="宋体"/>
          <w:color w:val="auto"/>
          <w:highlight w:val="none"/>
        </w:rPr>
      </w:pPr>
    </w:p>
    <w:p w14:paraId="5D0A1B1F">
      <w:pPr>
        <w:bidi w:val="0"/>
        <w:ind w:left="0" w:leftChars="0" w:firstLine="0" w:firstLineChars="0"/>
        <w:jc w:val="center"/>
        <w:rPr>
          <w:rFonts w:hint="eastAsia" w:ascii="宋体" w:hAnsi="宋体" w:eastAsia="宋体" w:cs="宋体"/>
          <w:b/>
          <w:bCs/>
          <w:color w:val="auto"/>
          <w:sz w:val="32"/>
          <w:szCs w:val="32"/>
          <w:highlight w:val="none"/>
          <w:lang w:val="zh-CN"/>
        </w:rPr>
      </w:pPr>
      <w:r>
        <w:rPr>
          <w:rFonts w:hint="eastAsia" w:ascii="宋体" w:hAnsi="宋体" w:eastAsia="宋体" w:cs="宋体"/>
          <w:b/>
          <w:bCs/>
          <w:color w:val="auto"/>
          <w:sz w:val="32"/>
          <w:szCs w:val="32"/>
          <w:highlight w:val="none"/>
          <w:lang w:val="zh-CN"/>
        </w:rPr>
        <w:t>1.中小企业声明函</w:t>
      </w:r>
      <w:bookmarkEnd w:id="181"/>
      <w:bookmarkEnd w:id="182"/>
      <w:bookmarkEnd w:id="183"/>
      <w:r>
        <w:rPr>
          <w:rFonts w:hint="eastAsia" w:ascii="宋体" w:hAnsi="宋体" w:eastAsia="宋体" w:cs="宋体"/>
          <w:b/>
          <w:bCs/>
          <w:color w:val="auto"/>
          <w:sz w:val="32"/>
          <w:szCs w:val="32"/>
          <w:highlight w:val="none"/>
          <w:lang w:val="zh-CN"/>
        </w:rPr>
        <w:t>（服务）</w:t>
      </w:r>
    </w:p>
    <w:p w14:paraId="14169680">
      <w:pPr>
        <w:bidi w:val="0"/>
        <w:rPr>
          <w:rFonts w:hint="eastAsia" w:ascii="宋体" w:hAnsi="宋体" w:eastAsia="宋体" w:cs="宋体"/>
          <w:color w:val="auto"/>
          <w:highlight w:val="none"/>
        </w:rPr>
      </w:pPr>
      <w:bookmarkStart w:id="187" w:name="_Toc16462_WPSOffice_Level2"/>
      <w:bookmarkStart w:id="188" w:name="_Toc22185_WPSOffice_Level2"/>
      <w:bookmarkStart w:id="189" w:name="_Toc17607_WPSOffice_Level2"/>
      <w:r>
        <w:rPr>
          <w:rFonts w:hint="eastAsia" w:ascii="宋体" w:hAnsi="宋体" w:eastAsia="宋体" w:cs="宋体"/>
          <w:color w:val="auto"/>
          <w:highlight w:val="none"/>
        </w:rPr>
        <w:t>本公司郑重声明，根据《政府采购促进中小企业发展管理办法》（财库﹝2020﹞46 号）的规定，本公司参加</w:t>
      </w:r>
      <w:r>
        <w:rPr>
          <w:rFonts w:hint="eastAsia" w:ascii="宋体" w:hAnsi="宋体" w:cs="宋体"/>
          <w:color w:val="auto"/>
          <w:highlight w:val="none"/>
          <w:u w:val="single"/>
          <w:lang w:eastAsia="zh-CN"/>
        </w:rPr>
        <w:t>青海省财政厅</w:t>
      </w:r>
      <w:r>
        <w:rPr>
          <w:rFonts w:hint="eastAsia" w:ascii="宋体" w:hAnsi="宋体" w:eastAsia="宋体" w:cs="宋体"/>
          <w:color w:val="auto"/>
          <w:highlight w:val="none"/>
        </w:rPr>
        <w:t>的</w:t>
      </w:r>
      <w:r>
        <w:rPr>
          <w:rFonts w:hint="eastAsia" w:ascii="宋体" w:hAnsi="宋体" w:cs="宋体"/>
          <w:color w:val="auto"/>
          <w:highlight w:val="none"/>
          <w:u w:val="single"/>
          <w:lang w:val="zh-CN"/>
        </w:rPr>
        <w:t>青海省财政厅信息机房设备维保服务项目</w:t>
      </w:r>
      <w:r>
        <w:rPr>
          <w:rFonts w:hint="eastAsia" w:ascii="宋体" w:hAnsi="宋体" w:eastAsia="宋体" w:cs="宋体"/>
          <w:color w:val="auto"/>
          <w:highlight w:val="none"/>
        </w:rPr>
        <w:t>采购活动，服务全部由符合政策要求的中小企业承接。相关企业的具体情况如下：</w:t>
      </w:r>
    </w:p>
    <w:p w14:paraId="0578596F">
      <w:pPr>
        <w:bidi w:val="0"/>
        <w:rPr>
          <w:rFonts w:hint="eastAsia" w:ascii="宋体" w:hAnsi="宋体" w:eastAsia="宋体" w:cs="宋体"/>
          <w:color w:val="auto"/>
          <w:highlight w:val="none"/>
        </w:rPr>
      </w:pPr>
      <w:r>
        <w:rPr>
          <w:rFonts w:hint="eastAsia" w:ascii="宋体" w:hAnsi="宋体" w:cs="宋体"/>
          <w:color w:val="auto"/>
          <w:highlight w:val="none"/>
          <w:u w:val="single"/>
          <w:lang w:val="zh-CN"/>
        </w:rPr>
        <w:t>青海省财政厅信息机房设备维保服务项目</w:t>
      </w:r>
      <w:r>
        <w:rPr>
          <w:rFonts w:hint="eastAsia" w:ascii="宋体" w:hAnsi="宋体" w:eastAsia="宋体" w:cs="宋体"/>
          <w:color w:val="auto"/>
          <w:highlight w:val="none"/>
        </w:rPr>
        <w:t>，属于</w:t>
      </w:r>
      <w:r>
        <w:rPr>
          <w:rFonts w:hint="eastAsia" w:ascii="宋体" w:hAnsi="宋体" w:eastAsia="宋体" w:cs="宋体"/>
          <w:color w:val="auto"/>
          <w:highlight w:val="none"/>
          <w:u w:val="single"/>
        </w:rPr>
        <w:t>（</w:t>
      </w:r>
      <w:r>
        <w:rPr>
          <w:rFonts w:hint="eastAsia" w:ascii="宋体" w:hAnsi="宋体" w:cs="宋体"/>
          <w:color w:val="auto"/>
          <w:highlight w:val="none"/>
          <w:u w:val="single"/>
          <w:lang w:val="en-US" w:eastAsia="zh-CN"/>
        </w:rPr>
        <w:t>软件和信息技术服务业</w:t>
      </w:r>
      <w:r>
        <w:rPr>
          <w:rFonts w:hint="eastAsia" w:ascii="宋体" w:hAnsi="宋体" w:eastAsia="宋体" w:cs="宋体"/>
          <w:color w:val="auto"/>
          <w:highlight w:val="none"/>
          <w:u w:val="single"/>
        </w:rPr>
        <w:t>）</w:t>
      </w:r>
      <w:r>
        <w:rPr>
          <w:rFonts w:hint="eastAsia" w:ascii="宋体" w:hAnsi="宋体" w:eastAsia="宋体" w:cs="宋体"/>
          <w:color w:val="auto"/>
          <w:highlight w:val="none"/>
        </w:rPr>
        <w:t>；承接企业为</w:t>
      </w:r>
      <w:r>
        <w:rPr>
          <w:rFonts w:hint="eastAsia" w:ascii="宋体" w:hAnsi="宋体" w:eastAsia="宋体" w:cs="宋体"/>
          <w:color w:val="auto"/>
          <w:highlight w:val="none"/>
          <w:u w:val="single"/>
        </w:rPr>
        <w:t>（企业名称）</w:t>
      </w:r>
      <w:r>
        <w:rPr>
          <w:rFonts w:hint="eastAsia" w:ascii="宋体" w:hAnsi="宋体" w:eastAsia="宋体" w:cs="宋体"/>
          <w:color w:val="auto"/>
          <w:highlight w:val="none"/>
        </w:rPr>
        <w:t>，从业人员</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人，营业收入为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万元，资产总额为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万元</w:t>
      </w:r>
      <w:r>
        <w:rPr>
          <w:rFonts w:hint="eastAsia" w:ascii="宋体" w:hAnsi="宋体" w:eastAsia="宋体" w:cs="宋体"/>
          <w:color w:val="auto"/>
          <w:highlight w:val="none"/>
          <w:vertAlign w:val="superscript"/>
        </w:rPr>
        <w:t>1</w:t>
      </w:r>
      <w:r>
        <w:rPr>
          <w:rFonts w:hint="eastAsia" w:ascii="宋体" w:hAnsi="宋体" w:eastAsia="宋体" w:cs="宋体"/>
          <w:color w:val="auto"/>
          <w:highlight w:val="none"/>
        </w:rPr>
        <w:t>，属于</w:t>
      </w:r>
      <w:r>
        <w:rPr>
          <w:rFonts w:hint="eastAsia" w:ascii="宋体" w:hAnsi="宋体" w:eastAsia="宋体" w:cs="宋体"/>
          <w:color w:val="auto"/>
          <w:highlight w:val="none"/>
          <w:u w:val="single"/>
        </w:rPr>
        <w:t xml:space="preserve">       （中型企业、小型企业、微型企业）</w:t>
      </w:r>
      <w:r>
        <w:rPr>
          <w:rFonts w:hint="eastAsia" w:ascii="宋体" w:hAnsi="宋体" w:eastAsia="宋体" w:cs="宋体"/>
          <w:color w:val="auto"/>
          <w:highlight w:val="none"/>
        </w:rPr>
        <w:t>；</w:t>
      </w:r>
    </w:p>
    <w:p w14:paraId="31B38AF5">
      <w:pPr>
        <w:bidi w:val="0"/>
        <w:rPr>
          <w:rFonts w:hint="eastAsia" w:ascii="宋体" w:hAnsi="宋体" w:eastAsia="宋体" w:cs="宋体"/>
          <w:color w:val="auto"/>
          <w:highlight w:val="none"/>
        </w:rPr>
      </w:pPr>
    </w:p>
    <w:p w14:paraId="5A6779FF">
      <w:pPr>
        <w:bidi w:val="0"/>
        <w:rPr>
          <w:rFonts w:hint="eastAsia" w:ascii="宋体" w:hAnsi="宋体" w:eastAsia="宋体" w:cs="宋体"/>
          <w:color w:val="auto"/>
          <w:highlight w:val="none"/>
        </w:rPr>
      </w:pPr>
      <w:r>
        <w:rPr>
          <w:rFonts w:hint="eastAsia" w:ascii="宋体" w:hAnsi="宋体" w:eastAsia="宋体" w:cs="宋体"/>
          <w:color w:val="auto"/>
          <w:highlight w:val="none"/>
        </w:rPr>
        <w:t>……</w:t>
      </w:r>
    </w:p>
    <w:p w14:paraId="478B13D9">
      <w:pPr>
        <w:bidi w:val="0"/>
        <w:rPr>
          <w:rFonts w:hint="eastAsia" w:ascii="宋体" w:hAnsi="宋体" w:eastAsia="宋体" w:cs="宋体"/>
          <w:color w:val="auto"/>
          <w:highlight w:val="none"/>
        </w:rPr>
      </w:pPr>
      <w:r>
        <w:rPr>
          <w:rFonts w:hint="eastAsia" w:ascii="宋体" w:hAnsi="宋体" w:eastAsia="宋体" w:cs="宋体"/>
          <w:color w:val="auto"/>
          <w:highlight w:val="none"/>
        </w:rPr>
        <w:t>以上企业，不属于大企业的分支机构，不存在控股股东为大企业的情形，也不存在与大企业的负责人为同一人的情形。</w:t>
      </w:r>
    </w:p>
    <w:p w14:paraId="1E75839F">
      <w:pPr>
        <w:bidi w:val="0"/>
        <w:rPr>
          <w:rFonts w:hint="eastAsia" w:ascii="宋体" w:hAnsi="宋体" w:eastAsia="宋体" w:cs="宋体"/>
          <w:color w:val="auto"/>
          <w:highlight w:val="none"/>
        </w:rPr>
      </w:pPr>
      <w:r>
        <w:rPr>
          <w:rFonts w:hint="eastAsia" w:ascii="宋体" w:hAnsi="宋体" w:eastAsia="宋体" w:cs="宋体"/>
          <w:color w:val="auto"/>
          <w:highlight w:val="none"/>
        </w:rPr>
        <w:t>本企业对上述声明内容的真实性负责。如有虚假，将依法承担相应责任。</w:t>
      </w:r>
    </w:p>
    <w:p w14:paraId="45AC11BD">
      <w:pPr>
        <w:bidi w:val="0"/>
        <w:rPr>
          <w:rFonts w:hint="eastAsia" w:ascii="宋体" w:hAnsi="宋体" w:eastAsia="宋体" w:cs="宋体"/>
          <w:color w:val="auto"/>
          <w:highlight w:val="none"/>
        </w:rPr>
      </w:pPr>
    </w:p>
    <w:p w14:paraId="7ABA54D8">
      <w:pPr>
        <w:bidi w:val="0"/>
        <w:rPr>
          <w:rFonts w:hint="eastAsia" w:ascii="宋体" w:hAnsi="宋体" w:eastAsia="宋体" w:cs="宋体"/>
          <w:color w:val="auto"/>
          <w:highlight w:val="none"/>
        </w:rPr>
      </w:pPr>
    </w:p>
    <w:p w14:paraId="31ABB073">
      <w:pPr>
        <w:bidi w:val="0"/>
        <w:rPr>
          <w:rFonts w:hint="eastAsia" w:ascii="宋体" w:hAnsi="宋体" w:eastAsia="宋体" w:cs="宋体"/>
          <w:color w:val="auto"/>
          <w:highlight w:val="none"/>
        </w:rPr>
      </w:pPr>
    </w:p>
    <w:p w14:paraId="707B6D03">
      <w:pPr>
        <w:wordWrap w:val="0"/>
        <w:bidi w:val="0"/>
        <w:jc w:val="right"/>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企业名称（盖章）：</w:t>
      </w:r>
      <w:r>
        <w:rPr>
          <w:rFonts w:hint="eastAsia" w:ascii="宋体" w:hAnsi="宋体" w:eastAsia="宋体" w:cs="宋体"/>
          <w:color w:val="auto"/>
          <w:highlight w:val="none"/>
          <w:lang w:val="en-US" w:eastAsia="zh-CN"/>
        </w:rPr>
        <w:t xml:space="preserve">   </w:t>
      </w:r>
    </w:p>
    <w:p w14:paraId="7B167C77">
      <w:pPr>
        <w:wordWrap w:val="0"/>
        <w:bidi w:val="0"/>
        <w:jc w:val="right"/>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日 期：</w:t>
      </w:r>
      <w:r>
        <w:rPr>
          <w:rFonts w:hint="eastAsia" w:ascii="宋体" w:hAnsi="宋体" w:eastAsia="宋体" w:cs="宋体"/>
          <w:color w:val="auto"/>
          <w:highlight w:val="none"/>
          <w:lang w:val="en-US" w:eastAsia="zh-CN"/>
        </w:rPr>
        <w:t xml:space="preserve">   </w:t>
      </w:r>
    </w:p>
    <w:p w14:paraId="22BF9DFA">
      <w:pPr>
        <w:bidi w:val="0"/>
        <w:rPr>
          <w:rFonts w:hint="eastAsia" w:ascii="宋体" w:hAnsi="宋体" w:eastAsia="宋体" w:cs="宋体"/>
          <w:color w:val="auto"/>
          <w:highlight w:val="none"/>
        </w:rPr>
      </w:pPr>
    </w:p>
    <w:p w14:paraId="5E21790E">
      <w:pPr>
        <w:bidi w:val="0"/>
        <w:rPr>
          <w:rFonts w:hint="eastAsia" w:ascii="宋体" w:hAnsi="宋体" w:eastAsia="宋体" w:cs="宋体"/>
          <w:color w:val="auto"/>
          <w:highlight w:val="none"/>
        </w:rPr>
      </w:pPr>
    </w:p>
    <w:p w14:paraId="19237C56">
      <w:pPr>
        <w:bidi w:val="0"/>
        <w:rPr>
          <w:rFonts w:hint="eastAsia" w:ascii="宋体" w:hAnsi="宋体" w:eastAsia="宋体" w:cs="宋体"/>
          <w:color w:val="auto"/>
          <w:highlight w:val="none"/>
        </w:rPr>
      </w:pPr>
    </w:p>
    <w:p w14:paraId="3898017C">
      <w:pPr>
        <w:bidi w:val="0"/>
        <w:ind w:left="0" w:leftChars="0" w:firstLine="0" w:firstLineChars="0"/>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vertAlign w:val="superscript"/>
        </w:rPr>
        <w:t>1</w:t>
      </w:r>
      <w:r>
        <w:rPr>
          <w:rFonts w:hint="eastAsia" w:ascii="宋体" w:hAnsi="宋体" w:eastAsia="宋体" w:cs="宋体"/>
          <w:color w:val="auto"/>
          <w:highlight w:val="none"/>
        </w:rPr>
        <w:t>从业人员、营业收入、资产总额填报上一年度数据，无上一年度数据的新成立企业可不填报。</w:t>
      </w:r>
    </w:p>
    <w:p w14:paraId="0AF5AE2C">
      <w:pPr>
        <w:bidi w:val="0"/>
        <w:rPr>
          <w:rFonts w:hint="default" w:ascii="宋体" w:hAnsi="宋体" w:eastAsia="宋体" w:cs="宋体"/>
          <w:color w:val="auto"/>
          <w:highlight w:val="none"/>
          <w:lang w:val="en-US" w:eastAsia="zh-CN"/>
        </w:rPr>
      </w:pPr>
    </w:p>
    <w:p w14:paraId="17D122BE">
      <w:pPr>
        <w:bidi w:val="0"/>
        <w:rPr>
          <w:rFonts w:hint="eastAsia" w:ascii="宋体" w:hAnsi="宋体" w:eastAsia="宋体" w:cs="宋体"/>
          <w:color w:val="auto"/>
          <w:highlight w:val="none"/>
        </w:rPr>
      </w:pPr>
      <w:r>
        <w:rPr>
          <w:rFonts w:hint="eastAsia" w:ascii="宋体" w:hAnsi="宋体" w:eastAsia="宋体" w:cs="宋体"/>
          <w:color w:val="auto"/>
          <w:highlight w:val="none"/>
        </w:rPr>
        <w:t>若无此项内容，可不提供此函。</w:t>
      </w:r>
    </w:p>
    <w:bookmarkEnd w:id="187"/>
    <w:bookmarkEnd w:id="188"/>
    <w:bookmarkEnd w:id="189"/>
    <w:p w14:paraId="2AE0FF46">
      <w:pPr>
        <w:pStyle w:val="8"/>
        <w:rPr>
          <w:rFonts w:hint="eastAsia" w:ascii="宋体" w:hAnsi="宋体" w:eastAsia="宋体" w:cs="宋体"/>
          <w:color w:val="auto"/>
          <w:highlight w:val="none"/>
        </w:rPr>
      </w:pPr>
      <w:bookmarkStart w:id="190" w:name="_Toc11740"/>
      <w:bookmarkStart w:id="191" w:name="_Toc12160"/>
      <w:bookmarkStart w:id="192" w:name="_Toc14211_WPSOffice_Level3"/>
    </w:p>
    <w:p w14:paraId="4D931612">
      <w:pPr>
        <w:bidi w:val="0"/>
        <w:ind w:left="0" w:leftChars="0" w:firstLine="0" w:firstLineChars="0"/>
        <w:jc w:val="center"/>
        <w:rPr>
          <w:rFonts w:hint="eastAsia" w:ascii="宋体" w:hAnsi="宋体" w:eastAsia="宋体" w:cs="宋体"/>
          <w:b/>
          <w:bCs/>
          <w:color w:val="auto"/>
          <w:sz w:val="32"/>
          <w:szCs w:val="32"/>
          <w:highlight w:val="none"/>
          <w:lang w:val="zh-CN"/>
        </w:rPr>
      </w:pPr>
      <w:r>
        <w:rPr>
          <w:rFonts w:hint="eastAsia" w:ascii="宋体" w:hAnsi="宋体" w:eastAsia="宋体" w:cs="宋体"/>
          <w:b/>
          <w:bCs/>
          <w:color w:val="auto"/>
          <w:sz w:val="32"/>
          <w:szCs w:val="32"/>
          <w:highlight w:val="none"/>
          <w:lang w:val="zh-CN"/>
        </w:rPr>
        <w:t>2.残疾人福利性单位声明函</w:t>
      </w:r>
      <w:bookmarkEnd w:id="190"/>
      <w:bookmarkEnd w:id="191"/>
      <w:bookmarkEnd w:id="192"/>
    </w:p>
    <w:p w14:paraId="07DC928F">
      <w:pPr>
        <w:bidi w:val="0"/>
        <w:rPr>
          <w:rFonts w:hint="eastAsia" w:ascii="宋体" w:hAnsi="宋体" w:eastAsia="宋体" w:cs="宋体"/>
          <w:color w:val="auto"/>
          <w:highlight w:val="none"/>
        </w:rPr>
      </w:pPr>
    </w:p>
    <w:p w14:paraId="4B07945E">
      <w:pPr>
        <w:bidi w:val="0"/>
        <w:rPr>
          <w:rFonts w:hint="eastAsia" w:ascii="宋体" w:hAnsi="宋体" w:eastAsia="宋体" w:cs="宋体"/>
          <w:color w:val="auto"/>
          <w:highlight w:val="none"/>
        </w:rPr>
      </w:pPr>
      <w:r>
        <w:rPr>
          <w:rFonts w:hint="eastAsia" w:ascii="宋体" w:hAnsi="宋体" w:eastAsia="宋体" w:cs="宋体"/>
          <w:color w:val="auto"/>
          <w:highlight w:val="none"/>
        </w:rPr>
        <w:t>本单位郑重声明，根据《财政部 民政部 中国残疾人联合会关于促进残疾人就业政府采购政策的通知》（财库〔2017〕 141号）的规定，本单位为符合条件的残疾人福利性单位，且本单位参加</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rPr>
        <w:t>单位的</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rPr>
        <w:t>项目采购活动提供本单位制造的货物（由本单位承担工程/提供服务），或者提供其他残疾人福利性单位制造的货物（不包括使用非残疾人福利性单位注册商标的货物）。</w:t>
      </w:r>
    </w:p>
    <w:p w14:paraId="66A0D614">
      <w:pPr>
        <w:bidi w:val="0"/>
        <w:rPr>
          <w:rFonts w:hint="eastAsia" w:ascii="宋体" w:hAnsi="宋体" w:eastAsia="宋体" w:cs="宋体"/>
          <w:color w:val="auto"/>
          <w:highlight w:val="none"/>
        </w:rPr>
      </w:pPr>
      <w:r>
        <w:rPr>
          <w:rFonts w:hint="eastAsia" w:ascii="宋体" w:hAnsi="宋体" w:eastAsia="宋体" w:cs="宋体"/>
          <w:color w:val="auto"/>
          <w:highlight w:val="none"/>
        </w:rPr>
        <w:t>本单位对上述声明的真实性负责。如有虚假，将依法承担相应责任。</w:t>
      </w:r>
    </w:p>
    <w:p w14:paraId="37FA673C">
      <w:pPr>
        <w:bidi w:val="0"/>
        <w:rPr>
          <w:rFonts w:hint="eastAsia" w:ascii="宋体" w:hAnsi="宋体" w:eastAsia="宋体" w:cs="宋体"/>
          <w:color w:val="auto"/>
          <w:highlight w:val="none"/>
        </w:rPr>
      </w:pPr>
    </w:p>
    <w:p w14:paraId="3B52ADEC">
      <w:pPr>
        <w:pStyle w:val="2"/>
        <w:ind w:firstLine="480"/>
        <w:rPr>
          <w:rFonts w:hint="eastAsia" w:ascii="宋体" w:hAnsi="宋体" w:eastAsia="宋体" w:cs="宋体"/>
          <w:color w:val="auto"/>
          <w:highlight w:val="none"/>
        </w:rPr>
      </w:pPr>
    </w:p>
    <w:p w14:paraId="59E08B2C">
      <w:pPr>
        <w:pStyle w:val="2"/>
        <w:ind w:firstLine="480"/>
        <w:rPr>
          <w:rFonts w:hint="eastAsia" w:ascii="宋体" w:hAnsi="宋体" w:eastAsia="宋体" w:cs="宋体"/>
          <w:color w:val="auto"/>
          <w:highlight w:val="none"/>
        </w:rPr>
      </w:pPr>
    </w:p>
    <w:p w14:paraId="28424206">
      <w:pPr>
        <w:pStyle w:val="2"/>
        <w:ind w:firstLine="480"/>
        <w:rPr>
          <w:rFonts w:hint="eastAsia" w:ascii="宋体" w:hAnsi="宋体" w:eastAsia="宋体" w:cs="宋体"/>
          <w:color w:val="auto"/>
          <w:highlight w:val="none"/>
        </w:rPr>
      </w:pPr>
    </w:p>
    <w:p w14:paraId="6FE34FED">
      <w:pPr>
        <w:pStyle w:val="2"/>
        <w:ind w:firstLine="480"/>
        <w:rPr>
          <w:rFonts w:hint="eastAsia" w:ascii="宋体" w:hAnsi="宋体" w:eastAsia="宋体" w:cs="宋体"/>
          <w:color w:val="auto"/>
          <w:highlight w:val="none"/>
        </w:rPr>
      </w:pPr>
    </w:p>
    <w:p w14:paraId="4BC17D63">
      <w:pPr>
        <w:bidi w:val="0"/>
        <w:rPr>
          <w:rFonts w:hint="eastAsia" w:ascii="宋体" w:hAnsi="宋体" w:eastAsia="宋体" w:cs="宋体"/>
          <w:color w:val="auto"/>
          <w:highlight w:val="none"/>
        </w:rPr>
      </w:pPr>
    </w:p>
    <w:p w14:paraId="33BBEAA9">
      <w:pPr>
        <w:bidi w:val="0"/>
        <w:rPr>
          <w:rFonts w:hint="eastAsia" w:ascii="宋体" w:hAnsi="宋体" w:eastAsia="宋体" w:cs="宋体"/>
          <w:color w:val="auto"/>
          <w:highlight w:val="none"/>
        </w:rPr>
      </w:pPr>
      <w:bookmarkStart w:id="193" w:name="_Toc9477"/>
      <w:bookmarkStart w:id="194" w:name="_Toc30801"/>
    </w:p>
    <w:p w14:paraId="34FCCF03">
      <w:pPr>
        <w:bidi w:val="0"/>
        <w:rPr>
          <w:rFonts w:hint="eastAsia" w:ascii="宋体" w:hAnsi="宋体" w:eastAsia="宋体" w:cs="宋体"/>
          <w:color w:val="auto"/>
          <w:highlight w:val="none"/>
        </w:rPr>
      </w:pPr>
    </w:p>
    <w:p w14:paraId="4365C41C">
      <w:pPr>
        <w:bidi w:val="0"/>
        <w:rPr>
          <w:rFonts w:hint="eastAsia" w:ascii="宋体" w:hAnsi="宋体" w:eastAsia="宋体" w:cs="宋体"/>
          <w:color w:val="auto"/>
          <w:highlight w:val="none"/>
        </w:rPr>
      </w:pPr>
    </w:p>
    <w:p w14:paraId="6DF19A54">
      <w:pPr>
        <w:bidi w:val="0"/>
        <w:rPr>
          <w:rFonts w:hint="eastAsia" w:ascii="宋体" w:hAnsi="宋体" w:eastAsia="宋体" w:cs="宋体"/>
          <w:color w:val="auto"/>
          <w:highlight w:val="none"/>
        </w:rPr>
      </w:pPr>
      <w:r>
        <w:rPr>
          <w:rFonts w:hint="eastAsia" w:ascii="宋体" w:hAnsi="宋体" w:eastAsia="宋体" w:cs="宋体"/>
          <w:color w:val="auto"/>
          <w:highlight w:val="none"/>
        </w:rPr>
        <w:t>若无此项内容，可不提供此函。</w:t>
      </w:r>
    </w:p>
    <w:p w14:paraId="0B1CBAA0">
      <w:pPr>
        <w:bidi w:val="0"/>
        <w:rPr>
          <w:rFonts w:hint="eastAsia" w:ascii="宋体" w:hAnsi="宋体" w:eastAsia="宋体" w:cs="宋体"/>
          <w:color w:val="auto"/>
          <w:highlight w:val="none"/>
        </w:rPr>
      </w:pPr>
    </w:p>
    <w:p w14:paraId="4E0D2B22">
      <w:pPr>
        <w:bidi w:val="0"/>
        <w:rPr>
          <w:rFonts w:hint="eastAsia" w:ascii="宋体" w:hAnsi="宋体" w:eastAsia="宋体" w:cs="宋体"/>
          <w:color w:val="auto"/>
          <w:highlight w:val="none"/>
        </w:rPr>
      </w:pPr>
    </w:p>
    <w:p w14:paraId="0269E03E">
      <w:pPr>
        <w:bidi w:val="0"/>
        <w:rPr>
          <w:rFonts w:hint="eastAsia" w:ascii="宋体" w:hAnsi="宋体" w:eastAsia="宋体" w:cs="宋体"/>
          <w:color w:val="auto"/>
          <w:highlight w:val="none"/>
        </w:rPr>
      </w:pPr>
    </w:p>
    <w:p w14:paraId="682F9AE4">
      <w:pPr>
        <w:bidi w:val="0"/>
        <w:rPr>
          <w:rFonts w:hint="eastAsia" w:ascii="宋体" w:hAnsi="宋体" w:eastAsia="宋体" w:cs="宋体"/>
          <w:color w:val="auto"/>
          <w:highlight w:val="none"/>
        </w:rPr>
      </w:pPr>
    </w:p>
    <w:p w14:paraId="7F238541">
      <w:pPr>
        <w:bidi w:val="0"/>
        <w:rPr>
          <w:rFonts w:hint="eastAsia" w:ascii="宋体" w:hAnsi="宋体" w:eastAsia="宋体" w:cs="宋体"/>
          <w:color w:val="auto"/>
          <w:highlight w:val="none"/>
        </w:rPr>
      </w:pPr>
    </w:p>
    <w:p w14:paraId="425246D8">
      <w:pPr>
        <w:bidi w:val="0"/>
        <w:rPr>
          <w:rFonts w:hint="eastAsia" w:ascii="宋体" w:hAnsi="宋体" w:eastAsia="宋体" w:cs="宋体"/>
          <w:color w:val="auto"/>
          <w:highlight w:val="none"/>
        </w:rPr>
      </w:pPr>
    </w:p>
    <w:p w14:paraId="4D8D2D23">
      <w:pPr>
        <w:bidi w:val="0"/>
        <w:rPr>
          <w:rFonts w:hint="eastAsia" w:ascii="宋体" w:hAnsi="宋体" w:eastAsia="宋体" w:cs="宋体"/>
          <w:color w:val="auto"/>
          <w:highlight w:val="none"/>
        </w:rPr>
      </w:pPr>
    </w:p>
    <w:p w14:paraId="4053DEDF">
      <w:pPr>
        <w:bidi w:val="0"/>
        <w:rPr>
          <w:rFonts w:hint="eastAsia" w:ascii="宋体" w:hAnsi="宋体" w:eastAsia="宋体" w:cs="宋体"/>
          <w:color w:val="auto"/>
          <w:highlight w:val="none"/>
        </w:rPr>
      </w:pPr>
    </w:p>
    <w:p w14:paraId="1F022FE5">
      <w:pPr>
        <w:pStyle w:val="80"/>
        <w:rPr>
          <w:rFonts w:hint="eastAsia" w:ascii="宋体" w:hAnsi="宋体" w:eastAsia="宋体" w:cs="宋体"/>
          <w:color w:val="auto"/>
          <w:highlight w:val="none"/>
        </w:rPr>
      </w:pPr>
    </w:p>
    <w:p w14:paraId="7195CDAA">
      <w:pPr>
        <w:pStyle w:val="80"/>
        <w:rPr>
          <w:rFonts w:hint="eastAsia" w:ascii="宋体" w:hAnsi="宋体" w:eastAsia="宋体" w:cs="宋体"/>
          <w:color w:val="auto"/>
          <w:highlight w:val="none"/>
        </w:rPr>
      </w:pPr>
    </w:p>
    <w:p w14:paraId="31AE2632">
      <w:pPr>
        <w:pStyle w:val="80"/>
        <w:rPr>
          <w:rFonts w:hint="eastAsia" w:ascii="宋体" w:hAnsi="宋体" w:eastAsia="宋体" w:cs="宋体"/>
          <w:color w:val="auto"/>
          <w:highlight w:val="none"/>
        </w:rPr>
      </w:pPr>
    </w:p>
    <w:p w14:paraId="3B162AB7">
      <w:pPr>
        <w:pStyle w:val="80"/>
        <w:rPr>
          <w:rFonts w:hint="eastAsia" w:ascii="宋体" w:hAnsi="宋体" w:eastAsia="宋体" w:cs="宋体"/>
          <w:color w:val="auto"/>
          <w:highlight w:val="none"/>
        </w:rPr>
      </w:pPr>
    </w:p>
    <w:p w14:paraId="756BD7FE">
      <w:pPr>
        <w:bidi w:val="0"/>
        <w:ind w:left="0" w:leftChars="0" w:firstLine="0" w:firstLineChars="0"/>
        <w:jc w:val="center"/>
        <w:rPr>
          <w:rFonts w:hint="eastAsia" w:ascii="宋体" w:hAnsi="宋体" w:eastAsia="宋体" w:cs="宋体"/>
          <w:b/>
          <w:bCs/>
          <w:color w:val="auto"/>
          <w:sz w:val="32"/>
          <w:szCs w:val="32"/>
          <w:highlight w:val="none"/>
          <w:lang w:val="zh-CN"/>
        </w:rPr>
      </w:pPr>
      <w:r>
        <w:rPr>
          <w:rFonts w:hint="eastAsia" w:ascii="宋体" w:hAnsi="宋体" w:eastAsia="宋体" w:cs="宋体"/>
          <w:b/>
          <w:bCs/>
          <w:color w:val="auto"/>
          <w:sz w:val="32"/>
          <w:szCs w:val="32"/>
          <w:highlight w:val="none"/>
          <w:lang w:val="zh-CN"/>
        </w:rPr>
        <w:t>3.监狱企业证明资料</w:t>
      </w:r>
      <w:bookmarkEnd w:id="193"/>
      <w:bookmarkEnd w:id="194"/>
    </w:p>
    <w:p w14:paraId="4908B25A">
      <w:pPr>
        <w:bidi w:val="0"/>
        <w:rPr>
          <w:rFonts w:hint="eastAsia" w:ascii="宋体" w:hAnsi="宋体" w:eastAsia="宋体" w:cs="宋体"/>
          <w:color w:val="auto"/>
          <w:highlight w:val="none"/>
        </w:rPr>
      </w:pPr>
    </w:p>
    <w:p w14:paraId="47D1E3A6">
      <w:pPr>
        <w:bidi w:val="0"/>
        <w:rPr>
          <w:rFonts w:hint="eastAsia" w:ascii="宋体" w:hAnsi="宋体" w:eastAsia="宋体" w:cs="宋体"/>
          <w:color w:val="auto"/>
          <w:highlight w:val="none"/>
        </w:rPr>
      </w:pPr>
      <w:r>
        <w:rPr>
          <w:rFonts w:hint="eastAsia" w:ascii="宋体" w:hAnsi="宋体" w:eastAsia="宋体" w:cs="宋体"/>
          <w:color w:val="auto"/>
          <w:highlight w:val="none"/>
        </w:rPr>
        <w:t>备注：按《财政部 司法部关于政府采购支持监狱企业发展有关问题的通知》(财库〔2014〕68号)文件规定提供证明文件（复印件）。</w:t>
      </w:r>
    </w:p>
    <w:p w14:paraId="2249E3CD">
      <w:pPr>
        <w:bidi w:val="0"/>
        <w:rPr>
          <w:rFonts w:hint="eastAsia" w:ascii="宋体" w:hAnsi="宋体" w:eastAsia="宋体" w:cs="宋体"/>
          <w:color w:val="auto"/>
          <w:highlight w:val="none"/>
        </w:rPr>
      </w:pPr>
      <w:bookmarkStart w:id="195" w:name="_Toc22071_WPSOffice_Level3"/>
    </w:p>
    <w:p w14:paraId="1F03B238">
      <w:pPr>
        <w:bidi w:val="0"/>
        <w:rPr>
          <w:rFonts w:hint="eastAsia" w:ascii="宋体" w:hAnsi="宋体" w:eastAsia="宋体" w:cs="宋体"/>
          <w:color w:val="auto"/>
          <w:highlight w:val="none"/>
        </w:rPr>
      </w:pPr>
    </w:p>
    <w:p w14:paraId="30B88B40">
      <w:pPr>
        <w:bidi w:val="0"/>
        <w:rPr>
          <w:rFonts w:hint="eastAsia" w:ascii="宋体" w:hAnsi="宋体" w:eastAsia="宋体" w:cs="宋体"/>
          <w:color w:val="auto"/>
          <w:highlight w:val="none"/>
        </w:rPr>
      </w:pPr>
    </w:p>
    <w:bookmarkEnd w:id="195"/>
    <w:p w14:paraId="381FBE03">
      <w:pPr>
        <w:bidi w:val="0"/>
        <w:rPr>
          <w:rFonts w:hint="eastAsia" w:ascii="宋体" w:hAnsi="宋体" w:eastAsia="宋体" w:cs="宋体"/>
          <w:color w:val="auto"/>
          <w:highlight w:val="none"/>
        </w:rPr>
      </w:pPr>
    </w:p>
    <w:p w14:paraId="6DC3EC76">
      <w:pPr>
        <w:bidi w:val="0"/>
        <w:rPr>
          <w:rFonts w:hint="eastAsia" w:ascii="宋体" w:hAnsi="宋体" w:eastAsia="宋体" w:cs="宋体"/>
          <w:color w:val="auto"/>
          <w:highlight w:val="none"/>
        </w:rPr>
      </w:pPr>
      <w:r>
        <w:rPr>
          <w:rFonts w:hint="eastAsia" w:ascii="宋体" w:hAnsi="宋体" w:eastAsia="宋体" w:cs="宋体"/>
          <w:color w:val="auto"/>
          <w:highlight w:val="none"/>
        </w:rPr>
        <w:t>若无此项内容，可不提供此函。</w:t>
      </w:r>
    </w:p>
    <w:p w14:paraId="5D26EDDE">
      <w:pPr>
        <w:bidi w:val="0"/>
        <w:rPr>
          <w:rFonts w:hint="eastAsia" w:ascii="宋体" w:hAnsi="宋体" w:eastAsia="宋体" w:cs="宋体"/>
          <w:color w:val="auto"/>
          <w:highlight w:val="none"/>
        </w:rPr>
      </w:pPr>
    </w:p>
    <w:p w14:paraId="0B78C666">
      <w:pPr>
        <w:bidi w:val="0"/>
        <w:rPr>
          <w:rFonts w:hint="eastAsia" w:ascii="宋体" w:hAnsi="宋体" w:eastAsia="宋体" w:cs="宋体"/>
          <w:color w:val="auto"/>
          <w:highlight w:val="none"/>
        </w:rPr>
      </w:pPr>
    </w:p>
    <w:p w14:paraId="5F45584F">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5E6AE622">
      <w:pPr>
        <w:pStyle w:val="3"/>
        <w:numPr>
          <w:ilvl w:val="0"/>
          <w:numId w:val="0"/>
        </w:numPr>
        <w:bidi w:val="0"/>
        <w:ind w:leftChars="0"/>
        <w:jc w:val="center"/>
        <w:rPr>
          <w:rFonts w:hint="eastAsia" w:ascii="宋体" w:hAnsi="宋体" w:eastAsia="宋体" w:cs="宋体"/>
          <w:color w:val="auto"/>
          <w:highlight w:val="none"/>
        </w:rPr>
      </w:pPr>
      <w:bookmarkStart w:id="196" w:name="_Toc2063"/>
      <w:r>
        <w:rPr>
          <w:rFonts w:hint="eastAsia" w:ascii="宋体" w:hAnsi="宋体" w:eastAsia="宋体" w:cs="宋体"/>
          <w:color w:val="auto"/>
          <w:highlight w:val="none"/>
        </w:rPr>
        <w:t xml:space="preserve">第六部分 </w:t>
      </w:r>
      <w:bookmarkEnd w:id="184"/>
      <w:bookmarkEnd w:id="185"/>
      <w:r>
        <w:rPr>
          <w:rFonts w:hint="eastAsia" w:ascii="宋体" w:hAnsi="宋体" w:eastAsia="宋体" w:cs="宋体"/>
          <w:color w:val="auto"/>
          <w:highlight w:val="none"/>
        </w:rPr>
        <w:t>磋商及采购项目技术要求</w:t>
      </w:r>
      <w:bookmarkEnd w:id="196"/>
    </w:p>
    <w:p w14:paraId="283C2B1B">
      <w:pPr>
        <w:ind w:firstLine="542"/>
        <w:outlineLvl w:val="1"/>
        <w:rPr>
          <w:rFonts w:ascii="宋体" w:hAnsi="宋体"/>
          <w:b/>
          <w:bCs/>
          <w:color w:val="auto"/>
          <w:sz w:val="27"/>
          <w:szCs w:val="27"/>
          <w:highlight w:val="none"/>
        </w:rPr>
      </w:pPr>
      <w:bookmarkStart w:id="197" w:name="_Toc376936784"/>
      <w:bookmarkStart w:id="198" w:name="_Toc19303"/>
      <w:bookmarkStart w:id="199" w:name="_Toc325726053"/>
      <w:bookmarkStart w:id="200" w:name="_Toc75964243"/>
      <w:bookmarkStart w:id="201" w:name="_Toc5555_WPSOffice_Level2"/>
      <w:bookmarkStart w:id="202" w:name="_Toc75964802"/>
      <w:bookmarkStart w:id="203" w:name="_Toc416183246"/>
      <w:bookmarkStart w:id="204" w:name="_Toc5173845"/>
      <w:bookmarkStart w:id="205" w:name="_Toc88839798"/>
      <w:bookmarkStart w:id="206" w:name="_Toc26595"/>
      <w:bookmarkStart w:id="207" w:name="_Toc24290"/>
      <w:bookmarkStart w:id="208" w:name="_Toc78299222"/>
      <w:bookmarkStart w:id="209" w:name="_Toc6431"/>
      <w:bookmarkStart w:id="210" w:name="_Toc73113615"/>
      <w:bookmarkStart w:id="211" w:name="_Toc118812027"/>
      <w:r>
        <w:rPr>
          <w:rFonts w:hint="eastAsia" w:ascii="宋体" w:hAnsi="宋体"/>
          <w:b/>
          <w:bCs/>
          <w:color w:val="auto"/>
          <w:sz w:val="27"/>
          <w:szCs w:val="27"/>
          <w:highlight w:val="none"/>
        </w:rPr>
        <w:t>1、投标说明</w:t>
      </w:r>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p>
    <w:p w14:paraId="25FB47E1">
      <w:pPr>
        <w:spacing w:line="360" w:lineRule="auto"/>
        <w:ind w:firstLine="470" w:firstLineChars="196"/>
        <w:rPr>
          <w:rFonts w:ascii="宋体" w:hAnsi="宋体"/>
          <w:color w:val="auto"/>
          <w:highlight w:val="none"/>
          <w:lang w:val="zh-CN"/>
        </w:rPr>
      </w:pPr>
      <w:r>
        <w:rPr>
          <w:rFonts w:hint="eastAsia" w:ascii="宋体" w:hAnsi="宋体"/>
          <w:color w:val="auto"/>
          <w:highlight w:val="none"/>
          <w:lang w:val="zh-CN"/>
        </w:rPr>
        <w:t>1.1</w:t>
      </w:r>
      <w:r>
        <w:rPr>
          <w:rFonts w:hint="eastAsia" w:ascii="宋体" w:hAnsi="宋体"/>
          <w:color w:val="auto"/>
          <w:highlight w:val="none"/>
        </w:rPr>
        <w:t>供应商必须对磋商文件中所有内容作为一个整体进行投标，不能拆分或少报。否则，投标无效。</w:t>
      </w:r>
    </w:p>
    <w:p w14:paraId="3D09BF09">
      <w:pPr>
        <w:widowControl w:val="0"/>
        <w:autoSpaceDE w:val="0"/>
        <w:autoSpaceDN w:val="0"/>
        <w:spacing w:line="360" w:lineRule="auto"/>
        <w:ind w:firstLine="480" w:firstLineChars="200"/>
        <w:jc w:val="both"/>
        <w:rPr>
          <w:rFonts w:hint="eastAsia" w:ascii="宋体" w:hAnsi="宋体" w:eastAsia="宋体"/>
          <w:color w:val="auto"/>
          <w:highlight w:val="none"/>
          <w:lang w:eastAsia="zh-CN"/>
        </w:rPr>
      </w:pPr>
      <w:r>
        <w:rPr>
          <w:rFonts w:hint="eastAsia" w:ascii="宋体" w:hAnsi="宋体"/>
          <w:color w:val="auto"/>
          <w:highlight w:val="none"/>
          <w:lang w:val="zh-CN"/>
        </w:rPr>
        <w:t>1.2</w:t>
      </w:r>
      <w:r>
        <w:rPr>
          <w:rFonts w:hint="eastAsia" w:ascii="宋体" w:hAnsi="宋体"/>
          <w:color w:val="auto"/>
          <w:highlight w:val="none"/>
        </w:rPr>
        <w:t>磋商报价为总报价。</w:t>
      </w:r>
      <w:r>
        <w:rPr>
          <w:rFonts w:hint="eastAsia" w:ascii="宋体" w:hAnsi="宋体" w:eastAsia="宋体" w:cs="宋体"/>
          <w:color w:val="auto"/>
          <w:highlight w:val="none"/>
        </w:rPr>
        <w:t>必须包括</w:t>
      </w:r>
      <w:r>
        <w:rPr>
          <w:rFonts w:hint="eastAsia" w:ascii="宋体" w:hAnsi="宋体" w:eastAsia="宋体" w:cs="宋体"/>
          <w:color w:val="auto"/>
          <w:highlight w:val="none"/>
          <w:lang w:eastAsia="zh-CN"/>
        </w:rPr>
        <w:t>：</w:t>
      </w:r>
      <w:r>
        <w:rPr>
          <w:rFonts w:hint="eastAsia" w:ascii="宋体" w:hAnsi="宋体" w:cs="宋体"/>
          <w:color w:val="auto"/>
          <w:highlight w:val="none"/>
          <w:lang w:val="en-US" w:eastAsia="zh-CN"/>
        </w:rPr>
        <w:t>设备租赁费、</w:t>
      </w:r>
      <w:r>
        <w:rPr>
          <w:rFonts w:hint="eastAsia" w:ascii="宋体" w:hAnsi="宋体" w:eastAsia="宋体" w:cs="宋体"/>
          <w:color w:val="auto"/>
          <w:highlight w:val="none"/>
        </w:rPr>
        <w:t>服务费、人员工资、管理费、</w:t>
      </w:r>
      <w:r>
        <w:rPr>
          <w:rFonts w:hint="eastAsia" w:ascii="宋体" w:hAnsi="宋体" w:cs="宋体"/>
          <w:color w:val="auto"/>
          <w:highlight w:val="none"/>
          <w:lang w:val="en-US" w:eastAsia="zh-CN"/>
        </w:rPr>
        <w:t>培训费、</w:t>
      </w:r>
      <w:r>
        <w:rPr>
          <w:rFonts w:hint="eastAsia" w:ascii="宋体" w:hAnsi="宋体" w:eastAsia="宋体" w:cs="宋体"/>
          <w:color w:val="auto"/>
          <w:highlight w:val="none"/>
        </w:rPr>
        <w:t>验收费、手续费、保险费、</w:t>
      </w:r>
      <w:r>
        <w:rPr>
          <w:rFonts w:hint="eastAsia" w:ascii="宋体" w:hAnsi="宋体" w:cs="宋体"/>
          <w:color w:val="auto"/>
          <w:highlight w:val="none"/>
          <w:lang w:eastAsia="zh-CN"/>
        </w:rPr>
        <w:t>差旅费、</w:t>
      </w:r>
      <w:r>
        <w:rPr>
          <w:rFonts w:hint="eastAsia" w:ascii="宋体" w:hAnsi="宋体" w:eastAsia="宋体" w:cs="宋体"/>
          <w:color w:val="auto"/>
          <w:highlight w:val="none"/>
          <w:lang w:eastAsia="zh-CN"/>
        </w:rPr>
        <w:t>成交服务费</w:t>
      </w:r>
      <w:r>
        <w:rPr>
          <w:rFonts w:hint="eastAsia" w:ascii="宋体" w:hAnsi="宋体" w:eastAsia="宋体" w:cs="宋体"/>
          <w:color w:val="auto"/>
          <w:highlight w:val="none"/>
        </w:rPr>
        <w:t>及服务过程中包含的不可预见等全部费用。</w:t>
      </w:r>
    </w:p>
    <w:p w14:paraId="61A85723">
      <w:pPr>
        <w:spacing w:line="360" w:lineRule="auto"/>
        <w:ind w:firstLine="470" w:firstLineChars="196"/>
        <w:rPr>
          <w:rFonts w:ascii="宋体" w:hAnsi="宋体"/>
          <w:color w:val="auto"/>
          <w:highlight w:val="none"/>
          <w:lang w:val="zh-CN"/>
        </w:rPr>
      </w:pPr>
      <w:r>
        <w:rPr>
          <w:rFonts w:hint="eastAsia" w:ascii="宋体" w:hAnsi="宋体"/>
          <w:color w:val="auto"/>
          <w:highlight w:val="none"/>
          <w:lang w:val="zh-CN"/>
        </w:rPr>
        <w:t>1.</w:t>
      </w:r>
      <w:r>
        <w:rPr>
          <w:rFonts w:hint="eastAsia" w:ascii="宋体" w:hAnsi="宋体"/>
          <w:color w:val="auto"/>
          <w:highlight w:val="none"/>
        </w:rPr>
        <w:t>3 所</w:t>
      </w:r>
      <w:r>
        <w:rPr>
          <w:rFonts w:hint="eastAsia" w:ascii="宋体" w:hAnsi="宋体"/>
          <w:color w:val="auto"/>
          <w:highlight w:val="none"/>
          <w:lang w:val="en-US" w:eastAsia="zh-CN"/>
        </w:rPr>
        <w:t>提供的服务</w:t>
      </w:r>
      <w:r>
        <w:rPr>
          <w:rFonts w:hint="eastAsia" w:ascii="宋体" w:hAnsi="宋体"/>
          <w:color w:val="auto"/>
          <w:highlight w:val="none"/>
        </w:rPr>
        <w:t>或其任何一部分不得侵犯专利权、著作权、商标权和工业设计权等知识产权。</w:t>
      </w:r>
    </w:p>
    <w:p w14:paraId="7D9D8B02">
      <w:pPr>
        <w:spacing w:line="360" w:lineRule="auto"/>
        <w:ind w:firstLine="480"/>
        <w:rPr>
          <w:rFonts w:ascii="宋体" w:hAnsi="宋体"/>
          <w:color w:val="auto"/>
          <w:highlight w:val="none"/>
          <w:lang w:val="zh-CN"/>
        </w:rPr>
      </w:pPr>
      <w:r>
        <w:rPr>
          <w:rFonts w:hint="eastAsia" w:ascii="宋体" w:hAnsi="宋体"/>
          <w:color w:val="auto"/>
          <w:highlight w:val="none"/>
        </w:rPr>
        <w:t>1.</w:t>
      </w:r>
      <w:r>
        <w:rPr>
          <w:rFonts w:hint="eastAsia" w:ascii="宋体" w:hAnsi="宋体"/>
          <w:color w:val="auto"/>
          <w:highlight w:val="none"/>
          <w:lang w:val="en-US" w:eastAsia="zh-CN"/>
        </w:rPr>
        <w:t>4</w:t>
      </w:r>
      <w:r>
        <w:rPr>
          <w:rFonts w:hint="eastAsia" w:ascii="宋体" w:hAnsi="宋体"/>
          <w:color w:val="auto"/>
          <w:highlight w:val="none"/>
        </w:rPr>
        <w:t xml:space="preserve"> 项目中标</w:t>
      </w:r>
      <w:r>
        <w:rPr>
          <w:rFonts w:hint="eastAsia" w:ascii="宋体" w:hAnsi="宋体"/>
          <w:color w:val="auto"/>
          <w:highlight w:val="none"/>
          <w:lang w:val="zh-CN"/>
        </w:rPr>
        <w:t>后分包情况：不允许。</w:t>
      </w:r>
    </w:p>
    <w:p w14:paraId="2A79A8B9">
      <w:pPr>
        <w:ind w:firstLine="542"/>
        <w:outlineLvl w:val="1"/>
        <w:rPr>
          <w:rFonts w:ascii="宋体" w:hAnsi="宋体"/>
          <w:b/>
          <w:bCs/>
          <w:color w:val="auto"/>
          <w:sz w:val="27"/>
          <w:szCs w:val="27"/>
          <w:highlight w:val="none"/>
        </w:rPr>
      </w:pPr>
      <w:bookmarkStart w:id="212" w:name="_Toc88839799"/>
      <w:bookmarkStart w:id="213" w:name="_Toc19498_WPSOffice_Level2"/>
      <w:bookmarkStart w:id="214" w:name="_Toc10416"/>
      <w:bookmarkStart w:id="215" w:name="_Toc21995"/>
      <w:bookmarkStart w:id="216" w:name="_Toc12483"/>
      <w:r>
        <w:rPr>
          <w:rFonts w:hint="eastAsia" w:ascii="宋体" w:hAnsi="宋体"/>
          <w:b/>
          <w:bCs/>
          <w:color w:val="auto"/>
          <w:sz w:val="27"/>
          <w:szCs w:val="27"/>
          <w:highlight w:val="none"/>
        </w:rPr>
        <w:t>2、报价说明</w:t>
      </w:r>
      <w:bookmarkEnd w:id="212"/>
      <w:bookmarkEnd w:id="213"/>
      <w:bookmarkEnd w:id="214"/>
      <w:bookmarkEnd w:id="215"/>
      <w:bookmarkEnd w:id="216"/>
    </w:p>
    <w:p w14:paraId="258BD4FE">
      <w:pPr>
        <w:numPr>
          <w:ilvl w:val="0"/>
          <w:numId w:val="0"/>
        </w:numPr>
        <w:autoSpaceDE w:val="0"/>
        <w:autoSpaceDN w:val="0"/>
        <w:spacing w:line="360" w:lineRule="auto"/>
        <w:ind w:firstLine="480" w:firstLineChars="200"/>
        <w:rPr>
          <w:rFonts w:hint="eastAsia" w:ascii="宋体" w:hAnsi="宋体" w:cs="宋体"/>
          <w:b/>
          <w:bCs/>
          <w:color w:val="auto"/>
          <w:kern w:val="0"/>
          <w:highlight w:val="none"/>
          <w:lang w:val="zh-CN"/>
        </w:rPr>
      </w:pPr>
      <w:r>
        <w:rPr>
          <w:rFonts w:hint="eastAsia" w:ascii="宋体" w:hAnsi="宋体" w:cs="宋体"/>
          <w:color w:val="auto"/>
          <w:kern w:val="0"/>
          <w:highlight w:val="none"/>
        </w:rPr>
        <w:t>2</w:t>
      </w:r>
      <w:r>
        <w:rPr>
          <w:rFonts w:hint="eastAsia" w:ascii="宋体" w:hAnsi="宋体" w:cs="宋体"/>
          <w:color w:val="auto"/>
          <w:kern w:val="0"/>
          <w:highlight w:val="none"/>
          <w:lang w:val="zh-CN"/>
        </w:rPr>
        <w:t>.1</w:t>
      </w:r>
      <w:r>
        <w:rPr>
          <w:rFonts w:hint="eastAsia" w:ascii="宋体" w:hAnsi="宋体" w:cs="宋体"/>
          <w:color w:val="auto"/>
          <w:kern w:val="0"/>
          <w:highlight w:val="none"/>
        </w:rPr>
        <w:t xml:space="preserve"> </w:t>
      </w:r>
      <w:r>
        <w:rPr>
          <w:rFonts w:hint="eastAsia" w:ascii="宋体" w:hAnsi="宋体" w:cs="宋体"/>
          <w:color w:val="auto"/>
          <w:kern w:val="0"/>
          <w:highlight w:val="none"/>
          <w:lang w:val="zh-CN"/>
        </w:rPr>
        <w:t>采购需求中带有“★”号标注的技术参数为实质性响应，必须满足，否则将视为无效</w:t>
      </w:r>
      <w:r>
        <w:rPr>
          <w:rFonts w:hint="eastAsia" w:ascii="宋体" w:hAnsi="宋体" w:cs="宋体"/>
          <w:color w:val="auto"/>
          <w:kern w:val="0"/>
          <w:highlight w:val="none"/>
          <w:lang w:val="en-US" w:eastAsia="zh-CN"/>
        </w:rPr>
        <w:t>响应</w:t>
      </w:r>
      <w:r>
        <w:rPr>
          <w:rFonts w:hint="eastAsia" w:ascii="宋体" w:hAnsi="宋体" w:cs="宋体"/>
          <w:color w:val="auto"/>
          <w:kern w:val="0"/>
          <w:highlight w:val="none"/>
          <w:lang w:val="zh-CN"/>
        </w:rPr>
        <w:t>。</w:t>
      </w:r>
      <w:r>
        <w:rPr>
          <w:rFonts w:hint="eastAsia" w:hAnsi="宋体" w:cs="宋体"/>
          <w:color w:val="000000"/>
          <w:kern w:val="0"/>
          <w:sz w:val="24"/>
          <w:szCs w:val="24"/>
          <w:highlight w:val="none"/>
          <w:lang w:val="zh-CN"/>
        </w:rPr>
        <w:t>“</w:t>
      </w:r>
      <w:r>
        <w:rPr>
          <w:rFonts w:hint="eastAsia" w:ascii="微软雅黑" w:hAnsi="微软雅黑" w:eastAsia="微软雅黑" w:cs="微软雅黑"/>
          <w:bCs/>
          <w:sz w:val="24"/>
          <w:szCs w:val="24"/>
          <w:highlight w:val="none"/>
          <w:lang w:val="en-US" w:eastAsia="zh-CN"/>
        </w:rPr>
        <w:t>▲</w:t>
      </w:r>
      <w:r>
        <w:rPr>
          <w:rFonts w:hint="eastAsia" w:hAnsi="宋体" w:cs="宋体"/>
          <w:color w:val="000000"/>
          <w:kern w:val="0"/>
          <w:sz w:val="24"/>
          <w:szCs w:val="24"/>
          <w:highlight w:val="none"/>
          <w:lang w:val="zh-CN"/>
        </w:rPr>
        <w:t>”</w:t>
      </w:r>
      <w:r>
        <w:rPr>
          <w:rFonts w:hint="eastAsia" w:hAnsi="宋体" w:cs="宋体"/>
          <w:color w:val="000000"/>
          <w:kern w:val="0"/>
          <w:sz w:val="24"/>
          <w:szCs w:val="24"/>
          <w:highlight w:val="none"/>
          <w:lang w:val="en-US" w:eastAsia="zh-CN"/>
        </w:rPr>
        <w:t>为重要参数，每有一项不满足，按负偏离计分。</w:t>
      </w:r>
    </w:p>
    <w:p w14:paraId="090A7FAF">
      <w:pPr>
        <w:spacing w:line="360" w:lineRule="auto"/>
        <w:ind w:left="-2" w:leftChars="-1" w:firstLine="480" w:firstLineChars="200"/>
        <w:rPr>
          <w:rFonts w:ascii="宋体" w:hAnsi="宋体" w:cs="宋体"/>
          <w:color w:val="auto"/>
          <w:highlight w:val="none"/>
        </w:rPr>
      </w:pPr>
      <w:r>
        <w:rPr>
          <w:rFonts w:hint="eastAsia" w:ascii="宋体" w:hAnsi="宋体" w:cs="宋体"/>
          <w:color w:val="auto"/>
          <w:highlight w:val="none"/>
          <w:lang w:val="en-US" w:eastAsia="zh-CN"/>
        </w:rPr>
        <w:t>2.2</w:t>
      </w:r>
      <w:r>
        <w:rPr>
          <w:rFonts w:hint="eastAsia" w:ascii="宋体" w:hAnsi="宋体" w:cs="宋体"/>
          <w:color w:val="auto"/>
          <w:highlight w:val="none"/>
        </w:rPr>
        <w:t>本次</w:t>
      </w:r>
      <w:r>
        <w:rPr>
          <w:rFonts w:hint="eastAsia" w:ascii="宋体" w:hAnsi="宋体" w:cs="宋体"/>
          <w:color w:val="auto"/>
          <w:highlight w:val="none"/>
          <w:lang w:val="en-US" w:eastAsia="zh-CN"/>
        </w:rPr>
        <w:t>磋商</w:t>
      </w:r>
      <w:r>
        <w:rPr>
          <w:rFonts w:hint="eastAsia" w:ascii="宋体" w:hAnsi="宋体" w:cs="宋体"/>
          <w:color w:val="auto"/>
          <w:highlight w:val="none"/>
        </w:rPr>
        <w:t>文件中规定的</w:t>
      </w:r>
      <w:r>
        <w:rPr>
          <w:rFonts w:hint="eastAsia" w:ascii="宋体" w:hAnsi="宋体" w:cs="宋体"/>
          <w:color w:val="auto"/>
          <w:kern w:val="0"/>
          <w:highlight w:val="none"/>
        </w:rPr>
        <w:t>最高限价</w:t>
      </w:r>
      <w:r>
        <w:rPr>
          <w:rFonts w:hint="eastAsia" w:ascii="宋体" w:hAnsi="宋体" w:cs="宋体"/>
          <w:color w:val="auto"/>
          <w:highlight w:val="none"/>
        </w:rPr>
        <w:t>为</w:t>
      </w:r>
      <w:r>
        <w:rPr>
          <w:rFonts w:hint="eastAsia" w:ascii="宋体" w:hAnsi="宋体" w:cs="宋体"/>
          <w:color w:val="auto"/>
          <w:highlight w:val="none"/>
          <w:lang w:val="en-US" w:eastAsia="zh-CN"/>
        </w:rPr>
        <w:t>项目</w:t>
      </w:r>
      <w:r>
        <w:rPr>
          <w:rFonts w:hint="eastAsia" w:ascii="宋体" w:hAnsi="宋体" w:cs="宋体"/>
          <w:color w:val="auto"/>
          <w:highlight w:val="none"/>
        </w:rPr>
        <w:t>最高限价，</w:t>
      </w:r>
      <w:r>
        <w:rPr>
          <w:rFonts w:hint="eastAsia" w:ascii="宋体" w:hAnsi="宋体" w:cs="宋体"/>
          <w:color w:val="auto"/>
          <w:highlight w:val="none"/>
          <w:lang w:val="en-US" w:eastAsia="zh-CN"/>
        </w:rPr>
        <w:t>供应商</w:t>
      </w:r>
      <w:r>
        <w:rPr>
          <w:rFonts w:hint="eastAsia" w:ascii="宋体" w:hAnsi="宋体" w:cs="宋体"/>
          <w:color w:val="auto"/>
          <w:highlight w:val="none"/>
        </w:rPr>
        <w:t>的报价不得超出此额度。否则，</w:t>
      </w:r>
      <w:r>
        <w:rPr>
          <w:rFonts w:hint="eastAsia" w:ascii="宋体" w:hAnsi="宋体" w:cs="宋体"/>
          <w:color w:val="auto"/>
          <w:highlight w:val="none"/>
          <w:lang w:val="en-US" w:eastAsia="zh-CN"/>
        </w:rPr>
        <w:t>响应</w:t>
      </w:r>
      <w:r>
        <w:rPr>
          <w:rFonts w:hint="eastAsia" w:ascii="宋体" w:hAnsi="宋体" w:cs="宋体"/>
          <w:color w:val="auto"/>
          <w:highlight w:val="none"/>
        </w:rPr>
        <w:t>无效。</w:t>
      </w:r>
      <w:r>
        <w:rPr>
          <w:rFonts w:hint="eastAsia" w:ascii="宋体" w:hAnsi="宋体" w:cs="宋体"/>
          <w:color w:val="auto"/>
          <w:highlight w:val="none"/>
          <w:lang w:val="en-US" w:eastAsia="zh-CN"/>
        </w:rPr>
        <w:t xml:space="preserve"> </w:t>
      </w:r>
    </w:p>
    <w:bookmarkEnd w:id="211"/>
    <w:p w14:paraId="123698F9">
      <w:pPr>
        <w:ind w:firstLine="542"/>
        <w:outlineLvl w:val="1"/>
        <w:rPr>
          <w:rFonts w:hint="eastAsia" w:ascii="宋体" w:hAnsi="宋体"/>
          <w:b/>
          <w:bCs/>
          <w:color w:val="auto"/>
          <w:sz w:val="27"/>
          <w:szCs w:val="27"/>
          <w:highlight w:val="none"/>
        </w:rPr>
      </w:pPr>
      <w:bookmarkStart w:id="217" w:name="_Toc22145_WPSOffice_Level2"/>
      <w:bookmarkStart w:id="218" w:name="_Toc78299223"/>
      <w:bookmarkStart w:id="219" w:name="_Toc10090"/>
      <w:bookmarkStart w:id="220" w:name="_Toc88839800"/>
      <w:bookmarkStart w:id="221" w:name="_Toc31207"/>
      <w:bookmarkStart w:id="222" w:name="_Toc12173"/>
      <w:r>
        <w:rPr>
          <w:rFonts w:hint="eastAsia" w:ascii="宋体" w:hAnsi="宋体"/>
          <w:b/>
          <w:bCs/>
          <w:color w:val="auto"/>
          <w:sz w:val="27"/>
          <w:szCs w:val="27"/>
          <w:highlight w:val="none"/>
        </w:rPr>
        <w:t>3、商务要求</w:t>
      </w:r>
      <w:bookmarkEnd w:id="217"/>
      <w:bookmarkEnd w:id="218"/>
      <w:bookmarkEnd w:id="219"/>
      <w:bookmarkEnd w:id="220"/>
      <w:bookmarkEnd w:id="221"/>
      <w:bookmarkEnd w:id="222"/>
    </w:p>
    <w:p w14:paraId="14F56A82">
      <w:pPr>
        <w:spacing w:line="300" w:lineRule="exact"/>
        <w:jc w:val="left"/>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w:t>
      </w:r>
      <w:r>
        <w:rPr>
          <w:rFonts w:hint="eastAsia" w:ascii="宋体" w:hAnsi="宋体"/>
          <w:color w:val="auto"/>
          <w:sz w:val="24"/>
          <w:highlight w:val="none"/>
        </w:rPr>
        <w:t>服务期：</w:t>
      </w:r>
      <w:r>
        <w:rPr>
          <w:rFonts w:hint="eastAsia" w:ascii="宋体" w:hAnsi="宋体"/>
          <w:color w:val="auto"/>
          <w:sz w:val="24"/>
          <w:highlight w:val="none"/>
          <w:lang w:val="en-US" w:eastAsia="zh-CN"/>
        </w:rPr>
        <w:t>1年</w:t>
      </w:r>
    </w:p>
    <w:p w14:paraId="700D5F51">
      <w:pPr>
        <w:pStyle w:val="2"/>
        <w:rPr>
          <w:rFonts w:hint="default"/>
          <w:color w:val="auto"/>
          <w:highlight w:val="none"/>
          <w:lang w:val="en-US" w:eastAsia="zh-CN"/>
        </w:rPr>
      </w:pPr>
      <w:r>
        <w:rPr>
          <w:rFonts w:hint="eastAsia"/>
          <w:color w:val="auto"/>
          <w:highlight w:val="none"/>
          <w:lang w:val="en-US" w:eastAsia="zh-CN"/>
        </w:rPr>
        <w:t>2.服务地点：</w:t>
      </w:r>
      <w:r>
        <w:rPr>
          <w:rFonts w:hint="eastAsia" w:ascii="宋体" w:hAnsi="宋体" w:eastAsia="宋体" w:cs="宋体"/>
          <w:lang w:val="zh-CN"/>
        </w:rPr>
        <w:t>青海省财政厅指定地点</w:t>
      </w:r>
      <w:r>
        <w:rPr>
          <w:rFonts w:hint="eastAsia" w:ascii="宋体" w:hAnsi="宋体" w:eastAsia="宋体" w:cs="宋体"/>
          <w:lang w:val="en-US" w:eastAsia="zh-CN"/>
        </w:rPr>
        <w:t>。</w:t>
      </w:r>
    </w:p>
    <w:p w14:paraId="0054B630">
      <w:pPr>
        <w:bidi w:val="0"/>
        <w:rPr>
          <w:rFonts w:hint="eastAsia" w:ascii="宋体" w:hAnsi="Cambria" w:eastAsia="宋体" w:cs="宋体"/>
          <w:color w:val="auto"/>
          <w:kern w:val="0"/>
          <w:sz w:val="24"/>
          <w:highlight w:val="none"/>
          <w:lang w:val="en-US" w:eastAsia="zh-CN"/>
        </w:rPr>
      </w:pPr>
      <w:r>
        <w:rPr>
          <w:rFonts w:hint="eastAsia" w:ascii="宋体" w:hAnsi="Cambria" w:cs="宋体"/>
          <w:color w:val="auto"/>
          <w:kern w:val="0"/>
          <w:sz w:val="24"/>
          <w:highlight w:val="none"/>
          <w:lang w:val="en-US" w:eastAsia="zh-CN"/>
        </w:rPr>
        <w:t>3</w:t>
      </w:r>
      <w:r>
        <w:rPr>
          <w:rFonts w:hint="eastAsia" w:ascii="宋体" w:hAnsi="Cambria" w:eastAsia="宋体" w:cs="宋体"/>
          <w:color w:val="auto"/>
          <w:kern w:val="0"/>
          <w:sz w:val="24"/>
          <w:highlight w:val="none"/>
          <w:lang w:val="en-US" w:eastAsia="zh-CN"/>
        </w:rPr>
        <w:t>.付款方式：</w:t>
      </w:r>
    </w:p>
    <w:p w14:paraId="7A70054E">
      <w:pPr>
        <w:bidi w:val="0"/>
        <w:rPr>
          <w:rFonts w:hint="eastAsia" w:ascii="宋体" w:hAnsi="宋体" w:eastAsia="宋体" w:cs="宋体"/>
          <w:highlight w:val="none"/>
          <w:lang w:val="zh-CN" w:eastAsia="zh-CN"/>
        </w:rPr>
      </w:pPr>
      <w:r>
        <w:rPr>
          <w:rFonts w:hint="eastAsia" w:ascii="宋体" w:hAnsi="宋体" w:cs="宋体"/>
          <w:highlight w:val="none"/>
          <w:lang w:val="en-US" w:eastAsia="zh-CN"/>
        </w:rPr>
        <w:t>（1）</w:t>
      </w:r>
      <w:r>
        <w:rPr>
          <w:rFonts w:hint="eastAsia" w:ascii="宋体" w:hAnsi="宋体" w:eastAsia="宋体" w:cs="宋体"/>
          <w:highlight w:val="none"/>
          <w:lang w:val="zh-CN" w:eastAsia="zh-CN"/>
        </w:rPr>
        <w:t>合同签订前，乙方向甲方缴纳合同总金额的10%作为履约保证金，待项目验收合格后，甲方向乙方返还，不计利息。</w:t>
      </w:r>
    </w:p>
    <w:p w14:paraId="2AE26E35">
      <w:pPr>
        <w:bidi w:val="0"/>
        <w:rPr>
          <w:rFonts w:hint="eastAsia" w:ascii="宋体" w:hAnsi="宋体" w:eastAsia="宋体" w:cs="宋体"/>
          <w:color w:val="auto"/>
          <w:sz w:val="24"/>
          <w:szCs w:val="24"/>
          <w:highlight w:val="none"/>
          <w:lang w:val="zh-CN"/>
        </w:rPr>
      </w:pPr>
      <w:r>
        <w:rPr>
          <w:rFonts w:hint="eastAsia" w:ascii="宋体" w:hAnsi="宋体" w:eastAsia="宋体" w:cs="宋体"/>
          <w:highlight w:val="none"/>
          <w:lang w:val="zh-CN" w:eastAsia="zh-CN"/>
        </w:rPr>
        <w:t>（</w:t>
      </w:r>
      <w:r>
        <w:rPr>
          <w:rFonts w:hint="eastAsia" w:ascii="宋体" w:hAnsi="宋体" w:eastAsia="宋体" w:cs="宋体"/>
          <w:highlight w:val="none"/>
          <w:lang w:val="en-US" w:eastAsia="zh-CN"/>
        </w:rPr>
        <w:t>2）</w:t>
      </w:r>
      <w:r>
        <w:rPr>
          <w:rFonts w:hint="eastAsia" w:ascii="宋体" w:hAnsi="宋体" w:eastAsia="宋体" w:cs="宋体"/>
          <w:highlight w:val="none"/>
          <w:lang w:val="zh-CN" w:eastAsia="zh-CN"/>
        </w:rPr>
        <w:t>合同签订后，乙方提交开具的正规发票及采购人财务部门要求的其他付款凭据后，10个工作日内，甲方向乙方支付合同总金额的</w:t>
      </w:r>
      <w:r>
        <w:rPr>
          <w:rFonts w:hint="eastAsia" w:ascii="宋体" w:hAnsi="宋体" w:eastAsia="宋体" w:cs="宋体"/>
          <w:highlight w:val="none"/>
          <w:lang w:val="en-US" w:eastAsia="zh-CN"/>
        </w:rPr>
        <w:t>50</w:t>
      </w:r>
      <w:r>
        <w:rPr>
          <w:rFonts w:hint="eastAsia" w:ascii="宋体" w:hAnsi="宋体" w:eastAsia="宋体" w:cs="宋体"/>
          <w:highlight w:val="none"/>
          <w:lang w:val="zh-CN" w:eastAsia="zh-CN"/>
        </w:rPr>
        <w:t>%，验收通过后支付剩余50%。</w:t>
      </w:r>
      <w:r>
        <w:rPr>
          <w:rFonts w:hint="eastAsia" w:ascii="宋体" w:hAnsi="宋体" w:eastAsia="宋体" w:cs="宋体"/>
          <w:color w:val="auto"/>
          <w:sz w:val="24"/>
          <w:szCs w:val="24"/>
          <w:highlight w:val="none"/>
          <w:lang w:val="zh-CN"/>
        </w:rPr>
        <w:br w:type="page"/>
      </w:r>
    </w:p>
    <w:p w14:paraId="6EAF3E0E">
      <w:pPr>
        <w:ind w:firstLine="542"/>
        <w:outlineLvl w:val="1"/>
        <w:rPr>
          <w:rFonts w:hint="eastAsia" w:ascii="宋体" w:hAnsi="宋体"/>
          <w:b/>
          <w:bCs/>
          <w:color w:val="auto"/>
          <w:sz w:val="27"/>
          <w:szCs w:val="27"/>
          <w:highlight w:val="none"/>
          <w:lang w:val="en-US" w:eastAsia="zh-CN"/>
        </w:rPr>
      </w:pPr>
      <w:bookmarkStart w:id="223" w:name="_Toc12159"/>
      <w:r>
        <w:rPr>
          <w:rFonts w:hint="eastAsia" w:ascii="宋体" w:hAnsi="宋体"/>
          <w:b/>
          <w:bCs/>
          <w:color w:val="auto"/>
          <w:sz w:val="27"/>
          <w:szCs w:val="27"/>
          <w:highlight w:val="none"/>
          <w:lang w:val="en-US" w:eastAsia="zh-CN"/>
        </w:rPr>
        <w:t>4.采购需求</w:t>
      </w:r>
      <w:bookmarkEnd w:id="223"/>
      <w:bookmarkStart w:id="224" w:name="_Toc4707"/>
    </w:p>
    <w:p w14:paraId="2C2EA0F6">
      <w:pPr>
        <w:pStyle w:val="673"/>
        <w:numPr>
          <w:ilvl w:val="0"/>
          <w:numId w:val="0"/>
        </w:numPr>
        <w:spacing w:line="360" w:lineRule="auto"/>
        <w:ind w:firstLine="482" w:firstLineChars="200"/>
        <w:outlineLvl w:val="9"/>
        <w:rPr>
          <w:rFonts w:hint="eastAsia" w:ascii="宋体" w:hAnsi="宋体" w:eastAsia="宋体" w:cs="宋体"/>
          <w:b/>
          <w:bCs/>
          <w:color w:val="auto"/>
          <w:spacing w:val="0"/>
          <w:kern w:val="2"/>
          <w:sz w:val="24"/>
          <w:szCs w:val="24"/>
          <w:lang w:val="zh-CN" w:eastAsia="zh-CN" w:bidi="ar-SA"/>
        </w:rPr>
      </w:pPr>
      <w:r>
        <w:rPr>
          <w:rFonts w:hint="eastAsia" w:ascii="宋体" w:hAnsi="宋体" w:eastAsia="宋体" w:cs="宋体"/>
          <w:b/>
          <w:bCs/>
          <w:color w:val="auto"/>
          <w:spacing w:val="0"/>
          <w:kern w:val="2"/>
          <w:sz w:val="24"/>
          <w:szCs w:val="24"/>
          <w:lang w:val="en-US" w:eastAsia="zh-CN" w:bidi="ar-SA"/>
        </w:rPr>
        <w:t>1.</w:t>
      </w:r>
      <w:r>
        <w:rPr>
          <w:rFonts w:hint="eastAsia" w:ascii="宋体" w:hAnsi="宋体" w:eastAsia="宋体" w:cs="宋体"/>
          <w:b/>
          <w:bCs/>
          <w:color w:val="auto"/>
          <w:spacing w:val="0"/>
          <w:kern w:val="2"/>
          <w:sz w:val="24"/>
          <w:szCs w:val="24"/>
          <w:lang w:val="zh-CN" w:eastAsia="zh-CN" w:bidi="ar-SA"/>
        </w:rPr>
        <w:t>项目概况</w:t>
      </w:r>
      <w:bookmarkStart w:id="225" w:name="_Toc376936789"/>
    </w:p>
    <w:p w14:paraId="7ABD0A93">
      <w:pPr>
        <w:pStyle w:val="673"/>
        <w:numPr>
          <w:ilvl w:val="0"/>
          <w:numId w:val="0"/>
        </w:numPr>
        <w:spacing w:line="360" w:lineRule="auto"/>
        <w:ind w:firstLine="480" w:firstLineChars="200"/>
        <w:outlineLvl w:val="9"/>
        <w:rPr>
          <w:rFonts w:hint="eastAsia" w:ascii="宋体" w:hAnsi="宋体" w:eastAsia="宋体" w:cs="宋体"/>
          <w:b w:val="0"/>
          <w:bCs w:val="0"/>
          <w:sz w:val="24"/>
          <w:szCs w:val="24"/>
          <w:lang w:val="zh-CN"/>
        </w:rPr>
      </w:pPr>
      <w:r>
        <w:rPr>
          <w:rFonts w:hint="eastAsia" w:ascii="宋体" w:hAnsi="宋体" w:eastAsia="宋体" w:cs="宋体"/>
          <w:b w:val="0"/>
          <w:bCs w:val="0"/>
          <w:color w:val="auto"/>
          <w:spacing w:val="0"/>
          <w:kern w:val="2"/>
          <w:sz w:val="24"/>
          <w:szCs w:val="24"/>
          <w:lang w:val="en-US" w:eastAsia="zh-CN" w:bidi="ar-SA"/>
        </w:rPr>
        <w:t>青海省财政厅信息中心机房内在线运行的服务器、存储和相关软硬件等设备保修已到期，为保障系统正常运行</w:t>
      </w:r>
      <w:r>
        <w:rPr>
          <w:rFonts w:hint="eastAsia" w:ascii="宋体" w:hAnsi="宋体" w:eastAsia="宋体" w:cs="宋体"/>
          <w:b w:val="0"/>
          <w:bCs w:val="0"/>
          <w:sz w:val="24"/>
          <w:szCs w:val="24"/>
        </w:rPr>
        <w:t>，这批系统相关设备要进行维保采购。</w:t>
      </w:r>
      <w:bookmarkEnd w:id="225"/>
    </w:p>
    <w:p w14:paraId="461001F9">
      <w:pPr>
        <w:spacing w:line="360" w:lineRule="auto"/>
        <w:ind w:firstLine="964"/>
        <w:jc w:val="both"/>
        <w:outlineLvl w:val="9"/>
        <w:rPr>
          <w:rFonts w:hint="eastAsia" w:ascii="宋体" w:hAnsi="宋体" w:eastAsia="宋体" w:cs="宋体"/>
          <w:b/>
          <w:bCs/>
          <w:sz w:val="24"/>
          <w:szCs w:val="24"/>
          <w:lang w:val="zh-CN"/>
        </w:rPr>
      </w:pPr>
      <w:r>
        <w:rPr>
          <w:rFonts w:hint="eastAsia" w:ascii="宋体" w:hAnsi="宋体" w:eastAsia="宋体" w:cs="宋体"/>
          <w:b/>
          <w:bCs/>
          <w:sz w:val="24"/>
          <w:szCs w:val="24"/>
          <w:lang w:val="en-US" w:eastAsia="zh-CN"/>
        </w:rPr>
        <w:t>2.</w:t>
      </w:r>
      <w:r>
        <w:rPr>
          <w:rFonts w:hint="eastAsia" w:ascii="宋体" w:hAnsi="宋体" w:eastAsia="宋体" w:cs="宋体"/>
          <w:b/>
          <w:bCs/>
          <w:sz w:val="24"/>
          <w:szCs w:val="24"/>
          <w:lang w:val="zh-CN"/>
        </w:rPr>
        <w:t>维保清单</w:t>
      </w:r>
    </w:p>
    <w:p w14:paraId="7AD837B5">
      <w:pPr>
        <w:pStyle w:val="673"/>
        <w:numPr>
          <w:ilvl w:val="0"/>
          <w:numId w:val="0"/>
        </w:numPr>
        <w:spacing w:line="360" w:lineRule="auto"/>
        <w:ind w:firstLine="482" w:firstLineChars="200"/>
        <w:outlineLvl w:val="9"/>
        <w:rPr>
          <w:rFonts w:hint="eastAsia" w:ascii="宋体" w:hAnsi="宋体" w:eastAsia="宋体" w:cs="宋体"/>
          <w:sz w:val="24"/>
          <w:szCs w:val="24"/>
        </w:rPr>
      </w:pPr>
      <w:r>
        <w:rPr>
          <w:rFonts w:hint="eastAsia" w:ascii="宋体" w:hAnsi="宋体" w:eastAsia="宋体" w:cs="宋体"/>
          <w:sz w:val="24"/>
          <w:szCs w:val="24"/>
          <w:lang w:val="en-US" w:eastAsia="zh-CN"/>
        </w:rPr>
        <w:t>2.1</w:t>
      </w:r>
      <w:r>
        <w:rPr>
          <w:rFonts w:hint="eastAsia" w:ascii="宋体" w:hAnsi="宋体" w:eastAsia="宋体" w:cs="宋体"/>
          <w:sz w:val="24"/>
          <w:szCs w:val="24"/>
        </w:rPr>
        <w:t>设备清单</w:t>
      </w:r>
    </w:p>
    <w:p w14:paraId="75A2D77C">
      <w:pPr>
        <w:pStyle w:val="673"/>
        <w:numPr>
          <w:ilvl w:val="0"/>
          <w:numId w:val="0"/>
        </w:numPr>
        <w:spacing w:line="360" w:lineRule="auto"/>
        <w:ind w:firstLine="241" w:firstLineChars="100"/>
        <w:outlineLvl w:val="9"/>
        <w:rPr>
          <w:rFonts w:hint="eastAsia" w:ascii="宋体" w:hAnsi="宋体" w:eastAsia="宋体" w:cs="宋体"/>
          <w:sz w:val="24"/>
          <w:szCs w:val="24"/>
        </w:rPr>
      </w:pPr>
      <w:r>
        <w:rPr>
          <w:rFonts w:hint="eastAsia" w:ascii="宋体" w:hAnsi="宋体" w:cs="宋体"/>
          <w:sz w:val="24"/>
          <w:szCs w:val="24"/>
          <w:lang w:val="en-US" w:eastAsia="zh-CN"/>
        </w:rPr>
        <w:t>2.1.1</w:t>
      </w:r>
      <w:r>
        <w:rPr>
          <w:rFonts w:hint="eastAsia" w:ascii="宋体" w:hAnsi="宋体" w:eastAsia="宋体" w:cs="宋体"/>
          <w:sz w:val="24"/>
          <w:szCs w:val="24"/>
        </w:rPr>
        <w:t>本地机房维保类</w:t>
      </w:r>
    </w:p>
    <w:tbl>
      <w:tblPr>
        <w:tblStyle w:val="67"/>
        <w:tblW w:w="10098" w:type="dxa"/>
        <w:tblInd w:w="-5" w:type="dxa"/>
        <w:tblLayout w:type="fixed"/>
        <w:tblCellMar>
          <w:top w:w="0" w:type="dxa"/>
          <w:left w:w="108" w:type="dxa"/>
          <w:bottom w:w="0" w:type="dxa"/>
          <w:right w:w="108" w:type="dxa"/>
        </w:tblCellMar>
      </w:tblPr>
      <w:tblGrid>
        <w:gridCol w:w="692"/>
        <w:gridCol w:w="1661"/>
        <w:gridCol w:w="2253"/>
        <w:gridCol w:w="762"/>
        <w:gridCol w:w="1521"/>
        <w:gridCol w:w="1101"/>
        <w:gridCol w:w="2108"/>
      </w:tblGrid>
      <w:tr w14:paraId="66908AA2">
        <w:tblPrEx>
          <w:tblCellMar>
            <w:top w:w="0" w:type="dxa"/>
            <w:left w:w="108" w:type="dxa"/>
            <w:bottom w:w="0" w:type="dxa"/>
            <w:right w:w="108" w:type="dxa"/>
          </w:tblCellMar>
        </w:tblPrEx>
        <w:trPr>
          <w:trHeight w:val="90"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32D46FBA">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b/>
                <w:bCs/>
                <w:color w:val="000000"/>
                <w:kern w:val="0"/>
                <w:sz w:val="24"/>
                <w:szCs w:val="24"/>
                <w:lang w:val="en-US" w:eastAsia="zh-CN"/>
              </w:rPr>
            </w:pPr>
            <w:r>
              <w:rPr>
                <w:rFonts w:hint="eastAsia" w:ascii="宋体" w:hAnsi="宋体" w:eastAsia="宋体" w:cs="宋体"/>
                <w:b/>
                <w:bCs/>
                <w:color w:val="000000"/>
                <w:kern w:val="0"/>
                <w:sz w:val="24"/>
                <w:szCs w:val="24"/>
                <w:lang w:val="en-US" w:eastAsia="zh-CN"/>
              </w:rPr>
              <w:t>序号</w:t>
            </w:r>
          </w:p>
        </w:tc>
        <w:tc>
          <w:tcPr>
            <w:tcW w:w="1661" w:type="dxa"/>
            <w:tcBorders>
              <w:top w:val="single" w:color="auto" w:sz="4" w:space="0"/>
              <w:left w:val="nil"/>
              <w:bottom w:val="single" w:color="auto" w:sz="4" w:space="0"/>
              <w:right w:val="single" w:color="auto" w:sz="4" w:space="0"/>
            </w:tcBorders>
            <w:shd w:val="clear" w:color="auto" w:fill="auto"/>
            <w:vAlign w:val="center"/>
          </w:tcPr>
          <w:p w14:paraId="5180D3E9">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设备名称</w:t>
            </w:r>
          </w:p>
        </w:tc>
        <w:tc>
          <w:tcPr>
            <w:tcW w:w="2253" w:type="dxa"/>
            <w:tcBorders>
              <w:top w:val="single" w:color="auto" w:sz="4" w:space="0"/>
              <w:left w:val="nil"/>
              <w:bottom w:val="single" w:color="auto" w:sz="4" w:space="0"/>
              <w:right w:val="single" w:color="auto" w:sz="4" w:space="0"/>
            </w:tcBorders>
            <w:shd w:val="clear" w:color="auto" w:fill="auto"/>
            <w:vAlign w:val="center"/>
          </w:tcPr>
          <w:p w14:paraId="08B7DB53">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设备型号</w:t>
            </w:r>
          </w:p>
        </w:tc>
        <w:tc>
          <w:tcPr>
            <w:tcW w:w="762" w:type="dxa"/>
            <w:tcBorders>
              <w:top w:val="single" w:color="auto" w:sz="4" w:space="0"/>
              <w:left w:val="nil"/>
              <w:bottom w:val="single" w:color="auto" w:sz="4" w:space="0"/>
              <w:right w:val="single" w:color="auto" w:sz="4" w:space="0"/>
            </w:tcBorders>
            <w:shd w:val="clear" w:color="auto" w:fill="auto"/>
            <w:vAlign w:val="center"/>
          </w:tcPr>
          <w:p w14:paraId="2FEC0D0F">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数量</w:t>
            </w:r>
          </w:p>
        </w:tc>
        <w:tc>
          <w:tcPr>
            <w:tcW w:w="1521" w:type="dxa"/>
            <w:tcBorders>
              <w:top w:val="single" w:color="auto" w:sz="4" w:space="0"/>
              <w:left w:val="nil"/>
              <w:bottom w:val="single" w:color="auto" w:sz="4" w:space="0"/>
              <w:right w:val="single" w:color="auto" w:sz="4" w:space="0"/>
            </w:tcBorders>
            <w:shd w:val="clear" w:color="auto" w:fill="auto"/>
            <w:vAlign w:val="center"/>
          </w:tcPr>
          <w:p w14:paraId="535E37BE">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设备机柜位置</w:t>
            </w:r>
          </w:p>
        </w:tc>
        <w:tc>
          <w:tcPr>
            <w:tcW w:w="1101" w:type="dxa"/>
            <w:tcBorders>
              <w:top w:val="single" w:color="auto" w:sz="4" w:space="0"/>
              <w:left w:val="nil"/>
              <w:bottom w:val="single" w:color="auto" w:sz="4" w:space="0"/>
              <w:right w:val="single" w:color="auto" w:sz="4" w:space="0"/>
            </w:tcBorders>
            <w:shd w:val="clear" w:color="auto" w:fill="auto"/>
            <w:vAlign w:val="center"/>
          </w:tcPr>
          <w:p w14:paraId="0C22D266">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维保期限</w:t>
            </w:r>
          </w:p>
        </w:tc>
        <w:tc>
          <w:tcPr>
            <w:tcW w:w="2108" w:type="dxa"/>
            <w:tcBorders>
              <w:top w:val="single" w:color="auto" w:sz="4" w:space="0"/>
              <w:left w:val="nil"/>
              <w:bottom w:val="single" w:color="auto" w:sz="4" w:space="0"/>
              <w:right w:val="single" w:color="auto" w:sz="4" w:space="0"/>
            </w:tcBorders>
            <w:shd w:val="clear" w:color="auto" w:fill="auto"/>
            <w:vAlign w:val="center"/>
          </w:tcPr>
          <w:p w14:paraId="5F73E41F">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服务内容</w:t>
            </w:r>
          </w:p>
        </w:tc>
      </w:tr>
      <w:tr w14:paraId="7D8A3341">
        <w:tblPrEx>
          <w:tblCellMar>
            <w:top w:w="0" w:type="dxa"/>
            <w:left w:w="108" w:type="dxa"/>
            <w:bottom w:w="0" w:type="dxa"/>
            <w:right w:w="108" w:type="dxa"/>
          </w:tblCellMar>
        </w:tblPrEx>
        <w:trPr>
          <w:trHeight w:val="90" w:hRule="atLeast"/>
        </w:trPr>
        <w:tc>
          <w:tcPr>
            <w:tcW w:w="692" w:type="dxa"/>
            <w:tcBorders>
              <w:top w:val="nil"/>
              <w:left w:val="single" w:color="auto" w:sz="4" w:space="0"/>
              <w:bottom w:val="single" w:color="auto" w:sz="4" w:space="0"/>
              <w:right w:val="single" w:color="auto" w:sz="4" w:space="0"/>
            </w:tcBorders>
            <w:shd w:val="clear" w:color="auto" w:fill="auto"/>
            <w:vAlign w:val="bottom"/>
          </w:tcPr>
          <w:p w14:paraId="6665B008">
            <w:pPr>
              <w:keepNext w:val="0"/>
              <w:keepLines w:val="0"/>
              <w:widowControl/>
              <w:numPr>
                <w:ilvl w:val="0"/>
                <w:numId w:val="27"/>
              </w:numPr>
              <w:suppressLineNumbers w:val="0"/>
              <w:spacing w:before="0" w:beforeAutospacing="0" w:after="0" w:afterAutospacing="0" w:line="240" w:lineRule="auto"/>
              <w:ind w:left="425" w:leftChars="0" w:right="0" w:hanging="425" w:firstLineChars="0"/>
              <w:jc w:val="center"/>
              <w:rPr>
                <w:rFonts w:hint="eastAsia" w:ascii="宋体" w:hAnsi="宋体" w:eastAsia="宋体" w:cs="宋体"/>
                <w:color w:val="000000"/>
                <w:kern w:val="0"/>
                <w:sz w:val="24"/>
                <w:szCs w:val="24"/>
              </w:rPr>
            </w:pPr>
          </w:p>
        </w:tc>
        <w:tc>
          <w:tcPr>
            <w:tcW w:w="1661" w:type="dxa"/>
            <w:tcBorders>
              <w:top w:val="nil"/>
              <w:left w:val="nil"/>
              <w:bottom w:val="single" w:color="auto" w:sz="4" w:space="0"/>
              <w:right w:val="single" w:color="auto" w:sz="4" w:space="0"/>
            </w:tcBorders>
            <w:shd w:val="clear" w:color="auto" w:fill="auto"/>
            <w:vAlign w:val="bottom"/>
          </w:tcPr>
          <w:p w14:paraId="1C952B4A">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服务器</w:t>
            </w:r>
          </w:p>
        </w:tc>
        <w:tc>
          <w:tcPr>
            <w:tcW w:w="2253" w:type="dxa"/>
            <w:tcBorders>
              <w:top w:val="nil"/>
              <w:left w:val="nil"/>
              <w:bottom w:val="single" w:color="auto" w:sz="4" w:space="0"/>
              <w:right w:val="single" w:color="auto" w:sz="4" w:space="0"/>
            </w:tcBorders>
            <w:shd w:val="clear" w:color="auto" w:fill="auto"/>
            <w:vAlign w:val="center"/>
          </w:tcPr>
          <w:p w14:paraId="5E449F2D">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SR550 SIP服务器含软件</w:t>
            </w:r>
          </w:p>
        </w:tc>
        <w:tc>
          <w:tcPr>
            <w:tcW w:w="762" w:type="dxa"/>
            <w:tcBorders>
              <w:top w:val="nil"/>
              <w:left w:val="nil"/>
              <w:bottom w:val="single" w:color="auto" w:sz="4" w:space="0"/>
              <w:right w:val="single" w:color="auto" w:sz="4" w:space="0"/>
            </w:tcBorders>
            <w:shd w:val="clear" w:color="auto" w:fill="auto"/>
            <w:vAlign w:val="center"/>
          </w:tcPr>
          <w:p w14:paraId="57B62B56">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521" w:type="dxa"/>
            <w:tcBorders>
              <w:top w:val="nil"/>
              <w:left w:val="nil"/>
              <w:bottom w:val="single" w:color="auto" w:sz="4" w:space="0"/>
              <w:right w:val="single" w:color="auto" w:sz="4" w:space="0"/>
            </w:tcBorders>
            <w:shd w:val="clear" w:color="auto" w:fill="auto"/>
            <w:vAlign w:val="center"/>
          </w:tcPr>
          <w:p w14:paraId="59077571">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CZ-A-31</w:t>
            </w:r>
          </w:p>
        </w:tc>
        <w:tc>
          <w:tcPr>
            <w:tcW w:w="1101" w:type="dxa"/>
            <w:tcBorders>
              <w:top w:val="nil"/>
              <w:left w:val="nil"/>
              <w:bottom w:val="single" w:color="auto" w:sz="4" w:space="0"/>
              <w:right w:val="single" w:color="auto" w:sz="4" w:space="0"/>
            </w:tcBorders>
            <w:shd w:val="clear" w:color="auto" w:fill="auto"/>
            <w:vAlign w:val="center"/>
          </w:tcPr>
          <w:p w14:paraId="7B1A2A41">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2108" w:type="dxa"/>
            <w:vMerge w:val="restart"/>
            <w:tcBorders>
              <w:top w:val="nil"/>
              <w:left w:val="single" w:color="auto" w:sz="4" w:space="0"/>
              <w:bottom w:val="single" w:color="000000" w:sz="4" w:space="0"/>
              <w:right w:val="single" w:color="auto" w:sz="4" w:space="0"/>
            </w:tcBorders>
            <w:shd w:val="clear" w:color="auto" w:fill="auto"/>
            <w:vAlign w:val="center"/>
          </w:tcPr>
          <w:p w14:paraId="29ABD180">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硬件保修包含整机上面所有配件（如CPU、内存、硬盘、网卡、HBA卡、主板、电源等）,本地工程师现场支持要求时间为7*24小时*2小时到达，所需配件24小时内送达。</w:t>
            </w:r>
          </w:p>
        </w:tc>
      </w:tr>
      <w:tr w14:paraId="34B9F8FE">
        <w:tblPrEx>
          <w:tblCellMar>
            <w:top w:w="0" w:type="dxa"/>
            <w:left w:w="108" w:type="dxa"/>
            <w:bottom w:w="0" w:type="dxa"/>
            <w:right w:w="108" w:type="dxa"/>
          </w:tblCellMar>
        </w:tblPrEx>
        <w:trPr>
          <w:trHeight w:val="90" w:hRule="atLeast"/>
        </w:trPr>
        <w:tc>
          <w:tcPr>
            <w:tcW w:w="692" w:type="dxa"/>
            <w:tcBorders>
              <w:top w:val="nil"/>
              <w:left w:val="single" w:color="auto" w:sz="4" w:space="0"/>
              <w:bottom w:val="single" w:color="auto" w:sz="4" w:space="0"/>
              <w:right w:val="single" w:color="auto" w:sz="4" w:space="0"/>
            </w:tcBorders>
            <w:shd w:val="clear" w:color="auto" w:fill="auto"/>
            <w:vAlign w:val="bottom"/>
          </w:tcPr>
          <w:p w14:paraId="67CE9EC9">
            <w:pPr>
              <w:keepNext w:val="0"/>
              <w:keepLines w:val="0"/>
              <w:widowControl/>
              <w:numPr>
                <w:ilvl w:val="0"/>
                <w:numId w:val="27"/>
              </w:numPr>
              <w:suppressLineNumbers w:val="0"/>
              <w:spacing w:before="0" w:beforeAutospacing="0" w:after="0" w:afterAutospacing="0" w:line="240" w:lineRule="auto"/>
              <w:ind w:left="425" w:leftChars="0" w:right="0" w:hanging="425" w:firstLineChars="0"/>
              <w:jc w:val="center"/>
              <w:rPr>
                <w:rFonts w:hint="eastAsia" w:ascii="宋体" w:hAnsi="宋体" w:eastAsia="宋体" w:cs="宋体"/>
                <w:color w:val="000000"/>
                <w:kern w:val="0"/>
                <w:sz w:val="24"/>
                <w:szCs w:val="24"/>
              </w:rPr>
            </w:pPr>
          </w:p>
        </w:tc>
        <w:tc>
          <w:tcPr>
            <w:tcW w:w="1661" w:type="dxa"/>
            <w:tcBorders>
              <w:top w:val="nil"/>
              <w:left w:val="nil"/>
              <w:bottom w:val="single" w:color="auto" w:sz="4" w:space="0"/>
              <w:right w:val="single" w:color="auto" w:sz="4" w:space="0"/>
            </w:tcBorders>
            <w:shd w:val="clear" w:color="auto" w:fill="auto"/>
            <w:vAlign w:val="bottom"/>
          </w:tcPr>
          <w:p w14:paraId="77C584B8">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服务器</w:t>
            </w:r>
          </w:p>
        </w:tc>
        <w:tc>
          <w:tcPr>
            <w:tcW w:w="2253" w:type="dxa"/>
            <w:tcBorders>
              <w:top w:val="nil"/>
              <w:left w:val="nil"/>
              <w:bottom w:val="single" w:color="auto" w:sz="4" w:space="0"/>
              <w:right w:val="single" w:color="auto" w:sz="4" w:space="0"/>
            </w:tcBorders>
            <w:shd w:val="clear" w:color="auto" w:fill="auto"/>
            <w:vAlign w:val="center"/>
          </w:tcPr>
          <w:p w14:paraId="0109B372">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TAISHAN 2280K</w:t>
            </w:r>
          </w:p>
        </w:tc>
        <w:tc>
          <w:tcPr>
            <w:tcW w:w="762" w:type="dxa"/>
            <w:tcBorders>
              <w:top w:val="nil"/>
              <w:left w:val="nil"/>
              <w:bottom w:val="single" w:color="auto" w:sz="4" w:space="0"/>
              <w:right w:val="single" w:color="auto" w:sz="4" w:space="0"/>
            </w:tcBorders>
            <w:shd w:val="clear" w:color="auto" w:fill="auto"/>
            <w:vAlign w:val="center"/>
          </w:tcPr>
          <w:p w14:paraId="300D952F">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521" w:type="dxa"/>
            <w:tcBorders>
              <w:top w:val="nil"/>
              <w:left w:val="nil"/>
              <w:bottom w:val="single" w:color="auto" w:sz="4" w:space="0"/>
              <w:right w:val="single" w:color="auto" w:sz="4" w:space="0"/>
            </w:tcBorders>
            <w:shd w:val="clear" w:color="auto" w:fill="auto"/>
            <w:vAlign w:val="center"/>
          </w:tcPr>
          <w:p w14:paraId="607A5071">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CZ-A-27</w:t>
            </w:r>
          </w:p>
        </w:tc>
        <w:tc>
          <w:tcPr>
            <w:tcW w:w="1101" w:type="dxa"/>
            <w:tcBorders>
              <w:top w:val="nil"/>
              <w:left w:val="nil"/>
              <w:bottom w:val="single" w:color="auto" w:sz="4" w:space="0"/>
              <w:right w:val="single" w:color="auto" w:sz="4" w:space="0"/>
            </w:tcBorders>
            <w:shd w:val="clear" w:color="auto" w:fill="auto"/>
            <w:vAlign w:val="center"/>
          </w:tcPr>
          <w:p w14:paraId="5C4C21A3">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2108" w:type="dxa"/>
            <w:vMerge w:val="continue"/>
            <w:tcBorders>
              <w:top w:val="nil"/>
              <w:left w:val="single" w:color="auto" w:sz="4" w:space="0"/>
              <w:bottom w:val="single" w:color="000000" w:sz="4" w:space="0"/>
              <w:right w:val="single" w:color="auto" w:sz="4" w:space="0"/>
            </w:tcBorders>
            <w:vAlign w:val="center"/>
          </w:tcPr>
          <w:p w14:paraId="288ADE98">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p>
        </w:tc>
      </w:tr>
      <w:tr w14:paraId="239FF244">
        <w:tblPrEx>
          <w:tblCellMar>
            <w:top w:w="0" w:type="dxa"/>
            <w:left w:w="108" w:type="dxa"/>
            <w:bottom w:w="0" w:type="dxa"/>
            <w:right w:w="108" w:type="dxa"/>
          </w:tblCellMar>
        </w:tblPrEx>
        <w:trPr>
          <w:trHeight w:val="90" w:hRule="atLeast"/>
        </w:trPr>
        <w:tc>
          <w:tcPr>
            <w:tcW w:w="692" w:type="dxa"/>
            <w:tcBorders>
              <w:top w:val="nil"/>
              <w:left w:val="single" w:color="auto" w:sz="4" w:space="0"/>
              <w:bottom w:val="single" w:color="auto" w:sz="4" w:space="0"/>
              <w:right w:val="single" w:color="auto" w:sz="4" w:space="0"/>
            </w:tcBorders>
            <w:shd w:val="clear" w:color="auto" w:fill="auto"/>
            <w:vAlign w:val="bottom"/>
          </w:tcPr>
          <w:p w14:paraId="3D28BB38">
            <w:pPr>
              <w:keepNext w:val="0"/>
              <w:keepLines w:val="0"/>
              <w:widowControl/>
              <w:numPr>
                <w:ilvl w:val="0"/>
                <w:numId w:val="27"/>
              </w:numPr>
              <w:suppressLineNumbers w:val="0"/>
              <w:spacing w:before="0" w:beforeAutospacing="0" w:after="0" w:afterAutospacing="0" w:line="240" w:lineRule="auto"/>
              <w:ind w:left="425" w:leftChars="0" w:right="0" w:hanging="425" w:firstLineChars="0"/>
              <w:jc w:val="center"/>
              <w:rPr>
                <w:rFonts w:hint="eastAsia" w:ascii="宋体" w:hAnsi="宋体" w:eastAsia="宋体" w:cs="宋体"/>
                <w:color w:val="000000"/>
                <w:kern w:val="0"/>
                <w:sz w:val="24"/>
                <w:szCs w:val="24"/>
              </w:rPr>
            </w:pPr>
          </w:p>
        </w:tc>
        <w:tc>
          <w:tcPr>
            <w:tcW w:w="1661" w:type="dxa"/>
            <w:tcBorders>
              <w:top w:val="nil"/>
              <w:left w:val="nil"/>
              <w:bottom w:val="single" w:color="auto" w:sz="4" w:space="0"/>
              <w:right w:val="single" w:color="auto" w:sz="4" w:space="0"/>
            </w:tcBorders>
            <w:shd w:val="clear" w:color="auto" w:fill="auto"/>
            <w:vAlign w:val="bottom"/>
          </w:tcPr>
          <w:p w14:paraId="3ABD1921">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服务器</w:t>
            </w:r>
          </w:p>
        </w:tc>
        <w:tc>
          <w:tcPr>
            <w:tcW w:w="2253" w:type="dxa"/>
            <w:tcBorders>
              <w:top w:val="nil"/>
              <w:left w:val="nil"/>
              <w:bottom w:val="single" w:color="auto" w:sz="4" w:space="0"/>
              <w:right w:val="single" w:color="auto" w:sz="4" w:space="0"/>
            </w:tcBorders>
            <w:shd w:val="clear" w:color="auto" w:fill="auto"/>
            <w:vAlign w:val="center"/>
          </w:tcPr>
          <w:p w14:paraId="4ABCDEC3">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TAISHAN 2280K</w:t>
            </w:r>
          </w:p>
        </w:tc>
        <w:tc>
          <w:tcPr>
            <w:tcW w:w="762" w:type="dxa"/>
            <w:tcBorders>
              <w:top w:val="nil"/>
              <w:left w:val="nil"/>
              <w:bottom w:val="single" w:color="auto" w:sz="4" w:space="0"/>
              <w:right w:val="single" w:color="auto" w:sz="4" w:space="0"/>
            </w:tcBorders>
            <w:shd w:val="clear" w:color="auto" w:fill="auto"/>
            <w:vAlign w:val="center"/>
          </w:tcPr>
          <w:p w14:paraId="1C595495">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521" w:type="dxa"/>
            <w:tcBorders>
              <w:top w:val="nil"/>
              <w:left w:val="nil"/>
              <w:bottom w:val="single" w:color="auto" w:sz="4" w:space="0"/>
              <w:right w:val="single" w:color="auto" w:sz="4" w:space="0"/>
            </w:tcBorders>
            <w:shd w:val="clear" w:color="auto" w:fill="auto"/>
            <w:vAlign w:val="center"/>
          </w:tcPr>
          <w:p w14:paraId="2CF5A1EB">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CZ-A-27</w:t>
            </w:r>
          </w:p>
        </w:tc>
        <w:tc>
          <w:tcPr>
            <w:tcW w:w="1101" w:type="dxa"/>
            <w:tcBorders>
              <w:top w:val="nil"/>
              <w:left w:val="nil"/>
              <w:bottom w:val="single" w:color="auto" w:sz="4" w:space="0"/>
              <w:right w:val="single" w:color="auto" w:sz="4" w:space="0"/>
            </w:tcBorders>
            <w:shd w:val="clear" w:color="auto" w:fill="auto"/>
            <w:vAlign w:val="center"/>
          </w:tcPr>
          <w:p w14:paraId="3513CF70">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2108" w:type="dxa"/>
            <w:vMerge w:val="continue"/>
            <w:tcBorders>
              <w:top w:val="nil"/>
              <w:left w:val="single" w:color="auto" w:sz="4" w:space="0"/>
              <w:bottom w:val="single" w:color="000000" w:sz="4" w:space="0"/>
              <w:right w:val="single" w:color="auto" w:sz="4" w:space="0"/>
            </w:tcBorders>
            <w:vAlign w:val="center"/>
          </w:tcPr>
          <w:p w14:paraId="6CA1C52F">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p>
        </w:tc>
      </w:tr>
      <w:tr w14:paraId="77ABEAE4">
        <w:tblPrEx>
          <w:tblCellMar>
            <w:top w:w="0" w:type="dxa"/>
            <w:left w:w="108" w:type="dxa"/>
            <w:bottom w:w="0" w:type="dxa"/>
            <w:right w:w="108" w:type="dxa"/>
          </w:tblCellMar>
        </w:tblPrEx>
        <w:trPr>
          <w:trHeight w:val="90" w:hRule="atLeast"/>
        </w:trPr>
        <w:tc>
          <w:tcPr>
            <w:tcW w:w="692" w:type="dxa"/>
            <w:tcBorders>
              <w:top w:val="nil"/>
              <w:left w:val="single" w:color="auto" w:sz="4" w:space="0"/>
              <w:bottom w:val="single" w:color="auto" w:sz="4" w:space="0"/>
              <w:right w:val="single" w:color="auto" w:sz="4" w:space="0"/>
            </w:tcBorders>
            <w:shd w:val="clear" w:color="auto" w:fill="auto"/>
            <w:vAlign w:val="bottom"/>
          </w:tcPr>
          <w:p w14:paraId="4236E27C">
            <w:pPr>
              <w:keepNext w:val="0"/>
              <w:keepLines w:val="0"/>
              <w:widowControl/>
              <w:numPr>
                <w:ilvl w:val="0"/>
                <w:numId w:val="27"/>
              </w:numPr>
              <w:suppressLineNumbers w:val="0"/>
              <w:spacing w:before="0" w:beforeAutospacing="0" w:after="0" w:afterAutospacing="0" w:line="240" w:lineRule="auto"/>
              <w:ind w:left="425" w:leftChars="0" w:right="0" w:hanging="425" w:firstLineChars="0"/>
              <w:jc w:val="center"/>
              <w:rPr>
                <w:rFonts w:hint="eastAsia" w:ascii="宋体" w:hAnsi="宋体" w:eastAsia="宋体" w:cs="宋体"/>
                <w:color w:val="000000"/>
                <w:kern w:val="0"/>
                <w:sz w:val="24"/>
                <w:szCs w:val="24"/>
              </w:rPr>
            </w:pPr>
          </w:p>
        </w:tc>
        <w:tc>
          <w:tcPr>
            <w:tcW w:w="1661" w:type="dxa"/>
            <w:tcBorders>
              <w:top w:val="nil"/>
              <w:left w:val="nil"/>
              <w:bottom w:val="single" w:color="auto" w:sz="4" w:space="0"/>
              <w:right w:val="single" w:color="auto" w:sz="4" w:space="0"/>
            </w:tcBorders>
            <w:shd w:val="clear" w:color="auto" w:fill="auto"/>
            <w:vAlign w:val="bottom"/>
          </w:tcPr>
          <w:p w14:paraId="46C83A11">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服务器</w:t>
            </w:r>
          </w:p>
        </w:tc>
        <w:tc>
          <w:tcPr>
            <w:tcW w:w="2253" w:type="dxa"/>
            <w:tcBorders>
              <w:top w:val="nil"/>
              <w:left w:val="nil"/>
              <w:bottom w:val="single" w:color="auto" w:sz="4" w:space="0"/>
              <w:right w:val="single" w:color="auto" w:sz="4" w:space="0"/>
            </w:tcBorders>
            <w:shd w:val="clear" w:color="auto" w:fill="auto"/>
            <w:vAlign w:val="center"/>
          </w:tcPr>
          <w:p w14:paraId="4792D6C7">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TAISHAN 2280K</w:t>
            </w:r>
          </w:p>
        </w:tc>
        <w:tc>
          <w:tcPr>
            <w:tcW w:w="762" w:type="dxa"/>
            <w:tcBorders>
              <w:top w:val="nil"/>
              <w:left w:val="nil"/>
              <w:bottom w:val="single" w:color="auto" w:sz="4" w:space="0"/>
              <w:right w:val="single" w:color="auto" w:sz="4" w:space="0"/>
            </w:tcBorders>
            <w:shd w:val="clear" w:color="auto" w:fill="auto"/>
            <w:vAlign w:val="center"/>
          </w:tcPr>
          <w:p w14:paraId="00D57FC2">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521" w:type="dxa"/>
            <w:tcBorders>
              <w:top w:val="nil"/>
              <w:left w:val="nil"/>
              <w:bottom w:val="single" w:color="auto" w:sz="4" w:space="0"/>
              <w:right w:val="single" w:color="auto" w:sz="4" w:space="0"/>
            </w:tcBorders>
            <w:shd w:val="clear" w:color="auto" w:fill="auto"/>
            <w:vAlign w:val="center"/>
          </w:tcPr>
          <w:p w14:paraId="1BF643E5">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CZ-A-27</w:t>
            </w:r>
          </w:p>
        </w:tc>
        <w:tc>
          <w:tcPr>
            <w:tcW w:w="1101" w:type="dxa"/>
            <w:tcBorders>
              <w:top w:val="nil"/>
              <w:left w:val="nil"/>
              <w:bottom w:val="single" w:color="auto" w:sz="4" w:space="0"/>
              <w:right w:val="single" w:color="auto" w:sz="4" w:space="0"/>
            </w:tcBorders>
            <w:shd w:val="clear" w:color="auto" w:fill="auto"/>
            <w:vAlign w:val="center"/>
          </w:tcPr>
          <w:p w14:paraId="0CF5332A">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2108" w:type="dxa"/>
            <w:vMerge w:val="continue"/>
            <w:tcBorders>
              <w:top w:val="nil"/>
              <w:left w:val="single" w:color="auto" w:sz="4" w:space="0"/>
              <w:bottom w:val="single" w:color="000000" w:sz="4" w:space="0"/>
              <w:right w:val="single" w:color="auto" w:sz="4" w:space="0"/>
            </w:tcBorders>
            <w:vAlign w:val="center"/>
          </w:tcPr>
          <w:p w14:paraId="7F9CC8A3">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p>
        </w:tc>
      </w:tr>
      <w:tr w14:paraId="78C61559">
        <w:tblPrEx>
          <w:tblCellMar>
            <w:top w:w="0" w:type="dxa"/>
            <w:left w:w="108" w:type="dxa"/>
            <w:bottom w:w="0" w:type="dxa"/>
            <w:right w:w="108" w:type="dxa"/>
          </w:tblCellMar>
        </w:tblPrEx>
        <w:trPr>
          <w:trHeight w:val="90" w:hRule="atLeast"/>
        </w:trPr>
        <w:tc>
          <w:tcPr>
            <w:tcW w:w="692" w:type="dxa"/>
            <w:tcBorders>
              <w:top w:val="nil"/>
              <w:left w:val="single" w:color="auto" w:sz="4" w:space="0"/>
              <w:bottom w:val="single" w:color="auto" w:sz="4" w:space="0"/>
              <w:right w:val="single" w:color="auto" w:sz="4" w:space="0"/>
            </w:tcBorders>
            <w:shd w:val="clear" w:color="auto" w:fill="auto"/>
            <w:vAlign w:val="bottom"/>
          </w:tcPr>
          <w:p w14:paraId="7A568669">
            <w:pPr>
              <w:keepNext w:val="0"/>
              <w:keepLines w:val="0"/>
              <w:widowControl/>
              <w:numPr>
                <w:ilvl w:val="0"/>
                <w:numId w:val="27"/>
              </w:numPr>
              <w:suppressLineNumbers w:val="0"/>
              <w:spacing w:before="0" w:beforeAutospacing="0" w:after="0" w:afterAutospacing="0" w:line="240" w:lineRule="auto"/>
              <w:ind w:left="425" w:leftChars="0" w:right="0" w:hanging="425" w:firstLineChars="0"/>
              <w:jc w:val="center"/>
              <w:rPr>
                <w:rFonts w:hint="eastAsia" w:ascii="宋体" w:hAnsi="宋体" w:eastAsia="宋体" w:cs="宋体"/>
                <w:color w:val="000000"/>
                <w:kern w:val="0"/>
                <w:sz w:val="24"/>
                <w:szCs w:val="24"/>
              </w:rPr>
            </w:pPr>
          </w:p>
        </w:tc>
        <w:tc>
          <w:tcPr>
            <w:tcW w:w="1661" w:type="dxa"/>
            <w:tcBorders>
              <w:top w:val="nil"/>
              <w:left w:val="nil"/>
              <w:bottom w:val="single" w:color="auto" w:sz="4" w:space="0"/>
              <w:right w:val="single" w:color="auto" w:sz="4" w:space="0"/>
            </w:tcBorders>
            <w:shd w:val="clear" w:color="auto" w:fill="auto"/>
            <w:vAlign w:val="bottom"/>
          </w:tcPr>
          <w:p w14:paraId="6DCA5343">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服务器</w:t>
            </w:r>
          </w:p>
        </w:tc>
        <w:tc>
          <w:tcPr>
            <w:tcW w:w="2253" w:type="dxa"/>
            <w:tcBorders>
              <w:top w:val="nil"/>
              <w:left w:val="nil"/>
              <w:bottom w:val="single" w:color="auto" w:sz="4" w:space="0"/>
              <w:right w:val="single" w:color="auto" w:sz="4" w:space="0"/>
            </w:tcBorders>
            <w:shd w:val="clear" w:color="auto" w:fill="auto"/>
            <w:vAlign w:val="center"/>
          </w:tcPr>
          <w:p w14:paraId="59FA539B">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TAISHAN 2280K</w:t>
            </w:r>
          </w:p>
        </w:tc>
        <w:tc>
          <w:tcPr>
            <w:tcW w:w="762" w:type="dxa"/>
            <w:tcBorders>
              <w:top w:val="nil"/>
              <w:left w:val="nil"/>
              <w:bottom w:val="single" w:color="auto" w:sz="4" w:space="0"/>
              <w:right w:val="single" w:color="auto" w:sz="4" w:space="0"/>
            </w:tcBorders>
            <w:shd w:val="clear" w:color="auto" w:fill="auto"/>
            <w:vAlign w:val="center"/>
          </w:tcPr>
          <w:p w14:paraId="08B8534C">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521" w:type="dxa"/>
            <w:tcBorders>
              <w:top w:val="nil"/>
              <w:left w:val="nil"/>
              <w:bottom w:val="single" w:color="auto" w:sz="4" w:space="0"/>
              <w:right w:val="single" w:color="auto" w:sz="4" w:space="0"/>
            </w:tcBorders>
            <w:shd w:val="clear" w:color="auto" w:fill="auto"/>
            <w:vAlign w:val="center"/>
          </w:tcPr>
          <w:p w14:paraId="549DC179">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CZ-A-27</w:t>
            </w:r>
          </w:p>
        </w:tc>
        <w:tc>
          <w:tcPr>
            <w:tcW w:w="1101" w:type="dxa"/>
            <w:tcBorders>
              <w:top w:val="nil"/>
              <w:left w:val="nil"/>
              <w:bottom w:val="single" w:color="auto" w:sz="4" w:space="0"/>
              <w:right w:val="single" w:color="auto" w:sz="4" w:space="0"/>
            </w:tcBorders>
            <w:shd w:val="clear" w:color="auto" w:fill="auto"/>
            <w:vAlign w:val="center"/>
          </w:tcPr>
          <w:p w14:paraId="420628C6">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2108" w:type="dxa"/>
            <w:vMerge w:val="continue"/>
            <w:tcBorders>
              <w:top w:val="nil"/>
              <w:left w:val="single" w:color="auto" w:sz="4" w:space="0"/>
              <w:bottom w:val="single" w:color="000000" w:sz="4" w:space="0"/>
              <w:right w:val="single" w:color="auto" w:sz="4" w:space="0"/>
            </w:tcBorders>
            <w:vAlign w:val="center"/>
          </w:tcPr>
          <w:p w14:paraId="3299620D">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p>
        </w:tc>
      </w:tr>
      <w:tr w14:paraId="12FCD741">
        <w:tblPrEx>
          <w:tblCellMar>
            <w:top w:w="0" w:type="dxa"/>
            <w:left w:w="108" w:type="dxa"/>
            <w:bottom w:w="0" w:type="dxa"/>
            <w:right w:w="108" w:type="dxa"/>
          </w:tblCellMar>
        </w:tblPrEx>
        <w:trPr>
          <w:trHeight w:val="90" w:hRule="atLeast"/>
        </w:trPr>
        <w:tc>
          <w:tcPr>
            <w:tcW w:w="692" w:type="dxa"/>
            <w:tcBorders>
              <w:top w:val="nil"/>
              <w:left w:val="single" w:color="auto" w:sz="4" w:space="0"/>
              <w:bottom w:val="single" w:color="auto" w:sz="4" w:space="0"/>
              <w:right w:val="single" w:color="auto" w:sz="4" w:space="0"/>
            </w:tcBorders>
            <w:shd w:val="clear" w:color="auto" w:fill="auto"/>
            <w:vAlign w:val="bottom"/>
          </w:tcPr>
          <w:p w14:paraId="21DE046E">
            <w:pPr>
              <w:keepNext w:val="0"/>
              <w:keepLines w:val="0"/>
              <w:widowControl/>
              <w:numPr>
                <w:ilvl w:val="0"/>
                <w:numId w:val="27"/>
              </w:numPr>
              <w:suppressLineNumbers w:val="0"/>
              <w:spacing w:before="0" w:beforeAutospacing="0" w:after="0" w:afterAutospacing="0" w:line="240" w:lineRule="auto"/>
              <w:ind w:left="425" w:leftChars="0" w:right="0" w:hanging="425" w:firstLineChars="0"/>
              <w:jc w:val="center"/>
              <w:rPr>
                <w:rFonts w:hint="eastAsia" w:ascii="宋体" w:hAnsi="宋体" w:eastAsia="宋体" w:cs="宋体"/>
                <w:color w:val="000000"/>
                <w:kern w:val="0"/>
                <w:sz w:val="24"/>
                <w:szCs w:val="24"/>
              </w:rPr>
            </w:pPr>
          </w:p>
        </w:tc>
        <w:tc>
          <w:tcPr>
            <w:tcW w:w="1661" w:type="dxa"/>
            <w:tcBorders>
              <w:top w:val="nil"/>
              <w:left w:val="nil"/>
              <w:bottom w:val="single" w:color="auto" w:sz="4" w:space="0"/>
              <w:right w:val="single" w:color="auto" w:sz="4" w:space="0"/>
            </w:tcBorders>
            <w:shd w:val="clear" w:color="auto" w:fill="auto"/>
            <w:vAlign w:val="bottom"/>
          </w:tcPr>
          <w:p w14:paraId="2239C165">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服务器</w:t>
            </w:r>
          </w:p>
        </w:tc>
        <w:tc>
          <w:tcPr>
            <w:tcW w:w="2253" w:type="dxa"/>
            <w:tcBorders>
              <w:top w:val="nil"/>
              <w:left w:val="nil"/>
              <w:bottom w:val="single" w:color="auto" w:sz="4" w:space="0"/>
              <w:right w:val="single" w:color="auto" w:sz="4" w:space="0"/>
            </w:tcBorders>
            <w:shd w:val="clear" w:color="auto" w:fill="auto"/>
            <w:vAlign w:val="center"/>
          </w:tcPr>
          <w:p w14:paraId="0BAF6A4C">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TAISHAN 2280K</w:t>
            </w:r>
          </w:p>
        </w:tc>
        <w:tc>
          <w:tcPr>
            <w:tcW w:w="762" w:type="dxa"/>
            <w:tcBorders>
              <w:top w:val="nil"/>
              <w:left w:val="nil"/>
              <w:bottom w:val="single" w:color="auto" w:sz="4" w:space="0"/>
              <w:right w:val="single" w:color="auto" w:sz="4" w:space="0"/>
            </w:tcBorders>
            <w:shd w:val="clear" w:color="auto" w:fill="auto"/>
            <w:vAlign w:val="center"/>
          </w:tcPr>
          <w:p w14:paraId="1B4D4E0A">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521" w:type="dxa"/>
            <w:tcBorders>
              <w:top w:val="nil"/>
              <w:left w:val="nil"/>
              <w:bottom w:val="single" w:color="auto" w:sz="4" w:space="0"/>
              <w:right w:val="single" w:color="auto" w:sz="4" w:space="0"/>
            </w:tcBorders>
            <w:shd w:val="clear" w:color="auto" w:fill="auto"/>
            <w:vAlign w:val="center"/>
          </w:tcPr>
          <w:p w14:paraId="451340F0">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CZ-A-27</w:t>
            </w:r>
          </w:p>
        </w:tc>
        <w:tc>
          <w:tcPr>
            <w:tcW w:w="1101" w:type="dxa"/>
            <w:tcBorders>
              <w:top w:val="nil"/>
              <w:left w:val="nil"/>
              <w:bottom w:val="single" w:color="auto" w:sz="4" w:space="0"/>
              <w:right w:val="single" w:color="auto" w:sz="4" w:space="0"/>
            </w:tcBorders>
            <w:shd w:val="clear" w:color="auto" w:fill="auto"/>
            <w:vAlign w:val="center"/>
          </w:tcPr>
          <w:p w14:paraId="391D4553">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2108" w:type="dxa"/>
            <w:vMerge w:val="continue"/>
            <w:tcBorders>
              <w:top w:val="nil"/>
              <w:left w:val="single" w:color="auto" w:sz="4" w:space="0"/>
              <w:bottom w:val="single" w:color="000000" w:sz="4" w:space="0"/>
              <w:right w:val="single" w:color="auto" w:sz="4" w:space="0"/>
            </w:tcBorders>
            <w:vAlign w:val="center"/>
          </w:tcPr>
          <w:p w14:paraId="2739BEB6">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p>
        </w:tc>
      </w:tr>
      <w:tr w14:paraId="4B342A18">
        <w:tblPrEx>
          <w:tblCellMar>
            <w:top w:w="0" w:type="dxa"/>
            <w:left w:w="108" w:type="dxa"/>
            <w:bottom w:w="0" w:type="dxa"/>
            <w:right w:w="108" w:type="dxa"/>
          </w:tblCellMar>
        </w:tblPrEx>
        <w:trPr>
          <w:trHeight w:val="90" w:hRule="atLeast"/>
        </w:trPr>
        <w:tc>
          <w:tcPr>
            <w:tcW w:w="692" w:type="dxa"/>
            <w:tcBorders>
              <w:top w:val="nil"/>
              <w:left w:val="single" w:color="auto" w:sz="4" w:space="0"/>
              <w:bottom w:val="single" w:color="auto" w:sz="4" w:space="0"/>
              <w:right w:val="single" w:color="auto" w:sz="4" w:space="0"/>
            </w:tcBorders>
            <w:shd w:val="clear" w:color="auto" w:fill="auto"/>
            <w:vAlign w:val="bottom"/>
          </w:tcPr>
          <w:p w14:paraId="2F2DB75E">
            <w:pPr>
              <w:keepNext w:val="0"/>
              <w:keepLines w:val="0"/>
              <w:widowControl/>
              <w:numPr>
                <w:ilvl w:val="0"/>
                <w:numId w:val="27"/>
              </w:numPr>
              <w:suppressLineNumbers w:val="0"/>
              <w:spacing w:before="0" w:beforeAutospacing="0" w:after="0" w:afterAutospacing="0" w:line="240" w:lineRule="auto"/>
              <w:ind w:left="425" w:leftChars="0" w:right="0" w:hanging="425" w:firstLineChars="0"/>
              <w:jc w:val="center"/>
              <w:rPr>
                <w:rFonts w:hint="eastAsia" w:ascii="宋体" w:hAnsi="宋体" w:eastAsia="宋体" w:cs="宋体"/>
                <w:color w:val="000000"/>
                <w:kern w:val="0"/>
                <w:sz w:val="24"/>
                <w:szCs w:val="24"/>
              </w:rPr>
            </w:pPr>
          </w:p>
        </w:tc>
        <w:tc>
          <w:tcPr>
            <w:tcW w:w="1661" w:type="dxa"/>
            <w:tcBorders>
              <w:top w:val="nil"/>
              <w:left w:val="nil"/>
              <w:bottom w:val="single" w:color="auto" w:sz="4" w:space="0"/>
              <w:right w:val="single" w:color="auto" w:sz="4" w:space="0"/>
            </w:tcBorders>
            <w:shd w:val="clear" w:color="auto" w:fill="auto"/>
            <w:vAlign w:val="bottom"/>
          </w:tcPr>
          <w:p w14:paraId="2778D257">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服务器</w:t>
            </w:r>
          </w:p>
        </w:tc>
        <w:tc>
          <w:tcPr>
            <w:tcW w:w="2253" w:type="dxa"/>
            <w:tcBorders>
              <w:top w:val="nil"/>
              <w:left w:val="nil"/>
              <w:bottom w:val="single" w:color="auto" w:sz="4" w:space="0"/>
              <w:right w:val="single" w:color="auto" w:sz="4" w:space="0"/>
            </w:tcBorders>
            <w:shd w:val="clear" w:color="auto" w:fill="auto"/>
            <w:vAlign w:val="center"/>
          </w:tcPr>
          <w:p w14:paraId="7BED6933">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2488HV5</w:t>
            </w:r>
          </w:p>
        </w:tc>
        <w:tc>
          <w:tcPr>
            <w:tcW w:w="762" w:type="dxa"/>
            <w:tcBorders>
              <w:top w:val="nil"/>
              <w:left w:val="nil"/>
              <w:bottom w:val="single" w:color="auto" w:sz="4" w:space="0"/>
              <w:right w:val="single" w:color="auto" w:sz="4" w:space="0"/>
            </w:tcBorders>
            <w:shd w:val="clear" w:color="auto" w:fill="auto"/>
            <w:vAlign w:val="center"/>
          </w:tcPr>
          <w:p w14:paraId="02D78EC2">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521" w:type="dxa"/>
            <w:tcBorders>
              <w:top w:val="nil"/>
              <w:left w:val="nil"/>
              <w:bottom w:val="single" w:color="auto" w:sz="4" w:space="0"/>
              <w:right w:val="single" w:color="auto" w:sz="4" w:space="0"/>
            </w:tcBorders>
            <w:shd w:val="clear" w:color="auto" w:fill="auto"/>
            <w:vAlign w:val="center"/>
          </w:tcPr>
          <w:p w14:paraId="2998240E">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CZ-A-28</w:t>
            </w:r>
          </w:p>
        </w:tc>
        <w:tc>
          <w:tcPr>
            <w:tcW w:w="1101" w:type="dxa"/>
            <w:tcBorders>
              <w:top w:val="nil"/>
              <w:left w:val="nil"/>
              <w:bottom w:val="single" w:color="auto" w:sz="4" w:space="0"/>
              <w:right w:val="single" w:color="auto" w:sz="4" w:space="0"/>
            </w:tcBorders>
            <w:shd w:val="clear" w:color="auto" w:fill="auto"/>
            <w:vAlign w:val="center"/>
          </w:tcPr>
          <w:p w14:paraId="227BC528">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2108" w:type="dxa"/>
            <w:vMerge w:val="continue"/>
            <w:tcBorders>
              <w:top w:val="nil"/>
              <w:left w:val="single" w:color="auto" w:sz="4" w:space="0"/>
              <w:bottom w:val="single" w:color="000000" w:sz="4" w:space="0"/>
              <w:right w:val="single" w:color="auto" w:sz="4" w:space="0"/>
            </w:tcBorders>
            <w:vAlign w:val="center"/>
          </w:tcPr>
          <w:p w14:paraId="538FDD05">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p>
        </w:tc>
      </w:tr>
      <w:tr w14:paraId="0BB36F89">
        <w:tblPrEx>
          <w:tblCellMar>
            <w:top w:w="0" w:type="dxa"/>
            <w:left w:w="108" w:type="dxa"/>
            <w:bottom w:w="0" w:type="dxa"/>
            <w:right w:w="108" w:type="dxa"/>
          </w:tblCellMar>
        </w:tblPrEx>
        <w:trPr>
          <w:trHeight w:val="90" w:hRule="atLeast"/>
        </w:trPr>
        <w:tc>
          <w:tcPr>
            <w:tcW w:w="692" w:type="dxa"/>
            <w:tcBorders>
              <w:top w:val="nil"/>
              <w:left w:val="single" w:color="auto" w:sz="4" w:space="0"/>
              <w:bottom w:val="single" w:color="auto" w:sz="4" w:space="0"/>
              <w:right w:val="single" w:color="auto" w:sz="4" w:space="0"/>
            </w:tcBorders>
            <w:shd w:val="clear" w:color="auto" w:fill="auto"/>
            <w:vAlign w:val="bottom"/>
          </w:tcPr>
          <w:p w14:paraId="44A71DE4">
            <w:pPr>
              <w:keepNext w:val="0"/>
              <w:keepLines w:val="0"/>
              <w:widowControl/>
              <w:numPr>
                <w:ilvl w:val="0"/>
                <w:numId w:val="27"/>
              </w:numPr>
              <w:suppressLineNumbers w:val="0"/>
              <w:spacing w:before="0" w:beforeAutospacing="0" w:after="0" w:afterAutospacing="0" w:line="240" w:lineRule="auto"/>
              <w:ind w:left="425" w:leftChars="0" w:right="0" w:hanging="425" w:firstLineChars="0"/>
              <w:jc w:val="center"/>
              <w:rPr>
                <w:rFonts w:hint="eastAsia" w:ascii="宋体" w:hAnsi="宋体" w:eastAsia="宋体" w:cs="宋体"/>
                <w:color w:val="000000"/>
                <w:kern w:val="0"/>
                <w:sz w:val="24"/>
                <w:szCs w:val="24"/>
              </w:rPr>
            </w:pPr>
          </w:p>
        </w:tc>
        <w:tc>
          <w:tcPr>
            <w:tcW w:w="1661" w:type="dxa"/>
            <w:tcBorders>
              <w:top w:val="nil"/>
              <w:left w:val="nil"/>
              <w:bottom w:val="single" w:color="auto" w:sz="4" w:space="0"/>
              <w:right w:val="single" w:color="auto" w:sz="4" w:space="0"/>
            </w:tcBorders>
            <w:shd w:val="clear" w:color="auto" w:fill="auto"/>
            <w:vAlign w:val="bottom"/>
          </w:tcPr>
          <w:p w14:paraId="6609D84E">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服务器</w:t>
            </w:r>
          </w:p>
        </w:tc>
        <w:tc>
          <w:tcPr>
            <w:tcW w:w="2253" w:type="dxa"/>
            <w:tcBorders>
              <w:top w:val="nil"/>
              <w:left w:val="nil"/>
              <w:bottom w:val="single" w:color="auto" w:sz="4" w:space="0"/>
              <w:right w:val="single" w:color="auto" w:sz="4" w:space="0"/>
            </w:tcBorders>
            <w:shd w:val="clear" w:color="auto" w:fill="auto"/>
            <w:vAlign w:val="center"/>
          </w:tcPr>
          <w:p w14:paraId="6FB425B3">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2488HV5</w:t>
            </w:r>
          </w:p>
        </w:tc>
        <w:tc>
          <w:tcPr>
            <w:tcW w:w="762" w:type="dxa"/>
            <w:tcBorders>
              <w:top w:val="nil"/>
              <w:left w:val="nil"/>
              <w:bottom w:val="single" w:color="auto" w:sz="4" w:space="0"/>
              <w:right w:val="single" w:color="auto" w:sz="4" w:space="0"/>
            </w:tcBorders>
            <w:shd w:val="clear" w:color="auto" w:fill="auto"/>
            <w:vAlign w:val="center"/>
          </w:tcPr>
          <w:p w14:paraId="0858ACAF">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521" w:type="dxa"/>
            <w:tcBorders>
              <w:top w:val="nil"/>
              <w:left w:val="nil"/>
              <w:bottom w:val="single" w:color="auto" w:sz="4" w:space="0"/>
              <w:right w:val="single" w:color="auto" w:sz="4" w:space="0"/>
            </w:tcBorders>
            <w:shd w:val="clear" w:color="auto" w:fill="auto"/>
            <w:vAlign w:val="center"/>
          </w:tcPr>
          <w:p w14:paraId="742617F3">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CZ-A-28</w:t>
            </w:r>
          </w:p>
        </w:tc>
        <w:tc>
          <w:tcPr>
            <w:tcW w:w="1101" w:type="dxa"/>
            <w:tcBorders>
              <w:top w:val="nil"/>
              <w:left w:val="nil"/>
              <w:bottom w:val="single" w:color="auto" w:sz="4" w:space="0"/>
              <w:right w:val="single" w:color="auto" w:sz="4" w:space="0"/>
            </w:tcBorders>
            <w:shd w:val="clear" w:color="auto" w:fill="auto"/>
            <w:vAlign w:val="center"/>
          </w:tcPr>
          <w:p w14:paraId="77451865">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2108" w:type="dxa"/>
            <w:vMerge w:val="continue"/>
            <w:tcBorders>
              <w:top w:val="nil"/>
              <w:left w:val="single" w:color="auto" w:sz="4" w:space="0"/>
              <w:bottom w:val="single" w:color="000000" w:sz="4" w:space="0"/>
              <w:right w:val="single" w:color="auto" w:sz="4" w:space="0"/>
            </w:tcBorders>
            <w:vAlign w:val="center"/>
          </w:tcPr>
          <w:p w14:paraId="5F3C0B03">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p>
        </w:tc>
      </w:tr>
      <w:tr w14:paraId="46FFDA16">
        <w:tblPrEx>
          <w:tblCellMar>
            <w:top w:w="0" w:type="dxa"/>
            <w:left w:w="108" w:type="dxa"/>
            <w:bottom w:w="0" w:type="dxa"/>
            <w:right w:w="108" w:type="dxa"/>
          </w:tblCellMar>
        </w:tblPrEx>
        <w:trPr>
          <w:trHeight w:val="90" w:hRule="atLeast"/>
        </w:trPr>
        <w:tc>
          <w:tcPr>
            <w:tcW w:w="692" w:type="dxa"/>
            <w:tcBorders>
              <w:top w:val="nil"/>
              <w:left w:val="single" w:color="auto" w:sz="4" w:space="0"/>
              <w:bottom w:val="single" w:color="auto" w:sz="4" w:space="0"/>
              <w:right w:val="single" w:color="auto" w:sz="4" w:space="0"/>
            </w:tcBorders>
            <w:shd w:val="clear" w:color="auto" w:fill="auto"/>
            <w:vAlign w:val="bottom"/>
          </w:tcPr>
          <w:p w14:paraId="1325ADBB">
            <w:pPr>
              <w:keepNext w:val="0"/>
              <w:keepLines w:val="0"/>
              <w:widowControl/>
              <w:numPr>
                <w:ilvl w:val="0"/>
                <w:numId w:val="27"/>
              </w:numPr>
              <w:suppressLineNumbers w:val="0"/>
              <w:spacing w:before="0" w:beforeAutospacing="0" w:after="0" w:afterAutospacing="0" w:line="240" w:lineRule="auto"/>
              <w:ind w:left="425" w:leftChars="0" w:right="0" w:hanging="425" w:firstLineChars="0"/>
              <w:jc w:val="center"/>
              <w:rPr>
                <w:rFonts w:hint="eastAsia" w:ascii="宋体" w:hAnsi="宋体" w:eastAsia="宋体" w:cs="宋体"/>
                <w:color w:val="000000"/>
                <w:kern w:val="0"/>
                <w:sz w:val="24"/>
                <w:szCs w:val="24"/>
              </w:rPr>
            </w:pPr>
          </w:p>
        </w:tc>
        <w:tc>
          <w:tcPr>
            <w:tcW w:w="1661" w:type="dxa"/>
            <w:tcBorders>
              <w:top w:val="nil"/>
              <w:left w:val="nil"/>
              <w:bottom w:val="single" w:color="auto" w:sz="4" w:space="0"/>
              <w:right w:val="single" w:color="auto" w:sz="4" w:space="0"/>
            </w:tcBorders>
            <w:shd w:val="clear" w:color="auto" w:fill="auto"/>
            <w:vAlign w:val="bottom"/>
          </w:tcPr>
          <w:p w14:paraId="5250EEC6">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服务器</w:t>
            </w:r>
          </w:p>
        </w:tc>
        <w:tc>
          <w:tcPr>
            <w:tcW w:w="2253" w:type="dxa"/>
            <w:tcBorders>
              <w:top w:val="nil"/>
              <w:left w:val="nil"/>
              <w:bottom w:val="single" w:color="auto" w:sz="4" w:space="0"/>
              <w:right w:val="single" w:color="auto" w:sz="4" w:space="0"/>
            </w:tcBorders>
            <w:shd w:val="clear" w:color="auto" w:fill="auto"/>
            <w:vAlign w:val="center"/>
          </w:tcPr>
          <w:p w14:paraId="30059FBD">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2488HV5</w:t>
            </w:r>
          </w:p>
        </w:tc>
        <w:tc>
          <w:tcPr>
            <w:tcW w:w="762" w:type="dxa"/>
            <w:tcBorders>
              <w:top w:val="nil"/>
              <w:left w:val="nil"/>
              <w:bottom w:val="single" w:color="auto" w:sz="4" w:space="0"/>
              <w:right w:val="single" w:color="auto" w:sz="4" w:space="0"/>
            </w:tcBorders>
            <w:shd w:val="clear" w:color="auto" w:fill="auto"/>
            <w:vAlign w:val="center"/>
          </w:tcPr>
          <w:p w14:paraId="6B3A06C4">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521" w:type="dxa"/>
            <w:tcBorders>
              <w:top w:val="nil"/>
              <w:left w:val="nil"/>
              <w:bottom w:val="single" w:color="auto" w:sz="4" w:space="0"/>
              <w:right w:val="single" w:color="auto" w:sz="4" w:space="0"/>
            </w:tcBorders>
            <w:shd w:val="clear" w:color="auto" w:fill="auto"/>
            <w:vAlign w:val="center"/>
          </w:tcPr>
          <w:p w14:paraId="253C7934">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CZ-B-07</w:t>
            </w:r>
          </w:p>
        </w:tc>
        <w:tc>
          <w:tcPr>
            <w:tcW w:w="1101" w:type="dxa"/>
            <w:tcBorders>
              <w:top w:val="nil"/>
              <w:left w:val="nil"/>
              <w:bottom w:val="single" w:color="auto" w:sz="4" w:space="0"/>
              <w:right w:val="single" w:color="auto" w:sz="4" w:space="0"/>
            </w:tcBorders>
            <w:shd w:val="clear" w:color="auto" w:fill="auto"/>
            <w:vAlign w:val="center"/>
          </w:tcPr>
          <w:p w14:paraId="40699800">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2108" w:type="dxa"/>
            <w:vMerge w:val="continue"/>
            <w:tcBorders>
              <w:top w:val="nil"/>
              <w:left w:val="single" w:color="auto" w:sz="4" w:space="0"/>
              <w:bottom w:val="single" w:color="000000" w:sz="4" w:space="0"/>
              <w:right w:val="single" w:color="auto" w:sz="4" w:space="0"/>
            </w:tcBorders>
            <w:vAlign w:val="center"/>
          </w:tcPr>
          <w:p w14:paraId="4824BE82">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p>
        </w:tc>
      </w:tr>
      <w:tr w14:paraId="5FB7CFB0">
        <w:tblPrEx>
          <w:tblCellMar>
            <w:top w:w="0" w:type="dxa"/>
            <w:left w:w="108" w:type="dxa"/>
            <w:bottom w:w="0" w:type="dxa"/>
            <w:right w:w="108" w:type="dxa"/>
          </w:tblCellMar>
        </w:tblPrEx>
        <w:trPr>
          <w:trHeight w:val="90" w:hRule="atLeast"/>
        </w:trPr>
        <w:tc>
          <w:tcPr>
            <w:tcW w:w="692" w:type="dxa"/>
            <w:tcBorders>
              <w:top w:val="nil"/>
              <w:left w:val="single" w:color="auto" w:sz="4" w:space="0"/>
              <w:bottom w:val="single" w:color="auto" w:sz="4" w:space="0"/>
              <w:right w:val="single" w:color="auto" w:sz="4" w:space="0"/>
            </w:tcBorders>
            <w:shd w:val="clear" w:color="auto" w:fill="auto"/>
            <w:vAlign w:val="bottom"/>
          </w:tcPr>
          <w:p w14:paraId="4D1EBFA1">
            <w:pPr>
              <w:keepNext w:val="0"/>
              <w:keepLines w:val="0"/>
              <w:widowControl/>
              <w:numPr>
                <w:ilvl w:val="0"/>
                <w:numId w:val="27"/>
              </w:numPr>
              <w:suppressLineNumbers w:val="0"/>
              <w:spacing w:before="0" w:beforeAutospacing="0" w:after="0" w:afterAutospacing="0" w:line="240" w:lineRule="auto"/>
              <w:ind w:left="425" w:leftChars="0" w:right="0" w:hanging="425" w:firstLineChars="0"/>
              <w:jc w:val="center"/>
              <w:rPr>
                <w:rFonts w:hint="eastAsia" w:ascii="宋体" w:hAnsi="宋体" w:eastAsia="宋体" w:cs="宋体"/>
                <w:color w:val="000000"/>
                <w:kern w:val="0"/>
                <w:sz w:val="24"/>
                <w:szCs w:val="24"/>
              </w:rPr>
            </w:pPr>
          </w:p>
        </w:tc>
        <w:tc>
          <w:tcPr>
            <w:tcW w:w="1661" w:type="dxa"/>
            <w:tcBorders>
              <w:top w:val="nil"/>
              <w:left w:val="nil"/>
              <w:bottom w:val="single" w:color="auto" w:sz="4" w:space="0"/>
              <w:right w:val="single" w:color="auto" w:sz="4" w:space="0"/>
            </w:tcBorders>
            <w:shd w:val="clear" w:color="auto" w:fill="auto"/>
            <w:vAlign w:val="bottom"/>
          </w:tcPr>
          <w:p w14:paraId="7FC41798">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服务器</w:t>
            </w:r>
          </w:p>
        </w:tc>
        <w:tc>
          <w:tcPr>
            <w:tcW w:w="2253" w:type="dxa"/>
            <w:tcBorders>
              <w:top w:val="nil"/>
              <w:left w:val="nil"/>
              <w:bottom w:val="single" w:color="auto" w:sz="4" w:space="0"/>
              <w:right w:val="single" w:color="auto" w:sz="4" w:space="0"/>
            </w:tcBorders>
            <w:shd w:val="clear" w:color="auto" w:fill="auto"/>
            <w:vAlign w:val="center"/>
          </w:tcPr>
          <w:p w14:paraId="40C3D400">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2488HV5</w:t>
            </w:r>
          </w:p>
        </w:tc>
        <w:tc>
          <w:tcPr>
            <w:tcW w:w="762" w:type="dxa"/>
            <w:tcBorders>
              <w:top w:val="nil"/>
              <w:left w:val="nil"/>
              <w:bottom w:val="single" w:color="auto" w:sz="4" w:space="0"/>
              <w:right w:val="single" w:color="auto" w:sz="4" w:space="0"/>
            </w:tcBorders>
            <w:shd w:val="clear" w:color="auto" w:fill="auto"/>
            <w:vAlign w:val="center"/>
          </w:tcPr>
          <w:p w14:paraId="49BF2187">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521" w:type="dxa"/>
            <w:tcBorders>
              <w:top w:val="nil"/>
              <w:left w:val="nil"/>
              <w:bottom w:val="single" w:color="auto" w:sz="4" w:space="0"/>
              <w:right w:val="single" w:color="auto" w:sz="4" w:space="0"/>
            </w:tcBorders>
            <w:shd w:val="clear" w:color="auto" w:fill="auto"/>
            <w:vAlign w:val="center"/>
          </w:tcPr>
          <w:p w14:paraId="04D94D32">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CZ-B-07</w:t>
            </w:r>
          </w:p>
        </w:tc>
        <w:tc>
          <w:tcPr>
            <w:tcW w:w="1101" w:type="dxa"/>
            <w:tcBorders>
              <w:top w:val="nil"/>
              <w:left w:val="nil"/>
              <w:bottom w:val="single" w:color="auto" w:sz="4" w:space="0"/>
              <w:right w:val="single" w:color="auto" w:sz="4" w:space="0"/>
            </w:tcBorders>
            <w:shd w:val="clear" w:color="auto" w:fill="auto"/>
            <w:vAlign w:val="center"/>
          </w:tcPr>
          <w:p w14:paraId="6BC5A273">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2108" w:type="dxa"/>
            <w:vMerge w:val="continue"/>
            <w:tcBorders>
              <w:top w:val="nil"/>
              <w:left w:val="single" w:color="auto" w:sz="4" w:space="0"/>
              <w:bottom w:val="single" w:color="000000" w:sz="4" w:space="0"/>
              <w:right w:val="single" w:color="auto" w:sz="4" w:space="0"/>
            </w:tcBorders>
            <w:vAlign w:val="center"/>
          </w:tcPr>
          <w:p w14:paraId="4630149F">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p>
        </w:tc>
      </w:tr>
      <w:tr w14:paraId="4BB97C4D">
        <w:tblPrEx>
          <w:tblCellMar>
            <w:top w:w="0" w:type="dxa"/>
            <w:left w:w="108" w:type="dxa"/>
            <w:bottom w:w="0" w:type="dxa"/>
            <w:right w:w="108" w:type="dxa"/>
          </w:tblCellMar>
        </w:tblPrEx>
        <w:trPr>
          <w:trHeight w:val="90" w:hRule="atLeast"/>
        </w:trPr>
        <w:tc>
          <w:tcPr>
            <w:tcW w:w="692" w:type="dxa"/>
            <w:tcBorders>
              <w:top w:val="nil"/>
              <w:left w:val="single" w:color="auto" w:sz="4" w:space="0"/>
              <w:bottom w:val="single" w:color="auto" w:sz="4" w:space="0"/>
              <w:right w:val="single" w:color="auto" w:sz="4" w:space="0"/>
            </w:tcBorders>
            <w:shd w:val="clear" w:color="auto" w:fill="auto"/>
            <w:vAlign w:val="bottom"/>
          </w:tcPr>
          <w:p w14:paraId="57FA049C">
            <w:pPr>
              <w:keepNext w:val="0"/>
              <w:keepLines w:val="0"/>
              <w:widowControl/>
              <w:numPr>
                <w:ilvl w:val="0"/>
                <w:numId w:val="27"/>
              </w:numPr>
              <w:suppressLineNumbers w:val="0"/>
              <w:spacing w:before="0" w:beforeAutospacing="0" w:after="0" w:afterAutospacing="0" w:line="240" w:lineRule="auto"/>
              <w:ind w:left="425" w:leftChars="0" w:right="0" w:hanging="425" w:firstLineChars="0"/>
              <w:jc w:val="center"/>
              <w:rPr>
                <w:rFonts w:hint="eastAsia" w:ascii="宋体" w:hAnsi="宋体" w:eastAsia="宋体" w:cs="宋体"/>
                <w:color w:val="000000"/>
                <w:kern w:val="0"/>
                <w:sz w:val="24"/>
                <w:szCs w:val="24"/>
              </w:rPr>
            </w:pPr>
          </w:p>
        </w:tc>
        <w:tc>
          <w:tcPr>
            <w:tcW w:w="1661" w:type="dxa"/>
            <w:tcBorders>
              <w:top w:val="nil"/>
              <w:left w:val="nil"/>
              <w:bottom w:val="single" w:color="auto" w:sz="4" w:space="0"/>
              <w:right w:val="single" w:color="auto" w:sz="4" w:space="0"/>
            </w:tcBorders>
            <w:shd w:val="clear" w:color="auto" w:fill="auto"/>
            <w:vAlign w:val="bottom"/>
          </w:tcPr>
          <w:p w14:paraId="73C37870">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服务器</w:t>
            </w:r>
          </w:p>
        </w:tc>
        <w:tc>
          <w:tcPr>
            <w:tcW w:w="2253" w:type="dxa"/>
            <w:tcBorders>
              <w:top w:val="nil"/>
              <w:left w:val="nil"/>
              <w:bottom w:val="single" w:color="auto" w:sz="4" w:space="0"/>
              <w:right w:val="single" w:color="auto" w:sz="4" w:space="0"/>
            </w:tcBorders>
            <w:shd w:val="clear" w:color="auto" w:fill="auto"/>
            <w:vAlign w:val="center"/>
          </w:tcPr>
          <w:p w14:paraId="2BBF7DEC">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2488HV5</w:t>
            </w:r>
          </w:p>
        </w:tc>
        <w:tc>
          <w:tcPr>
            <w:tcW w:w="762" w:type="dxa"/>
            <w:tcBorders>
              <w:top w:val="nil"/>
              <w:left w:val="nil"/>
              <w:bottom w:val="single" w:color="auto" w:sz="4" w:space="0"/>
              <w:right w:val="single" w:color="auto" w:sz="4" w:space="0"/>
            </w:tcBorders>
            <w:shd w:val="clear" w:color="auto" w:fill="auto"/>
            <w:vAlign w:val="center"/>
          </w:tcPr>
          <w:p w14:paraId="3B4AC9D9">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521" w:type="dxa"/>
            <w:tcBorders>
              <w:top w:val="nil"/>
              <w:left w:val="nil"/>
              <w:bottom w:val="single" w:color="auto" w:sz="4" w:space="0"/>
              <w:right w:val="single" w:color="auto" w:sz="4" w:space="0"/>
            </w:tcBorders>
            <w:shd w:val="clear" w:color="auto" w:fill="auto"/>
            <w:vAlign w:val="center"/>
          </w:tcPr>
          <w:p w14:paraId="062BF517">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CZ-B-07</w:t>
            </w:r>
          </w:p>
        </w:tc>
        <w:tc>
          <w:tcPr>
            <w:tcW w:w="1101" w:type="dxa"/>
            <w:tcBorders>
              <w:top w:val="nil"/>
              <w:left w:val="nil"/>
              <w:bottom w:val="single" w:color="auto" w:sz="4" w:space="0"/>
              <w:right w:val="single" w:color="auto" w:sz="4" w:space="0"/>
            </w:tcBorders>
            <w:shd w:val="clear" w:color="auto" w:fill="auto"/>
            <w:vAlign w:val="center"/>
          </w:tcPr>
          <w:p w14:paraId="460DCBA8">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2108" w:type="dxa"/>
            <w:vMerge w:val="continue"/>
            <w:tcBorders>
              <w:top w:val="nil"/>
              <w:left w:val="single" w:color="auto" w:sz="4" w:space="0"/>
              <w:bottom w:val="single" w:color="000000" w:sz="4" w:space="0"/>
              <w:right w:val="single" w:color="auto" w:sz="4" w:space="0"/>
            </w:tcBorders>
            <w:vAlign w:val="center"/>
          </w:tcPr>
          <w:p w14:paraId="121F27D6">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p>
        </w:tc>
      </w:tr>
      <w:tr w14:paraId="56A9A289">
        <w:tblPrEx>
          <w:tblCellMar>
            <w:top w:w="0" w:type="dxa"/>
            <w:left w:w="108" w:type="dxa"/>
            <w:bottom w:w="0" w:type="dxa"/>
            <w:right w:w="108" w:type="dxa"/>
          </w:tblCellMar>
        </w:tblPrEx>
        <w:trPr>
          <w:trHeight w:val="90" w:hRule="atLeast"/>
        </w:trPr>
        <w:tc>
          <w:tcPr>
            <w:tcW w:w="692" w:type="dxa"/>
            <w:tcBorders>
              <w:top w:val="nil"/>
              <w:left w:val="single" w:color="auto" w:sz="4" w:space="0"/>
              <w:bottom w:val="single" w:color="auto" w:sz="4" w:space="0"/>
              <w:right w:val="single" w:color="auto" w:sz="4" w:space="0"/>
            </w:tcBorders>
            <w:shd w:val="clear" w:color="auto" w:fill="auto"/>
            <w:vAlign w:val="bottom"/>
          </w:tcPr>
          <w:p w14:paraId="7BF7C605">
            <w:pPr>
              <w:keepNext w:val="0"/>
              <w:keepLines w:val="0"/>
              <w:widowControl/>
              <w:numPr>
                <w:ilvl w:val="0"/>
                <w:numId w:val="27"/>
              </w:numPr>
              <w:suppressLineNumbers w:val="0"/>
              <w:spacing w:before="0" w:beforeAutospacing="0" w:after="0" w:afterAutospacing="0" w:line="240" w:lineRule="auto"/>
              <w:ind w:left="425" w:leftChars="0" w:right="0" w:hanging="425" w:firstLineChars="0"/>
              <w:jc w:val="center"/>
              <w:rPr>
                <w:rFonts w:hint="eastAsia" w:ascii="宋体" w:hAnsi="宋体" w:eastAsia="宋体" w:cs="宋体"/>
                <w:color w:val="000000"/>
                <w:kern w:val="0"/>
                <w:sz w:val="24"/>
                <w:szCs w:val="24"/>
              </w:rPr>
            </w:pPr>
          </w:p>
        </w:tc>
        <w:tc>
          <w:tcPr>
            <w:tcW w:w="1661" w:type="dxa"/>
            <w:tcBorders>
              <w:top w:val="nil"/>
              <w:left w:val="nil"/>
              <w:bottom w:val="single" w:color="auto" w:sz="4" w:space="0"/>
              <w:right w:val="single" w:color="auto" w:sz="4" w:space="0"/>
            </w:tcBorders>
            <w:shd w:val="clear" w:color="auto" w:fill="auto"/>
            <w:vAlign w:val="bottom"/>
          </w:tcPr>
          <w:p w14:paraId="1F5BAA35">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服务器</w:t>
            </w:r>
          </w:p>
        </w:tc>
        <w:tc>
          <w:tcPr>
            <w:tcW w:w="2253" w:type="dxa"/>
            <w:tcBorders>
              <w:top w:val="nil"/>
              <w:left w:val="nil"/>
              <w:bottom w:val="single" w:color="auto" w:sz="4" w:space="0"/>
              <w:right w:val="single" w:color="auto" w:sz="4" w:space="0"/>
            </w:tcBorders>
            <w:shd w:val="clear" w:color="auto" w:fill="auto"/>
            <w:vAlign w:val="center"/>
          </w:tcPr>
          <w:p w14:paraId="0F084B64">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2488HV5</w:t>
            </w:r>
          </w:p>
        </w:tc>
        <w:tc>
          <w:tcPr>
            <w:tcW w:w="762" w:type="dxa"/>
            <w:tcBorders>
              <w:top w:val="nil"/>
              <w:left w:val="nil"/>
              <w:bottom w:val="single" w:color="auto" w:sz="4" w:space="0"/>
              <w:right w:val="single" w:color="auto" w:sz="4" w:space="0"/>
            </w:tcBorders>
            <w:shd w:val="clear" w:color="auto" w:fill="auto"/>
            <w:vAlign w:val="center"/>
          </w:tcPr>
          <w:p w14:paraId="1A8EAE17">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521" w:type="dxa"/>
            <w:tcBorders>
              <w:top w:val="nil"/>
              <w:left w:val="nil"/>
              <w:bottom w:val="single" w:color="auto" w:sz="4" w:space="0"/>
              <w:right w:val="single" w:color="auto" w:sz="4" w:space="0"/>
            </w:tcBorders>
            <w:shd w:val="clear" w:color="auto" w:fill="auto"/>
            <w:vAlign w:val="center"/>
          </w:tcPr>
          <w:p w14:paraId="1A3FFDDC">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CZ-B-07</w:t>
            </w:r>
          </w:p>
        </w:tc>
        <w:tc>
          <w:tcPr>
            <w:tcW w:w="1101" w:type="dxa"/>
            <w:tcBorders>
              <w:top w:val="nil"/>
              <w:left w:val="nil"/>
              <w:bottom w:val="single" w:color="auto" w:sz="4" w:space="0"/>
              <w:right w:val="single" w:color="auto" w:sz="4" w:space="0"/>
            </w:tcBorders>
            <w:shd w:val="clear" w:color="auto" w:fill="auto"/>
            <w:vAlign w:val="center"/>
          </w:tcPr>
          <w:p w14:paraId="01290364">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2108" w:type="dxa"/>
            <w:vMerge w:val="continue"/>
            <w:tcBorders>
              <w:top w:val="nil"/>
              <w:left w:val="single" w:color="auto" w:sz="4" w:space="0"/>
              <w:bottom w:val="single" w:color="000000" w:sz="4" w:space="0"/>
              <w:right w:val="single" w:color="auto" w:sz="4" w:space="0"/>
            </w:tcBorders>
            <w:vAlign w:val="center"/>
          </w:tcPr>
          <w:p w14:paraId="24764B58">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p>
        </w:tc>
      </w:tr>
      <w:tr w14:paraId="2ECF224F">
        <w:tblPrEx>
          <w:tblCellMar>
            <w:top w:w="0" w:type="dxa"/>
            <w:left w:w="108" w:type="dxa"/>
            <w:bottom w:w="0" w:type="dxa"/>
            <w:right w:w="108" w:type="dxa"/>
          </w:tblCellMar>
        </w:tblPrEx>
        <w:trPr>
          <w:trHeight w:val="90" w:hRule="atLeast"/>
        </w:trPr>
        <w:tc>
          <w:tcPr>
            <w:tcW w:w="692" w:type="dxa"/>
            <w:tcBorders>
              <w:top w:val="nil"/>
              <w:left w:val="single" w:color="auto" w:sz="4" w:space="0"/>
              <w:bottom w:val="single" w:color="auto" w:sz="4" w:space="0"/>
              <w:right w:val="single" w:color="auto" w:sz="4" w:space="0"/>
            </w:tcBorders>
            <w:shd w:val="clear" w:color="auto" w:fill="auto"/>
            <w:vAlign w:val="bottom"/>
          </w:tcPr>
          <w:p w14:paraId="04661AB8">
            <w:pPr>
              <w:keepNext w:val="0"/>
              <w:keepLines w:val="0"/>
              <w:widowControl/>
              <w:numPr>
                <w:ilvl w:val="0"/>
                <w:numId w:val="27"/>
              </w:numPr>
              <w:suppressLineNumbers w:val="0"/>
              <w:spacing w:before="0" w:beforeAutospacing="0" w:after="0" w:afterAutospacing="0" w:line="240" w:lineRule="auto"/>
              <w:ind w:left="425" w:leftChars="0" w:right="0" w:hanging="425" w:firstLineChars="0"/>
              <w:jc w:val="center"/>
              <w:rPr>
                <w:rFonts w:hint="eastAsia" w:ascii="宋体" w:hAnsi="宋体" w:eastAsia="宋体" w:cs="宋体"/>
                <w:color w:val="000000"/>
                <w:kern w:val="0"/>
                <w:sz w:val="24"/>
                <w:szCs w:val="24"/>
              </w:rPr>
            </w:pPr>
          </w:p>
        </w:tc>
        <w:tc>
          <w:tcPr>
            <w:tcW w:w="1661" w:type="dxa"/>
            <w:tcBorders>
              <w:top w:val="nil"/>
              <w:left w:val="nil"/>
              <w:bottom w:val="single" w:color="auto" w:sz="4" w:space="0"/>
              <w:right w:val="single" w:color="auto" w:sz="4" w:space="0"/>
            </w:tcBorders>
            <w:shd w:val="clear" w:color="auto" w:fill="auto"/>
            <w:vAlign w:val="bottom"/>
          </w:tcPr>
          <w:p w14:paraId="24856208">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服务器</w:t>
            </w:r>
          </w:p>
        </w:tc>
        <w:tc>
          <w:tcPr>
            <w:tcW w:w="2253" w:type="dxa"/>
            <w:tcBorders>
              <w:top w:val="nil"/>
              <w:left w:val="nil"/>
              <w:bottom w:val="single" w:color="auto" w:sz="4" w:space="0"/>
              <w:right w:val="single" w:color="auto" w:sz="4" w:space="0"/>
            </w:tcBorders>
            <w:shd w:val="clear" w:color="auto" w:fill="auto"/>
            <w:vAlign w:val="center"/>
          </w:tcPr>
          <w:p w14:paraId="0416E96D">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w:t>
            </w:r>
            <w:r>
              <w:rPr>
                <w:rFonts w:hint="eastAsia" w:ascii="宋体" w:hAnsi="宋体" w:eastAsia="宋体" w:cs="宋体"/>
                <w:color w:val="000000"/>
                <w:kern w:val="0"/>
                <w:sz w:val="24"/>
                <w:szCs w:val="24"/>
                <w:lang w:val="en-US" w:eastAsia="zh-CN"/>
              </w:rPr>
              <w:t>4</w:t>
            </w:r>
            <w:r>
              <w:rPr>
                <w:rFonts w:hint="eastAsia" w:ascii="宋体" w:hAnsi="宋体" w:eastAsia="宋体" w:cs="宋体"/>
                <w:color w:val="000000"/>
                <w:kern w:val="0"/>
                <w:sz w:val="24"/>
                <w:szCs w:val="24"/>
              </w:rPr>
              <w:t>88HV5</w:t>
            </w:r>
          </w:p>
        </w:tc>
        <w:tc>
          <w:tcPr>
            <w:tcW w:w="762" w:type="dxa"/>
            <w:tcBorders>
              <w:top w:val="nil"/>
              <w:left w:val="nil"/>
              <w:bottom w:val="single" w:color="auto" w:sz="4" w:space="0"/>
              <w:right w:val="single" w:color="auto" w:sz="4" w:space="0"/>
            </w:tcBorders>
            <w:shd w:val="clear" w:color="auto" w:fill="auto"/>
            <w:vAlign w:val="center"/>
          </w:tcPr>
          <w:p w14:paraId="483095F5">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521" w:type="dxa"/>
            <w:tcBorders>
              <w:top w:val="nil"/>
              <w:left w:val="nil"/>
              <w:bottom w:val="single" w:color="auto" w:sz="4" w:space="0"/>
              <w:right w:val="single" w:color="auto" w:sz="4" w:space="0"/>
            </w:tcBorders>
            <w:shd w:val="clear" w:color="auto" w:fill="auto"/>
            <w:vAlign w:val="center"/>
          </w:tcPr>
          <w:p w14:paraId="2A18EA99">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CZ-B-31</w:t>
            </w:r>
          </w:p>
        </w:tc>
        <w:tc>
          <w:tcPr>
            <w:tcW w:w="1101" w:type="dxa"/>
            <w:tcBorders>
              <w:top w:val="nil"/>
              <w:left w:val="nil"/>
              <w:bottom w:val="single" w:color="auto" w:sz="4" w:space="0"/>
              <w:right w:val="single" w:color="auto" w:sz="4" w:space="0"/>
            </w:tcBorders>
            <w:shd w:val="clear" w:color="auto" w:fill="auto"/>
            <w:vAlign w:val="center"/>
          </w:tcPr>
          <w:p w14:paraId="18715C71">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2108" w:type="dxa"/>
            <w:vMerge w:val="continue"/>
            <w:tcBorders>
              <w:top w:val="nil"/>
              <w:left w:val="single" w:color="auto" w:sz="4" w:space="0"/>
              <w:bottom w:val="single" w:color="000000" w:sz="4" w:space="0"/>
              <w:right w:val="single" w:color="auto" w:sz="4" w:space="0"/>
            </w:tcBorders>
            <w:vAlign w:val="center"/>
          </w:tcPr>
          <w:p w14:paraId="62084FE7">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p>
        </w:tc>
      </w:tr>
      <w:tr w14:paraId="21179711">
        <w:tblPrEx>
          <w:tblCellMar>
            <w:top w:w="0" w:type="dxa"/>
            <w:left w:w="108" w:type="dxa"/>
            <w:bottom w:w="0" w:type="dxa"/>
            <w:right w:w="108" w:type="dxa"/>
          </w:tblCellMar>
        </w:tblPrEx>
        <w:trPr>
          <w:trHeight w:val="90" w:hRule="atLeast"/>
        </w:trPr>
        <w:tc>
          <w:tcPr>
            <w:tcW w:w="692" w:type="dxa"/>
            <w:tcBorders>
              <w:top w:val="nil"/>
              <w:left w:val="single" w:color="auto" w:sz="4" w:space="0"/>
              <w:bottom w:val="single" w:color="auto" w:sz="4" w:space="0"/>
              <w:right w:val="single" w:color="auto" w:sz="4" w:space="0"/>
            </w:tcBorders>
            <w:shd w:val="clear" w:color="auto" w:fill="auto"/>
            <w:vAlign w:val="bottom"/>
          </w:tcPr>
          <w:p w14:paraId="11500002">
            <w:pPr>
              <w:keepNext w:val="0"/>
              <w:keepLines w:val="0"/>
              <w:widowControl/>
              <w:numPr>
                <w:ilvl w:val="0"/>
                <w:numId w:val="27"/>
              </w:numPr>
              <w:suppressLineNumbers w:val="0"/>
              <w:spacing w:before="0" w:beforeAutospacing="0" w:after="0" w:afterAutospacing="0" w:line="240" w:lineRule="auto"/>
              <w:ind w:left="425" w:leftChars="0" w:right="0" w:hanging="425" w:firstLineChars="0"/>
              <w:jc w:val="center"/>
              <w:rPr>
                <w:rFonts w:hint="eastAsia" w:ascii="宋体" w:hAnsi="宋体" w:eastAsia="宋体" w:cs="宋体"/>
                <w:color w:val="000000"/>
                <w:kern w:val="0"/>
                <w:sz w:val="24"/>
                <w:szCs w:val="24"/>
              </w:rPr>
            </w:pPr>
          </w:p>
        </w:tc>
        <w:tc>
          <w:tcPr>
            <w:tcW w:w="1661" w:type="dxa"/>
            <w:tcBorders>
              <w:top w:val="nil"/>
              <w:left w:val="nil"/>
              <w:bottom w:val="single" w:color="auto" w:sz="4" w:space="0"/>
              <w:right w:val="single" w:color="auto" w:sz="4" w:space="0"/>
            </w:tcBorders>
            <w:shd w:val="clear" w:color="auto" w:fill="auto"/>
            <w:vAlign w:val="bottom"/>
          </w:tcPr>
          <w:p w14:paraId="270FD416">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服务器</w:t>
            </w:r>
          </w:p>
        </w:tc>
        <w:tc>
          <w:tcPr>
            <w:tcW w:w="2253" w:type="dxa"/>
            <w:tcBorders>
              <w:top w:val="nil"/>
              <w:left w:val="nil"/>
              <w:bottom w:val="single" w:color="auto" w:sz="4" w:space="0"/>
              <w:right w:val="single" w:color="auto" w:sz="4" w:space="0"/>
            </w:tcBorders>
            <w:shd w:val="clear" w:color="auto" w:fill="auto"/>
            <w:vAlign w:val="center"/>
          </w:tcPr>
          <w:p w14:paraId="2F91727E">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w:t>
            </w:r>
            <w:r>
              <w:rPr>
                <w:rFonts w:hint="eastAsia" w:ascii="宋体" w:hAnsi="宋体" w:eastAsia="宋体" w:cs="宋体"/>
                <w:color w:val="000000"/>
                <w:kern w:val="0"/>
                <w:sz w:val="24"/>
                <w:szCs w:val="24"/>
                <w:lang w:val="en-US" w:eastAsia="zh-CN"/>
              </w:rPr>
              <w:t>4</w:t>
            </w:r>
            <w:r>
              <w:rPr>
                <w:rFonts w:hint="eastAsia" w:ascii="宋体" w:hAnsi="宋体" w:eastAsia="宋体" w:cs="宋体"/>
                <w:color w:val="000000"/>
                <w:kern w:val="0"/>
                <w:sz w:val="24"/>
                <w:szCs w:val="24"/>
              </w:rPr>
              <w:t>88HV5</w:t>
            </w:r>
          </w:p>
        </w:tc>
        <w:tc>
          <w:tcPr>
            <w:tcW w:w="762" w:type="dxa"/>
            <w:tcBorders>
              <w:top w:val="nil"/>
              <w:left w:val="nil"/>
              <w:bottom w:val="single" w:color="auto" w:sz="4" w:space="0"/>
              <w:right w:val="single" w:color="auto" w:sz="4" w:space="0"/>
            </w:tcBorders>
            <w:shd w:val="clear" w:color="auto" w:fill="auto"/>
            <w:vAlign w:val="center"/>
          </w:tcPr>
          <w:p w14:paraId="7E73178A">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521" w:type="dxa"/>
            <w:tcBorders>
              <w:top w:val="nil"/>
              <w:left w:val="nil"/>
              <w:bottom w:val="single" w:color="auto" w:sz="4" w:space="0"/>
              <w:right w:val="single" w:color="auto" w:sz="4" w:space="0"/>
            </w:tcBorders>
            <w:shd w:val="clear" w:color="auto" w:fill="auto"/>
            <w:vAlign w:val="center"/>
          </w:tcPr>
          <w:p w14:paraId="4C4D4433">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CZ-B-31</w:t>
            </w:r>
          </w:p>
        </w:tc>
        <w:tc>
          <w:tcPr>
            <w:tcW w:w="1101" w:type="dxa"/>
            <w:tcBorders>
              <w:top w:val="nil"/>
              <w:left w:val="nil"/>
              <w:bottom w:val="single" w:color="auto" w:sz="4" w:space="0"/>
              <w:right w:val="single" w:color="auto" w:sz="4" w:space="0"/>
            </w:tcBorders>
            <w:shd w:val="clear" w:color="auto" w:fill="auto"/>
            <w:vAlign w:val="center"/>
          </w:tcPr>
          <w:p w14:paraId="1608B39D">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2108" w:type="dxa"/>
            <w:vMerge w:val="continue"/>
            <w:tcBorders>
              <w:top w:val="nil"/>
              <w:left w:val="single" w:color="auto" w:sz="4" w:space="0"/>
              <w:bottom w:val="single" w:color="000000" w:sz="4" w:space="0"/>
              <w:right w:val="single" w:color="auto" w:sz="4" w:space="0"/>
            </w:tcBorders>
            <w:vAlign w:val="center"/>
          </w:tcPr>
          <w:p w14:paraId="42395F58">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p>
        </w:tc>
      </w:tr>
      <w:tr w14:paraId="0C302ACC">
        <w:tblPrEx>
          <w:tblCellMar>
            <w:top w:w="0" w:type="dxa"/>
            <w:left w:w="108" w:type="dxa"/>
            <w:bottom w:w="0" w:type="dxa"/>
            <w:right w:w="108" w:type="dxa"/>
          </w:tblCellMar>
        </w:tblPrEx>
        <w:trPr>
          <w:trHeight w:val="90" w:hRule="atLeast"/>
        </w:trPr>
        <w:tc>
          <w:tcPr>
            <w:tcW w:w="692" w:type="dxa"/>
            <w:tcBorders>
              <w:top w:val="nil"/>
              <w:left w:val="single" w:color="auto" w:sz="4" w:space="0"/>
              <w:bottom w:val="single" w:color="auto" w:sz="4" w:space="0"/>
              <w:right w:val="single" w:color="auto" w:sz="4" w:space="0"/>
            </w:tcBorders>
            <w:shd w:val="clear" w:color="auto" w:fill="auto"/>
            <w:vAlign w:val="bottom"/>
          </w:tcPr>
          <w:p w14:paraId="3AD3B087">
            <w:pPr>
              <w:keepNext w:val="0"/>
              <w:keepLines w:val="0"/>
              <w:widowControl/>
              <w:numPr>
                <w:ilvl w:val="0"/>
                <w:numId w:val="27"/>
              </w:numPr>
              <w:suppressLineNumbers w:val="0"/>
              <w:spacing w:before="0" w:beforeAutospacing="0" w:after="0" w:afterAutospacing="0" w:line="240" w:lineRule="auto"/>
              <w:ind w:left="425" w:leftChars="0" w:right="0" w:hanging="425" w:firstLineChars="0"/>
              <w:jc w:val="center"/>
              <w:rPr>
                <w:rFonts w:hint="eastAsia" w:ascii="宋体" w:hAnsi="宋体" w:eastAsia="宋体" w:cs="宋体"/>
                <w:color w:val="000000"/>
                <w:kern w:val="0"/>
                <w:sz w:val="24"/>
                <w:szCs w:val="24"/>
              </w:rPr>
            </w:pPr>
          </w:p>
        </w:tc>
        <w:tc>
          <w:tcPr>
            <w:tcW w:w="1661" w:type="dxa"/>
            <w:tcBorders>
              <w:top w:val="nil"/>
              <w:left w:val="nil"/>
              <w:bottom w:val="single" w:color="auto" w:sz="4" w:space="0"/>
              <w:right w:val="single" w:color="auto" w:sz="4" w:space="0"/>
            </w:tcBorders>
            <w:shd w:val="clear" w:color="auto" w:fill="auto"/>
            <w:vAlign w:val="bottom"/>
          </w:tcPr>
          <w:p w14:paraId="2BEE50FC">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服务器</w:t>
            </w:r>
          </w:p>
        </w:tc>
        <w:tc>
          <w:tcPr>
            <w:tcW w:w="2253" w:type="dxa"/>
            <w:tcBorders>
              <w:top w:val="nil"/>
              <w:left w:val="nil"/>
              <w:bottom w:val="single" w:color="auto" w:sz="4" w:space="0"/>
              <w:right w:val="single" w:color="auto" w:sz="4" w:space="0"/>
            </w:tcBorders>
            <w:shd w:val="clear" w:color="auto" w:fill="auto"/>
            <w:vAlign w:val="center"/>
          </w:tcPr>
          <w:p w14:paraId="458C9817">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w:t>
            </w:r>
            <w:r>
              <w:rPr>
                <w:rFonts w:hint="eastAsia" w:ascii="宋体" w:hAnsi="宋体" w:eastAsia="宋体" w:cs="宋体"/>
                <w:color w:val="000000"/>
                <w:kern w:val="0"/>
                <w:sz w:val="24"/>
                <w:szCs w:val="24"/>
                <w:lang w:val="en-US" w:eastAsia="zh-CN"/>
              </w:rPr>
              <w:t>4</w:t>
            </w:r>
            <w:r>
              <w:rPr>
                <w:rFonts w:hint="eastAsia" w:ascii="宋体" w:hAnsi="宋体" w:eastAsia="宋体" w:cs="宋体"/>
                <w:color w:val="000000"/>
                <w:kern w:val="0"/>
                <w:sz w:val="24"/>
                <w:szCs w:val="24"/>
              </w:rPr>
              <w:t>88HV5</w:t>
            </w:r>
          </w:p>
        </w:tc>
        <w:tc>
          <w:tcPr>
            <w:tcW w:w="762" w:type="dxa"/>
            <w:tcBorders>
              <w:top w:val="nil"/>
              <w:left w:val="nil"/>
              <w:bottom w:val="single" w:color="auto" w:sz="4" w:space="0"/>
              <w:right w:val="single" w:color="auto" w:sz="4" w:space="0"/>
            </w:tcBorders>
            <w:shd w:val="clear" w:color="auto" w:fill="auto"/>
            <w:vAlign w:val="center"/>
          </w:tcPr>
          <w:p w14:paraId="10B63424">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521" w:type="dxa"/>
            <w:tcBorders>
              <w:top w:val="nil"/>
              <w:left w:val="nil"/>
              <w:bottom w:val="single" w:color="auto" w:sz="4" w:space="0"/>
              <w:right w:val="single" w:color="auto" w:sz="4" w:space="0"/>
            </w:tcBorders>
            <w:shd w:val="clear" w:color="auto" w:fill="auto"/>
            <w:vAlign w:val="center"/>
          </w:tcPr>
          <w:p w14:paraId="11D2B2F9">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CZ-B-32</w:t>
            </w:r>
          </w:p>
        </w:tc>
        <w:tc>
          <w:tcPr>
            <w:tcW w:w="1101" w:type="dxa"/>
            <w:tcBorders>
              <w:top w:val="nil"/>
              <w:left w:val="nil"/>
              <w:bottom w:val="single" w:color="auto" w:sz="4" w:space="0"/>
              <w:right w:val="single" w:color="auto" w:sz="4" w:space="0"/>
            </w:tcBorders>
            <w:shd w:val="clear" w:color="auto" w:fill="auto"/>
            <w:vAlign w:val="center"/>
          </w:tcPr>
          <w:p w14:paraId="7D660282">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2108" w:type="dxa"/>
            <w:vMerge w:val="continue"/>
            <w:tcBorders>
              <w:top w:val="nil"/>
              <w:left w:val="single" w:color="auto" w:sz="4" w:space="0"/>
              <w:bottom w:val="single" w:color="000000" w:sz="4" w:space="0"/>
              <w:right w:val="single" w:color="auto" w:sz="4" w:space="0"/>
            </w:tcBorders>
            <w:vAlign w:val="center"/>
          </w:tcPr>
          <w:p w14:paraId="0F2EA2B5">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p>
        </w:tc>
      </w:tr>
      <w:tr w14:paraId="7CD1CD4C">
        <w:tblPrEx>
          <w:tblCellMar>
            <w:top w:w="0" w:type="dxa"/>
            <w:left w:w="108" w:type="dxa"/>
            <w:bottom w:w="0" w:type="dxa"/>
            <w:right w:w="108" w:type="dxa"/>
          </w:tblCellMar>
        </w:tblPrEx>
        <w:trPr>
          <w:trHeight w:val="90" w:hRule="atLeast"/>
        </w:trPr>
        <w:tc>
          <w:tcPr>
            <w:tcW w:w="692" w:type="dxa"/>
            <w:tcBorders>
              <w:top w:val="nil"/>
              <w:left w:val="single" w:color="auto" w:sz="4" w:space="0"/>
              <w:bottom w:val="single" w:color="auto" w:sz="4" w:space="0"/>
              <w:right w:val="single" w:color="auto" w:sz="4" w:space="0"/>
            </w:tcBorders>
            <w:shd w:val="clear" w:color="auto" w:fill="auto"/>
            <w:vAlign w:val="bottom"/>
          </w:tcPr>
          <w:p w14:paraId="308B9514">
            <w:pPr>
              <w:keepNext w:val="0"/>
              <w:keepLines w:val="0"/>
              <w:widowControl/>
              <w:numPr>
                <w:ilvl w:val="0"/>
                <w:numId w:val="27"/>
              </w:numPr>
              <w:suppressLineNumbers w:val="0"/>
              <w:spacing w:before="0" w:beforeAutospacing="0" w:after="0" w:afterAutospacing="0" w:line="240" w:lineRule="auto"/>
              <w:ind w:left="425" w:leftChars="0" w:right="0" w:hanging="425" w:firstLineChars="0"/>
              <w:jc w:val="center"/>
              <w:rPr>
                <w:rFonts w:hint="eastAsia" w:ascii="宋体" w:hAnsi="宋体" w:eastAsia="宋体" w:cs="宋体"/>
                <w:color w:val="000000"/>
                <w:kern w:val="0"/>
                <w:sz w:val="24"/>
                <w:szCs w:val="24"/>
              </w:rPr>
            </w:pPr>
          </w:p>
        </w:tc>
        <w:tc>
          <w:tcPr>
            <w:tcW w:w="1661" w:type="dxa"/>
            <w:tcBorders>
              <w:top w:val="nil"/>
              <w:left w:val="nil"/>
              <w:bottom w:val="single" w:color="auto" w:sz="4" w:space="0"/>
              <w:right w:val="single" w:color="auto" w:sz="4" w:space="0"/>
            </w:tcBorders>
            <w:shd w:val="clear" w:color="auto" w:fill="auto"/>
            <w:vAlign w:val="bottom"/>
          </w:tcPr>
          <w:p w14:paraId="541BB158">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服务器</w:t>
            </w:r>
          </w:p>
        </w:tc>
        <w:tc>
          <w:tcPr>
            <w:tcW w:w="2253" w:type="dxa"/>
            <w:tcBorders>
              <w:top w:val="nil"/>
              <w:left w:val="nil"/>
              <w:bottom w:val="single" w:color="auto" w:sz="4" w:space="0"/>
              <w:right w:val="single" w:color="auto" w:sz="4" w:space="0"/>
            </w:tcBorders>
            <w:shd w:val="clear" w:color="auto" w:fill="auto"/>
            <w:vAlign w:val="center"/>
          </w:tcPr>
          <w:p w14:paraId="4F6FDC26">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w:t>
            </w:r>
            <w:r>
              <w:rPr>
                <w:rFonts w:hint="eastAsia" w:ascii="宋体" w:hAnsi="宋体" w:eastAsia="宋体" w:cs="宋体"/>
                <w:color w:val="000000"/>
                <w:kern w:val="0"/>
                <w:sz w:val="24"/>
                <w:szCs w:val="24"/>
                <w:lang w:val="en-US" w:eastAsia="zh-CN"/>
              </w:rPr>
              <w:t>4</w:t>
            </w:r>
            <w:r>
              <w:rPr>
                <w:rFonts w:hint="eastAsia" w:ascii="宋体" w:hAnsi="宋体" w:eastAsia="宋体" w:cs="宋体"/>
                <w:color w:val="000000"/>
                <w:kern w:val="0"/>
                <w:sz w:val="24"/>
                <w:szCs w:val="24"/>
              </w:rPr>
              <w:t>88HV5</w:t>
            </w:r>
          </w:p>
        </w:tc>
        <w:tc>
          <w:tcPr>
            <w:tcW w:w="762" w:type="dxa"/>
            <w:tcBorders>
              <w:top w:val="nil"/>
              <w:left w:val="nil"/>
              <w:bottom w:val="single" w:color="auto" w:sz="4" w:space="0"/>
              <w:right w:val="single" w:color="auto" w:sz="4" w:space="0"/>
            </w:tcBorders>
            <w:shd w:val="clear" w:color="auto" w:fill="auto"/>
            <w:vAlign w:val="center"/>
          </w:tcPr>
          <w:p w14:paraId="510760C9">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521" w:type="dxa"/>
            <w:tcBorders>
              <w:top w:val="nil"/>
              <w:left w:val="nil"/>
              <w:bottom w:val="single" w:color="auto" w:sz="4" w:space="0"/>
              <w:right w:val="single" w:color="auto" w:sz="4" w:space="0"/>
            </w:tcBorders>
            <w:shd w:val="clear" w:color="auto" w:fill="auto"/>
            <w:vAlign w:val="center"/>
          </w:tcPr>
          <w:p w14:paraId="767E13D5">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CZ-B-32</w:t>
            </w:r>
          </w:p>
        </w:tc>
        <w:tc>
          <w:tcPr>
            <w:tcW w:w="1101" w:type="dxa"/>
            <w:tcBorders>
              <w:top w:val="nil"/>
              <w:left w:val="nil"/>
              <w:bottom w:val="single" w:color="auto" w:sz="4" w:space="0"/>
              <w:right w:val="single" w:color="auto" w:sz="4" w:space="0"/>
            </w:tcBorders>
            <w:shd w:val="clear" w:color="auto" w:fill="auto"/>
            <w:vAlign w:val="center"/>
          </w:tcPr>
          <w:p w14:paraId="3D49192D">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2108" w:type="dxa"/>
            <w:vMerge w:val="continue"/>
            <w:tcBorders>
              <w:top w:val="nil"/>
              <w:left w:val="single" w:color="auto" w:sz="4" w:space="0"/>
              <w:bottom w:val="single" w:color="000000" w:sz="4" w:space="0"/>
              <w:right w:val="single" w:color="auto" w:sz="4" w:space="0"/>
            </w:tcBorders>
            <w:vAlign w:val="center"/>
          </w:tcPr>
          <w:p w14:paraId="7B8A9153">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p>
        </w:tc>
      </w:tr>
      <w:tr w14:paraId="25E11157">
        <w:tblPrEx>
          <w:tblCellMar>
            <w:top w:w="0" w:type="dxa"/>
            <w:left w:w="108" w:type="dxa"/>
            <w:bottom w:w="0" w:type="dxa"/>
            <w:right w:w="108" w:type="dxa"/>
          </w:tblCellMar>
        </w:tblPrEx>
        <w:trPr>
          <w:trHeight w:val="90" w:hRule="atLeast"/>
        </w:trPr>
        <w:tc>
          <w:tcPr>
            <w:tcW w:w="692" w:type="dxa"/>
            <w:tcBorders>
              <w:top w:val="nil"/>
              <w:left w:val="single" w:color="auto" w:sz="4" w:space="0"/>
              <w:bottom w:val="single" w:color="auto" w:sz="4" w:space="0"/>
              <w:right w:val="single" w:color="auto" w:sz="4" w:space="0"/>
            </w:tcBorders>
            <w:shd w:val="clear" w:color="auto" w:fill="auto"/>
            <w:vAlign w:val="bottom"/>
          </w:tcPr>
          <w:p w14:paraId="0A2888D7">
            <w:pPr>
              <w:keepNext w:val="0"/>
              <w:keepLines w:val="0"/>
              <w:widowControl/>
              <w:numPr>
                <w:ilvl w:val="0"/>
                <w:numId w:val="27"/>
              </w:numPr>
              <w:suppressLineNumbers w:val="0"/>
              <w:spacing w:before="0" w:beforeAutospacing="0" w:after="0" w:afterAutospacing="0" w:line="240" w:lineRule="auto"/>
              <w:ind w:left="425" w:leftChars="0" w:right="0" w:hanging="425" w:firstLineChars="0"/>
              <w:jc w:val="center"/>
              <w:rPr>
                <w:rFonts w:hint="eastAsia" w:ascii="宋体" w:hAnsi="宋体" w:eastAsia="宋体" w:cs="宋体"/>
                <w:color w:val="000000"/>
                <w:kern w:val="0"/>
                <w:sz w:val="24"/>
                <w:szCs w:val="24"/>
              </w:rPr>
            </w:pPr>
          </w:p>
        </w:tc>
        <w:tc>
          <w:tcPr>
            <w:tcW w:w="1661" w:type="dxa"/>
            <w:tcBorders>
              <w:top w:val="nil"/>
              <w:left w:val="nil"/>
              <w:bottom w:val="single" w:color="auto" w:sz="4" w:space="0"/>
              <w:right w:val="single" w:color="auto" w:sz="4" w:space="0"/>
            </w:tcBorders>
            <w:shd w:val="clear" w:color="auto" w:fill="auto"/>
            <w:vAlign w:val="center"/>
          </w:tcPr>
          <w:p w14:paraId="69E13B3E">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服务器</w:t>
            </w:r>
          </w:p>
        </w:tc>
        <w:tc>
          <w:tcPr>
            <w:tcW w:w="2253" w:type="dxa"/>
            <w:tcBorders>
              <w:top w:val="nil"/>
              <w:left w:val="nil"/>
              <w:bottom w:val="single" w:color="auto" w:sz="4" w:space="0"/>
              <w:right w:val="single" w:color="auto" w:sz="4" w:space="0"/>
            </w:tcBorders>
            <w:shd w:val="clear" w:color="auto" w:fill="auto"/>
            <w:vAlign w:val="center"/>
          </w:tcPr>
          <w:p w14:paraId="6ADACBD5">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RH5885H V3</w:t>
            </w:r>
          </w:p>
        </w:tc>
        <w:tc>
          <w:tcPr>
            <w:tcW w:w="762" w:type="dxa"/>
            <w:tcBorders>
              <w:top w:val="nil"/>
              <w:left w:val="nil"/>
              <w:bottom w:val="single" w:color="auto" w:sz="4" w:space="0"/>
              <w:right w:val="single" w:color="auto" w:sz="4" w:space="0"/>
            </w:tcBorders>
            <w:shd w:val="clear" w:color="auto" w:fill="auto"/>
            <w:vAlign w:val="center"/>
          </w:tcPr>
          <w:p w14:paraId="678E813C">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521" w:type="dxa"/>
            <w:tcBorders>
              <w:top w:val="nil"/>
              <w:left w:val="nil"/>
              <w:bottom w:val="single" w:color="auto" w:sz="4" w:space="0"/>
              <w:right w:val="single" w:color="auto" w:sz="4" w:space="0"/>
            </w:tcBorders>
            <w:shd w:val="clear" w:color="auto" w:fill="auto"/>
            <w:vAlign w:val="center"/>
          </w:tcPr>
          <w:p w14:paraId="17FBAC95">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CZ-B-09</w:t>
            </w:r>
          </w:p>
        </w:tc>
        <w:tc>
          <w:tcPr>
            <w:tcW w:w="1101" w:type="dxa"/>
            <w:tcBorders>
              <w:top w:val="nil"/>
              <w:left w:val="nil"/>
              <w:bottom w:val="single" w:color="auto" w:sz="4" w:space="0"/>
              <w:right w:val="single" w:color="auto" w:sz="4" w:space="0"/>
            </w:tcBorders>
            <w:shd w:val="clear" w:color="auto" w:fill="auto"/>
            <w:vAlign w:val="center"/>
          </w:tcPr>
          <w:p w14:paraId="6FBB0CBA">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2108" w:type="dxa"/>
            <w:vMerge w:val="continue"/>
            <w:tcBorders>
              <w:top w:val="nil"/>
              <w:left w:val="single" w:color="auto" w:sz="4" w:space="0"/>
              <w:bottom w:val="single" w:color="000000" w:sz="4" w:space="0"/>
              <w:right w:val="single" w:color="auto" w:sz="4" w:space="0"/>
            </w:tcBorders>
            <w:vAlign w:val="center"/>
          </w:tcPr>
          <w:p w14:paraId="5200AACE">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p>
        </w:tc>
      </w:tr>
      <w:tr w14:paraId="6B8A1BF6">
        <w:tblPrEx>
          <w:tblCellMar>
            <w:top w:w="0" w:type="dxa"/>
            <w:left w:w="108" w:type="dxa"/>
            <w:bottom w:w="0" w:type="dxa"/>
            <w:right w:w="108" w:type="dxa"/>
          </w:tblCellMar>
        </w:tblPrEx>
        <w:trPr>
          <w:trHeight w:val="90" w:hRule="atLeast"/>
        </w:trPr>
        <w:tc>
          <w:tcPr>
            <w:tcW w:w="692" w:type="dxa"/>
            <w:tcBorders>
              <w:top w:val="nil"/>
              <w:left w:val="single" w:color="auto" w:sz="4" w:space="0"/>
              <w:bottom w:val="single" w:color="auto" w:sz="4" w:space="0"/>
              <w:right w:val="single" w:color="auto" w:sz="4" w:space="0"/>
            </w:tcBorders>
            <w:shd w:val="clear" w:color="auto" w:fill="auto"/>
            <w:vAlign w:val="bottom"/>
          </w:tcPr>
          <w:p w14:paraId="4B7B1AE9">
            <w:pPr>
              <w:keepNext w:val="0"/>
              <w:keepLines w:val="0"/>
              <w:widowControl/>
              <w:numPr>
                <w:ilvl w:val="0"/>
                <w:numId w:val="27"/>
              </w:numPr>
              <w:suppressLineNumbers w:val="0"/>
              <w:spacing w:before="0" w:beforeAutospacing="0" w:after="0" w:afterAutospacing="0" w:line="240" w:lineRule="auto"/>
              <w:ind w:left="425" w:leftChars="0" w:right="0" w:hanging="425" w:firstLineChars="0"/>
              <w:jc w:val="center"/>
              <w:rPr>
                <w:rFonts w:hint="eastAsia" w:ascii="宋体" w:hAnsi="宋体" w:eastAsia="宋体" w:cs="宋体"/>
                <w:color w:val="000000"/>
                <w:kern w:val="0"/>
                <w:sz w:val="24"/>
                <w:szCs w:val="24"/>
              </w:rPr>
            </w:pPr>
          </w:p>
        </w:tc>
        <w:tc>
          <w:tcPr>
            <w:tcW w:w="1661" w:type="dxa"/>
            <w:tcBorders>
              <w:top w:val="nil"/>
              <w:left w:val="nil"/>
              <w:bottom w:val="single" w:color="auto" w:sz="4" w:space="0"/>
              <w:right w:val="single" w:color="auto" w:sz="4" w:space="0"/>
            </w:tcBorders>
            <w:shd w:val="clear" w:color="auto" w:fill="auto"/>
            <w:vAlign w:val="center"/>
          </w:tcPr>
          <w:p w14:paraId="1979A4D6">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服务器</w:t>
            </w:r>
          </w:p>
        </w:tc>
        <w:tc>
          <w:tcPr>
            <w:tcW w:w="2253" w:type="dxa"/>
            <w:tcBorders>
              <w:top w:val="nil"/>
              <w:left w:val="nil"/>
              <w:bottom w:val="single" w:color="auto" w:sz="4" w:space="0"/>
              <w:right w:val="single" w:color="auto" w:sz="4" w:space="0"/>
            </w:tcBorders>
            <w:shd w:val="clear" w:color="auto" w:fill="auto"/>
            <w:vAlign w:val="center"/>
          </w:tcPr>
          <w:p w14:paraId="7E10668F">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RH5885H V3</w:t>
            </w:r>
          </w:p>
        </w:tc>
        <w:tc>
          <w:tcPr>
            <w:tcW w:w="762" w:type="dxa"/>
            <w:tcBorders>
              <w:top w:val="nil"/>
              <w:left w:val="nil"/>
              <w:bottom w:val="single" w:color="auto" w:sz="4" w:space="0"/>
              <w:right w:val="single" w:color="auto" w:sz="4" w:space="0"/>
            </w:tcBorders>
            <w:shd w:val="clear" w:color="auto" w:fill="auto"/>
            <w:vAlign w:val="center"/>
          </w:tcPr>
          <w:p w14:paraId="3EFEB287">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521" w:type="dxa"/>
            <w:tcBorders>
              <w:top w:val="nil"/>
              <w:left w:val="nil"/>
              <w:bottom w:val="single" w:color="auto" w:sz="4" w:space="0"/>
              <w:right w:val="single" w:color="auto" w:sz="4" w:space="0"/>
            </w:tcBorders>
            <w:shd w:val="clear" w:color="auto" w:fill="auto"/>
            <w:vAlign w:val="center"/>
          </w:tcPr>
          <w:p w14:paraId="0DC45036">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CZ-B-09</w:t>
            </w:r>
          </w:p>
        </w:tc>
        <w:tc>
          <w:tcPr>
            <w:tcW w:w="1101" w:type="dxa"/>
            <w:tcBorders>
              <w:top w:val="nil"/>
              <w:left w:val="nil"/>
              <w:bottom w:val="single" w:color="auto" w:sz="4" w:space="0"/>
              <w:right w:val="single" w:color="auto" w:sz="4" w:space="0"/>
            </w:tcBorders>
            <w:shd w:val="clear" w:color="auto" w:fill="auto"/>
            <w:vAlign w:val="center"/>
          </w:tcPr>
          <w:p w14:paraId="6EA08069">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2108" w:type="dxa"/>
            <w:vMerge w:val="continue"/>
            <w:tcBorders>
              <w:top w:val="nil"/>
              <w:left w:val="single" w:color="auto" w:sz="4" w:space="0"/>
              <w:bottom w:val="single" w:color="000000" w:sz="4" w:space="0"/>
              <w:right w:val="single" w:color="auto" w:sz="4" w:space="0"/>
            </w:tcBorders>
            <w:vAlign w:val="center"/>
          </w:tcPr>
          <w:p w14:paraId="0ADC98EB">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p>
        </w:tc>
      </w:tr>
      <w:tr w14:paraId="524B6021">
        <w:tblPrEx>
          <w:tblCellMar>
            <w:top w:w="0" w:type="dxa"/>
            <w:left w:w="108" w:type="dxa"/>
            <w:bottom w:w="0" w:type="dxa"/>
            <w:right w:w="108" w:type="dxa"/>
          </w:tblCellMar>
        </w:tblPrEx>
        <w:trPr>
          <w:trHeight w:val="90" w:hRule="atLeast"/>
        </w:trPr>
        <w:tc>
          <w:tcPr>
            <w:tcW w:w="692" w:type="dxa"/>
            <w:tcBorders>
              <w:top w:val="nil"/>
              <w:left w:val="single" w:color="auto" w:sz="4" w:space="0"/>
              <w:bottom w:val="single" w:color="auto" w:sz="4" w:space="0"/>
              <w:right w:val="single" w:color="auto" w:sz="4" w:space="0"/>
            </w:tcBorders>
            <w:shd w:val="clear" w:color="auto" w:fill="auto"/>
            <w:vAlign w:val="bottom"/>
          </w:tcPr>
          <w:p w14:paraId="674D9339">
            <w:pPr>
              <w:keepNext w:val="0"/>
              <w:keepLines w:val="0"/>
              <w:widowControl/>
              <w:numPr>
                <w:ilvl w:val="0"/>
                <w:numId w:val="27"/>
              </w:numPr>
              <w:suppressLineNumbers w:val="0"/>
              <w:spacing w:before="0" w:beforeAutospacing="0" w:after="0" w:afterAutospacing="0" w:line="240" w:lineRule="auto"/>
              <w:ind w:left="425" w:leftChars="0" w:right="0" w:hanging="425" w:firstLineChars="0"/>
              <w:jc w:val="center"/>
              <w:rPr>
                <w:rFonts w:hint="eastAsia" w:ascii="宋体" w:hAnsi="宋体" w:eastAsia="宋体" w:cs="宋体"/>
                <w:color w:val="000000"/>
                <w:kern w:val="0"/>
                <w:sz w:val="24"/>
                <w:szCs w:val="24"/>
              </w:rPr>
            </w:pPr>
          </w:p>
        </w:tc>
        <w:tc>
          <w:tcPr>
            <w:tcW w:w="1661" w:type="dxa"/>
            <w:tcBorders>
              <w:top w:val="nil"/>
              <w:left w:val="nil"/>
              <w:bottom w:val="single" w:color="auto" w:sz="4" w:space="0"/>
              <w:right w:val="single" w:color="auto" w:sz="4" w:space="0"/>
            </w:tcBorders>
            <w:shd w:val="clear" w:color="auto" w:fill="auto"/>
            <w:vAlign w:val="center"/>
          </w:tcPr>
          <w:p w14:paraId="69EFBC82">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服务器</w:t>
            </w:r>
          </w:p>
        </w:tc>
        <w:tc>
          <w:tcPr>
            <w:tcW w:w="2253" w:type="dxa"/>
            <w:tcBorders>
              <w:top w:val="nil"/>
              <w:left w:val="nil"/>
              <w:bottom w:val="single" w:color="auto" w:sz="4" w:space="0"/>
              <w:right w:val="single" w:color="auto" w:sz="4" w:space="0"/>
            </w:tcBorders>
            <w:shd w:val="clear" w:color="auto" w:fill="auto"/>
            <w:vAlign w:val="center"/>
          </w:tcPr>
          <w:p w14:paraId="1C1DFC08">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RH5885H V3</w:t>
            </w:r>
          </w:p>
        </w:tc>
        <w:tc>
          <w:tcPr>
            <w:tcW w:w="762" w:type="dxa"/>
            <w:tcBorders>
              <w:top w:val="nil"/>
              <w:left w:val="nil"/>
              <w:bottom w:val="single" w:color="auto" w:sz="4" w:space="0"/>
              <w:right w:val="single" w:color="auto" w:sz="4" w:space="0"/>
            </w:tcBorders>
            <w:shd w:val="clear" w:color="auto" w:fill="auto"/>
            <w:vAlign w:val="center"/>
          </w:tcPr>
          <w:p w14:paraId="0E7B0A22">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521" w:type="dxa"/>
            <w:tcBorders>
              <w:top w:val="nil"/>
              <w:left w:val="nil"/>
              <w:bottom w:val="single" w:color="auto" w:sz="4" w:space="0"/>
              <w:right w:val="single" w:color="auto" w:sz="4" w:space="0"/>
            </w:tcBorders>
            <w:shd w:val="clear" w:color="auto" w:fill="auto"/>
            <w:vAlign w:val="center"/>
          </w:tcPr>
          <w:p w14:paraId="1FD691AC">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CZ-B-09</w:t>
            </w:r>
          </w:p>
        </w:tc>
        <w:tc>
          <w:tcPr>
            <w:tcW w:w="1101" w:type="dxa"/>
            <w:tcBorders>
              <w:top w:val="nil"/>
              <w:left w:val="nil"/>
              <w:bottom w:val="single" w:color="auto" w:sz="4" w:space="0"/>
              <w:right w:val="single" w:color="auto" w:sz="4" w:space="0"/>
            </w:tcBorders>
            <w:shd w:val="clear" w:color="auto" w:fill="auto"/>
            <w:vAlign w:val="center"/>
          </w:tcPr>
          <w:p w14:paraId="47538904">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2108" w:type="dxa"/>
            <w:vMerge w:val="continue"/>
            <w:tcBorders>
              <w:top w:val="nil"/>
              <w:left w:val="single" w:color="auto" w:sz="4" w:space="0"/>
              <w:bottom w:val="single" w:color="000000" w:sz="4" w:space="0"/>
              <w:right w:val="single" w:color="auto" w:sz="4" w:space="0"/>
            </w:tcBorders>
            <w:vAlign w:val="center"/>
          </w:tcPr>
          <w:p w14:paraId="3E4B1CD6">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p>
        </w:tc>
      </w:tr>
      <w:tr w14:paraId="5C81BC0F">
        <w:tblPrEx>
          <w:tblCellMar>
            <w:top w:w="0" w:type="dxa"/>
            <w:left w:w="108" w:type="dxa"/>
            <w:bottom w:w="0" w:type="dxa"/>
            <w:right w:w="108" w:type="dxa"/>
          </w:tblCellMar>
        </w:tblPrEx>
        <w:trPr>
          <w:trHeight w:val="90" w:hRule="atLeast"/>
        </w:trPr>
        <w:tc>
          <w:tcPr>
            <w:tcW w:w="692" w:type="dxa"/>
            <w:tcBorders>
              <w:top w:val="nil"/>
              <w:left w:val="single" w:color="auto" w:sz="4" w:space="0"/>
              <w:bottom w:val="single" w:color="auto" w:sz="4" w:space="0"/>
              <w:right w:val="single" w:color="auto" w:sz="4" w:space="0"/>
            </w:tcBorders>
            <w:shd w:val="clear" w:color="auto" w:fill="auto"/>
            <w:vAlign w:val="bottom"/>
          </w:tcPr>
          <w:p w14:paraId="186668F4">
            <w:pPr>
              <w:keepNext w:val="0"/>
              <w:keepLines w:val="0"/>
              <w:widowControl/>
              <w:numPr>
                <w:ilvl w:val="0"/>
                <w:numId w:val="27"/>
              </w:numPr>
              <w:suppressLineNumbers w:val="0"/>
              <w:spacing w:before="0" w:beforeAutospacing="0" w:after="0" w:afterAutospacing="0" w:line="240" w:lineRule="auto"/>
              <w:ind w:left="425" w:leftChars="0" w:right="0" w:hanging="425" w:firstLineChars="0"/>
              <w:jc w:val="center"/>
              <w:rPr>
                <w:rFonts w:hint="eastAsia" w:ascii="宋体" w:hAnsi="宋体" w:eastAsia="宋体" w:cs="宋体"/>
                <w:color w:val="000000"/>
                <w:kern w:val="0"/>
                <w:sz w:val="24"/>
                <w:szCs w:val="24"/>
              </w:rPr>
            </w:pPr>
          </w:p>
        </w:tc>
        <w:tc>
          <w:tcPr>
            <w:tcW w:w="1661" w:type="dxa"/>
            <w:tcBorders>
              <w:top w:val="nil"/>
              <w:left w:val="nil"/>
              <w:bottom w:val="single" w:color="auto" w:sz="4" w:space="0"/>
              <w:right w:val="single" w:color="auto" w:sz="4" w:space="0"/>
            </w:tcBorders>
            <w:shd w:val="clear" w:color="auto" w:fill="auto"/>
            <w:vAlign w:val="center"/>
          </w:tcPr>
          <w:p w14:paraId="7CAC9D7E">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服务器</w:t>
            </w:r>
          </w:p>
        </w:tc>
        <w:tc>
          <w:tcPr>
            <w:tcW w:w="2253" w:type="dxa"/>
            <w:tcBorders>
              <w:top w:val="nil"/>
              <w:left w:val="nil"/>
              <w:bottom w:val="single" w:color="auto" w:sz="4" w:space="0"/>
              <w:right w:val="single" w:color="auto" w:sz="4" w:space="0"/>
            </w:tcBorders>
            <w:shd w:val="clear" w:color="auto" w:fill="auto"/>
            <w:vAlign w:val="center"/>
          </w:tcPr>
          <w:p w14:paraId="707B0CE8">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RH5885H V3</w:t>
            </w:r>
          </w:p>
        </w:tc>
        <w:tc>
          <w:tcPr>
            <w:tcW w:w="762" w:type="dxa"/>
            <w:tcBorders>
              <w:top w:val="nil"/>
              <w:left w:val="nil"/>
              <w:bottom w:val="single" w:color="auto" w:sz="4" w:space="0"/>
              <w:right w:val="single" w:color="auto" w:sz="4" w:space="0"/>
            </w:tcBorders>
            <w:shd w:val="clear" w:color="auto" w:fill="auto"/>
            <w:vAlign w:val="center"/>
          </w:tcPr>
          <w:p w14:paraId="0ACD3F3F">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521" w:type="dxa"/>
            <w:tcBorders>
              <w:top w:val="nil"/>
              <w:left w:val="nil"/>
              <w:bottom w:val="single" w:color="auto" w:sz="4" w:space="0"/>
              <w:right w:val="single" w:color="auto" w:sz="4" w:space="0"/>
            </w:tcBorders>
            <w:shd w:val="clear" w:color="auto" w:fill="auto"/>
            <w:vAlign w:val="center"/>
          </w:tcPr>
          <w:p w14:paraId="7EB25C5B">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CZ-B-09</w:t>
            </w:r>
          </w:p>
        </w:tc>
        <w:tc>
          <w:tcPr>
            <w:tcW w:w="1101" w:type="dxa"/>
            <w:tcBorders>
              <w:top w:val="nil"/>
              <w:left w:val="nil"/>
              <w:bottom w:val="single" w:color="auto" w:sz="4" w:space="0"/>
              <w:right w:val="single" w:color="auto" w:sz="4" w:space="0"/>
            </w:tcBorders>
            <w:shd w:val="clear" w:color="auto" w:fill="auto"/>
            <w:vAlign w:val="center"/>
          </w:tcPr>
          <w:p w14:paraId="6044A8EA">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2108" w:type="dxa"/>
            <w:vMerge w:val="continue"/>
            <w:tcBorders>
              <w:top w:val="nil"/>
              <w:left w:val="single" w:color="auto" w:sz="4" w:space="0"/>
              <w:bottom w:val="single" w:color="000000" w:sz="4" w:space="0"/>
              <w:right w:val="single" w:color="auto" w:sz="4" w:space="0"/>
            </w:tcBorders>
            <w:vAlign w:val="center"/>
          </w:tcPr>
          <w:p w14:paraId="370AC5FC">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p>
        </w:tc>
      </w:tr>
      <w:tr w14:paraId="473A7801">
        <w:tblPrEx>
          <w:tblCellMar>
            <w:top w:w="0" w:type="dxa"/>
            <w:left w:w="108" w:type="dxa"/>
            <w:bottom w:w="0" w:type="dxa"/>
            <w:right w:w="108" w:type="dxa"/>
          </w:tblCellMar>
        </w:tblPrEx>
        <w:trPr>
          <w:trHeight w:val="90" w:hRule="atLeast"/>
        </w:trPr>
        <w:tc>
          <w:tcPr>
            <w:tcW w:w="692" w:type="dxa"/>
            <w:tcBorders>
              <w:top w:val="nil"/>
              <w:left w:val="single" w:color="auto" w:sz="4" w:space="0"/>
              <w:bottom w:val="single" w:color="auto" w:sz="4" w:space="0"/>
              <w:right w:val="single" w:color="auto" w:sz="4" w:space="0"/>
            </w:tcBorders>
            <w:shd w:val="clear" w:color="auto" w:fill="auto"/>
            <w:vAlign w:val="bottom"/>
          </w:tcPr>
          <w:p w14:paraId="0CE00078">
            <w:pPr>
              <w:keepNext w:val="0"/>
              <w:keepLines w:val="0"/>
              <w:widowControl/>
              <w:numPr>
                <w:ilvl w:val="0"/>
                <w:numId w:val="27"/>
              </w:numPr>
              <w:suppressLineNumbers w:val="0"/>
              <w:spacing w:before="0" w:beforeAutospacing="0" w:after="0" w:afterAutospacing="0" w:line="240" w:lineRule="auto"/>
              <w:ind w:left="425" w:leftChars="0" w:right="0" w:hanging="425" w:firstLineChars="0"/>
              <w:jc w:val="center"/>
              <w:rPr>
                <w:rFonts w:hint="eastAsia" w:ascii="宋体" w:hAnsi="宋体" w:eastAsia="宋体" w:cs="宋体"/>
                <w:color w:val="000000"/>
                <w:kern w:val="0"/>
                <w:sz w:val="24"/>
                <w:szCs w:val="24"/>
              </w:rPr>
            </w:pPr>
          </w:p>
        </w:tc>
        <w:tc>
          <w:tcPr>
            <w:tcW w:w="1661" w:type="dxa"/>
            <w:tcBorders>
              <w:top w:val="nil"/>
              <w:left w:val="nil"/>
              <w:bottom w:val="single" w:color="auto" w:sz="4" w:space="0"/>
              <w:right w:val="single" w:color="auto" w:sz="4" w:space="0"/>
            </w:tcBorders>
            <w:shd w:val="clear" w:color="auto" w:fill="auto"/>
            <w:vAlign w:val="center"/>
          </w:tcPr>
          <w:p w14:paraId="3F231336">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服务器</w:t>
            </w:r>
          </w:p>
        </w:tc>
        <w:tc>
          <w:tcPr>
            <w:tcW w:w="2253" w:type="dxa"/>
            <w:tcBorders>
              <w:top w:val="nil"/>
              <w:left w:val="nil"/>
              <w:bottom w:val="single" w:color="auto" w:sz="4" w:space="0"/>
              <w:right w:val="single" w:color="auto" w:sz="4" w:space="0"/>
            </w:tcBorders>
            <w:shd w:val="clear" w:color="auto" w:fill="auto"/>
            <w:vAlign w:val="center"/>
          </w:tcPr>
          <w:p w14:paraId="033B4EB5">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DELL R710</w:t>
            </w:r>
          </w:p>
        </w:tc>
        <w:tc>
          <w:tcPr>
            <w:tcW w:w="762" w:type="dxa"/>
            <w:tcBorders>
              <w:top w:val="nil"/>
              <w:left w:val="nil"/>
              <w:bottom w:val="single" w:color="auto" w:sz="4" w:space="0"/>
              <w:right w:val="single" w:color="auto" w:sz="4" w:space="0"/>
            </w:tcBorders>
            <w:shd w:val="clear" w:color="auto" w:fill="auto"/>
            <w:vAlign w:val="center"/>
          </w:tcPr>
          <w:p w14:paraId="14B87CF5">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521" w:type="dxa"/>
            <w:tcBorders>
              <w:top w:val="nil"/>
              <w:left w:val="nil"/>
              <w:bottom w:val="single" w:color="auto" w:sz="4" w:space="0"/>
              <w:right w:val="single" w:color="auto" w:sz="4" w:space="0"/>
            </w:tcBorders>
            <w:shd w:val="clear" w:color="auto" w:fill="auto"/>
            <w:vAlign w:val="center"/>
          </w:tcPr>
          <w:p w14:paraId="79A25F95">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CZ-B-27</w:t>
            </w:r>
          </w:p>
        </w:tc>
        <w:tc>
          <w:tcPr>
            <w:tcW w:w="1101" w:type="dxa"/>
            <w:tcBorders>
              <w:top w:val="nil"/>
              <w:left w:val="nil"/>
              <w:bottom w:val="single" w:color="auto" w:sz="4" w:space="0"/>
              <w:right w:val="single" w:color="auto" w:sz="4" w:space="0"/>
            </w:tcBorders>
            <w:shd w:val="clear" w:color="auto" w:fill="auto"/>
            <w:vAlign w:val="center"/>
          </w:tcPr>
          <w:p w14:paraId="3C5257BB">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2108" w:type="dxa"/>
            <w:vMerge w:val="continue"/>
            <w:tcBorders>
              <w:top w:val="nil"/>
              <w:left w:val="single" w:color="auto" w:sz="4" w:space="0"/>
              <w:bottom w:val="single" w:color="000000" w:sz="4" w:space="0"/>
              <w:right w:val="single" w:color="auto" w:sz="4" w:space="0"/>
            </w:tcBorders>
            <w:vAlign w:val="center"/>
          </w:tcPr>
          <w:p w14:paraId="20464709">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p>
        </w:tc>
      </w:tr>
      <w:tr w14:paraId="1E3474AA">
        <w:tblPrEx>
          <w:tblCellMar>
            <w:top w:w="0" w:type="dxa"/>
            <w:left w:w="108" w:type="dxa"/>
            <w:bottom w:w="0" w:type="dxa"/>
            <w:right w:w="108" w:type="dxa"/>
          </w:tblCellMar>
        </w:tblPrEx>
        <w:trPr>
          <w:trHeight w:val="90" w:hRule="atLeast"/>
        </w:trPr>
        <w:tc>
          <w:tcPr>
            <w:tcW w:w="692" w:type="dxa"/>
            <w:tcBorders>
              <w:top w:val="nil"/>
              <w:left w:val="single" w:color="auto" w:sz="4" w:space="0"/>
              <w:bottom w:val="single" w:color="auto" w:sz="4" w:space="0"/>
              <w:right w:val="single" w:color="auto" w:sz="4" w:space="0"/>
            </w:tcBorders>
            <w:shd w:val="clear" w:color="auto" w:fill="auto"/>
            <w:vAlign w:val="bottom"/>
          </w:tcPr>
          <w:p w14:paraId="74F08BC4">
            <w:pPr>
              <w:keepNext w:val="0"/>
              <w:keepLines w:val="0"/>
              <w:widowControl/>
              <w:numPr>
                <w:ilvl w:val="0"/>
                <w:numId w:val="27"/>
              </w:numPr>
              <w:suppressLineNumbers w:val="0"/>
              <w:spacing w:before="0" w:beforeAutospacing="0" w:after="0" w:afterAutospacing="0" w:line="240" w:lineRule="auto"/>
              <w:ind w:left="425" w:leftChars="0" w:right="0" w:hanging="425" w:firstLineChars="0"/>
              <w:jc w:val="center"/>
              <w:rPr>
                <w:rFonts w:hint="eastAsia" w:ascii="宋体" w:hAnsi="宋体" w:eastAsia="宋体" w:cs="宋体"/>
                <w:color w:val="000000"/>
                <w:kern w:val="0"/>
                <w:sz w:val="24"/>
                <w:szCs w:val="24"/>
              </w:rPr>
            </w:pPr>
          </w:p>
        </w:tc>
        <w:tc>
          <w:tcPr>
            <w:tcW w:w="1661" w:type="dxa"/>
            <w:tcBorders>
              <w:top w:val="nil"/>
              <w:left w:val="nil"/>
              <w:bottom w:val="single" w:color="auto" w:sz="4" w:space="0"/>
              <w:right w:val="single" w:color="auto" w:sz="4" w:space="0"/>
            </w:tcBorders>
            <w:shd w:val="clear" w:color="auto" w:fill="auto"/>
            <w:vAlign w:val="center"/>
          </w:tcPr>
          <w:p w14:paraId="7A7CFAD3">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服务器</w:t>
            </w:r>
          </w:p>
        </w:tc>
        <w:tc>
          <w:tcPr>
            <w:tcW w:w="2253" w:type="dxa"/>
            <w:tcBorders>
              <w:top w:val="nil"/>
              <w:left w:val="nil"/>
              <w:bottom w:val="single" w:color="auto" w:sz="4" w:space="0"/>
              <w:right w:val="single" w:color="auto" w:sz="4" w:space="0"/>
            </w:tcBorders>
            <w:shd w:val="clear" w:color="auto" w:fill="auto"/>
            <w:vAlign w:val="center"/>
          </w:tcPr>
          <w:p w14:paraId="0384D551">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IBM X3650</w:t>
            </w:r>
          </w:p>
        </w:tc>
        <w:tc>
          <w:tcPr>
            <w:tcW w:w="762" w:type="dxa"/>
            <w:tcBorders>
              <w:top w:val="nil"/>
              <w:left w:val="nil"/>
              <w:bottom w:val="single" w:color="auto" w:sz="4" w:space="0"/>
              <w:right w:val="single" w:color="auto" w:sz="4" w:space="0"/>
            </w:tcBorders>
            <w:shd w:val="clear" w:color="auto" w:fill="auto"/>
            <w:vAlign w:val="center"/>
          </w:tcPr>
          <w:p w14:paraId="3E9040BA">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521" w:type="dxa"/>
            <w:tcBorders>
              <w:top w:val="nil"/>
              <w:left w:val="nil"/>
              <w:bottom w:val="single" w:color="auto" w:sz="4" w:space="0"/>
              <w:right w:val="single" w:color="auto" w:sz="4" w:space="0"/>
            </w:tcBorders>
            <w:shd w:val="clear" w:color="auto" w:fill="auto"/>
            <w:vAlign w:val="center"/>
          </w:tcPr>
          <w:p w14:paraId="1EE79A81">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CZ-B-28</w:t>
            </w:r>
          </w:p>
        </w:tc>
        <w:tc>
          <w:tcPr>
            <w:tcW w:w="1101" w:type="dxa"/>
            <w:tcBorders>
              <w:top w:val="nil"/>
              <w:left w:val="nil"/>
              <w:bottom w:val="single" w:color="auto" w:sz="4" w:space="0"/>
              <w:right w:val="single" w:color="auto" w:sz="4" w:space="0"/>
            </w:tcBorders>
            <w:shd w:val="clear" w:color="auto" w:fill="auto"/>
            <w:vAlign w:val="center"/>
          </w:tcPr>
          <w:p w14:paraId="21254702">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2108" w:type="dxa"/>
            <w:vMerge w:val="continue"/>
            <w:tcBorders>
              <w:top w:val="nil"/>
              <w:left w:val="single" w:color="auto" w:sz="4" w:space="0"/>
              <w:bottom w:val="single" w:color="000000" w:sz="4" w:space="0"/>
              <w:right w:val="single" w:color="auto" w:sz="4" w:space="0"/>
            </w:tcBorders>
            <w:vAlign w:val="center"/>
          </w:tcPr>
          <w:p w14:paraId="64DFF6CB">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p>
        </w:tc>
      </w:tr>
      <w:tr w14:paraId="3F90BD42">
        <w:tblPrEx>
          <w:tblCellMar>
            <w:top w:w="0" w:type="dxa"/>
            <w:left w:w="108" w:type="dxa"/>
            <w:bottom w:w="0" w:type="dxa"/>
            <w:right w:w="108" w:type="dxa"/>
          </w:tblCellMar>
        </w:tblPrEx>
        <w:trPr>
          <w:trHeight w:val="90" w:hRule="atLeast"/>
        </w:trPr>
        <w:tc>
          <w:tcPr>
            <w:tcW w:w="692" w:type="dxa"/>
            <w:tcBorders>
              <w:top w:val="nil"/>
              <w:left w:val="single" w:color="auto" w:sz="4" w:space="0"/>
              <w:bottom w:val="single" w:color="auto" w:sz="4" w:space="0"/>
              <w:right w:val="single" w:color="auto" w:sz="4" w:space="0"/>
            </w:tcBorders>
            <w:shd w:val="clear" w:color="auto" w:fill="auto"/>
            <w:vAlign w:val="bottom"/>
          </w:tcPr>
          <w:p w14:paraId="1A2C072E">
            <w:pPr>
              <w:keepNext w:val="0"/>
              <w:keepLines w:val="0"/>
              <w:widowControl/>
              <w:numPr>
                <w:ilvl w:val="0"/>
                <w:numId w:val="27"/>
              </w:numPr>
              <w:suppressLineNumbers w:val="0"/>
              <w:spacing w:before="0" w:beforeAutospacing="0" w:after="0" w:afterAutospacing="0" w:line="240" w:lineRule="auto"/>
              <w:ind w:left="425" w:leftChars="0" w:right="0" w:hanging="425" w:firstLineChars="0"/>
              <w:jc w:val="center"/>
              <w:rPr>
                <w:rFonts w:hint="eastAsia" w:ascii="宋体" w:hAnsi="宋体" w:eastAsia="宋体" w:cs="宋体"/>
                <w:color w:val="000000"/>
                <w:kern w:val="0"/>
                <w:sz w:val="24"/>
                <w:szCs w:val="24"/>
              </w:rPr>
            </w:pPr>
          </w:p>
        </w:tc>
        <w:tc>
          <w:tcPr>
            <w:tcW w:w="1661" w:type="dxa"/>
            <w:tcBorders>
              <w:top w:val="nil"/>
              <w:left w:val="nil"/>
              <w:bottom w:val="single" w:color="auto" w:sz="4" w:space="0"/>
              <w:right w:val="single" w:color="auto" w:sz="4" w:space="0"/>
            </w:tcBorders>
            <w:shd w:val="clear" w:color="auto" w:fill="auto"/>
            <w:vAlign w:val="center"/>
          </w:tcPr>
          <w:p w14:paraId="12437D22">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服务器</w:t>
            </w:r>
          </w:p>
        </w:tc>
        <w:tc>
          <w:tcPr>
            <w:tcW w:w="2253" w:type="dxa"/>
            <w:tcBorders>
              <w:top w:val="nil"/>
              <w:left w:val="nil"/>
              <w:bottom w:val="single" w:color="auto" w:sz="4" w:space="0"/>
              <w:right w:val="single" w:color="auto" w:sz="4" w:space="0"/>
            </w:tcBorders>
            <w:shd w:val="clear" w:color="auto" w:fill="auto"/>
            <w:vAlign w:val="center"/>
          </w:tcPr>
          <w:p w14:paraId="1AD654F3">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IBM X3850X5</w:t>
            </w:r>
          </w:p>
        </w:tc>
        <w:tc>
          <w:tcPr>
            <w:tcW w:w="762" w:type="dxa"/>
            <w:tcBorders>
              <w:top w:val="nil"/>
              <w:left w:val="nil"/>
              <w:bottom w:val="single" w:color="auto" w:sz="4" w:space="0"/>
              <w:right w:val="single" w:color="auto" w:sz="4" w:space="0"/>
            </w:tcBorders>
            <w:shd w:val="clear" w:color="auto" w:fill="auto"/>
            <w:vAlign w:val="center"/>
          </w:tcPr>
          <w:p w14:paraId="72CDA025">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521" w:type="dxa"/>
            <w:tcBorders>
              <w:top w:val="nil"/>
              <w:left w:val="nil"/>
              <w:bottom w:val="single" w:color="auto" w:sz="4" w:space="0"/>
              <w:right w:val="single" w:color="auto" w:sz="4" w:space="0"/>
            </w:tcBorders>
            <w:shd w:val="clear" w:color="auto" w:fill="auto"/>
            <w:vAlign w:val="center"/>
          </w:tcPr>
          <w:p w14:paraId="7FFD7967">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CZ-B-28</w:t>
            </w:r>
          </w:p>
        </w:tc>
        <w:tc>
          <w:tcPr>
            <w:tcW w:w="1101" w:type="dxa"/>
            <w:tcBorders>
              <w:top w:val="nil"/>
              <w:left w:val="nil"/>
              <w:bottom w:val="single" w:color="auto" w:sz="4" w:space="0"/>
              <w:right w:val="single" w:color="auto" w:sz="4" w:space="0"/>
            </w:tcBorders>
            <w:shd w:val="clear" w:color="auto" w:fill="auto"/>
            <w:vAlign w:val="center"/>
          </w:tcPr>
          <w:p w14:paraId="37E2A600">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2108" w:type="dxa"/>
            <w:vMerge w:val="continue"/>
            <w:tcBorders>
              <w:top w:val="nil"/>
              <w:left w:val="single" w:color="auto" w:sz="4" w:space="0"/>
              <w:bottom w:val="single" w:color="000000" w:sz="4" w:space="0"/>
              <w:right w:val="single" w:color="auto" w:sz="4" w:space="0"/>
            </w:tcBorders>
            <w:vAlign w:val="center"/>
          </w:tcPr>
          <w:p w14:paraId="091ED799">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p>
        </w:tc>
      </w:tr>
      <w:tr w14:paraId="1F39D2C3">
        <w:tblPrEx>
          <w:tblCellMar>
            <w:top w:w="0" w:type="dxa"/>
            <w:left w:w="108" w:type="dxa"/>
            <w:bottom w:w="0" w:type="dxa"/>
            <w:right w:w="108" w:type="dxa"/>
          </w:tblCellMar>
        </w:tblPrEx>
        <w:trPr>
          <w:trHeight w:val="90" w:hRule="atLeast"/>
        </w:trPr>
        <w:tc>
          <w:tcPr>
            <w:tcW w:w="692" w:type="dxa"/>
            <w:tcBorders>
              <w:top w:val="nil"/>
              <w:left w:val="single" w:color="auto" w:sz="4" w:space="0"/>
              <w:bottom w:val="single" w:color="auto" w:sz="4" w:space="0"/>
              <w:right w:val="single" w:color="auto" w:sz="4" w:space="0"/>
            </w:tcBorders>
            <w:shd w:val="clear" w:color="auto" w:fill="auto"/>
            <w:vAlign w:val="bottom"/>
          </w:tcPr>
          <w:p w14:paraId="3AB3EB85">
            <w:pPr>
              <w:keepNext w:val="0"/>
              <w:keepLines w:val="0"/>
              <w:widowControl/>
              <w:numPr>
                <w:ilvl w:val="0"/>
                <w:numId w:val="27"/>
              </w:numPr>
              <w:suppressLineNumbers w:val="0"/>
              <w:spacing w:before="0" w:beforeAutospacing="0" w:after="0" w:afterAutospacing="0" w:line="240" w:lineRule="auto"/>
              <w:ind w:left="425" w:leftChars="0" w:right="0" w:hanging="425" w:firstLineChars="0"/>
              <w:jc w:val="center"/>
              <w:rPr>
                <w:rFonts w:hint="eastAsia" w:ascii="宋体" w:hAnsi="宋体" w:eastAsia="宋体" w:cs="宋体"/>
                <w:color w:val="000000"/>
                <w:kern w:val="0"/>
                <w:sz w:val="24"/>
                <w:szCs w:val="24"/>
              </w:rPr>
            </w:pPr>
          </w:p>
        </w:tc>
        <w:tc>
          <w:tcPr>
            <w:tcW w:w="1661" w:type="dxa"/>
            <w:tcBorders>
              <w:top w:val="nil"/>
              <w:left w:val="nil"/>
              <w:bottom w:val="single" w:color="auto" w:sz="4" w:space="0"/>
              <w:right w:val="single" w:color="auto" w:sz="4" w:space="0"/>
            </w:tcBorders>
            <w:shd w:val="clear" w:color="auto" w:fill="auto"/>
            <w:vAlign w:val="center"/>
          </w:tcPr>
          <w:p w14:paraId="7129DD1D">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服务器</w:t>
            </w:r>
          </w:p>
        </w:tc>
        <w:tc>
          <w:tcPr>
            <w:tcW w:w="2253" w:type="dxa"/>
            <w:tcBorders>
              <w:top w:val="nil"/>
              <w:left w:val="nil"/>
              <w:bottom w:val="single" w:color="auto" w:sz="4" w:space="0"/>
              <w:right w:val="single" w:color="auto" w:sz="4" w:space="0"/>
            </w:tcBorders>
            <w:shd w:val="clear" w:color="auto" w:fill="auto"/>
            <w:vAlign w:val="center"/>
          </w:tcPr>
          <w:p w14:paraId="09C5663E">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IBM X3850X5</w:t>
            </w:r>
          </w:p>
        </w:tc>
        <w:tc>
          <w:tcPr>
            <w:tcW w:w="762" w:type="dxa"/>
            <w:tcBorders>
              <w:top w:val="nil"/>
              <w:left w:val="nil"/>
              <w:bottom w:val="single" w:color="auto" w:sz="4" w:space="0"/>
              <w:right w:val="single" w:color="auto" w:sz="4" w:space="0"/>
            </w:tcBorders>
            <w:shd w:val="clear" w:color="auto" w:fill="auto"/>
            <w:vAlign w:val="center"/>
          </w:tcPr>
          <w:p w14:paraId="22CAB35B">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521" w:type="dxa"/>
            <w:tcBorders>
              <w:top w:val="nil"/>
              <w:left w:val="nil"/>
              <w:bottom w:val="single" w:color="auto" w:sz="4" w:space="0"/>
              <w:right w:val="single" w:color="auto" w:sz="4" w:space="0"/>
            </w:tcBorders>
            <w:shd w:val="clear" w:color="auto" w:fill="auto"/>
            <w:vAlign w:val="center"/>
          </w:tcPr>
          <w:p w14:paraId="2FF9E64E">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CZ-B-28</w:t>
            </w:r>
          </w:p>
        </w:tc>
        <w:tc>
          <w:tcPr>
            <w:tcW w:w="1101" w:type="dxa"/>
            <w:tcBorders>
              <w:top w:val="nil"/>
              <w:left w:val="nil"/>
              <w:bottom w:val="single" w:color="auto" w:sz="4" w:space="0"/>
              <w:right w:val="single" w:color="auto" w:sz="4" w:space="0"/>
            </w:tcBorders>
            <w:shd w:val="clear" w:color="auto" w:fill="auto"/>
            <w:vAlign w:val="center"/>
          </w:tcPr>
          <w:p w14:paraId="2BEFE0FF">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2108" w:type="dxa"/>
            <w:vMerge w:val="continue"/>
            <w:tcBorders>
              <w:top w:val="nil"/>
              <w:left w:val="single" w:color="auto" w:sz="4" w:space="0"/>
              <w:bottom w:val="single" w:color="000000" w:sz="4" w:space="0"/>
              <w:right w:val="single" w:color="auto" w:sz="4" w:space="0"/>
            </w:tcBorders>
            <w:vAlign w:val="center"/>
          </w:tcPr>
          <w:p w14:paraId="5932DC44">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p>
        </w:tc>
      </w:tr>
      <w:tr w14:paraId="6735E634">
        <w:tblPrEx>
          <w:tblCellMar>
            <w:top w:w="0" w:type="dxa"/>
            <w:left w:w="108" w:type="dxa"/>
            <w:bottom w:w="0" w:type="dxa"/>
            <w:right w:w="108" w:type="dxa"/>
          </w:tblCellMar>
        </w:tblPrEx>
        <w:trPr>
          <w:trHeight w:val="90" w:hRule="atLeast"/>
        </w:trPr>
        <w:tc>
          <w:tcPr>
            <w:tcW w:w="692" w:type="dxa"/>
            <w:tcBorders>
              <w:top w:val="nil"/>
              <w:left w:val="single" w:color="auto" w:sz="4" w:space="0"/>
              <w:bottom w:val="single" w:color="auto" w:sz="4" w:space="0"/>
              <w:right w:val="single" w:color="auto" w:sz="4" w:space="0"/>
            </w:tcBorders>
            <w:shd w:val="clear" w:color="auto" w:fill="auto"/>
            <w:vAlign w:val="bottom"/>
          </w:tcPr>
          <w:p w14:paraId="41D20094">
            <w:pPr>
              <w:keepNext w:val="0"/>
              <w:keepLines w:val="0"/>
              <w:widowControl/>
              <w:numPr>
                <w:ilvl w:val="0"/>
                <w:numId w:val="27"/>
              </w:numPr>
              <w:suppressLineNumbers w:val="0"/>
              <w:spacing w:before="0" w:beforeAutospacing="0" w:after="0" w:afterAutospacing="0" w:line="240" w:lineRule="auto"/>
              <w:ind w:left="425" w:leftChars="0" w:right="0" w:hanging="425" w:firstLineChars="0"/>
              <w:jc w:val="center"/>
              <w:rPr>
                <w:rFonts w:hint="eastAsia" w:ascii="宋体" w:hAnsi="宋体" w:eastAsia="宋体" w:cs="宋体"/>
                <w:color w:val="000000"/>
                <w:kern w:val="0"/>
                <w:sz w:val="24"/>
                <w:szCs w:val="24"/>
              </w:rPr>
            </w:pPr>
          </w:p>
        </w:tc>
        <w:tc>
          <w:tcPr>
            <w:tcW w:w="1661" w:type="dxa"/>
            <w:tcBorders>
              <w:top w:val="nil"/>
              <w:left w:val="nil"/>
              <w:bottom w:val="single" w:color="auto" w:sz="4" w:space="0"/>
              <w:right w:val="single" w:color="auto" w:sz="4" w:space="0"/>
            </w:tcBorders>
            <w:shd w:val="clear" w:color="auto" w:fill="auto"/>
            <w:vAlign w:val="center"/>
          </w:tcPr>
          <w:p w14:paraId="4A4452FA">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存储</w:t>
            </w:r>
          </w:p>
        </w:tc>
        <w:tc>
          <w:tcPr>
            <w:tcW w:w="2253" w:type="dxa"/>
            <w:tcBorders>
              <w:top w:val="nil"/>
              <w:left w:val="nil"/>
              <w:bottom w:val="single" w:color="auto" w:sz="4" w:space="0"/>
              <w:right w:val="single" w:color="auto" w:sz="4" w:space="0"/>
            </w:tcBorders>
            <w:shd w:val="clear" w:color="auto" w:fill="auto"/>
            <w:vAlign w:val="center"/>
          </w:tcPr>
          <w:p w14:paraId="54FB513F">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3par StoreServ7200</w:t>
            </w:r>
          </w:p>
        </w:tc>
        <w:tc>
          <w:tcPr>
            <w:tcW w:w="762" w:type="dxa"/>
            <w:tcBorders>
              <w:top w:val="nil"/>
              <w:left w:val="nil"/>
              <w:bottom w:val="single" w:color="auto" w:sz="4" w:space="0"/>
              <w:right w:val="single" w:color="auto" w:sz="4" w:space="0"/>
            </w:tcBorders>
            <w:shd w:val="clear" w:color="auto" w:fill="auto"/>
            <w:vAlign w:val="center"/>
          </w:tcPr>
          <w:p w14:paraId="09F0942D">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521" w:type="dxa"/>
            <w:tcBorders>
              <w:top w:val="nil"/>
              <w:left w:val="nil"/>
              <w:bottom w:val="single" w:color="auto" w:sz="4" w:space="0"/>
              <w:right w:val="single" w:color="auto" w:sz="4" w:space="0"/>
            </w:tcBorders>
            <w:shd w:val="clear" w:color="auto" w:fill="auto"/>
            <w:vAlign w:val="center"/>
          </w:tcPr>
          <w:p w14:paraId="5FB70BED">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CZ-B-08</w:t>
            </w:r>
          </w:p>
        </w:tc>
        <w:tc>
          <w:tcPr>
            <w:tcW w:w="1101" w:type="dxa"/>
            <w:tcBorders>
              <w:top w:val="nil"/>
              <w:left w:val="nil"/>
              <w:bottom w:val="single" w:color="auto" w:sz="4" w:space="0"/>
              <w:right w:val="single" w:color="auto" w:sz="4" w:space="0"/>
            </w:tcBorders>
            <w:shd w:val="clear" w:color="auto" w:fill="auto"/>
            <w:vAlign w:val="center"/>
          </w:tcPr>
          <w:p w14:paraId="7A9A80E6">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2108" w:type="dxa"/>
            <w:vMerge w:val="restart"/>
            <w:tcBorders>
              <w:top w:val="nil"/>
              <w:left w:val="single" w:color="auto" w:sz="4" w:space="0"/>
              <w:bottom w:val="single" w:color="auto" w:sz="4" w:space="0"/>
              <w:right w:val="single" w:color="auto" w:sz="4" w:space="0"/>
            </w:tcBorders>
            <w:shd w:val="clear" w:color="auto" w:fill="auto"/>
            <w:vAlign w:val="center"/>
          </w:tcPr>
          <w:p w14:paraId="3D3A1D0A">
            <w:pPr>
              <w:keepNext w:val="0"/>
              <w:keepLines w:val="0"/>
              <w:widowControl/>
              <w:suppressLineNumbers w:val="0"/>
              <w:spacing w:before="0" w:beforeAutospacing="0" w:after="0" w:afterAutospacing="0" w:line="240" w:lineRule="auto"/>
              <w:ind w:left="0" w:right="0" w:firstLine="0" w:firstLineChars="0"/>
              <w:jc w:val="both"/>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硬件保修包含整机上面所有配件（如控制器、硬盘、磁盘笼、电源、连接线缆等）, 本地工程师现场支持要求时间为7*24小时*2小时到达，所需配件24小时内送达。</w:t>
            </w:r>
          </w:p>
        </w:tc>
      </w:tr>
      <w:tr w14:paraId="1B12860C">
        <w:tblPrEx>
          <w:tblCellMar>
            <w:top w:w="0" w:type="dxa"/>
            <w:left w:w="108" w:type="dxa"/>
            <w:bottom w:w="0" w:type="dxa"/>
            <w:right w:w="108" w:type="dxa"/>
          </w:tblCellMar>
        </w:tblPrEx>
        <w:trPr>
          <w:trHeight w:val="90" w:hRule="atLeast"/>
        </w:trPr>
        <w:tc>
          <w:tcPr>
            <w:tcW w:w="692" w:type="dxa"/>
            <w:tcBorders>
              <w:top w:val="nil"/>
              <w:left w:val="single" w:color="auto" w:sz="4" w:space="0"/>
              <w:bottom w:val="single" w:color="auto" w:sz="4" w:space="0"/>
              <w:right w:val="single" w:color="auto" w:sz="4" w:space="0"/>
            </w:tcBorders>
            <w:shd w:val="clear" w:color="auto" w:fill="auto"/>
            <w:vAlign w:val="bottom"/>
          </w:tcPr>
          <w:p w14:paraId="7EC7C355">
            <w:pPr>
              <w:keepNext w:val="0"/>
              <w:keepLines w:val="0"/>
              <w:widowControl/>
              <w:numPr>
                <w:ilvl w:val="0"/>
                <w:numId w:val="27"/>
              </w:numPr>
              <w:suppressLineNumbers w:val="0"/>
              <w:spacing w:before="0" w:beforeAutospacing="0" w:after="0" w:afterAutospacing="0" w:line="240" w:lineRule="auto"/>
              <w:ind w:left="425" w:leftChars="0" w:right="0" w:hanging="425" w:firstLineChars="0"/>
              <w:jc w:val="center"/>
              <w:rPr>
                <w:rFonts w:hint="eastAsia" w:ascii="宋体" w:hAnsi="宋体" w:eastAsia="宋体" w:cs="宋体"/>
                <w:color w:val="000000"/>
                <w:kern w:val="0"/>
                <w:sz w:val="24"/>
                <w:szCs w:val="24"/>
              </w:rPr>
            </w:pPr>
          </w:p>
        </w:tc>
        <w:tc>
          <w:tcPr>
            <w:tcW w:w="1661" w:type="dxa"/>
            <w:tcBorders>
              <w:top w:val="nil"/>
              <w:left w:val="nil"/>
              <w:bottom w:val="single" w:color="auto" w:sz="4" w:space="0"/>
              <w:right w:val="single" w:color="auto" w:sz="4" w:space="0"/>
            </w:tcBorders>
            <w:shd w:val="clear" w:color="auto" w:fill="auto"/>
            <w:vAlign w:val="center"/>
          </w:tcPr>
          <w:p w14:paraId="49CE2F56">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存储</w:t>
            </w:r>
          </w:p>
        </w:tc>
        <w:tc>
          <w:tcPr>
            <w:tcW w:w="2253" w:type="dxa"/>
            <w:tcBorders>
              <w:top w:val="nil"/>
              <w:left w:val="nil"/>
              <w:bottom w:val="single" w:color="auto" w:sz="4" w:space="0"/>
              <w:right w:val="single" w:color="auto" w:sz="4" w:space="0"/>
            </w:tcBorders>
            <w:shd w:val="clear" w:color="auto" w:fill="auto"/>
            <w:vAlign w:val="center"/>
          </w:tcPr>
          <w:p w14:paraId="54EC2803">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华为 5800v3</w:t>
            </w:r>
          </w:p>
        </w:tc>
        <w:tc>
          <w:tcPr>
            <w:tcW w:w="762" w:type="dxa"/>
            <w:tcBorders>
              <w:top w:val="nil"/>
              <w:left w:val="nil"/>
              <w:bottom w:val="single" w:color="auto" w:sz="4" w:space="0"/>
              <w:right w:val="single" w:color="auto" w:sz="4" w:space="0"/>
            </w:tcBorders>
            <w:shd w:val="clear" w:color="auto" w:fill="auto"/>
            <w:vAlign w:val="center"/>
          </w:tcPr>
          <w:p w14:paraId="6CF07426">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521" w:type="dxa"/>
            <w:tcBorders>
              <w:top w:val="nil"/>
              <w:left w:val="nil"/>
              <w:bottom w:val="single" w:color="auto" w:sz="4" w:space="0"/>
              <w:right w:val="single" w:color="auto" w:sz="4" w:space="0"/>
            </w:tcBorders>
            <w:shd w:val="clear" w:color="auto" w:fill="auto"/>
            <w:vAlign w:val="center"/>
          </w:tcPr>
          <w:p w14:paraId="3B80CE28">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CZ-B-08</w:t>
            </w:r>
          </w:p>
        </w:tc>
        <w:tc>
          <w:tcPr>
            <w:tcW w:w="1101" w:type="dxa"/>
            <w:tcBorders>
              <w:top w:val="nil"/>
              <w:left w:val="nil"/>
              <w:bottom w:val="single" w:color="auto" w:sz="4" w:space="0"/>
              <w:right w:val="single" w:color="auto" w:sz="4" w:space="0"/>
            </w:tcBorders>
            <w:shd w:val="clear" w:color="auto" w:fill="auto"/>
            <w:vAlign w:val="center"/>
          </w:tcPr>
          <w:p w14:paraId="60BED16E">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2108" w:type="dxa"/>
            <w:vMerge w:val="continue"/>
            <w:tcBorders>
              <w:top w:val="nil"/>
              <w:left w:val="single" w:color="auto" w:sz="4" w:space="0"/>
              <w:bottom w:val="single" w:color="auto" w:sz="4" w:space="0"/>
              <w:right w:val="single" w:color="auto" w:sz="4" w:space="0"/>
            </w:tcBorders>
            <w:vAlign w:val="center"/>
          </w:tcPr>
          <w:p w14:paraId="73EF803A">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p>
        </w:tc>
      </w:tr>
      <w:tr w14:paraId="3C842367">
        <w:tblPrEx>
          <w:tblCellMar>
            <w:top w:w="0" w:type="dxa"/>
            <w:left w:w="108" w:type="dxa"/>
            <w:bottom w:w="0" w:type="dxa"/>
            <w:right w:w="108" w:type="dxa"/>
          </w:tblCellMar>
        </w:tblPrEx>
        <w:trPr>
          <w:trHeight w:val="90" w:hRule="atLeast"/>
        </w:trPr>
        <w:tc>
          <w:tcPr>
            <w:tcW w:w="692" w:type="dxa"/>
            <w:tcBorders>
              <w:top w:val="nil"/>
              <w:left w:val="single" w:color="auto" w:sz="4" w:space="0"/>
              <w:bottom w:val="single" w:color="auto" w:sz="4" w:space="0"/>
              <w:right w:val="single" w:color="auto" w:sz="4" w:space="0"/>
            </w:tcBorders>
            <w:shd w:val="clear" w:color="auto" w:fill="auto"/>
            <w:vAlign w:val="bottom"/>
          </w:tcPr>
          <w:p w14:paraId="353C41E6">
            <w:pPr>
              <w:keepNext w:val="0"/>
              <w:keepLines w:val="0"/>
              <w:widowControl/>
              <w:numPr>
                <w:ilvl w:val="0"/>
                <w:numId w:val="27"/>
              </w:numPr>
              <w:suppressLineNumbers w:val="0"/>
              <w:spacing w:before="0" w:beforeAutospacing="0" w:after="0" w:afterAutospacing="0" w:line="240" w:lineRule="auto"/>
              <w:ind w:left="425" w:leftChars="0" w:right="0" w:hanging="425" w:firstLineChars="0"/>
              <w:jc w:val="center"/>
              <w:rPr>
                <w:rFonts w:hint="eastAsia" w:ascii="宋体" w:hAnsi="宋体" w:eastAsia="宋体" w:cs="宋体"/>
                <w:color w:val="000000"/>
                <w:kern w:val="0"/>
                <w:sz w:val="24"/>
                <w:szCs w:val="24"/>
              </w:rPr>
            </w:pPr>
          </w:p>
        </w:tc>
        <w:tc>
          <w:tcPr>
            <w:tcW w:w="1661" w:type="dxa"/>
            <w:tcBorders>
              <w:top w:val="nil"/>
              <w:left w:val="nil"/>
              <w:bottom w:val="single" w:color="auto" w:sz="4" w:space="0"/>
              <w:right w:val="single" w:color="auto" w:sz="4" w:space="0"/>
            </w:tcBorders>
            <w:shd w:val="clear" w:color="auto" w:fill="auto"/>
            <w:vAlign w:val="center"/>
          </w:tcPr>
          <w:p w14:paraId="0A70B21E">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存储</w:t>
            </w:r>
          </w:p>
        </w:tc>
        <w:tc>
          <w:tcPr>
            <w:tcW w:w="2253" w:type="dxa"/>
            <w:tcBorders>
              <w:top w:val="nil"/>
              <w:left w:val="nil"/>
              <w:bottom w:val="single" w:color="auto" w:sz="4" w:space="0"/>
              <w:right w:val="single" w:color="auto" w:sz="4" w:space="0"/>
            </w:tcBorders>
            <w:shd w:val="clear" w:color="auto" w:fill="auto"/>
            <w:vAlign w:val="center"/>
          </w:tcPr>
          <w:p w14:paraId="21DE872A">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5800v3 扩展盘柜</w:t>
            </w:r>
          </w:p>
        </w:tc>
        <w:tc>
          <w:tcPr>
            <w:tcW w:w="762" w:type="dxa"/>
            <w:tcBorders>
              <w:top w:val="nil"/>
              <w:left w:val="nil"/>
              <w:bottom w:val="single" w:color="auto" w:sz="4" w:space="0"/>
              <w:right w:val="single" w:color="auto" w:sz="4" w:space="0"/>
            </w:tcBorders>
            <w:shd w:val="clear" w:color="auto" w:fill="auto"/>
            <w:vAlign w:val="center"/>
          </w:tcPr>
          <w:p w14:paraId="63023CC7">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521" w:type="dxa"/>
            <w:tcBorders>
              <w:top w:val="nil"/>
              <w:left w:val="nil"/>
              <w:bottom w:val="single" w:color="auto" w:sz="4" w:space="0"/>
              <w:right w:val="single" w:color="auto" w:sz="4" w:space="0"/>
            </w:tcBorders>
            <w:shd w:val="clear" w:color="auto" w:fill="auto"/>
            <w:vAlign w:val="center"/>
          </w:tcPr>
          <w:p w14:paraId="18E06C90">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CZ-B-08</w:t>
            </w:r>
          </w:p>
        </w:tc>
        <w:tc>
          <w:tcPr>
            <w:tcW w:w="1101" w:type="dxa"/>
            <w:tcBorders>
              <w:top w:val="nil"/>
              <w:left w:val="nil"/>
              <w:bottom w:val="single" w:color="auto" w:sz="4" w:space="0"/>
              <w:right w:val="single" w:color="auto" w:sz="4" w:space="0"/>
            </w:tcBorders>
            <w:shd w:val="clear" w:color="auto" w:fill="auto"/>
            <w:vAlign w:val="center"/>
          </w:tcPr>
          <w:p w14:paraId="7D7014D4">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2108" w:type="dxa"/>
            <w:vMerge w:val="continue"/>
            <w:tcBorders>
              <w:top w:val="nil"/>
              <w:left w:val="single" w:color="auto" w:sz="4" w:space="0"/>
              <w:bottom w:val="single" w:color="auto" w:sz="4" w:space="0"/>
              <w:right w:val="single" w:color="auto" w:sz="4" w:space="0"/>
            </w:tcBorders>
            <w:vAlign w:val="center"/>
          </w:tcPr>
          <w:p w14:paraId="2F989533">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p>
        </w:tc>
      </w:tr>
      <w:tr w14:paraId="15B3A9A6">
        <w:tblPrEx>
          <w:tblCellMar>
            <w:top w:w="0" w:type="dxa"/>
            <w:left w:w="108" w:type="dxa"/>
            <w:bottom w:w="0" w:type="dxa"/>
            <w:right w:w="108" w:type="dxa"/>
          </w:tblCellMar>
        </w:tblPrEx>
        <w:trPr>
          <w:trHeight w:val="90" w:hRule="atLeast"/>
        </w:trPr>
        <w:tc>
          <w:tcPr>
            <w:tcW w:w="692" w:type="dxa"/>
            <w:tcBorders>
              <w:top w:val="nil"/>
              <w:left w:val="single" w:color="auto" w:sz="4" w:space="0"/>
              <w:bottom w:val="single" w:color="auto" w:sz="4" w:space="0"/>
              <w:right w:val="single" w:color="auto" w:sz="4" w:space="0"/>
            </w:tcBorders>
            <w:shd w:val="clear" w:color="auto" w:fill="auto"/>
            <w:vAlign w:val="bottom"/>
          </w:tcPr>
          <w:p w14:paraId="7556649E">
            <w:pPr>
              <w:keepNext w:val="0"/>
              <w:keepLines w:val="0"/>
              <w:widowControl/>
              <w:numPr>
                <w:ilvl w:val="0"/>
                <w:numId w:val="27"/>
              </w:numPr>
              <w:suppressLineNumbers w:val="0"/>
              <w:spacing w:before="0" w:beforeAutospacing="0" w:after="0" w:afterAutospacing="0" w:line="240" w:lineRule="auto"/>
              <w:ind w:left="425" w:leftChars="0" w:right="0" w:hanging="425" w:firstLineChars="0"/>
              <w:jc w:val="center"/>
              <w:rPr>
                <w:rFonts w:hint="eastAsia" w:ascii="宋体" w:hAnsi="宋体" w:eastAsia="宋体" w:cs="宋体"/>
                <w:color w:val="000000"/>
                <w:kern w:val="0"/>
                <w:sz w:val="24"/>
                <w:szCs w:val="24"/>
              </w:rPr>
            </w:pPr>
          </w:p>
        </w:tc>
        <w:tc>
          <w:tcPr>
            <w:tcW w:w="1661" w:type="dxa"/>
            <w:tcBorders>
              <w:top w:val="nil"/>
              <w:left w:val="nil"/>
              <w:bottom w:val="single" w:color="auto" w:sz="4" w:space="0"/>
              <w:right w:val="single" w:color="auto" w:sz="4" w:space="0"/>
            </w:tcBorders>
            <w:shd w:val="clear" w:color="auto" w:fill="auto"/>
            <w:vAlign w:val="center"/>
          </w:tcPr>
          <w:p w14:paraId="0ADEA8C9">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存储</w:t>
            </w:r>
          </w:p>
        </w:tc>
        <w:tc>
          <w:tcPr>
            <w:tcW w:w="2253" w:type="dxa"/>
            <w:tcBorders>
              <w:top w:val="nil"/>
              <w:left w:val="nil"/>
              <w:bottom w:val="single" w:color="auto" w:sz="4" w:space="0"/>
              <w:right w:val="single" w:color="auto" w:sz="4" w:space="0"/>
            </w:tcBorders>
            <w:shd w:val="clear" w:color="auto" w:fill="auto"/>
            <w:vAlign w:val="center"/>
          </w:tcPr>
          <w:p w14:paraId="0C8C21F7">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HUAWEI OCEANSTOR 5500V5</w:t>
            </w:r>
          </w:p>
        </w:tc>
        <w:tc>
          <w:tcPr>
            <w:tcW w:w="762" w:type="dxa"/>
            <w:tcBorders>
              <w:top w:val="nil"/>
              <w:left w:val="nil"/>
              <w:bottom w:val="single" w:color="auto" w:sz="4" w:space="0"/>
              <w:right w:val="single" w:color="auto" w:sz="4" w:space="0"/>
            </w:tcBorders>
            <w:shd w:val="clear" w:color="auto" w:fill="auto"/>
            <w:vAlign w:val="center"/>
          </w:tcPr>
          <w:p w14:paraId="4BF1DC7B">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521" w:type="dxa"/>
            <w:tcBorders>
              <w:top w:val="nil"/>
              <w:left w:val="nil"/>
              <w:bottom w:val="single" w:color="auto" w:sz="4" w:space="0"/>
              <w:right w:val="single" w:color="auto" w:sz="4" w:space="0"/>
            </w:tcBorders>
            <w:shd w:val="clear" w:color="auto" w:fill="auto"/>
            <w:vAlign w:val="center"/>
          </w:tcPr>
          <w:p w14:paraId="0962201B">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CZ-A-28</w:t>
            </w:r>
          </w:p>
        </w:tc>
        <w:tc>
          <w:tcPr>
            <w:tcW w:w="1101" w:type="dxa"/>
            <w:tcBorders>
              <w:top w:val="nil"/>
              <w:left w:val="nil"/>
              <w:bottom w:val="single" w:color="auto" w:sz="4" w:space="0"/>
              <w:right w:val="single" w:color="auto" w:sz="4" w:space="0"/>
            </w:tcBorders>
            <w:shd w:val="clear" w:color="auto" w:fill="auto"/>
            <w:vAlign w:val="center"/>
          </w:tcPr>
          <w:p w14:paraId="516B99F3">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2108" w:type="dxa"/>
            <w:vMerge w:val="continue"/>
            <w:tcBorders>
              <w:top w:val="nil"/>
              <w:left w:val="single" w:color="auto" w:sz="4" w:space="0"/>
              <w:bottom w:val="single" w:color="auto" w:sz="4" w:space="0"/>
              <w:right w:val="single" w:color="auto" w:sz="4" w:space="0"/>
            </w:tcBorders>
            <w:vAlign w:val="center"/>
          </w:tcPr>
          <w:p w14:paraId="24FCDA21">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p>
        </w:tc>
      </w:tr>
      <w:tr w14:paraId="4B0CEA0A">
        <w:tblPrEx>
          <w:tblCellMar>
            <w:top w:w="0" w:type="dxa"/>
            <w:left w:w="108" w:type="dxa"/>
            <w:bottom w:w="0" w:type="dxa"/>
            <w:right w:w="108" w:type="dxa"/>
          </w:tblCellMar>
        </w:tblPrEx>
        <w:trPr>
          <w:trHeight w:val="90" w:hRule="atLeast"/>
        </w:trPr>
        <w:tc>
          <w:tcPr>
            <w:tcW w:w="692" w:type="dxa"/>
            <w:tcBorders>
              <w:top w:val="nil"/>
              <w:left w:val="single" w:color="auto" w:sz="4" w:space="0"/>
              <w:bottom w:val="single" w:color="auto" w:sz="4" w:space="0"/>
              <w:right w:val="single" w:color="auto" w:sz="4" w:space="0"/>
            </w:tcBorders>
            <w:shd w:val="clear" w:color="auto" w:fill="auto"/>
            <w:vAlign w:val="bottom"/>
          </w:tcPr>
          <w:p w14:paraId="17152EFD">
            <w:pPr>
              <w:keepNext w:val="0"/>
              <w:keepLines w:val="0"/>
              <w:widowControl/>
              <w:numPr>
                <w:ilvl w:val="0"/>
                <w:numId w:val="27"/>
              </w:numPr>
              <w:suppressLineNumbers w:val="0"/>
              <w:spacing w:before="0" w:beforeAutospacing="0" w:after="0" w:afterAutospacing="0" w:line="240" w:lineRule="auto"/>
              <w:ind w:left="425" w:leftChars="0" w:right="0" w:hanging="425" w:firstLineChars="0"/>
              <w:jc w:val="center"/>
              <w:rPr>
                <w:rFonts w:hint="eastAsia" w:ascii="宋体" w:hAnsi="宋体" w:eastAsia="宋体" w:cs="宋体"/>
                <w:color w:val="000000"/>
                <w:kern w:val="0"/>
                <w:sz w:val="24"/>
                <w:szCs w:val="24"/>
              </w:rPr>
            </w:pPr>
          </w:p>
        </w:tc>
        <w:tc>
          <w:tcPr>
            <w:tcW w:w="1661" w:type="dxa"/>
            <w:tcBorders>
              <w:top w:val="nil"/>
              <w:left w:val="nil"/>
              <w:bottom w:val="single" w:color="auto" w:sz="4" w:space="0"/>
              <w:right w:val="single" w:color="auto" w:sz="4" w:space="0"/>
            </w:tcBorders>
            <w:shd w:val="clear" w:color="auto" w:fill="auto"/>
            <w:vAlign w:val="center"/>
          </w:tcPr>
          <w:p w14:paraId="05405FEE">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存储</w:t>
            </w:r>
          </w:p>
        </w:tc>
        <w:tc>
          <w:tcPr>
            <w:tcW w:w="2253" w:type="dxa"/>
            <w:tcBorders>
              <w:top w:val="nil"/>
              <w:left w:val="nil"/>
              <w:bottom w:val="single" w:color="auto" w:sz="4" w:space="0"/>
              <w:right w:val="single" w:color="auto" w:sz="4" w:space="0"/>
            </w:tcBorders>
            <w:shd w:val="clear" w:color="auto" w:fill="auto"/>
            <w:vAlign w:val="center"/>
          </w:tcPr>
          <w:p w14:paraId="4F51985A">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HUAWEI OCEANSTOR 5500V5 扩展柜</w:t>
            </w:r>
          </w:p>
        </w:tc>
        <w:tc>
          <w:tcPr>
            <w:tcW w:w="762" w:type="dxa"/>
            <w:tcBorders>
              <w:top w:val="nil"/>
              <w:left w:val="nil"/>
              <w:bottom w:val="single" w:color="auto" w:sz="4" w:space="0"/>
              <w:right w:val="single" w:color="auto" w:sz="4" w:space="0"/>
            </w:tcBorders>
            <w:shd w:val="clear" w:color="auto" w:fill="auto"/>
            <w:vAlign w:val="center"/>
          </w:tcPr>
          <w:p w14:paraId="10D791F5">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521" w:type="dxa"/>
            <w:tcBorders>
              <w:top w:val="nil"/>
              <w:left w:val="nil"/>
              <w:bottom w:val="single" w:color="auto" w:sz="4" w:space="0"/>
              <w:right w:val="single" w:color="auto" w:sz="4" w:space="0"/>
            </w:tcBorders>
            <w:shd w:val="clear" w:color="auto" w:fill="auto"/>
            <w:vAlign w:val="center"/>
          </w:tcPr>
          <w:p w14:paraId="4BE62F62">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CZ-A-28</w:t>
            </w:r>
          </w:p>
        </w:tc>
        <w:tc>
          <w:tcPr>
            <w:tcW w:w="1101" w:type="dxa"/>
            <w:tcBorders>
              <w:top w:val="nil"/>
              <w:left w:val="nil"/>
              <w:bottom w:val="single" w:color="auto" w:sz="4" w:space="0"/>
              <w:right w:val="single" w:color="auto" w:sz="4" w:space="0"/>
            </w:tcBorders>
            <w:shd w:val="clear" w:color="auto" w:fill="auto"/>
            <w:vAlign w:val="center"/>
          </w:tcPr>
          <w:p w14:paraId="007ED0F8">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2108" w:type="dxa"/>
            <w:vMerge w:val="continue"/>
            <w:tcBorders>
              <w:top w:val="nil"/>
              <w:left w:val="single" w:color="auto" w:sz="4" w:space="0"/>
              <w:bottom w:val="single" w:color="auto" w:sz="4" w:space="0"/>
              <w:right w:val="single" w:color="auto" w:sz="4" w:space="0"/>
            </w:tcBorders>
            <w:vAlign w:val="center"/>
          </w:tcPr>
          <w:p w14:paraId="6E3D7D26">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p>
        </w:tc>
      </w:tr>
      <w:tr w14:paraId="216343CC">
        <w:tblPrEx>
          <w:tblCellMar>
            <w:top w:w="0" w:type="dxa"/>
            <w:left w:w="108" w:type="dxa"/>
            <w:bottom w:w="0" w:type="dxa"/>
            <w:right w:w="108" w:type="dxa"/>
          </w:tblCellMar>
        </w:tblPrEx>
        <w:trPr>
          <w:trHeight w:val="90" w:hRule="atLeast"/>
        </w:trPr>
        <w:tc>
          <w:tcPr>
            <w:tcW w:w="692" w:type="dxa"/>
            <w:tcBorders>
              <w:top w:val="nil"/>
              <w:left w:val="single" w:color="auto" w:sz="4" w:space="0"/>
              <w:bottom w:val="single" w:color="auto" w:sz="4" w:space="0"/>
              <w:right w:val="single" w:color="auto" w:sz="4" w:space="0"/>
            </w:tcBorders>
            <w:shd w:val="clear" w:color="auto" w:fill="auto"/>
            <w:vAlign w:val="bottom"/>
          </w:tcPr>
          <w:p w14:paraId="7A75BB97">
            <w:pPr>
              <w:keepNext w:val="0"/>
              <w:keepLines w:val="0"/>
              <w:widowControl/>
              <w:numPr>
                <w:ilvl w:val="0"/>
                <w:numId w:val="27"/>
              </w:numPr>
              <w:suppressLineNumbers w:val="0"/>
              <w:spacing w:before="0" w:beforeAutospacing="0" w:after="0" w:afterAutospacing="0" w:line="240" w:lineRule="auto"/>
              <w:ind w:left="425" w:leftChars="0" w:right="0" w:hanging="425" w:firstLineChars="0"/>
              <w:jc w:val="center"/>
              <w:rPr>
                <w:rFonts w:hint="eastAsia" w:ascii="宋体" w:hAnsi="宋体" w:eastAsia="宋体" w:cs="宋体"/>
                <w:color w:val="000000"/>
                <w:kern w:val="0"/>
                <w:sz w:val="24"/>
                <w:szCs w:val="24"/>
              </w:rPr>
            </w:pPr>
          </w:p>
        </w:tc>
        <w:tc>
          <w:tcPr>
            <w:tcW w:w="1661" w:type="dxa"/>
            <w:tcBorders>
              <w:top w:val="nil"/>
              <w:left w:val="nil"/>
              <w:bottom w:val="single" w:color="auto" w:sz="4" w:space="0"/>
              <w:right w:val="single" w:color="auto" w:sz="4" w:space="0"/>
            </w:tcBorders>
            <w:shd w:val="clear" w:color="auto" w:fill="auto"/>
            <w:vAlign w:val="center"/>
          </w:tcPr>
          <w:p w14:paraId="6E5312CC">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存储</w:t>
            </w:r>
          </w:p>
        </w:tc>
        <w:tc>
          <w:tcPr>
            <w:tcW w:w="2253" w:type="dxa"/>
            <w:tcBorders>
              <w:top w:val="nil"/>
              <w:left w:val="nil"/>
              <w:bottom w:val="single" w:color="auto" w:sz="4" w:space="0"/>
              <w:right w:val="single" w:color="auto" w:sz="4" w:space="0"/>
            </w:tcBorders>
            <w:shd w:val="clear" w:color="auto" w:fill="auto"/>
            <w:vAlign w:val="center"/>
          </w:tcPr>
          <w:p w14:paraId="56444D65">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 xml:space="preserve">HUAWEI OCEANSTOR 6800V5 </w:t>
            </w:r>
          </w:p>
        </w:tc>
        <w:tc>
          <w:tcPr>
            <w:tcW w:w="762" w:type="dxa"/>
            <w:tcBorders>
              <w:top w:val="nil"/>
              <w:left w:val="nil"/>
              <w:bottom w:val="single" w:color="auto" w:sz="4" w:space="0"/>
              <w:right w:val="single" w:color="auto" w:sz="4" w:space="0"/>
            </w:tcBorders>
            <w:shd w:val="clear" w:color="auto" w:fill="auto"/>
            <w:vAlign w:val="center"/>
          </w:tcPr>
          <w:p w14:paraId="40480B86">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521" w:type="dxa"/>
            <w:tcBorders>
              <w:top w:val="nil"/>
              <w:left w:val="nil"/>
              <w:bottom w:val="single" w:color="auto" w:sz="4" w:space="0"/>
              <w:right w:val="single" w:color="auto" w:sz="4" w:space="0"/>
            </w:tcBorders>
            <w:shd w:val="clear" w:color="auto" w:fill="auto"/>
            <w:vAlign w:val="center"/>
          </w:tcPr>
          <w:p w14:paraId="447982BC">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CZ-B-06</w:t>
            </w:r>
          </w:p>
        </w:tc>
        <w:tc>
          <w:tcPr>
            <w:tcW w:w="1101" w:type="dxa"/>
            <w:tcBorders>
              <w:top w:val="nil"/>
              <w:left w:val="nil"/>
              <w:bottom w:val="single" w:color="auto" w:sz="4" w:space="0"/>
              <w:right w:val="single" w:color="auto" w:sz="4" w:space="0"/>
            </w:tcBorders>
            <w:shd w:val="clear" w:color="auto" w:fill="auto"/>
            <w:vAlign w:val="center"/>
          </w:tcPr>
          <w:p w14:paraId="42E2253B">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2108" w:type="dxa"/>
            <w:vMerge w:val="continue"/>
            <w:tcBorders>
              <w:top w:val="nil"/>
              <w:left w:val="single" w:color="auto" w:sz="4" w:space="0"/>
              <w:bottom w:val="single" w:color="auto" w:sz="4" w:space="0"/>
              <w:right w:val="single" w:color="auto" w:sz="4" w:space="0"/>
            </w:tcBorders>
            <w:vAlign w:val="center"/>
          </w:tcPr>
          <w:p w14:paraId="7D04C631">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p>
        </w:tc>
      </w:tr>
      <w:tr w14:paraId="27E8BE3B">
        <w:tblPrEx>
          <w:tblCellMar>
            <w:top w:w="0" w:type="dxa"/>
            <w:left w:w="108" w:type="dxa"/>
            <w:bottom w:w="0" w:type="dxa"/>
            <w:right w:w="108" w:type="dxa"/>
          </w:tblCellMar>
        </w:tblPrEx>
        <w:trPr>
          <w:trHeight w:val="90" w:hRule="atLeast"/>
        </w:trPr>
        <w:tc>
          <w:tcPr>
            <w:tcW w:w="692" w:type="dxa"/>
            <w:tcBorders>
              <w:top w:val="nil"/>
              <w:left w:val="single" w:color="auto" w:sz="4" w:space="0"/>
              <w:bottom w:val="single" w:color="auto" w:sz="4" w:space="0"/>
              <w:right w:val="single" w:color="auto" w:sz="4" w:space="0"/>
            </w:tcBorders>
            <w:shd w:val="clear" w:color="auto" w:fill="auto"/>
            <w:vAlign w:val="bottom"/>
          </w:tcPr>
          <w:p w14:paraId="0D75BC8E">
            <w:pPr>
              <w:keepNext w:val="0"/>
              <w:keepLines w:val="0"/>
              <w:widowControl/>
              <w:numPr>
                <w:ilvl w:val="0"/>
                <w:numId w:val="27"/>
              </w:numPr>
              <w:suppressLineNumbers w:val="0"/>
              <w:spacing w:before="0" w:beforeAutospacing="0" w:after="0" w:afterAutospacing="0" w:line="240" w:lineRule="auto"/>
              <w:ind w:left="425" w:leftChars="0" w:right="0" w:hanging="425" w:firstLineChars="0"/>
              <w:jc w:val="center"/>
              <w:rPr>
                <w:rFonts w:hint="eastAsia" w:ascii="宋体" w:hAnsi="宋体" w:eastAsia="宋体" w:cs="宋体"/>
                <w:color w:val="000000"/>
                <w:kern w:val="0"/>
                <w:sz w:val="24"/>
                <w:szCs w:val="24"/>
              </w:rPr>
            </w:pPr>
          </w:p>
        </w:tc>
        <w:tc>
          <w:tcPr>
            <w:tcW w:w="1661" w:type="dxa"/>
            <w:tcBorders>
              <w:top w:val="nil"/>
              <w:left w:val="nil"/>
              <w:bottom w:val="single" w:color="auto" w:sz="4" w:space="0"/>
              <w:right w:val="single" w:color="auto" w:sz="4" w:space="0"/>
            </w:tcBorders>
            <w:shd w:val="clear" w:color="auto" w:fill="auto"/>
            <w:vAlign w:val="center"/>
          </w:tcPr>
          <w:p w14:paraId="382F7463">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存储</w:t>
            </w:r>
          </w:p>
        </w:tc>
        <w:tc>
          <w:tcPr>
            <w:tcW w:w="2253" w:type="dxa"/>
            <w:tcBorders>
              <w:top w:val="nil"/>
              <w:left w:val="nil"/>
              <w:bottom w:val="single" w:color="auto" w:sz="4" w:space="0"/>
              <w:right w:val="single" w:color="auto" w:sz="4" w:space="0"/>
            </w:tcBorders>
            <w:shd w:val="clear" w:color="auto" w:fill="auto"/>
            <w:vAlign w:val="center"/>
          </w:tcPr>
          <w:p w14:paraId="19F797AF">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HUAWEI OCEANSTOR 6800V5 扩展柜</w:t>
            </w:r>
          </w:p>
        </w:tc>
        <w:tc>
          <w:tcPr>
            <w:tcW w:w="762" w:type="dxa"/>
            <w:tcBorders>
              <w:top w:val="nil"/>
              <w:left w:val="nil"/>
              <w:bottom w:val="single" w:color="auto" w:sz="4" w:space="0"/>
              <w:right w:val="single" w:color="auto" w:sz="4" w:space="0"/>
            </w:tcBorders>
            <w:shd w:val="clear" w:color="auto" w:fill="auto"/>
            <w:vAlign w:val="center"/>
          </w:tcPr>
          <w:p w14:paraId="7DE17DD3">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521" w:type="dxa"/>
            <w:tcBorders>
              <w:top w:val="nil"/>
              <w:left w:val="nil"/>
              <w:bottom w:val="single" w:color="auto" w:sz="4" w:space="0"/>
              <w:right w:val="single" w:color="auto" w:sz="4" w:space="0"/>
            </w:tcBorders>
            <w:shd w:val="clear" w:color="auto" w:fill="auto"/>
            <w:vAlign w:val="center"/>
          </w:tcPr>
          <w:p w14:paraId="1F8019F6">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CZ-B-06</w:t>
            </w:r>
          </w:p>
        </w:tc>
        <w:tc>
          <w:tcPr>
            <w:tcW w:w="1101" w:type="dxa"/>
            <w:tcBorders>
              <w:top w:val="nil"/>
              <w:left w:val="nil"/>
              <w:bottom w:val="single" w:color="auto" w:sz="4" w:space="0"/>
              <w:right w:val="single" w:color="auto" w:sz="4" w:space="0"/>
            </w:tcBorders>
            <w:shd w:val="clear" w:color="auto" w:fill="auto"/>
            <w:vAlign w:val="center"/>
          </w:tcPr>
          <w:p w14:paraId="098F09BE">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2108" w:type="dxa"/>
            <w:vMerge w:val="continue"/>
            <w:tcBorders>
              <w:top w:val="nil"/>
              <w:left w:val="single" w:color="auto" w:sz="4" w:space="0"/>
              <w:bottom w:val="single" w:color="auto" w:sz="4" w:space="0"/>
              <w:right w:val="single" w:color="auto" w:sz="4" w:space="0"/>
            </w:tcBorders>
            <w:vAlign w:val="center"/>
          </w:tcPr>
          <w:p w14:paraId="1220FF6F">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p>
        </w:tc>
      </w:tr>
      <w:tr w14:paraId="104C8C26">
        <w:tblPrEx>
          <w:tblCellMar>
            <w:top w:w="0" w:type="dxa"/>
            <w:left w:w="108" w:type="dxa"/>
            <w:bottom w:w="0" w:type="dxa"/>
            <w:right w:w="108" w:type="dxa"/>
          </w:tblCellMar>
        </w:tblPrEx>
        <w:trPr>
          <w:trHeight w:val="90" w:hRule="atLeast"/>
        </w:trPr>
        <w:tc>
          <w:tcPr>
            <w:tcW w:w="692" w:type="dxa"/>
            <w:tcBorders>
              <w:top w:val="nil"/>
              <w:left w:val="single" w:color="auto" w:sz="4" w:space="0"/>
              <w:bottom w:val="single" w:color="auto" w:sz="4" w:space="0"/>
              <w:right w:val="single" w:color="auto" w:sz="4" w:space="0"/>
            </w:tcBorders>
            <w:shd w:val="clear" w:color="auto" w:fill="auto"/>
            <w:vAlign w:val="bottom"/>
          </w:tcPr>
          <w:p w14:paraId="65E3BEEB">
            <w:pPr>
              <w:keepNext w:val="0"/>
              <w:keepLines w:val="0"/>
              <w:widowControl/>
              <w:numPr>
                <w:ilvl w:val="0"/>
                <w:numId w:val="27"/>
              </w:numPr>
              <w:suppressLineNumbers w:val="0"/>
              <w:spacing w:before="0" w:beforeAutospacing="0" w:after="0" w:afterAutospacing="0" w:line="240" w:lineRule="auto"/>
              <w:ind w:left="425" w:leftChars="0" w:right="0" w:hanging="425" w:firstLineChars="0"/>
              <w:jc w:val="center"/>
              <w:rPr>
                <w:rFonts w:hint="eastAsia" w:ascii="宋体" w:hAnsi="宋体" w:eastAsia="宋体" w:cs="宋体"/>
                <w:color w:val="000000"/>
                <w:kern w:val="0"/>
                <w:sz w:val="24"/>
                <w:szCs w:val="24"/>
              </w:rPr>
            </w:pPr>
          </w:p>
        </w:tc>
        <w:tc>
          <w:tcPr>
            <w:tcW w:w="1661" w:type="dxa"/>
            <w:tcBorders>
              <w:top w:val="nil"/>
              <w:left w:val="nil"/>
              <w:bottom w:val="single" w:color="auto" w:sz="4" w:space="0"/>
              <w:right w:val="single" w:color="auto" w:sz="4" w:space="0"/>
            </w:tcBorders>
            <w:shd w:val="clear" w:color="auto" w:fill="auto"/>
            <w:vAlign w:val="center"/>
          </w:tcPr>
          <w:p w14:paraId="2C8753E1">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存储</w:t>
            </w:r>
          </w:p>
        </w:tc>
        <w:tc>
          <w:tcPr>
            <w:tcW w:w="2253" w:type="dxa"/>
            <w:tcBorders>
              <w:top w:val="nil"/>
              <w:left w:val="nil"/>
              <w:bottom w:val="single" w:color="auto" w:sz="4" w:space="0"/>
              <w:right w:val="single" w:color="auto" w:sz="4" w:space="0"/>
            </w:tcBorders>
            <w:shd w:val="clear" w:color="auto" w:fill="auto"/>
            <w:vAlign w:val="center"/>
          </w:tcPr>
          <w:p w14:paraId="6147300C">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HUAWEI OCEANSTOR 6800V5 扩展柜</w:t>
            </w:r>
          </w:p>
        </w:tc>
        <w:tc>
          <w:tcPr>
            <w:tcW w:w="762" w:type="dxa"/>
            <w:tcBorders>
              <w:top w:val="nil"/>
              <w:left w:val="nil"/>
              <w:bottom w:val="single" w:color="auto" w:sz="4" w:space="0"/>
              <w:right w:val="single" w:color="auto" w:sz="4" w:space="0"/>
            </w:tcBorders>
            <w:shd w:val="clear" w:color="auto" w:fill="auto"/>
            <w:vAlign w:val="center"/>
          </w:tcPr>
          <w:p w14:paraId="71989E5A">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521" w:type="dxa"/>
            <w:tcBorders>
              <w:top w:val="nil"/>
              <w:left w:val="nil"/>
              <w:bottom w:val="single" w:color="auto" w:sz="4" w:space="0"/>
              <w:right w:val="single" w:color="auto" w:sz="4" w:space="0"/>
            </w:tcBorders>
            <w:shd w:val="clear" w:color="auto" w:fill="auto"/>
            <w:vAlign w:val="center"/>
          </w:tcPr>
          <w:p w14:paraId="23562A5A">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CZ-B-06</w:t>
            </w:r>
          </w:p>
        </w:tc>
        <w:tc>
          <w:tcPr>
            <w:tcW w:w="1101" w:type="dxa"/>
            <w:tcBorders>
              <w:top w:val="nil"/>
              <w:left w:val="nil"/>
              <w:bottom w:val="single" w:color="auto" w:sz="4" w:space="0"/>
              <w:right w:val="single" w:color="auto" w:sz="4" w:space="0"/>
            </w:tcBorders>
            <w:shd w:val="clear" w:color="auto" w:fill="auto"/>
            <w:vAlign w:val="center"/>
          </w:tcPr>
          <w:p w14:paraId="69949EA0">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2108" w:type="dxa"/>
            <w:vMerge w:val="continue"/>
            <w:tcBorders>
              <w:top w:val="nil"/>
              <w:left w:val="single" w:color="auto" w:sz="4" w:space="0"/>
              <w:bottom w:val="single" w:color="auto" w:sz="4" w:space="0"/>
              <w:right w:val="single" w:color="auto" w:sz="4" w:space="0"/>
            </w:tcBorders>
            <w:vAlign w:val="center"/>
          </w:tcPr>
          <w:p w14:paraId="55056F15">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p>
        </w:tc>
      </w:tr>
      <w:tr w14:paraId="12FA78BE">
        <w:tblPrEx>
          <w:tblCellMar>
            <w:top w:w="0" w:type="dxa"/>
            <w:left w:w="108" w:type="dxa"/>
            <w:bottom w:w="0" w:type="dxa"/>
            <w:right w:w="108" w:type="dxa"/>
          </w:tblCellMar>
        </w:tblPrEx>
        <w:trPr>
          <w:trHeight w:val="90" w:hRule="atLeast"/>
        </w:trPr>
        <w:tc>
          <w:tcPr>
            <w:tcW w:w="692" w:type="dxa"/>
            <w:tcBorders>
              <w:top w:val="nil"/>
              <w:left w:val="single" w:color="auto" w:sz="4" w:space="0"/>
              <w:bottom w:val="single" w:color="auto" w:sz="4" w:space="0"/>
              <w:right w:val="single" w:color="auto" w:sz="4" w:space="0"/>
            </w:tcBorders>
            <w:shd w:val="clear" w:color="auto" w:fill="auto"/>
            <w:vAlign w:val="bottom"/>
          </w:tcPr>
          <w:p w14:paraId="33B39E26">
            <w:pPr>
              <w:keepNext w:val="0"/>
              <w:keepLines w:val="0"/>
              <w:widowControl/>
              <w:numPr>
                <w:ilvl w:val="0"/>
                <w:numId w:val="27"/>
              </w:numPr>
              <w:suppressLineNumbers w:val="0"/>
              <w:spacing w:before="0" w:beforeAutospacing="0" w:after="0" w:afterAutospacing="0" w:line="240" w:lineRule="auto"/>
              <w:ind w:left="425" w:leftChars="0" w:right="0" w:hanging="425" w:firstLineChars="0"/>
              <w:jc w:val="center"/>
              <w:rPr>
                <w:rFonts w:hint="eastAsia" w:ascii="宋体" w:hAnsi="宋体" w:eastAsia="宋体" w:cs="宋体"/>
                <w:color w:val="000000"/>
                <w:kern w:val="0"/>
                <w:sz w:val="24"/>
                <w:szCs w:val="24"/>
              </w:rPr>
            </w:pPr>
          </w:p>
        </w:tc>
        <w:tc>
          <w:tcPr>
            <w:tcW w:w="1661" w:type="dxa"/>
            <w:tcBorders>
              <w:top w:val="nil"/>
              <w:left w:val="nil"/>
              <w:bottom w:val="single" w:color="auto" w:sz="4" w:space="0"/>
              <w:right w:val="single" w:color="auto" w:sz="4" w:space="0"/>
            </w:tcBorders>
            <w:shd w:val="clear" w:color="auto" w:fill="auto"/>
            <w:vAlign w:val="center"/>
          </w:tcPr>
          <w:p w14:paraId="695FA0AE">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存储</w:t>
            </w:r>
          </w:p>
        </w:tc>
        <w:tc>
          <w:tcPr>
            <w:tcW w:w="2253" w:type="dxa"/>
            <w:tcBorders>
              <w:top w:val="nil"/>
              <w:left w:val="nil"/>
              <w:bottom w:val="single" w:color="auto" w:sz="4" w:space="0"/>
              <w:right w:val="single" w:color="auto" w:sz="4" w:space="0"/>
            </w:tcBorders>
            <w:shd w:val="clear" w:color="auto" w:fill="auto"/>
            <w:vAlign w:val="center"/>
          </w:tcPr>
          <w:p w14:paraId="587B14D0">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HUAWEI OCEANSTOR 6800V5 扩展柜</w:t>
            </w:r>
          </w:p>
        </w:tc>
        <w:tc>
          <w:tcPr>
            <w:tcW w:w="762" w:type="dxa"/>
            <w:tcBorders>
              <w:top w:val="nil"/>
              <w:left w:val="nil"/>
              <w:bottom w:val="single" w:color="auto" w:sz="4" w:space="0"/>
              <w:right w:val="single" w:color="auto" w:sz="4" w:space="0"/>
            </w:tcBorders>
            <w:shd w:val="clear" w:color="auto" w:fill="auto"/>
            <w:vAlign w:val="center"/>
          </w:tcPr>
          <w:p w14:paraId="4ECC1B07">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521" w:type="dxa"/>
            <w:tcBorders>
              <w:top w:val="nil"/>
              <w:left w:val="nil"/>
              <w:bottom w:val="single" w:color="auto" w:sz="4" w:space="0"/>
              <w:right w:val="single" w:color="auto" w:sz="4" w:space="0"/>
            </w:tcBorders>
            <w:shd w:val="clear" w:color="auto" w:fill="auto"/>
            <w:vAlign w:val="center"/>
          </w:tcPr>
          <w:p w14:paraId="60D4B7B8">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CZ-B-06</w:t>
            </w:r>
          </w:p>
        </w:tc>
        <w:tc>
          <w:tcPr>
            <w:tcW w:w="1101" w:type="dxa"/>
            <w:tcBorders>
              <w:top w:val="nil"/>
              <w:left w:val="nil"/>
              <w:bottom w:val="single" w:color="auto" w:sz="4" w:space="0"/>
              <w:right w:val="single" w:color="auto" w:sz="4" w:space="0"/>
            </w:tcBorders>
            <w:shd w:val="clear" w:color="auto" w:fill="auto"/>
            <w:vAlign w:val="center"/>
          </w:tcPr>
          <w:p w14:paraId="55D92023">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2108" w:type="dxa"/>
            <w:vMerge w:val="continue"/>
            <w:tcBorders>
              <w:top w:val="nil"/>
              <w:left w:val="single" w:color="auto" w:sz="4" w:space="0"/>
              <w:bottom w:val="single" w:color="auto" w:sz="4" w:space="0"/>
              <w:right w:val="single" w:color="auto" w:sz="4" w:space="0"/>
            </w:tcBorders>
            <w:vAlign w:val="center"/>
          </w:tcPr>
          <w:p w14:paraId="121815D4">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p>
        </w:tc>
      </w:tr>
      <w:tr w14:paraId="258D5D56">
        <w:tblPrEx>
          <w:tblCellMar>
            <w:top w:w="0" w:type="dxa"/>
            <w:left w:w="108" w:type="dxa"/>
            <w:bottom w:w="0" w:type="dxa"/>
            <w:right w:w="108" w:type="dxa"/>
          </w:tblCellMar>
        </w:tblPrEx>
        <w:trPr>
          <w:trHeight w:val="90" w:hRule="atLeast"/>
        </w:trPr>
        <w:tc>
          <w:tcPr>
            <w:tcW w:w="692" w:type="dxa"/>
            <w:tcBorders>
              <w:top w:val="nil"/>
              <w:left w:val="single" w:color="auto" w:sz="4" w:space="0"/>
              <w:bottom w:val="single" w:color="auto" w:sz="4" w:space="0"/>
              <w:right w:val="single" w:color="auto" w:sz="4" w:space="0"/>
            </w:tcBorders>
            <w:shd w:val="clear" w:color="auto" w:fill="auto"/>
            <w:vAlign w:val="bottom"/>
          </w:tcPr>
          <w:p w14:paraId="45BFE01A">
            <w:pPr>
              <w:keepNext w:val="0"/>
              <w:keepLines w:val="0"/>
              <w:widowControl/>
              <w:numPr>
                <w:ilvl w:val="0"/>
                <w:numId w:val="27"/>
              </w:numPr>
              <w:suppressLineNumbers w:val="0"/>
              <w:spacing w:before="0" w:beforeAutospacing="0" w:after="0" w:afterAutospacing="0" w:line="240" w:lineRule="auto"/>
              <w:ind w:left="425" w:leftChars="0" w:right="0" w:hanging="425" w:firstLineChars="0"/>
              <w:jc w:val="center"/>
              <w:rPr>
                <w:rFonts w:hint="eastAsia" w:ascii="宋体" w:hAnsi="宋体" w:eastAsia="宋体" w:cs="宋体"/>
                <w:color w:val="000000"/>
                <w:kern w:val="0"/>
                <w:sz w:val="24"/>
                <w:szCs w:val="24"/>
              </w:rPr>
            </w:pPr>
          </w:p>
        </w:tc>
        <w:tc>
          <w:tcPr>
            <w:tcW w:w="1661" w:type="dxa"/>
            <w:tcBorders>
              <w:top w:val="nil"/>
              <w:left w:val="nil"/>
              <w:bottom w:val="single" w:color="auto" w:sz="4" w:space="0"/>
              <w:right w:val="single" w:color="auto" w:sz="4" w:space="0"/>
            </w:tcBorders>
            <w:shd w:val="clear" w:color="auto" w:fill="auto"/>
            <w:vAlign w:val="center"/>
          </w:tcPr>
          <w:p w14:paraId="6ED8AC6C">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存储</w:t>
            </w:r>
          </w:p>
        </w:tc>
        <w:tc>
          <w:tcPr>
            <w:tcW w:w="2253" w:type="dxa"/>
            <w:tcBorders>
              <w:top w:val="nil"/>
              <w:left w:val="nil"/>
              <w:bottom w:val="single" w:color="auto" w:sz="4" w:space="0"/>
              <w:right w:val="single" w:color="auto" w:sz="4" w:space="0"/>
            </w:tcBorders>
            <w:shd w:val="clear" w:color="auto" w:fill="auto"/>
            <w:vAlign w:val="center"/>
          </w:tcPr>
          <w:p w14:paraId="7575F990">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HUAWEI OCEANSTOR 6800V5 扩展柜</w:t>
            </w:r>
          </w:p>
        </w:tc>
        <w:tc>
          <w:tcPr>
            <w:tcW w:w="762" w:type="dxa"/>
            <w:tcBorders>
              <w:top w:val="nil"/>
              <w:left w:val="nil"/>
              <w:bottom w:val="single" w:color="auto" w:sz="4" w:space="0"/>
              <w:right w:val="single" w:color="auto" w:sz="4" w:space="0"/>
            </w:tcBorders>
            <w:shd w:val="clear" w:color="auto" w:fill="auto"/>
            <w:vAlign w:val="center"/>
          </w:tcPr>
          <w:p w14:paraId="68E3CE77">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521" w:type="dxa"/>
            <w:tcBorders>
              <w:top w:val="nil"/>
              <w:left w:val="nil"/>
              <w:bottom w:val="single" w:color="auto" w:sz="4" w:space="0"/>
              <w:right w:val="single" w:color="auto" w:sz="4" w:space="0"/>
            </w:tcBorders>
            <w:shd w:val="clear" w:color="auto" w:fill="auto"/>
            <w:vAlign w:val="center"/>
          </w:tcPr>
          <w:p w14:paraId="11E4A4D3">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CZ-B-06</w:t>
            </w:r>
          </w:p>
        </w:tc>
        <w:tc>
          <w:tcPr>
            <w:tcW w:w="1101" w:type="dxa"/>
            <w:tcBorders>
              <w:top w:val="nil"/>
              <w:left w:val="nil"/>
              <w:bottom w:val="single" w:color="auto" w:sz="4" w:space="0"/>
              <w:right w:val="single" w:color="auto" w:sz="4" w:space="0"/>
            </w:tcBorders>
            <w:shd w:val="clear" w:color="auto" w:fill="auto"/>
            <w:vAlign w:val="center"/>
          </w:tcPr>
          <w:p w14:paraId="77407C35">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2108" w:type="dxa"/>
            <w:vMerge w:val="continue"/>
            <w:tcBorders>
              <w:top w:val="nil"/>
              <w:left w:val="single" w:color="auto" w:sz="4" w:space="0"/>
              <w:bottom w:val="single" w:color="auto" w:sz="4" w:space="0"/>
              <w:right w:val="single" w:color="auto" w:sz="4" w:space="0"/>
            </w:tcBorders>
            <w:vAlign w:val="center"/>
          </w:tcPr>
          <w:p w14:paraId="4895F6F1">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p>
        </w:tc>
      </w:tr>
      <w:tr w14:paraId="387E0279">
        <w:tblPrEx>
          <w:tblCellMar>
            <w:top w:w="0" w:type="dxa"/>
            <w:left w:w="108" w:type="dxa"/>
            <w:bottom w:w="0" w:type="dxa"/>
            <w:right w:w="108" w:type="dxa"/>
          </w:tblCellMar>
        </w:tblPrEx>
        <w:trPr>
          <w:trHeight w:val="90" w:hRule="atLeast"/>
        </w:trPr>
        <w:tc>
          <w:tcPr>
            <w:tcW w:w="692" w:type="dxa"/>
            <w:tcBorders>
              <w:top w:val="nil"/>
              <w:left w:val="single" w:color="auto" w:sz="4" w:space="0"/>
              <w:bottom w:val="single" w:color="auto" w:sz="4" w:space="0"/>
              <w:right w:val="single" w:color="auto" w:sz="4" w:space="0"/>
            </w:tcBorders>
            <w:shd w:val="clear" w:color="auto" w:fill="auto"/>
            <w:vAlign w:val="bottom"/>
          </w:tcPr>
          <w:p w14:paraId="3B5E51AC">
            <w:pPr>
              <w:keepNext w:val="0"/>
              <w:keepLines w:val="0"/>
              <w:widowControl/>
              <w:numPr>
                <w:ilvl w:val="0"/>
                <w:numId w:val="27"/>
              </w:numPr>
              <w:suppressLineNumbers w:val="0"/>
              <w:spacing w:before="0" w:beforeAutospacing="0" w:after="0" w:afterAutospacing="0" w:line="240" w:lineRule="auto"/>
              <w:ind w:left="425" w:leftChars="0" w:right="0" w:hanging="425" w:firstLineChars="0"/>
              <w:jc w:val="center"/>
              <w:rPr>
                <w:rFonts w:hint="eastAsia" w:ascii="宋体" w:hAnsi="宋体" w:eastAsia="宋体" w:cs="宋体"/>
                <w:color w:val="000000"/>
                <w:kern w:val="0"/>
                <w:sz w:val="24"/>
                <w:szCs w:val="24"/>
              </w:rPr>
            </w:pPr>
          </w:p>
        </w:tc>
        <w:tc>
          <w:tcPr>
            <w:tcW w:w="1661" w:type="dxa"/>
            <w:tcBorders>
              <w:top w:val="nil"/>
              <w:left w:val="nil"/>
              <w:bottom w:val="single" w:color="auto" w:sz="4" w:space="0"/>
              <w:right w:val="single" w:color="auto" w:sz="4" w:space="0"/>
            </w:tcBorders>
            <w:shd w:val="clear" w:color="auto" w:fill="auto"/>
            <w:vAlign w:val="center"/>
          </w:tcPr>
          <w:p w14:paraId="39A3E007">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存储</w:t>
            </w:r>
          </w:p>
        </w:tc>
        <w:tc>
          <w:tcPr>
            <w:tcW w:w="2253" w:type="dxa"/>
            <w:tcBorders>
              <w:top w:val="nil"/>
              <w:left w:val="nil"/>
              <w:bottom w:val="single" w:color="auto" w:sz="4" w:space="0"/>
              <w:right w:val="single" w:color="auto" w:sz="4" w:space="0"/>
            </w:tcBorders>
            <w:shd w:val="clear" w:color="auto" w:fill="auto"/>
            <w:vAlign w:val="center"/>
          </w:tcPr>
          <w:p w14:paraId="29E530B2">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 xml:space="preserve">HUAWEI OCEANSTOR 5510V5 </w:t>
            </w:r>
          </w:p>
        </w:tc>
        <w:tc>
          <w:tcPr>
            <w:tcW w:w="762" w:type="dxa"/>
            <w:tcBorders>
              <w:top w:val="nil"/>
              <w:left w:val="nil"/>
              <w:bottom w:val="single" w:color="auto" w:sz="4" w:space="0"/>
              <w:right w:val="single" w:color="auto" w:sz="4" w:space="0"/>
            </w:tcBorders>
            <w:shd w:val="clear" w:color="auto" w:fill="auto"/>
            <w:vAlign w:val="center"/>
          </w:tcPr>
          <w:p w14:paraId="3D5C4FCF">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521" w:type="dxa"/>
            <w:tcBorders>
              <w:top w:val="nil"/>
              <w:left w:val="nil"/>
              <w:bottom w:val="single" w:color="auto" w:sz="4" w:space="0"/>
              <w:right w:val="single" w:color="auto" w:sz="4" w:space="0"/>
            </w:tcBorders>
            <w:shd w:val="clear" w:color="auto" w:fill="auto"/>
            <w:vAlign w:val="center"/>
          </w:tcPr>
          <w:p w14:paraId="49E92C4C">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CZ-B-13</w:t>
            </w:r>
          </w:p>
        </w:tc>
        <w:tc>
          <w:tcPr>
            <w:tcW w:w="1101" w:type="dxa"/>
            <w:tcBorders>
              <w:top w:val="nil"/>
              <w:left w:val="nil"/>
              <w:bottom w:val="single" w:color="auto" w:sz="4" w:space="0"/>
              <w:right w:val="single" w:color="auto" w:sz="4" w:space="0"/>
            </w:tcBorders>
            <w:shd w:val="clear" w:color="auto" w:fill="auto"/>
            <w:vAlign w:val="center"/>
          </w:tcPr>
          <w:p w14:paraId="503BA0FD">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2108" w:type="dxa"/>
            <w:vMerge w:val="continue"/>
            <w:tcBorders>
              <w:top w:val="nil"/>
              <w:left w:val="single" w:color="auto" w:sz="4" w:space="0"/>
              <w:bottom w:val="single" w:color="auto" w:sz="4" w:space="0"/>
              <w:right w:val="single" w:color="auto" w:sz="4" w:space="0"/>
            </w:tcBorders>
            <w:vAlign w:val="center"/>
          </w:tcPr>
          <w:p w14:paraId="4DC50759">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p>
        </w:tc>
      </w:tr>
      <w:tr w14:paraId="245C8168">
        <w:tblPrEx>
          <w:tblCellMar>
            <w:top w:w="0" w:type="dxa"/>
            <w:left w:w="108" w:type="dxa"/>
            <w:bottom w:w="0" w:type="dxa"/>
            <w:right w:w="108" w:type="dxa"/>
          </w:tblCellMar>
        </w:tblPrEx>
        <w:trPr>
          <w:trHeight w:val="90" w:hRule="atLeast"/>
        </w:trPr>
        <w:tc>
          <w:tcPr>
            <w:tcW w:w="692" w:type="dxa"/>
            <w:tcBorders>
              <w:top w:val="nil"/>
              <w:left w:val="single" w:color="auto" w:sz="4" w:space="0"/>
              <w:bottom w:val="single" w:color="auto" w:sz="4" w:space="0"/>
              <w:right w:val="single" w:color="auto" w:sz="4" w:space="0"/>
            </w:tcBorders>
            <w:shd w:val="clear" w:color="auto" w:fill="auto"/>
            <w:vAlign w:val="bottom"/>
          </w:tcPr>
          <w:p w14:paraId="465C4823">
            <w:pPr>
              <w:keepNext w:val="0"/>
              <w:keepLines w:val="0"/>
              <w:widowControl/>
              <w:numPr>
                <w:ilvl w:val="0"/>
                <w:numId w:val="27"/>
              </w:numPr>
              <w:suppressLineNumbers w:val="0"/>
              <w:spacing w:before="0" w:beforeAutospacing="0" w:after="0" w:afterAutospacing="0" w:line="240" w:lineRule="auto"/>
              <w:ind w:left="425" w:leftChars="0" w:right="0" w:hanging="425" w:firstLineChars="0"/>
              <w:jc w:val="center"/>
              <w:rPr>
                <w:rFonts w:hint="eastAsia" w:ascii="宋体" w:hAnsi="宋体" w:eastAsia="宋体" w:cs="宋体"/>
                <w:color w:val="000000"/>
                <w:kern w:val="0"/>
                <w:sz w:val="24"/>
                <w:szCs w:val="24"/>
              </w:rPr>
            </w:pPr>
          </w:p>
        </w:tc>
        <w:tc>
          <w:tcPr>
            <w:tcW w:w="1661" w:type="dxa"/>
            <w:tcBorders>
              <w:top w:val="nil"/>
              <w:left w:val="nil"/>
              <w:bottom w:val="single" w:color="auto" w:sz="4" w:space="0"/>
              <w:right w:val="single" w:color="auto" w:sz="4" w:space="0"/>
            </w:tcBorders>
            <w:shd w:val="clear" w:color="auto" w:fill="auto"/>
            <w:vAlign w:val="center"/>
          </w:tcPr>
          <w:p w14:paraId="2361D7BD">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存储</w:t>
            </w:r>
          </w:p>
        </w:tc>
        <w:tc>
          <w:tcPr>
            <w:tcW w:w="2253" w:type="dxa"/>
            <w:tcBorders>
              <w:top w:val="nil"/>
              <w:left w:val="nil"/>
              <w:bottom w:val="single" w:color="auto" w:sz="4" w:space="0"/>
              <w:right w:val="single" w:color="auto" w:sz="4" w:space="0"/>
            </w:tcBorders>
            <w:shd w:val="clear" w:color="auto" w:fill="auto"/>
            <w:vAlign w:val="center"/>
          </w:tcPr>
          <w:p w14:paraId="2E2729F3">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HUAWEI OCEANSTOR 5510V5 扩展柜</w:t>
            </w:r>
          </w:p>
        </w:tc>
        <w:tc>
          <w:tcPr>
            <w:tcW w:w="762" w:type="dxa"/>
            <w:tcBorders>
              <w:top w:val="nil"/>
              <w:left w:val="nil"/>
              <w:bottom w:val="single" w:color="auto" w:sz="4" w:space="0"/>
              <w:right w:val="single" w:color="auto" w:sz="4" w:space="0"/>
            </w:tcBorders>
            <w:shd w:val="clear" w:color="auto" w:fill="auto"/>
            <w:vAlign w:val="center"/>
          </w:tcPr>
          <w:p w14:paraId="71C159F8">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521" w:type="dxa"/>
            <w:tcBorders>
              <w:top w:val="nil"/>
              <w:left w:val="nil"/>
              <w:bottom w:val="single" w:color="auto" w:sz="4" w:space="0"/>
              <w:right w:val="single" w:color="auto" w:sz="4" w:space="0"/>
            </w:tcBorders>
            <w:shd w:val="clear" w:color="auto" w:fill="auto"/>
            <w:vAlign w:val="center"/>
          </w:tcPr>
          <w:p w14:paraId="68A748A9">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CZ-B-13</w:t>
            </w:r>
          </w:p>
        </w:tc>
        <w:tc>
          <w:tcPr>
            <w:tcW w:w="1101" w:type="dxa"/>
            <w:tcBorders>
              <w:top w:val="nil"/>
              <w:left w:val="nil"/>
              <w:bottom w:val="single" w:color="auto" w:sz="4" w:space="0"/>
              <w:right w:val="single" w:color="auto" w:sz="4" w:space="0"/>
            </w:tcBorders>
            <w:shd w:val="clear" w:color="auto" w:fill="auto"/>
            <w:vAlign w:val="center"/>
          </w:tcPr>
          <w:p w14:paraId="5AF3BEB9">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2108" w:type="dxa"/>
            <w:vMerge w:val="continue"/>
            <w:tcBorders>
              <w:top w:val="nil"/>
              <w:left w:val="single" w:color="auto" w:sz="4" w:space="0"/>
              <w:bottom w:val="single" w:color="auto" w:sz="4" w:space="0"/>
              <w:right w:val="single" w:color="auto" w:sz="4" w:space="0"/>
            </w:tcBorders>
            <w:vAlign w:val="center"/>
          </w:tcPr>
          <w:p w14:paraId="58CD69ED">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p>
        </w:tc>
      </w:tr>
      <w:tr w14:paraId="202A82E7">
        <w:tblPrEx>
          <w:tblCellMar>
            <w:top w:w="0" w:type="dxa"/>
            <w:left w:w="108" w:type="dxa"/>
            <w:bottom w:w="0" w:type="dxa"/>
            <w:right w:w="108" w:type="dxa"/>
          </w:tblCellMar>
        </w:tblPrEx>
        <w:trPr>
          <w:trHeight w:val="90" w:hRule="atLeast"/>
        </w:trPr>
        <w:tc>
          <w:tcPr>
            <w:tcW w:w="692" w:type="dxa"/>
            <w:tcBorders>
              <w:top w:val="nil"/>
              <w:left w:val="single" w:color="auto" w:sz="4" w:space="0"/>
              <w:bottom w:val="single" w:color="auto" w:sz="4" w:space="0"/>
              <w:right w:val="single" w:color="auto" w:sz="4" w:space="0"/>
            </w:tcBorders>
            <w:shd w:val="clear" w:color="auto" w:fill="auto"/>
            <w:vAlign w:val="bottom"/>
          </w:tcPr>
          <w:p w14:paraId="39C6D287">
            <w:pPr>
              <w:keepNext w:val="0"/>
              <w:keepLines w:val="0"/>
              <w:widowControl/>
              <w:numPr>
                <w:ilvl w:val="0"/>
                <w:numId w:val="27"/>
              </w:numPr>
              <w:suppressLineNumbers w:val="0"/>
              <w:spacing w:before="0" w:beforeAutospacing="0" w:after="0" w:afterAutospacing="0" w:line="240" w:lineRule="auto"/>
              <w:ind w:left="425" w:leftChars="0" w:right="0" w:hanging="425" w:firstLineChars="0"/>
              <w:jc w:val="center"/>
              <w:rPr>
                <w:rFonts w:hint="eastAsia" w:ascii="宋体" w:hAnsi="宋体" w:eastAsia="宋体" w:cs="宋体"/>
                <w:color w:val="000000"/>
                <w:kern w:val="0"/>
                <w:sz w:val="24"/>
                <w:szCs w:val="24"/>
              </w:rPr>
            </w:pPr>
          </w:p>
        </w:tc>
        <w:tc>
          <w:tcPr>
            <w:tcW w:w="1661" w:type="dxa"/>
            <w:tcBorders>
              <w:top w:val="nil"/>
              <w:left w:val="nil"/>
              <w:bottom w:val="single" w:color="auto" w:sz="4" w:space="0"/>
              <w:right w:val="single" w:color="auto" w:sz="4" w:space="0"/>
            </w:tcBorders>
            <w:shd w:val="clear" w:color="auto" w:fill="auto"/>
            <w:vAlign w:val="center"/>
          </w:tcPr>
          <w:p w14:paraId="2AF74E05">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光纤交换机</w:t>
            </w:r>
          </w:p>
        </w:tc>
        <w:tc>
          <w:tcPr>
            <w:tcW w:w="2253" w:type="dxa"/>
            <w:tcBorders>
              <w:top w:val="nil"/>
              <w:left w:val="nil"/>
              <w:bottom w:val="single" w:color="auto" w:sz="4" w:space="0"/>
              <w:right w:val="single" w:color="auto" w:sz="4" w:space="0"/>
            </w:tcBorders>
            <w:shd w:val="clear" w:color="auto" w:fill="auto"/>
            <w:vAlign w:val="center"/>
          </w:tcPr>
          <w:p w14:paraId="609EBEC7">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HP STORAGEWORKS 8/8 SAN SWITCH</w:t>
            </w:r>
          </w:p>
        </w:tc>
        <w:tc>
          <w:tcPr>
            <w:tcW w:w="762" w:type="dxa"/>
            <w:tcBorders>
              <w:top w:val="nil"/>
              <w:left w:val="nil"/>
              <w:bottom w:val="single" w:color="auto" w:sz="4" w:space="0"/>
              <w:right w:val="single" w:color="auto" w:sz="4" w:space="0"/>
            </w:tcBorders>
            <w:shd w:val="clear" w:color="auto" w:fill="auto"/>
            <w:vAlign w:val="center"/>
          </w:tcPr>
          <w:p w14:paraId="6E5D8DD9">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521" w:type="dxa"/>
            <w:tcBorders>
              <w:top w:val="nil"/>
              <w:left w:val="nil"/>
              <w:bottom w:val="single" w:color="auto" w:sz="4" w:space="0"/>
              <w:right w:val="single" w:color="auto" w:sz="4" w:space="0"/>
            </w:tcBorders>
            <w:shd w:val="clear" w:color="auto" w:fill="auto"/>
            <w:vAlign w:val="center"/>
          </w:tcPr>
          <w:p w14:paraId="7BF959E4">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CZ-B-08</w:t>
            </w:r>
          </w:p>
        </w:tc>
        <w:tc>
          <w:tcPr>
            <w:tcW w:w="1101" w:type="dxa"/>
            <w:tcBorders>
              <w:top w:val="nil"/>
              <w:left w:val="nil"/>
              <w:bottom w:val="single" w:color="auto" w:sz="4" w:space="0"/>
              <w:right w:val="single" w:color="auto" w:sz="4" w:space="0"/>
            </w:tcBorders>
            <w:shd w:val="clear" w:color="auto" w:fill="auto"/>
            <w:vAlign w:val="center"/>
          </w:tcPr>
          <w:p w14:paraId="49788DD6">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2108" w:type="dxa"/>
            <w:vMerge w:val="restart"/>
            <w:tcBorders>
              <w:top w:val="nil"/>
              <w:left w:val="single" w:color="auto" w:sz="4" w:space="0"/>
              <w:bottom w:val="single" w:color="000000" w:sz="4" w:space="0"/>
              <w:right w:val="single" w:color="auto" w:sz="4" w:space="0"/>
            </w:tcBorders>
            <w:shd w:val="clear" w:color="auto" w:fill="auto"/>
            <w:vAlign w:val="center"/>
          </w:tcPr>
          <w:p w14:paraId="63F3123A">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硬件保修包含整机上面所有配件（如主机、电源、风扇、配置调整等）, 本地工程师现场支持要求时间为7*24小时*2小时到达，所需配件24小时内送达。</w:t>
            </w:r>
          </w:p>
        </w:tc>
      </w:tr>
      <w:tr w14:paraId="36D82289">
        <w:tblPrEx>
          <w:tblCellMar>
            <w:top w:w="0" w:type="dxa"/>
            <w:left w:w="108" w:type="dxa"/>
            <w:bottom w:w="0" w:type="dxa"/>
            <w:right w:w="108" w:type="dxa"/>
          </w:tblCellMar>
        </w:tblPrEx>
        <w:trPr>
          <w:trHeight w:val="90" w:hRule="atLeast"/>
        </w:trPr>
        <w:tc>
          <w:tcPr>
            <w:tcW w:w="692" w:type="dxa"/>
            <w:tcBorders>
              <w:top w:val="nil"/>
              <w:left w:val="single" w:color="auto" w:sz="4" w:space="0"/>
              <w:bottom w:val="single" w:color="auto" w:sz="4" w:space="0"/>
              <w:right w:val="single" w:color="auto" w:sz="4" w:space="0"/>
            </w:tcBorders>
            <w:shd w:val="clear" w:color="auto" w:fill="auto"/>
            <w:vAlign w:val="bottom"/>
          </w:tcPr>
          <w:p w14:paraId="4F46E8B1">
            <w:pPr>
              <w:keepNext w:val="0"/>
              <w:keepLines w:val="0"/>
              <w:widowControl/>
              <w:numPr>
                <w:ilvl w:val="0"/>
                <w:numId w:val="27"/>
              </w:numPr>
              <w:suppressLineNumbers w:val="0"/>
              <w:spacing w:before="0" w:beforeAutospacing="0" w:after="0" w:afterAutospacing="0" w:line="240" w:lineRule="auto"/>
              <w:ind w:left="425" w:leftChars="0" w:right="0" w:hanging="425" w:firstLineChars="0"/>
              <w:jc w:val="center"/>
              <w:rPr>
                <w:rFonts w:hint="eastAsia" w:ascii="宋体" w:hAnsi="宋体" w:eastAsia="宋体" w:cs="宋体"/>
                <w:color w:val="000000"/>
                <w:kern w:val="0"/>
                <w:sz w:val="24"/>
                <w:szCs w:val="24"/>
              </w:rPr>
            </w:pPr>
          </w:p>
        </w:tc>
        <w:tc>
          <w:tcPr>
            <w:tcW w:w="1661" w:type="dxa"/>
            <w:tcBorders>
              <w:top w:val="nil"/>
              <w:left w:val="nil"/>
              <w:bottom w:val="single" w:color="auto" w:sz="4" w:space="0"/>
              <w:right w:val="single" w:color="auto" w:sz="4" w:space="0"/>
            </w:tcBorders>
            <w:shd w:val="clear" w:color="auto" w:fill="auto"/>
            <w:vAlign w:val="center"/>
          </w:tcPr>
          <w:p w14:paraId="7D2CF6A2">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光纤交换机</w:t>
            </w:r>
          </w:p>
        </w:tc>
        <w:tc>
          <w:tcPr>
            <w:tcW w:w="2253" w:type="dxa"/>
            <w:tcBorders>
              <w:top w:val="nil"/>
              <w:left w:val="nil"/>
              <w:bottom w:val="single" w:color="auto" w:sz="4" w:space="0"/>
              <w:right w:val="single" w:color="auto" w:sz="4" w:space="0"/>
            </w:tcBorders>
            <w:shd w:val="clear" w:color="auto" w:fill="auto"/>
            <w:vAlign w:val="center"/>
          </w:tcPr>
          <w:p w14:paraId="701F8D6B">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HP STORAGEWORKS 8/8 SAN SWITCH</w:t>
            </w:r>
          </w:p>
        </w:tc>
        <w:tc>
          <w:tcPr>
            <w:tcW w:w="762" w:type="dxa"/>
            <w:tcBorders>
              <w:top w:val="nil"/>
              <w:left w:val="nil"/>
              <w:bottom w:val="single" w:color="auto" w:sz="4" w:space="0"/>
              <w:right w:val="single" w:color="auto" w:sz="4" w:space="0"/>
            </w:tcBorders>
            <w:shd w:val="clear" w:color="auto" w:fill="auto"/>
            <w:vAlign w:val="center"/>
          </w:tcPr>
          <w:p w14:paraId="6E51C266">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521" w:type="dxa"/>
            <w:tcBorders>
              <w:top w:val="nil"/>
              <w:left w:val="nil"/>
              <w:bottom w:val="single" w:color="auto" w:sz="4" w:space="0"/>
              <w:right w:val="single" w:color="auto" w:sz="4" w:space="0"/>
            </w:tcBorders>
            <w:shd w:val="clear" w:color="auto" w:fill="auto"/>
            <w:vAlign w:val="center"/>
          </w:tcPr>
          <w:p w14:paraId="28D18446">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CZ-B-08</w:t>
            </w:r>
          </w:p>
        </w:tc>
        <w:tc>
          <w:tcPr>
            <w:tcW w:w="1101" w:type="dxa"/>
            <w:tcBorders>
              <w:top w:val="nil"/>
              <w:left w:val="nil"/>
              <w:bottom w:val="single" w:color="auto" w:sz="4" w:space="0"/>
              <w:right w:val="single" w:color="auto" w:sz="4" w:space="0"/>
            </w:tcBorders>
            <w:shd w:val="clear" w:color="auto" w:fill="auto"/>
            <w:vAlign w:val="center"/>
          </w:tcPr>
          <w:p w14:paraId="459C084A">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2108" w:type="dxa"/>
            <w:vMerge w:val="continue"/>
            <w:tcBorders>
              <w:top w:val="nil"/>
              <w:left w:val="single" w:color="auto" w:sz="4" w:space="0"/>
              <w:bottom w:val="single" w:color="000000" w:sz="4" w:space="0"/>
              <w:right w:val="single" w:color="auto" w:sz="4" w:space="0"/>
            </w:tcBorders>
            <w:vAlign w:val="center"/>
          </w:tcPr>
          <w:p w14:paraId="6BEF869B">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p>
        </w:tc>
      </w:tr>
      <w:tr w14:paraId="6DCC57FB">
        <w:tblPrEx>
          <w:tblCellMar>
            <w:top w:w="0" w:type="dxa"/>
            <w:left w:w="108" w:type="dxa"/>
            <w:bottom w:w="0" w:type="dxa"/>
            <w:right w:w="108" w:type="dxa"/>
          </w:tblCellMar>
        </w:tblPrEx>
        <w:trPr>
          <w:trHeight w:val="90" w:hRule="atLeast"/>
        </w:trPr>
        <w:tc>
          <w:tcPr>
            <w:tcW w:w="692" w:type="dxa"/>
            <w:tcBorders>
              <w:top w:val="nil"/>
              <w:left w:val="single" w:color="auto" w:sz="4" w:space="0"/>
              <w:bottom w:val="single" w:color="auto" w:sz="4" w:space="0"/>
              <w:right w:val="single" w:color="auto" w:sz="4" w:space="0"/>
            </w:tcBorders>
            <w:shd w:val="clear" w:color="auto" w:fill="auto"/>
            <w:vAlign w:val="bottom"/>
          </w:tcPr>
          <w:p w14:paraId="4C51890B">
            <w:pPr>
              <w:keepNext w:val="0"/>
              <w:keepLines w:val="0"/>
              <w:widowControl/>
              <w:numPr>
                <w:ilvl w:val="0"/>
                <w:numId w:val="27"/>
              </w:numPr>
              <w:suppressLineNumbers w:val="0"/>
              <w:spacing w:before="0" w:beforeAutospacing="0" w:after="0" w:afterAutospacing="0" w:line="240" w:lineRule="auto"/>
              <w:ind w:left="425" w:leftChars="0" w:right="0" w:hanging="425" w:firstLineChars="0"/>
              <w:jc w:val="center"/>
              <w:rPr>
                <w:rFonts w:hint="eastAsia" w:ascii="宋体" w:hAnsi="宋体" w:eastAsia="宋体" w:cs="宋体"/>
                <w:color w:val="000000"/>
                <w:kern w:val="0"/>
                <w:sz w:val="24"/>
                <w:szCs w:val="24"/>
              </w:rPr>
            </w:pPr>
          </w:p>
        </w:tc>
        <w:tc>
          <w:tcPr>
            <w:tcW w:w="1661" w:type="dxa"/>
            <w:tcBorders>
              <w:top w:val="nil"/>
              <w:left w:val="nil"/>
              <w:bottom w:val="single" w:color="auto" w:sz="4" w:space="0"/>
              <w:right w:val="single" w:color="auto" w:sz="4" w:space="0"/>
            </w:tcBorders>
            <w:shd w:val="clear" w:color="auto" w:fill="auto"/>
            <w:vAlign w:val="center"/>
          </w:tcPr>
          <w:p w14:paraId="38C45910">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光纤交换机</w:t>
            </w:r>
          </w:p>
        </w:tc>
        <w:tc>
          <w:tcPr>
            <w:tcW w:w="2253" w:type="dxa"/>
            <w:tcBorders>
              <w:top w:val="nil"/>
              <w:left w:val="nil"/>
              <w:bottom w:val="single" w:color="auto" w:sz="4" w:space="0"/>
              <w:right w:val="single" w:color="auto" w:sz="4" w:space="0"/>
            </w:tcBorders>
            <w:shd w:val="clear" w:color="auto" w:fill="auto"/>
            <w:vAlign w:val="center"/>
          </w:tcPr>
          <w:p w14:paraId="6B780548">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HP STORAGEWORKS 8/24 SAN SWITCH</w:t>
            </w:r>
          </w:p>
        </w:tc>
        <w:tc>
          <w:tcPr>
            <w:tcW w:w="762" w:type="dxa"/>
            <w:tcBorders>
              <w:top w:val="nil"/>
              <w:left w:val="nil"/>
              <w:bottom w:val="single" w:color="auto" w:sz="4" w:space="0"/>
              <w:right w:val="single" w:color="auto" w:sz="4" w:space="0"/>
            </w:tcBorders>
            <w:shd w:val="clear" w:color="auto" w:fill="auto"/>
            <w:vAlign w:val="center"/>
          </w:tcPr>
          <w:p w14:paraId="6C96271F">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521" w:type="dxa"/>
            <w:tcBorders>
              <w:top w:val="nil"/>
              <w:left w:val="nil"/>
              <w:bottom w:val="single" w:color="auto" w:sz="4" w:space="0"/>
              <w:right w:val="single" w:color="auto" w:sz="4" w:space="0"/>
            </w:tcBorders>
            <w:shd w:val="clear" w:color="auto" w:fill="auto"/>
            <w:vAlign w:val="center"/>
          </w:tcPr>
          <w:p w14:paraId="2152E5E7">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CZ-A-28</w:t>
            </w:r>
          </w:p>
        </w:tc>
        <w:tc>
          <w:tcPr>
            <w:tcW w:w="1101" w:type="dxa"/>
            <w:tcBorders>
              <w:top w:val="nil"/>
              <w:left w:val="nil"/>
              <w:bottom w:val="single" w:color="auto" w:sz="4" w:space="0"/>
              <w:right w:val="single" w:color="auto" w:sz="4" w:space="0"/>
            </w:tcBorders>
            <w:shd w:val="clear" w:color="auto" w:fill="auto"/>
            <w:vAlign w:val="center"/>
          </w:tcPr>
          <w:p w14:paraId="4B20ED47">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2108" w:type="dxa"/>
            <w:vMerge w:val="continue"/>
            <w:tcBorders>
              <w:top w:val="nil"/>
              <w:left w:val="single" w:color="auto" w:sz="4" w:space="0"/>
              <w:bottom w:val="single" w:color="000000" w:sz="4" w:space="0"/>
              <w:right w:val="single" w:color="auto" w:sz="4" w:space="0"/>
            </w:tcBorders>
            <w:vAlign w:val="center"/>
          </w:tcPr>
          <w:p w14:paraId="38E8A01D">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p>
        </w:tc>
      </w:tr>
      <w:tr w14:paraId="4EDE17D4">
        <w:tblPrEx>
          <w:tblCellMar>
            <w:top w:w="0" w:type="dxa"/>
            <w:left w:w="108" w:type="dxa"/>
            <w:bottom w:w="0" w:type="dxa"/>
            <w:right w:w="108" w:type="dxa"/>
          </w:tblCellMar>
        </w:tblPrEx>
        <w:trPr>
          <w:trHeight w:val="90" w:hRule="atLeast"/>
        </w:trPr>
        <w:tc>
          <w:tcPr>
            <w:tcW w:w="692" w:type="dxa"/>
            <w:tcBorders>
              <w:top w:val="nil"/>
              <w:left w:val="single" w:color="auto" w:sz="4" w:space="0"/>
              <w:bottom w:val="single" w:color="auto" w:sz="4" w:space="0"/>
              <w:right w:val="single" w:color="auto" w:sz="4" w:space="0"/>
            </w:tcBorders>
            <w:shd w:val="clear" w:color="auto" w:fill="auto"/>
            <w:vAlign w:val="bottom"/>
          </w:tcPr>
          <w:p w14:paraId="062EE32B">
            <w:pPr>
              <w:keepNext w:val="0"/>
              <w:keepLines w:val="0"/>
              <w:widowControl/>
              <w:numPr>
                <w:ilvl w:val="0"/>
                <w:numId w:val="27"/>
              </w:numPr>
              <w:suppressLineNumbers w:val="0"/>
              <w:spacing w:before="0" w:beforeAutospacing="0" w:after="0" w:afterAutospacing="0" w:line="240" w:lineRule="auto"/>
              <w:ind w:left="425" w:leftChars="0" w:right="0" w:hanging="425" w:firstLineChars="0"/>
              <w:jc w:val="center"/>
              <w:rPr>
                <w:rFonts w:hint="eastAsia" w:ascii="宋体" w:hAnsi="宋体" w:eastAsia="宋体" w:cs="宋体"/>
                <w:color w:val="000000"/>
                <w:kern w:val="0"/>
                <w:sz w:val="24"/>
                <w:szCs w:val="24"/>
              </w:rPr>
            </w:pPr>
          </w:p>
        </w:tc>
        <w:tc>
          <w:tcPr>
            <w:tcW w:w="1661" w:type="dxa"/>
            <w:tcBorders>
              <w:top w:val="nil"/>
              <w:left w:val="nil"/>
              <w:bottom w:val="single" w:color="auto" w:sz="4" w:space="0"/>
              <w:right w:val="single" w:color="auto" w:sz="4" w:space="0"/>
            </w:tcBorders>
            <w:shd w:val="clear" w:color="auto" w:fill="auto"/>
            <w:vAlign w:val="center"/>
          </w:tcPr>
          <w:p w14:paraId="6C445A3B">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光纤交换机</w:t>
            </w:r>
          </w:p>
        </w:tc>
        <w:tc>
          <w:tcPr>
            <w:tcW w:w="2253" w:type="dxa"/>
            <w:tcBorders>
              <w:top w:val="nil"/>
              <w:left w:val="nil"/>
              <w:bottom w:val="single" w:color="auto" w:sz="4" w:space="0"/>
              <w:right w:val="single" w:color="auto" w:sz="4" w:space="0"/>
            </w:tcBorders>
            <w:shd w:val="clear" w:color="auto" w:fill="auto"/>
            <w:vAlign w:val="center"/>
          </w:tcPr>
          <w:p w14:paraId="13D9B18F">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HP STORAGEWORKS 8/24 SAN SWITCH</w:t>
            </w:r>
          </w:p>
        </w:tc>
        <w:tc>
          <w:tcPr>
            <w:tcW w:w="762" w:type="dxa"/>
            <w:tcBorders>
              <w:top w:val="nil"/>
              <w:left w:val="nil"/>
              <w:bottom w:val="single" w:color="auto" w:sz="4" w:space="0"/>
              <w:right w:val="single" w:color="auto" w:sz="4" w:space="0"/>
            </w:tcBorders>
            <w:shd w:val="clear" w:color="auto" w:fill="auto"/>
            <w:vAlign w:val="center"/>
          </w:tcPr>
          <w:p w14:paraId="10202EE0">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521" w:type="dxa"/>
            <w:tcBorders>
              <w:top w:val="nil"/>
              <w:left w:val="nil"/>
              <w:bottom w:val="single" w:color="auto" w:sz="4" w:space="0"/>
              <w:right w:val="single" w:color="auto" w:sz="4" w:space="0"/>
            </w:tcBorders>
            <w:shd w:val="clear" w:color="auto" w:fill="auto"/>
            <w:vAlign w:val="center"/>
          </w:tcPr>
          <w:p w14:paraId="53BB26E7">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CZ-A-28</w:t>
            </w:r>
          </w:p>
        </w:tc>
        <w:tc>
          <w:tcPr>
            <w:tcW w:w="1101" w:type="dxa"/>
            <w:tcBorders>
              <w:top w:val="nil"/>
              <w:left w:val="nil"/>
              <w:bottom w:val="single" w:color="auto" w:sz="4" w:space="0"/>
              <w:right w:val="single" w:color="auto" w:sz="4" w:space="0"/>
            </w:tcBorders>
            <w:shd w:val="clear" w:color="auto" w:fill="auto"/>
            <w:vAlign w:val="center"/>
          </w:tcPr>
          <w:p w14:paraId="55DA7CEE">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2108" w:type="dxa"/>
            <w:vMerge w:val="continue"/>
            <w:tcBorders>
              <w:top w:val="nil"/>
              <w:left w:val="single" w:color="auto" w:sz="4" w:space="0"/>
              <w:bottom w:val="single" w:color="000000" w:sz="4" w:space="0"/>
              <w:right w:val="single" w:color="auto" w:sz="4" w:space="0"/>
            </w:tcBorders>
            <w:vAlign w:val="center"/>
          </w:tcPr>
          <w:p w14:paraId="16EDF8FE">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p>
        </w:tc>
      </w:tr>
      <w:tr w14:paraId="67DE61EC">
        <w:tblPrEx>
          <w:tblCellMar>
            <w:top w:w="0" w:type="dxa"/>
            <w:left w:w="108" w:type="dxa"/>
            <w:bottom w:w="0" w:type="dxa"/>
            <w:right w:w="108" w:type="dxa"/>
          </w:tblCellMar>
        </w:tblPrEx>
        <w:trPr>
          <w:trHeight w:val="90" w:hRule="atLeast"/>
        </w:trPr>
        <w:tc>
          <w:tcPr>
            <w:tcW w:w="692" w:type="dxa"/>
            <w:tcBorders>
              <w:top w:val="nil"/>
              <w:left w:val="single" w:color="auto" w:sz="4" w:space="0"/>
              <w:bottom w:val="single" w:color="auto" w:sz="4" w:space="0"/>
              <w:right w:val="single" w:color="auto" w:sz="4" w:space="0"/>
            </w:tcBorders>
            <w:shd w:val="clear" w:color="auto" w:fill="auto"/>
            <w:vAlign w:val="bottom"/>
          </w:tcPr>
          <w:p w14:paraId="4DB57AD6">
            <w:pPr>
              <w:keepNext w:val="0"/>
              <w:keepLines w:val="0"/>
              <w:widowControl/>
              <w:numPr>
                <w:ilvl w:val="0"/>
                <w:numId w:val="27"/>
              </w:numPr>
              <w:suppressLineNumbers w:val="0"/>
              <w:spacing w:before="0" w:beforeAutospacing="0" w:after="0" w:afterAutospacing="0" w:line="240" w:lineRule="auto"/>
              <w:ind w:left="425" w:leftChars="0" w:right="0" w:hanging="425" w:firstLineChars="0"/>
              <w:jc w:val="center"/>
              <w:rPr>
                <w:rFonts w:hint="eastAsia" w:ascii="宋体" w:hAnsi="宋体" w:eastAsia="宋体" w:cs="宋体"/>
                <w:color w:val="000000"/>
                <w:kern w:val="0"/>
                <w:sz w:val="24"/>
                <w:szCs w:val="24"/>
              </w:rPr>
            </w:pPr>
          </w:p>
        </w:tc>
        <w:tc>
          <w:tcPr>
            <w:tcW w:w="1661" w:type="dxa"/>
            <w:tcBorders>
              <w:top w:val="nil"/>
              <w:left w:val="nil"/>
              <w:bottom w:val="single" w:color="auto" w:sz="4" w:space="0"/>
              <w:right w:val="single" w:color="auto" w:sz="4" w:space="0"/>
            </w:tcBorders>
            <w:shd w:val="clear" w:color="auto" w:fill="auto"/>
            <w:vAlign w:val="center"/>
          </w:tcPr>
          <w:p w14:paraId="55A35FBB">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光纤交换机</w:t>
            </w:r>
          </w:p>
        </w:tc>
        <w:tc>
          <w:tcPr>
            <w:tcW w:w="2253" w:type="dxa"/>
            <w:tcBorders>
              <w:top w:val="nil"/>
              <w:left w:val="nil"/>
              <w:bottom w:val="single" w:color="auto" w:sz="4" w:space="0"/>
              <w:right w:val="single" w:color="auto" w:sz="4" w:space="0"/>
            </w:tcBorders>
            <w:shd w:val="clear" w:color="auto" w:fill="auto"/>
            <w:vAlign w:val="center"/>
          </w:tcPr>
          <w:p w14:paraId="77DD2C75">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G610</w:t>
            </w:r>
          </w:p>
        </w:tc>
        <w:tc>
          <w:tcPr>
            <w:tcW w:w="762" w:type="dxa"/>
            <w:tcBorders>
              <w:top w:val="nil"/>
              <w:left w:val="nil"/>
              <w:bottom w:val="single" w:color="auto" w:sz="4" w:space="0"/>
              <w:right w:val="single" w:color="auto" w:sz="4" w:space="0"/>
            </w:tcBorders>
            <w:shd w:val="clear" w:color="auto" w:fill="auto"/>
            <w:vAlign w:val="center"/>
          </w:tcPr>
          <w:p w14:paraId="0C041935">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521" w:type="dxa"/>
            <w:tcBorders>
              <w:top w:val="nil"/>
              <w:left w:val="nil"/>
              <w:bottom w:val="single" w:color="auto" w:sz="4" w:space="0"/>
              <w:right w:val="single" w:color="auto" w:sz="4" w:space="0"/>
            </w:tcBorders>
            <w:shd w:val="clear" w:color="auto" w:fill="auto"/>
            <w:vAlign w:val="center"/>
          </w:tcPr>
          <w:p w14:paraId="5EBBC38E">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CZ-A-28</w:t>
            </w:r>
          </w:p>
        </w:tc>
        <w:tc>
          <w:tcPr>
            <w:tcW w:w="1101" w:type="dxa"/>
            <w:tcBorders>
              <w:top w:val="nil"/>
              <w:left w:val="nil"/>
              <w:bottom w:val="single" w:color="auto" w:sz="4" w:space="0"/>
              <w:right w:val="single" w:color="auto" w:sz="4" w:space="0"/>
            </w:tcBorders>
            <w:shd w:val="clear" w:color="auto" w:fill="auto"/>
            <w:vAlign w:val="center"/>
          </w:tcPr>
          <w:p w14:paraId="7C087878">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2108" w:type="dxa"/>
            <w:vMerge w:val="continue"/>
            <w:tcBorders>
              <w:top w:val="nil"/>
              <w:left w:val="single" w:color="auto" w:sz="4" w:space="0"/>
              <w:bottom w:val="single" w:color="000000" w:sz="4" w:space="0"/>
              <w:right w:val="single" w:color="auto" w:sz="4" w:space="0"/>
            </w:tcBorders>
            <w:vAlign w:val="center"/>
          </w:tcPr>
          <w:p w14:paraId="4DCD391A">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p>
        </w:tc>
      </w:tr>
      <w:tr w14:paraId="243D4C56">
        <w:tblPrEx>
          <w:tblCellMar>
            <w:top w:w="0" w:type="dxa"/>
            <w:left w:w="108" w:type="dxa"/>
            <w:bottom w:w="0" w:type="dxa"/>
            <w:right w:w="108" w:type="dxa"/>
          </w:tblCellMar>
        </w:tblPrEx>
        <w:trPr>
          <w:trHeight w:val="90" w:hRule="atLeast"/>
        </w:trPr>
        <w:tc>
          <w:tcPr>
            <w:tcW w:w="692" w:type="dxa"/>
            <w:tcBorders>
              <w:top w:val="nil"/>
              <w:left w:val="single" w:color="auto" w:sz="4" w:space="0"/>
              <w:bottom w:val="single" w:color="auto" w:sz="4" w:space="0"/>
              <w:right w:val="single" w:color="auto" w:sz="4" w:space="0"/>
            </w:tcBorders>
            <w:shd w:val="clear" w:color="auto" w:fill="auto"/>
            <w:vAlign w:val="bottom"/>
          </w:tcPr>
          <w:p w14:paraId="60FB7422">
            <w:pPr>
              <w:keepNext w:val="0"/>
              <w:keepLines w:val="0"/>
              <w:widowControl/>
              <w:numPr>
                <w:ilvl w:val="0"/>
                <w:numId w:val="27"/>
              </w:numPr>
              <w:suppressLineNumbers w:val="0"/>
              <w:spacing w:before="0" w:beforeAutospacing="0" w:after="0" w:afterAutospacing="0" w:line="240" w:lineRule="auto"/>
              <w:ind w:left="425" w:leftChars="0" w:right="0" w:hanging="425" w:firstLineChars="0"/>
              <w:jc w:val="center"/>
              <w:rPr>
                <w:rFonts w:hint="eastAsia" w:ascii="宋体" w:hAnsi="宋体" w:eastAsia="宋体" w:cs="宋体"/>
                <w:color w:val="000000"/>
                <w:kern w:val="0"/>
                <w:sz w:val="24"/>
                <w:szCs w:val="24"/>
              </w:rPr>
            </w:pPr>
          </w:p>
        </w:tc>
        <w:tc>
          <w:tcPr>
            <w:tcW w:w="1661" w:type="dxa"/>
            <w:tcBorders>
              <w:top w:val="nil"/>
              <w:left w:val="nil"/>
              <w:bottom w:val="single" w:color="auto" w:sz="4" w:space="0"/>
              <w:right w:val="single" w:color="auto" w:sz="4" w:space="0"/>
            </w:tcBorders>
            <w:shd w:val="clear" w:color="auto" w:fill="auto"/>
            <w:vAlign w:val="center"/>
          </w:tcPr>
          <w:p w14:paraId="396DD08F">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光纤交换机</w:t>
            </w:r>
          </w:p>
        </w:tc>
        <w:tc>
          <w:tcPr>
            <w:tcW w:w="2253" w:type="dxa"/>
            <w:tcBorders>
              <w:top w:val="nil"/>
              <w:left w:val="nil"/>
              <w:bottom w:val="single" w:color="auto" w:sz="4" w:space="0"/>
              <w:right w:val="single" w:color="auto" w:sz="4" w:space="0"/>
            </w:tcBorders>
            <w:shd w:val="clear" w:color="auto" w:fill="auto"/>
            <w:vAlign w:val="center"/>
          </w:tcPr>
          <w:p w14:paraId="533C136F">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G610</w:t>
            </w:r>
          </w:p>
        </w:tc>
        <w:tc>
          <w:tcPr>
            <w:tcW w:w="762" w:type="dxa"/>
            <w:tcBorders>
              <w:top w:val="nil"/>
              <w:left w:val="nil"/>
              <w:bottom w:val="single" w:color="auto" w:sz="4" w:space="0"/>
              <w:right w:val="single" w:color="auto" w:sz="4" w:space="0"/>
            </w:tcBorders>
            <w:shd w:val="clear" w:color="auto" w:fill="auto"/>
            <w:vAlign w:val="center"/>
          </w:tcPr>
          <w:p w14:paraId="0EA04C2E">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521" w:type="dxa"/>
            <w:tcBorders>
              <w:top w:val="nil"/>
              <w:left w:val="nil"/>
              <w:bottom w:val="single" w:color="auto" w:sz="4" w:space="0"/>
              <w:right w:val="single" w:color="auto" w:sz="4" w:space="0"/>
            </w:tcBorders>
            <w:shd w:val="clear" w:color="auto" w:fill="auto"/>
            <w:vAlign w:val="center"/>
          </w:tcPr>
          <w:p w14:paraId="6A7F5AE1">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CZ-A-28</w:t>
            </w:r>
          </w:p>
        </w:tc>
        <w:tc>
          <w:tcPr>
            <w:tcW w:w="1101" w:type="dxa"/>
            <w:tcBorders>
              <w:top w:val="nil"/>
              <w:left w:val="nil"/>
              <w:bottom w:val="single" w:color="auto" w:sz="4" w:space="0"/>
              <w:right w:val="single" w:color="auto" w:sz="4" w:space="0"/>
            </w:tcBorders>
            <w:shd w:val="clear" w:color="auto" w:fill="auto"/>
            <w:vAlign w:val="center"/>
          </w:tcPr>
          <w:p w14:paraId="73332F36">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2108" w:type="dxa"/>
            <w:vMerge w:val="continue"/>
            <w:tcBorders>
              <w:top w:val="nil"/>
              <w:left w:val="single" w:color="auto" w:sz="4" w:space="0"/>
              <w:bottom w:val="single" w:color="000000" w:sz="4" w:space="0"/>
              <w:right w:val="single" w:color="auto" w:sz="4" w:space="0"/>
            </w:tcBorders>
            <w:vAlign w:val="center"/>
          </w:tcPr>
          <w:p w14:paraId="7614229F">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p>
        </w:tc>
      </w:tr>
      <w:tr w14:paraId="6289C90C">
        <w:tblPrEx>
          <w:tblCellMar>
            <w:top w:w="0" w:type="dxa"/>
            <w:left w:w="108" w:type="dxa"/>
            <w:bottom w:w="0" w:type="dxa"/>
            <w:right w:w="108" w:type="dxa"/>
          </w:tblCellMar>
        </w:tblPrEx>
        <w:trPr>
          <w:trHeight w:val="90" w:hRule="atLeast"/>
        </w:trPr>
        <w:tc>
          <w:tcPr>
            <w:tcW w:w="692" w:type="dxa"/>
            <w:tcBorders>
              <w:top w:val="nil"/>
              <w:left w:val="single" w:color="auto" w:sz="4" w:space="0"/>
              <w:bottom w:val="single" w:color="auto" w:sz="4" w:space="0"/>
              <w:right w:val="single" w:color="auto" w:sz="4" w:space="0"/>
            </w:tcBorders>
            <w:shd w:val="clear" w:color="auto" w:fill="auto"/>
            <w:vAlign w:val="bottom"/>
          </w:tcPr>
          <w:p w14:paraId="65833BD3">
            <w:pPr>
              <w:keepNext w:val="0"/>
              <w:keepLines w:val="0"/>
              <w:widowControl/>
              <w:numPr>
                <w:ilvl w:val="0"/>
                <w:numId w:val="27"/>
              </w:numPr>
              <w:suppressLineNumbers w:val="0"/>
              <w:spacing w:before="0" w:beforeAutospacing="0" w:after="0" w:afterAutospacing="0" w:line="240" w:lineRule="auto"/>
              <w:ind w:left="425" w:leftChars="0" w:right="0" w:hanging="425" w:firstLineChars="0"/>
              <w:jc w:val="center"/>
              <w:rPr>
                <w:rFonts w:hint="eastAsia" w:ascii="宋体" w:hAnsi="宋体" w:eastAsia="宋体" w:cs="宋体"/>
                <w:color w:val="000000"/>
                <w:kern w:val="0"/>
                <w:sz w:val="24"/>
                <w:szCs w:val="24"/>
              </w:rPr>
            </w:pPr>
          </w:p>
        </w:tc>
        <w:tc>
          <w:tcPr>
            <w:tcW w:w="1661" w:type="dxa"/>
            <w:tcBorders>
              <w:top w:val="nil"/>
              <w:left w:val="nil"/>
              <w:bottom w:val="single" w:color="auto" w:sz="4" w:space="0"/>
              <w:right w:val="single" w:color="auto" w:sz="4" w:space="0"/>
            </w:tcBorders>
            <w:shd w:val="clear" w:color="auto" w:fill="auto"/>
            <w:vAlign w:val="center"/>
          </w:tcPr>
          <w:p w14:paraId="66272F3F">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光纤交换机</w:t>
            </w:r>
          </w:p>
        </w:tc>
        <w:tc>
          <w:tcPr>
            <w:tcW w:w="2253" w:type="dxa"/>
            <w:tcBorders>
              <w:top w:val="nil"/>
              <w:left w:val="nil"/>
              <w:bottom w:val="single" w:color="auto" w:sz="4" w:space="0"/>
              <w:right w:val="single" w:color="auto" w:sz="4" w:space="0"/>
            </w:tcBorders>
            <w:shd w:val="clear" w:color="auto" w:fill="auto"/>
            <w:vAlign w:val="bottom"/>
          </w:tcPr>
          <w:p w14:paraId="2CD9376F">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kern w:val="0"/>
                <w:sz w:val="24"/>
                <w:szCs w:val="24"/>
              </w:rPr>
            </w:pPr>
            <w:r>
              <w:rPr>
                <w:rFonts w:hint="eastAsia" w:ascii="宋体" w:hAnsi="宋体" w:eastAsia="宋体" w:cs="宋体"/>
                <w:kern w:val="0"/>
                <w:sz w:val="24"/>
                <w:szCs w:val="24"/>
              </w:rPr>
              <w:t>OceanStor </w:t>
            </w:r>
            <w:r>
              <w:rPr>
                <w:rFonts w:hint="eastAsia" w:ascii="宋体" w:hAnsi="宋体" w:eastAsia="宋体" w:cs="宋体"/>
                <w:kern w:val="0"/>
                <w:sz w:val="24"/>
                <w:szCs w:val="24"/>
                <w:u w:val="single"/>
              </w:rPr>
              <w:t>SNS2224</w:t>
            </w:r>
          </w:p>
        </w:tc>
        <w:tc>
          <w:tcPr>
            <w:tcW w:w="762" w:type="dxa"/>
            <w:tcBorders>
              <w:top w:val="nil"/>
              <w:left w:val="nil"/>
              <w:bottom w:val="single" w:color="auto" w:sz="4" w:space="0"/>
              <w:right w:val="single" w:color="auto" w:sz="4" w:space="0"/>
            </w:tcBorders>
            <w:shd w:val="clear" w:color="auto" w:fill="auto"/>
            <w:vAlign w:val="center"/>
          </w:tcPr>
          <w:p w14:paraId="2476F86E">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521" w:type="dxa"/>
            <w:tcBorders>
              <w:top w:val="nil"/>
              <w:left w:val="nil"/>
              <w:bottom w:val="single" w:color="auto" w:sz="4" w:space="0"/>
              <w:right w:val="single" w:color="auto" w:sz="4" w:space="0"/>
            </w:tcBorders>
            <w:shd w:val="clear" w:color="auto" w:fill="auto"/>
            <w:vAlign w:val="center"/>
          </w:tcPr>
          <w:p w14:paraId="224E0AC3">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CZ-B-</w:t>
            </w:r>
            <w:r>
              <w:rPr>
                <w:rFonts w:hint="eastAsia" w:ascii="宋体" w:hAnsi="宋体" w:eastAsia="宋体" w:cs="宋体"/>
                <w:color w:val="000000"/>
                <w:kern w:val="0"/>
                <w:sz w:val="24"/>
                <w:szCs w:val="24"/>
                <w:lang w:val="en-US" w:eastAsia="zh-CN"/>
              </w:rPr>
              <w:t>13</w:t>
            </w:r>
          </w:p>
        </w:tc>
        <w:tc>
          <w:tcPr>
            <w:tcW w:w="1101" w:type="dxa"/>
            <w:tcBorders>
              <w:top w:val="nil"/>
              <w:left w:val="nil"/>
              <w:bottom w:val="single" w:color="auto" w:sz="4" w:space="0"/>
              <w:right w:val="single" w:color="auto" w:sz="4" w:space="0"/>
            </w:tcBorders>
            <w:shd w:val="clear" w:color="auto" w:fill="auto"/>
            <w:vAlign w:val="center"/>
          </w:tcPr>
          <w:p w14:paraId="7B4338FD">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2108" w:type="dxa"/>
            <w:vMerge w:val="continue"/>
            <w:tcBorders>
              <w:top w:val="nil"/>
              <w:left w:val="single" w:color="auto" w:sz="4" w:space="0"/>
              <w:bottom w:val="single" w:color="000000" w:sz="4" w:space="0"/>
              <w:right w:val="single" w:color="auto" w:sz="4" w:space="0"/>
            </w:tcBorders>
            <w:vAlign w:val="center"/>
          </w:tcPr>
          <w:p w14:paraId="0ED56398">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p>
        </w:tc>
      </w:tr>
      <w:tr w14:paraId="1BD804A9">
        <w:tblPrEx>
          <w:tblCellMar>
            <w:top w:w="0" w:type="dxa"/>
            <w:left w:w="108" w:type="dxa"/>
            <w:bottom w:w="0" w:type="dxa"/>
            <w:right w:w="108" w:type="dxa"/>
          </w:tblCellMar>
        </w:tblPrEx>
        <w:trPr>
          <w:trHeight w:val="90" w:hRule="atLeast"/>
        </w:trPr>
        <w:tc>
          <w:tcPr>
            <w:tcW w:w="692" w:type="dxa"/>
            <w:tcBorders>
              <w:top w:val="nil"/>
              <w:left w:val="single" w:color="auto" w:sz="4" w:space="0"/>
              <w:bottom w:val="single" w:color="auto" w:sz="4" w:space="0"/>
              <w:right w:val="single" w:color="auto" w:sz="4" w:space="0"/>
            </w:tcBorders>
            <w:shd w:val="clear" w:color="auto" w:fill="auto"/>
            <w:vAlign w:val="bottom"/>
          </w:tcPr>
          <w:p w14:paraId="7FBE603A">
            <w:pPr>
              <w:keepNext w:val="0"/>
              <w:keepLines w:val="0"/>
              <w:widowControl/>
              <w:numPr>
                <w:ilvl w:val="0"/>
                <w:numId w:val="27"/>
              </w:numPr>
              <w:suppressLineNumbers w:val="0"/>
              <w:spacing w:before="0" w:beforeAutospacing="0" w:after="0" w:afterAutospacing="0" w:line="240" w:lineRule="auto"/>
              <w:ind w:left="425" w:leftChars="0" w:right="0" w:hanging="425" w:firstLineChars="0"/>
              <w:jc w:val="center"/>
              <w:rPr>
                <w:rFonts w:hint="eastAsia" w:ascii="宋体" w:hAnsi="宋体" w:eastAsia="宋体" w:cs="宋体"/>
                <w:color w:val="000000"/>
                <w:kern w:val="0"/>
                <w:sz w:val="24"/>
                <w:szCs w:val="24"/>
              </w:rPr>
            </w:pPr>
          </w:p>
        </w:tc>
        <w:tc>
          <w:tcPr>
            <w:tcW w:w="1661" w:type="dxa"/>
            <w:tcBorders>
              <w:top w:val="nil"/>
              <w:left w:val="nil"/>
              <w:bottom w:val="single" w:color="auto" w:sz="4" w:space="0"/>
              <w:right w:val="single" w:color="auto" w:sz="4" w:space="0"/>
            </w:tcBorders>
            <w:shd w:val="clear" w:color="auto" w:fill="auto"/>
            <w:vAlign w:val="center"/>
          </w:tcPr>
          <w:p w14:paraId="0B136DB7">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光纤交换机</w:t>
            </w:r>
          </w:p>
        </w:tc>
        <w:tc>
          <w:tcPr>
            <w:tcW w:w="2253" w:type="dxa"/>
            <w:tcBorders>
              <w:top w:val="nil"/>
              <w:left w:val="nil"/>
              <w:bottom w:val="single" w:color="auto" w:sz="4" w:space="0"/>
              <w:right w:val="single" w:color="auto" w:sz="4" w:space="0"/>
            </w:tcBorders>
            <w:shd w:val="clear" w:color="auto" w:fill="auto"/>
            <w:vAlign w:val="bottom"/>
          </w:tcPr>
          <w:p w14:paraId="4FD9DA4F">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kern w:val="0"/>
                <w:sz w:val="24"/>
                <w:szCs w:val="24"/>
              </w:rPr>
            </w:pPr>
            <w:r>
              <w:rPr>
                <w:rFonts w:hint="eastAsia" w:ascii="宋体" w:hAnsi="宋体" w:eastAsia="宋体" w:cs="宋体"/>
                <w:kern w:val="0"/>
                <w:sz w:val="24"/>
                <w:szCs w:val="24"/>
              </w:rPr>
              <w:t>OceanStor </w:t>
            </w:r>
            <w:r>
              <w:rPr>
                <w:rFonts w:hint="eastAsia" w:ascii="宋体" w:hAnsi="宋体" w:eastAsia="宋体" w:cs="宋体"/>
                <w:kern w:val="0"/>
                <w:sz w:val="24"/>
                <w:szCs w:val="24"/>
                <w:u w:val="single"/>
              </w:rPr>
              <w:t>SNS2224</w:t>
            </w:r>
          </w:p>
        </w:tc>
        <w:tc>
          <w:tcPr>
            <w:tcW w:w="762" w:type="dxa"/>
            <w:tcBorders>
              <w:top w:val="nil"/>
              <w:left w:val="nil"/>
              <w:bottom w:val="single" w:color="auto" w:sz="4" w:space="0"/>
              <w:right w:val="single" w:color="auto" w:sz="4" w:space="0"/>
            </w:tcBorders>
            <w:shd w:val="clear" w:color="auto" w:fill="auto"/>
            <w:vAlign w:val="center"/>
          </w:tcPr>
          <w:p w14:paraId="59861397">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521" w:type="dxa"/>
            <w:tcBorders>
              <w:top w:val="nil"/>
              <w:left w:val="nil"/>
              <w:bottom w:val="single" w:color="auto" w:sz="4" w:space="0"/>
              <w:right w:val="single" w:color="auto" w:sz="4" w:space="0"/>
            </w:tcBorders>
            <w:shd w:val="clear" w:color="auto" w:fill="auto"/>
            <w:vAlign w:val="center"/>
          </w:tcPr>
          <w:p w14:paraId="55FA6B7D">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CZ-B-</w:t>
            </w:r>
            <w:r>
              <w:rPr>
                <w:rFonts w:hint="eastAsia" w:ascii="宋体" w:hAnsi="宋体" w:eastAsia="宋体" w:cs="宋体"/>
                <w:color w:val="000000"/>
                <w:kern w:val="0"/>
                <w:sz w:val="24"/>
                <w:szCs w:val="24"/>
                <w:lang w:val="en-US" w:eastAsia="zh-CN"/>
              </w:rPr>
              <w:t>13</w:t>
            </w:r>
          </w:p>
        </w:tc>
        <w:tc>
          <w:tcPr>
            <w:tcW w:w="1101" w:type="dxa"/>
            <w:tcBorders>
              <w:top w:val="nil"/>
              <w:left w:val="nil"/>
              <w:bottom w:val="single" w:color="auto" w:sz="4" w:space="0"/>
              <w:right w:val="single" w:color="auto" w:sz="4" w:space="0"/>
            </w:tcBorders>
            <w:shd w:val="clear" w:color="auto" w:fill="auto"/>
            <w:vAlign w:val="center"/>
          </w:tcPr>
          <w:p w14:paraId="13F768BA">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2108" w:type="dxa"/>
            <w:vMerge w:val="continue"/>
            <w:tcBorders>
              <w:top w:val="nil"/>
              <w:left w:val="single" w:color="auto" w:sz="4" w:space="0"/>
              <w:bottom w:val="single" w:color="000000" w:sz="4" w:space="0"/>
              <w:right w:val="single" w:color="auto" w:sz="4" w:space="0"/>
            </w:tcBorders>
            <w:vAlign w:val="center"/>
          </w:tcPr>
          <w:p w14:paraId="11AB8765">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p>
        </w:tc>
      </w:tr>
      <w:tr w14:paraId="35C243D2">
        <w:tblPrEx>
          <w:tblCellMar>
            <w:top w:w="0" w:type="dxa"/>
            <w:left w:w="108" w:type="dxa"/>
            <w:bottom w:w="0" w:type="dxa"/>
            <w:right w:w="108" w:type="dxa"/>
          </w:tblCellMar>
        </w:tblPrEx>
        <w:trPr>
          <w:trHeight w:val="90" w:hRule="atLeast"/>
        </w:trPr>
        <w:tc>
          <w:tcPr>
            <w:tcW w:w="692" w:type="dxa"/>
            <w:tcBorders>
              <w:top w:val="nil"/>
              <w:left w:val="single" w:color="auto" w:sz="4" w:space="0"/>
              <w:bottom w:val="single" w:color="auto" w:sz="4" w:space="0"/>
              <w:right w:val="single" w:color="auto" w:sz="4" w:space="0"/>
            </w:tcBorders>
            <w:shd w:val="clear" w:color="auto" w:fill="auto"/>
            <w:vAlign w:val="bottom"/>
          </w:tcPr>
          <w:p w14:paraId="22A61194">
            <w:pPr>
              <w:keepNext w:val="0"/>
              <w:keepLines w:val="0"/>
              <w:widowControl/>
              <w:numPr>
                <w:ilvl w:val="0"/>
                <w:numId w:val="27"/>
              </w:numPr>
              <w:suppressLineNumbers w:val="0"/>
              <w:spacing w:before="0" w:beforeAutospacing="0" w:after="0" w:afterAutospacing="0" w:line="240" w:lineRule="auto"/>
              <w:ind w:left="425" w:leftChars="0" w:right="0" w:hanging="425" w:firstLineChars="0"/>
              <w:jc w:val="center"/>
              <w:rPr>
                <w:rFonts w:hint="eastAsia" w:ascii="宋体" w:hAnsi="宋体" w:eastAsia="宋体" w:cs="宋体"/>
                <w:color w:val="000000"/>
                <w:kern w:val="0"/>
                <w:sz w:val="24"/>
                <w:szCs w:val="24"/>
              </w:rPr>
            </w:pPr>
          </w:p>
        </w:tc>
        <w:tc>
          <w:tcPr>
            <w:tcW w:w="1661" w:type="dxa"/>
            <w:tcBorders>
              <w:top w:val="nil"/>
              <w:left w:val="nil"/>
              <w:bottom w:val="single" w:color="auto" w:sz="4" w:space="0"/>
              <w:right w:val="single" w:color="auto" w:sz="4" w:space="0"/>
            </w:tcBorders>
            <w:shd w:val="clear" w:color="auto" w:fill="auto"/>
            <w:vAlign w:val="center"/>
          </w:tcPr>
          <w:p w14:paraId="3E55390E">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光纤交换机</w:t>
            </w:r>
          </w:p>
        </w:tc>
        <w:tc>
          <w:tcPr>
            <w:tcW w:w="2253" w:type="dxa"/>
            <w:tcBorders>
              <w:top w:val="nil"/>
              <w:left w:val="nil"/>
              <w:bottom w:val="single" w:color="auto" w:sz="4" w:space="0"/>
              <w:right w:val="single" w:color="auto" w:sz="4" w:space="0"/>
            </w:tcBorders>
            <w:shd w:val="clear" w:color="auto" w:fill="auto"/>
            <w:vAlign w:val="center"/>
          </w:tcPr>
          <w:p w14:paraId="54166640">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CN3300B</w:t>
            </w:r>
          </w:p>
        </w:tc>
        <w:tc>
          <w:tcPr>
            <w:tcW w:w="762" w:type="dxa"/>
            <w:tcBorders>
              <w:top w:val="nil"/>
              <w:left w:val="nil"/>
              <w:bottom w:val="single" w:color="auto" w:sz="4" w:space="0"/>
              <w:right w:val="single" w:color="auto" w:sz="4" w:space="0"/>
            </w:tcBorders>
            <w:shd w:val="clear" w:color="auto" w:fill="auto"/>
            <w:vAlign w:val="center"/>
          </w:tcPr>
          <w:p w14:paraId="12F253BD">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521" w:type="dxa"/>
            <w:tcBorders>
              <w:top w:val="nil"/>
              <w:left w:val="nil"/>
              <w:bottom w:val="single" w:color="auto" w:sz="4" w:space="0"/>
              <w:right w:val="single" w:color="auto" w:sz="4" w:space="0"/>
            </w:tcBorders>
            <w:shd w:val="clear" w:color="auto" w:fill="auto"/>
            <w:vAlign w:val="center"/>
          </w:tcPr>
          <w:p w14:paraId="575B5684">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CZ-B-0</w:t>
            </w:r>
            <w:r>
              <w:rPr>
                <w:rFonts w:hint="eastAsia" w:ascii="宋体" w:hAnsi="宋体" w:eastAsia="宋体" w:cs="宋体"/>
                <w:color w:val="000000"/>
                <w:kern w:val="0"/>
                <w:sz w:val="24"/>
                <w:szCs w:val="24"/>
                <w:lang w:val="en-US" w:eastAsia="zh-CN"/>
              </w:rPr>
              <w:t>6</w:t>
            </w:r>
          </w:p>
        </w:tc>
        <w:tc>
          <w:tcPr>
            <w:tcW w:w="1101" w:type="dxa"/>
            <w:tcBorders>
              <w:top w:val="nil"/>
              <w:left w:val="nil"/>
              <w:bottom w:val="single" w:color="auto" w:sz="4" w:space="0"/>
              <w:right w:val="single" w:color="auto" w:sz="4" w:space="0"/>
            </w:tcBorders>
            <w:shd w:val="clear" w:color="auto" w:fill="auto"/>
            <w:vAlign w:val="center"/>
          </w:tcPr>
          <w:p w14:paraId="092BEFB9">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2108" w:type="dxa"/>
            <w:vMerge w:val="continue"/>
            <w:tcBorders>
              <w:top w:val="nil"/>
              <w:left w:val="single" w:color="auto" w:sz="4" w:space="0"/>
              <w:bottom w:val="single" w:color="000000" w:sz="4" w:space="0"/>
              <w:right w:val="single" w:color="auto" w:sz="4" w:space="0"/>
            </w:tcBorders>
            <w:vAlign w:val="center"/>
          </w:tcPr>
          <w:p w14:paraId="6DFBAAA0">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p>
        </w:tc>
      </w:tr>
      <w:tr w14:paraId="7DE4FFED">
        <w:tblPrEx>
          <w:tblCellMar>
            <w:top w:w="0" w:type="dxa"/>
            <w:left w:w="108" w:type="dxa"/>
            <w:bottom w:w="0" w:type="dxa"/>
            <w:right w:w="108" w:type="dxa"/>
          </w:tblCellMar>
        </w:tblPrEx>
        <w:trPr>
          <w:trHeight w:val="90" w:hRule="atLeast"/>
        </w:trPr>
        <w:tc>
          <w:tcPr>
            <w:tcW w:w="692" w:type="dxa"/>
            <w:tcBorders>
              <w:top w:val="nil"/>
              <w:left w:val="single" w:color="auto" w:sz="4" w:space="0"/>
              <w:bottom w:val="single" w:color="auto" w:sz="4" w:space="0"/>
              <w:right w:val="single" w:color="auto" w:sz="4" w:space="0"/>
            </w:tcBorders>
            <w:shd w:val="clear" w:color="auto" w:fill="auto"/>
            <w:vAlign w:val="bottom"/>
          </w:tcPr>
          <w:p w14:paraId="12788BFA">
            <w:pPr>
              <w:keepNext w:val="0"/>
              <w:keepLines w:val="0"/>
              <w:widowControl/>
              <w:numPr>
                <w:ilvl w:val="0"/>
                <w:numId w:val="27"/>
              </w:numPr>
              <w:suppressLineNumbers w:val="0"/>
              <w:spacing w:before="0" w:beforeAutospacing="0" w:after="0" w:afterAutospacing="0" w:line="240" w:lineRule="auto"/>
              <w:ind w:left="425" w:leftChars="0" w:right="0" w:hanging="425" w:firstLineChars="0"/>
              <w:jc w:val="center"/>
              <w:rPr>
                <w:rFonts w:hint="eastAsia" w:ascii="宋体" w:hAnsi="宋体" w:eastAsia="宋体" w:cs="宋体"/>
                <w:color w:val="000000"/>
                <w:kern w:val="0"/>
                <w:sz w:val="24"/>
                <w:szCs w:val="24"/>
              </w:rPr>
            </w:pPr>
          </w:p>
        </w:tc>
        <w:tc>
          <w:tcPr>
            <w:tcW w:w="1661" w:type="dxa"/>
            <w:tcBorders>
              <w:top w:val="nil"/>
              <w:left w:val="nil"/>
              <w:bottom w:val="single" w:color="auto" w:sz="4" w:space="0"/>
              <w:right w:val="single" w:color="auto" w:sz="4" w:space="0"/>
            </w:tcBorders>
            <w:shd w:val="clear" w:color="auto" w:fill="auto"/>
            <w:vAlign w:val="center"/>
          </w:tcPr>
          <w:p w14:paraId="1591D106">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光纤交换机</w:t>
            </w:r>
          </w:p>
        </w:tc>
        <w:tc>
          <w:tcPr>
            <w:tcW w:w="2253" w:type="dxa"/>
            <w:tcBorders>
              <w:top w:val="nil"/>
              <w:left w:val="nil"/>
              <w:bottom w:val="single" w:color="auto" w:sz="4" w:space="0"/>
              <w:right w:val="single" w:color="auto" w:sz="4" w:space="0"/>
            </w:tcBorders>
            <w:shd w:val="clear" w:color="auto" w:fill="auto"/>
            <w:vAlign w:val="center"/>
          </w:tcPr>
          <w:p w14:paraId="02027656">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CN3300B</w:t>
            </w:r>
          </w:p>
        </w:tc>
        <w:tc>
          <w:tcPr>
            <w:tcW w:w="762" w:type="dxa"/>
            <w:tcBorders>
              <w:top w:val="nil"/>
              <w:left w:val="nil"/>
              <w:bottom w:val="single" w:color="auto" w:sz="4" w:space="0"/>
              <w:right w:val="single" w:color="auto" w:sz="4" w:space="0"/>
            </w:tcBorders>
            <w:shd w:val="clear" w:color="auto" w:fill="auto"/>
            <w:vAlign w:val="center"/>
          </w:tcPr>
          <w:p w14:paraId="3649D046">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521" w:type="dxa"/>
            <w:tcBorders>
              <w:top w:val="nil"/>
              <w:left w:val="nil"/>
              <w:bottom w:val="single" w:color="auto" w:sz="4" w:space="0"/>
              <w:right w:val="single" w:color="auto" w:sz="4" w:space="0"/>
            </w:tcBorders>
            <w:shd w:val="clear" w:color="auto" w:fill="auto"/>
            <w:vAlign w:val="center"/>
          </w:tcPr>
          <w:p w14:paraId="7EFBFEB3">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CZ-B-0</w:t>
            </w:r>
            <w:r>
              <w:rPr>
                <w:rFonts w:hint="eastAsia" w:ascii="宋体" w:hAnsi="宋体" w:eastAsia="宋体" w:cs="宋体"/>
                <w:color w:val="000000"/>
                <w:kern w:val="0"/>
                <w:sz w:val="24"/>
                <w:szCs w:val="24"/>
                <w:lang w:val="en-US" w:eastAsia="zh-CN"/>
              </w:rPr>
              <w:t>6</w:t>
            </w:r>
          </w:p>
        </w:tc>
        <w:tc>
          <w:tcPr>
            <w:tcW w:w="1101" w:type="dxa"/>
            <w:tcBorders>
              <w:top w:val="nil"/>
              <w:left w:val="nil"/>
              <w:bottom w:val="single" w:color="auto" w:sz="4" w:space="0"/>
              <w:right w:val="single" w:color="auto" w:sz="4" w:space="0"/>
            </w:tcBorders>
            <w:shd w:val="clear" w:color="auto" w:fill="auto"/>
            <w:vAlign w:val="center"/>
          </w:tcPr>
          <w:p w14:paraId="2466535B">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2108" w:type="dxa"/>
            <w:vMerge w:val="continue"/>
            <w:tcBorders>
              <w:top w:val="nil"/>
              <w:left w:val="single" w:color="auto" w:sz="4" w:space="0"/>
              <w:bottom w:val="single" w:color="000000" w:sz="4" w:space="0"/>
              <w:right w:val="single" w:color="auto" w:sz="4" w:space="0"/>
            </w:tcBorders>
            <w:vAlign w:val="center"/>
          </w:tcPr>
          <w:p w14:paraId="2FEE1FDB">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p>
        </w:tc>
      </w:tr>
      <w:tr w14:paraId="348E44FC">
        <w:tblPrEx>
          <w:tblCellMar>
            <w:top w:w="0" w:type="dxa"/>
            <w:left w:w="108" w:type="dxa"/>
            <w:bottom w:w="0" w:type="dxa"/>
            <w:right w:w="108" w:type="dxa"/>
          </w:tblCellMar>
        </w:tblPrEx>
        <w:trPr>
          <w:trHeight w:val="90" w:hRule="atLeast"/>
        </w:trPr>
        <w:tc>
          <w:tcPr>
            <w:tcW w:w="692" w:type="dxa"/>
            <w:tcBorders>
              <w:top w:val="nil"/>
              <w:left w:val="single" w:color="auto" w:sz="4" w:space="0"/>
              <w:bottom w:val="single" w:color="auto" w:sz="4" w:space="0"/>
              <w:right w:val="single" w:color="auto" w:sz="4" w:space="0"/>
            </w:tcBorders>
            <w:shd w:val="clear" w:color="auto" w:fill="auto"/>
            <w:vAlign w:val="bottom"/>
          </w:tcPr>
          <w:p w14:paraId="1CAA9049">
            <w:pPr>
              <w:keepNext w:val="0"/>
              <w:keepLines w:val="0"/>
              <w:widowControl/>
              <w:numPr>
                <w:ilvl w:val="0"/>
                <w:numId w:val="27"/>
              </w:numPr>
              <w:suppressLineNumbers w:val="0"/>
              <w:spacing w:before="0" w:beforeAutospacing="0" w:after="0" w:afterAutospacing="0" w:line="240" w:lineRule="auto"/>
              <w:ind w:left="425" w:leftChars="0" w:right="0" w:hanging="425" w:firstLineChars="0"/>
              <w:jc w:val="center"/>
              <w:rPr>
                <w:rFonts w:hint="eastAsia" w:ascii="宋体" w:hAnsi="宋体" w:eastAsia="宋体" w:cs="宋体"/>
                <w:color w:val="000000"/>
                <w:kern w:val="0"/>
                <w:sz w:val="24"/>
                <w:szCs w:val="24"/>
              </w:rPr>
            </w:pPr>
          </w:p>
        </w:tc>
        <w:tc>
          <w:tcPr>
            <w:tcW w:w="1661" w:type="dxa"/>
            <w:tcBorders>
              <w:top w:val="nil"/>
              <w:left w:val="nil"/>
              <w:bottom w:val="single" w:color="auto" w:sz="4" w:space="0"/>
              <w:right w:val="single" w:color="auto" w:sz="4" w:space="0"/>
            </w:tcBorders>
            <w:shd w:val="clear" w:color="auto" w:fill="auto"/>
            <w:vAlign w:val="bottom"/>
          </w:tcPr>
          <w:p w14:paraId="7409BC16">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汇聚交换机</w:t>
            </w:r>
          </w:p>
        </w:tc>
        <w:tc>
          <w:tcPr>
            <w:tcW w:w="2253" w:type="dxa"/>
            <w:tcBorders>
              <w:top w:val="nil"/>
              <w:left w:val="nil"/>
              <w:bottom w:val="single" w:color="auto" w:sz="4" w:space="0"/>
              <w:right w:val="single" w:color="auto" w:sz="4" w:space="0"/>
            </w:tcBorders>
            <w:shd w:val="clear" w:color="auto" w:fill="auto"/>
            <w:vAlign w:val="bottom"/>
          </w:tcPr>
          <w:p w14:paraId="781A4C32">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S7506E</w:t>
            </w:r>
          </w:p>
        </w:tc>
        <w:tc>
          <w:tcPr>
            <w:tcW w:w="762" w:type="dxa"/>
            <w:tcBorders>
              <w:top w:val="nil"/>
              <w:left w:val="nil"/>
              <w:bottom w:val="single" w:color="auto" w:sz="4" w:space="0"/>
              <w:right w:val="single" w:color="auto" w:sz="4" w:space="0"/>
            </w:tcBorders>
            <w:shd w:val="clear" w:color="auto" w:fill="auto"/>
            <w:vAlign w:val="center"/>
          </w:tcPr>
          <w:p w14:paraId="0E5BF1EF">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521" w:type="dxa"/>
            <w:tcBorders>
              <w:top w:val="nil"/>
              <w:left w:val="nil"/>
              <w:bottom w:val="single" w:color="auto" w:sz="4" w:space="0"/>
              <w:right w:val="single" w:color="auto" w:sz="4" w:space="0"/>
            </w:tcBorders>
            <w:shd w:val="clear" w:color="auto" w:fill="auto"/>
            <w:vAlign w:val="center"/>
          </w:tcPr>
          <w:p w14:paraId="509C17F7">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CZ-A-33</w:t>
            </w:r>
          </w:p>
        </w:tc>
        <w:tc>
          <w:tcPr>
            <w:tcW w:w="1101" w:type="dxa"/>
            <w:tcBorders>
              <w:top w:val="nil"/>
              <w:left w:val="nil"/>
              <w:bottom w:val="single" w:color="auto" w:sz="4" w:space="0"/>
              <w:right w:val="single" w:color="auto" w:sz="4" w:space="0"/>
            </w:tcBorders>
            <w:shd w:val="clear" w:color="auto" w:fill="auto"/>
            <w:vAlign w:val="center"/>
          </w:tcPr>
          <w:p w14:paraId="10360A8A">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2108" w:type="dxa"/>
            <w:vMerge w:val="restart"/>
            <w:tcBorders>
              <w:top w:val="nil"/>
              <w:left w:val="single" w:color="auto" w:sz="4" w:space="0"/>
              <w:bottom w:val="single" w:color="000000" w:sz="4" w:space="0"/>
              <w:right w:val="single" w:color="auto" w:sz="4" w:space="0"/>
            </w:tcBorders>
            <w:shd w:val="clear" w:color="auto" w:fill="auto"/>
            <w:vAlign w:val="center"/>
          </w:tcPr>
          <w:p w14:paraId="7308CA49">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硬件保修包含整机上面所有配件（如主控板、交换矩阵、电源、风扇、配置调整等）, 本地工程师现场支持要求时间为7*24小时*2小时到达，所需配件24小时内送达。</w:t>
            </w:r>
          </w:p>
        </w:tc>
      </w:tr>
      <w:tr w14:paraId="67FA55B1">
        <w:tblPrEx>
          <w:tblCellMar>
            <w:top w:w="0" w:type="dxa"/>
            <w:left w:w="108" w:type="dxa"/>
            <w:bottom w:w="0" w:type="dxa"/>
            <w:right w:w="108" w:type="dxa"/>
          </w:tblCellMar>
        </w:tblPrEx>
        <w:trPr>
          <w:trHeight w:val="90" w:hRule="atLeast"/>
        </w:trPr>
        <w:tc>
          <w:tcPr>
            <w:tcW w:w="692" w:type="dxa"/>
            <w:tcBorders>
              <w:top w:val="nil"/>
              <w:left w:val="single" w:color="auto" w:sz="4" w:space="0"/>
              <w:bottom w:val="single" w:color="auto" w:sz="4" w:space="0"/>
              <w:right w:val="single" w:color="auto" w:sz="4" w:space="0"/>
            </w:tcBorders>
            <w:shd w:val="clear" w:color="auto" w:fill="auto"/>
            <w:vAlign w:val="bottom"/>
          </w:tcPr>
          <w:p w14:paraId="1399BA12">
            <w:pPr>
              <w:keepNext w:val="0"/>
              <w:keepLines w:val="0"/>
              <w:widowControl/>
              <w:numPr>
                <w:ilvl w:val="0"/>
                <w:numId w:val="27"/>
              </w:numPr>
              <w:suppressLineNumbers w:val="0"/>
              <w:spacing w:before="0" w:beforeAutospacing="0" w:after="0" w:afterAutospacing="0" w:line="240" w:lineRule="auto"/>
              <w:ind w:left="425" w:leftChars="0" w:right="0" w:hanging="425" w:firstLineChars="0"/>
              <w:jc w:val="center"/>
              <w:rPr>
                <w:rFonts w:hint="eastAsia" w:ascii="宋体" w:hAnsi="宋体" w:eastAsia="宋体" w:cs="宋体"/>
                <w:color w:val="000000"/>
                <w:kern w:val="0"/>
                <w:sz w:val="24"/>
                <w:szCs w:val="24"/>
              </w:rPr>
            </w:pPr>
          </w:p>
        </w:tc>
        <w:tc>
          <w:tcPr>
            <w:tcW w:w="1661" w:type="dxa"/>
            <w:tcBorders>
              <w:top w:val="nil"/>
              <w:left w:val="nil"/>
              <w:bottom w:val="single" w:color="auto" w:sz="4" w:space="0"/>
              <w:right w:val="single" w:color="auto" w:sz="4" w:space="0"/>
            </w:tcBorders>
            <w:shd w:val="clear" w:color="auto" w:fill="auto"/>
            <w:vAlign w:val="bottom"/>
          </w:tcPr>
          <w:p w14:paraId="1560F5BF">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汇聚交换机</w:t>
            </w:r>
          </w:p>
        </w:tc>
        <w:tc>
          <w:tcPr>
            <w:tcW w:w="2253" w:type="dxa"/>
            <w:tcBorders>
              <w:top w:val="nil"/>
              <w:left w:val="nil"/>
              <w:bottom w:val="single" w:color="auto" w:sz="4" w:space="0"/>
              <w:right w:val="single" w:color="auto" w:sz="4" w:space="0"/>
            </w:tcBorders>
            <w:shd w:val="clear" w:color="auto" w:fill="auto"/>
            <w:vAlign w:val="bottom"/>
          </w:tcPr>
          <w:p w14:paraId="598DC23C">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S7506E</w:t>
            </w:r>
          </w:p>
        </w:tc>
        <w:tc>
          <w:tcPr>
            <w:tcW w:w="762" w:type="dxa"/>
            <w:tcBorders>
              <w:top w:val="nil"/>
              <w:left w:val="nil"/>
              <w:bottom w:val="single" w:color="auto" w:sz="4" w:space="0"/>
              <w:right w:val="single" w:color="auto" w:sz="4" w:space="0"/>
            </w:tcBorders>
            <w:shd w:val="clear" w:color="auto" w:fill="auto"/>
            <w:vAlign w:val="center"/>
          </w:tcPr>
          <w:p w14:paraId="67102BA7">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521" w:type="dxa"/>
            <w:tcBorders>
              <w:top w:val="nil"/>
              <w:left w:val="nil"/>
              <w:bottom w:val="single" w:color="auto" w:sz="4" w:space="0"/>
              <w:right w:val="single" w:color="auto" w:sz="4" w:space="0"/>
            </w:tcBorders>
            <w:shd w:val="clear" w:color="auto" w:fill="auto"/>
            <w:vAlign w:val="center"/>
          </w:tcPr>
          <w:p w14:paraId="3A910BCB">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CZ-A-33</w:t>
            </w:r>
          </w:p>
        </w:tc>
        <w:tc>
          <w:tcPr>
            <w:tcW w:w="1101" w:type="dxa"/>
            <w:tcBorders>
              <w:top w:val="nil"/>
              <w:left w:val="nil"/>
              <w:bottom w:val="single" w:color="auto" w:sz="4" w:space="0"/>
              <w:right w:val="single" w:color="auto" w:sz="4" w:space="0"/>
            </w:tcBorders>
            <w:shd w:val="clear" w:color="auto" w:fill="auto"/>
            <w:vAlign w:val="center"/>
          </w:tcPr>
          <w:p w14:paraId="5BD9EDA7">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2108" w:type="dxa"/>
            <w:vMerge w:val="continue"/>
            <w:tcBorders>
              <w:top w:val="nil"/>
              <w:left w:val="single" w:color="auto" w:sz="4" w:space="0"/>
              <w:bottom w:val="single" w:color="000000" w:sz="4" w:space="0"/>
              <w:right w:val="single" w:color="auto" w:sz="4" w:space="0"/>
            </w:tcBorders>
            <w:vAlign w:val="center"/>
          </w:tcPr>
          <w:p w14:paraId="46463C9E">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p>
        </w:tc>
      </w:tr>
      <w:tr w14:paraId="204D17B5">
        <w:tblPrEx>
          <w:tblCellMar>
            <w:top w:w="0" w:type="dxa"/>
            <w:left w:w="108" w:type="dxa"/>
            <w:bottom w:w="0" w:type="dxa"/>
            <w:right w:w="108" w:type="dxa"/>
          </w:tblCellMar>
        </w:tblPrEx>
        <w:trPr>
          <w:trHeight w:val="90" w:hRule="atLeast"/>
        </w:trPr>
        <w:tc>
          <w:tcPr>
            <w:tcW w:w="692" w:type="dxa"/>
            <w:tcBorders>
              <w:top w:val="nil"/>
              <w:left w:val="single" w:color="auto" w:sz="4" w:space="0"/>
              <w:bottom w:val="single" w:color="auto" w:sz="4" w:space="0"/>
              <w:right w:val="single" w:color="auto" w:sz="4" w:space="0"/>
            </w:tcBorders>
            <w:shd w:val="clear" w:color="auto" w:fill="auto"/>
            <w:vAlign w:val="bottom"/>
          </w:tcPr>
          <w:p w14:paraId="30F6240F">
            <w:pPr>
              <w:keepNext w:val="0"/>
              <w:keepLines w:val="0"/>
              <w:widowControl/>
              <w:numPr>
                <w:ilvl w:val="0"/>
                <w:numId w:val="27"/>
              </w:numPr>
              <w:suppressLineNumbers w:val="0"/>
              <w:spacing w:before="0" w:beforeAutospacing="0" w:after="0" w:afterAutospacing="0" w:line="240" w:lineRule="auto"/>
              <w:ind w:left="425" w:leftChars="0" w:right="0" w:hanging="425" w:firstLineChars="0"/>
              <w:jc w:val="center"/>
              <w:rPr>
                <w:rFonts w:hint="eastAsia" w:ascii="宋体" w:hAnsi="宋体" w:eastAsia="宋体" w:cs="宋体"/>
                <w:color w:val="000000"/>
                <w:kern w:val="0"/>
                <w:sz w:val="24"/>
                <w:szCs w:val="24"/>
              </w:rPr>
            </w:pPr>
          </w:p>
        </w:tc>
        <w:tc>
          <w:tcPr>
            <w:tcW w:w="1661" w:type="dxa"/>
            <w:tcBorders>
              <w:top w:val="nil"/>
              <w:left w:val="nil"/>
              <w:bottom w:val="single" w:color="auto" w:sz="4" w:space="0"/>
              <w:right w:val="single" w:color="auto" w:sz="4" w:space="0"/>
            </w:tcBorders>
            <w:shd w:val="clear" w:color="auto" w:fill="auto"/>
            <w:vAlign w:val="bottom"/>
          </w:tcPr>
          <w:p w14:paraId="3448D639">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汇聚交换机</w:t>
            </w:r>
          </w:p>
        </w:tc>
        <w:tc>
          <w:tcPr>
            <w:tcW w:w="2253" w:type="dxa"/>
            <w:tcBorders>
              <w:top w:val="nil"/>
              <w:left w:val="nil"/>
              <w:bottom w:val="single" w:color="auto" w:sz="4" w:space="0"/>
              <w:right w:val="single" w:color="auto" w:sz="4" w:space="0"/>
            </w:tcBorders>
            <w:shd w:val="clear" w:color="auto" w:fill="auto"/>
            <w:vAlign w:val="bottom"/>
          </w:tcPr>
          <w:p w14:paraId="42CBD892">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S7506E</w:t>
            </w:r>
          </w:p>
        </w:tc>
        <w:tc>
          <w:tcPr>
            <w:tcW w:w="762" w:type="dxa"/>
            <w:tcBorders>
              <w:top w:val="nil"/>
              <w:left w:val="nil"/>
              <w:bottom w:val="single" w:color="auto" w:sz="4" w:space="0"/>
              <w:right w:val="single" w:color="auto" w:sz="4" w:space="0"/>
            </w:tcBorders>
            <w:shd w:val="clear" w:color="auto" w:fill="auto"/>
            <w:vAlign w:val="center"/>
          </w:tcPr>
          <w:p w14:paraId="431D40BF">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521" w:type="dxa"/>
            <w:tcBorders>
              <w:top w:val="nil"/>
              <w:left w:val="nil"/>
              <w:bottom w:val="single" w:color="auto" w:sz="4" w:space="0"/>
              <w:right w:val="single" w:color="auto" w:sz="4" w:space="0"/>
            </w:tcBorders>
            <w:shd w:val="clear" w:color="auto" w:fill="auto"/>
            <w:vAlign w:val="center"/>
          </w:tcPr>
          <w:p w14:paraId="0C8C8EBA">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CZ-B-04</w:t>
            </w:r>
          </w:p>
        </w:tc>
        <w:tc>
          <w:tcPr>
            <w:tcW w:w="1101" w:type="dxa"/>
            <w:tcBorders>
              <w:top w:val="nil"/>
              <w:left w:val="nil"/>
              <w:bottom w:val="single" w:color="auto" w:sz="4" w:space="0"/>
              <w:right w:val="single" w:color="auto" w:sz="4" w:space="0"/>
            </w:tcBorders>
            <w:shd w:val="clear" w:color="auto" w:fill="auto"/>
            <w:vAlign w:val="center"/>
          </w:tcPr>
          <w:p w14:paraId="111E2A20">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2108" w:type="dxa"/>
            <w:vMerge w:val="continue"/>
            <w:tcBorders>
              <w:top w:val="nil"/>
              <w:left w:val="single" w:color="auto" w:sz="4" w:space="0"/>
              <w:bottom w:val="single" w:color="000000" w:sz="4" w:space="0"/>
              <w:right w:val="single" w:color="auto" w:sz="4" w:space="0"/>
            </w:tcBorders>
            <w:vAlign w:val="center"/>
          </w:tcPr>
          <w:p w14:paraId="7EF55C6B">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p>
        </w:tc>
      </w:tr>
      <w:tr w14:paraId="3A00E9D6">
        <w:tblPrEx>
          <w:tblCellMar>
            <w:top w:w="0" w:type="dxa"/>
            <w:left w:w="108" w:type="dxa"/>
            <w:bottom w:w="0" w:type="dxa"/>
            <w:right w:w="108" w:type="dxa"/>
          </w:tblCellMar>
        </w:tblPrEx>
        <w:trPr>
          <w:trHeight w:val="90" w:hRule="atLeast"/>
        </w:trPr>
        <w:tc>
          <w:tcPr>
            <w:tcW w:w="692" w:type="dxa"/>
            <w:tcBorders>
              <w:top w:val="nil"/>
              <w:left w:val="single" w:color="auto" w:sz="4" w:space="0"/>
              <w:bottom w:val="single" w:color="auto" w:sz="4" w:space="0"/>
              <w:right w:val="single" w:color="auto" w:sz="4" w:space="0"/>
            </w:tcBorders>
            <w:shd w:val="clear" w:color="auto" w:fill="auto"/>
            <w:vAlign w:val="bottom"/>
          </w:tcPr>
          <w:p w14:paraId="0275818F">
            <w:pPr>
              <w:keepNext w:val="0"/>
              <w:keepLines w:val="0"/>
              <w:widowControl/>
              <w:numPr>
                <w:ilvl w:val="0"/>
                <w:numId w:val="27"/>
              </w:numPr>
              <w:suppressLineNumbers w:val="0"/>
              <w:spacing w:before="0" w:beforeAutospacing="0" w:after="0" w:afterAutospacing="0" w:line="240" w:lineRule="auto"/>
              <w:ind w:left="425" w:leftChars="0" w:right="0" w:hanging="425" w:firstLineChars="0"/>
              <w:jc w:val="center"/>
              <w:rPr>
                <w:rFonts w:hint="eastAsia" w:ascii="宋体" w:hAnsi="宋体" w:eastAsia="宋体" w:cs="宋体"/>
                <w:color w:val="000000"/>
                <w:kern w:val="0"/>
                <w:sz w:val="24"/>
                <w:szCs w:val="24"/>
              </w:rPr>
            </w:pPr>
          </w:p>
        </w:tc>
        <w:tc>
          <w:tcPr>
            <w:tcW w:w="1661" w:type="dxa"/>
            <w:tcBorders>
              <w:top w:val="nil"/>
              <w:left w:val="nil"/>
              <w:bottom w:val="single" w:color="auto" w:sz="4" w:space="0"/>
              <w:right w:val="single" w:color="auto" w:sz="4" w:space="0"/>
            </w:tcBorders>
            <w:shd w:val="clear" w:color="auto" w:fill="auto"/>
            <w:vAlign w:val="bottom"/>
          </w:tcPr>
          <w:p w14:paraId="6B962D99">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汇聚交换机</w:t>
            </w:r>
          </w:p>
        </w:tc>
        <w:tc>
          <w:tcPr>
            <w:tcW w:w="2253" w:type="dxa"/>
            <w:tcBorders>
              <w:top w:val="nil"/>
              <w:left w:val="nil"/>
              <w:bottom w:val="single" w:color="auto" w:sz="4" w:space="0"/>
              <w:right w:val="single" w:color="auto" w:sz="4" w:space="0"/>
            </w:tcBorders>
            <w:shd w:val="clear" w:color="auto" w:fill="auto"/>
            <w:vAlign w:val="bottom"/>
          </w:tcPr>
          <w:p w14:paraId="1B546B66">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S7506E</w:t>
            </w:r>
          </w:p>
        </w:tc>
        <w:tc>
          <w:tcPr>
            <w:tcW w:w="762" w:type="dxa"/>
            <w:tcBorders>
              <w:top w:val="nil"/>
              <w:left w:val="nil"/>
              <w:bottom w:val="single" w:color="auto" w:sz="4" w:space="0"/>
              <w:right w:val="single" w:color="auto" w:sz="4" w:space="0"/>
            </w:tcBorders>
            <w:shd w:val="clear" w:color="auto" w:fill="auto"/>
            <w:vAlign w:val="center"/>
          </w:tcPr>
          <w:p w14:paraId="3FFBBB25">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521" w:type="dxa"/>
            <w:tcBorders>
              <w:top w:val="nil"/>
              <w:left w:val="nil"/>
              <w:bottom w:val="single" w:color="auto" w:sz="4" w:space="0"/>
              <w:right w:val="single" w:color="auto" w:sz="4" w:space="0"/>
            </w:tcBorders>
            <w:shd w:val="clear" w:color="auto" w:fill="auto"/>
            <w:vAlign w:val="center"/>
          </w:tcPr>
          <w:p w14:paraId="464EE079">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CZ-B-04</w:t>
            </w:r>
          </w:p>
        </w:tc>
        <w:tc>
          <w:tcPr>
            <w:tcW w:w="1101" w:type="dxa"/>
            <w:tcBorders>
              <w:top w:val="nil"/>
              <w:left w:val="nil"/>
              <w:bottom w:val="single" w:color="auto" w:sz="4" w:space="0"/>
              <w:right w:val="single" w:color="auto" w:sz="4" w:space="0"/>
            </w:tcBorders>
            <w:shd w:val="clear" w:color="auto" w:fill="auto"/>
            <w:vAlign w:val="center"/>
          </w:tcPr>
          <w:p w14:paraId="0AEBB9E1">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2108" w:type="dxa"/>
            <w:vMerge w:val="continue"/>
            <w:tcBorders>
              <w:top w:val="nil"/>
              <w:left w:val="single" w:color="auto" w:sz="4" w:space="0"/>
              <w:bottom w:val="single" w:color="000000" w:sz="4" w:space="0"/>
              <w:right w:val="single" w:color="auto" w:sz="4" w:space="0"/>
            </w:tcBorders>
            <w:vAlign w:val="center"/>
          </w:tcPr>
          <w:p w14:paraId="06024B19">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p>
        </w:tc>
      </w:tr>
      <w:tr w14:paraId="7DD0B309">
        <w:tblPrEx>
          <w:tblCellMar>
            <w:top w:w="0" w:type="dxa"/>
            <w:left w:w="108" w:type="dxa"/>
            <w:bottom w:w="0" w:type="dxa"/>
            <w:right w:w="108" w:type="dxa"/>
          </w:tblCellMar>
        </w:tblPrEx>
        <w:trPr>
          <w:trHeight w:val="90" w:hRule="atLeast"/>
        </w:trPr>
        <w:tc>
          <w:tcPr>
            <w:tcW w:w="692" w:type="dxa"/>
            <w:tcBorders>
              <w:top w:val="nil"/>
              <w:left w:val="single" w:color="auto" w:sz="4" w:space="0"/>
              <w:bottom w:val="single" w:color="auto" w:sz="4" w:space="0"/>
              <w:right w:val="single" w:color="auto" w:sz="4" w:space="0"/>
            </w:tcBorders>
            <w:shd w:val="clear" w:color="auto" w:fill="auto"/>
            <w:vAlign w:val="bottom"/>
          </w:tcPr>
          <w:p w14:paraId="13C4FE22">
            <w:pPr>
              <w:keepNext w:val="0"/>
              <w:keepLines w:val="0"/>
              <w:widowControl/>
              <w:numPr>
                <w:ilvl w:val="0"/>
                <w:numId w:val="27"/>
              </w:numPr>
              <w:suppressLineNumbers w:val="0"/>
              <w:spacing w:before="0" w:beforeAutospacing="0" w:after="0" w:afterAutospacing="0" w:line="240" w:lineRule="auto"/>
              <w:ind w:left="425" w:leftChars="0" w:right="0" w:hanging="425" w:firstLineChars="0"/>
              <w:jc w:val="center"/>
              <w:rPr>
                <w:rFonts w:hint="eastAsia" w:ascii="宋体" w:hAnsi="宋体" w:eastAsia="宋体" w:cs="宋体"/>
                <w:color w:val="000000"/>
                <w:kern w:val="0"/>
                <w:sz w:val="24"/>
                <w:szCs w:val="24"/>
              </w:rPr>
            </w:pPr>
          </w:p>
        </w:tc>
        <w:tc>
          <w:tcPr>
            <w:tcW w:w="1661" w:type="dxa"/>
            <w:tcBorders>
              <w:top w:val="nil"/>
              <w:left w:val="nil"/>
              <w:bottom w:val="single" w:color="auto" w:sz="4" w:space="0"/>
              <w:right w:val="single" w:color="auto" w:sz="4" w:space="0"/>
            </w:tcBorders>
            <w:shd w:val="clear" w:color="auto" w:fill="auto"/>
            <w:vAlign w:val="bottom"/>
          </w:tcPr>
          <w:p w14:paraId="744B0627">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无线控制器</w:t>
            </w:r>
          </w:p>
        </w:tc>
        <w:tc>
          <w:tcPr>
            <w:tcW w:w="2253" w:type="dxa"/>
            <w:tcBorders>
              <w:top w:val="nil"/>
              <w:left w:val="nil"/>
              <w:bottom w:val="single" w:color="auto" w:sz="4" w:space="0"/>
              <w:right w:val="single" w:color="auto" w:sz="4" w:space="0"/>
            </w:tcBorders>
            <w:shd w:val="clear" w:color="auto" w:fill="auto"/>
            <w:vAlign w:val="bottom"/>
          </w:tcPr>
          <w:p w14:paraId="734E0C66">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 xml:space="preserve">WX3510H </w:t>
            </w:r>
          </w:p>
        </w:tc>
        <w:tc>
          <w:tcPr>
            <w:tcW w:w="762" w:type="dxa"/>
            <w:tcBorders>
              <w:top w:val="nil"/>
              <w:left w:val="nil"/>
              <w:bottom w:val="single" w:color="auto" w:sz="4" w:space="0"/>
              <w:right w:val="single" w:color="auto" w:sz="4" w:space="0"/>
            </w:tcBorders>
            <w:shd w:val="clear" w:color="auto" w:fill="auto"/>
            <w:vAlign w:val="center"/>
          </w:tcPr>
          <w:p w14:paraId="5B027FE2">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521" w:type="dxa"/>
            <w:tcBorders>
              <w:top w:val="nil"/>
              <w:left w:val="nil"/>
              <w:bottom w:val="single" w:color="auto" w:sz="4" w:space="0"/>
              <w:right w:val="single" w:color="auto" w:sz="4" w:space="0"/>
            </w:tcBorders>
            <w:shd w:val="clear" w:color="auto" w:fill="auto"/>
            <w:vAlign w:val="center"/>
          </w:tcPr>
          <w:p w14:paraId="3917BE6D">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CZ-A-33</w:t>
            </w:r>
          </w:p>
        </w:tc>
        <w:tc>
          <w:tcPr>
            <w:tcW w:w="1101" w:type="dxa"/>
            <w:tcBorders>
              <w:top w:val="nil"/>
              <w:left w:val="nil"/>
              <w:bottom w:val="single" w:color="auto" w:sz="4" w:space="0"/>
              <w:right w:val="single" w:color="auto" w:sz="4" w:space="0"/>
            </w:tcBorders>
            <w:shd w:val="clear" w:color="auto" w:fill="auto"/>
            <w:vAlign w:val="center"/>
          </w:tcPr>
          <w:p w14:paraId="185966BD">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2108" w:type="dxa"/>
            <w:vMerge w:val="continue"/>
            <w:tcBorders>
              <w:top w:val="nil"/>
              <w:left w:val="single" w:color="auto" w:sz="4" w:space="0"/>
              <w:bottom w:val="single" w:color="000000" w:sz="4" w:space="0"/>
              <w:right w:val="single" w:color="auto" w:sz="4" w:space="0"/>
            </w:tcBorders>
            <w:vAlign w:val="center"/>
          </w:tcPr>
          <w:p w14:paraId="6A9104F2">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p>
        </w:tc>
      </w:tr>
      <w:tr w14:paraId="2358E575">
        <w:tblPrEx>
          <w:tblCellMar>
            <w:top w:w="0" w:type="dxa"/>
            <w:left w:w="108" w:type="dxa"/>
            <w:bottom w:w="0" w:type="dxa"/>
            <w:right w:w="108" w:type="dxa"/>
          </w:tblCellMar>
        </w:tblPrEx>
        <w:trPr>
          <w:trHeight w:val="90" w:hRule="atLeast"/>
        </w:trPr>
        <w:tc>
          <w:tcPr>
            <w:tcW w:w="692" w:type="dxa"/>
            <w:tcBorders>
              <w:top w:val="nil"/>
              <w:left w:val="single" w:color="auto" w:sz="4" w:space="0"/>
              <w:bottom w:val="single" w:color="auto" w:sz="4" w:space="0"/>
              <w:right w:val="single" w:color="auto" w:sz="4" w:space="0"/>
            </w:tcBorders>
            <w:shd w:val="clear" w:color="auto" w:fill="auto"/>
            <w:vAlign w:val="bottom"/>
          </w:tcPr>
          <w:p w14:paraId="494EF115">
            <w:pPr>
              <w:keepNext w:val="0"/>
              <w:keepLines w:val="0"/>
              <w:widowControl/>
              <w:numPr>
                <w:ilvl w:val="0"/>
                <w:numId w:val="27"/>
              </w:numPr>
              <w:suppressLineNumbers w:val="0"/>
              <w:spacing w:before="0" w:beforeAutospacing="0" w:after="0" w:afterAutospacing="0" w:line="240" w:lineRule="auto"/>
              <w:ind w:left="425" w:leftChars="0" w:right="0" w:hanging="425" w:firstLineChars="0"/>
              <w:jc w:val="center"/>
              <w:rPr>
                <w:rFonts w:hint="eastAsia" w:ascii="宋体" w:hAnsi="宋体" w:eastAsia="宋体" w:cs="宋体"/>
                <w:color w:val="000000"/>
                <w:kern w:val="0"/>
                <w:sz w:val="24"/>
                <w:szCs w:val="24"/>
              </w:rPr>
            </w:pPr>
          </w:p>
        </w:tc>
        <w:tc>
          <w:tcPr>
            <w:tcW w:w="1661" w:type="dxa"/>
            <w:tcBorders>
              <w:top w:val="nil"/>
              <w:left w:val="nil"/>
              <w:bottom w:val="single" w:color="auto" w:sz="4" w:space="0"/>
              <w:right w:val="single" w:color="auto" w:sz="4" w:space="0"/>
            </w:tcBorders>
            <w:shd w:val="clear" w:color="auto" w:fill="auto"/>
            <w:vAlign w:val="bottom"/>
          </w:tcPr>
          <w:p w14:paraId="189FB324">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负载均衡</w:t>
            </w:r>
          </w:p>
        </w:tc>
        <w:tc>
          <w:tcPr>
            <w:tcW w:w="2253" w:type="dxa"/>
            <w:tcBorders>
              <w:top w:val="nil"/>
              <w:left w:val="nil"/>
              <w:bottom w:val="single" w:color="auto" w:sz="4" w:space="0"/>
              <w:right w:val="single" w:color="auto" w:sz="4" w:space="0"/>
            </w:tcBorders>
            <w:shd w:val="clear" w:color="auto" w:fill="auto"/>
            <w:vAlign w:val="bottom"/>
          </w:tcPr>
          <w:p w14:paraId="4B063FB2">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SECPATH L1000-E</w:t>
            </w:r>
          </w:p>
        </w:tc>
        <w:tc>
          <w:tcPr>
            <w:tcW w:w="762" w:type="dxa"/>
            <w:tcBorders>
              <w:top w:val="nil"/>
              <w:left w:val="nil"/>
              <w:bottom w:val="single" w:color="auto" w:sz="4" w:space="0"/>
              <w:right w:val="single" w:color="auto" w:sz="4" w:space="0"/>
            </w:tcBorders>
            <w:shd w:val="clear" w:color="auto" w:fill="auto"/>
            <w:vAlign w:val="center"/>
          </w:tcPr>
          <w:p w14:paraId="35B824D2">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521" w:type="dxa"/>
            <w:tcBorders>
              <w:top w:val="nil"/>
              <w:left w:val="nil"/>
              <w:bottom w:val="single" w:color="auto" w:sz="4" w:space="0"/>
              <w:right w:val="single" w:color="auto" w:sz="4" w:space="0"/>
            </w:tcBorders>
            <w:shd w:val="clear" w:color="auto" w:fill="auto"/>
            <w:vAlign w:val="center"/>
          </w:tcPr>
          <w:p w14:paraId="44163DAD">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CZ-A-34</w:t>
            </w:r>
          </w:p>
        </w:tc>
        <w:tc>
          <w:tcPr>
            <w:tcW w:w="1101" w:type="dxa"/>
            <w:tcBorders>
              <w:top w:val="nil"/>
              <w:left w:val="nil"/>
              <w:bottom w:val="single" w:color="auto" w:sz="4" w:space="0"/>
              <w:right w:val="single" w:color="auto" w:sz="4" w:space="0"/>
            </w:tcBorders>
            <w:shd w:val="clear" w:color="auto" w:fill="auto"/>
            <w:vAlign w:val="center"/>
          </w:tcPr>
          <w:p w14:paraId="674B51B8">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2108" w:type="dxa"/>
            <w:vMerge w:val="continue"/>
            <w:tcBorders>
              <w:top w:val="nil"/>
              <w:left w:val="single" w:color="auto" w:sz="4" w:space="0"/>
              <w:bottom w:val="single" w:color="000000" w:sz="4" w:space="0"/>
              <w:right w:val="single" w:color="auto" w:sz="4" w:space="0"/>
            </w:tcBorders>
            <w:vAlign w:val="center"/>
          </w:tcPr>
          <w:p w14:paraId="19640A8D">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p>
        </w:tc>
      </w:tr>
      <w:tr w14:paraId="11D49824">
        <w:tblPrEx>
          <w:tblCellMar>
            <w:top w:w="0" w:type="dxa"/>
            <w:left w:w="108" w:type="dxa"/>
            <w:bottom w:w="0" w:type="dxa"/>
            <w:right w:w="108" w:type="dxa"/>
          </w:tblCellMar>
        </w:tblPrEx>
        <w:trPr>
          <w:trHeight w:val="90" w:hRule="atLeast"/>
        </w:trPr>
        <w:tc>
          <w:tcPr>
            <w:tcW w:w="692" w:type="dxa"/>
            <w:tcBorders>
              <w:top w:val="nil"/>
              <w:left w:val="single" w:color="auto" w:sz="4" w:space="0"/>
              <w:bottom w:val="single" w:color="auto" w:sz="4" w:space="0"/>
              <w:right w:val="single" w:color="auto" w:sz="4" w:space="0"/>
            </w:tcBorders>
            <w:shd w:val="clear" w:color="auto" w:fill="auto"/>
            <w:vAlign w:val="bottom"/>
          </w:tcPr>
          <w:p w14:paraId="43F3507B">
            <w:pPr>
              <w:keepNext w:val="0"/>
              <w:keepLines w:val="0"/>
              <w:widowControl/>
              <w:numPr>
                <w:ilvl w:val="0"/>
                <w:numId w:val="27"/>
              </w:numPr>
              <w:suppressLineNumbers w:val="0"/>
              <w:spacing w:before="0" w:beforeAutospacing="0" w:after="0" w:afterAutospacing="0" w:line="240" w:lineRule="auto"/>
              <w:ind w:left="425" w:leftChars="0" w:right="0" w:hanging="425" w:firstLineChars="0"/>
              <w:jc w:val="center"/>
              <w:rPr>
                <w:rFonts w:hint="eastAsia" w:ascii="宋体" w:hAnsi="宋体" w:eastAsia="宋体" w:cs="宋体"/>
                <w:color w:val="000000"/>
                <w:kern w:val="0"/>
                <w:sz w:val="24"/>
                <w:szCs w:val="24"/>
              </w:rPr>
            </w:pPr>
          </w:p>
        </w:tc>
        <w:tc>
          <w:tcPr>
            <w:tcW w:w="1661" w:type="dxa"/>
            <w:tcBorders>
              <w:top w:val="nil"/>
              <w:left w:val="nil"/>
              <w:bottom w:val="single" w:color="auto" w:sz="4" w:space="0"/>
              <w:right w:val="single" w:color="auto" w:sz="4" w:space="0"/>
            </w:tcBorders>
            <w:shd w:val="clear" w:color="auto" w:fill="auto"/>
            <w:vAlign w:val="bottom"/>
          </w:tcPr>
          <w:p w14:paraId="5B858F6C">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语音网关</w:t>
            </w:r>
          </w:p>
        </w:tc>
        <w:tc>
          <w:tcPr>
            <w:tcW w:w="2253" w:type="dxa"/>
            <w:tcBorders>
              <w:top w:val="nil"/>
              <w:left w:val="nil"/>
              <w:bottom w:val="single" w:color="auto" w:sz="4" w:space="0"/>
              <w:right w:val="single" w:color="auto" w:sz="4" w:space="0"/>
            </w:tcBorders>
            <w:shd w:val="clear" w:color="auto" w:fill="auto"/>
            <w:vAlign w:val="bottom"/>
          </w:tcPr>
          <w:p w14:paraId="3C925D5E">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MyPower VG M6500</w:t>
            </w:r>
          </w:p>
        </w:tc>
        <w:tc>
          <w:tcPr>
            <w:tcW w:w="762" w:type="dxa"/>
            <w:tcBorders>
              <w:top w:val="nil"/>
              <w:left w:val="nil"/>
              <w:bottom w:val="single" w:color="auto" w:sz="4" w:space="0"/>
              <w:right w:val="single" w:color="auto" w:sz="4" w:space="0"/>
            </w:tcBorders>
            <w:shd w:val="clear" w:color="auto" w:fill="auto"/>
            <w:vAlign w:val="center"/>
          </w:tcPr>
          <w:p w14:paraId="20043F78">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521" w:type="dxa"/>
            <w:tcBorders>
              <w:top w:val="nil"/>
              <w:left w:val="nil"/>
              <w:bottom w:val="single" w:color="auto" w:sz="4" w:space="0"/>
              <w:right w:val="single" w:color="auto" w:sz="4" w:space="0"/>
            </w:tcBorders>
            <w:shd w:val="clear" w:color="auto" w:fill="auto"/>
            <w:vAlign w:val="center"/>
          </w:tcPr>
          <w:p w14:paraId="66BECD48">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CZ-A-31</w:t>
            </w:r>
          </w:p>
        </w:tc>
        <w:tc>
          <w:tcPr>
            <w:tcW w:w="1101" w:type="dxa"/>
            <w:tcBorders>
              <w:top w:val="nil"/>
              <w:left w:val="nil"/>
              <w:bottom w:val="single" w:color="auto" w:sz="4" w:space="0"/>
              <w:right w:val="single" w:color="auto" w:sz="4" w:space="0"/>
            </w:tcBorders>
            <w:shd w:val="clear" w:color="auto" w:fill="auto"/>
            <w:vAlign w:val="center"/>
          </w:tcPr>
          <w:p w14:paraId="737FFDD0">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2108" w:type="dxa"/>
            <w:vMerge w:val="continue"/>
            <w:tcBorders>
              <w:top w:val="nil"/>
              <w:left w:val="single" w:color="auto" w:sz="4" w:space="0"/>
              <w:bottom w:val="single" w:color="000000" w:sz="4" w:space="0"/>
              <w:right w:val="single" w:color="auto" w:sz="4" w:space="0"/>
            </w:tcBorders>
            <w:vAlign w:val="center"/>
          </w:tcPr>
          <w:p w14:paraId="6A62FCEA">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p>
        </w:tc>
      </w:tr>
      <w:tr w14:paraId="62AC0B88">
        <w:tblPrEx>
          <w:tblCellMar>
            <w:top w:w="0" w:type="dxa"/>
            <w:left w:w="108" w:type="dxa"/>
            <w:bottom w:w="0" w:type="dxa"/>
            <w:right w:w="108" w:type="dxa"/>
          </w:tblCellMar>
        </w:tblPrEx>
        <w:trPr>
          <w:trHeight w:val="90" w:hRule="atLeast"/>
        </w:trPr>
        <w:tc>
          <w:tcPr>
            <w:tcW w:w="692" w:type="dxa"/>
            <w:tcBorders>
              <w:top w:val="nil"/>
              <w:left w:val="single" w:color="auto" w:sz="4" w:space="0"/>
              <w:bottom w:val="single" w:color="auto" w:sz="4" w:space="0"/>
              <w:right w:val="single" w:color="auto" w:sz="4" w:space="0"/>
            </w:tcBorders>
            <w:shd w:val="clear" w:color="auto" w:fill="auto"/>
            <w:vAlign w:val="bottom"/>
          </w:tcPr>
          <w:p w14:paraId="63373416">
            <w:pPr>
              <w:keepNext w:val="0"/>
              <w:keepLines w:val="0"/>
              <w:widowControl/>
              <w:numPr>
                <w:ilvl w:val="0"/>
                <w:numId w:val="27"/>
              </w:numPr>
              <w:suppressLineNumbers w:val="0"/>
              <w:spacing w:before="0" w:beforeAutospacing="0" w:after="0" w:afterAutospacing="0" w:line="240" w:lineRule="auto"/>
              <w:ind w:left="425" w:leftChars="0" w:right="0" w:hanging="425" w:firstLineChars="0"/>
              <w:jc w:val="center"/>
              <w:rPr>
                <w:rFonts w:hint="eastAsia" w:ascii="宋体" w:hAnsi="宋体" w:eastAsia="宋体" w:cs="宋体"/>
                <w:color w:val="000000"/>
                <w:kern w:val="0"/>
                <w:sz w:val="24"/>
                <w:szCs w:val="24"/>
              </w:rPr>
            </w:pPr>
          </w:p>
        </w:tc>
        <w:tc>
          <w:tcPr>
            <w:tcW w:w="1661" w:type="dxa"/>
            <w:tcBorders>
              <w:top w:val="nil"/>
              <w:left w:val="nil"/>
              <w:bottom w:val="single" w:color="auto" w:sz="4" w:space="0"/>
              <w:right w:val="single" w:color="auto" w:sz="4" w:space="0"/>
            </w:tcBorders>
            <w:shd w:val="clear" w:color="auto" w:fill="auto"/>
            <w:vAlign w:val="bottom"/>
          </w:tcPr>
          <w:p w14:paraId="1795735B">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路由器</w:t>
            </w:r>
          </w:p>
        </w:tc>
        <w:tc>
          <w:tcPr>
            <w:tcW w:w="2253" w:type="dxa"/>
            <w:tcBorders>
              <w:top w:val="nil"/>
              <w:left w:val="nil"/>
              <w:bottom w:val="single" w:color="auto" w:sz="4" w:space="0"/>
              <w:right w:val="single" w:color="auto" w:sz="4" w:space="0"/>
            </w:tcBorders>
            <w:shd w:val="clear" w:color="auto" w:fill="auto"/>
            <w:vAlign w:val="bottom"/>
          </w:tcPr>
          <w:p w14:paraId="63A0209B">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MSR 36-40</w:t>
            </w:r>
          </w:p>
        </w:tc>
        <w:tc>
          <w:tcPr>
            <w:tcW w:w="762" w:type="dxa"/>
            <w:tcBorders>
              <w:top w:val="nil"/>
              <w:left w:val="nil"/>
              <w:bottom w:val="single" w:color="auto" w:sz="4" w:space="0"/>
              <w:right w:val="single" w:color="auto" w:sz="4" w:space="0"/>
            </w:tcBorders>
            <w:shd w:val="clear" w:color="auto" w:fill="auto"/>
            <w:vAlign w:val="center"/>
          </w:tcPr>
          <w:p w14:paraId="5676D9DF">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521" w:type="dxa"/>
            <w:tcBorders>
              <w:top w:val="nil"/>
              <w:left w:val="nil"/>
              <w:bottom w:val="single" w:color="auto" w:sz="4" w:space="0"/>
              <w:right w:val="single" w:color="auto" w:sz="4" w:space="0"/>
            </w:tcBorders>
            <w:shd w:val="clear" w:color="auto" w:fill="auto"/>
            <w:vAlign w:val="center"/>
          </w:tcPr>
          <w:p w14:paraId="1B86F4C2">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CZ-A-03</w:t>
            </w:r>
          </w:p>
        </w:tc>
        <w:tc>
          <w:tcPr>
            <w:tcW w:w="1101" w:type="dxa"/>
            <w:tcBorders>
              <w:top w:val="nil"/>
              <w:left w:val="nil"/>
              <w:bottom w:val="single" w:color="auto" w:sz="4" w:space="0"/>
              <w:right w:val="single" w:color="auto" w:sz="4" w:space="0"/>
            </w:tcBorders>
            <w:shd w:val="clear" w:color="auto" w:fill="auto"/>
            <w:vAlign w:val="center"/>
          </w:tcPr>
          <w:p w14:paraId="04A4EFF5">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2108" w:type="dxa"/>
            <w:vMerge w:val="continue"/>
            <w:tcBorders>
              <w:top w:val="nil"/>
              <w:left w:val="single" w:color="auto" w:sz="4" w:space="0"/>
              <w:bottom w:val="single" w:color="000000" w:sz="4" w:space="0"/>
              <w:right w:val="single" w:color="auto" w:sz="4" w:space="0"/>
            </w:tcBorders>
            <w:vAlign w:val="center"/>
          </w:tcPr>
          <w:p w14:paraId="5F19700A">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p>
        </w:tc>
      </w:tr>
      <w:tr w14:paraId="6D1A2842">
        <w:tblPrEx>
          <w:tblCellMar>
            <w:top w:w="0" w:type="dxa"/>
            <w:left w:w="108" w:type="dxa"/>
            <w:bottom w:w="0" w:type="dxa"/>
            <w:right w:w="108" w:type="dxa"/>
          </w:tblCellMar>
        </w:tblPrEx>
        <w:trPr>
          <w:trHeight w:val="90" w:hRule="atLeast"/>
        </w:trPr>
        <w:tc>
          <w:tcPr>
            <w:tcW w:w="692" w:type="dxa"/>
            <w:tcBorders>
              <w:top w:val="nil"/>
              <w:left w:val="single" w:color="auto" w:sz="4" w:space="0"/>
              <w:bottom w:val="single" w:color="auto" w:sz="4" w:space="0"/>
              <w:right w:val="single" w:color="auto" w:sz="4" w:space="0"/>
            </w:tcBorders>
            <w:shd w:val="clear" w:color="auto" w:fill="auto"/>
            <w:vAlign w:val="bottom"/>
          </w:tcPr>
          <w:p w14:paraId="5CFB68E1">
            <w:pPr>
              <w:keepNext w:val="0"/>
              <w:keepLines w:val="0"/>
              <w:widowControl/>
              <w:numPr>
                <w:ilvl w:val="0"/>
                <w:numId w:val="27"/>
              </w:numPr>
              <w:suppressLineNumbers w:val="0"/>
              <w:spacing w:before="0" w:beforeAutospacing="0" w:after="0" w:afterAutospacing="0" w:line="240" w:lineRule="auto"/>
              <w:ind w:left="425" w:leftChars="0" w:right="0" w:hanging="425" w:firstLineChars="0"/>
              <w:jc w:val="center"/>
              <w:rPr>
                <w:rFonts w:hint="eastAsia" w:ascii="宋体" w:hAnsi="宋体" w:eastAsia="宋体" w:cs="宋体"/>
                <w:color w:val="000000"/>
                <w:kern w:val="0"/>
                <w:sz w:val="24"/>
                <w:szCs w:val="24"/>
              </w:rPr>
            </w:pPr>
          </w:p>
        </w:tc>
        <w:tc>
          <w:tcPr>
            <w:tcW w:w="1661" w:type="dxa"/>
            <w:tcBorders>
              <w:top w:val="nil"/>
              <w:left w:val="nil"/>
              <w:bottom w:val="single" w:color="auto" w:sz="4" w:space="0"/>
              <w:right w:val="single" w:color="auto" w:sz="4" w:space="0"/>
            </w:tcBorders>
            <w:shd w:val="clear" w:color="auto" w:fill="auto"/>
            <w:vAlign w:val="bottom"/>
          </w:tcPr>
          <w:p w14:paraId="0EC31ADF">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路由器</w:t>
            </w:r>
          </w:p>
        </w:tc>
        <w:tc>
          <w:tcPr>
            <w:tcW w:w="2253" w:type="dxa"/>
            <w:tcBorders>
              <w:top w:val="nil"/>
              <w:left w:val="nil"/>
              <w:bottom w:val="single" w:color="auto" w:sz="4" w:space="0"/>
              <w:right w:val="single" w:color="auto" w:sz="4" w:space="0"/>
            </w:tcBorders>
            <w:shd w:val="clear" w:color="auto" w:fill="auto"/>
            <w:vAlign w:val="bottom"/>
          </w:tcPr>
          <w:p w14:paraId="64795585">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MSR 36-40</w:t>
            </w:r>
          </w:p>
        </w:tc>
        <w:tc>
          <w:tcPr>
            <w:tcW w:w="762" w:type="dxa"/>
            <w:tcBorders>
              <w:top w:val="nil"/>
              <w:left w:val="nil"/>
              <w:bottom w:val="single" w:color="auto" w:sz="4" w:space="0"/>
              <w:right w:val="single" w:color="auto" w:sz="4" w:space="0"/>
            </w:tcBorders>
            <w:shd w:val="clear" w:color="auto" w:fill="auto"/>
            <w:vAlign w:val="center"/>
          </w:tcPr>
          <w:p w14:paraId="75E1316A">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521" w:type="dxa"/>
            <w:tcBorders>
              <w:top w:val="nil"/>
              <w:left w:val="nil"/>
              <w:bottom w:val="single" w:color="auto" w:sz="4" w:space="0"/>
              <w:right w:val="single" w:color="auto" w:sz="4" w:space="0"/>
            </w:tcBorders>
            <w:shd w:val="clear" w:color="auto" w:fill="auto"/>
            <w:vAlign w:val="center"/>
          </w:tcPr>
          <w:p w14:paraId="67D95C52">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CZ-A-03</w:t>
            </w:r>
          </w:p>
        </w:tc>
        <w:tc>
          <w:tcPr>
            <w:tcW w:w="1101" w:type="dxa"/>
            <w:tcBorders>
              <w:top w:val="nil"/>
              <w:left w:val="nil"/>
              <w:bottom w:val="single" w:color="auto" w:sz="4" w:space="0"/>
              <w:right w:val="single" w:color="auto" w:sz="4" w:space="0"/>
            </w:tcBorders>
            <w:shd w:val="clear" w:color="auto" w:fill="auto"/>
            <w:vAlign w:val="center"/>
          </w:tcPr>
          <w:p w14:paraId="2121EAEE">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2108" w:type="dxa"/>
            <w:vMerge w:val="continue"/>
            <w:tcBorders>
              <w:top w:val="nil"/>
              <w:left w:val="single" w:color="auto" w:sz="4" w:space="0"/>
              <w:bottom w:val="single" w:color="000000" w:sz="4" w:space="0"/>
              <w:right w:val="single" w:color="auto" w:sz="4" w:space="0"/>
            </w:tcBorders>
            <w:vAlign w:val="center"/>
          </w:tcPr>
          <w:p w14:paraId="46C79618">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p>
        </w:tc>
      </w:tr>
      <w:tr w14:paraId="79BB3842">
        <w:tblPrEx>
          <w:tblCellMar>
            <w:top w:w="0" w:type="dxa"/>
            <w:left w:w="108" w:type="dxa"/>
            <w:bottom w:w="0" w:type="dxa"/>
            <w:right w:w="108" w:type="dxa"/>
          </w:tblCellMar>
        </w:tblPrEx>
        <w:trPr>
          <w:trHeight w:val="90" w:hRule="atLeast"/>
        </w:trPr>
        <w:tc>
          <w:tcPr>
            <w:tcW w:w="692" w:type="dxa"/>
            <w:tcBorders>
              <w:top w:val="nil"/>
              <w:left w:val="single" w:color="auto" w:sz="4" w:space="0"/>
              <w:bottom w:val="single" w:color="auto" w:sz="4" w:space="0"/>
              <w:right w:val="single" w:color="auto" w:sz="4" w:space="0"/>
            </w:tcBorders>
            <w:shd w:val="clear" w:color="auto" w:fill="auto"/>
            <w:vAlign w:val="bottom"/>
          </w:tcPr>
          <w:p w14:paraId="174402F0">
            <w:pPr>
              <w:keepNext w:val="0"/>
              <w:keepLines w:val="0"/>
              <w:widowControl/>
              <w:numPr>
                <w:ilvl w:val="0"/>
                <w:numId w:val="27"/>
              </w:numPr>
              <w:suppressLineNumbers w:val="0"/>
              <w:spacing w:before="0" w:beforeAutospacing="0" w:after="0" w:afterAutospacing="0" w:line="240" w:lineRule="auto"/>
              <w:ind w:left="425" w:leftChars="0" w:right="0" w:hanging="425" w:firstLineChars="0"/>
              <w:jc w:val="center"/>
              <w:rPr>
                <w:rFonts w:hint="eastAsia" w:ascii="宋体" w:hAnsi="宋体" w:eastAsia="宋体" w:cs="宋体"/>
                <w:color w:val="000000"/>
                <w:kern w:val="0"/>
                <w:sz w:val="24"/>
                <w:szCs w:val="24"/>
              </w:rPr>
            </w:pPr>
          </w:p>
        </w:tc>
        <w:tc>
          <w:tcPr>
            <w:tcW w:w="1661" w:type="dxa"/>
            <w:tcBorders>
              <w:top w:val="nil"/>
              <w:left w:val="nil"/>
              <w:bottom w:val="single" w:color="auto" w:sz="4" w:space="0"/>
              <w:right w:val="single" w:color="auto" w:sz="4" w:space="0"/>
            </w:tcBorders>
            <w:shd w:val="clear" w:color="auto" w:fill="auto"/>
            <w:vAlign w:val="bottom"/>
          </w:tcPr>
          <w:p w14:paraId="178EB352">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路由器</w:t>
            </w:r>
          </w:p>
        </w:tc>
        <w:tc>
          <w:tcPr>
            <w:tcW w:w="2253" w:type="dxa"/>
            <w:tcBorders>
              <w:top w:val="nil"/>
              <w:left w:val="nil"/>
              <w:bottom w:val="single" w:color="auto" w:sz="4" w:space="0"/>
              <w:right w:val="single" w:color="auto" w:sz="4" w:space="0"/>
            </w:tcBorders>
            <w:shd w:val="clear" w:color="auto" w:fill="auto"/>
            <w:vAlign w:val="bottom"/>
          </w:tcPr>
          <w:p w14:paraId="279B40DA">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MSR 56-20</w:t>
            </w:r>
          </w:p>
        </w:tc>
        <w:tc>
          <w:tcPr>
            <w:tcW w:w="762" w:type="dxa"/>
            <w:tcBorders>
              <w:top w:val="nil"/>
              <w:left w:val="nil"/>
              <w:bottom w:val="single" w:color="auto" w:sz="4" w:space="0"/>
              <w:right w:val="single" w:color="auto" w:sz="4" w:space="0"/>
            </w:tcBorders>
            <w:shd w:val="clear" w:color="auto" w:fill="auto"/>
            <w:vAlign w:val="center"/>
          </w:tcPr>
          <w:p w14:paraId="17539656">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521" w:type="dxa"/>
            <w:tcBorders>
              <w:top w:val="nil"/>
              <w:left w:val="nil"/>
              <w:bottom w:val="single" w:color="auto" w:sz="4" w:space="0"/>
              <w:right w:val="single" w:color="auto" w:sz="4" w:space="0"/>
            </w:tcBorders>
            <w:shd w:val="clear" w:color="auto" w:fill="auto"/>
            <w:vAlign w:val="center"/>
          </w:tcPr>
          <w:p w14:paraId="67618C00">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CZ-A-03</w:t>
            </w:r>
          </w:p>
        </w:tc>
        <w:tc>
          <w:tcPr>
            <w:tcW w:w="1101" w:type="dxa"/>
            <w:tcBorders>
              <w:top w:val="nil"/>
              <w:left w:val="nil"/>
              <w:bottom w:val="single" w:color="auto" w:sz="4" w:space="0"/>
              <w:right w:val="single" w:color="auto" w:sz="4" w:space="0"/>
            </w:tcBorders>
            <w:shd w:val="clear" w:color="auto" w:fill="auto"/>
            <w:vAlign w:val="center"/>
          </w:tcPr>
          <w:p w14:paraId="5FF2526E">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2108" w:type="dxa"/>
            <w:vMerge w:val="continue"/>
            <w:tcBorders>
              <w:top w:val="nil"/>
              <w:left w:val="single" w:color="auto" w:sz="4" w:space="0"/>
              <w:bottom w:val="single" w:color="000000" w:sz="4" w:space="0"/>
              <w:right w:val="single" w:color="auto" w:sz="4" w:space="0"/>
            </w:tcBorders>
            <w:vAlign w:val="center"/>
          </w:tcPr>
          <w:p w14:paraId="0C66717B">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p>
        </w:tc>
      </w:tr>
      <w:tr w14:paraId="42B033FB">
        <w:tblPrEx>
          <w:tblCellMar>
            <w:top w:w="0" w:type="dxa"/>
            <w:left w:w="108" w:type="dxa"/>
            <w:bottom w:w="0" w:type="dxa"/>
            <w:right w:w="108" w:type="dxa"/>
          </w:tblCellMar>
        </w:tblPrEx>
        <w:trPr>
          <w:trHeight w:val="90" w:hRule="atLeast"/>
        </w:trPr>
        <w:tc>
          <w:tcPr>
            <w:tcW w:w="692" w:type="dxa"/>
            <w:tcBorders>
              <w:top w:val="nil"/>
              <w:left w:val="single" w:color="auto" w:sz="4" w:space="0"/>
              <w:bottom w:val="single" w:color="auto" w:sz="4" w:space="0"/>
              <w:right w:val="single" w:color="auto" w:sz="4" w:space="0"/>
            </w:tcBorders>
            <w:shd w:val="clear" w:color="auto" w:fill="auto"/>
            <w:vAlign w:val="bottom"/>
          </w:tcPr>
          <w:p w14:paraId="4EEA4DCC">
            <w:pPr>
              <w:keepNext w:val="0"/>
              <w:keepLines w:val="0"/>
              <w:widowControl/>
              <w:numPr>
                <w:ilvl w:val="0"/>
                <w:numId w:val="27"/>
              </w:numPr>
              <w:suppressLineNumbers w:val="0"/>
              <w:spacing w:before="0" w:beforeAutospacing="0" w:after="0" w:afterAutospacing="0" w:line="240" w:lineRule="auto"/>
              <w:ind w:left="425" w:leftChars="0" w:right="0" w:hanging="425" w:firstLineChars="0"/>
              <w:jc w:val="center"/>
              <w:rPr>
                <w:rFonts w:hint="eastAsia" w:ascii="宋体" w:hAnsi="宋体" w:eastAsia="宋体" w:cs="宋体"/>
                <w:color w:val="000000"/>
                <w:kern w:val="0"/>
                <w:sz w:val="24"/>
                <w:szCs w:val="24"/>
              </w:rPr>
            </w:pPr>
          </w:p>
        </w:tc>
        <w:tc>
          <w:tcPr>
            <w:tcW w:w="1661" w:type="dxa"/>
            <w:tcBorders>
              <w:top w:val="nil"/>
              <w:left w:val="nil"/>
              <w:bottom w:val="single" w:color="auto" w:sz="4" w:space="0"/>
              <w:right w:val="single" w:color="auto" w:sz="4" w:space="0"/>
            </w:tcBorders>
            <w:shd w:val="clear" w:color="auto" w:fill="auto"/>
            <w:vAlign w:val="bottom"/>
          </w:tcPr>
          <w:p w14:paraId="3ACE0511">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路由器</w:t>
            </w:r>
          </w:p>
        </w:tc>
        <w:tc>
          <w:tcPr>
            <w:tcW w:w="2253" w:type="dxa"/>
            <w:tcBorders>
              <w:top w:val="nil"/>
              <w:left w:val="nil"/>
              <w:bottom w:val="single" w:color="auto" w:sz="4" w:space="0"/>
              <w:right w:val="single" w:color="auto" w:sz="4" w:space="0"/>
            </w:tcBorders>
            <w:shd w:val="clear" w:color="auto" w:fill="auto"/>
            <w:vAlign w:val="bottom"/>
          </w:tcPr>
          <w:p w14:paraId="51D662DC">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MSR 56-20</w:t>
            </w:r>
          </w:p>
        </w:tc>
        <w:tc>
          <w:tcPr>
            <w:tcW w:w="762" w:type="dxa"/>
            <w:tcBorders>
              <w:top w:val="nil"/>
              <w:left w:val="nil"/>
              <w:bottom w:val="single" w:color="auto" w:sz="4" w:space="0"/>
              <w:right w:val="single" w:color="auto" w:sz="4" w:space="0"/>
            </w:tcBorders>
            <w:shd w:val="clear" w:color="auto" w:fill="auto"/>
            <w:vAlign w:val="center"/>
          </w:tcPr>
          <w:p w14:paraId="0D7A23E6">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521" w:type="dxa"/>
            <w:tcBorders>
              <w:top w:val="nil"/>
              <w:left w:val="nil"/>
              <w:bottom w:val="single" w:color="auto" w:sz="4" w:space="0"/>
              <w:right w:val="single" w:color="auto" w:sz="4" w:space="0"/>
            </w:tcBorders>
            <w:shd w:val="clear" w:color="auto" w:fill="auto"/>
            <w:vAlign w:val="center"/>
          </w:tcPr>
          <w:p w14:paraId="72A637CD">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CZ-A-03</w:t>
            </w:r>
          </w:p>
        </w:tc>
        <w:tc>
          <w:tcPr>
            <w:tcW w:w="1101" w:type="dxa"/>
            <w:tcBorders>
              <w:top w:val="nil"/>
              <w:left w:val="nil"/>
              <w:bottom w:val="single" w:color="auto" w:sz="4" w:space="0"/>
              <w:right w:val="single" w:color="auto" w:sz="4" w:space="0"/>
            </w:tcBorders>
            <w:shd w:val="clear" w:color="auto" w:fill="auto"/>
            <w:vAlign w:val="center"/>
          </w:tcPr>
          <w:p w14:paraId="6A22B435">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2108" w:type="dxa"/>
            <w:vMerge w:val="continue"/>
            <w:tcBorders>
              <w:top w:val="nil"/>
              <w:left w:val="single" w:color="auto" w:sz="4" w:space="0"/>
              <w:bottom w:val="single" w:color="000000" w:sz="4" w:space="0"/>
              <w:right w:val="single" w:color="auto" w:sz="4" w:space="0"/>
            </w:tcBorders>
            <w:vAlign w:val="center"/>
          </w:tcPr>
          <w:p w14:paraId="208B1227">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p>
        </w:tc>
      </w:tr>
      <w:tr w14:paraId="6FB0DF41">
        <w:tblPrEx>
          <w:tblCellMar>
            <w:top w:w="0" w:type="dxa"/>
            <w:left w:w="108" w:type="dxa"/>
            <w:bottom w:w="0" w:type="dxa"/>
            <w:right w:w="108" w:type="dxa"/>
          </w:tblCellMar>
        </w:tblPrEx>
        <w:trPr>
          <w:trHeight w:val="90" w:hRule="atLeast"/>
        </w:trPr>
        <w:tc>
          <w:tcPr>
            <w:tcW w:w="692" w:type="dxa"/>
            <w:tcBorders>
              <w:top w:val="nil"/>
              <w:left w:val="single" w:color="auto" w:sz="4" w:space="0"/>
              <w:bottom w:val="single" w:color="auto" w:sz="4" w:space="0"/>
              <w:right w:val="single" w:color="auto" w:sz="4" w:space="0"/>
            </w:tcBorders>
            <w:shd w:val="clear" w:color="auto" w:fill="auto"/>
            <w:vAlign w:val="bottom"/>
          </w:tcPr>
          <w:p w14:paraId="165A4B5F">
            <w:pPr>
              <w:keepNext w:val="0"/>
              <w:keepLines w:val="0"/>
              <w:widowControl/>
              <w:numPr>
                <w:ilvl w:val="0"/>
                <w:numId w:val="27"/>
              </w:numPr>
              <w:suppressLineNumbers w:val="0"/>
              <w:spacing w:before="0" w:beforeAutospacing="0" w:after="0" w:afterAutospacing="0" w:line="240" w:lineRule="auto"/>
              <w:ind w:left="425" w:leftChars="0" w:right="0" w:hanging="425" w:firstLineChars="0"/>
              <w:jc w:val="center"/>
              <w:rPr>
                <w:rFonts w:hint="eastAsia" w:ascii="宋体" w:hAnsi="宋体" w:eastAsia="宋体" w:cs="宋体"/>
                <w:color w:val="000000"/>
                <w:kern w:val="0"/>
                <w:sz w:val="24"/>
                <w:szCs w:val="24"/>
              </w:rPr>
            </w:pPr>
          </w:p>
        </w:tc>
        <w:tc>
          <w:tcPr>
            <w:tcW w:w="1661" w:type="dxa"/>
            <w:tcBorders>
              <w:top w:val="nil"/>
              <w:left w:val="nil"/>
              <w:bottom w:val="single" w:color="auto" w:sz="4" w:space="0"/>
              <w:right w:val="single" w:color="auto" w:sz="4" w:space="0"/>
            </w:tcBorders>
            <w:shd w:val="clear" w:color="auto" w:fill="auto"/>
            <w:vAlign w:val="center"/>
          </w:tcPr>
          <w:p w14:paraId="7CADB6F1">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接入交换机</w:t>
            </w:r>
          </w:p>
        </w:tc>
        <w:tc>
          <w:tcPr>
            <w:tcW w:w="2253" w:type="dxa"/>
            <w:tcBorders>
              <w:top w:val="nil"/>
              <w:left w:val="nil"/>
              <w:bottom w:val="single" w:color="auto" w:sz="4" w:space="0"/>
              <w:right w:val="single" w:color="auto" w:sz="4" w:space="0"/>
            </w:tcBorders>
            <w:shd w:val="clear" w:color="auto" w:fill="auto"/>
            <w:vAlign w:val="center"/>
          </w:tcPr>
          <w:p w14:paraId="3080BEBC">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华为S6720-30C-EI-24S-AC</w:t>
            </w:r>
          </w:p>
        </w:tc>
        <w:tc>
          <w:tcPr>
            <w:tcW w:w="762" w:type="dxa"/>
            <w:tcBorders>
              <w:top w:val="nil"/>
              <w:left w:val="nil"/>
              <w:bottom w:val="single" w:color="auto" w:sz="4" w:space="0"/>
              <w:right w:val="single" w:color="auto" w:sz="4" w:space="0"/>
            </w:tcBorders>
            <w:shd w:val="clear" w:color="auto" w:fill="auto"/>
            <w:vAlign w:val="center"/>
          </w:tcPr>
          <w:p w14:paraId="287562ED">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521" w:type="dxa"/>
            <w:tcBorders>
              <w:top w:val="nil"/>
              <w:left w:val="nil"/>
              <w:bottom w:val="single" w:color="auto" w:sz="4" w:space="0"/>
              <w:right w:val="single" w:color="auto" w:sz="4" w:space="0"/>
            </w:tcBorders>
            <w:shd w:val="clear" w:color="auto" w:fill="auto"/>
            <w:vAlign w:val="center"/>
          </w:tcPr>
          <w:p w14:paraId="62AB4A80">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CZ-B-09</w:t>
            </w:r>
          </w:p>
        </w:tc>
        <w:tc>
          <w:tcPr>
            <w:tcW w:w="1101" w:type="dxa"/>
            <w:tcBorders>
              <w:top w:val="nil"/>
              <w:left w:val="nil"/>
              <w:bottom w:val="single" w:color="auto" w:sz="4" w:space="0"/>
              <w:right w:val="single" w:color="auto" w:sz="4" w:space="0"/>
            </w:tcBorders>
            <w:shd w:val="clear" w:color="auto" w:fill="auto"/>
            <w:vAlign w:val="center"/>
          </w:tcPr>
          <w:p w14:paraId="10A93CCC">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2108" w:type="dxa"/>
            <w:vMerge w:val="restart"/>
            <w:tcBorders>
              <w:top w:val="nil"/>
              <w:left w:val="single" w:color="auto" w:sz="4" w:space="0"/>
              <w:bottom w:val="single" w:color="auto" w:sz="4" w:space="0"/>
              <w:right w:val="single" w:color="auto" w:sz="4" w:space="0"/>
            </w:tcBorders>
            <w:shd w:val="clear" w:color="auto" w:fill="auto"/>
            <w:vAlign w:val="center"/>
          </w:tcPr>
          <w:p w14:paraId="6B04A215">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硬件保修包含整机上面所有配件（如主机、电源、风扇、配置调整等）, 工程师现场支持要求时间为7*24小时*2小时到达，所需配件24小时内送达。</w:t>
            </w:r>
          </w:p>
        </w:tc>
      </w:tr>
      <w:tr w14:paraId="2BAF5D2B">
        <w:tblPrEx>
          <w:tblCellMar>
            <w:top w:w="0" w:type="dxa"/>
            <w:left w:w="108" w:type="dxa"/>
            <w:bottom w:w="0" w:type="dxa"/>
            <w:right w:w="108" w:type="dxa"/>
          </w:tblCellMar>
        </w:tblPrEx>
        <w:trPr>
          <w:trHeight w:val="90" w:hRule="atLeast"/>
        </w:trPr>
        <w:tc>
          <w:tcPr>
            <w:tcW w:w="692" w:type="dxa"/>
            <w:tcBorders>
              <w:top w:val="nil"/>
              <w:left w:val="single" w:color="auto" w:sz="4" w:space="0"/>
              <w:bottom w:val="single" w:color="auto" w:sz="4" w:space="0"/>
              <w:right w:val="single" w:color="auto" w:sz="4" w:space="0"/>
            </w:tcBorders>
            <w:shd w:val="clear" w:color="auto" w:fill="auto"/>
            <w:vAlign w:val="bottom"/>
          </w:tcPr>
          <w:p w14:paraId="4C8FFE97">
            <w:pPr>
              <w:keepNext w:val="0"/>
              <w:keepLines w:val="0"/>
              <w:widowControl/>
              <w:numPr>
                <w:ilvl w:val="0"/>
                <w:numId w:val="27"/>
              </w:numPr>
              <w:suppressLineNumbers w:val="0"/>
              <w:spacing w:before="0" w:beforeAutospacing="0" w:after="0" w:afterAutospacing="0" w:line="240" w:lineRule="auto"/>
              <w:ind w:left="425" w:leftChars="0" w:right="0" w:hanging="425" w:firstLineChars="0"/>
              <w:jc w:val="center"/>
              <w:rPr>
                <w:rFonts w:hint="eastAsia" w:ascii="宋体" w:hAnsi="宋体" w:eastAsia="宋体" w:cs="宋体"/>
                <w:color w:val="000000"/>
                <w:kern w:val="0"/>
                <w:sz w:val="24"/>
                <w:szCs w:val="24"/>
              </w:rPr>
            </w:pPr>
          </w:p>
        </w:tc>
        <w:tc>
          <w:tcPr>
            <w:tcW w:w="1661" w:type="dxa"/>
            <w:tcBorders>
              <w:top w:val="nil"/>
              <w:left w:val="nil"/>
              <w:bottom w:val="single" w:color="auto" w:sz="4" w:space="0"/>
              <w:right w:val="single" w:color="auto" w:sz="4" w:space="0"/>
            </w:tcBorders>
            <w:shd w:val="clear" w:color="auto" w:fill="auto"/>
            <w:vAlign w:val="center"/>
          </w:tcPr>
          <w:p w14:paraId="2C076C96">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接入交换机</w:t>
            </w:r>
          </w:p>
        </w:tc>
        <w:tc>
          <w:tcPr>
            <w:tcW w:w="2253" w:type="dxa"/>
            <w:tcBorders>
              <w:top w:val="nil"/>
              <w:left w:val="nil"/>
              <w:bottom w:val="single" w:color="auto" w:sz="4" w:space="0"/>
              <w:right w:val="single" w:color="auto" w:sz="4" w:space="0"/>
            </w:tcBorders>
            <w:shd w:val="clear" w:color="auto" w:fill="auto"/>
            <w:vAlign w:val="center"/>
          </w:tcPr>
          <w:p w14:paraId="42FAC679">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华为S6720-30C-EI-24S-AC</w:t>
            </w:r>
          </w:p>
        </w:tc>
        <w:tc>
          <w:tcPr>
            <w:tcW w:w="762" w:type="dxa"/>
            <w:tcBorders>
              <w:top w:val="nil"/>
              <w:left w:val="nil"/>
              <w:bottom w:val="single" w:color="auto" w:sz="4" w:space="0"/>
              <w:right w:val="single" w:color="auto" w:sz="4" w:space="0"/>
            </w:tcBorders>
            <w:shd w:val="clear" w:color="auto" w:fill="auto"/>
            <w:vAlign w:val="center"/>
          </w:tcPr>
          <w:p w14:paraId="30F5478F">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521" w:type="dxa"/>
            <w:tcBorders>
              <w:top w:val="nil"/>
              <w:left w:val="nil"/>
              <w:bottom w:val="single" w:color="auto" w:sz="4" w:space="0"/>
              <w:right w:val="single" w:color="auto" w:sz="4" w:space="0"/>
            </w:tcBorders>
            <w:shd w:val="clear" w:color="auto" w:fill="auto"/>
            <w:vAlign w:val="center"/>
          </w:tcPr>
          <w:p w14:paraId="11E4D230">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CZ-B-09</w:t>
            </w:r>
          </w:p>
        </w:tc>
        <w:tc>
          <w:tcPr>
            <w:tcW w:w="1101" w:type="dxa"/>
            <w:tcBorders>
              <w:top w:val="nil"/>
              <w:left w:val="nil"/>
              <w:bottom w:val="single" w:color="auto" w:sz="4" w:space="0"/>
              <w:right w:val="single" w:color="auto" w:sz="4" w:space="0"/>
            </w:tcBorders>
            <w:shd w:val="clear" w:color="auto" w:fill="auto"/>
            <w:vAlign w:val="center"/>
          </w:tcPr>
          <w:p w14:paraId="2B2C1AC2">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2108" w:type="dxa"/>
            <w:vMerge w:val="continue"/>
            <w:tcBorders>
              <w:top w:val="nil"/>
              <w:left w:val="single" w:color="auto" w:sz="4" w:space="0"/>
              <w:bottom w:val="single" w:color="auto" w:sz="4" w:space="0"/>
              <w:right w:val="single" w:color="auto" w:sz="4" w:space="0"/>
            </w:tcBorders>
            <w:vAlign w:val="center"/>
          </w:tcPr>
          <w:p w14:paraId="013C0201">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p>
        </w:tc>
      </w:tr>
      <w:tr w14:paraId="3EAED484">
        <w:tblPrEx>
          <w:tblCellMar>
            <w:top w:w="0" w:type="dxa"/>
            <w:left w:w="108" w:type="dxa"/>
            <w:bottom w:w="0" w:type="dxa"/>
            <w:right w:w="108" w:type="dxa"/>
          </w:tblCellMar>
        </w:tblPrEx>
        <w:trPr>
          <w:trHeight w:val="90" w:hRule="atLeast"/>
        </w:trPr>
        <w:tc>
          <w:tcPr>
            <w:tcW w:w="692" w:type="dxa"/>
            <w:tcBorders>
              <w:top w:val="nil"/>
              <w:left w:val="single" w:color="auto" w:sz="4" w:space="0"/>
              <w:bottom w:val="single" w:color="auto" w:sz="4" w:space="0"/>
              <w:right w:val="single" w:color="auto" w:sz="4" w:space="0"/>
            </w:tcBorders>
            <w:shd w:val="clear" w:color="auto" w:fill="auto"/>
            <w:vAlign w:val="bottom"/>
          </w:tcPr>
          <w:p w14:paraId="2D185DB6">
            <w:pPr>
              <w:keepNext w:val="0"/>
              <w:keepLines w:val="0"/>
              <w:widowControl/>
              <w:numPr>
                <w:ilvl w:val="0"/>
                <w:numId w:val="27"/>
              </w:numPr>
              <w:suppressLineNumbers w:val="0"/>
              <w:spacing w:before="0" w:beforeAutospacing="0" w:after="0" w:afterAutospacing="0" w:line="240" w:lineRule="auto"/>
              <w:ind w:left="425" w:leftChars="0" w:right="0" w:hanging="425" w:firstLineChars="0"/>
              <w:jc w:val="center"/>
              <w:rPr>
                <w:rFonts w:hint="eastAsia" w:ascii="宋体" w:hAnsi="宋体" w:eastAsia="宋体" w:cs="宋体"/>
                <w:color w:val="000000"/>
                <w:kern w:val="0"/>
                <w:sz w:val="24"/>
                <w:szCs w:val="24"/>
              </w:rPr>
            </w:pPr>
          </w:p>
        </w:tc>
        <w:tc>
          <w:tcPr>
            <w:tcW w:w="1661" w:type="dxa"/>
            <w:tcBorders>
              <w:top w:val="nil"/>
              <w:left w:val="nil"/>
              <w:bottom w:val="single" w:color="auto" w:sz="4" w:space="0"/>
              <w:right w:val="single" w:color="auto" w:sz="4" w:space="0"/>
            </w:tcBorders>
            <w:shd w:val="clear" w:color="auto" w:fill="auto"/>
            <w:vAlign w:val="bottom"/>
          </w:tcPr>
          <w:p w14:paraId="06BB1DE0">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接入交换机</w:t>
            </w:r>
          </w:p>
        </w:tc>
        <w:tc>
          <w:tcPr>
            <w:tcW w:w="2253" w:type="dxa"/>
            <w:tcBorders>
              <w:top w:val="nil"/>
              <w:left w:val="nil"/>
              <w:bottom w:val="single" w:color="auto" w:sz="4" w:space="0"/>
              <w:right w:val="single" w:color="auto" w:sz="4" w:space="0"/>
            </w:tcBorders>
            <w:shd w:val="clear" w:color="auto" w:fill="auto"/>
            <w:vAlign w:val="bottom"/>
          </w:tcPr>
          <w:p w14:paraId="659D337D">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S5130S-52P-EI</w:t>
            </w:r>
          </w:p>
        </w:tc>
        <w:tc>
          <w:tcPr>
            <w:tcW w:w="762" w:type="dxa"/>
            <w:tcBorders>
              <w:top w:val="nil"/>
              <w:left w:val="nil"/>
              <w:bottom w:val="single" w:color="auto" w:sz="4" w:space="0"/>
              <w:right w:val="single" w:color="auto" w:sz="4" w:space="0"/>
            </w:tcBorders>
            <w:shd w:val="clear" w:color="auto" w:fill="auto"/>
            <w:vAlign w:val="bottom"/>
          </w:tcPr>
          <w:p w14:paraId="4AF6E91A">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11</w:t>
            </w:r>
          </w:p>
        </w:tc>
        <w:tc>
          <w:tcPr>
            <w:tcW w:w="1521" w:type="dxa"/>
            <w:tcBorders>
              <w:top w:val="nil"/>
              <w:left w:val="nil"/>
              <w:bottom w:val="single" w:color="auto" w:sz="4" w:space="0"/>
              <w:right w:val="single" w:color="auto" w:sz="4" w:space="0"/>
            </w:tcBorders>
            <w:shd w:val="clear" w:color="auto" w:fill="auto"/>
            <w:vAlign w:val="center"/>
          </w:tcPr>
          <w:p w14:paraId="0EE622F2">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各楼层</w:t>
            </w:r>
          </w:p>
        </w:tc>
        <w:tc>
          <w:tcPr>
            <w:tcW w:w="1101" w:type="dxa"/>
            <w:tcBorders>
              <w:top w:val="nil"/>
              <w:left w:val="nil"/>
              <w:bottom w:val="single" w:color="auto" w:sz="4" w:space="0"/>
              <w:right w:val="single" w:color="auto" w:sz="4" w:space="0"/>
            </w:tcBorders>
            <w:shd w:val="clear" w:color="auto" w:fill="auto"/>
            <w:vAlign w:val="center"/>
          </w:tcPr>
          <w:p w14:paraId="152A5867">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2108" w:type="dxa"/>
            <w:vMerge w:val="continue"/>
            <w:tcBorders>
              <w:top w:val="nil"/>
              <w:left w:val="single" w:color="auto" w:sz="4" w:space="0"/>
              <w:bottom w:val="single" w:color="auto" w:sz="4" w:space="0"/>
              <w:right w:val="single" w:color="auto" w:sz="4" w:space="0"/>
            </w:tcBorders>
            <w:vAlign w:val="center"/>
          </w:tcPr>
          <w:p w14:paraId="5820B8D6">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p>
        </w:tc>
      </w:tr>
      <w:tr w14:paraId="3FAB715A">
        <w:tblPrEx>
          <w:tblCellMar>
            <w:top w:w="0" w:type="dxa"/>
            <w:left w:w="108" w:type="dxa"/>
            <w:bottom w:w="0" w:type="dxa"/>
            <w:right w:w="108" w:type="dxa"/>
          </w:tblCellMar>
        </w:tblPrEx>
        <w:trPr>
          <w:trHeight w:val="90" w:hRule="atLeast"/>
        </w:trPr>
        <w:tc>
          <w:tcPr>
            <w:tcW w:w="692" w:type="dxa"/>
            <w:tcBorders>
              <w:top w:val="nil"/>
              <w:left w:val="single" w:color="auto" w:sz="4" w:space="0"/>
              <w:bottom w:val="single" w:color="auto" w:sz="4" w:space="0"/>
              <w:right w:val="single" w:color="auto" w:sz="4" w:space="0"/>
            </w:tcBorders>
            <w:shd w:val="clear" w:color="auto" w:fill="auto"/>
            <w:vAlign w:val="bottom"/>
          </w:tcPr>
          <w:p w14:paraId="6456BC50">
            <w:pPr>
              <w:keepNext w:val="0"/>
              <w:keepLines w:val="0"/>
              <w:widowControl/>
              <w:numPr>
                <w:ilvl w:val="0"/>
                <w:numId w:val="27"/>
              </w:numPr>
              <w:suppressLineNumbers w:val="0"/>
              <w:spacing w:before="0" w:beforeAutospacing="0" w:after="0" w:afterAutospacing="0" w:line="240" w:lineRule="auto"/>
              <w:ind w:left="425" w:leftChars="0" w:right="0" w:hanging="425" w:firstLineChars="0"/>
              <w:jc w:val="center"/>
              <w:rPr>
                <w:rFonts w:hint="eastAsia" w:ascii="宋体" w:hAnsi="宋体" w:eastAsia="宋体" w:cs="宋体"/>
                <w:color w:val="000000"/>
                <w:kern w:val="0"/>
                <w:sz w:val="24"/>
                <w:szCs w:val="24"/>
              </w:rPr>
            </w:pPr>
          </w:p>
        </w:tc>
        <w:tc>
          <w:tcPr>
            <w:tcW w:w="1661" w:type="dxa"/>
            <w:tcBorders>
              <w:top w:val="nil"/>
              <w:left w:val="nil"/>
              <w:bottom w:val="single" w:color="auto" w:sz="4" w:space="0"/>
              <w:right w:val="single" w:color="auto" w:sz="4" w:space="0"/>
            </w:tcBorders>
            <w:shd w:val="clear" w:color="auto" w:fill="auto"/>
            <w:vAlign w:val="bottom"/>
          </w:tcPr>
          <w:p w14:paraId="0B313F7A">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接入交换机</w:t>
            </w:r>
          </w:p>
        </w:tc>
        <w:tc>
          <w:tcPr>
            <w:tcW w:w="2253" w:type="dxa"/>
            <w:tcBorders>
              <w:top w:val="nil"/>
              <w:left w:val="nil"/>
              <w:bottom w:val="single" w:color="auto" w:sz="4" w:space="0"/>
              <w:right w:val="single" w:color="auto" w:sz="4" w:space="0"/>
            </w:tcBorders>
            <w:shd w:val="clear" w:color="auto" w:fill="auto"/>
            <w:vAlign w:val="bottom"/>
          </w:tcPr>
          <w:p w14:paraId="29EFD5F3">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S6520X-26C-SI</w:t>
            </w:r>
          </w:p>
        </w:tc>
        <w:tc>
          <w:tcPr>
            <w:tcW w:w="762" w:type="dxa"/>
            <w:tcBorders>
              <w:top w:val="nil"/>
              <w:left w:val="nil"/>
              <w:bottom w:val="single" w:color="auto" w:sz="4" w:space="0"/>
              <w:right w:val="single" w:color="auto" w:sz="4" w:space="0"/>
            </w:tcBorders>
            <w:shd w:val="clear" w:color="auto" w:fill="auto"/>
            <w:vAlign w:val="bottom"/>
          </w:tcPr>
          <w:p w14:paraId="710E4CFD">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12</w:t>
            </w:r>
          </w:p>
        </w:tc>
        <w:tc>
          <w:tcPr>
            <w:tcW w:w="1521" w:type="dxa"/>
            <w:tcBorders>
              <w:top w:val="nil"/>
              <w:left w:val="nil"/>
              <w:bottom w:val="single" w:color="auto" w:sz="4" w:space="0"/>
              <w:right w:val="single" w:color="auto" w:sz="4" w:space="0"/>
            </w:tcBorders>
            <w:shd w:val="clear" w:color="auto" w:fill="auto"/>
            <w:vAlign w:val="center"/>
          </w:tcPr>
          <w:p w14:paraId="5EFB66B2">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各楼层</w:t>
            </w:r>
          </w:p>
        </w:tc>
        <w:tc>
          <w:tcPr>
            <w:tcW w:w="1101" w:type="dxa"/>
            <w:tcBorders>
              <w:top w:val="nil"/>
              <w:left w:val="nil"/>
              <w:bottom w:val="single" w:color="auto" w:sz="4" w:space="0"/>
              <w:right w:val="single" w:color="auto" w:sz="4" w:space="0"/>
            </w:tcBorders>
            <w:shd w:val="clear" w:color="auto" w:fill="auto"/>
            <w:vAlign w:val="center"/>
          </w:tcPr>
          <w:p w14:paraId="0021C070">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2108" w:type="dxa"/>
            <w:vMerge w:val="continue"/>
            <w:tcBorders>
              <w:top w:val="nil"/>
              <w:left w:val="single" w:color="auto" w:sz="4" w:space="0"/>
              <w:bottom w:val="single" w:color="auto" w:sz="4" w:space="0"/>
              <w:right w:val="single" w:color="auto" w:sz="4" w:space="0"/>
            </w:tcBorders>
            <w:vAlign w:val="center"/>
          </w:tcPr>
          <w:p w14:paraId="2F22050C">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p>
        </w:tc>
      </w:tr>
      <w:tr w14:paraId="66596A3B">
        <w:tblPrEx>
          <w:tblCellMar>
            <w:top w:w="0" w:type="dxa"/>
            <w:left w:w="108" w:type="dxa"/>
            <w:bottom w:w="0" w:type="dxa"/>
            <w:right w:w="108" w:type="dxa"/>
          </w:tblCellMar>
        </w:tblPrEx>
        <w:trPr>
          <w:trHeight w:val="90" w:hRule="atLeast"/>
        </w:trPr>
        <w:tc>
          <w:tcPr>
            <w:tcW w:w="692" w:type="dxa"/>
            <w:tcBorders>
              <w:top w:val="nil"/>
              <w:left w:val="single" w:color="auto" w:sz="4" w:space="0"/>
              <w:bottom w:val="single" w:color="auto" w:sz="4" w:space="0"/>
              <w:right w:val="single" w:color="auto" w:sz="4" w:space="0"/>
            </w:tcBorders>
            <w:shd w:val="clear" w:color="auto" w:fill="auto"/>
            <w:vAlign w:val="bottom"/>
          </w:tcPr>
          <w:p w14:paraId="3E02CD03">
            <w:pPr>
              <w:keepNext w:val="0"/>
              <w:keepLines w:val="0"/>
              <w:widowControl/>
              <w:numPr>
                <w:ilvl w:val="0"/>
                <w:numId w:val="27"/>
              </w:numPr>
              <w:suppressLineNumbers w:val="0"/>
              <w:spacing w:before="0" w:beforeAutospacing="0" w:after="0" w:afterAutospacing="0" w:line="240" w:lineRule="auto"/>
              <w:ind w:left="425" w:leftChars="0" w:right="0" w:hanging="425" w:firstLineChars="0"/>
              <w:jc w:val="center"/>
              <w:rPr>
                <w:rFonts w:hint="eastAsia" w:ascii="宋体" w:hAnsi="宋体" w:eastAsia="宋体" w:cs="宋体"/>
                <w:color w:val="000000"/>
                <w:kern w:val="0"/>
                <w:sz w:val="24"/>
                <w:szCs w:val="24"/>
              </w:rPr>
            </w:pPr>
          </w:p>
        </w:tc>
        <w:tc>
          <w:tcPr>
            <w:tcW w:w="1661" w:type="dxa"/>
            <w:tcBorders>
              <w:top w:val="nil"/>
              <w:left w:val="nil"/>
              <w:bottom w:val="single" w:color="auto" w:sz="4" w:space="0"/>
              <w:right w:val="single" w:color="auto" w:sz="4" w:space="0"/>
            </w:tcBorders>
            <w:shd w:val="clear" w:color="auto" w:fill="auto"/>
            <w:vAlign w:val="bottom"/>
          </w:tcPr>
          <w:p w14:paraId="292C7689">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接入交换机</w:t>
            </w:r>
          </w:p>
        </w:tc>
        <w:tc>
          <w:tcPr>
            <w:tcW w:w="2253" w:type="dxa"/>
            <w:tcBorders>
              <w:top w:val="nil"/>
              <w:left w:val="nil"/>
              <w:bottom w:val="single" w:color="auto" w:sz="4" w:space="0"/>
              <w:right w:val="single" w:color="auto" w:sz="4" w:space="0"/>
            </w:tcBorders>
            <w:shd w:val="clear" w:color="auto" w:fill="auto"/>
            <w:vAlign w:val="bottom"/>
          </w:tcPr>
          <w:p w14:paraId="0C9F20C3">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S5130S-28P-EI</w:t>
            </w:r>
          </w:p>
        </w:tc>
        <w:tc>
          <w:tcPr>
            <w:tcW w:w="762" w:type="dxa"/>
            <w:tcBorders>
              <w:top w:val="nil"/>
              <w:left w:val="nil"/>
              <w:bottom w:val="single" w:color="auto" w:sz="4" w:space="0"/>
              <w:right w:val="single" w:color="auto" w:sz="4" w:space="0"/>
            </w:tcBorders>
            <w:shd w:val="clear" w:color="auto" w:fill="auto"/>
            <w:vAlign w:val="bottom"/>
          </w:tcPr>
          <w:p w14:paraId="594B5D5A">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1</w:t>
            </w:r>
          </w:p>
        </w:tc>
        <w:tc>
          <w:tcPr>
            <w:tcW w:w="1521" w:type="dxa"/>
            <w:tcBorders>
              <w:top w:val="nil"/>
              <w:left w:val="nil"/>
              <w:bottom w:val="single" w:color="auto" w:sz="4" w:space="0"/>
              <w:right w:val="single" w:color="auto" w:sz="4" w:space="0"/>
            </w:tcBorders>
            <w:shd w:val="clear" w:color="auto" w:fill="auto"/>
            <w:vAlign w:val="center"/>
          </w:tcPr>
          <w:p w14:paraId="7C0BDB29">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各楼层</w:t>
            </w:r>
          </w:p>
        </w:tc>
        <w:tc>
          <w:tcPr>
            <w:tcW w:w="1101" w:type="dxa"/>
            <w:tcBorders>
              <w:top w:val="nil"/>
              <w:left w:val="nil"/>
              <w:bottom w:val="single" w:color="auto" w:sz="4" w:space="0"/>
              <w:right w:val="single" w:color="auto" w:sz="4" w:space="0"/>
            </w:tcBorders>
            <w:shd w:val="clear" w:color="auto" w:fill="auto"/>
            <w:vAlign w:val="center"/>
          </w:tcPr>
          <w:p w14:paraId="405F5740">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2108" w:type="dxa"/>
            <w:vMerge w:val="continue"/>
            <w:tcBorders>
              <w:top w:val="nil"/>
              <w:left w:val="single" w:color="auto" w:sz="4" w:space="0"/>
              <w:bottom w:val="single" w:color="auto" w:sz="4" w:space="0"/>
              <w:right w:val="single" w:color="auto" w:sz="4" w:space="0"/>
            </w:tcBorders>
            <w:vAlign w:val="center"/>
          </w:tcPr>
          <w:p w14:paraId="46FD7371">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p>
        </w:tc>
      </w:tr>
      <w:tr w14:paraId="1D1212A6">
        <w:tblPrEx>
          <w:tblCellMar>
            <w:top w:w="0" w:type="dxa"/>
            <w:left w:w="108" w:type="dxa"/>
            <w:bottom w:w="0" w:type="dxa"/>
            <w:right w:w="108" w:type="dxa"/>
          </w:tblCellMar>
        </w:tblPrEx>
        <w:trPr>
          <w:trHeight w:val="90" w:hRule="atLeast"/>
        </w:trPr>
        <w:tc>
          <w:tcPr>
            <w:tcW w:w="692" w:type="dxa"/>
            <w:tcBorders>
              <w:top w:val="nil"/>
              <w:left w:val="single" w:color="auto" w:sz="4" w:space="0"/>
              <w:bottom w:val="single" w:color="auto" w:sz="4" w:space="0"/>
              <w:right w:val="single" w:color="auto" w:sz="4" w:space="0"/>
            </w:tcBorders>
            <w:shd w:val="clear" w:color="auto" w:fill="auto"/>
            <w:vAlign w:val="bottom"/>
          </w:tcPr>
          <w:p w14:paraId="4C89B806">
            <w:pPr>
              <w:keepNext w:val="0"/>
              <w:keepLines w:val="0"/>
              <w:widowControl/>
              <w:numPr>
                <w:ilvl w:val="0"/>
                <w:numId w:val="27"/>
              </w:numPr>
              <w:suppressLineNumbers w:val="0"/>
              <w:spacing w:before="0" w:beforeAutospacing="0" w:after="0" w:afterAutospacing="0" w:line="240" w:lineRule="auto"/>
              <w:ind w:left="425" w:leftChars="0" w:right="0" w:hanging="425" w:firstLineChars="0"/>
              <w:jc w:val="center"/>
              <w:rPr>
                <w:rFonts w:hint="eastAsia" w:ascii="宋体" w:hAnsi="宋体" w:eastAsia="宋体" w:cs="宋体"/>
                <w:color w:val="000000"/>
                <w:kern w:val="0"/>
                <w:sz w:val="24"/>
                <w:szCs w:val="24"/>
              </w:rPr>
            </w:pPr>
          </w:p>
        </w:tc>
        <w:tc>
          <w:tcPr>
            <w:tcW w:w="1661" w:type="dxa"/>
            <w:tcBorders>
              <w:top w:val="nil"/>
              <w:left w:val="nil"/>
              <w:bottom w:val="single" w:color="auto" w:sz="4" w:space="0"/>
              <w:right w:val="single" w:color="auto" w:sz="4" w:space="0"/>
            </w:tcBorders>
            <w:shd w:val="clear" w:color="auto" w:fill="auto"/>
            <w:vAlign w:val="bottom"/>
          </w:tcPr>
          <w:p w14:paraId="0E53C77F">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接入交换机</w:t>
            </w:r>
          </w:p>
        </w:tc>
        <w:tc>
          <w:tcPr>
            <w:tcW w:w="2253" w:type="dxa"/>
            <w:tcBorders>
              <w:top w:val="nil"/>
              <w:left w:val="nil"/>
              <w:bottom w:val="single" w:color="auto" w:sz="4" w:space="0"/>
              <w:right w:val="single" w:color="auto" w:sz="4" w:space="0"/>
            </w:tcBorders>
            <w:shd w:val="clear" w:color="auto" w:fill="auto"/>
            <w:vAlign w:val="bottom"/>
          </w:tcPr>
          <w:p w14:paraId="2D9B1603">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S3600-28TP-SI</w:t>
            </w:r>
          </w:p>
        </w:tc>
        <w:tc>
          <w:tcPr>
            <w:tcW w:w="762" w:type="dxa"/>
            <w:tcBorders>
              <w:top w:val="nil"/>
              <w:left w:val="nil"/>
              <w:bottom w:val="single" w:color="auto" w:sz="4" w:space="0"/>
              <w:right w:val="single" w:color="auto" w:sz="4" w:space="0"/>
            </w:tcBorders>
            <w:shd w:val="clear" w:color="auto" w:fill="auto"/>
            <w:vAlign w:val="bottom"/>
          </w:tcPr>
          <w:p w14:paraId="5347EA61">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4</w:t>
            </w:r>
          </w:p>
        </w:tc>
        <w:tc>
          <w:tcPr>
            <w:tcW w:w="1521" w:type="dxa"/>
            <w:tcBorders>
              <w:top w:val="nil"/>
              <w:left w:val="nil"/>
              <w:bottom w:val="single" w:color="auto" w:sz="4" w:space="0"/>
              <w:right w:val="single" w:color="auto" w:sz="4" w:space="0"/>
            </w:tcBorders>
            <w:shd w:val="clear" w:color="auto" w:fill="auto"/>
            <w:vAlign w:val="center"/>
          </w:tcPr>
          <w:p w14:paraId="0BC70489">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各楼层</w:t>
            </w:r>
          </w:p>
        </w:tc>
        <w:tc>
          <w:tcPr>
            <w:tcW w:w="1101" w:type="dxa"/>
            <w:tcBorders>
              <w:top w:val="nil"/>
              <w:left w:val="nil"/>
              <w:bottom w:val="single" w:color="auto" w:sz="4" w:space="0"/>
              <w:right w:val="single" w:color="auto" w:sz="4" w:space="0"/>
            </w:tcBorders>
            <w:shd w:val="clear" w:color="auto" w:fill="auto"/>
            <w:vAlign w:val="center"/>
          </w:tcPr>
          <w:p w14:paraId="5601A507">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2108" w:type="dxa"/>
            <w:vMerge w:val="continue"/>
            <w:tcBorders>
              <w:top w:val="nil"/>
              <w:left w:val="single" w:color="auto" w:sz="4" w:space="0"/>
              <w:bottom w:val="single" w:color="auto" w:sz="4" w:space="0"/>
              <w:right w:val="single" w:color="auto" w:sz="4" w:space="0"/>
            </w:tcBorders>
            <w:vAlign w:val="center"/>
          </w:tcPr>
          <w:p w14:paraId="70222B08">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p>
        </w:tc>
      </w:tr>
      <w:tr w14:paraId="6805E716">
        <w:tblPrEx>
          <w:tblCellMar>
            <w:top w:w="0" w:type="dxa"/>
            <w:left w:w="108" w:type="dxa"/>
            <w:bottom w:w="0" w:type="dxa"/>
            <w:right w:w="108" w:type="dxa"/>
          </w:tblCellMar>
        </w:tblPrEx>
        <w:trPr>
          <w:trHeight w:val="90" w:hRule="atLeast"/>
        </w:trPr>
        <w:tc>
          <w:tcPr>
            <w:tcW w:w="692" w:type="dxa"/>
            <w:tcBorders>
              <w:top w:val="nil"/>
              <w:left w:val="single" w:color="auto" w:sz="4" w:space="0"/>
              <w:bottom w:val="single" w:color="auto" w:sz="4" w:space="0"/>
              <w:right w:val="single" w:color="auto" w:sz="4" w:space="0"/>
            </w:tcBorders>
            <w:shd w:val="clear" w:color="auto" w:fill="auto"/>
            <w:vAlign w:val="bottom"/>
          </w:tcPr>
          <w:p w14:paraId="129C1D9C">
            <w:pPr>
              <w:keepNext w:val="0"/>
              <w:keepLines w:val="0"/>
              <w:widowControl/>
              <w:numPr>
                <w:ilvl w:val="0"/>
                <w:numId w:val="27"/>
              </w:numPr>
              <w:suppressLineNumbers w:val="0"/>
              <w:spacing w:before="0" w:beforeAutospacing="0" w:after="0" w:afterAutospacing="0" w:line="240" w:lineRule="auto"/>
              <w:ind w:left="425" w:leftChars="0" w:right="0" w:hanging="425" w:firstLineChars="0"/>
              <w:jc w:val="center"/>
              <w:rPr>
                <w:rFonts w:hint="eastAsia" w:ascii="宋体" w:hAnsi="宋体" w:eastAsia="宋体" w:cs="宋体"/>
                <w:color w:val="000000"/>
                <w:kern w:val="0"/>
                <w:sz w:val="24"/>
                <w:szCs w:val="24"/>
              </w:rPr>
            </w:pPr>
          </w:p>
        </w:tc>
        <w:tc>
          <w:tcPr>
            <w:tcW w:w="1661" w:type="dxa"/>
            <w:tcBorders>
              <w:top w:val="nil"/>
              <w:left w:val="nil"/>
              <w:bottom w:val="single" w:color="auto" w:sz="4" w:space="0"/>
              <w:right w:val="single" w:color="auto" w:sz="4" w:space="0"/>
            </w:tcBorders>
            <w:shd w:val="clear" w:color="auto" w:fill="auto"/>
            <w:vAlign w:val="bottom"/>
          </w:tcPr>
          <w:p w14:paraId="77B08E6B">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接入交换机</w:t>
            </w:r>
          </w:p>
        </w:tc>
        <w:tc>
          <w:tcPr>
            <w:tcW w:w="2253" w:type="dxa"/>
            <w:tcBorders>
              <w:top w:val="nil"/>
              <w:left w:val="nil"/>
              <w:bottom w:val="single" w:color="auto" w:sz="4" w:space="0"/>
              <w:right w:val="single" w:color="auto" w:sz="4" w:space="0"/>
            </w:tcBorders>
            <w:shd w:val="clear" w:color="auto" w:fill="auto"/>
            <w:vAlign w:val="bottom"/>
          </w:tcPr>
          <w:p w14:paraId="5F939676">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S5120V2-28P-LI</w:t>
            </w:r>
          </w:p>
        </w:tc>
        <w:tc>
          <w:tcPr>
            <w:tcW w:w="762" w:type="dxa"/>
            <w:tcBorders>
              <w:top w:val="nil"/>
              <w:left w:val="nil"/>
              <w:bottom w:val="single" w:color="auto" w:sz="4" w:space="0"/>
              <w:right w:val="single" w:color="auto" w:sz="4" w:space="0"/>
            </w:tcBorders>
            <w:shd w:val="clear" w:color="auto" w:fill="auto"/>
            <w:vAlign w:val="bottom"/>
          </w:tcPr>
          <w:p w14:paraId="550544F9">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521" w:type="dxa"/>
            <w:tcBorders>
              <w:top w:val="nil"/>
              <w:left w:val="nil"/>
              <w:bottom w:val="single" w:color="auto" w:sz="4" w:space="0"/>
              <w:right w:val="single" w:color="auto" w:sz="4" w:space="0"/>
            </w:tcBorders>
            <w:shd w:val="clear" w:color="auto" w:fill="auto"/>
            <w:vAlign w:val="center"/>
          </w:tcPr>
          <w:p w14:paraId="7D7C2B7B">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各楼层</w:t>
            </w:r>
          </w:p>
        </w:tc>
        <w:tc>
          <w:tcPr>
            <w:tcW w:w="1101" w:type="dxa"/>
            <w:tcBorders>
              <w:top w:val="nil"/>
              <w:left w:val="nil"/>
              <w:bottom w:val="single" w:color="auto" w:sz="4" w:space="0"/>
              <w:right w:val="single" w:color="auto" w:sz="4" w:space="0"/>
            </w:tcBorders>
            <w:shd w:val="clear" w:color="auto" w:fill="auto"/>
            <w:vAlign w:val="center"/>
          </w:tcPr>
          <w:p w14:paraId="030E342E">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2108" w:type="dxa"/>
            <w:vMerge w:val="continue"/>
            <w:tcBorders>
              <w:top w:val="nil"/>
              <w:left w:val="single" w:color="auto" w:sz="4" w:space="0"/>
              <w:bottom w:val="single" w:color="auto" w:sz="4" w:space="0"/>
              <w:right w:val="single" w:color="auto" w:sz="4" w:space="0"/>
            </w:tcBorders>
            <w:vAlign w:val="center"/>
          </w:tcPr>
          <w:p w14:paraId="6CA6B693">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p>
        </w:tc>
      </w:tr>
      <w:tr w14:paraId="4ED13644">
        <w:tblPrEx>
          <w:tblCellMar>
            <w:top w:w="0" w:type="dxa"/>
            <w:left w:w="108" w:type="dxa"/>
            <w:bottom w:w="0" w:type="dxa"/>
            <w:right w:w="108" w:type="dxa"/>
          </w:tblCellMar>
        </w:tblPrEx>
        <w:trPr>
          <w:trHeight w:val="90" w:hRule="atLeast"/>
        </w:trPr>
        <w:tc>
          <w:tcPr>
            <w:tcW w:w="692" w:type="dxa"/>
            <w:tcBorders>
              <w:top w:val="nil"/>
              <w:left w:val="single" w:color="auto" w:sz="4" w:space="0"/>
              <w:bottom w:val="single" w:color="auto" w:sz="4" w:space="0"/>
              <w:right w:val="single" w:color="auto" w:sz="4" w:space="0"/>
            </w:tcBorders>
            <w:shd w:val="clear" w:color="auto" w:fill="auto"/>
            <w:vAlign w:val="bottom"/>
          </w:tcPr>
          <w:p w14:paraId="7B6F2883">
            <w:pPr>
              <w:keepNext w:val="0"/>
              <w:keepLines w:val="0"/>
              <w:widowControl/>
              <w:numPr>
                <w:ilvl w:val="0"/>
                <w:numId w:val="27"/>
              </w:numPr>
              <w:suppressLineNumbers w:val="0"/>
              <w:spacing w:before="0" w:beforeAutospacing="0" w:after="0" w:afterAutospacing="0" w:line="240" w:lineRule="auto"/>
              <w:ind w:left="425" w:leftChars="0" w:right="0" w:hanging="425" w:firstLineChars="0"/>
              <w:jc w:val="center"/>
              <w:rPr>
                <w:rFonts w:hint="eastAsia" w:ascii="宋体" w:hAnsi="宋体" w:eastAsia="宋体" w:cs="宋体"/>
                <w:color w:val="000000"/>
                <w:kern w:val="0"/>
                <w:sz w:val="24"/>
                <w:szCs w:val="24"/>
              </w:rPr>
            </w:pPr>
          </w:p>
        </w:tc>
        <w:tc>
          <w:tcPr>
            <w:tcW w:w="1661" w:type="dxa"/>
            <w:tcBorders>
              <w:top w:val="nil"/>
              <w:left w:val="nil"/>
              <w:bottom w:val="single" w:color="auto" w:sz="4" w:space="0"/>
              <w:right w:val="single" w:color="auto" w:sz="4" w:space="0"/>
            </w:tcBorders>
            <w:shd w:val="clear" w:color="auto" w:fill="auto"/>
            <w:vAlign w:val="bottom"/>
          </w:tcPr>
          <w:p w14:paraId="184DD3B4">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接入交换机</w:t>
            </w:r>
          </w:p>
        </w:tc>
        <w:tc>
          <w:tcPr>
            <w:tcW w:w="2253" w:type="dxa"/>
            <w:tcBorders>
              <w:top w:val="nil"/>
              <w:left w:val="nil"/>
              <w:bottom w:val="single" w:color="auto" w:sz="4" w:space="0"/>
              <w:right w:val="single" w:color="auto" w:sz="4" w:space="0"/>
            </w:tcBorders>
            <w:shd w:val="clear" w:color="auto" w:fill="auto"/>
            <w:vAlign w:val="bottom"/>
          </w:tcPr>
          <w:p w14:paraId="5AC6DD26">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S5130S-52P-EI</w:t>
            </w:r>
          </w:p>
        </w:tc>
        <w:tc>
          <w:tcPr>
            <w:tcW w:w="762" w:type="dxa"/>
            <w:tcBorders>
              <w:top w:val="nil"/>
              <w:left w:val="nil"/>
              <w:bottom w:val="single" w:color="auto" w:sz="4" w:space="0"/>
              <w:right w:val="single" w:color="auto" w:sz="4" w:space="0"/>
            </w:tcBorders>
            <w:shd w:val="clear" w:color="auto" w:fill="auto"/>
            <w:vAlign w:val="bottom"/>
          </w:tcPr>
          <w:p w14:paraId="4C34F188">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18</w:t>
            </w:r>
          </w:p>
        </w:tc>
        <w:tc>
          <w:tcPr>
            <w:tcW w:w="1521" w:type="dxa"/>
            <w:tcBorders>
              <w:top w:val="nil"/>
              <w:left w:val="nil"/>
              <w:bottom w:val="single" w:color="auto" w:sz="4" w:space="0"/>
              <w:right w:val="single" w:color="auto" w:sz="4" w:space="0"/>
            </w:tcBorders>
            <w:shd w:val="clear" w:color="auto" w:fill="auto"/>
            <w:vAlign w:val="center"/>
          </w:tcPr>
          <w:p w14:paraId="3A4BEF97">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各楼层</w:t>
            </w:r>
          </w:p>
        </w:tc>
        <w:tc>
          <w:tcPr>
            <w:tcW w:w="1101" w:type="dxa"/>
            <w:tcBorders>
              <w:top w:val="nil"/>
              <w:left w:val="nil"/>
              <w:bottom w:val="single" w:color="auto" w:sz="4" w:space="0"/>
              <w:right w:val="single" w:color="auto" w:sz="4" w:space="0"/>
            </w:tcBorders>
            <w:shd w:val="clear" w:color="auto" w:fill="auto"/>
            <w:vAlign w:val="center"/>
          </w:tcPr>
          <w:p w14:paraId="0A896D39">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2108" w:type="dxa"/>
            <w:vMerge w:val="continue"/>
            <w:tcBorders>
              <w:top w:val="nil"/>
              <w:left w:val="single" w:color="auto" w:sz="4" w:space="0"/>
              <w:bottom w:val="single" w:color="auto" w:sz="4" w:space="0"/>
              <w:right w:val="single" w:color="auto" w:sz="4" w:space="0"/>
            </w:tcBorders>
            <w:vAlign w:val="center"/>
          </w:tcPr>
          <w:p w14:paraId="1EBE1D34">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p>
        </w:tc>
      </w:tr>
      <w:tr w14:paraId="72939DD8">
        <w:tblPrEx>
          <w:tblCellMar>
            <w:top w:w="0" w:type="dxa"/>
            <w:left w:w="108" w:type="dxa"/>
            <w:bottom w:w="0" w:type="dxa"/>
            <w:right w:w="108" w:type="dxa"/>
          </w:tblCellMar>
        </w:tblPrEx>
        <w:trPr>
          <w:trHeight w:val="90" w:hRule="atLeast"/>
        </w:trPr>
        <w:tc>
          <w:tcPr>
            <w:tcW w:w="692" w:type="dxa"/>
            <w:tcBorders>
              <w:top w:val="nil"/>
              <w:left w:val="single" w:color="auto" w:sz="4" w:space="0"/>
              <w:bottom w:val="single" w:color="auto" w:sz="4" w:space="0"/>
              <w:right w:val="single" w:color="auto" w:sz="4" w:space="0"/>
            </w:tcBorders>
            <w:shd w:val="clear" w:color="auto" w:fill="auto"/>
            <w:vAlign w:val="bottom"/>
          </w:tcPr>
          <w:p w14:paraId="5768FD1C">
            <w:pPr>
              <w:keepNext w:val="0"/>
              <w:keepLines w:val="0"/>
              <w:widowControl/>
              <w:numPr>
                <w:ilvl w:val="0"/>
                <w:numId w:val="27"/>
              </w:numPr>
              <w:suppressLineNumbers w:val="0"/>
              <w:spacing w:before="0" w:beforeAutospacing="0" w:after="0" w:afterAutospacing="0" w:line="240" w:lineRule="auto"/>
              <w:ind w:left="425" w:leftChars="0" w:right="0" w:hanging="425" w:firstLineChars="0"/>
              <w:jc w:val="center"/>
              <w:rPr>
                <w:rFonts w:hint="eastAsia" w:ascii="宋体" w:hAnsi="宋体" w:eastAsia="宋体" w:cs="宋体"/>
                <w:color w:val="000000"/>
                <w:kern w:val="0"/>
                <w:sz w:val="24"/>
                <w:szCs w:val="24"/>
              </w:rPr>
            </w:pPr>
          </w:p>
        </w:tc>
        <w:tc>
          <w:tcPr>
            <w:tcW w:w="1661" w:type="dxa"/>
            <w:tcBorders>
              <w:top w:val="nil"/>
              <w:left w:val="nil"/>
              <w:bottom w:val="single" w:color="auto" w:sz="4" w:space="0"/>
              <w:right w:val="single" w:color="auto" w:sz="4" w:space="0"/>
            </w:tcBorders>
            <w:shd w:val="clear" w:color="auto" w:fill="auto"/>
            <w:vAlign w:val="bottom"/>
          </w:tcPr>
          <w:p w14:paraId="268590E3">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接入交换机</w:t>
            </w:r>
          </w:p>
        </w:tc>
        <w:tc>
          <w:tcPr>
            <w:tcW w:w="2253" w:type="dxa"/>
            <w:tcBorders>
              <w:top w:val="nil"/>
              <w:left w:val="nil"/>
              <w:bottom w:val="single" w:color="auto" w:sz="4" w:space="0"/>
              <w:right w:val="single" w:color="auto" w:sz="4" w:space="0"/>
            </w:tcBorders>
            <w:shd w:val="clear" w:color="auto" w:fill="auto"/>
            <w:vAlign w:val="bottom"/>
          </w:tcPr>
          <w:p w14:paraId="635DBF88">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S5130S-52P-EI</w:t>
            </w:r>
          </w:p>
        </w:tc>
        <w:tc>
          <w:tcPr>
            <w:tcW w:w="762" w:type="dxa"/>
            <w:tcBorders>
              <w:top w:val="nil"/>
              <w:left w:val="nil"/>
              <w:bottom w:val="single" w:color="auto" w:sz="4" w:space="0"/>
              <w:right w:val="single" w:color="auto" w:sz="4" w:space="0"/>
            </w:tcBorders>
            <w:shd w:val="clear" w:color="auto" w:fill="auto"/>
            <w:vAlign w:val="bottom"/>
          </w:tcPr>
          <w:p w14:paraId="69786DDE">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19</w:t>
            </w:r>
          </w:p>
        </w:tc>
        <w:tc>
          <w:tcPr>
            <w:tcW w:w="1521" w:type="dxa"/>
            <w:tcBorders>
              <w:top w:val="nil"/>
              <w:left w:val="nil"/>
              <w:bottom w:val="single" w:color="auto" w:sz="4" w:space="0"/>
              <w:right w:val="single" w:color="auto" w:sz="4" w:space="0"/>
            </w:tcBorders>
            <w:shd w:val="clear" w:color="auto" w:fill="auto"/>
            <w:vAlign w:val="center"/>
          </w:tcPr>
          <w:p w14:paraId="6E737631">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各楼层</w:t>
            </w:r>
          </w:p>
        </w:tc>
        <w:tc>
          <w:tcPr>
            <w:tcW w:w="1101" w:type="dxa"/>
            <w:tcBorders>
              <w:top w:val="nil"/>
              <w:left w:val="nil"/>
              <w:bottom w:val="single" w:color="auto" w:sz="4" w:space="0"/>
              <w:right w:val="single" w:color="auto" w:sz="4" w:space="0"/>
            </w:tcBorders>
            <w:shd w:val="clear" w:color="auto" w:fill="auto"/>
            <w:vAlign w:val="center"/>
          </w:tcPr>
          <w:p w14:paraId="360308DC">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2108" w:type="dxa"/>
            <w:vMerge w:val="continue"/>
            <w:tcBorders>
              <w:top w:val="nil"/>
              <w:left w:val="single" w:color="auto" w:sz="4" w:space="0"/>
              <w:bottom w:val="single" w:color="auto" w:sz="4" w:space="0"/>
              <w:right w:val="single" w:color="auto" w:sz="4" w:space="0"/>
            </w:tcBorders>
            <w:vAlign w:val="center"/>
          </w:tcPr>
          <w:p w14:paraId="331329C9">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p>
        </w:tc>
      </w:tr>
      <w:tr w14:paraId="37B9474B">
        <w:tblPrEx>
          <w:tblCellMar>
            <w:top w:w="0" w:type="dxa"/>
            <w:left w:w="108" w:type="dxa"/>
            <w:bottom w:w="0" w:type="dxa"/>
            <w:right w:w="108" w:type="dxa"/>
          </w:tblCellMar>
        </w:tblPrEx>
        <w:trPr>
          <w:trHeight w:val="90" w:hRule="atLeast"/>
        </w:trPr>
        <w:tc>
          <w:tcPr>
            <w:tcW w:w="692" w:type="dxa"/>
            <w:tcBorders>
              <w:top w:val="nil"/>
              <w:left w:val="single" w:color="auto" w:sz="4" w:space="0"/>
              <w:bottom w:val="single" w:color="auto" w:sz="4" w:space="0"/>
              <w:right w:val="single" w:color="auto" w:sz="4" w:space="0"/>
            </w:tcBorders>
            <w:shd w:val="clear" w:color="auto" w:fill="auto"/>
            <w:vAlign w:val="bottom"/>
          </w:tcPr>
          <w:p w14:paraId="077974FB">
            <w:pPr>
              <w:keepNext w:val="0"/>
              <w:keepLines w:val="0"/>
              <w:widowControl/>
              <w:numPr>
                <w:ilvl w:val="0"/>
                <w:numId w:val="27"/>
              </w:numPr>
              <w:suppressLineNumbers w:val="0"/>
              <w:spacing w:before="0" w:beforeAutospacing="0" w:after="0" w:afterAutospacing="0" w:line="240" w:lineRule="auto"/>
              <w:ind w:left="425" w:leftChars="0" w:right="0" w:hanging="425" w:firstLineChars="0"/>
              <w:jc w:val="center"/>
              <w:rPr>
                <w:rFonts w:hint="eastAsia" w:ascii="宋体" w:hAnsi="宋体" w:eastAsia="宋体" w:cs="宋体"/>
                <w:color w:val="000000"/>
                <w:kern w:val="0"/>
                <w:sz w:val="24"/>
                <w:szCs w:val="24"/>
              </w:rPr>
            </w:pPr>
          </w:p>
        </w:tc>
        <w:tc>
          <w:tcPr>
            <w:tcW w:w="1661" w:type="dxa"/>
            <w:tcBorders>
              <w:top w:val="nil"/>
              <w:left w:val="nil"/>
              <w:bottom w:val="single" w:color="auto" w:sz="4" w:space="0"/>
              <w:right w:val="single" w:color="auto" w:sz="4" w:space="0"/>
            </w:tcBorders>
            <w:shd w:val="clear" w:color="auto" w:fill="auto"/>
            <w:vAlign w:val="bottom"/>
          </w:tcPr>
          <w:p w14:paraId="7BD43549">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接入交换机</w:t>
            </w:r>
          </w:p>
        </w:tc>
        <w:tc>
          <w:tcPr>
            <w:tcW w:w="2253" w:type="dxa"/>
            <w:tcBorders>
              <w:top w:val="nil"/>
              <w:left w:val="nil"/>
              <w:bottom w:val="single" w:color="auto" w:sz="4" w:space="0"/>
              <w:right w:val="single" w:color="auto" w:sz="4" w:space="0"/>
            </w:tcBorders>
            <w:shd w:val="clear" w:color="auto" w:fill="auto"/>
            <w:vAlign w:val="bottom"/>
          </w:tcPr>
          <w:p w14:paraId="6E95791C">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S5048PV3-EI-PWR</w:t>
            </w:r>
          </w:p>
        </w:tc>
        <w:tc>
          <w:tcPr>
            <w:tcW w:w="762" w:type="dxa"/>
            <w:tcBorders>
              <w:top w:val="nil"/>
              <w:left w:val="nil"/>
              <w:bottom w:val="single" w:color="auto" w:sz="4" w:space="0"/>
              <w:right w:val="single" w:color="auto" w:sz="4" w:space="0"/>
            </w:tcBorders>
            <w:shd w:val="clear" w:color="auto" w:fill="auto"/>
            <w:vAlign w:val="bottom"/>
          </w:tcPr>
          <w:p w14:paraId="405CFF5A">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20</w:t>
            </w:r>
          </w:p>
        </w:tc>
        <w:tc>
          <w:tcPr>
            <w:tcW w:w="1521" w:type="dxa"/>
            <w:tcBorders>
              <w:top w:val="nil"/>
              <w:left w:val="nil"/>
              <w:bottom w:val="single" w:color="auto" w:sz="4" w:space="0"/>
              <w:right w:val="single" w:color="auto" w:sz="4" w:space="0"/>
            </w:tcBorders>
            <w:shd w:val="clear" w:color="auto" w:fill="auto"/>
            <w:vAlign w:val="center"/>
          </w:tcPr>
          <w:p w14:paraId="6F7D595E">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各楼层</w:t>
            </w:r>
          </w:p>
        </w:tc>
        <w:tc>
          <w:tcPr>
            <w:tcW w:w="1101" w:type="dxa"/>
            <w:tcBorders>
              <w:top w:val="nil"/>
              <w:left w:val="nil"/>
              <w:bottom w:val="single" w:color="auto" w:sz="4" w:space="0"/>
              <w:right w:val="single" w:color="auto" w:sz="4" w:space="0"/>
            </w:tcBorders>
            <w:shd w:val="clear" w:color="auto" w:fill="auto"/>
            <w:vAlign w:val="center"/>
          </w:tcPr>
          <w:p w14:paraId="4B930210">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2108" w:type="dxa"/>
            <w:vMerge w:val="continue"/>
            <w:tcBorders>
              <w:top w:val="nil"/>
              <w:left w:val="single" w:color="auto" w:sz="4" w:space="0"/>
              <w:bottom w:val="single" w:color="auto" w:sz="4" w:space="0"/>
              <w:right w:val="single" w:color="auto" w:sz="4" w:space="0"/>
            </w:tcBorders>
            <w:vAlign w:val="center"/>
          </w:tcPr>
          <w:p w14:paraId="3D9E058B">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p>
        </w:tc>
      </w:tr>
      <w:tr w14:paraId="0E283B6D">
        <w:tblPrEx>
          <w:tblCellMar>
            <w:top w:w="0" w:type="dxa"/>
            <w:left w:w="108" w:type="dxa"/>
            <w:bottom w:w="0" w:type="dxa"/>
            <w:right w:w="108" w:type="dxa"/>
          </w:tblCellMar>
        </w:tblPrEx>
        <w:trPr>
          <w:trHeight w:val="90" w:hRule="atLeast"/>
        </w:trPr>
        <w:tc>
          <w:tcPr>
            <w:tcW w:w="692" w:type="dxa"/>
            <w:tcBorders>
              <w:top w:val="nil"/>
              <w:left w:val="single" w:color="auto" w:sz="4" w:space="0"/>
              <w:bottom w:val="single" w:color="auto" w:sz="4" w:space="0"/>
              <w:right w:val="single" w:color="auto" w:sz="4" w:space="0"/>
            </w:tcBorders>
            <w:shd w:val="clear" w:color="auto" w:fill="auto"/>
            <w:vAlign w:val="bottom"/>
          </w:tcPr>
          <w:p w14:paraId="4D2B8356">
            <w:pPr>
              <w:keepNext w:val="0"/>
              <w:keepLines w:val="0"/>
              <w:widowControl/>
              <w:numPr>
                <w:ilvl w:val="0"/>
                <w:numId w:val="27"/>
              </w:numPr>
              <w:suppressLineNumbers w:val="0"/>
              <w:spacing w:before="0" w:beforeAutospacing="0" w:after="0" w:afterAutospacing="0" w:line="240" w:lineRule="auto"/>
              <w:ind w:left="425" w:leftChars="0" w:right="0" w:hanging="425" w:firstLineChars="0"/>
              <w:jc w:val="center"/>
              <w:rPr>
                <w:rFonts w:hint="eastAsia" w:ascii="宋体" w:hAnsi="宋体" w:eastAsia="宋体" w:cs="宋体"/>
                <w:color w:val="000000"/>
                <w:kern w:val="0"/>
                <w:sz w:val="24"/>
                <w:szCs w:val="24"/>
              </w:rPr>
            </w:pPr>
          </w:p>
        </w:tc>
        <w:tc>
          <w:tcPr>
            <w:tcW w:w="1661" w:type="dxa"/>
            <w:tcBorders>
              <w:top w:val="nil"/>
              <w:left w:val="nil"/>
              <w:bottom w:val="single" w:color="auto" w:sz="4" w:space="0"/>
              <w:right w:val="single" w:color="auto" w:sz="4" w:space="0"/>
            </w:tcBorders>
            <w:shd w:val="clear" w:color="auto" w:fill="auto"/>
            <w:vAlign w:val="bottom"/>
          </w:tcPr>
          <w:p w14:paraId="719549A0">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大AP</w:t>
            </w:r>
          </w:p>
        </w:tc>
        <w:tc>
          <w:tcPr>
            <w:tcW w:w="2253" w:type="dxa"/>
            <w:tcBorders>
              <w:top w:val="nil"/>
              <w:left w:val="nil"/>
              <w:bottom w:val="single" w:color="auto" w:sz="4" w:space="0"/>
              <w:right w:val="single" w:color="auto" w:sz="4" w:space="0"/>
            </w:tcBorders>
            <w:shd w:val="clear" w:color="auto" w:fill="auto"/>
            <w:vAlign w:val="bottom"/>
          </w:tcPr>
          <w:p w14:paraId="7D15E0F3">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SW5530-FIT</w:t>
            </w:r>
          </w:p>
        </w:tc>
        <w:tc>
          <w:tcPr>
            <w:tcW w:w="762" w:type="dxa"/>
            <w:tcBorders>
              <w:top w:val="nil"/>
              <w:left w:val="nil"/>
              <w:bottom w:val="single" w:color="auto" w:sz="4" w:space="0"/>
              <w:right w:val="single" w:color="auto" w:sz="4" w:space="0"/>
            </w:tcBorders>
            <w:shd w:val="clear" w:color="auto" w:fill="auto"/>
            <w:vAlign w:val="bottom"/>
          </w:tcPr>
          <w:p w14:paraId="49AAE166">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4</w:t>
            </w:r>
          </w:p>
        </w:tc>
        <w:tc>
          <w:tcPr>
            <w:tcW w:w="1521" w:type="dxa"/>
            <w:tcBorders>
              <w:top w:val="nil"/>
              <w:left w:val="nil"/>
              <w:bottom w:val="single" w:color="auto" w:sz="4" w:space="0"/>
              <w:right w:val="single" w:color="auto" w:sz="4" w:space="0"/>
            </w:tcBorders>
            <w:shd w:val="clear" w:color="auto" w:fill="auto"/>
            <w:vAlign w:val="center"/>
          </w:tcPr>
          <w:p w14:paraId="70970265">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各楼层</w:t>
            </w:r>
          </w:p>
        </w:tc>
        <w:tc>
          <w:tcPr>
            <w:tcW w:w="1101" w:type="dxa"/>
            <w:tcBorders>
              <w:top w:val="nil"/>
              <w:left w:val="nil"/>
              <w:bottom w:val="single" w:color="auto" w:sz="4" w:space="0"/>
              <w:right w:val="single" w:color="auto" w:sz="4" w:space="0"/>
            </w:tcBorders>
            <w:shd w:val="clear" w:color="auto" w:fill="auto"/>
            <w:vAlign w:val="center"/>
          </w:tcPr>
          <w:p w14:paraId="45DCEDF7">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2108" w:type="dxa"/>
            <w:vMerge w:val="continue"/>
            <w:tcBorders>
              <w:top w:val="nil"/>
              <w:left w:val="single" w:color="auto" w:sz="4" w:space="0"/>
              <w:bottom w:val="single" w:color="auto" w:sz="4" w:space="0"/>
              <w:right w:val="single" w:color="auto" w:sz="4" w:space="0"/>
            </w:tcBorders>
            <w:vAlign w:val="center"/>
          </w:tcPr>
          <w:p w14:paraId="5C2322DB">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p>
        </w:tc>
      </w:tr>
      <w:tr w14:paraId="29264BFE">
        <w:tblPrEx>
          <w:tblCellMar>
            <w:top w:w="0" w:type="dxa"/>
            <w:left w:w="108" w:type="dxa"/>
            <w:bottom w:w="0" w:type="dxa"/>
            <w:right w:w="108" w:type="dxa"/>
          </w:tblCellMar>
        </w:tblPrEx>
        <w:trPr>
          <w:trHeight w:val="90" w:hRule="atLeast"/>
        </w:trPr>
        <w:tc>
          <w:tcPr>
            <w:tcW w:w="692" w:type="dxa"/>
            <w:tcBorders>
              <w:top w:val="nil"/>
              <w:left w:val="single" w:color="auto" w:sz="4" w:space="0"/>
              <w:bottom w:val="single" w:color="auto" w:sz="4" w:space="0"/>
              <w:right w:val="single" w:color="auto" w:sz="4" w:space="0"/>
            </w:tcBorders>
            <w:shd w:val="clear" w:color="auto" w:fill="auto"/>
            <w:vAlign w:val="bottom"/>
          </w:tcPr>
          <w:p w14:paraId="363FF882">
            <w:pPr>
              <w:keepNext w:val="0"/>
              <w:keepLines w:val="0"/>
              <w:widowControl/>
              <w:numPr>
                <w:ilvl w:val="0"/>
                <w:numId w:val="27"/>
              </w:numPr>
              <w:suppressLineNumbers w:val="0"/>
              <w:spacing w:before="0" w:beforeAutospacing="0" w:after="0" w:afterAutospacing="0" w:line="240" w:lineRule="auto"/>
              <w:ind w:left="425" w:leftChars="0" w:right="0" w:hanging="425" w:firstLineChars="0"/>
              <w:jc w:val="center"/>
              <w:rPr>
                <w:rFonts w:hint="eastAsia" w:ascii="宋体" w:hAnsi="宋体" w:eastAsia="宋体" w:cs="宋体"/>
                <w:color w:val="000000"/>
                <w:kern w:val="0"/>
                <w:sz w:val="24"/>
                <w:szCs w:val="24"/>
              </w:rPr>
            </w:pPr>
          </w:p>
        </w:tc>
        <w:tc>
          <w:tcPr>
            <w:tcW w:w="1661" w:type="dxa"/>
            <w:tcBorders>
              <w:top w:val="nil"/>
              <w:left w:val="nil"/>
              <w:bottom w:val="single" w:color="auto" w:sz="4" w:space="0"/>
              <w:right w:val="single" w:color="auto" w:sz="4" w:space="0"/>
            </w:tcBorders>
            <w:shd w:val="clear" w:color="auto" w:fill="auto"/>
            <w:vAlign w:val="bottom"/>
          </w:tcPr>
          <w:p w14:paraId="7329A292">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小AP</w:t>
            </w:r>
          </w:p>
        </w:tc>
        <w:tc>
          <w:tcPr>
            <w:tcW w:w="2253" w:type="dxa"/>
            <w:tcBorders>
              <w:top w:val="nil"/>
              <w:left w:val="nil"/>
              <w:bottom w:val="single" w:color="auto" w:sz="4" w:space="0"/>
              <w:right w:val="single" w:color="auto" w:sz="4" w:space="0"/>
            </w:tcBorders>
            <w:shd w:val="clear" w:color="auto" w:fill="auto"/>
            <w:vAlign w:val="bottom"/>
          </w:tcPr>
          <w:p w14:paraId="2BA2930F">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WA5320I-FIT</w:t>
            </w:r>
          </w:p>
        </w:tc>
        <w:tc>
          <w:tcPr>
            <w:tcW w:w="762" w:type="dxa"/>
            <w:tcBorders>
              <w:top w:val="nil"/>
              <w:left w:val="nil"/>
              <w:bottom w:val="single" w:color="auto" w:sz="4" w:space="0"/>
              <w:right w:val="single" w:color="auto" w:sz="4" w:space="0"/>
            </w:tcBorders>
            <w:shd w:val="clear" w:color="auto" w:fill="auto"/>
            <w:vAlign w:val="bottom"/>
          </w:tcPr>
          <w:p w14:paraId="05E02BB1">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44</w:t>
            </w:r>
          </w:p>
        </w:tc>
        <w:tc>
          <w:tcPr>
            <w:tcW w:w="1521" w:type="dxa"/>
            <w:tcBorders>
              <w:top w:val="nil"/>
              <w:left w:val="nil"/>
              <w:bottom w:val="single" w:color="auto" w:sz="4" w:space="0"/>
              <w:right w:val="single" w:color="auto" w:sz="4" w:space="0"/>
            </w:tcBorders>
            <w:shd w:val="clear" w:color="auto" w:fill="auto"/>
            <w:vAlign w:val="center"/>
          </w:tcPr>
          <w:p w14:paraId="6A7848CD">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各楼层</w:t>
            </w:r>
          </w:p>
        </w:tc>
        <w:tc>
          <w:tcPr>
            <w:tcW w:w="1101" w:type="dxa"/>
            <w:tcBorders>
              <w:top w:val="nil"/>
              <w:left w:val="nil"/>
              <w:bottom w:val="single" w:color="auto" w:sz="4" w:space="0"/>
              <w:right w:val="single" w:color="auto" w:sz="4" w:space="0"/>
            </w:tcBorders>
            <w:shd w:val="clear" w:color="auto" w:fill="auto"/>
            <w:vAlign w:val="center"/>
          </w:tcPr>
          <w:p w14:paraId="6BF5C1EE">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2108" w:type="dxa"/>
            <w:vMerge w:val="continue"/>
            <w:tcBorders>
              <w:top w:val="nil"/>
              <w:left w:val="single" w:color="auto" w:sz="4" w:space="0"/>
              <w:bottom w:val="single" w:color="auto" w:sz="4" w:space="0"/>
              <w:right w:val="single" w:color="auto" w:sz="4" w:space="0"/>
            </w:tcBorders>
            <w:vAlign w:val="center"/>
          </w:tcPr>
          <w:p w14:paraId="4C2E2E2F">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p>
        </w:tc>
      </w:tr>
      <w:tr w14:paraId="5C8C68D0">
        <w:tblPrEx>
          <w:tblCellMar>
            <w:top w:w="0" w:type="dxa"/>
            <w:left w:w="108" w:type="dxa"/>
            <w:bottom w:w="0" w:type="dxa"/>
            <w:right w:w="108" w:type="dxa"/>
          </w:tblCellMar>
        </w:tblPrEx>
        <w:trPr>
          <w:trHeight w:val="90" w:hRule="atLeast"/>
        </w:trPr>
        <w:tc>
          <w:tcPr>
            <w:tcW w:w="692" w:type="dxa"/>
            <w:tcBorders>
              <w:top w:val="nil"/>
              <w:left w:val="single" w:color="auto" w:sz="4" w:space="0"/>
              <w:bottom w:val="single" w:color="auto" w:sz="4" w:space="0"/>
              <w:right w:val="single" w:color="auto" w:sz="4" w:space="0"/>
            </w:tcBorders>
            <w:shd w:val="clear" w:color="auto" w:fill="auto"/>
            <w:vAlign w:val="bottom"/>
          </w:tcPr>
          <w:p w14:paraId="46D05CBF">
            <w:pPr>
              <w:keepNext w:val="0"/>
              <w:keepLines w:val="0"/>
              <w:widowControl/>
              <w:numPr>
                <w:ilvl w:val="0"/>
                <w:numId w:val="27"/>
              </w:numPr>
              <w:suppressLineNumbers w:val="0"/>
              <w:spacing w:before="0" w:beforeAutospacing="0" w:after="0" w:afterAutospacing="0" w:line="240" w:lineRule="auto"/>
              <w:ind w:left="425" w:leftChars="0" w:right="0" w:hanging="425" w:firstLineChars="0"/>
              <w:jc w:val="center"/>
              <w:rPr>
                <w:rFonts w:hint="eastAsia" w:ascii="宋体" w:hAnsi="宋体" w:eastAsia="宋体" w:cs="宋体"/>
                <w:color w:val="000000"/>
                <w:kern w:val="0"/>
                <w:sz w:val="24"/>
                <w:szCs w:val="24"/>
              </w:rPr>
            </w:pPr>
          </w:p>
        </w:tc>
        <w:tc>
          <w:tcPr>
            <w:tcW w:w="1661" w:type="dxa"/>
            <w:tcBorders>
              <w:top w:val="nil"/>
              <w:left w:val="nil"/>
              <w:bottom w:val="single" w:color="auto" w:sz="4" w:space="0"/>
              <w:right w:val="single" w:color="auto" w:sz="4" w:space="0"/>
            </w:tcBorders>
            <w:shd w:val="clear" w:color="auto" w:fill="auto"/>
            <w:vAlign w:val="bottom"/>
          </w:tcPr>
          <w:p w14:paraId="0E64CF3A">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接入交换机</w:t>
            </w:r>
          </w:p>
        </w:tc>
        <w:tc>
          <w:tcPr>
            <w:tcW w:w="2253" w:type="dxa"/>
            <w:tcBorders>
              <w:top w:val="nil"/>
              <w:left w:val="nil"/>
              <w:bottom w:val="single" w:color="auto" w:sz="4" w:space="0"/>
              <w:right w:val="single" w:color="auto" w:sz="4" w:space="0"/>
            </w:tcBorders>
            <w:shd w:val="clear" w:color="auto" w:fill="auto"/>
            <w:vAlign w:val="bottom"/>
          </w:tcPr>
          <w:p w14:paraId="04920824">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S5130S-10P-HPWR-EI</w:t>
            </w:r>
          </w:p>
        </w:tc>
        <w:tc>
          <w:tcPr>
            <w:tcW w:w="762" w:type="dxa"/>
            <w:tcBorders>
              <w:top w:val="nil"/>
              <w:left w:val="nil"/>
              <w:bottom w:val="single" w:color="auto" w:sz="4" w:space="0"/>
              <w:right w:val="single" w:color="auto" w:sz="4" w:space="0"/>
            </w:tcBorders>
            <w:shd w:val="clear" w:color="auto" w:fill="auto"/>
            <w:vAlign w:val="bottom"/>
          </w:tcPr>
          <w:p w14:paraId="1D818674">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8</w:t>
            </w:r>
          </w:p>
        </w:tc>
        <w:tc>
          <w:tcPr>
            <w:tcW w:w="1521" w:type="dxa"/>
            <w:tcBorders>
              <w:top w:val="nil"/>
              <w:left w:val="nil"/>
              <w:bottom w:val="single" w:color="auto" w:sz="4" w:space="0"/>
              <w:right w:val="single" w:color="auto" w:sz="4" w:space="0"/>
            </w:tcBorders>
            <w:shd w:val="clear" w:color="auto" w:fill="auto"/>
            <w:vAlign w:val="center"/>
          </w:tcPr>
          <w:p w14:paraId="45FF73AE">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各楼层</w:t>
            </w:r>
          </w:p>
        </w:tc>
        <w:tc>
          <w:tcPr>
            <w:tcW w:w="1101" w:type="dxa"/>
            <w:tcBorders>
              <w:top w:val="nil"/>
              <w:left w:val="nil"/>
              <w:bottom w:val="single" w:color="auto" w:sz="4" w:space="0"/>
              <w:right w:val="single" w:color="auto" w:sz="4" w:space="0"/>
            </w:tcBorders>
            <w:shd w:val="clear" w:color="auto" w:fill="auto"/>
            <w:vAlign w:val="center"/>
          </w:tcPr>
          <w:p w14:paraId="2BC69AA9">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2108" w:type="dxa"/>
            <w:vMerge w:val="continue"/>
            <w:tcBorders>
              <w:top w:val="nil"/>
              <w:left w:val="single" w:color="auto" w:sz="4" w:space="0"/>
              <w:bottom w:val="single" w:color="auto" w:sz="4" w:space="0"/>
              <w:right w:val="single" w:color="auto" w:sz="4" w:space="0"/>
            </w:tcBorders>
            <w:vAlign w:val="center"/>
          </w:tcPr>
          <w:p w14:paraId="37BDB3B5">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p>
        </w:tc>
      </w:tr>
      <w:tr w14:paraId="3735BBB0">
        <w:tblPrEx>
          <w:tblCellMar>
            <w:top w:w="0" w:type="dxa"/>
            <w:left w:w="108" w:type="dxa"/>
            <w:bottom w:w="0" w:type="dxa"/>
            <w:right w:w="108" w:type="dxa"/>
          </w:tblCellMar>
        </w:tblPrEx>
        <w:trPr>
          <w:trHeight w:val="90"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bottom"/>
          </w:tcPr>
          <w:p w14:paraId="77846A4F">
            <w:pPr>
              <w:keepNext w:val="0"/>
              <w:keepLines w:val="0"/>
              <w:widowControl/>
              <w:numPr>
                <w:ilvl w:val="0"/>
                <w:numId w:val="27"/>
              </w:numPr>
              <w:suppressLineNumbers w:val="0"/>
              <w:spacing w:before="0" w:beforeAutospacing="0" w:after="0" w:afterAutospacing="0" w:line="240" w:lineRule="auto"/>
              <w:ind w:left="425" w:leftChars="0" w:right="0" w:hanging="425" w:firstLineChars="0"/>
              <w:jc w:val="center"/>
              <w:rPr>
                <w:rFonts w:hint="eastAsia" w:ascii="宋体" w:hAnsi="宋体" w:eastAsia="宋体" w:cs="宋体"/>
                <w:color w:val="000000"/>
                <w:kern w:val="0"/>
                <w:sz w:val="24"/>
                <w:szCs w:val="24"/>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bottom"/>
          </w:tcPr>
          <w:p w14:paraId="092AAE8D">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eastAsia="zh-CN"/>
              </w:rPr>
              <w:t>虚拟化</w:t>
            </w:r>
            <w:r>
              <w:rPr>
                <w:rFonts w:hint="eastAsia" w:ascii="宋体" w:hAnsi="宋体" w:eastAsia="宋体" w:cs="宋体"/>
                <w:color w:val="000000"/>
                <w:kern w:val="0"/>
                <w:sz w:val="24"/>
                <w:szCs w:val="24"/>
              </w:rPr>
              <w:t>软件</w:t>
            </w:r>
          </w:p>
        </w:tc>
        <w:tc>
          <w:tcPr>
            <w:tcW w:w="2253" w:type="dxa"/>
            <w:tcBorders>
              <w:top w:val="single" w:color="auto" w:sz="4" w:space="0"/>
              <w:left w:val="single" w:color="auto" w:sz="4" w:space="0"/>
              <w:bottom w:val="single" w:color="auto" w:sz="4" w:space="0"/>
              <w:right w:val="single" w:color="auto" w:sz="4" w:space="0"/>
            </w:tcBorders>
            <w:shd w:val="clear" w:color="auto" w:fill="auto"/>
            <w:vAlign w:val="bottom"/>
          </w:tcPr>
          <w:p w14:paraId="13DDDEC8">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VMware vsphere 6.5</w:t>
            </w:r>
          </w:p>
        </w:tc>
        <w:tc>
          <w:tcPr>
            <w:tcW w:w="762" w:type="dxa"/>
            <w:tcBorders>
              <w:top w:val="single" w:color="auto" w:sz="4" w:space="0"/>
              <w:left w:val="single" w:color="auto" w:sz="4" w:space="0"/>
              <w:bottom w:val="single" w:color="auto" w:sz="4" w:space="0"/>
              <w:right w:val="single" w:color="auto" w:sz="4" w:space="0"/>
            </w:tcBorders>
            <w:shd w:val="clear" w:color="auto" w:fill="auto"/>
            <w:vAlign w:val="bottom"/>
          </w:tcPr>
          <w:p w14:paraId="70312C9E">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521" w:type="dxa"/>
            <w:tcBorders>
              <w:top w:val="single" w:color="auto" w:sz="4" w:space="0"/>
              <w:left w:val="single" w:color="auto" w:sz="4" w:space="0"/>
              <w:bottom w:val="single" w:color="auto" w:sz="4" w:space="0"/>
              <w:right w:val="single" w:color="auto" w:sz="4" w:space="0"/>
            </w:tcBorders>
            <w:shd w:val="clear" w:color="auto" w:fill="auto"/>
            <w:vAlign w:val="bottom"/>
          </w:tcPr>
          <w:p w14:paraId="437FE753">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p>
        </w:tc>
        <w:tc>
          <w:tcPr>
            <w:tcW w:w="1101" w:type="dxa"/>
            <w:tcBorders>
              <w:top w:val="single" w:color="auto" w:sz="4" w:space="0"/>
              <w:left w:val="single" w:color="auto" w:sz="4" w:space="0"/>
              <w:bottom w:val="single" w:color="auto" w:sz="4" w:space="0"/>
              <w:right w:val="single" w:color="auto" w:sz="4" w:space="0"/>
            </w:tcBorders>
            <w:shd w:val="clear" w:color="auto" w:fill="auto"/>
            <w:vAlign w:val="center"/>
          </w:tcPr>
          <w:p w14:paraId="592C841C">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210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9A0E9F8">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提供</w:t>
            </w:r>
            <w:r>
              <w:rPr>
                <w:rFonts w:hint="eastAsia" w:ascii="宋体" w:hAnsi="宋体" w:eastAsia="宋体" w:cs="宋体"/>
                <w:color w:val="000000"/>
                <w:kern w:val="0"/>
                <w:sz w:val="24"/>
                <w:szCs w:val="24"/>
                <w:lang w:eastAsia="zh-CN"/>
              </w:rPr>
              <w:t>虚拟化平台</w:t>
            </w:r>
            <w:r>
              <w:rPr>
                <w:rFonts w:hint="eastAsia" w:ascii="宋体" w:hAnsi="宋体" w:eastAsia="宋体" w:cs="宋体"/>
                <w:color w:val="000000"/>
                <w:kern w:val="0"/>
                <w:sz w:val="24"/>
                <w:szCs w:val="24"/>
              </w:rPr>
              <w:t>故障诊断、问题解决以及运维服务，提供虚拟机迁移备份服务，现场巡检服务，工程师现场支持要求时间为7*24小时*2小时到达现场.</w:t>
            </w:r>
          </w:p>
        </w:tc>
      </w:tr>
      <w:tr w14:paraId="0D652621">
        <w:tblPrEx>
          <w:tblCellMar>
            <w:top w:w="0" w:type="dxa"/>
            <w:left w:w="108" w:type="dxa"/>
            <w:bottom w:w="0" w:type="dxa"/>
            <w:right w:w="108" w:type="dxa"/>
          </w:tblCellMar>
        </w:tblPrEx>
        <w:trPr>
          <w:trHeight w:val="90"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bottom"/>
          </w:tcPr>
          <w:p w14:paraId="75630B9C">
            <w:pPr>
              <w:keepNext w:val="0"/>
              <w:keepLines w:val="0"/>
              <w:widowControl/>
              <w:numPr>
                <w:ilvl w:val="0"/>
                <w:numId w:val="27"/>
              </w:numPr>
              <w:suppressLineNumbers w:val="0"/>
              <w:spacing w:before="0" w:beforeAutospacing="0" w:after="0" w:afterAutospacing="0" w:line="240" w:lineRule="auto"/>
              <w:ind w:left="425" w:leftChars="0" w:right="0" w:hanging="425" w:firstLineChars="0"/>
              <w:jc w:val="center"/>
              <w:rPr>
                <w:rFonts w:hint="eastAsia" w:ascii="宋体" w:hAnsi="宋体" w:eastAsia="宋体" w:cs="宋体"/>
                <w:color w:val="000000"/>
                <w:kern w:val="0"/>
                <w:sz w:val="24"/>
                <w:szCs w:val="24"/>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bottom"/>
          </w:tcPr>
          <w:p w14:paraId="510266C5">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eastAsia="zh-CN"/>
              </w:rPr>
              <w:t>虚拟化</w:t>
            </w:r>
            <w:r>
              <w:rPr>
                <w:rFonts w:hint="eastAsia" w:ascii="宋体" w:hAnsi="宋体" w:eastAsia="宋体" w:cs="宋体"/>
                <w:color w:val="000000"/>
                <w:kern w:val="0"/>
                <w:sz w:val="24"/>
                <w:szCs w:val="24"/>
              </w:rPr>
              <w:t>软件</w:t>
            </w:r>
          </w:p>
        </w:tc>
        <w:tc>
          <w:tcPr>
            <w:tcW w:w="2253" w:type="dxa"/>
            <w:tcBorders>
              <w:top w:val="single" w:color="auto" w:sz="4" w:space="0"/>
              <w:left w:val="single" w:color="auto" w:sz="4" w:space="0"/>
              <w:bottom w:val="single" w:color="auto" w:sz="4" w:space="0"/>
              <w:right w:val="single" w:color="auto" w:sz="4" w:space="0"/>
            </w:tcBorders>
            <w:shd w:val="clear" w:color="auto" w:fill="auto"/>
            <w:vAlign w:val="bottom"/>
          </w:tcPr>
          <w:p w14:paraId="2F2D9C9A">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FusionCompute 6.5.1</w:t>
            </w:r>
          </w:p>
        </w:tc>
        <w:tc>
          <w:tcPr>
            <w:tcW w:w="762" w:type="dxa"/>
            <w:tcBorders>
              <w:top w:val="single" w:color="auto" w:sz="4" w:space="0"/>
              <w:left w:val="single" w:color="auto" w:sz="4" w:space="0"/>
              <w:bottom w:val="single" w:color="auto" w:sz="4" w:space="0"/>
              <w:right w:val="single" w:color="auto" w:sz="4" w:space="0"/>
            </w:tcBorders>
            <w:shd w:val="clear" w:color="auto" w:fill="auto"/>
            <w:vAlign w:val="bottom"/>
          </w:tcPr>
          <w:p w14:paraId="564637DD">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521" w:type="dxa"/>
            <w:tcBorders>
              <w:top w:val="single" w:color="auto" w:sz="4" w:space="0"/>
              <w:left w:val="single" w:color="auto" w:sz="4" w:space="0"/>
              <w:bottom w:val="single" w:color="auto" w:sz="4" w:space="0"/>
              <w:right w:val="single" w:color="auto" w:sz="4" w:space="0"/>
            </w:tcBorders>
            <w:shd w:val="clear" w:color="auto" w:fill="auto"/>
            <w:vAlign w:val="bottom"/>
          </w:tcPr>
          <w:p w14:paraId="1DF4261D">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p>
        </w:tc>
        <w:tc>
          <w:tcPr>
            <w:tcW w:w="1101" w:type="dxa"/>
            <w:tcBorders>
              <w:top w:val="single" w:color="auto" w:sz="4" w:space="0"/>
              <w:left w:val="single" w:color="auto" w:sz="4" w:space="0"/>
              <w:bottom w:val="single" w:color="auto" w:sz="4" w:space="0"/>
              <w:right w:val="single" w:color="auto" w:sz="4" w:space="0"/>
            </w:tcBorders>
            <w:shd w:val="clear" w:color="auto" w:fill="auto"/>
            <w:vAlign w:val="center"/>
          </w:tcPr>
          <w:p w14:paraId="767A79B9">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2108" w:type="dxa"/>
            <w:vMerge w:val="continue"/>
            <w:tcBorders>
              <w:top w:val="single" w:color="auto" w:sz="4" w:space="0"/>
              <w:left w:val="single" w:color="auto" w:sz="4" w:space="0"/>
              <w:bottom w:val="single" w:color="auto" w:sz="4" w:space="0"/>
              <w:right w:val="single" w:color="auto" w:sz="4" w:space="0"/>
            </w:tcBorders>
            <w:vAlign w:val="center"/>
          </w:tcPr>
          <w:p w14:paraId="26B35B42">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p>
        </w:tc>
      </w:tr>
      <w:tr w14:paraId="0892F1BA">
        <w:tblPrEx>
          <w:tblCellMar>
            <w:top w:w="0" w:type="dxa"/>
            <w:left w:w="108" w:type="dxa"/>
            <w:bottom w:w="0" w:type="dxa"/>
            <w:right w:w="108" w:type="dxa"/>
          </w:tblCellMar>
        </w:tblPrEx>
        <w:trPr>
          <w:trHeight w:val="90"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20BF27C6">
            <w:pPr>
              <w:keepNext w:val="0"/>
              <w:keepLines w:val="0"/>
              <w:widowControl/>
              <w:numPr>
                <w:ilvl w:val="0"/>
                <w:numId w:val="27"/>
              </w:numPr>
              <w:suppressLineNumbers w:val="0"/>
              <w:spacing w:before="0" w:beforeAutospacing="0" w:after="0" w:afterAutospacing="0" w:line="240" w:lineRule="auto"/>
              <w:ind w:left="425" w:leftChars="0" w:right="0" w:hanging="425" w:firstLineChars="0"/>
              <w:jc w:val="center"/>
              <w:rPr>
                <w:rFonts w:hint="eastAsia" w:ascii="宋体" w:hAnsi="宋体" w:eastAsia="宋体" w:cs="宋体"/>
                <w:color w:val="000000"/>
                <w:kern w:val="0"/>
                <w:sz w:val="24"/>
                <w:szCs w:val="24"/>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3ADE95BD">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eastAsia="zh-CN"/>
              </w:rPr>
              <w:t>虚拟化</w:t>
            </w:r>
            <w:r>
              <w:rPr>
                <w:rFonts w:hint="eastAsia" w:ascii="宋体" w:hAnsi="宋体" w:eastAsia="宋体" w:cs="宋体"/>
                <w:color w:val="000000"/>
                <w:kern w:val="0"/>
                <w:sz w:val="24"/>
                <w:szCs w:val="24"/>
              </w:rPr>
              <w:t>软件</w:t>
            </w:r>
          </w:p>
        </w:tc>
        <w:tc>
          <w:tcPr>
            <w:tcW w:w="2253" w:type="dxa"/>
            <w:tcBorders>
              <w:top w:val="single" w:color="auto" w:sz="4" w:space="0"/>
              <w:left w:val="single" w:color="auto" w:sz="4" w:space="0"/>
              <w:bottom w:val="single" w:color="auto" w:sz="4" w:space="0"/>
              <w:right w:val="single" w:color="auto" w:sz="4" w:space="0"/>
            </w:tcBorders>
            <w:shd w:val="clear" w:color="auto" w:fill="auto"/>
            <w:vAlign w:val="center"/>
          </w:tcPr>
          <w:p w14:paraId="1C1E76D3">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"https://www.baidu.com/link?url=XdR3CUGXHIlrNstZ3mX_PUCUHLhJW8uoJfl842kBURmTDFmWbvat8FySemfyWCLesualcYD98Rh_DNeIWJJ5da&amp;wd=&amp;eqid=85640ef10008aa520000000364e71195" \o "https://www.baidu.com/link?url=XdR3CUGXHIlrNstZ3mX_PUCUHLhJW8uoJfl842kBURmTDFmWbvat8FySemfyWCLesualcYD98Rh_DNeIWJJ5da&amp;wd=&amp;eqid=85640ef10008aa520000000364e71195" </w:instrText>
            </w:r>
            <w:r>
              <w:rPr>
                <w:rFonts w:hint="eastAsia" w:ascii="宋体" w:hAnsi="宋体" w:eastAsia="宋体" w:cs="宋体"/>
                <w:sz w:val="24"/>
                <w:szCs w:val="24"/>
              </w:rPr>
              <w:fldChar w:fldCharType="separate"/>
            </w:r>
            <w:r>
              <w:rPr>
                <w:rFonts w:hint="eastAsia" w:ascii="宋体" w:hAnsi="宋体" w:eastAsia="宋体" w:cs="宋体"/>
                <w:color w:val="000000"/>
                <w:kern w:val="0"/>
                <w:sz w:val="24"/>
                <w:szCs w:val="24"/>
              </w:rPr>
              <w:t>FusionCompute 8</w:t>
            </w:r>
            <w:r>
              <w:rPr>
                <w:rFonts w:hint="eastAsia" w:ascii="宋体" w:hAnsi="宋体" w:eastAsia="宋体" w:cs="宋体"/>
                <w:color w:val="000000"/>
                <w:kern w:val="0"/>
                <w:sz w:val="24"/>
                <w:szCs w:val="24"/>
              </w:rPr>
              <w:fldChar w:fldCharType="end"/>
            </w:r>
          </w:p>
        </w:tc>
        <w:tc>
          <w:tcPr>
            <w:tcW w:w="762" w:type="dxa"/>
            <w:tcBorders>
              <w:top w:val="single" w:color="auto" w:sz="4" w:space="0"/>
              <w:left w:val="single" w:color="auto" w:sz="4" w:space="0"/>
              <w:bottom w:val="single" w:color="auto" w:sz="4" w:space="0"/>
              <w:right w:val="single" w:color="auto" w:sz="4" w:space="0"/>
            </w:tcBorders>
            <w:shd w:val="clear" w:color="auto" w:fill="auto"/>
            <w:vAlign w:val="center"/>
          </w:tcPr>
          <w:p w14:paraId="6AEBF8E0">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521" w:type="dxa"/>
            <w:tcBorders>
              <w:top w:val="single" w:color="auto" w:sz="4" w:space="0"/>
              <w:left w:val="single" w:color="auto" w:sz="4" w:space="0"/>
              <w:bottom w:val="single" w:color="auto" w:sz="4" w:space="0"/>
              <w:right w:val="single" w:color="auto" w:sz="4" w:space="0"/>
            </w:tcBorders>
            <w:shd w:val="clear" w:color="auto" w:fill="auto"/>
            <w:vAlign w:val="center"/>
          </w:tcPr>
          <w:p w14:paraId="3AE073CF">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p>
        </w:tc>
        <w:tc>
          <w:tcPr>
            <w:tcW w:w="1101" w:type="dxa"/>
            <w:tcBorders>
              <w:top w:val="single" w:color="auto" w:sz="4" w:space="0"/>
              <w:left w:val="single" w:color="auto" w:sz="4" w:space="0"/>
              <w:bottom w:val="single" w:color="auto" w:sz="4" w:space="0"/>
              <w:right w:val="single" w:color="auto" w:sz="4" w:space="0"/>
            </w:tcBorders>
            <w:shd w:val="clear" w:color="auto" w:fill="auto"/>
            <w:vAlign w:val="center"/>
          </w:tcPr>
          <w:p w14:paraId="6E7B7E52">
            <w:pPr>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2108" w:type="dxa"/>
            <w:vMerge w:val="continue"/>
            <w:tcBorders>
              <w:top w:val="single" w:color="auto" w:sz="4" w:space="0"/>
              <w:left w:val="single" w:color="auto" w:sz="4" w:space="0"/>
              <w:bottom w:val="single" w:color="auto" w:sz="4" w:space="0"/>
              <w:right w:val="single" w:color="auto" w:sz="4" w:space="0"/>
            </w:tcBorders>
            <w:vAlign w:val="center"/>
          </w:tcPr>
          <w:p w14:paraId="76AD4D88">
            <w:pPr>
              <w:keepNext w:val="0"/>
              <w:keepLines w:val="0"/>
              <w:widowControl/>
              <w:suppressLineNumbers w:val="0"/>
              <w:spacing w:before="0" w:beforeAutospacing="0" w:after="0" w:afterAutospacing="0" w:line="240" w:lineRule="auto"/>
              <w:ind w:left="0" w:right="0" w:firstLine="0" w:firstLineChars="0"/>
              <w:rPr>
                <w:rFonts w:hint="eastAsia" w:ascii="宋体" w:hAnsi="宋体" w:eastAsia="宋体" w:cs="宋体"/>
                <w:color w:val="000000"/>
                <w:kern w:val="0"/>
                <w:sz w:val="24"/>
                <w:szCs w:val="24"/>
              </w:rPr>
            </w:pPr>
          </w:p>
        </w:tc>
      </w:tr>
    </w:tbl>
    <w:p w14:paraId="524A6302">
      <w:pPr>
        <w:ind w:firstLine="480"/>
        <w:rPr>
          <w:rFonts w:hint="eastAsia" w:ascii="宋体" w:hAnsi="宋体" w:eastAsia="宋体" w:cs="宋体"/>
          <w:sz w:val="24"/>
          <w:szCs w:val="24"/>
        </w:rPr>
        <w:sectPr>
          <w:headerReference r:id="rId16" w:type="default"/>
          <w:footerReference r:id="rId17" w:type="default"/>
          <w:pgSz w:w="11906" w:h="16838"/>
          <w:pgMar w:top="1440" w:right="1797" w:bottom="1440" w:left="1418" w:header="851" w:footer="992" w:gutter="0"/>
          <w:pgBorders>
            <w:top w:val="none" w:sz="0" w:space="0"/>
            <w:left w:val="none" w:sz="0" w:space="0"/>
            <w:bottom w:val="none" w:sz="0" w:space="0"/>
            <w:right w:val="none" w:sz="0" w:space="0"/>
          </w:pgBorders>
          <w:cols w:space="425" w:num="1"/>
          <w:docGrid w:type="lines" w:linePitch="326" w:charSpace="0"/>
        </w:sectPr>
      </w:pPr>
    </w:p>
    <w:p w14:paraId="18A79A3C">
      <w:pPr>
        <w:pStyle w:val="673"/>
        <w:numPr>
          <w:ilvl w:val="0"/>
          <w:numId w:val="0"/>
        </w:numPr>
        <w:spacing w:line="360" w:lineRule="auto"/>
        <w:outlineLvl w:val="9"/>
        <w:rPr>
          <w:rFonts w:hint="eastAsia" w:ascii="宋体" w:hAnsi="宋体" w:eastAsia="宋体" w:cs="宋体"/>
          <w:sz w:val="24"/>
          <w:szCs w:val="24"/>
        </w:rPr>
      </w:pPr>
      <w:r>
        <w:rPr>
          <w:rFonts w:hint="eastAsia" w:ascii="宋体" w:hAnsi="宋体" w:cs="宋体"/>
          <w:sz w:val="24"/>
          <w:szCs w:val="24"/>
          <w:lang w:val="en-US" w:eastAsia="zh-CN"/>
        </w:rPr>
        <w:t>2.1.2</w:t>
      </w:r>
      <w:r>
        <w:rPr>
          <w:rFonts w:hint="eastAsia" w:ascii="宋体" w:hAnsi="宋体" w:eastAsia="宋体" w:cs="宋体"/>
          <w:sz w:val="24"/>
          <w:szCs w:val="24"/>
        </w:rPr>
        <w:t>人行机房维保类</w:t>
      </w:r>
    </w:p>
    <w:tbl>
      <w:tblPr>
        <w:tblStyle w:val="67"/>
        <w:tblW w:w="10136" w:type="dxa"/>
        <w:tblInd w:w="-289" w:type="dxa"/>
        <w:tblLayout w:type="fixed"/>
        <w:tblCellMar>
          <w:top w:w="0" w:type="dxa"/>
          <w:left w:w="108" w:type="dxa"/>
          <w:bottom w:w="0" w:type="dxa"/>
          <w:right w:w="108" w:type="dxa"/>
        </w:tblCellMar>
      </w:tblPr>
      <w:tblGrid>
        <w:gridCol w:w="842"/>
        <w:gridCol w:w="1259"/>
        <w:gridCol w:w="1889"/>
        <w:gridCol w:w="579"/>
        <w:gridCol w:w="1342"/>
        <w:gridCol w:w="2037"/>
        <w:gridCol w:w="982"/>
        <w:gridCol w:w="1206"/>
      </w:tblGrid>
      <w:tr w14:paraId="22BE4F62">
        <w:tblPrEx>
          <w:tblCellMar>
            <w:top w:w="0" w:type="dxa"/>
            <w:left w:w="108" w:type="dxa"/>
            <w:bottom w:w="0" w:type="dxa"/>
            <w:right w:w="108" w:type="dxa"/>
          </w:tblCellMar>
        </w:tblPrEx>
        <w:trPr>
          <w:trHeight w:val="938" w:hRule="atLeast"/>
        </w:trPr>
        <w:tc>
          <w:tcPr>
            <w:tcW w:w="842" w:type="dxa"/>
            <w:tcBorders>
              <w:top w:val="single" w:color="auto" w:sz="4" w:space="0"/>
              <w:left w:val="single" w:color="auto" w:sz="4" w:space="0"/>
              <w:bottom w:val="single" w:color="auto" w:sz="4" w:space="0"/>
              <w:right w:val="single" w:color="auto" w:sz="4" w:space="0"/>
            </w:tcBorders>
            <w:shd w:val="clear" w:color="auto" w:fill="auto"/>
            <w:vAlign w:val="center"/>
          </w:tcPr>
          <w:p w14:paraId="6728F0F7">
            <w:pPr>
              <w:keepNext w:val="0"/>
              <w:keepLines w:val="0"/>
              <w:widowControl/>
              <w:suppressLineNumbers w:val="0"/>
              <w:spacing w:before="0" w:beforeAutospacing="0" w:after="0" w:afterAutospacing="0"/>
              <w:ind w:left="0" w:right="0" w:firstLine="0" w:firstLineChars="0"/>
              <w:jc w:val="both"/>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序号</w:t>
            </w:r>
          </w:p>
        </w:tc>
        <w:tc>
          <w:tcPr>
            <w:tcW w:w="1259" w:type="dxa"/>
            <w:tcBorders>
              <w:top w:val="single" w:color="auto" w:sz="4" w:space="0"/>
              <w:left w:val="nil"/>
              <w:bottom w:val="single" w:color="auto" w:sz="4" w:space="0"/>
              <w:right w:val="single" w:color="auto" w:sz="4" w:space="0"/>
            </w:tcBorders>
            <w:shd w:val="clear" w:color="auto" w:fill="auto"/>
            <w:vAlign w:val="center"/>
          </w:tcPr>
          <w:p w14:paraId="10050293">
            <w:pPr>
              <w:keepNext w:val="0"/>
              <w:keepLines w:val="0"/>
              <w:widowControl/>
              <w:suppressLineNumbers w:val="0"/>
              <w:spacing w:before="0" w:beforeAutospacing="0" w:after="0" w:afterAutospacing="0"/>
              <w:ind w:left="0" w:right="0" w:firstLine="0" w:firstLineChars="0"/>
              <w:jc w:val="both"/>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设备名称</w:t>
            </w:r>
          </w:p>
        </w:tc>
        <w:tc>
          <w:tcPr>
            <w:tcW w:w="1889" w:type="dxa"/>
            <w:tcBorders>
              <w:top w:val="single" w:color="auto" w:sz="4" w:space="0"/>
              <w:left w:val="nil"/>
              <w:bottom w:val="single" w:color="auto" w:sz="4" w:space="0"/>
              <w:right w:val="single" w:color="auto" w:sz="4" w:space="0"/>
            </w:tcBorders>
            <w:shd w:val="clear" w:color="auto" w:fill="auto"/>
            <w:vAlign w:val="center"/>
          </w:tcPr>
          <w:p w14:paraId="0D274BD9">
            <w:pPr>
              <w:keepNext w:val="0"/>
              <w:keepLines w:val="0"/>
              <w:widowControl/>
              <w:suppressLineNumbers w:val="0"/>
              <w:spacing w:before="0" w:beforeAutospacing="0" w:after="0" w:afterAutospacing="0"/>
              <w:ind w:left="0" w:right="0" w:firstLine="0" w:firstLineChars="0"/>
              <w:jc w:val="both"/>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设备型号</w:t>
            </w:r>
          </w:p>
        </w:tc>
        <w:tc>
          <w:tcPr>
            <w:tcW w:w="579" w:type="dxa"/>
            <w:tcBorders>
              <w:top w:val="single" w:color="auto" w:sz="4" w:space="0"/>
              <w:left w:val="nil"/>
              <w:bottom w:val="single" w:color="auto" w:sz="4" w:space="0"/>
              <w:right w:val="single" w:color="auto" w:sz="4" w:space="0"/>
            </w:tcBorders>
            <w:shd w:val="clear" w:color="auto" w:fill="auto"/>
            <w:vAlign w:val="center"/>
          </w:tcPr>
          <w:p w14:paraId="1C51040E">
            <w:pPr>
              <w:keepNext w:val="0"/>
              <w:keepLines w:val="0"/>
              <w:widowControl/>
              <w:suppressLineNumbers w:val="0"/>
              <w:spacing w:before="0" w:beforeAutospacing="0" w:after="0" w:afterAutospacing="0"/>
              <w:ind w:left="0" w:right="0" w:firstLine="0" w:firstLineChars="0"/>
              <w:jc w:val="both"/>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数量</w:t>
            </w:r>
          </w:p>
        </w:tc>
        <w:tc>
          <w:tcPr>
            <w:tcW w:w="1342" w:type="dxa"/>
            <w:tcBorders>
              <w:top w:val="single" w:color="auto" w:sz="4" w:space="0"/>
              <w:left w:val="nil"/>
              <w:bottom w:val="single" w:color="auto" w:sz="4" w:space="0"/>
              <w:right w:val="single" w:color="auto" w:sz="4" w:space="0"/>
            </w:tcBorders>
            <w:shd w:val="clear" w:color="auto" w:fill="auto"/>
            <w:vAlign w:val="center"/>
          </w:tcPr>
          <w:p w14:paraId="23F585D1">
            <w:pPr>
              <w:keepNext w:val="0"/>
              <w:keepLines w:val="0"/>
              <w:widowControl/>
              <w:suppressLineNumbers w:val="0"/>
              <w:spacing w:before="0" w:beforeAutospacing="0" w:after="0" w:afterAutospacing="0"/>
              <w:ind w:left="0" w:right="0" w:firstLine="0" w:firstLineChars="0"/>
              <w:jc w:val="both"/>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设备位置</w:t>
            </w:r>
          </w:p>
        </w:tc>
        <w:tc>
          <w:tcPr>
            <w:tcW w:w="2037" w:type="dxa"/>
            <w:tcBorders>
              <w:top w:val="single" w:color="auto" w:sz="4" w:space="0"/>
              <w:left w:val="nil"/>
              <w:bottom w:val="single" w:color="auto" w:sz="4" w:space="0"/>
              <w:right w:val="single" w:color="auto" w:sz="4" w:space="0"/>
            </w:tcBorders>
            <w:shd w:val="clear" w:color="auto" w:fill="auto"/>
            <w:vAlign w:val="center"/>
          </w:tcPr>
          <w:p w14:paraId="039D9DBD">
            <w:pPr>
              <w:keepNext w:val="0"/>
              <w:keepLines w:val="0"/>
              <w:widowControl/>
              <w:suppressLineNumbers w:val="0"/>
              <w:spacing w:before="0" w:beforeAutospacing="0" w:after="0" w:afterAutospacing="0"/>
              <w:ind w:left="0" w:right="0" w:firstLine="0" w:firstLineChars="0"/>
              <w:jc w:val="both"/>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序列号</w:t>
            </w:r>
          </w:p>
        </w:tc>
        <w:tc>
          <w:tcPr>
            <w:tcW w:w="982" w:type="dxa"/>
            <w:tcBorders>
              <w:top w:val="single" w:color="auto" w:sz="4" w:space="0"/>
              <w:left w:val="nil"/>
              <w:bottom w:val="single" w:color="auto" w:sz="4" w:space="0"/>
              <w:right w:val="single" w:color="auto" w:sz="4" w:space="0"/>
            </w:tcBorders>
            <w:shd w:val="clear" w:color="auto" w:fill="auto"/>
            <w:vAlign w:val="center"/>
          </w:tcPr>
          <w:p w14:paraId="3E83C89D">
            <w:pPr>
              <w:keepNext w:val="0"/>
              <w:keepLines w:val="0"/>
              <w:widowControl/>
              <w:suppressLineNumbers w:val="0"/>
              <w:spacing w:before="0" w:beforeAutospacing="0" w:after="0" w:afterAutospacing="0"/>
              <w:ind w:left="0" w:right="0" w:firstLine="0" w:firstLineChars="0"/>
              <w:jc w:val="both"/>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维保期限</w:t>
            </w:r>
          </w:p>
        </w:tc>
        <w:tc>
          <w:tcPr>
            <w:tcW w:w="1206" w:type="dxa"/>
            <w:tcBorders>
              <w:top w:val="single" w:color="auto" w:sz="4" w:space="0"/>
              <w:left w:val="nil"/>
              <w:bottom w:val="single" w:color="auto" w:sz="4" w:space="0"/>
              <w:right w:val="single" w:color="auto" w:sz="4" w:space="0"/>
            </w:tcBorders>
            <w:shd w:val="clear" w:color="auto" w:fill="auto"/>
            <w:vAlign w:val="center"/>
          </w:tcPr>
          <w:p w14:paraId="784B8B10">
            <w:pPr>
              <w:keepNext w:val="0"/>
              <w:keepLines w:val="0"/>
              <w:widowControl/>
              <w:suppressLineNumbers w:val="0"/>
              <w:spacing w:before="0" w:beforeAutospacing="0" w:after="0" w:afterAutospacing="0"/>
              <w:ind w:left="0" w:right="0" w:firstLine="0" w:firstLineChars="0"/>
              <w:jc w:val="both"/>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服务内容</w:t>
            </w:r>
          </w:p>
        </w:tc>
      </w:tr>
      <w:tr w14:paraId="066F7CEF">
        <w:tblPrEx>
          <w:tblCellMar>
            <w:top w:w="0" w:type="dxa"/>
            <w:left w:w="108" w:type="dxa"/>
            <w:bottom w:w="0" w:type="dxa"/>
            <w:right w:w="108" w:type="dxa"/>
          </w:tblCellMar>
        </w:tblPrEx>
        <w:trPr>
          <w:trHeight w:val="938" w:hRule="atLeast"/>
        </w:trPr>
        <w:tc>
          <w:tcPr>
            <w:tcW w:w="842" w:type="dxa"/>
            <w:tcBorders>
              <w:top w:val="nil"/>
              <w:left w:val="single" w:color="auto" w:sz="4" w:space="0"/>
              <w:bottom w:val="single" w:color="auto" w:sz="4" w:space="0"/>
              <w:right w:val="single" w:color="auto" w:sz="4" w:space="0"/>
            </w:tcBorders>
            <w:shd w:val="clear" w:color="auto" w:fill="auto"/>
            <w:vAlign w:val="center"/>
          </w:tcPr>
          <w:p w14:paraId="0571F27D">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259" w:type="dxa"/>
            <w:tcBorders>
              <w:top w:val="nil"/>
              <w:left w:val="nil"/>
              <w:bottom w:val="single" w:color="auto" w:sz="4" w:space="0"/>
              <w:right w:val="single" w:color="auto" w:sz="4" w:space="0"/>
            </w:tcBorders>
            <w:shd w:val="clear" w:color="auto" w:fill="auto"/>
            <w:vAlign w:val="center"/>
          </w:tcPr>
          <w:p w14:paraId="2761AA9C">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IBM服务器</w:t>
            </w:r>
          </w:p>
        </w:tc>
        <w:tc>
          <w:tcPr>
            <w:tcW w:w="1889" w:type="dxa"/>
            <w:tcBorders>
              <w:top w:val="nil"/>
              <w:left w:val="nil"/>
              <w:bottom w:val="single" w:color="auto" w:sz="4" w:space="0"/>
              <w:right w:val="single" w:color="auto" w:sz="4" w:space="0"/>
            </w:tcBorders>
            <w:shd w:val="clear" w:color="auto" w:fill="auto"/>
            <w:vAlign w:val="center"/>
          </w:tcPr>
          <w:p w14:paraId="1E28461F">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X3650 M4</w:t>
            </w:r>
          </w:p>
        </w:tc>
        <w:tc>
          <w:tcPr>
            <w:tcW w:w="579" w:type="dxa"/>
            <w:tcBorders>
              <w:top w:val="nil"/>
              <w:left w:val="nil"/>
              <w:bottom w:val="single" w:color="auto" w:sz="4" w:space="0"/>
              <w:right w:val="single" w:color="auto" w:sz="4" w:space="0"/>
            </w:tcBorders>
            <w:shd w:val="clear" w:color="auto" w:fill="auto"/>
            <w:vAlign w:val="center"/>
          </w:tcPr>
          <w:p w14:paraId="27FB3C47">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342" w:type="dxa"/>
            <w:tcBorders>
              <w:top w:val="nil"/>
              <w:left w:val="nil"/>
              <w:bottom w:val="single" w:color="auto" w:sz="4" w:space="0"/>
              <w:right w:val="single" w:color="auto" w:sz="4" w:space="0"/>
            </w:tcBorders>
            <w:shd w:val="clear" w:color="auto" w:fill="auto"/>
            <w:vAlign w:val="center"/>
          </w:tcPr>
          <w:p w14:paraId="62DBD43E">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人行机房</w:t>
            </w:r>
          </w:p>
        </w:tc>
        <w:tc>
          <w:tcPr>
            <w:tcW w:w="2037" w:type="dxa"/>
            <w:tcBorders>
              <w:top w:val="nil"/>
              <w:left w:val="nil"/>
              <w:bottom w:val="single" w:color="auto" w:sz="4" w:space="0"/>
              <w:right w:val="single" w:color="auto" w:sz="4" w:space="0"/>
            </w:tcBorders>
            <w:shd w:val="clear" w:color="auto" w:fill="auto"/>
            <w:vAlign w:val="center"/>
          </w:tcPr>
          <w:p w14:paraId="5062C203">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06ANRWA</w:t>
            </w:r>
          </w:p>
        </w:tc>
        <w:tc>
          <w:tcPr>
            <w:tcW w:w="982" w:type="dxa"/>
            <w:tcBorders>
              <w:top w:val="nil"/>
              <w:left w:val="nil"/>
              <w:bottom w:val="single" w:color="auto" w:sz="4" w:space="0"/>
              <w:right w:val="single" w:color="auto" w:sz="4" w:space="0"/>
            </w:tcBorders>
            <w:shd w:val="clear" w:color="auto" w:fill="auto"/>
            <w:vAlign w:val="center"/>
          </w:tcPr>
          <w:p w14:paraId="1263C3DE">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1206" w:type="dxa"/>
            <w:vMerge w:val="restart"/>
            <w:tcBorders>
              <w:top w:val="nil"/>
              <w:left w:val="single" w:color="auto" w:sz="4" w:space="0"/>
              <w:right w:val="single" w:color="auto" w:sz="4" w:space="0"/>
            </w:tcBorders>
            <w:shd w:val="clear" w:color="auto" w:fill="auto"/>
            <w:vAlign w:val="center"/>
          </w:tcPr>
          <w:p w14:paraId="40AD02B7">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保修包含主机上面所有配件（如CPU、内存、硬盘、网卡、HBA卡、主板、电源、控制器、硬盘、磁盘笼、电源、连接线缆等等）,本地工程师现场支持要求时间为7*24小时*2小时到达，所需配件24小时内到位。</w:t>
            </w:r>
          </w:p>
        </w:tc>
      </w:tr>
      <w:tr w14:paraId="472CFD9A">
        <w:tblPrEx>
          <w:tblCellMar>
            <w:top w:w="0" w:type="dxa"/>
            <w:left w:w="108" w:type="dxa"/>
            <w:bottom w:w="0" w:type="dxa"/>
            <w:right w:w="108" w:type="dxa"/>
          </w:tblCellMar>
        </w:tblPrEx>
        <w:trPr>
          <w:trHeight w:val="938" w:hRule="atLeast"/>
        </w:trPr>
        <w:tc>
          <w:tcPr>
            <w:tcW w:w="842" w:type="dxa"/>
            <w:tcBorders>
              <w:top w:val="nil"/>
              <w:left w:val="single" w:color="auto" w:sz="4" w:space="0"/>
              <w:bottom w:val="single" w:color="auto" w:sz="4" w:space="0"/>
              <w:right w:val="single" w:color="auto" w:sz="4" w:space="0"/>
            </w:tcBorders>
            <w:shd w:val="clear" w:color="auto" w:fill="auto"/>
            <w:vAlign w:val="center"/>
          </w:tcPr>
          <w:p w14:paraId="4F7135E3">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w:t>
            </w:r>
          </w:p>
        </w:tc>
        <w:tc>
          <w:tcPr>
            <w:tcW w:w="1259" w:type="dxa"/>
            <w:tcBorders>
              <w:top w:val="nil"/>
              <w:left w:val="nil"/>
              <w:bottom w:val="single" w:color="auto" w:sz="4" w:space="0"/>
              <w:right w:val="single" w:color="auto" w:sz="4" w:space="0"/>
            </w:tcBorders>
            <w:shd w:val="clear" w:color="auto" w:fill="auto"/>
            <w:vAlign w:val="center"/>
          </w:tcPr>
          <w:p w14:paraId="72FD633C">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IBM服务器</w:t>
            </w:r>
          </w:p>
        </w:tc>
        <w:tc>
          <w:tcPr>
            <w:tcW w:w="1889" w:type="dxa"/>
            <w:tcBorders>
              <w:top w:val="nil"/>
              <w:left w:val="nil"/>
              <w:bottom w:val="single" w:color="auto" w:sz="4" w:space="0"/>
              <w:right w:val="single" w:color="auto" w:sz="4" w:space="0"/>
            </w:tcBorders>
            <w:shd w:val="clear" w:color="auto" w:fill="auto"/>
            <w:vAlign w:val="center"/>
          </w:tcPr>
          <w:p w14:paraId="6FC4E54D">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X3650 M4</w:t>
            </w:r>
          </w:p>
        </w:tc>
        <w:tc>
          <w:tcPr>
            <w:tcW w:w="579" w:type="dxa"/>
            <w:tcBorders>
              <w:top w:val="nil"/>
              <w:left w:val="nil"/>
              <w:bottom w:val="single" w:color="auto" w:sz="4" w:space="0"/>
              <w:right w:val="single" w:color="auto" w:sz="4" w:space="0"/>
            </w:tcBorders>
            <w:shd w:val="clear" w:color="auto" w:fill="auto"/>
            <w:vAlign w:val="center"/>
          </w:tcPr>
          <w:p w14:paraId="27F75AF8">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342" w:type="dxa"/>
            <w:tcBorders>
              <w:top w:val="nil"/>
              <w:left w:val="nil"/>
              <w:bottom w:val="single" w:color="auto" w:sz="4" w:space="0"/>
              <w:right w:val="single" w:color="auto" w:sz="4" w:space="0"/>
            </w:tcBorders>
            <w:shd w:val="clear" w:color="auto" w:fill="auto"/>
            <w:vAlign w:val="center"/>
          </w:tcPr>
          <w:p w14:paraId="1B2CEDD3">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人行机房</w:t>
            </w:r>
          </w:p>
        </w:tc>
        <w:tc>
          <w:tcPr>
            <w:tcW w:w="2037" w:type="dxa"/>
            <w:tcBorders>
              <w:top w:val="nil"/>
              <w:left w:val="nil"/>
              <w:bottom w:val="single" w:color="auto" w:sz="4" w:space="0"/>
              <w:right w:val="single" w:color="auto" w:sz="4" w:space="0"/>
            </w:tcBorders>
            <w:shd w:val="clear" w:color="auto" w:fill="auto"/>
            <w:vAlign w:val="center"/>
          </w:tcPr>
          <w:p w14:paraId="6830E3CA">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06ZYGR1</w:t>
            </w:r>
          </w:p>
        </w:tc>
        <w:tc>
          <w:tcPr>
            <w:tcW w:w="982" w:type="dxa"/>
            <w:tcBorders>
              <w:top w:val="nil"/>
              <w:left w:val="nil"/>
              <w:bottom w:val="single" w:color="auto" w:sz="4" w:space="0"/>
              <w:right w:val="single" w:color="auto" w:sz="4" w:space="0"/>
            </w:tcBorders>
            <w:shd w:val="clear" w:color="auto" w:fill="auto"/>
            <w:vAlign w:val="center"/>
          </w:tcPr>
          <w:p w14:paraId="2F6558BF">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1206" w:type="dxa"/>
            <w:vMerge w:val="continue"/>
            <w:tcBorders>
              <w:left w:val="single" w:color="auto" w:sz="4" w:space="0"/>
              <w:right w:val="single" w:color="auto" w:sz="4" w:space="0"/>
            </w:tcBorders>
            <w:vAlign w:val="center"/>
          </w:tcPr>
          <w:p w14:paraId="663725A3">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p>
        </w:tc>
      </w:tr>
      <w:tr w14:paraId="5BB2508F">
        <w:tblPrEx>
          <w:tblCellMar>
            <w:top w:w="0" w:type="dxa"/>
            <w:left w:w="108" w:type="dxa"/>
            <w:bottom w:w="0" w:type="dxa"/>
            <w:right w:w="108" w:type="dxa"/>
          </w:tblCellMar>
        </w:tblPrEx>
        <w:trPr>
          <w:trHeight w:val="938" w:hRule="atLeast"/>
        </w:trPr>
        <w:tc>
          <w:tcPr>
            <w:tcW w:w="842" w:type="dxa"/>
            <w:tcBorders>
              <w:top w:val="nil"/>
              <w:left w:val="single" w:color="auto" w:sz="4" w:space="0"/>
              <w:bottom w:val="single" w:color="auto" w:sz="4" w:space="0"/>
              <w:right w:val="single" w:color="auto" w:sz="4" w:space="0"/>
            </w:tcBorders>
            <w:shd w:val="clear" w:color="auto" w:fill="auto"/>
            <w:vAlign w:val="center"/>
          </w:tcPr>
          <w:p w14:paraId="76BC0E1F">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3</w:t>
            </w:r>
          </w:p>
        </w:tc>
        <w:tc>
          <w:tcPr>
            <w:tcW w:w="1259" w:type="dxa"/>
            <w:tcBorders>
              <w:top w:val="nil"/>
              <w:left w:val="nil"/>
              <w:bottom w:val="single" w:color="auto" w:sz="4" w:space="0"/>
              <w:right w:val="single" w:color="auto" w:sz="4" w:space="0"/>
            </w:tcBorders>
            <w:shd w:val="clear" w:color="auto" w:fill="auto"/>
            <w:vAlign w:val="center"/>
          </w:tcPr>
          <w:p w14:paraId="070E7DA6">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IBM服务器</w:t>
            </w:r>
          </w:p>
        </w:tc>
        <w:tc>
          <w:tcPr>
            <w:tcW w:w="1889" w:type="dxa"/>
            <w:tcBorders>
              <w:top w:val="nil"/>
              <w:left w:val="nil"/>
              <w:bottom w:val="single" w:color="auto" w:sz="4" w:space="0"/>
              <w:right w:val="single" w:color="auto" w:sz="4" w:space="0"/>
            </w:tcBorders>
            <w:shd w:val="clear" w:color="auto" w:fill="auto"/>
            <w:vAlign w:val="center"/>
          </w:tcPr>
          <w:p w14:paraId="6EDF9014">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X3650 M4</w:t>
            </w:r>
          </w:p>
        </w:tc>
        <w:tc>
          <w:tcPr>
            <w:tcW w:w="579" w:type="dxa"/>
            <w:tcBorders>
              <w:top w:val="nil"/>
              <w:left w:val="nil"/>
              <w:bottom w:val="single" w:color="auto" w:sz="4" w:space="0"/>
              <w:right w:val="single" w:color="auto" w:sz="4" w:space="0"/>
            </w:tcBorders>
            <w:shd w:val="clear" w:color="auto" w:fill="auto"/>
            <w:vAlign w:val="center"/>
          </w:tcPr>
          <w:p w14:paraId="20422860">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342" w:type="dxa"/>
            <w:tcBorders>
              <w:top w:val="nil"/>
              <w:left w:val="nil"/>
              <w:bottom w:val="single" w:color="auto" w:sz="4" w:space="0"/>
              <w:right w:val="single" w:color="auto" w:sz="4" w:space="0"/>
            </w:tcBorders>
            <w:shd w:val="clear" w:color="auto" w:fill="auto"/>
            <w:vAlign w:val="center"/>
          </w:tcPr>
          <w:p w14:paraId="023A6211">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人行机房</w:t>
            </w:r>
          </w:p>
        </w:tc>
        <w:tc>
          <w:tcPr>
            <w:tcW w:w="2037" w:type="dxa"/>
            <w:tcBorders>
              <w:top w:val="nil"/>
              <w:left w:val="nil"/>
              <w:bottom w:val="single" w:color="auto" w:sz="4" w:space="0"/>
              <w:right w:val="single" w:color="auto" w:sz="4" w:space="0"/>
            </w:tcBorders>
            <w:shd w:val="clear" w:color="auto" w:fill="auto"/>
            <w:vAlign w:val="center"/>
          </w:tcPr>
          <w:p w14:paraId="4E53E506">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06ANRVR</w:t>
            </w:r>
          </w:p>
        </w:tc>
        <w:tc>
          <w:tcPr>
            <w:tcW w:w="982" w:type="dxa"/>
            <w:tcBorders>
              <w:top w:val="nil"/>
              <w:left w:val="nil"/>
              <w:bottom w:val="single" w:color="auto" w:sz="4" w:space="0"/>
              <w:right w:val="single" w:color="auto" w:sz="4" w:space="0"/>
            </w:tcBorders>
            <w:shd w:val="clear" w:color="auto" w:fill="auto"/>
            <w:vAlign w:val="center"/>
          </w:tcPr>
          <w:p w14:paraId="1114C6B0">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1206" w:type="dxa"/>
            <w:vMerge w:val="continue"/>
            <w:tcBorders>
              <w:left w:val="single" w:color="auto" w:sz="4" w:space="0"/>
              <w:right w:val="single" w:color="auto" w:sz="4" w:space="0"/>
            </w:tcBorders>
            <w:vAlign w:val="center"/>
          </w:tcPr>
          <w:p w14:paraId="53AFE31C">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p>
        </w:tc>
      </w:tr>
      <w:tr w14:paraId="0503C12D">
        <w:tblPrEx>
          <w:tblCellMar>
            <w:top w:w="0" w:type="dxa"/>
            <w:left w:w="108" w:type="dxa"/>
            <w:bottom w:w="0" w:type="dxa"/>
            <w:right w:w="108" w:type="dxa"/>
          </w:tblCellMar>
        </w:tblPrEx>
        <w:trPr>
          <w:trHeight w:val="938" w:hRule="atLeast"/>
        </w:trPr>
        <w:tc>
          <w:tcPr>
            <w:tcW w:w="842" w:type="dxa"/>
            <w:tcBorders>
              <w:top w:val="nil"/>
              <w:left w:val="single" w:color="auto" w:sz="4" w:space="0"/>
              <w:bottom w:val="single" w:color="auto" w:sz="4" w:space="0"/>
              <w:right w:val="single" w:color="auto" w:sz="4" w:space="0"/>
            </w:tcBorders>
            <w:shd w:val="clear" w:color="auto" w:fill="auto"/>
            <w:vAlign w:val="center"/>
          </w:tcPr>
          <w:p w14:paraId="7500F28D">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4</w:t>
            </w:r>
          </w:p>
        </w:tc>
        <w:tc>
          <w:tcPr>
            <w:tcW w:w="1259" w:type="dxa"/>
            <w:tcBorders>
              <w:top w:val="nil"/>
              <w:left w:val="nil"/>
              <w:bottom w:val="single" w:color="auto" w:sz="4" w:space="0"/>
              <w:right w:val="single" w:color="auto" w:sz="4" w:space="0"/>
            </w:tcBorders>
            <w:shd w:val="clear" w:color="auto" w:fill="auto"/>
            <w:vAlign w:val="center"/>
          </w:tcPr>
          <w:p w14:paraId="7F6619A7">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IBM服务器</w:t>
            </w:r>
          </w:p>
        </w:tc>
        <w:tc>
          <w:tcPr>
            <w:tcW w:w="1889" w:type="dxa"/>
            <w:tcBorders>
              <w:top w:val="nil"/>
              <w:left w:val="nil"/>
              <w:bottom w:val="single" w:color="auto" w:sz="4" w:space="0"/>
              <w:right w:val="single" w:color="auto" w:sz="4" w:space="0"/>
            </w:tcBorders>
            <w:shd w:val="clear" w:color="auto" w:fill="auto"/>
            <w:vAlign w:val="center"/>
          </w:tcPr>
          <w:p w14:paraId="25595042">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X3650 M4</w:t>
            </w:r>
          </w:p>
        </w:tc>
        <w:tc>
          <w:tcPr>
            <w:tcW w:w="579" w:type="dxa"/>
            <w:tcBorders>
              <w:top w:val="nil"/>
              <w:left w:val="nil"/>
              <w:bottom w:val="single" w:color="auto" w:sz="4" w:space="0"/>
              <w:right w:val="single" w:color="auto" w:sz="4" w:space="0"/>
            </w:tcBorders>
            <w:shd w:val="clear" w:color="auto" w:fill="auto"/>
            <w:vAlign w:val="center"/>
          </w:tcPr>
          <w:p w14:paraId="4558523D">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342" w:type="dxa"/>
            <w:tcBorders>
              <w:top w:val="nil"/>
              <w:left w:val="nil"/>
              <w:bottom w:val="single" w:color="auto" w:sz="4" w:space="0"/>
              <w:right w:val="single" w:color="auto" w:sz="4" w:space="0"/>
            </w:tcBorders>
            <w:shd w:val="clear" w:color="auto" w:fill="auto"/>
            <w:vAlign w:val="center"/>
          </w:tcPr>
          <w:p w14:paraId="405B61A9">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人行机房</w:t>
            </w:r>
          </w:p>
        </w:tc>
        <w:tc>
          <w:tcPr>
            <w:tcW w:w="2037" w:type="dxa"/>
            <w:tcBorders>
              <w:top w:val="nil"/>
              <w:left w:val="nil"/>
              <w:bottom w:val="single" w:color="auto" w:sz="4" w:space="0"/>
              <w:right w:val="single" w:color="auto" w:sz="4" w:space="0"/>
            </w:tcBorders>
            <w:shd w:val="clear" w:color="auto" w:fill="auto"/>
            <w:vAlign w:val="center"/>
          </w:tcPr>
          <w:p w14:paraId="7D90C2A1">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06ANRVP</w:t>
            </w:r>
          </w:p>
        </w:tc>
        <w:tc>
          <w:tcPr>
            <w:tcW w:w="982" w:type="dxa"/>
            <w:tcBorders>
              <w:top w:val="nil"/>
              <w:left w:val="nil"/>
              <w:bottom w:val="single" w:color="auto" w:sz="4" w:space="0"/>
              <w:right w:val="single" w:color="auto" w:sz="4" w:space="0"/>
            </w:tcBorders>
            <w:shd w:val="clear" w:color="auto" w:fill="auto"/>
            <w:vAlign w:val="center"/>
          </w:tcPr>
          <w:p w14:paraId="1392E38F">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1206" w:type="dxa"/>
            <w:vMerge w:val="continue"/>
            <w:tcBorders>
              <w:left w:val="single" w:color="auto" w:sz="4" w:space="0"/>
              <w:right w:val="single" w:color="auto" w:sz="4" w:space="0"/>
            </w:tcBorders>
            <w:vAlign w:val="center"/>
          </w:tcPr>
          <w:p w14:paraId="32D08CED">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p>
        </w:tc>
      </w:tr>
      <w:tr w14:paraId="32EE612A">
        <w:tblPrEx>
          <w:tblCellMar>
            <w:top w:w="0" w:type="dxa"/>
            <w:left w:w="108" w:type="dxa"/>
            <w:bottom w:w="0" w:type="dxa"/>
            <w:right w:w="108" w:type="dxa"/>
          </w:tblCellMar>
        </w:tblPrEx>
        <w:trPr>
          <w:trHeight w:val="938" w:hRule="atLeast"/>
        </w:trPr>
        <w:tc>
          <w:tcPr>
            <w:tcW w:w="842" w:type="dxa"/>
            <w:tcBorders>
              <w:top w:val="nil"/>
              <w:left w:val="single" w:color="auto" w:sz="4" w:space="0"/>
              <w:bottom w:val="single" w:color="auto" w:sz="4" w:space="0"/>
              <w:right w:val="single" w:color="auto" w:sz="4" w:space="0"/>
            </w:tcBorders>
            <w:shd w:val="clear" w:color="auto" w:fill="auto"/>
            <w:vAlign w:val="center"/>
          </w:tcPr>
          <w:p w14:paraId="77D25A3D">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5</w:t>
            </w:r>
          </w:p>
        </w:tc>
        <w:tc>
          <w:tcPr>
            <w:tcW w:w="1259" w:type="dxa"/>
            <w:tcBorders>
              <w:top w:val="nil"/>
              <w:left w:val="nil"/>
              <w:bottom w:val="single" w:color="auto" w:sz="4" w:space="0"/>
              <w:right w:val="single" w:color="auto" w:sz="4" w:space="0"/>
            </w:tcBorders>
            <w:shd w:val="clear" w:color="auto" w:fill="auto"/>
            <w:vAlign w:val="center"/>
          </w:tcPr>
          <w:p w14:paraId="414C0F2B">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加密机</w:t>
            </w:r>
          </w:p>
        </w:tc>
        <w:tc>
          <w:tcPr>
            <w:tcW w:w="1889" w:type="dxa"/>
            <w:tcBorders>
              <w:top w:val="nil"/>
              <w:left w:val="nil"/>
              <w:bottom w:val="single" w:color="auto" w:sz="4" w:space="0"/>
              <w:right w:val="single" w:color="auto" w:sz="4" w:space="0"/>
            </w:tcBorders>
            <w:shd w:val="clear" w:color="auto" w:fill="auto"/>
            <w:vAlign w:val="center"/>
          </w:tcPr>
          <w:p w14:paraId="7F781458">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吉大正元 V5000-C</w:t>
            </w:r>
          </w:p>
        </w:tc>
        <w:tc>
          <w:tcPr>
            <w:tcW w:w="579" w:type="dxa"/>
            <w:tcBorders>
              <w:top w:val="nil"/>
              <w:left w:val="nil"/>
              <w:bottom w:val="single" w:color="auto" w:sz="4" w:space="0"/>
              <w:right w:val="single" w:color="auto" w:sz="4" w:space="0"/>
            </w:tcBorders>
            <w:shd w:val="clear" w:color="auto" w:fill="auto"/>
            <w:vAlign w:val="center"/>
          </w:tcPr>
          <w:p w14:paraId="51F95CBD">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342" w:type="dxa"/>
            <w:tcBorders>
              <w:top w:val="nil"/>
              <w:left w:val="nil"/>
              <w:bottom w:val="single" w:color="auto" w:sz="4" w:space="0"/>
              <w:right w:val="single" w:color="auto" w:sz="4" w:space="0"/>
            </w:tcBorders>
            <w:shd w:val="clear" w:color="auto" w:fill="auto"/>
            <w:vAlign w:val="center"/>
          </w:tcPr>
          <w:p w14:paraId="3FD07212">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人行机房</w:t>
            </w:r>
          </w:p>
        </w:tc>
        <w:tc>
          <w:tcPr>
            <w:tcW w:w="2037" w:type="dxa"/>
            <w:tcBorders>
              <w:top w:val="nil"/>
              <w:left w:val="nil"/>
              <w:bottom w:val="single" w:color="auto" w:sz="4" w:space="0"/>
              <w:right w:val="single" w:color="auto" w:sz="4" w:space="0"/>
            </w:tcBorders>
            <w:shd w:val="clear" w:color="auto" w:fill="auto"/>
            <w:vAlign w:val="center"/>
          </w:tcPr>
          <w:p w14:paraId="2650449F">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LZ084782</w:t>
            </w:r>
          </w:p>
        </w:tc>
        <w:tc>
          <w:tcPr>
            <w:tcW w:w="982" w:type="dxa"/>
            <w:tcBorders>
              <w:top w:val="nil"/>
              <w:left w:val="nil"/>
              <w:bottom w:val="single" w:color="auto" w:sz="4" w:space="0"/>
              <w:right w:val="single" w:color="auto" w:sz="4" w:space="0"/>
            </w:tcBorders>
            <w:shd w:val="clear" w:color="auto" w:fill="auto"/>
            <w:vAlign w:val="center"/>
          </w:tcPr>
          <w:p w14:paraId="5D5241AB">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1206" w:type="dxa"/>
            <w:vMerge w:val="continue"/>
            <w:tcBorders>
              <w:left w:val="single" w:color="auto" w:sz="4" w:space="0"/>
              <w:right w:val="single" w:color="auto" w:sz="4" w:space="0"/>
            </w:tcBorders>
            <w:vAlign w:val="center"/>
          </w:tcPr>
          <w:p w14:paraId="1B786565">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p>
        </w:tc>
      </w:tr>
      <w:tr w14:paraId="33DE845B">
        <w:tblPrEx>
          <w:tblCellMar>
            <w:top w:w="0" w:type="dxa"/>
            <w:left w:w="108" w:type="dxa"/>
            <w:bottom w:w="0" w:type="dxa"/>
            <w:right w:w="108" w:type="dxa"/>
          </w:tblCellMar>
        </w:tblPrEx>
        <w:trPr>
          <w:trHeight w:val="938" w:hRule="atLeast"/>
        </w:trPr>
        <w:tc>
          <w:tcPr>
            <w:tcW w:w="842" w:type="dxa"/>
            <w:tcBorders>
              <w:top w:val="nil"/>
              <w:left w:val="single" w:color="auto" w:sz="4" w:space="0"/>
              <w:bottom w:val="single" w:color="auto" w:sz="4" w:space="0"/>
              <w:right w:val="single" w:color="auto" w:sz="4" w:space="0"/>
            </w:tcBorders>
            <w:shd w:val="clear" w:color="auto" w:fill="auto"/>
            <w:vAlign w:val="center"/>
          </w:tcPr>
          <w:p w14:paraId="41DF70E6">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6</w:t>
            </w:r>
          </w:p>
        </w:tc>
        <w:tc>
          <w:tcPr>
            <w:tcW w:w="1259" w:type="dxa"/>
            <w:tcBorders>
              <w:top w:val="nil"/>
              <w:left w:val="nil"/>
              <w:bottom w:val="single" w:color="auto" w:sz="4" w:space="0"/>
              <w:right w:val="single" w:color="auto" w:sz="4" w:space="0"/>
            </w:tcBorders>
            <w:shd w:val="clear" w:color="auto" w:fill="auto"/>
            <w:vAlign w:val="center"/>
          </w:tcPr>
          <w:p w14:paraId="273E5FE9">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加密机</w:t>
            </w:r>
          </w:p>
        </w:tc>
        <w:tc>
          <w:tcPr>
            <w:tcW w:w="1889" w:type="dxa"/>
            <w:tcBorders>
              <w:top w:val="nil"/>
              <w:left w:val="nil"/>
              <w:bottom w:val="single" w:color="auto" w:sz="4" w:space="0"/>
              <w:right w:val="single" w:color="auto" w:sz="4" w:space="0"/>
            </w:tcBorders>
            <w:shd w:val="clear" w:color="auto" w:fill="auto"/>
            <w:vAlign w:val="center"/>
          </w:tcPr>
          <w:p w14:paraId="0E2E8EB4">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吉大正元 V5000-C</w:t>
            </w:r>
          </w:p>
        </w:tc>
        <w:tc>
          <w:tcPr>
            <w:tcW w:w="579" w:type="dxa"/>
            <w:tcBorders>
              <w:top w:val="nil"/>
              <w:left w:val="nil"/>
              <w:bottom w:val="single" w:color="auto" w:sz="4" w:space="0"/>
              <w:right w:val="single" w:color="auto" w:sz="4" w:space="0"/>
            </w:tcBorders>
            <w:shd w:val="clear" w:color="auto" w:fill="auto"/>
            <w:vAlign w:val="center"/>
          </w:tcPr>
          <w:p w14:paraId="1D95694F">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342" w:type="dxa"/>
            <w:tcBorders>
              <w:top w:val="nil"/>
              <w:left w:val="nil"/>
              <w:bottom w:val="single" w:color="auto" w:sz="4" w:space="0"/>
              <w:right w:val="single" w:color="auto" w:sz="4" w:space="0"/>
            </w:tcBorders>
            <w:shd w:val="clear" w:color="auto" w:fill="auto"/>
            <w:vAlign w:val="center"/>
          </w:tcPr>
          <w:p w14:paraId="49511D5D">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人行机房</w:t>
            </w:r>
          </w:p>
        </w:tc>
        <w:tc>
          <w:tcPr>
            <w:tcW w:w="2037" w:type="dxa"/>
            <w:tcBorders>
              <w:top w:val="nil"/>
              <w:left w:val="nil"/>
              <w:bottom w:val="single" w:color="auto" w:sz="4" w:space="0"/>
              <w:right w:val="single" w:color="auto" w:sz="4" w:space="0"/>
            </w:tcBorders>
            <w:shd w:val="clear" w:color="auto" w:fill="auto"/>
            <w:vAlign w:val="center"/>
          </w:tcPr>
          <w:p w14:paraId="2929447E">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LZ1811Q717</w:t>
            </w:r>
          </w:p>
        </w:tc>
        <w:tc>
          <w:tcPr>
            <w:tcW w:w="982" w:type="dxa"/>
            <w:tcBorders>
              <w:top w:val="nil"/>
              <w:left w:val="nil"/>
              <w:bottom w:val="single" w:color="auto" w:sz="4" w:space="0"/>
              <w:right w:val="single" w:color="auto" w:sz="4" w:space="0"/>
            </w:tcBorders>
            <w:shd w:val="clear" w:color="auto" w:fill="auto"/>
            <w:vAlign w:val="center"/>
          </w:tcPr>
          <w:p w14:paraId="268EDB8C">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1206" w:type="dxa"/>
            <w:vMerge w:val="continue"/>
            <w:tcBorders>
              <w:left w:val="single" w:color="auto" w:sz="4" w:space="0"/>
              <w:right w:val="single" w:color="auto" w:sz="4" w:space="0"/>
            </w:tcBorders>
            <w:vAlign w:val="center"/>
          </w:tcPr>
          <w:p w14:paraId="68EDC1C2">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p>
        </w:tc>
      </w:tr>
      <w:tr w14:paraId="4183A3C1">
        <w:tblPrEx>
          <w:tblCellMar>
            <w:top w:w="0" w:type="dxa"/>
            <w:left w:w="108" w:type="dxa"/>
            <w:bottom w:w="0" w:type="dxa"/>
            <w:right w:w="108" w:type="dxa"/>
          </w:tblCellMar>
        </w:tblPrEx>
        <w:trPr>
          <w:trHeight w:val="938" w:hRule="atLeast"/>
        </w:trPr>
        <w:tc>
          <w:tcPr>
            <w:tcW w:w="842" w:type="dxa"/>
            <w:tcBorders>
              <w:top w:val="nil"/>
              <w:left w:val="single" w:color="auto" w:sz="4" w:space="0"/>
              <w:bottom w:val="single" w:color="auto" w:sz="4" w:space="0"/>
              <w:right w:val="single" w:color="auto" w:sz="4" w:space="0"/>
            </w:tcBorders>
            <w:shd w:val="clear" w:color="auto" w:fill="auto"/>
            <w:vAlign w:val="center"/>
          </w:tcPr>
          <w:p w14:paraId="4800BED0">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7</w:t>
            </w:r>
          </w:p>
        </w:tc>
        <w:tc>
          <w:tcPr>
            <w:tcW w:w="1259" w:type="dxa"/>
            <w:tcBorders>
              <w:top w:val="nil"/>
              <w:left w:val="nil"/>
              <w:bottom w:val="single" w:color="auto" w:sz="4" w:space="0"/>
              <w:right w:val="single" w:color="auto" w:sz="4" w:space="0"/>
            </w:tcBorders>
            <w:shd w:val="clear" w:color="auto" w:fill="auto"/>
            <w:vAlign w:val="center"/>
          </w:tcPr>
          <w:p w14:paraId="152986B4">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加密机</w:t>
            </w:r>
          </w:p>
        </w:tc>
        <w:tc>
          <w:tcPr>
            <w:tcW w:w="1889" w:type="dxa"/>
            <w:tcBorders>
              <w:top w:val="nil"/>
              <w:left w:val="nil"/>
              <w:bottom w:val="single" w:color="auto" w:sz="4" w:space="0"/>
              <w:right w:val="single" w:color="auto" w:sz="4" w:space="0"/>
            </w:tcBorders>
            <w:shd w:val="clear" w:color="auto" w:fill="auto"/>
            <w:vAlign w:val="center"/>
          </w:tcPr>
          <w:p w14:paraId="2D585AD5">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吉大正元 V5000-C</w:t>
            </w:r>
          </w:p>
        </w:tc>
        <w:tc>
          <w:tcPr>
            <w:tcW w:w="579" w:type="dxa"/>
            <w:tcBorders>
              <w:top w:val="nil"/>
              <w:left w:val="nil"/>
              <w:bottom w:val="single" w:color="auto" w:sz="4" w:space="0"/>
              <w:right w:val="single" w:color="auto" w:sz="4" w:space="0"/>
            </w:tcBorders>
            <w:shd w:val="clear" w:color="auto" w:fill="auto"/>
            <w:vAlign w:val="center"/>
          </w:tcPr>
          <w:p w14:paraId="4FB3411F">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342" w:type="dxa"/>
            <w:tcBorders>
              <w:top w:val="nil"/>
              <w:left w:val="nil"/>
              <w:bottom w:val="single" w:color="auto" w:sz="4" w:space="0"/>
              <w:right w:val="single" w:color="auto" w:sz="4" w:space="0"/>
            </w:tcBorders>
            <w:shd w:val="clear" w:color="auto" w:fill="auto"/>
            <w:vAlign w:val="center"/>
          </w:tcPr>
          <w:p w14:paraId="65C9626C">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人行机房</w:t>
            </w:r>
          </w:p>
        </w:tc>
        <w:tc>
          <w:tcPr>
            <w:tcW w:w="2037" w:type="dxa"/>
            <w:tcBorders>
              <w:top w:val="nil"/>
              <w:left w:val="nil"/>
              <w:bottom w:val="single" w:color="auto" w:sz="4" w:space="0"/>
              <w:right w:val="single" w:color="auto" w:sz="4" w:space="0"/>
            </w:tcBorders>
            <w:shd w:val="clear" w:color="auto" w:fill="auto"/>
            <w:vAlign w:val="center"/>
          </w:tcPr>
          <w:p w14:paraId="3C682B50">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LZ1811Q718</w:t>
            </w:r>
          </w:p>
        </w:tc>
        <w:tc>
          <w:tcPr>
            <w:tcW w:w="982" w:type="dxa"/>
            <w:tcBorders>
              <w:top w:val="nil"/>
              <w:left w:val="nil"/>
              <w:bottom w:val="single" w:color="auto" w:sz="4" w:space="0"/>
              <w:right w:val="single" w:color="auto" w:sz="4" w:space="0"/>
            </w:tcBorders>
            <w:shd w:val="clear" w:color="auto" w:fill="auto"/>
            <w:vAlign w:val="center"/>
          </w:tcPr>
          <w:p w14:paraId="50BEC65A">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1206" w:type="dxa"/>
            <w:vMerge w:val="continue"/>
            <w:tcBorders>
              <w:left w:val="single" w:color="auto" w:sz="4" w:space="0"/>
              <w:right w:val="single" w:color="auto" w:sz="4" w:space="0"/>
            </w:tcBorders>
            <w:vAlign w:val="center"/>
          </w:tcPr>
          <w:p w14:paraId="41AB8168">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p>
        </w:tc>
      </w:tr>
      <w:tr w14:paraId="0BC97CF0">
        <w:tblPrEx>
          <w:tblCellMar>
            <w:top w:w="0" w:type="dxa"/>
            <w:left w:w="108" w:type="dxa"/>
            <w:bottom w:w="0" w:type="dxa"/>
            <w:right w:w="108" w:type="dxa"/>
          </w:tblCellMar>
        </w:tblPrEx>
        <w:trPr>
          <w:trHeight w:val="938" w:hRule="atLeast"/>
        </w:trPr>
        <w:tc>
          <w:tcPr>
            <w:tcW w:w="842" w:type="dxa"/>
            <w:tcBorders>
              <w:top w:val="nil"/>
              <w:left w:val="single" w:color="auto" w:sz="4" w:space="0"/>
              <w:bottom w:val="single" w:color="auto" w:sz="4" w:space="0"/>
              <w:right w:val="single" w:color="auto" w:sz="4" w:space="0"/>
            </w:tcBorders>
            <w:shd w:val="clear" w:color="auto" w:fill="auto"/>
            <w:vAlign w:val="center"/>
          </w:tcPr>
          <w:p w14:paraId="04388DB4">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8</w:t>
            </w:r>
          </w:p>
        </w:tc>
        <w:tc>
          <w:tcPr>
            <w:tcW w:w="1259" w:type="dxa"/>
            <w:tcBorders>
              <w:top w:val="nil"/>
              <w:left w:val="nil"/>
              <w:bottom w:val="single" w:color="auto" w:sz="4" w:space="0"/>
              <w:right w:val="single" w:color="auto" w:sz="4" w:space="0"/>
            </w:tcBorders>
            <w:shd w:val="clear" w:color="auto" w:fill="auto"/>
            <w:vAlign w:val="center"/>
          </w:tcPr>
          <w:p w14:paraId="0CA41556">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SAN交换机</w:t>
            </w:r>
          </w:p>
        </w:tc>
        <w:tc>
          <w:tcPr>
            <w:tcW w:w="1889" w:type="dxa"/>
            <w:tcBorders>
              <w:top w:val="nil"/>
              <w:left w:val="nil"/>
              <w:bottom w:val="single" w:color="auto" w:sz="4" w:space="0"/>
              <w:right w:val="single" w:color="auto" w:sz="4" w:space="0"/>
            </w:tcBorders>
            <w:shd w:val="clear" w:color="auto" w:fill="auto"/>
            <w:vAlign w:val="center"/>
          </w:tcPr>
          <w:p w14:paraId="18E3F511">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IBM 2498-B24</w:t>
            </w:r>
          </w:p>
        </w:tc>
        <w:tc>
          <w:tcPr>
            <w:tcW w:w="579" w:type="dxa"/>
            <w:tcBorders>
              <w:top w:val="nil"/>
              <w:left w:val="nil"/>
              <w:bottom w:val="single" w:color="auto" w:sz="4" w:space="0"/>
              <w:right w:val="single" w:color="auto" w:sz="4" w:space="0"/>
            </w:tcBorders>
            <w:shd w:val="clear" w:color="auto" w:fill="auto"/>
            <w:vAlign w:val="center"/>
          </w:tcPr>
          <w:p w14:paraId="1D9F917A">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342" w:type="dxa"/>
            <w:tcBorders>
              <w:top w:val="nil"/>
              <w:left w:val="nil"/>
              <w:bottom w:val="single" w:color="auto" w:sz="4" w:space="0"/>
              <w:right w:val="single" w:color="auto" w:sz="4" w:space="0"/>
            </w:tcBorders>
            <w:shd w:val="clear" w:color="auto" w:fill="auto"/>
            <w:vAlign w:val="center"/>
          </w:tcPr>
          <w:p w14:paraId="0FAAA307">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人行机房</w:t>
            </w:r>
          </w:p>
        </w:tc>
        <w:tc>
          <w:tcPr>
            <w:tcW w:w="2037" w:type="dxa"/>
            <w:tcBorders>
              <w:top w:val="nil"/>
              <w:left w:val="nil"/>
              <w:bottom w:val="single" w:color="auto" w:sz="4" w:space="0"/>
              <w:right w:val="single" w:color="auto" w:sz="4" w:space="0"/>
            </w:tcBorders>
            <w:shd w:val="clear" w:color="auto" w:fill="auto"/>
            <w:vAlign w:val="center"/>
          </w:tcPr>
          <w:p w14:paraId="30BEBF40">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10364CK</w:t>
            </w:r>
          </w:p>
        </w:tc>
        <w:tc>
          <w:tcPr>
            <w:tcW w:w="982" w:type="dxa"/>
            <w:tcBorders>
              <w:top w:val="nil"/>
              <w:left w:val="nil"/>
              <w:bottom w:val="single" w:color="auto" w:sz="4" w:space="0"/>
              <w:right w:val="single" w:color="auto" w:sz="4" w:space="0"/>
            </w:tcBorders>
            <w:shd w:val="clear" w:color="auto" w:fill="auto"/>
            <w:vAlign w:val="center"/>
          </w:tcPr>
          <w:p w14:paraId="2D478250">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1206" w:type="dxa"/>
            <w:vMerge w:val="continue"/>
            <w:tcBorders>
              <w:left w:val="single" w:color="auto" w:sz="4" w:space="0"/>
              <w:right w:val="single" w:color="auto" w:sz="4" w:space="0"/>
            </w:tcBorders>
            <w:vAlign w:val="center"/>
          </w:tcPr>
          <w:p w14:paraId="45B154D9">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p>
        </w:tc>
      </w:tr>
      <w:tr w14:paraId="7711D761">
        <w:tblPrEx>
          <w:tblCellMar>
            <w:top w:w="0" w:type="dxa"/>
            <w:left w:w="108" w:type="dxa"/>
            <w:bottom w:w="0" w:type="dxa"/>
            <w:right w:w="108" w:type="dxa"/>
          </w:tblCellMar>
        </w:tblPrEx>
        <w:trPr>
          <w:trHeight w:val="938" w:hRule="atLeast"/>
        </w:trPr>
        <w:tc>
          <w:tcPr>
            <w:tcW w:w="842" w:type="dxa"/>
            <w:tcBorders>
              <w:top w:val="nil"/>
              <w:left w:val="single" w:color="auto" w:sz="4" w:space="0"/>
              <w:bottom w:val="single" w:color="auto" w:sz="4" w:space="0"/>
              <w:right w:val="single" w:color="auto" w:sz="4" w:space="0"/>
            </w:tcBorders>
            <w:shd w:val="clear" w:color="auto" w:fill="auto"/>
            <w:vAlign w:val="center"/>
          </w:tcPr>
          <w:p w14:paraId="584C0CD8">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9</w:t>
            </w:r>
          </w:p>
        </w:tc>
        <w:tc>
          <w:tcPr>
            <w:tcW w:w="1259" w:type="dxa"/>
            <w:tcBorders>
              <w:top w:val="nil"/>
              <w:left w:val="nil"/>
              <w:bottom w:val="single" w:color="auto" w:sz="4" w:space="0"/>
              <w:right w:val="single" w:color="auto" w:sz="4" w:space="0"/>
            </w:tcBorders>
            <w:shd w:val="clear" w:color="auto" w:fill="auto"/>
            <w:vAlign w:val="center"/>
          </w:tcPr>
          <w:p w14:paraId="0F7E98ED">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SAN交换机</w:t>
            </w:r>
          </w:p>
        </w:tc>
        <w:tc>
          <w:tcPr>
            <w:tcW w:w="1889" w:type="dxa"/>
            <w:tcBorders>
              <w:top w:val="nil"/>
              <w:left w:val="nil"/>
              <w:bottom w:val="single" w:color="auto" w:sz="4" w:space="0"/>
              <w:right w:val="single" w:color="auto" w:sz="4" w:space="0"/>
            </w:tcBorders>
            <w:shd w:val="clear" w:color="auto" w:fill="auto"/>
            <w:vAlign w:val="center"/>
          </w:tcPr>
          <w:p w14:paraId="26B7273C">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IBM 2498-B24</w:t>
            </w:r>
          </w:p>
        </w:tc>
        <w:tc>
          <w:tcPr>
            <w:tcW w:w="579" w:type="dxa"/>
            <w:tcBorders>
              <w:top w:val="nil"/>
              <w:left w:val="nil"/>
              <w:bottom w:val="single" w:color="auto" w:sz="4" w:space="0"/>
              <w:right w:val="single" w:color="auto" w:sz="4" w:space="0"/>
            </w:tcBorders>
            <w:shd w:val="clear" w:color="auto" w:fill="auto"/>
            <w:vAlign w:val="center"/>
          </w:tcPr>
          <w:p w14:paraId="02F85FA1">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342" w:type="dxa"/>
            <w:tcBorders>
              <w:top w:val="nil"/>
              <w:left w:val="nil"/>
              <w:bottom w:val="single" w:color="auto" w:sz="4" w:space="0"/>
              <w:right w:val="single" w:color="auto" w:sz="4" w:space="0"/>
            </w:tcBorders>
            <w:shd w:val="clear" w:color="auto" w:fill="auto"/>
            <w:vAlign w:val="center"/>
          </w:tcPr>
          <w:p w14:paraId="68CDE132">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人行机房</w:t>
            </w:r>
          </w:p>
        </w:tc>
        <w:tc>
          <w:tcPr>
            <w:tcW w:w="2037" w:type="dxa"/>
            <w:tcBorders>
              <w:top w:val="nil"/>
              <w:left w:val="nil"/>
              <w:bottom w:val="single" w:color="auto" w:sz="4" w:space="0"/>
              <w:right w:val="single" w:color="auto" w:sz="4" w:space="0"/>
            </w:tcBorders>
            <w:shd w:val="clear" w:color="auto" w:fill="auto"/>
            <w:vAlign w:val="center"/>
          </w:tcPr>
          <w:p w14:paraId="4701B69A">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10365KB</w:t>
            </w:r>
          </w:p>
        </w:tc>
        <w:tc>
          <w:tcPr>
            <w:tcW w:w="982" w:type="dxa"/>
            <w:tcBorders>
              <w:top w:val="nil"/>
              <w:left w:val="nil"/>
              <w:bottom w:val="single" w:color="auto" w:sz="4" w:space="0"/>
              <w:right w:val="single" w:color="auto" w:sz="4" w:space="0"/>
            </w:tcBorders>
            <w:shd w:val="clear" w:color="auto" w:fill="auto"/>
            <w:vAlign w:val="center"/>
          </w:tcPr>
          <w:p w14:paraId="677D3B59">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1206" w:type="dxa"/>
            <w:vMerge w:val="continue"/>
            <w:tcBorders>
              <w:left w:val="single" w:color="auto" w:sz="4" w:space="0"/>
              <w:right w:val="single" w:color="auto" w:sz="4" w:space="0"/>
            </w:tcBorders>
            <w:vAlign w:val="center"/>
          </w:tcPr>
          <w:p w14:paraId="4CC21336">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p>
        </w:tc>
      </w:tr>
      <w:tr w14:paraId="678BC174">
        <w:tblPrEx>
          <w:tblCellMar>
            <w:top w:w="0" w:type="dxa"/>
            <w:left w:w="108" w:type="dxa"/>
            <w:bottom w:w="0" w:type="dxa"/>
            <w:right w:w="108" w:type="dxa"/>
          </w:tblCellMar>
        </w:tblPrEx>
        <w:trPr>
          <w:trHeight w:val="938" w:hRule="atLeast"/>
        </w:trPr>
        <w:tc>
          <w:tcPr>
            <w:tcW w:w="842" w:type="dxa"/>
            <w:tcBorders>
              <w:top w:val="nil"/>
              <w:left w:val="single" w:color="auto" w:sz="4" w:space="0"/>
              <w:bottom w:val="single" w:color="auto" w:sz="4" w:space="0"/>
              <w:right w:val="single" w:color="auto" w:sz="4" w:space="0"/>
            </w:tcBorders>
            <w:shd w:val="clear" w:color="auto" w:fill="auto"/>
            <w:vAlign w:val="center"/>
          </w:tcPr>
          <w:p w14:paraId="348076EE">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10</w:t>
            </w:r>
          </w:p>
        </w:tc>
        <w:tc>
          <w:tcPr>
            <w:tcW w:w="1259" w:type="dxa"/>
            <w:tcBorders>
              <w:top w:val="nil"/>
              <w:left w:val="nil"/>
              <w:bottom w:val="single" w:color="auto" w:sz="4" w:space="0"/>
              <w:right w:val="single" w:color="auto" w:sz="4" w:space="0"/>
            </w:tcBorders>
            <w:shd w:val="clear" w:color="auto" w:fill="auto"/>
            <w:vAlign w:val="center"/>
          </w:tcPr>
          <w:p w14:paraId="6FFCB32E">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网络交换机</w:t>
            </w:r>
          </w:p>
        </w:tc>
        <w:tc>
          <w:tcPr>
            <w:tcW w:w="1889" w:type="dxa"/>
            <w:tcBorders>
              <w:top w:val="nil"/>
              <w:left w:val="nil"/>
              <w:bottom w:val="single" w:color="auto" w:sz="4" w:space="0"/>
              <w:right w:val="single" w:color="auto" w:sz="4" w:space="0"/>
            </w:tcBorders>
            <w:shd w:val="clear" w:color="auto" w:fill="auto"/>
            <w:vAlign w:val="center"/>
          </w:tcPr>
          <w:p w14:paraId="15FBB60C">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H3C S5500</w:t>
            </w:r>
          </w:p>
        </w:tc>
        <w:tc>
          <w:tcPr>
            <w:tcW w:w="579" w:type="dxa"/>
            <w:tcBorders>
              <w:top w:val="nil"/>
              <w:left w:val="nil"/>
              <w:bottom w:val="single" w:color="auto" w:sz="4" w:space="0"/>
              <w:right w:val="single" w:color="auto" w:sz="4" w:space="0"/>
            </w:tcBorders>
            <w:shd w:val="clear" w:color="auto" w:fill="auto"/>
            <w:vAlign w:val="center"/>
          </w:tcPr>
          <w:p w14:paraId="1348BA15">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342" w:type="dxa"/>
            <w:tcBorders>
              <w:top w:val="nil"/>
              <w:left w:val="nil"/>
              <w:bottom w:val="single" w:color="auto" w:sz="4" w:space="0"/>
              <w:right w:val="single" w:color="auto" w:sz="4" w:space="0"/>
            </w:tcBorders>
            <w:shd w:val="clear" w:color="auto" w:fill="auto"/>
            <w:vAlign w:val="center"/>
          </w:tcPr>
          <w:p w14:paraId="0EB6B834">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人行机房</w:t>
            </w:r>
          </w:p>
        </w:tc>
        <w:tc>
          <w:tcPr>
            <w:tcW w:w="2037" w:type="dxa"/>
            <w:tcBorders>
              <w:top w:val="nil"/>
              <w:left w:val="nil"/>
              <w:bottom w:val="single" w:color="auto" w:sz="4" w:space="0"/>
              <w:right w:val="single" w:color="auto" w:sz="4" w:space="0"/>
            </w:tcBorders>
            <w:shd w:val="clear" w:color="auto" w:fill="auto"/>
            <w:vAlign w:val="center"/>
          </w:tcPr>
          <w:p w14:paraId="5235D31E">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210235A252C148000291</w:t>
            </w:r>
          </w:p>
        </w:tc>
        <w:tc>
          <w:tcPr>
            <w:tcW w:w="982" w:type="dxa"/>
            <w:tcBorders>
              <w:top w:val="nil"/>
              <w:left w:val="nil"/>
              <w:bottom w:val="single" w:color="auto" w:sz="4" w:space="0"/>
              <w:right w:val="single" w:color="auto" w:sz="4" w:space="0"/>
            </w:tcBorders>
            <w:shd w:val="clear" w:color="auto" w:fill="auto"/>
            <w:vAlign w:val="center"/>
          </w:tcPr>
          <w:p w14:paraId="3A2E0715">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1206" w:type="dxa"/>
            <w:vMerge w:val="continue"/>
            <w:tcBorders>
              <w:left w:val="single" w:color="auto" w:sz="4" w:space="0"/>
              <w:right w:val="single" w:color="auto" w:sz="4" w:space="0"/>
            </w:tcBorders>
            <w:vAlign w:val="center"/>
          </w:tcPr>
          <w:p w14:paraId="217E0B85">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p>
        </w:tc>
      </w:tr>
      <w:tr w14:paraId="342F385C">
        <w:tblPrEx>
          <w:tblCellMar>
            <w:top w:w="0" w:type="dxa"/>
            <w:left w:w="108" w:type="dxa"/>
            <w:bottom w:w="0" w:type="dxa"/>
            <w:right w:w="108" w:type="dxa"/>
          </w:tblCellMar>
        </w:tblPrEx>
        <w:trPr>
          <w:trHeight w:val="938" w:hRule="atLeast"/>
        </w:trPr>
        <w:tc>
          <w:tcPr>
            <w:tcW w:w="842" w:type="dxa"/>
            <w:tcBorders>
              <w:top w:val="single" w:color="auto" w:sz="4" w:space="0"/>
              <w:left w:val="single" w:color="auto" w:sz="4" w:space="0"/>
              <w:bottom w:val="single" w:color="auto" w:sz="4" w:space="0"/>
              <w:right w:val="single" w:color="auto" w:sz="4" w:space="0"/>
            </w:tcBorders>
            <w:shd w:val="clear" w:color="auto" w:fill="auto"/>
            <w:vAlign w:val="center"/>
          </w:tcPr>
          <w:p w14:paraId="4F154C8F">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11</w:t>
            </w:r>
          </w:p>
        </w:tc>
        <w:tc>
          <w:tcPr>
            <w:tcW w:w="1259" w:type="dxa"/>
            <w:tcBorders>
              <w:top w:val="single" w:color="auto" w:sz="4" w:space="0"/>
              <w:left w:val="single" w:color="auto" w:sz="4" w:space="0"/>
              <w:bottom w:val="single" w:color="auto" w:sz="4" w:space="0"/>
              <w:right w:val="single" w:color="auto" w:sz="4" w:space="0"/>
            </w:tcBorders>
            <w:shd w:val="clear" w:color="auto" w:fill="auto"/>
            <w:vAlign w:val="center"/>
          </w:tcPr>
          <w:p w14:paraId="14BC2BA1">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网络交换机</w:t>
            </w:r>
          </w:p>
        </w:tc>
        <w:tc>
          <w:tcPr>
            <w:tcW w:w="1889" w:type="dxa"/>
            <w:tcBorders>
              <w:top w:val="single" w:color="auto" w:sz="4" w:space="0"/>
              <w:left w:val="single" w:color="auto" w:sz="4" w:space="0"/>
              <w:bottom w:val="single" w:color="auto" w:sz="4" w:space="0"/>
              <w:right w:val="single" w:color="auto" w:sz="4" w:space="0"/>
            </w:tcBorders>
            <w:shd w:val="clear" w:color="auto" w:fill="auto"/>
            <w:vAlign w:val="center"/>
          </w:tcPr>
          <w:p w14:paraId="2B23CD3E">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H3C S5500</w:t>
            </w:r>
          </w:p>
        </w:tc>
        <w:tc>
          <w:tcPr>
            <w:tcW w:w="579" w:type="dxa"/>
            <w:tcBorders>
              <w:top w:val="single" w:color="auto" w:sz="4" w:space="0"/>
              <w:left w:val="single" w:color="auto" w:sz="4" w:space="0"/>
              <w:bottom w:val="single" w:color="auto" w:sz="4" w:space="0"/>
              <w:right w:val="single" w:color="auto" w:sz="4" w:space="0"/>
            </w:tcBorders>
            <w:shd w:val="clear" w:color="auto" w:fill="auto"/>
            <w:vAlign w:val="center"/>
          </w:tcPr>
          <w:p w14:paraId="4020501F">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342" w:type="dxa"/>
            <w:tcBorders>
              <w:top w:val="single" w:color="auto" w:sz="4" w:space="0"/>
              <w:left w:val="single" w:color="auto" w:sz="4" w:space="0"/>
              <w:bottom w:val="single" w:color="auto" w:sz="4" w:space="0"/>
              <w:right w:val="single" w:color="auto" w:sz="4" w:space="0"/>
            </w:tcBorders>
            <w:shd w:val="clear" w:color="auto" w:fill="auto"/>
            <w:vAlign w:val="center"/>
          </w:tcPr>
          <w:p w14:paraId="01717461">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人行机房</w:t>
            </w:r>
          </w:p>
        </w:tc>
        <w:tc>
          <w:tcPr>
            <w:tcW w:w="2037" w:type="dxa"/>
            <w:tcBorders>
              <w:top w:val="single" w:color="auto" w:sz="4" w:space="0"/>
              <w:left w:val="single" w:color="auto" w:sz="4" w:space="0"/>
              <w:bottom w:val="single" w:color="auto" w:sz="4" w:space="0"/>
              <w:right w:val="single" w:color="auto" w:sz="4" w:space="0"/>
            </w:tcBorders>
            <w:shd w:val="clear" w:color="auto" w:fill="auto"/>
            <w:vAlign w:val="center"/>
          </w:tcPr>
          <w:p w14:paraId="2C7E8129">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210235A252C148000531</w:t>
            </w:r>
          </w:p>
        </w:tc>
        <w:tc>
          <w:tcPr>
            <w:tcW w:w="982" w:type="dxa"/>
            <w:tcBorders>
              <w:top w:val="single" w:color="auto" w:sz="4" w:space="0"/>
              <w:left w:val="single" w:color="auto" w:sz="4" w:space="0"/>
              <w:bottom w:val="single" w:color="auto" w:sz="4" w:space="0"/>
              <w:right w:val="single" w:color="auto" w:sz="4" w:space="0"/>
            </w:tcBorders>
            <w:shd w:val="clear" w:color="auto" w:fill="auto"/>
            <w:vAlign w:val="center"/>
          </w:tcPr>
          <w:p w14:paraId="1F099E39">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1206" w:type="dxa"/>
            <w:vMerge w:val="continue"/>
            <w:tcBorders>
              <w:left w:val="single" w:color="auto" w:sz="4" w:space="0"/>
              <w:right w:val="single" w:color="auto" w:sz="4" w:space="0"/>
            </w:tcBorders>
            <w:vAlign w:val="center"/>
          </w:tcPr>
          <w:p w14:paraId="57773455">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p>
        </w:tc>
      </w:tr>
      <w:tr w14:paraId="79B8D54B">
        <w:tblPrEx>
          <w:tblCellMar>
            <w:top w:w="0" w:type="dxa"/>
            <w:left w:w="108" w:type="dxa"/>
            <w:bottom w:w="0" w:type="dxa"/>
            <w:right w:w="108" w:type="dxa"/>
          </w:tblCellMar>
        </w:tblPrEx>
        <w:trPr>
          <w:trHeight w:val="484" w:hRule="atLeast"/>
        </w:trPr>
        <w:tc>
          <w:tcPr>
            <w:tcW w:w="842" w:type="dxa"/>
            <w:tcBorders>
              <w:top w:val="single" w:color="auto" w:sz="4" w:space="0"/>
              <w:left w:val="single" w:color="auto" w:sz="4" w:space="0"/>
              <w:bottom w:val="single" w:color="auto" w:sz="4" w:space="0"/>
              <w:right w:val="single" w:color="auto" w:sz="4" w:space="0"/>
            </w:tcBorders>
            <w:shd w:val="clear" w:color="auto" w:fill="auto"/>
            <w:vAlign w:val="center"/>
          </w:tcPr>
          <w:p w14:paraId="075C2C14">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12</w:t>
            </w:r>
          </w:p>
        </w:tc>
        <w:tc>
          <w:tcPr>
            <w:tcW w:w="1259" w:type="dxa"/>
            <w:tcBorders>
              <w:top w:val="single" w:color="auto" w:sz="4" w:space="0"/>
              <w:left w:val="single" w:color="auto" w:sz="4" w:space="0"/>
              <w:bottom w:val="single" w:color="auto" w:sz="4" w:space="0"/>
              <w:right w:val="single" w:color="auto" w:sz="4" w:space="0"/>
            </w:tcBorders>
            <w:shd w:val="clear" w:color="auto" w:fill="auto"/>
            <w:vAlign w:val="center"/>
          </w:tcPr>
          <w:p w14:paraId="59C6833C">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IBM存储</w:t>
            </w:r>
          </w:p>
        </w:tc>
        <w:tc>
          <w:tcPr>
            <w:tcW w:w="1889" w:type="dxa"/>
            <w:tcBorders>
              <w:top w:val="single" w:color="auto" w:sz="4" w:space="0"/>
              <w:left w:val="single" w:color="auto" w:sz="4" w:space="0"/>
              <w:bottom w:val="single" w:color="auto" w:sz="4" w:space="0"/>
              <w:right w:val="single" w:color="auto" w:sz="4" w:space="0"/>
            </w:tcBorders>
            <w:shd w:val="clear" w:color="auto" w:fill="auto"/>
            <w:vAlign w:val="center"/>
          </w:tcPr>
          <w:p w14:paraId="2BD832EF">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V3500</w:t>
            </w:r>
          </w:p>
        </w:tc>
        <w:tc>
          <w:tcPr>
            <w:tcW w:w="579" w:type="dxa"/>
            <w:tcBorders>
              <w:top w:val="single" w:color="auto" w:sz="4" w:space="0"/>
              <w:left w:val="single" w:color="auto" w:sz="4" w:space="0"/>
              <w:bottom w:val="single" w:color="auto" w:sz="4" w:space="0"/>
              <w:right w:val="single" w:color="auto" w:sz="4" w:space="0"/>
            </w:tcBorders>
            <w:shd w:val="clear" w:color="auto" w:fill="auto"/>
            <w:vAlign w:val="center"/>
          </w:tcPr>
          <w:p w14:paraId="25168F7B">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342" w:type="dxa"/>
            <w:tcBorders>
              <w:top w:val="single" w:color="auto" w:sz="4" w:space="0"/>
              <w:left w:val="single" w:color="auto" w:sz="4" w:space="0"/>
              <w:bottom w:val="single" w:color="auto" w:sz="4" w:space="0"/>
              <w:right w:val="single" w:color="auto" w:sz="4" w:space="0"/>
            </w:tcBorders>
            <w:shd w:val="clear" w:color="auto" w:fill="auto"/>
            <w:vAlign w:val="center"/>
          </w:tcPr>
          <w:p w14:paraId="7ECB8728">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人行机房</w:t>
            </w:r>
          </w:p>
        </w:tc>
        <w:tc>
          <w:tcPr>
            <w:tcW w:w="2037" w:type="dxa"/>
            <w:tcBorders>
              <w:top w:val="single" w:color="auto" w:sz="4" w:space="0"/>
              <w:left w:val="single" w:color="auto" w:sz="4" w:space="0"/>
              <w:bottom w:val="single" w:color="auto" w:sz="4" w:space="0"/>
              <w:right w:val="single" w:color="auto" w:sz="4" w:space="0"/>
            </w:tcBorders>
            <w:shd w:val="clear" w:color="auto" w:fill="auto"/>
            <w:vAlign w:val="center"/>
          </w:tcPr>
          <w:p w14:paraId="117F55C5">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2071CU3</w:t>
            </w:r>
          </w:p>
        </w:tc>
        <w:tc>
          <w:tcPr>
            <w:tcW w:w="982" w:type="dxa"/>
            <w:tcBorders>
              <w:top w:val="single" w:color="auto" w:sz="4" w:space="0"/>
              <w:left w:val="single" w:color="auto" w:sz="4" w:space="0"/>
              <w:bottom w:val="single" w:color="auto" w:sz="4" w:space="0"/>
              <w:right w:val="single" w:color="auto" w:sz="4" w:space="0"/>
            </w:tcBorders>
            <w:shd w:val="clear" w:color="auto" w:fill="auto"/>
            <w:vAlign w:val="center"/>
          </w:tcPr>
          <w:p w14:paraId="41B00525">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1年</w:t>
            </w:r>
          </w:p>
        </w:tc>
        <w:tc>
          <w:tcPr>
            <w:tcW w:w="1206" w:type="dxa"/>
            <w:vMerge w:val="continue"/>
            <w:tcBorders>
              <w:left w:val="single" w:color="auto" w:sz="4" w:space="0"/>
              <w:bottom w:val="single" w:color="auto" w:sz="4" w:space="0"/>
              <w:right w:val="single" w:color="auto" w:sz="4" w:space="0"/>
            </w:tcBorders>
            <w:vAlign w:val="center"/>
          </w:tcPr>
          <w:p w14:paraId="7C3ECB11">
            <w:pPr>
              <w:keepNext w:val="0"/>
              <w:keepLines w:val="0"/>
              <w:widowControl/>
              <w:suppressLineNumbers w:val="0"/>
              <w:spacing w:before="0" w:beforeAutospacing="0" w:after="0" w:afterAutospacing="0"/>
              <w:ind w:left="0" w:right="0" w:firstLine="0" w:firstLineChars="0"/>
              <w:jc w:val="center"/>
              <w:rPr>
                <w:rFonts w:hint="eastAsia" w:ascii="宋体" w:hAnsi="宋体" w:eastAsia="宋体" w:cs="宋体"/>
                <w:color w:val="000000"/>
                <w:kern w:val="0"/>
                <w:sz w:val="24"/>
                <w:szCs w:val="24"/>
              </w:rPr>
            </w:pPr>
          </w:p>
        </w:tc>
      </w:tr>
    </w:tbl>
    <w:p w14:paraId="2372FB42">
      <w:pPr>
        <w:pStyle w:val="8"/>
        <w:ind w:firstLine="0" w:firstLineChars="0"/>
        <w:rPr>
          <w:rFonts w:hint="eastAsia" w:ascii="宋体" w:hAnsi="宋体" w:eastAsia="宋体" w:cs="宋体"/>
          <w:sz w:val="24"/>
          <w:szCs w:val="24"/>
          <w:lang w:val="en-US" w:eastAsia="zh-CN"/>
        </w:rPr>
      </w:pPr>
    </w:p>
    <w:p w14:paraId="047351F4">
      <w:pPr>
        <w:pStyle w:val="673"/>
        <w:numPr>
          <w:ilvl w:val="0"/>
          <w:numId w:val="0"/>
        </w:numPr>
        <w:spacing w:line="360" w:lineRule="auto"/>
        <w:ind w:firstLine="241" w:firstLineChars="100"/>
        <w:outlineLvl w:val="9"/>
        <w:rPr>
          <w:rFonts w:hint="eastAsia" w:ascii="宋体" w:hAnsi="宋体" w:eastAsia="宋体" w:cs="宋体"/>
          <w:sz w:val="24"/>
          <w:szCs w:val="24"/>
        </w:rPr>
      </w:pPr>
      <w:r>
        <w:rPr>
          <w:rFonts w:hint="eastAsia" w:ascii="宋体" w:hAnsi="宋体" w:cs="宋体"/>
          <w:sz w:val="24"/>
          <w:szCs w:val="24"/>
          <w:lang w:val="en-US" w:eastAsia="zh-CN"/>
        </w:rPr>
        <w:t>3.</w:t>
      </w:r>
      <w:r>
        <w:rPr>
          <w:rFonts w:hint="eastAsia" w:ascii="宋体" w:hAnsi="宋体" w:eastAsia="宋体" w:cs="宋体"/>
          <w:sz w:val="24"/>
          <w:szCs w:val="24"/>
        </w:rPr>
        <w:t>服务总体要求</w:t>
      </w:r>
    </w:p>
    <w:p w14:paraId="0FC98545">
      <w:pPr>
        <w:snapToGrid w:val="0"/>
        <w:ind w:firstLine="480"/>
        <w:rPr>
          <w:rFonts w:hint="eastAsia" w:ascii="宋体" w:hAnsi="宋体" w:eastAsia="宋体" w:cs="宋体"/>
          <w:sz w:val="24"/>
          <w:szCs w:val="24"/>
        </w:rPr>
      </w:pPr>
      <w:r>
        <w:rPr>
          <w:rFonts w:hint="eastAsia" w:ascii="宋体" w:hAnsi="宋体" w:eastAsia="宋体" w:cs="宋体"/>
          <w:sz w:val="24"/>
          <w:szCs w:val="24"/>
        </w:rPr>
        <w:t>计算存储类基础设施日常运维管理工作主要对机房内的服务器、虚拟化资源池、数据存储及其网络、安装在上述设备上的操作系统和管理系统的巡检和日常管理处置，主要完成以下工作：</w:t>
      </w:r>
    </w:p>
    <w:p w14:paraId="3D5DA3BD">
      <w:pPr>
        <w:snapToGrid w:val="0"/>
        <w:ind w:firstLine="480"/>
        <w:rPr>
          <w:rFonts w:hint="eastAsia" w:ascii="宋体" w:hAnsi="宋体" w:eastAsia="宋体" w:cs="宋体"/>
          <w:sz w:val="24"/>
          <w:szCs w:val="24"/>
        </w:rPr>
      </w:pPr>
      <w:r>
        <w:rPr>
          <w:rFonts w:hint="eastAsia" w:ascii="宋体" w:hAnsi="宋体" w:eastAsia="宋体" w:cs="宋体"/>
          <w:sz w:val="24"/>
          <w:szCs w:val="24"/>
        </w:rPr>
        <w:t>（一）建立和维护计算存储类基础设施配置信息库，制定计算存储类基础设施日常运维管理流程。</w:t>
      </w:r>
    </w:p>
    <w:p w14:paraId="3AF43676">
      <w:pPr>
        <w:snapToGrid w:val="0"/>
        <w:ind w:firstLine="480"/>
        <w:rPr>
          <w:rFonts w:hint="eastAsia" w:ascii="宋体" w:hAnsi="宋体" w:eastAsia="宋体" w:cs="宋体"/>
          <w:sz w:val="24"/>
          <w:szCs w:val="24"/>
        </w:rPr>
      </w:pPr>
      <w:r>
        <w:rPr>
          <w:rFonts w:hint="eastAsia" w:ascii="宋体" w:hAnsi="宋体" w:eastAsia="宋体" w:cs="宋体"/>
          <w:sz w:val="24"/>
          <w:szCs w:val="24"/>
        </w:rPr>
        <w:t>（二）落实计算存储类基础设施日常监控工作，包括硬件状态监控、系统状态监控、性能指标监控等。</w:t>
      </w:r>
    </w:p>
    <w:p w14:paraId="3B62340C">
      <w:pPr>
        <w:snapToGrid w:val="0"/>
        <w:ind w:firstLine="480"/>
        <w:rPr>
          <w:rFonts w:hint="eastAsia" w:ascii="宋体" w:hAnsi="宋体" w:eastAsia="宋体" w:cs="宋体"/>
          <w:sz w:val="24"/>
          <w:szCs w:val="24"/>
        </w:rPr>
      </w:pPr>
      <w:r>
        <w:rPr>
          <w:rFonts w:hint="eastAsia" w:ascii="宋体" w:hAnsi="宋体" w:eastAsia="宋体" w:cs="宋体"/>
          <w:sz w:val="24"/>
          <w:szCs w:val="24"/>
        </w:rPr>
        <w:t>（三）开展计算存储类基础设施健康检查工作，包括检查硬件设备状况、检查资源配置情况、检查系统运行情况等。</w:t>
      </w:r>
    </w:p>
    <w:p w14:paraId="5A2FB58E">
      <w:pPr>
        <w:snapToGrid w:val="0"/>
        <w:ind w:firstLine="480"/>
        <w:rPr>
          <w:rFonts w:hint="eastAsia" w:ascii="宋体" w:hAnsi="宋体" w:eastAsia="宋体" w:cs="宋体"/>
          <w:sz w:val="24"/>
          <w:szCs w:val="24"/>
        </w:rPr>
      </w:pPr>
      <w:r>
        <w:rPr>
          <w:rFonts w:hint="eastAsia" w:ascii="宋体" w:hAnsi="宋体" w:eastAsia="宋体" w:cs="宋体"/>
          <w:sz w:val="24"/>
          <w:szCs w:val="24"/>
        </w:rPr>
        <w:t>（四）执行计算存储类基础设施例行维护工作，包括定期备份系统数据、定期核对配置信息、定期维护硬件设备等。</w:t>
      </w:r>
    </w:p>
    <w:p w14:paraId="2377BF4C">
      <w:pPr>
        <w:snapToGrid w:val="0"/>
        <w:ind w:firstLine="480"/>
        <w:rPr>
          <w:rFonts w:hint="eastAsia" w:ascii="宋体" w:hAnsi="宋体" w:eastAsia="宋体" w:cs="宋体"/>
          <w:sz w:val="24"/>
          <w:szCs w:val="24"/>
        </w:rPr>
      </w:pPr>
      <w:r>
        <w:rPr>
          <w:rFonts w:hint="eastAsia" w:ascii="宋体" w:hAnsi="宋体" w:eastAsia="宋体" w:cs="宋体"/>
          <w:sz w:val="24"/>
          <w:szCs w:val="24"/>
        </w:rPr>
        <w:t>（五）做好计算存储类基础设施故障处理工作，包括排查故障隐患、处理硬件故障、处理软件故障等。</w:t>
      </w:r>
    </w:p>
    <w:p w14:paraId="7D1E0810">
      <w:pPr>
        <w:snapToGrid w:val="0"/>
        <w:ind w:firstLine="480"/>
        <w:rPr>
          <w:rFonts w:hint="eastAsia" w:ascii="宋体" w:hAnsi="宋体" w:eastAsia="宋体" w:cs="宋体"/>
          <w:sz w:val="24"/>
          <w:szCs w:val="24"/>
        </w:rPr>
      </w:pPr>
      <w:r>
        <w:rPr>
          <w:rFonts w:hint="eastAsia" w:ascii="宋体" w:hAnsi="宋体" w:eastAsia="宋体" w:cs="宋体"/>
          <w:sz w:val="24"/>
          <w:szCs w:val="24"/>
        </w:rPr>
        <w:t>（六）定期开展计算存储类基础设施运行情况分析，编制运行报告，提出资源配置需求及系统优化建议等。</w:t>
      </w:r>
    </w:p>
    <w:p w14:paraId="43711DAC">
      <w:pPr>
        <w:snapToGrid w:val="0"/>
        <w:ind w:firstLine="480"/>
        <w:rPr>
          <w:rFonts w:hint="eastAsia" w:ascii="宋体" w:hAnsi="宋体" w:eastAsia="宋体" w:cs="宋体"/>
          <w:sz w:val="24"/>
          <w:szCs w:val="24"/>
        </w:rPr>
      </w:pPr>
      <w:r>
        <w:rPr>
          <w:rFonts w:hint="eastAsia" w:ascii="宋体" w:hAnsi="宋体" w:eastAsia="宋体" w:cs="宋体"/>
          <w:sz w:val="24"/>
          <w:szCs w:val="24"/>
        </w:rPr>
        <w:t>（七）做好日常监控记录、故障处理记录、例行维护报告、健康检查报告等文档管理工作。</w:t>
      </w:r>
    </w:p>
    <w:p w14:paraId="44846448">
      <w:pPr>
        <w:snapToGrid w:val="0"/>
        <w:ind w:firstLine="480"/>
        <w:rPr>
          <w:rFonts w:hint="eastAsia" w:ascii="宋体" w:hAnsi="宋体" w:eastAsia="宋体" w:cs="宋体"/>
          <w:sz w:val="24"/>
          <w:szCs w:val="24"/>
        </w:rPr>
      </w:pPr>
      <w:r>
        <w:rPr>
          <w:rFonts w:hint="eastAsia" w:ascii="宋体" w:hAnsi="宋体" w:eastAsia="宋体" w:cs="宋体"/>
          <w:sz w:val="24"/>
          <w:szCs w:val="24"/>
        </w:rPr>
        <w:t>（八）按甲方方要求，参与完成相关系统运维的配合、支持和保障工作。</w:t>
      </w:r>
    </w:p>
    <w:p w14:paraId="02CB9D28">
      <w:pPr>
        <w:pStyle w:val="671"/>
        <w:numPr>
          <w:ilvl w:val="1"/>
          <w:numId w:val="0"/>
        </w:numPr>
        <w:spacing w:line="360" w:lineRule="auto"/>
        <w:outlineLvl w:val="9"/>
        <w:rPr>
          <w:rFonts w:hint="eastAsia" w:ascii="宋体" w:hAnsi="宋体" w:eastAsia="宋体" w:cs="宋体"/>
          <w:sz w:val="24"/>
          <w:szCs w:val="24"/>
        </w:rPr>
      </w:pPr>
      <w:r>
        <w:rPr>
          <w:rFonts w:hint="eastAsia" w:ascii="宋体" w:hAnsi="宋体" w:eastAsia="宋体" w:cs="宋体"/>
          <w:sz w:val="24"/>
          <w:szCs w:val="24"/>
          <w:lang w:val="en-US" w:eastAsia="zh-CN"/>
        </w:rPr>
        <w:t>3.1</w:t>
      </w:r>
      <w:r>
        <w:rPr>
          <w:rFonts w:hint="eastAsia" w:ascii="宋体" w:hAnsi="宋体" w:eastAsia="宋体" w:cs="宋体"/>
          <w:sz w:val="24"/>
          <w:szCs w:val="24"/>
        </w:rPr>
        <w:t>需要完成的配置表如下：</w:t>
      </w:r>
    </w:p>
    <w:p w14:paraId="168A305E">
      <w:pPr>
        <w:pStyle w:val="681"/>
        <w:numPr>
          <w:ilvl w:val="2"/>
          <w:numId w:val="0"/>
        </w:numPr>
        <w:spacing w:line="360" w:lineRule="auto"/>
        <w:outlineLvl w:val="9"/>
        <w:rPr>
          <w:rFonts w:hint="eastAsia" w:ascii="宋体" w:hAnsi="宋体" w:eastAsia="宋体" w:cs="宋体"/>
          <w:sz w:val="24"/>
          <w:szCs w:val="24"/>
        </w:rPr>
      </w:pPr>
      <w:r>
        <w:rPr>
          <w:rFonts w:hint="eastAsia" w:ascii="宋体" w:hAnsi="宋体" w:eastAsia="宋体" w:cs="宋体"/>
          <w:sz w:val="24"/>
          <w:szCs w:val="24"/>
          <w:lang w:val="en-US" w:eastAsia="zh-CN"/>
        </w:rPr>
        <w:t>3.1.1</w:t>
      </w:r>
      <w:r>
        <w:rPr>
          <w:rFonts w:hint="eastAsia" w:ascii="宋体" w:hAnsi="宋体" w:eastAsia="宋体" w:cs="宋体"/>
          <w:sz w:val="24"/>
          <w:szCs w:val="24"/>
        </w:rPr>
        <w:t>服务器基本信息表</w:t>
      </w:r>
    </w:p>
    <w:tbl>
      <w:tblPr>
        <w:tblStyle w:val="67"/>
        <w:tblW w:w="86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7"/>
        <w:gridCol w:w="2694"/>
        <w:gridCol w:w="4938"/>
      </w:tblGrid>
      <w:tr w14:paraId="7D210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7" w:type="dxa"/>
          </w:tcPr>
          <w:p w14:paraId="1AD9E20A">
            <w:pPr>
              <w:keepNext w:val="0"/>
              <w:keepLines w:val="0"/>
              <w:suppressLineNumbers w:val="0"/>
              <w:spacing w:before="0" w:beforeAutospacing="0" w:after="0" w:afterAutospacing="0"/>
              <w:ind w:left="0" w:right="0" w:firstLine="0" w:firstLineChars="0"/>
              <w:rPr>
                <w:rFonts w:hint="eastAsia" w:ascii="宋体" w:hAnsi="宋体" w:eastAsia="宋体" w:cs="宋体"/>
                <w:b/>
                <w:bCs/>
                <w:sz w:val="24"/>
                <w:szCs w:val="24"/>
              </w:rPr>
            </w:pPr>
            <w:r>
              <w:rPr>
                <w:rFonts w:hint="eastAsia" w:ascii="宋体" w:hAnsi="宋体" w:eastAsia="宋体" w:cs="宋体"/>
                <w:b/>
                <w:bCs/>
                <w:sz w:val="24"/>
                <w:szCs w:val="24"/>
              </w:rPr>
              <w:t>序号</w:t>
            </w:r>
          </w:p>
        </w:tc>
        <w:tc>
          <w:tcPr>
            <w:tcW w:w="2694" w:type="dxa"/>
          </w:tcPr>
          <w:p w14:paraId="2AB48487">
            <w:pPr>
              <w:keepNext w:val="0"/>
              <w:keepLines w:val="0"/>
              <w:suppressLineNumbers w:val="0"/>
              <w:spacing w:before="0" w:beforeAutospacing="0" w:after="0" w:afterAutospacing="0"/>
              <w:ind w:left="0" w:right="0" w:firstLine="0" w:firstLineChars="0"/>
              <w:rPr>
                <w:rFonts w:hint="eastAsia" w:ascii="宋体" w:hAnsi="宋体" w:eastAsia="宋体" w:cs="宋体"/>
                <w:b/>
                <w:bCs/>
                <w:sz w:val="24"/>
                <w:szCs w:val="24"/>
              </w:rPr>
            </w:pPr>
            <w:r>
              <w:rPr>
                <w:rFonts w:hint="eastAsia" w:ascii="宋体" w:hAnsi="宋体" w:eastAsia="宋体" w:cs="宋体"/>
                <w:b/>
                <w:bCs/>
                <w:sz w:val="24"/>
                <w:szCs w:val="24"/>
              </w:rPr>
              <w:t>属性</w:t>
            </w:r>
          </w:p>
        </w:tc>
        <w:tc>
          <w:tcPr>
            <w:tcW w:w="4938" w:type="dxa"/>
          </w:tcPr>
          <w:p w14:paraId="5A019A15">
            <w:pPr>
              <w:keepNext w:val="0"/>
              <w:keepLines w:val="0"/>
              <w:suppressLineNumbers w:val="0"/>
              <w:spacing w:before="0" w:beforeAutospacing="0" w:after="0" w:afterAutospacing="0"/>
              <w:ind w:left="0" w:right="0" w:firstLine="0" w:firstLineChars="0"/>
              <w:rPr>
                <w:rFonts w:hint="eastAsia" w:ascii="宋体" w:hAnsi="宋体" w:eastAsia="宋体" w:cs="宋体"/>
                <w:b/>
                <w:bCs/>
                <w:sz w:val="24"/>
                <w:szCs w:val="24"/>
              </w:rPr>
            </w:pPr>
            <w:r>
              <w:rPr>
                <w:rFonts w:hint="eastAsia" w:ascii="宋体" w:hAnsi="宋体" w:eastAsia="宋体" w:cs="宋体"/>
                <w:b/>
                <w:bCs/>
                <w:sz w:val="24"/>
                <w:szCs w:val="24"/>
              </w:rPr>
              <w:t>描述</w:t>
            </w:r>
          </w:p>
        </w:tc>
      </w:tr>
      <w:tr w14:paraId="0DC71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7" w:type="dxa"/>
          </w:tcPr>
          <w:p w14:paraId="3C5791E0">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01</w:t>
            </w:r>
          </w:p>
        </w:tc>
        <w:tc>
          <w:tcPr>
            <w:tcW w:w="2694" w:type="dxa"/>
          </w:tcPr>
          <w:p w14:paraId="0D8507E0">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配置项编号</w:t>
            </w:r>
          </w:p>
        </w:tc>
        <w:tc>
          <w:tcPr>
            <w:tcW w:w="4938" w:type="dxa"/>
          </w:tcPr>
          <w:p w14:paraId="1F046117">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配置项的唯一编号</w:t>
            </w:r>
          </w:p>
        </w:tc>
      </w:tr>
      <w:tr w14:paraId="1E2DD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7" w:type="dxa"/>
          </w:tcPr>
          <w:p w14:paraId="28C836C5">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02</w:t>
            </w:r>
          </w:p>
        </w:tc>
        <w:tc>
          <w:tcPr>
            <w:tcW w:w="2694" w:type="dxa"/>
          </w:tcPr>
          <w:p w14:paraId="1CC1A7A9">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服务器名称</w:t>
            </w:r>
          </w:p>
        </w:tc>
        <w:tc>
          <w:tcPr>
            <w:tcW w:w="4938" w:type="dxa"/>
          </w:tcPr>
          <w:p w14:paraId="4A1737C2">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自定义名称或财政厅规范要求</w:t>
            </w:r>
          </w:p>
        </w:tc>
      </w:tr>
      <w:tr w14:paraId="0942B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7" w:type="dxa"/>
          </w:tcPr>
          <w:p w14:paraId="535FBF15">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03</w:t>
            </w:r>
          </w:p>
        </w:tc>
        <w:tc>
          <w:tcPr>
            <w:tcW w:w="2694" w:type="dxa"/>
          </w:tcPr>
          <w:p w14:paraId="4F1C1CB6">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序列号</w:t>
            </w:r>
          </w:p>
        </w:tc>
        <w:tc>
          <w:tcPr>
            <w:tcW w:w="4938" w:type="dxa"/>
          </w:tcPr>
          <w:p w14:paraId="68CF87AA">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物理设备的唯一标识</w:t>
            </w:r>
          </w:p>
        </w:tc>
      </w:tr>
      <w:tr w14:paraId="0078C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7" w:type="dxa"/>
          </w:tcPr>
          <w:p w14:paraId="254264D4">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04</w:t>
            </w:r>
          </w:p>
        </w:tc>
        <w:tc>
          <w:tcPr>
            <w:tcW w:w="2694" w:type="dxa"/>
          </w:tcPr>
          <w:p w14:paraId="5AFD10C5">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品牌型号</w:t>
            </w:r>
          </w:p>
        </w:tc>
        <w:tc>
          <w:tcPr>
            <w:tcW w:w="4938" w:type="dxa"/>
          </w:tcPr>
          <w:p w14:paraId="2CA4DDA6">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服务器品牌型号</w:t>
            </w:r>
          </w:p>
        </w:tc>
      </w:tr>
      <w:tr w14:paraId="069EA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7" w:type="dxa"/>
          </w:tcPr>
          <w:p w14:paraId="4F29F4F0">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05</w:t>
            </w:r>
          </w:p>
        </w:tc>
        <w:tc>
          <w:tcPr>
            <w:tcW w:w="2694" w:type="dxa"/>
          </w:tcPr>
          <w:p w14:paraId="3EDF1175">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CPU</w:t>
            </w:r>
          </w:p>
        </w:tc>
        <w:tc>
          <w:tcPr>
            <w:tcW w:w="4938" w:type="dxa"/>
          </w:tcPr>
          <w:p w14:paraId="3DD88DE4">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CPU型号、数量、频率</w:t>
            </w:r>
          </w:p>
        </w:tc>
      </w:tr>
      <w:tr w14:paraId="0D397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7" w:type="dxa"/>
          </w:tcPr>
          <w:p w14:paraId="55E5B251">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06</w:t>
            </w:r>
          </w:p>
        </w:tc>
        <w:tc>
          <w:tcPr>
            <w:tcW w:w="2694" w:type="dxa"/>
          </w:tcPr>
          <w:p w14:paraId="69A257A6">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内存</w:t>
            </w:r>
          </w:p>
        </w:tc>
        <w:tc>
          <w:tcPr>
            <w:tcW w:w="4938" w:type="dxa"/>
          </w:tcPr>
          <w:p w14:paraId="1CAD584A">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内存容量（GB）、频率</w:t>
            </w:r>
          </w:p>
        </w:tc>
      </w:tr>
      <w:tr w14:paraId="5DCAD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7" w:type="dxa"/>
          </w:tcPr>
          <w:p w14:paraId="1DC5A967">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07</w:t>
            </w:r>
          </w:p>
        </w:tc>
        <w:tc>
          <w:tcPr>
            <w:tcW w:w="2694" w:type="dxa"/>
          </w:tcPr>
          <w:p w14:paraId="196700B2">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硬盘</w:t>
            </w:r>
          </w:p>
        </w:tc>
        <w:tc>
          <w:tcPr>
            <w:tcW w:w="4938" w:type="dxa"/>
          </w:tcPr>
          <w:p w14:paraId="4ED1CACA">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硬盘类型，如SAS，转速（K）、硬盘容量（GB）</w:t>
            </w:r>
          </w:p>
        </w:tc>
      </w:tr>
      <w:tr w14:paraId="0E61F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7" w:type="dxa"/>
          </w:tcPr>
          <w:p w14:paraId="6B13B4E3">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08</w:t>
            </w:r>
          </w:p>
        </w:tc>
        <w:tc>
          <w:tcPr>
            <w:tcW w:w="2694" w:type="dxa"/>
          </w:tcPr>
          <w:p w14:paraId="61E9F4BF">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操作系统</w:t>
            </w:r>
          </w:p>
        </w:tc>
        <w:tc>
          <w:tcPr>
            <w:tcW w:w="4938" w:type="dxa"/>
          </w:tcPr>
          <w:p w14:paraId="3025B3D6">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物理服务器操作系统信息</w:t>
            </w:r>
          </w:p>
        </w:tc>
      </w:tr>
      <w:tr w14:paraId="5CA1D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7" w:type="dxa"/>
          </w:tcPr>
          <w:p w14:paraId="1E48C00D">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09</w:t>
            </w:r>
          </w:p>
        </w:tc>
        <w:tc>
          <w:tcPr>
            <w:tcW w:w="2694" w:type="dxa"/>
          </w:tcPr>
          <w:p w14:paraId="5B336812">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机房编号</w:t>
            </w:r>
          </w:p>
        </w:tc>
        <w:tc>
          <w:tcPr>
            <w:tcW w:w="4938" w:type="dxa"/>
          </w:tcPr>
          <w:p w14:paraId="7556FE1E">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机柜所在机房编号</w:t>
            </w:r>
          </w:p>
        </w:tc>
      </w:tr>
      <w:tr w14:paraId="3D2D7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7" w:type="dxa"/>
          </w:tcPr>
          <w:p w14:paraId="246694F9">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10</w:t>
            </w:r>
          </w:p>
        </w:tc>
        <w:tc>
          <w:tcPr>
            <w:tcW w:w="2694" w:type="dxa"/>
          </w:tcPr>
          <w:p w14:paraId="4F4729E8">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机柜位置</w:t>
            </w:r>
          </w:p>
        </w:tc>
        <w:tc>
          <w:tcPr>
            <w:tcW w:w="4938" w:type="dxa"/>
          </w:tcPr>
          <w:p w14:paraId="0748C9F7">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每一个机柜编号都有唯一的编号</w:t>
            </w:r>
          </w:p>
        </w:tc>
      </w:tr>
      <w:tr w14:paraId="17C5B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7" w:type="dxa"/>
          </w:tcPr>
          <w:p w14:paraId="1933E49E">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11</w:t>
            </w:r>
          </w:p>
        </w:tc>
        <w:tc>
          <w:tcPr>
            <w:tcW w:w="2694" w:type="dxa"/>
          </w:tcPr>
          <w:p w14:paraId="030E6E4A">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起始U位</w:t>
            </w:r>
          </w:p>
        </w:tc>
        <w:tc>
          <w:tcPr>
            <w:tcW w:w="4938" w:type="dxa"/>
          </w:tcPr>
          <w:p w14:paraId="6D59315E">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物理设备所在机柜U位，最小值1，最大42</w:t>
            </w:r>
          </w:p>
        </w:tc>
      </w:tr>
      <w:tr w14:paraId="4D1ED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7" w:type="dxa"/>
          </w:tcPr>
          <w:p w14:paraId="009D7E7F">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12</w:t>
            </w:r>
          </w:p>
        </w:tc>
        <w:tc>
          <w:tcPr>
            <w:tcW w:w="2694" w:type="dxa"/>
          </w:tcPr>
          <w:p w14:paraId="0E390DF2">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结束U位</w:t>
            </w:r>
          </w:p>
        </w:tc>
        <w:tc>
          <w:tcPr>
            <w:tcW w:w="4938" w:type="dxa"/>
          </w:tcPr>
          <w:p w14:paraId="062105D0">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物理设备所在机柜U位，最小值1，最大42</w:t>
            </w:r>
          </w:p>
        </w:tc>
      </w:tr>
      <w:tr w14:paraId="78EFC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7" w:type="dxa"/>
          </w:tcPr>
          <w:p w14:paraId="0E7A8364">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13</w:t>
            </w:r>
          </w:p>
        </w:tc>
        <w:tc>
          <w:tcPr>
            <w:tcW w:w="2694" w:type="dxa"/>
          </w:tcPr>
          <w:p w14:paraId="62ACA6F3">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虚拟化资源池</w:t>
            </w:r>
          </w:p>
        </w:tc>
        <w:tc>
          <w:tcPr>
            <w:tcW w:w="4938" w:type="dxa"/>
          </w:tcPr>
          <w:p w14:paraId="244DCE91">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如做虚拟化使用，填写资源池名称</w:t>
            </w:r>
          </w:p>
        </w:tc>
      </w:tr>
      <w:tr w14:paraId="2FC56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7" w:type="dxa"/>
          </w:tcPr>
          <w:p w14:paraId="15A8835F">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14</w:t>
            </w:r>
          </w:p>
        </w:tc>
        <w:tc>
          <w:tcPr>
            <w:tcW w:w="2694" w:type="dxa"/>
          </w:tcPr>
          <w:p w14:paraId="6AB5D929">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业务系统</w:t>
            </w:r>
          </w:p>
        </w:tc>
        <w:tc>
          <w:tcPr>
            <w:tcW w:w="4938" w:type="dxa"/>
          </w:tcPr>
          <w:p w14:paraId="6697B44D">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服务器部署的业务系统名称及用途。</w:t>
            </w:r>
          </w:p>
          <w:p w14:paraId="0F5F9898">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包括：XX系统中间件、XX系统数据库</w:t>
            </w:r>
          </w:p>
        </w:tc>
      </w:tr>
      <w:tr w14:paraId="1079D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7" w:type="dxa"/>
          </w:tcPr>
          <w:p w14:paraId="2EF1B426">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15</w:t>
            </w:r>
          </w:p>
        </w:tc>
        <w:tc>
          <w:tcPr>
            <w:tcW w:w="2694" w:type="dxa"/>
          </w:tcPr>
          <w:p w14:paraId="00A01B51">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IP地址</w:t>
            </w:r>
          </w:p>
        </w:tc>
        <w:tc>
          <w:tcPr>
            <w:tcW w:w="4938" w:type="dxa"/>
          </w:tcPr>
          <w:p w14:paraId="27D4381C">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业务服务IP地址和管理IP地址</w:t>
            </w:r>
          </w:p>
        </w:tc>
      </w:tr>
      <w:tr w14:paraId="7747A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7" w:type="dxa"/>
          </w:tcPr>
          <w:p w14:paraId="7A2828E8">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16</w:t>
            </w:r>
          </w:p>
        </w:tc>
        <w:tc>
          <w:tcPr>
            <w:tcW w:w="2694" w:type="dxa"/>
          </w:tcPr>
          <w:p w14:paraId="2F63991B">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网卡数量</w:t>
            </w:r>
          </w:p>
        </w:tc>
        <w:tc>
          <w:tcPr>
            <w:tcW w:w="4938" w:type="dxa"/>
          </w:tcPr>
          <w:p w14:paraId="003DC604">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网卡数量</w:t>
            </w:r>
          </w:p>
        </w:tc>
      </w:tr>
      <w:tr w14:paraId="48390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7" w:type="dxa"/>
          </w:tcPr>
          <w:p w14:paraId="4FFABB65">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17</w:t>
            </w:r>
          </w:p>
        </w:tc>
        <w:tc>
          <w:tcPr>
            <w:tcW w:w="2694" w:type="dxa"/>
          </w:tcPr>
          <w:p w14:paraId="25777B95">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HBA卡数量</w:t>
            </w:r>
          </w:p>
        </w:tc>
        <w:tc>
          <w:tcPr>
            <w:tcW w:w="4938" w:type="dxa"/>
          </w:tcPr>
          <w:p w14:paraId="11D2EAAE">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HBA卡数量</w:t>
            </w:r>
          </w:p>
        </w:tc>
      </w:tr>
      <w:tr w14:paraId="43D63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7" w:type="dxa"/>
          </w:tcPr>
          <w:p w14:paraId="5068262D">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18</w:t>
            </w:r>
          </w:p>
        </w:tc>
        <w:tc>
          <w:tcPr>
            <w:tcW w:w="2694" w:type="dxa"/>
          </w:tcPr>
          <w:p w14:paraId="4F789133">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存储空间</w:t>
            </w:r>
          </w:p>
        </w:tc>
        <w:tc>
          <w:tcPr>
            <w:tcW w:w="4938" w:type="dxa"/>
          </w:tcPr>
          <w:p w14:paraId="15D576F2">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挂载的存储空间</w:t>
            </w:r>
          </w:p>
        </w:tc>
      </w:tr>
      <w:tr w14:paraId="11437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7" w:type="dxa"/>
          </w:tcPr>
          <w:p w14:paraId="7456E0A0">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19</w:t>
            </w:r>
          </w:p>
        </w:tc>
        <w:tc>
          <w:tcPr>
            <w:tcW w:w="2694" w:type="dxa"/>
          </w:tcPr>
          <w:p w14:paraId="31E5EAD3">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维保信息</w:t>
            </w:r>
          </w:p>
        </w:tc>
        <w:tc>
          <w:tcPr>
            <w:tcW w:w="4938" w:type="dxa"/>
          </w:tcPr>
          <w:p w14:paraId="422C8191">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维保厂商，维保截止日期</w:t>
            </w:r>
          </w:p>
        </w:tc>
      </w:tr>
      <w:tr w14:paraId="6BB3E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7" w:type="dxa"/>
          </w:tcPr>
          <w:p w14:paraId="67268EDF">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20</w:t>
            </w:r>
          </w:p>
        </w:tc>
        <w:tc>
          <w:tcPr>
            <w:tcW w:w="2694" w:type="dxa"/>
          </w:tcPr>
          <w:p w14:paraId="10170122">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安装日期</w:t>
            </w:r>
          </w:p>
        </w:tc>
        <w:tc>
          <w:tcPr>
            <w:tcW w:w="4938" w:type="dxa"/>
          </w:tcPr>
          <w:p w14:paraId="5B993AA7">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设备安装加电日期</w:t>
            </w:r>
          </w:p>
        </w:tc>
      </w:tr>
    </w:tbl>
    <w:p w14:paraId="6CD363CF">
      <w:pPr>
        <w:pStyle w:val="681"/>
        <w:numPr>
          <w:ilvl w:val="2"/>
          <w:numId w:val="0"/>
        </w:numPr>
        <w:spacing w:line="360" w:lineRule="auto"/>
        <w:outlineLvl w:val="9"/>
        <w:rPr>
          <w:rFonts w:hint="eastAsia" w:ascii="宋体" w:hAnsi="宋体" w:eastAsia="宋体" w:cs="宋体"/>
          <w:sz w:val="24"/>
          <w:szCs w:val="24"/>
        </w:rPr>
      </w:pPr>
      <w:r>
        <w:rPr>
          <w:rFonts w:hint="eastAsia" w:ascii="宋体" w:hAnsi="宋体" w:eastAsia="宋体" w:cs="宋体"/>
          <w:sz w:val="24"/>
          <w:szCs w:val="24"/>
          <w:lang w:val="en-US" w:eastAsia="zh-CN"/>
        </w:rPr>
        <w:t>3.1.2</w:t>
      </w:r>
      <w:r>
        <w:rPr>
          <w:rFonts w:hint="eastAsia" w:ascii="宋体" w:hAnsi="宋体" w:eastAsia="宋体" w:cs="宋体"/>
          <w:sz w:val="24"/>
          <w:szCs w:val="24"/>
        </w:rPr>
        <w:t>虚拟机配置信息表</w:t>
      </w:r>
    </w:p>
    <w:tbl>
      <w:tblPr>
        <w:tblStyle w:val="67"/>
        <w:tblW w:w="83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9"/>
        <w:gridCol w:w="2496"/>
        <w:gridCol w:w="4753"/>
      </w:tblGrid>
      <w:tr w14:paraId="3746A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99" w:type="dxa"/>
          </w:tcPr>
          <w:p w14:paraId="45C7B6C6">
            <w:pPr>
              <w:keepNext w:val="0"/>
              <w:keepLines w:val="0"/>
              <w:suppressLineNumbers w:val="0"/>
              <w:spacing w:before="0" w:beforeAutospacing="0" w:after="0" w:afterAutospacing="0"/>
              <w:ind w:left="0" w:right="0" w:firstLine="0" w:firstLineChars="0"/>
              <w:rPr>
                <w:rFonts w:hint="eastAsia" w:ascii="宋体" w:hAnsi="宋体" w:eastAsia="宋体" w:cs="宋体"/>
                <w:b/>
                <w:bCs/>
                <w:sz w:val="24"/>
                <w:szCs w:val="24"/>
              </w:rPr>
            </w:pPr>
            <w:r>
              <w:rPr>
                <w:rFonts w:hint="eastAsia" w:ascii="宋体" w:hAnsi="宋体" w:eastAsia="宋体" w:cs="宋体"/>
                <w:b/>
                <w:bCs/>
                <w:sz w:val="24"/>
                <w:szCs w:val="24"/>
              </w:rPr>
              <w:t>序号</w:t>
            </w:r>
          </w:p>
        </w:tc>
        <w:tc>
          <w:tcPr>
            <w:tcW w:w="2496" w:type="dxa"/>
          </w:tcPr>
          <w:p w14:paraId="54E333A2">
            <w:pPr>
              <w:keepNext w:val="0"/>
              <w:keepLines w:val="0"/>
              <w:suppressLineNumbers w:val="0"/>
              <w:spacing w:before="0" w:beforeAutospacing="0" w:after="0" w:afterAutospacing="0"/>
              <w:ind w:left="0" w:right="0" w:firstLine="0" w:firstLineChars="0"/>
              <w:rPr>
                <w:rFonts w:hint="eastAsia" w:ascii="宋体" w:hAnsi="宋体" w:eastAsia="宋体" w:cs="宋体"/>
                <w:b/>
                <w:bCs/>
                <w:sz w:val="24"/>
                <w:szCs w:val="24"/>
              </w:rPr>
            </w:pPr>
            <w:r>
              <w:rPr>
                <w:rFonts w:hint="eastAsia" w:ascii="宋体" w:hAnsi="宋体" w:eastAsia="宋体" w:cs="宋体"/>
                <w:b/>
                <w:bCs/>
                <w:sz w:val="24"/>
                <w:szCs w:val="24"/>
              </w:rPr>
              <w:t>属性</w:t>
            </w:r>
          </w:p>
        </w:tc>
        <w:tc>
          <w:tcPr>
            <w:tcW w:w="4753" w:type="dxa"/>
          </w:tcPr>
          <w:p w14:paraId="50BE0B96">
            <w:pPr>
              <w:keepNext w:val="0"/>
              <w:keepLines w:val="0"/>
              <w:suppressLineNumbers w:val="0"/>
              <w:spacing w:before="0" w:beforeAutospacing="0" w:after="0" w:afterAutospacing="0"/>
              <w:ind w:left="0" w:right="0" w:firstLine="0" w:firstLineChars="0"/>
              <w:rPr>
                <w:rFonts w:hint="eastAsia" w:ascii="宋体" w:hAnsi="宋体" w:eastAsia="宋体" w:cs="宋体"/>
                <w:b/>
                <w:bCs/>
                <w:sz w:val="24"/>
                <w:szCs w:val="24"/>
              </w:rPr>
            </w:pPr>
            <w:r>
              <w:rPr>
                <w:rFonts w:hint="eastAsia" w:ascii="宋体" w:hAnsi="宋体" w:eastAsia="宋体" w:cs="宋体"/>
                <w:b/>
                <w:bCs/>
                <w:sz w:val="24"/>
                <w:szCs w:val="24"/>
              </w:rPr>
              <w:t>描述</w:t>
            </w:r>
          </w:p>
        </w:tc>
      </w:tr>
      <w:tr w14:paraId="794D8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99" w:type="dxa"/>
          </w:tcPr>
          <w:p w14:paraId="3FF117E0">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01</w:t>
            </w:r>
          </w:p>
        </w:tc>
        <w:tc>
          <w:tcPr>
            <w:tcW w:w="2496" w:type="dxa"/>
          </w:tcPr>
          <w:p w14:paraId="158E30B5">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配置项编号</w:t>
            </w:r>
          </w:p>
        </w:tc>
        <w:tc>
          <w:tcPr>
            <w:tcW w:w="4753" w:type="dxa"/>
          </w:tcPr>
          <w:p w14:paraId="4911E825">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配置项的唯一编号</w:t>
            </w:r>
          </w:p>
        </w:tc>
      </w:tr>
      <w:tr w14:paraId="3E7CD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99" w:type="dxa"/>
          </w:tcPr>
          <w:p w14:paraId="3DAE72C9">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02</w:t>
            </w:r>
          </w:p>
        </w:tc>
        <w:tc>
          <w:tcPr>
            <w:tcW w:w="2496" w:type="dxa"/>
          </w:tcPr>
          <w:p w14:paraId="7C219B17">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虚拟机名称</w:t>
            </w:r>
          </w:p>
        </w:tc>
        <w:tc>
          <w:tcPr>
            <w:tcW w:w="4753" w:type="dxa"/>
          </w:tcPr>
          <w:p w14:paraId="43A757EB">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自定义名称或参照财政厅规范要求</w:t>
            </w:r>
          </w:p>
        </w:tc>
      </w:tr>
      <w:tr w14:paraId="3D011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99" w:type="dxa"/>
          </w:tcPr>
          <w:p w14:paraId="6B5864D2">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03</w:t>
            </w:r>
          </w:p>
        </w:tc>
        <w:tc>
          <w:tcPr>
            <w:tcW w:w="2496" w:type="dxa"/>
          </w:tcPr>
          <w:p w14:paraId="6FB12B06">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资源池</w:t>
            </w:r>
          </w:p>
        </w:tc>
        <w:tc>
          <w:tcPr>
            <w:tcW w:w="4753" w:type="dxa"/>
          </w:tcPr>
          <w:p w14:paraId="181946C4">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虚拟机所在资源池名称</w:t>
            </w:r>
          </w:p>
        </w:tc>
      </w:tr>
      <w:tr w14:paraId="22892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99" w:type="dxa"/>
          </w:tcPr>
          <w:p w14:paraId="27177EED">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04</w:t>
            </w:r>
          </w:p>
        </w:tc>
        <w:tc>
          <w:tcPr>
            <w:tcW w:w="2496" w:type="dxa"/>
          </w:tcPr>
          <w:p w14:paraId="2305EC33">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CPU</w:t>
            </w:r>
          </w:p>
        </w:tc>
        <w:tc>
          <w:tcPr>
            <w:tcW w:w="4753" w:type="dxa"/>
          </w:tcPr>
          <w:p w14:paraId="075891BC">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CPU型号、数量、频率</w:t>
            </w:r>
          </w:p>
        </w:tc>
      </w:tr>
      <w:tr w14:paraId="5839C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99" w:type="dxa"/>
          </w:tcPr>
          <w:p w14:paraId="3B7083C5">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05</w:t>
            </w:r>
          </w:p>
        </w:tc>
        <w:tc>
          <w:tcPr>
            <w:tcW w:w="2496" w:type="dxa"/>
          </w:tcPr>
          <w:p w14:paraId="50D1DC12">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内存</w:t>
            </w:r>
          </w:p>
        </w:tc>
        <w:tc>
          <w:tcPr>
            <w:tcW w:w="4753" w:type="dxa"/>
          </w:tcPr>
          <w:p w14:paraId="793D85A3">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内存容量（GB）、频率</w:t>
            </w:r>
          </w:p>
        </w:tc>
      </w:tr>
      <w:tr w14:paraId="0F0B9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99" w:type="dxa"/>
          </w:tcPr>
          <w:p w14:paraId="023FA484">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06</w:t>
            </w:r>
          </w:p>
        </w:tc>
        <w:tc>
          <w:tcPr>
            <w:tcW w:w="2496" w:type="dxa"/>
          </w:tcPr>
          <w:p w14:paraId="1B850E34">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硬盘</w:t>
            </w:r>
          </w:p>
        </w:tc>
        <w:tc>
          <w:tcPr>
            <w:tcW w:w="4753" w:type="dxa"/>
          </w:tcPr>
          <w:p w14:paraId="192C0C2C">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硬盘类型，如SAS，转速（K）、硬盘容量（GB）</w:t>
            </w:r>
          </w:p>
        </w:tc>
      </w:tr>
      <w:tr w14:paraId="6EB8D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99" w:type="dxa"/>
          </w:tcPr>
          <w:p w14:paraId="790756C0">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07</w:t>
            </w:r>
          </w:p>
        </w:tc>
        <w:tc>
          <w:tcPr>
            <w:tcW w:w="2496" w:type="dxa"/>
          </w:tcPr>
          <w:p w14:paraId="373DA5B4">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操作系统</w:t>
            </w:r>
          </w:p>
        </w:tc>
        <w:tc>
          <w:tcPr>
            <w:tcW w:w="4753" w:type="dxa"/>
          </w:tcPr>
          <w:p w14:paraId="58286590">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虚拟机操作系统信息</w:t>
            </w:r>
          </w:p>
        </w:tc>
      </w:tr>
      <w:tr w14:paraId="7B3C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99" w:type="dxa"/>
          </w:tcPr>
          <w:p w14:paraId="1B94F855">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08</w:t>
            </w:r>
          </w:p>
        </w:tc>
        <w:tc>
          <w:tcPr>
            <w:tcW w:w="2496" w:type="dxa"/>
          </w:tcPr>
          <w:p w14:paraId="6C9958D5">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业务系统</w:t>
            </w:r>
          </w:p>
        </w:tc>
        <w:tc>
          <w:tcPr>
            <w:tcW w:w="4753" w:type="dxa"/>
          </w:tcPr>
          <w:p w14:paraId="47397C06">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虚拟机部署的业务系统名称及用途。</w:t>
            </w:r>
          </w:p>
          <w:p w14:paraId="7CC1AB27">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包括XX系统中间件、XX系统数据库</w:t>
            </w:r>
          </w:p>
        </w:tc>
      </w:tr>
      <w:tr w14:paraId="34822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99" w:type="dxa"/>
          </w:tcPr>
          <w:p w14:paraId="77984B59">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09</w:t>
            </w:r>
          </w:p>
        </w:tc>
        <w:tc>
          <w:tcPr>
            <w:tcW w:w="2496" w:type="dxa"/>
          </w:tcPr>
          <w:p w14:paraId="417F3483">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IP地址</w:t>
            </w:r>
          </w:p>
        </w:tc>
        <w:tc>
          <w:tcPr>
            <w:tcW w:w="4753" w:type="dxa"/>
          </w:tcPr>
          <w:p w14:paraId="6D5DB8E8">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虚拟机的IP地址</w:t>
            </w:r>
          </w:p>
        </w:tc>
      </w:tr>
    </w:tbl>
    <w:p w14:paraId="33674BBD">
      <w:pPr>
        <w:pStyle w:val="681"/>
        <w:numPr>
          <w:ilvl w:val="2"/>
          <w:numId w:val="0"/>
        </w:numPr>
        <w:spacing w:line="360" w:lineRule="auto"/>
        <w:outlineLvl w:val="9"/>
        <w:rPr>
          <w:rFonts w:hint="eastAsia" w:ascii="宋体" w:hAnsi="宋体" w:eastAsia="宋体" w:cs="宋体"/>
          <w:sz w:val="24"/>
          <w:szCs w:val="24"/>
        </w:rPr>
      </w:pPr>
      <w:r>
        <w:rPr>
          <w:rFonts w:hint="eastAsia" w:ascii="宋体" w:hAnsi="宋体" w:eastAsia="宋体" w:cs="宋体"/>
          <w:sz w:val="24"/>
          <w:szCs w:val="24"/>
          <w:lang w:val="en-US" w:eastAsia="zh-CN"/>
        </w:rPr>
        <w:t>3.1.3</w:t>
      </w:r>
      <w:r>
        <w:rPr>
          <w:rFonts w:hint="eastAsia" w:ascii="宋体" w:hAnsi="宋体" w:eastAsia="宋体" w:cs="宋体"/>
          <w:sz w:val="24"/>
          <w:szCs w:val="24"/>
        </w:rPr>
        <w:t>操作系统用户信息表</w:t>
      </w:r>
    </w:p>
    <w:tbl>
      <w:tblPr>
        <w:tblStyle w:val="67"/>
        <w:tblW w:w="83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4"/>
        <w:gridCol w:w="2868"/>
        <w:gridCol w:w="4694"/>
      </w:tblGrid>
      <w:tr w14:paraId="6D0AB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4" w:type="dxa"/>
          </w:tcPr>
          <w:p w14:paraId="7670027B">
            <w:pPr>
              <w:keepNext w:val="0"/>
              <w:keepLines w:val="0"/>
              <w:suppressLineNumbers w:val="0"/>
              <w:spacing w:before="0" w:beforeAutospacing="0" w:after="0" w:afterAutospacing="0"/>
              <w:ind w:left="0" w:right="0" w:firstLine="0" w:firstLineChars="0"/>
              <w:rPr>
                <w:rFonts w:hint="eastAsia" w:ascii="宋体" w:hAnsi="宋体" w:eastAsia="宋体" w:cs="宋体"/>
                <w:b/>
                <w:bCs/>
                <w:sz w:val="24"/>
                <w:szCs w:val="24"/>
              </w:rPr>
            </w:pPr>
            <w:r>
              <w:rPr>
                <w:rFonts w:hint="eastAsia" w:ascii="宋体" w:hAnsi="宋体" w:eastAsia="宋体" w:cs="宋体"/>
                <w:b/>
                <w:bCs/>
                <w:sz w:val="24"/>
                <w:szCs w:val="24"/>
              </w:rPr>
              <w:t>序号</w:t>
            </w:r>
          </w:p>
        </w:tc>
        <w:tc>
          <w:tcPr>
            <w:tcW w:w="2868" w:type="dxa"/>
          </w:tcPr>
          <w:p w14:paraId="259F968D">
            <w:pPr>
              <w:keepNext w:val="0"/>
              <w:keepLines w:val="0"/>
              <w:suppressLineNumbers w:val="0"/>
              <w:spacing w:before="0" w:beforeAutospacing="0" w:after="0" w:afterAutospacing="0"/>
              <w:ind w:left="0" w:right="0" w:firstLine="0" w:firstLineChars="0"/>
              <w:rPr>
                <w:rFonts w:hint="eastAsia" w:ascii="宋体" w:hAnsi="宋体" w:eastAsia="宋体" w:cs="宋体"/>
                <w:b/>
                <w:bCs/>
                <w:sz w:val="24"/>
                <w:szCs w:val="24"/>
              </w:rPr>
            </w:pPr>
            <w:r>
              <w:rPr>
                <w:rFonts w:hint="eastAsia" w:ascii="宋体" w:hAnsi="宋体" w:eastAsia="宋体" w:cs="宋体"/>
                <w:b/>
                <w:bCs/>
                <w:sz w:val="24"/>
                <w:szCs w:val="24"/>
              </w:rPr>
              <w:t>属性</w:t>
            </w:r>
          </w:p>
        </w:tc>
        <w:tc>
          <w:tcPr>
            <w:tcW w:w="4694" w:type="dxa"/>
          </w:tcPr>
          <w:p w14:paraId="4555FAF4">
            <w:pPr>
              <w:keepNext w:val="0"/>
              <w:keepLines w:val="0"/>
              <w:suppressLineNumbers w:val="0"/>
              <w:spacing w:before="0" w:beforeAutospacing="0" w:after="0" w:afterAutospacing="0"/>
              <w:ind w:left="0" w:right="0" w:firstLine="0" w:firstLineChars="0"/>
              <w:rPr>
                <w:rFonts w:hint="eastAsia" w:ascii="宋体" w:hAnsi="宋体" w:eastAsia="宋体" w:cs="宋体"/>
                <w:b/>
                <w:bCs/>
                <w:sz w:val="24"/>
                <w:szCs w:val="24"/>
              </w:rPr>
            </w:pPr>
            <w:r>
              <w:rPr>
                <w:rFonts w:hint="eastAsia" w:ascii="宋体" w:hAnsi="宋体" w:eastAsia="宋体" w:cs="宋体"/>
                <w:b/>
                <w:bCs/>
                <w:sz w:val="24"/>
                <w:szCs w:val="24"/>
              </w:rPr>
              <w:t>描述</w:t>
            </w:r>
          </w:p>
        </w:tc>
      </w:tr>
      <w:tr w14:paraId="575D1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4" w:type="dxa"/>
          </w:tcPr>
          <w:p w14:paraId="5A812BA7">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01</w:t>
            </w:r>
          </w:p>
        </w:tc>
        <w:tc>
          <w:tcPr>
            <w:tcW w:w="2868" w:type="dxa"/>
          </w:tcPr>
          <w:p w14:paraId="24BE3F31">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用户所属服务器的名称</w:t>
            </w:r>
          </w:p>
        </w:tc>
        <w:tc>
          <w:tcPr>
            <w:tcW w:w="4694" w:type="dxa"/>
          </w:tcPr>
          <w:p w14:paraId="1935D984">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用户所在的服务器或虚拟机的名称</w:t>
            </w:r>
          </w:p>
        </w:tc>
      </w:tr>
      <w:tr w14:paraId="5043F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4" w:type="dxa"/>
          </w:tcPr>
          <w:p w14:paraId="6E59409E">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02</w:t>
            </w:r>
          </w:p>
        </w:tc>
        <w:tc>
          <w:tcPr>
            <w:tcW w:w="2868" w:type="dxa"/>
          </w:tcPr>
          <w:p w14:paraId="478FD51E">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用户名</w:t>
            </w:r>
          </w:p>
        </w:tc>
        <w:tc>
          <w:tcPr>
            <w:tcW w:w="4694" w:type="dxa"/>
          </w:tcPr>
          <w:p w14:paraId="2D237714">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用户名称</w:t>
            </w:r>
          </w:p>
        </w:tc>
      </w:tr>
      <w:tr w14:paraId="72A91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4" w:type="dxa"/>
          </w:tcPr>
          <w:p w14:paraId="13124EA4">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03</w:t>
            </w:r>
          </w:p>
        </w:tc>
        <w:tc>
          <w:tcPr>
            <w:tcW w:w="2868" w:type="dxa"/>
          </w:tcPr>
          <w:p w14:paraId="5BE48419">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用户描述</w:t>
            </w:r>
          </w:p>
        </w:tc>
        <w:tc>
          <w:tcPr>
            <w:tcW w:w="4694" w:type="dxa"/>
          </w:tcPr>
          <w:p w14:paraId="36EC58EB">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用户的具体用途。</w:t>
            </w:r>
          </w:p>
          <w:p w14:paraId="4DE222FE">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例如管理员、应用系统账户、监控账户</w:t>
            </w:r>
          </w:p>
        </w:tc>
      </w:tr>
      <w:tr w14:paraId="4EF8D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4" w:type="dxa"/>
          </w:tcPr>
          <w:p w14:paraId="4AD633EB">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04</w:t>
            </w:r>
          </w:p>
        </w:tc>
        <w:tc>
          <w:tcPr>
            <w:tcW w:w="2868" w:type="dxa"/>
          </w:tcPr>
          <w:p w14:paraId="34E1D116">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责任人</w:t>
            </w:r>
          </w:p>
        </w:tc>
        <w:tc>
          <w:tcPr>
            <w:tcW w:w="4694" w:type="dxa"/>
          </w:tcPr>
          <w:p w14:paraId="69D1A1CB">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用户名对应的实际管理人</w:t>
            </w:r>
          </w:p>
        </w:tc>
      </w:tr>
    </w:tbl>
    <w:p w14:paraId="17BE3ECC">
      <w:pPr>
        <w:pStyle w:val="681"/>
        <w:numPr>
          <w:ilvl w:val="2"/>
          <w:numId w:val="0"/>
        </w:numPr>
        <w:spacing w:line="360" w:lineRule="auto"/>
        <w:outlineLvl w:val="9"/>
        <w:rPr>
          <w:rFonts w:hint="eastAsia" w:ascii="宋体" w:hAnsi="宋体" w:eastAsia="宋体" w:cs="宋体"/>
          <w:b/>
          <w:bCs/>
          <w:sz w:val="24"/>
          <w:szCs w:val="24"/>
        </w:rPr>
      </w:pPr>
      <w:r>
        <w:rPr>
          <w:rFonts w:hint="eastAsia" w:ascii="宋体" w:hAnsi="宋体" w:eastAsia="宋体" w:cs="宋体"/>
          <w:sz w:val="24"/>
          <w:szCs w:val="24"/>
          <w:lang w:val="en-US" w:eastAsia="zh-CN"/>
        </w:rPr>
        <w:t>3.1.4</w:t>
      </w:r>
      <w:r>
        <w:rPr>
          <w:rFonts w:hint="eastAsia" w:ascii="宋体" w:hAnsi="宋体" w:eastAsia="宋体" w:cs="宋体"/>
          <w:sz w:val="24"/>
          <w:szCs w:val="24"/>
        </w:rPr>
        <w:t>虚拟化资源池配置信息表</w:t>
      </w:r>
    </w:p>
    <w:tbl>
      <w:tblPr>
        <w:tblStyle w:val="67"/>
        <w:tblW w:w="8499"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6"/>
        <w:gridCol w:w="2265"/>
        <w:gridCol w:w="5038"/>
      </w:tblGrid>
      <w:tr w14:paraId="1B368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1196" w:type="dxa"/>
          </w:tcPr>
          <w:p w14:paraId="402174FB">
            <w:pPr>
              <w:keepNext w:val="0"/>
              <w:keepLines w:val="0"/>
              <w:suppressLineNumbers w:val="0"/>
              <w:spacing w:before="0" w:beforeAutospacing="0" w:after="0" w:afterAutospacing="0"/>
              <w:ind w:left="0" w:right="0" w:firstLine="0" w:firstLineChars="0"/>
              <w:rPr>
                <w:rFonts w:hint="eastAsia" w:ascii="宋体" w:hAnsi="宋体" w:eastAsia="宋体" w:cs="宋体"/>
                <w:b/>
                <w:bCs/>
                <w:sz w:val="24"/>
                <w:szCs w:val="24"/>
              </w:rPr>
            </w:pPr>
            <w:r>
              <w:rPr>
                <w:rFonts w:hint="eastAsia" w:ascii="宋体" w:hAnsi="宋体" w:eastAsia="宋体" w:cs="宋体"/>
                <w:b/>
                <w:bCs/>
                <w:sz w:val="24"/>
                <w:szCs w:val="24"/>
              </w:rPr>
              <w:t>序号</w:t>
            </w:r>
          </w:p>
        </w:tc>
        <w:tc>
          <w:tcPr>
            <w:tcW w:w="2265" w:type="dxa"/>
          </w:tcPr>
          <w:p w14:paraId="59B70CB3">
            <w:pPr>
              <w:keepNext w:val="0"/>
              <w:keepLines w:val="0"/>
              <w:suppressLineNumbers w:val="0"/>
              <w:spacing w:before="0" w:beforeAutospacing="0" w:after="0" w:afterAutospacing="0"/>
              <w:ind w:left="0" w:right="0" w:firstLine="0" w:firstLineChars="0"/>
              <w:rPr>
                <w:rFonts w:hint="eastAsia" w:ascii="宋体" w:hAnsi="宋体" w:eastAsia="宋体" w:cs="宋体"/>
                <w:b/>
                <w:bCs/>
                <w:sz w:val="24"/>
                <w:szCs w:val="24"/>
              </w:rPr>
            </w:pPr>
            <w:r>
              <w:rPr>
                <w:rFonts w:hint="eastAsia" w:ascii="宋体" w:hAnsi="宋体" w:eastAsia="宋体" w:cs="宋体"/>
                <w:b/>
                <w:bCs/>
                <w:sz w:val="24"/>
                <w:szCs w:val="24"/>
              </w:rPr>
              <w:t>属性</w:t>
            </w:r>
          </w:p>
        </w:tc>
        <w:tc>
          <w:tcPr>
            <w:tcW w:w="5038" w:type="dxa"/>
          </w:tcPr>
          <w:p w14:paraId="6F40FF1E">
            <w:pPr>
              <w:keepNext w:val="0"/>
              <w:keepLines w:val="0"/>
              <w:suppressLineNumbers w:val="0"/>
              <w:spacing w:before="0" w:beforeAutospacing="0" w:after="0" w:afterAutospacing="0"/>
              <w:ind w:left="0" w:right="0" w:firstLine="0" w:firstLineChars="0"/>
              <w:rPr>
                <w:rFonts w:hint="eastAsia" w:ascii="宋体" w:hAnsi="宋体" w:eastAsia="宋体" w:cs="宋体"/>
                <w:b/>
                <w:bCs/>
                <w:sz w:val="24"/>
                <w:szCs w:val="24"/>
              </w:rPr>
            </w:pPr>
            <w:r>
              <w:rPr>
                <w:rFonts w:hint="eastAsia" w:ascii="宋体" w:hAnsi="宋体" w:eastAsia="宋体" w:cs="宋体"/>
                <w:b/>
                <w:bCs/>
                <w:sz w:val="24"/>
                <w:szCs w:val="24"/>
              </w:rPr>
              <w:t>描述</w:t>
            </w:r>
          </w:p>
        </w:tc>
      </w:tr>
      <w:tr w14:paraId="6EE34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1196" w:type="dxa"/>
            <w:vAlign w:val="center"/>
          </w:tcPr>
          <w:p w14:paraId="56AA2367">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01</w:t>
            </w:r>
          </w:p>
        </w:tc>
        <w:tc>
          <w:tcPr>
            <w:tcW w:w="2265" w:type="dxa"/>
          </w:tcPr>
          <w:p w14:paraId="466A63A1">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配置项编号</w:t>
            </w:r>
          </w:p>
        </w:tc>
        <w:tc>
          <w:tcPr>
            <w:tcW w:w="5038" w:type="dxa"/>
          </w:tcPr>
          <w:p w14:paraId="7782423F">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配置项的唯一编号</w:t>
            </w:r>
          </w:p>
        </w:tc>
      </w:tr>
      <w:tr w14:paraId="6D387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1196" w:type="dxa"/>
            <w:vAlign w:val="center"/>
          </w:tcPr>
          <w:p w14:paraId="07BE80D7">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02</w:t>
            </w:r>
          </w:p>
        </w:tc>
        <w:tc>
          <w:tcPr>
            <w:tcW w:w="2265" w:type="dxa"/>
          </w:tcPr>
          <w:p w14:paraId="7C65EAFE">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资源池名称</w:t>
            </w:r>
          </w:p>
        </w:tc>
        <w:tc>
          <w:tcPr>
            <w:tcW w:w="5038" w:type="dxa"/>
          </w:tcPr>
          <w:p w14:paraId="47B7D551">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虚拟化池名称</w:t>
            </w:r>
          </w:p>
        </w:tc>
      </w:tr>
      <w:tr w14:paraId="384D7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1196" w:type="dxa"/>
            <w:vAlign w:val="center"/>
          </w:tcPr>
          <w:p w14:paraId="295860A4">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03</w:t>
            </w:r>
          </w:p>
        </w:tc>
        <w:tc>
          <w:tcPr>
            <w:tcW w:w="2265" w:type="dxa"/>
          </w:tcPr>
          <w:p w14:paraId="0A96B896">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机器数量</w:t>
            </w:r>
          </w:p>
        </w:tc>
        <w:tc>
          <w:tcPr>
            <w:tcW w:w="5038" w:type="dxa"/>
          </w:tcPr>
          <w:p w14:paraId="107C4BCF">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池中物理机数量</w:t>
            </w:r>
          </w:p>
        </w:tc>
      </w:tr>
      <w:tr w14:paraId="16FDC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1196" w:type="dxa"/>
            <w:vAlign w:val="center"/>
          </w:tcPr>
          <w:p w14:paraId="7FE4C86E">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04</w:t>
            </w:r>
          </w:p>
        </w:tc>
        <w:tc>
          <w:tcPr>
            <w:tcW w:w="2265" w:type="dxa"/>
          </w:tcPr>
          <w:p w14:paraId="7476AFD5">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虚拟化产品</w:t>
            </w:r>
          </w:p>
        </w:tc>
        <w:tc>
          <w:tcPr>
            <w:tcW w:w="5038" w:type="dxa"/>
          </w:tcPr>
          <w:p w14:paraId="31632EDB">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虚拟化池类型，如VMware</w:t>
            </w:r>
          </w:p>
        </w:tc>
      </w:tr>
      <w:tr w14:paraId="2B376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1196" w:type="dxa"/>
            <w:vAlign w:val="center"/>
          </w:tcPr>
          <w:p w14:paraId="1C05722A">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05</w:t>
            </w:r>
          </w:p>
        </w:tc>
        <w:tc>
          <w:tcPr>
            <w:tcW w:w="2265" w:type="dxa"/>
          </w:tcPr>
          <w:p w14:paraId="4EC70074">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HA</w:t>
            </w:r>
          </w:p>
        </w:tc>
        <w:tc>
          <w:tcPr>
            <w:tcW w:w="5038" w:type="dxa"/>
          </w:tcPr>
          <w:p w14:paraId="46368C88">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是否配置HA</w:t>
            </w:r>
          </w:p>
        </w:tc>
      </w:tr>
      <w:tr w14:paraId="163D5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1196" w:type="dxa"/>
            <w:vAlign w:val="center"/>
          </w:tcPr>
          <w:p w14:paraId="456C9D9E">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06</w:t>
            </w:r>
          </w:p>
        </w:tc>
        <w:tc>
          <w:tcPr>
            <w:tcW w:w="2265" w:type="dxa"/>
          </w:tcPr>
          <w:p w14:paraId="647452B6">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存储空间</w:t>
            </w:r>
          </w:p>
        </w:tc>
        <w:tc>
          <w:tcPr>
            <w:tcW w:w="5038" w:type="dxa"/>
          </w:tcPr>
          <w:p w14:paraId="35A6C3EC">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虚拟化池挂载的存储设备及空间</w:t>
            </w:r>
          </w:p>
        </w:tc>
      </w:tr>
    </w:tbl>
    <w:p w14:paraId="156BCF53">
      <w:pPr>
        <w:pStyle w:val="681"/>
        <w:numPr>
          <w:ilvl w:val="2"/>
          <w:numId w:val="0"/>
        </w:numPr>
        <w:spacing w:line="360" w:lineRule="auto"/>
        <w:outlineLvl w:val="9"/>
        <w:rPr>
          <w:rFonts w:hint="eastAsia" w:ascii="宋体" w:hAnsi="宋体" w:eastAsia="宋体" w:cs="宋体"/>
          <w:sz w:val="24"/>
          <w:szCs w:val="24"/>
        </w:rPr>
      </w:pPr>
      <w:r>
        <w:rPr>
          <w:rFonts w:hint="eastAsia" w:ascii="宋体" w:hAnsi="宋体" w:eastAsia="宋体" w:cs="宋体"/>
          <w:sz w:val="24"/>
          <w:szCs w:val="24"/>
          <w:lang w:val="en-US" w:eastAsia="zh-CN"/>
        </w:rPr>
        <w:t>3.1.5</w:t>
      </w:r>
      <w:r>
        <w:rPr>
          <w:rFonts w:hint="eastAsia" w:ascii="宋体" w:hAnsi="宋体" w:eastAsia="宋体" w:cs="宋体"/>
          <w:sz w:val="24"/>
          <w:szCs w:val="24"/>
        </w:rPr>
        <w:t>磁盘阵列基本信息表</w:t>
      </w:r>
    </w:p>
    <w:tbl>
      <w:tblPr>
        <w:tblStyle w:val="67"/>
        <w:tblW w:w="8370"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682"/>
        <w:gridCol w:w="5953"/>
      </w:tblGrid>
      <w:tr w14:paraId="6C1AE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735" w:type="dxa"/>
          </w:tcPr>
          <w:p w14:paraId="01202459">
            <w:pPr>
              <w:keepNext w:val="0"/>
              <w:keepLines w:val="0"/>
              <w:suppressLineNumbers w:val="0"/>
              <w:spacing w:before="0" w:beforeAutospacing="0" w:after="0" w:afterAutospacing="0"/>
              <w:ind w:left="0" w:right="0" w:firstLine="0" w:firstLineChars="0"/>
              <w:rPr>
                <w:rFonts w:hint="eastAsia" w:ascii="宋体" w:hAnsi="宋体" w:eastAsia="宋体" w:cs="宋体"/>
                <w:b/>
                <w:bCs/>
                <w:sz w:val="24"/>
                <w:szCs w:val="24"/>
              </w:rPr>
            </w:pPr>
            <w:r>
              <w:rPr>
                <w:rFonts w:hint="eastAsia" w:ascii="宋体" w:hAnsi="宋体" w:eastAsia="宋体" w:cs="宋体"/>
                <w:b/>
                <w:bCs/>
                <w:sz w:val="24"/>
                <w:szCs w:val="24"/>
              </w:rPr>
              <w:t>序号</w:t>
            </w:r>
          </w:p>
        </w:tc>
        <w:tc>
          <w:tcPr>
            <w:tcW w:w="1682" w:type="dxa"/>
          </w:tcPr>
          <w:p w14:paraId="219CB45E">
            <w:pPr>
              <w:keepNext w:val="0"/>
              <w:keepLines w:val="0"/>
              <w:suppressLineNumbers w:val="0"/>
              <w:spacing w:before="0" w:beforeAutospacing="0" w:after="0" w:afterAutospacing="0"/>
              <w:ind w:left="0" w:right="0" w:firstLine="0" w:firstLineChars="0"/>
              <w:rPr>
                <w:rFonts w:hint="eastAsia" w:ascii="宋体" w:hAnsi="宋体" w:eastAsia="宋体" w:cs="宋体"/>
                <w:b/>
                <w:bCs/>
                <w:sz w:val="24"/>
                <w:szCs w:val="24"/>
              </w:rPr>
            </w:pPr>
            <w:r>
              <w:rPr>
                <w:rFonts w:hint="eastAsia" w:ascii="宋体" w:hAnsi="宋体" w:eastAsia="宋体" w:cs="宋体"/>
                <w:b/>
                <w:bCs/>
                <w:sz w:val="24"/>
                <w:szCs w:val="24"/>
              </w:rPr>
              <w:t>属性</w:t>
            </w:r>
          </w:p>
        </w:tc>
        <w:tc>
          <w:tcPr>
            <w:tcW w:w="5953" w:type="dxa"/>
          </w:tcPr>
          <w:p w14:paraId="48F1DA6C">
            <w:pPr>
              <w:keepNext w:val="0"/>
              <w:keepLines w:val="0"/>
              <w:suppressLineNumbers w:val="0"/>
              <w:spacing w:before="0" w:beforeAutospacing="0" w:after="0" w:afterAutospacing="0"/>
              <w:ind w:left="0" w:right="0" w:firstLine="0" w:firstLineChars="0"/>
              <w:rPr>
                <w:rFonts w:hint="eastAsia" w:ascii="宋体" w:hAnsi="宋体" w:eastAsia="宋体" w:cs="宋体"/>
                <w:b/>
                <w:bCs/>
                <w:sz w:val="24"/>
                <w:szCs w:val="24"/>
              </w:rPr>
            </w:pPr>
            <w:r>
              <w:rPr>
                <w:rFonts w:hint="eastAsia" w:ascii="宋体" w:hAnsi="宋体" w:eastAsia="宋体" w:cs="宋体"/>
                <w:b/>
                <w:bCs/>
                <w:sz w:val="24"/>
                <w:szCs w:val="24"/>
              </w:rPr>
              <w:t>描述</w:t>
            </w:r>
          </w:p>
        </w:tc>
      </w:tr>
      <w:tr w14:paraId="63FBD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tcPr>
          <w:p w14:paraId="2DF99DEE">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01</w:t>
            </w:r>
          </w:p>
        </w:tc>
        <w:tc>
          <w:tcPr>
            <w:tcW w:w="1682" w:type="dxa"/>
          </w:tcPr>
          <w:p w14:paraId="483F7F66">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配置项编号</w:t>
            </w:r>
          </w:p>
        </w:tc>
        <w:tc>
          <w:tcPr>
            <w:tcW w:w="5953" w:type="dxa"/>
          </w:tcPr>
          <w:p w14:paraId="27C7F8E2">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配置项的唯一编号</w:t>
            </w:r>
          </w:p>
        </w:tc>
      </w:tr>
      <w:tr w14:paraId="1103F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tcPr>
          <w:p w14:paraId="62626364">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02</w:t>
            </w:r>
          </w:p>
        </w:tc>
        <w:tc>
          <w:tcPr>
            <w:tcW w:w="1682" w:type="dxa"/>
          </w:tcPr>
          <w:p w14:paraId="199C6968">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磁盘阵列名称</w:t>
            </w:r>
          </w:p>
        </w:tc>
        <w:tc>
          <w:tcPr>
            <w:tcW w:w="5953" w:type="dxa"/>
          </w:tcPr>
          <w:p w14:paraId="1F4BA6EB">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自定义名称或参照财政厅规范要求</w:t>
            </w:r>
          </w:p>
        </w:tc>
      </w:tr>
      <w:tr w14:paraId="5A7DA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tcPr>
          <w:p w14:paraId="1A472EC1">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03</w:t>
            </w:r>
          </w:p>
        </w:tc>
        <w:tc>
          <w:tcPr>
            <w:tcW w:w="1682" w:type="dxa"/>
          </w:tcPr>
          <w:p w14:paraId="1EBAAABB">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序列号</w:t>
            </w:r>
          </w:p>
        </w:tc>
        <w:tc>
          <w:tcPr>
            <w:tcW w:w="5953" w:type="dxa"/>
          </w:tcPr>
          <w:p w14:paraId="30F24D87">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物理设备的唯一标识</w:t>
            </w:r>
          </w:p>
        </w:tc>
      </w:tr>
      <w:tr w14:paraId="0637E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tcPr>
          <w:p w14:paraId="7C74AD9F">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04</w:t>
            </w:r>
          </w:p>
        </w:tc>
        <w:tc>
          <w:tcPr>
            <w:tcW w:w="1682" w:type="dxa"/>
          </w:tcPr>
          <w:p w14:paraId="726A2985">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品牌类型</w:t>
            </w:r>
          </w:p>
        </w:tc>
        <w:tc>
          <w:tcPr>
            <w:tcW w:w="5953" w:type="dxa"/>
          </w:tcPr>
          <w:p w14:paraId="19565B9C">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品牌类型</w:t>
            </w:r>
          </w:p>
        </w:tc>
      </w:tr>
      <w:tr w14:paraId="24E46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tcPr>
          <w:p w14:paraId="5078B8B5">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05</w:t>
            </w:r>
          </w:p>
        </w:tc>
        <w:tc>
          <w:tcPr>
            <w:tcW w:w="1682" w:type="dxa"/>
          </w:tcPr>
          <w:p w14:paraId="7F5375BC">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管理地址</w:t>
            </w:r>
          </w:p>
        </w:tc>
        <w:tc>
          <w:tcPr>
            <w:tcW w:w="5953" w:type="dxa"/>
          </w:tcPr>
          <w:p w14:paraId="43D325F3">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管理IP地址</w:t>
            </w:r>
          </w:p>
        </w:tc>
      </w:tr>
      <w:tr w14:paraId="76903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tcPr>
          <w:p w14:paraId="3E6FF026">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06</w:t>
            </w:r>
          </w:p>
        </w:tc>
        <w:tc>
          <w:tcPr>
            <w:tcW w:w="1682" w:type="dxa"/>
          </w:tcPr>
          <w:p w14:paraId="4C8DA94B">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容量</w:t>
            </w:r>
          </w:p>
        </w:tc>
        <w:tc>
          <w:tcPr>
            <w:tcW w:w="5953" w:type="dxa"/>
          </w:tcPr>
          <w:p w14:paraId="0E4DBACF">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磁盘阵列容量</w:t>
            </w:r>
          </w:p>
        </w:tc>
      </w:tr>
      <w:tr w14:paraId="37DCB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tcPr>
          <w:p w14:paraId="652582DB">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07</w:t>
            </w:r>
          </w:p>
        </w:tc>
        <w:tc>
          <w:tcPr>
            <w:tcW w:w="1682" w:type="dxa"/>
          </w:tcPr>
          <w:p w14:paraId="5D491932">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机房编号</w:t>
            </w:r>
          </w:p>
        </w:tc>
        <w:tc>
          <w:tcPr>
            <w:tcW w:w="5953" w:type="dxa"/>
          </w:tcPr>
          <w:p w14:paraId="7DC28AD9">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机柜所在机房编号</w:t>
            </w:r>
          </w:p>
        </w:tc>
      </w:tr>
      <w:tr w14:paraId="497CF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tcPr>
          <w:p w14:paraId="290E9B3D">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08</w:t>
            </w:r>
          </w:p>
        </w:tc>
        <w:tc>
          <w:tcPr>
            <w:tcW w:w="1682" w:type="dxa"/>
          </w:tcPr>
          <w:p w14:paraId="270578C1">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机柜位置</w:t>
            </w:r>
          </w:p>
        </w:tc>
        <w:tc>
          <w:tcPr>
            <w:tcW w:w="5953" w:type="dxa"/>
          </w:tcPr>
          <w:p w14:paraId="183FD304">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每一个机柜编号都有唯一的编号</w:t>
            </w:r>
          </w:p>
        </w:tc>
      </w:tr>
      <w:tr w14:paraId="02883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tcPr>
          <w:p w14:paraId="4022CE19">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09</w:t>
            </w:r>
          </w:p>
        </w:tc>
        <w:tc>
          <w:tcPr>
            <w:tcW w:w="1682" w:type="dxa"/>
          </w:tcPr>
          <w:p w14:paraId="10AD4C65">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维保信息</w:t>
            </w:r>
          </w:p>
        </w:tc>
        <w:tc>
          <w:tcPr>
            <w:tcW w:w="5953" w:type="dxa"/>
          </w:tcPr>
          <w:p w14:paraId="42A440F9">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维保厂商，维保截止日期</w:t>
            </w:r>
          </w:p>
        </w:tc>
      </w:tr>
      <w:tr w14:paraId="72F36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tcPr>
          <w:p w14:paraId="5E2C2E71">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10</w:t>
            </w:r>
          </w:p>
        </w:tc>
        <w:tc>
          <w:tcPr>
            <w:tcW w:w="1682" w:type="dxa"/>
          </w:tcPr>
          <w:p w14:paraId="17A1D5B5">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安装日期</w:t>
            </w:r>
          </w:p>
        </w:tc>
        <w:tc>
          <w:tcPr>
            <w:tcW w:w="5953" w:type="dxa"/>
          </w:tcPr>
          <w:p w14:paraId="2455B837">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设备安装加电日期</w:t>
            </w:r>
          </w:p>
        </w:tc>
      </w:tr>
    </w:tbl>
    <w:p w14:paraId="2A7C0985">
      <w:pPr>
        <w:pStyle w:val="681"/>
        <w:numPr>
          <w:ilvl w:val="2"/>
          <w:numId w:val="0"/>
        </w:numPr>
        <w:spacing w:line="360" w:lineRule="auto"/>
        <w:outlineLvl w:val="9"/>
        <w:rPr>
          <w:rFonts w:hint="eastAsia" w:ascii="宋体" w:hAnsi="宋体" w:eastAsia="宋体" w:cs="宋体"/>
          <w:sz w:val="24"/>
          <w:szCs w:val="24"/>
        </w:rPr>
      </w:pPr>
      <w:r>
        <w:rPr>
          <w:rFonts w:hint="eastAsia" w:ascii="宋体" w:hAnsi="宋体" w:eastAsia="宋体" w:cs="宋体"/>
          <w:sz w:val="24"/>
          <w:szCs w:val="24"/>
          <w:lang w:val="en-US" w:eastAsia="zh-CN"/>
        </w:rPr>
        <w:t xml:space="preserve">3.1.6 </w:t>
      </w:r>
      <w:r>
        <w:rPr>
          <w:rFonts w:hint="eastAsia" w:ascii="宋体" w:hAnsi="宋体" w:eastAsia="宋体" w:cs="宋体"/>
          <w:sz w:val="24"/>
          <w:szCs w:val="24"/>
        </w:rPr>
        <w:t>NAS设备基本信息表</w:t>
      </w:r>
    </w:p>
    <w:tbl>
      <w:tblPr>
        <w:tblStyle w:val="67"/>
        <w:tblW w:w="83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3"/>
        <w:gridCol w:w="1785"/>
        <w:gridCol w:w="5320"/>
      </w:tblGrid>
      <w:tr w14:paraId="34E91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53" w:type="dxa"/>
          </w:tcPr>
          <w:p w14:paraId="0F29C046">
            <w:pPr>
              <w:keepNext w:val="0"/>
              <w:keepLines w:val="0"/>
              <w:suppressLineNumbers w:val="0"/>
              <w:spacing w:before="0" w:beforeAutospacing="0" w:after="0" w:afterAutospacing="0"/>
              <w:ind w:left="0" w:right="0" w:firstLine="0" w:firstLineChars="0"/>
              <w:rPr>
                <w:rFonts w:hint="eastAsia" w:ascii="宋体" w:hAnsi="宋体" w:eastAsia="宋体" w:cs="宋体"/>
                <w:b/>
                <w:bCs/>
                <w:sz w:val="24"/>
                <w:szCs w:val="24"/>
              </w:rPr>
            </w:pPr>
            <w:r>
              <w:rPr>
                <w:rFonts w:hint="eastAsia" w:ascii="宋体" w:hAnsi="宋体" w:eastAsia="宋体" w:cs="宋体"/>
                <w:b/>
                <w:bCs/>
                <w:sz w:val="24"/>
                <w:szCs w:val="24"/>
              </w:rPr>
              <w:t>序号</w:t>
            </w:r>
          </w:p>
        </w:tc>
        <w:tc>
          <w:tcPr>
            <w:tcW w:w="1785" w:type="dxa"/>
          </w:tcPr>
          <w:p w14:paraId="39B3A496">
            <w:pPr>
              <w:keepNext w:val="0"/>
              <w:keepLines w:val="0"/>
              <w:suppressLineNumbers w:val="0"/>
              <w:spacing w:before="0" w:beforeAutospacing="0" w:after="0" w:afterAutospacing="0"/>
              <w:ind w:left="0" w:right="0" w:firstLine="0" w:firstLineChars="0"/>
              <w:rPr>
                <w:rFonts w:hint="eastAsia" w:ascii="宋体" w:hAnsi="宋体" w:eastAsia="宋体" w:cs="宋体"/>
                <w:b/>
                <w:bCs/>
                <w:sz w:val="24"/>
                <w:szCs w:val="24"/>
              </w:rPr>
            </w:pPr>
            <w:r>
              <w:rPr>
                <w:rFonts w:hint="eastAsia" w:ascii="宋体" w:hAnsi="宋体" w:eastAsia="宋体" w:cs="宋体"/>
                <w:b/>
                <w:bCs/>
                <w:sz w:val="24"/>
                <w:szCs w:val="24"/>
              </w:rPr>
              <w:t>属性</w:t>
            </w:r>
          </w:p>
        </w:tc>
        <w:tc>
          <w:tcPr>
            <w:tcW w:w="5320" w:type="dxa"/>
          </w:tcPr>
          <w:p w14:paraId="2A545F20">
            <w:pPr>
              <w:keepNext w:val="0"/>
              <w:keepLines w:val="0"/>
              <w:suppressLineNumbers w:val="0"/>
              <w:spacing w:before="0" w:beforeAutospacing="0" w:after="0" w:afterAutospacing="0"/>
              <w:ind w:left="0" w:right="0" w:firstLine="0" w:firstLineChars="0"/>
              <w:rPr>
                <w:rFonts w:hint="eastAsia" w:ascii="宋体" w:hAnsi="宋体" w:eastAsia="宋体" w:cs="宋体"/>
                <w:b/>
                <w:bCs/>
                <w:sz w:val="24"/>
                <w:szCs w:val="24"/>
              </w:rPr>
            </w:pPr>
            <w:r>
              <w:rPr>
                <w:rFonts w:hint="eastAsia" w:ascii="宋体" w:hAnsi="宋体" w:eastAsia="宋体" w:cs="宋体"/>
                <w:b/>
                <w:bCs/>
                <w:sz w:val="24"/>
                <w:szCs w:val="24"/>
              </w:rPr>
              <w:t>描述</w:t>
            </w:r>
          </w:p>
        </w:tc>
      </w:tr>
      <w:tr w14:paraId="6EF04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53" w:type="dxa"/>
          </w:tcPr>
          <w:p w14:paraId="49EC008B">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01</w:t>
            </w:r>
          </w:p>
        </w:tc>
        <w:tc>
          <w:tcPr>
            <w:tcW w:w="1785" w:type="dxa"/>
          </w:tcPr>
          <w:p w14:paraId="5559415D">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配置项编号</w:t>
            </w:r>
          </w:p>
        </w:tc>
        <w:tc>
          <w:tcPr>
            <w:tcW w:w="5320" w:type="dxa"/>
          </w:tcPr>
          <w:p w14:paraId="0B23EB44">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配置项的唯一编号</w:t>
            </w:r>
          </w:p>
        </w:tc>
      </w:tr>
      <w:tr w14:paraId="08CF1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53" w:type="dxa"/>
          </w:tcPr>
          <w:p w14:paraId="646B6CA6">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02</w:t>
            </w:r>
          </w:p>
        </w:tc>
        <w:tc>
          <w:tcPr>
            <w:tcW w:w="1785" w:type="dxa"/>
          </w:tcPr>
          <w:p w14:paraId="1843CE79">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NAS名称</w:t>
            </w:r>
          </w:p>
        </w:tc>
        <w:tc>
          <w:tcPr>
            <w:tcW w:w="5320" w:type="dxa"/>
          </w:tcPr>
          <w:p w14:paraId="7767293F">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自定义名称或参照财政厅规范要求</w:t>
            </w:r>
          </w:p>
        </w:tc>
      </w:tr>
      <w:tr w14:paraId="25BE9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53" w:type="dxa"/>
          </w:tcPr>
          <w:p w14:paraId="630B057C">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03</w:t>
            </w:r>
          </w:p>
        </w:tc>
        <w:tc>
          <w:tcPr>
            <w:tcW w:w="1785" w:type="dxa"/>
          </w:tcPr>
          <w:p w14:paraId="20552E1F">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序列号</w:t>
            </w:r>
          </w:p>
        </w:tc>
        <w:tc>
          <w:tcPr>
            <w:tcW w:w="5320" w:type="dxa"/>
          </w:tcPr>
          <w:p w14:paraId="1EE77BE3">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物理设备唯一标识</w:t>
            </w:r>
          </w:p>
        </w:tc>
      </w:tr>
      <w:tr w14:paraId="12AFC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53" w:type="dxa"/>
          </w:tcPr>
          <w:p w14:paraId="60DB0CFC">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04</w:t>
            </w:r>
          </w:p>
        </w:tc>
        <w:tc>
          <w:tcPr>
            <w:tcW w:w="1785" w:type="dxa"/>
          </w:tcPr>
          <w:p w14:paraId="3616F649">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品牌类型</w:t>
            </w:r>
          </w:p>
        </w:tc>
        <w:tc>
          <w:tcPr>
            <w:tcW w:w="5320" w:type="dxa"/>
          </w:tcPr>
          <w:p w14:paraId="47204463">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品牌类型</w:t>
            </w:r>
          </w:p>
        </w:tc>
      </w:tr>
      <w:tr w14:paraId="29948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53" w:type="dxa"/>
          </w:tcPr>
          <w:p w14:paraId="1790FE96">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05</w:t>
            </w:r>
          </w:p>
        </w:tc>
        <w:tc>
          <w:tcPr>
            <w:tcW w:w="1785" w:type="dxa"/>
          </w:tcPr>
          <w:p w14:paraId="4F38AE25">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管理地址</w:t>
            </w:r>
          </w:p>
        </w:tc>
        <w:tc>
          <w:tcPr>
            <w:tcW w:w="5320" w:type="dxa"/>
          </w:tcPr>
          <w:p w14:paraId="5A1EADEA">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管理IP地址</w:t>
            </w:r>
          </w:p>
        </w:tc>
      </w:tr>
      <w:tr w14:paraId="42798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53" w:type="dxa"/>
          </w:tcPr>
          <w:p w14:paraId="7101C38C">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06</w:t>
            </w:r>
          </w:p>
        </w:tc>
        <w:tc>
          <w:tcPr>
            <w:tcW w:w="1785" w:type="dxa"/>
          </w:tcPr>
          <w:p w14:paraId="733D8D67">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服务地址</w:t>
            </w:r>
          </w:p>
        </w:tc>
        <w:tc>
          <w:tcPr>
            <w:tcW w:w="5320" w:type="dxa"/>
          </w:tcPr>
          <w:p w14:paraId="6260ADCE">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服务IP地址</w:t>
            </w:r>
          </w:p>
        </w:tc>
      </w:tr>
      <w:tr w14:paraId="51AE1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53" w:type="dxa"/>
          </w:tcPr>
          <w:p w14:paraId="361080CF">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07</w:t>
            </w:r>
          </w:p>
        </w:tc>
        <w:tc>
          <w:tcPr>
            <w:tcW w:w="1785" w:type="dxa"/>
          </w:tcPr>
          <w:p w14:paraId="58CAF508">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容量</w:t>
            </w:r>
          </w:p>
        </w:tc>
        <w:tc>
          <w:tcPr>
            <w:tcW w:w="5320" w:type="dxa"/>
          </w:tcPr>
          <w:p w14:paraId="1A6924C4">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磁盘阵列容量</w:t>
            </w:r>
          </w:p>
        </w:tc>
      </w:tr>
      <w:tr w14:paraId="56E88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53" w:type="dxa"/>
          </w:tcPr>
          <w:p w14:paraId="7B3620A0">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08</w:t>
            </w:r>
          </w:p>
        </w:tc>
        <w:tc>
          <w:tcPr>
            <w:tcW w:w="1785" w:type="dxa"/>
          </w:tcPr>
          <w:p w14:paraId="2E141055">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机房编号</w:t>
            </w:r>
          </w:p>
        </w:tc>
        <w:tc>
          <w:tcPr>
            <w:tcW w:w="5320" w:type="dxa"/>
          </w:tcPr>
          <w:p w14:paraId="48E36D8C">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机柜所在机房编号</w:t>
            </w:r>
          </w:p>
        </w:tc>
      </w:tr>
      <w:tr w14:paraId="3076F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53" w:type="dxa"/>
          </w:tcPr>
          <w:p w14:paraId="73F7191B">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09</w:t>
            </w:r>
          </w:p>
        </w:tc>
        <w:tc>
          <w:tcPr>
            <w:tcW w:w="1785" w:type="dxa"/>
          </w:tcPr>
          <w:p w14:paraId="327D263A">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机柜位置</w:t>
            </w:r>
          </w:p>
        </w:tc>
        <w:tc>
          <w:tcPr>
            <w:tcW w:w="5320" w:type="dxa"/>
          </w:tcPr>
          <w:p w14:paraId="459A256F">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每一个机柜编号都有唯一的编号</w:t>
            </w:r>
          </w:p>
        </w:tc>
      </w:tr>
      <w:tr w14:paraId="24544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53" w:type="dxa"/>
          </w:tcPr>
          <w:p w14:paraId="7785011E">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10</w:t>
            </w:r>
          </w:p>
        </w:tc>
        <w:tc>
          <w:tcPr>
            <w:tcW w:w="1785" w:type="dxa"/>
          </w:tcPr>
          <w:p w14:paraId="58C38597">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维保信息</w:t>
            </w:r>
          </w:p>
        </w:tc>
        <w:tc>
          <w:tcPr>
            <w:tcW w:w="5320" w:type="dxa"/>
          </w:tcPr>
          <w:p w14:paraId="41473FF7">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维保厂商，维保截止日期</w:t>
            </w:r>
          </w:p>
        </w:tc>
      </w:tr>
      <w:tr w14:paraId="2A359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53" w:type="dxa"/>
          </w:tcPr>
          <w:p w14:paraId="3B16B19A">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11</w:t>
            </w:r>
          </w:p>
        </w:tc>
        <w:tc>
          <w:tcPr>
            <w:tcW w:w="1785" w:type="dxa"/>
          </w:tcPr>
          <w:p w14:paraId="5215422C">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安装日期</w:t>
            </w:r>
          </w:p>
        </w:tc>
        <w:tc>
          <w:tcPr>
            <w:tcW w:w="5320" w:type="dxa"/>
          </w:tcPr>
          <w:p w14:paraId="63725708">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设备安装加电日期</w:t>
            </w:r>
          </w:p>
        </w:tc>
      </w:tr>
    </w:tbl>
    <w:p w14:paraId="0C225A16">
      <w:pPr>
        <w:pStyle w:val="681"/>
        <w:numPr>
          <w:ilvl w:val="2"/>
          <w:numId w:val="0"/>
        </w:numPr>
        <w:spacing w:line="360" w:lineRule="auto"/>
        <w:outlineLvl w:val="9"/>
        <w:rPr>
          <w:rFonts w:hint="eastAsia" w:ascii="宋体" w:hAnsi="宋体" w:eastAsia="宋体" w:cs="宋体"/>
          <w:sz w:val="24"/>
          <w:szCs w:val="24"/>
        </w:rPr>
      </w:pPr>
      <w:r>
        <w:rPr>
          <w:rFonts w:hint="eastAsia" w:ascii="宋体" w:hAnsi="宋体" w:eastAsia="宋体" w:cs="宋体"/>
          <w:sz w:val="24"/>
          <w:szCs w:val="24"/>
          <w:lang w:val="en-US" w:eastAsia="zh-CN"/>
        </w:rPr>
        <w:t>3.1.7</w:t>
      </w:r>
      <w:r>
        <w:rPr>
          <w:rFonts w:hint="eastAsia" w:ascii="宋体" w:hAnsi="宋体" w:eastAsia="宋体" w:cs="宋体"/>
          <w:sz w:val="24"/>
          <w:szCs w:val="24"/>
        </w:rPr>
        <w:t>SAN交换机基本信息表</w:t>
      </w:r>
    </w:p>
    <w:tbl>
      <w:tblPr>
        <w:tblStyle w:val="67"/>
        <w:tblW w:w="83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2"/>
        <w:gridCol w:w="1952"/>
        <w:gridCol w:w="5263"/>
      </w:tblGrid>
      <w:tr w14:paraId="3791C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2" w:type="dxa"/>
          </w:tcPr>
          <w:p w14:paraId="419C53D7">
            <w:pPr>
              <w:keepNext w:val="0"/>
              <w:keepLines w:val="0"/>
              <w:suppressLineNumbers w:val="0"/>
              <w:spacing w:before="0" w:beforeAutospacing="0" w:after="0" w:afterAutospacing="0"/>
              <w:ind w:left="0" w:right="0" w:firstLine="0" w:firstLineChars="0"/>
              <w:rPr>
                <w:rFonts w:hint="eastAsia" w:ascii="宋体" w:hAnsi="宋体" w:eastAsia="宋体" w:cs="宋体"/>
                <w:b/>
                <w:bCs/>
                <w:sz w:val="24"/>
                <w:szCs w:val="24"/>
              </w:rPr>
            </w:pPr>
            <w:r>
              <w:rPr>
                <w:rFonts w:hint="eastAsia" w:ascii="宋体" w:hAnsi="宋体" w:eastAsia="宋体" w:cs="宋体"/>
                <w:b/>
                <w:bCs/>
                <w:sz w:val="24"/>
                <w:szCs w:val="24"/>
              </w:rPr>
              <w:t>序号</w:t>
            </w:r>
          </w:p>
        </w:tc>
        <w:tc>
          <w:tcPr>
            <w:tcW w:w="1952" w:type="dxa"/>
          </w:tcPr>
          <w:p w14:paraId="4768C53E">
            <w:pPr>
              <w:keepNext w:val="0"/>
              <w:keepLines w:val="0"/>
              <w:suppressLineNumbers w:val="0"/>
              <w:spacing w:before="0" w:beforeAutospacing="0" w:after="0" w:afterAutospacing="0"/>
              <w:ind w:left="0" w:right="0" w:firstLine="0" w:firstLineChars="0"/>
              <w:rPr>
                <w:rFonts w:hint="eastAsia" w:ascii="宋体" w:hAnsi="宋体" w:eastAsia="宋体" w:cs="宋体"/>
                <w:b/>
                <w:bCs/>
                <w:sz w:val="24"/>
                <w:szCs w:val="24"/>
              </w:rPr>
            </w:pPr>
            <w:r>
              <w:rPr>
                <w:rFonts w:hint="eastAsia" w:ascii="宋体" w:hAnsi="宋体" w:eastAsia="宋体" w:cs="宋体"/>
                <w:b/>
                <w:bCs/>
                <w:sz w:val="24"/>
                <w:szCs w:val="24"/>
              </w:rPr>
              <w:t>属性</w:t>
            </w:r>
          </w:p>
        </w:tc>
        <w:tc>
          <w:tcPr>
            <w:tcW w:w="5263" w:type="dxa"/>
          </w:tcPr>
          <w:p w14:paraId="7A57BCC1">
            <w:pPr>
              <w:keepNext w:val="0"/>
              <w:keepLines w:val="0"/>
              <w:suppressLineNumbers w:val="0"/>
              <w:spacing w:before="0" w:beforeAutospacing="0" w:after="0" w:afterAutospacing="0"/>
              <w:ind w:left="0" w:right="0" w:firstLine="0" w:firstLineChars="0"/>
              <w:rPr>
                <w:rFonts w:hint="eastAsia" w:ascii="宋体" w:hAnsi="宋体" w:eastAsia="宋体" w:cs="宋体"/>
                <w:b/>
                <w:bCs/>
                <w:sz w:val="24"/>
                <w:szCs w:val="24"/>
              </w:rPr>
            </w:pPr>
            <w:r>
              <w:rPr>
                <w:rFonts w:hint="eastAsia" w:ascii="宋体" w:hAnsi="宋体" w:eastAsia="宋体" w:cs="宋体"/>
                <w:b/>
                <w:bCs/>
                <w:sz w:val="24"/>
                <w:szCs w:val="24"/>
              </w:rPr>
              <w:t>描述</w:t>
            </w:r>
          </w:p>
        </w:tc>
      </w:tr>
      <w:tr w14:paraId="2A89E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2" w:type="dxa"/>
          </w:tcPr>
          <w:p w14:paraId="666FC8E5">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01</w:t>
            </w:r>
          </w:p>
        </w:tc>
        <w:tc>
          <w:tcPr>
            <w:tcW w:w="1952" w:type="dxa"/>
          </w:tcPr>
          <w:p w14:paraId="3E8A9DFB">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配置项编号</w:t>
            </w:r>
          </w:p>
        </w:tc>
        <w:tc>
          <w:tcPr>
            <w:tcW w:w="5263" w:type="dxa"/>
          </w:tcPr>
          <w:p w14:paraId="015CB4C5">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配置项的唯一编号</w:t>
            </w:r>
          </w:p>
        </w:tc>
      </w:tr>
      <w:tr w14:paraId="0FA6A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2" w:type="dxa"/>
          </w:tcPr>
          <w:p w14:paraId="12A17B13">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02</w:t>
            </w:r>
          </w:p>
        </w:tc>
        <w:tc>
          <w:tcPr>
            <w:tcW w:w="1952" w:type="dxa"/>
          </w:tcPr>
          <w:p w14:paraId="1F631E38">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SAN交换机名称</w:t>
            </w:r>
          </w:p>
        </w:tc>
        <w:tc>
          <w:tcPr>
            <w:tcW w:w="5263" w:type="dxa"/>
          </w:tcPr>
          <w:p w14:paraId="2BD187A9">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自定义名称或参照财政厅规范要求</w:t>
            </w:r>
          </w:p>
        </w:tc>
      </w:tr>
      <w:tr w14:paraId="6FBE8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2" w:type="dxa"/>
          </w:tcPr>
          <w:p w14:paraId="2DB40107">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03</w:t>
            </w:r>
          </w:p>
        </w:tc>
        <w:tc>
          <w:tcPr>
            <w:tcW w:w="1952" w:type="dxa"/>
          </w:tcPr>
          <w:p w14:paraId="7AB740F1">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序列号</w:t>
            </w:r>
          </w:p>
        </w:tc>
        <w:tc>
          <w:tcPr>
            <w:tcW w:w="5263" w:type="dxa"/>
          </w:tcPr>
          <w:p w14:paraId="5949D509">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物理设备的唯一标识</w:t>
            </w:r>
          </w:p>
        </w:tc>
      </w:tr>
      <w:tr w14:paraId="1E210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2" w:type="dxa"/>
          </w:tcPr>
          <w:p w14:paraId="1C7B477A">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04</w:t>
            </w:r>
          </w:p>
        </w:tc>
        <w:tc>
          <w:tcPr>
            <w:tcW w:w="1952" w:type="dxa"/>
          </w:tcPr>
          <w:p w14:paraId="0546EE07">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品牌类型</w:t>
            </w:r>
          </w:p>
        </w:tc>
        <w:tc>
          <w:tcPr>
            <w:tcW w:w="5263" w:type="dxa"/>
          </w:tcPr>
          <w:p w14:paraId="10801871">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品牌类型</w:t>
            </w:r>
          </w:p>
        </w:tc>
      </w:tr>
      <w:tr w14:paraId="1BE54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2" w:type="dxa"/>
          </w:tcPr>
          <w:p w14:paraId="0CEEA0D3">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05</w:t>
            </w:r>
          </w:p>
        </w:tc>
        <w:tc>
          <w:tcPr>
            <w:tcW w:w="1952" w:type="dxa"/>
          </w:tcPr>
          <w:p w14:paraId="64927167">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管理地址</w:t>
            </w:r>
          </w:p>
        </w:tc>
        <w:tc>
          <w:tcPr>
            <w:tcW w:w="5263" w:type="dxa"/>
          </w:tcPr>
          <w:p w14:paraId="6818FFE3">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管理IP地址</w:t>
            </w:r>
          </w:p>
        </w:tc>
      </w:tr>
      <w:tr w14:paraId="4C838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2" w:type="dxa"/>
          </w:tcPr>
          <w:p w14:paraId="7C248B6F">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06</w:t>
            </w:r>
          </w:p>
        </w:tc>
        <w:tc>
          <w:tcPr>
            <w:tcW w:w="1952" w:type="dxa"/>
          </w:tcPr>
          <w:p w14:paraId="5555BD7F">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端口数量</w:t>
            </w:r>
          </w:p>
        </w:tc>
        <w:tc>
          <w:tcPr>
            <w:tcW w:w="5263" w:type="dxa"/>
          </w:tcPr>
          <w:p w14:paraId="4782C2AB">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SAN交换机端口数量</w:t>
            </w:r>
          </w:p>
        </w:tc>
      </w:tr>
      <w:tr w14:paraId="685F6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2" w:type="dxa"/>
          </w:tcPr>
          <w:p w14:paraId="4BC7F97D">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07</w:t>
            </w:r>
          </w:p>
        </w:tc>
        <w:tc>
          <w:tcPr>
            <w:tcW w:w="1952" w:type="dxa"/>
          </w:tcPr>
          <w:p w14:paraId="220DC7FB">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速率</w:t>
            </w:r>
          </w:p>
        </w:tc>
        <w:tc>
          <w:tcPr>
            <w:tcW w:w="5263" w:type="dxa"/>
          </w:tcPr>
          <w:p w14:paraId="4631D85A">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SAN交换机速率</w:t>
            </w:r>
          </w:p>
        </w:tc>
      </w:tr>
      <w:tr w14:paraId="2B452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2" w:type="dxa"/>
          </w:tcPr>
          <w:p w14:paraId="3B4EF43D">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08</w:t>
            </w:r>
          </w:p>
        </w:tc>
        <w:tc>
          <w:tcPr>
            <w:tcW w:w="1952" w:type="dxa"/>
          </w:tcPr>
          <w:p w14:paraId="7AD1B9AE">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存储信息</w:t>
            </w:r>
          </w:p>
        </w:tc>
        <w:tc>
          <w:tcPr>
            <w:tcW w:w="5263" w:type="dxa"/>
          </w:tcPr>
          <w:p w14:paraId="60A9FB98">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连接存储设备信息</w:t>
            </w:r>
          </w:p>
        </w:tc>
      </w:tr>
      <w:tr w14:paraId="7CB17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2" w:type="dxa"/>
          </w:tcPr>
          <w:p w14:paraId="03EBA6C6">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09</w:t>
            </w:r>
          </w:p>
        </w:tc>
        <w:tc>
          <w:tcPr>
            <w:tcW w:w="1952" w:type="dxa"/>
          </w:tcPr>
          <w:p w14:paraId="25F687EF">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机房编号</w:t>
            </w:r>
          </w:p>
        </w:tc>
        <w:tc>
          <w:tcPr>
            <w:tcW w:w="5263" w:type="dxa"/>
          </w:tcPr>
          <w:p w14:paraId="2769A292">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机柜所在机房编号</w:t>
            </w:r>
          </w:p>
        </w:tc>
      </w:tr>
      <w:tr w14:paraId="760F0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2" w:type="dxa"/>
          </w:tcPr>
          <w:p w14:paraId="7DB0930B">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10</w:t>
            </w:r>
          </w:p>
        </w:tc>
        <w:tc>
          <w:tcPr>
            <w:tcW w:w="1952" w:type="dxa"/>
          </w:tcPr>
          <w:p w14:paraId="2F3A9889">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机柜位置</w:t>
            </w:r>
          </w:p>
        </w:tc>
        <w:tc>
          <w:tcPr>
            <w:tcW w:w="5263" w:type="dxa"/>
          </w:tcPr>
          <w:p w14:paraId="721F098F">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每一个机柜编号都有唯一的编号</w:t>
            </w:r>
          </w:p>
        </w:tc>
      </w:tr>
      <w:tr w14:paraId="3AD01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2" w:type="dxa"/>
          </w:tcPr>
          <w:p w14:paraId="37121232">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11</w:t>
            </w:r>
          </w:p>
        </w:tc>
        <w:tc>
          <w:tcPr>
            <w:tcW w:w="1952" w:type="dxa"/>
          </w:tcPr>
          <w:p w14:paraId="12D7D234">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维保信息</w:t>
            </w:r>
          </w:p>
        </w:tc>
        <w:tc>
          <w:tcPr>
            <w:tcW w:w="5263" w:type="dxa"/>
          </w:tcPr>
          <w:p w14:paraId="53ED0A5B">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维保厂商，维保截止日期</w:t>
            </w:r>
          </w:p>
        </w:tc>
      </w:tr>
      <w:tr w14:paraId="33E1E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2" w:type="dxa"/>
          </w:tcPr>
          <w:p w14:paraId="26DF1B42">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12</w:t>
            </w:r>
          </w:p>
        </w:tc>
        <w:tc>
          <w:tcPr>
            <w:tcW w:w="1952" w:type="dxa"/>
          </w:tcPr>
          <w:p w14:paraId="45A9C855">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安装日期</w:t>
            </w:r>
          </w:p>
        </w:tc>
        <w:tc>
          <w:tcPr>
            <w:tcW w:w="5263" w:type="dxa"/>
          </w:tcPr>
          <w:p w14:paraId="4F3229F7">
            <w:pPr>
              <w:keepNext w:val="0"/>
              <w:keepLines w:val="0"/>
              <w:suppressLineNumbers w:val="0"/>
              <w:spacing w:before="0" w:beforeAutospacing="0" w:after="0" w:afterAutospacing="0"/>
              <w:ind w:left="0" w:right="0" w:firstLine="0" w:firstLineChars="0"/>
              <w:rPr>
                <w:rFonts w:hint="eastAsia" w:ascii="宋体" w:hAnsi="宋体" w:eastAsia="宋体" w:cs="宋体"/>
                <w:sz w:val="24"/>
                <w:szCs w:val="24"/>
              </w:rPr>
            </w:pPr>
            <w:r>
              <w:rPr>
                <w:rFonts w:hint="eastAsia" w:ascii="宋体" w:hAnsi="宋体" w:eastAsia="宋体" w:cs="宋体"/>
                <w:sz w:val="24"/>
                <w:szCs w:val="24"/>
              </w:rPr>
              <w:t>设备安装加电日期</w:t>
            </w:r>
          </w:p>
        </w:tc>
      </w:tr>
    </w:tbl>
    <w:p w14:paraId="2AE46F4E">
      <w:pPr>
        <w:pStyle w:val="671"/>
        <w:numPr>
          <w:ilvl w:val="1"/>
          <w:numId w:val="0"/>
        </w:numPr>
        <w:spacing w:line="360" w:lineRule="auto"/>
        <w:outlineLvl w:val="9"/>
        <w:rPr>
          <w:rFonts w:hint="eastAsia" w:ascii="宋体" w:hAnsi="宋体" w:eastAsia="宋体" w:cs="宋体"/>
          <w:sz w:val="24"/>
          <w:szCs w:val="24"/>
        </w:rPr>
      </w:pPr>
      <w:r>
        <w:rPr>
          <w:rFonts w:hint="eastAsia" w:ascii="宋体" w:hAnsi="宋体" w:eastAsia="宋体" w:cs="宋体"/>
          <w:sz w:val="24"/>
          <w:szCs w:val="24"/>
          <w:lang w:val="en-US" w:eastAsia="zh-CN"/>
        </w:rPr>
        <w:t>3.2</w:t>
      </w:r>
      <w:r>
        <w:rPr>
          <w:rFonts w:hint="eastAsia" w:ascii="宋体" w:hAnsi="宋体" w:eastAsia="宋体" w:cs="宋体"/>
          <w:sz w:val="24"/>
          <w:szCs w:val="24"/>
        </w:rPr>
        <w:t>配置信息更新</w:t>
      </w:r>
    </w:p>
    <w:p w14:paraId="73A224D4">
      <w:pPr>
        <w:snapToGrid w:val="0"/>
        <w:ind w:firstLine="480"/>
        <w:rPr>
          <w:rFonts w:hint="eastAsia" w:ascii="宋体" w:hAnsi="宋体" w:eastAsia="宋体" w:cs="宋体"/>
          <w:sz w:val="24"/>
          <w:szCs w:val="24"/>
        </w:rPr>
      </w:pPr>
      <w:r>
        <w:rPr>
          <w:rFonts w:hint="eastAsia" w:ascii="宋体" w:hAnsi="宋体" w:eastAsia="宋体" w:cs="宋体"/>
          <w:sz w:val="24"/>
          <w:szCs w:val="24"/>
        </w:rPr>
        <w:t>在计算存储资源的日常运维管理中，如上述配置信息项发生了变化，必须在变更操作完成后，将变更信息及时更新到相应配置信息库中。涉及重大信息变更的，应制定变更计划、操作流程和回退方案，并在事前审批后进行实施，实施验证后，完成相应配置信息的更新。</w:t>
      </w:r>
    </w:p>
    <w:p w14:paraId="53EAE611">
      <w:pPr>
        <w:pStyle w:val="671"/>
        <w:numPr>
          <w:ilvl w:val="1"/>
          <w:numId w:val="0"/>
        </w:numPr>
        <w:spacing w:line="360" w:lineRule="auto"/>
        <w:outlineLvl w:val="9"/>
        <w:rPr>
          <w:rFonts w:hint="eastAsia" w:ascii="宋体" w:hAnsi="宋体" w:eastAsia="宋体" w:cs="宋体"/>
          <w:bCs/>
          <w:sz w:val="24"/>
          <w:szCs w:val="24"/>
        </w:rPr>
      </w:pPr>
      <w:r>
        <w:rPr>
          <w:rFonts w:hint="eastAsia" w:ascii="宋体" w:hAnsi="宋体" w:eastAsia="宋体" w:cs="宋体"/>
          <w:sz w:val="24"/>
          <w:szCs w:val="24"/>
          <w:lang w:val="en-US" w:eastAsia="zh-CN"/>
        </w:rPr>
        <w:t>3.3</w:t>
      </w:r>
      <w:r>
        <w:rPr>
          <w:rFonts w:hint="eastAsia" w:ascii="宋体" w:hAnsi="宋体" w:eastAsia="宋体" w:cs="宋体"/>
          <w:sz w:val="24"/>
          <w:szCs w:val="24"/>
        </w:rPr>
        <w:t>运行监控</w:t>
      </w:r>
    </w:p>
    <w:p w14:paraId="1F46F4A1">
      <w:pPr>
        <w:pStyle w:val="681"/>
        <w:numPr>
          <w:ilvl w:val="2"/>
          <w:numId w:val="0"/>
        </w:numPr>
        <w:spacing w:line="360" w:lineRule="auto"/>
        <w:outlineLvl w:val="9"/>
        <w:rPr>
          <w:rFonts w:hint="eastAsia" w:ascii="宋体" w:hAnsi="宋体" w:eastAsia="宋体" w:cs="宋体"/>
          <w:sz w:val="24"/>
          <w:szCs w:val="24"/>
        </w:rPr>
      </w:pPr>
      <w:r>
        <w:rPr>
          <w:rFonts w:hint="eastAsia" w:ascii="宋体" w:hAnsi="宋体" w:eastAsia="宋体" w:cs="宋体"/>
          <w:sz w:val="24"/>
          <w:szCs w:val="24"/>
          <w:lang w:val="en-US" w:eastAsia="zh-CN"/>
        </w:rPr>
        <w:t>3.3.1</w:t>
      </w:r>
      <w:r>
        <w:rPr>
          <w:rFonts w:hint="eastAsia" w:ascii="宋体" w:hAnsi="宋体" w:eastAsia="宋体" w:cs="宋体"/>
          <w:sz w:val="24"/>
          <w:szCs w:val="24"/>
        </w:rPr>
        <w:t>服务器及虚拟化资源池运行监控</w:t>
      </w:r>
    </w:p>
    <w:p w14:paraId="002DAB78">
      <w:pPr>
        <w:adjustRightInd w:val="0"/>
        <w:snapToGrid w:val="0"/>
        <w:spacing w:before="163" w:beforeLines="50" w:after="163" w:afterLines="50" w:line="360" w:lineRule="auto"/>
        <w:ind w:left="0" w:firstLine="720" w:firstLineChars="300"/>
        <w:outlineLvl w:val="9"/>
        <w:rPr>
          <w:rFonts w:hint="eastAsia" w:ascii="宋体" w:hAnsi="宋体" w:eastAsia="宋体" w:cs="宋体"/>
          <w:sz w:val="24"/>
          <w:szCs w:val="24"/>
        </w:rPr>
      </w:pPr>
      <w:r>
        <w:rPr>
          <w:rFonts w:hint="eastAsia" w:ascii="宋体" w:hAnsi="宋体" w:eastAsia="宋体" w:cs="宋体"/>
          <w:sz w:val="24"/>
          <w:szCs w:val="24"/>
        </w:rPr>
        <w:t>每周监控</w:t>
      </w:r>
    </w:p>
    <w:p w14:paraId="2E0A5E2A">
      <w:pPr>
        <w:snapToGrid w:val="0"/>
        <w:ind w:firstLine="480"/>
        <w:rPr>
          <w:rFonts w:hint="eastAsia" w:ascii="宋体" w:hAnsi="宋体" w:eastAsia="宋体" w:cs="宋体"/>
          <w:sz w:val="24"/>
          <w:szCs w:val="24"/>
        </w:rPr>
      </w:pPr>
      <w:r>
        <w:rPr>
          <w:rFonts w:hint="eastAsia" w:ascii="宋体" w:hAnsi="宋体" w:eastAsia="宋体" w:cs="宋体"/>
          <w:sz w:val="24"/>
          <w:szCs w:val="24"/>
        </w:rPr>
        <w:t>监控内容：</w:t>
      </w:r>
    </w:p>
    <w:p w14:paraId="2B6B6A84">
      <w:pPr>
        <w:snapToGrid w:val="0"/>
        <w:ind w:firstLine="480"/>
        <w:rPr>
          <w:rFonts w:hint="eastAsia" w:ascii="宋体" w:hAnsi="宋体" w:eastAsia="宋体" w:cs="宋体"/>
          <w:sz w:val="24"/>
          <w:szCs w:val="24"/>
        </w:rPr>
      </w:pPr>
      <w:r>
        <w:rPr>
          <w:rFonts w:hint="eastAsia" w:ascii="宋体" w:hAnsi="宋体" w:eastAsia="宋体" w:cs="宋体"/>
          <w:sz w:val="24"/>
          <w:szCs w:val="24"/>
        </w:rPr>
        <w:t>1）.服务器运行状况。主要指通过观察服务器硬件指示灯等方式获取硬件运行状态。</w:t>
      </w:r>
    </w:p>
    <w:p w14:paraId="48343769">
      <w:pPr>
        <w:snapToGrid w:val="0"/>
        <w:ind w:firstLine="480"/>
        <w:rPr>
          <w:rFonts w:hint="eastAsia" w:ascii="宋体" w:hAnsi="宋体" w:eastAsia="宋体" w:cs="宋体"/>
          <w:sz w:val="24"/>
          <w:szCs w:val="24"/>
        </w:rPr>
      </w:pPr>
      <w:r>
        <w:rPr>
          <w:rFonts w:hint="eastAsia" w:ascii="宋体" w:hAnsi="宋体" w:eastAsia="宋体" w:cs="宋体"/>
          <w:sz w:val="24"/>
          <w:szCs w:val="24"/>
        </w:rPr>
        <w:t>2）.虚拟化平台运行状况。主要包括虚拟化软件的运行状态和虚拟化管理平台的运行状态等信息。</w:t>
      </w:r>
    </w:p>
    <w:p w14:paraId="2BCBD169">
      <w:pPr>
        <w:snapToGrid w:val="0"/>
        <w:ind w:firstLine="480"/>
        <w:rPr>
          <w:rFonts w:hint="eastAsia" w:ascii="宋体" w:hAnsi="宋体" w:eastAsia="宋体" w:cs="宋体"/>
          <w:sz w:val="24"/>
          <w:szCs w:val="24"/>
        </w:rPr>
      </w:pPr>
      <w:r>
        <w:rPr>
          <w:rFonts w:hint="eastAsia" w:ascii="宋体" w:hAnsi="宋体" w:eastAsia="宋体" w:cs="宋体"/>
          <w:sz w:val="24"/>
          <w:szCs w:val="24"/>
        </w:rPr>
        <w:t>3）.网络和存储连通状况。主要包括服务器与接入交换机之间网络连通状态和服务器与存储间的连通状态等信息。</w:t>
      </w:r>
    </w:p>
    <w:p w14:paraId="5A2B8EC2">
      <w:pPr>
        <w:adjustRightInd w:val="0"/>
        <w:snapToGrid w:val="0"/>
        <w:spacing w:before="163" w:beforeLines="50" w:after="163" w:afterLines="50" w:line="360" w:lineRule="auto"/>
        <w:ind w:firstLine="240" w:firstLineChars="100"/>
        <w:outlineLvl w:val="9"/>
        <w:rPr>
          <w:rFonts w:hint="eastAsia" w:ascii="宋体" w:hAnsi="宋体" w:eastAsia="宋体" w:cs="宋体"/>
          <w:sz w:val="24"/>
          <w:szCs w:val="24"/>
        </w:rPr>
      </w:pPr>
      <w:r>
        <w:rPr>
          <w:rFonts w:hint="eastAsia" w:ascii="宋体" w:hAnsi="宋体" w:eastAsia="宋体" w:cs="宋体"/>
          <w:sz w:val="24"/>
          <w:szCs w:val="24"/>
        </w:rPr>
        <w:t>每周监控</w:t>
      </w:r>
    </w:p>
    <w:p w14:paraId="7A4F3B9A">
      <w:pPr>
        <w:snapToGrid w:val="0"/>
        <w:ind w:firstLine="480"/>
        <w:rPr>
          <w:rFonts w:hint="eastAsia" w:ascii="宋体" w:hAnsi="宋体" w:eastAsia="宋体" w:cs="宋体"/>
          <w:sz w:val="24"/>
          <w:szCs w:val="24"/>
        </w:rPr>
      </w:pPr>
      <w:r>
        <w:rPr>
          <w:rFonts w:hint="eastAsia" w:ascii="宋体" w:hAnsi="宋体" w:eastAsia="宋体" w:cs="宋体"/>
          <w:sz w:val="24"/>
          <w:szCs w:val="24"/>
        </w:rPr>
        <w:t>监控内容：</w:t>
      </w:r>
    </w:p>
    <w:p w14:paraId="5F420A06">
      <w:pPr>
        <w:snapToGrid w:val="0"/>
        <w:ind w:firstLine="480"/>
        <w:rPr>
          <w:rFonts w:hint="eastAsia" w:ascii="宋体" w:hAnsi="宋体" w:eastAsia="宋体" w:cs="宋体"/>
          <w:sz w:val="24"/>
          <w:szCs w:val="24"/>
        </w:rPr>
      </w:pPr>
      <w:r>
        <w:rPr>
          <w:rFonts w:hint="eastAsia" w:ascii="宋体" w:hAnsi="宋体" w:eastAsia="宋体" w:cs="宋体"/>
          <w:sz w:val="24"/>
          <w:szCs w:val="24"/>
        </w:rPr>
        <w:t>1）.虚拟化平台的高可用状态。主要指配置了高可用的虚拟化资源池中高可用的状态信息。</w:t>
      </w:r>
    </w:p>
    <w:p w14:paraId="5EC26338">
      <w:pPr>
        <w:snapToGrid w:val="0"/>
        <w:ind w:firstLine="480"/>
        <w:rPr>
          <w:rFonts w:hint="eastAsia" w:ascii="宋体" w:hAnsi="宋体" w:eastAsia="宋体" w:cs="宋体"/>
          <w:sz w:val="24"/>
          <w:szCs w:val="24"/>
        </w:rPr>
      </w:pPr>
      <w:r>
        <w:rPr>
          <w:rFonts w:hint="eastAsia" w:ascii="宋体" w:hAnsi="宋体" w:eastAsia="宋体" w:cs="宋体"/>
          <w:sz w:val="24"/>
          <w:szCs w:val="24"/>
        </w:rPr>
        <w:t>2）.虚拟化平台的多路径状态。主要指虚拟化资源池中服务器与存储之间多路径运行状态等信息。</w:t>
      </w:r>
    </w:p>
    <w:p w14:paraId="5F9D20A2">
      <w:pPr>
        <w:snapToGrid w:val="0"/>
        <w:ind w:firstLine="480"/>
        <w:rPr>
          <w:rFonts w:hint="eastAsia" w:ascii="宋体" w:hAnsi="宋体" w:eastAsia="宋体" w:cs="宋体"/>
          <w:sz w:val="24"/>
          <w:szCs w:val="24"/>
        </w:rPr>
      </w:pPr>
      <w:r>
        <w:rPr>
          <w:rFonts w:hint="eastAsia" w:ascii="宋体" w:hAnsi="宋体" w:eastAsia="宋体" w:cs="宋体"/>
          <w:sz w:val="24"/>
          <w:szCs w:val="24"/>
        </w:rPr>
        <w:t>3）.虚拟化资源池的资源使用率。主要包括虚拟化资源池中CPU使用率、内存使用率、存储空间使用率等信息。</w:t>
      </w:r>
    </w:p>
    <w:p w14:paraId="425D69ED">
      <w:pPr>
        <w:adjustRightInd w:val="0"/>
        <w:snapToGrid w:val="0"/>
        <w:spacing w:before="163" w:beforeLines="50" w:after="163" w:afterLines="50" w:line="360" w:lineRule="auto"/>
        <w:ind w:firstLine="240" w:firstLineChars="100"/>
        <w:outlineLvl w:val="9"/>
        <w:rPr>
          <w:rFonts w:hint="eastAsia" w:ascii="宋体" w:hAnsi="宋体" w:eastAsia="宋体" w:cs="宋体"/>
          <w:sz w:val="24"/>
          <w:szCs w:val="24"/>
        </w:rPr>
      </w:pPr>
      <w:r>
        <w:rPr>
          <w:rFonts w:hint="eastAsia" w:ascii="宋体" w:hAnsi="宋体" w:eastAsia="宋体" w:cs="宋体"/>
          <w:sz w:val="24"/>
          <w:szCs w:val="24"/>
        </w:rPr>
        <w:t>每月监控</w:t>
      </w:r>
    </w:p>
    <w:p w14:paraId="75E408BE">
      <w:pPr>
        <w:snapToGrid w:val="0"/>
        <w:ind w:firstLine="480"/>
        <w:rPr>
          <w:rFonts w:hint="eastAsia" w:ascii="宋体" w:hAnsi="宋体" w:eastAsia="宋体" w:cs="宋体"/>
          <w:sz w:val="24"/>
          <w:szCs w:val="24"/>
        </w:rPr>
      </w:pPr>
      <w:r>
        <w:rPr>
          <w:rFonts w:hint="eastAsia" w:ascii="宋体" w:hAnsi="宋体" w:eastAsia="宋体" w:cs="宋体"/>
          <w:sz w:val="24"/>
          <w:szCs w:val="24"/>
        </w:rPr>
        <w:t>监控内容：</w:t>
      </w:r>
    </w:p>
    <w:p w14:paraId="12ED6FE1">
      <w:pPr>
        <w:snapToGrid w:val="0"/>
        <w:ind w:firstLine="480"/>
        <w:rPr>
          <w:rFonts w:hint="eastAsia" w:ascii="宋体" w:hAnsi="宋体" w:eastAsia="宋体" w:cs="宋体"/>
          <w:sz w:val="24"/>
          <w:szCs w:val="24"/>
        </w:rPr>
      </w:pPr>
      <w:r>
        <w:rPr>
          <w:rFonts w:hint="eastAsia" w:ascii="宋体" w:hAnsi="宋体" w:eastAsia="宋体" w:cs="宋体"/>
          <w:sz w:val="24"/>
          <w:szCs w:val="24"/>
        </w:rPr>
        <w:t>1）.本月内更换部件的设备。主要对本月内因故障更换部件的设备进行重点查看，监控其运行状态及运行稳定性。</w:t>
      </w:r>
    </w:p>
    <w:p w14:paraId="2CE86E4D">
      <w:pPr>
        <w:snapToGrid w:val="0"/>
        <w:ind w:firstLine="480"/>
        <w:rPr>
          <w:rFonts w:hint="eastAsia" w:ascii="宋体" w:hAnsi="宋体" w:eastAsia="宋体" w:cs="宋体"/>
          <w:sz w:val="24"/>
          <w:szCs w:val="24"/>
        </w:rPr>
      </w:pPr>
      <w:r>
        <w:rPr>
          <w:rFonts w:hint="eastAsia" w:ascii="宋体" w:hAnsi="宋体" w:eastAsia="宋体" w:cs="宋体"/>
          <w:sz w:val="24"/>
          <w:szCs w:val="24"/>
        </w:rPr>
        <w:t>2）.各文件系统节点使用率。</w:t>
      </w:r>
    </w:p>
    <w:p w14:paraId="76CEE2E6">
      <w:pPr>
        <w:pStyle w:val="681"/>
        <w:numPr>
          <w:ilvl w:val="2"/>
          <w:numId w:val="0"/>
        </w:numPr>
        <w:spacing w:line="360" w:lineRule="auto"/>
        <w:outlineLvl w:val="9"/>
        <w:rPr>
          <w:rFonts w:hint="eastAsia" w:ascii="宋体" w:hAnsi="宋体" w:eastAsia="宋体" w:cs="宋体"/>
          <w:sz w:val="24"/>
          <w:szCs w:val="24"/>
        </w:rPr>
      </w:pPr>
      <w:r>
        <w:rPr>
          <w:rFonts w:hint="eastAsia" w:ascii="宋体" w:hAnsi="宋体" w:eastAsia="宋体" w:cs="宋体"/>
          <w:sz w:val="24"/>
          <w:szCs w:val="24"/>
          <w:lang w:val="en-US" w:eastAsia="zh-CN"/>
        </w:rPr>
        <w:t>3.3.2</w:t>
      </w:r>
      <w:r>
        <w:rPr>
          <w:rFonts w:hint="eastAsia" w:ascii="宋体" w:hAnsi="宋体" w:eastAsia="宋体" w:cs="宋体"/>
          <w:sz w:val="24"/>
          <w:szCs w:val="24"/>
        </w:rPr>
        <w:t>存储资源运行监控</w:t>
      </w:r>
    </w:p>
    <w:p w14:paraId="29FE5590">
      <w:pPr>
        <w:adjustRightInd w:val="0"/>
        <w:snapToGrid w:val="0"/>
        <w:spacing w:before="163" w:beforeLines="50" w:after="163" w:afterLines="50" w:line="360" w:lineRule="auto"/>
        <w:ind w:left="0" w:firstLine="720" w:firstLineChars="300"/>
        <w:outlineLvl w:val="9"/>
        <w:rPr>
          <w:rFonts w:hint="eastAsia" w:ascii="宋体" w:hAnsi="宋体" w:eastAsia="宋体" w:cs="宋体"/>
          <w:sz w:val="24"/>
          <w:szCs w:val="24"/>
        </w:rPr>
      </w:pPr>
      <w:r>
        <w:rPr>
          <w:rFonts w:hint="eastAsia" w:ascii="宋体" w:hAnsi="宋体" w:eastAsia="宋体" w:cs="宋体"/>
          <w:sz w:val="24"/>
          <w:szCs w:val="24"/>
        </w:rPr>
        <w:t>每周监控</w:t>
      </w:r>
    </w:p>
    <w:p w14:paraId="66E6BC09">
      <w:pPr>
        <w:snapToGrid w:val="0"/>
        <w:ind w:firstLine="480"/>
        <w:rPr>
          <w:rFonts w:hint="eastAsia" w:ascii="宋体" w:hAnsi="宋体" w:eastAsia="宋体" w:cs="宋体"/>
          <w:sz w:val="24"/>
          <w:szCs w:val="24"/>
        </w:rPr>
      </w:pPr>
      <w:r>
        <w:rPr>
          <w:rFonts w:hint="eastAsia" w:ascii="宋体" w:hAnsi="宋体" w:eastAsia="宋体" w:cs="宋体"/>
          <w:sz w:val="24"/>
          <w:szCs w:val="24"/>
        </w:rPr>
        <w:t>监控内容：</w:t>
      </w:r>
    </w:p>
    <w:p w14:paraId="72E6CF08">
      <w:pPr>
        <w:snapToGrid w:val="0"/>
        <w:ind w:firstLine="480"/>
        <w:rPr>
          <w:rFonts w:hint="eastAsia" w:ascii="宋体" w:hAnsi="宋体" w:eastAsia="宋体" w:cs="宋体"/>
          <w:sz w:val="24"/>
          <w:szCs w:val="24"/>
        </w:rPr>
      </w:pPr>
      <w:r>
        <w:rPr>
          <w:rFonts w:hint="eastAsia" w:ascii="宋体" w:hAnsi="宋体" w:eastAsia="宋体" w:cs="宋体"/>
          <w:sz w:val="24"/>
          <w:szCs w:val="24"/>
        </w:rPr>
        <w:t>1）.磁盘阵列、NAS设备运行状态。主要指通过观察磁盘阵列、NAS设备硬件指示灯等方式获取硬件运行状态。</w:t>
      </w:r>
    </w:p>
    <w:p w14:paraId="2C8325BF">
      <w:pPr>
        <w:snapToGrid w:val="0"/>
        <w:ind w:firstLine="480"/>
        <w:rPr>
          <w:rFonts w:hint="eastAsia" w:ascii="宋体" w:hAnsi="宋体" w:eastAsia="宋体" w:cs="宋体"/>
          <w:sz w:val="24"/>
          <w:szCs w:val="24"/>
        </w:rPr>
      </w:pPr>
      <w:r>
        <w:rPr>
          <w:rFonts w:hint="eastAsia" w:ascii="宋体" w:hAnsi="宋体" w:eastAsia="宋体" w:cs="宋体"/>
          <w:sz w:val="24"/>
          <w:szCs w:val="24"/>
        </w:rPr>
        <w:t>2）.存储设备管理系统的日志。主要包括磁盘阵列、NAS设备管理控制台的运行相关日志。</w:t>
      </w:r>
    </w:p>
    <w:p w14:paraId="2C129757">
      <w:pPr>
        <w:adjustRightInd w:val="0"/>
        <w:snapToGrid w:val="0"/>
        <w:spacing w:before="163" w:beforeLines="50" w:after="163" w:afterLines="50" w:line="360" w:lineRule="auto"/>
        <w:ind w:left="0" w:firstLine="720" w:firstLineChars="300"/>
        <w:outlineLvl w:val="9"/>
        <w:rPr>
          <w:rFonts w:hint="eastAsia" w:ascii="宋体" w:hAnsi="宋体" w:eastAsia="宋体" w:cs="宋体"/>
          <w:sz w:val="24"/>
          <w:szCs w:val="24"/>
        </w:rPr>
      </w:pPr>
      <w:r>
        <w:rPr>
          <w:rFonts w:hint="eastAsia" w:ascii="宋体" w:hAnsi="宋体" w:eastAsia="宋体" w:cs="宋体"/>
          <w:sz w:val="24"/>
          <w:szCs w:val="24"/>
        </w:rPr>
        <w:t>每周监控</w:t>
      </w:r>
    </w:p>
    <w:p w14:paraId="7524A133">
      <w:pPr>
        <w:snapToGrid w:val="0"/>
        <w:ind w:firstLine="480"/>
        <w:rPr>
          <w:rFonts w:hint="eastAsia" w:ascii="宋体" w:hAnsi="宋体" w:eastAsia="宋体" w:cs="宋体"/>
          <w:sz w:val="24"/>
          <w:szCs w:val="24"/>
        </w:rPr>
      </w:pPr>
      <w:r>
        <w:rPr>
          <w:rFonts w:hint="eastAsia" w:ascii="宋体" w:hAnsi="宋体" w:eastAsia="宋体" w:cs="宋体"/>
          <w:sz w:val="24"/>
          <w:szCs w:val="24"/>
        </w:rPr>
        <w:t>监控内容：</w:t>
      </w:r>
    </w:p>
    <w:p w14:paraId="55A5E376">
      <w:pPr>
        <w:snapToGrid w:val="0"/>
        <w:ind w:firstLine="480"/>
        <w:rPr>
          <w:rFonts w:hint="eastAsia" w:ascii="宋体" w:hAnsi="宋体" w:eastAsia="宋体" w:cs="宋体"/>
          <w:sz w:val="24"/>
          <w:szCs w:val="24"/>
        </w:rPr>
      </w:pPr>
      <w:r>
        <w:rPr>
          <w:rFonts w:hint="eastAsia" w:ascii="宋体" w:hAnsi="宋体" w:eastAsia="宋体" w:cs="宋体"/>
          <w:sz w:val="24"/>
          <w:szCs w:val="24"/>
        </w:rPr>
        <w:t>1）.SAN交换机硬件及端口状态。主要指通过观察SAN交换机设备及各端口指示灯等方式获取硬件运行状态。</w:t>
      </w:r>
    </w:p>
    <w:p w14:paraId="1FE896C0">
      <w:pPr>
        <w:snapToGrid w:val="0"/>
        <w:ind w:firstLine="480"/>
        <w:rPr>
          <w:rFonts w:hint="eastAsia" w:ascii="宋体" w:hAnsi="宋体" w:eastAsia="宋体" w:cs="宋体"/>
          <w:sz w:val="24"/>
          <w:szCs w:val="24"/>
        </w:rPr>
      </w:pPr>
      <w:r>
        <w:rPr>
          <w:rFonts w:hint="eastAsia" w:ascii="宋体" w:hAnsi="宋体" w:eastAsia="宋体" w:cs="宋体"/>
          <w:sz w:val="24"/>
          <w:szCs w:val="24"/>
        </w:rPr>
        <w:t>2）.磁带库硬件状态。主要指通过观察磁带库设备指示灯和登录磁带库管理系统等方式获取硬件运行状态。</w:t>
      </w:r>
    </w:p>
    <w:p w14:paraId="060989B8">
      <w:pPr>
        <w:adjustRightInd w:val="0"/>
        <w:snapToGrid w:val="0"/>
        <w:spacing w:before="163" w:beforeLines="50" w:after="163" w:afterLines="50" w:line="360" w:lineRule="auto"/>
        <w:ind w:left="0" w:firstLine="720" w:firstLineChars="300"/>
        <w:outlineLvl w:val="9"/>
        <w:rPr>
          <w:rFonts w:hint="eastAsia" w:ascii="宋体" w:hAnsi="宋体" w:eastAsia="宋体" w:cs="宋体"/>
          <w:sz w:val="24"/>
          <w:szCs w:val="24"/>
        </w:rPr>
      </w:pPr>
      <w:r>
        <w:rPr>
          <w:rFonts w:hint="eastAsia" w:ascii="宋体" w:hAnsi="宋体" w:eastAsia="宋体" w:cs="宋体"/>
          <w:sz w:val="24"/>
          <w:szCs w:val="24"/>
        </w:rPr>
        <w:t>每月监控</w:t>
      </w:r>
    </w:p>
    <w:p w14:paraId="32757310">
      <w:pPr>
        <w:snapToGrid w:val="0"/>
        <w:ind w:firstLine="480"/>
        <w:rPr>
          <w:rFonts w:hint="eastAsia" w:ascii="宋体" w:hAnsi="宋体" w:eastAsia="宋体" w:cs="宋体"/>
          <w:sz w:val="24"/>
          <w:szCs w:val="24"/>
        </w:rPr>
      </w:pPr>
      <w:r>
        <w:rPr>
          <w:rFonts w:hint="eastAsia" w:ascii="宋体" w:hAnsi="宋体" w:eastAsia="宋体" w:cs="宋体"/>
          <w:sz w:val="24"/>
          <w:szCs w:val="24"/>
        </w:rPr>
        <w:t>监控内容：</w:t>
      </w:r>
    </w:p>
    <w:p w14:paraId="1A4A5DF2">
      <w:pPr>
        <w:snapToGrid w:val="0"/>
        <w:ind w:firstLine="480"/>
        <w:rPr>
          <w:rFonts w:hint="eastAsia" w:ascii="宋体" w:hAnsi="宋体" w:eastAsia="宋体" w:cs="宋体"/>
          <w:sz w:val="24"/>
          <w:szCs w:val="24"/>
        </w:rPr>
      </w:pPr>
      <w:r>
        <w:rPr>
          <w:rFonts w:hint="eastAsia" w:ascii="宋体" w:hAnsi="宋体" w:eastAsia="宋体" w:cs="宋体"/>
          <w:sz w:val="24"/>
          <w:szCs w:val="24"/>
        </w:rPr>
        <w:t>1）.磁盘容量使用情况。主要包括存储未分配容量、已分配容量、已分配未使用容量等信息。</w:t>
      </w:r>
    </w:p>
    <w:p w14:paraId="0F9E53D0">
      <w:pPr>
        <w:snapToGrid w:val="0"/>
        <w:ind w:firstLine="480"/>
        <w:rPr>
          <w:rFonts w:hint="eastAsia" w:ascii="宋体" w:hAnsi="宋体" w:eastAsia="宋体" w:cs="宋体"/>
          <w:sz w:val="24"/>
          <w:szCs w:val="24"/>
        </w:rPr>
      </w:pPr>
      <w:r>
        <w:rPr>
          <w:rFonts w:hint="eastAsia" w:ascii="宋体" w:hAnsi="宋体" w:eastAsia="宋体" w:cs="宋体"/>
          <w:sz w:val="24"/>
          <w:szCs w:val="24"/>
        </w:rPr>
        <w:t>2）.SAN交换机日志信息。主要包括SAN交换机端口日志信息和设备日志信息等。</w:t>
      </w:r>
    </w:p>
    <w:p w14:paraId="2C3DF53C">
      <w:pPr>
        <w:pStyle w:val="671"/>
        <w:numPr>
          <w:ilvl w:val="1"/>
          <w:numId w:val="0"/>
        </w:numPr>
        <w:spacing w:line="360" w:lineRule="auto"/>
        <w:outlineLvl w:val="9"/>
        <w:rPr>
          <w:rFonts w:hint="eastAsia" w:ascii="宋体" w:hAnsi="宋体" w:eastAsia="宋体" w:cs="宋体"/>
          <w:sz w:val="24"/>
          <w:szCs w:val="24"/>
          <w:lang w:val="en-US"/>
        </w:rPr>
      </w:pPr>
      <w:r>
        <w:rPr>
          <w:rFonts w:hint="eastAsia" w:ascii="宋体" w:hAnsi="宋体" w:eastAsia="宋体" w:cs="宋体"/>
          <w:sz w:val="24"/>
          <w:szCs w:val="24"/>
          <w:lang w:val="en-US" w:eastAsia="zh-CN"/>
        </w:rPr>
        <w:t>3.4信息安全与保密要求</w:t>
      </w:r>
    </w:p>
    <w:p w14:paraId="7D7E0DDD">
      <w:pPr>
        <w:snapToGrid w:val="0"/>
        <w:ind w:firstLine="480"/>
        <w:rPr>
          <w:rFonts w:hint="eastAsia" w:ascii="宋体" w:hAnsi="宋体" w:eastAsia="宋体" w:cs="宋体"/>
          <w:sz w:val="24"/>
          <w:szCs w:val="24"/>
          <w:lang w:val="en-US"/>
        </w:rPr>
      </w:pPr>
      <w:r>
        <w:rPr>
          <w:rFonts w:hint="eastAsia" w:ascii="宋体" w:hAnsi="宋体" w:eastAsia="宋体" w:cs="宋体"/>
          <w:sz w:val="24"/>
          <w:szCs w:val="24"/>
          <w:lang w:val="en-US" w:eastAsia="zh-CN"/>
        </w:rPr>
        <w:t>招标人对信息网络和数据安全高度敏感，投标人的运维人员必须持有信息安全保障员资质，运维人员需跟招标人签署安全保密协议，中标供应商签署该员工离职后的无限连带责任。</w:t>
      </w:r>
    </w:p>
    <w:p w14:paraId="781DCC6F">
      <w:pPr>
        <w:snapToGrid w:val="0"/>
        <w:ind w:firstLine="480"/>
        <w:rPr>
          <w:rFonts w:hint="eastAsia" w:ascii="宋体" w:hAnsi="宋体" w:eastAsia="宋体" w:cs="宋体"/>
          <w:sz w:val="24"/>
          <w:szCs w:val="24"/>
          <w:lang w:val="en-US"/>
        </w:rPr>
      </w:pPr>
      <w:r>
        <w:rPr>
          <w:rFonts w:hint="eastAsia" w:ascii="宋体" w:hAnsi="宋体" w:eastAsia="宋体" w:cs="宋体"/>
          <w:sz w:val="24"/>
          <w:szCs w:val="24"/>
          <w:lang w:val="en-US" w:eastAsia="zh-CN"/>
        </w:rPr>
        <w:t>（1）网络安全要求：严格遵循采购人的网络安全管理要求，不能随意接入采购人内网；不得私拉网线；不能同时连接内外网。</w:t>
      </w:r>
    </w:p>
    <w:p w14:paraId="11525F18">
      <w:pPr>
        <w:snapToGrid w:val="0"/>
        <w:ind w:firstLine="480"/>
        <w:rPr>
          <w:rFonts w:hint="eastAsia" w:ascii="宋体" w:hAnsi="宋体" w:eastAsia="宋体" w:cs="宋体"/>
          <w:sz w:val="24"/>
          <w:szCs w:val="24"/>
          <w:lang w:val="en-US"/>
        </w:rPr>
      </w:pPr>
      <w:r>
        <w:rPr>
          <w:rFonts w:hint="eastAsia" w:ascii="宋体" w:hAnsi="宋体" w:eastAsia="宋体" w:cs="宋体"/>
          <w:sz w:val="24"/>
          <w:szCs w:val="24"/>
          <w:lang w:val="en-US" w:eastAsia="zh-CN"/>
        </w:rPr>
        <w:t>（2）移动存储设备安全：未经采购人允许，投标人服务人员不得擅自接入移动存储设备，包括但不限于：U盘、光盘、软盘/虚拟软盘、CF卡等。一经发现，无论是否造成网络安全损害，都将没收相关设备，并对造成的损害进行评估，追究投标人及其服务人员的赔偿责任。</w:t>
      </w:r>
    </w:p>
    <w:p w14:paraId="5AE53FF1">
      <w:pPr>
        <w:snapToGrid w:val="0"/>
        <w:ind w:firstLine="480"/>
        <w:rPr>
          <w:rFonts w:hint="eastAsia" w:ascii="宋体" w:hAnsi="宋体" w:eastAsia="宋体" w:cs="宋体"/>
          <w:sz w:val="24"/>
          <w:szCs w:val="24"/>
          <w:lang w:val="en-US"/>
        </w:rPr>
      </w:pPr>
      <w:r>
        <w:rPr>
          <w:rFonts w:hint="eastAsia" w:ascii="宋体" w:hAnsi="宋体" w:eastAsia="宋体" w:cs="宋体"/>
          <w:sz w:val="24"/>
          <w:szCs w:val="24"/>
          <w:lang w:val="en-US" w:eastAsia="zh-CN"/>
        </w:rPr>
        <w:t>（3）密码安全：投标人服务人员不得擅自修改密码或者隐匿不告。任何密码都不得以明文形式保存。</w:t>
      </w:r>
    </w:p>
    <w:p w14:paraId="423757A8">
      <w:pPr>
        <w:snapToGrid w:val="0"/>
        <w:ind w:firstLine="480"/>
        <w:rPr>
          <w:rFonts w:hint="eastAsia" w:ascii="宋体" w:hAnsi="宋体" w:eastAsia="宋体" w:cs="宋体"/>
          <w:sz w:val="24"/>
          <w:szCs w:val="24"/>
          <w:lang w:val="en-US"/>
        </w:rPr>
      </w:pPr>
      <w:r>
        <w:rPr>
          <w:rFonts w:hint="eastAsia" w:ascii="宋体" w:hAnsi="宋体" w:eastAsia="宋体" w:cs="宋体"/>
          <w:sz w:val="24"/>
          <w:szCs w:val="24"/>
          <w:lang w:val="en-US" w:eastAsia="zh-CN"/>
        </w:rPr>
        <w:t>（4）防病毒与防火墙管理：任何投标人需要使用的设备接入采购人信息网络前都需要先进行杀毒。投标人接入采购人信息网络的设备必须定期接受病毒扫描和漏洞扫描。</w:t>
      </w:r>
    </w:p>
    <w:p w14:paraId="37727557">
      <w:pPr>
        <w:snapToGrid w:val="0"/>
        <w:ind w:firstLine="480"/>
        <w:rPr>
          <w:rFonts w:hint="eastAsia" w:ascii="宋体" w:hAnsi="宋体" w:eastAsia="宋体" w:cs="宋体"/>
          <w:sz w:val="24"/>
          <w:szCs w:val="24"/>
          <w:lang w:val="en-US"/>
        </w:rPr>
      </w:pPr>
      <w:r>
        <w:rPr>
          <w:rFonts w:hint="eastAsia" w:ascii="宋体" w:hAnsi="宋体" w:eastAsia="宋体" w:cs="宋体"/>
          <w:sz w:val="24"/>
          <w:szCs w:val="24"/>
          <w:lang w:val="en-US" w:eastAsia="zh-CN"/>
        </w:rPr>
        <w:t>（5）设备安全：中标人接入采购人信息系统的电脑设备应保持固定，只有经过采购人安全认证的电脑设备才能接入网络。</w:t>
      </w:r>
    </w:p>
    <w:p w14:paraId="30DD2006">
      <w:pPr>
        <w:snapToGrid w:val="0"/>
        <w:ind w:firstLine="480"/>
        <w:rPr>
          <w:rFonts w:hint="eastAsia" w:ascii="宋体" w:hAnsi="宋体" w:eastAsia="宋体" w:cs="宋体"/>
          <w:sz w:val="24"/>
          <w:szCs w:val="24"/>
          <w:lang w:val="en-US"/>
        </w:rPr>
      </w:pPr>
      <w:r>
        <w:rPr>
          <w:rFonts w:hint="eastAsia" w:ascii="宋体" w:hAnsi="宋体" w:eastAsia="宋体" w:cs="宋体"/>
          <w:sz w:val="24"/>
          <w:szCs w:val="24"/>
          <w:lang w:val="en-US" w:eastAsia="zh-CN"/>
        </w:rPr>
        <w:t>（6）保密要求：中标人与采购人在签订本项目合同的同时必须按照青海省财政厅信息安全保密的相关规定签署保密协议。中标人服务人员不得试图获取不在服务范围内的信息；不能下载、查阅财政业务数据；不能泄露、窃取采购人相关业务数据或者数据资产；不能分发、散布、拷贝、出售其在工作期间接触的业务数据。中标人服务人员有违反本条款规定行为的，采购人有权单方面解除合同，并保留追究中标人法律责任的权利。</w:t>
      </w:r>
    </w:p>
    <w:p w14:paraId="03E16389">
      <w:pPr>
        <w:snapToGrid w:val="0"/>
        <w:ind w:firstLine="480"/>
        <w:rPr>
          <w:rFonts w:hint="eastAsia" w:ascii="宋体" w:hAnsi="宋体" w:eastAsia="宋体" w:cs="宋体"/>
          <w:sz w:val="24"/>
          <w:szCs w:val="24"/>
          <w:lang w:val="en-US"/>
        </w:rPr>
      </w:pPr>
      <w:r>
        <w:rPr>
          <w:rFonts w:hint="eastAsia" w:ascii="宋体" w:hAnsi="宋体" w:eastAsia="宋体" w:cs="宋体"/>
          <w:sz w:val="24"/>
          <w:szCs w:val="24"/>
          <w:lang w:val="en-US" w:eastAsia="zh-CN"/>
        </w:rPr>
        <w:t>（7）数据脱敏：对于中标人需要进行离线分析、调试运维数据或者日志等信息的，必须先经过数据脱敏处理，去除涉及采购人的设备名、IP地址、业务信息等内容后才能下载。不得从青海省财政厅信息系统网络提取任何业务数据或运维数据。</w:t>
      </w:r>
    </w:p>
    <w:p w14:paraId="3A0158DF">
      <w:pPr>
        <w:snapToGrid w:val="0"/>
        <w:ind w:firstLine="480"/>
        <w:rPr>
          <w:rFonts w:hint="eastAsia" w:ascii="宋体" w:hAnsi="宋体" w:eastAsia="宋体" w:cs="宋体"/>
          <w:sz w:val="24"/>
          <w:szCs w:val="24"/>
          <w:lang w:val="en-US"/>
        </w:rPr>
      </w:pPr>
      <w:r>
        <w:rPr>
          <w:rFonts w:hint="eastAsia" w:ascii="宋体" w:hAnsi="宋体" w:eastAsia="宋体" w:cs="宋体"/>
          <w:sz w:val="24"/>
          <w:szCs w:val="24"/>
          <w:lang w:val="en-US" w:eastAsia="zh-CN"/>
        </w:rPr>
        <w:t>（8）其他要求</w:t>
      </w:r>
    </w:p>
    <w:p w14:paraId="121E1A78">
      <w:pPr>
        <w:snapToGrid w:val="0"/>
        <w:ind w:firstLine="48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为确保项目服务质量，切实保障响应的服务能力，投标人应提供本项目关键设备（华三网络设备、华为计算存储设备）原厂商不少于1年的售后服务支持。</w:t>
      </w:r>
    </w:p>
    <w:p w14:paraId="7B9B4E3D">
      <w:pPr>
        <w:pStyle w:val="671"/>
        <w:numPr>
          <w:ilvl w:val="1"/>
          <w:numId w:val="0"/>
        </w:numPr>
        <w:spacing w:line="360" w:lineRule="auto"/>
        <w:outlineLvl w:val="9"/>
        <w:rPr>
          <w:rFonts w:hint="eastAsia" w:ascii="宋体" w:hAnsi="宋体" w:eastAsia="宋体" w:cs="宋体"/>
          <w:sz w:val="24"/>
          <w:szCs w:val="24"/>
        </w:rPr>
      </w:pPr>
      <w:r>
        <w:rPr>
          <w:rFonts w:hint="eastAsia" w:ascii="宋体" w:hAnsi="宋体" w:eastAsia="宋体" w:cs="宋体"/>
          <w:bCs/>
          <w:sz w:val="24"/>
          <w:szCs w:val="24"/>
          <w:lang w:val="en-US" w:eastAsia="zh-CN"/>
        </w:rPr>
        <w:t>3.5</w:t>
      </w:r>
      <w:r>
        <w:rPr>
          <w:rFonts w:hint="eastAsia" w:ascii="宋体" w:hAnsi="宋体" w:eastAsia="宋体" w:cs="宋体"/>
          <w:bCs/>
          <w:sz w:val="24"/>
          <w:szCs w:val="24"/>
        </w:rPr>
        <w:t>健康检查、</w:t>
      </w:r>
      <w:r>
        <w:rPr>
          <w:rFonts w:hint="eastAsia" w:ascii="宋体" w:hAnsi="宋体" w:eastAsia="宋体" w:cs="宋体"/>
          <w:sz w:val="24"/>
          <w:szCs w:val="24"/>
        </w:rPr>
        <w:t>例行维护、故障管理、分析与报告</w:t>
      </w:r>
    </w:p>
    <w:p w14:paraId="10858565">
      <w:pPr>
        <w:snapToGrid w:val="0"/>
        <w:ind w:firstLine="480"/>
        <w:rPr>
          <w:rFonts w:hint="eastAsia" w:ascii="宋体" w:hAnsi="宋体" w:eastAsia="宋体" w:cs="宋体"/>
          <w:sz w:val="24"/>
          <w:szCs w:val="24"/>
        </w:rPr>
      </w:pPr>
      <w:r>
        <w:rPr>
          <w:rFonts w:hint="eastAsia" w:ascii="宋体" w:hAnsi="宋体" w:eastAsia="宋体" w:cs="宋体"/>
          <w:sz w:val="24"/>
          <w:szCs w:val="24"/>
        </w:rPr>
        <w:t>服务提供方应根据自身青海省财政厅实际情况，制定计算存储设备健康检查方案，定期开展健康检查和预防性维护，定期开展健康检查和预防性维护，尽早发现计算存储资源可能存在的缺陷和安全隐患，识别可能影响运行状态的故障隐患，以便制定计算存储资源维护升级计划，为开展计算存储资源的维护、改造、扩容提供依据，避免潜在问题拖延导致严重故障。按照检查方案组织开展健康性检查，记录健康检查结果，提出改进建议，编制健康检查报告。</w:t>
      </w:r>
    </w:p>
    <w:p w14:paraId="1F35CE1F">
      <w:pPr>
        <w:snapToGrid w:val="0"/>
        <w:ind w:firstLine="480"/>
        <w:rPr>
          <w:rFonts w:hint="eastAsia" w:ascii="宋体" w:hAnsi="宋体" w:eastAsia="宋体" w:cs="宋体"/>
          <w:sz w:val="24"/>
          <w:szCs w:val="24"/>
        </w:rPr>
      </w:pPr>
      <w:r>
        <w:rPr>
          <w:rFonts w:hint="eastAsia" w:ascii="宋体" w:hAnsi="宋体" w:eastAsia="宋体" w:cs="宋体"/>
          <w:sz w:val="24"/>
          <w:szCs w:val="24"/>
        </w:rPr>
        <w:t>依据计算存储类基础设施的运维管理需要，定期开展设备及系统的例行维护，排除其可能存在的安全隐患，保障系统稳定运行，提升系统健壮性。</w:t>
      </w:r>
    </w:p>
    <w:p w14:paraId="566FC286">
      <w:pPr>
        <w:snapToGrid w:val="0"/>
        <w:ind w:firstLine="480"/>
        <w:rPr>
          <w:rFonts w:hint="eastAsia" w:ascii="宋体" w:hAnsi="宋体" w:eastAsia="宋体" w:cs="宋体"/>
          <w:sz w:val="24"/>
          <w:szCs w:val="24"/>
        </w:rPr>
      </w:pPr>
      <w:r>
        <w:rPr>
          <w:rFonts w:hint="eastAsia" w:ascii="宋体" w:hAnsi="宋体" w:eastAsia="宋体" w:cs="宋体"/>
          <w:sz w:val="24"/>
          <w:szCs w:val="24"/>
        </w:rPr>
        <w:t>通过观察计算存储资源的故障现象，收集故障信息，定位故障原因，找到对各类常见故障的解决办法，形成较为完善的各类问题解决方案，为运维人员的后续故障解决提供参考和帮助，加强其主动发现问题和快速解决问题的能力，进而提升运维人员自身的运维水平和系统运维效率，并力求将计算存储资源故障对业务的影响减到最低，防止与这些故障相关的事故再度发生。</w:t>
      </w:r>
    </w:p>
    <w:p w14:paraId="1F1C5B11">
      <w:pPr>
        <w:snapToGrid w:val="0"/>
        <w:ind w:firstLine="480"/>
        <w:rPr>
          <w:rFonts w:hint="eastAsia" w:ascii="宋体" w:hAnsi="宋体" w:eastAsia="宋体" w:cs="宋体"/>
          <w:sz w:val="24"/>
          <w:szCs w:val="24"/>
        </w:rPr>
      </w:pPr>
      <w:r>
        <w:rPr>
          <w:rFonts w:hint="eastAsia" w:ascii="宋体" w:hAnsi="宋体" w:eastAsia="宋体" w:cs="宋体"/>
          <w:sz w:val="24"/>
          <w:szCs w:val="24"/>
        </w:rPr>
        <w:t>通过对计算存储资源的运行状况、性能状况、容量状况和故障状况等方面进行分析，及时发现计算存储资源存在的运行问题、性能瓶颈和故障隐患，总结故障处理经验，提高故障的响应时间和处理速度，有针对性的提出整改和优化方案，确保计算存储资源的健康、高效、稳定运行，为计算存储资源的升级、更新和报废提供决策性指导意见。</w:t>
      </w:r>
    </w:p>
    <w:p w14:paraId="4ECD1B21">
      <w:pPr>
        <w:snapToGrid w:val="0"/>
        <w:ind w:left="0" w:leftChars="0" w:firstLine="0" w:firstLineChars="0"/>
        <w:outlineLvl w:val="9"/>
        <w:rPr>
          <w:rFonts w:hint="eastAsia" w:ascii="宋体" w:hAnsi="宋体" w:eastAsia="宋体" w:cs="宋体"/>
          <w:b/>
          <w:bCs/>
          <w:sz w:val="24"/>
          <w:szCs w:val="24"/>
        </w:rPr>
      </w:pPr>
      <w:r>
        <w:rPr>
          <w:rFonts w:hint="eastAsia" w:ascii="宋体" w:hAnsi="宋体" w:eastAsia="宋体" w:cs="宋体"/>
          <w:b/>
          <w:bCs/>
          <w:sz w:val="24"/>
          <w:szCs w:val="24"/>
          <w:lang w:val="en-US" w:eastAsia="zh-CN"/>
        </w:rPr>
        <w:t>3.6</w:t>
      </w:r>
      <w:r>
        <w:rPr>
          <w:rFonts w:hint="eastAsia" w:ascii="宋体" w:hAnsi="宋体" w:eastAsia="宋体" w:cs="宋体"/>
          <w:b/>
          <w:bCs/>
          <w:sz w:val="24"/>
          <w:szCs w:val="24"/>
        </w:rPr>
        <w:t>服务产出</w:t>
      </w:r>
    </w:p>
    <w:p w14:paraId="7E5CF43A">
      <w:pPr>
        <w:snapToGrid w:val="0"/>
        <w:ind w:firstLine="480"/>
        <w:rPr>
          <w:rFonts w:hint="eastAsia" w:ascii="宋体" w:hAnsi="宋体" w:eastAsia="宋体" w:cs="宋体"/>
          <w:sz w:val="24"/>
          <w:szCs w:val="24"/>
        </w:rPr>
      </w:pPr>
      <w:r>
        <w:rPr>
          <w:rFonts w:hint="eastAsia" w:ascii="宋体" w:hAnsi="宋体" w:eastAsia="宋体" w:cs="宋体"/>
          <w:sz w:val="24"/>
          <w:szCs w:val="24"/>
        </w:rPr>
        <w:t>按配置管理的要求，分类记录并及时更新《服务器基本信息表》、《虚拟机配置信息表》、《操作系统用户信息表》、《虚拟化资源池配置信息表》、《磁盘阵列基本信息表》、《NAS设备基本信息表》、《SAN交换机基本信息表》；按运行监控的要求，按月记录好各类计算存储类基础设施的运行监控数据；按健康巡检的要求，每月《服务器系统健康检查报告》；按例行维护的要求，第月对计算存储类设备进行一次例行维护，并做好维护记录；按故障处理实际情况记录《计算存储故障处理情况表》；《计算存储资源运行监控月报》；按分析与报告的要求，按月形成《计算存储资源运行监控月报》；《计算存储资源季度运行分析报告》；按文档管理的要求，做好计算存储类基础设施及运维过程中形成的各种文档记录和归档。</w:t>
      </w:r>
    </w:p>
    <w:p w14:paraId="047CF857">
      <w:pPr>
        <w:pStyle w:val="671"/>
        <w:numPr>
          <w:ilvl w:val="1"/>
          <w:numId w:val="0"/>
        </w:numPr>
        <w:spacing w:line="360" w:lineRule="auto"/>
        <w:outlineLvl w:val="9"/>
        <w:rPr>
          <w:rFonts w:hint="eastAsia" w:ascii="宋体" w:hAnsi="宋体" w:eastAsia="宋体" w:cs="宋体"/>
          <w:sz w:val="24"/>
          <w:szCs w:val="24"/>
        </w:rPr>
      </w:pPr>
      <w:r>
        <w:rPr>
          <w:rFonts w:hint="eastAsia" w:ascii="宋体" w:hAnsi="宋体" w:eastAsia="宋体" w:cs="宋体"/>
          <w:sz w:val="24"/>
          <w:szCs w:val="24"/>
          <w:lang w:val="en-US" w:eastAsia="zh-CN"/>
        </w:rPr>
        <w:t>3.7</w:t>
      </w:r>
      <w:r>
        <w:rPr>
          <w:rFonts w:hint="eastAsia" w:ascii="宋体" w:hAnsi="宋体" w:eastAsia="宋体" w:cs="宋体"/>
          <w:sz w:val="24"/>
          <w:szCs w:val="24"/>
        </w:rPr>
        <w:t>巡检要求</w:t>
      </w:r>
    </w:p>
    <w:p w14:paraId="5C9B14B2">
      <w:pPr>
        <w:snapToGrid w:val="0"/>
        <w:ind w:firstLine="480"/>
        <w:rPr>
          <w:rFonts w:hint="eastAsia" w:ascii="宋体" w:hAnsi="宋体" w:eastAsia="宋体" w:cs="宋体"/>
          <w:sz w:val="24"/>
          <w:szCs w:val="24"/>
        </w:rPr>
      </w:pPr>
      <w:r>
        <w:rPr>
          <w:rFonts w:hint="eastAsia" w:ascii="宋体" w:hAnsi="宋体" w:eastAsia="宋体" w:cs="宋体"/>
          <w:sz w:val="24"/>
          <w:szCs w:val="24"/>
        </w:rPr>
        <w:t>1、每周进行一次机房内设备巡检，并在巡检完成后向用户报告现场巡检情况，进行记录。</w:t>
      </w:r>
    </w:p>
    <w:p w14:paraId="239F5BA9">
      <w:pPr>
        <w:snapToGrid w:val="0"/>
        <w:ind w:firstLine="480"/>
        <w:rPr>
          <w:rFonts w:hint="eastAsia" w:ascii="宋体" w:hAnsi="宋体" w:eastAsia="宋体" w:cs="宋体"/>
          <w:sz w:val="24"/>
          <w:szCs w:val="24"/>
        </w:rPr>
      </w:pPr>
      <w:r>
        <w:rPr>
          <w:rFonts w:hint="eastAsia" w:ascii="宋体" w:hAnsi="宋体" w:eastAsia="宋体" w:cs="宋体"/>
          <w:sz w:val="24"/>
          <w:szCs w:val="24"/>
        </w:rPr>
        <w:t>2、每月进行一次月度汇总，巡检完成后三个工作日内向用户提供月巡检报告，季度装订成册。</w:t>
      </w:r>
    </w:p>
    <w:p w14:paraId="753D094C">
      <w:pPr>
        <w:snapToGrid w:val="0"/>
        <w:ind w:firstLine="480"/>
        <w:rPr>
          <w:rFonts w:hint="eastAsia" w:ascii="宋体" w:hAnsi="宋体" w:eastAsia="宋体" w:cs="宋体"/>
          <w:sz w:val="24"/>
          <w:szCs w:val="24"/>
        </w:rPr>
      </w:pPr>
      <w:r>
        <w:rPr>
          <w:rFonts w:hint="eastAsia" w:ascii="宋体" w:hAnsi="宋体" w:eastAsia="宋体" w:cs="宋体"/>
          <w:sz w:val="24"/>
          <w:szCs w:val="24"/>
        </w:rPr>
        <w:t>3、每半年出具半年度服务报告及服务汇总，并与客户进行沟通、汇总汇报。</w:t>
      </w:r>
    </w:p>
    <w:p w14:paraId="57F3C8D8">
      <w:pPr>
        <w:snapToGrid w:val="0"/>
        <w:ind w:firstLine="480"/>
        <w:rPr>
          <w:rFonts w:hint="eastAsia" w:ascii="宋体" w:hAnsi="宋体" w:eastAsia="宋体" w:cs="宋体"/>
          <w:sz w:val="24"/>
          <w:szCs w:val="24"/>
        </w:rPr>
      </w:pPr>
      <w:r>
        <w:rPr>
          <w:rFonts w:hint="eastAsia" w:ascii="宋体" w:hAnsi="宋体" w:eastAsia="宋体" w:cs="宋体"/>
          <w:sz w:val="24"/>
          <w:szCs w:val="24"/>
        </w:rPr>
        <w:t>4、年度出具年度汇总服务报告，并向客户进行汇报。</w:t>
      </w:r>
    </w:p>
    <w:p w14:paraId="7F789F12">
      <w:pPr>
        <w:snapToGrid w:val="0"/>
        <w:ind w:firstLine="480"/>
        <w:rPr>
          <w:rFonts w:hint="eastAsia" w:ascii="宋体" w:hAnsi="宋体" w:eastAsia="宋体" w:cs="宋体"/>
          <w:sz w:val="24"/>
          <w:szCs w:val="24"/>
        </w:rPr>
      </w:pPr>
      <w:r>
        <w:rPr>
          <w:rFonts w:hint="eastAsia" w:ascii="宋体" w:hAnsi="宋体" w:eastAsia="宋体" w:cs="宋体"/>
          <w:sz w:val="24"/>
          <w:szCs w:val="24"/>
        </w:rPr>
        <w:t>5、重大节假日前对所有设备及软件进行巡检，重大节假日、重要事件现场保障。</w:t>
      </w:r>
    </w:p>
    <w:p w14:paraId="434543AF">
      <w:pPr>
        <w:snapToGrid w:val="0"/>
        <w:ind w:firstLine="480"/>
        <w:rPr>
          <w:rFonts w:hint="eastAsia" w:ascii="宋体" w:hAnsi="宋体" w:eastAsia="宋体" w:cs="宋体"/>
          <w:sz w:val="24"/>
          <w:szCs w:val="24"/>
        </w:rPr>
      </w:pPr>
      <w:r>
        <w:rPr>
          <w:rFonts w:hint="eastAsia" w:ascii="宋体" w:hAnsi="宋体" w:eastAsia="宋体" w:cs="宋体"/>
          <w:sz w:val="24"/>
          <w:szCs w:val="24"/>
        </w:rPr>
        <w:t>6、针对巡检问题分析，分级处置，备件及时更换，当有突发或并发事件发生时，及时调用本地工程师并在最短的时间内用最快的方式处置。</w:t>
      </w:r>
    </w:p>
    <w:p w14:paraId="60C00EAB">
      <w:pPr>
        <w:pStyle w:val="671"/>
        <w:numPr>
          <w:ilvl w:val="1"/>
          <w:numId w:val="0"/>
        </w:numPr>
        <w:spacing w:line="360" w:lineRule="auto"/>
        <w:outlineLvl w:val="9"/>
        <w:rPr>
          <w:rFonts w:hint="eastAsia" w:ascii="宋体" w:hAnsi="宋体" w:eastAsia="宋体" w:cs="宋体"/>
          <w:sz w:val="24"/>
          <w:szCs w:val="24"/>
        </w:rPr>
      </w:pPr>
      <w:r>
        <w:rPr>
          <w:rFonts w:hint="eastAsia" w:ascii="宋体" w:hAnsi="宋体" w:eastAsia="宋体" w:cs="宋体"/>
          <w:sz w:val="24"/>
          <w:szCs w:val="24"/>
          <w:lang w:val="en-US" w:eastAsia="zh-CN"/>
        </w:rPr>
        <w:t>3.8</w:t>
      </w:r>
      <w:r>
        <w:rPr>
          <w:rFonts w:hint="eastAsia" w:ascii="宋体" w:hAnsi="宋体" w:eastAsia="宋体" w:cs="宋体"/>
          <w:sz w:val="24"/>
          <w:szCs w:val="24"/>
        </w:rPr>
        <w:t>现场故障排除</w:t>
      </w:r>
    </w:p>
    <w:p w14:paraId="78FD6854">
      <w:pPr>
        <w:pStyle w:val="671"/>
        <w:numPr>
          <w:ilvl w:val="1"/>
          <w:numId w:val="0"/>
        </w:numPr>
        <w:spacing w:line="360" w:lineRule="auto"/>
        <w:ind w:firstLine="480" w:firstLineChars="200"/>
        <w:outlineLvl w:val="9"/>
        <w:rPr>
          <w:rFonts w:hint="eastAsia"/>
          <w:b w:val="0"/>
          <w:bCs/>
          <w:color w:val="auto"/>
          <w:sz w:val="24"/>
          <w:szCs w:val="24"/>
          <w:highlight w:val="none"/>
          <w:lang w:val="zh-CN"/>
        </w:rPr>
      </w:pPr>
      <w:r>
        <w:rPr>
          <w:rFonts w:hint="eastAsia" w:ascii="宋体" w:hAnsi="宋体" w:eastAsia="宋体" w:cs="宋体"/>
          <w:b w:val="0"/>
          <w:bCs/>
          <w:sz w:val="24"/>
          <w:szCs w:val="24"/>
        </w:rPr>
        <w:t>发生异常现象时，服务方必须及时响应（7x24小时服务，2小时到达现场，设备配件24小时内到位）。一般性简单故障应在1个工作日内排查、处理完毕；复杂性故障应在1-3个工作日内排查、处理完毕。涉及设备配件需维修或采购供应时，应提供替代设备，确保各类应用正常运行</w:t>
      </w:r>
      <w:bookmarkEnd w:id="224"/>
    </w:p>
    <w:sectPr>
      <w:pgSz w:w="11906" w:h="16838"/>
      <w:pgMar w:top="1440" w:right="1800" w:bottom="1440" w:left="1800" w:header="567"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2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PMingLiUfalt">
    <w:altName w:val="MingLiU-ExtB"/>
    <w:panose1 w:val="00000000000000000000"/>
    <w:charset w:val="88"/>
    <w:family w:val="roman"/>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 w:name="楷体_GB2312">
    <w:panose1 w:val="02010609030101010101"/>
    <w:charset w:val="7A"/>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swiss"/>
    <w:pitch w:val="default"/>
    <w:sig w:usb0="FFFFFFFF" w:usb1="E9FFFFFF" w:usb2="0000003F" w:usb3="00000000" w:csb0="603F01FF" w:csb1="FFFF0000"/>
  </w:font>
  <w:font w:name="Arial Black">
    <w:panose1 w:val="020B0A04020102020204"/>
    <w:charset w:val="00"/>
    <w:family w:val="swiss"/>
    <w:pitch w:val="default"/>
    <w:sig w:usb0="A00002AF" w:usb1="400078FB" w:usb2="00000000" w:usb3="00000000" w:csb0="6000009F" w:csb1="DFD70000"/>
  </w:font>
  <w:font w:name="长城仿宋">
    <w:altName w:val="宋体"/>
    <w:panose1 w:val="00000000000000000000"/>
    <w:charset w:val="86"/>
    <w:family w:val="modern"/>
    <w:pitch w:val="default"/>
    <w:sig w:usb0="00000000" w:usb1="00000000" w:usb2="00000010" w:usb3="00000000" w:csb0="00040000" w:csb1="00000000"/>
  </w:font>
  <w:font w:name="??">
    <w:altName w:val="Times New Roman"/>
    <w:panose1 w:val="00000000000000000000"/>
    <w:charset w:val="00"/>
    <w:family w:val="roman"/>
    <w:pitch w:val="default"/>
    <w:sig w:usb0="00000000" w:usb1="00000000" w:usb2="00000000" w:usb3="00000000" w:csb0="00040001" w:csb1="00000000"/>
  </w:font>
  <w:font w:name="华文细黑">
    <w:panose1 w:val="02010600040101010101"/>
    <w:charset w:val="86"/>
    <w:family w:val="auto"/>
    <w:pitch w:val="default"/>
    <w:sig w:usb0="00000287" w:usb1="080F0000" w:usb2="00000000" w:usb3="00000000" w:csb0="0004009F" w:csb1="DFD70000"/>
  </w:font>
  <w:font w:name="Baskerville">
    <w:altName w:val="Georgia"/>
    <w:panose1 w:val="00000000000000000000"/>
    <w:charset w:val="00"/>
    <w:family w:val="auto"/>
    <w:pitch w:val="default"/>
    <w:sig w:usb0="00000000" w:usb1="00000000" w:usb2="00000000" w:usb3="00000000" w:csb0="00000001" w:csb1="00000000"/>
  </w:font>
  <w:font w:name="Georgia">
    <w:panose1 w:val="02040502050405020303"/>
    <w:charset w:val="00"/>
    <w:family w:val="roman"/>
    <w:pitch w:val="default"/>
    <w:sig w:usb0="00000287" w:usb1="00000000" w:usb2="00000000" w:usb3="00000000" w:csb0="2000009F" w:csb1="00000000"/>
  </w:font>
  <w:font w:name="ヒラギノ角ゴ Pro W3">
    <w:altName w:val="MS Gothic"/>
    <w:panose1 w:val="00000000000000000000"/>
    <w:charset w:val="80"/>
    <w:family w:val="auto"/>
    <w:pitch w:val="default"/>
    <w:sig w:usb0="00000000" w:usb1="00000000" w:usb2="01000407" w:usb3="00000000" w:csb0="00020000" w:csb1="00000000"/>
  </w:font>
  <w:font w:name="MS Gothic">
    <w:panose1 w:val="020B0609070205080204"/>
    <w:charset w:val="80"/>
    <w:family w:val="auto"/>
    <w:pitch w:val="default"/>
    <w:sig w:usb0="E00002FF" w:usb1="6AC7FDFB" w:usb2="08000012" w:usb3="00000000" w:csb0="4002009F" w:csb1="DFD70000"/>
  </w:font>
  <w:font w:name="Arial Narrow">
    <w:panose1 w:val="020B0606020202030204"/>
    <w:charset w:val="00"/>
    <w:family w:val="swiss"/>
    <w:pitch w:val="default"/>
    <w:sig w:usb0="00000287" w:usb1="00000800" w:usb2="00000000" w:usb3="00000000" w:csb0="2000009F" w:csb1="DFD70000"/>
  </w:font>
  <w:font w:name="小标宋">
    <w:altName w:val="宋体"/>
    <w:panose1 w:val="00000000000000000000"/>
    <w:charset w:val="86"/>
    <w:family w:val="roma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文鼎粗黑">
    <w:altName w:val="黑体"/>
    <w:panose1 w:val="00000000000000000000"/>
    <w:charset w:val="86"/>
    <w:family w:val="modern"/>
    <w:pitch w:val="default"/>
    <w:sig w:usb0="00000000" w:usb1="00000000" w:usb2="00000010" w:usb3="00000000" w:csb0="00040000" w:csb1="00000000"/>
  </w:font>
  <w:font w:name="Adobe 黑体 Std R">
    <w:altName w:val="黑体"/>
    <w:panose1 w:val="020B0400000000000000"/>
    <w:charset w:val="86"/>
    <w:family w:val="auto"/>
    <w:pitch w:val="default"/>
    <w:sig w:usb0="00000000" w:usb1="00000000" w:usb2="00000016" w:usb3="00000000" w:csb0="00060007" w:csb1="00000000"/>
  </w:font>
  <w:font w:name="MingLiU">
    <w:altName w:val="PMingLiU-ExtB"/>
    <w:panose1 w:val="02010609000101010101"/>
    <w:charset w:val="88"/>
    <w:family w:val="modern"/>
    <w:pitch w:val="default"/>
    <w:sig w:usb0="00000000" w:usb1="00000000" w:usb2="00000010" w:usb3="00000000" w:csb0="00100000" w:csb1="00000000"/>
  </w:font>
  <w:font w:name="PMingLiU-ExtB">
    <w:panose1 w:val="02020500000000000000"/>
    <w:charset w:val="88"/>
    <w:family w:val="auto"/>
    <w:pitch w:val="default"/>
    <w:sig w:usb0="8000002F" w:usb1="02000008" w:usb2="00000000" w:usb3="00000000" w:csb0="00100001" w:csb1="00000000"/>
  </w:font>
  <w:font w:name="Futura Bk">
    <w:altName w:val="Segoe Print"/>
    <w:panose1 w:val="00000000000000000000"/>
    <w:charset w:val="00"/>
    <w:family w:val="swiss"/>
    <w:pitch w:val="default"/>
    <w:sig w:usb0="00000000" w:usb1="00000000" w:usb2="00000000" w:usb3="00000000" w:csb0="0000009F" w:csb1="00000000"/>
  </w:font>
  <w:font w:name="Segoe Print">
    <w:panose1 w:val="02000600000000000000"/>
    <w:charset w:val="00"/>
    <w:family w:val="auto"/>
    <w:pitch w:val="default"/>
    <w:sig w:usb0="0000028F" w:usb1="00000000" w:usb2="00000000" w:usb3="00000000" w:csb0="2000009F" w:csb1="47010000"/>
  </w:font>
  <w:font w:name="Swift-Light">
    <w:altName w:val="Times New Roman"/>
    <w:panose1 w:val="00000000000000000000"/>
    <w:charset w:val="4D"/>
    <w:family w:val="auto"/>
    <w:pitch w:val="default"/>
    <w:sig w:usb0="00000000" w:usb1="00000000" w:usb2="00000000" w:usb3="00000000" w:csb0="00000001" w:csb1="00000000"/>
  </w:font>
  <w:font w:name="Univers 57 Condensed">
    <w:altName w:val="Times New Roman"/>
    <w:panose1 w:val="00000000000000000000"/>
    <w:charset w:val="4D"/>
    <w:family w:val="auto"/>
    <w:pitch w:val="default"/>
    <w:sig w:usb0="00000000" w:usb1="00000000" w:usb2="00000000" w:usb3="00000000" w:csb0="00000001" w:csb1="00000000"/>
  </w:font>
  <w:font w:name="Univers 67 CondensedBold">
    <w:altName w:val="Times New Roman"/>
    <w:panose1 w:val="00000000000000000000"/>
    <w:charset w:val="4D"/>
    <w:family w:val="auto"/>
    <w:pitch w:val="default"/>
    <w:sig w:usb0="00000000" w:usb1="00000000" w:usb2="00000000" w:usb3="00000000" w:csb0="00000001" w:csb1="00000000"/>
  </w:font>
  <w:font w:name="Univers 67 CondensedBoldOblique">
    <w:altName w:val="Times New Roman"/>
    <w:panose1 w:val="00000000000000000000"/>
    <w:charset w:val="4D"/>
    <w:family w:val="auto"/>
    <w:pitch w:val="default"/>
    <w:sig w:usb0="00000000" w:usb1="00000000" w:usb2="00000000" w:usb3="00000000" w:csb0="00000001" w:csb1="00000000"/>
  </w:font>
  <w:font w:name="ITCCenturyBookT">
    <w:altName w:val="Times New Roman"/>
    <w:panose1 w:val="00000000000000000000"/>
    <w:charset w:val="00"/>
    <w:family w:val="auto"/>
    <w:pitch w:val="default"/>
    <w:sig w:usb0="00000000" w:usb1="00000000" w:usb2="00000000" w:usb3="00000000" w:csb0="00000001" w:csb1="00000000"/>
  </w:font>
  <w:font w:name="Times">
    <w:altName w:val="Times New Roman"/>
    <w:panose1 w:val="02020603050405020304"/>
    <w:charset w:val="00"/>
    <w:family w:val="roman"/>
    <w:pitch w:val="default"/>
    <w:sig w:usb0="00000000" w:usb1="00000000" w:usb2="00000009" w:usb3="00000000" w:csb0="000001FF" w:csb1="00000000"/>
  </w:font>
  <w:font w:name="Helvetica">
    <w:altName w:val="Arial"/>
    <w:panose1 w:val="020B0504020202020204"/>
    <w:charset w:val="00"/>
    <w:family w:val="swiss"/>
    <w:pitch w:val="default"/>
    <w:sig w:usb0="00000000" w:usb1="00000000" w:usb2="00000000" w:usb3="00000000" w:csb0="0000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4C3913">
    <w:pPr>
      <w:pStyle w:val="40"/>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898309">
    <w:pPr>
      <w:pStyle w:val="40"/>
      <w:framePr w:wrap="around" w:vAnchor="text" w:hAnchor="margin" w:y="1"/>
      <w:ind w:firstLine="360"/>
      <w:rPr>
        <w:rStyle w:val="74"/>
      </w:rPr>
    </w:pPr>
    <w:r>
      <w:rPr>
        <w:rStyle w:val="74"/>
      </w:rPr>
      <w:fldChar w:fldCharType="begin"/>
    </w:r>
    <w:r>
      <w:rPr>
        <w:rStyle w:val="74"/>
      </w:rPr>
      <w:instrText xml:space="preserve">PAGE  </w:instrText>
    </w:r>
    <w:r>
      <w:rPr>
        <w:rStyle w:val="74"/>
      </w:rPr>
      <w:fldChar w:fldCharType="end"/>
    </w:r>
  </w:p>
  <w:p w14:paraId="33D0EBB3">
    <w:pPr>
      <w:pStyle w:val="40"/>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54C268">
    <w:pPr>
      <w:pStyle w:val="40"/>
      <w:framePr w:wrap="around" w:vAnchor="text" w:hAnchor="margin" w:xAlign="center" w:y="1"/>
      <w:ind w:firstLine="0" w:firstLineChars="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7E1F4">
    <w:pPr>
      <w:pStyle w:val="40"/>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57BD845">
                          <w:pPr>
                            <w:pStyle w:val="40"/>
                            <w:ind w:firstLine="360"/>
                          </w:pPr>
                          <w:r>
                            <w:fldChar w:fldCharType="begin"/>
                          </w:r>
                          <w:r>
                            <w:instrText xml:space="preserve"> PAGE  \* MERGEFORMAT </w:instrText>
                          </w:r>
                          <w:r>
                            <w:fldChar w:fldCharType="separate"/>
                          </w:r>
                          <w:r>
                            <w:t>56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JGuwyAgAAY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jB5loWN&#10;3loeoaM83i4PAXImlaMonRLoTjxg9lKfLnsSh/vPc4p6+m9YP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NIka7DICAABjBAAADgAAAAAAAAABACAAAAAfAQAAZHJzL2Uyb0RvYy54bWxQSwUG&#10;AAAAAAYABgBZAQAAwwUAAAAA&#10;">
              <v:fill on="f" focussize="0,0"/>
              <v:stroke on="f" weight="0.5pt"/>
              <v:imagedata o:title=""/>
              <o:lock v:ext="edit" aspectratio="f"/>
              <v:textbox inset="0mm,0mm,0mm,0mm" style="mso-fit-shape-to-text:t;">
                <w:txbxContent>
                  <w:p w14:paraId="457BD845">
                    <w:pPr>
                      <w:pStyle w:val="40"/>
                      <w:ind w:firstLine="360"/>
                    </w:pPr>
                    <w:r>
                      <w:fldChar w:fldCharType="begin"/>
                    </w:r>
                    <w:r>
                      <w:instrText xml:space="preserve"> PAGE  \* MERGEFORMAT </w:instrText>
                    </w:r>
                    <w:r>
                      <w:fldChar w:fldCharType="separate"/>
                    </w:r>
                    <w:r>
                      <w:t>56</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827D7D">
    <w:pPr>
      <w:pStyle w:val="40"/>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D77B7">
    <w:pPr>
      <w:pStyle w:val="40"/>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53833268"/>
    </w:sdtPr>
    <w:sdtContent>
      <w:sdt>
        <w:sdtPr>
          <w:id w:val="642014152"/>
        </w:sdtPr>
        <w:sdtContent>
          <w:p w14:paraId="28CEF5C3">
            <w:pPr>
              <w:pStyle w:val="40"/>
              <w:ind w:firstLine="36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31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32</w:t>
            </w:r>
            <w:r>
              <w:rPr>
                <w:b/>
                <w:bCs/>
                <w:sz w:val="24"/>
                <w:szCs w:val="24"/>
              </w:rPr>
              <w:fldChar w:fldCharType="end"/>
            </w:r>
          </w:p>
        </w:sdtContent>
      </w:sdt>
    </w:sdtContent>
  </w:sdt>
  <w:p w14:paraId="54664B1D">
    <w:pPr>
      <w:pStyle w:val="40"/>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6132D7">
    <w:pPr>
      <w:pStyle w:val="41"/>
      <w:ind w:left="0" w:leftChars="0" w:firstLine="0" w:firstLineChars="0"/>
      <w:jc w:val="both"/>
      <w:rPr>
        <w:rFonts w:hint="default" w:ascii="仿宋" w:hAnsi="仿宋" w:eastAsia="宋体" w:cs="仿宋"/>
        <w:sz w:val="21"/>
        <w:szCs w:val="21"/>
        <w:lang w:val="en-US" w:eastAsia="zh-CN"/>
      </w:rPr>
    </w:pPr>
    <w:r>
      <w:drawing>
        <wp:inline distT="0" distB="0" distL="0" distR="0">
          <wp:extent cx="2415540" cy="243840"/>
          <wp:effectExtent l="0" t="0" r="3810" b="3810"/>
          <wp:docPr id="1" name="图片 1" descr="公司图标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公司图标5.jpg"/>
                  <pic:cNvPicPr>
                    <a:picLocks noChangeAspect="1" noChangeArrowheads="1"/>
                  </pic:cNvPicPr>
                </pic:nvPicPr>
                <pic:blipFill>
                  <a:blip r:embed="rId1"/>
                  <a:srcRect/>
                  <a:stretch>
                    <a:fillRect/>
                  </a:stretch>
                </pic:blipFill>
                <pic:spPr>
                  <a:xfrm>
                    <a:off x="0" y="0"/>
                    <a:ext cx="2415540" cy="243840"/>
                  </a:xfrm>
                  <a:prstGeom prst="rect">
                    <a:avLst/>
                  </a:prstGeom>
                  <a:noFill/>
                  <a:ln w="9525">
                    <a:noFill/>
                    <a:miter lim="800000"/>
                    <a:headEnd/>
                    <a:tailEnd/>
                  </a:ln>
                </pic:spPr>
              </pic:pic>
            </a:graphicData>
          </a:graphic>
        </wp:inline>
      </w:drawing>
    </w:r>
    <w:r>
      <w:rPr>
        <w:rFonts w:hint="eastAsia"/>
      </w:rPr>
      <w:t xml:space="preserve">      </w:t>
    </w:r>
    <w:r>
      <w:rPr>
        <w:rFonts w:hint="eastAsia"/>
        <w:lang w:val="en-US" w:eastAsia="zh-CN"/>
      </w:rPr>
      <w:t xml:space="preserve">   </w:t>
    </w:r>
    <w:r>
      <w:rPr>
        <w:rFonts w:hint="eastAsia"/>
      </w:rPr>
      <w:t xml:space="preserve">      </w:t>
    </w:r>
    <w:r>
      <w:rPr>
        <w:rFonts w:hint="eastAsia" w:ascii="宋体" w:hAnsi="宋体" w:cs="宋体"/>
        <w:sz w:val="21"/>
        <w:szCs w:val="21"/>
        <w:lang w:val="zh-CN"/>
      </w:rPr>
      <w:t>青海联祥磋商（服务）2026-057</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40A382">
    <w:pPr>
      <w:ind w:left="0" w:leftChars="0" w:firstLine="0" w:firstLineChars="0"/>
    </w:pPr>
    <w:r>
      <w:drawing>
        <wp:inline distT="0" distB="0" distL="0" distR="0">
          <wp:extent cx="2415540" cy="228600"/>
          <wp:effectExtent l="0" t="0" r="3810" b="0"/>
          <wp:docPr id="2" name="图片 2" descr="公司图标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公司图标5.jpg"/>
                  <pic:cNvPicPr>
                    <a:picLocks noChangeAspect="1" noChangeArrowheads="1"/>
                  </pic:cNvPicPr>
                </pic:nvPicPr>
                <pic:blipFill>
                  <a:blip r:embed="rId1"/>
                  <a:srcRect/>
                  <a:stretch>
                    <a:fillRect/>
                  </a:stretch>
                </pic:blipFill>
                <pic:spPr>
                  <a:xfrm>
                    <a:off x="0" y="0"/>
                    <a:ext cx="2415540" cy="228600"/>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9E210E">
    <w:pPr>
      <w:pStyle w:val="41"/>
      <w:keepNext w:val="0"/>
      <w:keepLines w:val="0"/>
      <w:pageBreakBefore w:val="0"/>
      <w:widowControl w:val="0"/>
      <w:kinsoku/>
      <w:wordWrap/>
      <w:overflowPunct/>
      <w:topLinePunct w:val="0"/>
      <w:bidi w:val="0"/>
      <w:adjustRightInd/>
      <w:snapToGrid w:val="0"/>
      <w:ind w:left="0" w:leftChars="0" w:firstLine="0" w:firstLineChars="0"/>
      <w:jc w:val="both"/>
      <w:textAlignment w:val="auto"/>
      <w:rPr>
        <w:rFonts w:hint="default" w:eastAsia="仿宋_GB2312"/>
        <w:lang w:val="en-US" w:eastAsia="zh-CN"/>
      </w:rPr>
    </w:pPr>
    <w:r>
      <w:drawing>
        <wp:inline distT="0" distB="0" distL="0" distR="0">
          <wp:extent cx="2415540" cy="243840"/>
          <wp:effectExtent l="0" t="0" r="3810" b="3810"/>
          <wp:docPr id="4" name="图片 4" descr="公司图标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公司图标5.jpg"/>
                  <pic:cNvPicPr>
                    <a:picLocks noChangeAspect="1" noChangeArrowheads="1"/>
                  </pic:cNvPicPr>
                </pic:nvPicPr>
                <pic:blipFill>
                  <a:blip r:embed="rId1"/>
                  <a:srcRect/>
                  <a:stretch>
                    <a:fillRect/>
                  </a:stretch>
                </pic:blipFill>
                <pic:spPr>
                  <a:xfrm>
                    <a:off x="0" y="0"/>
                    <a:ext cx="2415540" cy="243840"/>
                  </a:xfrm>
                  <a:prstGeom prst="rect">
                    <a:avLst/>
                  </a:prstGeom>
                  <a:noFill/>
                  <a:ln w="9525">
                    <a:noFill/>
                    <a:miter lim="800000"/>
                    <a:headEnd/>
                    <a:tailEnd/>
                  </a:ln>
                </pic:spPr>
              </pic:pic>
            </a:graphicData>
          </a:graphic>
        </wp:inline>
      </w:drawing>
    </w:r>
    <w:r>
      <w:rPr>
        <w:rFonts w:hint="eastAsia"/>
      </w:rPr>
      <w:t xml:space="preserve">             </w:t>
    </w:r>
    <w:r>
      <w:rPr>
        <w:rFonts w:hint="eastAsia" w:ascii="宋体" w:hAnsi="宋体" w:cs="宋体"/>
        <w:sz w:val="21"/>
        <w:szCs w:val="21"/>
        <w:lang w:val="zh-CN"/>
      </w:rPr>
      <w:t>青海联祥磋商（服务）2026-057</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EA803E">
    <w:pPr>
      <w:pStyle w:val="41"/>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FE69DA">
    <w:pPr>
      <w:pStyle w:val="41"/>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927777">
    <w:pPr>
      <w:pStyle w:val="41"/>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DDA80D"/>
    <w:multiLevelType w:val="singleLevel"/>
    <w:tmpl w:val="8EDDA80D"/>
    <w:lvl w:ilvl="0" w:tentative="0">
      <w:start w:val="1"/>
      <w:numFmt w:val="bullet"/>
      <w:pStyle w:val="17"/>
      <w:lvlText w:val=""/>
      <w:lvlJc w:val="left"/>
      <w:pPr>
        <w:tabs>
          <w:tab w:val="left" w:pos="1620"/>
        </w:tabs>
        <w:ind w:left="1620" w:hanging="360"/>
      </w:pPr>
      <w:rPr>
        <w:rFonts w:hint="default" w:ascii="Wingdings" w:hAnsi="Wingdings"/>
      </w:rPr>
    </w:lvl>
  </w:abstractNum>
  <w:abstractNum w:abstractNumId="1">
    <w:nsid w:val="A888BE09"/>
    <w:multiLevelType w:val="singleLevel"/>
    <w:tmpl w:val="A888BE09"/>
    <w:lvl w:ilvl="0" w:tentative="0">
      <w:start w:val="1"/>
      <w:numFmt w:val="decimal"/>
      <w:pStyle w:val="28"/>
      <w:lvlText w:val="%1."/>
      <w:lvlJc w:val="left"/>
      <w:pPr>
        <w:tabs>
          <w:tab w:val="left" w:pos="1200"/>
        </w:tabs>
        <w:ind w:left="1200" w:hanging="360"/>
      </w:pPr>
    </w:lvl>
  </w:abstractNum>
  <w:abstractNum w:abstractNumId="2">
    <w:nsid w:val="C5EF427C"/>
    <w:multiLevelType w:val="singleLevel"/>
    <w:tmpl w:val="C5EF427C"/>
    <w:lvl w:ilvl="0" w:tentative="0">
      <w:start w:val="1"/>
      <w:numFmt w:val="bullet"/>
      <w:pStyle w:val="32"/>
      <w:lvlText w:val=""/>
      <w:lvlJc w:val="left"/>
      <w:pPr>
        <w:tabs>
          <w:tab w:val="left" w:pos="780"/>
        </w:tabs>
        <w:ind w:left="780" w:hanging="360"/>
      </w:pPr>
      <w:rPr>
        <w:rFonts w:hint="default" w:ascii="Wingdings" w:hAnsi="Wingdings"/>
      </w:rPr>
    </w:lvl>
  </w:abstractNum>
  <w:abstractNum w:abstractNumId="3">
    <w:nsid w:val="DF9E23AF"/>
    <w:multiLevelType w:val="singleLevel"/>
    <w:tmpl w:val="DF9E23AF"/>
    <w:lvl w:ilvl="0" w:tentative="0">
      <w:start w:val="1"/>
      <w:numFmt w:val="bullet"/>
      <w:pStyle w:val="20"/>
      <w:lvlText w:val=""/>
      <w:lvlJc w:val="left"/>
      <w:pPr>
        <w:tabs>
          <w:tab w:val="left" w:pos="360"/>
        </w:tabs>
        <w:ind w:left="360" w:hanging="360"/>
      </w:pPr>
      <w:rPr>
        <w:rFonts w:hint="default" w:ascii="Wingdings" w:hAnsi="Wingdings"/>
      </w:rPr>
    </w:lvl>
  </w:abstractNum>
  <w:abstractNum w:abstractNumId="4">
    <w:nsid w:val="00A14B4A"/>
    <w:multiLevelType w:val="multilevel"/>
    <w:tmpl w:val="00A14B4A"/>
    <w:lvl w:ilvl="0" w:tentative="0">
      <w:start w:val="1"/>
      <w:numFmt w:val="decimal"/>
      <w:pStyle w:val="893"/>
      <w:suff w:val="nothing"/>
      <w:lvlText w:val="%1."/>
      <w:lvlJc w:val="left"/>
      <w:pPr>
        <w:ind w:left="0" w:firstLine="0"/>
      </w:pPr>
      <w:rPr>
        <w:rFonts w:hint="eastAsia"/>
      </w:rPr>
    </w:lvl>
    <w:lvl w:ilvl="1" w:tentative="0">
      <w:start w:val="1"/>
      <w:numFmt w:val="decimal"/>
      <w:pStyle w:val="892"/>
      <w:suff w:val="nothing"/>
      <w:lvlText w:val="%1.%2."/>
      <w:lvlJc w:val="left"/>
      <w:pPr>
        <w:ind w:left="0" w:firstLine="0"/>
      </w:pPr>
      <w:rPr>
        <w:rFonts w:hint="eastAsia"/>
      </w:rPr>
    </w:lvl>
    <w:lvl w:ilvl="2" w:tentative="0">
      <w:start w:val="1"/>
      <w:numFmt w:val="decimal"/>
      <w:pStyle w:val="891"/>
      <w:suff w:val="nothing"/>
      <w:lvlText w:val="%1.%2.%3."/>
      <w:lvlJc w:val="left"/>
      <w:pPr>
        <w:ind w:left="852" w:firstLine="0"/>
      </w:pPr>
      <w:rPr>
        <w:rFonts w:ascii="Times New Roman" w:hAnsi="Times New Roman" w:cs="Times New Roman"/>
        <w:b w:val="0"/>
        <w:bCs w:val="0"/>
        <w:i w:val="0"/>
        <w:iCs w:val="0"/>
        <w:caps w:val="0"/>
        <w:smallCaps w:val="0"/>
        <w:strike w:val="0"/>
        <w:dstrike w:val="0"/>
        <w:outline w:val="0"/>
        <w:shadow w:val="0"/>
        <w:emboss w:val="0"/>
        <w:imprint w:val="0"/>
        <w:vanish w:val="0"/>
        <w:spacing w:val="0"/>
        <w:position w:val="0"/>
        <w:u w:val="none"/>
        <w:vertAlign w:val="baseline"/>
      </w:rPr>
    </w:lvl>
    <w:lvl w:ilvl="3" w:tentative="0">
      <w:start w:val="1"/>
      <w:numFmt w:val="decimal"/>
      <w:suff w:val="nothing"/>
      <w:lvlText w:val="%1.%2.%3.%4."/>
      <w:lvlJc w:val="left"/>
      <w:pPr>
        <w:ind w:left="0" w:firstLine="0"/>
      </w:pPr>
      <w:rPr>
        <w:rFonts w:hint="eastAsia"/>
        <w:b/>
      </w:rPr>
    </w:lvl>
    <w:lvl w:ilvl="4" w:tentative="0">
      <w:start w:val="1"/>
      <w:numFmt w:val="decimal"/>
      <w:lvlText w:val="%1.%2.%3.%4.%5."/>
      <w:lvlJc w:val="left"/>
      <w:pPr>
        <w:ind w:left="0" w:firstLine="0"/>
      </w:pPr>
      <w:rPr>
        <w:rFonts w:hint="eastAsia"/>
        <w:b/>
        <w:bCs/>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5">
    <w:nsid w:val="07724F5B"/>
    <w:multiLevelType w:val="multilevel"/>
    <w:tmpl w:val="07724F5B"/>
    <w:lvl w:ilvl="0" w:tentative="0">
      <w:start w:val="1"/>
      <w:numFmt w:val="decimal"/>
      <w:pStyle w:val="245"/>
      <w:lvlText w:val="%1"/>
      <w:lvlJc w:val="left"/>
      <w:pPr>
        <w:tabs>
          <w:tab w:val="left" w:pos="425"/>
        </w:tabs>
        <w:ind w:left="425" w:hanging="425"/>
      </w:pPr>
      <w:rPr>
        <w:rFonts w:cs="Times New Roman"/>
      </w:rPr>
    </w:lvl>
    <w:lvl w:ilvl="1" w:tentative="0">
      <w:start w:val="1"/>
      <w:numFmt w:val="decimal"/>
      <w:lvlText w:val="%1.%2"/>
      <w:lvlJc w:val="left"/>
      <w:pPr>
        <w:tabs>
          <w:tab w:val="left" w:pos="992"/>
        </w:tabs>
        <w:ind w:left="992" w:hanging="567"/>
      </w:pPr>
      <w:rPr>
        <w:rFonts w:cs="Times New Roman"/>
      </w:rPr>
    </w:lvl>
    <w:lvl w:ilvl="2" w:tentative="0">
      <w:start w:val="1"/>
      <w:numFmt w:val="decimal"/>
      <w:lvlText w:val="%1.%2.%3"/>
      <w:lvlJc w:val="left"/>
      <w:pPr>
        <w:tabs>
          <w:tab w:val="left" w:pos="1418"/>
        </w:tabs>
        <w:ind w:left="1418" w:hanging="567"/>
      </w:pPr>
      <w:rPr>
        <w:rFonts w:cs="Times New Roman"/>
      </w:rPr>
    </w:lvl>
    <w:lvl w:ilvl="3" w:tentative="0">
      <w:start w:val="1"/>
      <w:numFmt w:val="decimal"/>
      <w:pStyle w:val="196"/>
      <w:lvlText w:val="%1.%2.%3.%4"/>
      <w:lvlJc w:val="left"/>
      <w:pPr>
        <w:tabs>
          <w:tab w:val="left" w:pos="1984"/>
        </w:tabs>
        <w:ind w:left="1984" w:hanging="708"/>
      </w:pPr>
      <w:rPr>
        <w:rFonts w:cs="Times New Roman"/>
      </w:rPr>
    </w:lvl>
    <w:lvl w:ilvl="4" w:tentative="0">
      <w:start w:val="1"/>
      <w:numFmt w:val="decimal"/>
      <w:lvlText w:val="%1.%2.%3.%4.%5"/>
      <w:lvlJc w:val="left"/>
      <w:pPr>
        <w:tabs>
          <w:tab w:val="left" w:pos="2551"/>
        </w:tabs>
        <w:ind w:left="2551" w:hanging="850"/>
      </w:pPr>
      <w:rPr>
        <w:rFonts w:cs="Times New Roman"/>
      </w:rPr>
    </w:lvl>
    <w:lvl w:ilvl="5" w:tentative="0">
      <w:start w:val="1"/>
      <w:numFmt w:val="decimal"/>
      <w:lvlText w:val="%1.%2.%3.%4.%5.%6"/>
      <w:lvlJc w:val="left"/>
      <w:pPr>
        <w:tabs>
          <w:tab w:val="left" w:pos="3260"/>
        </w:tabs>
        <w:ind w:left="3260" w:hanging="1134"/>
      </w:pPr>
      <w:rPr>
        <w:rFonts w:cs="Times New Roman"/>
      </w:rPr>
    </w:lvl>
    <w:lvl w:ilvl="6" w:tentative="0">
      <w:start w:val="1"/>
      <w:numFmt w:val="decimal"/>
      <w:lvlText w:val="%1.%2.%3.%4.%5.%6.%7"/>
      <w:lvlJc w:val="left"/>
      <w:pPr>
        <w:tabs>
          <w:tab w:val="left" w:pos="3827"/>
        </w:tabs>
        <w:ind w:left="3827" w:hanging="1276"/>
      </w:pPr>
      <w:rPr>
        <w:rFonts w:cs="Times New Roman"/>
      </w:rPr>
    </w:lvl>
    <w:lvl w:ilvl="7" w:tentative="0">
      <w:start w:val="1"/>
      <w:numFmt w:val="decimal"/>
      <w:lvlText w:val="%1.%2.%3.%4.%5.%6.%7.%8"/>
      <w:lvlJc w:val="left"/>
      <w:pPr>
        <w:tabs>
          <w:tab w:val="left" w:pos="4394"/>
        </w:tabs>
        <w:ind w:left="4394" w:hanging="1418"/>
      </w:pPr>
      <w:rPr>
        <w:rFonts w:cs="Times New Roman"/>
      </w:rPr>
    </w:lvl>
    <w:lvl w:ilvl="8" w:tentative="0">
      <w:start w:val="1"/>
      <w:numFmt w:val="decimal"/>
      <w:lvlText w:val="%1.%2.%3.%4.%5.%6.%7.%8.%9"/>
      <w:lvlJc w:val="left"/>
      <w:pPr>
        <w:tabs>
          <w:tab w:val="left" w:pos="5102"/>
        </w:tabs>
        <w:ind w:left="5102" w:hanging="1700"/>
      </w:pPr>
      <w:rPr>
        <w:rFonts w:cs="Times New Roman"/>
      </w:rPr>
    </w:lvl>
  </w:abstractNum>
  <w:abstractNum w:abstractNumId="6">
    <w:nsid w:val="09BE6CC9"/>
    <w:multiLevelType w:val="multilevel"/>
    <w:tmpl w:val="09BE6CC9"/>
    <w:lvl w:ilvl="0" w:tentative="0">
      <w:start w:val="1"/>
      <w:numFmt w:val="chineseCounting"/>
      <w:suff w:val="nothing"/>
      <w:lvlText w:val="%1、"/>
      <w:lvlJc w:val="left"/>
      <w:pPr>
        <w:tabs>
          <w:tab w:val="left" w:pos="0"/>
        </w:tabs>
        <w:ind w:left="0" w:firstLine="0"/>
      </w:pPr>
      <w:rPr>
        <w:rFonts w:hint="eastAsia" w:ascii="黑体" w:hAnsi="黑体" w:eastAsia="黑体"/>
      </w:rPr>
    </w:lvl>
    <w:lvl w:ilvl="1" w:tentative="0">
      <w:start w:val="1"/>
      <w:numFmt w:val="chineseCounting"/>
      <w:suff w:val="nothing"/>
      <w:lvlText w:val="（%2）"/>
      <w:lvlJc w:val="left"/>
      <w:pPr>
        <w:tabs>
          <w:tab w:val="left" w:pos="0"/>
        </w:tabs>
        <w:ind w:left="0" w:firstLine="0"/>
      </w:pPr>
      <w:rPr>
        <w:rFonts w:hint="eastAsia" w:ascii="黑体" w:hAnsi="黑体" w:eastAsia="黑体"/>
      </w:rPr>
    </w:lvl>
    <w:lvl w:ilvl="2" w:tentative="0">
      <w:start w:val="1"/>
      <w:numFmt w:val="decimal"/>
      <w:pStyle w:val="4"/>
      <w:suff w:val="nothing"/>
      <w:lvlText w:val="%3．"/>
      <w:lvlJc w:val="left"/>
      <w:pPr>
        <w:ind w:left="0" w:firstLine="400"/>
      </w:pPr>
      <w:rPr>
        <w:rFonts w:hint="eastAsia" w:ascii="黑体" w:hAnsi="黑体" w:eastAsia="黑体"/>
      </w:rPr>
    </w:lvl>
    <w:lvl w:ilvl="3" w:tentative="0">
      <w:start w:val="1"/>
      <w:numFmt w:val="decimal"/>
      <w:pStyle w:val="7"/>
      <w:suff w:val="nothing"/>
      <w:lvlText w:val="（%4）"/>
      <w:lvlJc w:val="left"/>
      <w:pPr>
        <w:tabs>
          <w:tab w:val="left" w:pos="0"/>
        </w:tabs>
        <w:ind w:left="0" w:firstLine="402"/>
      </w:pPr>
      <w:rPr>
        <w:rFonts w:hint="eastAsia" w:ascii="黑体" w:hAnsi="黑体" w:eastAsia="黑体"/>
      </w:rPr>
    </w:lvl>
    <w:lvl w:ilvl="4" w:tentative="0">
      <w:start w:val="1"/>
      <w:numFmt w:val="decimalEnclosedCircleChinese"/>
      <w:pStyle w:val="9"/>
      <w:suff w:val="nothing"/>
      <w:lvlText w:val="%5"/>
      <w:lvlJc w:val="left"/>
      <w:pPr>
        <w:tabs>
          <w:tab w:val="left" w:pos="0"/>
        </w:tabs>
        <w:ind w:left="0" w:firstLine="402"/>
      </w:pPr>
      <w:rPr>
        <w:rFonts w:hint="eastAsia" w:ascii="黑体" w:hAnsi="黑体" w:eastAsia="黑体"/>
      </w:rPr>
    </w:lvl>
    <w:lvl w:ilvl="5" w:tentative="0">
      <w:start w:val="1"/>
      <w:numFmt w:val="decimal"/>
      <w:pStyle w:val="10"/>
      <w:suff w:val="nothing"/>
      <w:lvlText w:val="%6）"/>
      <w:lvlJc w:val="left"/>
      <w:pPr>
        <w:ind w:left="0" w:firstLine="402"/>
      </w:pPr>
      <w:rPr>
        <w:rFonts w:hint="eastAsia"/>
      </w:rPr>
    </w:lvl>
    <w:lvl w:ilvl="6" w:tentative="0">
      <w:start w:val="1"/>
      <w:numFmt w:val="lowerLetter"/>
      <w:pStyle w:val="11"/>
      <w:suff w:val="nothing"/>
      <w:lvlText w:val="%7．"/>
      <w:lvlJc w:val="left"/>
      <w:pPr>
        <w:ind w:left="0" w:firstLine="402"/>
      </w:pPr>
      <w:rPr>
        <w:rFonts w:hint="eastAsia"/>
      </w:rPr>
    </w:lvl>
    <w:lvl w:ilvl="7" w:tentative="0">
      <w:start w:val="1"/>
      <w:numFmt w:val="lowerLetter"/>
      <w:pStyle w:val="12"/>
      <w:suff w:val="nothing"/>
      <w:lvlText w:val="%8）"/>
      <w:lvlJc w:val="left"/>
      <w:pPr>
        <w:ind w:left="0" w:firstLine="402"/>
      </w:pPr>
      <w:rPr>
        <w:rFonts w:hint="eastAsia"/>
      </w:rPr>
    </w:lvl>
    <w:lvl w:ilvl="8" w:tentative="0">
      <w:start w:val="1"/>
      <w:numFmt w:val="lowerRoman"/>
      <w:pStyle w:val="6"/>
      <w:suff w:val="nothing"/>
      <w:lvlText w:val="%9 "/>
      <w:lvlJc w:val="left"/>
      <w:pPr>
        <w:ind w:left="0" w:firstLine="402"/>
      </w:pPr>
      <w:rPr>
        <w:rFonts w:hint="eastAsia"/>
      </w:rPr>
    </w:lvl>
  </w:abstractNum>
  <w:abstractNum w:abstractNumId="7">
    <w:nsid w:val="17DA37AD"/>
    <w:multiLevelType w:val="multilevel"/>
    <w:tmpl w:val="17DA37AD"/>
    <w:lvl w:ilvl="0" w:tentative="0">
      <w:start w:val="1"/>
      <w:numFmt w:val="decimal"/>
      <w:pStyle w:val="358"/>
      <w:lvlText w:val="%1."/>
      <w:lvlJc w:val="left"/>
      <w:pPr>
        <w:tabs>
          <w:tab w:val="left" w:pos="360"/>
        </w:tabs>
        <w:ind w:left="360" w:hanging="360"/>
      </w:pPr>
      <w:rPr>
        <w:rFonts w:hint="default" w:ascii="Times New Roman" w:hAnsi="Times New Roman"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8">
    <w:nsid w:val="2BBA491D"/>
    <w:multiLevelType w:val="multilevel"/>
    <w:tmpl w:val="2BBA491D"/>
    <w:lvl w:ilvl="0" w:tentative="0">
      <w:start w:val="1"/>
      <w:numFmt w:val="decimal"/>
      <w:pStyle w:val="354"/>
      <w:lvlText w:val="%1."/>
      <w:lvlJc w:val="left"/>
      <w:pPr>
        <w:tabs>
          <w:tab w:val="left" w:pos="360"/>
        </w:tabs>
        <w:ind w:left="360" w:hanging="360"/>
      </w:pPr>
      <w:rPr>
        <w:rFonts w:hint="default" w:ascii="Times New Roman" w:hAnsi="Times New Roman"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9">
    <w:nsid w:val="2E965F2D"/>
    <w:multiLevelType w:val="multilevel"/>
    <w:tmpl w:val="2E965F2D"/>
    <w:lvl w:ilvl="0" w:tentative="0">
      <w:start w:val="1"/>
      <w:numFmt w:val="decimal"/>
      <w:pStyle w:val="673"/>
      <w:lvlText w:val="%1."/>
      <w:lvlJc w:val="left"/>
      <w:pPr>
        <w:ind w:left="987" w:hanging="420"/>
      </w:pPr>
      <w:rPr>
        <w:rFonts w:hint="eastAsia"/>
      </w:rPr>
    </w:lvl>
    <w:lvl w:ilvl="1" w:tentative="0">
      <w:start w:val="1"/>
      <w:numFmt w:val="decimal"/>
      <w:pStyle w:val="671"/>
      <w:lvlText w:val="%1.%2"/>
      <w:lvlJc w:val="left"/>
      <w:pPr>
        <w:ind w:left="992" w:hanging="567"/>
      </w:pPr>
      <w:rPr>
        <w:rFonts w:hint="eastAsia"/>
      </w:rPr>
    </w:lvl>
    <w:lvl w:ilvl="2" w:tentative="0">
      <w:start w:val="1"/>
      <w:numFmt w:val="decimal"/>
      <w:pStyle w:val="681"/>
      <w:lvlText w:val="%1.%2.%3"/>
      <w:lvlJc w:val="left"/>
      <w:pPr>
        <w:ind w:left="2694" w:hanging="567"/>
      </w:pPr>
      <w:rPr>
        <w:rFonts w:hint="eastAsia"/>
      </w:rPr>
    </w:lvl>
    <w:lvl w:ilvl="3" w:tentative="0">
      <w:start w:val="1"/>
      <w:numFmt w:val="decimal"/>
      <w:pStyle w:val="683"/>
      <w:lvlText w:val="%1.%2.%3.%4"/>
      <w:lvlJc w:val="left"/>
      <w:pPr>
        <w:ind w:left="3119" w:hanging="708"/>
      </w:pPr>
      <w:rPr>
        <w:rFonts w:hint="eastAsia"/>
      </w:rPr>
    </w:lvl>
    <w:lvl w:ilvl="4" w:tentative="0">
      <w:start w:val="1"/>
      <w:numFmt w:val="decimal"/>
      <w:pStyle w:val="867"/>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0">
    <w:nsid w:val="301F4884"/>
    <w:multiLevelType w:val="multilevel"/>
    <w:tmpl w:val="301F4884"/>
    <w:lvl w:ilvl="0" w:tentative="0">
      <w:start w:val="2"/>
      <w:numFmt w:val="decimal"/>
      <w:pStyle w:val="413"/>
      <w:lvlText w:val="%1、"/>
      <w:lvlJc w:val="left"/>
      <w:pPr>
        <w:ind w:left="720" w:hanging="7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11">
    <w:nsid w:val="32EF3B4D"/>
    <w:multiLevelType w:val="multilevel"/>
    <w:tmpl w:val="32EF3B4D"/>
    <w:lvl w:ilvl="0" w:tentative="0">
      <w:start w:val="1"/>
      <w:numFmt w:val="decimal"/>
      <w:pStyle w:val="447"/>
      <w:lvlText w:val="%1."/>
      <w:lvlJc w:val="left"/>
      <w:pPr>
        <w:tabs>
          <w:tab w:val="left" w:pos="360"/>
        </w:tabs>
        <w:ind w:left="360" w:hanging="360"/>
      </w:pPr>
      <w:rPr>
        <w:rFonts w:hint="default" w:ascii="Times New Roman" w:hAnsi="Times New Roman"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2">
    <w:nsid w:val="3746462F"/>
    <w:multiLevelType w:val="multilevel"/>
    <w:tmpl w:val="3746462F"/>
    <w:lvl w:ilvl="0" w:tentative="0">
      <w:start w:val="1"/>
      <w:numFmt w:val="decimal"/>
      <w:pStyle w:val="851"/>
      <w:lvlText w:val="%1."/>
      <w:lvlJc w:val="left"/>
      <w:pPr>
        <w:tabs>
          <w:tab w:val="left" w:pos="360"/>
        </w:tabs>
        <w:ind w:left="360" w:hanging="360"/>
      </w:pPr>
    </w:lvl>
    <w:lvl w:ilvl="1" w:tentative="0">
      <w:start w:val="1"/>
      <w:numFmt w:val="lowerLetter"/>
      <w:pStyle w:val="856"/>
      <w:lvlText w:val="%2)"/>
      <w:lvlJc w:val="left"/>
      <w:pPr>
        <w:tabs>
          <w:tab w:val="left" w:pos="360"/>
        </w:tabs>
        <w:ind w:left="360" w:hanging="360"/>
      </w:pPr>
    </w:lvl>
    <w:lvl w:ilvl="2" w:tentative="0">
      <w:start w:val="1"/>
      <w:numFmt w:val="lowerRoman"/>
      <w:pStyle w:val="857"/>
      <w:lvlText w:val="%3)"/>
      <w:lvlJc w:val="left"/>
      <w:pPr>
        <w:tabs>
          <w:tab w:val="left" w:pos="720"/>
        </w:tabs>
        <w:ind w:left="360" w:hanging="360"/>
      </w:pPr>
    </w:lvl>
    <w:lvl w:ilvl="3" w:tentative="0">
      <w:start w:val="1"/>
      <w:numFmt w:val="none"/>
      <w:lvlText w:val=""/>
      <w:lvlJc w:val="left"/>
      <w:pPr>
        <w:tabs>
          <w:tab w:val="left" w:pos="1440"/>
        </w:tabs>
        <w:ind w:left="1440" w:hanging="360"/>
      </w:pPr>
    </w:lvl>
    <w:lvl w:ilvl="4" w:tentative="0">
      <w:start w:val="1"/>
      <w:numFmt w:val="none"/>
      <w:lvlText w:val=""/>
      <w:lvlJc w:val="left"/>
      <w:pPr>
        <w:tabs>
          <w:tab w:val="left" w:pos="1800"/>
        </w:tabs>
        <w:ind w:left="1800" w:hanging="360"/>
      </w:pPr>
    </w:lvl>
    <w:lvl w:ilvl="5" w:tentative="0">
      <w:start w:val="1"/>
      <w:numFmt w:val="none"/>
      <w:lvlText w:val=""/>
      <w:lvlJc w:val="left"/>
      <w:pPr>
        <w:tabs>
          <w:tab w:val="left" w:pos="2160"/>
        </w:tabs>
        <w:ind w:left="2160" w:hanging="360"/>
      </w:pPr>
    </w:lvl>
    <w:lvl w:ilvl="6" w:tentative="0">
      <w:start w:val="1"/>
      <w:numFmt w:val="none"/>
      <w:lvlText w:val=""/>
      <w:lvlJc w:val="left"/>
      <w:pPr>
        <w:tabs>
          <w:tab w:val="left" w:pos="2520"/>
        </w:tabs>
        <w:ind w:left="2520" w:hanging="360"/>
      </w:pPr>
    </w:lvl>
    <w:lvl w:ilvl="7" w:tentative="0">
      <w:start w:val="1"/>
      <w:numFmt w:val="none"/>
      <w:lvlText w:val=""/>
      <w:lvlJc w:val="left"/>
      <w:pPr>
        <w:tabs>
          <w:tab w:val="left" w:pos="2880"/>
        </w:tabs>
        <w:ind w:left="2880" w:hanging="360"/>
      </w:pPr>
    </w:lvl>
    <w:lvl w:ilvl="8" w:tentative="0">
      <w:start w:val="1"/>
      <w:numFmt w:val="none"/>
      <w:lvlText w:val=""/>
      <w:lvlJc w:val="left"/>
      <w:pPr>
        <w:tabs>
          <w:tab w:val="left" w:pos="3240"/>
        </w:tabs>
        <w:ind w:left="3240" w:hanging="360"/>
      </w:pPr>
    </w:lvl>
  </w:abstractNum>
  <w:abstractNum w:abstractNumId="13">
    <w:nsid w:val="3B0163A1"/>
    <w:multiLevelType w:val="multilevel"/>
    <w:tmpl w:val="3B0163A1"/>
    <w:lvl w:ilvl="0" w:tentative="0">
      <w:start w:val="1"/>
      <w:numFmt w:val="decimal"/>
      <w:lvlText w:val="%1."/>
      <w:lvlJc w:val="left"/>
      <w:pPr>
        <w:tabs>
          <w:tab w:val="left" w:pos="360"/>
        </w:tabs>
        <w:ind w:left="360" w:hanging="360"/>
      </w:pPr>
      <w:rPr>
        <w:rFonts w:hint="default" w:cs="Times New Roman"/>
      </w:rPr>
    </w:lvl>
    <w:lvl w:ilvl="1" w:tentative="0">
      <w:start w:val="1"/>
      <w:numFmt w:val="decimal"/>
      <w:pStyle w:val="453"/>
      <w:lvlText w:val="(%2)"/>
      <w:lvlJc w:val="left"/>
      <w:pPr>
        <w:tabs>
          <w:tab w:val="left" w:pos="840"/>
        </w:tabs>
        <w:ind w:left="840" w:hanging="420"/>
      </w:pPr>
      <w:rPr>
        <w:rFonts w:hint="default" w:hAnsi="宋体" w:cs="宋体"/>
        <w:b w:val="0"/>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4">
    <w:nsid w:val="4185C42F"/>
    <w:multiLevelType w:val="singleLevel"/>
    <w:tmpl w:val="4185C42F"/>
    <w:lvl w:ilvl="0" w:tentative="0">
      <w:start w:val="1"/>
      <w:numFmt w:val="bullet"/>
      <w:pStyle w:val="26"/>
      <w:lvlText w:val=""/>
      <w:lvlJc w:val="left"/>
      <w:pPr>
        <w:tabs>
          <w:tab w:val="left" w:pos="1200"/>
        </w:tabs>
        <w:ind w:left="1200" w:hanging="360"/>
      </w:pPr>
      <w:rPr>
        <w:rFonts w:hint="default" w:ascii="Wingdings" w:hAnsi="Wingdings"/>
      </w:rPr>
    </w:lvl>
  </w:abstractNum>
  <w:abstractNum w:abstractNumId="15">
    <w:nsid w:val="42E45F04"/>
    <w:multiLevelType w:val="multilevel"/>
    <w:tmpl w:val="42E45F04"/>
    <w:lvl w:ilvl="0" w:tentative="0">
      <w:start w:val="1"/>
      <w:numFmt w:val="decimal"/>
      <w:pStyle w:val="465"/>
      <w:lvlText w:val="%1．"/>
      <w:lvlJc w:val="left"/>
      <w:pPr>
        <w:tabs>
          <w:tab w:val="left" w:pos="360"/>
        </w:tabs>
        <w:ind w:left="360" w:hanging="360"/>
      </w:pPr>
      <w:rPr>
        <w:rFonts w:hint="default"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6">
    <w:nsid w:val="44BC128B"/>
    <w:multiLevelType w:val="multilevel"/>
    <w:tmpl w:val="44BC128B"/>
    <w:lvl w:ilvl="0" w:tentative="0">
      <w:start w:val="1"/>
      <w:numFmt w:val="bullet"/>
      <w:pStyle w:val="701"/>
      <w:lvlText w:val=""/>
      <w:lvlJc w:val="left"/>
      <w:pPr>
        <w:tabs>
          <w:tab w:val="left" w:pos="360"/>
        </w:tabs>
        <w:ind w:left="360" w:hanging="360"/>
      </w:pPr>
      <w:rPr>
        <w:rFonts w:hint="default" w:ascii="Symbol" w:hAnsi="Symbol"/>
      </w:rPr>
    </w:lvl>
    <w:lvl w:ilvl="1" w:tentative="0">
      <w:start w:val="1"/>
      <w:numFmt w:val="bullet"/>
      <w:lvlText w:val="o"/>
      <w:lvlJc w:val="left"/>
      <w:pPr>
        <w:tabs>
          <w:tab w:val="left" w:pos="1080"/>
        </w:tabs>
        <w:ind w:left="1080" w:hanging="360"/>
      </w:pPr>
      <w:rPr>
        <w:rFonts w:hint="default" w:ascii="Courier New" w:hAnsi="Courier New" w:cs="Courier New"/>
      </w:rPr>
    </w:lvl>
    <w:lvl w:ilvl="2" w:tentative="0">
      <w:start w:val="1"/>
      <w:numFmt w:val="bullet"/>
      <w:lvlText w:val=""/>
      <w:lvlJc w:val="left"/>
      <w:pPr>
        <w:tabs>
          <w:tab w:val="left" w:pos="1800"/>
        </w:tabs>
        <w:ind w:left="1800" w:hanging="360"/>
      </w:pPr>
      <w:rPr>
        <w:rFonts w:hint="default" w:ascii="Wingdings" w:hAnsi="Wingdings"/>
      </w:rPr>
    </w:lvl>
    <w:lvl w:ilvl="3" w:tentative="0">
      <w:start w:val="1"/>
      <w:numFmt w:val="bullet"/>
      <w:lvlText w:val=""/>
      <w:lvlJc w:val="left"/>
      <w:pPr>
        <w:tabs>
          <w:tab w:val="left" w:pos="2520"/>
        </w:tabs>
        <w:ind w:left="2520" w:hanging="360"/>
      </w:pPr>
      <w:rPr>
        <w:rFonts w:hint="default" w:ascii="Symbol" w:hAnsi="Symbol"/>
      </w:rPr>
    </w:lvl>
    <w:lvl w:ilvl="4" w:tentative="0">
      <w:start w:val="1"/>
      <w:numFmt w:val="bullet"/>
      <w:lvlText w:val="o"/>
      <w:lvlJc w:val="left"/>
      <w:pPr>
        <w:tabs>
          <w:tab w:val="left" w:pos="3240"/>
        </w:tabs>
        <w:ind w:left="3240" w:hanging="360"/>
      </w:pPr>
      <w:rPr>
        <w:rFonts w:hint="default" w:ascii="Courier New" w:hAnsi="Courier New" w:cs="Courier New"/>
      </w:rPr>
    </w:lvl>
    <w:lvl w:ilvl="5" w:tentative="0">
      <w:start w:val="1"/>
      <w:numFmt w:val="bullet"/>
      <w:lvlText w:val=""/>
      <w:lvlJc w:val="left"/>
      <w:pPr>
        <w:tabs>
          <w:tab w:val="left" w:pos="3960"/>
        </w:tabs>
        <w:ind w:left="3960" w:hanging="360"/>
      </w:pPr>
      <w:rPr>
        <w:rFonts w:hint="default" w:ascii="Wingdings" w:hAnsi="Wingdings"/>
      </w:rPr>
    </w:lvl>
    <w:lvl w:ilvl="6" w:tentative="0">
      <w:start w:val="1"/>
      <w:numFmt w:val="bullet"/>
      <w:lvlText w:val=""/>
      <w:lvlJc w:val="left"/>
      <w:pPr>
        <w:tabs>
          <w:tab w:val="left" w:pos="4680"/>
        </w:tabs>
        <w:ind w:left="4680" w:hanging="360"/>
      </w:pPr>
      <w:rPr>
        <w:rFonts w:hint="default" w:ascii="Symbol" w:hAnsi="Symbol"/>
      </w:rPr>
    </w:lvl>
    <w:lvl w:ilvl="7" w:tentative="0">
      <w:start w:val="1"/>
      <w:numFmt w:val="bullet"/>
      <w:lvlText w:val="o"/>
      <w:lvlJc w:val="left"/>
      <w:pPr>
        <w:tabs>
          <w:tab w:val="left" w:pos="5400"/>
        </w:tabs>
        <w:ind w:left="5400" w:hanging="360"/>
      </w:pPr>
      <w:rPr>
        <w:rFonts w:hint="default" w:ascii="Courier New" w:hAnsi="Courier New" w:cs="Courier New"/>
      </w:rPr>
    </w:lvl>
    <w:lvl w:ilvl="8" w:tentative="0">
      <w:start w:val="1"/>
      <w:numFmt w:val="bullet"/>
      <w:lvlText w:val=""/>
      <w:lvlJc w:val="left"/>
      <w:pPr>
        <w:tabs>
          <w:tab w:val="left" w:pos="6120"/>
        </w:tabs>
        <w:ind w:left="6120" w:hanging="360"/>
      </w:pPr>
      <w:rPr>
        <w:rFonts w:hint="default" w:ascii="Wingdings" w:hAnsi="Wingdings"/>
      </w:rPr>
    </w:lvl>
  </w:abstractNum>
  <w:abstractNum w:abstractNumId="17">
    <w:nsid w:val="48174DE5"/>
    <w:multiLevelType w:val="multilevel"/>
    <w:tmpl w:val="48174DE5"/>
    <w:lvl w:ilvl="0" w:tentative="0">
      <w:start w:val="1"/>
      <w:numFmt w:val="decimal"/>
      <w:pStyle w:val="174"/>
      <w:lvlText w:val="%1、"/>
      <w:lvlJc w:val="left"/>
      <w:pPr>
        <w:tabs>
          <w:tab w:val="left" w:pos="360"/>
        </w:tabs>
        <w:ind w:left="360" w:hanging="360"/>
      </w:pPr>
      <w:rPr>
        <w:rFonts w:hint="default" w:cs="Times New Roman"/>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8">
    <w:nsid w:val="4B9D13A2"/>
    <w:multiLevelType w:val="multilevel"/>
    <w:tmpl w:val="4B9D13A2"/>
    <w:lvl w:ilvl="0" w:tentative="0">
      <w:start w:val="1"/>
      <w:numFmt w:val="bullet"/>
      <w:pStyle w:val="162"/>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9">
    <w:nsid w:val="522F0A5E"/>
    <w:multiLevelType w:val="multilevel"/>
    <w:tmpl w:val="522F0A5E"/>
    <w:lvl w:ilvl="0" w:tentative="0">
      <w:start w:val="1"/>
      <w:numFmt w:val="bullet"/>
      <w:pStyle w:val="831"/>
      <w:lvlText w:val=""/>
      <w:lvlJc w:val="left"/>
      <w:pPr>
        <w:tabs>
          <w:tab w:val="left" w:pos="360"/>
        </w:tabs>
        <w:ind w:left="360" w:hanging="360"/>
      </w:pPr>
      <w:rPr>
        <w:rFonts w:hint="default" w:ascii="Wingdings" w:hAnsi="Wingdings"/>
        <w:b w:val="0"/>
        <w:i w:val="0"/>
        <w:color w:val="CC9900"/>
        <w:sz w:val="20"/>
      </w:rPr>
    </w:lvl>
    <w:lvl w:ilvl="1" w:tentative="0">
      <w:start w:val="1"/>
      <w:numFmt w:val="decimal"/>
      <w:lvlText w:val="%2."/>
      <w:lvlJc w:val="left"/>
      <w:pPr>
        <w:tabs>
          <w:tab w:val="left" w:pos="1440"/>
        </w:tabs>
        <w:ind w:left="1440" w:hanging="360"/>
      </w:p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20">
    <w:nsid w:val="52CC104B"/>
    <w:multiLevelType w:val="multilevel"/>
    <w:tmpl w:val="52CC104B"/>
    <w:lvl w:ilvl="0" w:tentative="0">
      <w:start w:val="1"/>
      <w:numFmt w:val="decimal"/>
      <w:pStyle w:val="356"/>
      <w:lvlText w:val="%1."/>
      <w:lvlJc w:val="left"/>
      <w:pPr>
        <w:tabs>
          <w:tab w:val="left" w:pos="360"/>
        </w:tabs>
        <w:ind w:left="360" w:hanging="360"/>
      </w:pPr>
      <w:rPr>
        <w:rFonts w:hint="default" w:ascii="Times New Roman" w:hAnsi="Times New Roman"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21">
    <w:nsid w:val="54DE11A5"/>
    <w:multiLevelType w:val="multilevel"/>
    <w:tmpl w:val="54DE11A5"/>
    <w:lvl w:ilvl="0" w:tentative="0">
      <w:start w:val="1"/>
      <w:numFmt w:val="bullet"/>
      <w:pStyle w:val="761"/>
      <w:lvlText w:val=""/>
      <w:lvlJc w:val="left"/>
      <w:pPr>
        <w:tabs>
          <w:tab w:val="left" w:pos="360"/>
        </w:tabs>
        <w:ind w:left="360" w:hanging="360"/>
      </w:pPr>
      <w:rPr>
        <w:rFonts w:hint="default" w:ascii="Symbol" w:hAnsi="Symbol"/>
        <w:color w:val="auto"/>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22">
    <w:nsid w:val="63075CD5"/>
    <w:multiLevelType w:val="singleLevel"/>
    <w:tmpl w:val="63075CD5"/>
    <w:lvl w:ilvl="0" w:tentative="0">
      <w:start w:val="1"/>
      <w:numFmt w:val="bullet"/>
      <w:pStyle w:val="865"/>
      <w:lvlText w:val=""/>
      <w:lvlJc w:val="left"/>
      <w:pPr>
        <w:tabs>
          <w:tab w:val="left" w:pos="1440"/>
        </w:tabs>
        <w:ind w:left="1440" w:hanging="360"/>
      </w:pPr>
      <w:rPr>
        <w:rFonts w:hint="default" w:ascii="Symbol" w:hAnsi="Symbol"/>
        <w:b w:val="0"/>
        <w:i w:val="0"/>
        <w:sz w:val="12"/>
      </w:rPr>
    </w:lvl>
  </w:abstractNum>
  <w:abstractNum w:abstractNumId="23">
    <w:nsid w:val="68070870"/>
    <w:multiLevelType w:val="singleLevel"/>
    <w:tmpl w:val="68070870"/>
    <w:lvl w:ilvl="0" w:tentative="0">
      <w:start w:val="1"/>
      <w:numFmt w:val="decimal"/>
      <w:suff w:val="nothing"/>
      <w:lvlText w:val="%1"/>
      <w:lvlJc w:val="left"/>
      <w:pPr>
        <w:tabs>
          <w:tab w:val="left" w:pos="0"/>
        </w:tabs>
        <w:ind w:left="425" w:leftChars="0" w:hanging="425" w:firstLineChars="0"/>
      </w:pPr>
      <w:rPr>
        <w:rFonts w:hint="default"/>
      </w:rPr>
    </w:lvl>
  </w:abstractNum>
  <w:abstractNum w:abstractNumId="24">
    <w:nsid w:val="6D1D48D6"/>
    <w:multiLevelType w:val="multilevel"/>
    <w:tmpl w:val="6D1D48D6"/>
    <w:lvl w:ilvl="0" w:tentative="0">
      <w:start w:val="1"/>
      <w:numFmt w:val="decimal"/>
      <w:pStyle w:val="386"/>
      <w:lvlText w:val="%1."/>
      <w:lvlJc w:val="left"/>
      <w:pPr>
        <w:tabs>
          <w:tab w:val="left" w:pos="360"/>
        </w:tabs>
        <w:ind w:left="360" w:hanging="360"/>
      </w:pPr>
      <w:rPr>
        <w:rFonts w:hint="default" w:ascii="Times New Roman" w:hAnsi="Times New Roman"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25">
    <w:nsid w:val="6E2143A3"/>
    <w:multiLevelType w:val="multilevel"/>
    <w:tmpl w:val="6E2143A3"/>
    <w:lvl w:ilvl="0" w:tentative="0">
      <w:start w:val="1"/>
      <w:numFmt w:val="bullet"/>
      <w:pStyle w:val="147"/>
      <w:lvlText w:val=""/>
      <w:lvlJc w:val="left"/>
      <w:pPr>
        <w:tabs>
          <w:tab w:val="left" w:pos="840"/>
        </w:tabs>
        <w:ind w:left="840" w:hanging="420"/>
      </w:pPr>
      <w:rPr>
        <w:rFonts w:hint="default" w:ascii="Symbol" w:hAnsi="Symbol"/>
        <w:color w:val="auto"/>
        <w:sz w:val="24"/>
      </w:rPr>
    </w:lvl>
    <w:lvl w:ilvl="1" w:tentative="0">
      <w:start w:val="1"/>
      <w:numFmt w:val="decimal"/>
      <w:lvlText w:val="%2)"/>
      <w:lvlJc w:val="left"/>
      <w:pPr>
        <w:tabs>
          <w:tab w:val="left" w:pos="840"/>
        </w:tabs>
        <w:ind w:left="840" w:hanging="420"/>
      </w:pPr>
      <w:rPr>
        <w:rFonts w:cs="Times New Roman"/>
      </w:rPr>
    </w:lvl>
    <w:lvl w:ilvl="2" w:tentative="0">
      <w:start w:val="1"/>
      <w:numFmt w:val="japaneseCounting"/>
      <w:pStyle w:val="298"/>
      <w:lvlText w:val="（%3）"/>
      <w:lvlJc w:val="left"/>
      <w:pPr>
        <w:tabs>
          <w:tab w:val="left" w:pos="1560"/>
        </w:tabs>
        <w:ind w:left="1560" w:hanging="720"/>
      </w:pPr>
      <w:rPr>
        <w:rFonts w:hint="eastAsia" w:cs="Times New Roman"/>
      </w:rPr>
    </w:lvl>
    <w:lvl w:ilvl="3" w:tentative="0">
      <w:start w:val="1"/>
      <w:numFmt w:val="decimal"/>
      <w:pStyle w:val="186"/>
      <w:lvlText w:val="%4)"/>
      <w:lvlJc w:val="left"/>
      <w:pPr>
        <w:tabs>
          <w:tab w:val="left" w:pos="1680"/>
        </w:tabs>
        <w:ind w:left="1680" w:hanging="420"/>
      </w:pPr>
      <w:rPr>
        <w:rFonts w:cs="Times New Roman"/>
      </w:rPr>
    </w:lvl>
    <w:lvl w:ilvl="4" w:tentative="0">
      <w:start w:val="1"/>
      <w:numFmt w:val="decimal"/>
      <w:lvlText w:val="（%5）"/>
      <w:lvlJc w:val="left"/>
      <w:pPr>
        <w:tabs>
          <w:tab w:val="left" w:pos="2865"/>
        </w:tabs>
        <w:ind w:left="2865" w:hanging="1185"/>
      </w:pPr>
      <w:rPr>
        <w:rFonts w:hint="eastAsia" w:cs="Times New Roman"/>
      </w:rPr>
    </w:lvl>
    <w:lvl w:ilvl="5" w:tentative="0">
      <w:start w:val="1"/>
      <w:numFmt w:val="decimal"/>
      <w:lvlText w:val="%6）"/>
      <w:lvlJc w:val="left"/>
      <w:pPr>
        <w:tabs>
          <w:tab w:val="left" w:pos="2460"/>
        </w:tabs>
        <w:ind w:left="2460" w:hanging="360"/>
      </w:pPr>
      <w:rPr>
        <w:rFonts w:hint="eastAsia" w:cs="Times New Roman"/>
      </w:rPr>
    </w:lvl>
    <w:lvl w:ilvl="6" w:tentative="0">
      <w:start w:val="1"/>
      <w:numFmt w:val="decimal"/>
      <w:lvlText w:val="%7、"/>
      <w:lvlJc w:val="left"/>
      <w:pPr>
        <w:tabs>
          <w:tab w:val="left" w:pos="3465"/>
        </w:tabs>
        <w:ind w:left="3465" w:hanging="945"/>
      </w:pPr>
      <w:rPr>
        <w:rFonts w:hint="eastAsia" w:cs="Times New Roman"/>
      </w:rPr>
    </w:lvl>
    <w:lvl w:ilvl="7" w:tentative="0">
      <w:start w:val="3"/>
      <w:numFmt w:val="japaneseCounting"/>
      <w:lvlText w:val="%8、"/>
      <w:lvlJc w:val="left"/>
      <w:pPr>
        <w:tabs>
          <w:tab w:val="left" w:pos="3660"/>
        </w:tabs>
        <w:ind w:left="3660" w:hanging="720"/>
      </w:pPr>
      <w:rPr>
        <w:rFonts w:hint="default" w:cs="Times New Roman"/>
      </w:rPr>
    </w:lvl>
    <w:lvl w:ilvl="8" w:tentative="0">
      <w:start w:val="2"/>
      <w:numFmt w:val="decimal"/>
      <w:lvlText w:val="%9．"/>
      <w:lvlJc w:val="left"/>
      <w:pPr>
        <w:tabs>
          <w:tab w:val="left" w:pos="3720"/>
        </w:tabs>
        <w:ind w:left="3720" w:hanging="360"/>
      </w:pPr>
      <w:rPr>
        <w:rFonts w:hint="default" w:cs="Times New Roman"/>
      </w:rPr>
    </w:lvl>
  </w:abstractNum>
  <w:abstractNum w:abstractNumId="26">
    <w:nsid w:val="7B151701"/>
    <w:multiLevelType w:val="multilevel"/>
    <w:tmpl w:val="7B151701"/>
    <w:lvl w:ilvl="0" w:tentative="0">
      <w:start w:val="1"/>
      <w:numFmt w:val="decimal"/>
      <w:lvlText w:val="%1."/>
      <w:lvlJc w:val="left"/>
      <w:pPr>
        <w:tabs>
          <w:tab w:val="left" w:pos="0"/>
        </w:tabs>
        <w:ind w:left="420" w:hanging="420"/>
      </w:pPr>
      <w:rPr>
        <w:rFonts w:hint="eastAsia" w:cs="Times New Roman"/>
      </w:rPr>
    </w:lvl>
    <w:lvl w:ilvl="1" w:tentative="0">
      <w:start w:val="1"/>
      <w:numFmt w:val="decimal"/>
      <w:pStyle w:val="535"/>
      <w:lvlText w:val="%1.%2"/>
      <w:lvlJc w:val="left"/>
      <w:pPr>
        <w:tabs>
          <w:tab w:val="left" w:pos="700"/>
        </w:tabs>
        <w:ind w:left="700" w:hanging="700"/>
      </w:pPr>
      <w:rPr>
        <w:rFonts w:hint="eastAsia" w:cs="Times New Roman"/>
      </w:rPr>
    </w:lvl>
    <w:lvl w:ilvl="2" w:tentative="0">
      <w:start w:val="1"/>
      <w:numFmt w:val="decimal"/>
      <w:lvlText w:val="%1.%2.%3"/>
      <w:lvlJc w:val="left"/>
      <w:pPr>
        <w:tabs>
          <w:tab w:val="left" w:pos="0"/>
        </w:tabs>
        <w:ind w:left="1418" w:hanging="1418"/>
      </w:pPr>
      <w:rPr>
        <w:rFonts w:hint="eastAsia" w:cs="Times New Roman"/>
      </w:rPr>
    </w:lvl>
    <w:lvl w:ilvl="3" w:tentative="0">
      <w:start w:val="1"/>
      <w:numFmt w:val="decimal"/>
      <w:lvlText w:val="%1.%2.%3.%4"/>
      <w:lvlJc w:val="left"/>
      <w:pPr>
        <w:tabs>
          <w:tab w:val="left" w:pos="0"/>
        </w:tabs>
        <w:ind w:left="1984" w:hanging="1984"/>
      </w:pPr>
      <w:rPr>
        <w:rFonts w:hint="eastAsia" w:cs="Times New Roman"/>
      </w:rPr>
    </w:lvl>
    <w:lvl w:ilvl="4" w:tentative="0">
      <w:start w:val="1"/>
      <w:numFmt w:val="decimal"/>
      <w:lvlText w:val="%1.%2.%3.%4.%5"/>
      <w:lvlJc w:val="left"/>
      <w:pPr>
        <w:tabs>
          <w:tab w:val="left" w:pos="2551"/>
        </w:tabs>
        <w:ind w:left="2551" w:hanging="850"/>
      </w:pPr>
      <w:rPr>
        <w:rFonts w:hint="eastAsia" w:cs="Times New Roman"/>
      </w:rPr>
    </w:lvl>
    <w:lvl w:ilvl="5" w:tentative="0">
      <w:start w:val="1"/>
      <w:numFmt w:val="decimal"/>
      <w:lvlText w:val="%1.%2.%3.%4.%5.%6"/>
      <w:lvlJc w:val="left"/>
      <w:pPr>
        <w:tabs>
          <w:tab w:val="left" w:pos="3260"/>
        </w:tabs>
        <w:ind w:left="3260" w:hanging="1134"/>
      </w:pPr>
      <w:rPr>
        <w:rFonts w:hint="eastAsia" w:cs="Times New Roman"/>
      </w:rPr>
    </w:lvl>
    <w:lvl w:ilvl="6" w:tentative="0">
      <w:start w:val="1"/>
      <w:numFmt w:val="decimal"/>
      <w:lvlText w:val="%1.%2.%3.%4.%5.%6.%7"/>
      <w:lvlJc w:val="left"/>
      <w:pPr>
        <w:tabs>
          <w:tab w:val="left" w:pos="3827"/>
        </w:tabs>
        <w:ind w:left="3827" w:hanging="1276"/>
      </w:pPr>
      <w:rPr>
        <w:rFonts w:hint="eastAsia" w:cs="Times New Roman"/>
      </w:rPr>
    </w:lvl>
    <w:lvl w:ilvl="7" w:tentative="0">
      <w:start w:val="1"/>
      <w:numFmt w:val="decimal"/>
      <w:lvlText w:val="%1.%2.%3.%4.%5.%6.%7.%8"/>
      <w:lvlJc w:val="left"/>
      <w:pPr>
        <w:tabs>
          <w:tab w:val="left" w:pos="4394"/>
        </w:tabs>
        <w:ind w:left="4394" w:hanging="1418"/>
      </w:pPr>
      <w:rPr>
        <w:rFonts w:hint="eastAsia" w:cs="Times New Roman"/>
      </w:rPr>
    </w:lvl>
    <w:lvl w:ilvl="8" w:tentative="0">
      <w:start w:val="1"/>
      <w:numFmt w:val="decimal"/>
      <w:lvlText w:val="%1.%2.%3.%4.%5.%6.%7.%8.%9"/>
      <w:lvlJc w:val="left"/>
      <w:pPr>
        <w:tabs>
          <w:tab w:val="left" w:pos="5102"/>
        </w:tabs>
        <w:ind w:left="5102" w:hanging="1700"/>
      </w:pPr>
      <w:rPr>
        <w:rFonts w:hint="eastAsia" w:cs="Times New Roman"/>
      </w:rPr>
    </w:lvl>
  </w:abstractNum>
  <w:num w:numId="1">
    <w:abstractNumId w:val="6"/>
  </w:num>
  <w:num w:numId="2">
    <w:abstractNumId w:val="0"/>
  </w:num>
  <w:num w:numId="3">
    <w:abstractNumId w:val="3"/>
  </w:num>
  <w:num w:numId="4">
    <w:abstractNumId w:val="14"/>
  </w:num>
  <w:num w:numId="5">
    <w:abstractNumId w:val="1"/>
  </w:num>
  <w:num w:numId="6">
    <w:abstractNumId w:val="2"/>
  </w:num>
  <w:num w:numId="7">
    <w:abstractNumId w:val="25"/>
  </w:num>
  <w:num w:numId="8">
    <w:abstractNumId w:val="18"/>
  </w:num>
  <w:num w:numId="9">
    <w:abstractNumId w:val="17"/>
  </w:num>
  <w:num w:numId="10">
    <w:abstractNumId w:val="5"/>
  </w:num>
  <w:num w:numId="11">
    <w:abstractNumId w:val="8"/>
  </w:num>
  <w:num w:numId="12">
    <w:abstractNumId w:val="20"/>
  </w:num>
  <w:num w:numId="13">
    <w:abstractNumId w:val="7"/>
  </w:num>
  <w:num w:numId="14">
    <w:abstractNumId w:val="24"/>
  </w:num>
  <w:num w:numId="15">
    <w:abstractNumId w:val="10"/>
  </w:num>
  <w:num w:numId="16">
    <w:abstractNumId w:val="11"/>
  </w:num>
  <w:num w:numId="17">
    <w:abstractNumId w:val="13"/>
  </w:num>
  <w:num w:numId="18">
    <w:abstractNumId w:val="15"/>
  </w:num>
  <w:num w:numId="19">
    <w:abstractNumId w:val="26"/>
  </w:num>
  <w:num w:numId="20">
    <w:abstractNumId w:val="9"/>
  </w:num>
  <w:num w:numId="21">
    <w:abstractNumId w:val="16"/>
  </w:num>
  <w:num w:numId="22">
    <w:abstractNumId w:val="21"/>
  </w:num>
  <w:num w:numId="23">
    <w:abstractNumId w:val="19"/>
  </w:num>
  <w:num w:numId="24">
    <w:abstractNumId w:val="12"/>
  </w:num>
  <w:num w:numId="25">
    <w:abstractNumId w:val="22"/>
  </w:num>
  <w:num w:numId="26">
    <w:abstractNumId w:val="4"/>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removePersonalInformation/>
  <w:displayBackgroundShape w:val="1"/>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E1ZjcyZGNmODdjYTYzN2QxZDRmN2EyZjUzOTIwNzMifQ=="/>
  </w:docVars>
  <w:rsids>
    <w:rsidRoot w:val="0018706E"/>
    <w:rsid w:val="00004AB6"/>
    <w:rsid w:val="0000646B"/>
    <w:rsid w:val="00007388"/>
    <w:rsid w:val="00010118"/>
    <w:rsid w:val="00010DC1"/>
    <w:rsid w:val="00013E49"/>
    <w:rsid w:val="00014059"/>
    <w:rsid w:val="0001485F"/>
    <w:rsid w:val="0001531B"/>
    <w:rsid w:val="00017A64"/>
    <w:rsid w:val="00017B07"/>
    <w:rsid w:val="00021687"/>
    <w:rsid w:val="0002385C"/>
    <w:rsid w:val="000263BB"/>
    <w:rsid w:val="0003085D"/>
    <w:rsid w:val="00030C77"/>
    <w:rsid w:val="00030FE3"/>
    <w:rsid w:val="0003207D"/>
    <w:rsid w:val="00035255"/>
    <w:rsid w:val="00035BB1"/>
    <w:rsid w:val="00037C9D"/>
    <w:rsid w:val="00042D24"/>
    <w:rsid w:val="00044243"/>
    <w:rsid w:val="00044278"/>
    <w:rsid w:val="000449CB"/>
    <w:rsid w:val="00044ACA"/>
    <w:rsid w:val="00046FE0"/>
    <w:rsid w:val="000548FE"/>
    <w:rsid w:val="00055B69"/>
    <w:rsid w:val="000577AF"/>
    <w:rsid w:val="0005784B"/>
    <w:rsid w:val="00057AD6"/>
    <w:rsid w:val="00060E1F"/>
    <w:rsid w:val="00065FFA"/>
    <w:rsid w:val="0007179E"/>
    <w:rsid w:val="00072C12"/>
    <w:rsid w:val="00072E08"/>
    <w:rsid w:val="00073ACC"/>
    <w:rsid w:val="00074D15"/>
    <w:rsid w:val="00083554"/>
    <w:rsid w:val="00085A5C"/>
    <w:rsid w:val="00087AD2"/>
    <w:rsid w:val="000907F9"/>
    <w:rsid w:val="00090C2E"/>
    <w:rsid w:val="000930E6"/>
    <w:rsid w:val="00094321"/>
    <w:rsid w:val="00094922"/>
    <w:rsid w:val="000966A7"/>
    <w:rsid w:val="00097501"/>
    <w:rsid w:val="0009788E"/>
    <w:rsid w:val="000A0651"/>
    <w:rsid w:val="000A0F35"/>
    <w:rsid w:val="000A257E"/>
    <w:rsid w:val="000A2934"/>
    <w:rsid w:val="000A573E"/>
    <w:rsid w:val="000B0376"/>
    <w:rsid w:val="000B1BCB"/>
    <w:rsid w:val="000B467E"/>
    <w:rsid w:val="000B5468"/>
    <w:rsid w:val="000C07BE"/>
    <w:rsid w:val="000C3AC6"/>
    <w:rsid w:val="000C4C06"/>
    <w:rsid w:val="000C503A"/>
    <w:rsid w:val="000C6D61"/>
    <w:rsid w:val="000D137F"/>
    <w:rsid w:val="000D2618"/>
    <w:rsid w:val="000D3A78"/>
    <w:rsid w:val="000D3E5A"/>
    <w:rsid w:val="000D49E1"/>
    <w:rsid w:val="000D4A25"/>
    <w:rsid w:val="000D7166"/>
    <w:rsid w:val="000E004B"/>
    <w:rsid w:val="000E058F"/>
    <w:rsid w:val="000E09B7"/>
    <w:rsid w:val="000E1477"/>
    <w:rsid w:val="000E215F"/>
    <w:rsid w:val="000E3438"/>
    <w:rsid w:val="000E3A95"/>
    <w:rsid w:val="000E4403"/>
    <w:rsid w:val="000E4FEC"/>
    <w:rsid w:val="000E5BCD"/>
    <w:rsid w:val="000E6809"/>
    <w:rsid w:val="000E7149"/>
    <w:rsid w:val="000F1818"/>
    <w:rsid w:val="000F222A"/>
    <w:rsid w:val="000F24C3"/>
    <w:rsid w:val="000F2C9B"/>
    <w:rsid w:val="000F38E3"/>
    <w:rsid w:val="000F5824"/>
    <w:rsid w:val="000F7C55"/>
    <w:rsid w:val="00100E38"/>
    <w:rsid w:val="00101796"/>
    <w:rsid w:val="00101C04"/>
    <w:rsid w:val="00103F6B"/>
    <w:rsid w:val="0010409F"/>
    <w:rsid w:val="00106E96"/>
    <w:rsid w:val="00106EAB"/>
    <w:rsid w:val="00107D21"/>
    <w:rsid w:val="00107DCB"/>
    <w:rsid w:val="00110D0C"/>
    <w:rsid w:val="0011118B"/>
    <w:rsid w:val="00111CCA"/>
    <w:rsid w:val="00115461"/>
    <w:rsid w:val="00116079"/>
    <w:rsid w:val="00121225"/>
    <w:rsid w:val="001224FD"/>
    <w:rsid w:val="001260F0"/>
    <w:rsid w:val="00130731"/>
    <w:rsid w:val="0013081B"/>
    <w:rsid w:val="00131614"/>
    <w:rsid w:val="00131855"/>
    <w:rsid w:val="00134C20"/>
    <w:rsid w:val="001352CF"/>
    <w:rsid w:val="0013558E"/>
    <w:rsid w:val="001365D5"/>
    <w:rsid w:val="00140E5A"/>
    <w:rsid w:val="00142A1A"/>
    <w:rsid w:val="00143ACC"/>
    <w:rsid w:val="00143CCF"/>
    <w:rsid w:val="0014595F"/>
    <w:rsid w:val="001459F8"/>
    <w:rsid w:val="00147CFB"/>
    <w:rsid w:val="00151210"/>
    <w:rsid w:val="0015133A"/>
    <w:rsid w:val="001523AF"/>
    <w:rsid w:val="0015242F"/>
    <w:rsid w:val="001528A2"/>
    <w:rsid w:val="00153802"/>
    <w:rsid w:val="0015386D"/>
    <w:rsid w:val="0015460C"/>
    <w:rsid w:val="001574E3"/>
    <w:rsid w:val="00157E83"/>
    <w:rsid w:val="00160FC2"/>
    <w:rsid w:val="00162EC8"/>
    <w:rsid w:val="001640B3"/>
    <w:rsid w:val="0016477E"/>
    <w:rsid w:val="001668A8"/>
    <w:rsid w:val="001678A3"/>
    <w:rsid w:val="00167A84"/>
    <w:rsid w:val="00167AC4"/>
    <w:rsid w:val="001722EA"/>
    <w:rsid w:val="00174822"/>
    <w:rsid w:val="001760B6"/>
    <w:rsid w:val="00177381"/>
    <w:rsid w:val="00180204"/>
    <w:rsid w:val="00183EBD"/>
    <w:rsid w:val="00184410"/>
    <w:rsid w:val="00184FBA"/>
    <w:rsid w:val="00185891"/>
    <w:rsid w:val="00185D1A"/>
    <w:rsid w:val="0018706E"/>
    <w:rsid w:val="001926B8"/>
    <w:rsid w:val="00193AF8"/>
    <w:rsid w:val="001948CE"/>
    <w:rsid w:val="001951A7"/>
    <w:rsid w:val="00195451"/>
    <w:rsid w:val="001A0D80"/>
    <w:rsid w:val="001A268E"/>
    <w:rsid w:val="001A490C"/>
    <w:rsid w:val="001A7214"/>
    <w:rsid w:val="001A7600"/>
    <w:rsid w:val="001A79CF"/>
    <w:rsid w:val="001B23AE"/>
    <w:rsid w:val="001B3DC6"/>
    <w:rsid w:val="001B440A"/>
    <w:rsid w:val="001B52F9"/>
    <w:rsid w:val="001B6256"/>
    <w:rsid w:val="001B7113"/>
    <w:rsid w:val="001B7D39"/>
    <w:rsid w:val="001C17BB"/>
    <w:rsid w:val="001C3D20"/>
    <w:rsid w:val="001C58C5"/>
    <w:rsid w:val="001C5DFA"/>
    <w:rsid w:val="001D1520"/>
    <w:rsid w:val="001D176A"/>
    <w:rsid w:val="001D5FB4"/>
    <w:rsid w:val="001D6720"/>
    <w:rsid w:val="001D6C70"/>
    <w:rsid w:val="001D6D9C"/>
    <w:rsid w:val="001E0483"/>
    <w:rsid w:val="001E0777"/>
    <w:rsid w:val="001E4D70"/>
    <w:rsid w:val="001E7A0E"/>
    <w:rsid w:val="001F18C8"/>
    <w:rsid w:val="001F5012"/>
    <w:rsid w:val="001F50F4"/>
    <w:rsid w:val="001F5A01"/>
    <w:rsid w:val="001F6F44"/>
    <w:rsid w:val="001F792F"/>
    <w:rsid w:val="00202E39"/>
    <w:rsid w:val="00204363"/>
    <w:rsid w:val="002047AC"/>
    <w:rsid w:val="002049FA"/>
    <w:rsid w:val="00206129"/>
    <w:rsid w:val="002061B2"/>
    <w:rsid w:val="00210B8B"/>
    <w:rsid w:val="00210C58"/>
    <w:rsid w:val="002125F8"/>
    <w:rsid w:val="0021339B"/>
    <w:rsid w:val="00215412"/>
    <w:rsid w:val="00215575"/>
    <w:rsid w:val="00215EA1"/>
    <w:rsid w:val="00215EFD"/>
    <w:rsid w:val="0022037D"/>
    <w:rsid w:val="002203A1"/>
    <w:rsid w:val="002229C7"/>
    <w:rsid w:val="00227EEC"/>
    <w:rsid w:val="00230585"/>
    <w:rsid w:val="0023102E"/>
    <w:rsid w:val="00235D53"/>
    <w:rsid w:val="00241C21"/>
    <w:rsid w:val="00242D7B"/>
    <w:rsid w:val="002437CE"/>
    <w:rsid w:val="002440EC"/>
    <w:rsid w:val="002471C2"/>
    <w:rsid w:val="0025153C"/>
    <w:rsid w:val="00251B1E"/>
    <w:rsid w:val="0025358E"/>
    <w:rsid w:val="00254086"/>
    <w:rsid w:val="002544E4"/>
    <w:rsid w:val="00255188"/>
    <w:rsid w:val="0025696A"/>
    <w:rsid w:val="00257723"/>
    <w:rsid w:val="00257E00"/>
    <w:rsid w:val="00262E26"/>
    <w:rsid w:val="00263546"/>
    <w:rsid w:val="00265E0C"/>
    <w:rsid w:val="00265F6E"/>
    <w:rsid w:val="00266324"/>
    <w:rsid w:val="002731B9"/>
    <w:rsid w:val="002737B1"/>
    <w:rsid w:val="00275389"/>
    <w:rsid w:val="002802F7"/>
    <w:rsid w:val="00280D02"/>
    <w:rsid w:val="00282975"/>
    <w:rsid w:val="00284A86"/>
    <w:rsid w:val="00285013"/>
    <w:rsid w:val="00287C0E"/>
    <w:rsid w:val="0029078F"/>
    <w:rsid w:val="002916D2"/>
    <w:rsid w:val="00291714"/>
    <w:rsid w:val="002940C3"/>
    <w:rsid w:val="00294A64"/>
    <w:rsid w:val="00295E02"/>
    <w:rsid w:val="002A3626"/>
    <w:rsid w:val="002A5404"/>
    <w:rsid w:val="002B0857"/>
    <w:rsid w:val="002B20BC"/>
    <w:rsid w:val="002B2569"/>
    <w:rsid w:val="002B4717"/>
    <w:rsid w:val="002B5C0D"/>
    <w:rsid w:val="002B630D"/>
    <w:rsid w:val="002B7CF6"/>
    <w:rsid w:val="002C3E38"/>
    <w:rsid w:val="002C441A"/>
    <w:rsid w:val="002C4A4A"/>
    <w:rsid w:val="002C5A90"/>
    <w:rsid w:val="002C6CA7"/>
    <w:rsid w:val="002C6FCD"/>
    <w:rsid w:val="002D34B1"/>
    <w:rsid w:val="002D366F"/>
    <w:rsid w:val="002D4DDF"/>
    <w:rsid w:val="002D56BF"/>
    <w:rsid w:val="002D79DE"/>
    <w:rsid w:val="002E006F"/>
    <w:rsid w:val="002E0C3A"/>
    <w:rsid w:val="002E4D7A"/>
    <w:rsid w:val="002E7326"/>
    <w:rsid w:val="002E77C7"/>
    <w:rsid w:val="002F0A32"/>
    <w:rsid w:val="002F26F4"/>
    <w:rsid w:val="002F3691"/>
    <w:rsid w:val="002F4C85"/>
    <w:rsid w:val="002F53BA"/>
    <w:rsid w:val="002F7767"/>
    <w:rsid w:val="002F7862"/>
    <w:rsid w:val="002F7CCF"/>
    <w:rsid w:val="003008C0"/>
    <w:rsid w:val="003011AE"/>
    <w:rsid w:val="00302CCD"/>
    <w:rsid w:val="00304EEB"/>
    <w:rsid w:val="0030515C"/>
    <w:rsid w:val="003053DC"/>
    <w:rsid w:val="003135BA"/>
    <w:rsid w:val="003139C8"/>
    <w:rsid w:val="00314B51"/>
    <w:rsid w:val="00314D34"/>
    <w:rsid w:val="003155FD"/>
    <w:rsid w:val="00316B71"/>
    <w:rsid w:val="00316FA9"/>
    <w:rsid w:val="003230DF"/>
    <w:rsid w:val="00323487"/>
    <w:rsid w:val="00326FE3"/>
    <w:rsid w:val="00327BC7"/>
    <w:rsid w:val="0033300E"/>
    <w:rsid w:val="00335036"/>
    <w:rsid w:val="00337C3E"/>
    <w:rsid w:val="00340132"/>
    <w:rsid w:val="003405CD"/>
    <w:rsid w:val="0034323A"/>
    <w:rsid w:val="003447F7"/>
    <w:rsid w:val="003453AB"/>
    <w:rsid w:val="00347225"/>
    <w:rsid w:val="00347DD8"/>
    <w:rsid w:val="00350AB7"/>
    <w:rsid w:val="00351551"/>
    <w:rsid w:val="00352660"/>
    <w:rsid w:val="00353686"/>
    <w:rsid w:val="00353BDC"/>
    <w:rsid w:val="003565D2"/>
    <w:rsid w:val="003577C6"/>
    <w:rsid w:val="00360226"/>
    <w:rsid w:val="00360900"/>
    <w:rsid w:val="00362076"/>
    <w:rsid w:val="003623AC"/>
    <w:rsid w:val="0036316D"/>
    <w:rsid w:val="00364141"/>
    <w:rsid w:val="00365B5B"/>
    <w:rsid w:val="003673E1"/>
    <w:rsid w:val="003733C6"/>
    <w:rsid w:val="00376316"/>
    <w:rsid w:val="0037667B"/>
    <w:rsid w:val="00377EBD"/>
    <w:rsid w:val="00381721"/>
    <w:rsid w:val="00381BA4"/>
    <w:rsid w:val="00381BD1"/>
    <w:rsid w:val="0038239C"/>
    <w:rsid w:val="0038244D"/>
    <w:rsid w:val="00383642"/>
    <w:rsid w:val="00386A38"/>
    <w:rsid w:val="003977FC"/>
    <w:rsid w:val="003A0091"/>
    <w:rsid w:val="003A1832"/>
    <w:rsid w:val="003A1EBE"/>
    <w:rsid w:val="003A26F1"/>
    <w:rsid w:val="003A2FBB"/>
    <w:rsid w:val="003A5AB1"/>
    <w:rsid w:val="003B10BB"/>
    <w:rsid w:val="003B1F04"/>
    <w:rsid w:val="003B21F7"/>
    <w:rsid w:val="003B40B1"/>
    <w:rsid w:val="003B417A"/>
    <w:rsid w:val="003B4837"/>
    <w:rsid w:val="003B5C43"/>
    <w:rsid w:val="003B5E00"/>
    <w:rsid w:val="003B6790"/>
    <w:rsid w:val="003C4FFD"/>
    <w:rsid w:val="003C7A11"/>
    <w:rsid w:val="003D0744"/>
    <w:rsid w:val="003D0EA9"/>
    <w:rsid w:val="003D1FCD"/>
    <w:rsid w:val="003D38C5"/>
    <w:rsid w:val="003D3F92"/>
    <w:rsid w:val="003D40D8"/>
    <w:rsid w:val="003D693A"/>
    <w:rsid w:val="003D6A32"/>
    <w:rsid w:val="003D76DA"/>
    <w:rsid w:val="003E0DA6"/>
    <w:rsid w:val="003E2AFC"/>
    <w:rsid w:val="003E4763"/>
    <w:rsid w:val="003E6EEF"/>
    <w:rsid w:val="003F18A4"/>
    <w:rsid w:val="003F206E"/>
    <w:rsid w:val="003F444E"/>
    <w:rsid w:val="003F5E8D"/>
    <w:rsid w:val="003F676A"/>
    <w:rsid w:val="0040070E"/>
    <w:rsid w:val="00401175"/>
    <w:rsid w:val="00401EAE"/>
    <w:rsid w:val="0040388A"/>
    <w:rsid w:val="00403AC4"/>
    <w:rsid w:val="0040641B"/>
    <w:rsid w:val="00406662"/>
    <w:rsid w:val="00406709"/>
    <w:rsid w:val="00411945"/>
    <w:rsid w:val="00413A20"/>
    <w:rsid w:val="00417454"/>
    <w:rsid w:val="00420316"/>
    <w:rsid w:val="0042251A"/>
    <w:rsid w:val="0042320E"/>
    <w:rsid w:val="00425272"/>
    <w:rsid w:val="004259FB"/>
    <w:rsid w:val="004261EC"/>
    <w:rsid w:val="004262EA"/>
    <w:rsid w:val="00427828"/>
    <w:rsid w:val="00430C89"/>
    <w:rsid w:val="00430CD0"/>
    <w:rsid w:val="004311C4"/>
    <w:rsid w:val="0043288D"/>
    <w:rsid w:val="00435C84"/>
    <w:rsid w:val="0043641F"/>
    <w:rsid w:val="00440016"/>
    <w:rsid w:val="0044225F"/>
    <w:rsid w:val="00442C07"/>
    <w:rsid w:val="00443F7C"/>
    <w:rsid w:val="00446AB2"/>
    <w:rsid w:val="00447AB2"/>
    <w:rsid w:val="004501EA"/>
    <w:rsid w:val="0045265D"/>
    <w:rsid w:val="004552B9"/>
    <w:rsid w:val="0046529A"/>
    <w:rsid w:val="004674E8"/>
    <w:rsid w:val="00472E5D"/>
    <w:rsid w:val="00472FFD"/>
    <w:rsid w:val="00480204"/>
    <w:rsid w:val="004802B6"/>
    <w:rsid w:val="004829CA"/>
    <w:rsid w:val="00484B25"/>
    <w:rsid w:val="00485ABB"/>
    <w:rsid w:val="00486982"/>
    <w:rsid w:val="00487F65"/>
    <w:rsid w:val="00490B7F"/>
    <w:rsid w:val="0049159C"/>
    <w:rsid w:val="00494920"/>
    <w:rsid w:val="00494A6F"/>
    <w:rsid w:val="0049518A"/>
    <w:rsid w:val="004A025E"/>
    <w:rsid w:val="004A1853"/>
    <w:rsid w:val="004A2D7E"/>
    <w:rsid w:val="004A3D7C"/>
    <w:rsid w:val="004A441D"/>
    <w:rsid w:val="004A79A9"/>
    <w:rsid w:val="004A7C72"/>
    <w:rsid w:val="004B0A42"/>
    <w:rsid w:val="004B0DF1"/>
    <w:rsid w:val="004B0FEC"/>
    <w:rsid w:val="004B2FFD"/>
    <w:rsid w:val="004B3368"/>
    <w:rsid w:val="004B34A8"/>
    <w:rsid w:val="004B5D01"/>
    <w:rsid w:val="004C1607"/>
    <w:rsid w:val="004C4D2F"/>
    <w:rsid w:val="004C5BD7"/>
    <w:rsid w:val="004C7E33"/>
    <w:rsid w:val="004D20F7"/>
    <w:rsid w:val="004D2DD9"/>
    <w:rsid w:val="004D2FB2"/>
    <w:rsid w:val="004D3D66"/>
    <w:rsid w:val="004D43F1"/>
    <w:rsid w:val="004D552D"/>
    <w:rsid w:val="004E1A51"/>
    <w:rsid w:val="004E1B6A"/>
    <w:rsid w:val="004E1DC6"/>
    <w:rsid w:val="004E32B5"/>
    <w:rsid w:val="004E4D1D"/>
    <w:rsid w:val="004E5B91"/>
    <w:rsid w:val="004E67F5"/>
    <w:rsid w:val="004E70C3"/>
    <w:rsid w:val="004F0801"/>
    <w:rsid w:val="004F15F4"/>
    <w:rsid w:val="004F1AC0"/>
    <w:rsid w:val="004F1F82"/>
    <w:rsid w:val="004F384E"/>
    <w:rsid w:val="004F4096"/>
    <w:rsid w:val="004F50D9"/>
    <w:rsid w:val="004F5453"/>
    <w:rsid w:val="004F6E89"/>
    <w:rsid w:val="004F79EF"/>
    <w:rsid w:val="00500535"/>
    <w:rsid w:val="0050197F"/>
    <w:rsid w:val="005020DB"/>
    <w:rsid w:val="00503799"/>
    <w:rsid w:val="00503F3E"/>
    <w:rsid w:val="00504B0B"/>
    <w:rsid w:val="00505486"/>
    <w:rsid w:val="00505683"/>
    <w:rsid w:val="00506D01"/>
    <w:rsid w:val="005117FC"/>
    <w:rsid w:val="0051235C"/>
    <w:rsid w:val="00512C85"/>
    <w:rsid w:val="00515136"/>
    <w:rsid w:val="00516540"/>
    <w:rsid w:val="00526B29"/>
    <w:rsid w:val="005335BF"/>
    <w:rsid w:val="005374C3"/>
    <w:rsid w:val="00541FEB"/>
    <w:rsid w:val="00543AA8"/>
    <w:rsid w:val="00546444"/>
    <w:rsid w:val="005470C1"/>
    <w:rsid w:val="005479AD"/>
    <w:rsid w:val="00555BF0"/>
    <w:rsid w:val="00556443"/>
    <w:rsid w:val="00557886"/>
    <w:rsid w:val="00557E12"/>
    <w:rsid w:val="005602E7"/>
    <w:rsid w:val="0056225C"/>
    <w:rsid w:val="00562F34"/>
    <w:rsid w:val="0056426D"/>
    <w:rsid w:val="005665AC"/>
    <w:rsid w:val="00566B7D"/>
    <w:rsid w:val="0057107E"/>
    <w:rsid w:val="00571413"/>
    <w:rsid w:val="00572D76"/>
    <w:rsid w:val="0057366A"/>
    <w:rsid w:val="00574187"/>
    <w:rsid w:val="005742A3"/>
    <w:rsid w:val="00574ACE"/>
    <w:rsid w:val="00576392"/>
    <w:rsid w:val="0057765D"/>
    <w:rsid w:val="00577C80"/>
    <w:rsid w:val="00581381"/>
    <w:rsid w:val="005826FA"/>
    <w:rsid w:val="00584F6E"/>
    <w:rsid w:val="005857CF"/>
    <w:rsid w:val="00590266"/>
    <w:rsid w:val="00591FC1"/>
    <w:rsid w:val="00593234"/>
    <w:rsid w:val="00594623"/>
    <w:rsid w:val="00596443"/>
    <w:rsid w:val="005965D3"/>
    <w:rsid w:val="005A1BB9"/>
    <w:rsid w:val="005A39E4"/>
    <w:rsid w:val="005A429B"/>
    <w:rsid w:val="005A4B5A"/>
    <w:rsid w:val="005A6479"/>
    <w:rsid w:val="005A75AF"/>
    <w:rsid w:val="005B00AA"/>
    <w:rsid w:val="005B19A6"/>
    <w:rsid w:val="005B2202"/>
    <w:rsid w:val="005B7060"/>
    <w:rsid w:val="005C17B8"/>
    <w:rsid w:val="005C1C93"/>
    <w:rsid w:val="005C3206"/>
    <w:rsid w:val="005C3A6E"/>
    <w:rsid w:val="005C3EEC"/>
    <w:rsid w:val="005C4726"/>
    <w:rsid w:val="005C4E61"/>
    <w:rsid w:val="005C69B2"/>
    <w:rsid w:val="005C6CE3"/>
    <w:rsid w:val="005C73BE"/>
    <w:rsid w:val="005C73D4"/>
    <w:rsid w:val="005D04C5"/>
    <w:rsid w:val="005D17AF"/>
    <w:rsid w:val="005E02FA"/>
    <w:rsid w:val="005E28AA"/>
    <w:rsid w:val="005E4ED6"/>
    <w:rsid w:val="005E5F90"/>
    <w:rsid w:val="005E664A"/>
    <w:rsid w:val="005F0811"/>
    <w:rsid w:val="005F485A"/>
    <w:rsid w:val="005F4A51"/>
    <w:rsid w:val="00601DB2"/>
    <w:rsid w:val="00602AFA"/>
    <w:rsid w:val="00602CF5"/>
    <w:rsid w:val="00602D37"/>
    <w:rsid w:val="006078D2"/>
    <w:rsid w:val="00612F14"/>
    <w:rsid w:val="006153A4"/>
    <w:rsid w:val="006153C4"/>
    <w:rsid w:val="0061687A"/>
    <w:rsid w:val="00620668"/>
    <w:rsid w:val="00621512"/>
    <w:rsid w:val="00622051"/>
    <w:rsid w:val="00623CC5"/>
    <w:rsid w:val="00624722"/>
    <w:rsid w:val="00624E7C"/>
    <w:rsid w:val="00625C84"/>
    <w:rsid w:val="00625C9D"/>
    <w:rsid w:val="00627286"/>
    <w:rsid w:val="00627A5D"/>
    <w:rsid w:val="00627CDF"/>
    <w:rsid w:val="00630BF2"/>
    <w:rsid w:val="006314C7"/>
    <w:rsid w:val="00632E0F"/>
    <w:rsid w:val="00633BE5"/>
    <w:rsid w:val="006342FF"/>
    <w:rsid w:val="00635D5B"/>
    <w:rsid w:val="00635F92"/>
    <w:rsid w:val="00637036"/>
    <w:rsid w:val="00640B52"/>
    <w:rsid w:val="006427EF"/>
    <w:rsid w:val="00643922"/>
    <w:rsid w:val="006463C8"/>
    <w:rsid w:val="00646CB9"/>
    <w:rsid w:val="0064776B"/>
    <w:rsid w:val="00647EF3"/>
    <w:rsid w:val="0065091E"/>
    <w:rsid w:val="00651F02"/>
    <w:rsid w:val="00652214"/>
    <w:rsid w:val="00652220"/>
    <w:rsid w:val="006535A8"/>
    <w:rsid w:val="006543C3"/>
    <w:rsid w:val="00655A1A"/>
    <w:rsid w:val="0065644A"/>
    <w:rsid w:val="00661645"/>
    <w:rsid w:val="00661E22"/>
    <w:rsid w:val="00663E49"/>
    <w:rsid w:val="006658B5"/>
    <w:rsid w:val="0066674F"/>
    <w:rsid w:val="006667E9"/>
    <w:rsid w:val="00670093"/>
    <w:rsid w:val="00671955"/>
    <w:rsid w:val="00673467"/>
    <w:rsid w:val="006741A4"/>
    <w:rsid w:val="00676F9F"/>
    <w:rsid w:val="006843CE"/>
    <w:rsid w:val="00684553"/>
    <w:rsid w:val="006853B9"/>
    <w:rsid w:val="00685692"/>
    <w:rsid w:val="00685A8A"/>
    <w:rsid w:val="006931A8"/>
    <w:rsid w:val="0069473F"/>
    <w:rsid w:val="006947E2"/>
    <w:rsid w:val="0069483C"/>
    <w:rsid w:val="006957B3"/>
    <w:rsid w:val="00696A5A"/>
    <w:rsid w:val="00696AAF"/>
    <w:rsid w:val="006A1D9B"/>
    <w:rsid w:val="006A25E5"/>
    <w:rsid w:val="006A324F"/>
    <w:rsid w:val="006A57B5"/>
    <w:rsid w:val="006A5FD6"/>
    <w:rsid w:val="006A71FB"/>
    <w:rsid w:val="006B161D"/>
    <w:rsid w:val="006B1F8D"/>
    <w:rsid w:val="006B22E2"/>
    <w:rsid w:val="006B3461"/>
    <w:rsid w:val="006B58CB"/>
    <w:rsid w:val="006B5F47"/>
    <w:rsid w:val="006C0142"/>
    <w:rsid w:val="006C039F"/>
    <w:rsid w:val="006C4B06"/>
    <w:rsid w:val="006C4EA5"/>
    <w:rsid w:val="006C5AEB"/>
    <w:rsid w:val="006C7451"/>
    <w:rsid w:val="006D0A50"/>
    <w:rsid w:val="006D1160"/>
    <w:rsid w:val="006D136B"/>
    <w:rsid w:val="006D1B81"/>
    <w:rsid w:val="006D2A98"/>
    <w:rsid w:val="006D3A2B"/>
    <w:rsid w:val="006D45E9"/>
    <w:rsid w:val="006D4E87"/>
    <w:rsid w:val="006D5BF4"/>
    <w:rsid w:val="006D5F8E"/>
    <w:rsid w:val="006D65E7"/>
    <w:rsid w:val="006E06F0"/>
    <w:rsid w:val="006E093F"/>
    <w:rsid w:val="006E0E15"/>
    <w:rsid w:val="006E5098"/>
    <w:rsid w:val="006E5231"/>
    <w:rsid w:val="006E5324"/>
    <w:rsid w:val="006F26E9"/>
    <w:rsid w:val="006F2FED"/>
    <w:rsid w:val="006F4BF9"/>
    <w:rsid w:val="006F5831"/>
    <w:rsid w:val="006F68D5"/>
    <w:rsid w:val="00700D1C"/>
    <w:rsid w:val="007012C9"/>
    <w:rsid w:val="00701A74"/>
    <w:rsid w:val="00702E01"/>
    <w:rsid w:val="00705DEA"/>
    <w:rsid w:val="00705ECD"/>
    <w:rsid w:val="007062EB"/>
    <w:rsid w:val="007102D6"/>
    <w:rsid w:val="007129BD"/>
    <w:rsid w:val="00714860"/>
    <w:rsid w:val="00714999"/>
    <w:rsid w:val="00717391"/>
    <w:rsid w:val="00720501"/>
    <w:rsid w:val="00720727"/>
    <w:rsid w:val="00721321"/>
    <w:rsid w:val="0072200A"/>
    <w:rsid w:val="0072237D"/>
    <w:rsid w:val="00722749"/>
    <w:rsid w:val="00723776"/>
    <w:rsid w:val="00723F45"/>
    <w:rsid w:val="007244F5"/>
    <w:rsid w:val="007255F1"/>
    <w:rsid w:val="00727985"/>
    <w:rsid w:val="00731458"/>
    <w:rsid w:val="00735A66"/>
    <w:rsid w:val="00736E02"/>
    <w:rsid w:val="0074024E"/>
    <w:rsid w:val="007429E9"/>
    <w:rsid w:val="00743F9D"/>
    <w:rsid w:val="00744022"/>
    <w:rsid w:val="007443D3"/>
    <w:rsid w:val="00744CA9"/>
    <w:rsid w:val="00745759"/>
    <w:rsid w:val="0074647F"/>
    <w:rsid w:val="007464DA"/>
    <w:rsid w:val="00746523"/>
    <w:rsid w:val="00752E02"/>
    <w:rsid w:val="0075481B"/>
    <w:rsid w:val="00755112"/>
    <w:rsid w:val="00755810"/>
    <w:rsid w:val="00757738"/>
    <w:rsid w:val="00757BC8"/>
    <w:rsid w:val="0076150D"/>
    <w:rsid w:val="00764350"/>
    <w:rsid w:val="00765168"/>
    <w:rsid w:val="0076546F"/>
    <w:rsid w:val="007670CF"/>
    <w:rsid w:val="00767B3B"/>
    <w:rsid w:val="00771815"/>
    <w:rsid w:val="00772228"/>
    <w:rsid w:val="007723FD"/>
    <w:rsid w:val="007745B4"/>
    <w:rsid w:val="00774654"/>
    <w:rsid w:val="00774C83"/>
    <w:rsid w:val="007753DB"/>
    <w:rsid w:val="00777149"/>
    <w:rsid w:val="007801B2"/>
    <w:rsid w:val="0078244B"/>
    <w:rsid w:val="00782873"/>
    <w:rsid w:val="007833A6"/>
    <w:rsid w:val="007833DD"/>
    <w:rsid w:val="0078423A"/>
    <w:rsid w:val="007844AE"/>
    <w:rsid w:val="00785675"/>
    <w:rsid w:val="007904F7"/>
    <w:rsid w:val="007922A5"/>
    <w:rsid w:val="00793BEA"/>
    <w:rsid w:val="00794984"/>
    <w:rsid w:val="00794A14"/>
    <w:rsid w:val="007973E0"/>
    <w:rsid w:val="00797817"/>
    <w:rsid w:val="007979B4"/>
    <w:rsid w:val="007A100D"/>
    <w:rsid w:val="007A122C"/>
    <w:rsid w:val="007A2272"/>
    <w:rsid w:val="007A3002"/>
    <w:rsid w:val="007A3E1E"/>
    <w:rsid w:val="007A450A"/>
    <w:rsid w:val="007A51B9"/>
    <w:rsid w:val="007A5826"/>
    <w:rsid w:val="007A5A0D"/>
    <w:rsid w:val="007A6964"/>
    <w:rsid w:val="007A7E2D"/>
    <w:rsid w:val="007B0CC9"/>
    <w:rsid w:val="007B1DA1"/>
    <w:rsid w:val="007C180D"/>
    <w:rsid w:val="007C332F"/>
    <w:rsid w:val="007C4A11"/>
    <w:rsid w:val="007C4B79"/>
    <w:rsid w:val="007C7F43"/>
    <w:rsid w:val="007D12DB"/>
    <w:rsid w:val="007D495B"/>
    <w:rsid w:val="007E0125"/>
    <w:rsid w:val="007E18B2"/>
    <w:rsid w:val="007E4FA2"/>
    <w:rsid w:val="007F1888"/>
    <w:rsid w:val="007F58D3"/>
    <w:rsid w:val="007F5A87"/>
    <w:rsid w:val="007F762C"/>
    <w:rsid w:val="00800C62"/>
    <w:rsid w:val="00803B05"/>
    <w:rsid w:val="00803BFB"/>
    <w:rsid w:val="00804608"/>
    <w:rsid w:val="008049B5"/>
    <w:rsid w:val="00804B79"/>
    <w:rsid w:val="00806BE2"/>
    <w:rsid w:val="00807520"/>
    <w:rsid w:val="008100F1"/>
    <w:rsid w:val="00814E81"/>
    <w:rsid w:val="00820637"/>
    <w:rsid w:val="00824E63"/>
    <w:rsid w:val="0082738E"/>
    <w:rsid w:val="00835945"/>
    <w:rsid w:val="00835E0F"/>
    <w:rsid w:val="00840702"/>
    <w:rsid w:val="00840BA5"/>
    <w:rsid w:val="008424D2"/>
    <w:rsid w:val="00844FA4"/>
    <w:rsid w:val="00845035"/>
    <w:rsid w:val="008450EB"/>
    <w:rsid w:val="00845B3B"/>
    <w:rsid w:val="00850147"/>
    <w:rsid w:val="00852895"/>
    <w:rsid w:val="00853578"/>
    <w:rsid w:val="008559FE"/>
    <w:rsid w:val="00856353"/>
    <w:rsid w:val="00857613"/>
    <w:rsid w:val="0086004A"/>
    <w:rsid w:val="00860D7A"/>
    <w:rsid w:val="00861108"/>
    <w:rsid w:val="00864087"/>
    <w:rsid w:val="00864348"/>
    <w:rsid w:val="00864F96"/>
    <w:rsid w:val="00871209"/>
    <w:rsid w:val="008739C6"/>
    <w:rsid w:val="00874145"/>
    <w:rsid w:val="008742AA"/>
    <w:rsid w:val="00874BED"/>
    <w:rsid w:val="008752FB"/>
    <w:rsid w:val="008776CA"/>
    <w:rsid w:val="008777AC"/>
    <w:rsid w:val="0088308C"/>
    <w:rsid w:val="00884C84"/>
    <w:rsid w:val="0088702F"/>
    <w:rsid w:val="008909B2"/>
    <w:rsid w:val="0089317A"/>
    <w:rsid w:val="00893818"/>
    <w:rsid w:val="00893CB7"/>
    <w:rsid w:val="008949AC"/>
    <w:rsid w:val="00894C42"/>
    <w:rsid w:val="00897120"/>
    <w:rsid w:val="008974B1"/>
    <w:rsid w:val="00897809"/>
    <w:rsid w:val="008A1162"/>
    <w:rsid w:val="008A24B5"/>
    <w:rsid w:val="008A5E1D"/>
    <w:rsid w:val="008B031B"/>
    <w:rsid w:val="008B0E0F"/>
    <w:rsid w:val="008B276D"/>
    <w:rsid w:val="008B2FAF"/>
    <w:rsid w:val="008B334D"/>
    <w:rsid w:val="008B49FF"/>
    <w:rsid w:val="008B67EC"/>
    <w:rsid w:val="008B79A0"/>
    <w:rsid w:val="008B7A70"/>
    <w:rsid w:val="008B7AF2"/>
    <w:rsid w:val="008C1A15"/>
    <w:rsid w:val="008C2EBE"/>
    <w:rsid w:val="008C3FB2"/>
    <w:rsid w:val="008C57F7"/>
    <w:rsid w:val="008C5D38"/>
    <w:rsid w:val="008C75DA"/>
    <w:rsid w:val="008C7E56"/>
    <w:rsid w:val="008D138C"/>
    <w:rsid w:val="008D1930"/>
    <w:rsid w:val="008D34ED"/>
    <w:rsid w:val="008D4195"/>
    <w:rsid w:val="008D6799"/>
    <w:rsid w:val="008D7C8C"/>
    <w:rsid w:val="008E003A"/>
    <w:rsid w:val="008E0510"/>
    <w:rsid w:val="008E2B23"/>
    <w:rsid w:val="008E3B3D"/>
    <w:rsid w:val="008E7E16"/>
    <w:rsid w:val="008F16F1"/>
    <w:rsid w:val="008F2042"/>
    <w:rsid w:val="008F325D"/>
    <w:rsid w:val="008F390F"/>
    <w:rsid w:val="008F52A2"/>
    <w:rsid w:val="008F6C46"/>
    <w:rsid w:val="008F6E72"/>
    <w:rsid w:val="008F77F5"/>
    <w:rsid w:val="008F7981"/>
    <w:rsid w:val="008F7D44"/>
    <w:rsid w:val="00902345"/>
    <w:rsid w:val="009023CA"/>
    <w:rsid w:val="0090356D"/>
    <w:rsid w:val="0090419B"/>
    <w:rsid w:val="009051CC"/>
    <w:rsid w:val="0090608E"/>
    <w:rsid w:val="00906142"/>
    <w:rsid w:val="00906791"/>
    <w:rsid w:val="00906998"/>
    <w:rsid w:val="00907231"/>
    <w:rsid w:val="0091082F"/>
    <w:rsid w:val="00912BE5"/>
    <w:rsid w:val="00912D73"/>
    <w:rsid w:val="009147E2"/>
    <w:rsid w:val="009154F0"/>
    <w:rsid w:val="00915981"/>
    <w:rsid w:val="0092079A"/>
    <w:rsid w:val="00921D6E"/>
    <w:rsid w:val="009227D1"/>
    <w:rsid w:val="009236B5"/>
    <w:rsid w:val="0092421C"/>
    <w:rsid w:val="00924DFB"/>
    <w:rsid w:val="0092504A"/>
    <w:rsid w:val="009266CE"/>
    <w:rsid w:val="009269DA"/>
    <w:rsid w:val="009269F7"/>
    <w:rsid w:val="009273CC"/>
    <w:rsid w:val="00930024"/>
    <w:rsid w:val="009313B1"/>
    <w:rsid w:val="009353FA"/>
    <w:rsid w:val="00935E1B"/>
    <w:rsid w:val="00937635"/>
    <w:rsid w:val="00937C81"/>
    <w:rsid w:val="00942AA1"/>
    <w:rsid w:val="00942AB2"/>
    <w:rsid w:val="009455A7"/>
    <w:rsid w:val="00946966"/>
    <w:rsid w:val="00950463"/>
    <w:rsid w:val="00950607"/>
    <w:rsid w:val="009510FC"/>
    <w:rsid w:val="00953A24"/>
    <w:rsid w:val="0095475C"/>
    <w:rsid w:val="009567D4"/>
    <w:rsid w:val="009574E2"/>
    <w:rsid w:val="0096063B"/>
    <w:rsid w:val="009611D5"/>
    <w:rsid w:val="00962CA4"/>
    <w:rsid w:val="00963F0C"/>
    <w:rsid w:val="00964E24"/>
    <w:rsid w:val="00965693"/>
    <w:rsid w:val="009663F2"/>
    <w:rsid w:val="00970CF8"/>
    <w:rsid w:val="00971ED0"/>
    <w:rsid w:val="009742D6"/>
    <w:rsid w:val="00976248"/>
    <w:rsid w:val="00976AF5"/>
    <w:rsid w:val="00977F99"/>
    <w:rsid w:val="0098216C"/>
    <w:rsid w:val="00982FDD"/>
    <w:rsid w:val="009837A5"/>
    <w:rsid w:val="00984256"/>
    <w:rsid w:val="00986753"/>
    <w:rsid w:val="00987168"/>
    <w:rsid w:val="009874D5"/>
    <w:rsid w:val="00990171"/>
    <w:rsid w:val="009923BA"/>
    <w:rsid w:val="00997AE3"/>
    <w:rsid w:val="00997CDC"/>
    <w:rsid w:val="009A03BC"/>
    <w:rsid w:val="009A1E23"/>
    <w:rsid w:val="009A1F06"/>
    <w:rsid w:val="009A2AD0"/>
    <w:rsid w:val="009A594F"/>
    <w:rsid w:val="009A665E"/>
    <w:rsid w:val="009A6AB8"/>
    <w:rsid w:val="009A73AA"/>
    <w:rsid w:val="009B0213"/>
    <w:rsid w:val="009B030C"/>
    <w:rsid w:val="009B204B"/>
    <w:rsid w:val="009B2C91"/>
    <w:rsid w:val="009B73A9"/>
    <w:rsid w:val="009C1F4B"/>
    <w:rsid w:val="009C2D14"/>
    <w:rsid w:val="009C3ED0"/>
    <w:rsid w:val="009C3F00"/>
    <w:rsid w:val="009C60EB"/>
    <w:rsid w:val="009C7DA3"/>
    <w:rsid w:val="009D0728"/>
    <w:rsid w:val="009D1701"/>
    <w:rsid w:val="009D192F"/>
    <w:rsid w:val="009D6159"/>
    <w:rsid w:val="009E0531"/>
    <w:rsid w:val="009E0744"/>
    <w:rsid w:val="009E0E93"/>
    <w:rsid w:val="009E17C6"/>
    <w:rsid w:val="009E26EB"/>
    <w:rsid w:val="009E4D5D"/>
    <w:rsid w:val="009E6036"/>
    <w:rsid w:val="009E7800"/>
    <w:rsid w:val="009F03B8"/>
    <w:rsid w:val="009F1709"/>
    <w:rsid w:val="009F4B99"/>
    <w:rsid w:val="009F5ACA"/>
    <w:rsid w:val="009F6482"/>
    <w:rsid w:val="009F7612"/>
    <w:rsid w:val="00A00172"/>
    <w:rsid w:val="00A0057B"/>
    <w:rsid w:val="00A01015"/>
    <w:rsid w:val="00A026A4"/>
    <w:rsid w:val="00A031E2"/>
    <w:rsid w:val="00A045F9"/>
    <w:rsid w:val="00A045FB"/>
    <w:rsid w:val="00A046BB"/>
    <w:rsid w:val="00A0494E"/>
    <w:rsid w:val="00A054F2"/>
    <w:rsid w:val="00A0615A"/>
    <w:rsid w:val="00A06581"/>
    <w:rsid w:val="00A0744E"/>
    <w:rsid w:val="00A076B7"/>
    <w:rsid w:val="00A1035E"/>
    <w:rsid w:val="00A111A0"/>
    <w:rsid w:val="00A113F0"/>
    <w:rsid w:val="00A12329"/>
    <w:rsid w:val="00A129FD"/>
    <w:rsid w:val="00A14CE4"/>
    <w:rsid w:val="00A16337"/>
    <w:rsid w:val="00A2035E"/>
    <w:rsid w:val="00A2203D"/>
    <w:rsid w:val="00A22D34"/>
    <w:rsid w:val="00A22ED9"/>
    <w:rsid w:val="00A23254"/>
    <w:rsid w:val="00A31B4A"/>
    <w:rsid w:val="00A31B53"/>
    <w:rsid w:val="00A341FC"/>
    <w:rsid w:val="00A35FEF"/>
    <w:rsid w:val="00A3620A"/>
    <w:rsid w:val="00A37C2B"/>
    <w:rsid w:val="00A409D7"/>
    <w:rsid w:val="00A40E50"/>
    <w:rsid w:val="00A41975"/>
    <w:rsid w:val="00A42AAF"/>
    <w:rsid w:val="00A43B50"/>
    <w:rsid w:val="00A45914"/>
    <w:rsid w:val="00A510E5"/>
    <w:rsid w:val="00A513E7"/>
    <w:rsid w:val="00A5170A"/>
    <w:rsid w:val="00A534C9"/>
    <w:rsid w:val="00A541EA"/>
    <w:rsid w:val="00A545AA"/>
    <w:rsid w:val="00A54FED"/>
    <w:rsid w:val="00A5598D"/>
    <w:rsid w:val="00A62444"/>
    <w:rsid w:val="00A629A2"/>
    <w:rsid w:val="00A63794"/>
    <w:rsid w:val="00A64525"/>
    <w:rsid w:val="00A67F4B"/>
    <w:rsid w:val="00A7102C"/>
    <w:rsid w:val="00A73B29"/>
    <w:rsid w:val="00A80463"/>
    <w:rsid w:val="00A813F2"/>
    <w:rsid w:val="00A8182A"/>
    <w:rsid w:val="00A81B57"/>
    <w:rsid w:val="00A821B8"/>
    <w:rsid w:val="00A832F2"/>
    <w:rsid w:val="00A839A1"/>
    <w:rsid w:val="00A85990"/>
    <w:rsid w:val="00A86DCD"/>
    <w:rsid w:val="00A86F9C"/>
    <w:rsid w:val="00A8715E"/>
    <w:rsid w:val="00A875F1"/>
    <w:rsid w:val="00A9048E"/>
    <w:rsid w:val="00A9101B"/>
    <w:rsid w:val="00A914DA"/>
    <w:rsid w:val="00A9160D"/>
    <w:rsid w:val="00A91D4A"/>
    <w:rsid w:val="00A920A7"/>
    <w:rsid w:val="00A920D5"/>
    <w:rsid w:val="00A96AFF"/>
    <w:rsid w:val="00A97C5C"/>
    <w:rsid w:val="00AA053D"/>
    <w:rsid w:val="00AA10A4"/>
    <w:rsid w:val="00AA15E5"/>
    <w:rsid w:val="00AA2143"/>
    <w:rsid w:val="00AA2A4C"/>
    <w:rsid w:val="00AA3287"/>
    <w:rsid w:val="00AA748F"/>
    <w:rsid w:val="00AB0E29"/>
    <w:rsid w:val="00AB1A14"/>
    <w:rsid w:val="00AB5C59"/>
    <w:rsid w:val="00AC233A"/>
    <w:rsid w:val="00AC2FC1"/>
    <w:rsid w:val="00AC549E"/>
    <w:rsid w:val="00AC5895"/>
    <w:rsid w:val="00AD1810"/>
    <w:rsid w:val="00AD222E"/>
    <w:rsid w:val="00AD4426"/>
    <w:rsid w:val="00AD612D"/>
    <w:rsid w:val="00AE2756"/>
    <w:rsid w:val="00AE52A4"/>
    <w:rsid w:val="00AE68D8"/>
    <w:rsid w:val="00AE7271"/>
    <w:rsid w:val="00AE79E3"/>
    <w:rsid w:val="00AF10B4"/>
    <w:rsid w:val="00AF2554"/>
    <w:rsid w:val="00AF38A7"/>
    <w:rsid w:val="00AF39FE"/>
    <w:rsid w:val="00AF5D08"/>
    <w:rsid w:val="00AF67F0"/>
    <w:rsid w:val="00AF7324"/>
    <w:rsid w:val="00B00890"/>
    <w:rsid w:val="00B00C83"/>
    <w:rsid w:val="00B03082"/>
    <w:rsid w:val="00B04D4B"/>
    <w:rsid w:val="00B05DA1"/>
    <w:rsid w:val="00B06552"/>
    <w:rsid w:val="00B06DD3"/>
    <w:rsid w:val="00B06FC1"/>
    <w:rsid w:val="00B07D7A"/>
    <w:rsid w:val="00B11541"/>
    <w:rsid w:val="00B118E3"/>
    <w:rsid w:val="00B13933"/>
    <w:rsid w:val="00B13973"/>
    <w:rsid w:val="00B14741"/>
    <w:rsid w:val="00B15490"/>
    <w:rsid w:val="00B15931"/>
    <w:rsid w:val="00B15FCE"/>
    <w:rsid w:val="00B22814"/>
    <w:rsid w:val="00B24840"/>
    <w:rsid w:val="00B2486E"/>
    <w:rsid w:val="00B250AE"/>
    <w:rsid w:val="00B26526"/>
    <w:rsid w:val="00B26A20"/>
    <w:rsid w:val="00B30E67"/>
    <w:rsid w:val="00B31FEE"/>
    <w:rsid w:val="00B320F3"/>
    <w:rsid w:val="00B32D63"/>
    <w:rsid w:val="00B33179"/>
    <w:rsid w:val="00B33226"/>
    <w:rsid w:val="00B33C3D"/>
    <w:rsid w:val="00B35FD1"/>
    <w:rsid w:val="00B377A5"/>
    <w:rsid w:val="00B3794A"/>
    <w:rsid w:val="00B416BC"/>
    <w:rsid w:val="00B4250C"/>
    <w:rsid w:val="00B4288A"/>
    <w:rsid w:val="00B43D5B"/>
    <w:rsid w:val="00B445EB"/>
    <w:rsid w:val="00B47632"/>
    <w:rsid w:val="00B51C36"/>
    <w:rsid w:val="00B524FD"/>
    <w:rsid w:val="00B54B3A"/>
    <w:rsid w:val="00B55FB3"/>
    <w:rsid w:val="00B5772F"/>
    <w:rsid w:val="00B57F90"/>
    <w:rsid w:val="00B57FA6"/>
    <w:rsid w:val="00B61DC4"/>
    <w:rsid w:val="00B622D6"/>
    <w:rsid w:val="00B63F1F"/>
    <w:rsid w:val="00B6748B"/>
    <w:rsid w:val="00B6769C"/>
    <w:rsid w:val="00B71067"/>
    <w:rsid w:val="00B718DE"/>
    <w:rsid w:val="00B71A40"/>
    <w:rsid w:val="00B72537"/>
    <w:rsid w:val="00B73970"/>
    <w:rsid w:val="00B753F8"/>
    <w:rsid w:val="00B75BBA"/>
    <w:rsid w:val="00B76091"/>
    <w:rsid w:val="00B806E0"/>
    <w:rsid w:val="00B817B5"/>
    <w:rsid w:val="00B81E6B"/>
    <w:rsid w:val="00B835CC"/>
    <w:rsid w:val="00B83F30"/>
    <w:rsid w:val="00B841A6"/>
    <w:rsid w:val="00B852D9"/>
    <w:rsid w:val="00B86268"/>
    <w:rsid w:val="00B871F5"/>
    <w:rsid w:val="00B9096F"/>
    <w:rsid w:val="00B9283E"/>
    <w:rsid w:val="00B92E9C"/>
    <w:rsid w:val="00B941AF"/>
    <w:rsid w:val="00B94413"/>
    <w:rsid w:val="00B945A9"/>
    <w:rsid w:val="00B9646F"/>
    <w:rsid w:val="00BA0967"/>
    <w:rsid w:val="00BA253C"/>
    <w:rsid w:val="00BA296B"/>
    <w:rsid w:val="00BA37C5"/>
    <w:rsid w:val="00BA457A"/>
    <w:rsid w:val="00BA4C13"/>
    <w:rsid w:val="00BA6294"/>
    <w:rsid w:val="00BA6733"/>
    <w:rsid w:val="00BA77A1"/>
    <w:rsid w:val="00BB0C07"/>
    <w:rsid w:val="00BB6A9D"/>
    <w:rsid w:val="00BC1009"/>
    <w:rsid w:val="00BC2ACE"/>
    <w:rsid w:val="00BC31C4"/>
    <w:rsid w:val="00BC49A9"/>
    <w:rsid w:val="00BC4E62"/>
    <w:rsid w:val="00BC56B1"/>
    <w:rsid w:val="00BC6389"/>
    <w:rsid w:val="00BC79A4"/>
    <w:rsid w:val="00BC7E02"/>
    <w:rsid w:val="00BD17CD"/>
    <w:rsid w:val="00BD3A0A"/>
    <w:rsid w:val="00BD4520"/>
    <w:rsid w:val="00BD6AB1"/>
    <w:rsid w:val="00BD6C57"/>
    <w:rsid w:val="00BD7A9B"/>
    <w:rsid w:val="00BE0E53"/>
    <w:rsid w:val="00BE28E9"/>
    <w:rsid w:val="00BE409B"/>
    <w:rsid w:val="00BE5235"/>
    <w:rsid w:val="00BE7E01"/>
    <w:rsid w:val="00BF1BC6"/>
    <w:rsid w:val="00BF2690"/>
    <w:rsid w:val="00BF40E7"/>
    <w:rsid w:val="00BF6EB8"/>
    <w:rsid w:val="00BF6F51"/>
    <w:rsid w:val="00BF7F1B"/>
    <w:rsid w:val="00C006E9"/>
    <w:rsid w:val="00C00FC8"/>
    <w:rsid w:val="00C01005"/>
    <w:rsid w:val="00C01CF3"/>
    <w:rsid w:val="00C02138"/>
    <w:rsid w:val="00C03577"/>
    <w:rsid w:val="00C03CF8"/>
    <w:rsid w:val="00C0591E"/>
    <w:rsid w:val="00C06313"/>
    <w:rsid w:val="00C07D4F"/>
    <w:rsid w:val="00C10CD5"/>
    <w:rsid w:val="00C121F3"/>
    <w:rsid w:val="00C12756"/>
    <w:rsid w:val="00C13D11"/>
    <w:rsid w:val="00C16617"/>
    <w:rsid w:val="00C16F29"/>
    <w:rsid w:val="00C21252"/>
    <w:rsid w:val="00C25E10"/>
    <w:rsid w:val="00C26CF4"/>
    <w:rsid w:val="00C27B17"/>
    <w:rsid w:val="00C306A8"/>
    <w:rsid w:val="00C308DF"/>
    <w:rsid w:val="00C31107"/>
    <w:rsid w:val="00C32E4E"/>
    <w:rsid w:val="00C3392F"/>
    <w:rsid w:val="00C34967"/>
    <w:rsid w:val="00C34BE5"/>
    <w:rsid w:val="00C357CC"/>
    <w:rsid w:val="00C35AF1"/>
    <w:rsid w:val="00C3611E"/>
    <w:rsid w:val="00C3640D"/>
    <w:rsid w:val="00C36BB9"/>
    <w:rsid w:val="00C36BD6"/>
    <w:rsid w:val="00C37EDC"/>
    <w:rsid w:val="00C427E4"/>
    <w:rsid w:val="00C43D44"/>
    <w:rsid w:val="00C4600D"/>
    <w:rsid w:val="00C46B3A"/>
    <w:rsid w:val="00C50769"/>
    <w:rsid w:val="00C5345D"/>
    <w:rsid w:val="00C53888"/>
    <w:rsid w:val="00C54F72"/>
    <w:rsid w:val="00C56660"/>
    <w:rsid w:val="00C56EEA"/>
    <w:rsid w:val="00C60249"/>
    <w:rsid w:val="00C6237C"/>
    <w:rsid w:val="00C6263E"/>
    <w:rsid w:val="00C63E93"/>
    <w:rsid w:val="00C6538C"/>
    <w:rsid w:val="00C658FA"/>
    <w:rsid w:val="00C66FBB"/>
    <w:rsid w:val="00C67129"/>
    <w:rsid w:val="00C704EA"/>
    <w:rsid w:val="00C770CF"/>
    <w:rsid w:val="00C77846"/>
    <w:rsid w:val="00C81E76"/>
    <w:rsid w:val="00C82D7C"/>
    <w:rsid w:val="00C83034"/>
    <w:rsid w:val="00C8618D"/>
    <w:rsid w:val="00C862E2"/>
    <w:rsid w:val="00C866D9"/>
    <w:rsid w:val="00C91F25"/>
    <w:rsid w:val="00C91FAA"/>
    <w:rsid w:val="00C931D9"/>
    <w:rsid w:val="00C9348C"/>
    <w:rsid w:val="00C948EE"/>
    <w:rsid w:val="00C95950"/>
    <w:rsid w:val="00C967FD"/>
    <w:rsid w:val="00C96877"/>
    <w:rsid w:val="00C9701D"/>
    <w:rsid w:val="00CA026D"/>
    <w:rsid w:val="00CA0578"/>
    <w:rsid w:val="00CA4E36"/>
    <w:rsid w:val="00CA5273"/>
    <w:rsid w:val="00CA60B7"/>
    <w:rsid w:val="00CA6790"/>
    <w:rsid w:val="00CA78E3"/>
    <w:rsid w:val="00CB1B66"/>
    <w:rsid w:val="00CB20EA"/>
    <w:rsid w:val="00CB292F"/>
    <w:rsid w:val="00CB48F3"/>
    <w:rsid w:val="00CB4EB9"/>
    <w:rsid w:val="00CB7516"/>
    <w:rsid w:val="00CB7D9B"/>
    <w:rsid w:val="00CC1BC3"/>
    <w:rsid w:val="00CC1D90"/>
    <w:rsid w:val="00CC5847"/>
    <w:rsid w:val="00CC5F67"/>
    <w:rsid w:val="00CC668B"/>
    <w:rsid w:val="00CD5C99"/>
    <w:rsid w:val="00CE1690"/>
    <w:rsid w:val="00CE1D98"/>
    <w:rsid w:val="00CE2958"/>
    <w:rsid w:val="00CE31C5"/>
    <w:rsid w:val="00CE3CD8"/>
    <w:rsid w:val="00CE402D"/>
    <w:rsid w:val="00CE43C0"/>
    <w:rsid w:val="00CE4BCE"/>
    <w:rsid w:val="00CE5DFE"/>
    <w:rsid w:val="00CE6D1F"/>
    <w:rsid w:val="00CE6DE9"/>
    <w:rsid w:val="00CF06B8"/>
    <w:rsid w:val="00CF1343"/>
    <w:rsid w:val="00CF4FAA"/>
    <w:rsid w:val="00CF5AC7"/>
    <w:rsid w:val="00CF6091"/>
    <w:rsid w:val="00CF6ABF"/>
    <w:rsid w:val="00CF73F2"/>
    <w:rsid w:val="00D01629"/>
    <w:rsid w:val="00D0184B"/>
    <w:rsid w:val="00D02385"/>
    <w:rsid w:val="00D03322"/>
    <w:rsid w:val="00D05106"/>
    <w:rsid w:val="00D053F7"/>
    <w:rsid w:val="00D06F68"/>
    <w:rsid w:val="00D07C92"/>
    <w:rsid w:val="00D109F1"/>
    <w:rsid w:val="00D12E5A"/>
    <w:rsid w:val="00D13540"/>
    <w:rsid w:val="00D1354E"/>
    <w:rsid w:val="00D13B4B"/>
    <w:rsid w:val="00D140BD"/>
    <w:rsid w:val="00D14196"/>
    <w:rsid w:val="00D142F2"/>
    <w:rsid w:val="00D15287"/>
    <w:rsid w:val="00D1642F"/>
    <w:rsid w:val="00D16DB4"/>
    <w:rsid w:val="00D20191"/>
    <w:rsid w:val="00D207F6"/>
    <w:rsid w:val="00D20A71"/>
    <w:rsid w:val="00D21AC6"/>
    <w:rsid w:val="00D21E81"/>
    <w:rsid w:val="00D22B34"/>
    <w:rsid w:val="00D23113"/>
    <w:rsid w:val="00D23D14"/>
    <w:rsid w:val="00D255BB"/>
    <w:rsid w:val="00D262CA"/>
    <w:rsid w:val="00D26B52"/>
    <w:rsid w:val="00D277FE"/>
    <w:rsid w:val="00D33A5A"/>
    <w:rsid w:val="00D34170"/>
    <w:rsid w:val="00D35620"/>
    <w:rsid w:val="00D35B40"/>
    <w:rsid w:val="00D36559"/>
    <w:rsid w:val="00D371CD"/>
    <w:rsid w:val="00D375E6"/>
    <w:rsid w:val="00D37A9A"/>
    <w:rsid w:val="00D416A8"/>
    <w:rsid w:val="00D4179E"/>
    <w:rsid w:val="00D426B4"/>
    <w:rsid w:val="00D4363B"/>
    <w:rsid w:val="00D43D70"/>
    <w:rsid w:val="00D51453"/>
    <w:rsid w:val="00D529D9"/>
    <w:rsid w:val="00D52E3F"/>
    <w:rsid w:val="00D52EC4"/>
    <w:rsid w:val="00D53F05"/>
    <w:rsid w:val="00D543EA"/>
    <w:rsid w:val="00D5443D"/>
    <w:rsid w:val="00D54495"/>
    <w:rsid w:val="00D60BA2"/>
    <w:rsid w:val="00D62F43"/>
    <w:rsid w:val="00D65DF2"/>
    <w:rsid w:val="00D67E89"/>
    <w:rsid w:val="00D71EAC"/>
    <w:rsid w:val="00D73206"/>
    <w:rsid w:val="00D74C53"/>
    <w:rsid w:val="00D76A50"/>
    <w:rsid w:val="00D76CC6"/>
    <w:rsid w:val="00D7711F"/>
    <w:rsid w:val="00D77EED"/>
    <w:rsid w:val="00D80877"/>
    <w:rsid w:val="00D80BA1"/>
    <w:rsid w:val="00D80EC2"/>
    <w:rsid w:val="00D81166"/>
    <w:rsid w:val="00D81B62"/>
    <w:rsid w:val="00D84368"/>
    <w:rsid w:val="00D84DE5"/>
    <w:rsid w:val="00D900FA"/>
    <w:rsid w:val="00D90239"/>
    <w:rsid w:val="00D90F1A"/>
    <w:rsid w:val="00D91D8A"/>
    <w:rsid w:val="00D93E7B"/>
    <w:rsid w:val="00D94866"/>
    <w:rsid w:val="00D948B8"/>
    <w:rsid w:val="00D962D0"/>
    <w:rsid w:val="00D9702F"/>
    <w:rsid w:val="00DA043F"/>
    <w:rsid w:val="00DA1025"/>
    <w:rsid w:val="00DA1EB0"/>
    <w:rsid w:val="00DA29A7"/>
    <w:rsid w:val="00DA3A27"/>
    <w:rsid w:val="00DA3F7B"/>
    <w:rsid w:val="00DA40DC"/>
    <w:rsid w:val="00DA47EA"/>
    <w:rsid w:val="00DA52F1"/>
    <w:rsid w:val="00DA5F26"/>
    <w:rsid w:val="00DA6ACF"/>
    <w:rsid w:val="00DA6E48"/>
    <w:rsid w:val="00DA74A1"/>
    <w:rsid w:val="00DB0B12"/>
    <w:rsid w:val="00DB2221"/>
    <w:rsid w:val="00DB22D9"/>
    <w:rsid w:val="00DB2682"/>
    <w:rsid w:val="00DB4726"/>
    <w:rsid w:val="00DB5969"/>
    <w:rsid w:val="00DC1507"/>
    <w:rsid w:val="00DC1658"/>
    <w:rsid w:val="00DC6729"/>
    <w:rsid w:val="00DD186C"/>
    <w:rsid w:val="00DD292F"/>
    <w:rsid w:val="00DD419C"/>
    <w:rsid w:val="00DD4573"/>
    <w:rsid w:val="00DE1993"/>
    <w:rsid w:val="00DE2E87"/>
    <w:rsid w:val="00DE38E5"/>
    <w:rsid w:val="00DE3B43"/>
    <w:rsid w:val="00DE3F1D"/>
    <w:rsid w:val="00DE7288"/>
    <w:rsid w:val="00DE75FB"/>
    <w:rsid w:val="00DE7666"/>
    <w:rsid w:val="00DE7AAC"/>
    <w:rsid w:val="00DE7EB9"/>
    <w:rsid w:val="00DF5801"/>
    <w:rsid w:val="00DF6230"/>
    <w:rsid w:val="00E01642"/>
    <w:rsid w:val="00E02ECA"/>
    <w:rsid w:val="00E046F0"/>
    <w:rsid w:val="00E05055"/>
    <w:rsid w:val="00E06BD4"/>
    <w:rsid w:val="00E11EBB"/>
    <w:rsid w:val="00E12058"/>
    <w:rsid w:val="00E1248B"/>
    <w:rsid w:val="00E129B9"/>
    <w:rsid w:val="00E157CE"/>
    <w:rsid w:val="00E17A3A"/>
    <w:rsid w:val="00E2183E"/>
    <w:rsid w:val="00E2234B"/>
    <w:rsid w:val="00E24A05"/>
    <w:rsid w:val="00E26E7E"/>
    <w:rsid w:val="00E2732F"/>
    <w:rsid w:val="00E278B5"/>
    <w:rsid w:val="00E27C6F"/>
    <w:rsid w:val="00E31393"/>
    <w:rsid w:val="00E31897"/>
    <w:rsid w:val="00E34460"/>
    <w:rsid w:val="00E40C05"/>
    <w:rsid w:val="00E456F3"/>
    <w:rsid w:val="00E45973"/>
    <w:rsid w:val="00E45D59"/>
    <w:rsid w:val="00E46A3C"/>
    <w:rsid w:val="00E47C7F"/>
    <w:rsid w:val="00E47ED6"/>
    <w:rsid w:val="00E5031B"/>
    <w:rsid w:val="00E55222"/>
    <w:rsid w:val="00E5564B"/>
    <w:rsid w:val="00E557D9"/>
    <w:rsid w:val="00E55B7A"/>
    <w:rsid w:val="00E56213"/>
    <w:rsid w:val="00E6006A"/>
    <w:rsid w:val="00E67B95"/>
    <w:rsid w:val="00E708A3"/>
    <w:rsid w:val="00E71D2E"/>
    <w:rsid w:val="00E7371F"/>
    <w:rsid w:val="00E73DF9"/>
    <w:rsid w:val="00E7563B"/>
    <w:rsid w:val="00E777BE"/>
    <w:rsid w:val="00E77B40"/>
    <w:rsid w:val="00E80438"/>
    <w:rsid w:val="00E8288C"/>
    <w:rsid w:val="00E836A0"/>
    <w:rsid w:val="00E87832"/>
    <w:rsid w:val="00E9043C"/>
    <w:rsid w:val="00E907C8"/>
    <w:rsid w:val="00E92982"/>
    <w:rsid w:val="00E92ACD"/>
    <w:rsid w:val="00E93CFD"/>
    <w:rsid w:val="00E94180"/>
    <w:rsid w:val="00E94FD2"/>
    <w:rsid w:val="00EA04E9"/>
    <w:rsid w:val="00EA249F"/>
    <w:rsid w:val="00EA2506"/>
    <w:rsid w:val="00EA2E61"/>
    <w:rsid w:val="00EA3E9E"/>
    <w:rsid w:val="00EA5B83"/>
    <w:rsid w:val="00EA67AA"/>
    <w:rsid w:val="00EA67CA"/>
    <w:rsid w:val="00EA6D38"/>
    <w:rsid w:val="00EA7273"/>
    <w:rsid w:val="00EA7D4D"/>
    <w:rsid w:val="00EA7FDF"/>
    <w:rsid w:val="00EB1E7F"/>
    <w:rsid w:val="00EB2806"/>
    <w:rsid w:val="00EB3D5B"/>
    <w:rsid w:val="00EB5010"/>
    <w:rsid w:val="00EB571E"/>
    <w:rsid w:val="00EB6C1A"/>
    <w:rsid w:val="00EB6C59"/>
    <w:rsid w:val="00EB6D79"/>
    <w:rsid w:val="00EB75F5"/>
    <w:rsid w:val="00EB7FF4"/>
    <w:rsid w:val="00EC0D4F"/>
    <w:rsid w:val="00EC20DF"/>
    <w:rsid w:val="00EC5CC4"/>
    <w:rsid w:val="00EC5FDE"/>
    <w:rsid w:val="00EC74F0"/>
    <w:rsid w:val="00EC7817"/>
    <w:rsid w:val="00ED18D7"/>
    <w:rsid w:val="00ED3BD8"/>
    <w:rsid w:val="00ED40F1"/>
    <w:rsid w:val="00ED499D"/>
    <w:rsid w:val="00ED4C91"/>
    <w:rsid w:val="00ED507B"/>
    <w:rsid w:val="00ED514C"/>
    <w:rsid w:val="00ED6B0A"/>
    <w:rsid w:val="00ED6E61"/>
    <w:rsid w:val="00EE16E8"/>
    <w:rsid w:val="00EE2512"/>
    <w:rsid w:val="00EE2EE6"/>
    <w:rsid w:val="00EE5ACF"/>
    <w:rsid w:val="00EE6651"/>
    <w:rsid w:val="00EE7525"/>
    <w:rsid w:val="00EE7AF0"/>
    <w:rsid w:val="00EE7B90"/>
    <w:rsid w:val="00EF0BCA"/>
    <w:rsid w:val="00EF1D89"/>
    <w:rsid w:val="00EF3203"/>
    <w:rsid w:val="00EF3818"/>
    <w:rsid w:val="00EF39F1"/>
    <w:rsid w:val="00EF3CC8"/>
    <w:rsid w:val="00EF4B03"/>
    <w:rsid w:val="00EF5D92"/>
    <w:rsid w:val="00EF6418"/>
    <w:rsid w:val="00EF74EF"/>
    <w:rsid w:val="00EF7A0D"/>
    <w:rsid w:val="00F016C0"/>
    <w:rsid w:val="00F02168"/>
    <w:rsid w:val="00F024C6"/>
    <w:rsid w:val="00F046AB"/>
    <w:rsid w:val="00F05881"/>
    <w:rsid w:val="00F071A6"/>
    <w:rsid w:val="00F07C89"/>
    <w:rsid w:val="00F07FDE"/>
    <w:rsid w:val="00F101F3"/>
    <w:rsid w:val="00F115A3"/>
    <w:rsid w:val="00F13866"/>
    <w:rsid w:val="00F14FC8"/>
    <w:rsid w:val="00F15EA6"/>
    <w:rsid w:val="00F167E3"/>
    <w:rsid w:val="00F16CE6"/>
    <w:rsid w:val="00F20451"/>
    <w:rsid w:val="00F21229"/>
    <w:rsid w:val="00F26ECA"/>
    <w:rsid w:val="00F3027B"/>
    <w:rsid w:val="00F3082D"/>
    <w:rsid w:val="00F30D84"/>
    <w:rsid w:val="00F31667"/>
    <w:rsid w:val="00F3179D"/>
    <w:rsid w:val="00F3215D"/>
    <w:rsid w:val="00F32277"/>
    <w:rsid w:val="00F32280"/>
    <w:rsid w:val="00F33903"/>
    <w:rsid w:val="00F36708"/>
    <w:rsid w:val="00F378DC"/>
    <w:rsid w:val="00F4091D"/>
    <w:rsid w:val="00F431B9"/>
    <w:rsid w:val="00F44E9E"/>
    <w:rsid w:val="00F45DD2"/>
    <w:rsid w:val="00F45FC5"/>
    <w:rsid w:val="00F4681B"/>
    <w:rsid w:val="00F4749C"/>
    <w:rsid w:val="00F51384"/>
    <w:rsid w:val="00F51FB4"/>
    <w:rsid w:val="00F52B71"/>
    <w:rsid w:val="00F534FE"/>
    <w:rsid w:val="00F56496"/>
    <w:rsid w:val="00F5731D"/>
    <w:rsid w:val="00F6049A"/>
    <w:rsid w:val="00F60A18"/>
    <w:rsid w:val="00F6326A"/>
    <w:rsid w:val="00F63C3A"/>
    <w:rsid w:val="00F64B41"/>
    <w:rsid w:val="00F65E48"/>
    <w:rsid w:val="00F65F84"/>
    <w:rsid w:val="00F65FAE"/>
    <w:rsid w:val="00F66409"/>
    <w:rsid w:val="00F66927"/>
    <w:rsid w:val="00F7513C"/>
    <w:rsid w:val="00F76C37"/>
    <w:rsid w:val="00F77E63"/>
    <w:rsid w:val="00F801C3"/>
    <w:rsid w:val="00F80636"/>
    <w:rsid w:val="00F809AA"/>
    <w:rsid w:val="00F81537"/>
    <w:rsid w:val="00F8164C"/>
    <w:rsid w:val="00F834CE"/>
    <w:rsid w:val="00F837E7"/>
    <w:rsid w:val="00F83FC1"/>
    <w:rsid w:val="00F85185"/>
    <w:rsid w:val="00F85E9E"/>
    <w:rsid w:val="00F90CDA"/>
    <w:rsid w:val="00F90F67"/>
    <w:rsid w:val="00F91BCA"/>
    <w:rsid w:val="00F952F2"/>
    <w:rsid w:val="00FA0F1F"/>
    <w:rsid w:val="00FA1CA7"/>
    <w:rsid w:val="00FA32A1"/>
    <w:rsid w:val="00FA4B78"/>
    <w:rsid w:val="00FA670F"/>
    <w:rsid w:val="00FA706F"/>
    <w:rsid w:val="00FA79F1"/>
    <w:rsid w:val="00FA7A70"/>
    <w:rsid w:val="00FB13D0"/>
    <w:rsid w:val="00FB48CF"/>
    <w:rsid w:val="00FB5772"/>
    <w:rsid w:val="00FB5FB9"/>
    <w:rsid w:val="00FB6F83"/>
    <w:rsid w:val="00FB7A04"/>
    <w:rsid w:val="00FC2882"/>
    <w:rsid w:val="00FC33FF"/>
    <w:rsid w:val="00FC35ED"/>
    <w:rsid w:val="00FC4202"/>
    <w:rsid w:val="00FC6E9E"/>
    <w:rsid w:val="00FD28A1"/>
    <w:rsid w:val="00FD6739"/>
    <w:rsid w:val="00FE05FA"/>
    <w:rsid w:val="00FE37CF"/>
    <w:rsid w:val="00FE3C9D"/>
    <w:rsid w:val="00FE51A5"/>
    <w:rsid w:val="00FF0F0C"/>
    <w:rsid w:val="00FF1628"/>
    <w:rsid w:val="00FF23EC"/>
    <w:rsid w:val="00FF306A"/>
    <w:rsid w:val="00FF72C9"/>
    <w:rsid w:val="012670EA"/>
    <w:rsid w:val="0129483A"/>
    <w:rsid w:val="012A6BDB"/>
    <w:rsid w:val="015C2B0C"/>
    <w:rsid w:val="01883901"/>
    <w:rsid w:val="01BB3A13"/>
    <w:rsid w:val="01CE4415"/>
    <w:rsid w:val="01DE6ED6"/>
    <w:rsid w:val="02094A42"/>
    <w:rsid w:val="022C0730"/>
    <w:rsid w:val="025F0B06"/>
    <w:rsid w:val="025F4662"/>
    <w:rsid w:val="0273635F"/>
    <w:rsid w:val="029D33DC"/>
    <w:rsid w:val="029F53A6"/>
    <w:rsid w:val="02AD35A0"/>
    <w:rsid w:val="02AD361F"/>
    <w:rsid w:val="02BA3F8E"/>
    <w:rsid w:val="02D07CF0"/>
    <w:rsid w:val="02EE0DE9"/>
    <w:rsid w:val="02FA082F"/>
    <w:rsid w:val="03067533"/>
    <w:rsid w:val="03547F3F"/>
    <w:rsid w:val="036F2A12"/>
    <w:rsid w:val="03A72764"/>
    <w:rsid w:val="03DA2C38"/>
    <w:rsid w:val="043236CA"/>
    <w:rsid w:val="04373762"/>
    <w:rsid w:val="043D4686"/>
    <w:rsid w:val="0449381C"/>
    <w:rsid w:val="046046C1"/>
    <w:rsid w:val="0475494B"/>
    <w:rsid w:val="04E059DF"/>
    <w:rsid w:val="04F04E90"/>
    <w:rsid w:val="04F62F1D"/>
    <w:rsid w:val="0507517F"/>
    <w:rsid w:val="051A0AAC"/>
    <w:rsid w:val="051F25B6"/>
    <w:rsid w:val="052E656D"/>
    <w:rsid w:val="053B00F0"/>
    <w:rsid w:val="05483AD3"/>
    <w:rsid w:val="055C757F"/>
    <w:rsid w:val="056621AB"/>
    <w:rsid w:val="05984FF0"/>
    <w:rsid w:val="059874F0"/>
    <w:rsid w:val="05CA3668"/>
    <w:rsid w:val="06110369"/>
    <w:rsid w:val="062E2CC9"/>
    <w:rsid w:val="06562CE8"/>
    <w:rsid w:val="065E2E28"/>
    <w:rsid w:val="0680580D"/>
    <w:rsid w:val="06E53056"/>
    <w:rsid w:val="06FA704F"/>
    <w:rsid w:val="070D211A"/>
    <w:rsid w:val="07485275"/>
    <w:rsid w:val="07966D78"/>
    <w:rsid w:val="07C05BA3"/>
    <w:rsid w:val="07EC690F"/>
    <w:rsid w:val="0800444E"/>
    <w:rsid w:val="080C2EFD"/>
    <w:rsid w:val="0822060B"/>
    <w:rsid w:val="083B347B"/>
    <w:rsid w:val="08404F36"/>
    <w:rsid w:val="084772BB"/>
    <w:rsid w:val="08512C9F"/>
    <w:rsid w:val="08667779"/>
    <w:rsid w:val="087370B9"/>
    <w:rsid w:val="087D3E43"/>
    <w:rsid w:val="08971F79"/>
    <w:rsid w:val="089C26B1"/>
    <w:rsid w:val="08B07627"/>
    <w:rsid w:val="09414A2D"/>
    <w:rsid w:val="09664CA9"/>
    <w:rsid w:val="097E5D15"/>
    <w:rsid w:val="098A46BA"/>
    <w:rsid w:val="09A339CE"/>
    <w:rsid w:val="09A6526C"/>
    <w:rsid w:val="09DE099D"/>
    <w:rsid w:val="0A271C87"/>
    <w:rsid w:val="0A5E6197"/>
    <w:rsid w:val="0A660DA3"/>
    <w:rsid w:val="0A6767AA"/>
    <w:rsid w:val="0A8E01DA"/>
    <w:rsid w:val="0A8E2325"/>
    <w:rsid w:val="0AB228D3"/>
    <w:rsid w:val="0AC736EC"/>
    <w:rsid w:val="0AD55E09"/>
    <w:rsid w:val="0AF618DB"/>
    <w:rsid w:val="0B136931"/>
    <w:rsid w:val="0B3D58B0"/>
    <w:rsid w:val="0B413D76"/>
    <w:rsid w:val="0B505EF0"/>
    <w:rsid w:val="0B6813FA"/>
    <w:rsid w:val="0BD01EAC"/>
    <w:rsid w:val="0BDC5FAC"/>
    <w:rsid w:val="0BF36AE5"/>
    <w:rsid w:val="0C4D19CF"/>
    <w:rsid w:val="0C6F1945"/>
    <w:rsid w:val="0C9062DC"/>
    <w:rsid w:val="0CC96384"/>
    <w:rsid w:val="0CD345CA"/>
    <w:rsid w:val="0CDA44CD"/>
    <w:rsid w:val="0CDD11A6"/>
    <w:rsid w:val="0CF22817"/>
    <w:rsid w:val="0CF804C6"/>
    <w:rsid w:val="0D08580A"/>
    <w:rsid w:val="0D2121C5"/>
    <w:rsid w:val="0D247DB9"/>
    <w:rsid w:val="0D3712C1"/>
    <w:rsid w:val="0D444B80"/>
    <w:rsid w:val="0D4950F2"/>
    <w:rsid w:val="0D605732"/>
    <w:rsid w:val="0D6763C0"/>
    <w:rsid w:val="0D756817"/>
    <w:rsid w:val="0D7C256C"/>
    <w:rsid w:val="0D8D29CB"/>
    <w:rsid w:val="0D9A0C44"/>
    <w:rsid w:val="0DAD6BC9"/>
    <w:rsid w:val="0DB05D1A"/>
    <w:rsid w:val="0DB91B6A"/>
    <w:rsid w:val="0DCA5CDB"/>
    <w:rsid w:val="0DD95C10"/>
    <w:rsid w:val="0DE45477"/>
    <w:rsid w:val="0E122F7E"/>
    <w:rsid w:val="0E172295"/>
    <w:rsid w:val="0E286250"/>
    <w:rsid w:val="0E456E02"/>
    <w:rsid w:val="0E495ACB"/>
    <w:rsid w:val="0E6C22A1"/>
    <w:rsid w:val="0E8755E8"/>
    <w:rsid w:val="0EAE0E4B"/>
    <w:rsid w:val="0EC0292C"/>
    <w:rsid w:val="0EE26D46"/>
    <w:rsid w:val="0EF7557C"/>
    <w:rsid w:val="0F1C7D35"/>
    <w:rsid w:val="0F2E5468"/>
    <w:rsid w:val="0F340AD2"/>
    <w:rsid w:val="0F384BB8"/>
    <w:rsid w:val="0F403A6D"/>
    <w:rsid w:val="0F4E396C"/>
    <w:rsid w:val="0F587009"/>
    <w:rsid w:val="0F5B7DD1"/>
    <w:rsid w:val="0F63518D"/>
    <w:rsid w:val="0FA4573A"/>
    <w:rsid w:val="0FB56996"/>
    <w:rsid w:val="0FE34B24"/>
    <w:rsid w:val="0FE4089C"/>
    <w:rsid w:val="10084EE2"/>
    <w:rsid w:val="1031680F"/>
    <w:rsid w:val="10344A25"/>
    <w:rsid w:val="10525806"/>
    <w:rsid w:val="1086149E"/>
    <w:rsid w:val="1088277D"/>
    <w:rsid w:val="108D1493"/>
    <w:rsid w:val="10BE27A2"/>
    <w:rsid w:val="10C81F6C"/>
    <w:rsid w:val="10C86105"/>
    <w:rsid w:val="10FA2D58"/>
    <w:rsid w:val="10FD1C16"/>
    <w:rsid w:val="11196324"/>
    <w:rsid w:val="115803EA"/>
    <w:rsid w:val="11763776"/>
    <w:rsid w:val="11982360"/>
    <w:rsid w:val="11B57CEC"/>
    <w:rsid w:val="11C47354"/>
    <w:rsid w:val="11EB4770"/>
    <w:rsid w:val="11F50B3F"/>
    <w:rsid w:val="12280984"/>
    <w:rsid w:val="122A7611"/>
    <w:rsid w:val="1235718D"/>
    <w:rsid w:val="123F1DBA"/>
    <w:rsid w:val="12413D84"/>
    <w:rsid w:val="125E66E4"/>
    <w:rsid w:val="12627082"/>
    <w:rsid w:val="127D2078"/>
    <w:rsid w:val="128755FC"/>
    <w:rsid w:val="12901EFB"/>
    <w:rsid w:val="1294682C"/>
    <w:rsid w:val="129F4F73"/>
    <w:rsid w:val="12A3059B"/>
    <w:rsid w:val="12EE67D4"/>
    <w:rsid w:val="12F6524A"/>
    <w:rsid w:val="12FC7CAB"/>
    <w:rsid w:val="13102B90"/>
    <w:rsid w:val="132A70C8"/>
    <w:rsid w:val="1363332F"/>
    <w:rsid w:val="13686FE3"/>
    <w:rsid w:val="13B1795D"/>
    <w:rsid w:val="13DB5A21"/>
    <w:rsid w:val="13F4268A"/>
    <w:rsid w:val="142A31E2"/>
    <w:rsid w:val="142A6E10"/>
    <w:rsid w:val="1437543F"/>
    <w:rsid w:val="143A0A8B"/>
    <w:rsid w:val="144725A7"/>
    <w:rsid w:val="1461070D"/>
    <w:rsid w:val="14641498"/>
    <w:rsid w:val="148D505F"/>
    <w:rsid w:val="14B5630E"/>
    <w:rsid w:val="14BB6070"/>
    <w:rsid w:val="14E51E0D"/>
    <w:rsid w:val="14F450DE"/>
    <w:rsid w:val="1509375B"/>
    <w:rsid w:val="151B529C"/>
    <w:rsid w:val="15260317"/>
    <w:rsid w:val="15313AA5"/>
    <w:rsid w:val="154A230C"/>
    <w:rsid w:val="15A16353"/>
    <w:rsid w:val="15A703A2"/>
    <w:rsid w:val="1614126F"/>
    <w:rsid w:val="16485E16"/>
    <w:rsid w:val="164C55BB"/>
    <w:rsid w:val="16540140"/>
    <w:rsid w:val="16753FFC"/>
    <w:rsid w:val="167B3E10"/>
    <w:rsid w:val="167D1103"/>
    <w:rsid w:val="16A7677A"/>
    <w:rsid w:val="16B71F57"/>
    <w:rsid w:val="16CB5E37"/>
    <w:rsid w:val="16F301BE"/>
    <w:rsid w:val="17051824"/>
    <w:rsid w:val="173B5246"/>
    <w:rsid w:val="1740285C"/>
    <w:rsid w:val="174D6117"/>
    <w:rsid w:val="1752258F"/>
    <w:rsid w:val="175E4FA4"/>
    <w:rsid w:val="17911912"/>
    <w:rsid w:val="17921CA7"/>
    <w:rsid w:val="17BB6387"/>
    <w:rsid w:val="17CC0594"/>
    <w:rsid w:val="180231F4"/>
    <w:rsid w:val="18027B12"/>
    <w:rsid w:val="1820443C"/>
    <w:rsid w:val="1828111B"/>
    <w:rsid w:val="182E0907"/>
    <w:rsid w:val="184264AC"/>
    <w:rsid w:val="185D743E"/>
    <w:rsid w:val="186239EB"/>
    <w:rsid w:val="18695DE3"/>
    <w:rsid w:val="186C421B"/>
    <w:rsid w:val="18714C97"/>
    <w:rsid w:val="187C78C4"/>
    <w:rsid w:val="188B3FAB"/>
    <w:rsid w:val="189570F0"/>
    <w:rsid w:val="18AF6479"/>
    <w:rsid w:val="18BD5FFA"/>
    <w:rsid w:val="18D535F0"/>
    <w:rsid w:val="18D63D1F"/>
    <w:rsid w:val="18DF60A5"/>
    <w:rsid w:val="19407488"/>
    <w:rsid w:val="195B397D"/>
    <w:rsid w:val="198D5B01"/>
    <w:rsid w:val="19962C07"/>
    <w:rsid w:val="19AF49FC"/>
    <w:rsid w:val="19BD63E6"/>
    <w:rsid w:val="19CF0541"/>
    <w:rsid w:val="19D8310B"/>
    <w:rsid w:val="19EE731B"/>
    <w:rsid w:val="19FB45B3"/>
    <w:rsid w:val="1A051879"/>
    <w:rsid w:val="1A0F4768"/>
    <w:rsid w:val="1A1E49AB"/>
    <w:rsid w:val="1A226372"/>
    <w:rsid w:val="1A230012"/>
    <w:rsid w:val="1A445AD5"/>
    <w:rsid w:val="1A544ED2"/>
    <w:rsid w:val="1A7778B3"/>
    <w:rsid w:val="1A7840BF"/>
    <w:rsid w:val="1A9A04D5"/>
    <w:rsid w:val="1AC02B38"/>
    <w:rsid w:val="1AC165E2"/>
    <w:rsid w:val="1AE50F3D"/>
    <w:rsid w:val="1B18764C"/>
    <w:rsid w:val="1B1E2B28"/>
    <w:rsid w:val="1B30283F"/>
    <w:rsid w:val="1B4B5E16"/>
    <w:rsid w:val="1B5A7C65"/>
    <w:rsid w:val="1B640C92"/>
    <w:rsid w:val="1B770817"/>
    <w:rsid w:val="1B7B241B"/>
    <w:rsid w:val="1B830F69"/>
    <w:rsid w:val="1BC46542"/>
    <w:rsid w:val="1BE82855"/>
    <w:rsid w:val="1BE97638"/>
    <w:rsid w:val="1C292321"/>
    <w:rsid w:val="1C395ACC"/>
    <w:rsid w:val="1C623275"/>
    <w:rsid w:val="1C67088B"/>
    <w:rsid w:val="1C7555BC"/>
    <w:rsid w:val="1C9F0025"/>
    <w:rsid w:val="1CA8513B"/>
    <w:rsid w:val="1CB57848"/>
    <w:rsid w:val="1CB6711D"/>
    <w:rsid w:val="1CCB3F5A"/>
    <w:rsid w:val="1CD04E2A"/>
    <w:rsid w:val="1CD81789"/>
    <w:rsid w:val="1CD87093"/>
    <w:rsid w:val="1CE348D7"/>
    <w:rsid w:val="1CE81315"/>
    <w:rsid w:val="1CF3211F"/>
    <w:rsid w:val="1D1327C1"/>
    <w:rsid w:val="1D17405F"/>
    <w:rsid w:val="1D217359"/>
    <w:rsid w:val="1D262445"/>
    <w:rsid w:val="1D596721"/>
    <w:rsid w:val="1D64124F"/>
    <w:rsid w:val="1D755083"/>
    <w:rsid w:val="1D774AFE"/>
    <w:rsid w:val="1D81772B"/>
    <w:rsid w:val="1D871B8F"/>
    <w:rsid w:val="1DC37D43"/>
    <w:rsid w:val="1DC96D3B"/>
    <w:rsid w:val="1DD513E3"/>
    <w:rsid w:val="1DD91EA0"/>
    <w:rsid w:val="1DF64CFA"/>
    <w:rsid w:val="1E3B16EB"/>
    <w:rsid w:val="1E546BED"/>
    <w:rsid w:val="1E5A174A"/>
    <w:rsid w:val="1E6A4663"/>
    <w:rsid w:val="1E8223FB"/>
    <w:rsid w:val="1E923B5D"/>
    <w:rsid w:val="1EC84785"/>
    <w:rsid w:val="1F072E33"/>
    <w:rsid w:val="1F0E1492"/>
    <w:rsid w:val="1F1B770B"/>
    <w:rsid w:val="1F1C595D"/>
    <w:rsid w:val="1F3233D2"/>
    <w:rsid w:val="1F5350F7"/>
    <w:rsid w:val="1F607F6A"/>
    <w:rsid w:val="1F692B6A"/>
    <w:rsid w:val="1F774213"/>
    <w:rsid w:val="1FE40369"/>
    <w:rsid w:val="200265BA"/>
    <w:rsid w:val="20196340"/>
    <w:rsid w:val="201A68BF"/>
    <w:rsid w:val="20207824"/>
    <w:rsid w:val="202747B8"/>
    <w:rsid w:val="202C6073"/>
    <w:rsid w:val="202D5948"/>
    <w:rsid w:val="20333A02"/>
    <w:rsid w:val="20337402"/>
    <w:rsid w:val="205155EF"/>
    <w:rsid w:val="20542543"/>
    <w:rsid w:val="20592BE1"/>
    <w:rsid w:val="207F650F"/>
    <w:rsid w:val="20B849AB"/>
    <w:rsid w:val="20CA76E9"/>
    <w:rsid w:val="20D34741"/>
    <w:rsid w:val="20DD2ECA"/>
    <w:rsid w:val="20FD5FE6"/>
    <w:rsid w:val="2128125A"/>
    <w:rsid w:val="213B4A81"/>
    <w:rsid w:val="21494A03"/>
    <w:rsid w:val="21661111"/>
    <w:rsid w:val="217145EC"/>
    <w:rsid w:val="217F21D3"/>
    <w:rsid w:val="218D0A8E"/>
    <w:rsid w:val="219A40C3"/>
    <w:rsid w:val="21A02C66"/>
    <w:rsid w:val="21AD2B8D"/>
    <w:rsid w:val="21DF0EC4"/>
    <w:rsid w:val="22034BB2"/>
    <w:rsid w:val="221C3EC6"/>
    <w:rsid w:val="22235254"/>
    <w:rsid w:val="222E3E14"/>
    <w:rsid w:val="22342FBD"/>
    <w:rsid w:val="225B3325"/>
    <w:rsid w:val="22681B28"/>
    <w:rsid w:val="227B5C56"/>
    <w:rsid w:val="229249BD"/>
    <w:rsid w:val="2292538B"/>
    <w:rsid w:val="22CE51C0"/>
    <w:rsid w:val="22E744D4"/>
    <w:rsid w:val="22F8048F"/>
    <w:rsid w:val="23411E36"/>
    <w:rsid w:val="23712E98"/>
    <w:rsid w:val="237241BE"/>
    <w:rsid w:val="2398757C"/>
    <w:rsid w:val="23BE4923"/>
    <w:rsid w:val="23C175DC"/>
    <w:rsid w:val="23D127C6"/>
    <w:rsid w:val="23EA6B62"/>
    <w:rsid w:val="23F24EDE"/>
    <w:rsid w:val="23F95670"/>
    <w:rsid w:val="241F1756"/>
    <w:rsid w:val="242E7905"/>
    <w:rsid w:val="24485A81"/>
    <w:rsid w:val="245416F5"/>
    <w:rsid w:val="247C50B2"/>
    <w:rsid w:val="247C6E9E"/>
    <w:rsid w:val="2498732E"/>
    <w:rsid w:val="24A0641B"/>
    <w:rsid w:val="24B77ED6"/>
    <w:rsid w:val="24BD373E"/>
    <w:rsid w:val="24E67DA3"/>
    <w:rsid w:val="250016C2"/>
    <w:rsid w:val="250C1FD0"/>
    <w:rsid w:val="2545676E"/>
    <w:rsid w:val="257C3487"/>
    <w:rsid w:val="258A31FA"/>
    <w:rsid w:val="258E0C37"/>
    <w:rsid w:val="25A20C75"/>
    <w:rsid w:val="25CD79B1"/>
    <w:rsid w:val="25D23219"/>
    <w:rsid w:val="25F451B5"/>
    <w:rsid w:val="25F807A6"/>
    <w:rsid w:val="263E265D"/>
    <w:rsid w:val="269A7FB7"/>
    <w:rsid w:val="26B44B38"/>
    <w:rsid w:val="26BB338B"/>
    <w:rsid w:val="26C6367F"/>
    <w:rsid w:val="26EC5096"/>
    <w:rsid w:val="26F611A5"/>
    <w:rsid w:val="27042C3A"/>
    <w:rsid w:val="271033BC"/>
    <w:rsid w:val="27174C5C"/>
    <w:rsid w:val="27181100"/>
    <w:rsid w:val="271D0AF7"/>
    <w:rsid w:val="271D6716"/>
    <w:rsid w:val="273D0B66"/>
    <w:rsid w:val="274D39F6"/>
    <w:rsid w:val="27830026"/>
    <w:rsid w:val="27921723"/>
    <w:rsid w:val="27962024"/>
    <w:rsid w:val="279A06C8"/>
    <w:rsid w:val="27A26C1B"/>
    <w:rsid w:val="27BF5A1F"/>
    <w:rsid w:val="27CC165C"/>
    <w:rsid w:val="27E72880"/>
    <w:rsid w:val="28186EDD"/>
    <w:rsid w:val="281D485F"/>
    <w:rsid w:val="282D0BDB"/>
    <w:rsid w:val="28373807"/>
    <w:rsid w:val="283B7A47"/>
    <w:rsid w:val="28557849"/>
    <w:rsid w:val="2868600E"/>
    <w:rsid w:val="286F2FA1"/>
    <w:rsid w:val="28AD3ACA"/>
    <w:rsid w:val="28C52844"/>
    <w:rsid w:val="293033C4"/>
    <w:rsid w:val="293B192D"/>
    <w:rsid w:val="293C308C"/>
    <w:rsid w:val="29475CCC"/>
    <w:rsid w:val="295959FF"/>
    <w:rsid w:val="295B586D"/>
    <w:rsid w:val="29A50AF7"/>
    <w:rsid w:val="29CB28B7"/>
    <w:rsid w:val="29DC4815"/>
    <w:rsid w:val="2A305874"/>
    <w:rsid w:val="2A5A37DD"/>
    <w:rsid w:val="2A652C4B"/>
    <w:rsid w:val="2A684DE8"/>
    <w:rsid w:val="2A775A4E"/>
    <w:rsid w:val="2A88294D"/>
    <w:rsid w:val="2A9943B2"/>
    <w:rsid w:val="2AA36F32"/>
    <w:rsid w:val="2ACA2711"/>
    <w:rsid w:val="2AD4279C"/>
    <w:rsid w:val="2B0E64C2"/>
    <w:rsid w:val="2B220A9D"/>
    <w:rsid w:val="2B277B63"/>
    <w:rsid w:val="2B2F6A18"/>
    <w:rsid w:val="2B4E7E60"/>
    <w:rsid w:val="2B962EC0"/>
    <w:rsid w:val="2B9A264F"/>
    <w:rsid w:val="2BB07462"/>
    <w:rsid w:val="2BB13F66"/>
    <w:rsid w:val="2BBA2E63"/>
    <w:rsid w:val="2BDE4F1A"/>
    <w:rsid w:val="2BE94B33"/>
    <w:rsid w:val="2C0C1B4C"/>
    <w:rsid w:val="2C166F93"/>
    <w:rsid w:val="2C287B42"/>
    <w:rsid w:val="2C752B50"/>
    <w:rsid w:val="2C856919"/>
    <w:rsid w:val="2CA5623F"/>
    <w:rsid w:val="2CCE2AFC"/>
    <w:rsid w:val="2CD71115"/>
    <w:rsid w:val="2CDC7C0C"/>
    <w:rsid w:val="2D247237"/>
    <w:rsid w:val="2D2A56E9"/>
    <w:rsid w:val="2D417001"/>
    <w:rsid w:val="2D6148F5"/>
    <w:rsid w:val="2D914CD1"/>
    <w:rsid w:val="2DA70EA5"/>
    <w:rsid w:val="2DAA0ED8"/>
    <w:rsid w:val="2DB37828"/>
    <w:rsid w:val="2DCA2A28"/>
    <w:rsid w:val="2DD90EBD"/>
    <w:rsid w:val="2DF9095D"/>
    <w:rsid w:val="2E187C37"/>
    <w:rsid w:val="2E472483"/>
    <w:rsid w:val="2E903C71"/>
    <w:rsid w:val="2EA46585"/>
    <w:rsid w:val="2EAD4823"/>
    <w:rsid w:val="2EDC6EB7"/>
    <w:rsid w:val="2EF35FAE"/>
    <w:rsid w:val="2EF83609"/>
    <w:rsid w:val="2EFD594B"/>
    <w:rsid w:val="2F072B4D"/>
    <w:rsid w:val="2F171649"/>
    <w:rsid w:val="2F354C39"/>
    <w:rsid w:val="2F7D766A"/>
    <w:rsid w:val="2FAE5DCC"/>
    <w:rsid w:val="2FCD10CA"/>
    <w:rsid w:val="30033981"/>
    <w:rsid w:val="300F0BC6"/>
    <w:rsid w:val="304765B2"/>
    <w:rsid w:val="30562EBB"/>
    <w:rsid w:val="30586A11"/>
    <w:rsid w:val="308415B4"/>
    <w:rsid w:val="30874C00"/>
    <w:rsid w:val="30901D07"/>
    <w:rsid w:val="30A12843"/>
    <w:rsid w:val="30CB71E3"/>
    <w:rsid w:val="30CD3326"/>
    <w:rsid w:val="30D72AF4"/>
    <w:rsid w:val="30E5101D"/>
    <w:rsid w:val="31046613"/>
    <w:rsid w:val="310763AA"/>
    <w:rsid w:val="31076E1B"/>
    <w:rsid w:val="312D6749"/>
    <w:rsid w:val="316340CC"/>
    <w:rsid w:val="31837ABD"/>
    <w:rsid w:val="318A49A8"/>
    <w:rsid w:val="319F5976"/>
    <w:rsid w:val="31A57A34"/>
    <w:rsid w:val="31C53C32"/>
    <w:rsid w:val="31C679AA"/>
    <w:rsid w:val="31F0564D"/>
    <w:rsid w:val="31FD03A1"/>
    <w:rsid w:val="3215767E"/>
    <w:rsid w:val="321D3B47"/>
    <w:rsid w:val="32244DFC"/>
    <w:rsid w:val="323B123D"/>
    <w:rsid w:val="32591D6E"/>
    <w:rsid w:val="327A4D1B"/>
    <w:rsid w:val="32E0555F"/>
    <w:rsid w:val="33134E71"/>
    <w:rsid w:val="333252F7"/>
    <w:rsid w:val="33337B5A"/>
    <w:rsid w:val="333D3CFE"/>
    <w:rsid w:val="338D2911"/>
    <w:rsid w:val="3390201E"/>
    <w:rsid w:val="33A17CF2"/>
    <w:rsid w:val="33B645C1"/>
    <w:rsid w:val="33E12CF7"/>
    <w:rsid w:val="33F317D2"/>
    <w:rsid w:val="34403D29"/>
    <w:rsid w:val="34645984"/>
    <w:rsid w:val="34670FD0"/>
    <w:rsid w:val="347A478E"/>
    <w:rsid w:val="34820A95"/>
    <w:rsid w:val="34977068"/>
    <w:rsid w:val="34C30B0C"/>
    <w:rsid w:val="351078BA"/>
    <w:rsid w:val="35241FB8"/>
    <w:rsid w:val="355F76DD"/>
    <w:rsid w:val="35805024"/>
    <w:rsid w:val="35C005BD"/>
    <w:rsid w:val="361024A4"/>
    <w:rsid w:val="36496A6E"/>
    <w:rsid w:val="36502DAD"/>
    <w:rsid w:val="3657727D"/>
    <w:rsid w:val="36587FD3"/>
    <w:rsid w:val="365E4AC4"/>
    <w:rsid w:val="366C6D72"/>
    <w:rsid w:val="36745BB6"/>
    <w:rsid w:val="367F794F"/>
    <w:rsid w:val="368D0A96"/>
    <w:rsid w:val="369B7657"/>
    <w:rsid w:val="36AC19A8"/>
    <w:rsid w:val="36D612EC"/>
    <w:rsid w:val="36FD0D16"/>
    <w:rsid w:val="37216804"/>
    <w:rsid w:val="376B6C9A"/>
    <w:rsid w:val="37E77A26"/>
    <w:rsid w:val="37EB369C"/>
    <w:rsid w:val="37F72F9F"/>
    <w:rsid w:val="38020022"/>
    <w:rsid w:val="381F07AF"/>
    <w:rsid w:val="38230D10"/>
    <w:rsid w:val="387621BB"/>
    <w:rsid w:val="38891EEF"/>
    <w:rsid w:val="389D6F21"/>
    <w:rsid w:val="38AA5930"/>
    <w:rsid w:val="38EF3C17"/>
    <w:rsid w:val="39000915"/>
    <w:rsid w:val="390A5171"/>
    <w:rsid w:val="391E68F7"/>
    <w:rsid w:val="392751D2"/>
    <w:rsid w:val="39364640"/>
    <w:rsid w:val="395835DE"/>
    <w:rsid w:val="396C2BC9"/>
    <w:rsid w:val="39B90351"/>
    <w:rsid w:val="39D90A05"/>
    <w:rsid w:val="3A3A430C"/>
    <w:rsid w:val="3A59349E"/>
    <w:rsid w:val="3AB41C00"/>
    <w:rsid w:val="3AC54CA3"/>
    <w:rsid w:val="3AD96F06"/>
    <w:rsid w:val="3AE2585A"/>
    <w:rsid w:val="3AF630AE"/>
    <w:rsid w:val="3B1F7356"/>
    <w:rsid w:val="3B304812"/>
    <w:rsid w:val="3B4B164C"/>
    <w:rsid w:val="3B6876C4"/>
    <w:rsid w:val="3B787F67"/>
    <w:rsid w:val="3B8C34CE"/>
    <w:rsid w:val="3BA408DE"/>
    <w:rsid w:val="3BC1078A"/>
    <w:rsid w:val="3BE97B53"/>
    <w:rsid w:val="3C2A3B55"/>
    <w:rsid w:val="3C667DC0"/>
    <w:rsid w:val="3C762821"/>
    <w:rsid w:val="3C8446EA"/>
    <w:rsid w:val="3C917532"/>
    <w:rsid w:val="3CBC4F2B"/>
    <w:rsid w:val="3CDD167D"/>
    <w:rsid w:val="3CDE204C"/>
    <w:rsid w:val="3D134DE8"/>
    <w:rsid w:val="3D1B32A0"/>
    <w:rsid w:val="3D29776B"/>
    <w:rsid w:val="3D54230E"/>
    <w:rsid w:val="3D5B18EE"/>
    <w:rsid w:val="3D646D34"/>
    <w:rsid w:val="3D6872EA"/>
    <w:rsid w:val="3D7529B0"/>
    <w:rsid w:val="3D8E2E15"/>
    <w:rsid w:val="3D937065"/>
    <w:rsid w:val="3D9F6576"/>
    <w:rsid w:val="3DB0197A"/>
    <w:rsid w:val="3DEE4511"/>
    <w:rsid w:val="3DFA136F"/>
    <w:rsid w:val="3E063608"/>
    <w:rsid w:val="3E1A70B4"/>
    <w:rsid w:val="3E29379B"/>
    <w:rsid w:val="3EBE448F"/>
    <w:rsid w:val="3ED43706"/>
    <w:rsid w:val="3F044AA6"/>
    <w:rsid w:val="3F702A31"/>
    <w:rsid w:val="3FAE6B02"/>
    <w:rsid w:val="3FC92B3F"/>
    <w:rsid w:val="3FF32092"/>
    <w:rsid w:val="3FFE5095"/>
    <w:rsid w:val="401E5985"/>
    <w:rsid w:val="40391FBC"/>
    <w:rsid w:val="40422291"/>
    <w:rsid w:val="40D54A32"/>
    <w:rsid w:val="40F005A0"/>
    <w:rsid w:val="40F00603"/>
    <w:rsid w:val="4116224D"/>
    <w:rsid w:val="415840E7"/>
    <w:rsid w:val="41652AB2"/>
    <w:rsid w:val="417E204F"/>
    <w:rsid w:val="418C5828"/>
    <w:rsid w:val="418D6292"/>
    <w:rsid w:val="419B0764"/>
    <w:rsid w:val="41FD4D22"/>
    <w:rsid w:val="420210B7"/>
    <w:rsid w:val="42024A2E"/>
    <w:rsid w:val="420B4E20"/>
    <w:rsid w:val="423E2D3B"/>
    <w:rsid w:val="42664FBD"/>
    <w:rsid w:val="426F3D3E"/>
    <w:rsid w:val="42876CE2"/>
    <w:rsid w:val="42AC04F6"/>
    <w:rsid w:val="42CC3387"/>
    <w:rsid w:val="42D53EF1"/>
    <w:rsid w:val="42F975C1"/>
    <w:rsid w:val="43144A19"/>
    <w:rsid w:val="431A730E"/>
    <w:rsid w:val="432A511E"/>
    <w:rsid w:val="433C3E7A"/>
    <w:rsid w:val="433D0EA5"/>
    <w:rsid w:val="434A5A68"/>
    <w:rsid w:val="4351712A"/>
    <w:rsid w:val="43943464"/>
    <w:rsid w:val="4396542E"/>
    <w:rsid w:val="43BF3609"/>
    <w:rsid w:val="43C3013B"/>
    <w:rsid w:val="43DF5027"/>
    <w:rsid w:val="43E73EDC"/>
    <w:rsid w:val="44123DA4"/>
    <w:rsid w:val="444A3517"/>
    <w:rsid w:val="44753296"/>
    <w:rsid w:val="44850EBA"/>
    <w:rsid w:val="44862773"/>
    <w:rsid w:val="44C37E30"/>
    <w:rsid w:val="44E2497F"/>
    <w:rsid w:val="44E64193"/>
    <w:rsid w:val="44F93EC7"/>
    <w:rsid w:val="450E7246"/>
    <w:rsid w:val="45280575"/>
    <w:rsid w:val="453D2A10"/>
    <w:rsid w:val="455530C7"/>
    <w:rsid w:val="455636A7"/>
    <w:rsid w:val="45765517"/>
    <w:rsid w:val="4597096C"/>
    <w:rsid w:val="45A574ED"/>
    <w:rsid w:val="45FC09D0"/>
    <w:rsid w:val="45FF2FB8"/>
    <w:rsid w:val="46001285"/>
    <w:rsid w:val="461A28EF"/>
    <w:rsid w:val="462904A8"/>
    <w:rsid w:val="463E2922"/>
    <w:rsid w:val="46454873"/>
    <w:rsid w:val="464F3B9A"/>
    <w:rsid w:val="468072EF"/>
    <w:rsid w:val="46937B87"/>
    <w:rsid w:val="46C84DEE"/>
    <w:rsid w:val="46FA0610"/>
    <w:rsid w:val="46FF778E"/>
    <w:rsid w:val="47226FD9"/>
    <w:rsid w:val="475A6773"/>
    <w:rsid w:val="476B6BD2"/>
    <w:rsid w:val="47835AC3"/>
    <w:rsid w:val="47D25CC7"/>
    <w:rsid w:val="47D97352"/>
    <w:rsid w:val="47F34A01"/>
    <w:rsid w:val="48382F58"/>
    <w:rsid w:val="483A011B"/>
    <w:rsid w:val="48727C11"/>
    <w:rsid w:val="487579E8"/>
    <w:rsid w:val="48861F15"/>
    <w:rsid w:val="48A04659"/>
    <w:rsid w:val="48BD520B"/>
    <w:rsid w:val="48C14AB0"/>
    <w:rsid w:val="490540C5"/>
    <w:rsid w:val="4909059F"/>
    <w:rsid w:val="491312CF"/>
    <w:rsid w:val="4921212E"/>
    <w:rsid w:val="49214975"/>
    <w:rsid w:val="492509CD"/>
    <w:rsid w:val="4944592C"/>
    <w:rsid w:val="494616A5"/>
    <w:rsid w:val="49A55966"/>
    <w:rsid w:val="49C01457"/>
    <w:rsid w:val="4A355B31"/>
    <w:rsid w:val="4A6A358B"/>
    <w:rsid w:val="4A740B43"/>
    <w:rsid w:val="4AA91EEB"/>
    <w:rsid w:val="4AAC4D70"/>
    <w:rsid w:val="4ABE7CF1"/>
    <w:rsid w:val="4AC960E9"/>
    <w:rsid w:val="4AED103F"/>
    <w:rsid w:val="4AED6BE2"/>
    <w:rsid w:val="4AF0164E"/>
    <w:rsid w:val="4B0610EB"/>
    <w:rsid w:val="4B137364"/>
    <w:rsid w:val="4B143D77"/>
    <w:rsid w:val="4B1738D4"/>
    <w:rsid w:val="4B5A4F93"/>
    <w:rsid w:val="4B5A7222"/>
    <w:rsid w:val="4BD25472"/>
    <w:rsid w:val="4BEA4569"/>
    <w:rsid w:val="4BED02CC"/>
    <w:rsid w:val="4C3E64A1"/>
    <w:rsid w:val="4C6B4F7E"/>
    <w:rsid w:val="4C7D6453"/>
    <w:rsid w:val="4CA816F4"/>
    <w:rsid w:val="4CDD40CE"/>
    <w:rsid w:val="4CE049F9"/>
    <w:rsid w:val="4D027691"/>
    <w:rsid w:val="4D714816"/>
    <w:rsid w:val="4D92686F"/>
    <w:rsid w:val="4DA62712"/>
    <w:rsid w:val="4DC100EF"/>
    <w:rsid w:val="4DCE7B11"/>
    <w:rsid w:val="4DD74D90"/>
    <w:rsid w:val="4DDD3C5A"/>
    <w:rsid w:val="4DDE637D"/>
    <w:rsid w:val="4DE657A0"/>
    <w:rsid w:val="4DE67660"/>
    <w:rsid w:val="4E004A01"/>
    <w:rsid w:val="4E067D6F"/>
    <w:rsid w:val="4E0D305B"/>
    <w:rsid w:val="4E2D698F"/>
    <w:rsid w:val="4E41068C"/>
    <w:rsid w:val="4ED80DF5"/>
    <w:rsid w:val="4F400944"/>
    <w:rsid w:val="4F4641AC"/>
    <w:rsid w:val="4F560168"/>
    <w:rsid w:val="4F644633"/>
    <w:rsid w:val="4F700496"/>
    <w:rsid w:val="4F8B6063"/>
    <w:rsid w:val="4F9342CD"/>
    <w:rsid w:val="4FA46853"/>
    <w:rsid w:val="4FE62D9A"/>
    <w:rsid w:val="501F1F75"/>
    <w:rsid w:val="503C110B"/>
    <w:rsid w:val="503F0BFC"/>
    <w:rsid w:val="504D18D0"/>
    <w:rsid w:val="508450B4"/>
    <w:rsid w:val="50AF3D16"/>
    <w:rsid w:val="50E954C6"/>
    <w:rsid w:val="50F91A73"/>
    <w:rsid w:val="51092B6B"/>
    <w:rsid w:val="51726F5D"/>
    <w:rsid w:val="51800371"/>
    <w:rsid w:val="51951B6C"/>
    <w:rsid w:val="51B3364F"/>
    <w:rsid w:val="51D70F4B"/>
    <w:rsid w:val="51EF3AC2"/>
    <w:rsid w:val="5227710E"/>
    <w:rsid w:val="52376C94"/>
    <w:rsid w:val="524661A9"/>
    <w:rsid w:val="525939A9"/>
    <w:rsid w:val="527E4EF2"/>
    <w:rsid w:val="52847116"/>
    <w:rsid w:val="52B61649"/>
    <w:rsid w:val="52CD4FA9"/>
    <w:rsid w:val="52E32275"/>
    <w:rsid w:val="52E635B0"/>
    <w:rsid w:val="52E73287"/>
    <w:rsid w:val="52F263F9"/>
    <w:rsid w:val="52F757BE"/>
    <w:rsid w:val="53130849"/>
    <w:rsid w:val="53431DFC"/>
    <w:rsid w:val="53562F81"/>
    <w:rsid w:val="53877FA0"/>
    <w:rsid w:val="5391176E"/>
    <w:rsid w:val="5391332A"/>
    <w:rsid w:val="53CE0BD8"/>
    <w:rsid w:val="53D2506A"/>
    <w:rsid w:val="53E915AA"/>
    <w:rsid w:val="53F35F85"/>
    <w:rsid w:val="53FA37B7"/>
    <w:rsid w:val="54085ED4"/>
    <w:rsid w:val="545543ED"/>
    <w:rsid w:val="546450D5"/>
    <w:rsid w:val="54694499"/>
    <w:rsid w:val="546B432F"/>
    <w:rsid w:val="54C9378E"/>
    <w:rsid w:val="54D43162"/>
    <w:rsid w:val="554761E9"/>
    <w:rsid w:val="555A49C8"/>
    <w:rsid w:val="5583158B"/>
    <w:rsid w:val="558F04E9"/>
    <w:rsid w:val="559A4283"/>
    <w:rsid w:val="559F4616"/>
    <w:rsid w:val="55A90FF1"/>
    <w:rsid w:val="561F4CA6"/>
    <w:rsid w:val="565B44D8"/>
    <w:rsid w:val="566902F6"/>
    <w:rsid w:val="566D103A"/>
    <w:rsid w:val="56890E23"/>
    <w:rsid w:val="569021B1"/>
    <w:rsid w:val="56BD0981"/>
    <w:rsid w:val="56D71B8E"/>
    <w:rsid w:val="56FD199E"/>
    <w:rsid w:val="56FD3EB6"/>
    <w:rsid w:val="571701DC"/>
    <w:rsid w:val="572F608A"/>
    <w:rsid w:val="57390153"/>
    <w:rsid w:val="574C7DC1"/>
    <w:rsid w:val="576467FF"/>
    <w:rsid w:val="577C60D2"/>
    <w:rsid w:val="57813A64"/>
    <w:rsid w:val="578B566C"/>
    <w:rsid w:val="57BF3F4B"/>
    <w:rsid w:val="57DD6C86"/>
    <w:rsid w:val="57E8209A"/>
    <w:rsid w:val="58003366"/>
    <w:rsid w:val="58347E0F"/>
    <w:rsid w:val="585B248D"/>
    <w:rsid w:val="585F70FD"/>
    <w:rsid w:val="58873140"/>
    <w:rsid w:val="58922210"/>
    <w:rsid w:val="58971EC5"/>
    <w:rsid w:val="58C941D4"/>
    <w:rsid w:val="58CB1075"/>
    <w:rsid w:val="59133986"/>
    <w:rsid w:val="591A2206"/>
    <w:rsid w:val="59220AA3"/>
    <w:rsid w:val="593D0989"/>
    <w:rsid w:val="596A4F3B"/>
    <w:rsid w:val="599A4FCF"/>
    <w:rsid w:val="59A815C0"/>
    <w:rsid w:val="59C56046"/>
    <w:rsid w:val="59D14F1D"/>
    <w:rsid w:val="59DA4679"/>
    <w:rsid w:val="59E44CEE"/>
    <w:rsid w:val="5A191BE6"/>
    <w:rsid w:val="5A857B5F"/>
    <w:rsid w:val="5A963B0E"/>
    <w:rsid w:val="5AB43B28"/>
    <w:rsid w:val="5B0C37B7"/>
    <w:rsid w:val="5B2A52FF"/>
    <w:rsid w:val="5B701941"/>
    <w:rsid w:val="5B70435F"/>
    <w:rsid w:val="5B726329"/>
    <w:rsid w:val="5B7B0F25"/>
    <w:rsid w:val="5B8F2FAC"/>
    <w:rsid w:val="5B917615"/>
    <w:rsid w:val="5BA30447"/>
    <w:rsid w:val="5BB13D97"/>
    <w:rsid w:val="5BF45348"/>
    <w:rsid w:val="5BF46D3E"/>
    <w:rsid w:val="5C046B06"/>
    <w:rsid w:val="5C4952DC"/>
    <w:rsid w:val="5C563555"/>
    <w:rsid w:val="5C773268"/>
    <w:rsid w:val="5C8D3F3B"/>
    <w:rsid w:val="5CA057EC"/>
    <w:rsid w:val="5CA56D1B"/>
    <w:rsid w:val="5CD026B0"/>
    <w:rsid w:val="5CE45005"/>
    <w:rsid w:val="5D086958"/>
    <w:rsid w:val="5D152DB1"/>
    <w:rsid w:val="5D17649E"/>
    <w:rsid w:val="5D2C42B6"/>
    <w:rsid w:val="5D473C27"/>
    <w:rsid w:val="5D557CB0"/>
    <w:rsid w:val="5D712B3E"/>
    <w:rsid w:val="5D91555E"/>
    <w:rsid w:val="5DAE79D9"/>
    <w:rsid w:val="5DBE75E6"/>
    <w:rsid w:val="5DCF7A63"/>
    <w:rsid w:val="5DF70D68"/>
    <w:rsid w:val="5E1C772F"/>
    <w:rsid w:val="5E84084D"/>
    <w:rsid w:val="5E900D52"/>
    <w:rsid w:val="5EA507C4"/>
    <w:rsid w:val="5EF4486A"/>
    <w:rsid w:val="5F013C4C"/>
    <w:rsid w:val="5F105EA3"/>
    <w:rsid w:val="5F20100C"/>
    <w:rsid w:val="5F223BC2"/>
    <w:rsid w:val="5F423B33"/>
    <w:rsid w:val="5F45289F"/>
    <w:rsid w:val="5F54531F"/>
    <w:rsid w:val="5F683CCB"/>
    <w:rsid w:val="5F7306DA"/>
    <w:rsid w:val="5F893C41"/>
    <w:rsid w:val="5F90321C"/>
    <w:rsid w:val="5FCC2B50"/>
    <w:rsid w:val="5FEB1967"/>
    <w:rsid w:val="5FF4730D"/>
    <w:rsid w:val="602057DB"/>
    <w:rsid w:val="602A2D2E"/>
    <w:rsid w:val="602B01AA"/>
    <w:rsid w:val="603834D6"/>
    <w:rsid w:val="60A0334E"/>
    <w:rsid w:val="61073070"/>
    <w:rsid w:val="611A7247"/>
    <w:rsid w:val="612754C0"/>
    <w:rsid w:val="614147D4"/>
    <w:rsid w:val="615269E1"/>
    <w:rsid w:val="61630BEE"/>
    <w:rsid w:val="617C3A5E"/>
    <w:rsid w:val="619C5EAE"/>
    <w:rsid w:val="61BC20AC"/>
    <w:rsid w:val="61CA2D55"/>
    <w:rsid w:val="61DB2735"/>
    <w:rsid w:val="61ED6709"/>
    <w:rsid w:val="6205092E"/>
    <w:rsid w:val="627761B2"/>
    <w:rsid w:val="6280132C"/>
    <w:rsid w:val="62856942"/>
    <w:rsid w:val="6291178B"/>
    <w:rsid w:val="62A96AD4"/>
    <w:rsid w:val="62AE5E99"/>
    <w:rsid w:val="62D1007E"/>
    <w:rsid w:val="62E775FD"/>
    <w:rsid w:val="62EF64B1"/>
    <w:rsid w:val="630F673B"/>
    <w:rsid w:val="6350728C"/>
    <w:rsid w:val="63520F1A"/>
    <w:rsid w:val="6357167D"/>
    <w:rsid w:val="636F5FCA"/>
    <w:rsid w:val="63746D5E"/>
    <w:rsid w:val="63800B46"/>
    <w:rsid w:val="63817C53"/>
    <w:rsid w:val="638C3026"/>
    <w:rsid w:val="63B84AF5"/>
    <w:rsid w:val="63E8059F"/>
    <w:rsid w:val="640A1CDD"/>
    <w:rsid w:val="64225AE7"/>
    <w:rsid w:val="64236413"/>
    <w:rsid w:val="642503DD"/>
    <w:rsid w:val="64266A15"/>
    <w:rsid w:val="644249C0"/>
    <w:rsid w:val="646D1D84"/>
    <w:rsid w:val="64867ECD"/>
    <w:rsid w:val="648D7D30"/>
    <w:rsid w:val="64A77475"/>
    <w:rsid w:val="64BE438D"/>
    <w:rsid w:val="64DA6C9C"/>
    <w:rsid w:val="64EE0BEB"/>
    <w:rsid w:val="64F14763"/>
    <w:rsid w:val="65063EA9"/>
    <w:rsid w:val="65164148"/>
    <w:rsid w:val="652D7983"/>
    <w:rsid w:val="65400B43"/>
    <w:rsid w:val="6548624C"/>
    <w:rsid w:val="655C6F69"/>
    <w:rsid w:val="65801643"/>
    <w:rsid w:val="65831215"/>
    <w:rsid w:val="659E4A80"/>
    <w:rsid w:val="65DC2D1D"/>
    <w:rsid w:val="65EE4615"/>
    <w:rsid w:val="662F5543"/>
    <w:rsid w:val="66302303"/>
    <w:rsid w:val="66406A8E"/>
    <w:rsid w:val="664A23A7"/>
    <w:rsid w:val="664A36FF"/>
    <w:rsid w:val="66585FFB"/>
    <w:rsid w:val="669202C1"/>
    <w:rsid w:val="66AF0431"/>
    <w:rsid w:val="66AF7797"/>
    <w:rsid w:val="66CD08B8"/>
    <w:rsid w:val="66FE6CC3"/>
    <w:rsid w:val="67014E52"/>
    <w:rsid w:val="670446F3"/>
    <w:rsid w:val="670F5B0C"/>
    <w:rsid w:val="67367361"/>
    <w:rsid w:val="6741593A"/>
    <w:rsid w:val="676905E0"/>
    <w:rsid w:val="677B59CC"/>
    <w:rsid w:val="6795447E"/>
    <w:rsid w:val="67A22466"/>
    <w:rsid w:val="67AE06E9"/>
    <w:rsid w:val="67C9107F"/>
    <w:rsid w:val="67DB7FB2"/>
    <w:rsid w:val="68024591"/>
    <w:rsid w:val="68462B6F"/>
    <w:rsid w:val="68A57C30"/>
    <w:rsid w:val="68F23B46"/>
    <w:rsid w:val="69216EEB"/>
    <w:rsid w:val="69236EB5"/>
    <w:rsid w:val="692C3459"/>
    <w:rsid w:val="69696CCF"/>
    <w:rsid w:val="696A5A32"/>
    <w:rsid w:val="69951B60"/>
    <w:rsid w:val="69956D17"/>
    <w:rsid w:val="69CC7F5A"/>
    <w:rsid w:val="69D275DF"/>
    <w:rsid w:val="69E71C90"/>
    <w:rsid w:val="69FD7706"/>
    <w:rsid w:val="6A040A94"/>
    <w:rsid w:val="6A0B2662"/>
    <w:rsid w:val="6A3368E3"/>
    <w:rsid w:val="6A4C5458"/>
    <w:rsid w:val="6A4F2B77"/>
    <w:rsid w:val="6A555CE7"/>
    <w:rsid w:val="6A614DEA"/>
    <w:rsid w:val="6A6236B1"/>
    <w:rsid w:val="6A7B0F65"/>
    <w:rsid w:val="6A8634B8"/>
    <w:rsid w:val="6A89268E"/>
    <w:rsid w:val="6A897620"/>
    <w:rsid w:val="6A9F256B"/>
    <w:rsid w:val="6AA1466A"/>
    <w:rsid w:val="6AD54E94"/>
    <w:rsid w:val="6AD762E5"/>
    <w:rsid w:val="6AE33FC1"/>
    <w:rsid w:val="6AEF4B26"/>
    <w:rsid w:val="6B044733"/>
    <w:rsid w:val="6B3B37DD"/>
    <w:rsid w:val="6B8D3CBB"/>
    <w:rsid w:val="6BB65DBE"/>
    <w:rsid w:val="6BC77FCB"/>
    <w:rsid w:val="6BD050D2"/>
    <w:rsid w:val="6BEA5A68"/>
    <w:rsid w:val="6C042FCD"/>
    <w:rsid w:val="6C0F70BE"/>
    <w:rsid w:val="6C7B51C4"/>
    <w:rsid w:val="6CB34986"/>
    <w:rsid w:val="6CCE6ADC"/>
    <w:rsid w:val="6CD1361D"/>
    <w:rsid w:val="6CE150BD"/>
    <w:rsid w:val="6CFA617E"/>
    <w:rsid w:val="6D06067F"/>
    <w:rsid w:val="6D205BE5"/>
    <w:rsid w:val="6D345BCA"/>
    <w:rsid w:val="6D352454"/>
    <w:rsid w:val="6D600595"/>
    <w:rsid w:val="6D6A1C76"/>
    <w:rsid w:val="6D885976"/>
    <w:rsid w:val="6D8A4A17"/>
    <w:rsid w:val="6D8A5754"/>
    <w:rsid w:val="6DAC281D"/>
    <w:rsid w:val="6DC86264"/>
    <w:rsid w:val="6DE55EE7"/>
    <w:rsid w:val="6E28085A"/>
    <w:rsid w:val="6E297AEF"/>
    <w:rsid w:val="6E2B50ED"/>
    <w:rsid w:val="6E3556C0"/>
    <w:rsid w:val="6E3655A3"/>
    <w:rsid w:val="6E597F17"/>
    <w:rsid w:val="6E6A5135"/>
    <w:rsid w:val="6E6E3AF3"/>
    <w:rsid w:val="6E6F7531"/>
    <w:rsid w:val="6E7915A9"/>
    <w:rsid w:val="6E82642B"/>
    <w:rsid w:val="6E9D3265"/>
    <w:rsid w:val="6EAC3BAF"/>
    <w:rsid w:val="6EEA56E5"/>
    <w:rsid w:val="6EF25D56"/>
    <w:rsid w:val="6EFE104D"/>
    <w:rsid w:val="6F286FD3"/>
    <w:rsid w:val="6F5E0C47"/>
    <w:rsid w:val="6F6255CC"/>
    <w:rsid w:val="6F916E39"/>
    <w:rsid w:val="6F9E1043"/>
    <w:rsid w:val="6FA67F66"/>
    <w:rsid w:val="6FA80B0C"/>
    <w:rsid w:val="6FAB6AEC"/>
    <w:rsid w:val="6FB72334"/>
    <w:rsid w:val="6FCC2B6A"/>
    <w:rsid w:val="6FCF1C6C"/>
    <w:rsid w:val="6FF13869"/>
    <w:rsid w:val="70057314"/>
    <w:rsid w:val="7014094F"/>
    <w:rsid w:val="70397522"/>
    <w:rsid w:val="70447421"/>
    <w:rsid w:val="70524B54"/>
    <w:rsid w:val="706935C4"/>
    <w:rsid w:val="706A53C9"/>
    <w:rsid w:val="706F478E"/>
    <w:rsid w:val="707B0493"/>
    <w:rsid w:val="70883400"/>
    <w:rsid w:val="70A24324"/>
    <w:rsid w:val="70EC5754"/>
    <w:rsid w:val="70ED2282"/>
    <w:rsid w:val="70F21ED4"/>
    <w:rsid w:val="71294A8A"/>
    <w:rsid w:val="71342843"/>
    <w:rsid w:val="71542301"/>
    <w:rsid w:val="71821D1F"/>
    <w:rsid w:val="71AF5789"/>
    <w:rsid w:val="71D15700"/>
    <w:rsid w:val="71D264B3"/>
    <w:rsid w:val="71D70014"/>
    <w:rsid w:val="71E05943"/>
    <w:rsid w:val="71EF3DD8"/>
    <w:rsid w:val="71F66F14"/>
    <w:rsid w:val="72323CC5"/>
    <w:rsid w:val="72495AF0"/>
    <w:rsid w:val="72535D5F"/>
    <w:rsid w:val="72537C80"/>
    <w:rsid w:val="72597B56"/>
    <w:rsid w:val="7260367C"/>
    <w:rsid w:val="726338F4"/>
    <w:rsid w:val="72684173"/>
    <w:rsid w:val="72710C91"/>
    <w:rsid w:val="727367B7"/>
    <w:rsid w:val="727E0D99"/>
    <w:rsid w:val="72803E8B"/>
    <w:rsid w:val="72907369"/>
    <w:rsid w:val="72910240"/>
    <w:rsid w:val="72AE3C93"/>
    <w:rsid w:val="72B458E5"/>
    <w:rsid w:val="72C74D55"/>
    <w:rsid w:val="72C92B3E"/>
    <w:rsid w:val="72D134DE"/>
    <w:rsid w:val="72EF70D4"/>
    <w:rsid w:val="730B743B"/>
    <w:rsid w:val="73470F60"/>
    <w:rsid w:val="73483CAB"/>
    <w:rsid w:val="73577E87"/>
    <w:rsid w:val="73585082"/>
    <w:rsid w:val="73772BD7"/>
    <w:rsid w:val="737A3B75"/>
    <w:rsid w:val="73D414D7"/>
    <w:rsid w:val="73D9089C"/>
    <w:rsid w:val="73DF5446"/>
    <w:rsid w:val="73F97190"/>
    <w:rsid w:val="73FE17CF"/>
    <w:rsid w:val="74026044"/>
    <w:rsid w:val="740578E3"/>
    <w:rsid w:val="740873D3"/>
    <w:rsid w:val="743C3ACC"/>
    <w:rsid w:val="7445385F"/>
    <w:rsid w:val="749F1AE5"/>
    <w:rsid w:val="74B07614"/>
    <w:rsid w:val="74B30EAB"/>
    <w:rsid w:val="74C37D0D"/>
    <w:rsid w:val="74D6302D"/>
    <w:rsid w:val="74E00590"/>
    <w:rsid w:val="74E40C77"/>
    <w:rsid w:val="74E76FE8"/>
    <w:rsid w:val="74F040EF"/>
    <w:rsid w:val="750B77B9"/>
    <w:rsid w:val="752F11A6"/>
    <w:rsid w:val="75560C1E"/>
    <w:rsid w:val="755A3C5E"/>
    <w:rsid w:val="75EB2B08"/>
    <w:rsid w:val="75F23E97"/>
    <w:rsid w:val="75FC7056"/>
    <w:rsid w:val="762E3D17"/>
    <w:rsid w:val="766703E1"/>
    <w:rsid w:val="767728CB"/>
    <w:rsid w:val="76F0222B"/>
    <w:rsid w:val="77170059"/>
    <w:rsid w:val="77495A80"/>
    <w:rsid w:val="77910979"/>
    <w:rsid w:val="77A15B74"/>
    <w:rsid w:val="77AD62C7"/>
    <w:rsid w:val="77C516F7"/>
    <w:rsid w:val="77C84D90"/>
    <w:rsid w:val="77E45A61"/>
    <w:rsid w:val="77E92462"/>
    <w:rsid w:val="77F0264D"/>
    <w:rsid w:val="78191561"/>
    <w:rsid w:val="7843485B"/>
    <w:rsid w:val="78455C30"/>
    <w:rsid w:val="78540E39"/>
    <w:rsid w:val="78583A9C"/>
    <w:rsid w:val="78710459"/>
    <w:rsid w:val="787D038F"/>
    <w:rsid w:val="78840ED1"/>
    <w:rsid w:val="78D712C5"/>
    <w:rsid w:val="78DE38F5"/>
    <w:rsid w:val="78F30652"/>
    <w:rsid w:val="78FF0DA4"/>
    <w:rsid w:val="79022643"/>
    <w:rsid w:val="79085E0B"/>
    <w:rsid w:val="790E04E5"/>
    <w:rsid w:val="79312F28"/>
    <w:rsid w:val="79374E25"/>
    <w:rsid w:val="79541ABA"/>
    <w:rsid w:val="79BF6786"/>
    <w:rsid w:val="79C63670"/>
    <w:rsid w:val="79CF0867"/>
    <w:rsid w:val="79D81758"/>
    <w:rsid w:val="7A066E7C"/>
    <w:rsid w:val="7A0D2001"/>
    <w:rsid w:val="7A386978"/>
    <w:rsid w:val="7A3F0166"/>
    <w:rsid w:val="7A505630"/>
    <w:rsid w:val="7AD20455"/>
    <w:rsid w:val="7B0D6D4F"/>
    <w:rsid w:val="7B0F7299"/>
    <w:rsid w:val="7B2A40D3"/>
    <w:rsid w:val="7B2C7E4B"/>
    <w:rsid w:val="7B58479C"/>
    <w:rsid w:val="7B6060F1"/>
    <w:rsid w:val="7B60716D"/>
    <w:rsid w:val="7B6B418C"/>
    <w:rsid w:val="7B88435A"/>
    <w:rsid w:val="7B9A1E16"/>
    <w:rsid w:val="7BC2255D"/>
    <w:rsid w:val="7BDD6258"/>
    <w:rsid w:val="7C0F3C2D"/>
    <w:rsid w:val="7C30585D"/>
    <w:rsid w:val="7C38637B"/>
    <w:rsid w:val="7C4E5B9F"/>
    <w:rsid w:val="7C8507D8"/>
    <w:rsid w:val="7C8E4D52"/>
    <w:rsid w:val="7C950E2A"/>
    <w:rsid w:val="7CA103C5"/>
    <w:rsid w:val="7CB34FFD"/>
    <w:rsid w:val="7CB974BC"/>
    <w:rsid w:val="7CCE5BDD"/>
    <w:rsid w:val="7CDA69DB"/>
    <w:rsid w:val="7CF229CE"/>
    <w:rsid w:val="7D0A7D18"/>
    <w:rsid w:val="7D0E5A5A"/>
    <w:rsid w:val="7D0F40B0"/>
    <w:rsid w:val="7D513B99"/>
    <w:rsid w:val="7D7942E8"/>
    <w:rsid w:val="7D840179"/>
    <w:rsid w:val="7D887712"/>
    <w:rsid w:val="7D9505BC"/>
    <w:rsid w:val="7DA904F4"/>
    <w:rsid w:val="7DAC7021"/>
    <w:rsid w:val="7DB97161"/>
    <w:rsid w:val="7DF95B9A"/>
    <w:rsid w:val="7E002EC9"/>
    <w:rsid w:val="7E02533C"/>
    <w:rsid w:val="7E24336F"/>
    <w:rsid w:val="7E5751DF"/>
    <w:rsid w:val="7E790EB7"/>
    <w:rsid w:val="7E843AFA"/>
    <w:rsid w:val="7EA330B1"/>
    <w:rsid w:val="7EA54072"/>
    <w:rsid w:val="7EC94E01"/>
    <w:rsid w:val="7ECA1E93"/>
    <w:rsid w:val="7ECF1219"/>
    <w:rsid w:val="7EDD3F84"/>
    <w:rsid w:val="7EFB3DBC"/>
    <w:rsid w:val="7F3675EA"/>
    <w:rsid w:val="7F3B240A"/>
    <w:rsid w:val="7F870884"/>
    <w:rsid w:val="7F8A15E4"/>
    <w:rsid w:val="7FA236C6"/>
    <w:rsid w:val="7FA77AA0"/>
    <w:rsid w:val="7FAE52D2"/>
    <w:rsid w:val="7FCE61EF"/>
    <w:rsid w:val="7FDB3BED"/>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qFormat="1" w:unhideWhenUsed="0" w:uiPriority="0" w:semiHidden="0" w:name="index 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qFormat="1" w:unhideWhenUsed="0" w:uiPriority="0" w:semiHidden="0" w:name="table of figures"/>
    <w:lsdException w:uiPriority="99" w:name="envelope address" w:locked="1"/>
    <w:lsdException w:uiPriority="99" w:name="envelope return" w:locked="1"/>
    <w:lsdException w:qFormat="1" w:unhideWhenUsed="0" w:uiPriority="0" w:semiHidden="0" w:name="footnote reference"/>
    <w:lsdException w:qFormat="1" w:unhideWhenUsed="0" w:uiPriority="0" w:semiHidden="0" w:name="annotation reference"/>
    <w:lsdException w:uiPriority="99" w:name="line number" w:locked="1"/>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ocked="1"/>
    <w:lsdException w:uiPriority="99" w:name="macro" w:locked="1"/>
    <w:lsdException w:qFormat="1" w:unhideWhenUsed="0" w:uiPriority="0" w:semiHidden="0" w:name="toa heading" w:locked="1"/>
    <w:lsdException w:qFormat="1" w:unhideWhenUsed="0" w:uiPriority="0" w:semiHidden="0" w:name="List"/>
    <w:lsdException w:qFormat="1" w:unhideWhenUsed="0" w:uiPriority="0" w:semiHidden="0" w:name="List Bullet"/>
    <w:lsdException w:uiPriority="99" w:name="List Number" w:locked="1"/>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ocked="1"/>
    <w:lsdException w:uiPriority="99" w:name="List Number 2" w:locked="1"/>
    <w:lsdException w:qFormat="1" w:unhideWhenUsed="0" w:uiPriority="0" w:semiHidden="0" w:name="List Number 3"/>
    <w:lsdException w:uiPriority="99" w:name="List Number 4" w:locked="1"/>
    <w:lsdException w:uiPriority="99" w:name="List Number 5" w:locked="1"/>
    <w:lsdException w:qFormat="1" w:unhideWhenUsed="0" w:uiPriority="10" w:semiHidden="0" w:name="Title"/>
    <w:lsdException w:uiPriority="99" w:name="Closing" w:locked="1"/>
    <w:lsdException w:uiPriority="99" w:name="Signature" w:locked="1"/>
    <w:lsdException w:qFormat="1" w:unhideWhenUsed="0" w:uiPriority="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ocked="1"/>
    <w:lsdException w:qFormat="1" w:unhideWhenUsed="0" w:uiPriority="0" w:semiHidden="0" w:name="Message Header" w:locked="1"/>
    <w:lsdException w:qFormat="1" w:unhideWhenUsed="0" w:uiPriority="0" w:semiHidden="0" w:name="Subtitle"/>
    <w:lsdException w:qFormat="1" w:unhideWhenUsed="0" w:uiPriority="0" w:semiHidden="0" w:name="Salutation" w:locked="1"/>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ocked="1"/>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ocked="1"/>
    <w:lsdException w:qFormat="1" w:unhideWhenUsed="0" w:uiPriority="0"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qFormat="1" w:unhideWhenUsed="0" w:uiPriority="0" w:semiHidden="0" w:name="HTML Preformatted"/>
    <w:lsdException w:uiPriority="99" w:name="HTML Sample" w:locked="1"/>
    <w:lsdException w:uiPriority="99" w:name="HTML Typewriter" w:locked="1"/>
    <w:lsdException w:uiPriority="99" w:name="HTML Variable" w:locked="1"/>
    <w:lsdException w:qFormat="1" w:uiPriority="99" w:name="Normal Table"/>
    <w:lsdException w:qFormat="1" w:unhideWhenUsed="0" w:uiPriority="0" w:semiHidden="0" w:name="annotation subject"/>
    <w:lsdException w:qFormat="1" w:unhideWhenUsed="0" w:uiPriority="0" w:semiHidden="0"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qFormat="1" w:unhideWhenUsed="0" w:uiPriority="0" w:semiHidden="0"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0" w:semiHidden="0" w:name="Balloon Text"/>
    <w:lsdException w:qFormat="1"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720" w:firstLineChars="200"/>
      <w:jc w:val="both"/>
    </w:pPr>
    <w:rPr>
      <w:rFonts w:ascii="仿宋" w:hAnsi="仿宋" w:eastAsia="宋体" w:cs="仿宋"/>
      <w:kern w:val="2"/>
      <w:sz w:val="24"/>
      <w:szCs w:val="24"/>
      <w:lang w:val="en-US" w:eastAsia="zh-CN" w:bidi="ar-SA"/>
    </w:rPr>
  </w:style>
  <w:style w:type="paragraph" w:styleId="3">
    <w:name w:val="heading 1"/>
    <w:basedOn w:val="4"/>
    <w:next w:val="1"/>
    <w:link w:val="87"/>
    <w:qFormat/>
    <w:uiPriority w:val="9"/>
    <w:pPr>
      <w:keepNext/>
      <w:keepLines/>
      <w:numPr>
        <w:ilvl w:val="0"/>
        <w:numId w:val="0"/>
      </w:numPr>
      <w:tabs>
        <w:tab w:val="left" w:pos="0"/>
        <w:tab w:val="left" w:pos="312"/>
      </w:tabs>
      <w:adjustRightInd w:val="0"/>
      <w:spacing w:line="360" w:lineRule="auto"/>
      <w:jc w:val="center"/>
      <w:outlineLvl w:val="0"/>
    </w:pPr>
    <w:rPr>
      <w:rFonts w:ascii="仿宋" w:hAnsi="仿宋" w:eastAsia="宋体" w:cs="仿宋"/>
      <w:bCs/>
      <w:kern w:val="44"/>
      <w:sz w:val="40"/>
      <w:szCs w:val="72"/>
      <w:lang w:val="en-US" w:eastAsia="zh-CN" w:bidi="ar-SA"/>
    </w:rPr>
  </w:style>
  <w:style w:type="paragraph" w:styleId="5">
    <w:name w:val="heading 2"/>
    <w:basedOn w:val="6"/>
    <w:next w:val="1"/>
    <w:link w:val="88"/>
    <w:unhideWhenUsed/>
    <w:qFormat/>
    <w:uiPriority w:val="9"/>
    <w:pPr>
      <w:numPr>
        <w:ilvl w:val="1"/>
        <w:numId w:val="0"/>
      </w:numPr>
      <w:tabs>
        <w:tab w:val="left" w:pos="0"/>
      </w:tabs>
      <w:spacing w:line="360" w:lineRule="auto"/>
      <w:ind w:left="0" w:firstLine="0"/>
      <w:jc w:val="center"/>
      <w:outlineLvl w:val="1"/>
    </w:pPr>
    <w:rPr>
      <w:rFonts w:ascii="仿宋" w:hAnsi="仿宋" w:eastAsia="宋体" w:cs="仿宋"/>
      <w:kern w:val="2"/>
      <w:sz w:val="32"/>
      <w:lang w:val="en-US" w:eastAsia="zh-CN" w:bidi="ar-SA"/>
    </w:rPr>
  </w:style>
  <w:style w:type="paragraph" w:styleId="4">
    <w:name w:val="heading 3"/>
    <w:basedOn w:val="1"/>
    <w:next w:val="1"/>
    <w:link w:val="89"/>
    <w:unhideWhenUsed/>
    <w:qFormat/>
    <w:uiPriority w:val="9"/>
    <w:pPr>
      <w:numPr>
        <w:ilvl w:val="2"/>
        <w:numId w:val="1"/>
      </w:numPr>
      <w:tabs>
        <w:tab w:val="left" w:pos="312"/>
      </w:tabs>
      <w:spacing w:line="360" w:lineRule="auto"/>
      <w:ind w:left="0" w:firstLine="400" w:firstLineChars="0"/>
      <w:outlineLvl w:val="2"/>
    </w:pPr>
    <w:rPr>
      <w:rFonts w:ascii="仿宋" w:hAnsi="仿宋" w:eastAsia="宋体" w:cs="仿宋"/>
      <w:b/>
      <w:kern w:val="2"/>
      <w:sz w:val="30"/>
      <w:szCs w:val="30"/>
      <w:lang w:val="en-US" w:eastAsia="zh-CN" w:bidi="ar-SA"/>
    </w:rPr>
  </w:style>
  <w:style w:type="paragraph" w:styleId="7">
    <w:name w:val="heading 4"/>
    <w:next w:val="8"/>
    <w:link w:val="90"/>
    <w:unhideWhenUsed/>
    <w:qFormat/>
    <w:uiPriority w:val="9"/>
    <w:pPr>
      <w:numPr>
        <w:ilvl w:val="3"/>
        <w:numId w:val="1"/>
      </w:numPr>
      <w:ind w:left="0" w:firstLine="402"/>
      <w:outlineLvl w:val="3"/>
    </w:pPr>
    <w:rPr>
      <w:rFonts w:ascii="Arial" w:hAnsi="Arial" w:eastAsia="宋体" w:cstheme="minorBidi"/>
      <w:b/>
      <w:sz w:val="28"/>
      <w:lang w:val="en-US" w:eastAsia="zh-CN" w:bidi="ar-SA"/>
    </w:rPr>
  </w:style>
  <w:style w:type="paragraph" w:styleId="9">
    <w:name w:val="heading 5"/>
    <w:next w:val="8"/>
    <w:link w:val="91"/>
    <w:unhideWhenUsed/>
    <w:qFormat/>
    <w:uiPriority w:val="9"/>
    <w:pPr>
      <w:numPr>
        <w:ilvl w:val="4"/>
        <w:numId w:val="1"/>
      </w:numPr>
      <w:tabs>
        <w:tab w:val="left" w:pos="312"/>
        <w:tab w:val="clear" w:pos="0"/>
      </w:tabs>
      <w:spacing w:before="30" w:beforeLines="30" w:after="30" w:afterLines="30"/>
      <w:ind w:left="0" w:firstLine="402"/>
      <w:outlineLvl w:val="4"/>
    </w:pPr>
    <w:rPr>
      <w:rFonts w:ascii="Arial" w:hAnsi="Arial" w:eastAsia="宋体" w:cstheme="minorBidi"/>
      <w:b/>
      <w:sz w:val="24"/>
      <w:szCs w:val="22"/>
      <w:lang w:val="en-US" w:eastAsia="zh-CN" w:bidi="ar-SA"/>
    </w:rPr>
  </w:style>
  <w:style w:type="paragraph" w:styleId="10">
    <w:name w:val="heading 6"/>
    <w:next w:val="8"/>
    <w:link w:val="92"/>
    <w:unhideWhenUsed/>
    <w:qFormat/>
    <w:uiPriority w:val="0"/>
    <w:pPr>
      <w:numPr>
        <w:ilvl w:val="5"/>
        <w:numId w:val="1"/>
      </w:numPr>
      <w:spacing w:before="30" w:beforeLines="30" w:after="30" w:afterLines="30" w:line="312" w:lineRule="auto"/>
      <w:ind w:left="0" w:firstLine="402"/>
      <w:outlineLvl w:val="5"/>
    </w:pPr>
    <w:rPr>
      <w:rFonts w:ascii="Arial" w:hAnsi="Arial" w:eastAsia="宋体" w:cstheme="minorBidi"/>
      <w:b/>
      <w:sz w:val="24"/>
      <w:lang w:val="en-US" w:eastAsia="zh-CN" w:bidi="ar-SA"/>
    </w:rPr>
  </w:style>
  <w:style w:type="paragraph" w:styleId="11">
    <w:name w:val="heading 7"/>
    <w:next w:val="1"/>
    <w:link w:val="93"/>
    <w:unhideWhenUsed/>
    <w:qFormat/>
    <w:uiPriority w:val="0"/>
    <w:pPr>
      <w:numPr>
        <w:ilvl w:val="6"/>
        <w:numId w:val="1"/>
      </w:numPr>
      <w:spacing w:before="30" w:beforeLines="30" w:after="30" w:afterLines="30" w:line="312" w:lineRule="auto"/>
      <w:ind w:left="0" w:firstLine="402"/>
      <w:outlineLvl w:val="6"/>
    </w:pPr>
    <w:rPr>
      <w:rFonts w:ascii="Arial" w:hAnsi="Arial" w:eastAsia="宋体" w:cstheme="minorBidi"/>
      <w:b/>
      <w:sz w:val="24"/>
      <w:lang w:val="en-US" w:eastAsia="zh-CN" w:bidi="ar-SA"/>
    </w:rPr>
  </w:style>
  <w:style w:type="paragraph" w:styleId="12">
    <w:name w:val="heading 8"/>
    <w:next w:val="8"/>
    <w:link w:val="94"/>
    <w:unhideWhenUsed/>
    <w:qFormat/>
    <w:uiPriority w:val="0"/>
    <w:pPr>
      <w:numPr>
        <w:ilvl w:val="7"/>
        <w:numId w:val="1"/>
      </w:numPr>
      <w:spacing w:before="30" w:beforeLines="30" w:after="30" w:afterLines="30" w:line="312" w:lineRule="auto"/>
      <w:ind w:left="0" w:firstLine="402"/>
      <w:outlineLvl w:val="7"/>
    </w:pPr>
    <w:rPr>
      <w:rFonts w:eastAsia="宋体" w:asciiTheme="majorAscii" w:hAnsiTheme="majorAscii" w:cstheme="majorBidi"/>
      <w:b/>
      <w:sz w:val="24"/>
      <w:lang w:val="en-US" w:eastAsia="zh-CN" w:bidi="ar-SA"/>
    </w:rPr>
  </w:style>
  <w:style w:type="paragraph" w:styleId="6">
    <w:name w:val="heading 9"/>
    <w:basedOn w:val="1"/>
    <w:next w:val="1"/>
    <w:link w:val="95"/>
    <w:unhideWhenUsed/>
    <w:qFormat/>
    <w:uiPriority w:val="0"/>
    <w:pPr>
      <w:numPr>
        <w:ilvl w:val="8"/>
        <w:numId w:val="1"/>
      </w:numPr>
      <w:spacing w:before="30" w:beforeLines="30" w:after="30" w:afterLines="30" w:line="312" w:lineRule="auto"/>
      <w:ind w:left="0" w:firstLine="402"/>
      <w:outlineLvl w:val="8"/>
    </w:pPr>
    <w:rPr>
      <w:rFonts w:eastAsia="宋体" w:asciiTheme="majorAscii" w:hAnsiTheme="majorAscii" w:cstheme="majorBidi"/>
      <w:b/>
      <w:sz w:val="24"/>
      <w:szCs w:val="21"/>
      <w:lang w:val="en-US" w:eastAsia="zh-CN" w:bidi="ar-SA"/>
    </w:rPr>
  </w:style>
  <w:style w:type="character" w:default="1" w:styleId="71">
    <w:name w:val="Default Paragraph Font"/>
    <w:semiHidden/>
    <w:qFormat/>
    <w:uiPriority w:val="0"/>
  </w:style>
  <w:style w:type="table" w:default="1" w:styleId="67">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96"/>
    <w:qFormat/>
    <w:uiPriority w:val="0"/>
    <w:rPr>
      <w:rFonts w:ascii="宋体" w:hAnsi="Courier New"/>
    </w:rPr>
  </w:style>
  <w:style w:type="paragraph" w:styleId="8">
    <w:name w:val="Body Text"/>
    <w:basedOn w:val="1"/>
    <w:link w:val="99"/>
    <w:qFormat/>
    <w:uiPriority w:val="0"/>
    <w:pPr>
      <w:spacing w:before="100" w:after="100" w:afterLines="0" w:afterAutospacing="0" w:line="300" w:lineRule="auto"/>
      <w:ind w:firstLine="1124" w:firstLineChars="200"/>
    </w:pPr>
    <w:rPr>
      <w:rFonts w:ascii="Times New Roman" w:hAnsi="Times New Roman"/>
    </w:rPr>
  </w:style>
  <w:style w:type="paragraph" w:styleId="13">
    <w:name w:val="List 3"/>
    <w:basedOn w:val="1"/>
    <w:qFormat/>
    <w:uiPriority w:val="0"/>
    <w:pPr>
      <w:spacing w:line="500" w:lineRule="exact"/>
      <w:ind w:left="0" w:leftChars="0" w:firstLine="0" w:firstLineChars="0"/>
    </w:pPr>
  </w:style>
  <w:style w:type="paragraph" w:styleId="14">
    <w:name w:val="toc 7"/>
    <w:basedOn w:val="1"/>
    <w:next w:val="1"/>
    <w:qFormat/>
    <w:uiPriority w:val="0"/>
    <w:pPr>
      <w:ind w:left="2520" w:leftChars="1200"/>
    </w:pPr>
  </w:style>
  <w:style w:type="paragraph" w:styleId="15">
    <w:name w:val="table of authorities"/>
    <w:basedOn w:val="1"/>
    <w:next w:val="1"/>
    <w:qFormat/>
    <w:locked/>
    <w:uiPriority w:val="0"/>
    <w:pPr>
      <w:ind w:left="420" w:leftChars="200"/>
    </w:pPr>
  </w:style>
  <w:style w:type="paragraph" w:styleId="16">
    <w:name w:val="Note Heading"/>
    <w:basedOn w:val="1"/>
    <w:next w:val="1"/>
    <w:link w:val="101"/>
    <w:qFormat/>
    <w:uiPriority w:val="0"/>
    <w:pPr>
      <w:jc w:val="center"/>
    </w:pPr>
  </w:style>
  <w:style w:type="paragraph" w:styleId="17">
    <w:name w:val="List Bullet 4"/>
    <w:basedOn w:val="1"/>
    <w:qFormat/>
    <w:uiPriority w:val="0"/>
    <w:pPr>
      <w:numPr>
        <w:ilvl w:val="0"/>
        <w:numId w:val="2"/>
      </w:numPr>
    </w:pPr>
  </w:style>
  <w:style w:type="paragraph" w:styleId="18">
    <w:name w:val="Normal Indent"/>
    <w:basedOn w:val="1"/>
    <w:link w:val="210"/>
    <w:qFormat/>
    <w:uiPriority w:val="0"/>
    <w:pPr>
      <w:ind w:firstLine="420" w:firstLineChars="200"/>
    </w:pPr>
  </w:style>
  <w:style w:type="paragraph" w:styleId="19">
    <w:name w:val="caption"/>
    <w:basedOn w:val="1"/>
    <w:next w:val="1"/>
    <w:link w:val="895"/>
    <w:semiHidden/>
    <w:unhideWhenUsed/>
    <w:qFormat/>
    <w:uiPriority w:val="0"/>
    <w:rPr>
      <w:rFonts w:ascii="Arial" w:hAnsi="Arial" w:eastAsia="宋体"/>
      <w:sz w:val="20"/>
    </w:rPr>
  </w:style>
  <w:style w:type="paragraph" w:styleId="20">
    <w:name w:val="List Bullet"/>
    <w:basedOn w:val="1"/>
    <w:qFormat/>
    <w:uiPriority w:val="0"/>
    <w:pPr>
      <w:numPr>
        <w:ilvl w:val="0"/>
        <w:numId w:val="3"/>
      </w:numPr>
    </w:pPr>
  </w:style>
  <w:style w:type="paragraph" w:styleId="21">
    <w:name w:val="Document Map"/>
    <w:basedOn w:val="1"/>
    <w:link w:val="187"/>
    <w:qFormat/>
    <w:uiPriority w:val="0"/>
    <w:pPr>
      <w:shd w:val="clear" w:color="auto" w:fill="000080"/>
    </w:pPr>
  </w:style>
  <w:style w:type="paragraph" w:styleId="22">
    <w:name w:val="toa heading"/>
    <w:basedOn w:val="1"/>
    <w:next w:val="1"/>
    <w:qFormat/>
    <w:locked/>
    <w:uiPriority w:val="0"/>
    <w:pPr>
      <w:spacing w:before="120" w:beforeLines="0" w:beforeAutospacing="0"/>
    </w:pPr>
    <w:rPr>
      <w:rFonts w:ascii="Arial" w:hAnsi="Arial"/>
      <w:sz w:val="24"/>
    </w:rPr>
  </w:style>
  <w:style w:type="paragraph" w:styleId="23">
    <w:name w:val="annotation text"/>
    <w:basedOn w:val="1"/>
    <w:link w:val="97"/>
    <w:qFormat/>
    <w:uiPriority w:val="0"/>
    <w:pPr>
      <w:jc w:val="left"/>
    </w:pPr>
  </w:style>
  <w:style w:type="paragraph" w:styleId="24">
    <w:name w:val="Salutation"/>
    <w:basedOn w:val="1"/>
    <w:next w:val="1"/>
    <w:link w:val="669"/>
    <w:qFormat/>
    <w:locked/>
    <w:uiPriority w:val="0"/>
  </w:style>
  <w:style w:type="paragraph" w:styleId="25">
    <w:name w:val="Body Text 3"/>
    <w:basedOn w:val="1"/>
    <w:link w:val="103"/>
    <w:qFormat/>
    <w:uiPriority w:val="0"/>
    <w:pPr>
      <w:spacing w:after="120" w:afterLines="0" w:afterAutospacing="0"/>
    </w:pPr>
    <w:rPr>
      <w:sz w:val="16"/>
    </w:rPr>
  </w:style>
  <w:style w:type="paragraph" w:styleId="26">
    <w:name w:val="List Bullet 3"/>
    <w:basedOn w:val="1"/>
    <w:qFormat/>
    <w:uiPriority w:val="0"/>
    <w:pPr>
      <w:numPr>
        <w:ilvl w:val="0"/>
        <w:numId w:val="4"/>
      </w:numPr>
    </w:pPr>
  </w:style>
  <w:style w:type="paragraph" w:styleId="27">
    <w:name w:val="Body Text Indent"/>
    <w:basedOn w:val="1"/>
    <w:link w:val="104"/>
    <w:qFormat/>
    <w:uiPriority w:val="0"/>
    <w:pPr>
      <w:spacing w:after="120" w:afterLines="0" w:afterAutospacing="0"/>
      <w:ind w:left="420" w:leftChars="200"/>
    </w:pPr>
  </w:style>
  <w:style w:type="paragraph" w:styleId="28">
    <w:name w:val="List Number 3"/>
    <w:basedOn w:val="1"/>
    <w:qFormat/>
    <w:uiPriority w:val="0"/>
    <w:pPr>
      <w:numPr>
        <w:ilvl w:val="0"/>
        <w:numId w:val="5"/>
      </w:numPr>
    </w:pPr>
  </w:style>
  <w:style w:type="paragraph" w:styleId="29">
    <w:name w:val="List 2"/>
    <w:basedOn w:val="1"/>
    <w:qFormat/>
    <w:uiPriority w:val="0"/>
    <w:pPr>
      <w:ind w:left="100" w:leftChars="200" w:hanging="200" w:hangingChars="200"/>
    </w:pPr>
  </w:style>
  <w:style w:type="paragraph" w:styleId="30">
    <w:name w:val="List Continue"/>
    <w:basedOn w:val="1"/>
    <w:qFormat/>
    <w:uiPriority w:val="0"/>
    <w:pPr>
      <w:spacing w:after="120" w:afterLines="0" w:afterAutospacing="0"/>
      <w:ind w:left="420" w:leftChars="200"/>
    </w:pPr>
  </w:style>
  <w:style w:type="paragraph" w:styleId="31">
    <w:name w:val="Block Text"/>
    <w:basedOn w:val="1"/>
    <w:qFormat/>
    <w:locked/>
    <w:uiPriority w:val="0"/>
    <w:pPr>
      <w:spacing w:after="120" w:afterLines="0" w:afterAutospacing="0"/>
      <w:ind w:left="1440" w:leftChars="700" w:rightChars="700"/>
    </w:pPr>
  </w:style>
  <w:style w:type="paragraph" w:styleId="32">
    <w:name w:val="List Bullet 2"/>
    <w:basedOn w:val="1"/>
    <w:qFormat/>
    <w:uiPriority w:val="0"/>
    <w:pPr>
      <w:numPr>
        <w:ilvl w:val="0"/>
        <w:numId w:val="6"/>
      </w:numPr>
    </w:pPr>
  </w:style>
  <w:style w:type="paragraph" w:styleId="33">
    <w:name w:val="toc 5"/>
    <w:basedOn w:val="1"/>
    <w:next w:val="1"/>
    <w:qFormat/>
    <w:uiPriority w:val="0"/>
    <w:pPr>
      <w:ind w:left="1680" w:leftChars="800"/>
    </w:pPr>
  </w:style>
  <w:style w:type="paragraph" w:styleId="34">
    <w:name w:val="toc 3"/>
    <w:basedOn w:val="1"/>
    <w:next w:val="1"/>
    <w:qFormat/>
    <w:uiPriority w:val="0"/>
    <w:pPr>
      <w:ind w:left="840" w:leftChars="400"/>
    </w:pPr>
  </w:style>
  <w:style w:type="paragraph" w:styleId="35">
    <w:name w:val="toc 8"/>
    <w:basedOn w:val="1"/>
    <w:next w:val="1"/>
    <w:qFormat/>
    <w:uiPriority w:val="0"/>
    <w:pPr>
      <w:ind w:left="2940" w:leftChars="1400"/>
    </w:pPr>
  </w:style>
  <w:style w:type="paragraph" w:styleId="36">
    <w:name w:val="Date"/>
    <w:basedOn w:val="1"/>
    <w:next w:val="1"/>
    <w:link w:val="105"/>
    <w:qFormat/>
    <w:uiPriority w:val="0"/>
    <w:pPr>
      <w:ind w:left="100" w:leftChars="2500"/>
    </w:pPr>
  </w:style>
  <w:style w:type="paragraph" w:styleId="37">
    <w:name w:val="Body Text Indent 2"/>
    <w:basedOn w:val="1"/>
    <w:link w:val="106"/>
    <w:qFormat/>
    <w:uiPriority w:val="0"/>
    <w:pPr>
      <w:spacing w:after="120" w:afterLines="0" w:afterAutospacing="0" w:line="480" w:lineRule="auto"/>
      <w:ind w:left="420" w:leftChars="200"/>
    </w:pPr>
  </w:style>
  <w:style w:type="paragraph" w:styleId="38">
    <w:name w:val="endnote text"/>
    <w:basedOn w:val="1"/>
    <w:link w:val="107"/>
    <w:qFormat/>
    <w:uiPriority w:val="0"/>
    <w:pPr>
      <w:snapToGrid w:val="0"/>
      <w:jc w:val="left"/>
    </w:pPr>
  </w:style>
  <w:style w:type="paragraph" w:styleId="39">
    <w:name w:val="Balloon Text"/>
    <w:basedOn w:val="1"/>
    <w:link w:val="108"/>
    <w:qFormat/>
    <w:uiPriority w:val="0"/>
    <w:rPr>
      <w:sz w:val="18"/>
    </w:rPr>
  </w:style>
  <w:style w:type="paragraph" w:styleId="40">
    <w:name w:val="footer"/>
    <w:basedOn w:val="1"/>
    <w:link w:val="132"/>
    <w:qFormat/>
    <w:uiPriority w:val="0"/>
    <w:pPr>
      <w:tabs>
        <w:tab w:val="center" w:pos="4153"/>
        <w:tab w:val="right" w:pos="8306"/>
      </w:tabs>
      <w:snapToGrid w:val="0"/>
      <w:jc w:val="left"/>
    </w:pPr>
    <w:rPr>
      <w:sz w:val="18"/>
    </w:rPr>
  </w:style>
  <w:style w:type="paragraph" w:styleId="41">
    <w:name w:val="header"/>
    <w:basedOn w:val="1"/>
    <w:link w:val="13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ind w:firstLine="0" w:firstLineChars="0"/>
      <w:jc w:val="both"/>
      <w:outlineLvl w:val="9"/>
    </w:pPr>
    <w:rPr>
      <w:sz w:val="21"/>
      <w:szCs w:val="21"/>
    </w:rPr>
  </w:style>
  <w:style w:type="paragraph" w:styleId="42">
    <w:name w:val="toc 1"/>
    <w:basedOn w:val="1"/>
    <w:next w:val="1"/>
    <w:qFormat/>
    <w:uiPriority w:val="0"/>
  </w:style>
  <w:style w:type="paragraph" w:styleId="43">
    <w:name w:val="List Continue 4"/>
    <w:basedOn w:val="1"/>
    <w:qFormat/>
    <w:uiPriority w:val="0"/>
    <w:pPr>
      <w:spacing w:after="120" w:afterLines="0" w:afterAutospacing="0"/>
      <w:ind w:left="1680" w:leftChars="800"/>
    </w:pPr>
  </w:style>
  <w:style w:type="paragraph" w:styleId="44">
    <w:name w:val="toc 4"/>
    <w:basedOn w:val="1"/>
    <w:next w:val="1"/>
    <w:qFormat/>
    <w:uiPriority w:val="0"/>
    <w:pPr>
      <w:ind w:left="1260" w:leftChars="600"/>
    </w:pPr>
  </w:style>
  <w:style w:type="paragraph" w:styleId="45">
    <w:name w:val="index heading"/>
    <w:basedOn w:val="1"/>
    <w:next w:val="46"/>
    <w:qFormat/>
    <w:uiPriority w:val="0"/>
    <w:rPr>
      <w:rFonts w:ascii="Arial" w:hAnsi="Arial"/>
      <w:b/>
    </w:rPr>
  </w:style>
  <w:style w:type="paragraph" w:styleId="46">
    <w:name w:val="index 1"/>
    <w:basedOn w:val="1"/>
    <w:next w:val="1"/>
    <w:qFormat/>
    <w:uiPriority w:val="0"/>
  </w:style>
  <w:style w:type="paragraph" w:styleId="47">
    <w:name w:val="Subtitle"/>
    <w:basedOn w:val="1"/>
    <w:link w:val="112"/>
    <w:qFormat/>
    <w:uiPriority w:val="0"/>
    <w:pPr>
      <w:spacing w:before="120" w:beforeLines="0" w:beforeAutospacing="0" w:after="60" w:afterLines="0" w:afterAutospacing="0" w:line="312" w:lineRule="auto"/>
      <w:jc w:val="center"/>
      <w:outlineLvl w:val="9"/>
    </w:pPr>
    <w:rPr>
      <w:rFonts w:ascii="Arial" w:hAnsi="Arial"/>
      <w:b/>
      <w:kern w:val="28"/>
      <w:sz w:val="32"/>
    </w:rPr>
  </w:style>
  <w:style w:type="paragraph" w:styleId="48">
    <w:name w:val="List"/>
    <w:basedOn w:val="1"/>
    <w:qFormat/>
    <w:uiPriority w:val="0"/>
    <w:pPr>
      <w:ind w:left="200" w:hanging="200" w:hangingChars="200"/>
    </w:pPr>
  </w:style>
  <w:style w:type="paragraph" w:styleId="49">
    <w:name w:val="footnote text"/>
    <w:basedOn w:val="1"/>
    <w:link w:val="113"/>
    <w:qFormat/>
    <w:uiPriority w:val="0"/>
    <w:pPr>
      <w:snapToGrid w:val="0"/>
      <w:jc w:val="left"/>
    </w:pPr>
    <w:rPr>
      <w:sz w:val="18"/>
    </w:rPr>
  </w:style>
  <w:style w:type="paragraph" w:styleId="50">
    <w:name w:val="toc 6"/>
    <w:basedOn w:val="1"/>
    <w:next w:val="1"/>
    <w:qFormat/>
    <w:uiPriority w:val="0"/>
    <w:pPr>
      <w:ind w:left="2100" w:leftChars="1000"/>
    </w:pPr>
  </w:style>
  <w:style w:type="paragraph" w:styleId="51">
    <w:name w:val="List 5"/>
    <w:basedOn w:val="1"/>
    <w:qFormat/>
    <w:uiPriority w:val="0"/>
    <w:pPr>
      <w:ind w:left="100" w:leftChars="800" w:hanging="200" w:hangingChars="200"/>
    </w:pPr>
  </w:style>
  <w:style w:type="paragraph" w:styleId="52">
    <w:name w:val="Body Text Indent 3"/>
    <w:basedOn w:val="1"/>
    <w:link w:val="114"/>
    <w:qFormat/>
    <w:uiPriority w:val="0"/>
    <w:pPr>
      <w:spacing w:after="120" w:afterLines="0" w:afterAutospacing="0"/>
      <w:ind w:left="420" w:leftChars="200"/>
    </w:pPr>
    <w:rPr>
      <w:sz w:val="16"/>
    </w:rPr>
  </w:style>
  <w:style w:type="paragraph" w:styleId="53">
    <w:name w:val="table of figures"/>
    <w:basedOn w:val="1"/>
    <w:next w:val="1"/>
    <w:qFormat/>
    <w:uiPriority w:val="0"/>
    <w:pPr>
      <w:ind w:leftChars="200" w:hanging="200" w:hangingChars="200"/>
    </w:pPr>
  </w:style>
  <w:style w:type="paragraph" w:styleId="54">
    <w:name w:val="toc 2"/>
    <w:basedOn w:val="1"/>
    <w:next w:val="1"/>
    <w:qFormat/>
    <w:uiPriority w:val="0"/>
    <w:pPr>
      <w:ind w:left="420" w:leftChars="200"/>
    </w:pPr>
  </w:style>
  <w:style w:type="paragraph" w:styleId="55">
    <w:name w:val="toc 9"/>
    <w:basedOn w:val="1"/>
    <w:next w:val="1"/>
    <w:qFormat/>
    <w:uiPriority w:val="0"/>
    <w:pPr>
      <w:ind w:left="3360" w:leftChars="1600"/>
    </w:pPr>
  </w:style>
  <w:style w:type="paragraph" w:styleId="56">
    <w:name w:val="Body Text 2"/>
    <w:basedOn w:val="1"/>
    <w:link w:val="115"/>
    <w:qFormat/>
    <w:uiPriority w:val="0"/>
    <w:pPr>
      <w:spacing w:after="120" w:afterLines="0" w:afterAutospacing="0" w:line="480" w:lineRule="auto"/>
    </w:pPr>
  </w:style>
  <w:style w:type="paragraph" w:styleId="57">
    <w:name w:val="List 4"/>
    <w:basedOn w:val="1"/>
    <w:qFormat/>
    <w:uiPriority w:val="0"/>
    <w:pPr>
      <w:ind w:left="100" w:leftChars="600" w:hanging="200" w:hangingChars="200"/>
    </w:pPr>
  </w:style>
  <w:style w:type="paragraph" w:styleId="58">
    <w:name w:val="List Continue 2"/>
    <w:basedOn w:val="1"/>
    <w:qFormat/>
    <w:uiPriority w:val="0"/>
    <w:pPr>
      <w:spacing w:after="120" w:afterLines="0" w:afterAutospacing="0"/>
      <w:ind w:left="840" w:leftChars="400"/>
    </w:pPr>
  </w:style>
  <w:style w:type="paragraph" w:styleId="59">
    <w:name w:val="Message Header"/>
    <w:basedOn w:val="1"/>
    <w:link w:val="670"/>
    <w:qFormat/>
    <w:locked/>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rPr>
  </w:style>
  <w:style w:type="paragraph" w:styleId="60">
    <w:name w:val="HTML Preformatted"/>
    <w:basedOn w:val="1"/>
    <w:link w:val="116"/>
    <w:qFormat/>
    <w:uiPriority w:val="0"/>
    <w:rPr>
      <w:rFonts w:ascii="Courier New" w:hAnsi="Courier New"/>
      <w:sz w:val="20"/>
    </w:rPr>
  </w:style>
  <w:style w:type="paragraph" w:styleId="61">
    <w:name w:val="Normal (Web)"/>
    <w:basedOn w:val="1"/>
    <w:qFormat/>
    <w:uiPriority w:val="0"/>
    <w:rPr>
      <w:sz w:val="24"/>
    </w:rPr>
  </w:style>
  <w:style w:type="paragraph" w:styleId="62">
    <w:name w:val="List Continue 3"/>
    <w:basedOn w:val="1"/>
    <w:qFormat/>
    <w:uiPriority w:val="0"/>
    <w:pPr>
      <w:spacing w:after="120" w:afterLines="0" w:afterAutospacing="0"/>
      <w:ind w:left="1260" w:leftChars="600"/>
    </w:pPr>
  </w:style>
  <w:style w:type="paragraph" w:styleId="63">
    <w:name w:val="Title"/>
    <w:basedOn w:val="1"/>
    <w:next w:val="1"/>
    <w:link w:val="117"/>
    <w:qFormat/>
    <w:uiPriority w:val="10"/>
    <w:pPr>
      <w:spacing w:line="240" w:lineRule="auto"/>
      <w:ind w:firstLine="0" w:firstLineChars="0"/>
      <w:jc w:val="center"/>
      <w:outlineLvl w:val="9"/>
    </w:pPr>
    <w:rPr>
      <w:rFonts w:asciiTheme="majorEastAsia" w:hAnsiTheme="majorEastAsia"/>
      <w:b/>
      <w:sz w:val="52"/>
      <w:szCs w:val="44"/>
    </w:rPr>
  </w:style>
  <w:style w:type="paragraph" w:styleId="64">
    <w:name w:val="annotation subject"/>
    <w:basedOn w:val="23"/>
    <w:next w:val="23"/>
    <w:link w:val="98"/>
    <w:qFormat/>
    <w:uiPriority w:val="0"/>
    <w:rPr>
      <w:b/>
    </w:rPr>
  </w:style>
  <w:style w:type="paragraph" w:styleId="65">
    <w:name w:val="Body Text First Indent"/>
    <w:basedOn w:val="8"/>
    <w:link w:val="100"/>
    <w:qFormat/>
    <w:uiPriority w:val="0"/>
    <w:pPr>
      <w:ind w:firstLine="420" w:firstLineChars="100"/>
    </w:pPr>
  </w:style>
  <w:style w:type="paragraph" w:styleId="66">
    <w:name w:val="Body Text First Indent 2"/>
    <w:basedOn w:val="27"/>
    <w:next w:val="1"/>
    <w:link w:val="110"/>
    <w:qFormat/>
    <w:uiPriority w:val="0"/>
    <w:pPr>
      <w:ind w:firstLine="420" w:firstLineChars="200"/>
    </w:pPr>
  </w:style>
  <w:style w:type="table" w:styleId="68">
    <w:name w:val="Table Grid"/>
    <w:basedOn w:val="6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9">
    <w:name w:val="Table Simple 1"/>
    <w:basedOn w:val="67"/>
    <w:autoRedefine/>
    <w:qFormat/>
    <w:locked/>
    <w:uiPriority w:val="0"/>
    <w:pPr>
      <w:widowControl w:val="0"/>
      <w:jc w:val="both"/>
    </w:pPr>
    <w:tblPr>
      <w:tblBorders>
        <w:top w:val="single" w:color="008000" w:sz="12" w:space="0"/>
        <w:bottom w:val="single" w:color="008000" w:sz="12" w:space="0"/>
      </w:tblBorders>
      <w:tblCellMar>
        <w:top w:w="0" w:type="dxa"/>
        <w:left w:w="108" w:type="dxa"/>
        <w:bottom w:w="0" w:type="dxa"/>
        <w:right w:w="108" w:type="dxa"/>
      </w:tblCellMar>
    </w:tblPr>
    <w:tcPr>
      <w:shd w:val="clear" w:color="auto" w:fill="auto"/>
    </w:tcPr>
    <w:tblStylePr w:type="firstRow">
      <w:tblPr/>
      <w:tcPr>
        <w:tcBorders>
          <w:bottom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70">
    <w:name w:val="Table Grid 8"/>
    <w:basedOn w:val="67"/>
    <w:autoRedefine/>
    <w:qFormat/>
    <w:locked/>
    <w:uiPriority w:val="0"/>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character" w:styleId="72">
    <w:name w:val="Strong"/>
    <w:basedOn w:val="71"/>
    <w:qFormat/>
    <w:uiPriority w:val="22"/>
    <w:rPr>
      <w:rFonts w:ascii="Arial" w:hAnsi="Arial" w:eastAsia="黑体"/>
      <w:b/>
      <w:color w:val="4F81BD" w:themeColor="accent1"/>
      <w:u w:val="single"/>
      <w14:textFill>
        <w14:solidFill>
          <w14:schemeClr w14:val="accent1"/>
        </w14:solidFill>
      </w14:textFill>
    </w:rPr>
  </w:style>
  <w:style w:type="character" w:styleId="73">
    <w:name w:val="endnote reference"/>
    <w:basedOn w:val="71"/>
    <w:qFormat/>
    <w:uiPriority w:val="0"/>
    <w:rPr>
      <w:vertAlign w:val="superscript"/>
    </w:rPr>
  </w:style>
  <w:style w:type="character" w:styleId="74">
    <w:name w:val="page number"/>
    <w:basedOn w:val="71"/>
    <w:qFormat/>
    <w:uiPriority w:val="0"/>
  </w:style>
  <w:style w:type="character" w:styleId="75">
    <w:name w:val="FollowedHyperlink"/>
    <w:basedOn w:val="71"/>
    <w:qFormat/>
    <w:uiPriority w:val="0"/>
    <w:rPr>
      <w:color w:val="800080"/>
      <w:u w:val="single"/>
    </w:rPr>
  </w:style>
  <w:style w:type="character" w:styleId="76">
    <w:name w:val="Emphasis"/>
    <w:basedOn w:val="71"/>
    <w:qFormat/>
    <w:uiPriority w:val="20"/>
    <w:rPr>
      <w:rFonts w:ascii="Arial" w:hAnsi="Arial" w:eastAsia="黑体"/>
      <w:b/>
      <w:bCs/>
      <w:i/>
      <w:color w:val="C00000"/>
      <w:sz w:val="24"/>
      <w:szCs w:val="22"/>
    </w:rPr>
  </w:style>
  <w:style w:type="character" w:styleId="77">
    <w:name w:val="Hyperlink"/>
    <w:basedOn w:val="71"/>
    <w:qFormat/>
    <w:uiPriority w:val="0"/>
    <w:rPr>
      <w:color w:val="0000FF"/>
      <w:u w:val="single"/>
    </w:rPr>
  </w:style>
  <w:style w:type="character" w:styleId="78">
    <w:name w:val="annotation reference"/>
    <w:basedOn w:val="71"/>
    <w:qFormat/>
    <w:uiPriority w:val="0"/>
    <w:rPr>
      <w:sz w:val="21"/>
    </w:rPr>
  </w:style>
  <w:style w:type="character" w:styleId="79">
    <w:name w:val="footnote reference"/>
    <w:basedOn w:val="71"/>
    <w:qFormat/>
    <w:uiPriority w:val="0"/>
    <w:rPr>
      <w:vertAlign w:val="superscript"/>
    </w:rPr>
  </w:style>
  <w:style w:type="paragraph" w:customStyle="1" w:styleId="80">
    <w:name w:val="样式 10 磅"/>
    <w:autoRedefine/>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81">
    <w:name w:val="正文样式"/>
    <w:autoRedefine/>
    <w:unhideWhenUsed/>
    <w:qFormat/>
    <w:uiPriority w:val="0"/>
    <w:pPr>
      <w:widowControl w:val="0"/>
      <w:adjustRightInd w:val="0"/>
      <w:snapToGrid w:val="0"/>
      <w:spacing w:line="360" w:lineRule="auto"/>
      <w:ind w:firstLine="200" w:firstLineChars="200"/>
      <w:jc w:val="both"/>
    </w:pPr>
    <w:rPr>
      <w:rFonts w:ascii="Times New Roman" w:hAnsi="Times New Roman" w:eastAsia="宋体" w:cs="Times New Roman"/>
      <w:bCs/>
      <w:snapToGrid w:val="0"/>
      <w:sz w:val="24"/>
      <w:szCs w:val="44"/>
      <w:lang w:val="en-US" w:eastAsia="zh-CN" w:bidi="ar-SA"/>
    </w:rPr>
  </w:style>
  <w:style w:type="paragraph" w:customStyle="1" w:styleId="82">
    <w:name w:val="图表样式"/>
    <w:autoRedefine/>
    <w:qFormat/>
    <w:uiPriority w:val="0"/>
    <w:pPr>
      <w:jc w:val="center"/>
    </w:pPr>
    <w:rPr>
      <w:rFonts w:ascii="Times New Roman" w:hAnsi="Times New Roman" w:eastAsia="宋体" w:cstheme="majorBidi"/>
      <w:kern w:val="2"/>
      <w:sz w:val="21"/>
      <w:lang w:val="en-US" w:eastAsia="zh-CN" w:bidi="ar-SA"/>
    </w:rPr>
  </w:style>
  <w:style w:type="paragraph" w:customStyle="1" w:styleId="83">
    <w:name w:val="标题2，章节第二层"/>
    <w:basedOn w:val="1"/>
    <w:next w:val="1"/>
    <w:autoRedefine/>
    <w:qFormat/>
    <w:uiPriority w:val="99"/>
    <w:pPr>
      <w:adjustRightInd w:val="0"/>
      <w:snapToGrid w:val="0"/>
      <w:spacing w:beforeLines="100" w:afterLines="100" w:line="300" w:lineRule="auto"/>
      <w:ind w:left="141" w:hanging="141"/>
      <w:outlineLvl w:val="1"/>
    </w:pPr>
    <w:rPr>
      <w:rFonts w:ascii="Arial" w:hAnsi="Arial" w:eastAsia="黑体"/>
    </w:rPr>
  </w:style>
  <w:style w:type="paragraph" w:customStyle="1" w:styleId="84">
    <w:name w:val="一级条标题"/>
    <w:basedOn w:val="85"/>
    <w:next w:val="86"/>
    <w:autoRedefine/>
    <w:qFormat/>
    <w:uiPriority w:val="0"/>
    <w:pPr>
      <w:spacing w:line="240" w:lineRule="auto"/>
      <w:ind w:left="420"/>
      <w:outlineLvl w:val="2"/>
    </w:pPr>
  </w:style>
  <w:style w:type="paragraph" w:customStyle="1" w:styleId="85">
    <w:name w:val="章标题"/>
    <w:basedOn w:val="1"/>
    <w:next w:val="8"/>
    <w:qFormat/>
    <w:uiPriority w:val="0"/>
    <w:pPr>
      <w:spacing w:before="120" w:beforeLines="0" w:after="60" w:line="300" w:lineRule="auto"/>
      <w:jc w:val="center"/>
      <w:outlineLvl w:val="0"/>
    </w:pPr>
    <w:rPr>
      <w:rFonts w:hint="eastAsia" w:ascii="Arial" w:hAnsi="Arial"/>
      <w:b/>
      <w:kern w:val="28"/>
      <w:sz w:val="40"/>
    </w:rPr>
  </w:style>
  <w:style w:type="paragraph" w:customStyle="1" w:styleId="86">
    <w:name w:val="段"/>
    <w:next w:val="1"/>
    <w:autoRedefine/>
    <w:qFormat/>
    <w:uiPriority w:val="0"/>
    <w:pPr>
      <w:autoSpaceDE w:val="0"/>
      <w:autoSpaceDN w:val="0"/>
      <w:ind w:firstLine="200" w:firstLineChars="200"/>
      <w:jc w:val="both"/>
    </w:pPr>
    <w:rPr>
      <w:rFonts w:ascii="宋体" w:hAnsi="Calibri" w:eastAsia="宋体" w:cs="Times New Roman"/>
      <w:kern w:val="2"/>
      <w:sz w:val="22"/>
      <w:lang w:val="en-US" w:eastAsia="zh-CN" w:bidi="ar-SA"/>
    </w:rPr>
  </w:style>
  <w:style w:type="character" w:customStyle="1" w:styleId="87">
    <w:name w:val="标题 1 Char"/>
    <w:link w:val="3"/>
    <w:autoRedefine/>
    <w:qFormat/>
    <w:locked/>
    <w:uiPriority w:val="0"/>
    <w:rPr>
      <w:rFonts w:ascii="仿宋" w:hAnsi="仿宋" w:eastAsia="宋体" w:cs="仿宋"/>
      <w:b/>
      <w:bCs/>
      <w:kern w:val="44"/>
      <w:sz w:val="40"/>
      <w:szCs w:val="72"/>
      <w:lang w:val="en-US" w:eastAsia="zh-CN" w:bidi="ar-SA"/>
    </w:rPr>
  </w:style>
  <w:style w:type="character" w:customStyle="1" w:styleId="88">
    <w:name w:val="标题 2 Char"/>
    <w:link w:val="5"/>
    <w:autoRedefine/>
    <w:qFormat/>
    <w:locked/>
    <w:uiPriority w:val="0"/>
    <w:rPr>
      <w:rFonts w:ascii="仿宋" w:hAnsi="仿宋" w:eastAsia="宋体" w:cs="仿宋"/>
      <w:b/>
      <w:kern w:val="2"/>
      <w:sz w:val="32"/>
      <w:lang w:val="en-US" w:eastAsia="zh-CN" w:bidi="ar-SA"/>
    </w:rPr>
  </w:style>
  <w:style w:type="character" w:customStyle="1" w:styleId="89">
    <w:name w:val="标题 3 Char"/>
    <w:link w:val="4"/>
    <w:autoRedefine/>
    <w:qFormat/>
    <w:locked/>
    <w:uiPriority w:val="9"/>
    <w:rPr>
      <w:rFonts w:ascii="仿宋" w:hAnsi="仿宋" w:eastAsia="宋体" w:cs="仿宋"/>
      <w:b/>
      <w:kern w:val="2"/>
      <w:sz w:val="30"/>
      <w:szCs w:val="30"/>
      <w:lang w:val="en-US" w:eastAsia="zh-CN" w:bidi="ar-SA"/>
    </w:rPr>
  </w:style>
  <w:style w:type="character" w:customStyle="1" w:styleId="90">
    <w:name w:val="标题 4 Char"/>
    <w:link w:val="7"/>
    <w:autoRedefine/>
    <w:qFormat/>
    <w:locked/>
    <w:uiPriority w:val="9"/>
    <w:rPr>
      <w:rFonts w:ascii="Arial" w:hAnsi="Arial" w:eastAsia="宋体" w:cstheme="minorBidi"/>
      <w:b/>
      <w:sz w:val="28"/>
      <w:lang w:val="en-US" w:eastAsia="zh-CN" w:bidi="ar-SA"/>
    </w:rPr>
  </w:style>
  <w:style w:type="character" w:customStyle="1" w:styleId="91">
    <w:name w:val="标题 5 Char"/>
    <w:link w:val="9"/>
    <w:autoRedefine/>
    <w:qFormat/>
    <w:locked/>
    <w:uiPriority w:val="0"/>
    <w:rPr>
      <w:rFonts w:ascii="Arial" w:hAnsi="Arial" w:eastAsia="宋体" w:cstheme="minorBidi"/>
      <w:b/>
      <w:sz w:val="24"/>
      <w:szCs w:val="22"/>
      <w:lang w:val="en-US" w:eastAsia="zh-CN" w:bidi="ar-SA"/>
    </w:rPr>
  </w:style>
  <w:style w:type="character" w:customStyle="1" w:styleId="92">
    <w:name w:val="标题 6 Char"/>
    <w:link w:val="10"/>
    <w:autoRedefine/>
    <w:qFormat/>
    <w:locked/>
    <w:uiPriority w:val="9"/>
    <w:rPr>
      <w:rFonts w:ascii="Arial" w:hAnsi="Arial" w:eastAsia="宋体" w:cstheme="minorBidi"/>
      <w:b/>
      <w:sz w:val="24"/>
      <w:lang w:val="en-US" w:eastAsia="zh-CN" w:bidi="ar-SA"/>
    </w:rPr>
  </w:style>
  <w:style w:type="character" w:customStyle="1" w:styleId="93">
    <w:name w:val="标题 7 Char"/>
    <w:link w:val="11"/>
    <w:autoRedefine/>
    <w:qFormat/>
    <w:locked/>
    <w:uiPriority w:val="9"/>
    <w:rPr>
      <w:rFonts w:ascii="Arial" w:hAnsi="Arial" w:eastAsia="宋体" w:cstheme="minorBidi"/>
      <w:b/>
      <w:sz w:val="24"/>
      <w:lang w:val="en-US" w:eastAsia="zh-CN" w:bidi="ar-SA"/>
    </w:rPr>
  </w:style>
  <w:style w:type="character" w:customStyle="1" w:styleId="94">
    <w:name w:val="标题 8 Char"/>
    <w:link w:val="12"/>
    <w:autoRedefine/>
    <w:qFormat/>
    <w:locked/>
    <w:uiPriority w:val="9"/>
    <w:rPr>
      <w:rFonts w:eastAsia="宋体" w:asciiTheme="majorAscii" w:hAnsiTheme="majorAscii" w:cstheme="majorBidi"/>
      <w:b/>
      <w:sz w:val="24"/>
      <w:lang w:val="en-US" w:eastAsia="zh-CN" w:bidi="ar-SA"/>
    </w:rPr>
  </w:style>
  <w:style w:type="character" w:customStyle="1" w:styleId="95">
    <w:name w:val="标题 9 Char"/>
    <w:link w:val="6"/>
    <w:autoRedefine/>
    <w:qFormat/>
    <w:locked/>
    <w:uiPriority w:val="99"/>
    <w:rPr>
      <w:rFonts w:eastAsia="宋体" w:asciiTheme="majorAscii" w:hAnsiTheme="majorAscii" w:cstheme="majorBidi"/>
      <w:b/>
      <w:sz w:val="24"/>
      <w:szCs w:val="21"/>
      <w:lang w:val="en-US" w:eastAsia="zh-CN" w:bidi="ar-SA"/>
    </w:rPr>
  </w:style>
  <w:style w:type="character" w:customStyle="1" w:styleId="96">
    <w:name w:val="纯文本 Char2"/>
    <w:link w:val="2"/>
    <w:autoRedefine/>
    <w:qFormat/>
    <w:locked/>
    <w:uiPriority w:val="99"/>
    <w:rPr>
      <w:rFonts w:ascii="宋体" w:hAnsi="Courier New"/>
    </w:rPr>
  </w:style>
  <w:style w:type="character" w:customStyle="1" w:styleId="97">
    <w:name w:val="批注文字 Char1"/>
    <w:link w:val="23"/>
    <w:autoRedefine/>
    <w:qFormat/>
    <w:locked/>
    <w:uiPriority w:val="0"/>
  </w:style>
  <w:style w:type="character" w:customStyle="1" w:styleId="98">
    <w:name w:val="批注主题 Char1"/>
    <w:link w:val="64"/>
    <w:autoRedefine/>
    <w:qFormat/>
    <w:locked/>
    <w:uiPriority w:val="99"/>
    <w:rPr>
      <w:b/>
    </w:rPr>
  </w:style>
  <w:style w:type="character" w:customStyle="1" w:styleId="99">
    <w:name w:val="正文文本 Char"/>
    <w:link w:val="8"/>
    <w:autoRedefine/>
    <w:qFormat/>
    <w:locked/>
    <w:uiPriority w:val="0"/>
    <w:rPr>
      <w:rFonts w:ascii="Times New Roman" w:hAnsi="Times New Roman"/>
    </w:rPr>
  </w:style>
  <w:style w:type="character" w:customStyle="1" w:styleId="100">
    <w:name w:val="正文首行缩进 Char2"/>
    <w:link w:val="65"/>
    <w:autoRedefine/>
    <w:qFormat/>
    <w:locked/>
    <w:uiPriority w:val="99"/>
  </w:style>
  <w:style w:type="character" w:customStyle="1" w:styleId="101">
    <w:name w:val="注释标题 Char1"/>
    <w:link w:val="16"/>
    <w:autoRedefine/>
    <w:semiHidden/>
    <w:qFormat/>
    <w:locked/>
    <w:uiPriority w:val="99"/>
  </w:style>
  <w:style w:type="character" w:customStyle="1" w:styleId="102">
    <w:name w:val="Document Map Char"/>
    <w:basedOn w:val="71"/>
    <w:autoRedefine/>
    <w:qFormat/>
    <w:locked/>
    <w:uiPriority w:val="99"/>
    <w:rPr>
      <w:rFonts w:ascii="宋体" w:hAnsi="Calibri" w:eastAsia="宋体" w:cs="Times New Roman"/>
      <w:kern w:val="2"/>
      <w:sz w:val="18"/>
      <w:lang w:val="en-US" w:eastAsia="zh-CN"/>
    </w:rPr>
  </w:style>
  <w:style w:type="character" w:customStyle="1" w:styleId="103">
    <w:name w:val="正文文本 3 Char1"/>
    <w:link w:val="25"/>
    <w:autoRedefine/>
    <w:qFormat/>
    <w:locked/>
    <w:uiPriority w:val="99"/>
    <w:rPr>
      <w:sz w:val="16"/>
    </w:rPr>
  </w:style>
  <w:style w:type="character" w:customStyle="1" w:styleId="104">
    <w:name w:val="正文文本缩进 Char"/>
    <w:link w:val="27"/>
    <w:autoRedefine/>
    <w:qFormat/>
    <w:locked/>
    <w:uiPriority w:val="0"/>
  </w:style>
  <w:style w:type="character" w:customStyle="1" w:styleId="105">
    <w:name w:val="日期 Char2"/>
    <w:link w:val="36"/>
    <w:autoRedefine/>
    <w:qFormat/>
    <w:locked/>
    <w:uiPriority w:val="99"/>
  </w:style>
  <w:style w:type="character" w:customStyle="1" w:styleId="106">
    <w:name w:val="正文文本缩进 2 Char1"/>
    <w:link w:val="37"/>
    <w:autoRedefine/>
    <w:qFormat/>
    <w:locked/>
    <w:uiPriority w:val="99"/>
  </w:style>
  <w:style w:type="character" w:customStyle="1" w:styleId="107">
    <w:name w:val="尾注文本 Char"/>
    <w:link w:val="38"/>
    <w:autoRedefine/>
    <w:qFormat/>
    <w:locked/>
    <w:uiPriority w:val="99"/>
  </w:style>
  <w:style w:type="character" w:customStyle="1" w:styleId="108">
    <w:name w:val="批注框文本 Char1"/>
    <w:link w:val="39"/>
    <w:autoRedefine/>
    <w:qFormat/>
    <w:locked/>
    <w:uiPriority w:val="99"/>
    <w:rPr>
      <w:sz w:val="18"/>
    </w:rPr>
  </w:style>
  <w:style w:type="character" w:customStyle="1" w:styleId="109">
    <w:name w:val="Footer Char"/>
    <w:basedOn w:val="71"/>
    <w:autoRedefine/>
    <w:qFormat/>
    <w:locked/>
    <w:uiPriority w:val="99"/>
    <w:rPr>
      <w:rFonts w:ascii="Calibri" w:hAnsi="Calibri" w:eastAsia="宋体" w:cs="Times New Roman"/>
      <w:sz w:val="18"/>
      <w:lang w:val="en-US" w:eastAsia="zh-CN"/>
    </w:rPr>
  </w:style>
  <w:style w:type="character" w:customStyle="1" w:styleId="110">
    <w:name w:val="正文首行缩进 2 Char1"/>
    <w:link w:val="66"/>
    <w:autoRedefine/>
    <w:qFormat/>
    <w:locked/>
    <w:uiPriority w:val="99"/>
  </w:style>
  <w:style w:type="character" w:customStyle="1" w:styleId="111">
    <w:name w:val="Header Char"/>
    <w:basedOn w:val="71"/>
    <w:autoRedefine/>
    <w:qFormat/>
    <w:locked/>
    <w:uiPriority w:val="99"/>
    <w:rPr>
      <w:rFonts w:ascii="Calibri" w:hAnsi="Calibri" w:eastAsia="宋体" w:cs="Times New Roman"/>
      <w:sz w:val="18"/>
      <w:lang w:val="en-US" w:eastAsia="zh-CN"/>
    </w:rPr>
  </w:style>
  <w:style w:type="character" w:customStyle="1" w:styleId="112">
    <w:name w:val="副标题 Char"/>
    <w:link w:val="47"/>
    <w:autoRedefine/>
    <w:qFormat/>
    <w:locked/>
    <w:uiPriority w:val="0"/>
    <w:rPr>
      <w:rFonts w:ascii="Arial" w:hAnsi="Arial"/>
      <w:b/>
      <w:kern w:val="28"/>
      <w:sz w:val="32"/>
    </w:rPr>
  </w:style>
  <w:style w:type="character" w:customStyle="1" w:styleId="113">
    <w:name w:val="脚注文本 Char1"/>
    <w:link w:val="49"/>
    <w:autoRedefine/>
    <w:semiHidden/>
    <w:qFormat/>
    <w:locked/>
    <w:uiPriority w:val="99"/>
    <w:rPr>
      <w:sz w:val="18"/>
    </w:rPr>
  </w:style>
  <w:style w:type="character" w:customStyle="1" w:styleId="114">
    <w:name w:val="正文文本缩进 3 Char1"/>
    <w:link w:val="52"/>
    <w:autoRedefine/>
    <w:qFormat/>
    <w:locked/>
    <w:uiPriority w:val="99"/>
    <w:rPr>
      <w:sz w:val="16"/>
    </w:rPr>
  </w:style>
  <w:style w:type="character" w:customStyle="1" w:styleId="115">
    <w:name w:val="正文文本 2 Char1"/>
    <w:link w:val="56"/>
    <w:autoRedefine/>
    <w:qFormat/>
    <w:locked/>
    <w:uiPriority w:val="99"/>
  </w:style>
  <w:style w:type="character" w:customStyle="1" w:styleId="116">
    <w:name w:val="HTML 预设格式 Char1"/>
    <w:link w:val="60"/>
    <w:autoRedefine/>
    <w:qFormat/>
    <w:locked/>
    <w:uiPriority w:val="99"/>
    <w:rPr>
      <w:rFonts w:ascii="Courier New" w:hAnsi="Courier New"/>
      <w:sz w:val="20"/>
    </w:rPr>
  </w:style>
  <w:style w:type="character" w:customStyle="1" w:styleId="117">
    <w:name w:val="标题 Char"/>
    <w:link w:val="63"/>
    <w:autoRedefine/>
    <w:qFormat/>
    <w:locked/>
    <w:uiPriority w:val="0"/>
    <w:rPr>
      <w:rFonts w:asciiTheme="majorEastAsia" w:hAnsiTheme="majorEastAsia"/>
      <w:b/>
      <w:sz w:val="52"/>
      <w:szCs w:val="44"/>
    </w:rPr>
  </w:style>
  <w:style w:type="paragraph" w:customStyle="1" w:styleId="118">
    <w:name w:val="无间隔1"/>
    <w:basedOn w:val="1"/>
    <w:link w:val="119"/>
    <w:autoRedefine/>
    <w:qFormat/>
    <w:uiPriority w:val="99"/>
    <w:pPr>
      <w:widowControl w:val="0"/>
      <w:ind w:firstLine="200" w:firstLineChars="200"/>
      <w:jc w:val="both"/>
    </w:pPr>
    <w:rPr>
      <w:kern w:val="2"/>
    </w:rPr>
  </w:style>
  <w:style w:type="character" w:customStyle="1" w:styleId="119">
    <w:name w:val="无间隔 Char"/>
    <w:basedOn w:val="71"/>
    <w:link w:val="118"/>
    <w:autoRedefine/>
    <w:qFormat/>
    <w:locked/>
    <w:uiPriority w:val="99"/>
    <w:rPr>
      <w:rFonts w:cs="Times New Roman"/>
      <w:color w:val="5A5A5A"/>
    </w:rPr>
  </w:style>
  <w:style w:type="paragraph" w:customStyle="1" w:styleId="120">
    <w:name w:val="列出段落1"/>
    <w:basedOn w:val="1"/>
    <w:link w:val="640"/>
    <w:autoRedefine/>
    <w:qFormat/>
    <w:uiPriority w:val="99"/>
    <w:pPr>
      <w:widowControl w:val="0"/>
      <w:spacing w:line="400" w:lineRule="exact"/>
      <w:ind w:left="720" w:firstLine="200" w:firstLineChars="200"/>
      <w:contextualSpacing/>
      <w:jc w:val="both"/>
    </w:pPr>
    <w:rPr>
      <w:rFonts w:ascii="Calibri" w:hAnsi="Calibri"/>
      <w:color w:val="5A5A5A"/>
      <w:sz w:val="20"/>
      <w:szCs w:val="20"/>
    </w:rPr>
  </w:style>
  <w:style w:type="paragraph" w:customStyle="1" w:styleId="121">
    <w:name w:val="引用1"/>
    <w:basedOn w:val="1"/>
    <w:next w:val="1"/>
    <w:link w:val="122"/>
    <w:autoRedefine/>
    <w:qFormat/>
    <w:uiPriority w:val="99"/>
    <w:pPr>
      <w:widowControl w:val="0"/>
      <w:spacing w:line="400" w:lineRule="exact"/>
      <w:ind w:firstLine="200" w:firstLineChars="200"/>
      <w:jc w:val="both"/>
    </w:pPr>
    <w:rPr>
      <w:i/>
      <w:iCs/>
      <w:kern w:val="2"/>
    </w:rPr>
  </w:style>
  <w:style w:type="character" w:customStyle="1" w:styleId="122">
    <w:name w:val="引用 Char"/>
    <w:basedOn w:val="71"/>
    <w:link w:val="121"/>
    <w:autoRedefine/>
    <w:qFormat/>
    <w:locked/>
    <w:uiPriority w:val="99"/>
    <w:rPr>
      <w:rFonts w:cs="Times New Roman"/>
      <w:i/>
      <w:iCs/>
      <w:color w:val="5A5A5A"/>
      <w:sz w:val="20"/>
      <w:szCs w:val="20"/>
    </w:rPr>
  </w:style>
  <w:style w:type="paragraph" w:customStyle="1" w:styleId="123">
    <w:name w:val="明显引用1"/>
    <w:basedOn w:val="1"/>
    <w:next w:val="1"/>
    <w:link w:val="124"/>
    <w:autoRedefine/>
    <w:qFormat/>
    <w:uiPriority w:val="99"/>
    <w:pPr>
      <w:widowControl w:val="0"/>
      <w:pBdr>
        <w:top w:val="single" w:color="7BA0CD" w:sz="4" w:space="12"/>
        <w:left w:val="single" w:color="7BA0CD" w:sz="4" w:space="15"/>
        <w:bottom w:val="single" w:color="365F91" w:sz="12" w:space="10"/>
        <w:right w:val="single" w:color="365F91" w:sz="12" w:space="15"/>
        <w:between w:val="single" w:color="7BA0CD" w:sz="4" w:space="12"/>
      </w:pBdr>
      <w:spacing w:line="300" w:lineRule="auto"/>
      <w:ind w:left="2506" w:right="432" w:firstLine="200" w:firstLineChars="200"/>
      <w:jc w:val="both"/>
    </w:pPr>
    <w:rPr>
      <w:rFonts w:ascii="Cambria" w:hAnsi="Cambria"/>
      <w:smallCaps/>
      <w:color w:val="365F91"/>
      <w:kern w:val="2"/>
    </w:rPr>
  </w:style>
  <w:style w:type="character" w:customStyle="1" w:styleId="124">
    <w:name w:val="明显引用 Char"/>
    <w:basedOn w:val="71"/>
    <w:link w:val="123"/>
    <w:autoRedefine/>
    <w:qFormat/>
    <w:locked/>
    <w:uiPriority w:val="99"/>
    <w:rPr>
      <w:rFonts w:ascii="Cambria" w:hAnsi="Cambria" w:eastAsia="宋体" w:cs="Times New Roman"/>
      <w:smallCaps/>
      <w:color w:val="365F91"/>
      <w:sz w:val="20"/>
      <w:szCs w:val="20"/>
    </w:rPr>
  </w:style>
  <w:style w:type="character" w:customStyle="1" w:styleId="125">
    <w:name w:val="不明显强调1"/>
    <w:autoRedefine/>
    <w:qFormat/>
    <w:uiPriority w:val="99"/>
    <w:rPr>
      <w:smallCaps/>
      <w:color w:val="5A5A5A"/>
      <w:vertAlign w:val="baseline"/>
    </w:rPr>
  </w:style>
  <w:style w:type="character" w:customStyle="1" w:styleId="126">
    <w:name w:val="明显强调1"/>
    <w:autoRedefine/>
    <w:qFormat/>
    <w:uiPriority w:val="99"/>
    <w:rPr>
      <w:b/>
      <w:smallCaps/>
      <w:color w:val="4F81BD"/>
      <w:spacing w:val="40"/>
    </w:rPr>
  </w:style>
  <w:style w:type="character" w:customStyle="1" w:styleId="127">
    <w:name w:val="不明显参考1"/>
    <w:autoRedefine/>
    <w:qFormat/>
    <w:uiPriority w:val="99"/>
    <w:rPr>
      <w:rFonts w:ascii="Cambria" w:hAnsi="Cambria" w:eastAsia="宋体"/>
      <w:i/>
      <w:smallCaps/>
      <w:color w:val="5A5A5A"/>
      <w:spacing w:val="20"/>
    </w:rPr>
  </w:style>
  <w:style w:type="character" w:customStyle="1" w:styleId="128">
    <w:name w:val="明显参考1"/>
    <w:autoRedefine/>
    <w:qFormat/>
    <w:uiPriority w:val="99"/>
    <w:rPr>
      <w:rFonts w:ascii="Cambria" w:hAnsi="Cambria" w:eastAsia="宋体"/>
      <w:b/>
      <w:i/>
      <w:smallCaps/>
      <w:color w:val="17365D"/>
      <w:spacing w:val="20"/>
    </w:rPr>
  </w:style>
  <w:style w:type="character" w:customStyle="1" w:styleId="129">
    <w:name w:val="书籍标题1"/>
    <w:autoRedefine/>
    <w:qFormat/>
    <w:uiPriority w:val="99"/>
    <w:rPr>
      <w:rFonts w:ascii="Cambria" w:hAnsi="Cambria" w:eastAsia="宋体"/>
      <w:b/>
      <w:smallCaps/>
      <w:color w:val="17365D"/>
      <w:spacing w:val="10"/>
      <w:u w:val="single"/>
    </w:rPr>
  </w:style>
  <w:style w:type="paragraph" w:customStyle="1" w:styleId="130">
    <w:name w:val="TOC 标题1"/>
    <w:basedOn w:val="3"/>
    <w:next w:val="1"/>
    <w:autoRedefine/>
    <w:qFormat/>
    <w:uiPriority w:val="39"/>
    <w:pPr>
      <w:outlineLvl w:val="9"/>
    </w:pPr>
  </w:style>
  <w:style w:type="character" w:customStyle="1" w:styleId="131">
    <w:name w:val="页眉 Char"/>
    <w:link w:val="41"/>
    <w:autoRedefine/>
    <w:qFormat/>
    <w:locked/>
    <w:uiPriority w:val="0"/>
    <w:rPr>
      <w:rFonts w:eastAsia="宋体"/>
      <w:sz w:val="21"/>
      <w:szCs w:val="21"/>
    </w:rPr>
  </w:style>
  <w:style w:type="character" w:customStyle="1" w:styleId="132">
    <w:name w:val="页脚 Char"/>
    <w:link w:val="40"/>
    <w:autoRedefine/>
    <w:qFormat/>
    <w:locked/>
    <w:uiPriority w:val="99"/>
    <w:rPr>
      <w:sz w:val="18"/>
    </w:rPr>
  </w:style>
  <w:style w:type="character" w:customStyle="1" w:styleId="133">
    <w:name w:val="纯文本 Char"/>
    <w:basedOn w:val="71"/>
    <w:autoRedefine/>
    <w:qFormat/>
    <w:uiPriority w:val="0"/>
    <w:rPr>
      <w:rFonts w:ascii="宋体" w:hAnsi="Courier New" w:eastAsia="宋体" w:cs="Courier New"/>
      <w:kern w:val="2"/>
      <w:sz w:val="21"/>
      <w:szCs w:val="21"/>
      <w:lang w:eastAsia="zh-CN" w:bidi="ar-SA"/>
    </w:rPr>
  </w:style>
  <w:style w:type="paragraph" w:customStyle="1" w:styleId="134">
    <w:name w:val="Char"/>
    <w:basedOn w:val="21"/>
    <w:autoRedefine/>
    <w:qFormat/>
    <w:uiPriority w:val="0"/>
    <w:rPr>
      <w:rFonts w:ascii="Tahoma" w:hAnsi="Tahoma"/>
    </w:rPr>
  </w:style>
  <w:style w:type="character" w:customStyle="1" w:styleId="135">
    <w:name w:val="文档结构图 Char"/>
    <w:basedOn w:val="71"/>
    <w:autoRedefine/>
    <w:qFormat/>
    <w:uiPriority w:val="0"/>
    <w:rPr>
      <w:rFonts w:ascii="宋体" w:hAnsi="Times New Roman" w:eastAsia="宋体" w:cs="Times New Roman"/>
      <w:kern w:val="2"/>
      <w:sz w:val="18"/>
      <w:szCs w:val="18"/>
      <w:lang w:eastAsia="zh-CN" w:bidi="ar-SA"/>
    </w:rPr>
  </w:style>
  <w:style w:type="paragraph" w:customStyle="1" w:styleId="136">
    <w:name w:val="xl54"/>
    <w:basedOn w:val="1"/>
    <w:autoRedefine/>
    <w:qFormat/>
    <w:uiPriority w:val="99"/>
    <w:pPr>
      <w:pBdr>
        <w:left w:val="single" w:color="auto" w:sz="4" w:space="0"/>
        <w:right w:val="single" w:color="auto" w:sz="4" w:space="0"/>
      </w:pBdr>
      <w:spacing w:before="100" w:beforeAutospacing="1" w:after="100" w:afterAutospacing="1" w:line="400" w:lineRule="exact"/>
      <w:ind w:firstLine="200" w:firstLineChars="200"/>
      <w:jc w:val="center"/>
      <w:textAlignment w:val="center"/>
    </w:pPr>
    <w:rPr>
      <w:rFonts w:ascii="Arial" w:hAnsi="Arial" w:cs="Arial"/>
      <w:b/>
      <w:bCs/>
      <w:sz w:val="20"/>
      <w:szCs w:val="20"/>
    </w:rPr>
  </w:style>
  <w:style w:type="paragraph" w:customStyle="1" w:styleId="137">
    <w:name w:val="Table Text Char Char"/>
    <w:autoRedefine/>
    <w:qFormat/>
    <w:uiPriority w:val="99"/>
    <w:pPr>
      <w:snapToGrid w:val="0"/>
      <w:spacing w:before="80" w:after="80"/>
    </w:pPr>
    <w:rPr>
      <w:rFonts w:ascii="Arial" w:hAnsi="Arial" w:eastAsia="宋体" w:cs="Arial"/>
      <w:sz w:val="18"/>
      <w:szCs w:val="18"/>
      <w:lang w:val="en-US" w:eastAsia="zh-CN" w:bidi="ar-SA"/>
    </w:rPr>
  </w:style>
  <w:style w:type="character" w:customStyle="1" w:styleId="138">
    <w:name w:val="Table Text Char Char Char"/>
    <w:autoRedefine/>
    <w:qFormat/>
    <w:uiPriority w:val="99"/>
    <w:rPr>
      <w:rFonts w:ascii="Arial" w:hAnsi="Arial" w:eastAsia="宋体"/>
      <w:sz w:val="18"/>
      <w:lang w:val="en-US" w:eastAsia="zh-CN"/>
    </w:rPr>
  </w:style>
  <w:style w:type="character" w:customStyle="1" w:styleId="139">
    <w:name w:val="批注框文本 Char"/>
    <w:basedOn w:val="71"/>
    <w:autoRedefine/>
    <w:qFormat/>
    <w:uiPriority w:val="0"/>
    <w:rPr>
      <w:rFonts w:ascii="Times New Roman" w:hAnsi="Times New Roman" w:eastAsia="宋体" w:cs="Times New Roman"/>
      <w:kern w:val="2"/>
      <w:sz w:val="18"/>
      <w:szCs w:val="18"/>
      <w:lang w:eastAsia="zh-CN" w:bidi="ar-SA"/>
    </w:rPr>
  </w:style>
  <w:style w:type="paragraph" w:customStyle="1" w:styleId="140">
    <w:name w:val="xl52"/>
    <w:basedOn w:val="1"/>
    <w:autoRedefine/>
    <w:qFormat/>
    <w:uiPriority w:val="99"/>
    <w:pPr>
      <w:spacing w:before="100" w:beforeAutospacing="1" w:after="100" w:afterAutospacing="1" w:line="400" w:lineRule="exact"/>
      <w:ind w:firstLine="200" w:firstLineChars="200"/>
      <w:jc w:val="center"/>
      <w:textAlignment w:val="top"/>
    </w:pPr>
    <w:rPr>
      <w:sz w:val="20"/>
      <w:szCs w:val="20"/>
    </w:rPr>
  </w:style>
  <w:style w:type="paragraph" w:customStyle="1" w:styleId="141">
    <w:name w:val="Table Text"/>
    <w:basedOn w:val="1"/>
    <w:autoRedefine/>
    <w:qFormat/>
    <w:uiPriority w:val="0"/>
    <w:pPr>
      <w:tabs>
        <w:tab w:val="decimal" w:pos="0"/>
      </w:tabs>
      <w:autoSpaceDE w:val="0"/>
      <w:autoSpaceDN w:val="0"/>
      <w:adjustRightInd w:val="0"/>
      <w:spacing w:before="80" w:after="80" w:line="400" w:lineRule="exact"/>
      <w:ind w:firstLine="200" w:firstLineChars="200"/>
      <w:jc w:val="both"/>
    </w:pPr>
    <w:rPr>
      <w:rFonts w:ascii="Arial" w:hAnsi="Arial"/>
      <w:sz w:val="18"/>
      <w:szCs w:val="20"/>
    </w:rPr>
  </w:style>
  <w:style w:type="character" w:customStyle="1" w:styleId="142">
    <w:name w:val="Table Text Char"/>
    <w:autoRedefine/>
    <w:qFormat/>
    <w:uiPriority w:val="99"/>
    <w:rPr>
      <w:rFonts w:ascii="Arial" w:hAnsi="Arial" w:eastAsia="宋体"/>
      <w:sz w:val="18"/>
      <w:lang w:val="en-US" w:eastAsia="zh-CN"/>
    </w:rPr>
  </w:style>
  <w:style w:type="character" w:customStyle="1" w:styleId="143">
    <w:name w:val="正文首行缩进 Char"/>
    <w:basedOn w:val="99"/>
    <w:autoRedefine/>
    <w:qFormat/>
    <w:uiPriority w:val="0"/>
    <w:rPr>
      <w:rFonts w:ascii="Times New Roman" w:hAnsi="Times New Roman" w:eastAsia="宋体" w:cs="Times New Roman"/>
      <w:kern w:val="2"/>
      <w:sz w:val="24"/>
      <w:szCs w:val="24"/>
      <w:lang w:eastAsia="zh-CN" w:bidi="ar-SA"/>
    </w:rPr>
  </w:style>
  <w:style w:type="paragraph" w:customStyle="1" w:styleId="144">
    <w:name w:val="Text"/>
    <w:autoRedefine/>
    <w:qFormat/>
    <w:uiPriority w:val="99"/>
    <w:pPr>
      <w:widowControl w:val="0"/>
      <w:tabs>
        <w:tab w:val="left" w:pos="420"/>
        <w:tab w:val="left" w:pos="840"/>
        <w:tab w:val="left" w:pos="1260"/>
      </w:tabs>
      <w:adjustRightInd w:val="0"/>
      <w:snapToGrid w:val="0"/>
      <w:spacing w:beforeLines="75" w:afterLines="50" w:line="360" w:lineRule="auto"/>
      <w:ind w:firstLine="422" w:firstLineChars="200"/>
      <w:jc w:val="both"/>
    </w:pPr>
    <w:rPr>
      <w:rFonts w:ascii="宋体" w:hAnsi="宋体" w:eastAsia="宋体" w:cs="Times New Roman"/>
      <w:b/>
      <w:sz w:val="21"/>
      <w:szCs w:val="21"/>
      <w:lang w:val="en-US" w:eastAsia="zh-CN" w:bidi="ar-SA"/>
    </w:rPr>
  </w:style>
  <w:style w:type="paragraph" w:customStyle="1" w:styleId="145">
    <w:name w:val="表格正文"/>
    <w:basedOn w:val="1"/>
    <w:autoRedefine/>
    <w:qFormat/>
    <w:uiPriority w:val="99"/>
    <w:pPr>
      <w:widowControl w:val="0"/>
      <w:tabs>
        <w:tab w:val="left" w:pos="425"/>
        <w:tab w:val="left" w:pos="851"/>
        <w:tab w:val="left" w:pos="1276"/>
        <w:tab w:val="left" w:pos="1701"/>
        <w:tab w:val="left" w:pos="2126"/>
        <w:tab w:val="left" w:pos="2552"/>
        <w:tab w:val="left" w:pos="2977"/>
      </w:tabs>
      <w:spacing w:before="60" w:after="60" w:line="400" w:lineRule="exact"/>
      <w:ind w:firstLine="200" w:firstLineChars="200"/>
      <w:jc w:val="both"/>
    </w:pPr>
    <w:rPr>
      <w:rFonts w:ascii="Tahoma" w:hAnsi="Tahoma" w:eastAsia="PMingLiUfalt"/>
      <w:sz w:val="22"/>
      <w:szCs w:val="22"/>
    </w:rPr>
  </w:style>
  <w:style w:type="paragraph" w:customStyle="1" w:styleId="146">
    <w:name w:val="表格标题"/>
    <w:basedOn w:val="145"/>
    <w:autoRedefine/>
    <w:qFormat/>
    <w:uiPriority w:val="99"/>
    <w:pPr>
      <w:spacing w:before="20"/>
      <w:jc w:val="center"/>
    </w:pPr>
    <w:rPr>
      <w:rFonts w:eastAsia="楷体_GB2312"/>
      <w:b/>
    </w:rPr>
  </w:style>
  <w:style w:type="paragraph" w:customStyle="1" w:styleId="147">
    <w:name w:val="DOT Text"/>
    <w:basedOn w:val="144"/>
    <w:autoRedefine/>
    <w:qFormat/>
    <w:uiPriority w:val="99"/>
    <w:pPr>
      <w:numPr>
        <w:ilvl w:val="0"/>
        <w:numId w:val="7"/>
      </w:numPr>
      <w:tabs>
        <w:tab w:val="left" w:pos="1680"/>
        <w:tab w:val="clear" w:pos="420"/>
      </w:tabs>
      <w:spacing w:beforeLines="25" w:afterLines="25"/>
      <w:ind w:firstLine="0" w:firstLineChars="0"/>
    </w:pPr>
  </w:style>
  <w:style w:type="character" w:customStyle="1" w:styleId="148">
    <w:name w:val="mode1"/>
    <w:autoRedefine/>
    <w:qFormat/>
    <w:uiPriority w:val="99"/>
    <w:rPr>
      <w:color w:val="444444"/>
      <w:sz w:val="18"/>
    </w:rPr>
  </w:style>
  <w:style w:type="paragraph" w:customStyle="1" w:styleId="149">
    <w:name w:val="Char4"/>
    <w:basedOn w:val="1"/>
    <w:autoRedefine/>
    <w:qFormat/>
    <w:uiPriority w:val="99"/>
    <w:pPr>
      <w:spacing w:after="160" w:line="240" w:lineRule="exact"/>
      <w:ind w:firstLine="200" w:firstLineChars="200"/>
    </w:pPr>
    <w:rPr>
      <w:rFonts w:ascii="Verdana" w:hAnsi="Verdana"/>
      <w:szCs w:val="20"/>
      <w:lang w:eastAsia="en-US"/>
    </w:rPr>
  </w:style>
  <w:style w:type="character" w:customStyle="1" w:styleId="150">
    <w:name w:val="批注文字 Char"/>
    <w:basedOn w:val="71"/>
    <w:autoRedefine/>
    <w:qFormat/>
    <w:uiPriority w:val="99"/>
    <w:rPr>
      <w:rFonts w:ascii="Times New Roman" w:hAnsi="Times New Roman" w:eastAsia="宋体" w:cs="Times New Roman"/>
      <w:kern w:val="2"/>
      <w:sz w:val="24"/>
      <w:szCs w:val="24"/>
      <w:lang w:eastAsia="zh-CN" w:bidi="ar-SA"/>
    </w:rPr>
  </w:style>
  <w:style w:type="character" w:customStyle="1" w:styleId="151">
    <w:name w:val="批注主题 Char"/>
    <w:basedOn w:val="150"/>
    <w:autoRedefine/>
    <w:qFormat/>
    <w:uiPriority w:val="0"/>
    <w:rPr>
      <w:rFonts w:ascii="Times New Roman" w:hAnsi="Times New Roman" w:eastAsia="宋体" w:cs="Times New Roman"/>
      <w:b/>
      <w:bCs/>
      <w:kern w:val="2"/>
      <w:sz w:val="24"/>
      <w:szCs w:val="24"/>
      <w:lang w:eastAsia="zh-CN" w:bidi="ar-SA"/>
    </w:rPr>
  </w:style>
  <w:style w:type="character" w:customStyle="1" w:styleId="152">
    <w:name w:val="HTML 预设格式 Char"/>
    <w:basedOn w:val="71"/>
    <w:autoRedefine/>
    <w:qFormat/>
    <w:uiPriority w:val="99"/>
    <w:rPr>
      <w:rFonts w:ascii="Courier New" w:hAnsi="Courier New" w:eastAsia="宋体" w:cs="Courier New"/>
      <w:kern w:val="2"/>
      <w:lang w:eastAsia="zh-CN" w:bidi="ar-SA"/>
    </w:rPr>
  </w:style>
  <w:style w:type="paragraph" w:customStyle="1" w:styleId="153">
    <w:name w:val="Char Char Char"/>
    <w:basedOn w:val="1"/>
    <w:autoRedefine/>
    <w:qFormat/>
    <w:uiPriority w:val="0"/>
    <w:pPr>
      <w:widowControl w:val="0"/>
      <w:spacing w:line="400" w:lineRule="exact"/>
      <w:ind w:firstLine="200" w:firstLineChars="200"/>
      <w:jc w:val="both"/>
    </w:pPr>
    <w:rPr>
      <w:rFonts w:ascii="Tahoma" w:hAnsi="Tahoma"/>
      <w:kern w:val="2"/>
      <w:szCs w:val="20"/>
    </w:rPr>
  </w:style>
  <w:style w:type="paragraph" w:customStyle="1" w:styleId="154">
    <w:name w:val="样式1"/>
    <w:basedOn w:val="2"/>
    <w:next w:val="27"/>
    <w:autoRedefine/>
    <w:qFormat/>
    <w:uiPriority w:val="99"/>
    <w:pPr>
      <w:ind w:firstLine="1958" w:firstLineChars="650"/>
    </w:pPr>
    <w:rPr>
      <w:rFonts w:ascii="仿宋_GB2312" w:hAnsi="仿宋_GB2312" w:eastAsia="仿宋_GB2312"/>
      <w:sz w:val="32"/>
    </w:rPr>
  </w:style>
  <w:style w:type="paragraph" w:customStyle="1" w:styleId="155">
    <w:name w:val="默认段落字体 Para Char Char Char Char Char Char Char"/>
    <w:basedOn w:val="1"/>
    <w:autoRedefine/>
    <w:qFormat/>
    <w:uiPriority w:val="99"/>
    <w:pPr>
      <w:widowControl w:val="0"/>
      <w:spacing w:line="400" w:lineRule="exact"/>
      <w:ind w:firstLine="200" w:firstLineChars="200"/>
      <w:jc w:val="both"/>
    </w:pPr>
    <w:rPr>
      <w:rFonts w:ascii="Tahoma" w:hAnsi="Tahoma"/>
      <w:b/>
      <w:kern w:val="2"/>
      <w:szCs w:val="20"/>
    </w:rPr>
  </w:style>
  <w:style w:type="character" w:customStyle="1" w:styleId="156">
    <w:name w:val="141"/>
    <w:qFormat/>
    <w:uiPriority w:val="99"/>
    <w:rPr>
      <w:color w:val="333333"/>
      <w:sz w:val="21"/>
      <w:u w:val="none"/>
    </w:rPr>
  </w:style>
  <w:style w:type="paragraph" w:customStyle="1" w:styleId="157">
    <w:name w:val="Char Char Char Char Char Char Char Char Char Char Char Char Char Char Char Char Char Char Char Char Char Char Char Char Char"/>
    <w:basedOn w:val="1"/>
    <w:autoRedefine/>
    <w:qFormat/>
    <w:uiPriority w:val="99"/>
    <w:pPr>
      <w:widowControl w:val="0"/>
      <w:spacing w:line="400" w:lineRule="exact"/>
      <w:ind w:firstLine="200" w:firstLineChars="200"/>
      <w:jc w:val="both"/>
    </w:pPr>
    <w:rPr>
      <w:rFonts w:ascii="Tahoma" w:hAnsi="Tahoma"/>
      <w:kern w:val="2"/>
      <w:szCs w:val="20"/>
    </w:rPr>
  </w:style>
  <w:style w:type="paragraph" w:customStyle="1" w:styleId="158">
    <w:name w:val="tableheading"/>
    <w:basedOn w:val="1"/>
    <w:autoRedefine/>
    <w:qFormat/>
    <w:uiPriority w:val="99"/>
    <w:pPr>
      <w:spacing w:before="100" w:beforeAutospacing="1" w:after="100" w:afterAutospacing="1" w:line="200" w:lineRule="atLeast"/>
      <w:ind w:firstLine="200" w:firstLineChars="200"/>
    </w:pPr>
    <w:rPr>
      <w:rFonts w:ascii="Arial Unicode MS" w:hAnsi="Arial Unicode MS"/>
      <w:sz w:val="15"/>
      <w:szCs w:val="15"/>
    </w:rPr>
  </w:style>
  <w:style w:type="character" w:customStyle="1" w:styleId="159">
    <w:name w:val="orange_blod1"/>
    <w:autoRedefine/>
    <w:qFormat/>
    <w:uiPriority w:val="99"/>
    <w:rPr>
      <w:rFonts w:ascii="Verdana" w:hAnsi="Verdana"/>
      <w:b/>
      <w:color w:val="FF6600"/>
      <w:sz w:val="17"/>
      <w:u w:val="none"/>
    </w:rPr>
  </w:style>
  <w:style w:type="paragraph" w:customStyle="1" w:styleId="160">
    <w:name w:val="Char Char1"/>
    <w:basedOn w:val="1"/>
    <w:autoRedefine/>
    <w:qFormat/>
    <w:uiPriority w:val="99"/>
    <w:pPr>
      <w:spacing w:after="160" w:line="240" w:lineRule="exact"/>
      <w:ind w:firstLine="200" w:firstLineChars="200"/>
    </w:pPr>
    <w:rPr>
      <w:rFonts w:ascii="Verdana" w:hAnsi="Verdana"/>
      <w:sz w:val="20"/>
      <w:szCs w:val="20"/>
      <w:lang w:eastAsia="en-US"/>
    </w:rPr>
  </w:style>
  <w:style w:type="paragraph" w:customStyle="1" w:styleId="161">
    <w:name w:val="Char1"/>
    <w:basedOn w:val="1"/>
    <w:autoRedefine/>
    <w:qFormat/>
    <w:uiPriority w:val="0"/>
    <w:pPr>
      <w:widowControl w:val="0"/>
      <w:adjustRightInd w:val="0"/>
      <w:spacing w:line="360" w:lineRule="auto"/>
      <w:ind w:firstLine="200" w:firstLineChars="200"/>
      <w:jc w:val="both"/>
    </w:pPr>
    <w:rPr>
      <w:szCs w:val="20"/>
    </w:rPr>
  </w:style>
  <w:style w:type="paragraph" w:customStyle="1" w:styleId="162">
    <w:name w:val="列表内容"/>
    <w:basedOn w:val="1"/>
    <w:next w:val="1"/>
    <w:autoRedefine/>
    <w:qFormat/>
    <w:uiPriority w:val="99"/>
    <w:pPr>
      <w:numPr>
        <w:ilvl w:val="0"/>
        <w:numId w:val="8"/>
      </w:numPr>
      <w:spacing w:line="400" w:lineRule="exact"/>
      <w:ind w:firstLine="200" w:firstLineChars="200"/>
    </w:pPr>
    <w:rPr>
      <w:sz w:val="18"/>
    </w:rPr>
  </w:style>
  <w:style w:type="paragraph" w:customStyle="1" w:styleId="163">
    <w:name w:val="Char Char Char Char"/>
    <w:basedOn w:val="21"/>
    <w:autoRedefine/>
    <w:qFormat/>
    <w:uiPriority w:val="99"/>
  </w:style>
  <w:style w:type="character" w:customStyle="1" w:styleId="164">
    <w:name w:val="页脚 Char3"/>
    <w:autoRedefine/>
    <w:qFormat/>
    <w:uiPriority w:val="99"/>
    <w:rPr>
      <w:rFonts w:eastAsia="宋体"/>
      <w:kern w:val="2"/>
      <w:sz w:val="18"/>
      <w:lang w:val="en-US" w:eastAsia="zh-CN"/>
    </w:rPr>
  </w:style>
  <w:style w:type="paragraph" w:customStyle="1" w:styleId="165">
    <w:name w:val="Default"/>
    <w:autoRedefine/>
    <w:qFormat/>
    <w:uiPriority w:val="0"/>
    <w:pPr>
      <w:widowControl w:val="0"/>
      <w:autoSpaceDE w:val="0"/>
      <w:autoSpaceDN w:val="0"/>
      <w:adjustRightInd w:val="0"/>
    </w:pPr>
    <w:rPr>
      <w:rFonts w:ascii="Arial Black" w:hAnsi="Arial Black" w:eastAsia="宋体" w:cs="Times New Roman"/>
      <w:color w:val="000000"/>
      <w:sz w:val="24"/>
      <w:lang w:val="en-US" w:eastAsia="zh-CN" w:bidi="ar-SA"/>
    </w:rPr>
  </w:style>
  <w:style w:type="paragraph" w:customStyle="1" w:styleId="166">
    <w:name w:val="样式2"/>
    <w:basedOn w:val="1"/>
    <w:next w:val="1"/>
    <w:link w:val="680"/>
    <w:autoRedefine/>
    <w:qFormat/>
    <w:uiPriority w:val="0"/>
    <w:pPr>
      <w:widowControl w:val="0"/>
      <w:spacing w:line="400" w:lineRule="exact"/>
      <w:ind w:firstLine="200" w:firstLineChars="200"/>
      <w:jc w:val="both"/>
    </w:pPr>
    <w:rPr>
      <w:kern w:val="2"/>
      <w:sz w:val="28"/>
    </w:rPr>
  </w:style>
  <w:style w:type="paragraph" w:customStyle="1" w:styleId="167">
    <w:name w:val="样式"/>
    <w:qFormat/>
    <w:uiPriority w:val="99"/>
    <w:pPr>
      <w:widowControl w:val="0"/>
      <w:autoSpaceDE w:val="0"/>
      <w:autoSpaceDN w:val="0"/>
      <w:adjustRightInd w:val="0"/>
    </w:pPr>
    <w:rPr>
      <w:rFonts w:ascii="宋体" w:hAnsi="宋体" w:eastAsia="宋体" w:cs="宋体"/>
      <w:sz w:val="24"/>
      <w:szCs w:val="24"/>
      <w:lang w:val="en-US" w:eastAsia="zh-CN" w:bidi="ar-SA"/>
    </w:rPr>
  </w:style>
  <w:style w:type="paragraph" w:customStyle="1" w:styleId="168">
    <w:name w:val="Char Char Char Char Char Char Char"/>
    <w:basedOn w:val="1"/>
    <w:qFormat/>
    <w:uiPriority w:val="99"/>
    <w:pPr>
      <w:widowControl w:val="0"/>
      <w:spacing w:line="400" w:lineRule="exact"/>
      <w:ind w:firstLine="200" w:firstLineChars="200"/>
      <w:jc w:val="both"/>
    </w:pPr>
    <w:rPr>
      <w:kern w:val="2"/>
      <w:szCs w:val="20"/>
    </w:rPr>
  </w:style>
  <w:style w:type="character" w:customStyle="1" w:styleId="169">
    <w:name w:val="Char Char2"/>
    <w:autoRedefine/>
    <w:qFormat/>
    <w:uiPriority w:val="99"/>
    <w:rPr>
      <w:rFonts w:eastAsia="宋体"/>
      <w:kern w:val="2"/>
      <w:sz w:val="18"/>
      <w:lang w:val="en-US" w:eastAsia="zh-CN"/>
    </w:rPr>
  </w:style>
  <w:style w:type="character" w:customStyle="1" w:styleId="170">
    <w:name w:val="textcontents"/>
    <w:basedOn w:val="71"/>
    <w:autoRedefine/>
    <w:qFormat/>
    <w:uiPriority w:val="99"/>
    <w:rPr>
      <w:rFonts w:cs="Times New Roman"/>
    </w:rPr>
  </w:style>
  <w:style w:type="character" w:customStyle="1" w:styleId="171">
    <w:name w:val="标题 1 Char1"/>
    <w:qFormat/>
    <w:uiPriority w:val="99"/>
    <w:rPr>
      <w:rFonts w:ascii="宋体"/>
      <w:b/>
      <w:kern w:val="28"/>
      <w:sz w:val="36"/>
      <w:lang w:val="en-US" w:eastAsia="zh-CN"/>
    </w:rPr>
  </w:style>
  <w:style w:type="paragraph" w:customStyle="1" w:styleId="172">
    <w:name w:val="目录标题1"/>
    <w:basedOn w:val="1"/>
    <w:autoRedefine/>
    <w:qFormat/>
    <w:uiPriority w:val="99"/>
    <w:pPr>
      <w:widowControl w:val="0"/>
      <w:spacing w:before="120" w:after="120" w:line="320" w:lineRule="atLeast"/>
      <w:ind w:firstLine="200" w:firstLineChars="200"/>
      <w:jc w:val="center"/>
    </w:pPr>
    <w:rPr>
      <w:b/>
      <w:kern w:val="2"/>
      <w:sz w:val="32"/>
    </w:rPr>
  </w:style>
  <w:style w:type="character" w:customStyle="1" w:styleId="173">
    <w:name w:val="newsbg"/>
    <w:basedOn w:val="71"/>
    <w:autoRedefine/>
    <w:qFormat/>
    <w:uiPriority w:val="99"/>
    <w:rPr>
      <w:rFonts w:cs="Times New Roman"/>
    </w:rPr>
  </w:style>
  <w:style w:type="paragraph" w:customStyle="1" w:styleId="174">
    <w:name w:val="样式4"/>
    <w:basedOn w:val="1"/>
    <w:qFormat/>
    <w:uiPriority w:val="99"/>
    <w:pPr>
      <w:keepNext/>
      <w:keepLines/>
      <w:widowControl w:val="0"/>
      <w:numPr>
        <w:ilvl w:val="0"/>
        <w:numId w:val="9"/>
      </w:numPr>
      <w:tabs>
        <w:tab w:val="clear" w:pos="360"/>
      </w:tabs>
      <w:spacing w:line="360" w:lineRule="auto"/>
      <w:ind w:left="0" w:firstLine="601" w:firstLineChars="200"/>
      <w:jc w:val="both"/>
      <w:outlineLvl w:val="1"/>
    </w:pPr>
    <w:rPr>
      <w:rFonts w:ascii="宋体" w:hAnsi="宋体"/>
      <w:b/>
      <w:bCs/>
      <w:kern w:val="2"/>
      <w:sz w:val="30"/>
      <w:szCs w:val="30"/>
    </w:rPr>
  </w:style>
  <w:style w:type="character" w:customStyle="1" w:styleId="175">
    <w:name w:val="apple-style-span"/>
    <w:basedOn w:val="71"/>
    <w:autoRedefine/>
    <w:qFormat/>
    <w:uiPriority w:val="99"/>
    <w:rPr>
      <w:rFonts w:cs="Times New Roman"/>
    </w:rPr>
  </w:style>
  <w:style w:type="character" w:customStyle="1" w:styleId="176">
    <w:name w:val="gray121"/>
    <w:autoRedefine/>
    <w:qFormat/>
    <w:uiPriority w:val="99"/>
    <w:rPr>
      <w:color w:val="666666"/>
      <w:sz w:val="18"/>
    </w:rPr>
  </w:style>
  <w:style w:type="paragraph" w:customStyle="1" w:styleId="177">
    <w:name w:val="样式3"/>
    <w:basedOn w:val="154"/>
    <w:link w:val="679"/>
    <w:qFormat/>
    <w:uiPriority w:val="0"/>
    <w:pPr>
      <w:ind w:firstLine="2080"/>
    </w:pPr>
    <w:rPr>
      <w:szCs w:val="72"/>
    </w:rPr>
  </w:style>
  <w:style w:type="paragraph" w:customStyle="1" w:styleId="178">
    <w:name w:val="about_main1"/>
    <w:basedOn w:val="1"/>
    <w:autoRedefine/>
    <w:qFormat/>
    <w:uiPriority w:val="99"/>
    <w:pPr>
      <w:spacing w:before="30" w:after="100" w:afterAutospacing="1" w:line="400" w:lineRule="exact"/>
      <w:ind w:firstLine="200" w:firstLineChars="200"/>
    </w:pPr>
    <w:rPr>
      <w:rFonts w:ascii="宋体" w:hAnsi="宋体" w:cs="宋体"/>
    </w:rPr>
  </w:style>
  <w:style w:type="character" w:customStyle="1" w:styleId="179">
    <w:name w:val="页眉 Char1"/>
    <w:qFormat/>
    <w:uiPriority w:val="99"/>
    <w:rPr>
      <w:kern w:val="2"/>
      <w:sz w:val="18"/>
    </w:rPr>
  </w:style>
  <w:style w:type="character" w:customStyle="1" w:styleId="180">
    <w:name w:val="标题 6 Char1"/>
    <w:autoRedefine/>
    <w:qFormat/>
    <w:uiPriority w:val="99"/>
    <w:rPr>
      <w:rFonts w:ascii="Arial" w:hAnsi="Arial" w:eastAsia="黑体"/>
      <w:b/>
      <w:kern w:val="2"/>
      <w:sz w:val="24"/>
    </w:rPr>
  </w:style>
  <w:style w:type="character" w:customStyle="1" w:styleId="181">
    <w:name w:val="标题 7 Char1"/>
    <w:autoRedefine/>
    <w:qFormat/>
    <w:uiPriority w:val="99"/>
    <w:rPr>
      <w:b/>
      <w:kern w:val="2"/>
      <w:sz w:val="24"/>
    </w:rPr>
  </w:style>
  <w:style w:type="character" w:customStyle="1" w:styleId="182">
    <w:name w:val="标题 8 Char1"/>
    <w:autoRedefine/>
    <w:qFormat/>
    <w:uiPriority w:val="99"/>
    <w:rPr>
      <w:rFonts w:ascii="Arial" w:hAnsi="Arial" w:eastAsia="黑体"/>
      <w:kern w:val="2"/>
      <w:sz w:val="24"/>
    </w:rPr>
  </w:style>
  <w:style w:type="character" w:customStyle="1" w:styleId="183">
    <w:name w:val="标题 9 Char1"/>
    <w:autoRedefine/>
    <w:qFormat/>
    <w:uiPriority w:val="99"/>
    <w:rPr>
      <w:rFonts w:ascii="Arial" w:hAnsi="Arial" w:eastAsia="黑体"/>
      <w:kern w:val="2"/>
      <w:sz w:val="24"/>
    </w:rPr>
  </w:style>
  <w:style w:type="character" w:customStyle="1" w:styleId="184">
    <w:name w:val="标题 3 Char1"/>
    <w:autoRedefine/>
    <w:qFormat/>
    <w:uiPriority w:val="99"/>
    <w:rPr>
      <w:rFonts w:ascii="宋体"/>
      <w:b/>
      <w:kern w:val="2"/>
      <w:sz w:val="24"/>
      <w:lang w:val="en-US" w:eastAsia="zh-CN"/>
    </w:rPr>
  </w:style>
  <w:style w:type="character" w:customStyle="1" w:styleId="185">
    <w:name w:val="Char Char6"/>
    <w:autoRedefine/>
    <w:qFormat/>
    <w:uiPriority w:val="99"/>
    <w:rPr>
      <w:rFonts w:ascii="Arial" w:hAnsi="Arial" w:eastAsia="黑体"/>
      <w:b/>
      <w:kern w:val="2"/>
      <w:sz w:val="32"/>
      <w:lang w:val="en-US" w:eastAsia="zh-CN"/>
    </w:rPr>
  </w:style>
  <w:style w:type="paragraph" w:customStyle="1" w:styleId="186">
    <w:name w:val="标四"/>
    <w:next w:val="1"/>
    <w:qFormat/>
    <w:uiPriority w:val="99"/>
    <w:pPr>
      <w:numPr>
        <w:ilvl w:val="3"/>
        <w:numId w:val="7"/>
      </w:numPr>
      <w:tabs>
        <w:tab w:val="left" w:pos="864"/>
        <w:tab w:val="clear" w:pos="1680"/>
      </w:tabs>
      <w:spacing w:line="360" w:lineRule="auto"/>
      <w:outlineLvl w:val="3"/>
    </w:pPr>
    <w:rPr>
      <w:rFonts w:ascii="宋体" w:hAnsi="宋体" w:eastAsia="宋体" w:cs="Times New Roman"/>
      <w:b/>
      <w:color w:val="FF0000"/>
      <w:kern w:val="2"/>
      <w:sz w:val="24"/>
      <w:lang w:val="en-US" w:eastAsia="zh-CN" w:bidi="ar-SA"/>
    </w:rPr>
  </w:style>
  <w:style w:type="character" w:customStyle="1" w:styleId="187">
    <w:name w:val="文档结构图 Char1"/>
    <w:link w:val="21"/>
    <w:qFormat/>
    <w:locked/>
    <w:uiPriority w:val="99"/>
  </w:style>
  <w:style w:type="character" w:customStyle="1" w:styleId="188">
    <w:name w:val="日期 Char"/>
    <w:basedOn w:val="71"/>
    <w:autoRedefine/>
    <w:qFormat/>
    <w:uiPriority w:val="0"/>
    <w:rPr>
      <w:rFonts w:ascii="Times New Roman" w:hAnsi="Times New Roman" w:eastAsia="宋体" w:cs="Times New Roman"/>
      <w:kern w:val="2"/>
      <w:sz w:val="24"/>
      <w:szCs w:val="24"/>
      <w:lang w:eastAsia="zh-CN" w:bidi="ar-SA"/>
    </w:rPr>
  </w:style>
  <w:style w:type="paragraph" w:customStyle="1" w:styleId="189">
    <w:name w:val="文档正文"/>
    <w:basedOn w:val="1"/>
    <w:autoRedefine/>
    <w:qFormat/>
    <w:uiPriority w:val="0"/>
    <w:pPr>
      <w:widowControl w:val="0"/>
      <w:adjustRightInd w:val="0"/>
      <w:spacing w:line="312" w:lineRule="atLeast"/>
      <w:ind w:firstLine="567" w:firstLineChars="200"/>
      <w:jc w:val="both"/>
      <w:textAlignment w:val="baseline"/>
    </w:pPr>
    <w:rPr>
      <w:rFonts w:ascii="长城仿宋" w:eastAsia="长城仿宋"/>
      <w:sz w:val="28"/>
      <w:szCs w:val="20"/>
    </w:rPr>
  </w:style>
  <w:style w:type="paragraph" w:customStyle="1" w:styleId="190">
    <w:name w:val="正文1"/>
    <w:autoRedefine/>
    <w:qFormat/>
    <w:uiPriority w:val="0"/>
    <w:pPr>
      <w:widowControl w:val="0"/>
      <w:adjustRightInd w:val="0"/>
      <w:spacing w:line="240" w:lineRule="atLeast"/>
      <w:textAlignment w:val="baseline"/>
    </w:pPr>
    <w:rPr>
      <w:rFonts w:ascii="Times New Roman" w:hAnsi="Times New Roman" w:eastAsia="宋体" w:cs="Times New Roman"/>
      <w:lang w:val="en-US" w:eastAsia="zh-CN" w:bidi="ar-SA"/>
    </w:rPr>
  </w:style>
  <w:style w:type="character" w:customStyle="1" w:styleId="191">
    <w:name w:val="正文文本 Char1"/>
    <w:autoRedefine/>
    <w:qFormat/>
    <w:uiPriority w:val="99"/>
    <w:rPr>
      <w:kern w:val="2"/>
      <w:sz w:val="24"/>
    </w:rPr>
  </w:style>
  <w:style w:type="character" w:customStyle="1" w:styleId="192">
    <w:name w:val="正文首行缩进 Char1"/>
    <w:basedOn w:val="191"/>
    <w:autoRedefine/>
    <w:semiHidden/>
    <w:qFormat/>
    <w:uiPriority w:val="99"/>
    <w:rPr>
      <w:rFonts w:cs="Times New Roman"/>
      <w:kern w:val="2"/>
      <w:sz w:val="24"/>
      <w:szCs w:val="24"/>
    </w:rPr>
  </w:style>
  <w:style w:type="character" w:customStyle="1" w:styleId="193">
    <w:name w:val="页脚 Char1"/>
    <w:autoRedefine/>
    <w:qFormat/>
    <w:uiPriority w:val="99"/>
    <w:rPr>
      <w:kern w:val="2"/>
      <w:sz w:val="18"/>
    </w:rPr>
  </w:style>
  <w:style w:type="character" w:customStyle="1" w:styleId="194">
    <w:name w:val="正文文本 3 Char"/>
    <w:basedOn w:val="71"/>
    <w:qFormat/>
    <w:uiPriority w:val="0"/>
    <w:rPr>
      <w:rFonts w:ascii="Times New Roman" w:hAnsi="Times New Roman" w:eastAsia="宋体" w:cs="Times New Roman"/>
      <w:kern w:val="2"/>
      <w:sz w:val="16"/>
      <w:szCs w:val="16"/>
      <w:lang w:eastAsia="zh-CN" w:bidi="ar-SA"/>
    </w:rPr>
  </w:style>
  <w:style w:type="character" w:customStyle="1" w:styleId="195">
    <w:name w:val="正文文本 2 Char"/>
    <w:basedOn w:val="71"/>
    <w:autoRedefine/>
    <w:qFormat/>
    <w:uiPriority w:val="0"/>
    <w:rPr>
      <w:rFonts w:ascii="Times New Roman" w:hAnsi="Times New Roman" w:eastAsia="宋体" w:cs="Times New Roman"/>
      <w:kern w:val="2"/>
      <w:sz w:val="24"/>
      <w:szCs w:val="24"/>
      <w:lang w:eastAsia="zh-CN" w:bidi="ar-SA"/>
    </w:rPr>
  </w:style>
  <w:style w:type="paragraph" w:customStyle="1" w:styleId="196">
    <w:name w:val="font11"/>
    <w:basedOn w:val="1"/>
    <w:autoRedefine/>
    <w:qFormat/>
    <w:uiPriority w:val="99"/>
    <w:pPr>
      <w:numPr>
        <w:ilvl w:val="3"/>
        <w:numId w:val="10"/>
      </w:numPr>
      <w:tabs>
        <w:tab w:val="left" w:pos="1680"/>
      </w:tabs>
      <w:spacing w:before="100" w:beforeAutospacing="1" w:after="100" w:afterAutospacing="1" w:line="400" w:lineRule="exact"/>
      <w:ind w:left="0" w:firstLine="0" w:firstLineChars="200"/>
    </w:pPr>
    <w:rPr>
      <w:b/>
      <w:sz w:val="22"/>
      <w:szCs w:val="20"/>
    </w:rPr>
  </w:style>
  <w:style w:type="paragraph" w:customStyle="1" w:styleId="197">
    <w:name w:val="Char Char Char Char Char Char Char Char Char Char Char Char Char Char Char Char"/>
    <w:basedOn w:val="1"/>
    <w:autoRedefine/>
    <w:qFormat/>
    <w:uiPriority w:val="99"/>
    <w:pPr>
      <w:spacing w:before="100" w:beforeAutospacing="1" w:after="100" w:afterAutospacing="1" w:line="330" w:lineRule="atLeast"/>
      <w:ind w:left="360" w:firstLine="200" w:firstLineChars="200"/>
    </w:pPr>
    <w:rPr>
      <w:rFonts w:ascii="??" w:hAnsi="??"/>
      <w:color w:val="51585D"/>
      <w:szCs w:val="20"/>
    </w:rPr>
  </w:style>
  <w:style w:type="paragraph" w:customStyle="1" w:styleId="198">
    <w:name w:val="p0"/>
    <w:basedOn w:val="1"/>
    <w:autoRedefine/>
    <w:qFormat/>
    <w:uiPriority w:val="0"/>
    <w:pPr>
      <w:spacing w:line="400" w:lineRule="exact"/>
      <w:ind w:firstLine="200" w:firstLineChars="200"/>
      <w:jc w:val="both"/>
    </w:pPr>
    <w:rPr>
      <w:szCs w:val="21"/>
    </w:rPr>
  </w:style>
  <w:style w:type="character" w:customStyle="1" w:styleId="199">
    <w:name w:val="正文文本缩进 2 Char"/>
    <w:basedOn w:val="71"/>
    <w:autoRedefine/>
    <w:qFormat/>
    <w:uiPriority w:val="0"/>
    <w:rPr>
      <w:rFonts w:ascii="Times New Roman" w:hAnsi="Times New Roman" w:eastAsia="宋体" w:cs="Times New Roman"/>
      <w:kern w:val="2"/>
      <w:sz w:val="24"/>
      <w:szCs w:val="24"/>
      <w:lang w:eastAsia="zh-CN" w:bidi="ar-SA"/>
    </w:rPr>
  </w:style>
  <w:style w:type="character" w:customStyle="1" w:styleId="200">
    <w:name w:val="正文文本缩进 3 Char"/>
    <w:basedOn w:val="71"/>
    <w:autoRedefine/>
    <w:qFormat/>
    <w:uiPriority w:val="0"/>
    <w:rPr>
      <w:rFonts w:ascii="Times New Roman" w:hAnsi="Times New Roman" w:eastAsia="宋体" w:cs="Times New Roman"/>
      <w:kern w:val="2"/>
      <w:sz w:val="16"/>
      <w:szCs w:val="16"/>
      <w:lang w:eastAsia="zh-CN" w:bidi="ar-SA"/>
    </w:rPr>
  </w:style>
  <w:style w:type="character" w:customStyle="1" w:styleId="201">
    <w:name w:val="标题 Char1"/>
    <w:autoRedefine/>
    <w:qFormat/>
    <w:uiPriority w:val="10"/>
    <w:rPr>
      <w:rFonts w:ascii="Arial" w:hAnsi="Arial"/>
      <w:b/>
      <w:smallCaps/>
      <w:kern w:val="28"/>
      <w:sz w:val="36"/>
      <w:lang w:eastAsia="en-US"/>
    </w:rPr>
  </w:style>
  <w:style w:type="character" w:customStyle="1" w:styleId="202">
    <w:name w:val="副标题 Char1"/>
    <w:autoRedefine/>
    <w:qFormat/>
    <w:uiPriority w:val="99"/>
    <w:rPr>
      <w:rFonts w:ascii="Cambria" w:hAnsi="Cambria"/>
      <w:b/>
      <w:kern w:val="28"/>
      <w:sz w:val="32"/>
    </w:rPr>
  </w:style>
  <w:style w:type="paragraph" w:customStyle="1" w:styleId="203">
    <w:name w:val="首行缩进2小四1"/>
    <w:basedOn w:val="1"/>
    <w:next w:val="1"/>
    <w:qFormat/>
    <w:uiPriority w:val="99"/>
    <w:pPr>
      <w:widowControl w:val="0"/>
      <w:spacing w:line="400" w:lineRule="exact"/>
      <w:ind w:firstLine="480" w:firstLineChars="200"/>
      <w:jc w:val="both"/>
    </w:pPr>
    <w:rPr>
      <w:rFonts w:ascii="Verdana" w:hAnsi="Verdana" w:eastAsia="华文细黑" w:cs="宋体"/>
      <w:kern w:val="2"/>
      <w:szCs w:val="20"/>
    </w:rPr>
  </w:style>
  <w:style w:type="paragraph" w:customStyle="1" w:styleId="204">
    <w:name w:val="Char Char Char Char Char Char Char Char Char Char Char Char Char Char"/>
    <w:basedOn w:val="1"/>
    <w:autoRedefine/>
    <w:qFormat/>
    <w:uiPriority w:val="99"/>
    <w:pPr>
      <w:widowControl w:val="0"/>
      <w:spacing w:line="400" w:lineRule="exact"/>
      <w:ind w:firstLine="200" w:firstLineChars="200"/>
      <w:jc w:val="both"/>
    </w:pPr>
    <w:rPr>
      <w:rFonts w:ascii="Tahoma" w:hAnsi="Tahoma"/>
      <w:kern w:val="2"/>
      <w:szCs w:val="20"/>
    </w:rPr>
  </w:style>
  <w:style w:type="character" w:customStyle="1" w:styleId="205">
    <w:name w:val="正文首行缩进 2 Char"/>
    <w:basedOn w:val="104"/>
    <w:qFormat/>
    <w:uiPriority w:val="99"/>
    <w:rPr>
      <w:rFonts w:ascii="宋体" w:hAnsi="宋体" w:eastAsia="宋体" w:cs="Times New Roman"/>
      <w:kern w:val="2"/>
      <w:sz w:val="21"/>
      <w:szCs w:val="21"/>
      <w:lang w:bidi="ar-SA"/>
    </w:rPr>
  </w:style>
  <w:style w:type="paragraph" w:customStyle="1" w:styleId="206">
    <w:name w:val="样式 正文文本缩进 + 段前: 2 字符"/>
    <w:basedOn w:val="1"/>
    <w:qFormat/>
    <w:uiPriority w:val="99"/>
    <w:pPr>
      <w:widowControl w:val="0"/>
      <w:spacing w:line="400" w:lineRule="exact"/>
      <w:ind w:left="420" w:leftChars="200" w:firstLine="200" w:firstLineChars="200"/>
    </w:pPr>
    <w:rPr>
      <w:kern w:val="2"/>
      <w:sz w:val="28"/>
      <w:lang w:eastAsia="zh-TW"/>
    </w:rPr>
  </w:style>
  <w:style w:type="paragraph" w:customStyle="1" w:styleId="207">
    <w:name w:val="删除"/>
    <w:basedOn w:val="141"/>
    <w:qFormat/>
    <w:uiPriority w:val="99"/>
    <w:pPr>
      <w:widowControl w:val="0"/>
      <w:tabs>
        <w:tab w:val="clear" w:pos="0"/>
      </w:tabs>
      <w:autoSpaceDE/>
      <w:autoSpaceDN/>
      <w:adjustRightInd/>
      <w:snapToGrid w:val="0"/>
      <w:jc w:val="left"/>
    </w:pPr>
    <w:rPr>
      <w:rFonts w:cs="Arial"/>
      <w:strike/>
      <w:color w:val="0000FF"/>
      <w:szCs w:val="18"/>
    </w:rPr>
  </w:style>
  <w:style w:type="paragraph" w:customStyle="1" w:styleId="208">
    <w:name w:val="tabletext"/>
    <w:basedOn w:val="1"/>
    <w:qFormat/>
    <w:uiPriority w:val="99"/>
    <w:pPr>
      <w:spacing w:before="100" w:beforeAutospacing="1" w:after="100" w:afterAutospacing="1" w:line="400" w:lineRule="exact"/>
      <w:ind w:firstLine="200" w:firstLineChars="200"/>
    </w:pPr>
    <w:rPr>
      <w:rFonts w:ascii="宋体" w:hAnsi="宋体" w:cs="宋体"/>
    </w:rPr>
  </w:style>
  <w:style w:type="paragraph" w:customStyle="1" w:styleId="209">
    <w:name w:val="tabletextchar"/>
    <w:basedOn w:val="1"/>
    <w:autoRedefine/>
    <w:qFormat/>
    <w:uiPriority w:val="99"/>
    <w:pPr>
      <w:spacing w:before="100" w:beforeAutospacing="1" w:after="100" w:afterAutospacing="1" w:line="400" w:lineRule="exact"/>
      <w:ind w:firstLine="200" w:firstLineChars="200"/>
    </w:pPr>
    <w:rPr>
      <w:rFonts w:ascii="宋体" w:hAnsi="宋体" w:cs="宋体"/>
    </w:rPr>
  </w:style>
  <w:style w:type="character" w:customStyle="1" w:styleId="210">
    <w:name w:val="正文缩进 Char"/>
    <w:link w:val="18"/>
    <w:autoRedefine/>
    <w:qFormat/>
    <w:locked/>
    <w:uiPriority w:val="99"/>
  </w:style>
  <w:style w:type="character" w:customStyle="1" w:styleId="211">
    <w:name w:val="标题 4 Char1"/>
    <w:autoRedefine/>
    <w:qFormat/>
    <w:uiPriority w:val="99"/>
    <w:rPr>
      <w:rFonts w:ascii="Arial" w:hAnsi="Arial" w:eastAsia="黑体"/>
      <w:b/>
      <w:kern w:val="2"/>
      <w:sz w:val="28"/>
    </w:rPr>
  </w:style>
  <w:style w:type="paragraph" w:customStyle="1" w:styleId="212">
    <w:name w:val="Char Char Char2"/>
    <w:basedOn w:val="1"/>
    <w:qFormat/>
    <w:uiPriority w:val="99"/>
    <w:pPr>
      <w:widowControl w:val="0"/>
      <w:spacing w:line="400" w:lineRule="exact"/>
      <w:ind w:firstLine="200" w:firstLineChars="200"/>
      <w:jc w:val="both"/>
    </w:pPr>
    <w:rPr>
      <w:rFonts w:ascii="Tahoma" w:hAnsi="Tahoma"/>
      <w:kern w:val="2"/>
      <w:szCs w:val="20"/>
    </w:rPr>
  </w:style>
  <w:style w:type="paragraph" w:customStyle="1" w:styleId="213">
    <w:name w:val="Char Char Char Char Char Char Char Char Char Char Char Char Char Char Char Char Char Char Char Char Char Char Char Char Char2"/>
    <w:basedOn w:val="1"/>
    <w:autoRedefine/>
    <w:qFormat/>
    <w:uiPriority w:val="99"/>
    <w:pPr>
      <w:widowControl w:val="0"/>
      <w:spacing w:line="400" w:lineRule="exact"/>
      <w:ind w:firstLine="200" w:firstLineChars="200"/>
      <w:jc w:val="both"/>
    </w:pPr>
    <w:rPr>
      <w:rFonts w:ascii="Tahoma" w:hAnsi="Tahoma"/>
      <w:kern w:val="2"/>
      <w:szCs w:val="20"/>
    </w:rPr>
  </w:style>
  <w:style w:type="paragraph" w:customStyle="1" w:styleId="214">
    <w:name w:val="Char Char12"/>
    <w:basedOn w:val="1"/>
    <w:autoRedefine/>
    <w:qFormat/>
    <w:uiPriority w:val="99"/>
    <w:pPr>
      <w:spacing w:after="160" w:line="240" w:lineRule="exact"/>
      <w:ind w:firstLine="200" w:firstLineChars="200"/>
    </w:pPr>
    <w:rPr>
      <w:rFonts w:ascii="Verdana" w:hAnsi="Verdana"/>
      <w:sz w:val="20"/>
      <w:szCs w:val="20"/>
      <w:lang w:eastAsia="en-US"/>
    </w:rPr>
  </w:style>
  <w:style w:type="paragraph" w:customStyle="1" w:styleId="215">
    <w:name w:val="Char12"/>
    <w:basedOn w:val="1"/>
    <w:qFormat/>
    <w:uiPriority w:val="99"/>
    <w:pPr>
      <w:widowControl w:val="0"/>
      <w:adjustRightInd w:val="0"/>
      <w:spacing w:line="360" w:lineRule="auto"/>
      <w:ind w:firstLine="200" w:firstLineChars="200"/>
      <w:jc w:val="both"/>
    </w:pPr>
    <w:rPr>
      <w:szCs w:val="20"/>
    </w:rPr>
  </w:style>
  <w:style w:type="paragraph" w:customStyle="1" w:styleId="216">
    <w:name w:val="Char Char Char Char2"/>
    <w:basedOn w:val="21"/>
    <w:autoRedefine/>
    <w:qFormat/>
    <w:uiPriority w:val="99"/>
  </w:style>
  <w:style w:type="character" w:customStyle="1" w:styleId="217">
    <w:name w:val="Char Char23"/>
    <w:autoRedefine/>
    <w:qFormat/>
    <w:uiPriority w:val="99"/>
    <w:rPr>
      <w:rFonts w:eastAsia="宋体"/>
      <w:kern w:val="2"/>
      <w:sz w:val="18"/>
      <w:lang w:val="en-US" w:eastAsia="zh-CN"/>
    </w:rPr>
  </w:style>
  <w:style w:type="character" w:customStyle="1" w:styleId="218">
    <w:name w:val="Char Char62"/>
    <w:autoRedefine/>
    <w:qFormat/>
    <w:uiPriority w:val="99"/>
    <w:rPr>
      <w:rFonts w:ascii="Arial" w:hAnsi="Arial" w:eastAsia="黑体"/>
      <w:b/>
      <w:kern w:val="2"/>
      <w:sz w:val="32"/>
      <w:lang w:val="en-US" w:eastAsia="zh-CN"/>
    </w:rPr>
  </w:style>
  <w:style w:type="paragraph" w:customStyle="1" w:styleId="219">
    <w:name w:val="正文12"/>
    <w:autoRedefine/>
    <w:qFormat/>
    <w:uiPriority w:val="99"/>
    <w:pPr>
      <w:widowControl w:val="0"/>
      <w:adjustRightInd w:val="0"/>
      <w:spacing w:line="240" w:lineRule="atLeast"/>
      <w:textAlignment w:val="baseline"/>
    </w:pPr>
    <w:rPr>
      <w:rFonts w:ascii="Times New Roman" w:hAnsi="Times New Roman" w:eastAsia="宋体" w:cs="Times New Roman"/>
      <w:lang w:val="en-US" w:eastAsia="zh-CN" w:bidi="ar-SA"/>
    </w:rPr>
  </w:style>
  <w:style w:type="paragraph" w:customStyle="1" w:styleId="220">
    <w:name w:val="自由格式"/>
    <w:autoRedefine/>
    <w:qFormat/>
    <w:uiPriority w:val="99"/>
    <w:pPr>
      <w:spacing w:line="312" w:lineRule="auto"/>
      <w:outlineLvl w:val="0"/>
    </w:pPr>
    <w:rPr>
      <w:rFonts w:ascii="Baskerville" w:hAnsi="Baskerville" w:eastAsia="ヒラギノ角ゴ Pro W3" w:cs="Times New Roman"/>
      <w:color w:val="000000"/>
      <w:sz w:val="18"/>
      <w:lang w:val="en-US" w:eastAsia="zh-CN" w:bidi="ar-SA"/>
    </w:rPr>
  </w:style>
  <w:style w:type="paragraph" w:customStyle="1" w:styleId="221">
    <w:name w:val="xl32"/>
    <w:basedOn w:val="1"/>
    <w:autoRedefine/>
    <w:qFormat/>
    <w:uiPriority w:val="99"/>
    <w:pPr>
      <w:spacing w:before="100" w:beforeAutospacing="1" w:after="100" w:afterAutospacing="1" w:line="400" w:lineRule="exact"/>
      <w:ind w:firstLine="200" w:firstLineChars="200"/>
      <w:jc w:val="center"/>
      <w:textAlignment w:val="center"/>
    </w:pPr>
    <w:rPr>
      <w:rFonts w:ascii="宋体" w:hAnsi="宋体"/>
      <w:color w:val="000000"/>
      <w:sz w:val="40"/>
      <w:szCs w:val="40"/>
    </w:rPr>
  </w:style>
  <w:style w:type="paragraph" w:customStyle="1" w:styleId="222">
    <w:name w:val="È΅ΐÊ¡ÎÄ΅ΐ¾"/>
    <w:basedOn w:val="1"/>
    <w:qFormat/>
    <w:uiPriority w:val="99"/>
    <w:pPr>
      <w:overflowPunct w:val="0"/>
      <w:autoSpaceDE w:val="0"/>
      <w:autoSpaceDN w:val="0"/>
      <w:adjustRightInd w:val="0"/>
      <w:spacing w:line="400" w:lineRule="exact"/>
      <w:ind w:firstLine="200" w:firstLineChars="200"/>
    </w:pPr>
    <w:rPr>
      <w:szCs w:val="20"/>
    </w:rPr>
  </w:style>
  <w:style w:type="character" w:customStyle="1" w:styleId="223">
    <w:name w:val="marklong"/>
    <w:qFormat/>
    <w:uiPriority w:val="99"/>
    <w:rPr>
      <w:rFonts w:ascii="宋体" w:hAnsi="宋体" w:eastAsia="宋体"/>
      <w:kern w:val="2"/>
      <w:sz w:val="28"/>
      <w:lang w:val="en-US" w:eastAsia="zh-CN"/>
    </w:rPr>
  </w:style>
  <w:style w:type="paragraph" w:customStyle="1" w:styleId="224">
    <w:name w:val="text1"/>
    <w:basedOn w:val="1"/>
    <w:autoRedefine/>
    <w:qFormat/>
    <w:uiPriority w:val="99"/>
    <w:pPr>
      <w:spacing w:before="100" w:beforeAutospacing="1" w:after="100" w:afterAutospacing="1" w:line="400" w:lineRule="exact"/>
      <w:ind w:firstLine="200" w:firstLineChars="200"/>
    </w:pPr>
    <w:rPr>
      <w:rFonts w:ascii="宋体" w:hAnsi="宋体"/>
    </w:rPr>
  </w:style>
  <w:style w:type="paragraph" w:customStyle="1" w:styleId="225">
    <w:name w:val="默认段落字体 Para Char Char Char Char Char Char Char Char Char1 Char"/>
    <w:basedOn w:val="1"/>
    <w:qFormat/>
    <w:uiPriority w:val="99"/>
    <w:pPr>
      <w:widowControl w:val="0"/>
      <w:spacing w:line="400" w:lineRule="exact"/>
      <w:ind w:firstLine="200" w:firstLineChars="200"/>
      <w:jc w:val="both"/>
    </w:pPr>
    <w:rPr>
      <w:rFonts w:ascii="Tahoma" w:hAnsi="Tahoma"/>
      <w:kern w:val="2"/>
      <w:szCs w:val="20"/>
    </w:rPr>
  </w:style>
  <w:style w:type="character" w:customStyle="1" w:styleId="226">
    <w:name w:val="Table Text Char1"/>
    <w:qFormat/>
    <w:uiPriority w:val="99"/>
    <w:rPr>
      <w:rFonts w:ascii="Arial" w:hAnsi="Arial" w:eastAsia="宋体"/>
      <w:sz w:val="18"/>
      <w:lang w:val="en-US" w:eastAsia="zh-CN"/>
    </w:rPr>
  </w:style>
  <w:style w:type="paragraph" w:customStyle="1" w:styleId="227">
    <w:name w:val="Char Char Char Char Char1"/>
    <w:basedOn w:val="1"/>
    <w:qFormat/>
    <w:uiPriority w:val="99"/>
    <w:pPr>
      <w:widowControl w:val="0"/>
      <w:spacing w:line="400" w:lineRule="exact"/>
      <w:ind w:firstLine="200" w:firstLineChars="200"/>
      <w:jc w:val="both"/>
    </w:pPr>
    <w:rPr>
      <w:kern w:val="2"/>
    </w:rPr>
  </w:style>
  <w:style w:type="character" w:customStyle="1" w:styleId="228">
    <w:name w:val="biaolan_12"/>
    <w:qFormat/>
    <w:uiPriority w:val="99"/>
  </w:style>
  <w:style w:type="paragraph" w:customStyle="1" w:styleId="229">
    <w:name w:val="Item List in Table"/>
    <w:qFormat/>
    <w:uiPriority w:val="99"/>
    <w:pPr>
      <w:tabs>
        <w:tab w:val="left" w:pos="360"/>
      </w:tabs>
      <w:spacing w:before="40" w:after="40"/>
      <w:ind w:left="360" w:hanging="360"/>
      <w:jc w:val="both"/>
    </w:pPr>
    <w:rPr>
      <w:rFonts w:ascii="Arial" w:hAnsi="Arial" w:eastAsia="宋体" w:cs="Arial"/>
      <w:sz w:val="18"/>
      <w:szCs w:val="18"/>
      <w:lang w:val="en-US" w:eastAsia="zh-CN" w:bidi="ar-SA"/>
    </w:rPr>
  </w:style>
  <w:style w:type="character" w:customStyle="1" w:styleId="230">
    <w:name w:val="Char Char20"/>
    <w:qFormat/>
    <w:locked/>
    <w:uiPriority w:val="99"/>
    <w:rPr>
      <w:rFonts w:ascii="宋体" w:hAnsi="Courier New" w:eastAsia="宋体"/>
      <w:kern w:val="2"/>
      <w:sz w:val="28"/>
      <w:lang w:val="en-US" w:eastAsia="zh-CN"/>
    </w:rPr>
  </w:style>
  <w:style w:type="character" w:customStyle="1" w:styleId="231">
    <w:name w:val="Char Char21"/>
    <w:autoRedefine/>
    <w:qFormat/>
    <w:locked/>
    <w:uiPriority w:val="99"/>
    <w:rPr>
      <w:rFonts w:ascii="宋体" w:hAnsi="Courier New" w:eastAsia="宋体"/>
      <w:kern w:val="2"/>
      <w:sz w:val="24"/>
      <w:lang w:val="en-US" w:eastAsia="zh-CN"/>
    </w:rPr>
  </w:style>
  <w:style w:type="paragraph" w:customStyle="1" w:styleId="232">
    <w:name w:val="Char2"/>
    <w:basedOn w:val="1"/>
    <w:autoRedefine/>
    <w:qFormat/>
    <w:uiPriority w:val="99"/>
    <w:pPr>
      <w:widowControl w:val="0"/>
      <w:adjustRightInd w:val="0"/>
      <w:spacing w:line="360" w:lineRule="auto"/>
      <w:ind w:firstLine="200" w:firstLineChars="200"/>
      <w:jc w:val="both"/>
    </w:pPr>
    <w:rPr>
      <w:szCs w:val="20"/>
    </w:rPr>
  </w:style>
  <w:style w:type="character" w:customStyle="1" w:styleId="233">
    <w:name w:val="protextfont"/>
    <w:basedOn w:val="71"/>
    <w:autoRedefine/>
    <w:qFormat/>
    <w:uiPriority w:val="99"/>
    <w:rPr>
      <w:rFonts w:cs="Times New Roman"/>
    </w:rPr>
  </w:style>
  <w:style w:type="character" w:customStyle="1" w:styleId="234">
    <w:name w:val="apple-converted-space"/>
    <w:basedOn w:val="71"/>
    <w:autoRedefine/>
    <w:qFormat/>
    <w:uiPriority w:val="0"/>
    <w:rPr>
      <w:rFonts w:cs="Times New Roman"/>
    </w:rPr>
  </w:style>
  <w:style w:type="character" w:customStyle="1" w:styleId="235">
    <w:name w:val="卷标题 Char1"/>
    <w:autoRedefine/>
    <w:qFormat/>
    <w:uiPriority w:val="99"/>
    <w:rPr>
      <w:rFonts w:eastAsia="宋体"/>
      <w:b/>
      <w:kern w:val="44"/>
      <w:sz w:val="44"/>
      <w:lang w:val="en-US" w:eastAsia="zh-CN"/>
    </w:rPr>
  </w:style>
  <w:style w:type="character" w:customStyle="1" w:styleId="236">
    <w:name w:val="正文-1 Char"/>
    <w:link w:val="237"/>
    <w:autoRedefine/>
    <w:qFormat/>
    <w:locked/>
    <w:uiPriority w:val="99"/>
    <w:rPr>
      <w:rFonts w:eastAsia="仿宋_GB2312"/>
      <w:kern w:val="2"/>
      <w:sz w:val="28"/>
    </w:rPr>
  </w:style>
  <w:style w:type="paragraph" w:customStyle="1" w:styleId="237">
    <w:name w:val="正文-1"/>
    <w:basedOn w:val="1"/>
    <w:link w:val="236"/>
    <w:qFormat/>
    <w:uiPriority w:val="99"/>
    <w:pPr>
      <w:widowControl w:val="0"/>
      <w:spacing w:line="360" w:lineRule="auto"/>
      <w:ind w:firstLine="560" w:firstLineChars="200"/>
      <w:jc w:val="both"/>
    </w:pPr>
    <w:rPr>
      <w:rFonts w:ascii="Calibri" w:hAnsi="Calibri" w:eastAsia="仿宋_GB2312"/>
      <w:kern w:val="2"/>
      <w:sz w:val="28"/>
      <w:szCs w:val="20"/>
    </w:rPr>
  </w:style>
  <w:style w:type="character" w:customStyle="1" w:styleId="238">
    <w:name w:val="脚注文本 Char"/>
    <w:qFormat/>
    <w:uiPriority w:val="99"/>
    <w:rPr>
      <w:kern w:val="2"/>
      <w:sz w:val="24"/>
    </w:rPr>
  </w:style>
  <w:style w:type="character" w:customStyle="1" w:styleId="239">
    <w:name w:val="标题 2 Char Char Char Char"/>
    <w:autoRedefine/>
    <w:qFormat/>
    <w:uiPriority w:val="99"/>
    <w:rPr>
      <w:rFonts w:ascii="黑体" w:hAnsi="Arial" w:eastAsia="黑体"/>
      <w:b/>
      <w:sz w:val="30"/>
      <w:lang w:val="en-US" w:eastAsia="zh-CN"/>
    </w:rPr>
  </w:style>
  <w:style w:type="character" w:customStyle="1" w:styleId="240">
    <w:name w:val="style81"/>
    <w:autoRedefine/>
    <w:qFormat/>
    <w:uiPriority w:val="99"/>
    <w:rPr>
      <w:sz w:val="21"/>
    </w:rPr>
  </w:style>
  <w:style w:type="character" w:customStyle="1" w:styleId="241">
    <w:name w:val="正文内容 Char"/>
    <w:link w:val="242"/>
    <w:qFormat/>
    <w:locked/>
    <w:uiPriority w:val="99"/>
    <w:rPr>
      <w:kern w:val="2"/>
      <w:sz w:val="24"/>
    </w:rPr>
  </w:style>
  <w:style w:type="paragraph" w:customStyle="1" w:styleId="242">
    <w:name w:val="正文内容"/>
    <w:basedOn w:val="1"/>
    <w:link w:val="241"/>
    <w:qFormat/>
    <w:uiPriority w:val="99"/>
    <w:pPr>
      <w:widowControl w:val="0"/>
      <w:spacing w:beforeLines="50" w:afterLines="50" w:line="360" w:lineRule="auto"/>
      <w:ind w:firstLine="480" w:firstLineChars="200"/>
      <w:jc w:val="both"/>
    </w:pPr>
    <w:rPr>
      <w:rFonts w:ascii="Calibri" w:hAnsi="Calibri"/>
      <w:kern w:val="2"/>
      <w:szCs w:val="20"/>
    </w:rPr>
  </w:style>
  <w:style w:type="character" w:customStyle="1" w:styleId="243">
    <w:name w:val="content-white1"/>
    <w:autoRedefine/>
    <w:qFormat/>
    <w:uiPriority w:val="99"/>
    <w:rPr>
      <w:color w:val="auto"/>
      <w:sz w:val="18"/>
      <w:u w:val="none"/>
    </w:rPr>
  </w:style>
  <w:style w:type="character" w:customStyle="1" w:styleId="244">
    <w:name w:val="Body Char"/>
    <w:link w:val="245"/>
    <w:autoRedefine/>
    <w:qFormat/>
    <w:locked/>
    <w:uiPriority w:val="99"/>
    <w:rPr>
      <w:rFonts w:ascii="宋体" w:hAnsi="宋体"/>
      <w:szCs w:val="21"/>
    </w:rPr>
  </w:style>
  <w:style w:type="paragraph" w:customStyle="1" w:styleId="245">
    <w:name w:val="Body"/>
    <w:basedOn w:val="1"/>
    <w:link w:val="244"/>
    <w:autoRedefine/>
    <w:qFormat/>
    <w:uiPriority w:val="99"/>
    <w:pPr>
      <w:numPr>
        <w:ilvl w:val="0"/>
        <w:numId w:val="10"/>
      </w:numPr>
      <w:tabs>
        <w:tab w:val="left" w:pos="420"/>
        <w:tab w:val="left" w:pos="9356"/>
        <w:tab w:val="clear" w:pos="425"/>
      </w:tabs>
      <w:spacing w:before="80" w:after="80" w:line="360" w:lineRule="auto"/>
      <w:ind w:left="420" w:hanging="420"/>
      <w:jc w:val="both"/>
    </w:pPr>
    <w:rPr>
      <w:rFonts w:ascii="宋体" w:hAnsi="宋体"/>
      <w:sz w:val="20"/>
      <w:szCs w:val="21"/>
    </w:rPr>
  </w:style>
  <w:style w:type="character" w:customStyle="1" w:styleId="246">
    <w:name w:val="注释标题 Char"/>
    <w:qFormat/>
    <w:uiPriority w:val="99"/>
    <w:rPr>
      <w:kern w:val="2"/>
      <w:sz w:val="24"/>
    </w:rPr>
  </w:style>
  <w:style w:type="character" w:customStyle="1" w:styleId="247">
    <w:name w:val="style21"/>
    <w:autoRedefine/>
    <w:qFormat/>
    <w:uiPriority w:val="99"/>
    <w:rPr>
      <w:sz w:val="21"/>
    </w:rPr>
  </w:style>
  <w:style w:type="character" w:customStyle="1" w:styleId="248">
    <w:name w:val="标题1"/>
    <w:basedOn w:val="71"/>
    <w:qFormat/>
    <w:uiPriority w:val="99"/>
    <w:rPr>
      <w:rFonts w:cs="Times New Roman"/>
    </w:rPr>
  </w:style>
  <w:style w:type="character" w:customStyle="1" w:styleId="249">
    <w:name w:val="crowed11"/>
    <w:qFormat/>
    <w:uiPriority w:val="99"/>
    <w:rPr>
      <w:sz w:val="24"/>
    </w:rPr>
  </w:style>
  <w:style w:type="character" w:customStyle="1" w:styleId="250">
    <w:name w:val="line"/>
    <w:basedOn w:val="71"/>
    <w:autoRedefine/>
    <w:qFormat/>
    <w:uiPriority w:val="99"/>
    <w:rPr>
      <w:rFonts w:cs="Times New Roman"/>
    </w:rPr>
  </w:style>
  <w:style w:type="character" w:customStyle="1" w:styleId="251">
    <w:name w:val="第三层条 Char"/>
    <w:qFormat/>
    <w:uiPriority w:val="99"/>
    <w:rPr>
      <w:rFonts w:ascii="Arial" w:hAnsi="Arial" w:eastAsia="黑体"/>
      <w:b/>
      <w:kern w:val="2"/>
      <w:sz w:val="28"/>
      <w:lang w:val="en-US" w:eastAsia="zh-CN"/>
    </w:rPr>
  </w:style>
  <w:style w:type="character" w:customStyle="1" w:styleId="252">
    <w:name w:val="fy21"/>
    <w:qFormat/>
    <w:uiPriority w:val="99"/>
    <w:rPr>
      <w:rFonts w:ascii="Verdana" w:hAnsi="Verdana"/>
      <w:color w:val="0063C7"/>
      <w:sz w:val="18"/>
    </w:rPr>
  </w:style>
  <w:style w:type="character" w:customStyle="1" w:styleId="253">
    <w:name w:val="font1"/>
    <w:autoRedefine/>
    <w:qFormat/>
    <w:uiPriority w:val="99"/>
    <w:rPr>
      <w:color w:val="000000"/>
      <w:sz w:val="18"/>
    </w:rPr>
  </w:style>
  <w:style w:type="character" w:customStyle="1" w:styleId="254">
    <w:name w:val="top-det1"/>
    <w:qFormat/>
    <w:uiPriority w:val="99"/>
    <w:rPr>
      <w:b/>
      <w:color w:val="000000"/>
    </w:rPr>
  </w:style>
  <w:style w:type="character" w:customStyle="1" w:styleId="255">
    <w:name w:val="blacklink_text1"/>
    <w:autoRedefine/>
    <w:qFormat/>
    <w:uiPriority w:val="99"/>
    <w:rPr>
      <w:color w:val="0E0E0E"/>
      <w:sz w:val="18"/>
    </w:rPr>
  </w:style>
  <w:style w:type="character" w:customStyle="1" w:styleId="256">
    <w:name w:val="正文 + 三号 Char"/>
    <w:link w:val="257"/>
    <w:autoRedefine/>
    <w:qFormat/>
    <w:locked/>
    <w:uiPriority w:val="99"/>
    <w:rPr>
      <w:kern w:val="2"/>
      <w:sz w:val="24"/>
    </w:rPr>
  </w:style>
  <w:style w:type="paragraph" w:customStyle="1" w:styleId="257">
    <w:name w:val="正文 + 三号"/>
    <w:basedOn w:val="1"/>
    <w:link w:val="256"/>
    <w:qFormat/>
    <w:uiPriority w:val="99"/>
    <w:pPr>
      <w:widowControl w:val="0"/>
      <w:jc w:val="both"/>
    </w:pPr>
    <w:rPr>
      <w:rFonts w:ascii="Calibri" w:hAnsi="Calibri"/>
      <w:kern w:val="2"/>
      <w:szCs w:val="20"/>
    </w:rPr>
  </w:style>
  <w:style w:type="character" w:customStyle="1" w:styleId="258">
    <w:name w:val="未命名11"/>
    <w:autoRedefine/>
    <w:qFormat/>
    <w:uiPriority w:val="99"/>
    <w:rPr>
      <w:color w:val="77FFFF"/>
      <w:sz w:val="24"/>
    </w:rPr>
  </w:style>
  <w:style w:type="character" w:customStyle="1" w:styleId="259">
    <w:name w:val="纯文本 Char1"/>
    <w:qFormat/>
    <w:uiPriority w:val="99"/>
    <w:rPr>
      <w:rFonts w:ascii="宋体" w:hAnsi="Courier New"/>
      <w:kern w:val="2"/>
      <w:sz w:val="24"/>
    </w:rPr>
  </w:style>
  <w:style w:type="character" w:customStyle="1" w:styleId="260">
    <w:name w:val="font141"/>
    <w:qFormat/>
    <w:uiPriority w:val="99"/>
  </w:style>
  <w:style w:type="character" w:customStyle="1" w:styleId="261">
    <w:name w:val="文字 Char"/>
    <w:link w:val="262"/>
    <w:qFormat/>
    <w:locked/>
    <w:uiPriority w:val="99"/>
    <w:rPr>
      <w:rFonts w:ascii="宋体" w:eastAsia="宋体"/>
      <w:kern w:val="2"/>
      <w:sz w:val="28"/>
    </w:rPr>
  </w:style>
  <w:style w:type="paragraph" w:customStyle="1" w:styleId="262">
    <w:name w:val="文字"/>
    <w:basedOn w:val="1"/>
    <w:link w:val="261"/>
    <w:qFormat/>
    <w:uiPriority w:val="99"/>
    <w:pPr>
      <w:widowControl w:val="0"/>
      <w:tabs>
        <w:tab w:val="left" w:pos="8520"/>
      </w:tabs>
      <w:spacing w:line="312" w:lineRule="auto"/>
      <w:ind w:right="-210" w:firstLine="556"/>
      <w:jc w:val="both"/>
    </w:pPr>
    <w:rPr>
      <w:rFonts w:ascii="宋体" w:hAnsi="Calibri"/>
      <w:kern w:val="2"/>
      <w:sz w:val="28"/>
      <w:szCs w:val="20"/>
    </w:rPr>
  </w:style>
  <w:style w:type="character" w:customStyle="1" w:styleId="263">
    <w:name w:val="v151"/>
    <w:qFormat/>
    <w:uiPriority w:val="99"/>
    <w:rPr>
      <w:sz w:val="18"/>
    </w:rPr>
  </w:style>
  <w:style w:type="character" w:customStyle="1" w:styleId="264">
    <w:name w:val="样式 标题 6第五层条 + 三号 段前: 0.5 行 Char"/>
    <w:link w:val="265"/>
    <w:autoRedefine/>
    <w:qFormat/>
    <w:locked/>
    <w:uiPriority w:val="99"/>
    <w:rPr>
      <w:rFonts w:ascii="Arial" w:hAnsi="Arial" w:eastAsia="黑体"/>
      <w:b/>
      <w:snapToGrid w:val="0"/>
      <w:kern w:val="24"/>
      <w:sz w:val="24"/>
      <w:lang w:eastAsia="zh-CN"/>
    </w:rPr>
  </w:style>
  <w:style w:type="paragraph" w:customStyle="1" w:styleId="265">
    <w:name w:val="样式 标题 6第五层条 + 三号 段前: 0.5 行"/>
    <w:basedOn w:val="10"/>
    <w:link w:val="264"/>
    <w:autoRedefine/>
    <w:qFormat/>
    <w:uiPriority w:val="99"/>
    <w:pPr>
      <w:keepNext/>
      <w:keepLines/>
      <w:pBdr>
        <w:bottom w:val="none" w:color="auto" w:sz="0" w:space="0"/>
      </w:pBdr>
      <w:spacing w:beforeLines="50" w:after="64" w:line="319" w:lineRule="auto"/>
      <w:ind w:left="1152" w:hanging="1152"/>
      <w:contextualSpacing w:val="0"/>
    </w:pPr>
    <w:rPr>
      <w:rFonts w:ascii="Arial" w:hAnsi="Arial" w:eastAsia="黑体"/>
      <w:snapToGrid w:val="0"/>
      <w:color w:val="auto"/>
      <w:spacing w:val="0"/>
      <w:kern w:val="24"/>
      <w:szCs w:val="20"/>
    </w:rPr>
  </w:style>
  <w:style w:type="character" w:customStyle="1" w:styleId="266">
    <w:name w:val="DAS正文 Char"/>
    <w:link w:val="267"/>
    <w:autoRedefine/>
    <w:qFormat/>
    <w:locked/>
    <w:uiPriority w:val="99"/>
    <w:rPr>
      <w:rFonts w:ascii="Verdana" w:hAnsi="Verdana"/>
      <w:kern w:val="2"/>
      <w:sz w:val="21"/>
    </w:rPr>
  </w:style>
  <w:style w:type="paragraph" w:customStyle="1" w:styleId="267">
    <w:name w:val="DAS正文"/>
    <w:basedOn w:val="1"/>
    <w:link w:val="266"/>
    <w:qFormat/>
    <w:uiPriority w:val="99"/>
    <w:pPr>
      <w:widowControl w:val="0"/>
      <w:ind w:right="-2" w:firstLine="360" w:firstLineChars="200"/>
      <w:jc w:val="both"/>
    </w:pPr>
    <w:rPr>
      <w:rFonts w:ascii="Verdana" w:hAnsi="Verdana"/>
      <w:kern w:val="2"/>
      <w:sz w:val="21"/>
      <w:szCs w:val="20"/>
    </w:rPr>
  </w:style>
  <w:style w:type="character" w:customStyle="1" w:styleId="268">
    <w:name w:val="日期 Char1"/>
    <w:qFormat/>
    <w:uiPriority w:val="99"/>
    <w:rPr>
      <w:rFonts w:ascii="宋体"/>
      <w:kern w:val="2"/>
      <w:sz w:val="24"/>
    </w:rPr>
  </w:style>
  <w:style w:type="character" w:customStyle="1" w:styleId="269">
    <w:name w:val="H3 Char1"/>
    <w:autoRedefine/>
    <w:qFormat/>
    <w:uiPriority w:val="99"/>
    <w:rPr>
      <w:rFonts w:eastAsia="宋体"/>
      <w:b/>
      <w:kern w:val="2"/>
      <w:sz w:val="32"/>
      <w:lang w:val="en-US" w:eastAsia="zh-CN"/>
    </w:rPr>
  </w:style>
  <w:style w:type="character" w:customStyle="1" w:styleId="270">
    <w:name w:val="Table Heading Char Char"/>
    <w:link w:val="271"/>
    <w:qFormat/>
    <w:locked/>
    <w:uiPriority w:val="99"/>
    <w:rPr>
      <w:rFonts w:ascii="Arial" w:hAnsi="Arial" w:eastAsia="黑体"/>
      <w:kern w:val="2"/>
      <w:sz w:val="18"/>
      <w:szCs w:val="18"/>
      <w:lang w:val="en-US" w:eastAsia="zh-CN" w:bidi="ar-SA"/>
    </w:rPr>
  </w:style>
  <w:style w:type="paragraph" w:customStyle="1" w:styleId="271">
    <w:name w:val="Table Heading Char"/>
    <w:link w:val="270"/>
    <w:autoRedefine/>
    <w:qFormat/>
    <w:uiPriority w:val="99"/>
    <w:pPr>
      <w:keepNext/>
      <w:snapToGrid w:val="0"/>
      <w:spacing w:before="80" w:after="80"/>
      <w:jc w:val="center"/>
    </w:pPr>
    <w:rPr>
      <w:rFonts w:ascii="Arial" w:hAnsi="Arial" w:eastAsia="黑体" w:cs="Times New Roman"/>
      <w:kern w:val="2"/>
      <w:sz w:val="18"/>
      <w:szCs w:val="18"/>
      <w:lang w:val="en-US" w:eastAsia="zh-CN" w:bidi="ar-SA"/>
    </w:rPr>
  </w:style>
  <w:style w:type="character" w:customStyle="1" w:styleId="272">
    <w:name w:val="标题5 Char"/>
    <w:link w:val="273"/>
    <w:qFormat/>
    <w:locked/>
    <w:uiPriority w:val="99"/>
    <w:rPr>
      <w:rFonts w:ascii="宋体"/>
      <w:sz w:val="21"/>
    </w:rPr>
  </w:style>
  <w:style w:type="paragraph" w:customStyle="1" w:styleId="273">
    <w:name w:val="标题5"/>
    <w:basedOn w:val="1"/>
    <w:link w:val="272"/>
    <w:autoRedefine/>
    <w:qFormat/>
    <w:uiPriority w:val="99"/>
    <w:pPr>
      <w:widowControl w:val="0"/>
      <w:tabs>
        <w:tab w:val="left" w:pos="0"/>
      </w:tabs>
      <w:autoSpaceDE w:val="0"/>
      <w:autoSpaceDN w:val="0"/>
      <w:adjustRightInd w:val="0"/>
      <w:snapToGrid w:val="0"/>
      <w:spacing w:line="320" w:lineRule="atLeast"/>
      <w:jc w:val="both"/>
    </w:pPr>
    <w:rPr>
      <w:rFonts w:ascii="宋体" w:hAnsi="Calibri"/>
      <w:sz w:val="21"/>
      <w:szCs w:val="20"/>
    </w:rPr>
  </w:style>
  <w:style w:type="character" w:customStyle="1" w:styleId="274">
    <w:name w:val="自定义正文 Char"/>
    <w:link w:val="275"/>
    <w:qFormat/>
    <w:locked/>
    <w:uiPriority w:val="99"/>
    <w:rPr>
      <w:rFonts w:ascii="仿宋_GB2312" w:eastAsia="仿宋_GB2312"/>
      <w:kern w:val="2"/>
      <w:sz w:val="24"/>
    </w:rPr>
  </w:style>
  <w:style w:type="paragraph" w:customStyle="1" w:styleId="275">
    <w:name w:val="自定义正文"/>
    <w:basedOn w:val="1"/>
    <w:link w:val="274"/>
    <w:qFormat/>
    <w:uiPriority w:val="99"/>
    <w:pPr>
      <w:widowControl w:val="0"/>
      <w:spacing w:before="120" w:after="60" w:line="400" w:lineRule="exact"/>
      <w:ind w:firstLine="200" w:firstLineChars="200"/>
    </w:pPr>
    <w:rPr>
      <w:rFonts w:ascii="仿宋_GB2312" w:hAnsi="Calibri" w:eastAsia="仿宋_GB2312"/>
      <w:kern w:val="2"/>
      <w:szCs w:val="20"/>
    </w:rPr>
  </w:style>
  <w:style w:type="character" w:customStyle="1" w:styleId="276">
    <w:name w:val="页脚 Char2"/>
    <w:qFormat/>
    <w:uiPriority w:val="99"/>
    <w:rPr>
      <w:rFonts w:eastAsia="宋体"/>
      <w:kern w:val="2"/>
      <w:sz w:val="18"/>
      <w:lang w:val="en-US" w:eastAsia="zh-CN"/>
    </w:rPr>
  </w:style>
  <w:style w:type="character" w:customStyle="1" w:styleId="277">
    <w:name w:val="H2 Char1"/>
    <w:qFormat/>
    <w:uiPriority w:val="99"/>
    <w:rPr>
      <w:rFonts w:ascii="Arial" w:hAnsi="Arial" w:eastAsia="黑体"/>
      <w:b/>
      <w:kern w:val="2"/>
      <w:sz w:val="32"/>
      <w:lang w:val="en-US" w:eastAsia="zh-CN"/>
    </w:rPr>
  </w:style>
  <w:style w:type="character" w:customStyle="1" w:styleId="278">
    <w:name w:val="content1"/>
    <w:qFormat/>
    <w:uiPriority w:val="99"/>
    <w:rPr>
      <w:sz w:val="18"/>
    </w:rPr>
  </w:style>
  <w:style w:type="character" w:customStyle="1" w:styleId="279">
    <w:name w:val="Table Text Char Char Char Char"/>
    <w:qFormat/>
    <w:uiPriority w:val="99"/>
    <w:rPr>
      <w:rFonts w:ascii="Arial" w:hAnsi="Arial"/>
      <w:kern w:val="2"/>
      <w:sz w:val="18"/>
      <w:lang w:val="en-US" w:eastAsia="zh-CN"/>
    </w:rPr>
  </w:style>
  <w:style w:type="character" w:customStyle="1" w:styleId="280">
    <w:name w:val="hei16b"/>
    <w:basedOn w:val="71"/>
    <w:autoRedefine/>
    <w:qFormat/>
    <w:uiPriority w:val="99"/>
    <w:rPr>
      <w:rFonts w:cs="Times New Roman"/>
    </w:rPr>
  </w:style>
  <w:style w:type="paragraph" w:customStyle="1" w:styleId="281">
    <w:name w:val="!BECC正文"/>
    <w:basedOn w:val="1"/>
    <w:qFormat/>
    <w:uiPriority w:val="99"/>
    <w:pPr>
      <w:widowControl w:val="0"/>
      <w:tabs>
        <w:tab w:val="left" w:pos="0"/>
      </w:tabs>
      <w:spacing w:beforeLines="50" w:afterLines="50" w:line="360" w:lineRule="auto"/>
      <w:ind w:firstLine="200" w:firstLineChars="200"/>
      <w:jc w:val="both"/>
    </w:pPr>
    <w:rPr>
      <w:kern w:val="2"/>
    </w:rPr>
  </w:style>
  <w:style w:type="paragraph" w:customStyle="1" w:styleId="282">
    <w:name w:val="a14"/>
    <w:basedOn w:val="1"/>
    <w:qFormat/>
    <w:uiPriority w:val="99"/>
    <w:pPr>
      <w:spacing w:before="100" w:beforeAutospacing="1" w:after="100" w:afterAutospacing="1" w:line="300" w:lineRule="atLeast"/>
      <w:ind w:firstLine="375"/>
    </w:pPr>
    <w:rPr>
      <w:rFonts w:ascii="宋体" w:hAnsi="宋体"/>
      <w:sz w:val="21"/>
      <w:szCs w:val="21"/>
    </w:rPr>
  </w:style>
  <w:style w:type="paragraph" w:customStyle="1" w:styleId="283">
    <w:name w:val="DAS列表一"/>
    <w:basedOn w:val="1"/>
    <w:qFormat/>
    <w:uiPriority w:val="99"/>
    <w:pPr>
      <w:widowControl w:val="0"/>
      <w:tabs>
        <w:tab w:val="left" w:pos="0"/>
        <w:tab w:val="left" w:pos="709"/>
        <w:tab w:val="left" w:pos="840"/>
      </w:tabs>
      <w:ind w:right="-2" w:firstLine="426"/>
      <w:jc w:val="both"/>
    </w:pPr>
    <w:rPr>
      <w:rFonts w:ascii="黑体" w:hAnsi="Verdana" w:eastAsia="黑体"/>
      <w:kern w:val="2"/>
      <w:sz w:val="21"/>
      <w:szCs w:val="21"/>
    </w:rPr>
  </w:style>
  <w:style w:type="paragraph" w:customStyle="1" w:styleId="284">
    <w:name w:val="xl7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sz w:val="16"/>
      <w:szCs w:val="16"/>
    </w:rPr>
  </w:style>
  <w:style w:type="paragraph" w:customStyle="1" w:styleId="285">
    <w:name w:val="xl78"/>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sz w:val="16"/>
      <w:szCs w:val="16"/>
    </w:rPr>
  </w:style>
  <w:style w:type="paragraph" w:customStyle="1" w:styleId="286">
    <w:name w:val="目录文字"/>
    <w:basedOn w:val="1"/>
    <w:qFormat/>
    <w:uiPriority w:val="99"/>
    <w:pPr>
      <w:spacing w:line="480" w:lineRule="auto"/>
    </w:pPr>
    <w:rPr>
      <w:rFonts w:ascii="宋体" w:hAnsi="宋体"/>
      <w:szCs w:val="20"/>
    </w:rPr>
  </w:style>
  <w:style w:type="paragraph" w:customStyle="1" w:styleId="287">
    <w:name w:val="正文样式 首行缩进:  0.74 厘米"/>
    <w:basedOn w:val="1"/>
    <w:qFormat/>
    <w:uiPriority w:val="99"/>
    <w:pPr>
      <w:tabs>
        <w:tab w:val="right" w:pos="8640"/>
      </w:tabs>
      <w:spacing w:beforeLines="50" w:line="360" w:lineRule="auto"/>
      <w:ind w:firstLine="420"/>
      <w:jc w:val="both"/>
    </w:pPr>
    <w:rPr>
      <w:szCs w:val="20"/>
      <w:lang w:bidi="he-IL"/>
    </w:rPr>
  </w:style>
  <w:style w:type="paragraph" w:customStyle="1" w:styleId="288">
    <w:name w:val="xl85"/>
    <w:basedOn w:val="1"/>
    <w:qFormat/>
    <w:uiPriority w:val="0"/>
    <w:pPr>
      <w:pBdr>
        <w:top w:val="single" w:color="auto" w:sz="4" w:space="0"/>
        <w:bottom w:val="single" w:color="auto" w:sz="4" w:space="0"/>
        <w:right w:val="single" w:color="auto" w:sz="4" w:space="0"/>
      </w:pBdr>
      <w:spacing w:before="100" w:beforeAutospacing="1" w:after="100" w:afterAutospacing="1"/>
      <w:jc w:val="center"/>
    </w:pPr>
    <w:rPr>
      <w:rFonts w:ascii="宋体" w:hAnsi="宋体" w:cs="宋体"/>
      <w:sz w:val="20"/>
      <w:szCs w:val="20"/>
    </w:rPr>
  </w:style>
  <w:style w:type="paragraph" w:customStyle="1" w:styleId="289">
    <w:name w:val="xl89"/>
    <w:basedOn w:val="1"/>
    <w:qFormat/>
    <w:uiPriority w:val="0"/>
    <w:pPr>
      <w:pBdr>
        <w:top w:val="single" w:color="auto" w:sz="4" w:space="0"/>
        <w:right w:val="single" w:color="auto" w:sz="4" w:space="0"/>
      </w:pBdr>
      <w:spacing w:before="100" w:beforeAutospacing="1" w:after="100" w:afterAutospacing="1"/>
      <w:jc w:val="center"/>
    </w:pPr>
    <w:rPr>
      <w:rFonts w:ascii="宋体" w:hAnsi="宋体" w:cs="宋体"/>
      <w:sz w:val="20"/>
      <w:szCs w:val="20"/>
    </w:rPr>
  </w:style>
  <w:style w:type="paragraph" w:customStyle="1" w:styleId="290">
    <w:name w:val="xl93"/>
    <w:basedOn w:val="1"/>
    <w:qFormat/>
    <w:uiPriority w:val="0"/>
    <w:pPr>
      <w:pBdr>
        <w:top w:val="single" w:color="auto" w:sz="4" w:space="0"/>
        <w:left w:val="single" w:color="auto" w:sz="4" w:space="0"/>
        <w:bottom w:val="single" w:color="auto" w:sz="4" w:space="0"/>
      </w:pBdr>
      <w:spacing w:before="100" w:beforeAutospacing="1" w:after="100" w:afterAutospacing="1"/>
    </w:pPr>
    <w:rPr>
      <w:rFonts w:ascii="Arial" w:hAnsi="Arial" w:cs="Arial"/>
      <w:sz w:val="20"/>
      <w:szCs w:val="20"/>
    </w:rPr>
  </w:style>
  <w:style w:type="paragraph" w:customStyle="1" w:styleId="291">
    <w:name w:val="xl97"/>
    <w:basedOn w:val="1"/>
    <w:qFormat/>
    <w:uiPriority w:val="99"/>
    <w:pPr>
      <w:pBdr>
        <w:top w:val="single" w:color="auto" w:sz="4" w:space="0"/>
        <w:left w:val="single" w:color="auto" w:sz="4" w:space="0"/>
        <w:bottom w:val="single" w:color="auto" w:sz="4" w:space="0"/>
      </w:pBdr>
      <w:spacing w:before="100" w:beforeAutospacing="1" w:after="100" w:afterAutospacing="1"/>
    </w:pPr>
    <w:rPr>
      <w:rFonts w:ascii="Arial" w:hAnsi="Arial" w:cs="Arial"/>
      <w:sz w:val="20"/>
      <w:szCs w:val="20"/>
    </w:rPr>
  </w:style>
  <w:style w:type="paragraph" w:customStyle="1" w:styleId="292">
    <w:name w:val="xl101"/>
    <w:basedOn w:val="1"/>
    <w:qFormat/>
    <w:uiPriority w:val="99"/>
    <w:pPr>
      <w:pBdr>
        <w:left w:val="single" w:color="auto" w:sz="4" w:space="0"/>
        <w:bottom w:val="single" w:color="auto" w:sz="4" w:space="0"/>
        <w:right w:val="single" w:color="auto" w:sz="4" w:space="0"/>
      </w:pBdr>
      <w:spacing w:before="100" w:beforeAutospacing="1" w:after="100" w:afterAutospacing="1"/>
      <w:jc w:val="center"/>
    </w:pPr>
    <w:rPr>
      <w:rFonts w:ascii="宋体" w:hAnsi="宋体" w:cs="宋体"/>
      <w:sz w:val="20"/>
      <w:szCs w:val="20"/>
    </w:rPr>
  </w:style>
  <w:style w:type="paragraph" w:customStyle="1" w:styleId="293">
    <w:name w:val="xl113"/>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sz w:val="16"/>
      <w:szCs w:val="16"/>
    </w:rPr>
  </w:style>
  <w:style w:type="paragraph" w:customStyle="1" w:styleId="294">
    <w:name w:val="xl117"/>
    <w:basedOn w:val="1"/>
    <w:autoRedefine/>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pPr>
    <w:rPr>
      <w:rFonts w:ascii="Arial" w:hAnsi="Arial" w:cs="Arial"/>
      <w:sz w:val="16"/>
      <w:szCs w:val="16"/>
    </w:rPr>
  </w:style>
  <w:style w:type="paragraph" w:customStyle="1" w:styleId="295">
    <w:name w:val="xl125"/>
    <w:basedOn w:val="1"/>
    <w:qFormat/>
    <w:uiPriority w:val="99"/>
    <w:pPr>
      <w:pBdr>
        <w:bottom w:val="single" w:color="auto" w:sz="4" w:space="0"/>
      </w:pBdr>
      <w:spacing w:before="100" w:beforeAutospacing="1" w:after="100" w:afterAutospacing="1"/>
      <w:jc w:val="right"/>
    </w:pPr>
    <w:rPr>
      <w:rFonts w:ascii="Arial" w:hAnsi="Arial" w:cs="Arial"/>
      <w:sz w:val="20"/>
      <w:szCs w:val="20"/>
    </w:rPr>
  </w:style>
  <w:style w:type="paragraph" w:customStyle="1" w:styleId="296">
    <w:name w:val="xl129"/>
    <w:basedOn w:val="1"/>
    <w:qFormat/>
    <w:uiPriority w:val="99"/>
    <w:pPr>
      <w:pBdr>
        <w:left w:val="single" w:color="auto" w:sz="4" w:space="0"/>
        <w:right w:val="single" w:color="auto" w:sz="4" w:space="0"/>
      </w:pBdr>
      <w:spacing w:before="100" w:beforeAutospacing="1" w:after="100" w:afterAutospacing="1"/>
      <w:jc w:val="center"/>
    </w:pPr>
    <w:rPr>
      <w:rFonts w:ascii="Arial" w:hAnsi="Arial" w:cs="Arial"/>
      <w:sz w:val="16"/>
      <w:szCs w:val="16"/>
    </w:rPr>
  </w:style>
  <w:style w:type="paragraph" w:customStyle="1" w:styleId="297">
    <w:name w:val="标题无"/>
    <w:basedOn w:val="1"/>
    <w:qFormat/>
    <w:uiPriority w:val="99"/>
    <w:pPr>
      <w:widowControl w:val="0"/>
      <w:spacing w:line="360" w:lineRule="auto"/>
      <w:jc w:val="both"/>
    </w:pPr>
    <w:rPr>
      <w:kern w:val="2"/>
    </w:rPr>
  </w:style>
  <w:style w:type="paragraph" w:customStyle="1" w:styleId="298">
    <w:name w:val="缺省文本"/>
    <w:basedOn w:val="1"/>
    <w:qFormat/>
    <w:uiPriority w:val="99"/>
    <w:pPr>
      <w:widowControl w:val="0"/>
      <w:numPr>
        <w:ilvl w:val="2"/>
        <w:numId w:val="7"/>
      </w:numPr>
      <w:tabs>
        <w:tab w:val="left" w:pos="1685"/>
      </w:tabs>
      <w:autoSpaceDE w:val="0"/>
      <w:autoSpaceDN w:val="0"/>
      <w:adjustRightInd w:val="0"/>
      <w:spacing w:line="360" w:lineRule="auto"/>
      <w:ind w:firstLine="0"/>
    </w:pPr>
    <w:rPr>
      <w:szCs w:val="20"/>
    </w:rPr>
  </w:style>
  <w:style w:type="paragraph" w:customStyle="1" w:styleId="299">
    <w:name w:val="附录1"/>
    <w:basedOn w:val="1"/>
    <w:next w:val="1"/>
    <w:autoRedefine/>
    <w:qFormat/>
    <w:uiPriority w:val="99"/>
    <w:pPr>
      <w:widowControl w:val="0"/>
      <w:tabs>
        <w:tab w:val="left" w:pos="1304"/>
      </w:tabs>
      <w:ind w:left="425" w:hanging="425"/>
      <w:jc w:val="both"/>
      <w:outlineLvl w:val="0"/>
    </w:pPr>
    <w:rPr>
      <w:rFonts w:ascii="黑体" w:hAnsi="黑体" w:eastAsia="黑体"/>
      <w:b/>
      <w:bCs/>
      <w:kern w:val="2"/>
      <w:sz w:val="44"/>
    </w:rPr>
  </w:style>
  <w:style w:type="paragraph" w:customStyle="1" w:styleId="300">
    <w:name w:val="文本框样式1"/>
    <w:basedOn w:val="1"/>
    <w:autoRedefine/>
    <w:qFormat/>
    <w:uiPriority w:val="99"/>
    <w:pPr>
      <w:widowControl w:val="0"/>
      <w:adjustRightInd w:val="0"/>
      <w:snapToGrid w:val="0"/>
      <w:spacing w:before="60" w:line="180" w:lineRule="exact"/>
      <w:jc w:val="center"/>
    </w:pPr>
    <w:rPr>
      <w:kern w:val="2"/>
      <w:sz w:val="21"/>
      <w:szCs w:val="21"/>
    </w:rPr>
  </w:style>
  <w:style w:type="paragraph" w:customStyle="1" w:styleId="301">
    <w:name w:val="AA Numbering"/>
    <w:basedOn w:val="1"/>
    <w:qFormat/>
    <w:uiPriority w:val="99"/>
    <w:pPr>
      <w:tabs>
        <w:tab w:val="left" w:pos="425"/>
        <w:tab w:val="left" w:pos="1134"/>
      </w:tabs>
      <w:adjustRightInd w:val="0"/>
      <w:snapToGrid w:val="0"/>
      <w:spacing w:line="280" w:lineRule="atLeast"/>
    </w:pPr>
    <w:rPr>
      <w:rFonts w:eastAsia="PMingLiUfalt"/>
      <w:szCs w:val="20"/>
      <w:lang w:eastAsia="zh-TW"/>
    </w:rPr>
  </w:style>
  <w:style w:type="paragraph" w:customStyle="1" w:styleId="302">
    <w:name w:val="文档正文 Char Char Char Char"/>
    <w:basedOn w:val="1"/>
    <w:qFormat/>
    <w:uiPriority w:val="99"/>
    <w:pPr>
      <w:widowControl w:val="0"/>
      <w:adjustRightInd w:val="0"/>
      <w:spacing w:line="440" w:lineRule="exact"/>
      <w:ind w:firstLine="420"/>
      <w:jc w:val="both"/>
      <w:textAlignment w:val="baseline"/>
    </w:pPr>
    <w:rPr>
      <w:rFonts w:ascii="Arial Narrow" w:hAnsi="Arial Narrow"/>
    </w:rPr>
  </w:style>
  <w:style w:type="paragraph" w:customStyle="1" w:styleId="303">
    <w:name w:val="IN Step"/>
    <w:basedOn w:val="1"/>
    <w:qFormat/>
    <w:uiPriority w:val="99"/>
    <w:pPr>
      <w:keepLines/>
      <w:tabs>
        <w:tab w:val="left" w:pos="1134"/>
      </w:tabs>
      <w:spacing w:before="80" w:after="80" w:line="300" w:lineRule="auto"/>
      <w:ind w:left="1134" w:hanging="907"/>
      <w:jc w:val="both"/>
      <w:outlineLvl w:val="8"/>
    </w:pPr>
    <w:rPr>
      <w:rFonts w:ascii="Arial" w:hAnsi="Arial" w:cs="Arial"/>
      <w:sz w:val="21"/>
      <w:szCs w:val="21"/>
    </w:rPr>
  </w:style>
  <w:style w:type="paragraph" w:customStyle="1" w:styleId="304">
    <w:name w:val="Pull Quote"/>
    <w:basedOn w:val="1"/>
    <w:qFormat/>
    <w:uiPriority w:val="99"/>
    <w:pPr>
      <w:widowControl w:val="0"/>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b/>
      <w:i/>
      <w:kern w:val="2"/>
    </w:rPr>
  </w:style>
  <w:style w:type="paragraph" w:customStyle="1" w:styleId="305">
    <w:name w:val="关键词"/>
    <w:basedOn w:val="1"/>
    <w:next w:val="1"/>
    <w:qFormat/>
    <w:uiPriority w:val="99"/>
    <w:pPr>
      <w:widowControl w:val="0"/>
      <w:spacing w:line="360" w:lineRule="auto"/>
      <w:jc w:val="both"/>
    </w:pPr>
    <w:rPr>
      <w:rFonts w:eastAsia="黑体"/>
      <w:kern w:val="2"/>
      <w:sz w:val="20"/>
    </w:rPr>
  </w:style>
  <w:style w:type="paragraph" w:customStyle="1" w:styleId="306">
    <w:name w:val="表格文本"/>
    <w:qFormat/>
    <w:uiPriority w:val="99"/>
    <w:pPr>
      <w:tabs>
        <w:tab w:val="decimal" w:pos="0"/>
      </w:tabs>
    </w:pPr>
    <w:rPr>
      <w:rFonts w:ascii="Arial" w:hAnsi="Arial" w:eastAsia="宋体" w:cs="Times New Roman"/>
      <w:sz w:val="21"/>
      <w:szCs w:val="21"/>
      <w:lang w:val="en-US" w:eastAsia="zh-CN" w:bidi="ar-SA"/>
    </w:rPr>
  </w:style>
  <w:style w:type="paragraph" w:customStyle="1" w:styleId="307">
    <w:name w:val="表头文本"/>
    <w:qFormat/>
    <w:uiPriority w:val="99"/>
    <w:pPr>
      <w:jc w:val="center"/>
    </w:pPr>
    <w:rPr>
      <w:rFonts w:ascii="Arial" w:hAnsi="Arial" w:eastAsia="宋体" w:cs="Times New Roman"/>
      <w:b/>
      <w:sz w:val="21"/>
      <w:szCs w:val="21"/>
      <w:lang w:val="en-US" w:eastAsia="zh-CN" w:bidi="ar-SA"/>
    </w:rPr>
  </w:style>
  <w:style w:type="paragraph" w:customStyle="1" w:styleId="308">
    <w:name w:val="表格内文字"/>
    <w:basedOn w:val="2"/>
    <w:qFormat/>
    <w:uiPriority w:val="99"/>
    <w:pPr>
      <w:adjustRightInd w:val="0"/>
      <w:spacing w:line="240" w:lineRule="auto"/>
      <w:ind w:firstLine="0" w:firstLineChars="0"/>
    </w:pPr>
    <w:rPr>
      <w:rFonts w:eastAsia="Times New Roman" w:cs="Courier New"/>
      <w:color w:val="000000"/>
      <w:sz w:val="21"/>
      <w:szCs w:val="21"/>
      <w:lang w:val="en-GB"/>
    </w:rPr>
  </w:style>
  <w:style w:type="paragraph" w:customStyle="1" w:styleId="309">
    <w:name w:val="_"/>
    <w:basedOn w:val="1"/>
    <w:autoRedefine/>
    <w:qFormat/>
    <w:uiPriority w:val="99"/>
    <w:pPr>
      <w:widowControl w:val="0"/>
      <w:adjustRightInd w:val="0"/>
      <w:spacing w:line="360" w:lineRule="auto"/>
      <w:ind w:left="480" w:firstLine="200" w:firstLineChars="200"/>
      <w:jc w:val="both"/>
      <w:textAlignment w:val="baseline"/>
    </w:pPr>
    <w:rPr>
      <w:szCs w:val="20"/>
    </w:rPr>
  </w:style>
  <w:style w:type="paragraph" w:customStyle="1" w:styleId="310">
    <w:name w:val="Char Char Char Char Char Char1 Char"/>
    <w:basedOn w:val="1"/>
    <w:qFormat/>
    <w:uiPriority w:val="99"/>
    <w:pPr>
      <w:spacing w:after="160" w:line="240" w:lineRule="exact"/>
    </w:pPr>
    <w:rPr>
      <w:rFonts w:ascii="Verdana" w:hAnsi="Verdana"/>
      <w:sz w:val="21"/>
      <w:szCs w:val="20"/>
      <w:lang w:eastAsia="en-US"/>
    </w:rPr>
  </w:style>
  <w:style w:type="paragraph" w:customStyle="1" w:styleId="311">
    <w:name w:val="样式 样式 首行缩进:  2 字符 + 首行缩进:  2 字符"/>
    <w:basedOn w:val="1"/>
    <w:qFormat/>
    <w:uiPriority w:val="99"/>
    <w:pPr>
      <w:widowControl w:val="0"/>
      <w:tabs>
        <w:tab w:val="left" w:pos="840"/>
      </w:tabs>
      <w:spacing w:line="360" w:lineRule="auto"/>
      <w:ind w:left="840" w:firstLine="480" w:firstLineChars="200"/>
      <w:jc w:val="both"/>
    </w:pPr>
    <w:rPr>
      <w:kern w:val="2"/>
      <w:szCs w:val="20"/>
    </w:rPr>
  </w:style>
  <w:style w:type="paragraph" w:customStyle="1" w:styleId="312">
    <w:name w:val="表号"/>
    <w:basedOn w:val="1"/>
    <w:qFormat/>
    <w:uiPriority w:val="99"/>
    <w:pPr>
      <w:widowControl w:val="0"/>
      <w:tabs>
        <w:tab w:val="left" w:pos="648"/>
        <w:tab w:val="left" w:pos="840"/>
      </w:tabs>
      <w:autoSpaceDE w:val="0"/>
      <w:autoSpaceDN w:val="0"/>
      <w:adjustRightInd w:val="0"/>
      <w:spacing w:before="210" w:after="210"/>
      <w:ind w:left="425" w:hanging="137"/>
      <w:jc w:val="center"/>
    </w:pPr>
    <w:rPr>
      <w:sz w:val="21"/>
      <w:szCs w:val="21"/>
      <w:lang w:eastAsia="en-US"/>
    </w:rPr>
  </w:style>
  <w:style w:type="paragraph" w:customStyle="1" w:styleId="313">
    <w:name w:val="xl25"/>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sz w:val="20"/>
      <w:szCs w:val="20"/>
    </w:rPr>
  </w:style>
  <w:style w:type="paragraph" w:customStyle="1" w:styleId="314">
    <w:name w:val="xl29"/>
    <w:basedOn w:val="1"/>
    <w:qFormat/>
    <w:uiPriority w:val="99"/>
    <w:pPr>
      <w:pBdr>
        <w:top w:val="single" w:color="auto" w:sz="4" w:space="0"/>
        <w:left w:val="single" w:color="auto" w:sz="4" w:space="0"/>
        <w:bottom w:val="single" w:color="auto" w:sz="4" w:space="0"/>
        <w:right w:val="single" w:color="auto" w:sz="4" w:space="0"/>
      </w:pBdr>
      <w:shd w:val="clear" w:color="auto" w:fill="CCFFCC"/>
      <w:spacing w:before="100" w:beforeAutospacing="1" w:after="100" w:afterAutospacing="1"/>
      <w:jc w:val="center"/>
    </w:pPr>
    <w:rPr>
      <w:rFonts w:ascii="宋体" w:hAnsi="宋体" w:cs="宋体"/>
      <w:sz w:val="20"/>
      <w:szCs w:val="20"/>
    </w:rPr>
  </w:style>
  <w:style w:type="paragraph" w:customStyle="1" w:styleId="315">
    <w:name w:val="xl35"/>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sz w:val="20"/>
      <w:szCs w:val="20"/>
    </w:rPr>
  </w:style>
  <w:style w:type="paragraph" w:customStyle="1" w:styleId="316">
    <w:name w:val="xl39"/>
    <w:basedOn w:val="1"/>
    <w:qFormat/>
    <w:uiPriority w:val="99"/>
    <w:pPr>
      <w:pBdr>
        <w:top w:val="single" w:color="auto" w:sz="4" w:space="0"/>
        <w:left w:val="single" w:color="auto" w:sz="4" w:space="0"/>
        <w:bottom w:val="single" w:color="auto" w:sz="4" w:space="0"/>
        <w:right w:val="single" w:color="auto" w:sz="4" w:space="0"/>
      </w:pBdr>
      <w:shd w:val="clear" w:color="auto" w:fill="CCFFFF"/>
      <w:spacing w:before="100" w:beforeAutospacing="1" w:after="100" w:afterAutospacing="1"/>
      <w:jc w:val="center"/>
    </w:pPr>
    <w:rPr>
      <w:rFonts w:ascii="宋体" w:hAnsi="宋体" w:cs="宋体"/>
      <w:b/>
      <w:bCs/>
      <w:sz w:val="20"/>
      <w:szCs w:val="20"/>
    </w:rPr>
  </w:style>
  <w:style w:type="paragraph" w:customStyle="1" w:styleId="317">
    <w:name w:val="xl44"/>
    <w:basedOn w:val="1"/>
    <w:qFormat/>
    <w:uiPriority w:val="99"/>
    <w:pPr>
      <w:pBdr>
        <w:top w:val="single" w:color="auto" w:sz="4" w:space="0"/>
        <w:left w:val="single" w:color="auto" w:sz="4" w:space="0"/>
        <w:bottom w:val="single" w:color="auto" w:sz="4" w:space="0"/>
        <w:right w:val="single" w:color="auto" w:sz="4" w:space="0"/>
      </w:pBdr>
      <w:shd w:val="clear" w:color="auto" w:fill="CCFFFF"/>
      <w:spacing w:before="100" w:beforeAutospacing="1" w:after="100" w:afterAutospacing="1"/>
      <w:jc w:val="center"/>
    </w:pPr>
    <w:rPr>
      <w:rFonts w:ascii="宋体" w:hAnsi="宋体" w:cs="宋体"/>
      <w:sz w:val="20"/>
      <w:szCs w:val="20"/>
    </w:rPr>
  </w:style>
  <w:style w:type="paragraph" w:customStyle="1" w:styleId="318">
    <w:name w:val="xl48"/>
    <w:basedOn w:val="1"/>
    <w:qFormat/>
    <w:uiPriority w:val="99"/>
    <w:pPr>
      <w:pBdr>
        <w:top w:val="single" w:color="auto" w:sz="4" w:space="0"/>
        <w:left w:val="single" w:color="auto" w:sz="4" w:space="0"/>
        <w:bottom w:val="single" w:color="auto" w:sz="4" w:space="0"/>
        <w:right w:val="single" w:color="auto" w:sz="4" w:space="0"/>
      </w:pBdr>
      <w:shd w:val="clear" w:color="auto" w:fill="CCFFCC"/>
      <w:spacing w:before="100" w:beforeAutospacing="1" w:after="100" w:afterAutospacing="1"/>
      <w:jc w:val="center"/>
    </w:pPr>
    <w:rPr>
      <w:rFonts w:ascii="宋体" w:hAnsi="宋体" w:cs="宋体"/>
      <w:sz w:val="20"/>
      <w:szCs w:val="20"/>
    </w:rPr>
  </w:style>
  <w:style w:type="paragraph" w:customStyle="1" w:styleId="319">
    <w:name w:val="xl56"/>
    <w:basedOn w:val="1"/>
    <w:qFormat/>
    <w:uiPriority w:val="99"/>
    <w:pPr>
      <w:pBdr>
        <w:top w:val="single" w:color="auto" w:sz="4" w:space="0"/>
        <w:left w:val="single" w:color="auto" w:sz="4" w:space="0"/>
        <w:bottom w:val="single" w:color="auto" w:sz="4" w:space="0"/>
        <w:right w:val="single" w:color="auto" w:sz="4" w:space="0"/>
      </w:pBdr>
      <w:shd w:val="clear" w:color="auto" w:fill="CC99FF"/>
      <w:spacing w:before="100" w:beforeAutospacing="1" w:after="100" w:afterAutospacing="1"/>
      <w:jc w:val="center"/>
    </w:pPr>
    <w:rPr>
      <w:rFonts w:ascii="宋体" w:hAnsi="宋体" w:cs="宋体"/>
      <w:b/>
      <w:bCs/>
      <w:sz w:val="20"/>
      <w:szCs w:val="20"/>
    </w:rPr>
  </w:style>
  <w:style w:type="paragraph" w:customStyle="1" w:styleId="320">
    <w:name w:val="xl60"/>
    <w:basedOn w:val="1"/>
    <w:qFormat/>
    <w:uiPriority w:val="99"/>
    <w:pPr>
      <w:pBdr>
        <w:left w:val="single" w:color="auto" w:sz="4" w:space="0"/>
        <w:right w:val="single" w:color="auto" w:sz="4" w:space="0"/>
      </w:pBdr>
      <w:spacing w:before="100" w:beforeAutospacing="1" w:after="100" w:afterAutospacing="1"/>
      <w:jc w:val="center"/>
    </w:pPr>
    <w:rPr>
      <w:rFonts w:ascii="宋体" w:hAnsi="宋体" w:cs="宋体"/>
      <w:sz w:val="20"/>
      <w:szCs w:val="20"/>
    </w:rPr>
  </w:style>
  <w:style w:type="paragraph" w:customStyle="1" w:styleId="321">
    <w:name w:val="xl65"/>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color w:val="000000"/>
      <w:sz w:val="18"/>
      <w:szCs w:val="18"/>
    </w:rPr>
  </w:style>
  <w:style w:type="paragraph" w:customStyle="1" w:styleId="322">
    <w:name w:val="xl6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sz w:val="20"/>
      <w:szCs w:val="20"/>
    </w:rPr>
  </w:style>
  <w:style w:type="paragraph" w:customStyle="1" w:styleId="323">
    <w:name w:val="正文编码"/>
    <w:basedOn w:val="65"/>
    <w:qFormat/>
    <w:uiPriority w:val="99"/>
    <w:pPr>
      <w:tabs>
        <w:tab w:val="left" w:pos="360"/>
        <w:tab w:val="left" w:pos="900"/>
        <w:tab w:val="center" w:pos="2185"/>
      </w:tabs>
      <w:spacing w:after="0" w:line="360" w:lineRule="auto"/>
      <w:ind w:left="360" w:hanging="360" w:firstLineChars="0"/>
    </w:pPr>
    <w:rPr>
      <w:rFonts w:ascii="仿宋_GB2312" w:hAnsi="宋体" w:eastAsia="仿宋_GB2312"/>
      <w:kern w:val="0"/>
      <w:szCs w:val="20"/>
    </w:rPr>
  </w:style>
  <w:style w:type="paragraph" w:customStyle="1" w:styleId="324">
    <w:name w:val="标题2"/>
    <w:basedOn w:val="5"/>
    <w:link w:val="862"/>
    <w:qFormat/>
    <w:uiPriority w:val="0"/>
    <w:pPr>
      <w:keepNext/>
      <w:keepLines/>
      <w:tabs>
        <w:tab w:val="left" w:pos="567"/>
        <w:tab w:val="left" w:pos="720"/>
        <w:tab w:val="clear" w:pos="0"/>
      </w:tabs>
      <w:spacing w:beforeLines="100" w:after="120" w:line="300" w:lineRule="auto"/>
      <w:contextualSpacing w:val="0"/>
      <w:outlineLvl w:val="9"/>
    </w:pPr>
    <w:rPr>
      <w:rFonts w:ascii="Times New Roman" w:hAnsi="Times New Roman" w:eastAsia="黑体"/>
      <w:color w:val="auto"/>
      <w:spacing w:val="6"/>
      <w:sz w:val="32"/>
      <w:szCs w:val="24"/>
    </w:rPr>
  </w:style>
  <w:style w:type="paragraph" w:customStyle="1" w:styleId="325">
    <w:name w:val="xl68"/>
    <w:basedOn w:val="1"/>
    <w:qFormat/>
    <w:uiPriority w:val="0"/>
    <w:pPr>
      <w:spacing w:before="100" w:beforeAutospacing="1" w:after="100" w:afterAutospacing="1"/>
      <w:jc w:val="center"/>
    </w:pPr>
    <w:rPr>
      <w:rFonts w:ascii="宋体" w:hAnsi="宋体" w:cs="宋体"/>
    </w:rPr>
  </w:style>
  <w:style w:type="paragraph" w:customStyle="1" w:styleId="326">
    <w:name w:val="xl81"/>
    <w:basedOn w:val="1"/>
    <w:autoRedefine/>
    <w:qFormat/>
    <w:uiPriority w:val="0"/>
    <w:pPr>
      <w:spacing w:before="100" w:beforeAutospacing="1" w:after="100" w:afterAutospacing="1"/>
    </w:pPr>
    <w:rPr>
      <w:rFonts w:ascii="宋体" w:hAnsi="宋体" w:cs="宋体"/>
    </w:rPr>
  </w:style>
  <w:style w:type="paragraph" w:customStyle="1" w:styleId="327">
    <w:name w:val="微软用户"/>
    <w:qFormat/>
    <w:uiPriority w:val="99"/>
    <w:pPr>
      <w:widowControl w:val="0"/>
      <w:jc w:val="both"/>
    </w:pPr>
    <w:rPr>
      <w:rFonts w:ascii="Calibri" w:hAnsi="Calibri" w:eastAsia="宋体" w:cs="Times New Roman"/>
      <w:kern w:val="2"/>
      <w:sz w:val="21"/>
      <w:szCs w:val="22"/>
      <w:lang w:val="en-US" w:eastAsia="zh-CN" w:bidi="ar-SA"/>
    </w:rPr>
  </w:style>
  <w:style w:type="paragraph" w:customStyle="1" w:styleId="328">
    <w:name w:val="样式 普通正文 + 五号 首行缩进:  2 字符"/>
    <w:basedOn w:val="1"/>
    <w:qFormat/>
    <w:uiPriority w:val="99"/>
    <w:pPr>
      <w:widowControl w:val="0"/>
      <w:spacing w:line="360" w:lineRule="auto"/>
      <w:ind w:firstLine="420" w:firstLineChars="200"/>
      <w:jc w:val="both"/>
    </w:pPr>
    <w:rPr>
      <w:rFonts w:cs="宋体"/>
      <w:kern w:val="2"/>
      <w:sz w:val="21"/>
      <w:szCs w:val="20"/>
    </w:rPr>
  </w:style>
  <w:style w:type="paragraph" w:customStyle="1" w:styleId="329">
    <w:name w:val="font6"/>
    <w:basedOn w:val="1"/>
    <w:qFormat/>
    <w:uiPriority w:val="99"/>
    <w:pPr>
      <w:spacing w:before="100" w:beforeAutospacing="1" w:after="100" w:afterAutospacing="1"/>
    </w:pPr>
    <w:rPr>
      <w:rFonts w:ascii="Arial" w:hAnsi="Arial" w:cs="Arial"/>
      <w:sz w:val="20"/>
      <w:szCs w:val="20"/>
    </w:rPr>
  </w:style>
  <w:style w:type="paragraph" w:customStyle="1" w:styleId="330">
    <w:name w:val="xl104"/>
    <w:basedOn w:val="1"/>
    <w:autoRedefine/>
    <w:qFormat/>
    <w:uiPriority w:val="99"/>
    <w:pPr>
      <w:spacing w:before="100" w:beforeAutospacing="1" w:after="100" w:afterAutospacing="1"/>
    </w:pPr>
    <w:rPr>
      <w:rFonts w:ascii="Arial" w:hAnsi="Arial" w:cs="Arial"/>
    </w:rPr>
  </w:style>
  <w:style w:type="paragraph" w:customStyle="1" w:styleId="331">
    <w:name w:val="xl108"/>
    <w:basedOn w:val="1"/>
    <w:qFormat/>
    <w:uiPriority w:val="99"/>
    <w:pPr>
      <w:spacing w:before="100" w:beforeAutospacing="1" w:after="100" w:afterAutospacing="1"/>
      <w:textAlignment w:val="bottom"/>
    </w:pPr>
    <w:rPr>
      <w:rFonts w:ascii="Arial" w:hAnsi="Arial" w:cs="Arial"/>
      <w:sz w:val="20"/>
      <w:szCs w:val="20"/>
    </w:rPr>
  </w:style>
  <w:style w:type="paragraph" w:customStyle="1" w:styleId="332">
    <w:name w:val="xl124"/>
    <w:basedOn w:val="1"/>
    <w:autoRedefine/>
    <w:qFormat/>
    <w:uiPriority w:val="99"/>
    <w:pPr>
      <w:spacing w:before="100" w:beforeAutospacing="1" w:after="100" w:afterAutospacing="1"/>
      <w:jc w:val="center"/>
    </w:pPr>
    <w:rPr>
      <w:rFonts w:ascii="Arial" w:hAnsi="Arial" w:cs="Arial"/>
      <w:b/>
      <w:bCs/>
      <w:sz w:val="40"/>
      <w:szCs w:val="40"/>
    </w:rPr>
  </w:style>
  <w:style w:type="paragraph" w:customStyle="1" w:styleId="333">
    <w:name w:val="正文字缩2字"/>
    <w:basedOn w:val="1"/>
    <w:qFormat/>
    <w:uiPriority w:val="99"/>
    <w:pPr>
      <w:widowControl w:val="0"/>
      <w:spacing w:before="60" w:after="60" w:line="360" w:lineRule="auto"/>
      <w:ind w:left="200" w:leftChars="200" w:firstLine="200" w:firstLineChars="200"/>
      <w:jc w:val="both"/>
    </w:pPr>
    <w:rPr>
      <w:kern w:val="2"/>
    </w:rPr>
  </w:style>
  <w:style w:type="paragraph" w:customStyle="1" w:styleId="334">
    <w:name w:val="Table Heading"/>
    <w:qFormat/>
    <w:uiPriority w:val="99"/>
    <w:pPr>
      <w:keepNext/>
      <w:snapToGrid w:val="0"/>
      <w:spacing w:before="80" w:after="80"/>
      <w:jc w:val="center"/>
    </w:pPr>
    <w:rPr>
      <w:rFonts w:ascii="Arial" w:hAnsi="Arial" w:eastAsia="黑体" w:cs="Arial"/>
      <w:sz w:val="18"/>
      <w:szCs w:val="18"/>
      <w:lang w:val="en-US" w:eastAsia="zh-CN" w:bidi="ar-SA"/>
    </w:rPr>
  </w:style>
  <w:style w:type="paragraph" w:customStyle="1" w:styleId="335">
    <w:name w:val="简单回函地址"/>
    <w:basedOn w:val="1"/>
    <w:qFormat/>
    <w:uiPriority w:val="99"/>
    <w:pPr>
      <w:widowControl w:val="0"/>
      <w:adjustRightInd w:val="0"/>
      <w:snapToGrid w:val="0"/>
      <w:spacing w:line="360" w:lineRule="auto"/>
      <w:jc w:val="both"/>
    </w:pPr>
    <w:rPr>
      <w:kern w:val="2"/>
      <w:szCs w:val="20"/>
    </w:rPr>
  </w:style>
  <w:style w:type="paragraph" w:customStyle="1" w:styleId="336">
    <w:name w:val="表项"/>
    <w:next w:val="337"/>
    <w:qFormat/>
    <w:uiPriority w:val="99"/>
    <w:pPr>
      <w:adjustRightInd w:val="0"/>
      <w:snapToGrid w:val="0"/>
      <w:spacing w:line="300" w:lineRule="auto"/>
      <w:jc w:val="center"/>
    </w:pPr>
    <w:rPr>
      <w:rFonts w:ascii="Arial" w:hAnsi="Arial" w:eastAsia="黑体" w:cs="Arial"/>
      <w:iCs/>
      <w:kern w:val="2"/>
      <w:sz w:val="16"/>
      <w:lang w:val="en-US" w:eastAsia="zh-CN" w:bidi="ar-SA"/>
    </w:rPr>
  </w:style>
  <w:style w:type="paragraph" w:customStyle="1" w:styleId="337">
    <w:name w:val="表身（左）"/>
    <w:qFormat/>
    <w:uiPriority w:val="99"/>
    <w:pPr>
      <w:adjustRightInd w:val="0"/>
      <w:snapToGrid w:val="0"/>
      <w:spacing w:line="300" w:lineRule="auto"/>
      <w:textAlignment w:val="center"/>
    </w:pPr>
    <w:rPr>
      <w:rFonts w:ascii="Times New Roman" w:hAnsi="Times New Roman" w:eastAsia="宋体" w:cs="Times New Roman"/>
      <w:sz w:val="16"/>
      <w:lang w:val="en-US" w:eastAsia="zh-CN" w:bidi="ar-SA"/>
    </w:rPr>
  </w:style>
  <w:style w:type="paragraph" w:customStyle="1" w:styleId="338">
    <w:name w:val="正文格式"/>
    <w:basedOn w:val="1"/>
    <w:autoRedefine/>
    <w:qFormat/>
    <w:uiPriority w:val="99"/>
    <w:pPr>
      <w:adjustRightInd w:val="0"/>
      <w:snapToGrid w:val="0"/>
      <w:spacing w:line="360" w:lineRule="atLeast"/>
      <w:ind w:firstLine="482" w:firstLineChars="200"/>
      <w:jc w:val="both"/>
      <w:textAlignment w:val="baseline"/>
    </w:pPr>
    <w:rPr>
      <w:szCs w:val="20"/>
    </w:rPr>
  </w:style>
  <w:style w:type="paragraph" w:customStyle="1" w:styleId="339">
    <w:name w:val="xl7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sz w:val="16"/>
      <w:szCs w:val="16"/>
    </w:rPr>
  </w:style>
  <w:style w:type="paragraph" w:customStyle="1" w:styleId="340">
    <w:name w:val="xl7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sz w:val="16"/>
      <w:szCs w:val="16"/>
    </w:rPr>
  </w:style>
  <w:style w:type="paragraph" w:customStyle="1" w:styleId="341">
    <w:name w:val="Char Char1 Char Char Char Char"/>
    <w:basedOn w:val="1"/>
    <w:next w:val="1"/>
    <w:qFormat/>
    <w:uiPriority w:val="99"/>
    <w:pPr>
      <w:spacing w:after="160" w:line="240" w:lineRule="exact"/>
    </w:pPr>
    <w:rPr>
      <w:rFonts w:ascii="Verdana" w:hAnsi="Verdana" w:eastAsia="仿宋_GB2312"/>
      <w:szCs w:val="20"/>
      <w:lang w:eastAsia="en-US"/>
    </w:rPr>
  </w:style>
  <w:style w:type="paragraph" w:customStyle="1" w:styleId="342">
    <w:name w:val="xl84"/>
    <w:basedOn w:val="1"/>
    <w:qFormat/>
    <w:uiPriority w:val="0"/>
    <w:pPr>
      <w:pBdr>
        <w:top w:val="single" w:color="auto" w:sz="4" w:space="0"/>
        <w:bottom w:val="single" w:color="auto" w:sz="4" w:space="0"/>
        <w:right w:val="single" w:color="auto" w:sz="4" w:space="0"/>
      </w:pBdr>
      <w:spacing w:before="100" w:beforeAutospacing="1" w:after="100" w:afterAutospacing="1"/>
      <w:jc w:val="center"/>
    </w:pPr>
    <w:rPr>
      <w:rFonts w:ascii="宋体" w:hAnsi="宋体" w:cs="宋体"/>
      <w:sz w:val="20"/>
      <w:szCs w:val="20"/>
    </w:rPr>
  </w:style>
  <w:style w:type="paragraph" w:customStyle="1" w:styleId="343">
    <w:name w:val="xl88"/>
    <w:basedOn w:val="1"/>
    <w:qFormat/>
    <w:uiPriority w:val="0"/>
    <w:pPr>
      <w:pBdr>
        <w:top w:val="single" w:color="auto" w:sz="4" w:space="0"/>
        <w:bottom w:val="single" w:color="auto" w:sz="4" w:space="0"/>
        <w:right w:val="single" w:color="auto" w:sz="4" w:space="0"/>
      </w:pBdr>
      <w:spacing w:before="100" w:beforeAutospacing="1" w:after="100" w:afterAutospacing="1"/>
      <w:jc w:val="center"/>
    </w:pPr>
    <w:rPr>
      <w:rFonts w:ascii="Arial" w:hAnsi="Arial" w:cs="Arial"/>
      <w:sz w:val="20"/>
      <w:szCs w:val="20"/>
    </w:rPr>
  </w:style>
  <w:style w:type="paragraph" w:customStyle="1" w:styleId="344">
    <w:name w:val="xl92"/>
    <w:basedOn w:val="1"/>
    <w:qFormat/>
    <w:uiPriority w:val="0"/>
    <w:pPr>
      <w:pBdr>
        <w:top w:val="single" w:color="auto" w:sz="4" w:space="0"/>
        <w:left w:val="single" w:color="auto" w:sz="4" w:space="0"/>
        <w:right w:val="single" w:color="auto" w:sz="4" w:space="0"/>
      </w:pBdr>
      <w:spacing w:before="100" w:beforeAutospacing="1" w:after="100" w:afterAutospacing="1"/>
      <w:jc w:val="center"/>
    </w:pPr>
    <w:rPr>
      <w:rFonts w:ascii="Arial" w:hAnsi="Arial" w:cs="Arial"/>
      <w:sz w:val="20"/>
      <w:szCs w:val="20"/>
    </w:rPr>
  </w:style>
  <w:style w:type="paragraph" w:customStyle="1" w:styleId="345">
    <w:name w:val="xl96"/>
    <w:basedOn w:val="1"/>
    <w:qFormat/>
    <w:uiPriority w:val="99"/>
    <w:pPr>
      <w:pBdr>
        <w:left w:val="single" w:color="auto" w:sz="4" w:space="0"/>
        <w:bottom w:val="single" w:color="auto" w:sz="4" w:space="0"/>
      </w:pBdr>
      <w:spacing w:before="100" w:beforeAutospacing="1" w:after="100" w:afterAutospacing="1"/>
    </w:pPr>
    <w:rPr>
      <w:rFonts w:ascii="Arial" w:hAnsi="Arial" w:cs="Arial"/>
      <w:sz w:val="20"/>
      <w:szCs w:val="20"/>
    </w:rPr>
  </w:style>
  <w:style w:type="paragraph" w:customStyle="1" w:styleId="346">
    <w:name w:val="xl100"/>
    <w:basedOn w:val="1"/>
    <w:autoRedefine/>
    <w:qFormat/>
    <w:uiPriority w:val="99"/>
    <w:pPr>
      <w:pBdr>
        <w:left w:val="single" w:color="auto" w:sz="4" w:space="0"/>
        <w:bottom w:val="single" w:color="auto" w:sz="4" w:space="0"/>
        <w:right w:val="single" w:color="auto" w:sz="4" w:space="0"/>
      </w:pBdr>
      <w:spacing w:before="100" w:beforeAutospacing="1" w:after="100" w:afterAutospacing="1"/>
      <w:jc w:val="center"/>
    </w:pPr>
    <w:rPr>
      <w:rFonts w:ascii="Arial" w:hAnsi="Arial" w:cs="Arial"/>
      <w:sz w:val="20"/>
      <w:szCs w:val="20"/>
    </w:rPr>
  </w:style>
  <w:style w:type="paragraph" w:customStyle="1" w:styleId="347">
    <w:name w:val="xl116"/>
    <w:basedOn w:val="1"/>
    <w:autoRedefine/>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sz w:val="16"/>
      <w:szCs w:val="16"/>
    </w:rPr>
  </w:style>
  <w:style w:type="paragraph" w:customStyle="1" w:styleId="348">
    <w:name w:val="xl120"/>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pPr>
    <w:rPr>
      <w:rFonts w:ascii="Arial" w:hAnsi="Arial" w:cs="Arial"/>
      <w:sz w:val="20"/>
      <w:szCs w:val="20"/>
    </w:rPr>
  </w:style>
  <w:style w:type="paragraph" w:customStyle="1" w:styleId="349">
    <w:name w:val="xl128"/>
    <w:basedOn w:val="1"/>
    <w:qFormat/>
    <w:uiPriority w:val="99"/>
    <w:pPr>
      <w:pBdr>
        <w:top w:val="single" w:color="auto" w:sz="4" w:space="0"/>
        <w:left w:val="single" w:color="auto" w:sz="4" w:space="0"/>
        <w:right w:val="single" w:color="auto" w:sz="4" w:space="0"/>
      </w:pBdr>
      <w:spacing w:before="100" w:beforeAutospacing="1" w:after="100" w:afterAutospacing="1"/>
      <w:jc w:val="center"/>
    </w:pPr>
    <w:rPr>
      <w:rFonts w:ascii="Arial" w:hAnsi="Arial" w:cs="Arial"/>
      <w:sz w:val="16"/>
      <w:szCs w:val="16"/>
    </w:rPr>
  </w:style>
  <w:style w:type="paragraph" w:customStyle="1" w:styleId="350">
    <w:name w:val="附录4"/>
    <w:basedOn w:val="1"/>
    <w:next w:val="1"/>
    <w:qFormat/>
    <w:uiPriority w:val="99"/>
    <w:pPr>
      <w:tabs>
        <w:tab w:val="left" w:pos="1134"/>
      </w:tabs>
      <w:spacing w:line="300" w:lineRule="auto"/>
      <w:ind w:left="1361" w:hanging="1361"/>
      <w:jc w:val="both"/>
      <w:outlineLvl w:val="3"/>
    </w:pPr>
    <w:rPr>
      <w:rFonts w:ascii="Arial" w:hAnsi="Arial" w:eastAsia="黑体"/>
      <w:sz w:val="28"/>
      <w:szCs w:val="20"/>
    </w:rPr>
  </w:style>
  <w:style w:type="paragraph" w:customStyle="1" w:styleId="351">
    <w:name w:val="样式 正文缩进正文（首行缩进两字）表正文正文非缩进特点标题4段1 + 首行缩进:  2 字符"/>
    <w:basedOn w:val="18"/>
    <w:qFormat/>
    <w:uiPriority w:val="99"/>
    <w:pPr>
      <w:adjustRightInd w:val="0"/>
      <w:snapToGrid w:val="0"/>
      <w:spacing w:line="360" w:lineRule="auto"/>
      <w:ind w:firstLine="480"/>
    </w:pPr>
  </w:style>
  <w:style w:type="paragraph" w:customStyle="1" w:styleId="352">
    <w:name w:val="样式 标题 1 + 居中 段前: 6 磅 段后: 6 磅 行距: 1.5 倍行距"/>
    <w:basedOn w:val="3"/>
    <w:qFormat/>
    <w:uiPriority w:val="99"/>
    <w:pPr>
      <w:keepNext/>
      <w:keepLines/>
      <w:tabs>
        <w:tab w:val="left" w:pos="425"/>
        <w:tab w:val="clear" w:pos="0"/>
      </w:tabs>
      <w:adjustRightInd w:val="0"/>
      <w:snapToGrid w:val="0"/>
      <w:spacing w:before="120" w:after="120" w:line="360" w:lineRule="auto"/>
      <w:contextualSpacing w:val="0"/>
      <w:jc w:val="center"/>
    </w:pPr>
    <w:rPr>
      <w:rFonts w:ascii="Times New Roman" w:hAnsi="Times New Roman"/>
      <w:color w:val="auto"/>
      <w:spacing w:val="0"/>
      <w:kern w:val="44"/>
      <w:szCs w:val="24"/>
    </w:rPr>
  </w:style>
  <w:style w:type="paragraph" w:customStyle="1" w:styleId="353">
    <w:name w:val="文档正文 Char Char Char Char Char"/>
    <w:basedOn w:val="1"/>
    <w:qFormat/>
    <w:uiPriority w:val="99"/>
    <w:pPr>
      <w:widowControl w:val="0"/>
      <w:adjustRightInd w:val="0"/>
      <w:spacing w:line="440" w:lineRule="exact"/>
      <w:ind w:firstLine="420"/>
      <w:jc w:val="both"/>
      <w:textAlignment w:val="baseline"/>
    </w:pPr>
    <w:rPr>
      <w:rFonts w:ascii="Arial Narrow" w:hAnsi="Arial Narrow"/>
    </w:rPr>
  </w:style>
  <w:style w:type="paragraph" w:customStyle="1" w:styleId="354">
    <w:name w:val="样式 正文首行缩进 2 + 首行缩进:  2 字符"/>
    <w:basedOn w:val="1"/>
    <w:qFormat/>
    <w:uiPriority w:val="99"/>
    <w:pPr>
      <w:widowControl w:val="0"/>
      <w:numPr>
        <w:ilvl w:val="0"/>
        <w:numId w:val="11"/>
      </w:numPr>
      <w:tabs>
        <w:tab w:val="left" w:pos="987"/>
      </w:tabs>
      <w:adjustRightInd w:val="0"/>
      <w:snapToGrid w:val="0"/>
      <w:spacing w:line="360" w:lineRule="auto"/>
      <w:ind w:firstLine="0"/>
      <w:jc w:val="both"/>
    </w:pPr>
    <w:rPr>
      <w:rFonts w:ascii="Arial" w:hAnsi="Arial"/>
      <w:b/>
      <w:bCs/>
      <w:kern w:val="2"/>
    </w:rPr>
  </w:style>
  <w:style w:type="paragraph" w:customStyle="1" w:styleId="355">
    <w:name w:val="Title - Revision"/>
    <w:basedOn w:val="63"/>
    <w:qFormat/>
    <w:uiPriority w:val="99"/>
    <w:pPr>
      <w:spacing w:before="720" w:after="240" w:line="360" w:lineRule="auto"/>
      <w:contextualSpacing w:val="0"/>
      <w:jc w:val="center"/>
    </w:pPr>
    <w:rPr>
      <w:rFonts w:ascii="Arial" w:hAnsi="Arial"/>
      <w:color w:val="auto"/>
      <w:spacing w:val="0"/>
      <w:kern w:val="28"/>
      <w:sz w:val="36"/>
      <w:szCs w:val="20"/>
    </w:rPr>
  </w:style>
  <w:style w:type="paragraph" w:customStyle="1" w:styleId="356">
    <w:name w:val="图标"/>
    <w:basedOn w:val="1"/>
    <w:next w:val="1"/>
    <w:qFormat/>
    <w:uiPriority w:val="99"/>
    <w:pPr>
      <w:widowControl w:val="0"/>
      <w:numPr>
        <w:ilvl w:val="0"/>
        <w:numId w:val="12"/>
      </w:numPr>
      <w:tabs>
        <w:tab w:val="left" w:pos="420"/>
        <w:tab w:val="left" w:pos="567"/>
      </w:tabs>
      <w:autoSpaceDE w:val="0"/>
      <w:autoSpaceDN w:val="0"/>
      <w:adjustRightInd w:val="0"/>
      <w:snapToGrid w:val="0"/>
      <w:spacing w:before="120" w:after="120" w:line="320" w:lineRule="atLeast"/>
      <w:ind w:firstLine="0"/>
      <w:jc w:val="center"/>
      <w:textAlignment w:val="baseline"/>
    </w:pPr>
    <w:rPr>
      <w:rFonts w:eastAsia="仿宋_GB2312"/>
      <w:szCs w:val="20"/>
    </w:rPr>
  </w:style>
  <w:style w:type="paragraph" w:customStyle="1" w:styleId="357">
    <w:name w:val="正文文本 21"/>
    <w:basedOn w:val="1"/>
    <w:qFormat/>
    <w:uiPriority w:val="99"/>
    <w:pPr>
      <w:widowControl w:val="0"/>
      <w:adjustRightInd w:val="0"/>
      <w:spacing w:before="120" w:line="360" w:lineRule="auto"/>
      <w:ind w:firstLine="480"/>
      <w:jc w:val="both"/>
      <w:textAlignment w:val="baseline"/>
    </w:pPr>
    <w:rPr>
      <w:kern w:val="2"/>
      <w:szCs w:val="20"/>
    </w:rPr>
  </w:style>
  <w:style w:type="paragraph" w:customStyle="1" w:styleId="358">
    <w:name w:val="项目"/>
    <w:basedOn w:val="1"/>
    <w:autoRedefine/>
    <w:qFormat/>
    <w:uiPriority w:val="99"/>
    <w:pPr>
      <w:widowControl w:val="0"/>
      <w:numPr>
        <w:ilvl w:val="0"/>
        <w:numId w:val="13"/>
      </w:numPr>
      <w:tabs>
        <w:tab w:val="left" w:pos="840"/>
      </w:tabs>
      <w:spacing w:before="120" w:after="120" w:line="360" w:lineRule="auto"/>
      <w:ind w:firstLine="0"/>
      <w:textAlignment w:val="baseline"/>
    </w:pPr>
    <w:rPr>
      <w:rFonts w:ascii="宋体"/>
      <w:szCs w:val="20"/>
    </w:rPr>
  </w:style>
  <w:style w:type="paragraph" w:customStyle="1" w:styleId="359">
    <w:name w:val="没有缩进（为图形使用）"/>
    <w:basedOn w:val="1"/>
    <w:autoRedefine/>
    <w:qFormat/>
    <w:uiPriority w:val="99"/>
    <w:pPr>
      <w:widowControl w:val="0"/>
      <w:spacing w:before="120" w:after="120" w:line="360" w:lineRule="auto"/>
      <w:jc w:val="both"/>
    </w:pPr>
    <w:rPr>
      <w:kern w:val="2"/>
      <w:szCs w:val="20"/>
    </w:rPr>
  </w:style>
  <w:style w:type="paragraph" w:customStyle="1" w:styleId="360">
    <w:name w:val="xl40"/>
    <w:basedOn w:val="1"/>
    <w:qFormat/>
    <w:uiPriority w:val="99"/>
    <w:pPr>
      <w:pBdr>
        <w:left w:val="single" w:color="auto" w:sz="4" w:space="0"/>
        <w:right w:val="single" w:color="auto" w:sz="4" w:space="0"/>
      </w:pBdr>
      <w:spacing w:before="100" w:beforeAutospacing="1" w:after="100" w:afterAutospacing="1"/>
      <w:jc w:val="center"/>
    </w:pPr>
    <w:rPr>
      <w:rFonts w:ascii="宋体" w:hAnsi="宋体"/>
    </w:rPr>
  </w:style>
  <w:style w:type="paragraph" w:customStyle="1" w:styleId="361">
    <w:name w:val="Char Char Char Char Char Char Char Char Char Char Char Char Char"/>
    <w:basedOn w:val="1"/>
    <w:qFormat/>
    <w:uiPriority w:val="0"/>
    <w:pPr>
      <w:spacing w:after="160" w:line="240" w:lineRule="exact"/>
    </w:pPr>
    <w:rPr>
      <w:rFonts w:ascii="Verdana" w:hAnsi="Verdana" w:eastAsia="仿宋_GB2312"/>
      <w:szCs w:val="20"/>
      <w:lang w:eastAsia="en-US"/>
    </w:rPr>
  </w:style>
  <w:style w:type="paragraph" w:customStyle="1" w:styleId="362">
    <w:name w:val="正文00"/>
    <w:basedOn w:val="18"/>
    <w:qFormat/>
    <w:uiPriority w:val="99"/>
    <w:pPr>
      <w:tabs>
        <w:tab w:val="left" w:pos="0"/>
      </w:tabs>
      <w:spacing w:line="360" w:lineRule="auto"/>
      <w:ind w:firstLine="480"/>
    </w:pPr>
    <w:rPr>
      <w:rFonts w:ascii="宋体"/>
      <w:kern w:val="28"/>
    </w:rPr>
  </w:style>
  <w:style w:type="paragraph" w:customStyle="1" w:styleId="363">
    <w:name w:val="xl28"/>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sz w:val="20"/>
      <w:szCs w:val="20"/>
    </w:rPr>
  </w:style>
  <w:style w:type="paragraph" w:customStyle="1" w:styleId="364">
    <w:name w:val="xl34"/>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sz w:val="20"/>
      <w:szCs w:val="20"/>
    </w:rPr>
  </w:style>
  <w:style w:type="paragraph" w:customStyle="1" w:styleId="365">
    <w:name w:val="xl38"/>
    <w:basedOn w:val="1"/>
    <w:qFormat/>
    <w:uiPriority w:val="99"/>
    <w:pPr>
      <w:pBdr>
        <w:top w:val="single" w:color="auto" w:sz="4" w:space="0"/>
        <w:left w:val="single" w:color="auto" w:sz="4" w:space="0"/>
        <w:bottom w:val="single" w:color="auto" w:sz="4" w:space="0"/>
        <w:right w:val="single" w:color="auto" w:sz="4" w:space="0"/>
      </w:pBdr>
      <w:shd w:val="clear" w:color="auto" w:fill="CCFFFF"/>
      <w:spacing w:before="100" w:beforeAutospacing="1" w:after="100" w:afterAutospacing="1"/>
      <w:jc w:val="center"/>
    </w:pPr>
    <w:rPr>
      <w:rFonts w:ascii="宋体" w:hAnsi="宋体" w:cs="宋体"/>
      <w:b/>
      <w:bCs/>
      <w:sz w:val="20"/>
      <w:szCs w:val="20"/>
    </w:rPr>
  </w:style>
  <w:style w:type="paragraph" w:customStyle="1" w:styleId="366">
    <w:name w:val="xl43"/>
    <w:basedOn w:val="1"/>
    <w:autoRedefine/>
    <w:qFormat/>
    <w:uiPriority w:val="99"/>
    <w:pPr>
      <w:pBdr>
        <w:top w:val="single" w:color="auto" w:sz="4" w:space="0"/>
        <w:left w:val="single" w:color="auto" w:sz="4" w:space="0"/>
        <w:bottom w:val="single" w:color="auto" w:sz="4" w:space="0"/>
        <w:right w:val="single" w:color="auto" w:sz="4" w:space="0"/>
      </w:pBdr>
      <w:shd w:val="clear" w:color="auto" w:fill="CCFFFF"/>
      <w:spacing w:before="100" w:beforeAutospacing="1" w:after="100" w:afterAutospacing="1"/>
      <w:jc w:val="center"/>
    </w:pPr>
    <w:rPr>
      <w:rFonts w:ascii="宋体" w:hAnsi="宋体" w:cs="宋体"/>
      <w:b/>
      <w:bCs/>
      <w:sz w:val="20"/>
      <w:szCs w:val="20"/>
    </w:rPr>
  </w:style>
  <w:style w:type="paragraph" w:customStyle="1" w:styleId="367">
    <w:name w:val="xl47"/>
    <w:basedOn w:val="1"/>
    <w:qFormat/>
    <w:uiPriority w:val="99"/>
    <w:pPr>
      <w:pBdr>
        <w:top w:val="single" w:color="auto" w:sz="4" w:space="0"/>
        <w:left w:val="single" w:color="auto" w:sz="4" w:space="0"/>
        <w:bottom w:val="single" w:color="auto" w:sz="4" w:space="0"/>
        <w:right w:val="single" w:color="auto" w:sz="4" w:space="0"/>
      </w:pBdr>
      <w:shd w:val="clear" w:color="auto" w:fill="CCFFCC"/>
      <w:spacing w:before="100" w:beforeAutospacing="1" w:after="100" w:afterAutospacing="1"/>
      <w:jc w:val="center"/>
    </w:pPr>
    <w:rPr>
      <w:rFonts w:ascii="宋体" w:hAnsi="宋体" w:cs="宋体"/>
      <w:sz w:val="20"/>
      <w:szCs w:val="20"/>
    </w:rPr>
  </w:style>
  <w:style w:type="paragraph" w:customStyle="1" w:styleId="368">
    <w:name w:val="xl55"/>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sz w:val="20"/>
      <w:szCs w:val="20"/>
    </w:rPr>
  </w:style>
  <w:style w:type="paragraph" w:customStyle="1" w:styleId="369">
    <w:name w:val="xl59"/>
    <w:basedOn w:val="1"/>
    <w:qFormat/>
    <w:uiPriority w:val="99"/>
    <w:pPr>
      <w:pBdr>
        <w:top w:val="single" w:color="auto" w:sz="4" w:space="0"/>
        <w:left w:val="single" w:color="auto" w:sz="4" w:space="0"/>
        <w:right w:val="single" w:color="auto" w:sz="4" w:space="0"/>
      </w:pBdr>
      <w:spacing w:before="100" w:beforeAutospacing="1" w:after="100" w:afterAutospacing="1"/>
      <w:jc w:val="center"/>
    </w:pPr>
    <w:rPr>
      <w:rFonts w:ascii="宋体" w:hAnsi="宋体" w:cs="宋体"/>
      <w:sz w:val="20"/>
      <w:szCs w:val="20"/>
    </w:rPr>
  </w:style>
  <w:style w:type="paragraph" w:customStyle="1" w:styleId="370">
    <w:name w:val="xl63"/>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sz w:val="18"/>
      <w:szCs w:val="18"/>
    </w:rPr>
  </w:style>
  <w:style w:type="paragraph" w:customStyle="1" w:styleId="371">
    <w:name w:val="xl6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color w:val="000000"/>
      <w:sz w:val="21"/>
      <w:szCs w:val="21"/>
    </w:rPr>
  </w:style>
  <w:style w:type="paragraph" w:customStyle="1" w:styleId="372">
    <w:name w:val="正文编号2"/>
    <w:basedOn w:val="1"/>
    <w:qFormat/>
    <w:uiPriority w:val="99"/>
    <w:pPr>
      <w:widowControl w:val="0"/>
      <w:jc w:val="both"/>
    </w:pPr>
    <w:rPr>
      <w:rFonts w:eastAsia="楷体_GB2312"/>
      <w:sz w:val="28"/>
    </w:rPr>
  </w:style>
  <w:style w:type="paragraph" w:customStyle="1" w:styleId="373">
    <w:name w:val="style14"/>
    <w:basedOn w:val="1"/>
    <w:qFormat/>
    <w:uiPriority w:val="99"/>
    <w:rPr>
      <w:rFonts w:ascii="宋体" w:hAnsi="宋体" w:cs="宋体"/>
      <w:b/>
      <w:bCs/>
      <w:sz w:val="21"/>
      <w:szCs w:val="21"/>
    </w:rPr>
  </w:style>
  <w:style w:type="paragraph" w:customStyle="1" w:styleId="374">
    <w:name w:val="font5"/>
    <w:basedOn w:val="1"/>
    <w:qFormat/>
    <w:uiPriority w:val="0"/>
    <w:pPr>
      <w:spacing w:before="100" w:beforeAutospacing="1" w:after="100" w:afterAutospacing="1"/>
    </w:pPr>
    <w:rPr>
      <w:rFonts w:ascii="宋体" w:hAnsi="宋体" w:cs="宋体"/>
      <w:sz w:val="18"/>
      <w:szCs w:val="18"/>
    </w:rPr>
  </w:style>
  <w:style w:type="paragraph" w:customStyle="1" w:styleId="375">
    <w:name w:val="xl80"/>
    <w:basedOn w:val="1"/>
    <w:qFormat/>
    <w:uiPriority w:val="0"/>
    <w:pPr>
      <w:spacing w:before="100" w:beforeAutospacing="1" w:after="100" w:afterAutospacing="1"/>
    </w:pPr>
    <w:rPr>
      <w:rFonts w:ascii="宋体" w:hAnsi="宋体" w:cs="宋体"/>
      <w:sz w:val="16"/>
      <w:szCs w:val="16"/>
    </w:rPr>
  </w:style>
  <w:style w:type="paragraph" w:customStyle="1" w:styleId="376">
    <w:name w:val="xl31"/>
    <w:basedOn w:val="1"/>
    <w:qFormat/>
    <w:uiPriority w:val="99"/>
    <w:pPr>
      <w:spacing w:before="100" w:beforeAutospacing="1" w:after="100" w:afterAutospacing="1"/>
      <w:jc w:val="both"/>
    </w:pPr>
    <w:rPr>
      <w:sz w:val="20"/>
      <w:szCs w:val="20"/>
    </w:rPr>
  </w:style>
  <w:style w:type="paragraph" w:customStyle="1" w:styleId="377">
    <w:name w:val="自动更正"/>
    <w:qFormat/>
    <w:uiPriority w:val="99"/>
    <w:pPr>
      <w:widowControl w:val="0"/>
      <w:jc w:val="both"/>
    </w:pPr>
    <w:rPr>
      <w:rFonts w:ascii="Calibri" w:hAnsi="Calibri" w:eastAsia="宋体" w:cs="Times New Roman"/>
      <w:kern w:val="2"/>
      <w:sz w:val="21"/>
      <w:szCs w:val="22"/>
      <w:lang w:val="en-US" w:eastAsia="zh-CN" w:bidi="ar-SA"/>
    </w:rPr>
  </w:style>
  <w:style w:type="paragraph" w:customStyle="1" w:styleId="378">
    <w:name w:val="font9"/>
    <w:basedOn w:val="1"/>
    <w:autoRedefine/>
    <w:qFormat/>
    <w:uiPriority w:val="99"/>
    <w:pPr>
      <w:spacing w:before="100" w:beforeAutospacing="1" w:after="100" w:afterAutospacing="1"/>
    </w:pPr>
    <w:rPr>
      <w:rFonts w:ascii="宋体" w:hAnsi="宋体" w:cs="宋体"/>
      <w:sz w:val="18"/>
      <w:szCs w:val="18"/>
    </w:rPr>
  </w:style>
  <w:style w:type="paragraph" w:customStyle="1" w:styleId="379">
    <w:name w:val="xl103"/>
    <w:basedOn w:val="1"/>
    <w:qFormat/>
    <w:uiPriority w:val="99"/>
    <w:pPr>
      <w:spacing w:before="100" w:beforeAutospacing="1" w:after="100" w:afterAutospacing="1"/>
    </w:pPr>
    <w:rPr>
      <w:rFonts w:ascii="Arial" w:hAnsi="Arial" w:cs="Arial"/>
      <w:sz w:val="20"/>
      <w:szCs w:val="20"/>
    </w:rPr>
  </w:style>
  <w:style w:type="paragraph" w:customStyle="1" w:styleId="380">
    <w:name w:val="xl107"/>
    <w:basedOn w:val="1"/>
    <w:qFormat/>
    <w:uiPriority w:val="99"/>
    <w:pPr>
      <w:spacing w:before="100" w:beforeAutospacing="1" w:after="100" w:afterAutospacing="1"/>
      <w:jc w:val="center"/>
    </w:pPr>
    <w:rPr>
      <w:rFonts w:ascii="Arial" w:hAnsi="Arial" w:cs="Arial"/>
      <w:b/>
      <w:bCs/>
    </w:rPr>
  </w:style>
  <w:style w:type="paragraph" w:customStyle="1" w:styleId="381">
    <w:name w:val="xl111"/>
    <w:basedOn w:val="1"/>
    <w:autoRedefine/>
    <w:qFormat/>
    <w:uiPriority w:val="99"/>
    <w:pPr>
      <w:spacing w:before="100" w:beforeAutospacing="1" w:after="100" w:afterAutospacing="1"/>
    </w:pPr>
    <w:rPr>
      <w:rFonts w:ascii="Arial" w:hAnsi="Arial" w:cs="Arial"/>
      <w:sz w:val="20"/>
      <w:szCs w:val="20"/>
    </w:rPr>
  </w:style>
  <w:style w:type="paragraph" w:customStyle="1" w:styleId="382">
    <w:name w:val="xl123"/>
    <w:basedOn w:val="1"/>
    <w:autoRedefine/>
    <w:qFormat/>
    <w:uiPriority w:val="99"/>
    <w:pPr>
      <w:spacing w:before="100" w:beforeAutospacing="1" w:after="100" w:afterAutospacing="1"/>
      <w:jc w:val="center"/>
    </w:pPr>
    <w:rPr>
      <w:rFonts w:ascii="小标宋" w:hAnsi="宋体" w:eastAsia="小标宋" w:cs="宋体"/>
      <w:b/>
      <w:bCs/>
      <w:sz w:val="40"/>
      <w:szCs w:val="40"/>
    </w:rPr>
  </w:style>
  <w:style w:type="paragraph" w:customStyle="1" w:styleId="383">
    <w:name w:val="style1"/>
    <w:basedOn w:val="1"/>
    <w:autoRedefine/>
    <w:qFormat/>
    <w:uiPriority w:val="99"/>
    <w:pPr>
      <w:spacing w:before="100" w:beforeAutospacing="1" w:after="100" w:afterAutospacing="1"/>
    </w:pPr>
    <w:rPr>
      <w:rFonts w:ascii="宋体" w:hAnsi="宋体" w:cs="宋体"/>
      <w:sz w:val="21"/>
      <w:szCs w:val="21"/>
    </w:rPr>
  </w:style>
  <w:style w:type="paragraph" w:customStyle="1" w:styleId="384">
    <w:name w:val="文本1"/>
    <w:basedOn w:val="1"/>
    <w:autoRedefine/>
    <w:qFormat/>
    <w:uiPriority w:val="99"/>
    <w:pPr>
      <w:widowControl w:val="0"/>
      <w:adjustRightInd w:val="0"/>
      <w:spacing w:line="312" w:lineRule="atLeast"/>
      <w:jc w:val="center"/>
      <w:textAlignment w:val="baseline"/>
    </w:pPr>
    <w:rPr>
      <w:sz w:val="18"/>
      <w:szCs w:val="20"/>
    </w:rPr>
  </w:style>
  <w:style w:type="paragraph" w:customStyle="1" w:styleId="385">
    <w:name w:val="Table Description"/>
    <w:next w:val="1"/>
    <w:autoRedefine/>
    <w:qFormat/>
    <w:uiPriority w:val="99"/>
    <w:pPr>
      <w:keepNext/>
      <w:snapToGrid w:val="0"/>
      <w:spacing w:before="160" w:after="80"/>
      <w:ind w:left="1134"/>
      <w:jc w:val="center"/>
    </w:pPr>
    <w:rPr>
      <w:rFonts w:ascii="Arial" w:hAnsi="Arial" w:eastAsia="黑体" w:cs="Arial"/>
      <w:sz w:val="18"/>
      <w:szCs w:val="18"/>
      <w:lang w:val="en-US" w:eastAsia="zh-CN" w:bidi="ar-SA"/>
    </w:rPr>
  </w:style>
  <w:style w:type="paragraph" w:customStyle="1" w:styleId="386">
    <w:name w:val="Item List"/>
    <w:autoRedefine/>
    <w:qFormat/>
    <w:uiPriority w:val="99"/>
    <w:pPr>
      <w:numPr>
        <w:ilvl w:val="0"/>
        <w:numId w:val="14"/>
      </w:numPr>
      <w:tabs>
        <w:tab w:val="left" w:pos="1644"/>
        <w:tab w:val="clear" w:pos="360"/>
      </w:tabs>
      <w:spacing w:line="300" w:lineRule="auto"/>
      <w:jc w:val="both"/>
    </w:pPr>
    <w:rPr>
      <w:rFonts w:ascii="Arial" w:hAnsi="Arial" w:eastAsia="宋体" w:cs="Arial"/>
      <w:sz w:val="21"/>
      <w:szCs w:val="21"/>
      <w:lang w:val="en-US" w:eastAsia="zh-CN" w:bidi="ar-SA"/>
    </w:rPr>
  </w:style>
  <w:style w:type="paragraph" w:customStyle="1" w:styleId="387">
    <w:name w:val="首行缩进 1"/>
    <w:basedOn w:val="1"/>
    <w:autoRedefine/>
    <w:qFormat/>
    <w:uiPriority w:val="99"/>
    <w:pPr>
      <w:widowControl w:val="0"/>
      <w:spacing w:after="120" w:line="360" w:lineRule="auto"/>
      <w:ind w:firstLine="200" w:firstLineChars="200"/>
      <w:jc w:val="both"/>
    </w:pPr>
    <w:rPr>
      <w:kern w:val="2"/>
    </w:rPr>
  </w:style>
  <w:style w:type="paragraph" w:customStyle="1" w:styleId="388">
    <w:name w:val="font10"/>
    <w:basedOn w:val="1"/>
    <w:autoRedefine/>
    <w:qFormat/>
    <w:uiPriority w:val="99"/>
    <w:pPr>
      <w:spacing w:before="100" w:beforeAutospacing="1" w:after="100" w:afterAutospacing="1"/>
    </w:pPr>
    <w:rPr>
      <w:rFonts w:ascii="宋体" w:hAnsi="宋体" w:cs="宋体"/>
      <w:color w:val="000000"/>
      <w:sz w:val="20"/>
      <w:szCs w:val="20"/>
    </w:rPr>
  </w:style>
  <w:style w:type="paragraph" w:customStyle="1" w:styleId="389">
    <w:name w:val="样式 正文文本缩进正文文字首行缩进HD正文1特点标题上海中望标准PI正文普通文字正文小标题正文文字缩进 + 首行..."/>
    <w:basedOn w:val="27"/>
    <w:autoRedefine/>
    <w:qFormat/>
    <w:uiPriority w:val="99"/>
    <w:pPr>
      <w:spacing w:line="360" w:lineRule="auto"/>
      <w:ind w:left="0" w:leftChars="0" w:firstLine="480"/>
    </w:pPr>
    <w:rPr>
      <w:rFonts w:hAnsi="Times New Roman" w:cs="宋体"/>
      <w:color w:val="008000"/>
      <w:szCs w:val="20"/>
    </w:rPr>
  </w:style>
  <w:style w:type="paragraph" w:customStyle="1" w:styleId="390">
    <w:name w:val="正文2"/>
    <w:basedOn w:val="1"/>
    <w:autoRedefine/>
    <w:qFormat/>
    <w:uiPriority w:val="99"/>
    <w:pPr>
      <w:widowControl w:val="0"/>
      <w:spacing w:before="156" w:line="360" w:lineRule="auto"/>
      <w:ind w:firstLine="510" w:firstLineChars="200"/>
      <w:jc w:val="both"/>
    </w:pPr>
    <w:rPr>
      <w:kern w:val="2"/>
      <w:szCs w:val="20"/>
    </w:rPr>
  </w:style>
  <w:style w:type="paragraph" w:customStyle="1" w:styleId="391">
    <w:name w:val="样式 左侧:  6 字符 段前: 0.5 行 段后: 0.5 行"/>
    <w:basedOn w:val="1"/>
    <w:autoRedefine/>
    <w:qFormat/>
    <w:uiPriority w:val="99"/>
    <w:pPr>
      <w:widowControl w:val="0"/>
      <w:snapToGrid w:val="0"/>
      <w:spacing w:beforeLines="50" w:afterLines="50" w:line="360" w:lineRule="auto"/>
      <w:ind w:left="1260" w:leftChars="600"/>
      <w:jc w:val="both"/>
    </w:pPr>
    <w:rPr>
      <w:rFonts w:cs="宋体"/>
      <w:kern w:val="2"/>
      <w:sz w:val="21"/>
      <w:szCs w:val="20"/>
    </w:rPr>
  </w:style>
  <w:style w:type="paragraph" w:customStyle="1" w:styleId="392">
    <w:name w:val="Char Char Char Char Char"/>
    <w:basedOn w:val="1"/>
    <w:autoRedefine/>
    <w:qFormat/>
    <w:uiPriority w:val="99"/>
    <w:pPr>
      <w:widowControl w:val="0"/>
      <w:autoSpaceDE w:val="0"/>
      <w:autoSpaceDN w:val="0"/>
      <w:adjustRightInd w:val="0"/>
    </w:pPr>
    <w:rPr>
      <w:rFonts w:ascii="Tahoma" w:hAnsi="Tahoma"/>
      <w:szCs w:val="20"/>
    </w:rPr>
  </w:style>
  <w:style w:type="paragraph" w:customStyle="1" w:styleId="393">
    <w:name w:val="xl70"/>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sz w:val="16"/>
      <w:szCs w:val="16"/>
    </w:rPr>
  </w:style>
  <w:style w:type="paragraph" w:customStyle="1" w:styleId="394">
    <w:name w:val="xl72"/>
    <w:basedOn w:val="1"/>
    <w:autoRedefine/>
    <w:qFormat/>
    <w:uiPriority w:val="0"/>
    <w:pPr>
      <w:pBdr>
        <w:top w:val="single" w:color="auto" w:sz="4" w:space="0"/>
        <w:left w:val="single" w:color="auto" w:sz="4" w:space="0"/>
        <w:bottom w:val="single" w:color="auto" w:sz="4" w:space="0"/>
      </w:pBdr>
      <w:spacing w:before="100" w:beforeAutospacing="1" w:after="100" w:afterAutospacing="1"/>
      <w:jc w:val="center"/>
    </w:pPr>
    <w:rPr>
      <w:rFonts w:ascii="宋体" w:hAnsi="宋体" w:cs="宋体"/>
      <w:sz w:val="16"/>
      <w:szCs w:val="16"/>
    </w:rPr>
  </w:style>
  <w:style w:type="paragraph" w:customStyle="1" w:styleId="395">
    <w:name w:val="xl76"/>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sz w:val="16"/>
      <w:szCs w:val="16"/>
    </w:rPr>
  </w:style>
  <w:style w:type="paragraph" w:customStyle="1" w:styleId="396">
    <w:name w:val="xl82"/>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sz w:val="16"/>
      <w:szCs w:val="16"/>
    </w:rPr>
  </w:style>
  <w:style w:type="paragraph" w:customStyle="1" w:styleId="397">
    <w:name w:val="xl51"/>
    <w:basedOn w:val="1"/>
    <w:autoRedefine/>
    <w:qFormat/>
    <w:uiPriority w:val="99"/>
    <w:pPr>
      <w:pBdr>
        <w:bottom w:val="single" w:color="auto" w:sz="4" w:space="0"/>
        <w:right w:val="single" w:color="auto" w:sz="4" w:space="0"/>
      </w:pBdr>
      <w:spacing w:before="100" w:beforeAutospacing="1" w:after="100" w:afterAutospacing="1"/>
      <w:jc w:val="both"/>
      <w:textAlignment w:val="center"/>
    </w:pPr>
    <w:rPr>
      <w:rFonts w:ascii="Arial" w:hAnsi="Arial" w:cs="Arial"/>
      <w:sz w:val="21"/>
      <w:szCs w:val="21"/>
    </w:rPr>
  </w:style>
  <w:style w:type="paragraph" w:customStyle="1" w:styleId="398">
    <w:name w:val="列出段落111"/>
    <w:basedOn w:val="1"/>
    <w:autoRedefine/>
    <w:qFormat/>
    <w:uiPriority w:val="99"/>
    <w:pPr>
      <w:widowControl w:val="0"/>
      <w:ind w:firstLine="420" w:firstLineChars="200"/>
      <w:jc w:val="both"/>
    </w:pPr>
    <w:rPr>
      <w:rFonts w:ascii="Calibri" w:hAnsi="Calibri"/>
      <w:kern w:val="2"/>
      <w:sz w:val="21"/>
      <w:szCs w:val="22"/>
    </w:rPr>
  </w:style>
  <w:style w:type="paragraph" w:customStyle="1" w:styleId="399">
    <w:name w:val="样式 标题 2 + 首行缩进:  2 字符"/>
    <w:basedOn w:val="5"/>
    <w:autoRedefine/>
    <w:qFormat/>
    <w:uiPriority w:val="99"/>
    <w:pPr>
      <w:keepNext/>
      <w:keepLines/>
      <w:tabs>
        <w:tab w:val="left" w:pos="720"/>
        <w:tab w:val="clear" w:pos="0"/>
      </w:tabs>
      <w:spacing w:before="240" w:after="140"/>
      <w:ind w:firstLine="790" w:firstLineChars="246"/>
      <w:contextualSpacing w:val="0"/>
    </w:pPr>
    <w:rPr>
      <w:rFonts w:ascii="Arial" w:hAnsi="Arial" w:eastAsia="仿宋_GB2312" w:cs="宋体"/>
      <w:bCs/>
      <w:color w:val="auto"/>
      <w:spacing w:val="0"/>
      <w:sz w:val="32"/>
      <w:szCs w:val="24"/>
    </w:rPr>
  </w:style>
  <w:style w:type="paragraph" w:customStyle="1" w:styleId="400">
    <w:name w:val="xl87"/>
    <w:basedOn w:val="1"/>
    <w:autoRedefine/>
    <w:qFormat/>
    <w:uiPriority w:val="0"/>
    <w:pPr>
      <w:pBdr>
        <w:top w:val="single" w:color="auto" w:sz="4" w:space="0"/>
        <w:bottom w:val="single" w:color="auto" w:sz="4" w:space="0"/>
        <w:right w:val="single" w:color="auto" w:sz="4" w:space="0"/>
      </w:pBdr>
      <w:spacing w:before="100" w:beforeAutospacing="1" w:after="100" w:afterAutospacing="1"/>
      <w:jc w:val="center"/>
    </w:pPr>
    <w:rPr>
      <w:rFonts w:ascii="宋体" w:hAnsi="宋体" w:cs="宋体"/>
      <w:sz w:val="20"/>
      <w:szCs w:val="20"/>
    </w:rPr>
  </w:style>
  <w:style w:type="paragraph" w:customStyle="1" w:styleId="401">
    <w:name w:val="xl91"/>
    <w:basedOn w:val="1"/>
    <w:autoRedefine/>
    <w:qFormat/>
    <w:uiPriority w:val="0"/>
    <w:pPr>
      <w:pBdr>
        <w:top w:val="single" w:color="auto" w:sz="4" w:space="0"/>
        <w:left w:val="single" w:color="auto" w:sz="4" w:space="0"/>
        <w:right w:val="single" w:color="auto" w:sz="4" w:space="0"/>
      </w:pBdr>
      <w:spacing w:before="100" w:beforeAutospacing="1" w:after="100" w:afterAutospacing="1"/>
      <w:jc w:val="center"/>
    </w:pPr>
    <w:rPr>
      <w:rFonts w:ascii="宋体" w:hAnsi="宋体" w:cs="宋体"/>
      <w:sz w:val="20"/>
      <w:szCs w:val="20"/>
    </w:rPr>
  </w:style>
  <w:style w:type="paragraph" w:customStyle="1" w:styleId="402">
    <w:name w:val="xl95"/>
    <w:basedOn w:val="1"/>
    <w:autoRedefine/>
    <w:qFormat/>
    <w:uiPriority w:val="0"/>
    <w:pPr>
      <w:pBdr>
        <w:top w:val="single" w:color="auto" w:sz="4" w:space="0"/>
        <w:left w:val="single" w:color="auto" w:sz="4" w:space="0"/>
      </w:pBdr>
      <w:spacing w:before="100" w:beforeAutospacing="1" w:after="100" w:afterAutospacing="1"/>
    </w:pPr>
    <w:rPr>
      <w:rFonts w:ascii="宋体" w:hAnsi="宋体" w:cs="宋体"/>
      <w:sz w:val="20"/>
      <w:szCs w:val="20"/>
    </w:rPr>
  </w:style>
  <w:style w:type="paragraph" w:customStyle="1" w:styleId="403">
    <w:name w:val="xl99"/>
    <w:basedOn w:val="1"/>
    <w:autoRedefine/>
    <w:qFormat/>
    <w:uiPriority w:val="99"/>
    <w:pPr>
      <w:pBdr>
        <w:left w:val="single" w:color="auto" w:sz="4" w:space="0"/>
        <w:bottom w:val="single" w:color="auto" w:sz="4" w:space="0"/>
        <w:right w:val="single" w:color="auto" w:sz="4" w:space="0"/>
      </w:pBdr>
      <w:spacing w:before="100" w:beforeAutospacing="1" w:after="100" w:afterAutospacing="1"/>
      <w:jc w:val="center"/>
    </w:pPr>
    <w:rPr>
      <w:rFonts w:ascii="宋体" w:hAnsi="宋体" w:cs="宋体"/>
      <w:sz w:val="20"/>
      <w:szCs w:val="20"/>
    </w:rPr>
  </w:style>
  <w:style w:type="paragraph" w:customStyle="1" w:styleId="404">
    <w:name w:val="xl105"/>
    <w:basedOn w:val="1"/>
    <w:autoRedefine/>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楷体_GB2312" w:hAnsi="宋体" w:eastAsia="楷体_GB2312" w:cs="宋体"/>
      <w:b/>
      <w:bCs/>
      <w:sz w:val="20"/>
      <w:szCs w:val="20"/>
    </w:rPr>
  </w:style>
  <w:style w:type="paragraph" w:customStyle="1" w:styleId="405">
    <w:name w:val="xl112"/>
    <w:basedOn w:val="1"/>
    <w:autoRedefine/>
    <w:qFormat/>
    <w:uiPriority w:val="99"/>
    <w:pPr>
      <w:pBdr>
        <w:bottom w:val="single" w:color="auto" w:sz="4" w:space="0"/>
        <w:right w:val="single" w:color="auto" w:sz="4" w:space="0"/>
      </w:pBdr>
      <w:spacing w:before="100" w:beforeAutospacing="1" w:after="100" w:afterAutospacing="1"/>
      <w:jc w:val="center"/>
    </w:pPr>
    <w:rPr>
      <w:rFonts w:ascii="宋体" w:hAnsi="宋体" w:cs="宋体"/>
      <w:sz w:val="20"/>
      <w:szCs w:val="20"/>
    </w:rPr>
  </w:style>
  <w:style w:type="paragraph" w:customStyle="1" w:styleId="406">
    <w:name w:val="xl115"/>
    <w:basedOn w:val="1"/>
    <w:autoRedefine/>
    <w:qFormat/>
    <w:uiPriority w:val="99"/>
    <w:pPr>
      <w:pBdr>
        <w:top w:val="single" w:color="auto" w:sz="4" w:space="0"/>
        <w:left w:val="single" w:color="auto" w:sz="4" w:space="0"/>
        <w:bottom w:val="single" w:color="auto" w:sz="4" w:space="0"/>
      </w:pBdr>
      <w:spacing w:before="100" w:beforeAutospacing="1" w:after="100" w:afterAutospacing="1"/>
      <w:jc w:val="center"/>
    </w:pPr>
    <w:rPr>
      <w:rFonts w:ascii="Arial" w:hAnsi="Arial" w:cs="Arial"/>
      <w:b/>
      <w:bCs/>
      <w:sz w:val="20"/>
      <w:szCs w:val="20"/>
    </w:rPr>
  </w:style>
  <w:style w:type="paragraph" w:customStyle="1" w:styleId="407">
    <w:name w:val="xl127"/>
    <w:basedOn w:val="1"/>
    <w:autoRedefine/>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pPr>
    <w:rPr>
      <w:rFonts w:ascii="Arial" w:hAnsi="Arial" w:cs="Arial"/>
    </w:rPr>
  </w:style>
  <w:style w:type="paragraph" w:customStyle="1" w:styleId="408">
    <w:name w:val="_Style 198"/>
    <w:next w:val="1"/>
    <w:autoRedefine/>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409">
    <w:name w:val="Char Char1 Char Char Char Char Char Char Char Char Char Char Char Char Char Char"/>
    <w:basedOn w:val="1"/>
    <w:autoRedefine/>
    <w:qFormat/>
    <w:uiPriority w:val="99"/>
    <w:pPr>
      <w:spacing w:after="160" w:line="240" w:lineRule="exact"/>
    </w:pPr>
    <w:rPr>
      <w:rFonts w:ascii="Verdana" w:hAnsi="Verdana"/>
      <w:sz w:val="20"/>
      <w:szCs w:val="20"/>
      <w:lang w:eastAsia="en-US"/>
    </w:rPr>
  </w:style>
  <w:style w:type="paragraph" w:customStyle="1" w:styleId="410">
    <w:name w:val="附录3"/>
    <w:basedOn w:val="1"/>
    <w:next w:val="1"/>
    <w:autoRedefine/>
    <w:qFormat/>
    <w:uiPriority w:val="99"/>
    <w:pPr>
      <w:widowControl w:val="0"/>
      <w:tabs>
        <w:tab w:val="left" w:pos="851"/>
      </w:tabs>
      <w:ind w:left="425" w:hanging="425"/>
      <w:jc w:val="both"/>
      <w:outlineLvl w:val="2"/>
    </w:pPr>
    <w:rPr>
      <w:rFonts w:eastAsia="黑体"/>
      <w:b/>
      <w:bCs/>
      <w:kern w:val="2"/>
      <w:sz w:val="32"/>
    </w:rPr>
  </w:style>
  <w:style w:type="paragraph" w:customStyle="1" w:styleId="411">
    <w:name w:val="可研正文"/>
    <w:basedOn w:val="8"/>
    <w:autoRedefine/>
    <w:qFormat/>
    <w:uiPriority w:val="99"/>
    <w:pPr>
      <w:adjustRightInd w:val="0"/>
      <w:snapToGrid w:val="0"/>
      <w:spacing w:after="0" w:line="440" w:lineRule="exact"/>
      <w:ind w:firstLine="567" w:firstLineChars="0"/>
    </w:pPr>
    <w:rPr>
      <w:rFonts w:ascii="仿宋_GB2312" w:eastAsia="仿宋_GB2312"/>
      <w:sz w:val="28"/>
      <w:szCs w:val="20"/>
    </w:rPr>
  </w:style>
  <w:style w:type="paragraph" w:customStyle="1" w:styleId="412">
    <w:name w:val="样式 标题 1章标题Heading 0Section HeadPIM 1H1h11st levell11H1..."/>
    <w:basedOn w:val="3"/>
    <w:autoRedefine/>
    <w:qFormat/>
    <w:uiPriority w:val="99"/>
    <w:pPr>
      <w:keepNext/>
      <w:keepLines/>
      <w:pageBreakBefore/>
      <w:tabs>
        <w:tab w:val="left" w:pos="432"/>
        <w:tab w:val="clear" w:pos="0"/>
      </w:tabs>
      <w:autoSpaceDE w:val="0"/>
      <w:autoSpaceDN w:val="0"/>
      <w:adjustRightInd w:val="0"/>
      <w:snapToGrid w:val="0"/>
      <w:spacing w:before="340" w:after="330" w:line="578" w:lineRule="atLeast"/>
      <w:contextualSpacing w:val="0"/>
      <w:textAlignment w:val="bottom"/>
    </w:pPr>
    <w:rPr>
      <w:rFonts w:ascii="宋体" w:hAnsi="宋体" w:eastAsia="黑体"/>
      <w:color w:val="auto"/>
      <w:spacing w:val="0"/>
      <w:kern w:val="44"/>
      <w:sz w:val="36"/>
      <w:szCs w:val="24"/>
    </w:rPr>
  </w:style>
  <w:style w:type="paragraph" w:customStyle="1" w:styleId="413">
    <w:name w:val="正文4"/>
    <w:basedOn w:val="1"/>
    <w:autoRedefine/>
    <w:qFormat/>
    <w:uiPriority w:val="99"/>
    <w:pPr>
      <w:widowControl w:val="0"/>
      <w:numPr>
        <w:ilvl w:val="0"/>
        <w:numId w:val="15"/>
      </w:numPr>
      <w:tabs>
        <w:tab w:val="left" w:pos="425"/>
      </w:tabs>
      <w:spacing w:before="60" w:after="60" w:line="360" w:lineRule="auto"/>
      <w:ind w:left="820" w:leftChars="400" w:firstLine="0"/>
      <w:jc w:val="both"/>
    </w:pPr>
    <w:rPr>
      <w:kern w:val="2"/>
    </w:rPr>
  </w:style>
  <w:style w:type="paragraph" w:customStyle="1" w:styleId="414">
    <w:name w:val="正文表格"/>
    <w:basedOn w:val="1"/>
    <w:autoRedefine/>
    <w:qFormat/>
    <w:uiPriority w:val="99"/>
    <w:pPr>
      <w:widowControl w:val="0"/>
      <w:adjustRightInd w:val="0"/>
      <w:spacing w:before="40" w:after="40"/>
      <w:jc w:val="both"/>
    </w:pPr>
    <w:rPr>
      <w:kern w:val="2"/>
      <w:szCs w:val="20"/>
    </w:rPr>
  </w:style>
  <w:style w:type="paragraph" w:customStyle="1" w:styleId="415">
    <w:name w:val="xl53"/>
    <w:basedOn w:val="1"/>
    <w:autoRedefine/>
    <w:qFormat/>
    <w:uiPriority w:val="99"/>
    <w:pPr>
      <w:pBdr>
        <w:left w:val="single" w:color="auto" w:sz="4" w:space="0"/>
        <w:bottom w:val="single" w:color="auto" w:sz="4" w:space="0"/>
      </w:pBdr>
      <w:spacing w:before="100" w:beforeAutospacing="1" w:after="100" w:afterAutospacing="1"/>
      <w:jc w:val="center"/>
      <w:textAlignment w:val="center"/>
    </w:pPr>
    <w:rPr>
      <w:rFonts w:ascii="宋体" w:hAnsi="宋体"/>
    </w:rPr>
  </w:style>
  <w:style w:type="paragraph" w:customStyle="1" w:styleId="416">
    <w:name w:val="Title - Date"/>
    <w:basedOn w:val="63"/>
    <w:next w:val="1"/>
    <w:qFormat/>
    <w:uiPriority w:val="99"/>
    <w:pPr>
      <w:spacing w:before="240" w:after="720" w:line="360" w:lineRule="auto"/>
      <w:contextualSpacing w:val="0"/>
      <w:jc w:val="center"/>
    </w:pPr>
    <w:rPr>
      <w:rFonts w:ascii="Arial" w:hAnsi="Arial"/>
      <w:color w:val="auto"/>
      <w:spacing w:val="0"/>
      <w:kern w:val="28"/>
      <w:sz w:val="28"/>
      <w:szCs w:val="20"/>
    </w:rPr>
  </w:style>
  <w:style w:type="paragraph" w:customStyle="1" w:styleId="417">
    <w:name w:val="普通正文"/>
    <w:basedOn w:val="1"/>
    <w:autoRedefine/>
    <w:qFormat/>
    <w:uiPriority w:val="99"/>
    <w:pPr>
      <w:widowControl w:val="0"/>
      <w:adjustRightInd w:val="0"/>
      <w:spacing w:before="120" w:after="120" w:line="360" w:lineRule="auto"/>
      <w:ind w:firstLine="480"/>
      <w:textAlignment w:val="baseline"/>
    </w:pPr>
    <w:rPr>
      <w:rFonts w:ascii="Arial" w:hAnsi="Arial"/>
    </w:rPr>
  </w:style>
  <w:style w:type="paragraph" w:customStyle="1" w:styleId="418">
    <w:name w:val="content"/>
    <w:basedOn w:val="1"/>
    <w:qFormat/>
    <w:uiPriority w:val="99"/>
    <w:pPr>
      <w:spacing w:before="100" w:beforeAutospacing="1" w:after="100" w:afterAutospacing="1" w:line="280" w:lineRule="atLeast"/>
      <w:ind w:firstLine="375"/>
    </w:pPr>
    <w:rPr>
      <w:rFonts w:ascii="宋体" w:hAnsi="宋体" w:cs="宋体"/>
      <w:color w:val="000000"/>
      <w:sz w:val="18"/>
      <w:szCs w:val="18"/>
    </w:rPr>
  </w:style>
  <w:style w:type="paragraph" w:customStyle="1" w:styleId="419">
    <w:name w:val="CSS1级正文 Char"/>
    <w:basedOn w:val="8"/>
    <w:autoRedefine/>
    <w:qFormat/>
    <w:uiPriority w:val="99"/>
    <w:pPr>
      <w:adjustRightInd w:val="0"/>
      <w:snapToGrid w:val="0"/>
      <w:spacing w:after="0" w:line="360" w:lineRule="auto"/>
      <w:ind w:firstLine="480" w:firstLineChars="0"/>
    </w:pPr>
    <w:rPr>
      <w:sz w:val="21"/>
    </w:rPr>
  </w:style>
  <w:style w:type="paragraph" w:customStyle="1" w:styleId="420">
    <w:name w:val="样式 行距: 1.5 倍行距1"/>
    <w:basedOn w:val="1"/>
    <w:autoRedefine/>
    <w:qFormat/>
    <w:uiPriority w:val="99"/>
    <w:pPr>
      <w:widowControl w:val="0"/>
      <w:snapToGrid w:val="0"/>
      <w:jc w:val="both"/>
    </w:pPr>
    <w:rPr>
      <w:rFonts w:cs="宋体"/>
      <w:kern w:val="2"/>
      <w:sz w:val="21"/>
      <w:szCs w:val="21"/>
    </w:rPr>
  </w:style>
  <w:style w:type="paragraph" w:customStyle="1" w:styleId="421">
    <w:name w:val="Char1 Char Char Char Char Char Char Char Char Char"/>
    <w:basedOn w:val="1"/>
    <w:autoRedefine/>
    <w:qFormat/>
    <w:uiPriority w:val="99"/>
    <w:pPr>
      <w:widowControl w:val="0"/>
      <w:jc w:val="both"/>
    </w:pPr>
    <w:rPr>
      <w:rFonts w:ascii="Tahoma" w:hAnsi="Tahoma"/>
      <w:kern w:val="2"/>
      <w:szCs w:val="20"/>
    </w:rPr>
  </w:style>
  <w:style w:type="paragraph" w:customStyle="1" w:styleId="422">
    <w:name w:val="xl24"/>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sz w:val="20"/>
      <w:szCs w:val="20"/>
    </w:rPr>
  </w:style>
  <w:style w:type="paragraph" w:customStyle="1" w:styleId="423">
    <w:name w:val="xl27"/>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sz w:val="20"/>
      <w:szCs w:val="20"/>
    </w:rPr>
  </w:style>
  <w:style w:type="paragraph" w:customStyle="1" w:styleId="424">
    <w:name w:val="xl33"/>
    <w:basedOn w:val="1"/>
    <w:autoRedefine/>
    <w:qFormat/>
    <w:uiPriority w:val="99"/>
    <w:pPr>
      <w:pBdr>
        <w:top w:val="single" w:color="auto" w:sz="4" w:space="0"/>
        <w:left w:val="single" w:color="auto" w:sz="4" w:space="0"/>
        <w:bottom w:val="single" w:color="auto" w:sz="4" w:space="0"/>
        <w:right w:val="single" w:color="auto" w:sz="4" w:space="0"/>
      </w:pBdr>
      <w:shd w:val="clear" w:color="auto" w:fill="CCFFCC"/>
      <w:spacing w:before="100" w:beforeAutospacing="1" w:after="100" w:afterAutospacing="1"/>
      <w:jc w:val="center"/>
    </w:pPr>
    <w:rPr>
      <w:rFonts w:ascii="宋体" w:hAnsi="宋体" w:cs="宋体"/>
      <w:b/>
      <w:bCs/>
      <w:sz w:val="20"/>
      <w:szCs w:val="20"/>
    </w:rPr>
  </w:style>
  <w:style w:type="paragraph" w:customStyle="1" w:styleId="425">
    <w:name w:val="xl37"/>
    <w:basedOn w:val="1"/>
    <w:autoRedefine/>
    <w:qFormat/>
    <w:uiPriority w:val="99"/>
    <w:pPr>
      <w:pBdr>
        <w:top w:val="single" w:color="auto" w:sz="4" w:space="0"/>
        <w:left w:val="single" w:color="auto" w:sz="4" w:space="0"/>
        <w:bottom w:val="single" w:color="auto" w:sz="4" w:space="0"/>
        <w:right w:val="single" w:color="auto" w:sz="4" w:space="0"/>
      </w:pBdr>
      <w:shd w:val="clear" w:color="auto" w:fill="CCFFFF"/>
      <w:spacing w:before="100" w:beforeAutospacing="1" w:after="100" w:afterAutospacing="1"/>
      <w:jc w:val="center"/>
    </w:pPr>
    <w:rPr>
      <w:rFonts w:ascii="宋体" w:hAnsi="宋体" w:cs="宋体"/>
      <w:sz w:val="20"/>
      <w:szCs w:val="20"/>
    </w:rPr>
  </w:style>
  <w:style w:type="paragraph" w:customStyle="1" w:styleId="426">
    <w:name w:val="xl42"/>
    <w:basedOn w:val="1"/>
    <w:autoRedefine/>
    <w:qFormat/>
    <w:uiPriority w:val="99"/>
    <w:pPr>
      <w:pBdr>
        <w:top w:val="single" w:color="auto" w:sz="4" w:space="0"/>
        <w:left w:val="single" w:color="auto" w:sz="4" w:space="0"/>
        <w:bottom w:val="single" w:color="auto" w:sz="4" w:space="0"/>
        <w:right w:val="single" w:color="auto" w:sz="4" w:space="0"/>
      </w:pBdr>
      <w:shd w:val="clear" w:color="auto" w:fill="CCFFFF"/>
      <w:spacing w:before="100" w:beforeAutospacing="1" w:after="100" w:afterAutospacing="1"/>
      <w:jc w:val="center"/>
    </w:pPr>
    <w:rPr>
      <w:rFonts w:ascii="宋体" w:hAnsi="宋体" w:cs="宋体"/>
      <w:sz w:val="20"/>
      <w:szCs w:val="20"/>
    </w:rPr>
  </w:style>
  <w:style w:type="paragraph" w:customStyle="1" w:styleId="427">
    <w:name w:val="xl46"/>
    <w:basedOn w:val="1"/>
    <w:autoRedefine/>
    <w:qFormat/>
    <w:uiPriority w:val="99"/>
    <w:pPr>
      <w:pBdr>
        <w:top w:val="single" w:color="auto" w:sz="4" w:space="0"/>
        <w:left w:val="single" w:color="auto" w:sz="4" w:space="0"/>
        <w:bottom w:val="single" w:color="auto" w:sz="4" w:space="0"/>
        <w:right w:val="single" w:color="auto" w:sz="4" w:space="0"/>
      </w:pBdr>
      <w:shd w:val="clear" w:color="auto" w:fill="CC99FF"/>
      <w:spacing w:before="100" w:beforeAutospacing="1" w:after="100" w:afterAutospacing="1"/>
      <w:jc w:val="center"/>
    </w:pPr>
    <w:rPr>
      <w:rFonts w:ascii="宋体" w:hAnsi="宋体" w:cs="宋体"/>
      <w:b/>
      <w:bCs/>
      <w:sz w:val="20"/>
      <w:szCs w:val="20"/>
    </w:rPr>
  </w:style>
  <w:style w:type="paragraph" w:customStyle="1" w:styleId="428">
    <w:name w:val="xl50"/>
    <w:basedOn w:val="1"/>
    <w:autoRedefine/>
    <w:qFormat/>
    <w:uiPriority w:val="99"/>
    <w:pPr>
      <w:pBdr>
        <w:left w:val="single" w:color="auto" w:sz="4" w:space="0"/>
        <w:right w:val="single" w:color="auto" w:sz="4" w:space="0"/>
      </w:pBdr>
      <w:spacing w:before="100" w:beforeAutospacing="1" w:after="100" w:afterAutospacing="1"/>
      <w:jc w:val="center"/>
    </w:pPr>
    <w:rPr>
      <w:rFonts w:ascii="宋体" w:hAnsi="宋体" w:cs="宋体"/>
      <w:b/>
      <w:bCs/>
      <w:sz w:val="20"/>
      <w:szCs w:val="20"/>
    </w:rPr>
  </w:style>
  <w:style w:type="paragraph" w:customStyle="1" w:styleId="429">
    <w:name w:val="xl58"/>
    <w:basedOn w:val="1"/>
    <w:autoRedefine/>
    <w:qFormat/>
    <w:uiPriority w:val="99"/>
    <w:pPr>
      <w:pBdr>
        <w:top w:val="single" w:color="auto" w:sz="4" w:space="0"/>
        <w:left w:val="single" w:color="auto" w:sz="4" w:space="0"/>
        <w:right w:val="single" w:color="auto" w:sz="4" w:space="0"/>
      </w:pBdr>
      <w:spacing w:before="100" w:beforeAutospacing="1" w:after="100" w:afterAutospacing="1"/>
      <w:jc w:val="center"/>
    </w:pPr>
    <w:rPr>
      <w:rFonts w:ascii="宋体" w:hAnsi="宋体" w:cs="宋体"/>
      <w:b/>
      <w:bCs/>
      <w:sz w:val="20"/>
      <w:szCs w:val="20"/>
    </w:rPr>
  </w:style>
  <w:style w:type="paragraph" w:customStyle="1" w:styleId="430">
    <w:name w:val="xl62"/>
    <w:basedOn w:val="1"/>
    <w:autoRedefine/>
    <w:qFormat/>
    <w:uiPriority w:val="99"/>
    <w:pPr>
      <w:pBdr>
        <w:top w:val="single" w:color="auto" w:sz="4" w:space="0"/>
        <w:left w:val="single" w:color="auto" w:sz="4" w:space="0"/>
        <w:right w:val="single" w:color="auto" w:sz="4" w:space="0"/>
      </w:pBdr>
      <w:spacing w:before="100" w:beforeAutospacing="1" w:after="100" w:afterAutospacing="1"/>
      <w:jc w:val="center"/>
    </w:pPr>
    <w:rPr>
      <w:rFonts w:ascii="宋体" w:hAnsi="宋体" w:cs="宋体"/>
      <w:sz w:val="20"/>
      <w:szCs w:val="20"/>
    </w:rPr>
  </w:style>
  <w:style w:type="paragraph" w:customStyle="1" w:styleId="431">
    <w:name w:val="xl66"/>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color w:val="000000"/>
      <w:sz w:val="21"/>
      <w:szCs w:val="21"/>
    </w:rPr>
  </w:style>
  <w:style w:type="paragraph" w:customStyle="1" w:styleId="432">
    <w:name w:val="样式 标题 4 + 宋体 五号 行距: 多倍行距 1.25 字行"/>
    <w:basedOn w:val="7"/>
    <w:autoRedefine/>
    <w:qFormat/>
    <w:uiPriority w:val="99"/>
    <w:pPr>
      <w:keepNext/>
      <w:keepLines/>
      <w:pBdr>
        <w:bottom w:val="none" w:color="auto" w:sz="0" w:space="0"/>
      </w:pBdr>
      <w:spacing w:before="280" w:after="290" w:line="300" w:lineRule="auto"/>
      <w:contextualSpacing w:val="0"/>
    </w:pPr>
    <w:rPr>
      <w:rFonts w:ascii="宋体" w:hAnsi="宋体"/>
      <w:color w:val="auto"/>
      <w:spacing w:val="0"/>
    </w:rPr>
  </w:style>
  <w:style w:type="paragraph" w:customStyle="1" w:styleId="433">
    <w:name w:val="标题11"/>
    <w:basedOn w:val="3"/>
    <w:autoRedefine/>
    <w:qFormat/>
    <w:uiPriority w:val="99"/>
    <w:pPr>
      <w:keepNext/>
      <w:keepLines/>
      <w:tabs>
        <w:tab w:val="left" w:pos="360"/>
        <w:tab w:val="clear" w:pos="0"/>
      </w:tabs>
      <w:spacing w:beforeLines="50" w:after="120" w:line="300" w:lineRule="auto"/>
      <w:contextualSpacing w:val="0"/>
      <w:jc w:val="center"/>
    </w:pPr>
    <w:rPr>
      <w:rFonts w:ascii="Times New Roman" w:hAnsi="Times New Roman" w:eastAsia="黑体"/>
      <w:color w:val="auto"/>
      <w:spacing w:val="6"/>
      <w:kern w:val="44"/>
      <w:sz w:val="36"/>
      <w:szCs w:val="24"/>
    </w:rPr>
  </w:style>
  <w:style w:type="paragraph" w:customStyle="1" w:styleId="434">
    <w:name w:val="样式5"/>
    <w:basedOn w:val="265"/>
    <w:autoRedefine/>
    <w:qFormat/>
    <w:uiPriority w:val="99"/>
  </w:style>
  <w:style w:type="paragraph" w:customStyle="1" w:styleId="435">
    <w:name w:val="样式 小四 行距: 1.5 倍行距 首行缩进:  2 字符"/>
    <w:basedOn w:val="1"/>
    <w:autoRedefine/>
    <w:qFormat/>
    <w:uiPriority w:val="99"/>
    <w:pPr>
      <w:widowControl w:val="0"/>
      <w:spacing w:line="360" w:lineRule="auto"/>
      <w:ind w:firstLine="480" w:firstLineChars="200"/>
      <w:jc w:val="both"/>
    </w:pPr>
    <w:rPr>
      <w:rFonts w:cs="宋体"/>
      <w:kern w:val="2"/>
      <w:szCs w:val="20"/>
    </w:rPr>
  </w:style>
  <w:style w:type="paragraph" w:customStyle="1" w:styleId="436">
    <w:name w:val="Microsoft"/>
    <w:qFormat/>
    <w:uiPriority w:val="99"/>
    <w:pPr>
      <w:widowControl w:val="0"/>
      <w:jc w:val="both"/>
    </w:pPr>
    <w:rPr>
      <w:rFonts w:ascii="Calibri" w:hAnsi="Calibri" w:eastAsia="宋体" w:cs="Times New Roman"/>
      <w:kern w:val="2"/>
      <w:sz w:val="21"/>
      <w:szCs w:val="22"/>
      <w:lang w:val="en-US" w:eastAsia="zh-CN" w:bidi="ar-SA"/>
    </w:rPr>
  </w:style>
  <w:style w:type="paragraph" w:customStyle="1" w:styleId="437">
    <w:name w:val="my正文"/>
    <w:autoRedefine/>
    <w:qFormat/>
    <w:uiPriority w:val="99"/>
    <w:pPr>
      <w:snapToGrid w:val="0"/>
      <w:spacing w:beforeLines="50" w:afterLines="50" w:line="300" w:lineRule="auto"/>
      <w:ind w:firstLine="480" w:firstLineChars="200"/>
    </w:pPr>
    <w:rPr>
      <w:rFonts w:ascii="宋体" w:hAnsi="宋体" w:eastAsia="宋体" w:cs="Times New Roman"/>
      <w:sz w:val="24"/>
      <w:szCs w:val="24"/>
      <w:lang w:val="en-US" w:eastAsia="zh-CN" w:bidi="ar-SA"/>
    </w:rPr>
  </w:style>
  <w:style w:type="paragraph" w:customStyle="1" w:styleId="438">
    <w:name w:val="font8"/>
    <w:basedOn w:val="1"/>
    <w:autoRedefine/>
    <w:qFormat/>
    <w:uiPriority w:val="99"/>
    <w:pPr>
      <w:spacing w:before="100" w:beforeAutospacing="1" w:after="100" w:afterAutospacing="1"/>
    </w:pPr>
    <w:rPr>
      <w:rFonts w:ascii="宋体" w:hAnsi="宋体" w:cs="宋体"/>
      <w:sz w:val="16"/>
      <w:szCs w:val="16"/>
    </w:rPr>
  </w:style>
  <w:style w:type="paragraph" w:customStyle="1" w:styleId="439">
    <w:name w:val="xl110"/>
    <w:basedOn w:val="1"/>
    <w:autoRedefine/>
    <w:qFormat/>
    <w:uiPriority w:val="99"/>
    <w:pPr>
      <w:spacing w:before="100" w:beforeAutospacing="1" w:after="100" w:afterAutospacing="1"/>
      <w:jc w:val="center"/>
      <w:textAlignment w:val="bottom"/>
    </w:pPr>
    <w:rPr>
      <w:rFonts w:ascii="Arial" w:hAnsi="Arial" w:cs="Arial"/>
      <w:sz w:val="20"/>
      <w:szCs w:val="20"/>
    </w:rPr>
  </w:style>
  <w:style w:type="paragraph" w:customStyle="1" w:styleId="440">
    <w:name w:val="xl118"/>
    <w:basedOn w:val="1"/>
    <w:autoRedefine/>
    <w:qFormat/>
    <w:uiPriority w:val="99"/>
    <w:pPr>
      <w:spacing w:before="100" w:beforeAutospacing="1" w:after="100" w:afterAutospacing="1"/>
    </w:pPr>
    <w:rPr>
      <w:rFonts w:ascii="Arial" w:hAnsi="Arial" w:cs="Arial"/>
      <w:sz w:val="20"/>
      <w:szCs w:val="20"/>
    </w:rPr>
  </w:style>
  <w:style w:type="paragraph" w:customStyle="1" w:styleId="441">
    <w:name w:val="xl122"/>
    <w:basedOn w:val="1"/>
    <w:autoRedefine/>
    <w:qFormat/>
    <w:uiPriority w:val="99"/>
    <w:pPr>
      <w:spacing w:before="100" w:beforeAutospacing="1" w:after="100" w:afterAutospacing="1"/>
    </w:pPr>
    <w:rPr>
      <w:rFonts w:ascii="Arial" w:hAnsi="Arial" w:cs="Arial"/>
      <w:sz w:val="32"/>
      <w:szCs w:val="32"/>
    </w:rPr>
  </w:style>
  <w:style w:type="paragraph" w:customStyle="1" w:styleId="442">
    <w:name w:val="Item Step"/>
    <w:qFormat/>
    <w:uiPriority w:val="99"/>
    <w:pPr>
      <w:tabs>
        <w:tab w:val="left" w:pos="1644"/>
      </w:tabs>
      <w:ind w:left="1644" w:hanging="510"/>
      <w:outlineLvl w:val="4"/>
    </w:pPr>
    <w:rPr>
      <w:rFonts w:ascii="Arial" w:hAnsi="Arial" w:eastAsia="宋体" w:cs="Arial"/>
      <w:sz w:val="21"/>
      <w:szCs w:val="21"/>
      <w:lang w:val="en-US" w:eastAsia="zh-CN" w:bidi="ar-SA"/>
    </w:rPr>
  </w:style>
  <w:style w:type="paragraph" w:customStyle="1" w:styleId="443">
    <w:name w:val="正文文本缩进 21"/>
    <w:basedOn w:val="1"/>
    <w:autoRedefine/>
    <w:qFormat/>
    <w:uiPriority w:val="99"/>
    <w:pPr>
      <w:widowControl w:val="0"/>
      <w:adjustRightInd w:val="0"/>
      <w:spacing w:before="120"/>
      <w:ind w:firstLine="420"/>
      <w:jc w:val="both"/>
      <w:textAlignment w:val="baseline"/>
    </w:pPr>
    <w:rPr>
      <w:kern w:val="2"/>
      <w:szCs w:val="20"/>
    </w:rPr>
  </w:style>
  <w:style w:type="paragraph" w:customStyle="1" w:styleId="444">
    <w:name w:val="段落正文"/>
    <w:basedOn w:val="1"/>
    <w:autoRedefine/>
    <w:qFormat/>
    <w:uiPriority w:val="99"/>
    <w:pPr>
      <w:widowControl w:val="0"/>
      <w:spacing w:beforeLines="50" w:line="360" w:lineRule="auto"/>
      <w:ind w:firstLine="200" w:firstLineChars="200"/>
      <w:jc w:val="both"/>
    </w:pPr>
    <w:rPr>
      <w:spacing w:val="2"/>
      <w:kern w:val="2"/>
    </w:rPr>
  </w:style>
  <w:style w:type="paragraph" w:customStyle="1" w:styleId="445">
    <w:name w:val="编号正文"/>
    <w:basedOn w:val="189"/>
    <w:autoRedefine/>
    <w:qFormat/>
    <w:uiPriority w:val="99"/>
    <w:pPr>
      <w:spacing w:line="360" w:lineRule="auto"/>
      <w:ind w:left="1407" w:hanging="1047" w:firstLineChars="0"/>
      <w:jc w:val="left"/>
    </w:pPr>
    <w:rPr>
      <w:rFonts w:ascii="Arial Narrow" w:hAnsi="Arial Narrow" w:eastAsia="仿宋_GB2312"/>
      <w:sz w:val="24"/>
      <w:szCs w:val="24"/>
    </w:rPr>
  </w:style>
  <w:style w:type="paragraph" w:customStyle="1" w:styleId="446">
    <w:name w:val="a0"/>
    <w:basedOn w:val="1"/>
    <w:autoRedefine/>
    <w:qFormat/>
    <w:uiPriority w:val="99"/>
    <w:pPr>
      <w:spacing w:before="100" w:beforeAutospacing="1" w:after="100" w:afterAutospacing="1"/>
    </w:pPr>
    <w:rPr>
      <w:rFonts w:ascii="宋体" w:hAnsi="宋体" w:cs="宋体"/>
    </w:rPr>
  </w:style>
  <w:style w:type="paragraph" w:customStyle="1" w:styleId="447">
    <w:name w:val="DAS列表二"/>
    <w:basedOn w:val="267"/>
    <w:next w:val="267"/>
    <w:autoRedefine/>
    <w:qFormat/>
    <w:uiPriority w:val="99"/>
    <w:pPr>
      <w:numPr>
        <w:ilvl w:val="0"/>
        <w:numId w:val="16"/>
      </w:numPr>
      <w:ind w:left="0" w:firstLine="360" w:firstLineChars="0"/>
    </w:pPr>
  </w:style>
  <w:style w:type="paragraph" w:customStyle="1" w:styleId="448">
    <w:name w:val="xl71"/>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sz w:val="16"/>
      <w:szCs w:val="16"/>
    </w:rPr>
  </w:style>
  <w:style w:type="paragraph" w:customStyle="1" w:styleId="449">
    <w:name w:val="xl7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color w:val="FF0000"/>
      <w:sz w:val="16"/>
      <w:szCs w:val="16"/>
    </w:rPr>
  </w:style>
  <w:style w:type="paragraph" w:customStyle="1" w:styleId="450">
    <w:name w:val="xl79"/>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color w:val="FF0000"/>
      <w:sz w:val="16"/>
      <w:szCs w:val="16"/>
    </w:rPr>
  </w:style>
  <w:style w:type="paragraph" w:customStyle="1" w:styleId="451">
    <w:name w:val="xl83"/>
    <w:basedOn w:val="1"/>
    <w:autoRedefine/>
    <w:qFormat/>
    <w:uiPriority w:val="0"/>
    <w:pPr>
      <w:pBdr>
        <w:top w:val="single" w:color="auto" w:sz="4" w:space="0"/>
      </w:pBdr>
      <w:spacing w:before="100" w:beforeAutospacing="1" w:after="100" w:afterAutospacing="1"/>
    </w:pPr>
    <w:rPr>
      <w:rFonts w:ascii="宋体" w:hAnsi="宋体" w:cs="宋体"/>
      <w:sz w:val="16"/>
      <w:szCs w:val="16"/>
    </w:rPr>
  </w:style>
  <w:style w:type="paragraph" w:customStyle="1" w:styleId="452">
    <w:name w:val="Char Char Char Char Char Char Char Char Char Char Char Char Char2"/>
    <w:basedOn w:val="1"/>
    <w:autoRedefine/>
    <w:qFormat/>
    <w:uiPriority w:val="99"/>
    <w:pPr>
      <w:widowControl w:val="0"/>
      <w:jc w:val="both"/>
    </w:pPr>
    <w:rPr>
      <w:sz w:val="20"/>
      <w:szCs w:val="20"/>
    </w:rPr>
  </w:style>
  <w:style w:type="paragraph" w:customStyle="1" w:styleId="453">
    <w:name w:val="样式 标题 2h2sect 1.2H2UNDERRUBRIK 1-2hhHeading TwoProphead 2..."/>
    <w:basedOn w:val="5"/>
    <w:autoRedefine/>
    <w:qFormat/>
    <w:uiPriority w:val="99"/>
    <w:pPr>
      <w:keepLines/>
      <w:numPr>
        <w:ilvl w:val="1"/>
        <w:numId w:val="17"/>
      </w:numPr>
      <w:tabs>
        <w:tab w:val="clear" w:pos="0"/>
      </w:tabs>
      <w:spacing w:before="312" w:after="312" w:line="360" w:lineRule="auto"/>
      <w:contextualSpacing w:val="0"/>
    </w:pPr>
    <w:rPr>
      <w:rFonts w:ascii="黑体" w:hAnsi="宋体" w:eastAsia="黑体"/>
      <w:bCs/>
      <w:color w:val="auto"/>
      <w:spacing w:val="0"/>
      <w:sz w:val="30"/>
      <w:szCs w:val="30"/>
    </w:rPr>
  </w:style>
  <w:style w:type="paragraph" w:customStyle="1" w:styleId="454">
    <w:name w:val="xl86"/>
    <w:basedOn w:val="1"/>
    <w:autoRedefine/>
    <w:qFormat/>
    <w:uiPriority w:val="0"/>
    <w:pPr>
      <w:pBdr>
        <w:top w:val="single" w:color="auto" w:sz="4" w:space="0"/>
        <w:bottom w:val="single" w:color="auto" w:sz="4" w:space="0"/>
        <w:right w:val="single" w:color="auto" w:sz="4" w:space="0"/>
      </w:pBdr>
      <w:spacing w:before="100" w:beforeAutospacing="1" w:after="100" w:afterAutospacing="1"/>
      <w:jc w:val="center"/>
    </w:pPr>
    <w:rPr>
      <w:rFonts w:ascii="Arial" w:hAnsi="Arial" w:cs="Arial"/>
      <w:sz w:val="20"/>
      <w:szCs w:val="20"/>
    </w:rPr>
  </w:style>
  <w:style w:type="paragraph" w:customStyle="1" w:styleId="455">
    <w:name w:val="xl90"/>
    <w:basedOn w:val="1"/>
    <w:autoRedefine/>
    <w:qFormat/>
    <w:uiPriority w:val="0"/>
    <w:pPr>
      <w:pBdr>
        <w:top w:val="single" w:color="auto" w:sz="4" w:space="0"/>
        <w:left w:val="single" w:color="auto" w:sz="4" w:space="0"/>
        <w:right w:val="single" w:color="auto" w:sz="4" w:space="0"/>
      </w:pBdr>
      <w:spacing w:before="100" w:beforeAutospacing="1" w:after="100" w:afterAutospacing="1"/>
    </w:pPr>
    <w:rPr>
      <w:rFonts w:ascii="宋体" w:hAnsi="宋体" w:cs="宋体"/>
      <w:sz w:val="20"/>
      <w:szCs w:val="20"/>
    </w:rPr>
  </w:style>
  <w:style w:type="paragraph" w:customStyle="1" w:styleId="456">
    <w:name w:val="xl94"/>
    <w:basedOn w:val="1"/>
    <w:autoRedefine/>
    <w:qFormat/>
    <w:uiPriority w:val="0"/>
    <w:pPr>
      <w:pBdr>
        <w:top w:val="single" w:color="auto" w:sz="4" w:space="0"/>
        <w:left w:val="single" w:color="auto" w:sz="4" w:space="0"/>
        <w:bottom w:val="single" w:color="auto" w:sz="4" w:space="0"/>
      </w:pBdr>
      <w:spacing w:before="100" w:beforeAutospacing="1" w:after="100" w:afterAutospacing="1"/>
    </w:pPr>
    <w:rPr>
      <w:rFonts w:ascii="宋体" w:hAnsi="宋体" w:cs="宋体"/>
      <w:sz w:val="20"/>
      <w:szCs w:val="20"/>
    </w:rPr>
  </w:style>
  <w:style w:type="paragraph" w:customStyle="1" w:styleId="457">
    <w:name w:val="xl98"/>
    <w:basedOn w:val="1"/>
    <w:autoRedefine/>
    <w:qFormat/>
    <w:uiPriority w:val="99"/>
    <w:pPr>
      <w:pBdr>
        <w:top w:val="single" w:color="auto" w:sz="4" w:space="0"/>
        <w:left w:val="single" w:color="auto" w:sz="4" w:space="0"/>
        <w:bottom w:val="single" w:color="auto" w:sz="4" w:space="0"/>
      </w:pBdr>
      <w:spacing w:before="100" w:beforeAutospacing="1" w:after="100" w:afterAutospacing="1"/>
    </w:pPr>
    <w:rPr>
      <w:rFonts w:ascii="宋体" w:hAnsi="宋体" w:cs="宋体"/>
      <w:sz w:val="20"/>
      <w:szCs w:val="20"/>
    </w:rPr>
  </w:style>
  <w:style w:type="paragraph" w:customStyle="1" w:styleId="458">
    <w:name w:val="xl102"/>
    <w:basedOn w:val="1"/>
    <w:autoRedefine/>
    <w:qFormat/>
    <w:uiPriority w:val="99"/>
    <w:pPr>
      <w:pBdr>
        <w:left w:val="single" w:color="auto" w:sz="4" w:space="0"/>
        <w:bottom w:val="single" w:color="auto" w:sz="4" w:space="0"/>
        <w:right w:val="single" w:color="auto" w:sz="4" w:space="0"/>
      </w:pBdr>
      <w:spacing w:before="100" w:beforeAutospacing="1" w:after="100" w:afterAutospacing="1"/>
      <w:jc w:val="center"/>
    </w:pPr>
    <w:rPr>
      <w:rFonts w:ascii="Arial" w:hAnsi="Arial" w:cs="Arial"/>
      <w:sz w:val="20"/>
      <w:szCs w:val="20"/>
    </w:rPr>
  </w:style>
  <w:style w:type="paragraph" w:customStyle="1" w:styleId="459">
    <w:name w:val="xl106"/>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楷体_GB2312" w:hAnsi="宋体" w:eastAsia="楷体_GB2312" w:cs="宋体"/>
      <w:b/>
      <w:bCs/>
      <w:sz w:val="20"/>
      <w:szCs w:val="20"/>
    </w:rPr>
  </w:style>
  <w:style w:type="paragraph" w:customStyle="1" w:styleId="460">
    <w:name w:val="xl114"/>
    <w:basedOn w:val="1"/>
    <w:autoRedefine/>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pPr>
    <w:rPr>
      <w:rFonts w:ascii="Arial" w:hAnsi="Arial" w:cs="Arial"/>
      <w:b/>
      <w:bCs/>
      <w:sz w:val="20"/>
      <w:szCs w:val="20"/>
    </w:rPr>
  </w:style>
  <w:style w:type="paragraph" w:customStyle="1" w:styleId="461">
    <w:name w:val="xl119"/>
    <w:basedOn w:val="1"/>
    <w:autoRedefine/>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b/>
      <w:bCs/>
      <w:sz w:val="20"/>
      <w:szCs w:val="20"/>
    </w:rPr>
  </w:style>
  <w:style w:type="paragraph" w:customStyle="1" w:styleId="462">
    <w:name w:val="xl126"/>
    <w:basedOn w:val="1"/>
    <w:autoRedefine/>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rPr>
  </w:style>
  <w:style w:type="paragraph" w:customStyle="1" w:styleId="463">
    <w:name w:val="xl130"/>
    <w:basedOn w:val="1"/>
    <w:qFormat/>
    <w:uiPriority w:val="99"/>
    <w:pPr>
      <w:pBdr>
        <w:left w:val="single" w:color="auto" w:sz="4" w:space="0"/>
        <w:bottom w:val="single" w:color="auto" w:sz="4" w:space="0"/>
        <w:right w:val="single" w:color="auto" w:sz="4" w:space="0"/>
      </w:pBdr>
      <w:spacing w:before="100" w:beforeAutospacing="1" w:after="100" w:afterAutospacing="1"/>
      <w:jc w:val="center"/>
    </w:pPr>
    <w:rPr>
      <w:rFonts w:ascii="Arial" w:hAnsi="Arial" w:cs="Arial"/>
      <w:sz w:val="16"/>
      <w:szCs w:val="16"/>
    </w:rPr>
  </w:style>
  <w:style w:type="paragraph" w:customStyle="1" w:styleId="464">
    <w:name w:val="附录2"/>
    <w:basedOn w:val="1"/>
    <w:next w:val="1"/>
    <w:autoRedefine/>
    <w:qFormat/>
    <w:uiPriority w:val="99"/>
    <w:pPr>
      <w:widowControl w:val="0"/>
      <w:tabs>
        <w:tab w:val="left" w:pos="425"/>
        <w:tab w:val="left" w:pos="624"/>
        <w:tab w:val="left" w:pos="1500"/>
      </w:tabs>
      <w:ind w:left="425" w:hanging="425"/>
      <w:jc w:val="both"/>
      <w:outlineLvl w:val="1"/>
    </w:pPr>
    <w:rPr>
      <w:rFonts w:ascii="黑体" w:hAnsi="黑体" w:eastAsia="黑体"/>
      <w:b/>
      <w:bCs/>
      <w:kern w:val="2"/>
      <w:sz w:val="32"/>
    </w:rPr>
  </w:style>
  <w:style w:type="paragraph" w:customStyle="1" w:styleId="465">
    <w:name w:val="操作步骤"/>
    <w:basedOn w:val="1"/>
    <w:autoRedefine/>
    <w:qFormat/>
    <w:uiPriority w:val="99"/>
    <w:pPr>
      <w:widowControl w:val="0"/>
      <w:numPr>
        <w:ilvl w:val="0"/>
        <w:numId w:val="18"/>
      </w:numPr>
      <w:tabs>
        <w:tab w:val="left" w:pos="425"/>
      </w:tabs>
      <w:autoSpaceDE w:val="0"/>
      <w:autoSpaceDN w:val="0"/>
      <w:adjustRightInd w:val="0"/>
      <w:snapToGrid w:val="0"/>
      <w:spacing w:line="40" w:lineRule="atLeast"/>
      <w:ind w:firstLine="0"/>
      <w:jc w:val="both"/>
      <w:textAlignment w:val="bottom"/>
    </w:pPr>
    <w:rPr>
      <w:rFonts w:ascii="昆仑楷体" w:eastAsia="楷体_GB2312"/>
      <w:sz w:val="21"/>
      <w:szCs w:val="20"/>
    </w:rPr>
  </w:style>
  <w:style w:type="paragraph" w:customStyle="1" w:styleId="466">
    <w:name w:val="表格1"/>
    <w:basedOn w:val="1"/>
    <w:next w:val="1"/>
    <w:autoRedefine/>
    <w:qFormat/>
    <w:uiPriority w:val="99"/>
    <w:pPr>
      <w:widowControl w:val="0"/>
      <w:kinsoku w:val="0"/>
      <w:wordWrap w:val="0"/>
      <w:overflowPunct w:val="0"/>
      <w:autoSpaceDE w:val="0"/>
      <w:autoSpaceDN w:val="0"/>
      <w:adjustRightInd w:val="0"/>
      <w:spacing w:line="288" w:lineRule="auto"/>
      <w:jc w:val="center"/>
      <w:textAlignment w:val="baseline"/>
    </w:pPr>
    <w:rPr>
      <w:rFonts w:ascii="宋体"/>
      <w:sz w:val="18"/>
      <w:szCs w:val="20"/>
    </w:rPr>
  </w:style>
  <w:style w:type="paragraph" w:customStyle="1" w:styleId="467">
    <w:name w:val="摘要"/>
    <w:basedOn w:val="1"/>
    <w:next w:val="5"/>
    <w:autoRedefine/>
    <w:qFormat/>
    <w:uiPriority w:val="99"/>
    <w:pPr>
      <w:widowControl w:val="0"/>
      <w:spacing w:line="360" w:lineRule="auto"/>
      <w:jc w:val="both"/>
    </w:pPr>
    <w:rPr>
      <w:rFonts w:eastAsia="黑体"/>
      <w:kern w:val="2"/>
      <w:sz w:val="20"/>
    </w:rPr>
  </w:style>
  <w:style w:type="paragraph" w:customStyle="1" w:styleId="468">
    <w:name w:val="表头样式"/>
    <w:basedOn w:val="1"/>
    <w:qFormat/>
    <w:uiPriority w:val="99"/>
    <w:pPr>
      <w:widowControl w:val="0"/>
      <w:autoSpaceDE w:val="0"/>
      <w:autoSpaceDN w:val="0"/>
      <w:adjustRightInd w:val="0"/>
      <w:spacing w:line="360" w:lineRule="auto"/>
    </w:pPr>
    <w:rPr>
      <w:b/>
      <w:bCs/>
      <w:sz w:val="21"/>
      <w:szCs w:val="21"/>
    </w:rPr>
  </w:style>
  <w:style w:type="paragraph" w:customStyle="1" w:styleId="469">
    <w:name w:val="标题3——2"/>
    <w:basedOn w:val="4"/>
    <w:next w:val="65"/>
    <w:autoRedefine/>
    <w:qFormat/>
    <w:uiPriority w:val="99"/>
    <w:pPr>
      <w:keepNext/>
      <w:keepLines/>
      <w:tabs>
        <w:tab w:val="left" w:pos="425"/>
        <w:tab w:val="right" w:leader="dot" w:pos="8777"/>
        <w:tab w:val="clear" w:pos="312"/>
      </w:tabs>
      <w:spacing w:beforeLines="100" w:after="0"/>
      <w:ind w:left="851" w:hanging="851"/>
      <w:contextualSpacing w:val="0"/>
      <w:outlineLvl w:val="9"/>
    </w:pPr>
    <w:rPr>
      <w:rFonts w:ascii="黑体" w:hAnsi="宋体" w:eastAsia="黑体"/>
      <w:bCs/>
      <w:color w:val="auto"/>
      <w:spacing w:val="0"/>
      <w:sz w:val="30"/>
      <w:szCs w:val="30"/>
    </w:rPr>
  </w:style>
  <w:style w:type="paragraph" w:customStyle="1" w:styleId="470">
    <w:name w:val="小标题 1"/>
    <w:basedOn w:val="1"/>
    <w:autoRedefine/>
    <w:qFormat/>
    <w:uiPriority w:val="99"/>
    <w:pPr>
      <w:widowControl w:val="0"/>
      <w:autoSpaceDE w:val="0"/>
      <w:autoSpaceDN w:val="0"/>
      <w:adjustRightInd w:val="0"/>
      <w:spacing w:line="360" w:lineRule="atLeast"/>
      <w:jc w:val="both"/>
    </w:pPr>
    <w:rPr>
      <w:rFonts w:ascii="文鼎粗黑" w:eastAsia="文鼎粗黑"/>
      <w:sz w:val="22"/>
      <w:szCs w:val="20"/>
    </w:rPr>
  </w:style>
  <w:style w:type="paragraph" w:customStyle="1" w:styleId="471">
    <w:name w:val="xl23"/>
    <w:basedOn w:val="1"/>
    <w:autoRedefine/>
    <w:qFormat/>
    <w:uiPriority w:val="99"/>
    <w:pPr>
      <w:spacing w:before="100" w:beforeAutospacing="1" w:after="100" w:afterAutospacing="1" w:line="360" w:lineRule="auto"/>
      <w:jc w:val="both"/>
      <w:textAlignment w:val="top"/>
    </w:pPr>
  </w:style>
  <w:style w:type="paragraph" w:customStyle="1" w:styleId="472">
    <w:name w:val="正文（首行不缩进）"/>
    <w:basedOn w:val="1"/>
    <w:autoRedefine/>
    <w:qFormat/>
    <w:uiPriority w:val="99"/>
    <w:pPr>
      <w:widowControl w:val="0"/>
      <w:autoSpaceDE w:val="0"/>
      <w:autoSpaceDN w:val="0"/>
      <w:adjustRightInd w:val="0"/>
      <w:spacing w:line="360" w:lineRule="auto"/>
    </w:pPr>
    <w:rPr>
      <w:sz w:val="21"/>
      <w:szCs w:val="20"/>
    </w:rPr>
  </w:style>
  <w:style w:type="paragraph" w:customStyle="1" w:styleId="473">
    <w:name w:val="文章正文"/>
    <w:basedOn w:val="1"/>
    <w:autoRedefine/>
    <w:qFormat/>
    <w:uiPriority w:val="99"/>
    <w:pPr>
      <w:widowControl w:val="0"/>
      <w:ind w:firstLine="560" w:firstLineChars="200"/>
      <w:jc w:val="both"/>
    </w:pPr>
    <w:rPr>
      <w:rFonts w:ascii="仿宋_GB2312" w:hAnsi="宋体" w:eastAsia="仿宋_GB2312" w:cs="宋体"/>
      <w:color w:val="000000"/>
      <w:kern w:val="2"/>
      <w:sz w:val="28"/>
      <w:szCs w:val="20"/>
    </w:rPr>
  </w:style>
  <w:style w:type="paragraph" w:customStyle="1" w:styleId="474">
    <w:name w:val="xl26"/>
    <w:basedOn w:val="1"/>
    <w:autoRedefine/>
    <w:qFormat/>
    <w:uiPriority w:val="99"/>
    <w:pPr>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sz w:val="20"/>
      <w:szCs w:val="20"/>
    </w:rPr>
  </w:style>
  <w:style w:type="paragraph" w:customStyle="1" w:styleId="475">
    <w:name w:val="xl30"/>
    <w:basedOn w:val="1"/>
    <w:autoRedefine/>
    <w:qFormat/>
    <w:uiPriority w:val="99"/>
    <w:pPr>
      <w:pBdr>
        <w:top w:val="single" w:color="auto" w:sz="4" w:space="0"/>
        <w:left w:val="single" w:color="auto" w:sz="4" w:space="0"/>
        <w:bottom w:val="single" w:color="auto" w:sz="4" w:space="0"/>
        <w:right w:val="single" w:color="auto" w:sz="4" w:space="0"/>
      </w:pBdr>
      <w:shd w:val="clear" w:color="auto" w:fill="CCFFCC"/>
      <w:spacing w:before="100" w:beforeAutospacing="1" w:after="100" w:afterAutospacing="1"/>
      <w:jc w:val="center"/>
    </w:pPr>
    <w:rPr>
      <w:rFonts w:ascii="宋体" w:hAnsi="宋体" w:cs="宋体"/>
      <w:b/>
      <w:bCs/>
      <w:sz w:val="20"/>
      <w:szCs w:val="20"/>
    </w:rPr>
  </w:style>
  <w:style w:type="paragraph" w:customStyle="1" w:styleId="476">
    <w:name w:val="xl36"/>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sz w:val="20"/>
      <w:szCs w:val="20"/>
    </w:rPr>
  </w:style>
  <w:style w:type="paragraph" w:customStyle="1" w:styleId="477">
    <w:name w:val="xl41"/>
    <w:basedOn w:val="1"/>
    <w:autoRedefine/>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sz w:val="20"/>
      <w:szCs w:val="20"/>
    </w:rPr>
  </w:style>
  <w:style w:type="paragraph" w:customStyle="1" w:styleId="478">
    <w:name w:val="xl45"/>
    <w:basedOn w:val="1"/>
    <w:qFormat/>
    <w:uiPriority w:val="99"/>
    <w:pPr>
      <w:pBdr>
        <w:top w:val="single" w:color="auto" w:sz="4" w:space="0"/>
        <w:left w:val="single" w:color="auto" w:sz="4" w:space="0"/>
        <w:bottom w:val="single" w:color="auto" w:sz="4" w:space="0"/>
        <w:right w:val="single" w:color="auto" w:sz="4" w:space="0"/>
      </w:pBdr>
      <w:shd w:val="clear" w:color="auto" w:fill="CC99FF"/>
      <w:spacing w:before="100" w:beforeAutospacing="1" w:after="100" w:afterAutospacing="1"/>
      <w:jc w:val="center"/>
    </w:pPr>
    <w:rPr>
      <w:rFonts w:ascii="宋体" w:hAnsi="宋体" w:cs="宋体"/>
      <w:b/>
      <w:bCs/>
      <w:sz w:val="20"/>
      <w:szCs w:val="20"/>
    </w:rPr>
  </w:style>
  <w:style w:type="paragraph" w:customStyle="1" w:styleId="479">
    <w:name w:val="xl49"/>
    <w:basedOn w:val="1"/>
    <w:qFormat/>
    <w:uiPriority w:val="99"/>
    <w:pPr>
      <w:pBdr>
        <w:top w:val="single" w:color="auto" w:sz="4" w:space="0"/>
        <w:left w:val="single" w:color="auto" w:sz="4" w:space="0"/>
        <w:bottom w:val="single" w:color="auto" w:sz="4" w:space="0"/>
        <w:right w:val="single" w:color="auto" w:sz="4" w:space="0"/>
      </w:pBdr>
      <w:shd w:val="clear" w:color="auto" w:fill="CCFFCC"/>
      <w:spacing w:before="100" w:beforeAutospacing="1" w:after="100" w:afterAutospacing="1"/>
      <w:jc w:val="center"/>
    </w:pPr>
    <w:rPr>
      <w:rFonts w:ascii="宋体" w:hAnsi="宋体" w:cs="宋体"/>
      <w:sz w:val="20"/>
      <w:szCs w:val="20"/>
    </w:rPr>
  </w:style>
  <w:style w:type="paragraph" w:customStyle="1" w:styleId="480">
    <w:name w:val="xl57"/>
    <w:basedOn w:val="1"/>
    <w:autoRedefine/>
    <w:qFormat/>
    <w:uiPriority w:val="99"/>
    <w:pPr>
      <w:pBdr>
        <w:top w:val="single" w:color="auto" w:sz="4" w:space="0"/>
        <w:left w:val="single" w:color="auto" w:sz="4" w:space="0"/>
        <w:bottom w:val="single" w:color="auto" w:sz="4" w:space="0"/>
      </w:pBdr>
      <w:spacing w:before="100" w:beforeAutospacing="1" w:after="100" w:afterAutospacing="1"/>
      <w:jc w:val="center"/>
    </w:pPr>
    <w:rPr>
      <w:rFonts w:ascii="宋体" w:hAnsi="宋体" w:cs="宋体"/>
      <w:sz w:val="20"/>
      <w:szCs w:val="20"/>
    </w:rPr>
  </w:style>
  <w:style w:type="paragraph" w:customStyle="1" w:styleId="481">
    <w:name w:val="xl61"/>
    <w:basedOn w:val="1"/>
    <w:qFormat/>
    <w:uiPriority w:val="99"/>
    <w:pPr>
      <w:pBdr>
        <w:top w:val="single" w:color="auto" w:sz="4" w:space="0"/>
        <w:left w:val="single" w:color="auto" w:sz="4" w:space="0"/>
        <w:right w:val="single" w:color="auto" w:sz="4" w:space="0"/>
      </w:pBdr>
      <w:spacing w:before="100" w:beforeAutospacing="1" w:after="100" w:afterAutospacing="1"/>
      <w:jc w:val="center"/>
    </w:pPr>
    <w:rPr>
      <w:rFonts w:ascii="宋体" w:hAnsi="宋体" w:cs="宋体"/>
      <w:sz w:val="20"/>
      <w:szCs w:val="20"/>
    </w:rPr>
  </w:style>
  <w:style w:type="paragraph" w:customStyle="1" w:styleId="482">
    <w:name w:val="1 Char Char Char Char"/>
    <w:basedOn w:val="1"/>
    <w:qFormat/>
    <w:uiPriority w:val="99"/>
    <w:pPr>
      <w:spacing w:after="160" w:line="240" w:lineRule="exact"/>
    </w:pPr>
    <w:rPr>
      <w:rFonts w:ascii="Tahoma" w:hAnsi="Tahoma"/>
      <w:sz w:val="28"/>
      <w:lang w:eastAsia="en-US"/>
    </w:rPr>
  </w:style>
  <w:style w:type="paragraph" w:customStyle="1" w:styleId="483">
    <w:name w:val="标题3"/>
    <w:basedOn w:val="4"/>
    <w:link w:val="863"/>
    <w:autoRedefine/>
    <w:qFormat/>
    <w:uiPriority w:val="0"/>
    <w:pPr>
      <w:keepNext/>
      <w:keepLines/>
      <w:tabs>
        <w:tab w:val="left" w:pos="113"/>
        <w:tab w:val="left" w:pos="1230"/>
        <w:tab w:val="clear" w:pos="312"/>
      </w:tabs>
      <w:spacing w:beforeLines="100" w:afterLines="50" w:line="300" w:lineRule="auto"/>
      <w:ind w:firstLine="510"/>
      <w:contextualSpacing w:val="0"/>
      <w:outlineLvl w:val="9"/>
    </w:pPr>
    <w:rPr>
      <w:rFonts w:ascii="Arial" w:hAnsi="Times New Roman" w:eastAsia="黑体"/>
      <w:color w:val="auto"/>
      <w:spacing w:val="6"/>
      <w:lang w:val="ru-RU"/>
    </w:rPr>
  </w:style>
  <w:style w:type="paragraph" w:customStyle="1" w:styleId="484">
    <w:name w:val="Administrator"/>
    <w:qFormat/>
    <w:uiPriority w:val="99"/>
    <w:pPr>
      <w:widowControl w:val="0"/>
      <w:jc w:val="both"/>
    </w:pPr>
    <w:rPr>
      <w:rFonts w:ascii="Calibri" w:hAnsi="Calibri" w:eastAsia="宋体" w:cs="Times New Roman"/>
      <w:kern w:val="2"/>
      <w:sz w:val="21"/>
      <w:szCs w:val="22"/>
      <w:lang w:val="en-US" w:eastAsia="zh-CN" w:bidi="ar-SA"/>
    </w:rPr>
  </w:style>
  <w:style w:type="paragraph" w:customStyle="1" w:styleId="485">
    <w:name w:val="font7"/>
    <w:basedOn w:val="1"/>
    <w:qFormat/>
    <w:uiPriority w:val="99"/>
    <w:pPr>
      <w:spacing w:before="100" w:beforeAutospacing="1" w:after="100" w:afterAutospacing="1"/>
    </w:pPr>
    <w:rPr>
      <w:rFonts w:ascii="Arial" w:hAnsi="Arial" w:cs="Arial"/>
      <w:sz w:val="16"/>
      <w:szCs w:val="16"/>
    </w:rPr>
  </w:style>
  <w:style w:type="paragraph" w:customStyle="1" w:styleId="486">
    <w:name w:val="xl109"/>
    <w:basedOn w:val="1"/>
    <w:autoRedefine/>
    <w:qFormat/>
    <w:uiPriority w:val="99"/>
    <w:pPr>
      <w:spacing w:before="100" w:beforeAutospacing="1" w:after="100" w:afterAutospacing="1"/>
      <w:jc w:val="center"/>
    </w:pPr>
    <w:rPr>
      <w:rFonts w:ascii="Arial" w:hAnsi="Arial" w:cs="Arial"/>
      <w:sz w:val="20"/>
      <w:szCs w:val="20"/>
    </w:rPr>
  </w:style>
  <w:style w:type="paragraph" w:customStyle="1" w:styleId="487">
    <w:name w:val="xl121"/>
    <w:basedOn w:val="1"/>
    <w:autoRedefine/>
    <w:qFormat/>
    <w:uiPriority w:val="99"/>
    <w:pPr>
      <w:spacing w:before="100" w:beforeAutospacing="1" w:after="100" w:afterAutospacing="1"/>
    </w:pPr>
    <w:rPr>
      <w:rFonts w:ascii="仿宋_GB2312" w:hAnsi="宋体" w:eastAsia="仿宋_GB2312" w:cs="宋体"/>
      <w:b/>
      <w:bCs/>
      <w:sz w:val="32"/>
      <w:szCs w:val="32"/>
    </w:rPr>
  </w:style>
  <w:style w:type="paragraph" w:customStyle="1" w:styleId="488">
    <w:name w:val="@"/>
    <w:basedOn w:val="1"/>
    <w:autoRedefine/>
    <w:qFormat/>
    <w:uiPriority w:val="99"/>
    <w:pPr>
      <w:widowControl w:val="0"/>
      <w:tabs>
        <w:tab w:val="left" w:pos="360"/>
      </w:tabs>
      <w:spacing w:afterLines="50" w:line="360" w:lineRule="auto"/>
      <w:ind w:left="360" w:hanging="360"/>
      <w:jc w:val="both"/>
    </w:pPr>
    <w:rPr>
      <w:kern w:val="2"/>
    </w:rPr>
  </w:style>
  <w:style w:type="paragraph" w:customStyle="1" w:styleId="489">
    <w:name w:val="样式 样式 正文首行缩进 2 + 左  0 字符 + 首行缩进:  2.57 字符"/>
    <w:basedOn w:val="1"/>
    <w:next w:val="1"/>
    <w:autoRedefine/>
    <w:qFormat/>
    <w:uiPriority w:val="99"/>
    <w:pPr>
      <w:widowControl w:val="0"/>
      <w:adjustRightInd w:val="0"/>
      <w:snapToGrid w:val="0"/>
      <w:spacing w:after="120"/>
      <w:ind w:firstLine="540" w:firstLineChars="257"/>
      <w:jc w:val="both"/>
    </w:pPr>
    <w:rPr>
      <w:kern w:val="2"/>
      <w:sz w:val="21"/>
      <w:szCs w:val="20"/>
    </w:rPr>
  </w:style>
  <w:style w:type="paragraph" w:customStyle="1" w:styleId="490">
    <w:name w:val="样式 首行缩进:  0.74 厘米"/>
    <w:basedOn w:val="1"/>
    <w:autoRedefine/>
    <w:qFormat/>
    <w:uiPriority w:val="99"/>
    <w:pPr>
      <w:widowControl w:val="0"/>
      <w:spacing w:line="360" w:lineRule="auto"/>
      <w:ind w:firstLine="420"/>
      <w:jc w:val="both"/>
    </w:pPr>
    <w:rPr>
      <w:kern w:val="2"/>
      <w:szCs w:val="20"/>
    </w:rPr>
  </w:style>
  <w:style w:type="paragraph" w:customStyle="1" w:styleId="491">
    <w:name w:val="IN Feature"/>
    <w:next w:val="303"/>
    <w:autoRedefine/>
    <w:qFormat/>
    <w:uiPriority w:val="99"/>
    <w:pPr>
      <w:keepNext/>
      <w:keepLines/>
      <w:spacing w:before="240" w:after="240"/>
      <w:outlineLvl w:val="7"/>
    </w:pPr>
    <w:rPr>
      <w:rFonts w:ascii="Arial" w:hAnsi="Arial" w:eastAsia="黑体" w:cs="Arial"/>
      <w:sz w:val="21"/>
      <w:szCs w:val="21"/>
      <w:lang w:val="en-US" w:eastAsia="zh-CN" w:bidi="ar-SA"/>
    </w:rPr>
  </w:style>
  <w:style w:type="paragraph" w:customStyle="1" w:styleId="492">
    <w:name w:val="Figure Description"/>
    <w:next w:val="1"/>
    <w:autoRedefine/>
    <w:qFormat/>
    <w:uiPriority w:val="99"/>
    <w:pPr>
      <w:snapToGrid w:val="0"/>
      <w:spacing w:before="80" w:after="320"/>
      <w:ind w:left="1134"/>
      <w:jc w:val="center"/>
    </w:pPr>
    <w:rPr>
      <w:rFonts w:ascii="Arial" w:hAnsi="Arial" w:eastAsia="黑体" w:cs="Arial"/>
      <w:sz w:val="18"/>
      <w:szCs w:val="18"/>
      <w:lang w:val="en-US" w:eastAsia="zh-CN" w:bidi="ar-SA"/>
    </w:rPr>
  </w:style>
  <w:style w:type="paragraph" w:customStyle="1" w:styleId="493">
    <w:name w:val="Note"/>
    <w:basedOn w:val="1"/>
    <w:autoRedefine/>
    <w:qFormat/>
    <w:uiPriority w:val="99"/>
    <w:pPr>
      <w:widowControl w:val="0"/>
      <w:pBdr>
        <w:top w:val="single" w:color="auto" w:sz="12" w:space="3"/>
        <w:bottom w:val="single" w:color="auto" w:sz="12" w:space="3"/>
      </w:pBdr>
      <w:spacing w:line="360" w:lineRule="auto"/>
      <w:jc w:val="both"/>
    </w:pPr>
    <w:rPr>
      <w:kern w:val="2"/>
      <w:szCs w:val="22"/>
    </w:rPr>
  </w:style>
  <w:style w:type="paragraph" w:customStyle="1" w:styleId="494">
    <w:name w:val="图片文字"/>
    <w:basedOn w:val="1"/>
    <w:autoRedefine/>
    <w:qFormat/>
    <w:uiPriority w:val="99"/>
    <w:pPr>
      <w:widowControl w:val="0"/>
      <w:spacing w:line="240" w:lineRule="atLeast"/>
      <w:jc w:val="center"/>
    </w:pPr>
    <w:rPr>
      <w:kern w:val="2"/>
      <w:sz w:val="21"/>
      <w:szCs w:val="21"/>
    </w:rPr>
  </w:style>
  <w:style w:type="paragraph" w:customStyle="1" w:styleId="495">
    <w:name w:val="二级列表"/>
    <w:basedOn w:val="444"/>
    <w:next w:val="444"/>
    <w:qFormat/>
    <w:uiPriority w:val="99"/>
    <w:pPr>
      <w:tabs>
        <w:tab w:val="left" w:pos="360"/>
        <w:tab w:val="left" w:pos="840"/>
      </w:tabs>
      <w:ind w:firstLine="0" w:firstLineChars="0"/>
    </w:pPr>
    <w:rPr>
      <w:b/>
    </w:rPr>
  </w:style>
  <w:style w:type="paragraph" w:customStyle="1" w:styleId="496">
    <w:name w:val="正文段"/>
    <w:basedOn w:val="1"/>
    <w:qFormat/>
    <w:uiPriority w:val="99"/>
    <w:pPr>
      <w:widowControl w:val="0"/>
      <w:spacing w:line="312" w:lineRule="auto"/>
      <w:ind w:firstLine="560"/>
      <w:jc w:val="both"/>
    </w:pPr>
    <w:rPr>
      <w:kern w:val="2"/>
      <w:sz w:val="28"/>
      <w:szCs w:val="28"/>
    </w:rPr>
  </w:style>
  <w:style w:type="paragraph" w:customStyle="1" w:styleId="497">
    <w:name w:val="xl64"/>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both"/>
    </w:pPr>
    <w:rPr>
      <w:rFonts w:ascii="宋体" w:hAnsi="宋体" w:cs="宋体"/>
      <w:sz w:val="18"/>
      <w:szCs w:val="18"/>
    </w:rPr>
  </w:style>
  <w:style w:type="paragraph" w:customStyle="1" w:styleId="498">
    <w:name w:val="内容正文"/>
    <w:basedOn w:val="1"/>
    <w:qFormat/>
    <w:uiPriority w:val="99"/>
    <w:pPr>
      <w:widowControl w:val="0"/>
      <w:spacing w:line="300" w:lineRule="auto"/>
      <w:ind w:firstLine="482"/>
      <w:jc w:val="both"/>
    </w:pPr>
    <w:rPr>
      <w:rFonts w:ascii="Georgia" w:hAnsi="Georgia"/>
      <w:kern w:val="2"/>
      <w:szCs w:val="20"/>
    </w:rPr>
  </w:style>
  <w:style w:type="table" w:customStyle="1" w:styleId="499">
    <w:name w:val="网格型1"/>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00">
    <w:name w:val="网格型2"/>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01">
    <w:name w:val="网格型3"/>
    <w:autoRedefine/>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502">
    <w:name w:val="3"/>
    <w:qFormat/>
    <w:uiPriority w:val="99"/>
    <w:pPr>
      <w:widowControl w:val="0"/>
      <w:spacing w:line="400" w:lineRule="exact"/>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503">
    <w:name w:val="Char Char"/>
    <w:basedOn w:val="1"/>
    <w:next w:val="1"/>
    <w:autoRedefine/>
    <w:semiHidden/>
    <w:qFormat/>
    <w:uiPriority w:val="99"/>
    <w:pPr>
      <w:spacing w:after="160" w:line="240" w:lineRule="exact"/>
    </w:pPr>
    <w:rPr>
      <w:rFonts w:ascii="Verdana" w:hAnsi="Verdana" w:eastAsia="仿宋_GB2312"/>
      <w:szCs w:val="20"/>
      <w:lang w:eastAsia="en-US"/>
    </w:rPr>
  </w:style>
  <w:style w:type="paragraph" w:customStyle="1" w:styleId="504">
    <w:name w:val="Char3"/>
    <w:basedOn w:val="1"/>
    <w:qFormat/>
    <w:uiPriority w:val="99"/>
    <w:pPr>
      <w:spacing w:after="160" w:line="240" w:lineRule="exact"/>
      <w:ind w:firstLine="200" w:firstLineChars="200"/>
    </w:pPr>
    <w:rPr>
      <w:rFonts w:ascii="Verdana" w:hAnsi="Verdana"/>
      <w:szCs w:val="20"/>
      <w:lang w:eastAsia="en-US"/>
    </w:rPr>
  </w:style>
  <w:style w:type="character" w:customStyle="1" w:styleId="505">
    <w:name w:val="Footer-Even Char2"/>
    <w:qFormat/>
    <w:uiPriority w:val="99"/>
    <w:rPr>
      <w:rFonts w:eastAsia="宋体"/>
      <w:kern w:val="2"/>
      <w:sz w:val="18"/>
      <w:lang w:val="en-US" w:eastAsia="zh-CN"/>
    </w:rPr>
  </w:style>
  <w:style w:type="character" w:customStyle="1" w:styleId="506">
    <w:name w:val="章节 Char1"/>
    <w:autoRedefine/>
    <w:qFormat/>
    <w:uiPriority w:val="99"/>
    <w:rPr>
      <w:rFonts w:ascii="宋体"/>
      <w:b/>
      <w:kern w:val="28"/>
      <w:sz w:val="36"/>
      <w:lang w:val="en-US" w:eastAsia="zh-CN"/>
    </w:rPr>
  </w:style>
  <w:style w:type="character" w:customStyle="1" w:styleId="507">
    <w:name w:val="h Char Char2"/>
    <w:qFormat/>
    <w:uiPriority w:val="99"/>
    <w:rPr>
      <w:kern w:val="2"/>
      <w:sz w:val="18"/>
    </w:rPr>
  </w:style>
  <w:style w:type="character" w:customStyle="1" w:styleId="508">
    <w:name w:val="PIM 6 Char2"/>
    <w:autoRedefine/>
    <w:qFormat/>
    <w:uiPriority w:val="99"/>
    <w:rPr>
      <w:rFonts w:ascii="Arial" w:hAnsi="Arial" w:eastAsia="黑体"/>
      <w:b/>
      <w:kern w:val="2"/>
      <w:sz w:val="24"/>
    </w:rPr>
  </w:style>
  <w:style w:type="character" w:customStyle="1" w:styleId="509">
    <w:name w:val="不用 Char2"/>
    <w:autoRedefine/>
    <w:qFormat/>
    <w:uiPriority w:val="99"/>
    <w:rPr>
      <w:b/>
      <w:kern w:val="2"/>
      <w:sz w:val="24"/>
    </w:rPr>
  </w:style>
  <w:style w:type="character" w:customStyle="1" w:styleId="510">
    <w:name w:val="不用8 Char2"/>
    <w:qFormat/>
    <w:uiPriority w:val="99"/>
    <w:rPr>
      <w:rFonts w:ascii="Arial" w:hAnsi="Arial" w:eastAsia="黑体"/>
      <w:kern w:val="2"/>
      <w:sz w:val="24"/>
    </w:rPr>
  </w:style>
  <w:style w:type="character" w:customStyle="1" w:styleId="511">
    <w:name w:val="三级标题 Char2"/>
    <w:qFormat/>
    <w:uiPriority w:val="99"/>
    <w:rPr>
      <w:rFonts w:ascii="Arial" w:hAnsi="Arial" w:eastAsia="黑体"/>
      <w:kern w:val="2"/>
      <w:sz w:val="24"/>
    </w:rPr>
  </w:style>
  <w:style w:type="character" w:customStyle="1" w:styleId="512">
    <w:name w:val="市检方案标题3 Char1"/>
    <w:qFormat/>
    <w:uiPriority w:val="99"/>
    <w:rPr>
      <w:rFonts w:ascii="宋体"/>
      <w:b/>
      <w:kern w:val="2"/>
      <w:sz w:val="24"/>
      <w:lang w:val="en-US" w:eastAsia="zh-CN"/>
    </w:rPr>
  </w:style>
  <w:style w:type="character" w:customStyle="1" w:styleId="513">
    <w:name w:val="正文首行缩进 Char Char Char Char Char3"/>
    <w:qFormat/>
    <w:uiPriority w:val="99"/>
    <w:rPr>
      <w:rFonts w:eastAsia="宋体"/>
      <w:kern w:val="2"/>
      <w:sz w:val="24"/>
      <w:lang w:val="en-US" w:eastAsia="zh-CN"/>
    </w:rPr>
  </w:style>
  <w:style w:type="character" w:customStyle="1" w:styleId="514">
    <w:name w:val="正文文字 Char2"/>
    <w:qFormat/>
    <w:uiPriority w:val="99"/>
    <w:rPr>
      <w:kern w:val="2"/>
      <w:sz w:val="24"/>
    </w:rPr>
  </w:style>
  <w:style w:type="paragraph" w:customStyle="1" w:styleId="515">
    <w:name w:val="Char Char Char1"/>
    <w:basedOn w:val="1"/>
    <w:qFormat/>
    <w:uiPriority w:val="99"/>
    <w:pPr>
      <w:widowControl w:val="0"/>
      <w:spacing w:line="400" w:lineRule="exact"/>
      <w:ind w:firstLine="200" w:firstLineChars="200"/>
      <w:jc w:val="both"/>
    </w:pPr>
    <w:rPr>
      <w:rFonts w:ascii="Tahoma" w:hAnsi="Tahoma"/>
      <w:kern w:val="2"/>
      <w:szCs w:val="20"/>
    </w:rPr>
  </w:style>
  <w:style w:type="paragraph" w:customStyle="1" w:styleId="516">
    <w:name w:val="Char Char Char Char Char Char Char Char Char Char Char Char Char Char Char Char Char Char Char Char Char Char Char Char Char1"/>
    <w:basedOn w:val="1"/>
    <w:qFormat/>
    <w:uiPriority w:val="99"/>
    <w:pPr>
      <w:widowControl w:val="0"/>
      <w:spacing w:line="400" w:lineRule="exact"/>
      <w:ind w:firstLine="200" w:firstLineChars="200"/>
      <w:jc w:val="both"/>
    </w:pPr>
    <w:rPr>
      <w:rFonts w:ascii="Tahoma" w:hAnsi="Tahoma"/>
      <w:kern w:val="2"/>
      <w:szCs w:val="20"/>
    </w:rPr>
  </w:style>
  <w:style w:type="paragraph" w:customStyle="1" w:styleId="517">
    <w:name w:val="Char Char11"/>
    <w:basedOn w:val="1"/>
    <w:qFormat/>
    <w:uiPriority w:val="99"/>
    <w:pPr>
      <w:spacing w:after="160" w:line="240" w:lineRule="exact"/>
      <w:ind w:firstLine="200" w:firstLineChars="200"/>
    </w:pPr>
    <w:rPr>
      <w:rFonts w:ascii="Verdana" w:hAnsi="Verdana"/>
      <w:sz w:val="20"/>
      <w:szCs w:val="20"/>
      <w:lang w:eastAsia="en-US"/>
    </w:rPr>
  </w:style>
  <w:style w:type="paragraph" w:customStyle="1" w:styleId="518">
    <w:name w:val="Char11"/>
    <w:basedOn w:val="1"/>
    <w:autoRedefine/>
    <w:qFormat/>
    <w:uiPriority w:val="99"/>
    <w:pPr>
      <w:widowControl w:val="0"/>
      <w:adjustRightInd w:val="0"/>
      <w:spacing w:line="360" w:lineRule="auto"/>
      <w:ind w:firstLine="200" w:firstLineChars="200"/>
      <w:jc w:val="both"/>
    </w:pPr>
    <w:rPr>
      <w:szCs w:val="20"/>
    </w:rPr>
  </w:style>
  <w:style w:type="paragraph" w:customStyle="1" w:styleId="519">
    <w:name w:val="Char Char Char Char1"/>
    <w:basedOn w:val="21"/>
    <w:autoRedefine/>
    <w:qFormat/>
    <w:uiPriority w:val="99"/>
  </w:style>
  <w:style w:type="character" w:customStyle="1" w:styleId="520">
    <w:name w:val="Char Char22"/>
    <w:autoRedefine/>
    <w:qFormat/>
    <w:uiPriority w:val="99"/>
    <w:rPr>
      <w:rFonts w:eastAsia="宋体"/>
      <w:kern w:val="2"/>
      <w:sz w:val="18"/>
      <w:lang w:val="en-US" w:eastAsia="zh-CN"/>
    </w:rPr>
  </w:style>
  <w:style w:type="character" w:customStyle="1" w:styleId="521">
    <w:name w:val="Char Char61"/>
    <w:qFormat/>
    <w:uiPriority w:val="99"/>
    <w:rPr>
      <w:rFonts w:ascii="Arial" w:hAnsi="Arial" w:eastAsia="黑体"/>
      <w:b/>
      <w:kern w:val="2"/>
      <w:sz w:val="32"/>
      <w:lang w:val="en-US" w:eastAsia="zh-CN"/>
    </w:rPr>
  </w:style>
  <w:style w:type="paragraph" w:customStyle="1" w:styleId="522">
    <w:name w:val="正文11"/>
    <w:autoRedefine/>
    <w:qFormat/>
    <w:uiPriority w:val="99"/>
    <w:pPr>
      <w:widowControl w:val="0"/>
      <w:adjustRightInd w:val="0"/>
      <w:spacing w:line="240" w:lineRule="atLeast"/>
      <w:textAlignment w:val="baseline"/>
    </w:pPr>
    <w:rPr>
      <w:rFonts w:ascii="Times New Roman" w:hAnsi="Times New Roman" w:eastAsia="宋体" w:cs="Times New Roman"/>
      <w:lang w:val="en-US" w:eastAsia="zh-CN" w:bidi="ar-SA"/>
    </w:rPr>
  </w:style>
  <w:style w:type="paragraph" w:customStyle="1" w:styleId="523">
    <w:name w:val="Char Char Char Char Char11"/>
    <w:basedOn w:val="1"/>
    <w:autoRedefine/>
    <w:qFormat/>
    <w:uiPriority w:val="99"/>
    <w:pPr>
      <w:widowControl w:val="0"/>
      <w:spacing w:line="400" w:lineRule="exact"/>
      <w:ind w:firstLine="200" w:firstLineChars="200"/>
      <w:jc w:val="both"/>
    </w:pPr>
    <w:rPr>
      <w:kern w:val="2"/>
    </w:rPr>
  </w:style>
  <w:style w:type="paragraph" w:customStyle="1" w:styleId="524">
    <w:name w:val="Char21"/>
    <w:basedOn w:val="1"/>
    <w:qFormat/>
    <w:uiPriority w:val="99"/>
    <w:pPr>
      <w:widowControl w:val="0"/>
      <w:adjustRightInd w:val="0"/>
      <w:spacing w:line="360" w:lineRule="auto"/>
      <w:ind w:firstLine="200" w:firstLineChars="200"/>
      <w:jc w:val="both"/>
    </w:pPr>
    <w:rPr>
      <w:szCs w:val="20"/>
    </w:rPr>
  </w:style>
  <w:style w:type="paragraph" w:customStyle="1" w:styleId="525">
    <w:name w:val="Char Char Char Char Char Char1 Char1"/>
    <w:basedOn w:val="1"/>
    <w:qFormat/>
    <w:uiPriority w:val="99"/>
    <w:pPr>
      <w:spacing w:after="160" w:line="240" w:lineRule="exact"/>
    </w:pPr>
    <w:rPr>
      <w:rFonts w:ascii="Verdana" w:hAnsi="Verdana"/>
      <w:sz w:val="21"/>
      <w:szCs w:val="20"/>
      <w:lang w:eastAsia="en-US"/>
    </w:rPr>
  </w:style>
  <w:style w:type="paragraph" w:customStyle="1" w:styleId="526">
    <w:name w:val="正文文本 211"/>
    <w:basedOn w:val="1"/>
    <w:qFormat/>
    <w:uiPriority w:val="99"/>
    <w:pPr>
      <w:widowControl w:val="0"/>
      <w:adjustRightInd w:val="0"/>
      <w:spacing w:before="120" w:line="360" w:lineRule="auto"/>
      <w:ind w:firstLine="480"/>
      <w:jc w:val="both"/>
      <w:textAlignment w:val="baseline"/>
    </w:pPr>
    <w:rPr>
      <w:kern w:val="2"/>
      <w:szCs w:val="20"/>
    </w:rPr>
  </w:style>
  <w:style w:type="paragraph" w:customStyle="1" w:styleId="527">
    <w:name w:val="Char Char Char Char Char2"/>
    <w:basedOn w:val="1"/>
    <w:qFormat/>
    <w:uiPriority w:val="99"/>
    <w:pPr>
      <w:widowControl w:val="0"/>
      <w:autoSpaceDE w:val="0"/>
      <w:autoSpaceDN w:val="0"/>
      <w:adjustRightInd w:val="0"/>
    </w:pPr>
    <w:rPr>
      <w:rFonts w:ascii="Tahoma" w:hAnsi="Tahoma"/>
      <w:szCs w:val="20"/>
    </w:rPr>
  </w:style>
  <w:style w:type="paragraph" w:customStyle="1" w:styleId="528">
    <w:name w:val="列出段落11"/>
    <w:basedOn w:val="1"/>
    <w:autoRedefine/>
    <w:qFormat/>
    <w:uiPriority w:val="99"/>
    <w:pPr>
      <w:widowControl w:val="0"/>
      <w:ind w:firstLine="420" w:firstLineChars="200"/>
      <w:jc w:val="both"/>
    </w:pPr>
    <w:rPr>
      <w:rFonts w:ascii="Calibri" w:hAnsi="Calibri"/>
      <w:kern w:val="2"/>
      <w:sz w:val="21"/>
      <w:szCs w:val="22"/>
    </w:rPr>
  </w:style>
  <w:style w:type="paragraph" w:customStyle="1" w:styleId="529">
    <w:name w:val="Char Char1 Char Char Char Char Char Char Char Char Char Char Char Char Char Char1"/>
    <w:basedOn w:val="1"/>
    <w:qFormat/>
    <w:uiPriority w:val="99"/>
    <w:pPr>
      <w:spacing w:after="160" w:line="240" w:lineRule="exact"/>
    </w:pPr>
    <w:rPr>
      <w:rFonts w:ascii="Verdana" w:hAnsi="Verdana"/>
      <w:sz w:val="20"/>
      <w:szCs w:val="20"/>
      <w:lang w:eastAsia="en-US"/>
    </w:rPr>
  </w:style>
  <w:style w:type="paragraph" w:customStyle="1" w:styleId="530">
    <w:name w:val="Char1 Char Char Char Char Char Char Char Char Char1"/>
    <w:basedOn w:val="1"/>
    <w:qFormat/>
    <w:uiPriority w:val="99"/>
    <w:pPr>
      <w:widowControl w:val="0"/>
      <w:jc w:val="both"/>
    </w:pPr>
    <w:rPr>
      <w:rFonts w:ascii="Tahoma" w:hAnsi="Tahoma"/>
      <w:kern w:val="2"/>
      <w:szCs w:val="20"/>
    </w:rPr>
  </w:style>
  <w:style w:type="paragraph" w:customStyle="1" w:styleId="531">
    <w:name w:val="正文文本缩进 211"/>
    <w:basedOn w:val="1"/>
    <w:autoRedefine/>
    <w:qFormat/>
    <w:uiPriority w:val="99"/>
    <w:pPr>
      <w:widowControl w:val="0"/>
      <w:adjustRightInd w:val="0"/>
      <w:spacing w:before="120"/>
      <w:ind w:firstLine="420"/>
      <w:jc w:val="both"/>
      <w:textAlignment w:val="baseline"/>
    </w:pPr>
    <w:rPr>
      <w:kern w:val="2"/>
      <w:szCs w:val="20"/>
    </w:rPr>
  </w:style>
  <w:style w:type="paragraph" w:customStyle="1" w:styleId="532">
    <w:name w:val="Char Char Char Char Char Char Char Char Char Char Char Char Char1"/>
    <w:basedOn w:val="1"/>
    <w:autoRedefine/>
    <w:qFormat/>
    <w:uiPriority w:val="99"/>
    <w:pPr>
      <w:widowControl w:val="0"/>
      <w:jc w:val="both"/>
    </w:pPr>
    <w:rPr>
      <w:sz w:val="20"/>
      <w:szCs w:val="20"/>
    </w:rPr>
  </w:style>
  <w:style w:type="paragraph" w:customStyle="1" w:styleId="533">
    <w:name w:val="默认段落字体 Para Char Char"/>
    <w:basedOn w:val="1"/>
    <w:qFormat/>
    <w:uiPriority w:val="99"/>
    <w:pPr>
      <w:widowControl w:val="0"/>
      <w:spacing w:line="360" w:lineRule="auto"/>
      <w:ind w:firstLine="200" w:firstLineChars="200"/>
      <w:jc w:val="both"/>
    </w:pPr>
    <w:rPr>
      <w:color w:val="000000"/>
      <w:kern w:val="2"/>
      <w:sz w:val="21"/>
      <w:szCs w:val="20"/>
    </w:rPr>
  </w:style>
  <w:style w:type="paragraph" w:customStyle="1" w:styleId="534">
    <w:name w:val="(符号)标书正文"/>
    <w:basedOn w:val="1"/>
    <w:autoRedefine/>
    <w:qFormat/>
    <w:uiPriority w:val="99"/>
    <w:pPr>
      <w:widowControl w:val="0"/>
      <w:spacing w:line="420" w:lineRule="exact"/>
      <w:ind w:firstLine="480" w:firstLineChars="200"/>
    </w:pPr>
    <w:rPr>
      <w:rFonts w:ascii="宋体" w:hAnsi="宋体" w:cs="宋体"/>
      <w:color w:val="000000"/>
      <w:kern w:val="2"/>
    </w:rPr>
  </w:style>
  <w:style w:type="paragraph" w:customStyle="1" w:styleId="535">
    <w:name w:val="（符号）三标题1.1"/>
    <w:basedOn w:val="1"/>
    <w:autoRedefine/>
    <w:qFormat/>
    <w:uiPriority w:val="99"/>
    <w:pPr>
      <w:widowControl w:val="0"/>
      <w:numPr>
        <w:ilvl w:val="1"/>
        <w:numId w:val="19"/>
      </w:numPr>
      <w:spacing w:line="500" w:lineRule="exact"/>
      <w:ind w:firstLine="0"/>
      <w:jc w:val="both"/>
    </w:pPr>
    <w:rPr>
      <w:rFonts w:ascii="宋体" w:hAnsi="宋体"/>
      <w:kern w:val="2"/>
    </w:rPr>
  </w:style>
  <w:style w:type="paragraph" w:customStyle="1" w:styleId="536">
    <w:name w:val="(符号)三标题1.1"/>
    <w:basedOn w:val="1"/>
    <w:qFormat/>
    <w:uiPriority w:val="99"/>
    <w:pPr>
      <w:widowControl w:val="0"/>
      <w:tabs>
        <w:tab w:val="left" w:pos="360"/>
      </w:tabs>
      <w:spacing w:before="140" w:after="140" w:line="500" w:lineRule="exact"/>
      <w:ind w:left="360"/>
      <w:jc w:val="both"/>
      <w:outlineLvl w:val="2"/>
    </w:pPr>
    <w:rPr>
      <w:rFonts w:ascii="楷体_GB2312" w:hAnsi="宋体" w:eastAsia="楷体_GB2312" w:cs="宋体"/>
      <w:b/>
      <w:bCs/>
      <w:kern w:val="2"/>
      <w:sz w:val="28"/>
      <w:szCs w:val="20"/>
    </w:rPr>
  </w:style>
  <w:style w:type="paragraph" w:customStyle="1" w:styleId="537">
    <w:name w:val="(符号)五标题1.1.1"/>
    <w:basedOn w:val="1"/>
    <w:qFormat/>
    <w:uiPriority w:val="99"/>
    <w:pPr>
      <w:widowControl w:val="0"/>
      <w:tabs>
        <w:tab w:val="left" w:pos="1260"/>
      </w:tabs>
      <w:spacing w:line="500" w:lineRule="exact"/>
      <w:ind w:left="1260"/>
      <w:jc w:val="both"/>
    </w:pPr>
    <w:rPr>
      <w:rFonts w:ascii="宋体" w:hAnsi="宋体" w:cs="宋体"/>
      <w:color w:val="000000"/>
      <w:kern w:val="2"/>
      <w:szCs w:val="20"/>
    </w:rPr>
  </w:style>
  <w:style w:type="paragraph" w:customStyle="1" w:styleId="538">
    <w:name w:val="样式 正文首行缩进 2 + 行距: 2 倍行距"/>
    <w:basedOn w:val="66"/>
    <w:qFormat/>
    <w:uiPriority w:val="99"/>
    <w:pPr>
      <w:spacing w:after="0" w:line="360" w:lineRule="auto"/>
      <w:ind w:left="200" w:leftChars="200" w:firstLine="200"/>
    </w:pPr>
    <w:rPr>
      <w:rFonts w:eastAsia="宋体"/>
      <w:sz w:val="21"/>
      <w:szCs w:val="24"/>
    </w:rPr>
  </w:style>
  <w:style w:type="paragraph" w:customStyle="1" w:styleId="539">
    <w:name w:val="正文首行缩进两字符"/>
    <w:basedOn w:val="1"/>
    <w:autoRedefine/>
    <w:qFormat/>
    <w:uiPriority w:val="99"/>
    <w:pPr>
      <w:widowControl w:val="0"/>
      <w:spacing w:line="360" w:lineRule="auto"/>
      <w:ind w:firstLine="200" w:firstLineChars="200"/>
      <w:jc w:val="both"/>
    </w:pPr>
    <w:rPr>
      <w:kern w:val="2"/>
      <w:sz w:val="21"/>
    </w:rPr>
  </w:style>
  <w:style w:type="character" w:customStyle="1" w:styleId="540">
    <w:name w:val="Footer-Even Char1"/>
    <w:qFormat/>
    <w:uiPriority w:val="99"/>
    <w:rPr>
      <w:rFonts w:eastAsia="宋体"/>
      <w:kern w:val="2"/>
      <w:sz w:val="18"/>
      <w:lang w:val="en-US" w:eastAsia="zh-CN"/>
    </w:rPr>
  </w:style>
  <w:style w:type="character" w:customStyle="1" w:styleId="541">
    <w:name w:val="h Char Char1"/>
    <w:qFormat/>
    <w:uiPriority w:val="99"/>
    <w:rPr>
      <w:kern w:val="2"/>
      <w:sz w:val="18"/>
    </w:rPr>
  </w:style>
  <w:style w:type="character" w:customStyle="1" w:styleId="542">
    <w:name w:val="PIM 6 Char1"/>
    <w:qFormat/>
    <w:uiPriority w:val="99"/>
    <w:rPr>
      <w:rFonts w:ascii="Arial" w:hAnsi="Arial" w:eastAsia="黑体"/>
      <w:b/>
      <w:kern w:val="2"/>
      <w:sz w:val="24"/>
    </w:rPr>
  </w:style>
  <w:style w:type="character" w:customStyle="1" w:styleId="543">
    <w:name w:val="不用 Char1"/>
    <w:autoRedefine/>
    <w:qFormat/>
    <w:uiPriority w:val="99"/>
    <w:rPr>
      <w:b/>
      <w:kern w:val="2"/>
      <w:sz w:val="24"/>
    </w:rPr>
  </w:style>
  <w:style w:type="character" w:customStyle="1" w:styleId="544">
    <w:name w:val="不用8 Char1"/>
    <w:qFormat/>
    <w:uiPriority w:val="99"/>
    <w:rPr>
      <w:rFonts w:ascii="Arial" w:hAnsi="Arial" w:eastAsia="黑体"/>
      <w:kern w:val="2"/>
      <w:sz w:val="24"/>
    </w:rPr>
  </w:style>
  <w:style w:type="character" w:customStyle="1" w:styleId="545">
    <w:name w:val="三级标题 Char1"/>
    <w:autoRedefine/>
    <w:qFormat/>
    <w:uiPriority w:val="99"/>
    <w:rPr>
      <w:rFonts w:ascii="Arial" w:hAnsi="Arial" w:eastAsia="黑体"/>
      <w:kern w:val="2"/>
      <w:sz w:val="21"/>
    </w:rPr>
  </w:style>
  <w:style w:type="character" w:customStyle="1" w:styleId="546">
    <w:name w:val="正文首行缩进 Char Char Char Char Char2"/>
    <w:qFormat/>
    <w:uiPriority w:val="99"/>
    <w:rPr>
      <w:rFonts w:eastAsia="宋体"/>
      <w:kern w:val="2"/>
      <w:sz w:val="24"/>
      <w:lang w:val="en-US" w:eastAsia="zh-CN"/>
    </w:rPr>
  </w:style>
  <w:style w:type="character" w:customStyle="1" w:styleId="547">
    <w:name w:val="正文文字 Char1"/>
    <w:qFormat/>
    <w:uiPriority w:val="99"/>
    <w:rPr>
      <w:kern w:val="2"/>
      <w:sz w:val="24"/>
    </w:rPr>
  </w:style>
  <w:style w:type="character" w:customStyle="1" w:styleId="548">
    <w:name w:val="h Char Char"/>
    <w:autoRedefine/>
    <w:qFormat/>
    <w:uiPriority w:val="99"/>
    <w:rPr>
      <w:kern w:val="2"/>
      <w:sz w:val="18"/>
    </w:rPr>
  </w:style>
  <w:style w:type="table" w:customStyle="1" w:styleId="549">
    <w:name w:val="Table"/>
    <w:basedOn w:val="68"/>
    <w:autoRedefine/>
    <w:qFormat/>
    <w:uiPriority w:val="99"/>
    <w:pPr>
      <w:snapToGrid w:val="0"/>
      <w:jc w:val="left"/>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rPr>
      <w:cantSplit/>
    </w:trPr>
    <w:tblStylePr w:type="firstRow">
      <w:pPr>
        <w:ind w:left="0" w:leftChars="0"/>
      </w:pPr>
      <w:rPr>
        <w:rFonts w:cs="Times New Roman"/>
      </w:rPr>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paragraph" w:customStyle="1" w:styleId="550">
    <w:name w:val="xl183"/>
    <w:basedOn w:val="1"/>
    <w:autoRedefine/>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楷体_GB2312" w:hAnsi="宋体" w:eastAsia="楷体_GB2312" w:cs="宋体"/>
      <w:b/>
      <w:bCs/>
      <w:sz w:val="20"/>
      <w:szCs w:val="20"/>
    </w:rPr>
  </w:style>
  <w:style w:type="paragraph" w:customStyle="1" w:styleId="551">
    <w:name w:val="xl184"/>
    <w:basedOn w:val="1"/>
    <w:autoRedefine/>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楷体_GB2312" w:hAnsi="宋体" w:eastAsia="楷体_GB2312" w:cs="宋体"/>
      <w:b/>
      <w:bCs/>
      <w:sz w:val="20"/>
      <w:szCs w:val="20"/>
    </w:rPr>
  </w:style>
  <w:style w:type="paragraph" w:customStyle="1" w:styleId="552">
    <w:name w:val="xl185"/>
    <w:basedOn w:val="1"/>
    <w:autoRedefine/>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sz w:val="20"/>
      <w:szCs w:val="20"/>
    </w:rPr>
  </w:style>
  <w:style w:type="paragraph" w:customStyle="1" w:styleId="553">
    <w:name w:val="xl186"/>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sz w:val="20"/>
      <w:szCs w:val="20"/>
    </w:rPr>
  </w:style>
  <w:style w:type="paragraph" w:customStyle="1" w:styleId="554">
    <w:name w:val="xl187"/>
    <w:basedOn w:val="1"/>
    <w:autoRedefine/>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pPr>
    <w:rPr>
      <w:rFonts w:ascii="Arial" w:hAnsi="Arial" w:cs="Arial"/>
      <w:sz w:val="20"/>
      <w:szCs w:val="20"/>
    </w:rPr>
  </w:style>
  <w:style w:type="paragraph" w:customStyle="1" w:styleId="555">
    <w:name w:val="xl188"/>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sz w:val="20"/>
      <w:szCs w:val="20"/>
    </w:rPr>
  </w:style>
  <w:style w:type="paragraph" w:customStyle="1" w:styleId="556">
    <w:name w:val="xl189"/>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sz w:val="20"/>
      <w:szCs w:val="20"/>
    </w:rPr>
  </w:style>
  <w:style w:type="paragraph" w:customStyle="1" w:styleId="557">
    <w:name w:val="xl190"/>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sz w:val="20"/>
      <w:szCs w:val="20"/>
    </w:rPr>
  </w:style>
  <w:style w:type="paragraph" w:customStyle="1" w:styleId="558">
    <w:name w:val="xl191"/>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sz w:val="20"/>
      <w:szCs w:val="20"/>
    </w:rPr>
  </w:style>
  <w:style w:type="paragraph" w:customStyle="1" w:styleId="559">
    <w:name w:val="xl192"/>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sz w:val="20"/>
      <w:szCs w:val="20"/>
    </w:rPr>
  </w:style>
  <w:style w:type="paragraph" w:customStyle="1" w:styleId="560">
    <w:name w:val="xl193"/>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sz w:val="20"/>
      <w:szCs w:val="20"/>
    </w:rPr>
  </w:style>
  <w:style w:type="paragraph" w:customStyle="1" w:styleId="561">
    <w:name w:val="xl194"/>
    <w:basedOn w:val="1"/>
    <w:autoRedefine/>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sz w:val="20"/>
      <w:szCs w:val="20"/>
    </w:rPr>
  </w:style>
  <w:style w:type="paragraph" w:customStyle="1" w:styleId="562">
    <w:name w:val="xl195"/>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pPr>
    <w:rPr>
      <w:rFonts w:ascii="Arial" w:hAnsi="Arial" w:cs="Arial"/>
      <w:sz w:val="20"/>
      <w:szCs w:val="20"/>
    </w:rPr>
  </w:style>
  <w:style w:type="paragraph" w:customStyle="1" w:styleId="563">
    <w:name w:val="xl196"/>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sz w:val="20"/>
      <w:szCs w:val="20"/>
    </w:rPr>
  </w:style>
  <w:style w:type="paragraph" w:customStyle="1" w:styleId="564">
    <w:name w:val="xl197"/>
    <w:basedOn w:val="1"/>
    <w:autoRedefine/>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pPr>
    <w:rPr>
      <w:rFonts w:ascii="Arial" w:hAnsi="Arial" w:cs="Arial"/>
      <w:sz w:val="20"/>
      <w:szCs w:val="20"/>
    </w:rPr>
  </w:style>
  <w:style w:type="paragraph" w:customStyle="1" w:styleId="565">
    <w:name w:val="xl198"/>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sz w:val="20"/>
      <w:szCs w:val="20"/>
    </w:rPr>
  </w:style>
  <w:style w:type="paragraph" w:customStyle="1" w:styleId="566">
    <w:name w:val="xl199"/>
    <w:basedOn w:val="1"/>
    <w:autoRedefine/>
    <w:qFormat/>
    <w:uiPriority w:val="99"/>
    <w:pPr>
      <w:pBdr>
        <w:top w:val="single" w:color="auto" w:sz="4" w:space="0"/>
        <w:left w:val="single" w:color="auto" w:sz="4" w:space="0"/>
        <w:bottom w:val="single" w:color="auto" w:sz="4" w:space="0"/>
      </w:pBdr>
      <w:spacing w:before="100" w:beforeAutospacing="1" w:after="100" w:afterAutospacing="1"/>
      <w:jc w:val="center"/>
    </w:pPr>
    <w:rPr>
      <w:rFonts w:ascii="楷体_GB2312" w:hAnsi="宋体" w:eastAsia="楷体_GB2312" w:cs="宋体"/>
      <w:b/>
      <w:bCs/>
      <w:sz w:val="20"/>
      <w:szCs w:val="20"/>
    </w:rPr>
  </w:style>
  <w:style w:type="paragraph" w:customStyle="1" w:styleId="567">
    <w:name w:val="xl200"/>
    <w:basedOn w:val="1"/>
    <w:qFormat/>
    <w:uiPriority w:val="99"/>
    <w:pPr>
      <w:pBdr>
        <w:top w:val="single" w:color="auto" w:sz="4" w:space="0"/>
        <w:left w:val="single" w:color="auto" w:sz="4" w:space="0"/>
        <w:bottom w:val="single" w:color="auto" w:sz="4" w:space="0"/>
      </w:pBdr>
      <w:spacing w:before="100" w:beforeAutospacing="1" w:after="100" w:afterAutospacing="1"/>
    </w:pPr>
    <w:rPr>
      <w:rFonts w:ascii="仿宋_GB2312" w:hAnsi="宋体" w:eastAsia="仿宋_GB2312" w:cs="宋体"/>
      <w:sz w:val="20"/>
      <w:szCs w:val="20"/>
    </w:rPr>
  </w:style>
  <w:style w:type="paragraph" w:customStyle="1" w:styleId="568">
    <w:name w:val="xl201"/>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小标宋" w:hAnsi="宋体" w:eastAsia="小标宋" w:cs="宋体"/>
      <w:b/>
      <w:bCs/>
      <w:sz w:val="40"/>
      <w:szCs w:val="40"/>
    </w:rPr>
  </w:style>
  <w:style w:type="paragraph" w:customStyle="1" w:styleId="569">
    <w:name w:val="xl202"/>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b/>
      <w:bCs/>
      <w:sz w:val="40"/>
      <w:szCs w:val="40"/>
    </w:rPr>
  </w:style>
  <w:style w:type="paragraph" w:customStyle="1" w:styleId="570">
    <w:name w:val="xl203"/>
    <w:basedOn w:val="1"/>
    <w:autoRedefine/>
    <w:qFormat/>
    <w:uiPriority w:val="99"/>
    <w:pPr>
      <w:pBdr>
        <w:top w:val="single" w:color="auto" w:sz="4" w:space="0"/>
        <w:left w:val="single" w:color="auto" w:sz="4" w:space="0"/>
        <w:bottom w:val="single" w:color="auto" w:sz="4" w:space="0"/>
      </w:pBdr>
      <w:spacing w:before="100" w:beforeAutospacing="1" w:after="100" w:afterAutospacing="1"/>
    </w:pPr>
    <w:rPr>
      <w:rFonts w:ascii="宋体" w:hAnsi="宋体" w:cs="宋体"/>
    </w:rPr>
  </w:style>
  <w:style w:type="paragraph" w:customStyle="1" w:styleId="571">
    <w:name w:val="xl204"/>
    <w:basedOn w:val="1"/>
    <w:qFormat/>
    <w:uiPriority w:val="99"/>
    <w:pPr>
      <w:pBdr>
        <w:top w:val="single" w:color="auto" w:sz="4" w:space="0"/>
        <w:bottom w:val="single" w:color="auto" w:sz="4" w:space="0"/>
      </w:pBdr>
      <w:spacing w:before="100" w:beforeAutospacing="1" w:after="100" w:afterAutospacing="1"/>
    </w:pPr>
    <w:rPr>
      <w:rFonts w:ascii="Arial" w:hAnsi="Arial" w:cs="Arial"/>
    </w:rPr>
  </w:style>
  <w:style w:type="paragraph" w:customStyle="1" w:styleId="572">
    <w:name w:val="xl205"/>
    <w:basedOn w:val="1"/>
    <w:autoRedefine/>
    <w:qFormat/>
    <w:uiPriority w:val="99"/>
    <w:pPr>
      <w:pBdr>
        <w:top w:val="single" w:color="auto" w:sz="4" w:space="0"/>
        <w:bottom w:val="single" w:color="auto" w:sz="4" w:space="0"/>
        <w:right w:val="single" w:color="auto" w:sz="4" w:space="0"/>
      </w:pBdr>
      <w:spacing w:before="100" w:beforeAutospacing="1" w:after="100" w:afterAutospacing="1"/>
    </w:pPr>
    <w:rPr>
      <w:rFonts w:ascii="Arial" w:hAnsi="Arial" w:cs="Arial"/>
    </w:rPr>
  </w:style>
  <w:style w:type="paragraph" w:customStyle="1" w:styleId="573">
    <w:name w:val="xl206"/>
    <w:basedOn w:val="1"/>
    <w:qFormat/>
    <w:uiPriority w:val="99"/>
    <w:pPr>
      <w:pBdr>
        <w:top w:val="single" w:color="auto" w:sz="4" w:space="0"/>
        <w:bottom w:val="single" w:color="auto" w:sz="4" w:space="0"/>
        <w:right w:val="single" w:color="auto" w:sz="4" w:space="0"/>
      </w:pBdr>
      <w:spacing w:before="100" w:beforeAutospacing="1" w:after="100" w:afterAutospacing="1"/>
      <w:jc w:val="center"/>
    </w:pPr>
    <w:rPr>
      <w:rFonts w:ascii="Arial" w:hAnsi="Arial" w:cs="Arial"/>
      <w:b/>
      <w:bCs/>
      <w:sz w:val="20"/>
      <w:szCs w:val="20"/>
    </w:rPr>
  </w:style>
  <w:style w:type="paragraph" w:customStyle="1" w:styleId="574">
    <w:name w:val="xl207"/>
    <w:basedOn w:val="1"/>
    <w:qFormat/>
    <w:uiPriority w:val="99"/>
    <w:pPr>
      <w:pBdr>
        <w:top w:val="single" w:color="auto" w:sz="4" w:space="0"/>
        <w:bottom w:val="single" w:color="auto" w:sz="4" w:space="0"/>
      </w:pBdr>
      <w:spacing w:before="100" w:beforeAutospacing="1" w:after="100" w:afterAutospacing="1"/>
      <w:jc w:val="center"/>
    </w:pPr>
    <w:rPr>
      <w:rFonts w:ascii="Arial" w:hAnsi="Arial" w:cs="Arial"/>
      <w:b/>
      <w:bCs/>
      <w:sz w:val="20"/>
      <w:szCs w:val="20"/>
    </w:rPr>
  </w:style>
  <w:style w:type="paragraph" w:customStyle="1" w:styleId="575">
    <w:name w:val="xl208"/>
    <w:basedOn w:val="1"/>
    <w:qFormat/>
    <w:uiPriority w:val="99"/>
    <w:pPr>
      <w:pBdr>
        <w:top w:val="single" w:color="auto" w:sz="4" w:space="0"/>
        <w:bottom w:val="single" w:color="auto" w:sz="4" w:space="0"/>
      </w:pBdr>
      <w:spacing w:before="100" w:beforeAutospacing="1" w:after="100" w:afterAutospacing="1"/>
    </w:pPr>
    <w:rPr>
      <w:rFonts w:ascii="Arial" w:hAnsi="Arial" w:cs="Arial"/>
      <w:sz w:val="20"/>
      <w:szCs w:val="20"/>
    </w:rPr>
  </w:style>
  <w:style w:type="paragraph" w:customStyle="1" w:styleId="576">
    <w:name w:val="xl209"/>
    <w:basedOn w:val="1"/>
    <w:qFormat/>
    <w:uiPriority w:val="99"/>
    <w:pPr>
      <w:pBdr>
        <w:top w:val="single" w:color="auto" w:sz="4" w:space="0"/>
        <w:bottom w:val="single" w:color="auto" w:sz="4" w:space="0"/>
        <w:right w:val="single" w:color="auto" w:sz="4" w:space="0"/>
      </w:pBdr>
      <w:spacing w:before="100" w:beforeAutospacing="1" w:after="100" w:afterAutospacing="1"/>
    </w:pPr>
    <w:rPr>
      <w:rFonts w:ascii="Arial" w:hAnsi="Arial" w:cs="Arial"/>
      <w:sz w:val="20"/>
      <w:szCs w:val="20"/>
    </w:rPr>
  </w:style>
  <w:style w:type="character" w:customStyle="1" w:styleId="577">
    <w:name w:val="grame"/>
    <w:basedOn w:val="71"/>
    <w:qFormat/>
    <w:uiPriority w:val="99"/>
    <w:rPr>
      <w:rFonts w:cs="Times New Roman"/>
    </w:rPr>
  </w:style>
  <w:style w:type="paragraph" w:customStyle="1" w:styleId="578">
    <w:name w:val="Pa0"/>
    <w:basedOn w:val="1"/>
    <w:next w:val="1"/>
    <w:autoRedefine/>
    <w:qFormat/>
    <w:uiPriority w:val="99"/>
    <w:pPr>
      <w:widowControl w:val="0"/>
      <w:autoSpaceDE w:val="0"/>
      <w:autoSpaceDN w:val="0"/>
      <w:adjustRightInd w:val="0"/>
      <w:spacing w:line="241" w:lineRule="atLeast"/>
    </w:pPr>
    <w:rPr>
      <w:rFonts w:ascii="Adobe 黑体 Std R" w:eastAsia="Adobe 黑体 Std R"/>
    </w:rPr>
  </w:style>
  <w:style w:type="character" w:customStyle="1" w:styleId="579">
    <w:name w:val="ca-21"/>
    <w:qFormat/>
    <w:uiPriority w:val="99"/>
    <w:rPr>
      <w:rFonts w:ascii="宋体" w:hAnsi="宋体" w:eastAsia="宋体"/>
      <w:sz w:val="24"/>
    </w:rPr>
  </w:style>
  <w:style w:type="character" w:customStyle="1" w:styleId="580">
    <w:name w:val="ca-31"/>
    <w:qFormat/>
    <w:uiPriority w:val="99"/>
    <w:rPr>
      <w:rFonts w:ascii="??" w:hAnsi="??"/>
      <w:sz w:val="24"/>
    </w:rPr>
  </w:style>
  <w:style w:type="paragraph" w:customStyle="1" w:styleId="581">
    <w:name w:val="xl131"/>
    <w:basedOn w:val="1"/>
    <w:autoRedefine/>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sz w:val="20"/>
      <w:szCs w:val="20"/>
    </w:rPr>
  </w:style>
  <w:style w:type="paragraph" w:customStyle="1" w:styleId="582">
    <w:name w:val="xl132"/>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cs="宋体"/>
      <w:sz w:val="20"/>
      <w:szCs w:val="20"/>
    </w:rPr>
  </w:style>
  <w:style w:type="paragraph" w:customStyle="1" w:styleId="583">
    <w:name w:val="xl133"/>
    <w:basedOn w:val="1"/>
    <w:autoRedefine/>
    <w:qFormat/>
    <w:uiPriority w:val="99"/>
    <w:pPr>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center"/>
    </w:pPr>
    <w:rPr>
      <w:rFonts w:ascii="宋体" w:hAnsi="宋体" w:cs="宋体"/>
      <w:b/>
      <w:bCs/>
      <w:sz w:val="20"/>
      <w:szCs w:val="20"/>
    </w:rPr>
  </w:style>
  <w:style w:type="paragraph" w:customStyle="1" w:styleId="584">
    <w:name w:val="xl134"/>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cs="宋体"/>
      <w:sz w:val="20"/>
      <w:szCs w:val="20"/>
    </w:rPr>
  </w:style>
  <w:style w:type="paragraph" w:customStyle="1" w:styleId="585">
    <w:name w:val="xl135"/>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sz w:val="20"/>
      <w:szCs w:val="20"/>
    </w:rPr>
  </w:style>
  <w:style w:type="paragraph" w:customStyle="1" w:styleId="586">
    <w:name w:val="xl136"/>
    <w:basedOn w:val="1"/>
    <w:qFormat/>
    <w:uiPriority w:val="99"/>
    <w:pPr>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pPr>
    <w:rPr>
      <w:rFonts w:ascii="宋体" w:hAnsi="宋体" w:cs="宋体"/>
      <w:sz w:val="20"/>
      <w:szCs w:val="20"/>
    </w:rPr>
  </w:style>
  <w:style w:type="paragraph" w:customStyle="1" w:styleId="587">
    <w:name w:val="xl137"/>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sz w:val="20"/>
      <w:szCs w:val="20"/>
    </w:rPr>
  </w:style>
  <w:style w:type="paragraph" w:customStyle="1" w:styleId="588">
    <w:name w:val="xl138"/>
    <w:basedOn w:val="1"/>
    <w:autoRedefine/>
    <w:qFormat/>
    <w:uiPriority w:val="99"/>
    <w:pPr>
      <w:pBdr>
        <w:top w:val="single" w:color="auto" w:sz="4" w:space="0"/>
        <w:left w:val="single" w:color="auto" w:sz="4" w:space="0"/>
        <w:bottom w:val="single" w:color="auto" w:sz="4" w:space="0"/>
      </w:pBdr>
      <w:spacing w:before="100" w:beforeAutospacing="1" w:after="100" w:afterAutospacing="1"/>
      <w:textAlignment w:val="center"/>
    </w:pPr>
    <w:rPr>
      <w:rFonts w:ascii="宋体" w:hAnsi="宋体" w:cs="宋体"/>
      <w:sz w:val="20"/>
      <w:szCs w:val="20"/>
    </w:rPr>
  </w:style>
  <w:style w:type="paragraph" w:customStyle="1" w:styleId="589">
    <w:name w:val="xl139"/>
    <w:basedOn w:val="1"/>
    <w:autoRedefine/>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sz w:val="20"/>
      <w:szCs w:val="20"/>
    </w:rPr>
  </w:style>
  <w:style w:type="paragraph" w:customStyle="1" w:styleId="590">
    <w:name w:val="xl140"/>
    <w:basedOn w:val="1"/>
    <w:autoRedefine/>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cs="宋体"/>
      <w:sz w:val="18"/>
      <w:szCs w:val="18"/>
    </w:rPr>
  </w:style>
  <w:style w:type="paragraph" w:customStyle="1" w:styleId="591">
    <w:name w:val="xl141"/>
    <w:basedOn w:val="1"/>
    <w:autoRedefine/>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sz w:val="18"/>
      <w:szCs w:val="18"/>
    </w:rPr>
  </w:style>
  <w:style w:type="paragraph" w:customStyle="1" w:styleId="592">
    <w:name w:val="xl142"/>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仿宋_GB2312" w:hAnsi="宋体" w:eastAsia="仿宋_GB2312" w:cs="宋体"/>
      <w:sz w:val="20"/>
      <w:szCs w:val="20"/>
    </w:rPr>
  </w:style>
  <w:style w:type="paragraph" w:customStyle="1" w:styleId="593">
    <w:name w:val="xl143"/>
    <w:basedOn w:val="1"/>
    <w:autoRedefine/>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仿宋_GB2312" w:hAnsi="宋体" w:eastAsia="仿宋_GB2312" w:cs="宋体"/>
      <w:sz w:val="20"/>
      <w:szCs w:val="20"/>
    </w:rPr>
  </w:style>
  <w:style w:type="paragraph" w:customStyle="1" w:styleId="594">
    <w:name w:val="xl144"/>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sz w:val="20"/>
      <w:szCs w:val="20"/>
    </w:rPr>
  </w:style>
  <w:style w:type="paragraph" w:customStyle="1" w:styleId="595">
    <w:name w:val="xl145"/>
    <w:basedOn w:val="1"/>
    <w:qFormat/>
    <w:uiPriority w:val="99"/>
    <w:pPr>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sz w:val="20"/>
      <w:szCs w:val="20"/>
    </w:rPr>
  </w:style>
  <w:style w:type="paragraph" w:customStyle="1" w:styleId="596">
    <w:name w:val="xl146"/>
    <w:basedOn w:val="1"/>
    <w:qFormat/>
    <w:uiPriority w:val="99"/>
    <w:pPr>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sz w:val="20"/>
      <w:szCs w:val="20"/>
    </w:rPr>
  </w:style>
  <w:style w:type="paragraph" w:customStyle="1" w:styleId="597">
    <w:name w:val="xl147"/>
    <w:basedOn w:val="1"/>
    <w:qFormat/>
    <w:uiPriority w:val="99"/>
    <w:pPr>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sz w:val="20"/>
      <w:szCs w:val="20"/>
    </w:rPr>
  </w:style>
  <w:style w:type="paragraph" w:customStyle="1" w:styleId="598">
    <w:name w:val="xl148"/>
    <w:basedOn w:val="1"/>
    <w:qFormat/>
    <w:uiPriority w:val="99"/>
    <w:pPr>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sz w:val="20"/>
      <w:szCs w:val="20"/>
    </w:rPr>
  </w:style>
  <w:style w:type="paragraph" w:customStyle="1" w:styleId="599">
    <w:name w:val="xl149"/>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sz w:val="20"/>
      <w:szCs w:val="20"/>
    </w:rPr>
  </w:style>
  <w:style w:type="paragraph" w:customStyle="1" w:styleId="600">
    <w:name w:val="xl150"/>
    <w:basedOn w:val="1"/>
    <w:qFormat/>
    <w:uiPriority w:val="99"/>
    <w:pPr>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center"/>
    </w:pPr>
    <w:rPr>
      <w:rFonts w:ascii="宋体" w:hAnsi="宋体" w:cs="宋体"/>
      <w:b/>
      <w:bCs/>
      <w:sz w:val="20"/>
      <w:szCs w:val="20"/>
    </w:rPr>
  </w:style>
  <w:style w:type="paragraph" w:customStyle="1" w:styleId="601">
    <w:name w:val="xl151"/>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cs="宋体"/>
      <w:sz w:val="20"/>
      <w:szCs w:val="20"/>
    </w:rPr>
  </w:style>
  <w:style w:type="paragraph" w:customStyle="1" w:styleId="602">
    <w:name w:val="xl152"/>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cs="宋体"/>
      <w:sz w:val="20"/>
      <w:szCs w:val="20"/>
    </w:rPr>
  </w:style>
  <w:style w:type="paragraph" w:customStyle="1" w:styleId="603">
    <w:name w:val="xl153"/>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cs="宋体"/>
      <w:sz w:val="20"/>
      <w:szCs w:val="20"/>
    </w:rPr>
  </w:style>
  <w:style w:type="paragraph" w:customStyle="1" w:styleId="604">
    <w:name w:val="xl154"/>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sz w:val="20"/>
      <w:szCs w:val="20"/>
    </w:rPr>
  </w:style>
  <w:style w:type="paragraph" w:customStyle="1" w:styleId="605">
    <w:name w:val="xl155"/>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sz w:val="20"/>
      <w:szCs w:val="20"/>
    </w:rPr>
  </w:style>
  <w:style w:type="paragraph" w:customStyle="1" w:styleId="606">
    <w:name w:val="xl156"/>
    <w:basedOn w:val="1"/>
    <w:autoRedefine/>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sz w:val="20"/>
      <w:szCs w:val="20"/>
    </w:rPr>
  </w:style>
  <w:style w:type="paragraph" w:customStyle="1" w:styleId="607">
    <w:name w:val="xl157"/>
    <w:basedOn w:val="1"/>
    <w:qFormat/>
    <w:uiPriority w:val="99"/>
    <w:pPr>
      <w:pBdr>
        <w:top w:val="single" w:color="auto" w:sz="4" w:space="0"/>
        <w:left w:val="single" w:color="auto" w:sz="4" w:space="0"/>
        <w:bottom w:val="single" w:color="auto" w:sz="4" w:space="0"/>
      </w:pBdr>
      <w:spacing w:before="100" w:beforeAutospacing="1" w:after="100" w:afterAutospacing="1"/>
      <w:textAlignment w:val="center"/>
    </w:pPr>
    <w:rPr>
      <w:rFonts w:ascii="宋体" w:hAnsi="宋体" w:cs="宋体"/>
      <w:sz w:val="20"/>
      <w:szCs w:val="20"/>
    </w:rPr>
  </w:style>
  <w:style w:type="paragraph" w:customStyle="1" w:styleId="608">
    <w:name w:val="xl158"/>
    <w:basedOn w:val="1"/>
    <w:autoRedefine/>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sz w:val="20"/>
      <w:szCs w:val="20"/>
    </w:rPr>
  </w:style>
  <w:style w:type="paragraph" w:customStyle="1" w:styleId="609">
    <w:name w:val="xl159"/>
    <w:basedOn w:val="1"/>
    <w:autoRedefine/>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cs="宋体"/>
      <w:sz w:val="20"/>
      <w:szCs w:val="20"/>
    </w:rPr>
  </w:style>
  <w:style w:type="paragraph" w:customStyle="1" w:styleId="610">
    <w:name w:val="xl160"/>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cs="宋体"/>
      <w:sz w:val="20"/>
      <w:szCs w:val="20"/>
    </w:rPr>
  </w:style>
  <w:style w:type="paragraph" w:customStyle="1" w:styleId="611">
    <w:name w:val="xl161"/>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cs="宋体"/>
      <w:sz w:val="20"/>
      <w:szCs w:val="20"/>
    </w:rPr>
  </w:style>
  <w:style w:type="paragraph" w:customStyle="1" w:styleId="612">
    <w:name w:val="xl162"/>
    <w:basedOn w:val="1"/>
    <w:autoRedefine/>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sz w:val="20"/>
      <w:szCs w:val="20"/>
    </w:rPr>
  </w:style>
  <w:style w:type="paragraph" w:customStyle="1" w:styleId="613">
    <w:name w:val="xl163"/>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sz w:val="20"/>
      <w:szCs w:val="20"/>
    </w:rPr>
  </w:style>
  <w:style w:type="paragraph" w:customStyle="1" w:styleId="614">
    <w:name w:val="xl164"/>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cs="宋体"/>
      <w:sz w:val="18"/>
      <w:szCs w:val="18"/>
    </w:rPr>
  </w:style>
  <w:style w:type="paragraph" w:customStyle="1" w:styleId="615">
    <w:name w:val="xl165"/>
    <w:basedOn w:val="1"/>
    <w:autoRedefine/>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sz w:val="18"/>
      <w:szCs w:val="18"/>
    </w:rPr>
  </w:style>
  <w:style w:type="paragraph" w:customStyle="1" w:styleId="616">
    <w:name w:val="xl166"/>
    <w:basedOn w:val="1"/>
    <w:qFormat/>
    <w:uiPriority w:val="99"/>
    <w:pPr>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sz w:val="20"/>
      <w:szCs w:val="20"/>
    </w:rPr>
  </w:style>
  <w:style w:type="paragraph" w:customStyle="1" w:styleId="617">
    <w:name w:val="xl167"/>
    <w:basedOn w:val="1"/>
    <w:autoRedefine/>
    <w:qFormat/>
    <w:uiPriority w:val="99"/>
    <w:pPr>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sz w:val="20"/>
      <w:szCs w:val="20"/>
    </w:rPr>
  </w:style>
  <w:style w:type="paragraph" w:customStyle="1" w:styleId="618">
    <w:name w:val="xl168"/>
    <w:basedOn w:val="1"/>
    <w:autoRedefine/>
    <w:qFormat/>
    <w:uiPriority w:val="99"/>
    <w:pPr>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sz w:val="20"/>
      <w:szCs w:val="20"/>
    </w:rPr>
  </w:style>
  <w:style w:type="paragraph" w:customStyle="1" w:styleId="619">
    <w:name w:val="xl169"/>
    <w:basedOn w:val="1"/>
    <w:autoRedefine/>
    <w:qFormat/>
    <w:uiPriority w:val="99"/>
    <w:pPr>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sz w:val="20"/>
      <w:szCs w:val="20"/>
    </w:rPr>
  </w:style>
  <w:style w:type="paragraph" w:customStyle="1" w:styleId="620">
    <w:name w:val="xl170"/>
    <w:basedOn w:val="1"/>
    <w:autoRedefine/>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sz w:val="20"/>
      <w:szCs w:val="20"/>
    </w:rPr>
  </w:style>
  <w:style w:type="paragraph" w:customStyle="1" w:styleId="621">
    <w:name w:val="xl171"/>
    <w:basedOn w:val="1"/>
    <w:autoRedefine/>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sz w:val="20"/>
      <w:szCs w:val="20"/>
    </w:rPr>
  </w:style>
  <w:style w:type="paragraph" w:customStyle="1" w:styleId="622">
    <w:name w:val="xl172"/>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cs="宋体"/>
      <w:sz w:val="18"/>
      <w:szCs w:val="18"/>
    </w:rPr>
  </w:style>
  <w:style w:type="paragraph" w:customStyle="1" w:styleId="623">
    <w:name w:val="xl173"/>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sz w:val="18"/>
      <w:szCs w:val="18"/>
    </w:rPr>
  </w:style>
  <w:style w:type="paragraph" w:customStyle="1" w:styleId="624">
    <w:name w:val="xl174"/>
    <w:basedOn w:val="1"/>
    <w:autoRedefine/>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仿宋_GB2312" w:hAnsi="宋体" w:eastAsia="仿宋_GB2312" w:cs="宋体"/>
      <w:sz w:val="20"/>
      <w:szCs w:val="20"/>
    </w:rPr>
  </w:style>
  <w:style w:type="paragraph" w:customStyle="1" w:styleId="625">
    <w:name w:val="xl175"/>
    <w:basedOn w:val="1"/>
    <w:autoRedefine/>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仿宋_GB2312" w:hAnsi="宋体" w:eastAsia="仿宋_GB2312" w:cs="宋体"/>
      <w:sz w:val="20"/>
      <w:szCs w:val="20"/>
    </w:rPr>
  </w:style>
  <w:style w:type="paragraph" w:customStyle="1" w:styleId="626">
    <w:name w:val="xl176"/>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sz w:val="20"/>
      <w:szCs w:val="20"/>
    </w:rPr>
  </w:style>
  <w:style w:type="paragraph" w:customStyle="1" w:styleId="627">
    <w:name w:val="xl177"/>
    <w:basedOn w:val="1"/>
    <w:autoRedefine/>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sz w:val="20"/>
      <w:szCs w:val="20"/>
    </w:rPr>
  </w:style>
  <w:style w:type="paragraph" w:customStyle="1" w:styleId="628">
    <w:name w:val="xl178"/>
    <w:basedOn w:val="1"/>
    <w:autoRedefine/>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sz w:val="20"/>
      <w:szCs w:val="20"/>
    </w:rPr>
  </w:style>
  <w:style w:type="paragraph" w:customStyle="1" w:styleId="629">
    <w:name w:val="xl179"/>
    <w:basedOn w:val="1"/>
    <w:qFormat/>
    <w:uiPriority w:val="99"/>
    <w:pPr>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sz w:val="20"/>
      <w:szCs w:val="20"/>
    </w:rPr>
  </w:style>
  <w:style w:type="paragraph" w:customStyle="1" w:styleId="630">
    <w:name w:val="xl180"/>
    <w:basedOn w:val="1"/>
    <w:autoRedefine/>
    <w:qFormat/>
    <w:uiPriority w:val="99"/>
    <w:pPr>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sz w:val="20"/>
      <w:szCs w:val="20"/>
    </w:rPr>
  </w:style>
  <w:style w:type="paragraph" w:customStyle="1" w:styleId="631">
    <w:name w:val="xl181"/>
    <w:basedOn w:val="1"/>
    <w:qFormat/>
    <w:uiPriority w:val="99"/>
    <w:pPr>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sz w:val="20"/>
      <w:szCs w:val="20"/>
    </w:rPr>
  </w:style>
  <w:style w:type="paragraph" w:customStyle="1" w:styleId="632">
    <w:name w:val="样式 标题 3列表编号3h33rd level + 段前: 1 行"/>
    <w:basedOn w:val="4"/>
    <w:qFormat/>
    <w:uiPriority w:val="99"/>
    <w:pPr>
      <w:adjustRightInd w:val="0"/>
      <w:snapToGrid w:val="0"/>
      <w:spacing w:before="240" w:after="120" w:line="240" w:lineRule="atLeast"/>
      <w:ind w:left="-540" w:leftChars="-257"/>
      <w:contextualSpacing w:val="0"/>
    </w:pPr>
    <w:rPr>
      <w:rFonts w:ascii="宋体" w:hAnsi="Times New Roman"/>
      <w:color w:val="auto"/>
      <w:spacing w:val="0"/>
      <w:sz w:val="28"/>
      <w:szCs w:val="28"/>
    </w:rPr>
  </w:style>
  <w:style w:type="paragraph" w:customStyle="1" w:styleId="633">
    <w:name w:val="WPS Plain"/>
    <w:autoRedefine/>
    <w:qFormat/>
    <w:uiPriority w:val="99"/>
    <w:rPr>
      <w:rFonts w:ascii="Times New Roman" w:hAnsi="Times New Roman" w:eastAsia="宋体" w:cs="Times New Roman"/>
      <w:lang w:val="en-US" w:eastAsia="zh-CN" w:bidi="ar-SA"/>
    </w:rPr>
  </w:style>
  <w:style w:type="paragraph" w:customStyle="1" w:styleId="634">
    <w:name w:val="1 Char Char Char Char Char"/>
    <w:basedOn w:val="1"/>
    <w:autoRedefine/>
    <w:qFormat/>
    <w:uiPriority w:val="99"/>
    <w:pPr>
      <w:widowControl w:val="0"/>
      <w:tabs>
        <w:tab w:val="left" w:pos="360"/>
      </w:tabs>
      <w:ind w:left="360" w:hanging="360" w:hangingChars="200"/>
      <w:jc w:val="both"/>
    </w:pPr>
    <w:rPr>
      <w:kern w:val="2"/>
      <w:sz w:val="21"/>
      <w:szCs w:val="20"/>
    </w:rPr>
  </w:style>
  <w:style w:type="paragraph" w:customStyle="1" w:styleId="635">
    <w:name w:val="标准文本"/>
    <w:basedOn w:val="1"/>
    <w:link w:val="636"/>
    <w:autoRedefine/>
    <w:qFormat/>
    <w:uiPriority w:val="99"/>
    <w:pPr>
      <w:widowControl w:val="0"/>
      <w:spacing w:line="360" w:lineRule="auto"/>
      <w:ind w:firstLine="480" w:firstLineChars="200"/>
      <w:jc w:val="both"/>
    </w:pPr>
    <w:rPr>
      <w:rFonts w:ascii="Calibri" w:hAnsi="Calibri" w:eastAsia="仿宋_GB2312"/>
      <w:kern w:val="2"/>
      <w:szCs w:val="20"/>
    </w:rPr>
  </w:style>
  <w:style w:type="character" w:customStyle="1" w:styleId="636">
    <w:name w:val="标准文本 Char"/>
    <w:link w:val="635"/>
    <w:qFormat/>
    <w:locked/>
    <w:uiPriority w:val="99"/>
    <w:rPr>
      <w:rFonts w:ascii="Calibri" w:hAnsi="Calibri" w:eastAsia="仿宋_GB2312"/>
      <w:kern w:val="2"/>
      <w:sz w:val="24"/>
    </w:rPr>
  </w:style>
  <w:style w:type="paragraph" w:customStyle="1" w:styleId="637">
    <w:name w:val="页眉 New New"/>
    <w:basedOn w:val="638"/>
    <w:qFormat/>
    <w:uiPriority w:val="99"/>
    <w:pPr>
      <w:pBdr>
        <w:bottom w:val="single" w:color="auto" w:sz="6" w:space="1"/>
      </w:pBdr>
      <w:tabs>
        <w:tab w:val="center" w:pos="4153"/>
        <w:tab w:val="right" w:pos="8306"/>
      </w:tabs>
      <w:snapToGrid w:val="0"/>
      <w:jc w:val="center"/>
    </w:pPr>
    <w:rPr>
      <w:sz w:val="18"/>
      <w:szCs w:val="18"/>
    </w:rPr>
  </w:style>
  <w:style w:type="paragraph" w:customStyle="1" w:styleId="638">
    <w:name w:val="正文 New New"/>
    <w:autoRedefine/>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639">
    <w:name w:val="段2"/>
    <w:autoRedefine/>
    <w:qFormat/>
    <w:uiPriority w:val="99"/>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640">
    <w:name w:val="列出段落 Char"/>
    <w:link w:val="120"/>
    <w:qFormat/>
    <w:locked/>
    <w:uiPriority w:val="99"/>
    <w:rPr>
      <w:color w:val="5A5A5A"/>
    </w:rPr>
  </w:style>
  <w:style w:type="paragraph" w:customStyle="1" w:styleId="641">
    <w:name w:val="标准正文1"/>
    <w:basedOn w:val="1"/>
    <w:qFormat/>
    <w:uiPriority w:val="99"/>
    <w:pPr>
      <w:widowControl w:val="0"/>
      <w:spacing w:beforeLines="30" w:afterLines="30" w:line="288" w:lineRule="auto"/>
      <w:ind w:firstLine="420" w:firstLineChars="200"/>
      <w:jc w:val="both"/>
    </w:pPr>
    <w:rPr>
      <w:rFonts w:cs="宋体"/>
      <w:kern w:val="2"/>
      <w:sz w:val="21"/>
      <w:szCs w:val="20"/>
    </w:rPr>
  </w:style>
  <w:style w:type="paragraph" w:customStyle="1" w:styleId="642">
    <w:name w:val="黑方框"/>
    <w:basedOn w:val="1"/>
    <w:autoRedefine/>
    <w:qFormat/>
    <w:uiPriority w:val="99"/>
    <w:pPr>
      <w:widowControl w:val="0"/>
      <w:spacing w:before="60" w:after="60" w:line="288" w:lineRule="auto"/>
      <w:jc w:val="both"/>
    </w:pPr>
    <w:rPr>
      <w:rFonts w:cs="宋体"/>
      <w:kern w:val="2"/>
      <w:sz w:val="21"/>
      <w:szCs w:val="21"/>
    </w:rPr>
  </w:style>
  <w:style w:type="paragraph" w:customStyle="1" w:styleId="643">
    <w:name w:val="正文 New"/>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644">
    <w:name w:val="Char Char Char Char Char2 Char2"/>
    <w:basedOn w:val="1"/>
    <w:autoRedefine/>
    <w:qFormat/>
    <w:uiPriority w:val="99"/>
    <w:pPr>
      <w:widowControl w:val="0"/>
      <w:jc w:val="both"/>
    </w:pPr>
    <w:rPr>
      <w:kern w:val="2"/>
      <w:sz w:val="21"/>
      <w:szCs w:val="20"/>
    </w:rPr>
  </w:style>
  <w:style w:type="character" w:customStyle="1" w:styleId="645">
    <w:name w:val="ca-82"/>
    <w:basedOn w:val="71"/>
    <w:autoRedefine/>
    <w:qFormat/>
    <w:uiPriority w:val="99"/>
    <w:rPr>
      <w:rFonts w:cs="Times New Roman"/>
    </w:rPr>
  </w:style>
  <w:style w:type="character" w:customStyle="1" w:styleId="646">
    <w:name w:val="ca-22"/>
    <w:basedOn w:val="71"/>
    <w:qFormat/>
    <w:uiPriority w:val="99"/>
    <w:rPr>
      <w:rFonts w:cs="Times New Roman"/>
    </w:rPr>
  </w:style>
  <w:style w:type="paragraph" w:customStyle="1" w:styleId="647">
    <w:name w:val="Char Char Char Char Char Char Char Char Char Char"/>
    <w:basedOn w:val="1"/>
    <w:qFormat/>
    <w:uiPriority w:val="0"/>
    <w:pPr>
      <w:spacing w:after="160" w:line="240" w:lineRule="exact"/>
    </w:pPr>
    <w:rPr>
      <w:rFonts w:ascii="Verdana" w:hAnsi="Verdana" w:cs="Verdana"/>
      <w:sz w:val="20"/>
      <w:szCs w:val="20"/>
      <w:lang w:eastAsia="en-US"/>
    </w:rPr>
  </w:style>
  <w:style w:type="paragraph" w:customStyle="1" w:styleId="648">
    <w:name w:val="font12"/>
    <w:basedOn w:val="1"/>
    <w:autoRedefine/>
    <w:qFormat/>
    <w:uiPriority w:val="99"/>
    <w:pPr>
      <w:spacing w:before="100" w:beforeAutospacing="1" w:after="100" w:afterAutospacing="1"/>
    </w:pPr>
    <w:rPr>
      <w:sz w:val="20"/>
      <w:szCs w:val="20"/>
    </w:rPr>
  </w:style>
  <w:style w:type="paragraph" w:customStyle="1" w:styleId="649">
    <w:name w:val="font13"/>
    <w:basedOn w:val="1"/>
    <w:autoRedefine/>
    <w:qFormat/>
    <w:uiPriority w:val="99"/>
    <w:pPr>
      <w:spacing w:before="100" w:beforeAutospacing="1" w:after="100" w:afterAutospacing="1"/>
    </w:pPr>
    <w:rPr>
      <w:rFonts w:ascii="Tahoma" w:hAnsi="Tahoma" w:cs="Tahoma"/>
      <w:sz w:val="20"/>
      <w:szCs w:val="20"/>
    </w:rPr>
  </w:style>
  <w:style w:type="paragraph" w:customStyle="1" w:styleId="650">
    <w:name w:val="font14"/>
    <w:basedOn w:val="1"/>
    <w:qFormat/>
    <w:uiPriority w:val="99"/>
    <w:pPr>
      <w:spacing w:before="100" w:beforeAutospacing="1" w:after="100" w:afterAutospacing="1"/>
    </w:pPr>
    <w:rPr>
      <w:rFonts w:ascii="Arial" w:hAnsi="Arial" w:cs="Arial"/>
      <w:sz w:val="20"/>
      <w:szCs w:val="20"/>
    </w:rPr>
  </w:style>
  <w:style w:type="paragraph" w:customStyle="1" w:styleId="651">
    <w:name w:val="font15"/>
    <w:basedOn w:val="1"/>
    <w:qFormat/>
    <w:uiPriority w:val="99"/>
    <w:pPr>
      <w:spacing w:before="100" w:beforeAutospacing="1" w:after="100" w:afterAutospacing="1"/>
    </w:pPr>
    <w:rPr>
      <w:sz w:val="18"/>
      <w:szCs w:val="18"/>
    </w:rPr>
  </w:style>
  <w:style w:type="paragraph" w:customStyle="1" w:styleId="652">
    <w:name w:val="font16"/>
    <w:basedOn w:val="1"/>
    <w:autoRedefine/>
    <w:qFormat/>
    <w:uiPriority w:val="99"/>
    <w:pPr>
      <w:spacing w:before="100" w:beforeAutospacing="1" w:after="100" w:afterAutospacing="1"/>
    </w:pPr>
    <w:rPr>
      <w:rFonts w:ascii="宋体" w:hAnsi="宋体" w:cs="宋体"/>
      <w:sz w:val="18"/>
      <w:szCs w:val="18"/>
    </w:rPr>
  </w:style>
  <w:style w:type="table" w:customStyle="1" w:styleId="653">
    <w:name w:val="网格型4"/>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654">
    <w:name w:val="消息标题标签"/>
    <w:qFormat/>
    <w:uiPriority w:val="99"/>
    <w:rPr>
      <w:rFonts w:ascii="Arial" w:hAnsi="Arial"/>
      <w:b/>
      <w:spacing w:val="-4"/>
      <w:sz w:val="18"/>
      <w:lang w:eastAsia="zh-CN"/>
    </w:rPr>
  </w:style>
  <w:style w:type="character" w:customStyle="1" w:styleId="655">
    <w:name w:val="占位符文本1"/>
    <w:semiHidden/>
    <w:qFormat/>
    <w:uiPriority w:val="99"/>
    <w:rPr>
      <w:color w:val="808080"/>
    </w:rPr>
  </w:style>
  <w:style w:type="table" w:customStyle="1" w:styleId="656">
    <w:name w:val="网格型5"/>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657">
    <w:name w:val="样式 小四 段前: 5 磅 段后: 5 磅 首行缩进:  2 字符"/>
    <w:basedOn w:val="1"/>
    <w:qFormat/>
    <w:uiPriority w:val="99"/>
    <w:pPr>
      <w:widowControl w:val="0"/>
      <w:spacing w:line="360" w:lineRule="auto"/>
      <w:jc w:val="both"/>
    </w:pPr>
    <w:rPr>
      <w:rFonts w:ascii="宋体" w:hAnsi="宋体"/>
      <w:kern w:val="2"/>
      <w:sz w:val="21"/>
      <w:szCs w:val="21"/>
    </w:rPr>
  </w:style>
  <w:style w:type="paragraph" w:styleId="658">
    <w:name w:val="List Paragraph"/>
    <w:basedOn w:val="1"/>
    <w:qFormat/>
    <w:uiPriority w:val="34"/>
    <w:pPr>
      <w:widowControl w:val="0"/>
      <w:spacing w:line="400" w:lineRule="exact"/>
      <w:ind w:firstLine="420" w:firstLineChars="200"/>
      <w:jc w:val="both"/>
    </w:pPr>
    <w:rPr>
      <w:kern w:val="2"/>
    </w:rPr>
  </w:style>
  <w:style w:type="paragraph" w:customStyle="1" w:styleId="659">
    <w:name w:val="需求正文"/>
    <w:basedOn w:val="1"/>
    <w:qFormat/>
    <w:uiPriority w:val="0"/>
    <w:pPr>
      <w:widowControl w:val="0"/>
      <w:topLinePunct/>
      <w:ind w:firstLine="459"/>
      <w:jc w:val="both"/>
    </w:pPr>
    <w:rPr>
      <w:kern w:val="23"/>
      <w:sz w:val="23"/>
      <w:szCs w:val="23"/>
    </w:rPr>
  </w:style>
  <w:style w:type="character" w:customStyle="1" w:styleId="660">
    <w:name w:val="纯文本 Char Char"/>
    <w:autoRedefine/>
    <w:qFormat/>
    <w:uiPriority w:val="0"/>
    <w:rPr>
      <w:rFonts w:ascii="宋体" w:hAnsi="Courier New" w:eastAsia="宋体"/>
      <w:kern w:val="2"/>
      <w:sz w:val="21"/>
      <w:lang w:val="en-US" w:eastAsia="zh-CN" w:bidi="ar-SA"/>
    </w:rPr>
  </w:style>
  <w:style w:type="paragraph" w:customStyle="1" w:styleId="661">
    <w:name w:val="HL正文样式"/>
    <w:basedOn w:val="1"/>
    <w:qFormat/>
    <w:uiPriority w:val="0"/>
    <w:pPr>
      <w:widowControl w:val="0"/>
      <w:spacing w:line="360" w:lineRule="auto"/>
      <w:ind w:firstLine="200" w:firstLineChars="200"/>
      <w:jc w:val="both"/>
    </w:pPr>
    <w:rPr>
      <w:rFonts w:ascii="Arial" w:hAnsi="Arial"/>
      <w:kern w:val="2"/>
      <w:szCs w:val="22"/>
    </w:rPr>
  </w:style>
  <w:style w:type="character" w:customStyle="1" w:styleId="662">
    <w:name w:val="正文文本 (2) + MingLiU1"/>
    <w:qFormat/>
    <w:uiPriority w:val="0"/>
    <w:rPr>
      <w:rFonts w:hint="eastAsia" w:ascii="MingLiU" w:hAnsi="Times New Roman" w:eastAsia="MingLiU" w:cs="MingLiU"/>
      <w:sz w:val="16"/>
      <w:szCs w:val="16"/>
      <w:u w:val="none"/>
    </w:rPr>
  </w:style>
  <w:style w:type="character" w:customStyle="1" w:styleId="663">
    <w:name w:val="正文文本 (2) + Georgia"/>
    <w:qFormat/>
    <w:uiPriority w:val="0"/>
    <w:rPr>
      <w:rFonts w:hint="default" w:ascii="Georgia" w:hAnsi="Georgia" w:eastAsia="MingLiU" w:cs="Georgia"/>
      <w:b/>
      <w:bCs/>
      <w:spacing w:val="0"/>
      <w:sz w:val="14"/>
      <w:szCs w:val="14"/>
      <w:u w:val="none"/>
      <w:lang w:val="en-US" w:eastAsia="en-US"/>
    </w:rPr>
  </w:style>
  <w:style w:type="character" w:customStyle="1" w:styleId="664">
    <w:name w:val="*正文 Char"/>
    <w:link w:val="665"/>
    <w:qFormat/>
    <w:uiPriority w:val="0"/>
    <w:rPr>
      <w:rFonts w:ascii="宋体" w:hAnsi="宋体" w:cs="Times New Roman"/>
      <w:kern w:val="2"/>
      <w:sz w:val="24"/>
      <w:szCs w:val="24"/>
      <w:lang w:val="zh-CN"/>
    </w:rPr>
  </w:style>
  <w:style w:type="paragraph" w:customStyle="1" w:styleId="665">
    <w:name w:val="*正文"/>
    <w:basedOn w:val="1"/>
    <w:link w:val="664"/>
    <w:qFormat/>
    <w:uiPriority w:val="0"/>
    <w:pPr>
      <w:widowControl w:val="0"/>
      <w:spacing w:line="560" w:lineRule="exact"/>
      <w:ind w:firstLine="200" w:firstLineChars="200"/>
      <w:jc w:val="both"/>
    </w:pPr>
    <w:rPr>
      <w:rFonts w:ascii="宋体" w:hAnsi="宋体"/>
      <w:kern w:val="2"/>
      <w:lang w:val="zh-CN"/>
    </w:rPr>
  </w:style>
  <w:style w:type="character" w:customStyle="1" w:styleId="666">
    <w:name w:val="bookmark-item"/>
    <w:basedOn w:val="71"/>
    <w:qFormat/>
    <w:uiPriority w:val="0"/>
  </w:style>
  <w:style w:type="paragraph" w:customStyle="1" w:styleId="667">
    <w:name w:val="封面标准名称"/>
    <w:next w:val="22"/>
    <w:qFormat/>
    <w:uiPriority w:val="0"/>
    <w:pPr>
      <w:widowControl w:val="0"/>
      <w:spacing w:line="680" w:lineRule="exact"/>
      <w:jc w:val="center"/>
      <w:textAlignment w:val="center"/>
    </w:pPr>
    <w:rPr>
      <w:rFonts w:ascii="黑体" w:hAnsi="Calibri" w:eastAsia="黑体" w:cs="Times New Roman"/>
      <w:sz w:val="52"/>
      <w:lang w:val="en-US" w:eastAsia="zh-CN" w:bidi="ar-SA"/>
    </w:rPr>
  </w:style>
  <w:style w:type="paragraph" w:customStyle="1" w:styleId="668">
    <w:name w:val="*Body Text"/>
    <w:qFormat/>
    <w:uiPriority w:val="0"/>
    <w:pPr>
      <w:spacing w:after="220" w:line="220" w:lineRule="atLeast"/>
    </w:pPr>
    <w:rPr>
      <w:rFonts w:ascii="Arial" w:hAnsi="Arial" w:eastAsia="宋体" w:cs="Times New Roman"/>
      <w:color w:val="000000"/>
      <w:lang w:val="en-US" w:eastAsia="en-US" w:bidi="ar-SA"/>
    </w:rPr>
  </w:style>
  <w:style w:type="character" w:customStyle="1" w:styleId="669">
    <w:name w:val="称呼 Char"/>
    <w:link w:val="24"/>
    <w:qFormat/>
    <w:uiPriority w:val="0"/>
  </w:style>
  <w:style w:type="character" w:customStyle="1" w:styleId="670">
    <w:name w:val="信息标题 Char"/>
    <w:link w:val="59"/>
    <w:qFormat/>
    <w:uiPriority w:val="0"/>
    <w:rPr>
      <w:rFonts w:ascii="Arial" w:hAnsi="Arial"/>
      <w:sz w:val="24"/>
    </w:rPr>
  </w:style>
  <w:style w:type="paragraph" w:customStyle="1" w:styleId="671">
    <w:name w:val="样式42"/>
    <w:basedOn w:val="5"/>
    <w:link w:val="672"/>
    <w:qFormat/>
    <w:uiPriority w:val="0"/>
    <w:pPr>
      <w:keepNext/>
      <w:keepLines/>
      <w:numPr>
        <w:ilvl w:val="1"/>
        <w:numId w:val="20"/>
      </w:numPr>
      <w:spacing w:before="60" w:after="64" w:line="319" w:lineRule="auto"/>
      <w:ind w:firstLine="0" w:firstLineChars="0"/>
      <w:contextualSpacing w:val="0"/>
      <w:jc w:val="left"/>
    </w:pPr>
    <w:rPr>
      <w:color w:val="auto"/>
      <w:spacing w:val="0"/>
      <w:sz w:val="32"/>
      <w:szCs w:val="21"/>
    </w:rPr>
  </w:style>
  <w:style w:type="character" w:customStyle="1" w:styleId="672">
    <w:name w:val="样式42 Char"/>
    <w:basedOn w:val="88"/>
    <w:link w:val="671"/>
    <w:autoRedefine/>
    <w:qFormat/>
    <w:uiPriority w:val="0"/>
    <w:rPr>
      <w:rFonts w:ascii="Cambria" w:hAnsi="Cambria" w:eastAsia="宋体" w:cs="Times New Roman"/>
      <w:color w:val="17365D"/>
      <w:spacing w:val="20"/>
      <w:kern w:val="2"/>
      <w:sz w:val="32"/>
      <w:szCs w:val="21"/>
    </w:rPr>
  </w:style>
  <w:style w:type="paragraph" w:customStyle="1" w:styleId="673">
    <w:name w:val="样式41"/>
    <w:basedOn w:val="3"/>
    <w:link w:val="674"/>
    <w:qFormat/>
    <w:uiPriority w:val="0"/>
    <w:pPr>
      <w:keepNext/>
      <w:keepLines/>
      <w:numPr>
        <w:ilvl w:val="0"/>
        <w:numId w:val="20"/>
      </w:numPr>
      <w:spacing w:before="340" w:after="330" w:line="578" w:lineRule="auto"/>
      <w:ind w:firstLine="0" w:firstLineChars="0"/>
      <w:contextualSpacing w:val="0"/>
      <w:jc w:val="left"/>
    </w:pPr>
    <w:rPr>
      <w:rFonts w:ascii="Times New Roman" w:hAnsi="Times New Roman"/>
      <w:color w:val="auto"/>
      <w:spacing w:val="0"/>
      <w:kern w:val="44"/>
      <w:sz w:val="36"/>
      <w:szCs w:val="44"/>
    </w:rPr>
  </w:style>
  <w:style w:type="character" w:customStyle="1" w:styleId="674">
    <w:name w:val="样式41 字符"/>
    <w:basedOn w:val="87"/>
    <w:link w:val="673"/>
    <w:qFormat/>
    <w:uiPriority w:val="0"/>
    <w:rPr>
      <w:rFonts w:ascii="Times New Roman" w:hAnsi="Times New Roman" w:eastAsia="宋体" w:cs="Times New Roman"/>
      <w:color w:val="0F243E"/>
      <w:spacing w:val="20"/>
      <w:kern w:val="44"/>
      <w:sz w:val="36"/>
      <w:szCs w:val="44"/>
    </w:rPr>
  </w:style>
  <w:style w:type="character" w:customStyle="1" w:styleId="675">
    <w:name w:val="current4"/>
    <w:qFormat/>
    <w:uiPriority w:val="0"/>
    <w:rPr>
      <w:b/>
      <w:color w:val="868686"/>
      <w:shd w:val="clear" w:color="auto" w:fill="3E3E3E"/>
    </w:rPr>
  </w:style>
  <w:style w:type="paragraph" w:customStyle="1" w:styleId="676">
    <w:name w:val="标题二"/>
    <w:basedOn w:val="1"/>
    <w:qFormat/>
    <w:uiPriority w:val="0"/>
    <w:pPr>
      <w:widowControl w:val="0"/>
      <w:spacing w:line="360" w:lineRule="auto"/>
      <w:ind w:firstLine="200" w:firstLineChars="200"/>
    </w:pPr>
    <w:rPr>
      <w:kern w:val="2"/>
    </w:rPr>
  </w:style>
  <w:style w:type="paragraph" w:customStyle="1" w:styleId="677">
    <w:name w:val="2"/>
    <w:basedOn w:val="5"/>
    <w:link w:val="678"/>
    <w:qFormat/>
    <w:uiPriority w:val="0"/>
    <w:pPr>
      <w:keepNext/>
      <w:keepLines/>
      <w:spacing w:before="60" w:after="64" w:line="319" w:lineRule="auto"/>
      <w:ind w:firstLine="0" w:firstLineChars="0"/>
      <w:contextualSpacing w:val="0"/>
      <w:jc w:val="left"/>
    </w:pPr>
    <w:rPr>
      <w:color w:val="auto"/>
      <w:spacing w:val="0"/>
      <w:sz w:val="32"/>
      <w:szCs w:val="21"/>
    </w:rPr>
  </w:style>
  <w:style w:type="character" w:customStyle="1" w:styleId="678">
    <w:name w:val="2 Char"/>
    <w:basedOn w:val="95"/>
    <w:link w:val="677"/>
    <w:autoRedefine/>
    <w:qFormat/>
    <w:uiPriority w:val="0"/>
    <w:rPr>
      <w:rFonts w:ascii="Cambria" w:hAnsi="Cambria" w:eastAsia="宋体" w:cs="Times New Roman"/>
      <w:color w:val="938953"/>
      <w:spacing w:val="20"/>
      <w:kern w:val="2"/>
      <w:sz w:val="32"/>
      <w:szCs w:val="21"/>
    </w:rPr>
  </w:style>
  <w:style w:type="character" w:customStyle="1" w:styleId="679">
    <w:name w:val="样式3 Char"/>
    <w:basedOn w:val="89"/>
    <w:link w:val="177"/>
    <w:qFormat/>
    <w:uiPriority w:val="0"/>
    <w:rPr>
      <w:rFonts w:ascii="仿宋_GB2312" w:hAnsi="仿宋_GB2312" w:eastAsia="仿宋_GB2312" w:cs="Times New Roman"/>
      <w:color w:val="1F497D"/>
      <w:spacing w:val="20"/>
      <w:kern w:val="2"/>
      <w:sz w:val="32"/>
      <w:szCs w:val="72"/>
    </w:rPr>
  </w:style>
  <w:style w:type="character" w:customStyle="1" w:styleId="680">
    <w:name w:val="样式2 Char"/>
    <w:basedOn w:val="71"/>
    <w:link w:val="166"/>
    <w:qFormat/>
    <w:uiPriority w:val="0"/>
    <w:rPr>
      <w:rFonts w:ascii="Times New Roman" w:hAnsi="Times New Roman"/>
      <w:kern w:val="2"/>
      <w:sz w:val="28"/>
      <w:szCs w:val="24"/>
    </w:rPr>
  </w:style>
  <w:style w:type="paragraph" w:customStyle="1" w:styleId="681">
    <w:name w:val="样式43"/>
    <w:basedOn w:val="4"/>
    <w:link w:val="682"/>
    <w:qFormat/>
    <w:uiPriority w:val="0"/>
    <w:pPr>
      <w:keepNext/>
      <w:keepLines/>
      <w:numPr>
        <w:ilvl w:val="2"/>
        <w:numId w:val="20"/>
      </w:numPr>
      <w:spacing w:before="260" w:after="260" w:line="415" w:lineRule="auto"/>
      <w:ind w:left="0" w:firstLine="350" w:firstLineChars="350"/>
      <w:contextualSpacing w:val="0"/>
      <w:jc w:val="left"/>
    </w:pPr>
    <w:rPr>
      <w:rFonts w:ascii="Times New Roman" w:hAnsi="Times New Roman"/>
      <w:bCs/>
      <w:color w:val="auto"/>
      <w:spacing w:val="0"/>
      <w:sz w:val="32"/>
      <w:szCs w:val="32"/>
    </w:rPr>
  </w:style>
  <w:style w:type="character" w:customStyle="1" w:styleId="682">
    <w:name w:val="样式43 Char"/>
    <w:basedOn w:val="89"/>
    <w:link w:val="681"/>
    <w:qFormat/>
    <w:uiPriority w:val="0"/>
    <w:rPr>
      <w:rFonts w:ascii="Times New Roman" w:hAnsi="Times New Roman" w:eastAsia="宋体" w:cs="Times New Roman"/>
      <w:bCs/>
      <w:color w:val="1F497D"/>
      <w:spacing w:val="20"/>
      <w:kern w:val="2"/>
      <w:sz w:val="32"/>
      <w:szCs w:val="32"/>
    </w:rPr>
  </w:style>
  <w:style w:type="paragraph" w:customStyle="1" w:styleId="683">
    <w:name w:val="样式44"/>
    <w:basedOn w:val="7"/>
    <w:link w:val="684"/>
    <w:qFormat/>
    <w:uiPriority w:val="0"/>
    <w:pPr>
      <w:keepNext/>
      <w:keepLines/>
      <w:numPr>
        <w:ilvl w:val="3"/>
        <w:numId w:val="20"/>
      </w:numPr>
      <w:pBdr>
        <w:bottom w:val="none" w:color="auto" w:sz="0" w:space="0"/>
      </w:pBdr>
      <w:spacing w:before="280" w:after="290" w:line="377" w:lineRule="auto"/>
      <w:ind w:firstLine="0" w:firstLineChars="0"/>
      <w:contextualSpacing w:val="0"/>
      <w:jc w:val="left"/>
    </w:pPr>
    <w:rPr>
      <w:color w:val="auto"/>
      <w:spacing w:val="0"/>
      <w:sz w:val="28"/>
      <w:szCs w:val="28"/>
    </w:rPr>
  </w:style>
  <w:style w:type="character" w:customStyle="1" w:styleId="684">
    <w:name w:val="样式44 Char"/>
    <w:basedOn w:val="90"/>
    <w:link w:val="683"/>
    <w:autoRedefine/>
    <w:qFormat/>
    <w:uiPriority w:val="0"/>
    <w:rPr>
      <w:rFonts w:ascii="Cambria" w:hAnsi="Cambria" w:eastAsia="宋体" w:cs="Times New Roman"/>
      <w:color w:val="3071C3"/>
      <w:spacing w:val="20"/>
      <w:kern w:val="2"/>
      <w:sz w:val="28"/>
      <w:szCs w:val="28"/>
    </w:rPr>
  </w:style>
  <w:style w:type="paragraph" w:customStyle="1" w:styleId="685">
    <w:name w:val="chart text"/>
    <w:basedOn w:val="1"/>
    <w:qFormat/>
    <w:uiPriority w:val="0"/>
    <w:pPr>
      <w:spacing w:line="180" w:lineRule="exact"/>
      <w:ind w:firstLine="200" w:firstLineChars="200"/>
    </w:pPr>
    <w:rPr>
      <w:rFonts w:ascii="Futura Bk" w:hAnsi="Futura Bk" w:cs="Futura Bk"/>
      <w:sz w:val="14"/>
      <w:szCs w:val="14"/>
    </w:rPr>
  </w:style>
  <w:style w:type="character" w:customStyle="1" w:styleId="686">
    <w:name w:val="tw4winMark"/>
    <w:qFormat/>
    <w:uiPriority w:val="0"/>
    <w:rPr>
      <w:rFonts w:ascii="Courier New" w:hAnsi="Courier New" w:cs="Courier New"/>
      <w:vanish/>
      <w:color w:val="800080"/>
      <w:sz w:val="24"/>
      <w:szCs w:val="24"/>
      <w:vertAlign w:val="subscript"/>
    </w:rPr>
  </w:style>
  <w:style w:type="paragraph" w:customStyle="1" w:styleId="687">
    <w:name w:val="Char1 Char Char Char Char Char Char"/>
    <w:basedOn w:val="1"/>
    <w:qFormat/>
    <w:uiPriority w:val="0"/>
    <w:pPr>
      <w:widowControl w:val="0"/>
      <w:spacing w:line="360" w:lineRule="auto"/>
      <w:ind w:firstLine="200" w:firstLineChars="200"/>
    </w:pPr>
    <w:rPr>
      <w:rFonts w:ascii="Tahoma" w:hAnsi="Tahoma"/>
      <w:kern w:val="2"/>
      <w:szCs w:val="20"/>
    </w:rPr>
  </w:style>
  <w:style w:type="character" w:customStyle="1" w:styleId="688">
    <w:name w:val="Heading 2 Char Char Char"/>
    <w:autoRedefine/>
    <w:qFormat/>
    <w:uiPriority w:val="0"/>
    <w:rPr>
      <w:rFonts w:ascii="Arial" w:hAnsi="Arial" w:cs="Arial"/>
      <w:b/>
      <w:bCs/>
      <w:i/>
      <w:iCs/>
      <w:color w:val="0A357E"/>
      <w:sz w:val="28"/>
      <w:szCs w:val="28"/>
      <w:lang w:val="en-US" w:eastAsia="en-US" w:bidi="ar-SA"/>
    </w:rPr>
  </w:style>
  <w:style w:type="paragraph" w:customStyle="1" w:styleId="689">
    <w:name w:val="~Body Text"/>
    <w:basedOn w:val="668"/>
    <w:qFormat/>
    <w:uiPriority w:val="0"/>
    <w:rPr>
      <w:color w:val="00637A"/>
    </w:rPr>
  </w:style>
  <w:style w:type="paragraph" w:customStyle="1" w:styleId="690">
    <w:name w:val="*Blind Paragraph"/>
    <w:basedOn w:val="41"/>
    <w:autoRedefine/>
    <w:qFormat/>
    <w:uiPriority w:val="0"/>
    <w:pPr>
      <w:widowControl/>
      <w:pBdr>
        <w:bottom w:val="none" w:color="auto" w:sz="0" w:space="0"/>
      </w:pBdr>
      <w:tabs>
        <w:tab w:val="center" w:pos="4320"/>
        <w:tab w:val="right" w:pos="8640"/>
        <w:tab w:val="clear" w:pos="4153"/>
        <w:tab w:val="clear" w:pos="8306"/>
      </w:tabs>
      <w:snapToGrid/>
      <w:spacing w:line="80" w:lineRule="exact"/>
      <w:ind w:firstLine="200" w:firstLineChars="200"/>
      <w:jc w:val="left"/>
    </w:pPr>
    <w:rPr>
      <w:rFonts w:ascii="Times New Roman" w:eastAsia="宋体"/>
      <w:color w:val="auto"/>
      <w:kern w:val="0"/>
      <w:sz w:val="4"/>
      <w:szCs w:val="4"/>
      <w:lang w:eastAsia="en-US"/>
    </w:rPr>
  </w:style>
  <w:style w:type="paragraph" w:customStyle="1" w:styleId="691">
    <w:name w:val="~Body Single"/>
    <w:basedOn w:val="689"/>
    <w:qFormat/>
    <w:uiPriority w:val="0"/>
    <w:pPr>
      <w:spacing w:after="0"/>
    </w:pPr>
  </w:style>
  <w:style w:type="paragraph" w:customStyle="1" w:styleId="692">
    <w:name w:val="~Bullet #1 Single"/>
    <w:basedOn w:val="689"/>
    <w:qFormat/>
    <w:uiPriority w:val="0"/>
    <w:pPr>
      <w:tabs>
        <w:tab w:val="left" w:pos="360"/>
      </w:tabs>
      <w:spacing w:after="0"/>
      <w:ind w:left="360" w:hanging="360"/>
    </w:pPr>
  </w:style>
  <w:style w:type="paragraph" w:customStyle="1" w:styleId="693">
    <w:name w:val="~Heading 1"/>
    <w:next w:val="689"/>
    <w:qFormat/>
    <w:uiPriority w:val="0"/>
    <w:pPr>
      <w:keepNext/>
      <w:keepLines/>
      <w:spacing w:before="240" w:after="120" w:line="220" w:lineRule="atLeast"/>
      <w:outlineLvl w:val="1"/>
    </w:pPr>
    <w:rPr>
      <w:rFonts w:ascii="Arial" w:hAnsi="Arial" w:eastAsia="宋体" w:cs="Times New Roman"/>
      <w:b/>
      <w:color w:val="00637A"/>
      <w:sz w:val="32"/>
      <w:szCs w:val="32"/>
      <w:lang w:val="en-US" w:eastAsia="en-US" w:bidi="ar-SA"/>
    </w:rPr>
  </w:style>
  <w:style w:type="paragraph" w:customStyle="1" w:styleId="694">
    <w:name w:val="*Heading 1"/>
    <w:basedOn w:val="668"/>
    <w:next w:val="668"/>
    <w:qFormat/>
    <w:uiPriority w:val="0"/>
    <w:pPr>
      <w:keepNext/>
      <w:keepLines/>
      <w:spacing w:before="240" w:after="120" w:line="240" w:lineRule="atLeast"/>
      <w:outlineLvl w:val="1"/>
    </w:pPr>
    <w:rPr>
      <w:b/>
      <w:color w:val="auto"/>
      <w:sz w:val="32"/>
      <w:szCs w:val="32"/>
    </w:rPr>
  </w:style>
  <w:style w:type="paragraph" w:customStyle="1" w:styleId="695">
    <w:name w:val="~Heading 2"/>
    <w:next w:val="689"/>
    <w:qFormat/>
    <w:uiPriority w:val="0"/>
    <w:pPr>
      <w:keepNext/>
      <w:keepLines/>
      <w:spacing w:before="240" w:after="120" w:line="240" w:lineRule="atLeast"/>
      <w:outlineLvl w:val="2"/>
    </w:pPr>
    <w:rPr>
      <w:rFonts w:ascii="Arial" w:hAnsi="Arial" w:eastAsia="宋体" w:cs="Times New Roman"/>
      <w:color w:val="00637A"/>
      <w:sz w:val="32"/>
      <w:szCs w:val="32"/>
      <w:lang w:val="en-US" w:eastAsia="en-US" w:bidi="ar-SA"/>
    </w:rPr>
  </w:style>
  <w:style w:type="paragraph" w:customStyle="1" w:styleId="696">
    <w:name w:val="~Heading 3"/>
    <w:next w:val="689"/>
    <w:qFormat/>
    <w:uiPriority w:val="0"/>
    <w:pPr>
      <w:keepNext/>
      <w:keepLines/>
      <w:spacing w:before="240" w:after="120"/>
      <w:outlineLvl w:val="3"/>
    </w:pPr>
    <w:rPr>
      <w:rFonts w:ascii="Arial" w:hAnsi="Arial" w:eastAsia="宋体" w:cs="Times New Roman"/>
      <w:b/>
      <w:color w:val="00637A"/>
      <w:sz w:val="24"/>
      <w:szCs w:val="24"/>
      <w:lang w:val="en-US" w:eastAsia="en-US" w:bidi="ar-SA"/>
    </w:rPr>
  </w:style>
  <w:style w:type="paragraph" w:customStyle="1" w:styleId="697">
    <w:name w:val="~Heading 4"/>
    <w:next w:val="689"/>
    <w:qFormat/>
    <w:uiPriority w:val="0"/>
    <w:pPr>
      <w:keepNext/>
      <w:keepLines/>
      <w:spacing w:before="240" w:after="120"/>
      <w:outlineLvl w:val="4"/>
    </w:pPr>
    <w:rPr>
      <w:rFonts w:ascii="Arial" w:hAnsi="Arial" w:eastAsia="宋体" w:cs="Times New Roman"/>
      <w:color w:val="00637A"/>
      <w:sz w:val="24"/>
      <w:szCs w:val="24"/>
      <w:lang w:val="en-US" w:eastAsia="en-US" w:bidi="ar-SA"/>
    </w:rPr>
  </w:style>
  <w:style w:type="paragraph" w:customStyle="1" w:styleId="698">
    <w:name w:val="~Heading 5"/>
    <w:next w:val="689"/>
    <w:autoRedefine/>
    <w:qFormat/>
    <w:uiPriority w:val="0"/>
    <w:pPr>
      <w:keepNext/>
      <w:keepLines/>
      <w:spacing w:before="240" w:after="120"/>
      <w:outlineLvl w:val="5"/>
    </w:pPr>
    <w:rPr>
      <w:rFonts w:ascii="Arial" w:hAnsi="Arial" w:eastAsia="宋体" w:cs="Times New Roman"/>
      <w:i/>
      <w:color w:val="00637A"/>
      <w:sz w:val="24"/>
      <w:szCs w:val="24"/>
      <w:lang w:val="en-US" w:eastAsia="en-US" w:bidi="ar-SA"/>
    </w:rPr>
  </w:style>
  <w:style w:type="paragraph" w:customStyle="1" w:styleId="699">
    <w:name w:val="~Number"/>
    <w:basedOn w:val="689"/>
    <w:qFormat/>
    <w:uiPriority w:val="0"/>
    <w:pPr>
      <w:tabs>
        <w:tab w:val="left" w:pos="360"/>
      </w:tabs>
      <w:spacing w:after="0"/>
      <w:ind w:left="360" w:hanging="360"/>
    </w:pPr>
  </w:style>
  <w:style w:type="paragraph" w:customStyle="1" w:styleId="700">
    <w:name w:val="*Body Single"/>
    <w:qFormat/>
    <w:uiPriority w:val="0"/>
    <w:pPr>
      <w:spacing w:line="220" w:lineRule="atLeast"/>
    </w:pPr>
    <w:rPr>
      <w:rFonts w:ascii="Arial" w:hAnsi="Arial" w:eastAsia="宋体" w:cs="Times New Roman"/>
      <w:lang w:val="en-US" w:eastAsia="en-US" w:bidi="ar-SA"/>
    </w:rPr>
  </w:style>
  <w:style w:type="paragraph" w:customStyle="1" w:styleId="701">
    <w:name w:val="*Bullet #1 Single"/>
    <w:basedOn w:val="668"/>
    <w:qFormat/>
    <w:uiPriority w:val="0"/>
    <w:pPr>
      <w:numPr>
        <w:ilvl w:val="0"/>
        <w:numId w:val="21"/>
      </w:numPr>
      <w:spacing w:after="0"/>
    </w:pPr>
  </w:style>
  <w:style w:type="paragraph" w:customStyle="1" w:styleId="702">
    <w:name w:val="*Bullet #2 Single"/>
    <w:basedOn w:val="701"/>
    <w:autoRedefine/>
    <w:qFormat/>
    <w:uiPriority w:val="0"/>
    <w:pPr>
      <w:tabs>
        <w:tab w:val="left" w:pos="720"/>
      </w:tabs>
      <w:ind w:left="720"/>
    </w:pPr>
  </w:style>
  <w:style w:type="paragraph" w:customStyle="1" w:styleId="703">
    <w:name w:val="*Bullet #2 Double"/>
    <w:basedOn w:val="702"/>
    <w:autoRedefine/>
    <w:qFormat/>
    <w:uiPriority w:val="0"/>
    <w:pPr>
      <w:spacing w:after="220"/>
    </w:pPr>
  </w:style>
  <w:style w:type="paragraph" w:customStyle="1" w:styleId="704">
    <w:name w:val="*Bullet #1 Double"/>
    <w:basedOn w:val="701"/>
    <w:autoRedefine/>
    <w:qFormat/>
    <w:uiPriority w:val="0"/>
    <w:pPr>
      <w:spacing w:after="220"/>
    </w:pPr>
  </w:style>
  <w:style w:type="paragraph" w:customStyle="1" w:styleId="705">
    <w:name w:val="*Bullet #3 Single"/>
    <w:basedOn w:val="702"/>
    <w:qFormat/>
    <w:uiPriority w:val="0"/>
    <w:pPr>
      <w:tabs>
        <w:tab w:val="left" w:pos="1080"/>
        <w:tab w:val="clear" w:pos="720"/>
      </w:tabs>
      <w:ind w:left="1080"/>
    </w:pPr>
  </w:style>
  <w:style w:type="paragraph" w:customStyle="1" w:styleId="706">
    <w:name w:val="*Bullet #3 Double"/>
    <w:basedOn w:val="705"/>
    <w:qFormat/>
    <w:uiPriority w:val="0"/>
    <w:pPr>
      <w:spacing w:after="220"/>
    </w:pPr>
  </w:style>
  <w:style w:type="paragraph" w:customStyle="1" w:styleId="707">
    <w:name w:val="*Heading 2"/>
    <w:next w:val="668"/>
    <w:qFormat/>
    <w:uiPriority w:val="0"/>
    <w:pPr>
      <w:keepNext/>
      <w:keepLines/>
      <w:spacing w:before="240" w:after="120"/>
      <w:outlineLvl w:val="2"/>
    </w:pPr>
    <w:rPr>
      <w:rFonts w:ascii="Arial" w:hAnsi="Arial" w:eastAsia="宋体" w:cs="Times New Roman"/>
      <w:sz w:val="32"/>
      <w:szCs w:val="32"/>
      <w:lang w:val="en-US" w:eastAsia="en-US" w:bidi="ar-SA"/>
    </w:rPr>
  </w:style>
  <w:style w:type="paragraph" w:customStyle="1" w:styleId="708">
    <w:name w:val="*Heading 3"/>
    <w:next w:val="668"/>
    <w:qFormat/>
    <w:uiPriority w:val="0"/>
    <w:pPr>
      <w:keepNext/>
      <w:keepLines/>
      <w:spacing w:before="240" w:after="120"/>
      <w:outlineLvl w:val="3"/>
    </w:pPr>
    <w:rPr>
      <w:rFonts w:ascii="Arial" w:hAnsi="Arial" w:eastAsia="宋体" w:cs="Times New Roman"/>
      <w:b/>
      <w:sz w:val="24"/>
      <w:szCs w:val="24"/>
      <w:lang w:val="en-US" w:eastAsia="en-US" w:bidi="ar-SA"/>
    </w:rPr>
  </w:style>
  <w:style w:type="paragraph" w:customStyle="1" w:styleId="709">
    <w:name w:val="*Heading 4"/>
    <w:next w:val="668"/>
    <w:qFormat/>
    <w:uiPriority w:val="0"/>
    <w:pPr>
      <w:keepNext/>
      <w:keepLines/>
      <w:spacing w:before="240" w:after="120"/>
      <w:outlineLvl w:val="4"/>
    </w:pPr>
    <w:rPr>
      <w:rFonts w:ascii="Arial" w:hAnsi="Arial" w:eastAsia="宋体" w:cs="Times New Roman"/>
      <w:sz w:val="24"/>
      <w:szCs w:val="24"/>
      <w:lang w:val="en-US" w:eastAsia="en-US" w:bidi="ar-SA"/>
    </w:rPr>
  </w:style>
  <w:style w:type="paragraph" w:customStyle="1" w:styleId="710">
    <w:name w:val="*Heading 5"/>
    <w:next w:val="668"/>
    <w:qFormat/>
    <w:uiPriority w:val="0"/>
    <w:pPr>
      <w:keepNext/>
      <w:keepLines/>
      <w:spacing w:before="240" w:after="120"/>
      <w:outlineLvl w:val="5"/>
    </w:pPr>
    <w:rPr>
      <w:rFonts w:ascii="Arial" w:hAnsi="Arial" w:eastAsia="宋体" w:cs="Times New Roman"/>
      <w:i/>
      <w:sz w:val="24"/>
      <w:szCs w:val="24"/>
      <w:lang w:val="en-US" w:eastAsia="en-US" w:bidi="ar-SA"/>
    </w:rPr>
  </w:style>
  <w:style w:type="paragraph" w:customStyle="1" w:styleId="711">
    <w:name w:val="*List Numbers (Auto)"/>
    <w:basedOn w:val="668"/>
    <w:qFormat/>
    <w:uiPriority w:val="0"/>
    <w:pPr>
      <w:tabs>
        <w:tab w:val="left" w:pos="360"/>
      </w:tabs>
      <w:spacing w:after="0"/>
      <w:ind w:left="360" w:hanging="360"/>
    </w:pPr>
    <w:rPr>
      <w:color w:val="auto"/>
    </w:rPr>
  </w:style>
  <w:style w:type="paragraph" w:customStyle="1" w:styleId="712">
    <w:name w:val="*List Numbers Bold (Auto)"/>
    <w:basedOn w:val="711"/>
    <w:qFormat/>
    <w:uiPriority w:val="0"/>
    <w:rPr>
      <w:b/>
    </w:rPr>
  </w:style>
  <w:style w:type="paragraph" w:customStyle="1" w:styleId="713">
    <w:name w:val="*Numbers"/>
    <w:basedOn w:val="711"/>
    <w:qFormat/>
    <w:uiPriority w:val="0"/>
  </w:style>
  <w:style w:type="paragraph" w:customStyle="1" w:styleId="714">
    <w:name w:val="*Numbers Bold"/>
    <w:basedOn w:val="713"/>
    <w:autoRedefine/>
    <w:qFormat/>
    <w:uiPriority w:val="0"/>
    <w:rPr>
      <w:b/>
    </w:rPr>
  </w:style>
  <w:style w:type="paragraph" w:customStyle="1" w:styleId="715">
    <w:name w:val="*SOW 1"/>
    <w:next w:val="668"/>
    <w:qFormat/>
    <w:uiPriority w:val="0"/>
    <w:pPr>
      <w:keepNext/>
      <w:keepLines/>
      <w:tabs>
        <w:tab w:val="left" w:pos="1440"/>
      </w:tabs>
      <w:spacing w:after="200" w:line="220" w:lineRule="atLeast"/>
      <w:ind w:left="1440" w:hanging="1440"/>
      <w:outlineLvl w:val="1"/>
    </w:pPr>
    <w:rPr>
      <w:rFonts w:ascii="Arial" w:hAnsi="Arial" w:eastAsia="宋体" w:cs="Times New Roman"/>
      <w:color w:val="000000"/>
      <w:szCs w:val="24"/>
      <w:lang w:val="en-US" w:eastAsia="en-US" w:bidi="ar-SA"/>
    </w:rPr>
  </w:style>
  <w:style w:type="paragraph" w:customStyle="1" w:styleId="716">
    <w:name w:val="*SOW 2"/>
    <w:basedOn w:val="715"/>
    <w:next w:val="668"/>
    <w:qFormat/>
    <w:uiPriority w:val="0"/>
    <w:pPr>
      <w:outlineLvl w:val="2"/>
    </w:pPr>
  </w:style>
  <w:style w:type="paragraph" w:customStyle="1" w:styleId="717">
    <w:name w:val="*SOW 3"/>
    <w:basedOn w:val="715"/>
    <w:next w:val="668"/>
    <w:qFormat/>
    <w:uiPriority w:val="0"/>
    <w:pPr>
      <w:outlineLvl w:val="3"/>
    </w:pPr>
  </w:style>
  <w:style w:type="paragraph" w:customStyle="1" w:styleId="718">
    <w:name w:val="*SOW 4"/>
    <w:basedOn w:val="715"/>
    <w:next w:val="668"/>
    <w:qFormat/>
    <w:uiPriority w:val="0"/>
    <w:pPr>
      <w:outlineLvl w:val="4"/>
    </w:pPr>
  </w:style>
  <w:style w:type="paragraph" w:customStyle="1" w:styleId="719">
    <w:name w:val="*SOW 5"/>
    <w:basedOn w:val="715"/>
    <w:next w:val="668"/>
    <w:qFormat/>
    <w:uiPriority w:val="0"/>
    <w:pPr>
      <w:outlineLvl w:val="5"/>
    </w:pPr>
  </w:style>
  <w:style w:type="paragraph" w:customStyle="1" w:styleId="720">
    <w:name w:val="*Table Text"/>
    <w:qFormat/>
    <w:uiPriority w:val="0"/>
    <w:pPr>
      <w:spacing w:line="240" w:lineRule="atLeast"/>
    </w:pPr>
    <w:rPr>
      <w:rFonts w:ascii="Arial" w:hAnsi="Arial" w:eastAsia="宋体" w:cs="Times New Roman"/>
      <w:sz w:val="18"/>
      <w:szCs w:val="24"/>
      <w:lang w:val="en-US" w:eastAsia="en-US" w:bidi="ar-SA"/>
    </w:rPr>
  </w:style>
  <w:style w:type="paragraph" w:customStyle="1" w:styleId="721">
    <w:name w:val="*Table Text 2"/>
    <w:basedOn w:val="720"/>
    <w:qFormat/>
    <w:uiPriority w:val="0"/>
    <w:pPr>
      <w:spacing w:line="220" w:lineRule="atLeast"/>
    </w:pPr>
    <w:rPr>
      <w:color w:val="000000"/>
      <w:sz w:val="20"/>
      <w:szCs w:val="20"/>
    </w:rPr>
  </w:style>
  <w:style w:type="paragraph" w:customStyle="1" w:styleId="722">
    <w:name w:val="*Table Text Bold"/>
    <w:basedOn w:val="720"/>
    <w:autoRedefine/>
    <w:qFormat/>
    <w:uiPriority w:val="0"/>
    <w:rPr>
      <w:b/>
    </w:rPr>
  </w:style>
  <w:style w:type="paragraph" w:customStyle="1" w:styleId="723">
    <w:name w:val="*Manual # Heading 1"/>
    <w:next w:val="668"/>
    <w:qFormat/>
    <w:uiPriority w:val="0"/>
    <w:pPr>
      <w:keepNext/>
      <w:keepLines/>
      <w:tabs>
        <w:tab w:val="left" w:pos="1440"/>
      </w:tabs>
      <w:spacing w:before="240" w:after="120"/>
      <w:ind w:left="1440" w:hanging="1440"/>
      <w:outlineLvl w:val="1"/>
    </w:pPr>
    <w:rPr>
      <w:rFonts w:ascii="Arial" w:hAnsi="Arial" w:eastAsia="宋体" w:cs="Times New Roman"/>
      <w:b/>
      <w:sz w:val="32"/>
      <w:szCs w:val="32"/>
      <w:lang w:val="en-US" w:eastAsia="en-US" w:bidi="ar-SA"/>
    </w:rPr>
  </w:style>
  <w:style w:type="paragraph" w:customStyle="1" w:styleId="724">
    <w:name w:val="*Table/Graphics Caption"/>
    <w:basedOn w:val="668"/>
    <w:next w:val="668"/>
    <w:qFormat/>
    <w:uiPriority w:val="0"/>
    <w:pPr>
      <w:spacing w:after="120"/>
    </w:pPr>
    <w:rPr>
      <w:color w:val="auto"/>
      <w:sz w:val="18"/>
      <w:szCs w:val="18"/>
    </w:rPr>
  </w:style>
  <w:style w:type="paragraph" w:customStyle="1" w:styleId="725">
    <w:name w:val="*Proprietary Notice"/>
    <w:qFormat/>
    <w:uiPriority w:val="0"/>
    <w:pPr>
      <w:spacing w:line="200" w:lineRule="exact"/>
    </w:pPr>
    <w:rPr>
      <w:rFonts w:ascii="Arial" w:hAnsi="Arial" w:eastAsia="宋体" w:cs="Times New Roman"/>
      <w:color w:val="00637A"/>
      <w:sz w:val="16"/>
      <w:szCs w:val="16"/>
      <w:lang w:val="en-US" w:eastAsia="en-US" w:bidi="ar-SA"/>
    </w:rPr>
  </w:style>
  <w:style w:type="paragraph" w:customStyle="1" w:styleId="726">
    <w:name w:val="*Footer"/>
    <w:autoRedefine/>
    <w:qFormat/>
    <w:uiPriority w:val="0"/>
    <w:pPr>
      <w:tabs>
        <w:tab w:val="right" w:pos="8640"/>
      </w:tabs>
    </w:pPr>
    <w:rPr>
      <w:rFonts w:ascii="Arial" w:hAnsi="Arial" w:eastAsia="宋体" w:cs="Times New Roman"/>
      <w:i/>
      <w:color w:val="00637A"/>
      <w:sz w:val="18"/>
      <w:szCs w:val="18"/>
      <w:lang w:val="en-US" w:eastAsia="en-US" w:bidi="ar-SA"/>
    </w:rPr>
  </w:style>
  <w:style w:type="paragraph" w:customStyle="1" w:styleId="727">
    <w:name w:val="*Quotation"/>
    <w:basedOn w:val="668"/>
    <w:next w:val="728"/>
    <w:qFormat/>
    <w:uiPriority w:val="0"/>
    <w:pPr>
      <w:spacing w:after="200"/>
      <w:ind w:left="720" w:right="720"/>
    </w:pPr>
    <w:rPr>
      <w:i/>
    </w:rPr>
  </w:style>
  <w:style w:type="paragraph" w:customStyle="1" w:styleId="728">
    <w:name w:val="*Quotation Attribute"/>
    <w:basedOn w:val="668"/>
    <w:next w:val="668"/>
    <w:qFormat/>
    <w:uiPriority w:val="0"/>
    <w:pPr>
      <w:tabs>
        <w:tab w:val="left" w:pos="936"/>
      </w:tabs>
      <w:ind w:left="936" w:right="720" w:hanging="216"/>
    </w:pPr>
  </w:style>
  <w:style w:type="paragraph" w:customStyle="1" w:styleId="729">
    <w:name w:val="~Bullet #2 Single"/>
    <w:basedOn w:val="702"/>
    <w:qFormat/>
    <w:uiPriority w:val="0"/>
    <w:rPr>
      <w:color w:val="00637A"/>
    </w:rPr>
  </w:style>
  <w:style w:type="paragraph" w:customStyle="1" w:styleId="730">
    <w:name w:val="*Manual # Heading 2"/>
    <w:next w:val="668"/>
    <w:autoRedefine/>
    <w:qFormat/>
    <w:uiPriority w:val="0"/>
    <w:pPr>
      <w:keepNext/>
      <w:keepLines/>
      <w:tabs>
        <w:tab w:val="left" w:pos="1440"/>
      </w:tabs>
      <w:spacing w:before="240" w:after="120"/>
      <w:ind w:left="1440" w:hanging="1440"/>
      <w:outlineLvl w:val="2"/>
    </w:pPr>
    <w:rPr>
      <w:rFonts w:ascii="Arial" w:hAnsi="Arial" w:eastAsia="宋体" w:cs="Times New Roman"/>
      <w:sz w:val="32"/>
      <w:szCs w:val="32"/>
      <w:lang w:val="en-US" w:eastAsia="en-US" w:bidi="ar-SA"/>
    </w:rPr>
  </w:style>
  <w:style w:type="paragraph" w:customStyle="1" w:styleId="731">
    <w:name w:val="~List Number"/>
    <w:basedOn w:val="711"/>
    <w:autoRedefine/>
    <w:qFormat/>
    <w:uiPriority w:val="0"/>
    <w:rPr>
      <w:color w:val="00637A"/>
    </w:rPr>
  </w:style>
  <w:style w:type="paragraph" w:customStyle="1" w:styleId="732">
    <w:name w:val="~Table Text"/>
    <w:basedOn w:val="720"/>
    <w:qFormat/>
    <w:uiPriority w:val="0"/>
    <w:rPr>
      <w:color w:val="00637A"/>
      <w:szCs w:val="18"/>
    </w:rPr>
  </w:style>
  <w:style w:type="paragraph" w:customStyle="1" w:styleId="733">
    <w:name w:val="~Table/Graphics Caption"/>
    <w:basedOn w:val="724"/>
    <w:next w:val="689"/>
    <w:qFormat/>
    <w:uiPriority w:val="0"/>
    <w:rPr>
      <w:color w:val="00637A"/>
    </w:rPr>
  </w:style>
  <w:style w:type="paragraph" w:customStyle="1" w:styleId="734">
    <w:name w:val="_Style 139"/>
    <w:qFormat/>
    <w:uiPriority w:val="99"/>
    <w:pPr>
      <w:widowControl w:val="0"/>
      <w:jc w:val="both"/>
    </w:pPr>
    <w:rPr>
      <w:rFonts w:ascii="Times New Roman" w:hAnsi="Times New Roman" w:eastAsia="宋体" w:cs="Times New Roman"/>
      <w:kern w:val="2"/>
      <w:sz w:val="24"/>
      <w:szCs w:val="24"/>
      <w:lang w:val="en-US" w:eastAsia="zh-CN" w:bidi="ar-SA"/>
    </w:rPr>
  </w:style>
  <w:style w:type="paragraph" w:customStyle="1" w:styleId="735">
    <w:name w:val="*Full Page"/>
    <w:basedOn w:val="668"/>
    <w:qFormat/>
    <w:uiPriority w:val="0"/>
    <w:pPr>
      <w:spacing w:after="280"/>
    </w:pPr>
    <w:rPr>
      <w:color w:val="auto"/>
    </w:rPr>
  </w:style>
  <w:style w:type="paragraph" w:customStyle="1" w:styleId="736">
    <w:name w:val="Headline"/>
    <w:basedOn w:val="1"/>
    <w:autoRedefine/>
    <w:qFormat/>
    <w:uiPriority w:val="0"/>
    <w:pPr>
      <w:suppressAutoHyphens/>
      <w:spacing w:line="280" w:lineRule="exact"/>
      <w:ind w:firstLine="200" w:firstLineChars="200"/>
    </w:pPr>
    <w:rPr>
      <w:szCs w:val="20"/>
      <w:lang w:eastAsia="en-US"/>
    </w:rPr>
  </w:style>
  <w:style w:type="paragraph" w:customStyle="1" w:styleId="737">
    <w:name w:val="Default Text"/>
    <w:basedOn w:val="1"/>
    <w:autoRedefine/>
    <w:qFormat/>
    <w:uiPriority w:val="0"/>
    <w:pPr>
      <w:suppressAutoHyphens/>
      <w:spacing w:after="200" w:line="240" w:lineRule="exact"/>
      <w:ind w:left="3289" w:firstLine="200" w:firstLineChars="200"/>
    </w:pPr>
    <w:rPr>
      <w:sz w:val="20"/>
      <w:szCs w:val="20"/>
      <w:lang w:eastAsia="en-US"/>
    </w:rPr>
  </w:style>
  <w:style w:type="paragraph" w:customStyle="1" w:styleId="738">
    <w:name w:val="*Header"/>
    <w:basedOn w:val="668"/>
    <w:autoRedefine/>
    <w:qFormat/>
    <w:uiPriority w:val="0"/>
    <w:pPr>
      <w:tabs>
        <w:tab w:val="right" w:pos="8784"/>
      </w:tabs>
      <w:spacing w:after="0"/>
    </w:pPr>
    <w:rPr>
      <w:color w:val="00637A"/>
      <w:sz w:val="18"/>
      <w:szCs w:val="18"/>
    </w:rPr>
  </w:style>
  <w:style w:type="paragraph" w:customStyle="1" w:styleId="739">
    <w:name w:val="Top Line"/>
    <w:basedOn w:val="1"/>
    <w:qFormat/>
    <w:uiPriority w:val="0"/>
    <w:pPr>
      <w:pBdr>
        <w:bottom w:val="single" w:color="auto" w:sz="18" w:space="1"/>
      </w:pBdr>
      <w:spacing w:line="360" w:lineRule="auto"/>
      <w:ind w:firstLine="200" w:firstLineChars="200"/>
    </w:pPr>
    <w:rPr>
      <w:sz w:val="20"/>
      <w:szCs w:val="20"/>
      <w:lang w:eastAsia="en-US"/>
    </w:rPr>
  </w:style>
  <w:style w:type="paragraph" w:customStyle="1" w:styleId="740">
    <w:name w:val="*List Text"/>
    <w:basedOn w:val="668"/>
    <w:qFormat/>
    <w:uiPriority w:val="0"/>
    <w:pPr>
      <w:tabs>
        <w:tab w:val="left" w:pos="360"/>
        <w:tab w:val="left" w:pos="576"/>
        <w:tab w:val="right" w:leader="dot" w:pos="8640"/>
      </w:tabs>
      <w:suppressAutoHyphens/>
      <w:ind w:left="360" w:hanging="360"/>
    </w:pPr>
    <w:rPr>
      <w:color w:val="auto"/>
      <w:sz w:val="18"/>
      <w:szCs w:val="18"/>
    </w:rPr>
  </w:style>
  <w:style w:type="paragraph" w:customStyle="1" w:styleId="741">
    <w:name w:val="*Response"/>
    <w:basedOn w:val="668"/>
    <w:next w:val="668"/>
    <w:qFormat/>
    <w:uiPriority w:val="0"/>
    <w:pPr>
      <w:ind w:left="1440" w:hanging="1440"/>
    </w:pPr>
    <w:rPr>
      <w:color w:val="auto"/>
    </w:rPr>
  </w:style>
  <w:style w:type="paragraph" w:customStyle="1" w:styleId="742">
    <w:name w:val="*Body Text Bold"/>
    <w:basedOn w:val="668"/>
    <w:next w:val="668"/>
    <w:qFormat/>
    <w:uiPriority w:val="0"/>
    <w:rPr>
      <w:b/>
      <w:color w:val="auto"/>
    </w:rPr>
  </w:style>
  <w:style w:type="paragraph" w:customStyle="1" w:styleId="743">
    <w:name w:val="*Table Text Bullet #1"/>
    <w:basedOn w:val="720"/>
    <w:autoRedefine/>
    <w:qFormat/>
    <w:uiPriority w:val="0"/>
    <w:pPr>
      <w:tabs>
        <w:tab w:val="left" w:pos="144"/>
      </w:tabs>
    </w:pPr>
  </w:style>
  <w:style w:type="paragraph" w:customStyle="1" w:styleId="744">
    <w:name w:val="*Bullet #1 Subtext Single"/>
    <w:basedOn w:val="704"/>
    <w:qFormat/>
    <w:uiPriority w:val="0"/>
    <w:pPr>
      <w:numPr>
        <w:numId w:val="0"/>
      </w:numPr>
      <w:spacing w:after="0"/>
      <w:ind w:left="360"/>
    </w:pPr>
  </w:style>
  <w:style w:type="paragraph" w:customStyle="1" w:styleId="745">
    <w:name w:val="*Bullet #2 Subtext Single"/>
    <w:basedOn w:val="703"/>
    <w:qFormat/>
    <w:uiPriority w:val="0"/>
    <w:pPr>
      <w:numPr>
        <w:numId w:val="0"/>
      </w:numPr>
      <w:spacing w:after="0"/>
      <w:ind w:left="720"/>
    </w:pPr>
  </w:style>
  <w:style w:type="paragraph" w:customStyle="1" w:styleId="746">
    <w:name w:val="*Bullet #3 Subtext Single"/>
    <w:basedOn w:val="706"/>
    <w:qFormat/>
    <w:uiPriority w:val="0"/>
    <w:pPr>
      <w:numPr>
        <w:numId w:val="0"/>
      </w:numPr>
      <w:spacing w:after="0"/>
      <w:ind w:left="1080"/>
    </w:pPr>
  </w:style>
  <w:style w:type="paragraph" w:customStyle="1" w:styleId="747">
    <w:name w:val="~Bullet #1 Subtext"/>
    <w:basedOn w:val="692"/>
    <w:autoRedefine/>
    <w:qFormat/>
    <w:uiPriority w:val="0"/>
    <w:pPr>
      <w:tabs>
        <w:tab w:val="clear" w:pos="360"/>
      </w:tabs>
      <w:ind w:firstLine="0"/>
    </w:pPr>
  </w:style>
  <w:style w:type="paragraph" w:customStyle="1" w:styleId="748">
    <w:name w:val="~Bullet #2 Subtext"/>
    <w:basedOn w:val="729"/>
    <w:qFormat/>
    <w:uiPriority w:val="0"/>
    <w:pPr>
      <w:numPr>
        <w:numId w:val="0"/>
      </w:numPr>
      <w:ind w:left="720"/>
    </w:pPr>
  </w:style>
  <w:style w:type="paragraph" w:customStyle="1" w:styleId="749">
    <w:name w:val="~Bullet #1 Double"/>
    <w:basedOn w:val="692"/>
    <w:autoRedefine/>
    <w:qFormat/>
    <w:uiPriority w:val="0"/>
    <w:pPr>
      <w:spacing w:after="220"/>
      <w:ind w:left="230" w:hanging="230"/>
    </w:pPr>
  </w:style>
  <w:style w:type="paragraph" w:customStyle="1" w:styleId="750">
    <w:name w:val="*Info Text"/>
    <w:qFormat/>
    <w:uiPriority w:val="0"/>
    <w:rPr>
      <w:rFonts w:ascii="Arial" w:hAnsi="Arial" w:eastAsia="宋体" w:cs="Times New Roman"/>
      <w:sz w:val="18"/>
      <w:lang w:val="en-US" w:eastAsia="en-US" w:bidi="ar-SA"/>
    </w:rPr>
  </w:style>
  <w:style w:type="paragraph" w:customStyle="1" w:styleId="751">
    <w:name w:val="*Numbers Double"/>
    <w:basedOn w:val="713"/>
    <w:qFormat/>
    <w:uiPriority w:val="0"/>
    <w:pPr>
      <w:spacing w:after="220"/>
    </w:pPr>
  </w:style>
  <w:style w:type="paragraph" w:customStyle="1" w:styleId="752">
    <w:name w:val="~Bullet Subnumber"/>
    <w:basedOn w:val="747"/>
    <w:qFormat/>
    <w:uiPriority w:val="0"/>
    <w:pPr>
      <w:tabs>
        <w:tab w:val="left" w:pos="720"/>
      </w:tabs>
      <w:ind w:left="720" w:hanging="360"/>
    </w:pPr>
  </w:style>
  <w:style w:type="paragraph" w:customStyle="1" w:styleId="753">
    <w:name w:val="*Bullet #1 Subtext Double"/>
    <w:basedOn w:val="744"/>
    <w:qFormat/>
    <w:uiPriority w:val="0"/>
    <w:pPr>
      <w:spacing w:after="220"/>
    </w:pPr>
  </w:style>
  <w:style w:type="paragraph" w:customStyle="1" w:styleId="754">
    <w:name w:val="*Table Text Bullet #2"/>
    <w:basedOn w:val="743"/>
    <w:qFormat/>
    <w:uiPriority w:val="0"/>
    <w:pPr>
      <w:ind w:left="310" w:hanging="166"/>
    </w:pPr>
  </w:style>
  <w:style w:type="paragraph" w:customStyle="1" w:styleId="755">
    <w:name w:val="*Table Heading 1"/>
    <w:basedOn w:val="720"/>
    <w:qFormat/>
    <w:uiPriority w:val="0"/>
    <w:pPr>
      <w:shd w:val="clear" w:color="auto" w:fill="007D9A"/>
      <w:jc w:val="center"/>
    </w:pPr>
    <w:rPr>
      <w:b/>
      <w:color w:val="FFFFFF"/>
      <w:sz w:val="20"/>
      <w:szCs w:val="20"/>
    </w:rPr>
  </w:style>
  <w:style w:type="paragraph" w:customStyle="1" w:styleId="756">
    <w:name w:val="*Table Heading 2"/>
    <w:basedOn w:val="755"/>
    <w:qFormat/>
    <w:uiPriority w:val="0"/>
    <w:pPr>
      <w:shd w:val="clear" w:color="auto" w:fill="A8A8A8"/>
    </w:pPr>
    <w:rPr>
      <w:sz w:val="18"/>
      <w:szCs w:val="18"/>
    </w:rPr>
  </w:style>
  <w:style w:type="paragraph" w:customStyle="1" w:styleId="757">
    <w:name w:val="*Cover Text 1"/>
    <w:basedOn w:val="721"/>
    <w:autoRedefine/>
    <w:qFormat/>
    <w:uiPriority w:val="0"/>
    <w:pPr>
      <w:spacing w:line="280" w:lineRule="atLeast"/>
    </w:pPr>
    <w:rPr>
      <w:color w:val="00637A"/>
      <w:sz w:val="44"/>
      <w:szCs w:val="44"/>
    </w:rPr>
  </w:style>
  <w:style w:type="paragraph" w:customStyle="1" w:styleId="758">
    <w:name w:val="*Confidentiality Notice"/>
    <w:basedOn w:val="668"/>
    <w:autoRedefine/>
    <w:qFormat/>
    <w:uiPriority w:val="0"/>
    <w:pPr>
      <w:spacing w:after="200"/>
    </w:pPr>
    <w:rPr>
      <w:color w:val="auto"/>
      <w:sz w:val="18"/>
    </w:rPr>
  </w:style>
  <w:style w:type="paragraph" w:customStyle="1" w:styleId="759">
    <w:name w:val="*Table of Contents"/>
    <w:basedOn w:val="758"/>
    <w:next w:val="668"/>
    <w:autoRedefine/>
    <w:qFormat/>
    <w:uiPriority w:val="0"/>
    <w:pPr>
      <w:spacing w:before="240" w:after="240" w:line="240" w:lineRule="auto"/>
    </w:pPr>
    <w:rPr>
      <w:color w:val="00637A"/>
      <w:sz w:val="36"/>
      <w:szCs w:val="36"/>
    </w:rPr>
  </w:style>
  <w:style w:type="paragraph" w:customStyle="1" w:styleId="760">
    <w:name w:val="*Cover Text 2"/>
    <w:basedOn w:val="721"/>
    <w:qFormat/>
    <w:uiPriority w:val="0"/>
    <w:pPr>
      <w:spacing w:before="720"/>
    </w:pPr>
    <w:rPr>
      <w:b/>
      <w:color w:val="00637A"/>
      <w:sz w:val="24"/>
      <w:szCs w:val="24"/>
    </w:rPr>
  </w:style>
  <w:style w:type="paragraph" w:customStyle="1" w:styleId="761">
    <w:name w:val="*Table Text 2 Bullet #1"/>
    <w:basedOn w:val="721"/>
    <w:autoRedefine/>
    <w:qFormat/>
    <w:uiPriority w:val="0"/>
    <w:pPr>
      <w:numPr>
        <w:ilvl w:val="0"/>
        <w:numId w:val="22"/>
      </w:numPr>
      <w:spacing w:line="240" w:lineRule="atLeast"/>
    </w:pPr>
    <w:rPr>
      <w:rFonts w:cs="Arial"/>
      <w:color w:val="0000FF"/>
      <w:sz w:val="18"/>
      <w:szCs w:val="18"/>
      <w:lang w:eastAsia="zh-CN"/>
    </w:rPr>
  </w:style>
  <w:style w:type="paragraph" w:customStyle="1" w:styleId="762">
    <w:name w:val="*Table Text 3"/>
    <w:basedOn w:val="720"/>
    <w:qFormat/>
    <w:uiPriority w:val="0"/>
    <w:rPr>
      <w:sz w:val="14"/>
      <w:szCs w:val="14"/>
    </w:rPr>
  </w:style>
  <w:style w:type="paragraph" w:customStyle="1" w:styleId="763">
    <w:name w:val="*Bullet Subnumber"/>
    <w:basedOn w:val="752"/>
    <w:qFormat/>
    <w:uiPriority w:val="0"/>
    <w:rPr>
      <w:color w:val="auto"/>
    </w:rPr>
  </w:style>
  <w:style w:type="paragraph" w:customStyle="1" w:styleId="764">
    <w:name w:val="*Manual # Heading 3"/>
    <w:next w:val="668"/>
    <w:qFormat/>
    <w:uiPriority w:val="0"/>
    <w:pPr>
      <w:keepNext/>
      <w:keepLines/>
      <w:tabs>
        <w:tab w:val="left" w:pos="1440"/>
      </w:tabs>
      <w:spacing w:before="240" w:after="120"/>
      <w:ind w:left="1440" w:hanging="1440"/>
      <w:outlineLvl w:val="3"/>
    </w:pPr>
    <w:rPr>
      <w:rFonts w:ascii="Arial" w:hAnsi="Arial" w:eastAsia="宋体" w:cs="Times New Roman"/>
      <w:b/>
      <w:sz w:val="24"/>
      <w:szCs w:val="24"/>
      <w:lang w:val="en-US" w:eastAsia="en-US" w:bidi="ar-SA"/>
    </w:rPr>
  </w:style>
  <w:style w:type="paragraph" w:customStyle="1" w:styleId="765">
    <w:name w:val="*Manual # Heading 4"/>
    <w:next w:val="668"/>
    <w:qFormat/>
    <w:uiPriority w:val="0"/>
    <w:pPr>
      <w:keepNext/>
      <w:keepLines/>
      <w:tabs>
        <w:tab w:val="left" w:pos="1440"/>
      </w:tabs>
      <w:spacing w:before="240" w:after="120"/>
      <w:ind w:left="1440" w:hanging="1440"/>
      <w:outlineLvl w:val="4"/>
    </w:pPr>
    <w:rPr>
      <w:rFonts w:ascii="Arial" w:hAnsi="Arial" w:eastAsia="宋体" w:cs="Times New Roman"/>
      <w:sz w:val="24"/>
      <w:szCs w:val="24"/>
      <w:lang w:val="en-US" w:eastAsia="en-US" w:bidi="ar-SA"/>
    </w:rPr>
  </w:style>
  <w:style w:type="paragraph" w:customStyle="1" w:styleId="766">
    <w:name w:val="*Manual # Heading 5"/>
    <w:next w:val="668"/>
    <w:autoRedefine/>
    <w:qFormat/>
    <w:uiPriority w:val="0"/>
    <w:pPr>
      <w:keepNext/>
      <w:keepLines/>
      <w:tabs>
        <w:tab w:val="left" w:pos="1440"/>
      </w:tabs>
      <w:spacing w:before="240" w:after="120"/>
      <w:ind w:left="1440" w:hanging="1440"/>
      <w:outlineLvl w:val="5"/>
    </w:pPr>
    <w:rPr>
      <w:rFonts w:ascii="Arial" w:hAnsi="Arial" w:eastAsia="宋体" w:cs="Times New Roman"/>
      <w:i/>
      <w:sz w:val="24"/>
      <w:szCs w:val="24"/>
      <w:lang w:val="en-US" w:eastAsia="en-US" w:bidi="ar-SA"/>
    </w:rPr>
  </w:style>
  <w:style w:type="paragraph" w:customStyle="1" w:styleId="767">
    <w:name w:val="~Manual # Heading 1"/>
    <w:next w:val="689"/>
    <w:autoRedefine/>
    <w:qFormat/>
    <w:uiPriority w:val="0"/>
    <w:pPr>
      <w:keepNext/>
      <w:keepLines/>
      <w:tabs>
        <w:tab w:val="left" w:pos="1440"/>
      </w:tabs>
      <w:spacing w:before="240" w:after="120"/>
      <w:ind w:left="1440" w:hanging="1440"/>
      <w:outlineLvl w:val="1"/>
    </w:pPr>
    <w:rPr>
      <w:rFonts w:ascii="Arial" w:hAnsi="Arial" w:eastAsia="宋体" w:cs="Times New Roman"/>
      <w:b/>
      <w:color w:val="00637A"/>
      <w:sz w:val="32"/>
      <w:szCs w:val="32"/>
      <w:lang w:val="en-US" w:eastAsia="en-US" w:bidi="ar-SA"/>
    </w:rPr>
  </w:style>
  <w:style w:type="paragraph" w:customStyle="1" w:styleId="768">
    <w:name w:val="~Manual # Heading 2"/>
    <w:next w:val="689"/>
    <w:qFormat/>
    <w:uiPriority w:val="0"/>
    <w:pPr>
      <w:keepNext/>
      <w:keepLines/>
      <w:tabs>
        <w:tab w:val="left" w:pos="1440"/>
      </w:tabs>
      <w:spacing w:before="240" w:after="120"/>
      <w:ind w:left="1440" w:hanging="1440"/>
      <w:outlineLvl w:val="2"/>
    </w:pPr>
    <w:rPr>
      <w:rFonts w:ascii="Arial" w:hAnsi="Arial" w:eastAsia="宋体" w:cs="Times New Roman"/>
      <w:color w:val="00637A"/>
      <w:sz w:val="32"/>
      <w:szCs w:val="32"/>
      <w:lang w:val="en-US" w:eastAsia="en-US" w:bidi="ar-SA"/>
    </w:rPr>
  </w:style>
  <w:style w:type="paragraph" w:customStyle="1" w:styleId="769">
    <w:name w:val="~Manual # Heading 3"/>
    <w:next w:val="689"/>
    <w:qFormat/>
    <w:uiPriority w:val="0"/>
    <w:pPr>
      <w:keepNext/>
      <w:keepLines/>
      <w:tabs>
        <w:tab w:val="left" w:pos="1440"/>
      </w:tabs>
      <w:spacing w:before="240" w:after="120"/>
      <w:ind w:left="1440" w:hanging="1440"/>
      <w:outlineLvl w:val="3"/>
    </w:pPr>
    <w:rPr>
      <w:rFonts w:ascii="Arial" w:hAnsi="Arial" w:eastAsia="宋体" w:cs="Times New Roman"/>
      <w:b/>
      <w:color w:val="00637A"/>
      <w:sz w:val="24"/>
      <w:szCs w:val="24"/>
      <w:lang w:val="en-US" w:eastAsia="en-US" w:bidi="ar-SA"/>
    </w:rPr>
  </w:style>
  <w:style w:type="paragraph" w:customStyle="1" w:styleId="770">
    <w:name w:val="~Manual # Heading 4"/>
    <w:next w:val="689"/>
    <w:qFormat/>
    <w:uiPriority w:val="0"/>
    <w:pPr>
      <w:keepNext/>
      <w:keepLines/>
      <w:tabs>
        <w:tab w:val="left" w:pos="1440"/>
      </w:tabs>
      <w:spacing w:before="240" w:after="120"/>
      <w:ind w:left="1440" w:hanging="1440"/>
      <w:outlineLvl w:val="4"/>
    </w:pPr>
    <w:rPr>
      <w:rFonts w:ascii="Arial" w:hAnsi="Arial" w:eastAsia="宋体" w:cs="Times New Roman"/>
      <w:color w:val="00637A"/>
      <w:sz w:val="24"/>
      <w:szCs w:val="24"/>
      <w:lang w:val="en-US" w:eastAsia="en-US" w:bidi="ar-SA"/>
    </w:rPr>
  </w:style>
  <w:style w:type="paragraph" w:customStyle="1" w:styleId="771">
    <w:name w:val="~Manual # Heading 5"/>
    <w:next w:val="689"/>
    <w:qFormat/>
    <w:uiPriority w:val="0"/>
    <w:pPr>
      <w:keepNext/>
      <w:keepLines/>
      <w:tabs>
        <w:tab w:val="left" w:pos="1440"/>
      </w:tabs>
      <w:spacing w:before="240" w:after="120"/>
      <w:ind w:left="1440" w:hanging="1440"/>
      <w:outlineLvl w:val="5"/>
    </w:pPr>
    <w:rPr>
      <w:rFonts w:ascii="Arial" w:hAnsi="Arial" w:eastAsia="宋体" w:cs="Times New Roman"/>
      <w:i/>
      <w:color w:val="00637A"/>
      <w:sz w:val="24"/>
      <w:szCs w:val="24"/>
      <w:lang w:val="en-US" w:eastAsia="en-US" w:bidi="ar-SA"/>
    </w:rPr>
  </w:style>
  <w:style w:type="paragraph" w:customStyle="1" w:styleId="772">
    <w:name w:val="*Notice Heading"/>
    <w:basedOn w:val="694"/>
    <w:next w:val="758"/>
    <w:qFormat/>
    <w:uiPriority w:val="0"/>
    <w:pPr>
      <w:spacing w:after="240" w:line="240" w:lineRule="auto"/>
      <w:outlineLvl w:val="0"/>
    </w:pPr>
    <w:rPr>
      <w:b w:val="0"/>
      <w:color w:val="00637A"/>
      <w:sz w:val="36"/>
      <w:szCs w:val="36"/>
    </w:rPr>
  </w:style>
  <w:style w:type="paragraph" w:customStyle="1" w:styleId="773">
    <w:name w:val="*Section Title"/>
    <w:next w:val="668"/>
    <w:autoRedefine/>
    <w:qFormat/>
    <w:uiPriority w:val="0"/>
    <w:pPr>
      <w:pageBreakBefore/>
      <w:spacing w:before="240" w:after="240"/>
      <w:outlineLvl w:val="0"/>
    </w:pPr>
    <w:rPr>
      <w:rFonts w:ascii="Arial" w:hAnsi="Arial" w:eastAsia="宋体" w:cs="Times New Roman"/>
      <w:color w:val="00637A"/>
      <w:sz w:val="36"/>
      <w:szCs w:val="36"/>
      <w:lang w:val="en-US" w:eastAsia="en-US" w:bidi="ar-SA"/>
    </w:rPr>
  </w:style>
  <w:style w:type="paragraph" w:customStyle="1" w:styleId="774">
    <w:name w:val="Header_FooterText"/>
    <w:qFormat/>
    <w:uiPriority w:val="0"/>
    <w:pPr>
      <w:spacing w:line="170" w:lineRule="exact"/>
    </w:pPr>
    <w:rPr>
      <w:rFonts w:ascii="Arial" w:hAnsi="Arial" w:eastAsia="宋体" w:cs="Times New Roman"/>
      <w:b/>
      <w:color w:val="000000"/>
      <w:sz w:val="14"/>
      <w:szCs w:val="14"/>
      <w:lang w:val="en-US" w:eastAsia="en-US" w:bidi="ar-SA"/>
    </w:rPr>
  </w:style>
  <w:style w:type="paragraph" w:customStyle="1" w:styleId="775">
    <w:name w:val="*Bullet #2 Subtext Double"/>
    <w:basedOn w:val="745"/>
    <w:qFormat/>
    <w:uiPriority w:val="0"/>
    <w:pPr>
      <w:spacing w:after="220"/>
    </w:pPr>
  </w:style>
  <w:style w:type="paragraph" w:customStyle="1" w:styleId="776">
    <w:name w:val="~Number Double"/>
    <w:basedOn w:val="699"/>
    <w:qFormat/>
    <w:uiPriority w:val="0"/>
    <w:pPr>
      <w:spacing w:after="220"/>
    </w:pPr>
  </w:style>
  <w:style w:type="paragraph" w:customStyle="1" w:styleId="777">
    <w:name w:val="*Logo Cover"/>
    <w:basedOn w:val="720"/>
    <w:qFormat/>
    <w:uiPriority w:val="0"/>
    <w:pPr>
      <w:ind w:right="360"/>
      <w:jc w:val="right"/>
    </w:pPr>
  </w:style>
  <w:style w:type="paragraph" w:customStyle="1" w:styleId="778">
    <w:name w:val="*Alt Numbers"/>
    <w:basedOn w:val="713"/>
    <w:qFormat/>
    <w:uiPriority w:val="0"/>
    <w:pPr>
      <w:tabs>
        <w:tab w:val="left" w:pos="1440"/>
        <w:tab w:val="clear" w:pos="360"/>
      </w:tabs>
      <w:ind w:left="1440" w:hanging="1440"/>
    </w:pPr>
  </w:style>
  <w:style w:type="paragraph" w:customStyle="1" w:styleId="779">
    <w:name w:val="*Alt Numbers Double"/>
    <w:basedOn w:val="751"/>
    <w:qFormat/>
    <w:uiPriority w:val="0"/>
    <w:pPr>
      <w:tabs>
        <w:tab w:val="left" w:pos="1440"/>
        <w:tab w:val="clear" w:pos="360"/>
      </w:tabs>
      <w:ind w:left="1440" w:hanging="1440"/>
    </w:pPr>
  </w:style>
  <w:style w:type="paragraph" w:customStyle="1" w:styleId="780">
    <w:name w:val="*Alt Numbers Bold"/>
    <w:basedOn w:val="714"/>
    <w:qFormat/>
    <w:uiPriority w:val="0"/>
    <w:pPr>
      <w:tabs>
        <w:tab w:val="left" w:pos="1440"/>
        <w:tab w:val="clear" w:pos="360"/>
      </w:tabs>
      <w:ind w:left="1440" w:hanging="1440"/>
    </w:pPr>
  </w:style>
  <w:style w:type="paragraph" w:customStyle="1" w:styleId="781">
    <w:name w:val="~Alt Number"/>
    <w:basedOn w:val="699"/>
    <w:qFormat/>
    <w:uiPriority w:val="0"/>
    <w:pPr>
      <w:tabs>
        <w:tab w:val="left" w:pos="1440"/>
        <w:tab w:val="clear" w:pos="360"/>
      </w:tabs>
      <w:ind w:left="1440" w:hanging="1440"/>
    </w:pPr>
  </w:style>
  <w:style w:type="paragraph" w:customStyle="1" w:styleId="782">
    <w:name w:val="~Alt Number Double"/>
    <w:basedOn w:val="776"/>
    <w:qFormat/>
    <w:uiPriority w:val="0"/>
    <w:pPr>
      <w:tabs>
        <w:tab w:val="left" w:pos="1440"/>
        <w:tab w:val="clear" w:pos="360"/>
      </w:tabs>
      <w:ind w:left="1440" w:hanging="1440"/>
    </w:pPr>
  </w:style>
  <w:style w:type="paragraph" w:customStyle="1" w:styleId="783">
    <w:name w:val="Inside Address Name"/>
    <w:basedOn w:val="784"/>
    <w:next w:val="784"/>
    <w:qFormat/>
    <w:uiPriority w:val="0"/>
    <w:pPr>
      <w:spacing w:before="220"/>
    </w:pPr>
  </w:style>
  <w:style w:type="paragraph" w:customStyle="1" w:styleId="784">
    <w:name w:val="Inside Address"/>
    <w:basedOn w:val="1"/>
    <w:autoRedefine/>
    <w:qFormat/>
    <w:uiPriority w:val="0"/>
    <w:pPr>
      <w:spacing w:line="360" w:lineRule="auto"/>
      <w:ind w:left="835" w:right="-360" w:firstLine="200" w:firstLineChars="200"/>
    </w:pPr>
    <w:rPr>
      <w:sz w:val="20"/>
      <w:szCs w:val="20"/>
      <w:lang w:eastAsia="en-US"/>
    </w:rPr>
  </w:style>
  <w:style w:type="paragraph" w:customStyle="1" w:styleId="785">
    <w:name w:val="normal Char"/>
    <w:basedOn w:val="1"/>
    <w:qFormat/>
    <w:uiPriority w:val="0"/>
    <w:pPr>
      <w:spacing w:line="360" w:lineRule="auto"/>
      <w:ind w:firstLine="200" w:firstLineChars="200"/>
    </w:pPr>
    <w:rPr>
      <w:color w:val="000000"/>
      <w:sz w:val="20"/>
      <w:szCs w:val="20"/>
      <w:lang w:eastAsia="en-US"/>
    </w:rPr>
  </w:style>
  <w:style w:type="character" w:customStyle="1" w:styleId="786">
    <w:name w:val="normal Char Char"/>
    <w:qFormat/>
    <w:uiPriority w:val="0"/>
    <w:rPr>
      <w:color w:val="000000"/>
      <w:lang w:val="en-US" w:eastAsia="en-US" w:bidi="ar-SA"/>
    </w:rPr>
  </w:style>
  <w:style w:type="paragraph" w:customStyle="1" w:styleId="787">
    <w:name w:val="Reference Line"/>
    <w:basedOn w:val="8"/>
    <w:qFormat/>
    <w:uiPriority w:val="0"/>
    <w:pPr>
      <w:widowControl/>
      <w:spacing w:line="360" w:lineRule="auto"/>
      <w:jc w:val="left"/>
    </w:pPr>
    <w:rPr>
      <w:kern w:val="0"/>
      <w:sz w:val="20"/>
      <w:szCs w:val="20"/>
      <w:lang w:eastAsia="en-US"/>
    </w:rPr>
  </w:style>
  <w:style w:type="paragraph" w:customStyle="1" w:styleId="788">
    <w:name w:val="Style1"/>
    <w:basedOn w:val="1"/>
    <w:qFormat/>
    <w:uiPriority w:val="0"/>
    <w:pPr>
      <w:spacing w:line="360" w:lineRule="auto"/>
      <w:ind w:firstLine="200" w:firstLineChars="200"/>
    </w:pPr>
    <w:rPr>
      <w:rFonts w:ascii="Arial" w:hAnsi="Arial"/>
      <w:sz w:val="14"/>
      <w:szCs w:val="20"/>
      <w:lang w:eastAsia="en-US"/>
    </w:rPr>
  </w:style>
  <w:style w:type="paragraph" w:customStyle="1" w:styleId="789">
    <w:name w:val="Num Text"/>
    <w:basedOn w:val="8"/>
    <w:autoRedefine/>
    <w:qFormat/>
    <w:uiPriority w:val="0"/>
    <w:pPr>
      <w:keepLines/>
      <w:widowControl/>
      <w:spacing w:before="80" w:after="40" w:line="360" w:lineRule="auto"/>
      <w:ind w:left="360" w:hanging="360"/>
      <w:jc w:val="left"/>
    </w:pPr>
    <w:rPr>
      <w:rFonts w:ascii="Swift-Light" w:hAnsi="Swift-Light"/>
      <w:kern w:val="0"/>
      <w:sz w:val="20"/>
      <w:szCs w:val="20"/>
      <w:lang w:eastAsia="en-US"/>
    </w:rPr>
  </w:style>
  <w:style w:type="paragraph" w:customStyle="1" w:styleId="790">
    <w:name w:val="Space 4pt"/>
    <w:basedOn w:val="1"/>
    <w:qFormat/>
    <w:uiPriority w:val="0"/>
    <w:pPr>
      <w:spacing w:line="360" w:lineRule="auto"/>
      <w:ind w:firstLine="200" w:firstLineChars="200"/>
    </w:pPr>
    <w:rPr>
      <w:rFonts w:ascii="Swift-Light" w:hAnsi="Swift-Light"/>
      <w:sz w:val="8"/>
      <w:szCs w:val="20"/>
      <w:lang w:eastAsia="en-US"/>
    </w:rPr>
  </w:style>
  <w:style w:type="paragraph" w:customStyle="1" w:styleId="791">
    <w:name w:val="Table Text 10"/>
    <w:basedOn w:val="1"/>
    <w:qFormat/>
    <w:uiPriority w:val="0"/>
    <w:pPr>
      <w:keepNext/>
      <w:keepLines/>
      <w:spacing w:before="80" w:after="80" w:line="360" w:lineRule="auto"/>
      <w:ind w:firstLine="200" w:firstLineChars="200"/>
    </w:pPr>
    <w:rPr>
      <w:rFonts w:ascii="Univers 57 Condensed" w:hAnsi="Univers 57 Condensed"/>
      <w:sz w:val="20"/>
      <w:szCs w:val="20"/>
      <w:lang w:eastAsia="en-US"/>
    </w:rPr>
  </w:style>
  <w:style w:type="paragraph" w:customStyle="1" w:styleId="792">
    <w:name w:val="Table Head 10"/>
    <w:basedOn w:val="791"/>
    <w:autoRedefine/>
    <w:qFormat/>
    <w:uiPriority w:val="0"/>
    <w:rPr>
      <w:rFonts w:ascii="Univers 67 CondensedBold" w:hAnsi="Univers 67 CondensedBold"/>
    </w:rPr>
  </w:style>
  <w:style w:type="paragraph" w:customStyle="1" w:styleId="793">
    <w:name w:val="Rule"/>
    <w:basedOn w:val="1"/>
    <w:qFormat/>
    <w:uiPriority w:val="0"/>
    <w:pPr>
      <w:pBdr>
        <w:bottom w:val="single" w:color="auto" w:sz="2" w:space="1"/>
      </w:pBdr>
      <w:spacing w:before="80" w:after="160" w:line="360" w:lineRule="auto"/>
      <w:ind w:firstLine="200" w:firstLineChars="200"/>
    </w:pPr>
    <w:rPr>
      <w:rFonts w:ascii="Swift-Light" w:hAnsi="Swift-Light"/>
      <w:sz w:val="8"/>
      <w:szCs w:val="20"/>
      <w:lang w:eastAsia="en-US"/>
    </w:rPr>
  </w:style>
  <w:style w:type="paragraph" w:customStyle="1" w:styleId="794">
    <w:name w:val="Placeholder"/>
    <w:basedOn w:val="1"/>
    <w:qFormat/>
    <w:uiPriority w:val="0"/>
    <w:pPr>
      <w:keepNext/>
      <w:spacing w:after="120" w:line="360" w:lineRule="auto"/>
      <w:ind w:firstLine="200" w:firstLineChars="200"/>
    </w:pPr>
    <w:rPr>
      <w:rFonts w:ascii="Univers 67 CondensedBold" w:hAnsi="Univers 67 CondensedBold"/>
      <w:sz w:val="36"/>
      <w:szCs w:val="20"/>
      <w:lang w:eastAsia="en-US"/>
    </w:rPr>
  </w:style>
  <w:style w:type="paragraph" w:customStyle="1" w:styleId="795">
    <w:name w:val="Mock Heading 1"/>
    <w:basedOn w:val="3"/>
    <w:next w:val="1"/>
    <w:autoRedefine/>
    <w:qFormat/>
    <w:uiPriority w:val="0"/>
    <w:pPr>
      <w:keepNext/>
      <w:keepLines/>
      <w:widowControl/>
      <w:spacing w:before="160" w:after="0"/>
      <w:ind w:firstLine="0"/>
      <w:contextualSpacing w:val="0"/>
      <w:jc w:val="right"/>
      <w:outlineLvl w:val="9"/>
    </w:pPr>
    <w:rPr>
      <w:rFonts w:ascii="Univers 67 CondensedBold" w:hAnsi="Univers 67 CondensedBold"/>
      <w:caps/>
      <w:color w:val="auto"/>
      <w:spacing w:val="0"/>
      <w:kern w:val="28"/>
      <w:sz w:val="30"/>
      <w:szCs w:val="20"/>
      <w:lang w:eastAsia="en-US"/>
    </w:rPr>
  </w:style>
  <w:style w:type="paragraph" w:customStyle="1" w:styleId="796">
    <w:name w:val="Mock Heading 3"/>
    <w:basedOn w:val="4"/>
    <w:qFormat/>
    <w:uiPriority w:val="0"/>
    <w:pPr>
      <w:keepNext/>
      <w:keepLines/>
      <w:widowControl/>
      <w:spacing w:before="100" w:after="0"/>
      <w:contextualSpacing w:val="0"/>
      <w:jc w:val="right"/>
      <w:outlineLvl w:val="9"/>
    </w:pPr>
    <w:rPr>
      <w:rFonts w:ascii="Univers 67 CondensedBoldOblique" w:hAnsi="Univers 67 CondensedBoldOblique"/>
      <w:color w:val="auto"/>
      <w:spacing w:val="0"/>
      <w:kern w:val="28"/>
      <w:sz w:val="20"/>
      <w:szCs w:val="20"/>
      <w:lang w:eastAsia="en-US"/>
    </w:rPr>
  </w:style>
  <w:style w:type="paragraph" w:customStyle="1" w:styleId="797">
    <w:name w:val="Mock TOC 1"/>
    <w:basedOn w:val="42"/>
    <w:next w:val="42"/>
    <w:qFormat/>
    <w:uiPriority w:val="0"/>
    <w:pPr>
      <w:widowControl/>
      <w:tabs>
        <w:tab w:val="right" w:leader="dot" w:pos="9162"/>
      </w:tabs>
      <w:spacing w:before="80" w:after="360" w:line="240" w:lineRule="auto"/>
      <w:ind w:left="432" w:hanging="450" w:firstLineChars="0"/>
      <w:jc w:val="right"/>
    </w:pPr>
    <w:rPr>
      <w:rFonts w:ascii="Univers 67 CondensedBold" w:hAnsi="Univers 67 CondensedBold" w:cs="Calibri"/>
      <w:iCs/>
      <w:color w:val="000000"/>
      <w:kern w:val="0"/>
      <w:sz w:val="24"/>
      <w:szCs w:val="22"/>
      <w:u w:val="single"/>
      <w:lang w:eastAsia="en-US"/>
    </w:rPr>
  </w:style>
  <w:style w:type="paragraph" w:customStyle="1" w:styleId="798">
    <w:name w:val="Mock Heading 2 Obl"/>
    <w:basedOn w:val="5"/>
    <w:qFormat/>
    <w:uiPriority w:val="0"/>
    <w:pPr>
      <w:keepNext/>
      <w:keepLines/>
      <w:widowControl/>
      <w:spacing w:before="80" w:after="0"/>
      <w:ind w:firstLine="0" w:firstLineChars="0"/>
      <w:contextualSpacing w:val="0"/>
      <w:jc w:val="right"/>
      <w:outlineLvl w:val="9"/>
    </w:pPr>
    <w:rPr>
      <w:rFonts w:ascii="Univers 67 CondensedBoldOblique" w:hAnsi="Univers 67 CondensedBoldOblique"/>
      <w:caps/>
      <w:color w:val="auto"/>
      <w:spacing w:val="0"/>
      <w:kern w:val="28"/>
      <w:sz w:val="24"/>
      <w:szCs w:val="20"/>
      <w:lang w:eastAsia="en-US"/>
    </w:rPr>
  </w:style>
  <w:style w:type="paragraph" w:customStyle="1" w:styleId="799">
    <w:name w:val="题注1"/>
    <w:basedOn w:val="1"/>
    <w:qFormat/>
    <w:uiPriority w:val="0"/>
    <w:pPr>
      <w:jc w:val="center"/>
    </w:pPr>
    <w:rPr>
      <w:rFonts w:hint="default"/>
    </w:rPr>
  </w:style>
  <w:style w:type="paragraph" w:customStyle="1" w:styleId="800">
    <w:name w:val="Mock Heading 2 Rom"/>
    <w:basedOn w:val="798"/>
    <w:qFormat/>
    <w:uiPriority w:val="0"/>
    <w:pPr>
      <w:spacing w:before="120"/>
      <w:jc w:val="left"/>
    </w:pPr>
    <w:rPr>
      <w:rFonts w:ascii="Univers 67 CondensedBold" w:hAnsi="Univers 67 CondensedBold"/>
    </w:rPr>
  </w:style>
  <w:style w:type="paragraph" w:customStyle="1" w:styleId="801">
    <w:name w:val="header even"/>
    <w:basedOn w:val="785"/>
    <w:qFormat/>
    <w:uiPriority w:val="0"/>
    <w:pPr>
      <w:pBdr>
        <w:top w:val="single" w:color="auto" w:sz="6" w:space="0"/>
      </w:pBdr>
      <w:ind w:left="-1800" w:right="7920"/>
    </w:pPr>
  </w:style>
  <w:style w:type="paragraph" w:customStyle="1" w:styleId="802">
    <w:name w:val="header odd"/>
    <w:basedOn w:val="785"/>
    <w:qFormat/>
    <w:uiPriority w:val="0"/>
    <w:pPr>
      <w:pBdr>
        <w:top w:val="single" w:color="auto" w:sz="6" w:space="0"/>
      </w:pBdr>
      <w:tabs>
        <w:tab w:val="left" w:pos="7920"/>
      </w:tabs>
      <w:ind w:left="7920" w:right="-1800"/>
    </w:pPr>
  </w:style>
  <w:style w:type="paragraph" w:customStyle="1" w:styleId="803">
    <w:name w:val="footer even"/>
    <w:basedOn w:val="785"/>
    <w:qFormat/>
    <w:uiPriority w:val="0"/>
    <w:pPr>
      <w:pBdr>
        <w:top w:val="single" w:color="auto" w:sz="6" w:space="0"/>
      </w:pBdr>
      <w:ind w:left="-1800"/>
    </w:pPr>
  </w:style>
  <w:style w:type="paragraph" w:customStyle="1" w:styleId="804">
    <w:name w:val="footer odd"/>
    <w:basedOn w:val="1"/>
    <w:qFormat/>
    <w:uiPriority w:val="0"/>
    <w:pPr>
      <w:pBdr>
        <w:top w:val="single" w:color="auto" w:sz="6" w:space="0"/>
      </w:pBdr>
      <w:tabs>
        <w:tab w:val="left" w:pos="1440"/>
        <w:tab w:val="center" w:pos="4320"/>
        <w:tab w:val="right" w:pos="9360"/>
      </w:tabs>
      <w:spacing w:line="360" w:lineRule="auto"/>
      <w:ind w:right="-1800" w:firstLine="200" w:firstLineChars="200"/>
    </w:pPr>
    <w:rPr>
      <w:color w:val="000000"/>
      <w:sz w:val="20"/>
      <w:szCs w:val="20"/>
      <w:lang w:eastAsia="en-US"/>
    </w:rPr>
  </w:style>
  <w:style w:type="paragraph" w:customStyle="1" w:styleId="805">
    <w:name w:val="Definition List"/>
    <w:basedOn w:val="1"/>
    <w:next w:val="1"/>
    <w:qFormat/>
    <w:uiPriority w:val="0"/>
    <w:pPr>
      <w:spacing w:line="360" w:lineRule="auto"/>
      <w:ind w:left="360" w:firstLine="200" w:firstLineChars="200"/>
    </w:pPr>
    <w:rPr>
      <w:snapToGrid w:val="0"/>
      <w:szCs w:val="20"/>
      <w:lang w:eastAsia="en-US"/>
    </w:rPr>
  </w:style>
  <w:style w:type="paragraph" w:customStyle="1" w:styleId="806">
    <w:name w:val="Blockquote"/>
    <w:basedOn w:val="1"/>
    <w:autoRedefine/>
    <w:qFormat/>
    <w:uiPriority w:val="0"/>
    <w:pPr>
      <w:spacing w:before="100" w:after="100" w:line="360" w:lineRule="auto"/>
      <w:ind w:left="360" w:right="360" w:firstLine="200" w:firstLineChars="200"/>
    </w:pPr>
    <w:rPr>
      <w:snapToGrid w:val="0"/>
      <w:szCs w:val="20"/>
      <w:lang w:eastAsia="en-US"/>
    </w:rPr>
  </w:style>
  <w:style w:type="paragraph" w:customStyle="1" w:styleId="807">
    <w:name w:val="Normal Text"/>
    <w:qFormat/>
    <w:uiPriority w:val="0"/>
    <w:pPr>
      <w:spacing w:after="120"/>
      <w:ind w:left="1701"/>
    </w:pPr>
    <w:rPr>
      <w:rFonts w:ascii="Times New Roman" w:hAnsi="Times New Roman" w:eastAsia="宋体" w:cs="Times New Roman"/>
      <w:lang w:val="en-US" w:eastAsia="en-US" w:bidi="ar-SA"/>
    </w:rPr>
  </w:style>
  <w:style w:type="paragraph" w:customStyle="1" w:styleId="808">
    <w:name w:val="Definition Term"/>
    <w:basedOn w:val="1"/>
    <w:next w:val="805"/>
    <w:qFormat/>
    <w:uiPriority w:val="0"/>
    <w:pPr>
      <w:spacing w:line="360" w:lineRule="auto"/>
      <w:ind w:firstLine="200" w:firstLineChars="200"/>
    </w:pPr>
    <w:rPr>
      <w:snapToGrid w:val="0"/>
      <w:szCs w:val="20"/>
      <w:lang w:eastAsia="en-US"/>
    </w:rPr>
  </w:style>
  <w:style w:type="character" w:customStyle="1" w:styleId="809">
    <w:name w:val="Definition"/>
    <w:qFormat/>
    <w:uiPriority w:val="0"/>
    <w:rPr>
      <w:i/>
    </w:rPr>
  </w:style>
  <w:style w:type="paragraph" w:customStyle="1" w:styleId="810">
    <w:name w:val="Address"/>
    <w:basedOn w:val="1"/>
    <w:next w:val="1"/>
    <w:qFormat/>
    <w:uiPriority w:val="0"/>
    <w:pPr>
      <w:spacing w:line="360" w:lineRule="auto"/>
      <w:ind w:firstLine="200" w:firstLineChars="200"/>
    </w:pPr>
    <w:rPr>
      <w:i/>
      <w:snapToGrid w:val="0"/>
      <w:szCs w:val="20"/>
      <w:lang w:eastAsia="en-US"/>
    </w:rPr>
  </w:style>
  <w:style w:type="character" w:customStyle="1" w:styleId="811">
    <w:name w:val="CITE"/>
    <w:qFormat/>
    <w:uiPriority w:val="0"/>
    <w:rPr>
      <w:i/>
    </w:rPr>
  </w:style>
  <w:style w:type="character" w:customStyle="1" w:styleId="812">
    <w:name w:val="CODE"/>
    <w:qFormat/>
    <w:uiPriority w:val="0"/>
    <w:rPr>
      <w:rFonts w:ascii="Courier New" w:hAnsi="Courier New"/>
      <w:sz w:val="20"/>
    </w:rPr>
  </w:style>
  <w:style w:type="character" w:customStyle="1" w:styleId="813">
    <w:name w:val="Keyboard"/>
    <w:autoRedefine/>
    <w:qFormat/>
    <w:uiPriority w:val="0"/>
    <w:rPr>
      <w:rFonts w:ascii="Courier New" w:hAnsi="Courier New"/>
      <w:b/>
      <w:sz w:val="20"/>
    </w:rPr>
  </w:style>
  <w:style w:type="paragraph" w:customStyle="1" w:styleId="814">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360" w:lineRule="auto"/>
      <w:ind w:firstLine="200" w:firstLineChars="200"/>
    </w:pPr>
    <w:rPr>
      <w:rFonts w:ascii="Courier New" w:hAnsi="Courier New"/>
      <w:snapToGrid w:val="0"/>
      <w:sz w:val="20"/>
      <w:szCs w:val="20"/>
      <w:lang w:eastAsia="en-US"/>
    </w:rPr>
  </w:style>
  <w:style w:type="paragraph" w:customStyle="1" w:styleId="815">
    <w:name w:val="z-窗体底端1"/>
    <w:next w:val="1"/>
    <w:link w:val="816"/>
    <w:autoRedefine/>
    <w:qFormat/>
    <w:uiPriority w:val="0"/>
    <w:pPr>
      <w:pBdr>
        <w:top w:val="double" w:color="000000" w:sz="2" w:space="0"/>
      </w:pBdr>
      <w:jc w:val="center"/>
    </w:pPr>
    <w:rPr>
      <w:rFonts w:ascii="Arial" w:hAnsi="Arial" w:eastAsia="宋体" w:cs="Times New Roman"/>
      <w:snapToGrid w:val="0"/>
      <w:vanish/>
      <w:sz w:val="16"/>
      <w:lang w:val="en-US" w:eastAsia="en-US" w:bidi="ar-SA"/>
    </w:rPr>
  </w:style>
  <w:style w:type="character" w:customStyle="1" w:styleId="816">
    <w:name w:val="z-窗体底端 字符"/>
    <w:basedOn w:val="71"/>
    <w:link w:val="815"/>
    <w:autoRedefine/>
    <w:qFormat/>
    <w:uiPriority w:val="0"/>
    <w:rPr>
      <w:rFonts w:ascii="Arial" w:hAnsi="Arial"/>
      <w:snapToGrid w:val="0"/>
      <w:vanish/>
      <w:sz w:val="16"/>
      <w:lang w:val="en-US" w:eastAsia="en-US" w:bidi="ar-SA"/>
    </w:rPr>
  </w:style>
  <w:style w:type="paragraph" w:customStyle="1" w:styleId="817">
    <w:name w:val="z-窗体顶端1"/>
    <w:next w:val="1"/>
    <w:link w:val="818"/>
    <w:autoRedefine/>
    <w:qFormat/>
    <w:uiPriority w:val="0"/>
    <w:pPr>
      <w:pBdr>
        <w:bottom w:val="double" w:color="000000" w:sz="2" w:space="0"/>
      </w:pBdr>
      <w:jc w:val="center"/>
    </w:pPr>
    <w:rPr>
      <w:rFonts w:ascii="Arial" w:hAnsi="Arial" w:eastAsia="宋体" w:cs="Times New Roman"/>
      <w:snapToGrid w:val="0"/>
      <w:vanish/>
      <w:sz w:val="16"/>
      <w:lang w:val="en-US" w:eastAsia="en-US" w:bidi="ar-SA"/>
    </w:rPr>
  </w:style>
  <w:style w:type="character" w:customStyle="1" w:styleId="818">
    <w:name w:val="z-窗体顶端 字符"/>
    <w:basedOn w:val="71"/>
    <w:link w:val="817"/>
    <w:qFormat/>
    <w:uiPriority w:val="0"/>
    <w:rPr>
      <w:rFonts w:ascii="Arial" w:hAnsi="Arial"/>
      <w:snapToGrid w:val="0"/>
      <w:vanish/>
      <w:sz w:val="16"/>
      <w:lang w:val="en-US" w:eastAsia="en-US" w:bidi="ar-SA"/>
    </w:rPr>
  </w:style>
  <w:style w:type="character" w:customStyle="1" w:styleId="819">
    <w:name w:val="Sample"/>
    <w:qFormat/>
    <w:uiPriority w:val="0"/>
    <w:rPr>
      <w:rFonts w:ascii="Courier New" w:hAnsi="Courier New"/>
    </w:rPr>
  </w:style>
  <w:style w:type="character" w:customStyle="1" w:styleId="820">
    <w:name w:val="Typewriter"/>
    <w:qFormat/>
    <w:uiPriority w:val="0"/>
    <w:rPr>
      <w:rFonts w:ascii="Courier New" w:hAnsi="Courier New"/>
      <w:sz w:val="20"/>
    </w:rPr>
  </w:style>
  <w:style w:type="character" w:customStyle="1" w:styleId="821">
    <w:name w:val="Variable"/>
    <w:qFormat/>
    <w:uiPriority w:val="0"/>
    <w:rPr>
      <w:i/>
    </w:rPr>
  </w:style>
  <w:style w:type="character" w:customStyle="1" w:styleId="822">
    <w:name w:val="HTML Markup"/>
    <w:qFormat/>
    <w:uiPriority w:val="0"/>
    <w:rPr>
      <w:vanish/>
      <w:color w:val="FF0000"/>
    </w:rPr>
  </w:style>
  <w:style w:type="character" w:customStyle="1" w:styleId="823">
    <w:name w:val="Comment"/>
    <w:qFormat/>
    <w:uiPriority w:val="0"/>
    <w:rPr>
      <w:vanish/>
    </w:rPr>
  </w:style>
  <w:style w:type="paragraph" w:customStyle="1" w:styleId="824">
    <w:name w:val="bodytext"/>
    <w:basedOn w:val="1"/>
    <w:qFormat/>
    <w:uiPriority w:val="0"/>
    <w:pPr>
      <w:spacing w:before="100" w:beforeAutospacing="1" w:after="100" w:afterAutospacing="1" w:line="360" w:lineRule="auto"/>
      <w:ind w:firstLine="200" w:firstLineChars="200"/>
    </w:pPr>
    <w:rPr>
      <w:rFonts w:ascii="Verdana" w:hAnsi="Verdana"/>
      <w:sz w:val="20"/>
      <w:szCs w:val="20"/>
      <w:lang w:eastAsia="en-US"/>
    </w:rPr>
  </w:style>
  <w:style w:type="character" w:customStyle="1" w:styleId="825">
    <w:name w:val="bold1"/>
    <w:qFormat/>
    <w:uiPriority w:val="0"/>
    <w:rPr>
      <w:b/>
      <w:bCs/>
    </w:rPr>
  </w:style>
  <w:style w:type="character" w:customStyle="1" w:styleId="826">
    <w:name w:val="header1"/>
    <w:qFormat/>
    <w:uiPriority w:val="0"/>
    <w:rPr>
      <w:rFonts w:hint="default" w:ascii="Arial" w:hAnsi="Arial" w:cs="Arial"/>
      <w:sz w:val="33"/>
      <w:szCs w:val="33"/>
    </w:rPr>
  </w:style>
  <w:style w:type="paragraph" w:customStyle="1" w:styleId="827">
    <w:name w:val="Bottom Line"/>
    <w:basedOn w:val="1"/>
    <w:next w:val="40"/>
    <w:autoRedefine/>
    <w:qFormat/>
    <w:uiPriority w:val="0"/>
    <w:pPr>
      <w:pBdr>
        <w:top w:val="single" w:color="auto" w:sz="6" w:space="3"/>
      </w:pBdr>
      <w:suppressAutoHyphens/>
      <w:spacing w:line="180" w:lineRule="exact"/>
      <w:ind w:left="6350" w:firstLine="230" w:firstLineChars="200"/>
    </w:pPr>
    <w:rPr>
      <w:rFonts w:ascii="ITCCenturyBookT" w:hAnsi="ITCCenturyBookT"/>
      <w:sz w:val="18"/>
      <w:szCs w:val="20"/>
      <w:lang w:eastAsia="en-US"/>
    </w:rPr>
  </w:style>
  <w:style w:type="paragraph" w:customStyle="1" w:styleId="828">
    <w:name w:val="Body Single"/>
    <w:basedOn w:val="8"/>
    <w:qFormat/>
    <w:uiPriority w:val="0"/>
    <w:pPr>
      <w:widowControl/>
      <w:tabs>
        <w:tab w:val="left" w:pos="4140"/>
      </w:tabs>
      <w:suppressAutoHyphens/>
      <w:spacing w:after="0" w:line="360" w:lineRule="auto"/>
      <w:ind w:left="1440" w:right="-187"/>
      <w:jc w:val="left"/>
    </w:pPr>
    <w:rPr>
      <w:rFonts w:ascii="Futura Bk" w:hAnsi="Futura Bk"/>
      <w:snapToGrid w:val="0"/>
      <w:color w:val="000000"/>
      <w:kern w:val="0"/>
      <w:sz w:val="20"/>
      <w:szCs w:val="20"/>
      <w:lang w:eastAsia="en-US"/>
    </w:rPr>
  </w:style>
  <w:style w:type="paragraph" w:customStyle="1" w:styleId="829">
    <w:name w:val="bullet last"/>
    <w:basedOn w:val="7"/>
    <w:qFormat/>
    <w:uiPriority w:val="0"/>
    <w:pPr>
      <w:widowControl/>
      <w:pBdr>
        <w:bottom w:val="none" w:color="auto" w:sz="0" w:space="0"/>
      </w:pBdr>
      <w:tabs>
        <w:tab w:val="left" w:pos="216"/>
        <w:tab w:val="left" w:pos="360"/>
        <w:tab w:val="clear" w:pos="0"/>
      </w:tabs>
      <w:spacing w:before="0" w:after="300" w:line="220" w:lineRule="exact"/>
      <w:ind w:left="216" w:hanging="216"/>
      <w:contextualSpacing w:val="0"/>
      <w:jc w:val="left"/>
      <w:outlineLvl w:val="9"/>
    </w:pPr>
    <w:rPr>
      <w:rFonts w:ascii="Futura Bk" w:hAnsi="Futura Bk"/>
      <w:b w:val="0"/>
      <w:color w:val="auto"/>
      <w:spacing w:val="0"/>
      <w:kern w:val="0"/>
      <w:sz w:val="20"/>
      <w:szCs w:val="20"/>
      <w:lang w:eastAsia="en-US"/>
    </w:rPr>
  </w:style>
  <w:style w:type="paragraph" w:customStyle="1" w:styleId="830">
    <w:name w:val="box"/>
    <w:basedOn w:val="8"/>
    <w:qFormat/>
    <w:uiPriority w:val="0"/>
    <w:pPr>
      <w:widowControl/>
      <w:shd w:val="clear" w:color="auto" w:fill="C0C0C0"/>
      <w:tabs>
        <w:tab w:val="left" w:pos="4140"/>
      </w:tabs>
      <w:suppressAutoHyphens/>
      <w:spacing w:before="100" w:after="100" w:line="360" w:lineRule="auto"/>
      <w:ind w:left="1440" w:right="-187"/>
      <w:jc w:val="left"/>
    </w:pPr>
    <w:rPr>
      <w:rFonts w:ascii="Futura Bk" w:hAnsi="Futura Bk"/>
      <w:b/>
      <w:snapToGrid w:val="0"/>
      <w:color w:val="0000FF"/>
      <w:kern w:val="0"/>
      <w:sz w:val="28"/>
      <w:szCs w:val="20"/>
      <w:lang w:eastAsia="en-US"/>
    </w:rPr>
  </w:style>
  <w:style w:type="paragraph" w:customStyle="1" w:styleId="831">
    <w:name w:val="table bullet"/>
    <w:autoRedefine/>
    <w:qFormat/>
    <w:uiPriority w:val="0"/>
    <w:pPr>
      <w:numPr>
        <w:ilvl w:val="0"/>
        <w:numId w:val="23"/>
      </w:numPr>
      <w:spacing w:line="200" w:lineRule="exact"/>
    </w:pPr>
    <w:rPr>
      <w:rFonts w:ascii="Futura Bk" w:hAnsi="Futura Bk" w:eastAsia="宋体" w:cs="Arial"/>
      <w:b/>
      <w:bCs/>
      <w:color w:val="999999"/>
      <w:sz w:val="16"/>
      <w:szCs w:val="24"/>
      <w:lang w:val="en-US" w:eastAsia="en-US" w:bidi="ar-SA"/>
    </w:rPr>
  </w:style>
  <w:style w:type="paragraph" w:customStyle="1" w:styleId="832">
    <w:name w:val="HP Basic Text"/>
    <w:basedOn w:val="1"/>
    <w:qFormat/>
    <w:uiPriority w:val="0"/>
    <w:pPr>
      <w:spacing w:line="230" w:lineRule="exact"/>
      <w:ind w:firstLine="200" w:firstLineChars="200"/>
    </w:pPr>
    <w:rPr>
      <w:rFonts w:ascii="Futura Bk" w:hAnsi="Futura Bk" w:eastAsia="Times"/>
      <w:sz w:val="18"/>
      <w:szCs w:val="20"/>
      <w:lang w:eastAsia="en-US"/>
    </w:rPr>
  </w:style>
  <w:style w:type="character" w:customStyle="1" w:styleId="833">
    <w:name w:val="body1"/>
    <w:qFormat/>
    <w:uiPriority w:val="0"/>
    <w:rPr>
      <w:rFonts w:hint="default" w:ascii="Helvetica" w:hAnsi="Helvetica"/>
      <w:color w:val="000000"/>
      <w:sz w:val="22"/>
      <w:szCs w:val="22"/>
    </w:rPr>
  </w:style>
  <w:style w:type="paragraph" w:customStyle="1" w:styleId="834">
    <w:name w:val="Tip"/>
    <w:basedOn w:val="8"/>
    <w:autoRedefine/>
    <w:qFormat/>
    <w:uiPriority w:val="0"/>
    <w:pPr>
      <w:widowControl/>
      <w:tabs>
        <w:tab w:val="left" w:pos="4140"/>
      </w:tabs>
      <w:suppressAutoHyphens/>
      <w:spacing w:after="100" w:line="360" w:lineRule="auto"/>
      <w:ind w:left="1440" w:right="-187"/>
      <w:jc w:val="left"/>
    </w:pPr>
    <w:rPr>
      <w:rFonts w:ascii="Futura Bk" w:hAnsi="Futura Bk"/>
      <w:b/>
      <w:bCs/>
      <w:i/>
      <w:iCs/>
      <w:snapToGrid w:val="0"/>
      <w:color w:val="FF0000"/>
      <w:kern w:val="0"/>
      <w:sz w:val="20"/>
      <w:szCs w:val="20"/>
      <w:lang w:eastAsia="en-US"/>
    </w:rPr>
  </w:style>
  <w:style w:type="paragraph" w:customStyle="1" w:styleId="835">
    <w:name w:val="Document Label"/>
    <w:basedOn w:val="1"/>
    <w:next w:val="63"/>
    <w:qFormat/>
    <w:uiPriority w:val="0"/>
    <w:pPr>
      <w:keepNext/>
      <w:keepLines/>
      <w:spacing w:before="600" w:after="400" w:line="1040" w:lineRule="exact"/>
      <w:ind w:firstLine="200" w:firstLineChars="200"/>
    </w:pPr>
    <w:rPr>
      <w:rFonts w:ascii="Arial" w:hAnsi="Arial"/>
      <w:spacing w:val="-96"/>
      <w:kern w:val="28"/>
      <w:sz w:val="108"/>
      <w:szCs w:val="20"/>
      <w:lang w:eastAsia="en-US"/>
    </w:rPr>
  </w:style>
  <w:style w:type="character" w:customStyle="1" w:styleId="836">
    <w:name w:val="Lead-in Emphasis"/>
    <w:qFormat/>
    <w:uiPriority w:val="0"/>
    <w:rPr>
      <w:rFonts w:hint="default" w:ascii="Arial Black" w:hAnsi="Arial Black"/>
      <w:spacing w:val="-15"/>
    </w:rPr>
  </w:style>
  <w:style w:type="character" w:customStyle="1" w:styleId="837">
    <w:name w:val="insetheader1"/>
    <w:qFormat/>
    <w:uiPriority w:val="0"/>
    <w:rPr>
      <w:rFonts w:hint="default" w:ascii="Tahoma" w:hAnsi="Tahoma" w:cs="Tahoma"/>
      <w:b/>
      <w:bCs/>
      <w:color w:val="FFFFFF"/>
    </w:rPr>
  </w:style>
  <w:style w:type="character" w:customStyle="1" w:styleId="838">
    <w:name w:val="insetbody1"/>
    <w:autoRedefine/>
    <w:qFormat/>
    <w:uiPriority w:val="0"/>
    <w:rPr>
      <w:rFonts w:hint="default" w:ascii="Tahoma" w:hAnsi="Tahoma" w:cs="Tahoma"/>
      <w:color w:val="FFFFFF"/>
    </w:rPr>
  </w:style>
  <w:style w:type="character" w:customStyle="1" w:styleId="839">
    <w:name w:val="copy11"/>
    <w:qFormat/>
    <w:uiPriority w:val="0"/>
    <w:rPr>
      <w:rFonts w:hint="default" w:ascii="Verdana" w:hAnsi="Verdana"/>
      <w:color w:val="000000"/>
      <w:sz w:val="17"/>
      <w:szCs w:val="17"/>
    </w:rPr>
  </w:style>
  <w:style w:type="paragraph" w:customStyle="1" w:styleId="840">
    <w:name w:val="textarial"/>
    <w:basedOn w:val="1"/>
    <w:qFormat/>
    <w:uiPriority w:val="0"/>
    <w:pPr>
      <w:spacing w:before="100" w:beforeAutospacing="1" w:after="100" w:afterAutospacing="1" w:line="360" w:lineRule="auto"/>
      <w:ind w:firstLine="200" w:firstLineChars="200"/>
    </w:pPr>
    <w:rPr>
      <w:rFonts w:ascii="Arial" w:hAnsi="Arial" w:cs="Arial"/>
      <w:color w:val="000000"/>
      <w:sz w:val="22"/>
      <w:szCs w:val="22"/>
      <w:lang w:eastAsia="en-US"/>
    </w:rPr>
  </w:style>
  <w:style w:type="paragraph" w:customStyle="1" w:styleId="841">
    <w:name w:val="subheadblue"/>
    <w:basedOn w:val="1"/>
    <w:qFormat/>
    <w:uiPriority w:val="0"/>
    <w:pPr>
      <w:spacing w:before="100" w:beforeAutospacing="1" w:after="100" w:afterAutospacing="1" w:line="360" w:lineRule="auto"/>
      <w:ind w:firstLine="200" w:firstLineChars="200"/>
    </w:pPr>
    <w:rPr>
      <w:rFonts w:ascii="Arial" w:hAnsi="Arial" w:cs="Arial"/>
      <w:b/>
      <w:bCs/>
      <w:color w:val="CC5C00"/>
      <w:lang w:eastAsia="en-US"/>
    </w:rPr>
  </w:style>
  <w:style w:type="character" w:customStyle="1" w:styleId="842">
    <w:name w:val="bluesubhead1"/>
    <w:qFormat/>
    <w:uiPriority w:val="0"/>
    <w:rPr>
      <w:rFonts w:hint="default" w:ascii="Verdana" w:hAnsi="Verdana"/>
      <w:b/>
      <w:bCs/>
      <w:color w:val="001858"/>
      <w:sz w:val="2"/>
      <w:szCs w:val="2"/>
    </w:rPr>
  </w:style>
  <w:style w:type="character" w:customStyle="1" w:styleId="843">
    <w:name w:val="carrot1"/>
    <w:qFormat/>
    <w:uiPriority w:val="0"/>
    <w:rPr>
      <w:rFonts w:hint="default" w:ascii="Verdana" w:hAnsi="Verdana"/>
      <w:color w:val="FD8500"/>
      <w:sz w:val="18"/>
      <w:szCs w:val="18"/>
    </w:rPr>
  </w:style>
  <w:style w:type="paragraph" w:customStyle="1" w:styleId="844">
    <w:name w:val="modulecontent"/>
    <w:basedOn w:val="1"/>
    <w:qFormat/>
    <w:uiPriority w:val="0"/>
    <w:pPr>
      <w:spacing w:before="100" w:beforeAutospacing="1" w:after="100" w:afterAutospacing="1" w:line="360" w:lineRule="auto"/>
      <w:ind w:firstLine="200" w:firstLineChars="200"/>
    </w:pPr>
    <w:rPr>
      <w:rFonts w:ascii="Verdana" w:hAnsi="Verdana"/>
      <w:sz w:val="20"/>
      <w:szCs w:val="20"/>
      <w:lang w:eastAsia="en-US"/>
    </w:rPr>
  </w:style>
  <w:style w:type="character" w:customStyle="1" w:styleId="845">
    <w:name w:val="contentheader1"/>
    <w:qFormat/>
    <w:uiPriority w:val="0"/>
    <w:rPr>
      <w:rFonts w:hint="default" w:ascii="Verdana" w:hAnsi="Verdana"/>
      <w:b/>
      <w:bCs/>
      <w:color w:val="006699"/>
      <w:sz w:val="24"/>
      <w:szCs w:val="24"/>
    </w:rPr>
  </w:style>
  <w:style w:type="paragraph" w:customStyle="1" w:styleId="846">
    <w:name w:val="正文文本1"/>
    <w:basedOn w:val="1"/>
    <w:autoRedefine/>
    <w:qFormat/>
    <w:uiPriority w:val="0"/>
    <w:pPr>
      <w:spacing w:after="120" w:line="220" w:lineRule="exact"/>
      <w:ind w:firstLine="200" w:firstLineChars="200"/>
    </w:pPr>
    <w:rPr>
      <w:rFonts w:ascii="Futura Bk" w:hAnsi="Futura Bk"/>
      <w:sz w:val="18"/>
      <w:szCs w:val="20"/>
      <w:lang w:eastAsia="en-US"/>
    </w:rPr>
  </w:style>
  <w:style w:type="character" w:customStyle="1" w:styleId="847">
    <w:name w:val="alltext1"/>
    <w:qFormat/>
    <w:uiPriority w:val="0"/>
    <w:rPr>
      <w:rFonts w:hint="default" w:ascii="Verdana" w:hAnsi="Verdana"/>
      <w:color w:val="000000"/>
      <w:sz w:val="16"/>
      <w:szCs w:val="16"/>
    </w:rPr>
  </w:style>
  <w:style w:type="paragraph" w:customStyle="1" w:styleId="848">
    <w:name w:val="Subject Line"/>
    <w:basedOn w:val="1"/>
    <w:next w:val="8"/>
    <w:autoRedefine/>
    <w:qFormat/>
    <w:uiPriority w:val="0"/>
    <w:pPr>
      <w:spacing w:after="220" w:line="220" w:lineRule="atLeast"/>
      <w:ind w:firstLine="200" w:firstLineChars="200"/>
    </w:pPr>
    <w:rPr>
      <w:rFonts w:ascii="Arial Black" w:hAnsi="Arial Black"/>
      <w:spacing w:val="-10"/>
      <w:sz w:val="20"/>
      <w:szCs w:val="20"/>
      <w:lang w:eastAsia="en-US"/>
    </w:rPr>
  </w:style>
  <w:style w:type="paragraph" w:customStyle="1" w:styleId="849">
    <w:name w:val="Return Address"/>
    <w:basedOn w:val="1"/>
    <w:qFormat/>
    <w:uiPriority w:val="0"/>
    <w:pPr>
      <w:spacing w:line="360" w:lineRule="auto"/>
      <w:ind w:firstLine="200" w:firstLineChars="200"/>
      <w:jc w:val="center"/>
    </w:pPr>
    <w:rPr>
      <w:rFonts w:ascii="Arial" w:hAnsi="Arial"/>
      <w:spacing w:val="-3"/>
      <w:sz w:val="20"/>
      <w:szCs w:val="20"/>
      <w:lang w:eastAsia="en-US"/>
    </w:rPr>
  </w:style>
  <w:style w:type="paragraph" w:customStyle="1" w:styleId="850">
    <w:name w:val="Style0"/>
    <w:qFormat/>
    <w:uiPriority w:val="0"/>
    <w:pPr>
      <w:autoSpaceDE w:val="0"/>
      <w:autoSpaceDN w:val="0"/>
      <w:adjustRightInd w:val="0"/>
    </w:pPr>
    <w:rPr>
      <w:rFonts w:ascii="Arial" w:hAnsi="Arial" w:eastAsia="宋体" w:cs="Times New Roman"/>
      <w:sz w:val="24"/>
      <w:szCs w:val="24"/>
      <w:lang w:val="en-US" w:eastAsia="en-US" w:bidi="ar-SA"/>
    </w:rPr>
  </w:style>
  <w:style w:type="paragraph" w:customStyle="1" w:styleId="851">
    <w:name w:val="Numbered list 3.1"/>
    <w:basedOn w:val="3"/>
    <w:next w:val="1"/>
    <w:autoRedefine/>
    <w:qFormat/>
    <w:uiPriority w:val="0"/>
    <w:pPr>
      <w:keepNext/>
      <w:widowControl/>
      <w:numPr>
        <w:ilvl w:val="0"/>
        <w:numId w:val="24"/>
      </w:numPr>
      <w:tabs>
        <w:tab w:val="clear" w:pos="0"/>
      </w:tabs>
      <w:spacing w:before="240"/>
      <w:contextualSpacing w:val="0"/>
      <w:jc w:val="left"/>
    </w:pPr>
    <w:rPr>
      <w:rFonts w:ascii="Arial" w:hAnsi="Arial"/>
      <w:color w:val="auto"/>
      <w:spacing w:val="0"/>
      <w:kern w:val="28"/>
      <w:sz w:val="28"/>
      <w:szCs w:val="20"/>
      <w:lang w:val="en-GB" w:eastAsia="en-US"/>
    </w:rPr>
  </w:style>
  <w:style w:type="character" w:customStyle="1" w:styleId="852">
    <w:name w:val="*Heading 2 Char"/>
    <w:qFormat/>
    <w:uiPriority w:val="0"/>
    <w:rPr>
      <w:rFonts w:ascii="Arial" w:hAnsi="Arial"/>
      <w:sz w:val="32"/>
      <w:szCs w:val="32"/>
      <w:lang w:val="en-US" w:eastAsia="en-US" w:bidi="ar-SA"/>
    </w:rPr>
  </w:style>
  <w:style w:type="character" w:customStyle="1" w:styleId="853">
    <w:name w:val="*Body Text Char"/>
    <w:autoRedefine/>
    <w:qFormat/>
    <w:uiPriority w:val="0"/>
    <w:rPr>
      <w:rFonts w:ascii="Arial" w:hAnsi="Arial"/>
      <w:color w:val="000000"/>
      <w:lang w:val="en-US" w:eastAsia="en-US" w:bidi="ar-SA"/>
    </w:rPr>
  </w:style>
  <w:style w:type="character" w:customStyle="1" w:styleId="854">
    <w:name w:val="*Heading 1 Char"/>
    <w:qFormat/>
    <w:uiPriority w:val="0"/>
    <w:rPr>
      <w:rFonts w:ascii="Arial" w:hAnsi="Arial"/>
      <w:b/>
      <w:color w:val="000000"/>
      <w:sz w:val="32"/>
      <w:szCs w:val="32"/>
      <w:lang w:val="en-US" w:eastAsia="en-US" w:bidi="ar-SA"/>
    </w:rPr>
  </w:style>
  <w:style w:type="character" w:customStyle="1" w:styleId="855">
    <w:name w:val="*Full Page Char"/>
    <w:basedOn w:val="853"/>
    <w:qFormat/>
    <w:uiPriority w:val="0"/>
    <w:rPr>
      <w:rFonts w:ascii="Arial" w:hAnsi="Arial"/>
      <w:color w:val="000000"/>
      <w:lang w:val="en-US" w:eastAsia="en-US" w:bidi="ar-SA"/>
    </w:rPr>
  </w:style>
  <w:style w:type="paragraph" w:customStyle="1" w:styleId="856">
    <w:name w:val="Numbered list 3.2"/>
    <w:basedOn w:val="5"/>
    <w:next w:val="1"/>
    <w:qFormat/>
    <w:uiPriority w:val="0"/>
    <w:pPr>
      <w:keepNext/>
      <w:widowControl/>
      <w:numPr>
        <w:ilvl w:val="1"/>
        <w:numId w:val="24"/>
      </w:numPr>
      <w:tabs>
        <w:tab w:val="clear" w:pos="0"/>
      </w:tabs>
      <w:spacing w:before="240"/>
      <w:ind w:firstLine="0" w:firstLineChars="0"/>
      <w:contextualSpacing w:val="0"/>
      <w:jc w:val="left"/>
    </w:pPr>
    <w:rPr>
      <w:rFonts w:ascii="Arial" w:hAnsi="Arial"/>
      <w:color w:val="auto"/>
      <w:spacing w:val="0"/>
      <w:kern w:val="0"/>
      <w:sz w:val="24"/>
      <w:szCs w:val="20"/>
      <w:lang w:val="en-GB" w:eastAsia="en-US"/>
    </w:rPr>
  </w:style>
  <w:style w:type="paragraph" w:customStyle="1" w:styleId="857">
    <w:name w:val="Numbered list 3.3"/>
    <w:basedOn w:val="4"/>
    <w:next w:val="1"/>
    <w:qFormat/>
    <w:uiPriority w:val="0"/>
    <w:pPr>
      <w:keepNext/>
      <w:widowControl/>
      <w:numPr>
        <w:ilvl w:val="2"/>
        <w:numId w:val="24"/>
      </w:numPr>
      <w:tabs>
        <w:tab w:val="clear" w:pos="312"/>
      </w:tabs>
      <w:spacing w:before="240"/>
      <w:contextualSpacing w:val="0"/>
      <w:jc w:val="left"/>
    </w:pPr>
    <w:rPr>
      <w:rFonts w:ascii="Arial" w:hAnsi="Arial"/>
      <w:color w:val="auto"/>
      <w:spacing w:val="0"/>
      <w:kern w:val="0"/>
      <w:sz w:val="22"/>
      <w:szCs w:val="20"/>
      <w:lang w:val="en-GB" w:eastAsia="en-US"/>
    </w:rPr>
  </w:style>
  <w:style w:type="paragraph" w:customStyle="1" w:styleId="858">
    <w:name w:val="Table_Medium"/>
    <w:basedOn w:val="1"/>
    <w:qFormat/>
    <w:uiPriority w:val="0"/>
    <w:pPr>
      <w:spacing w:before="40" w:after="40" w:line="360" w:lineRule="auto"/>
      <w:ind w:firstLine="200" w:firstLineChars="200"/>
    </w:pPr>
    <w:rPr>
      <w:rFonts w:ascii="Arial" w:hAnsi="Arial"/>
      <w:sz w:val="18"/>
      <w:szCs w:val="20"/>
      <w:lang w:val="en-GB" w:eastAsia="en-US"/>
    </w:rPr>
  </w:style>
  <w:style w:type="paragraph" w:customStyle="1" w:styleId="859">
    <w:name w:val="公文正文"/>
    <w:basedOn w:val="1"/>
    <w:qFormat/>
    <w:uiPriority w:val="0"/>
    <w:pPr>
      <w:widowControl w:val="0"/>
      <w:adjustRightInd w:val="0"/>
      <w:spacing w:line="560" w:lineRule="atLeast"/>
      <w:ind w:firstLine="200" w:firstLineChars="200"/>
      <w:textAlignment w:val="baseline"/>
    </w:pPr>
    <w:rPr>
      <w:rFonts w:eastAsia="仿宋_GB2312"/>
      <w:sz w:val="32"/>
      <w:szCs w:val="20"/>
    </w:rPr>
  </w:style>
  <w:style w:type="paragraph" w:customStyle="1" w:styleId="860">
    <w:name w:val="默认段落字体 Para Char Char Char Char Char Char Char Char Char Char"/>
    <w:basedOn w:val="1"/>
    <w:qFormat/>
    <w:uiPriority w:val="0"/>
    <w:pPr>
      <w:widowControl w:val="0"/>
      <w:spacing w:line="360" w:lineRule="auto"/>
      <w:ind w:firstLine="200" w:firstLineChars="200"/>
    </w:pPr>
    <w:rPr>
      <w:rFonts w:ascii="Tahoma" w:hAnsi="Tahoma"/>
      <w:kern w:val="2"/>
      <w:szCs w:val="20"/>
    </w:rPr>
  </w:style>
  <w:style w:type="character" w:customStyle="1" w:styleId="861">
    <w:name w:val="标题1 Char"/>
    <w:qFormat/>
    <w:uiPriority w:val="0"/>
    <w:rPr>
      <w:rFonts w:ascii="Times New Roman" w:hAnsi="Times New Roman" w:eastAsia="宋体" w:cs="Times New Roman"/>
      <w:b/>
      <w:bCs/>
      <w:kern w:val="44"/>
      <w:sz w:val="32"/>
      <w:szCs w:val="44"/>
    </w:rPr>
  </w:style>
  <w:style w:type="character" w:customStyle="1" w:styleId="862">
    <w:name w:val="标题2 Char"/>
    <w:link w:val="324"/>
    <w:autoRedefine/>
    <w:qFormat/>
    <w:uiPriority w:val="0"/>
    <w:rPr>
      <w:rFonts w:ascii="Times New Roman" w:hAnsi="Times New Roman" w:eastAsia="黑体"/>
      <w:spacing w:val="6"/>
      <w:kern w:val="2"/>
      <w:sz w:val="32"/>
      <w:szCs w:val="24"/>
    </w:rPr>
  </w:style>
  <w:style w:type="character" w:customStyle="1" w:styleId="863">
    <w:name w:val="标题3 Char"/>
    <w:link w:val="483"/>
    <w:qFormat/>
    <w:uiPriority w:val="0"/>
    <w:rPr>
      <w:rFonts w:ascii="Arial" w:hAnsi="Times New Roman" w:eastAsia="黑体"/>
      <w:spacing w:val="6"/>
      <w:kern w:val="2"/>
      <w:sz w:val="24"/>
      <w:szCs w:val="24"/>
      <w:lang w:val="ru-RU"/>
    </w:rPr>
  </w:style>
  <w:style w:type="paragraph" w:customStyle="1" w:styleId="864">
    <w:name w:val="text"/>
    <w:basedOn w:val="1"/>
    <w:qFormat/>
    <w:uiPriority w:val="0"/>
    <w:pPr>
      <w:spacing w:before="100" w:beforeAutospacing="1" w:after="100" w:afterAutospacing="1" w:line="360" w:lineRule="auto"/>
      <w:ind w:firstLine="200" w:firstLineChars="200"/>
    </w:pPr>
    <w:rPr>
      <w:rFonts w:ascii="宋体" w:hAnsi="宋体" w:cs="宋体"/>
    </w:rPr>
  </w:style>
  <w:style w:type="paragraph" w:customStyle="1" w:styleId="865">
    <w:name w:val="Bullet with text 4"/>
    <w:basedOn w:val="1"/>
    <w:qFormat/>
    <w:uiPriority w:val="0"/>
    <w:pPr>
      <w:numPr>
        <w:ilvl w:val="0"/>
        <w:numId w:val="25"/>
      </w:numPr>
      <w:spacing w:line="360" w:lineRule="auto"/>
      <w:ind w:firstLine="200" w:firstLineChars="200"/>
    </w:pPr>
    <w:rPr>
      <w:rFonts w:ascii="Arial" w:hAnsi="Arial"/>
      <w:sz w:val="20"/>
      <w:szCs w:val="20"/>
      <w:lang w:val="en-GB" w:eastAsia="en-US"/>
    </w:rPr>
  </w:style>
  <w:style w:type="paragraph" w:customStyle="1" w:styleId="866">
    <w:name w:val="Title_Center"/>
    <w:basedOn w:val="63"/>
    <w:qFormat/>
    <w:uiPriority w:val="0"/>
    <w:pPr>
      <w:keepNext/>
      <w:spacing w:before="240" w:after="60"/>
      <w:contextualSpacing w:val="0"/>
      <w:jc w:val="center"/>
    </w:pPr>
    <w:rPr>
      <w:rFonts w:ascii="Arial" w:hAnsi="Arial"/>
      <w:color w:val="auto"/>
      <w:spacing w:val="0"/>
      <w:kern w:val="28"/>
      <w:sz w:val="24"/>
      <w:szCs w:val="20"/>
      <w:lang w:val="en-GB"/>
    </w:rPr>
  </w:style>
  <w:style w:type="paragraph" w:customStyle="1" w:styleId="867">
    <w:name w:val="样式45"/>
    <w:basedOn w:val="683"/>
    <w:link w:val="868"/>
    <w:qFormat/>
    <w:uiPriority w:val="0"/>
    <w:pPr>
      <w:numPr>
        <w:ilvl w:val="4"/>
      </w:numPr>
      <w:spacing w:line="360" w:lineRule="auto"/>
      <w:ind w:left="1021" w:firstLine="0"/>
      <w:outlineLvl w:val="4"/>
    </w:pPr>
    <w:rPr>
      <w:sz w:val="24"/>
    </w:rPr>
  </w:style>
  <w:style w:type="character" w:customStyle="1" w:styleId="868">
    <w:name w:val="样式45 字符"/>
    <w:basedOn w:val="684"/>
    <w:link w:val="867"/>
    <w:autoRedefine/>
    <w:qFormat/>
    <w:uiPriority w:val="0"/>
    <w:rPr>
      <w:rFonts w:ascii="Cambria" w:hAnsi="Cambria" w:eastAsia="宋体" w:cs="Times New Roman"/>
      <w:color w:val="3071C3"/>
      <w:spacing w:val="20"/>
      <w:kern w:val="2"/>
      <w:sz w:val="24"/>
      <w:szCs w:val="28"/>
    </w:rPr>
  </w:style>
  <w:style w:type="paragraph" w:customStyle="1" w:styleId="869">
    <w:name w:val="正文首行缩进（绿盟科技）"/>
    <w:basedOn w:val="1"/>
    <w:link w:val="870"/>
    <w:qFormat/>
    <w:uiPriority w:val="0"/>
    <w:pPr>
      <w:widowControl w:val="0"/>
      <w:spacing w:line="360" w:lineRule="auto"/>
      <w:ind w:firstLine="480" w:firstLineChars="200"/>
    </w:pPr>
    <w:rPr>
      <w:kern w:val="2"/>
    </w:rPr>
  </w:style>
  <w:style w:type="character" w:customStyle="1" w:styleId="870">
    <w:name w:val="正文首行缩进（绿盟科技） Char"/>
    <w:basedOn w:val="71"/>
    <w:link w:val="869"/>
    <w:qFormat/>
    <w:uiPriority w:val="0"/>
    <w:rPr>
      <w:rFonts w:ascii="Times New Roman" w:hAnsi="Times New Roman"/>
      <w:kern w:val="2"/>
      <w:sz w:val="24"/>
      <w:szCs w:val="24"/>
    </w:rPr>
  </w:style>
  <w:style w:type="paragraph" w:customStyle="1" w:styleId="871">
    <w:name w:val="列表段落1"/>
    <w:basedOn w:val="1"/>
    <w:autoRedefine/>
    <w:qFormat/>
    <w:uiPriority w:val="99"/>
    <w:pPr>
      <w:widowControl w:val="0"/>
      <w:spacing w:line="400" w:lineRule="exact"/>
      <w:ind w:firstLine="420" w:firstLineChars="200"/>
      <w:jc w:val="both"/>
    </w:pPr>
    <w:rPr>
      <w:rFonts w:ascii="宋体" w:hAnsi="宋体" w:cs="宋体"/>
      <w:kern w:val="2"/>
      <w:sz w:val="21"/>
      <w:szCs w:val="21"/>
    </w:rPr>
  </w:style>
  <w:style w:type="paragraph" w:customStyle="1" w:styleId="872">
    <w:name w:val="_正文段落"/>
    <w:basedOn w:val="1"/>
    <w:qFormat/>
    <w:uiPriority w:val="0"/>
    <w:pPr>
      <w:widowControl w:val="0"/>
      <w:spacing w:beforeLines="15" w:line="360" w:lineRule="auto"/>
      <w:ind w:firstLine="200" w:firstLineChars="200"/>
    </w:pPr>
    <w:rPr>
      <w:rFonts w:ascii="宋体" w:hAnsi="宋体" w:cs="宋体"/>
      <w:kern w:val="2"/>
      <w:sz w:val="21"/>
      <w:szCs w:val="21"/>
    </w:rPr>
  </w:style>
  <w:style w:type="paragraph" w:customStyle="1" w:styleId="873">
    <w:name w:val="列出段落-1"/>
    <w:basedOn w:val="120"/>
    <w:autoRedefine/>
    <w:qFormat/>
    <w:uiPriority w:val="0"/>
    <w:pPr>
      <w:spacing w:beforeLines="50" w:afterLines="50" w:line="320" w:lineRule="exact"/>
      <w:ind w:left="0" w:firstLine="482"/>
      <w:jc w:val="left"/>
    </w:pPr>
    <w:rPr>
      <w:rFonts w:ascii="宋体" w:hAnsi="宋体" w:eastAsia="楷体" w:cs="宋体"/>
      <w:b/>
      <w:bCs/>
      <w:color w:val="auto"/>
      <w:sz w:val="24"/>
      <w:szCs w:val="24"/>
    </w:rPr>
  </w:style>
  <w:style w:type="paragraph" w:customStyle="1" w:styleId="874">
    <w:name w:val="普通标题-2"/>
    <w:basedOn w:val="5"/>
    <w:next w:val="873"/>
    <w:qFormat/>
    <w:uiPriority w:val="0"/>
    <w:pPr>
      <w:spacing w:beforeLines="50" w:afterLines="50"/>
      <w:ind w:left="576" w:hanging="576" w:firstLineChars="0"/>
      <w:contextualSpacing w:val="0"/>
      <w:jc w:val="left"/>
    </w:pPr>
    <w:rPr>
      <w:rFonts w:ascii="微软雅黑" w:hAnsi="微软雅黑" w:eastAsia="楷体" w:cs="宋体"/>
      <w:bCs/>
      <w:color w:val="auto"/>
      <w:spacing w:val="0"/>
      <w:sz w:val="24"/>
      <w:szCs w:val="24"/>
    </w:rPr>
  </w:style>
  <w:style w:type="paragraph" w:customStyle="1" w:styleId="875">
    <w:name w:val="普通标题-3"/>
    <w:basedOn w:val="4"/>
    <w:next w:val="873"/>
    <w:autoRedefine/>
    <w:qFormat/>
    <w:uiPriority w:val="0"/>
    <w:pPr>
      <w:keepNext/>
      <w:keepLines/>
      <w:spacing w:before="156" w:after="156" w:line="412" w:lineRule="auto"/>
      <w:ind w:firstLine="0" w:firstLineChars="0"/>
      <w:jc w:val="left"/>
    </w:pPr>
    <w:rPr>
      <w:rFonts w:ascii="楷体" w:hAnsi="楷体" w:eastAsia="楷体" w:cs="Calibri"/>
      <w:bCs/>
      <w:color w:val="auto"/>
      <w:spacing w:val="0"/>
      <w:kern w:val="0"/>
    </w:rPr>
  </w:style>
  <w:style w:type="paragraph" w:customStyle="1" w:styleId="876">
    <w:name w:val="表格的正文"/>
    <w:basedOn w:val="1"/>
    <w:qFormat/>
    <w:uiPriority w:val="0"/>
    <w:pPr>
      <w:widowControl w:val="0"/>
      <w:spacing w:line="288" w:lineRule="auto"/>
      <w:contextualSpacing/>
      <w:jc w:val="center"/>
    </w:pPr>
    <w:rPr>
      <w:rFonts w:ascii="宋体" w:hAnsi="宋体" w:eastAsia="楷体" w:cs="宋体"/>
      <w:kern w:val="2"/>
      <w:sz w:val="21"/>
      <w:szCs w:val="21"/>
    </w:rPr>
  </w:style>
  <w:style w:type="paragraph" w:customStyle="1" w:styleId="877">
    <w:name w:val="普通标题-1"/>
    <w:basedOn w:val="3"/>
    <w:next w:val="873"/>
    <w:qFormat/>
    <w:uiPriority w:val="0"/>
    <w:pPr>
      <w:keepNext/>
      <w:keepLines/>
      <w:spacing w:before="156" w:after="156" w:line="576" w:lineRule="auto"/>
      <w:ind w:left="420" w:firstLine="0" w:firstLineChars="0"/>
      <w:contextualSpacing w:val="0"/>
      <w:jc w:val="left"/>
    </w:pPr>
    <w:rPr>
      <w:rFonts w:ascii="Courier New" w:hAnsi="Courier New" w:eastAsia="楷体" w:cs="Courier New"/>
      <w:color w:val="auto"/>
      <w:spacing w:val="0"/>
      <w:kern w:val="44"/>
      <w:sz w:val="28"/>
      <w:szCs w:val="28"/>
    </w:rPr>
  </w:style>
  <w:style w:type="paragraph" w:customStyle="1" w:styleId="878">
    <w:name w:val="图样式"/>
    <w:basedOn w:val="873"/>
    <w:autoRedefine/>
    <w:qFormat/>
    <w:uiPriority w:val="0"/>
    <w:pPr>
      <w:spacing w:line="360" w:lineRule="auto"/>
      <w:ind w:firstLine="0" w:firstLineChars="0"/>
      <w:jc w:val="center"/>
    </w:pPr>
    <w:rPr>
      <w:rFonts w:ascii="楷体" w:hAnsi="楷体"/>
    </w:rPr>
  </w:style>
  <w:style w:type="character" w:customStyle="1" w:styleId="879">
    <w:name w:val="未处理的提及1"/>
    <w:basedOn w:val="71"/>
    <w:semiHidden/>
    <w:unhideWhenUsed/>
    <w:qFormat/>
    <w:uiPriority w:val="99"/>
    <w:rPr>
      <w:color w:val="605E5C"/>
      <w:shd w:val="clear" w:color="auto" w:fill="E1DFDD"/>
    </w:rPr>
  </w:style>
  <w:style w:type="character" w:customStyle="1" w:styleId="880">
    <w:name w:val="未处理的提及2"/>
    <w:basedOn w:val="71"/>
    <w:autoRedefine/>
    <w:semiHidden/>
    <w:unhideWhenUsed/>
    <w:qFormat/>
    <w:uiPriority w:val="99"/>
    <w:rPr>
      <w:color w:val="605E5C"/>
      <w:shd w:val="clear" w:color="auto" w:fill="E1DFDD"/>
    </w:rPr>
  </w:style>
  <w:style w:type="paragraph" w:customStyle="1" w:styleId="881">
    <w:name w:val="TOC 标题2"/>
    <w:basedOn w:val="3"/>
    <w:next w:val="1"/>
    <w:unhideWhenUsed/>
    <w:qFormat/>
    <w:uiPriority w:val="39"/>
    <w:pPr>
      <w:keepNext/>
      <w:keepLines/>
      <w:widowControl/>
      <w:spacing w:before="240" w:after="0" w:line="259" w:lineRule="auto"/>
      <w:ind w:firstLine="0" w:firstLineChars="0"/>
      <w:contextualSpacing w:val="0"/>
      <w:jc w:val="left"/>
      <w:outlineLvl w:val="9"/>
    </w:pPr>
    <w:rPr>
      <w:color w:val="365F91"/>
      <w:spacing w:val="0"/>
      <w:kern w:val="0"/>
    </w:rPr>
  </w:style>
  <w:style w:type="paragraph" w:customStyle="1" w:styleId="882">
    <w:name w:val="TOC 标题3"/>
    <w:basedOn w:val="3"/>
    <w:next w:val="1"/>
    <w:unhideWhenUsed/>
    <w:qFormat/>
    <w:uiPriority w:val="39"/>
    <w:pPr>
      <w:keepNext/>
      <w:keepLines/>
      <w:widowControl/>
      <w:spacing w:before="240" w:after="0" w:line="259" w:lineRule="auto"/>
      <w:ind w:firstLine="0" w:firstLineChars="0"/>
      <w:contextualSpacing w:val="0"/>
      <w:jc w:val="left"/>
      <w:outlineLvl w:val="9"/>
    </w:pPr>
    <w:rPr>
      <w:color w:val="365F91"/>
      <w:spacing w:val="0"/>
      <w:kern w:val="0"/>
    </w:rPr>
  </w:style>
  <w:style w:type="paragraph" w:customStyle="1" w:styleId="883">
    <w:name w:val="表格文字"/>
    <w:basedOn w:val="1"/>
    <w:autoRedefine/>
    <w:qFormat/>
    <w:uiPriority w:val="0"/>
    <w:pPr>
      <w:widowControl w:val="0"/>
      <w:spacing w:before="25" w:after="25"/>
      <w:jc w:val="both"/>
    </w:pPr>
    <w:rPr>
      <w:bCs/>
      <w:spacing w:val="10"/>
      <w:kern w:val="2"/>
      <w:sz w:val="21"/>
      <w:szCs w:val="20"/>
    </w:rPr>
  </w:style>
  <w:style w:type="character" w:customStyle="1" w:styleId="884">
    <w:name w:val="a-size-large1"/>
    <w:autoRedefine/>
    <w:qFormat/>
    <w:uiPriority w:val="0"/>
    <w:rPr>
      <w:rFonts w:hint="default" w:ascii="微软雅黑" w:hAnsi="微软雅黑"/>
    </w:rPr>
  </w:style>
  <w:style w:type="paragraph" w:customStyle="1" w:styleId="885">
    <w:name w:val="_Style 11"/>
    <w:basedOn w:val="1"/>
    <w:qFormat/>
    <w:uiPriority w:val="0"/>
    <w:pPr>
      <w:widowControl w:val="0"/>
      <w:jc w:val="both"/>
    </w:pPr>
    <w:rPr>
      <w:rFonts w:ascii="Tahoma" w:hAnsi="Tahoma"/>
      <w:kern w:val="2"/>
      <w:szCs w:val="20"/>
    </w:rPr>
  </w:style>
  <w:style w:type="paragraph" w:customStyle="1" w:styleId="886">
    <w:name w:val="_Style 15"/>
    <w:basedOn w:val="1"/>
    <w:autoRedefine/>
    <w:qFormat/>
    <w:uiPriority w:val="0"/>
    <w:pPr>
      <w:widowControl w:val="0"/>
      <w:tabs>
        <w:tab w:val="left" w:pos="360"/>
      </w:tabs>
      <w:jc w:val="both"/>
    </w:pPr>
    <w:rPr>
      <w:kern w:val="2"/>
    </w:rPr>
  </w:style>
  <w:style w:type="character" w:customStyle="1" w:styleId="887">
    <w:name w:val="未处理的提及3"/>
    <w:basedOn w:val="71"/>
    <w:autoRedefine/>
    <w:semiHidden/>
    <w:unhideWhenUsed/>
    <w:qFormat/>
    <w:uiPriority w:val="99"/>
    <w:rPr>
      <w:color w:val="605E5C"/>
      <w:shd w:val="clear" w:color="auto" w:fill="E1DFDD"/>
    </w:rPr>
  </w:style>
  <w:style w:type="paragraph" w:customStyle="1" w:styleId="888">
    <w:name w:val="列出段落2"/>
    <w:basedOn w:val="1"/>
    <w:unhideWhenUsed/>
    <w:qFormat/>
    <w:uiPriority w:val="99"/>
    <w:pPr>
      <w:widowControl w:val="0"/>
      <w:ind w:firstLine="420" w:firstLineChars="200"/>
      <w:jc w:val="both"/>
    </w:pPr>
    <w:rPr>
      <w:kern w:val="2"/>
      <w:sz w:val="21"/>
      <w:szCs w:val="21"/>
    </w:rPr>
  </w:style>
  <w:style w:type="paragraph" w:customStyle="1" w:styleId="889">
    <w:name w:val="正文（首行缩进2字符）"/>
    <w:basedOn w:val="1"/>
    <w:link w:val="890"/>
    <w:qFormat/>
    <w:uiPriority w:val="0"/>
    <w:pPr>
      <w:widowControl w:val="0"/>
      <w:spacing w:line="360" w:lineRule="auto"/>
      <w:ind w:firstLine="461" w:firstLineChars="192"/>
      <w:jc w:val="both"/>
    </w:pPr>
    <w:rPr>
      <w:rFonts w:ascii="Arial" w:hAnsi="Arial"/>
      <w:szCs w:val="28"/>
    </w:rPr>
  </w:style>
  <w:style w:type="character" w:customStyle="1" w:styleId="890">
    <w:name w:val="正文（首行缩进2字符） Char"/>
    <w:link w:val="889"/>
    <w:qFormat/>
    <w:uiPriority w:val="0"/>
    <w:rPr>
      <w:rFonts w:ascii="Arial" w:hAnsi="Arial"/>
      <w:sz w:val="24"/>
      <w:szCs w:val="28"/>
    </w:rPr>
  </w:style>
  <w:style w:type="paragraph" w:customStyle="1" w:styleId="891">
    <w:name w:val="四级标题-zxf"/>
    <w:basedOn w:val="1"/>
    <w:qFormat/>
    <w:uiPriority w:val="0"/>
    <w:pPr>
      <w:numPr>
        <w:ilvl w:val="2"/>
        <w:numId w:val="26"/>
      </w:numPr>
      <w:snapToGrid w:val="0"/>
      <w:spacing w:before="60" w:after="60" w:line="360" w:lineRule="auto"/>
      <w:outlineLvl w:val="3"/>
    </w:pPr>
    <w:rPr>
      <w:b/>
    </w:rPr>
  </w:style>
  <w:style w:type="paragraph" w:customStyle="1" w:styleId="892">
    <w:name w:val="三级标题-zxf"/>
    <w:basedOn w:val="1"/>
    <w:autoRedefine/>
    <w:qFormat/>
    <w:uiPriority w:val="0"/>
    <w:pPr>
      <w:numPr>
        <w:ilvl w:val="1"/>
        <w:numId w:val="26"/>
      </w:numPr>
      <w:adjustRightInd w:val="0"/>
      <w:snapToGrid w:val="0"/>
      <w:spacing w:before="260" w:after="260" w:line="415" w:lineRule="auto"/>
      <w:outlineLvl w:val="2"/>
    </w:pPr>
    <w:rPr>
      <w:b/>
      <w:sz w:val="28"/>
    </w:rPr>
  </w:style>
  <w:style w:type="paragraph" w:customStyle="1" w:styleId="893">
    <w:name w:val="二级标题-zxf"/>
    <w:basedOn w:val="1"/>
    <w:next w:val="892"/>
    <w:qFormat/>
    <w:uiPriority w:val="0"/>
    <w:pPr>
      <w:numPr>
        <w:ilvl w:val="0"/>
        <w:numId w:val="26"/>
      </w:numPr>
      <w:adjustRightInd w:val="0"/>
      <w:snapToGrid w:val="0"/>
      <w:spacing w:beforeLines="100" w:after="60" w:line="360" w:lineRule="auto"/>
      <w:outlineLvl w:val="1"/>
    </w:pPr>
    <w:rPr>
      <w:b/>
      <w:sz w:val="30"/>
    </w:rPr>
  </w:style>
  <w:style w:type="paragraph" w:customStyle="1" w:styleId="894">
    <w:name w:val="表格列标题"/>
    <w:basedOn w:val="1"/>
    <w:qFormat/>
    <w:uiPriority w:val="0"/>
    <w:pPr>
      <w:widowControl w:val="0"/>
      <w:spacing w:line="360" w:lineRule="auto"/>
      <w:jc w:val="center"/>
    </w:pPr>
    <w:rPr>
      <w:rFonts w:ascii="Arial" w:hAnsi="Arial" w:cs="Arial"/>
      <w:b/>
      <w:kern w:val="2"/>
      <w:sz w:val="21"/>
      <w:szCs w:val="22"/>
    </w:rPr>
  </w:style>
  <w:style w:type="character" w:customStyle="1" w:styleId="895">
    <w:name w:val="题注 Char"/>
    <w:link w:val="19"/>
    <w:qFormat/>
    <w:uiPriority w:val="35"/>
    <w:rPr>
      <w:rFonts w:ascii="Arial" w:hAnsi="Arial" w:eastAsia="宋体"/>
      <w:sz w:val="20"/>
    </w:rPr>
  </w:style>
  <w:style w:type="paragraph" w:customStyle="1" w:styleId="896">
    <w:name w:val="设计正文"/>
    <w:basedOn w:val="1"/>
    <w:qFormat/>
    <w:uiPriority w:val="0"/>
    <w:pPr>
      <w:ind w:firstLine="420"/>
    </w:pPr>
  </w:style>
  <w:style w:type="paragraph" w:customStyle="1" w:styleId="897">
    <w:name w:val="修订1"/>
    <w:autoRedefine/>
    <w:hidden/>
    <w:semiHidden/>
    <w:unhideWhenUsed/>
    <w:qFormat/>
    <w:uiPriority w:val="99"/>
    <w:rPr>
      <w:rFonts w:ascii="Times New Roman" w:hAnsi="Times New Roman" w:eastAsia="宋体" w:cs="Times New Roman"/>
      <w:sz w:val="24"/>
      <w:szCs w:val="24"/>
      <w:lang w:val="en-US" w:eastAsia="zh-CN" w:bidi="ar-SA"/>
    </w:rPr>
  </w:style>
  <w:style w:type="character" w:customStyle="1" w:styleId="898">
    <w:name w:val="font61"/>
    <w:basedOn w:val="71"/>
    <w:qFormat/>
    <w:uiPriority w:val="0"/>
    <w:rPr>
      <w:rFonts w:hint="eastAsia" w:ascii="微软雅黑" w:hAnsi="微软雅黑" w:eastAsia="微软雅黑" w:cs="微软雅黑"/>
      <w:color w:val="FF0000"/>
      <w:sz w:val="28"/>
      <w:szCs w:val="28"/>
      <w:u w:val="none"/>
    </w:rPr>
  </w:style>
  <w:style w:type="character" w:customStyle="1" w:styleId="899">
    <w:name w:val="font31"/>
    <w:basedOn w:val="71"/>
    <w:qFormat/>
    <w:uiPriority w:val="0"/>
    <w:rPr>
      <w:rFonts w:hint="eastAsia" w:ascii="微软雅黑" w:hAnsi="微软雅黑" w:eastAsia="微软雅黑" w:cs="微软雅黑"/>
      <w:color w:val="000000"/>
      <w:sz w:val="28"/>
      <w:szCs w:val="28"/>
      <w:u w:val="none"/>
    </w:rPr>
  </w:style>
  <w:style w:type="paragraph" w:customStyle="1" w:styleId="900">
    <w:name w:val="Table Paragraph"/>
    <w:basedOn w:val="1"/>
    <w:qFormat/>
    <w:uiPriority w:val="1"/>
  </w:style>
  <w:style w:type="character" w:customStyle="1" w:styleId="901">
    <w:name w:val="font41"/>
    <w:basedOn w:val="71"/>
    <w:qFormat/>
    <w:uiPriority w:val="0"/>
    <w:rPr>
      <w:rFonts w:hint="eastAsia" w:ascii="宋体" w:hAnsi="宋体" w:eastAsia="宋体" w:cs="宋体"/>
      <w:b/>
      <w:bCs/>
      <w:color w:val="000000"/>
      <w:sz w:val="20"/>
      <w:szCs w:val="20"/>
      <w:u w:val="none"/>
    </w:rPr>
  </w:style>
  <w:style w:type="character" w:customStyle="1" w:styleId="902">
    <w:name w:val="font21"/>
    <w:basedOn w:val="71"/>
    <w:qFormat/>
    <w:uiPriority w:val="0"/>
    <w:rPr>
      <w:rFonts w:hint="eastAsia" w:ascii="宋体" w:hAnsi="宋体" w:eastAsia="宋体" w:cs="宋体"/>
      <w:color w:val="000000"/>
      <w:sz w:val="20"/>
      <w:szCs w:val="20"/>
      <w:u w:val="none"/>
    </w:rPr>
  </w:style>
  <w:style w:type="paragraph" w:customStyle="1" w:styleId="903">
    <w:name w:val="00.正文"/>
    <w:basedOn w:val="1"/>
    <w:qFormat/>
    <w:uiPriority w:val="0"/>
    <w:pPr>
      <w:adjustRightInd w:val="0"/>
      <w:snapToGrid w:val="0"/>
      <w:jc w:val="both"/>
    </w:pPr>
    <w:rPr>
      <w:rFonts w:ascii="仿宋_GB2312" w:hAnsi="仿宋_GB2312" w:cs="仿宋_GB2312"/>
      <w:color w:val="auto"/>
      <w:szCs w:val="28"/>
    </w:rPr>
  </w:style>
  <w:style w:type="paragraph" w:customStyle="1" w:styleId="904">
    <w:name w:val="首行缩进"/>
    <w:basedOn w:val="1"/>
    <w:qFormat/>
    <w:uiPriority w:val="0"/>
    <w:pPr>
      <w:widowControl/>
      <w:ind w:firstLine="480"/>
    </w:pPr>
    <w:rPr>
      <w:rFonts w:ascii="宋体" w:hAnsi="宋体"/>
      <w:color w:val="auto"/>
      <w:kern w:val="0"/>
      <w:szCs w:val="24"/>
      <w:lang w:val="zh-CN"/>
    </w:rPr>
  </w:style>
  <w:style w:type="table" w:customStyle="1" w:styleId="90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7.xml"/><Relationship Id="rId16" Type="http://schemas.openxmlformats.org/officeDocument/2006/relationships/header" Target="header6.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header" Target="head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CC6D89E-4B5B-439A-8C5E-794E9ADE5BA1}">
  <ds:schemaRefs/>
</ds:datastoreItem>
</file>

<file path=docProps/app.xml><?xml version="1.0" encoding="utf-8"?>
<Properties xmlns="http://schemas.openxmlformats.org/officeDocument/2006/extended-properties" xmlns:vt="http://schemas.openxmlformats.org/officeDocument/2006/docPropsVTypes">
  <Template>Normal</Template>
  <Pages>71</Pages>
  <Words>18350</Words>
  <Characters>19445</Characters>
  <Lines>219</Lines>
  <Paragraphs>61</Paragraphs>
  <TotalTime>29</TotalTime>
  <ScaleCrop>false</ScaleCrop>
  <LinksUpToDate>false</LinksUpToDate>
  <CharactersWithSpaces>19918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2023-06-03T01:18:00Z</dcterms:created>
  <cp:lastPrinted>2018-10-30T02:38:00Z</cp:lastPrinted>
  <dcterms:modified xsi:type="dcterms:W3CDTF">2026-06-09T08:01:26Z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2D7D112FBC3D46B3835353B89FA76BC5_13</vt:lpwstr>
  </property>
  <property fmtid="{D5CDD505-2E9C-101B-9397-08002B2CF9AE}" pid="4" name="KSOTemplateDocerSaveRecord">
    <vt:lpwstr>eyJoZGlkIjoiYTM4NGYwYmMwNTdjM2ExYjRjNGE0NTMxM2QxNTU0OWEiLCJ1c2VySWQiOiIyMDU0MjQzMTcifQ==</vt:lpwstr>
  </property>
</Properties>
</file>