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b/>
          <w:bCs/>
          <w:sz w:val="36"/>
        </w:rPr>
      </w:pPr>
      <w:r>
        <w:rPr>
          <w:rFonts w:hint="eastAsia" w:ascii="宋体" w:hAnsi="宋体"/>
          <w:b/>
          <w:bCs/>
          <w:sz w:val="36"/>
        </w:rPr>
        <w:t xml:space="preserve">编号：JSZC-320000-JJJC-G2026-0014</w:t>
      </w:r>
      <w:r/>
    </w:p>
    <w:p>
      <w:pPr>
        <w:pStyle w:val="1042"/>
        <w:ind w:firstLine="0"/>
        <w:spacing w:line="360" w:lineRule="auto"/>
      </w:pPr>
      <w:r/>
      <w:r/>
    </w:p>
    <w:p>
      <w:r/>
      <w:r/>
    </w:p>
    <w:p>
      <w:r/>
      <w:r/>
    </w:p>
    <w:p>
      <w:pPr>
        <w:jc w:val="center"/>
        <w:spacing w:line="360" w:lineRule="auto"/>
        <w:rPr>
          <w:rFonts w:ascii="宋体" w:hAnsi="宋体"/>
          <w:b/>
          <w:bCs/>
          <w:sz w:val="36"/>
        </w:rPr>
      </w:pPr>
      <w:r>
        <w:rPr>
          <w:rFonts w:hint="eastAsia" w:ascii="宋体" w:hAnsi="宋体"/>
          <w:b/>
          <w:bCs/>
          <w:sz w:val="36"/>
        </w:rPr>
        <w:t xml:space="preserve">扬州大学公共云机房建设（三期）项目</w:t>
      </w:r>
      <w:r/>
    </w:p>
    <w:p>
      <w:pPr>
        <w:jc w:val="center"/>
        <w:spacing w:line="360" w:lineRule="auto"/>
        <w:rPr>
          <w:rFonts w:ascii="宋体" w:hAnsi="宋体"/>
          <w:sz w:val="36"/>
          <w:szCs w:val="36"/>
        </w:rPr>
      </w:pPr>
      <w:r>
        <w:rPr>
          <w:rFonts w:hint="eastAsia" w:ascii="宋体" w:hAnsi="宋体"/>
          <w:b/>
          <w:bCs/>
          <w:sz w:val="36"/>
        </w:rPr>
        <w:t xml:space="preserve">公开招标文件</w:t>
      </w:r>
      <w:r/>
    </w:p>
    <w:p>
      <w:pPr>
        <w:jc w:val="center"/>
        <w:spacing w:line="360" w:lineRule="auto"/>
        <w:rPr>
          <w:rFonts w:ascii="宋体" w:hAnsi="宋体"/>
          <w:sz w:val="36"/>
          <w:szCs w:val="36"/>
        </w:rPr>
      </w:pPr>
      <w:r>
        <w:rPr>
          <w:rFonts w:ascii="宋体" w:hAnsi="宋体"/>
          <w:sz w:val="36"/>
          <w:szCs w:val="36"/>
        </w:rPr>
      </w:r>
      <w:r/>
    </w:p>
    <w:p>
      <w:pPr>
        <w:jc w:val="center"/>
        <w:spacing w:line="360" w:lineRule="auto"/>
        <w:rPr>
          <w:rFonts w:ascii="宋体" w:hAnsi="宋体"/>
          <w:sz w:val="36"/>
          <w:szCs w:val="36"/>
        </w:rPr>
      </w:pPr>
      <w:r>
        <w:rPr>
          <w:sz w:val="36"/>
        </w:rPr>
        <mc:AlternateContent>
          <mc:Choice Requires="wpg">
            <w:drawing>
              <wp:inline xmlns:wp="http://schemas.openxmlformats.org/drawingml/2006/wordprocessingDrawing" distT="0" distB="0" distL="0" distR="0">
                <wp:extent cx="5267325" cy="3733800"/>
                <wp:effectExtent l="0" t="0" r="9525" b="0"/>
                <wp:docPr id="3" name="图片 1" descr="41f51d74f3b3cf4a4c9ebd768e2f8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41f51d74f3b3cf4a4c9ebd768e2f8ce"/>
                        <pic:cNvPicPr>
                          <a:picLocks noChangeAspect="1"/>
                        </pic:cNvPicPr>
                        <pic:nvPr/>
                      </pic:nvPicPr>
                      <pic:blipFill>
                        <a:blip r:embed="rId15"/>
                        <a:stretch/>
                      </pic:blipFill>
                      <pic:spPr bwMode="auto">
                        <a:xfrm>
                          <a:off x="0" y="0"/>
                          <a:ext cx="5267325" cy="3733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294.0pt;mso-wrap-distance-left:0.0pt;mso-wrap-distance-top:0.0pt;mso-wrap-distance-right:0.0pt;mso-wrap-distance-bottom:0.0pt;" stroked="f">
                <v:path textboxrect="0,0,0,0"/>
                <v:imagedata r:id="rId15" o:title=""/>
              </v:shape>
            </w:pict>
          </mc:Fallback>
        </mc:AlternateContent>
      </w:r>
      <w:r/>
    </w:p>
    <w:p>
      <w:pPr>
        <w:jc w:val="center"/>
        <w:spacing w:line="360" w:lineRule="auto"/>
        <w:rPr>
          <w:rFonts w:ascii="宋体" w:hAnsi="宋体" w:cs="宋体"/>
          <w:sz w:val="32"/>
          <w:szCs w:val="32"/>
        </w:rPr>
      </w:pPr>
      <w:r>
        <w:rPr>
          <w:rFonts w:ascii="宋体" w:hAnsi="宋体" w:cs="宋体"/>
          <w:sz w:val="32"/>
          <w:szCs w:val="32"/>
        </w:rPr>
      </w:r>
      <w:r/>
    </w:p>
    <w:p>
      <w:pPr>
        <w:jc w:val="center"/>
        <w:spacing w:line="360" w:lineRule="auto"/>
        <w:rPr>
          <w:rFonts w:ascii="宋体" w:hAnsi="宋体"/>
          <w:b/>
          <w:bCs/>
          <w:sz w:val="32"/>
          <w:szCs w:val="21"/>
        </w:rPr>
      </w:pPr>
      <w:r>
        <w:rPr>
          <w:rFonts w:hint="eastAsia" w:ascii="宋体" w:hAnsi="宋体"/>
          <w:b/>
          <w:bCs/>
          <w:sz w:val="32"/>
          <w:szCs w:val="21"/>
        </w:rPr>
        <w:t xml:space="preserve">采  购  人：</w:t>
      </w:r>
      <w:bookmarkStart w:id="0" w:name="OLE_LINK1"/>
      <w:r>
        <w:rPr>
          <w:rFonts w:hint="eastAsia" w:ascii="宋体" w:hAnsi="宋体"/>
          <w:b/>
          <w:bCs/>
          <w:sz w:val="32"/>
          <w:szCs w:val="21"/>
        </w:rPr>
        <w:t xml:space="preserve">扬州大学（本部）</w:t>
      </w:r>
      <w:bookmarkEnd w:id="0"/>
      <w:r/>
      <w:r/>
    </w:p>
    <w:p>
      <w:pPr>
        <w:jc w:val="center"/>
        <w:spacing w:line="360" w:lineRule="auto"/>
        <w:rPr>
          <w:rFonts w:ascii="宋体" w:hAnsi="宋体"/>
          <w:b/>
          <w:bCs/>
          <w:sz w:val="32"/>
          <w:szCs w:val="21"/>
        </w:rPr>
      </w:pPr>
      <w:r>
        <w:rPr>
          <w:rFonts w:hint="eastAsia" w:ascii="宋体" w:hAnsi="宋体"/>
          <w:b/>
          <w:bCs/>
          <w:sz w:val="32"/>
          <w:szCs w:val="21"/>
        </w:rPr>
        <w:t xml:space="preserve">采购代理机构(章)：江苏嘉加诚工程投资咨询有限公司</w:t>
      </w:r>
      <w:r/>
    </w:p>
    <w:p>
      <w:pPr>
        <w:jc w:val="center"/>
        <w:spacing w:line="360" w:lineRule="auto"/>
        <w:rPr>
          <w:rFonts w:ascii="宋体" w:hAnsi="宋体"/>
          <w:b/>
          <w:bCs/>
          <w:sz w:val="32"/>
          <w:szCs w:val="21"/>
        </w:rPr>
      </w:pPr>
      <w:r>
        <w:rPr>
          <w:rFonts w:hint="eastAsia" w:ascii="宋体" w:hAnsi="宋体"/>
          <w:b/>
          <w:bCs/>
          <w:sz w:val="32"/>
          <w:szCs w:val="21"/>
        </w:rPr>
        <w:t xml:space="preserve">发 放 日 期：</w:t>
      </w:r>
      <w:bookmarkStart w:id="1" w:name="EB59c3faf64f2a4bd092a206fb1d0c3c03"/>
      <w:r>
        <w:rPr>
          <w:rFonts w:hint="eastAsia" w:ascii="宋体" w:hAnsi="宋体"/>
          <w:b/>
          <w:bCs/>
          <w:sz w:val="32"/>
          <w:szCs w:val="21"/>
        </w:rPr>
        <w:t xml:space="preserve"> </w:t>
      </w:r>
      <w:bookmarkEnd w:id="1"/>
      <w:r>
        <w:rPr>
          <w:rFonts w:hint="eastAsia" w:ascii="宋体" w:hAnsi="宋体"/>
          <w:b/>
          <w:bCs/>
          <w:sz w:val="32"/>
          <w:szCs w:val="21"/>
        </w:rPr>
        <w:t xml:space="preserve">2026年06月</w:t>
      </w:r>
      <w:r>
        <w:rPr>
          <w:rFonts w:hint="eastAsia" w:ascii="宋体" w:hAnsi="宋体"/>
          <w:b/>
          <w:bCs/>
          <w:sz w:val="32"/>
          <w:szCs w:val="21"/>
          <w:lang w:val="en-US" w:eastAsia="zh-CN"/>
        </w:rPr>
        <w:t xml:space="preserve">10</w:t>
      </w:r>
      <w:r>
        <w:rPr>
          <w:rFonts w:hint="eastAsia" w:ascii="宋体" w:hAnsi="宋体"/>
          <w:b/>
          <w:bCs/>
          <w:sz w:val="32"/>
          <w:szCs w:val="21"/>
        </w:rPr>
        <w:t xml:space="preserve">日</w:t>
      </w:r>
      <w:r/>
    </w:p>
    <w:p>
      <w:pPr>
        <w:spacing w:line="360" w:lineRule="auto"/>
        <w:rPr>
          <w:rFonts w:ascii="宋体" w:hAnsi="宋体"/>
          <w:sz w:val="32"/>
          <w:szCs w:val="32"/>
        </w:rPr>
      </w:pPr>
      <w:r>
        <w:rPr>
          <w:rFonts w:ascii="宋体" w:hAnsi="宋体"/>
          <w:sz w:val="32"/>
          <w:szCs w:val="32"/>
        </w:rPr>
      </w:r>
      <w:r/>
    </w:p>
    <w:p>
      <w:pPr>
        <w:rPr>
          <w:rFonts w:ascii="宋体" w:hAnsi="宋体"/>
          <w:sz w:val="32"/>
        </w:rPr>
      </w:pPr>
      <w:r>
        <w:rPr>
          <w:rFonts w:hint="eastAsia" w:ascii="宋体" w:hAnsi="宋体"/>
          <w:sz w:val="32"/>
        </w:rPr>
        <w:br w:type="page" w:clear="all"/>
      </w:r>
      <w:r/>
    </w:p>
    <w:p>
      <w:pPr>
        <w:jc w:val="center"/>
        <w:spacing w:line="360" w:lineRule="auto"/>
        <w:rPr>
          <w:rFonts w:ascii="宋体" w:hAnsi="宋体"/>
          <w:sz w:val="32"/>
          <w:szCs w:val="32"/>
        </w:rPr>
      </w:pPr>
      <w:r>
        <w:rPr>
          <w:rFonts w:hint="eastAsia" w:ascii="宋体" w:hAnsi="宋体"/>
          <w:sz w:val="32"/>
        </w:rPr>
        <w:t xml:space="preserve">目 录</w:t>
      </w:r>
      <w:r/>
    </w:p>
    <w:p>
      <w:pPr>
        <w:pStyle w:val="1037"/>
        <w:jc w:val="center"/>
        <w:spacing w:line="360" w:lineRule="auto"/>
        <w:tabs>
          <w:tab w:val="right" w:pos="8296" w:leader="dot"/>
        </w:tabs>
      </w:pPr>
      <w:r>
        <w:rPr>
          <w:rFonts w:hint="eastAsia" w:ascii="宋体" w:hAnsi="宋体"/>
          <w:sz w:val="28"/>
        </w:rPr>
        <w:fldChar w:fldCharType="begin"/>
      </w:r>
      <w:r>
        <w:rPr>
          <w:rFonts w:hint="eastAsia" w:ascii="宋体" w:hAnsi="宋体"/>
          <w:sz w:val="28"/>
        </w:rPr>
        <w:instrText xml:space="preserve"> TOC \o "1-3" \f </w:instrText>
      </w:r>
      <w:r>
        <w:rPr>
          <w:rFonts w:hint="eastAsia" w:ascii="宋体" w:hAnsi="宋体"/>
          <w:sz w:val="28"/>
        </w:rPr>
        <w:fldChar w:fldCharType="separate"/>
      </w:r>
      <w:r>
        <w:rPr>
          <w:rFonts w:hint="eastAsia" w:ascii="宋体" w:hAnsi="宋体"/>
        </w:rPr>
        <w:t xml:space="preserve">第一章 招标公告</w:t>
      </w:r>
      <w:r>
        <w:rPr>
          <w:rFonts w:hint="eastAsia"/>
        </w:rPr>
        <w:tab/>
      </w:r>
      <w:r>
        <w:rPr>
          <w:rFonts w:hint="eastAsia"/>
        </w:rPr>
        <w:t xml:space="preserve">3</w:t>
      </w:r>
      <w:r/>
    </w:p>
    <w:p>
      <w:pPr>
        <w:pStyle w:val="1037"/>
        <w:jc w:val="center"/>
        <w:spacing w:line="360" w:lineRule="auto"/>
        <w:tabs>
          <w:tab w:val="right" w:pos="8296" w:leader="dot"/>
        </w:tabs>
      </w:pPr>
      <w:r>
        <w:rPr>
          <w:rFonts w:hint="eastAsia" w:ascii="宋体" w:hAnsi="宋体"/>
        </w:rPr>
        <w:t xml:space="preserve">第二章 投标人须知</w:t>
      </w:r>
      <w:r>
        <w:rPr>
          <w:rFonts w:hint="eastAsia"/>
        </w:rPr>
        <w:tab/>
      </w:r>
      <w:r>
        <w:rPr>
          <w:rFonts w:hint="eastAsia"/>
        </w:rPr>
        <w:t xml:space="preserve">6</w:t>
      </w:r>
      <w:r/>
    </w:p>
    <w:p>
      <w:pPr>
        <w:pStyle w:val="1037"/>
        <w:jc w:val="center"/>
        <w:spacing w:line="360" w:lineRule="auto"/>
        <w:tabs>
          <w:tab w:val="right" w:pos="8296" w:leader="dot"/>
        </w:tabs>
      </w:pPr>
      <w:r>
        <w:rPr>
          <w:rFonts w:hint="eastAsia" w:ascii="宋体" w:hAnsi="宋体"/>
        </w:rPr>
        <w:t xml:space="preserve">第三章 合同条款及格式</w:t>
      </w:r>
      <w:r>
        <w:rPr>
          <w:rFonts w:hint="eastAsia"/>
        </w:rPr>
        <w:tab/>
      </w:r>
      <w:r>
        <w:rPr>
          <w:rFonts w:hint="eastAsia"/>
        </w:rPr>
        <w:t xml:space="preserve">16</w:t>
      </w:r>
      <w:r/>
    </w:p>
    <w:p>
      <w:pPr>
        <w:pStyle w:val="1037"/>
        <w:jc w:val="center"/>
        <w:spacing w:line="360" w:lineRule="auto"/>
        <w:tabs>
          <w:tab w:val="right" w:pos="8296" w:leader="dot"/>
        </w:tabs>
      </w:pPr>
      <w:r>
        <w:rPr>
          <w:rFonts w:hint="eastAsia"/>
        </w:rPr>
        <w:t xml:space="preserve">第四章 项目需求</w:t>
      </w:r>
      <w:r>
        <w:rPr>
          <w:rFonts w:hint="eastAsia"/>
        </w:rPr>
        <w:tab/>
      </w:r>
      <w:r>
        <w:rPr>
          <w:rFonts w:hint="eastAsia"/>
        </w:rPr>
        <w:t xml:space="preserve">31</w:t>
      </w:r>
      <w:r/>
    </w:p>
    <w:p>
      <w:pPr>
        <w:pStyle w:val="1037"/>
        <w:jc w:val="center"/>
        <w:spacing w:line="360" w:lineRule="auto"/>
        <w:tabs>
          <w:tab w:val="right" w:pos="8296" w:leader="dot"/>
        </w:tabs>
      </w:pPr>
      <w:r>
        <w:rPr>
          <w:rFonts w:hint="eastAsia" w:ascii="宋体" w:hAnsi="宋体"/>
        </w:rPr>
        <w:t xml:space="preserve">第五章 评标方法及评标标准</w:t>
      </w:r>
      <w:r>
        <w:rPr>
          <w:rFonts w:hint="eastAsia"/>
        </w:rPr>
        <w:tab/>
      </w:r>
      <w:r>
        <w:rPr>
          <w:rFonts w:hint="eastAsia"/>
        </w:rPr>
        <w:t xml:space="preserve">43</w:t>
      </w:r>
      <w:r/>
    </w:p>
    <w:p>
      <w:pPr>
        <w:pStyle w:val="1037"/>
        <w:jc w:val="center"/>
        <w:spacing w:line="360" w:lineRule="auto"/>
        <w:tabs>
          <w:tab w:val="right" w:pos="8296" w:leader="dot"/>
        </w:tabs>
        <w:rPr>
          <w:rFonts w:hint="eastAsia" w:eastAsia="宋体"/>
          <w:lang w:eastAsia="zh-CN"/>
        </w:rPr>
      </w:pPr>
      <w:r>
        <w:rPr>
          <w:rFonts w:hint="eastAsia" w:ascii="宋体" w:hAnsi="宋体"/>
        </w:rPr>
        <w:t xml:space="preserve">第六章 投标文件格式</w:t>
      </w:r>
      <w:r>
        <w:rPr>
          <w:rFonts w:hint="eastAsia"/>
        </w:rPr>
        <w:tab/>
      </w:r>
      <w:r>
        <w:rPr>
          <w:rFonts w:hint="eastAsia"/>
        </w:rPr>
        <w:t xml:space="preserve">4</w:t>
      </w:r>
      <w:r>
        <w:rPr>
          <w:rFonts w:hint="eastAsia"/>
          <w:lang w:val="en-US" w:eastAsia="zh-CN"/>
        </w:rPr>
        <w:t xml:space="preserve">8</w:t>
      </w:r>
      <w:r/>
    </w:p>
    <w:p>
      <w:pPr>
        <w:jc w:val="center"/>
        <w:spacing w:line="360" w:lineRule="auto"/>
        <w:rPr>
          <w:rFonts w:ascii="宋体" w:hAnsi="宋体"/>
          <w:sz w:val="28"/>
        </w:rPr>
      </w:pPr>
      <w:r>
        <w:rPr>
          <w:rFonts w:hint="eastAsia" w:ascii="宋体" w:hAnsi="宋体"/>
          <w:sz w:val="28"/>
        </w:rPr>
        <w:fldChar w:fldCharType="end"/>
      </w:r>
      <w:r/>
    </w:p>
    <w:p>
      <w:pPr>
        <w:jc w:val="center"/>
        <w:spacing w:line="360" w:lineRule="auto"/>
        <w:rPr>
          <w:rFonts w:ascii="宋体" w:hAnsi="宋体"/>
          <w:b/>
          <w:bCs/>
          <w:sz w:val="36"/>
        </w:rPr>
      </w:pPr>
      <w:r>
        <w:rPr>
          <w:rFonts w:hint="eastAsia" w:ascii="宋体" w:hAnsi="宋体"/>
          <w:sz w:val="28"/>
        </w:rPr>
        <w:br w:type="page" w:clear="all"/>
      </w:r>
      <w:r>
        <w:rPr>
          <w:rFonts w:hint="eastAsia" w:ascii="宋体" w:hAnsi="宋体"/>
          <w:b/>
          <w:bCs/>
          <w:sz w:val="44"/>
          <w:szCs w:val="28"/>
        </w:rPr>
        <w:t xml:space="preserve">第一章 招标公告</w:t>
      </w:r>
      <w:r/>
    </w:p>
    <w:p>
      <w:pPr>
        <w:spacing w:line="360" w:lineRule="auto"/>
        <w:rPr>
          <w:rFonts w:ascii="宋体" w:hAnsi="宋体" w:cs="宋体"/>
          <w:b/>
          <w:bCs/>
        </w:rPr>
        <w:pBdr>
          <w:top w:val="single" w:color="000000" w:sz="4" w:space="1"/>
          <w:left w:val="single" w:color="000000" w:sz="4" w:space="4"/>
          <w:bottom w:val="single" w:color="000000" w:sz="4" w:space="1"/>
          <w:right w:val="single" w:color="000000" w:sz="4" w:space="4"/>
        </w:pBdr>
      </w:pPr>
      <w:r>
        <w:rPr>
          <w:rFonts w:hint="eastAsia" w:ascii="宋体" w:hAnsi="宋体" w:cs="宋体"/>
          <w:b/>
          <w:bCs/>
        </w:rPr>
        <w:t xml:space="preserve">项目概况：</w:t>
      </w:r>
      <w:r/>
    </w:p>
    <w:p>
      <w:pPr>
        <w:spacing w:line="360" w:lineRule="auto"/>
        <w:rPr>
          <w:rFonts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rPr>
        <w:t xml:space="preserve">扬州大学公共云机房建设（三期）项目JSZC-320000-JJJC-G2026-0014采购项目的潜在供应商应在“江苏政府采购网”和“中国政府采购网”获取采购文件，并于2026-0</w:t>
      </w:r>
      <w:r>
        <w:rPr>
          <w:rFonts w:hint="eastAsia" w:ascii="宋体" w:hAnsi="宋体" w:cs="宋体"/>
          <w:lang w:val="en-US" w:eastAsia="zh-CN"/>
        </w:rPr>
        <w:t xml:space="preserve">7</w:t>
      </w:r>
      <w:r>
        <w:rPr>
          <w:rFonts w:hint="eastAsia" w:ascii="宋体" w:hAnsi="宋体" w:cs="宋体"/>
        </w:rPr>
        <w:t xml:space="preserve">-</w:t>
      </w:r>
      <w:r>
        <w:rPr>
          <w:rFonts w:hint="eastAsia" w:ascii="宋体" w:hAnsi="宋体" w:cs="宋体"/>
          <w:lang w:val="en-US" w:eastAsia="zh-CN"/>
        </w:rPr>
        <w:t xml:space="preserve">01</w:t>
      </w:r>
      <w:r>
        <w:rPr>
          <w:rFonts w:hint="eastAsia" w:ascii="宋体" w:hAnsi="宋体" w:cs="宋体"/>
        </w:rPr>
        <w:t xml:space="preserve"> 09:30 （北京时间）前提交响应文件。</w:t>
      </w:r>
      <w:r/>
    </w:p>
    <w:p>
      <w:pPr>
        <w:spacing w:line="360" w:lineRule="auto"/>
        <w:tabs>
          <w:tab w:val="left" w:pos="266" w:leader="none"/>
        </w:tabs>
        <w:rPr>
          <w:rFonts w:ascii="宋体" w:hAnsi="宋体" w:cs="宋体"/>
          <w:b/>
          <w:bCs/>
        </w:rPr>
      </w:pPr>
      <w:r/>
      <w:bookmarkStart w:id="2" w:name="_Toc28359002"/>
      <w:r/>
      <w:bookmarkStart w:id="3" w:name="_Toc35393621"/>
      <w:r/>
      <w:bookmarkStart w:id="4" w:name="_Toc28359079"/>
      <w:r/>
      <w:bookmarkStart w:id="5" w:name="_Toc35393790"/>
      <w:r/>
      <w:bookmarkStart w:id="6" w:name="_Toc38985263"/>
      <w:r/>
      <w:bookmarkStart w:id="7" w:name="_Hlk24379207"/>
      <w:r>
        <w:rPr>
          <w:rFonts w:hint="eastAsia" w:ascii="宋体" w:hAnsi="宋体" w:cs="宋体"/>
          <w:b/>
          <w:bCs/>
        </w:rPr>
        <w:t xml:space="preserve">一、项目基本情况</w:t>
      </w:r>
      <w:bookmarkEnd w:id="2"/>
      <w:r/>
      <w:bookmarkEnd w:id="3"/>
      <w:r/>
      <w:bookmarkEnd w:id="4"/>
      <w:r/>
      <w:bookmarkEnd w:id="5"/>
      <w:r/>
      <w:bookmarkEnd w:id="6"/>
      <w:r/>
      <w:r/>
    </w:p>
    <w:p>
      <w:pPr>
        <w:ind w:firstLine="420"/>
        <w:spacing w:line="360" w:lineRule="auto"/>
        <w:rPr>
          <w:rFonts w:ascii="宋体" w:hAnsi="宋体" w:cs="宋体"/>
          <w:szCs w:val="21"/>
        </w:rPr>
      </w:pPr>
      <w:r>
        <w:rPr>
          <w:rFonts w:hint="eastAsia" w:ascii="宋体" w:hAnsi="宋体" w:cs="宋体"/>
        </w:rPr>
        <w:t xml:space="preserve">项目编号：JSZC-320000-JJJC-G2026-0014</w:t>
      </w:r>
      <w:r/>
    </w:p>
    <w:p>
      <w:pPr>
        <w:ind w:firstLine="420"/>
        <w:spacing w:line="360" w:lineRule="auto"/>
        <w:rPr>
          <w:rFonts w:ascii="宋体" w:hAnsi="宋体" w:cs="宋体"/>
        </w:rPr>
      </w:pPr>
      <w:r>
        <w:rPr>
          <w:rFonts w:hint="eastAsia" w:ascii="宋体" w:hAnsi="宋体" w:cs="宋体"/>
        </w:rPr>
        <w:t xml:space="preserve">项目名称：扬州大学公共云机房建设（三期）项目</w:t>
      </w:r>
      <w:r/>
    </w:p>
    <w:p>
      <w:pPr>
        <w:ind w:firstLine="420"/>
        <w:spacing w:line="360" w:lineRule="auto"/>
        <w:rPr>
          <w:rFonts w:ascii="宋体" w:hAnsi="宋体" w:cs="宋体"/>
        </w:rPr>
      </w:pPr>
      <w:r>
        <w:rPr>
          <w:rFonts w:hint="eastAsia" w:ascii="宋体" w:hAnsi="宋体" w:cs="宋体"/>
        </w:rPr>
        <w:t xml:space="preserve">采购方式：公开招标</w:t>
      </w:r>
      <w:bookmarkEnd w:id="7"/>
      <w:r/>
      <w:r/>
    </w:p>
    <w:p>
      <w:pPr>
        <w:ind w:firstLine="420"/>
        <w:spacing w:line="360" w:lineRule="auto"/>
        <w:rPr>
          <w:rFonts w:ascii="宋体" w:hAnsi="宋体"/>
          <w:szCs w:val="21"/>
        </w:rPr>
      </w:pPr>
      <w:r>
        <w:rPr>
          <w:rFonts w:hint="eastAsia" w:ascii="宋体" w:hAnsi="宋体" w:cs="宋体"/>
        </w:rPr>
        <w:t xml:space="preserve">预算金额：</w:t>
      </w:r>
      <w:r>
        <w:rPr>
          <w:rFonts w:hint="eastAsia" w:ascii="宋体" w:hAnsi="宋体"/>
          <w:szCs w:val="21"/>
        </w:rPr>
        <w:t xml:space="preserve">395.</w:t>
      </w:r>
      <w:r>
        <w:rPr>
          <w:rFonts w:hint="eastAsia" w:ascii="宋体" w:hAnsi="宋体" w:cs="宋体"/>
        </w:rPr>
        <w:t xml:space="preserve">000000</w:t>
      </w:r>
      <w:r>
        <w:rPr>
          <w:rFonts w:hint="eastAsia" w:ascii="宋体" w:hAnsi="宋体"/>
          <w:szCs w:val="21"/>
        </w:rPr>
        <w:t xml:space="preserve">万元</w:t>
      </w:r>
      <w:r/>
    </w:p>
    <w:p>
      <w:pPr>
        <w:ind w:firstLine="420"/>
        <w:spacing w:line="360" w:lineRule="auto"/>
        <w:rPr>
          <w:rFonts w:ascii="宋体" w:hAnsi="宋体" w:cs="宋体"/>
        </w:rPr>
      </w:pPr>
      <w:r>
        <w:rPr>
          <w:rFonts w:ascii="Times New Roman" w:hAnsi="Times New Roman"/>
          <w:highlight w:val="none"/>
        </w:rPr>
        <w:t xml:space="preserve">最高限价（如有）：</w:t>
      </w:r>
      <w:r>
        <w:rPr>
          <w:rFonts w:hint="eastAsia" w:ascii="宋体" w:hAnsi="宋体" w:cs="宋体"/>
          <w:highlight w:val="none"/>
        </w:rPr>
        <w:t xml:space="preserve">376.6万元</w:t>
      </w:r>
      <w:r>
        <w:rPr>
          <w:rFonts w:ascii="Times New Roman" w:hAnsi="Times New Roman"/>
          <w:highlight w:val="none"/>
        </w:rPr>
        <w:t xml:space="preserve">。各</w:t>
      </w:r>
      <w:r>
        <w:rPr>
          <w:rFonts w:ascii="Times New Roman" w:hAnsi="Times New Roman"/>
        </w:rPr>
        <w:t xml:space="preserve">投标</w:t>
      </w:r>
      <w:r>
        <w:rPr>
          <w:rFonts w:hint="eastAsia" w:ascii="Times New Roman" w:hAnsi="Times New Roman"/>
        </w:rPr>
        <w:t xml:space="preserve">人</w:t>
      </w:r>
      <w:r>
        <w:rPr>
          <w:rFonts w:ascii="Times New Roman" w:hAnsi="Times New Roman"/>
        </w:rPr>
        <w:t xml:space="preserve">报价不得超过设定的最高限价，否则作为无效</w:t>
      </w:r>
      <w:r>
        <w:rPr>
          <w:rFonts w:hint="eastAsia" w:ascii="Times New Roman" w:hAnsi="Times New Roman"/>
        </w:rPr>
        <w:t xml:space="preserve">响应</w:t>
      </w:r>
      <w:r>
        <w:rPr>
          <w:rFonts w:ascii="Times New Roman" w:hAnsi="Times New Roman"/>
        </w:rPr>
        <w:t xml:space="preserve">处理。  </w:t>
      </w:r>
      <w:r/>
    </w:p>
    <w:p>
      <w:pPr>
        <w:ind w:firstLine="420"/>
        <w:spacing w:line="360" w:lineRule="auto"/>
        <w:rPr>
          <w:rFonts w:ascii="宋体" w:hAnsi="宋体" w:cs="宋体"/>
          <w:u w:val="single"/>
        </w:rPr>
      </w:pPr>
      <w:r>
        <w:rPr>
          <w:rFonts w:hint="eastAsia" w:ascii="宋体" w:hAnsi="宋体" w:cs="宋体"/>
        </w:rPr>
        <w:t xml:space="preserve">采购需求：</w:t>
      </w:r>
      <w:r>
        <w:rPr>
          <w:rFonts w:hint="eastAsia" w:ascii="宋体" w:hAnsi="宋体"/>
          <w:szCs w:val="21"/>
        </w:rPr>
        <w:t xml:space="preserve">具体详见第四章“项目需求”。</w:t>
      </w:r>
      <w:r/>
    </w:p>
    <w:p>
      <w:pPr>
        <w:ind w:firstLine="420"/>
        <w:jc w:val="left"/>
        <w:spacing w:line="360" w:lineRule="auto"/>
        <w:rPr>
          <w:rFonts w:ascii="宋体" w:hAnsi="宋体" w:cs="宋体"/>
          <w:szCs w:val="21"/>
        </w:rPr>
      </w:pPr>
      <w:r>
        <w:rPr>
          <w:rFonts w:hint="eastAsia" w:ascii="宋体" w:hAnsi="宋体" w:cs="宋体"/>
        </w:rPr>
        <w:t xml:space="preserve">合同履行期限：合同签订后40个日历天内完成。</w:t>
      </w:r>
      <w:r/>
    </w:p>
    <w:p>
      <w:pPr>
        <w:ind w:firstLine="420"/>
        <w:spacing w:line="360" w:lineRule="auto"/>
        <w:rPr>
          <w:rFonts w:hint="eastAsia" w:ascii="宋体" w:hAnsi="宋体" w:cs="宋体"/>
        </w:rPr>
      </w:pPr>
      <w:r/>
      <w:bookmarkStart w:id="8" w:name="_Toc28359080"/>
      <w:r/>
      <w:bookmarkStart w:id="9" w:name="_Toc35393791"/>
      <w:r/>
      <w:bookmarkStart w:id="10" w:name="_Toc28359003"/>
      <w:r/>
      <w:bookmarkStart w:id="11" w:name="_Toc35393622"/>
      <w:r/>
      <w:bookmarkStart w:id="12" w:name="_Toc38985264"/>
      <w:r>
        <w:rPr>
          <w:rFonts w:hint="eastAsia" w:ascii="宋体" w:hAnsi="宋体" w:cs="宋体"/>
        </w:rPr>
        <w:t xml:space="preserve">本项目（是/否）接受联合体：否</w:t>
      </w:r>
      <w:r/>
    </w:p>
    <w:p>
      <w:pPr>
        <w:ind w:firstLine="420"/>
        <w:spacing w:line="360" w:lineRule="auto"/>
        <w:rPr>
          <w:rFonts w:hint="eastAsia" w:ascii="宋体" w:hAnsi="宋体" w:cs="宋体"/>
        </w:rPr>
      </w:pPr>
      <w:r>
        <w:rPr>
          <w:rFonts w:hint="eastAsia" w:ascii="宋体" w:hAnsi="宋体" w:cs="宋体"/>
        </w:rPr>
        <w:t xml:space="preserve">本项目不接受进口产品投标。</w:t>
      </w:r>
      <w:r/>
    </w:p>
    <w:p>
      <w:pPr>
        <w:spacing w:line="360" w:lineRule="auto"/>
        <w:tabs>
          <w:tab w:val="left" w:pos="266" w:leader="none"/>
        </w:tabs>
        <w:rPr>
          <w:rFonts w:ascii="宋体" w:hAnsi="宋体" w:cs="宋体"/>
          <w:b/>
          <w:bCs/>
        </w:rPr>
      </w:pPr>
      <w:r>
        <w:rPr>
          <w:rFonts w:hint="eastAsia" w:ascii="宋体" w:hAnsi="宋体" w:cs="宋体"/>
          <w:b/>
          <w:bCs/>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szCs w:val="21"/>
        </w:rPr>
      </w:pPr>
      <w:r/>
      <w:bookmarkStart w:id="13" w:name="_Toc28359081"/>
      <w:r/>
      <w:bookmarkStart w:id="14" w:name="_Toc35393623"/>
      <w:r/>
      <w:bookmarkStart w:id="15" w:name="_Toc28359004"/>
      <w:r/>
      <w:bookmarkStart w:id="16" w:name="_Toc35393792"/>
      <w:r/>
      <w:bookmarkStart w:id="17" w:name="_Toc38985265"/>
      <w:r>
        <w:rPr>
          <w:rFonts w:hint="eastAsia" w:ascii="宋体" w:hAnsi="宋体" w:cs="宋体"/>
          <w:szCs w:val="21"/>
        </w:rPr>
        <w:t xml:space="preserve">（一）满足《中华人民共和国政府采购法》第二十二条规定： </w:t>
      </w:r>
      <w:r/>
    </w:p>
    <w:p>
      <w:pPr>
        <w:ind w:firstLine="420"/>
        <w:spacing w:line="360" w:lineRule="auto"/>
        <w:rPr>
          <w:rFonts w:ascii="宋体" w:hAnsi="宋体" w:cs="宋体"/>
          <w:szCs w:val="21"/>
        </w:rPr>
      </w:pPr>
      <w:r>
        <w:rPr>
          <w:rFonts w:hint="eastAsia" w:ascii="宋体" w:hAnsi="宋体" w:cs="宋体"/>
          <w:szCs w:val="21"/>
        </w:rPr>
        <w:t xml:space="preserve">1.法人或者其他组织的营业执照等证明文件，自然人的身份证明</w:t>
      </w:r>
      <w:r>
        <w:rPr>
          <w:rFonts w:hint="eastAsia" w:ascii="宋体" w:hAnsi="宋体" w:cs="宋体"/>
          <w:color w:val="000000" w:themeColor="text1"/>
          <w:szCs w:val="21"/>
          <w14:textFill>
            <w14:solidFill>
              <w14:schemeClr w14:val="tx1"/>
            </w14:solidFill>
          </w14:textFill>
        </w:rPr>
        <w:t xml:space="preserve">（原件扫描上传）。</w:t>
      </w:r>
      <w:r/>
    </w:p>
    <w:p>
      <w:pPr>
        <w:ind w:firstLine="420"/>
        <w:spacing w:line="360" w:lineRule="auto"/>
        <w:rPr>
          <w:rFonts w:ascii="宋体" w:hAnsi="宋体" w:cs="宋体"/>
          <w:szCs w:val="21"/>
        </w:rPr>
      </w:pPr>
      <w:r>
        <w:rPr>
          <w:rFonts w:hint="eastAsia" w:ascii="宋体" w:hAnsi="宋体" w:cs="宋体"/>
          <w:szCs w:val="21"/>
        </w:rPr>
        <w:t xml:space="preserve">2.上一年度的财务状况报告（成立不满一年无需提供）</w:t>
      </w:r>
      <w:r>
        <w:rPr>
          <w:rFonts w:hint="eastAsia" w:ascii="宋体" w:hAnsi="宋体" w:cs="宋体"/>
          <w:color w:val="000000" w:themeColor="text1"/>
          <w:szCs w:val="21"/>
          <w14:textFill>
            <w14:solidFill>
              <w14:schemeClr w14:val="tx1"/>
            </w14:solidFill>
          </w14:textFill>
        </w:rPr>
        <w:t xml:space="preserve">（原件扫描上传）。</w:t>
      </w:r>
      <w:r/>
    </w:p>
    <w:p>
      <w:pPr>
        <w:ind w:firstLine="420"/>
        <w:spacing w:line="360" w:lineRule="auto"/>
        <w:rPr>
          <w:rFonts w:ascii="宋体" w:hAnsi="宋体" w:cs="宋体"/>
          <w:szCs w:val="21"/>
        </w:rPr>
      </w:pPr>
      <w:r>
        <w:rPr>
          <w:rFonts w:hint="eastAsia" w:ascii="宋体" w:hAnsi="宋体" w:cs="宋体"/>
          <w:szCs w:val="21"/>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新成立企业距投标截止日不足30日的，可不提供，以新办企业营业执照发放日期为准）</w:t>
      </w:r>
      <w:r>
        <w:rPr>
          <w:rFonts w:hint="eastAsia" w:ascii="宋体" w:hAnsi="宋体" w:cs="宋体"/>
          <w:color w:val="000000" w:themeColor="text1"/>
          <w:szCs w:val="21"/>
          <w14:textFill>
            <w14:solidFill>
              <w14:schemeClr w14:val="tx1"/>
            </w14:solidFill>
          </w14:textFill>
        </w:rPr>
        <w:t xml:space="preserve">（原件扫描上传）。</w:t>
      </w:r>
      <w:r/>
    </w:p>
    <w:p>
      <w:pPr>
        <w:ind w:firstLine="420"/>
        <w:spacing w:line="360" w:lineRule="auto"/>
        <w:rPr>
          <w:rFonts w:ascii="宋体" w:hAnsi="宋体" w:cs="宋体"/>
          <w:szCs w:val="21"/>
        </w:rPr>
      </w:pPr>
      <w:r>
        <w:rPr>
          <w:rFonts w:hint="eastAsia" w:ascii="宋体" w:hAnsi="宋体" w:cs="宋体"/>
          <w:szCs w:val="21"/>
        </w:rPr>
        <w:t xml:space="preserve">4.具备履行合同所必需的设备和专业技术能力的书面声明</w:t>
      </w:r>
      <w:r>
        <w:rPr>
          <w:rFonts w:hint="eastAsia" w:ascii="宋体" w:hAnsi="宋体" w:cs="宋体"/>
          <w:color w:val="000000" w:themeColor="text1"/>
          <w:szCs w:val="21"/>
          <w14:textFill>
            <w14:solidFill>
              <w14:schemeClr w14:val="tx1"/>
            </w14:solidFill>
          </w14:textFill>
        </w:rPr>
        <w:t xml:space="preserve">（原件扫描上传）。</w:t>
      </w:r>
      <w:r/>
    </w:p>
    <w:p>
      <w:pPr>
        <w:ind w:firstLine="420"/>
        <w:spacing w:line="360" w:lineRule="auto"/>
        <w:rPr>
          <w:rFonts w:ascii="宋体" w:hAnsi="宋体" w:cs="宋体"/>
          <w:szCs w:val="21"/>
        </w:rPr>
      </w:pPr>
      <w:r>
        <w:rPr>
          <w:rFonts w:hint="eastAsia" w:ascii="宋体" w:hAnsi="宋体" w:cs="宋体"/>
          <w:szCs w:val="21"/>
        </w:rPr>
        <w:t xml:space="preserve">5.参加政府采购活动前3年内在经营活动中没有重大违法记录的书面声明</w:t>
      </w:r>
      <w:r>
        <w:rPr>
          <w:rFonts w:hint="eastAsia" w:ascii="宋体" w:hAnsi="宋体" w:cs="宋体"/>
          <w:color w:val="000000" w:themeColor="text1"/>
          <w:szCs w:val="21"/>
          <w14:textFill>
            <w14:solidFill>
              <w14:schemeClr w14:val="tx1"/>
            </w14:solidFill>
          </w14:textFill>
        </w:rPr>
        <w:t xml:space="preserve">（原件扫描上传）。</w:t>
      </w:r>
      <w:r/>
    </w:p>
    <w:p>
      <w:pPr>
        <w:ind w:firstLine="420"/>
        <w:spacing w:line="360" w:lineRule="auto"/>
        <w:rPr>
          <w:rFonts w:ascii="宋体" w:hAnsi="宋体" w:cs="宋体"/>
          <w:szCs w:val="21"/>
        </w:rPr>
      </w:pPr>
      <w:r>
        <w:rPr>
          <w:rFonts w:hint="eastAsia" w:ascii="宋体" w:hAnsi="宋体" w:cs="宋体"/>
          <w:szCs w:val="21"/>
        </w:rPr>
        <w:t xml:space="preserve">6.供应商信用承诺函</w:t>
      </w:r>
      <w:r>
        <w:rPr>
          <w:rFonts w:hint="eastAsia" w:ascii="宋体" w:hAnsi="宋体" w:cs="宋体"/>
          <w:color w:val="000000" w:themeColor="text1"/>
          <w:szCs w:val="21"/>
          <w14:textFill>
            <w14:solidFill>
              <w14:schemeClr w14:val="tx1"/>
            </w14:solidFill>
          </w14:textFill>
        </w:rPr>
        <w:t xml:space="preserve">（原件扫描上传）。</w:t>
      </w:r>
      <w:r/>
    </w:p>
    <w:p>
      <w:pPr>
        <w:ind w:firstLine="420"/>
        <w:spacing w:line="360" w:lineRule="auto"/>
        <w:rPr>
          <w:rFonts w:ascii="宋体" w:hAnsi="宋体" w:cs="宋体"/>
          <w:szCs w:val="21"/>
        </w:rPr>
      </w:pPr>
      <w:r>
        <w:rPr>
          <w:rFonts w:hint="eastAsia" w:ascii="宋体" w:hAnsi="宋体" w:cs="宋体"/>
          <w:szCs w:val="21"/>
        </w:rPr>
        <w:t xml:space="preserve">7.未被“信用中国”网站、“中国政府采购网"列入失信被执行人、重大税收违法案件当事人名单、政府采购严重违法失信行为记录名单及其他不符合《中华人民共和国政府采购法》第二十二条规定条件的信用记录。</w:t>
      </w:r>
      <w:r/>
    </w:p>
    <w:p>
      <w:pPr>
        <w:ind w:firstLine="420"/>
        <w:spacing w:line="360" w:lineRule="auto"/>
        <w:rPr>
          <w:rFonts w:ascii="Times New Roman" w:hAnsi="Times New Roman" w:cs="宋体"/>
          <w:szCs w:val="21"/>
        </w:rPr>
      </w:pPr>
      <w:r>
        <w:rPr>
          <w:rFonts w:hint="eastAsia" w:ascii="宋体" w:hAnsi="宋体" w:cs="宋体"/>
          <w:szCs w:val="21"/>
        </w:rPr>
        <w:t xml:space="preserve">（二）落实政府采购政策需满足的资格要求：无。</w:t>
      </w:r>
      <w:r/>
    </w:p>
    <w:p>
      <w:pPr>
        <w:ind w:firstLine="420"/>
        <w:spacing w:line="360" w:lineRule="auto"/>
        <w:rPr>
          <w:rFonts w:ascii="宋体" w:hAnsi="宋体" w:cs="宋体"/>
          <w:szCs w:val="21"/>
        </w:rPr>
      </w:pPr>
      <w:r>
        <w:rPr>
          <w:rFonts w:hint="eastAsia" w:ascii="宋体" w:hAnsi="宋体" w:cs="宋体"/>
          <w:szCs w:val="21"/>
        </w:rPr>
        <w:t xml:space="preserve">（三）本项目的特定资格要求：无。</w:t>
      </w:r>
      <w:r/>
    </w:p>
    <w:p>
      <w:pPr>
        <w:spacing w:line="360" w:lineRule="auto"/>
        <w:tabs>
          <w:tab w:val="left" w:pos="266" w:leader="none"/>
        </w:tabs>
        <w:rPr>
          <w:rFonts w:ascii="宋体" w:hAnsi="宋体" w:cs="宋体"/>
          <w:b/>
          <w:bCs/>
        </w:rPr>
      </w:pPr>
      <w:r>
        <w:rPr>
          <w:rFonts w:hint="eastAsia" w:ascii="宋体" w:hAnsi="宋体" w:cs="宋体"/>
          <w:b/>
          <w:bCs/>
        </w:rPr>
        <w:t xml:space="preserve">三、获取采购文件</w:t>
      </w:r>
      <w:bookmarkEnd w:id="13"/>
      <w:r/>
      <w:bookmarkEnd w:id="14"/>
      <w:r/>
      <w:bookmarkEnd w:id="15"/>
      <w:r/>
      <w:bookmarkEnd w:id="16"/>
      <w:r/>
      <w:bookmarkEnd w:id="17"/>
      <w:r/>
      <w:r/>
    </w:p>
    <w:p>
      <w:pPr>
        <w:ind w:firstLine="420"/>
        <w:spacing w:line="360" w:lineRule="auto"/>
        <w:rPr>
          <w:rFonts w:ascii="Times New Roman" w:hAnsi="Times New Roman" w:cs="宋体"/>
          <w:szCs w:val="21"/>
        </w:rPr>
      </w:pPr>
      <w:r/>
      <w:bookmarkStart w:id="18" w:name="_Toc28359007"/>
      <w:r/>
      <w:bookmarkStart w:id="19" w:name="_Toc38985267"/>
      <w:r/>
      <w:bookmarkStart w:id="20" w:name="_Toc35393625"/>
      <w:r/>
      <w:bookmarkStart w:id="21" w:name="_Toc28359084"/>
      <w:r/>
      <w:bookmarkStart w:id="22" w:name="_Toc35393794"/>
      <w:r>
        <w:rPr>
          <w:rFonts w:hint="eastAsia" w:ascii="Times New Roman" w:hAnsi="Times New Roman" w:cs="宋体"/>
          <w:szCs w:val="21"/>
        </w:rPr>
        <w:t xml:space="preserve">时间：自采购文件公告发布之日起5个工作日 </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地点：“江苏政府采购网”和“中国政府采购网”  </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方式：本项目采用网上注册登记方式。 </w:t>
      </w:r>
      <w:r/>
    </w:p>
    <w:p>
      <w:pPr>
        <w:ind w:firstLine="420"/>
        <w:spacing w:line="360" w:lineRule="auto"/>
        <w:rPr>
          <w:rFonts w:ascii="Times New Roman" w:hAnsi="Times New Roman" w:cs="宋体"/>
          <w:szCs w:val="21"/>
        </w:rPr>
      </w:pPr>
      <w:r>
        <w:rPr>
          <w:rFonts w:hint="eastAsia" w:ascii="Times New Roman" w:hAnsi="Times New Roman" w:cs="宋体"/>
          <w:szCs w:val="21"/>
        </w:rPr>
        <w:t xml:space="preserve">售价：0.00元</w:t>
      </w:r>
      <w:r/>
    </w:p>
    <w:p>
      <w:pPr>
        <w:spacing w:line="360" w:lineRule="auto"/>
        <w:tabs>
          <w:tab w:val="left" w:pos="266" w:leader="none"/>
        </w:tabs>
        <w:rPr>
          <w:rFonts w:ascii="宋体" w:hAnsi="宋体" w:cs="宋体"/>
          <w:b/>
          <w:bCs/>
        </w:rPr>
      </w:pPr>
      <w:r>
        <w:rPr>
          <w:rFonts w:hint="eastAsia" w:ascii="宋体" w:hAnsi="宋体" w:cs="宋体"/>
          <w:b/>
          <w:bCs/>
        </w:rPr>
        <w:t xml:space="preserve">四、响应文件提交</w:t>
      </w:r>
      <w:r/>
    </w:p>
    <w:p>
      <w:pPr>
        <w:ind w:firstLine="420"/>
        <w:spacing w:line="360" w:lineRule="auto"/>
        <w:rPr>
          <w:rFonts w:ascii="宋体" w:hAnsi="宋体" w:cs="宋体"/>
          <w:bCs/>
          <w:szCs w:val="21"/>
          <w:u w:val="single"/>
        </w:rPr>
      </w:pPr>
      <w:r>
        <w:rPr>
          <w:rFonts w:hint="eastAsia" w:ascii="宋体" w:hAnsi="宋体" w:cs="宋体"/>
        </w:rPr>
        <w:t xml:space="preserve">截止时间：2026-0</w:t>
      </w:r>
      <w:r>
        <w:rPr>
          <w:rFonts w:hint="eastAsia" w:ascii="宋体" w:hAnsi="宋体" w:cs="宋体"/>
          <w:lang w:val="en-US" w:eastAsia="zh-CN"/>
        </w:rPr>
        <w:t xml:space="preserve">7</w:t>
      </w:r>
      <w:r>
        <w:rPr>
          <w:rFonts w:hint="eastAsia" w:ascii="宋体" w:hAnsi="宋体" w:cs="宋体"/>
        </w:rPr>
        <w:t xml:space="preserve">-</w:t>
      </w:r>
      <w:r>
        <w:rPr>
          <w:rFonts w:hint="eastAsia" w:ascii="宋体" w:hAnsi="宋体" w:cs="宋体"/>
          <w:lang w:val="en-US" w:eastAsia="zh-CN"/>
        </w:rPr>
        <w:t xml:space="preserve">01</w:t>
      </w:r>
      <w:r>
        <w:rPr>
          <w:rFonts w:hint="eastAsia" w:ascii="宋体" w:hAnsi="宋体" w:cs="宋体"/>
        </w:rPr>
        <w:t xml:space="preserve">  09:30 （北京时间）</w:t>
      </w:r>
      <w:r/>
    </w:p>
    <w:p>
      <w:pPr>
        <w:ind w:firstLine="420"/>
        <w:spacing w:line="360" w:lineRule="auto"/>
        <w:rPr>
          <w:rFonts w:ascii="宋体" w:hAnsi="宋体"/>
          <w:b w:val="0"/>
          <w:bCs/>
          <w:szCs w:val="21"/>
        </w:rPr>
      </w:pPr>
      <w:r>
        <w:rPr>
          <w:rFonts w:hint="eastAsia" w:ascii="宋体" w:hAnsi="宋体" w:cs="宋体"/>
        </w:rPr>
        <w:t xml:space="preserve">地点：</w:t>
      </w:r>
      <w:r>
        <w:rPr>
          <w:rFonts w:hint="eastAsia" w:ascii="宋体" w:hAnsi="宋体"/>
          <w:b w:val="0"/>
          <w:bCs/>
          <w:szCs w:val="21"/>
        </w:rPr>
        <w:t xml:space="preserve">“苏采云”系统（网址：</w:t>
      </w:r>
      <w:r>
        <w:rPr>
          <w:b w:val="0"/>
          <w:bCs/>
        </w:rPr>
        <w:fldChar w:fldCharType="begin"/>
      </w:r>
      <w:r>
        <w:rPr>
          <w:b w:val="0"/>
          <w:bCs/>
        </w:rPr>
        <w:instrText xml:space="preserve"> HYPERLINK "http://jszfcg.jsczt.cn/）" </w:instrText>
      </w:r>
      <w:r>
        <w:rPr>
          <w:b w:val="0"/>
          <w:bCs/>
        </w:rPr>
        <w:fldChar w:fldCharType="separate"/>
      </w:r>
      <w:r>
        <w:rPr>
          <w:rFonts w:hint="eastAsia" w:ascii="宋体" w:hAnsi="宋体"/>
          <w:b w:val="0"/>
          <w:bCs/>
          <w:szCs w:val="21"/>
        </w:rPr>
        <w:t xml:space="preserve">http://jszfcg.jsczt.cn/）</w:t>
      </w:r>
      <w:r>
        <w:rPr>
          <w:rFonts w:hint="eastAsia" w:ascii="宋体" w:hAnsi="宋体"/>
          <w:b w:val="0"/>
          <w:bCs/>
          <w:szCs w:val="21"/>
        </w:rPr>
        <w:fldChar w:fldCharType="end"/>
      </w:r>
      <w:r/>
    </w:p>
    <w:p>
      <w:pPr>
        <w:pStyle w:val="1056"/>
        <w:spacing w:before="0" w:after="0" w:line="360" w:lineRule="auto"/>
        <w:rPr>
          <w:rFonts w:ascii="宋体" w:hAnsi="宋体" w:cs="宋体"/>
          <w:bCs w:val="0"/>
          <w:sz w:val="21"/>
          <w:szCs w:val="21"/>
        </w:rPr>
      </w:pPr>
      <w:r/>
      <w:bookmarkStart w:id="23" w:name="_Toc109304967"/>
      <w:r/>
      <w:bookmarkStart w:id="24" w:name="_Toc12476"/>
      <w:r>
        <w:rPr>
          <w:rFonts w:hint="eastAsia" w:ascii="宋体" w:hAnsi="宋体" w:cs="宋体"/>
          <w:bCs w:val="0"/>
          <w:sz w:val="21"/>
          <w:szCs w:val="21"/>
        </w:rPr>
        <w:t xml:space="preserve">五、开启</w:t>
      </w:r>
      <w:bookmarkEnd w:id="23"/>
      <w:r/>
      <w:bookmarkEnd w:id="24"/>
      <w:r/>
      <w:bookmarkEnd w:id="18"/>
      <w:r/>
      <w:bookmarkEnd w:id="19"/>
      <w:r/>
      <w:bookmarkEnd w:id="20"/>
      <w:r/>
      <w:bookmarkEnd w:id="21"/>
      <w:r/>
      <w:bookmarkEnd w:id="22"/>
      <w:r/>
      <w:r/>
    </w:p>
    <w:p>
      <w:pPr>
        <w:ind w:firstLine="420"/>
        <w:spacing w:line="360" w:lineRule="auto"/>
        <w:rPr>
          <w:rFonts w:ascii="宋体" w:hAnsi="宋体" w:cs="宋体"/>
        </w:rPr>
      </w:pPr>
      <w:r/>
      <w:bookmarkStart w:id="25" w:name="_Toc38985268"/>
      <w:r/>
      <w:bookmarkStart w:id="26" w:name="_Toc35393795"/>
      <w:r/>
      <w:bookmarkStart w:id="27" w:name="_Toc35393626"/>
      <w:r>
        <w:rPr>
          <w:rFonts w:hint="eastAsia" w:ascii="宋体" w:hAnsi="宋体" w:cs="宋体"/>
        </w:rPr>
        <w:t xml:space="preserve">时间：2026-0</w:t>
      </w:r>
      <w:r>
        <w:rPr>
          <w:rFonts w:hint="eastAsia" w:ascii="宋体" w:hAnsi="宋体" w:cs="宋体"/>
          <w:lang w:val="en-US" w:eastAsia="zh-CN"/>
        </w:rPr>
        <w:t xml:space="preserve">7</w:t>
      </w:r>
      <w:r>
        <w:rPr>
          <w:rFonts w:hint="eastAsia" w:ascii="宋体" w:hAnsi="宋体" w:cs="宋体"/>
        </w:rPr>
        <w:t xml:space="preserve">-</w:t>
      </w:r>
      <w:r>
        <w:rPr>
          <w:rFonts w:hint="eastAsia" w:ascii="宋体" w:hAnsi="宋体" w:cs="宋体"/>
          <w:lang w:val="en-US" w:eastAsia="zh-CN"/>
        </w:rPr>
        <w:t xml:space="preserve">01</w:t>
      </w:r>
      <w:r>
        <w:rPr>
          <w:rFonts w:hint="eastAsia" w:ascii="宋体" w:hAnsi="宋体" w:cs="宋体"/>
        </w:rPr>
        <w:t xml:space="preserve">  09:30 （北京时间）</w:t>
      </w:r>
      <w:r/>
    </w:p>
    <w:p>
      <w:pPr>
        <w:ind w:firstLine="420"/>
        <w:spacing w:line="360" w:lineRule="auto"/>
        <w:rPr>
          <w:rFonts w:ascii="宋体" w:hAnsi="宋体" w:cs="宋体"/>
        </w:rPr>
      </w:pPr>
      <w:r>
        <w:rPr>
          <w:rFonts w:hint="eastAsia" w:ascii="宋体" w:hAnsi="宋体" w:cs="宋体"/>
        </w:rPr>
        <w:t xml:space="preserve">地点：“苏采云”系统（网址： http://jszfcg.jsczt.cn/）“开标大厅”</w:t>
      </w:r>
      <w:r/>
    </w:p>
    <w:p>
      <w:pPr>
        <w:spacing w:line="360" w:lineRule="auto"/>
        <w:tabs>
          <w:tab w:val="left" w:pos="266" w:leader="none"/>
        </w:tabs>
        <w:rPr>
          <w:rFonts w:ascii="宋体" w:hAnsi="宋体" w:cs="宋体"/>
          <w:b/>
          <w:bCs/>
        </w:rPr>
      </w:pPr>
      <w:r>
        <w:rPr>
          <w:rFonts w:hint="eastAsia" w:ascii="宋体" w:hAnsi="宋体" w:cs="宋体"/>
          <w:b/>
          <w:bCs/>
        </w:rPr>
        <w:t xml:space="preserve">六、公告期限</w:t>
      </w:r>
      <w:r/>
    </w:p>
    <w:p>
      <w:pPr>
        <w:ind w:firstLine="420"/>
        <w:spacing w:line="360" w:lineRule="auto"/>
        <w:rPr>
          <w:rFonts w:ascii="宋体" w:hAnsi="宋体" w:cs="宋体"/>
        </w:rPr>
      </w:pPr>
      <w:r>
        <w:rPr>
          <w:rFonts w:hint="eastAsia" w:ascii="宋体" w:hAnsi="宋体" w:cs="宋体"/>
        </w:rPr>
        <w:t xml:space="preserve">招标公告及招标文件公告期限为自本公告发布之日起5个工作日。</w:t>
      </w:r>
      <w:r/>
    </w:p>
    <w:p>
      <w:pPr>
        <w:spacing w:line="360" w:lineRule="auto"/>
        <w:tabs>
          <w:tab w:val="left" w:pos="266" w:leader="none"/>
        </w:tabs>
        <w:rPr>
          <w:rFonts w:ascii="宋体" w:hAnsi="宋体" w:cs="宋体"/>
          <w:b/>
          <w:bCs/>
        </w:rPr>
      </w:pPr>
      <w:r>
        <w:rPr>
          <w:rFonts w:hint="eastAsia" w:ascii="宋体" w:hAnsi="宋体" w:cs="宋体"/>
          <w:b/>
          <w:bCs/>
        </w:rPr>
        <w:t xml:space="preserve">七、其他补充事宜</w:t>
      </w:r>
      <w:bookmarkEnd w:id="25"/>
      <w:r/>
      <w:bookmarkEnd w:id="26"/>
      <w:r/>
      <w:bookmarkEnd w:id="27"/>
      <w:r/>
      <w:r/>
    </w:p>
    <w:p>
      <w:pPr>
        <w:ind w:firstLine="422"/>
        <w:spacing w:line="360" w:lineRule="auto"/>
        <w:shd w:val="clear" w:color="auto" w:fill="ffffff"/>
        <w:rPr>
          <w:rFonts w:ascii="宋体" w:hAnsi="宋体"/>
          <w:b/>
          <w:bCs/>
        </w:rPr>
      </w:pPr>
      <w:r/>
      <w:bookmarkStart w:id="28" w:name="_Toc38985269"/>
      <w:r/>
      <w:bookmarkStart w:id="29" w:name="_Toc35393796"/>
      <w:r/>
      <w:bookmarkStart w:id="30" w:name="_Toc28359008"/>
      <w:r/>
      <w:bookmarkStart w:id="31" w:name="_Toc28359085"/>
      <w:r/>
      <w:bookmarkStart w:id="32" w:name="_Toc35393627"/>
      <w:r>
        <w:rPr>
          <w:rFonts w:hint="eastAsia" w:ascii="宋体" w:hAnsi="宋体"/>
          <w:b/>
          <w:bCs/>
        </w:rPr>
        <w:t xml:space="preserve">1.</w:t>
      </w:r>
      <w:r>
        <w:rPr>
          <w:rFonts w:hint="eastAsia" w:ascii="宋体" w:hAnsi="宋体"/>
          <w:b/>
          <w:bCs/>
          <w:szCs w:val="21"/>
        </w:rPr>
        <w:t xml:space="preserve">本次采购采用“政府采购管理交易系统（苏采云）”，招标、投标、评标和中标结果发布全程电子化，开标方式为不见面开标。投标人应当按照</w:t>
      </w:r>
      <w:r>
        <w:rPr>
          <w:rFonts w:hint="eastAsia" w:ascii="宋体" w:hAnsi="宋体" w:cs="宋体"/>
          <w:b/>
          <w:bCs/>
        </w:rPr>
        <w:t xml:space="preserve">《政府采购管理交易系统（苏采云）供应商操作手册》</w:t>
      </w:r>
      <w:r>
        <w:rPr>
          <w:rFonts w:hint="eastAsia" w:ascii="宋体" w:hAnsi="宋体"/>
          <w:b/>
          <w:bCs/>
          <w:szCs w:val="21"/>
        </w:rPr>
        <w:t xml:space="preserve">参加投标活动。</w:t>
      </w:r>
      <w:r>
        <w:rPr>
          <w:rFonts w:hint="eastAsia" w:ascii="宋体" w:hAnsi="宋体"/>
          <w:b/>
          <w:bCs/>
        </w:rPr>
        <w:t xml:space="preserve">如投标人未按要求操作，由此所产生的风险由投标人自行承担。</w:t>
      </w:r>
      <w:r/>
    </w:p>
    <w:p>
      <w:pPr>
        <w:ind w:firstLine="422"/>
        <w:spacing w:line="360" w:lineRule="auto"/>
        <w:shd w:val="clear" w:color="auto" w:fill="ffffff"/>
        <w:rPr>
          <w:rFonts w:ascii="宋体" w:hAnsi="宋体"/>
          <w:b/>
          <w:bCs/>
          <w:szCs w:val="21"/>
        </w:rPr>
      </w:pPr>
      <w:r>
        <w:rPr>
          <w:rFonts w:hint="eastAsia" w:ascii="宋体" w:hAnsi="宋体"/>
          <w:b/>
          <w:bCs/>
        </w:rPr>
        <w:t xml:space="preserve">2.</w:t>
      </w:r>
      <w:r>
        <w:rPr>
          <w:rFonts w:hint="eastAsia" w:ascii="宋体" w:hAnsi="宋体" w:cs="宋体"/>
          <w:b/>
          <w:bCs/>
        </w:rPr>
        <w:t xml:space="preserve">供应商如确定参加投标，可自行下载招标文件及有关资料，按照《操作手册》进行注</w:t>
      </w:r>
      <w:r>
        <w:rPr>
          <w:rFonts w:hint="eastAsia" w:ascii="宋体" w:hAnsi="宋体"/>
          <w:b/>
          <w:bCs/>
          <w:szCs w:val="21"/>
        </w:rPr>
        <w:t xml:space="preserve">册，领取CA和办理电子签章，并按《操作手册》要求制作、上传电子投标文件，技术支持联系方式：13813140731。</w:t>
      </w:r>
      <w:r/>
    </w:p>
    <w:p>
      <w:pPr>
        <w:ind w:firstLine="420"/>
        <w:spacing w:line="360" w:lineRule="auto"/>
        <w:rPr>
          <w:rFonts w:ascii="宋体" w:hAnsi="宋体"/>
          <w:szCs w:val="21"/>
        </w:rPr>
      </w:pPr>
      <w:r>
        <w:rPr>
          <w:rFonts w:hint="eastAsia" w:ascii="宋体" w:hAnsi="宋体"/>
          <w:szCs w:val="21"/>
        </w:rPr>
        <w:t xml:space="preserve">3.本次招标不收取投标保证金。</w:t>
      </w:r>
      <w:r/>
    </w:p>
    <w:p>
      <w:pPr>
        <w:ind w:firstLine="420"/>
        <w:spacing w:line="360" w:lineRule="auto"/>
        <w:rPr>
          <w:rFonts w:ascii="宋体" w:hAnsi="宋体"/>
          <w:szCs w:val="21"/>
        </w:rPr>
      </w:pPr>
      <w:r>
        <w:rPr>
          <w:rFonts w:hint="eastAsia" w:ascii="宋体" w:hAnsi="宋体"/>
          <w:szCs w:val="21"/>
        </w:rPr>
        <w:t xml:space="preserve">4.潜在供应商对采购文件项目需求部分的询问、质疑请向采购人提出，由采购人负责答复。</w:t>
      </w:r>
      <w:r/>
    </w:p>
    <w:p>
      <w:pPr>
        <w:ind w:firstLine="420"/>
        <w:spacing w:line="360" w:lineRule="auto"/>
        <w:rPr>
          <w:rFonts w:ascii="宋体" w:hAnsi="宋体"/>
          <w:szCs w:val="21"/>
        </w:rPr>
      </w:pPr>
      <w:r>
        <w:rPr>
          <w:rFonts w:hint="eastAsia" w:ascii="宋体" w:hAnsi="宋体"/>
          <w:szCs w:val="21"/>
        </w:rPr>
        <w:t xml:space="preserve">5.有关本次招标的事项若存在变动或修改，敬请及时关注““江苏省政府采购网”、“中国政府采购网”发布的信息。</w:t>
      </w:r>
      <w:r/>
    </w:p>
    <w:p>
      <w:pPr>
        <w:ind w:firstLine="422"/>
        <w:spacing w:line="360" w:lineRule="auto"/>
        <w:rPr>
          <w:rFonts w:ascii="宋体" w:hAnsi="宋体" w:cs="宋体"/>
          <w:b/>
          <w:i/>
          <w:iCs/>
          <w:u w:val="single"/>
        </w:rPr>
      </w:pPr>
      <w:r>
        <w:rPr>
          <w:rFonts w:hint="eastAsia" w:ascii="宋体" w:hAnsi="宋体" w:cs="宋体"/>
          <w:b/>
          <w:i/>
          <w:iCs/>
          <w:u w:val="single"/>
        </w:rPr>
        <w:t xml:space="preserve">6.本项目招标文件中所有斜体下划线部分为实质性条款，如不满足，则为无效投标。</w:t>
      </w:r>
      <w:r/>
    </w:p>
    <w:p>
      <w:pPr>
        <w:ind w:firstLine="420"/>
        <w:spacing w:line="360" w:lineRule="auto"/>
        <w:tabs>
          <w:tab w:val="left" w:pos="266" w:leader="none"/>
        </w:tabs>
        <w:rPr>
          <w:rFonts w:ascii="宋体" w:hAnsi="宋体" w:cs="宋体"/>
          <w:bCs/>
        </w:rPr>
      </w:pPr>
      <w:r>
        <w:rPr>
          <w:rFonts w:hint="eastAsia" w:ascii="宋体" w:hAnsi="宋体" w:cs="宋体"/>
          <w:bCs/>
        </w:rPr>
        <w:t xml:space="preserve">7.如在开标时间发生系统崩溃等不可预见的情况，造成开评标活动无法正常进行的，将延迟开评标，具体开评标时间另行通知。</w:t>
      </w:r>
      <w:r/>
    </w:p>
    <w:p>
      <w:pPr>
        <w:ind w:firstLine="420"/>
        <w:jc w:val="left"/>
        <w:spacing w:line="360" w:lineRule="auto"/>
        <w:rPr>
          <w:rFonts w:ascii="宋体" w:hAnsi="宋体" w:cs="宋体"/>
          <w:b/>
          <w:szCs w:val="21"/>
        </w:rPr>
      </w:pPr>
      <w:r>
        <w:rPr>
          <w:rFonts w:hint="eastAsia" w:ascii="宋体" w:hAnsi="宋体" w:cs="宋体"/>
          <w:b/>
          <w:szCs w:val="21"/>
        </w:rPr>
        <w:t xml:space="preserve">8.</w:t>
      </w:r>
      <w:r>
        <w:rPr>
          <w:rFonts w:ascii="宋体" w:hAnsi="宋体" w:cs="宋体"/>
          <w:b/>
          <w:szCs w:val="21"/>
        </w:rPr>
        <w:t xml:space="preserve">落实好政府采购履约资金扶持政策。中标/成交供应商可凭政府采购合同办理融资贷款，详见江苏政府采购网“政采贷”专栏。”</w:t>
      </w:r>
      <w:r>
        <w:rPr>
          <w:rFonts w:ascii="宋体" w:hAnsi="宋体" w:cs="宋体"/>
          <w:b/>
          <w:szCs w:val="21"/>
        </w:rPr>
        <w:br w:type="textWrapping" w:clear="all"/>
      </w:r>
      <w:r>
        <w:rPr>
          <w:rFonts w:hint="eastAsia" w:ascii="宋体" w:hAnsi="宋体" w:cs="宋体"/>
          <w:b/>
          <w:szCs w:val="21"/>
        </w:rPr>
        <w:t xml:space="preserve">    9.</w:t>
      </w:r>
      <w:r>
        <w:rPr>
          <w:rFonts w:ascii="宋体" w:hAnsi="宋体" w:cs="宋体"/>
          <w:b/>
          <w:szCs w:val="21"/>
        </w:rPr>
        <w:t xml:space="preserve">严格执行政府采购关于支持</w:t>
      </w:r>
      <w:r>
        <w:rPr>
          <w:rFonts w:ascii="宋体" w:hAnsi="宋体" w:cs="宋体"/>
          <w:b/>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hAnsi="宋体" w:cs="宋体"/>
          <w:b/>
          <w:szCs w:val="21"/>
        </w:rPr>
      </w:pPr>
      <w:r>
        <w:rPr>
          <w:rFonts w:hint="eastAsia" w:ascii="宋体" w:hAnsi="宋体" w:cs="宋体"/>
          <w:b/>
          <w:szCs w:val="21"/>
        </w:rPr>
        <w:t xml:space="preserve">10.</w:t>
      </w:r>
      <w:r>
        <w:rPr>
          <w:rFonts w:ascii="宋体" w:hAnsi="宋体" w:cs="宋体"/>
          <w:b/>
          <w:szCs w:val="21"/>
        </w:rPr>
        <w:t xml:space="preserve">供应商对于投标产品的包装应按照“财办库〔2020〕123号《关于印发《商品包装</w:t>
      </w:r>
      <w:r>
        <w:rPr>
          <w:rFonts w:hAnsi="宋体" w:cs="宋体"/>
          <w:b/>
          <w:szCs w:val="21"/>
        </w:rPr>
        <w:t xml:space="preserve">政府采购需求标准（试行）》、《快递包装政府采购需求标准（试行）》的通知》”执行。</w:t>
      </w:r>
      <w:r/>
    </w:p>
    <w:p>
      <w:pPr>
        <w:spacing w:line="360" w:lineRule="auto"/>
        <w:tabs>
          <w:tab w:val="left" w:pos="266" w:leader="none"/>
        </w:tabs>
        <w:rPr>
          <w:rFonts w:ascii="宋体" w:hAnsi="宋体" w:cs="宋体"/>
          <w:b/>
          <w:bCs/>
        </w:rPr>
      </w:pPr>
      <w:r>
        <w:rPr>
          <w:rFonts w:hint="eastAsia" w:ascii="宋体" w:hAnsi="宋体" w:cs="宋体"/>
          <w:b/>
          <w:bCs/>
        </w:rPr>
        <w:t xml:space="preserve">八、</w:t>
      </w:r>
      <w:bookmarkEnd w:id="28"/>
      <w:r/>
      <w:bookmarkEnd w:id="29"/>
      <w:r/>
      <w:bookmarkEnd w:id="30"/>
      <w:r/>
      <w:bookmarkEnd w:id="31"/>
      <w:r/>
      <w:bookmarkEnd w:id="32"/>
      <w:r>
        <w:rPr>
          <w:rFonts w:hint="eastAsia" w:ascii="宋体" w:hAnsi="宋体" w:cs="宋体"/>
          <w:b/>
          <w:bCs/>
        </w:rPr>
        <w:t xml:space="preserve">凡对本次采购提出询问，请按以下方式联系。</w:t>
      </w:r>
      <w:r/>
    </w:p>
    <w:p>
      <w:pPr>
        <w:jc w:val="left"/>
        <w:spacing w:line="360" w:lineRule="auto"/>
        <w:widowControl/>
        <w:rPr>
          <w:rFonts w:ascii="宋体" w:hAnsi="宋体" w:cs="宋体"/>
          <w:szCs w:val="21"/>
        </w:rPr>
      </w:pPr>
      <w:r>
        <w:rPr>
          <w:rFonts w:hint="eastAsia" w:ascii="宋体" w:hAnsi="宋体" w:cs="宋体"/>
        </w:rPr>
        <w:t xml:space="preserve">1.采购人信息</w:t>
      </w:r>
      <w:r/>
    </w:p>
    <w:p>
      <w:pPr>
        <w:ind w:firstLine="420"/>
        <w:jc w:val="left"/>
        <w:spacing w:line="360" w:lineRule="auto"/>
        <w:rPr>
          <w:rFonts w:ascii="宋体" w:hAnsi="宋体"/>
          <w:szCs w:val="21"/>
        </w:rPr>
      </w:pPr>
      <w:r>
        <w:rPr>
          <w:rFonts w:hint="eastAsia" w:ascii="宋体" w:hAnsi="宋体"/>
          <w:szCs w:val="21"/>
        </w:rPr>
        <w:t xml:space="preserve">单位名称：扬州大学（本部）</w:t>
      </w:r>
      <w:r/>
    </w:p>
    <w:p>
      <w:pPr>
        <w:ind w:firstLine="420"/>
        <w:jc w:val="left"/>
        <w:spacing w:line="360" w:lineRule="auto"/>
        <w:rPr>
          <w:rFonts w:ascii="宋体" w:hAnsi="宋体"/>
          <w:szCs w:val="21"/>
        </w:rPr>
      </w:pPr>
      <w:r>
        <w:rPr>
          <w:rFonts w:hint="eastAsia" w:ascii="宋体" w:hAnsi="宋体"/>
          <w:szCs w:val="21"/>
        </w:rPr>
        <w:t xml:space="preserve">单位地址：扬州市邗江区大学南路88号</w:t>
      </w:r>
      <w:r/>
    </w:p>
    <w:p>
      <w:pPr>
        <w:ind w:firstLine="420"/>
        <w:jc w:val="left"/>
        <w:spacing w:line="360" w:lineRule="auto"/>
        <w:rPr>
          <w:rFonts w:ascii="宋体" w:hAnsi="宋体"/>
          <w:szCs w:val="21"/>
        </w:rPr>
      </w:pPr>
      <w:r>
        <w:rPr>
          <w:rFonts w:hint="eastAsia" w:ascii="宋体" w:hAnsi="宋体"/>
          <w:szCs w:val="21"/>
        </w:rPr>
        <w:t xml:space="preserve">项目联系人：徐斌、</w:t>
      </w:r>
      <w:r>
        <w:rPr>
          <w:rFonts w:ascii="宋体" w:hAnsi="宋体"/>
          <w:szCs w:val="21"/>
        </w:rPr>
        <w:t xml:space="preserve"> </w:t>
      </w:r>
      <w:r>
        <w:rPr>
          <w:rFonts w:hint="eastAsia" w:ascii="宋体" w:hAnsi="宋体"/>
          <w:szCs w:val="21"/>
        </w:rPr>
        <w:t xml:space="preserve">柏甫荣</w:t>
      </w:r>
      <w:r/>
    </w:p>
    <w:p>
      <w:pPr>
        <w:ind w:firstLine="420"/>
        <w:jc w:val="left"/>
        <w:spacing w:line="360" w:lineRule="auto"/>
        <w:rPr>
          <w:rFonts w:ascii="宋体" w:hAnsi="宋体"/>
          <w:szCs w:val="21"/>
        </w:rPr>
      </w:pPr>
      <w:r>
        <w:rPr>
          <w:rFonts w:hint="eastAsia" w:ascii="宋体" w:hAnsi="宋体"/>
          <w:szCs w:val="21"/>
        </w:rPr>
        <w:t xml:space="preserve">电　　话：</w:t>
      </w:r>
      <w:r>
        <w:rPr>
          <w:rFonts w:ascii="宋体" w:hAnsi="宋体"/>
          <w:szCs w:val="21"/>
        </w:rPr>
        <w:t xml:space="preserve">13605270336</w:t>
      </w:r>
      <w:r>
        <w:rPr>
          <w:rFonts w:hint="eastAsia" w:ascii="宋体" w:hAnsi="宋体"/>
          <w:szCs w:val="21"/>
        </w:rPr>
        <w:t xml:space="preserve">、13665258586</w:t>
      </w:r>
      <w:r/>
    </w:p>
    <w:p>
      <w:pPr>
        <w:jc w:val="left"/>
        <w:spacing w:line="360" w:lineRule="auto"/>
        <w:rPr>
          <w:rFonts w:ascii="宋体" w:hAnsi="宋体"/>
          <w:szCs w:val="21"/>
        </w:rPr>
      </w:pPr>
      <w:r>
        <w:rPr>
          <w:rFonts w:hint="eastAsia" w:ascii="宋体" w:hAnsi="宋体"/>
          <w:szCs w:val="21"/>
        </w:rPr>
        <w:t xml:space="preserve">2.采购代理机构信息（如有）</w:t>
      </w:r>
      <w:r/>
    </w:p>
    <w:p>
      <w:pPr>
        <w:ind w:firstLine="420"/>
        <w:jc w:val="left"/>
        <w:spacing w:line="360" w:lineRule="auto"/>
        <w:rPr>
          <w:rFonts w:ascii="宋体" w:hAnsi="宋体" w:cs="宋体"/>
        </w:rPr>
      </w:pPr>
      <w:r>
        <w:rPr>
          <w:rFonts w:hint="eastAsia" w:ascii="宋体" w:hAnsi="宋体" w:cs="宋体"/>
        </w:rPr>
        <w:t xml:space="preserve">单位名 称：</w:t>
      </w:r>
      <w:r>
        <w:rPr>
          <w:rFonts w:hint="eastAsia" w:ascii="宋体" w:hAnsi="宋体"/>
          <w:szCs w:val="21"/>
        </w:rPr>
        <w:t xml:space="preserve">江苏嘉加诚工程投资咨询有限公司</w:t>
      </w:r>
      <w:r/>
    </w:p>
    <w:p>
      <w:pPr>
        <w:ind w:firstLine="420"/>
        <w:spacing w:line="360" w:lineRule="auto"/>
        <w:rPr>
          <w:rFonts w:ascii="宋体" w:hAnsi="宋体" w:cs="宋体"/>
        </w:rPr>
      </w:pPr>
      <w:r>
        <w:rPr>
          <w:rFonts w:hint="eastAsia" w:ascii="宋体" w:hAnsi="宋体" w:cs="宋体"/>
        </w:rPr>
        <w:t xml:space="preserve">单位地　址：</w:t>
      </w:r>
      <w:r>
        <w:rPr>
          <w:rFonts w:hint="eastAsia" w:ascii="宋体" w:hAnsi="宋体"/>
          <w:szCs w:val="21"/>
        </w:rPr>
        <w:t xml:space="preserve">江苏省扬州市邗江区文汇西路268号新辰大厦F7层</w:t>
      </w:r>
      <w:r/>
    </w:p>
    <w:p>
      <w:pPr>
        <w:ind w:firstLine="420"/>
        <w:spacing w:line="360" w:lineRule="auto"/>
        <w:rPr>
          <w:rFonts w:ascii="宋体" w:hAnsi="宋体"/>
          <w:szCs w:val="21"/>
        </w:rPr>
      </w:pPr>
      <w:r/>
      <w:bookmarkStart w:id="33" w:name="_Toc28359010"/>
      <w:r/>
      <w:bookmarkStart w:id="34" w:name="_Toc28359087"/>
      <w:r>
        <w:rPr>
          <w:rFonts w:hint="eastAsia" w:ascii="宋体" w:hAnsi="宋体"/>
          <w:szCs w:val="21"/>
        </w:rPr>
        <w:t xml:space="preserve">联系人：王静、高中翠</w:t>
      </w:r>
      <w:r/>
    </w:p>
    <w:p>
      <w:pPr>
        <w:ind w:firstLine="420"/>
        <w:spacing w:line="360" w:lineRule="auto"/>
        <w:rPr>
          <w:rFonts w:ascii="宋体" w:hAnsi="宋体"/>
          <w:szCs w:val="21"/>
        </w:rPr>
      </w:pPr>
      <w:r>
        <w:rPr>
          <w:rFonts w:hint="eastAsia" w:ascii="宋体" w:hAnsi="宋体"/>
          <w:szCs w:val="21"/>
        </w:rPr>
        <w:t xml:space="preserve">联系电话：15794519245、13270572163</w:t>
      </w:r>
      <w:bookmarkEnd w:id="33"/>
      <w:r/>
      <w:bookmarkEnd w:id="34"/>
      <w:r/>
      <w:r/>
    </w:p>
    <w:p>
      <w:pPr>
        <w:pStyle w:val="1020"/>
        <w:jc w:val="center"/>
        <w:spacing w:line="360" w:lineRule="auto"/>
        <w:rPr>
          <w:rFonts w:ascii="宋体" w:hAnsi="宋体"/>
          <w:b w:val="0"/>
          <w:szCs w:val="21"/>
        </w:rPr>
      </w:pPr>
      <w:r>
        <w:rPr>
          <w:rFonts w:hint="eastAsia" w:ascii="宋体" w:hAnsi="宋体"/>
          <w:szCs w:val="36"/>
        </w:rPr>
        <w:br w:type="page" w:clear="all"/>
      </w:r>
      <w:r>
        <w:rPr>
          <w:rFonts w:hint="eastAsia" w:ascii="宋体" w:hAnsi="宋体"/>
          <w:szCs w:val="36"/>
        </w:rPr>
        <w:t xml:space="preserve">第二章 投标人须知</w:t>
      </w:r>
      <w:r/>
    </w:p>
    <w:p>
      <w:pPr>
        <w:ind w:firstLine="422"/>
        <w:spacing w:line="360" w:lineRule="auto"/>
        <w:rPr>
          <w:rFonts w:ascii="宋体" w:hAnsi="宋体"/>
          <w:b/>
          <w:szCs w:val="21"/>
        </w:rPr>
      </w:pPr>
      <w:r>
        <w:rPr>
          <w:rFonts w:hint="eastAsia" w:ascii="宋体" w:hAnsi="宋体"/>
          <w:b/>
          <w:szCs w:val="21"/>
        </w:rPr>
        <w:t xml:space="preserve">1、招标方式</w:t>
      </w:r>
      <w:r/>
    </w:p>
    <w:p>
      <w:pPr>
        <w:ind w:firstLine="420"/>
        <w:spacing w:line="360" w:lineRule="auto"/>
        <w:rPr>
          <w:rFonts w:ascii="宋体" w:hAnsi="宋体"/>
          <w:bCs/>
          <w:szCs w:val="21"/>
        </w:rPr>
      </w:pPr>
      <w:r>
        <w:rPr>
          <w:rFonts w:hint="eastAsia" w:ascii="宋体" w:hAnsi="宋体"/>
          <w:bCs/>
          <w:szCs w:val="21"/>
        </w:rPr>
        <w:t xml:space="preserve">1.1 本次招标采取公开招标方式，本招标文件仅适用于JSZC-320000-JJJC-G2026-0014项目。</w:t>
      </w:r>
      <w:r/>
    </w:p>
    <w:p>
      <w:pPr>
        <w:ind w:firstLine="422"/>
        <w:spacing w:line="360" w:lineRule="auto"/>
        <w:rPr>
          <w:rFonts w:ascii="宋体" w:hAnsi="宋体"/>
          <w:b/>
          <w:szCs w:val="21"/>
        </w:rPr>
      </w:pPr>
      <w:r>
        <w:rPr>
          <w:rFonts w:hint="eastAsia" w:ascii="宋体" w:hAnsi="宋体"/>
          <w:b/>
          <w:szCs w:val="21"/>
        </w:rPr>
        <w:t xml:space="preserve">2、投标人</w:t>
      </w:r>
      <w:r/>
    </w:p>
    <w:p>
      <w:pPr>
        <w:ind w:firstLine="420"/>
        <w:spacing w:line="360" w:lineRule="auto"/>
        <w:rPr>
          <w:rFonts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p>
    <w:p>
      <w:pPr>
        <w:ind w:firstLine="420"/>
        <w:spacing w:line="360" w:lineRule="auto"/>
        <w:rPr>
          <w:rFonts w:ascii="宋体" w:hAnsi="宋体"/>
          <w:bCs/>
          <w:szCs w:val="21"/>
        </w:rPr>
      </w:pPr>
      <w:r>
        <w:rPr>
          <w:rFonts w:hint="eastAsia" w:ascii="宋体" w:hAnsi="宋体"/>
          <w:bCs/>
          <w:szCs w:val="21"/>
        </w:rPr>
        <w:t xml:space="preserve">2.2合格的投标人</w:t>
      </w:r>
      <w:r/>
    </w:p>
    <w:p>
      <w:pPr>
        <w:ind w:firstLine="420"/>
        <w:spacing w:line="360" w:lineRule="auto"/>
        <w:rPr>
          <w:rFonts w:ascii="宋体" w:hAnsi="宋体"/>
          <w:bCs/>
          <w:szCs w:val="21"/>
        </w:rPr>
      </w:pPr>
      <w:r>
        <w:rPr>
          <w:rFonts w:hint="eastAsia" w:ascii="宋体" w:hAnsi="宋体"/>
          <w:bCs/>
          <w:szCs w:val="21"/>
        </w:rPr>
        <w:t xml:space="preserve">2.2.1 满足招标公告中供应商的资格条件要求的规定。</w:t>
      </w:r>
      <w:r/>
    </w:p>
    <w:p>
      <w:pPr>
        <w:ind w:firstLine="420"/>
        <w:spacing w:line="360" w:lineRule="auto"/>
        <w:rPr>
          <w:rFonts w:ascii="宋体" w:hAnsi="宋体"/>
          <w:bCs/>
          <w:szCs w:val="21"/>
        </w:rPr>
      </w:pPr>
      <w:r>
        <w:rPr>
          <w:rFonts w:hint="eastAsia" w:ascii="宋体" w:hAnsi="宋体"/>
          <w:bCs/>
          <w:szCs w:val="21"/>
        </w:rPr>
        <w:t xml:space="preserve">2.2.2 满足本文件实质性条款的规定。</w:t>
      </w:r>
      <w:r/>
    </w:p>
    <w:p>
      <w:pPr>
        <w:ind w:firstLine="422"/>
        <w:spacing w:line="360" w:lineRule="auto"/>
        <w:rPr>
          <w:rFonts w:ascii="宋体" w:hAnsi="宋体"/>
          <w:b/>
          <w:szCs w:val="21"/>
        </w:rPr>
      </w:pPr>
      <w:r>
        <w:rPr>
          <w:rFonts w:hint="eastAsia" w:ascii="宋体" w:hAnsi="宋体"/>
          <w:b/>
          <w:szCs w:val="21"/>
        </w:rPr>
        <w:t xml:space="preserve">3、适用法律</w:t>
      </w:r>
      <w:r/>
    </w:p>
    <w:p>
      <w:pPr>
        <w:ind w:firstLine="420"/>
        <w:spacing w:line="360" w:lineRule="auto"/>
        <w:rPr>
          <w:rFonts w:ascii="宋体" w:hAnsi="宋体"/>
          <w:bCs/>
          <w:szCs w:val="21"/>
        </w:rPr>
      </w:pPr>
      <w:r>
        <w:rPr>
          <w:rFonts w:hint="eastAsia" w:ascii="宋体" w:hAnsi="宋体"/>
          <w:bCs/>
          <w:szCs w:val="21"/>
        </w:rPr>
        <w:t xml:space="preserve">3.1 本次招标及由此产生的合同受中华人民共和国有关的法律法规制约和保护。</w:t>
      </w:r>
      <w:r/>
    </w:p>
    <w:p>
      <w:pPr>
        <w:ind w:firstLine="422"/>
        <w:spacing w:line="360" w:lineRule="auto"/>
        <w:rPr>
          <w:rFonts w:ascii="宋体" w:hAnsi="宋体"/>
          <w:b/>
          <w:szCs w:val="21"/>
        </w:rPr>
      </w:pPr>
      <w:r>
        <w:rPr>
          <w:rFonts w:hint="eastAsia" w:ascii="宋体" w:hAnsi="宋体"/>
          <w:b/>
          <w:szCs w:val="21"/>
        </w:rPr>
        <w:t xml:space="preserve">4、投标费用</w:t>
      </w:r>
      <w:r/>
    </w:p>
    <w:p>
      <w:pPr>
        <w:ind w:firstLine="420"/>
        <w:spacing w:line="360" w:lineRule="auto"/>
        <w:rPr>
          <w:rFonts w:ascii="宋体" w:hAnsi="宋体"/>
          <w:bCs/>
          <w:szCs w:val="21"/>
        </w:rPr>
      </w:pPr>
      <w:r>
        <w:rPr>
          <w:rFonts w:hint="eastAsia" w:ascii="宋体" w:hAnsi="宋体"/>
          <w:bCs/>
          <w:szCs w:val="21"/>
        </w:rPr>
        <w:t xml:space="preserve">4.1 投标人应自行承担所有与参加投标有关的费用，无论投标过程中的做法和结果如 何，代理机构在任何情况下均无义务和责任承担这些费用。 </w:t>
      </w:r>
      <w:r/>
    </w:p>
    <w:p>
      <w:pPr>
        <w:pStyle w:val="820"/>
        <w:ind w:firstLine="420"/>
        <w:spacing w:before="0" w:after="0" w:line="360" w:lineRule="auto"/>
        <w:rPr>
          <w:rFonts w:ascii="Times New Roman" w:hAnsi="Times New Roman" w:eastAsia="宋体"/>
          <w:b w:val="0"/>
          <w:bCs w:val="0"/>
          <w:sz w:val="21"/>
          <w:szCs w:val="21"/>
        </w:rPr>
      </w:pPr>
      <w:r>
        <w:rPr>
          <w:rFonts w:hint="eastAsia" w:ascii="宋体" w:hAnsi="宋体" w:eastAsia="宋体" w:cs="Times New Roman"/>
          <w:b w:val="0"/>
          <w:sz w:val="21"/>
          <w:szCs w:val="21"/>
        </w:rPr>
        <w:t xml:space="preserve">4.2 </w:t>
      </w:r>
      <w:r>
        <w:rPr>
          <w:rFonts w:hint="eastAsia" w:ascii="Times New Roman" w:hAnsi="Times New Roman" w:eastAsia="宋体"/>
          <w:b w:val="0"/>
          <w:sz w:val="21"/>
          <w:szCs w:val="21"/>
        </w:rPr>
        <w:t xml:space="preserve">本次</w:t>
      </w:r>
      <w:r>
        <w:rPr>
          <w:rFonts w:hint="eastAsia" w:ascii="Times New Roman" w:hAnsi="Times New Roman" w:eastAsia="宋体"/>
          <w:b w:val="0"/>
          <w:bCs w:val="0"/>
          <w:sz w:val="21"/>
          <w:szCs w:val="21"/>
        </w:rPr>
        <w:t xml:space="preserve">采购由中标供应商在领取中标通知书前一次性支付给招标代理机构代理服务费，招标代理服务费按发改价格〔2011〕534号文件规定货物类标准*24%计算。（具体计算方式详见下表）。</w:t>
      </w:r>
      <w:r/>
    </w:p>
    <w:tbl>
      <w:tblPr>
        <w:tblStyle w:val="827"/>
        <w:tblpPr w:horzAnchor="page" w:tblpX="1920" w:vertAnchor="text" w:tblpY="199" w:leftFromText="180" w:topFromText="0" w:rightFromText="180" w:bottomFromText="0"/>
        <w:tblW w:w="0" w:type="auto"/>
        <w:tblInd w:w="0" w:type="dxa"/>
        <w:tblLayout w:type="fixed"/>
        <w:tblCellMar>
          <w:left w:w="0" w:type="dxa"/>
          <w:top w:w="0" w:type="dxa"/>
          <w:right w:w="0" w:type="dxa"/>
          <w:bottom w:w="0" w:type="dxa"/>
        </w:tblCellMar>
        <w:tblLook w:val="04A0" w:firstRow="1" w:lastRow="0" w:firstColumn="1" w:lastColumn="0" w:noHBand="0" w:noVBand="1"/>
      </w:tblPr>
      <w:tblGrid>
        <w:gridCol w:w="1847"/>
        <w:gridCol w:w="2214"/>
        <w:gridCol w:w="1879"/>
        <w:gridCol w:w="2171"/>
      </w:tblGrid>
      <w:tr>
        <w:trPr>
          <w:trHeight w:val="7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restart"/>
            <w:textDirection w:val="lrTb"/>
            <w:noWrap w:val="false"/>
          </w:tcPr>
          <w:p>
            <w:pPr>
              <w:pStyle w:val="820"/>
              <w:ind w:firstLine="420"/>
              <w:spacing w:before="0" w:after="0" w:line="360" w:lineRule="auto"/>
              <w:rPr>
                <w:rFonts w:ascii="Times New Roman" w:hAnsi="Times New Roman" w:eastAsia="宋体"/>
                <w:b w:val="0"/>
                <w:bCs w:val="0"/>
                <w:sz w:val="21"/>
                <w:szCs w:val="21"/>
              </w:rPr>
            </w:pPr>
            <w:r>
              <w:rPr>
                <w:rFonts w:hint="eastAsia" w:ascii="Times New Roman" w:hAnsi="Times New Roman" w:eastAsia="宋体"/>
                <w:b w:val="0"/>
                <w:bCs w:val="0"/>
                <w:sz w:val="21"/>
                <w:szCs w:val="21"/>
              </w:rPr>
              <w:t xml:space="preserve">服务项目</w:t>
            </w:r>
            <w:r/>
          </w:p>
          <w:p>
            <w:pPr>
              <w:pStyle w:val="820"/>
              <w:ind w:firstLine="420"/>
              <w:spacing w:before="0" w:after="0" w:line="360" w:lineRule="auto"/>
              <w:rPr>
                <w:rFonts w:ascii="Times New Roman" w:hAnsi="Times New Roman" w:eastAsia="宋体"/>
                <w:b w:val="0"/>
                <w:bCs w:val="0"/>
                <w:sz w:val="21"/>
                <w:szCs w:val="21"/>
              </w:rPr>
            </w:pPr>
            <w:r>
              <w:rPr>
                <w:rFonts w:hint="eastAsia" w:ascii="Times New Roman" w:hAnsi="Times New Roman" w:eastAsia="宋体"/>
                <w:b w:val="0"/>
                <w:bCs w:val="0"/>
                <w:sz w:val="21"/>
                <w:szCs w:val="21"/>
              </w:rPr>
              <w:t xml:space="preserve">类型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pStyle w:val="820"/>
              <w:ind w:firstLine="420"/>
              <w:spacing w:before="0" w:after="0" w:line="360" w:lineRule="auto"/>
              <w:rPr>
                <w:rFonts w:ascii="Times New Roman" w:hAnsi="Times New Roman" w:eastAsia="宋体"/>
                <w:b w:val="0"/>
                <w:bCs w:val="0"/>
                <w:sz w:val="21"/>
                <w:szCs w:val="21"/>
              </w:rPr>
            </w:pPr>
            <w:r>
              <w:rPr>
                <w:rFonts w:hint="eastAsia" w:ascii="Times New Roman" w:hAnsi="Times New Roman" w:eastAsia="宋体"/>
                <w:b w:val="0"/>
                <w:bCs w:val="0"/>
                <w:sz w:val="21"/>
                <w:szCs w:val="21"/>
              </w:rPr>
              <w:t xml:space="preserve">100万以下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pStyle w:val="820"/>
              <w:ind w:firstLine="420"/>
              <w:spacing w:before="0" w:after="0" w:line="360" w:lineRule="auto"/>
              <w:rPr>
                <w:rFonts w:ascii="Times New Roman" w:hAnsi="Times New Roman" w:eastAsia="宋体"/>
                <w:b w:val="0"/>
                <w:bCs w:val="0"/>
                <w:sz w:val="21"/>
                <w:szCs w:val="21"/>
              </w:rPr>
            </w:pPr>
            <w:r>
              <w:rPr>
                <w:rFonts w:hint="eastAsia" w:ascii="Times New Roman" w:hAnsi="Times New Roman" w:eastAsia="宋体"/>
                <w:b w:val="0"/>
                <w:bCs w:val="0"/>
                <w:sz w:val="21"/>
                <w:szCs w:val="21"/>
              </w:rPr>
              <w:t xml:space="preserve">100万以上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pStyle w:val="820"/>
              <w:spacing w:before="0" w:after="0" w:line="360" w:lineRule="auto"/>
              <w:rPr>
                <w:rFonts w:ascii="Times New Roman" w:hAnsi="Times New Roman" w:eastAsia="宋体"/>
                <w:b w:val="0"/>
                <w:bCs w:val="0"/>
                <w:sz w:val="21"/>
                <w:szCs w:val="21"/>
              </w:rPr>
            </w:pPr>
            <w:r>
              <w:rPr>
                <w:rFonts w:hint="eastAsia" w:ascii="Times New Roman" w:hAnsi="Times New Roman" w:eastAsia="宋体"/>
                <w:b w:val="0"/>
                <w:bCs w:val="0"/>
                <w:sz w:val="21"/>
                <w:szCs w:val="21"/>
              </w:rPr>
              <w:t xml:space="preserve">代理服务费最高限价</w:t>
            </w:r>
            <w:r/>
          </w:p>
        </w:tc>
      </w:tr>
      <w:tr>
        <w:trPr>
          <w:trHeight w:val="9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continue"/>
            <w:textDirection w:val="lrTb"/>
            <w:noWrap w:val="false"/>
          </w:tcPr>
          <w:p>
            <w:pPr>
              <w:pStyle w:val="820"/>
              <w:ind w:firstLine="420"/>
              <w:spacing w:before="0" w:after="0" w:line="360" w:lineRule="auto"/>
              <w:rPr>
                <w:rFonts w:ascii="Times New Roman" w:hAnsi="Times New Roman" w:eastAsia="宋体"/>
                <w:b w:val="0"/>
                <w:bCs w:val="0"/>
                <w:sz w:val="21"/>
                <w:szCs w:val="21"/>
              </w:rPr>
            </w:pPr>
            <w:r>
              <w:rPr>
                <w:rFonts w:ascii="Times New Roman" w:hAnsi="Times New Roman" w:eastAsia="宋体"/>
                <w:b w:val="0"/>
                <w:bCs w:val="0"/>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pStyle w:val="820"/>
              <w:ind w:firstLine="420"/>
              <w:spacing w:before="0" w:after="0" w:line="360" w:lineRule="auto"/>
              <w:rPr>
                <w:rFonts w:ascii="Times New Roman" w:hAnsi="Times New Roman" w:eastAsia="宋体"/>
                <w:b w:val="0"/>
                <w:bCs w:val="0"/>
                <w:sz w:val="21"/>
                <w:szCs w:val="21"/>
              </w:rPr>
            </w:pPr>
            <w:r>
              <w:rPr>
                <w:rFonts w:hint="eastAsia" w:ascii="Times New Roman" w:hAnsi="Times New Roman" w:eastAsia="宋体"/>
                <w:b w:val="0"/>
                <w:bCs w:val="0"/>
                <w:sz w:val="21"/>
                <w:szCs w:val="21"/>
              </w:rPr>
              <w:t xml:space="preserve">代理费</w:t>
            </w:r>
            <w:r/>
          </w:p>
          <w:p>
            <w:pPr>
              <w:pStyle w:val="820"/>
              <w:ind w:firstLine="420"/>
              <w:spacing w:before="0" w:after="0" w:line="360" w:lineRule="auto"/>
              <w:rPr>
                <w:rFonts w:ascii="Times New Roman" w:hAnsi="Times New Roman" w:eastAsia="宋体"/>
                <w:b w:val="0"/>
                <w:bCs w:val="0"/>
                <w:sz w:val="21"/>
                <w:szCs w:val="21"/>
              </w:rPr>
            </w:pPr>
            <w:r>
              <w:rPr>
                <w:rFonts w:hint="eastAsia" w:ascii="Times New Roman" w:hAnsi="Times New Roman" w:eastAsia="宋体"/>
                <w:b w:val="0"/>
                <w:bCs w:val="0"/>
                <w:sz w:val="21"/>
                <w:szCs w:val="21"/>
              </w:rPr>
              <w:t xml:space="preserve">（单位：元）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pStyle w:val="820"/>
              <w:ind w:firstLine="420"/>
              <w:spacing w:before="0" w:after="0" w:line="360" w:lineRule="auto"/>
              <w:rPr>
                <w:rFonts w:ascii="Times New Roman" w:hAnsi="Times New Roman" w:eastAsia="宋体"/>
                <w:b w:val="0"/>
                <w:bCs w:val="0"/>
                <w:sz w:val="21"/>
                <w:szCs w:val="21"/>
              </w:rPr>
            </w:pPr>
            <w:r>
              <w:rPr>
                <w:rFonts w:hint="eastAsia" w:ascii="Times New Roman" w:hAnsi="Times New Roman" w:eastAsia="宋体"/>
                <w:b w:val="0"/>
                <w:bCs w:val="0"/>
                <w:sz w:val="21"/>
                <w:szCs w:val="21"/>
              </w:rPr>
              <w:t xml:space="preserve">代理费</w:t>
            </w:r>
            <w:r/>
          </w:p>
          <w:p>
            <w:pPr>
              <w:pStyle w:val="820"/>
              <w:ind w:firstLine="420"/>
              <w:spacing w:before="0" w:after="0" w:line="360" w:lineRule="auto"/>
              <w:rPr>
                <w:rFonts w:ascii="Times New Roman" w:hAnsi="Times New Roman" w:eastAsia="宋体"/>
                <w:b w:val="0"/>
                <w:bCs w:val="0"/>
                <w:sz w:val="21"/>
                <w:szCs w:val="21"/>
              </w:rPr>
            </w:pPr>
            <w:r>
              <w:rPr>
                <w:rFonts w:hint="eastAsia" w:ascii="Times New Roman" w:hAnsi="Times New Roman" w:eastAsia="宋体"/>
                <w:b w:val="0"/>
                <w:bCs w:val="0"/>
                <w:sz w:val="21"/>
                <w:szCs w:val="21"/>
              </w:rPr>
              <w:t xml:space="preserve">（折扣率）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pStyle w:val="820"/>
              <w:ind w:firstLine="420"/>
              <w:spacing w:before="0" w:after="0" w:line="360" w:lineRule="auto"/>
              <w:rPr>
                <w:rFonts w:ascii="Times New Roman" w:hAnsi="Times New Roman" w:eastAsia="宋体"/>
                <w:b w:val="0"/>
                <w:bCs w:val="0"/>
                <w:sz w:val="21"/>
                <w:szCs w:val="21"/>
              </w:rPr>
            </w:pPr>
            <w:r>
              <w:rPr>
                <w:rFonts w:hint="eastAsia" w:ascii="Times New Roman" w:hAnsi="Times New Roman" w:eastAsia="宋体"/>
                <w:b w:val="0"/>
                <w:bCs w:val="0"/>
                <w:sz w:val="21"/>
                <w:szCs w:val="21"/>
              </w:rPr>
              <w:t xml:space="preserve">代理费</w:t>
            </w:r>
            <w:r/>
          </w:p>
          <w:p>
            <w:pPr>
              <w:pStyle w:val="820"/>
              <w:ind w:firstLine="420"/>
              <w:spacing w:before="0" w:after="0" w:line="360" w:lineRule="auto"/>
              <w:rPr>
                <w:rFonts w:ascii="Times New Roman" w:hAnsi="Times New Roman" w:eastAsia="宋体"/>
                <w:b w:val="0"/>
                <w:bCs w:val="0"/>
                <w:sz w:val="21"/>
                <w:szCs w:val="21"/>
              </w:rPr>
            </w:pPr>
            <w:r>
              <w:rPr>
                <w:rFonts w:hint="eastAsia" w:ascii="Times New Roman" w:hAnsi="Times New Roman" w:eastAsia="宋体"/>
                <w:b w:val="0"/>
                <w:bCs w:val="0"/>
                <w:sz w:val="21"/>
                <w:szCs w:val="21"/>
              </w:rPr>
              <w:t xml:space="preserve">（单位：元）</w:t>
            </w:r>
            <w:r/>
          </w:p>
        </w:tc>
      </w:tr>
      <w:tr>
        <w:trPr>
          <w:trHeight w:val="4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pStyle w:val="820"/>
              <w:ind w:firstLine="420"/>
              <w:spacing w:before="0" w:after="0" w:line="360" w:lineRule="auto"/>
              <w:rPr>
                <w:rFonts w:ascii="Times New Roman" w:hAnsi="Times New Roman" w:eastAsia="宋体"/>
                <w:b w:val="0"/>
                <w:bCs w:val="0"/>
                <w:sz w:val="21"/>
                <w:szCs w:val="21"/>
              </w:rPr>
            </w:pPr>
            <w:r>
              <w:rPr>
                <w:rFonts w:hint="eastAsia" w:ascii="Times New Roman" w:hAnsi="Times New Roman" w:eastAsia="宋体"/>
                <w:b w:val="0"/>
                <w:bCs w:val="0"/>
                <w:sz w:val="21"/>
                <w:szCs w:val="21"/>
              </w:rPr>
              <w:t xml:space="preserve">货物</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214" w:type="dxa"/>
            <w:vAlign w:val="center"/>
            <w:vMerge w:val="restart"/>
            <w:textDirection w:val="lrTb"/>
            <w:noWrap w:val="false"/>
          </w:tcPr>
          <w:p>
            <w:pPr>
              <w:pStyle w:val="820"/>
              <w:jc w:val="center"/>
              <w:spacing w:before="0" w:after="0" w:line="360" w:lineRule="auto"/>
              <w:rPr>
                <w:rFonts w:ascii="Times New Roman" w:hAnsi="Times New Roman" w:eastAsia="宋体"/>
                <w:b w:val="0"/>
                <w:bCs w:val="0"/>
                <w:sz w:val="21"/>
                <w:szCs w:val="21"/>
              </w:rPr>
            </w:pPr>
            <w:r>
              <w:rPr>
                <w:rFonts w:hint="eastAsia" w:ascii="Times New Roman" w:hAnsi="Times New Roman" w:eastAsia="宋体"/>
                <w:b w:val="0"/>
                <w:bCs w:val="0"/>
                <w:sz w:val="21"/>
                <w:szCs w:val="21"/>
              </w:rPr>
              <w:t xml:space="preserve">2000元</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1879" w:type="dxa"/>
            <w:vAlign w:val="center"/>
            <w:vMerge w:val="restart"/>
            <w:textDirection w:val="lrTb"/>
            <w:noWrap w:val="false"/>
          </w:tcPr>
          <w:p>
            <w:pPr>
              <w:pStyle w:val="820"/>
              <w:jc w:val="center"/>
              <w:spacing w:before="0" w:after="0" w:line="360" w:lineRule="auto"/>
              <w:rPr>
                <w:rFonts w:ascii="Times New Roman" w:hAnsi="Times New Roman" w:eastAsia="宋体"/>
                <w:b w:val="0"/>
                <w:bCs w:val="0"/>
                <w:sz w:val="21"/>
                <w:szCs w:val="21"/>
              </w:rPr>
            </w:pPr>
            <w:r>
              <w:rPr>
                <w:rFonts w:hint="eastAsia" w:ascii="Times New Roman" w:hAnsi="Times New Roman" w:eastAsia="宋体"/>
                <w:b w:val="0"/>
                <w:bCs w:val="0"/>
                <w:sz w:val="21"/>
                <w:szCs w:val="21"/>
              </w:rPr>
              <w:t xml:space="preserve">24 %</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171" w:type="dxa"/>
            <w:vAlign w:val="center"/>
            <w:vMerge w:val="restart"/>
            <w:textDirection w:val="lrTb"/>
            <w:noWrap w:val="false"/>
          </w:tcPr>
          <w:p>
            <w:pPr>
              <w:pStyle w:val="820"/>
              <w:jc w:val="center"/>
              <w:spacing w:before="0" w:after="0" w:line="360" w:lineRule="auto"/>
              <w:rPr>
                <w:rFonts w:ascii="Times New Roman" w:hAnsi="Times New Roman" w:eastAsia="宋体"/>
                <w:b w:val="0"/>
                <w:bCs w:val="0"/>
                <w:sz w:val="21"/>
                <w:szCs w:val="21"/>
              </w:rPr>
            </w:pPr>
            <w:r>
              <w:rPr>
                <w:rFonts w:hint="eastAsia" w:ascii="Times New Roman" w:hAnsi="Times New Roman" w:eastAsia="宋体"/>
                <w:b w:val="0"/>
                <w:bCs w:val="0"/>
                <w:sz w:val="21"/>
                <w:szCs w:val="21"/>
              </w:rPr>
              <w:t xml:space="preserve">10000元</w:t>
            </w:r>
            <w:r/>
          </w:p>
        </w:tc>
      </w:tr>
      <w:tr>
        <w:trPr>
          <w:trHeight w:val="4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pStyle w:val="820"/>
              <w:ind w:firstLine="420"/>
              <w:spacing w:before="0" w:after="0" w:line="360" w:lineRule="auto"/>
              <w:rPr>
                <w:rFonts w:ascii="Times New Roman" w:hAnsi="Times New Roman" w:eastAsia="宋体"/>
                <w:b w:val="0"/>
                <w:bCs w:val="0"/>
                <w:sz w:val="21"/>
                <w:szCs w:val="21"/>
              </w:rPr>
            </w:pPr>
            <w:r>
              <w:rPr>
                <w:rFonts w:hint="eastAsia" w:ascii="Times New Roman" w:hAnsi="Times New Roman" w:eastAsia="宋体"/>
                <w:b w:val="0"/>
                <w:bCs w:val="0"/>
                <w:sz w:val="21"/>
                <w:szCs w:val="21"/>
              </w:rPr>
              <w:t xml:space="preserve">服务</w:t>
            </w:r>
            <w:r/>
          </w:p>
        </w:tc>
        <w:tc>
          <w:tcPr>
            <w:tcBorders>
              <w:left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pStyle w:val="820"/>
              <w:ind w:firstLine="420"/>
              <w:spacing w:before="0" w:after="0" w:line="360" w:lineRule="auto"/>
              <w:rPr>
                <w:rFonts w:ascii="Times New Roman" w:hAnsi="Times New Roman" w:eastAsia="宋体"/>
                <w:b w:val="0"/>
                <w:bCs w:val="0"/>
                <w:sz w:val="21"/>
                <w:szCs w:val="21"/>
              </w:rPr>
            </w:pPr>
            <w:r>
              <w:rPr>
                <w:rFonts w:ascii="Times New Roman" w:hAnsi="Times New Roman" w:eastAsia="宋体"/>
                <w:b w:val="0"/>
                <w:bCs w:val="0"/>
                <w:sz w:val="21"/>
                <w:szCs w:val="21"/>
              </w:rPr>
            </w:r>
            <w:r/>
          </w:p>
        </w:tc>
        <w:tc>
          <w:tcPr>
            <w:tcBorders>
              <w:left w:val="single" w:color="000000" w:sz="4" w:space="0"/>
              <w:right w:val="single" w:color="000000" w:sz="4" w:space="0"/>
            </w:tcBorders>
            <w:tcMar>
              <w:left w:w="108" w:type="dxa"/>
              <w:top w:w="0" w:type="dxa"/>
              <w:right w:w="108" w:type="dxa"/>
              <w:bottom w:w="0" w:type="dxa"/>
            </w:tcMar>
            <w:tcW w:w="1879" w:type="dxa"/>
            <w:vAlign w:val="center"/>
            <w:vMerge w:val="continue"/>
            <w:textDirection w:val="lrTb"/>
            <w:noWrap w:val="false"/>
          </w:tcPr>
          <w:p>
            <w:pPr>
              <w:pStyle w:val="820"/>
              <w:ind w:firstLine="420"/>
              <w:spacing w:before="0" w:after="0" w:line="360" w:lineRule="auto"/>
              <w:rPr>
                <w:rFonts w:ascii="Times New Roman" w:hAnsi="Times New Roman" w:eastAsia="宋体"/>
                <w:b w:val="0"/>
                <w:bCs w:val="0"/>
                <w:sz w:val="21"/>
                <w:szCs w:val="21"/>
              </w:rPr>
            </w:pPr>
            <w:r>
              <w:rPr>
                <w:rFonts w:ascii="Times New Roman" w:hAnsi="Times New Roman" w:eastAsia="宋体"/>
                <w:b w:val="0"/>
                <w:bCs w:val="0"/>
                <w:sz w:val="21"/>
                <w:szCs w:val="21"/>
              </w:rPr>
            </w:r>
            <w:r/>
          </w:p>
        </w:tc>
        <w:tc>
          <w:tcPr>
            <w:tcBorders>
              <w:left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pStyle w:val="820"/>
              <w:ind w:firstLine="420"/>
              <w:spacing w:before="0" w:after="0" w:line="360" w:lineRule="auto"/>
              <w:rPr>
                <w:rFonts w:ascii="Times New Roman" w:hAnsi="Times New Roman" w:eastAsia="宋体"/>
                <w:b w:val="0"/>
                <w:bCs w:val="0"/>
                <w:sz w:val="21"/>
                <w:szCs w:val="21"/>
              </w:rPr>
            </w:pPr>
            <w:r>
              <w:rPr>
                <w:rFonts w:ascii="Times New Roman" w:hAnsi="Times New Roman" w:eastAsia="宋体"/>
                <w:b w:val="0"/>
                <w:bCs w:val="0"/>
                <w:sz w:val="21"/>
                <w:szCs w:val="21"/>
              </w:rPr>
            </w:r>
            <w:r/>
          </w:p>
        </w:tc>
      </w:tr>
      <w:tr>
        <w:trP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pStyle w:val="820"/>
              <w:ind w:firstLine="420"/>
              <w:spacing w:before="0" w:after="0" w:line="360" w:lineRule="auto"/>
              <w:rPr>
                <w:rFonts w:ascii="Times New Roman" w:hAnsi="Times New Roman" w:eastAsia="宋体"/>
                <w:b w:val="0"/>
                <w:bCs w:val="0"/>
                <w:sz w:val="21"/>
                <w:szCs w:val="21"/>
              </w:rPr>
            </w:pPr>
            <w:r>
              <w:rPr>
                <w:rFonts w:hint="eastAsia" w:ascii="Times New Roman" w:hAnsi="Times New Roman" w:eastAsia="宋体"/>
                <w:b w:val="0"/>
                <w:bCs w:val="0"/>
                <w:sz w:val="21"/>
                <w:szCs w:val="21"/>
              </w:rPr>
              <w:t xml:space="preserve">工程</w:t>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pStyle w:val="820"/>
              <w:ind w:firstLine="420"/>
              <w:spacing w:before="0" w:after="0" w:line="360" w:lineRule="auto"/>
              <w:rPr>
                <w:rFonts w:ascii="Times New Roman" w:hAnsi="Times New Roman" w:eastAsia="宋体"/>
                <w:b w:val="0"/>
                <w:bCs w:val="0"/>
                <w:sz w:val="21"/>
                <w:szCs w:val="21"/>
              </w:rPr>
            </w:pPr>
            <w:r>
              <w:rPr>
                <w:rFonts w:ascii="Times New Roman" w:hAnsi="Times New Roman" w:eastAsia="宋体"/>
                <w:b w:val="0"/>
                <w:bCs w:val="0"/>
                <w:sz w:val="21"/>
                <w:szCs w:val="21"/>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vMerge w:val="continue"/>
            <w:textDirection w:val="lrTb"/>
            <w:noWrap w:val="false"/>
          </w:tcPr>
          <w:p>
            <w:pPr>
              <w:pStyle w:val="820"/>
              <w:ind w:firstLine="420"/>
              <w:spacing w:before="0" w:after="0" w:line="360" w:lineRule="auto"/>
              <w:rPr>
                <w:rFonts w:ascii="Times New Roman" w:hAnsi="Times New Roman" w:eastAsia="宋体"/>
                <w:b w:val="0"/>
                <w:bCs w:val="0"/>
                <w:sz w:val="21"/>
                <w:szCs w:val="21"/>
              </w:rPr>
            </w:pPr>
            <w:r>
              <w:rPr>
                <w:rFonts w:ascii="Times New Roman" w:hAnsi="Times New Roman" w:eastAsia="宋体"/>
                <w:b w:val="0"/>
                <w:bCs w:val="0"/>
                <w:sz w:val="21"/>
                <w:szCs w:val="21"/>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pStyle w:val="820"/>
              <w:ind w:firstLine="420"/>
              <w:spacing w:before="0" w:after="0" w:line="360" w:lineRule="auto"/>
              <w:rPr>
                <w:rFonts w:ascii="Times New Roman" w:hAnsi="Times New Roman" w:eastAsia="宋体"/>
                <w:b w:val="0"/>
                <w:bCs w:val="0"/>
                <w:sz w:val="21"/>
                <w:szCs w:val="21"/>
              </w:rPr>
            </w:pPr>
            <w:r>
              <w:rPr>
                <w:rFonts w:ascii="Times New Roman" w:hAnsi="Times New Roman" w:eastAsia="宋体"/>
                <w:b w:val="0"/>
                <w:bCs w:val="0"/>
                <w:sz w:val="21"/>
                <w:szCs w:val="21"/>
              </w:rPr>
            </w:r>
            <w:r/>
          </w:p>
        </w:tc>
      </w:tr>
    </w:tbl>
    <w:p>
      <w:pPr>
        <w:pStyle w:val="820"/>
        <w:ind w:firstLine="420"/>
        <w:jc w:val="center"/>
        <w:spacing w:before="0" w:after="0" w:line="360" w:lineRule="auto"/>
        <w:rPr>
          <w:rFonts w:ascii="Times New Roman" w:hAnsi="Times New Roman" w:eastAsia="宋体"/>
          <w:b w:val="0"/>
          <w:bCs w:val="0"/>
          <w:sz w:val="21"/>
          <w:szCs w:val="21"/>
        </w:rPr>
      </w:pPr>
      <w:r>
        <w:rPr>
          <w:rFonts w:ascii="Times New Roman" w:hAnsi="Times New Roman" w:eastAsia="宋体"/>
          <w:b w:val="0"/>
          <w:bCs w:val="0"/>
          <w:sz w:val="21"/>
          <w:szCs w:val="21"/>
        </w:rPr>
      </w:r>
      <w:r/>
    </w:p>
    <w:p>
      <w:pPr>
        <w:pStyle w:val="820"/>
        <w:ind w:firstLine="420"/>
        <w:jc w:val="center"/>
        <w:spacing w:before="0" w:after="0" w:line="360" w:lineRule="auto"/>
        <w:rPr>
          <w:rFonts w:ascii="Times New Roman" w:hAnsi="Times New Roman" w:eastAsia="宋体"/>
          <w:b w:val="0"/>
          <w:bCs w:val="0"/>
          <w:sz w:val="21"/>
          <w:szCs w:val="21"/>
        </w:rPr>
      </w:pPr>
      <w:r>
        <w:rPr>
          <w:rFonts w:ascii="Times New Roman" w:hAnsi="Times New Roman" w:eastAsia="宋体"/>
          <w:b w:val="0"/>
          <w:bCs w:val="0"/>
          <w:sz w:val="21"/>
          <w:szCs w:val="21"/>
        </w:rPr>
      </w:r>
      <w:r/>
    </w:p>
    <w:p>
      <w:pPr>
        <w:pStyle w:val="820"/>
        <w:ind w:firstLine="420"/>
        <w:jc w:val="center"/>
        <w:spacing w:before="0" w:after="0" w:line="360" w:lineRule="auto"/>
        <w:rPr>
          <w:rFonts w:ascii="Times New Roman" w:hAnsi="Times New Roman" w:eastAsia="宋体"/>
          <w:b w:val="0"/>
          <w:bCs w:val="0"/>
          <w:sz w:val="21"/>
          <w:szCs w:val="21"/>
        </w:rPr>
      </w:pPr>
      <w:r>
        <w:rPr>
          <w:rFonts w:ascii="Times New Roman" w:hAnsi="Times New Roman" w:eastAsia="宋体"/>
          <w:b w:val="0"/>
          <w:bCs w:val="0"/>
          <w:sz w:val="21"/>
          <w:szCs w:val="21"/>
        </w:rPr>
      </w:r>
      <w:r/>
    </w:p>
    <w:p>
      <w:pPr>
        <w:pStyle w:val="820"/>
        <w:ind w:firstLine="420"/>
        <w:jc w:val="center"/>
        <w:spacing w:before="0" w:after="0" w:line="360" w:lineRule="auto"/>
        <w:rPr>
          <w:rFonts w:ascii="Times New Roman" w:hAnsi="Times New Roman" w:eastAsia="宋体"/>
          <w:b w:val="0"/>
          <w:bCs w:val="0"/>
          <w:sz w:val="21"/>
          <w:szCs w:val="21"/>
        </w:rPr>
      </w:pPr>
      <w:r>
        <w:rPr>
          <w:rFonts w:ascii="Times New Roman" w:hAnsi="Times New Roman" w:eastAsia="宋体"/>
          <w:b w:val="0"/>
          <w:bCs w:val="0"/>
          <w:sz w:val="21"/>
          <w:szCs w:val="21"/>
        </w:rPr>
      </w:r>
      <w:r/>
    </w:p>
    <w:p>
      <w:pPr>
        <w:pStyle w:val="820"/>
        <w:ind w:firstLine="420"/>
        <w:jc w:val="center"/>
        <w:spacing w:before="0" w:after="0" w:line="360" w:lineRule="auto"/>
        <w:rPr>
          <w:rFonts w:ascii="Times New Roman" w:hAnsi="Times New Roman" w:eastAsia="宋体"/>
          <w:b w:val="0"/>
          <w:bCs w:val="0"/>
          <w:sz w:val="21"/>
          <w:szCs w:val="21"/>
        </w:rPr>
      </w:pPr>
      <w:r>
        <w:rPr>
          <w:rFonts w:ascii="Times New Roman" w:hAnsi="Times New Roman" w:eastAsia="宋体"/>
          <w:b w:val="0"/>
          <w:bCs w:val="0"/>
          <w:sz w:val="21"/>
          <w:szCs w:val="21"/>
        </w:rPr>
      </w:r>
      <w:r/>
    </w:p>
    <w:p>
      <w:pPr>
        <w:pStyle w:val="820"/>
        <w:ind w:firstLine="420"/>
        <w:jc w:val="center"/>
        <w:spacing w:before="0" w:after="0" w:line="360" w:lineRule="auto"/>
        <w:rPr>
          <w:rFonts w:ascii="Times New Roman" w:hAnsi="Times New Roman" w:eastAsia="宋体"/>
          <w:b w:val="0"/>
          <w:bCs w:val="0"/>
          <w:sz w:val="21"/>
          <w:szCs w:val="21"/>
        </w:rPr>
      </w:pPr>
      <w:r>
        <w:rPr>
          <w:rFonts w:ascii="Times New Roman" w:hAnsi="Times New Roman" w:eastAsia="宋体"/>
          <w:b w:val="0"/>
          <w:bCs w:val="0"/>
          <w:sz w:val="21"/>
          <w:szCs w:val="21"/>
        </w:rPr>
      </w:r>
      <w:r/>
    </w:p>
    <w:p>
      <w:pPr>
        <w:pStyle w:val="820"/>
        <w:ind w:firstLine="420"/>
        <w:jc w:val="center"/>
        <w:spacing w:before="0" w:after="0" w:line="360" w:lineRule="auto"/>
        <w:rPr>
          <w:rFonts w:ascii="Times New Roman" w:hAnsi="Times New Roman" w:eastAsia="宋体"/>
          <w:b w:val="0"/>
          <w:bCs w:val="0"/>
          <w:sz w:val="21"/>
          <w:szCs w:val="21"/>
        </w:rPr>
      </w:pPr>
      <w:r>
        <w:rPr>
          <w:rFonts w:ascii="Times New Roman" w:hAnsi="Times New Roman" w:eastAsia="宋体"/>
          <w:b w:val="0"/>
          <w:bCs w:val="0"/>
          <w:sz w:val="21"/>
          <w:szCs w:val="21"/>
        </w:rPr>
      </w:r>
      <w:r/>
    </w:p>
    <w:p>
      <w:pPr>
        <w:pStyle w:val="820"/>
        <w:ind w:firstLine="420"/>
        <w:jc w:val="center"/>
        <w:spacing w:before="0" w:after="0" w:line="360" w:lineRule="auto"/>
        <w:rPr>
          <w:rFonts w:ascii="Times New Roman" w:hAnsi="Times New Roman" w:eastAsia="宋体"/>
          <w:b w:val="0"/>
          <w:bCs w:val="0"/>
          <w:sz w:val="21"/>
          <w:szCs w:val="21"/>
        </w:rPr>
      </w:pPr>
      <w:r>
        <w:rPr>
          <w:rFonts w:ascii="Times New Roman" w:hAnsi="Times New Roman" w:eastAsia="宋体"/>
          <w:b w:val="0"/>
          <w:bCs w:val="0"/>
          <w:sz w:val="21"/>
          <w:szCs w:val="21"/>
        </w:rPr>
      </w:r>
      <w:r/>
    </w:p>
    <w:p>
      <w:pPr>
        <w:pStyle w:val="820"/>
        <w:ind w:firstLine="420"/>
        <w:jc w:val="center"/>
        <w:spacing w:before="0" w:after="0" w:line="360" w:lineRule="auto"/>
        <w:rPr>
          <w:rFonts w:ascii="Times New Roman" w:hAnsi="Times New Roman" w:eastAsia="宋体"/>
          <w:b w:val="0"/>
          <w:bCs w:val="0"/>
          <w:sz w:val="21"/>
          <w:szCs w:val="21"/>
        </w:rPr>
      </w:pPr>
      <w:r>
        <w:rPr>
          <w:rFonts w:hint="eastAsia" w:ascii="Times New Roman" w:hAnsi="Times New Roman" w:eastAsia="宋体"/>
          <w:b w:val="0"/>
          <w:bCs w:val="0"/>
          <w:sz w:val="21"/>
          <w:szCs w:val="21"/>
        </w:rPr>
        <w:t xml:space="preserve">基准费率表</w:t>
      </w:r>
      <w:r/>
    </w:p>
    <w:tbl>
      <w:tblPr>
        <w:tblStyle w:val="827"/>
        <w:tblW w:w="0" w:type="auto"/>
        <w:jc w:val="center"/>
        <w:tblLayout w:type="fixed"/>
        <w:tblCellMar>
          <w:left w:w="0" w:type="dxa"/>
          <w:top w:w="0" w:type="dxa"/>
          <w:right w:w="0" w:type="dxa"/>
          <w:bottom w:w="0" w:type="dxa"/>
        </w:tblCellMar>
        <w:tblLook w:val="04A0" w:firstRow="1" w:lastRow="0" w:firstColumn="1" w:lastColumn="0" w:noHBand="0" w:noVBand="1"/>
      </w:tblPr>
      <w:tblGrid>
        <w:gridCol w:w="2864"/>
        <w:gridCol w:w="1759"/>
        <w:gridCol w:w="1759"/>
        <w:gridCol w:w="1759"/>
      </w:tblGrid>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r>
              <w:rPr>
                <w:rFonts w:hint="eastAsia"/>
              </w:rPr>
              <w:t xml:space="preserve">中标金额（万元）</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r>
              <w:rPr>
                <w:rFonts w:hint="eastAsia"/>
              </w:rPr>
              <w:t xml:space="preserve">货物采购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r>
              <w:rPr>
                <w:rFonts w:hint="eastAsia"/>
              </w:rPr>
              <w:t xml:space="preserve">服务采购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r>
              <w:rPr>
                <w:rFonts w:hint="eastAsia"/>
              </w:rPr>
              <w:t xml:space="preserve">工程采购</w:t>
            </w:r>
            <w:r/>
          </w:p>
        </w:tc>
      </w:tr>
      <w:tr>
        <w:trPr>
          <w:jc w:val="cente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r>
              <w:rPr>
                <w:rFonts w:hint="eastAsia"/>
              </w:rPr>
              <w:t xml:space="preserve">100以下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r>
              <w:rPr>
                <w:rFonts w:hint="eastAsia"/>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r>
              <w:rPr>
                <w:rFonts w:hint="eastAsia"/>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r>
              <w:rPr>
                <w:rFonts w:hint="eastAsia"/>
              </w:rPr>
              <w:t xml:space="preserve">1.0％</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r>
              <w:rPr>
                <w:rFonts w:hint="eastAsia"/>
              </w:rPr>
              <w:t xml:space="preserve">100-500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r>
              <w:rPr>
                <w:rFonts w:hint="eastAsia"/>
              </w:rPr>
              <w:t xml:space="preserve">1.1％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r>
              <w:rPr>
                <w:rFonts w:hint="eastAsia"/>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r>
              <w:rPr>
                <w:rFonts w:hint="eastAsia"/>
              </w:rPr>
              <w:t xml:space="preserve">0.7％</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r>
              <w:rPr>
                <w:rFonts w:hint="eastAsia"/>
              </w:rPr>
              <w:t xml:space="preserve">500-1000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r>
              <w:rPr>
                <w:rFonts w:hint="eastAsia"/>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r>
              <w:rPr>
                <w:rFonts w:hint="eastAsia"/>
              </w:rPr>
              <w:t xml:space="preserve">0.45％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r>
              <w:rPr>
                <w:rFonts w:hint="eastAsia"/>
              </w:rPr>
              <w:t xml:space="preserve">0.55％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r>
              <w:rPr>
                <w:rFonts w:hint="eastAsia"/>
              </w:rPr>
              <w:t xml:space="preserve">1000-5000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r>
              <w:rPr>
                <w:rFonts w:hint="eastAsia"/>
              </w:rPr>
              <w:t xml:space="preserve">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r>
              <w:rPr>
                <w:rFonts w:hint="eastAsia"/>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r>
              <w:rPr>
                <w:rFonts w:hint="eastAsia"/>
              </w:rPr>
              <w:t xml:space="preserve">0.35％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r>
              <w:rPr>
                <w:rFonts w:hint="eastAsia"/>
              </w:rPr>
              <w:t xml:space="preserve">5000-1亿</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r>
              <w:rPr>
                <w:rFonts w:hint="eastAsia"/>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r>
              <w:rPr>
                <w:rFonts w:hint="eastAsia"/>
              </w:rPr>
              <w:t xml:space="preserve">0.1％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r>
              <w:rPr>
                <w:rFonts w:hint="eastAsia"/>
              </w:rPr>
              <w:t xml:space="preserve">0.2％</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r>
              <w:rPr>
                <w:rFonts w:hint="eastAsia"/>
              </w:rPr>
              <w:t xml:space="preserve">1亿以上</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r>
              <w:rPr>
                <w:rFonts w:hint="eastAsia"/>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r>
              <w:rPr>
                <w:rFonts w:hint="eastAsia"/>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r>
              <w:rPr>
                <w:rFonts w:hint="eastAsia"/>
              </w:rPr>
              <w:t xml:space="preserve">0.05％</w:t>
            </w:r>
            <w:r/>
          </w:p>
        </w:tc>
      </w:tr>
    </w:tbl>
    <w:p>
      <w:r/>
      <w:r/>
    </w:p>
    <w:p>
      <w:pPr>
        <w:pStyle w:val="820"/>
        <w:ind w:firstLine="420"/>
        <w:spacing w:before="0" w:after="0" w:line="360" w:lineRule="auto"/>
        <w:rPr>
          <w:rFonts w:ascii="Times New Roman" w:hAnsi="Times New Roman" w:eastAsia="宋体"/>
          <w:b w:val="0"/>
          <w:bCs w:val="0"/>
          <w:sz w:val="21"/>
          <w:szCs w:val="21"/>
        </w:rPr>
      </w:pPr>
      <w:r>
        <w:rPr>
          <w:rFonts w:hint="eastAsia" w:ascii="Times New Roman" w:hAnsi="Times New Roman" w:eastAsia="宋体"/>
          <w:b w:val="0"/>
          <w:bCs w:val="0"/>
          <w:sz w:val="21"/>
          <w:szCs w:val="21"/>
        </w:rPr>
        <w:t xml:space="preserve">（1）代理服务费以人民币支付；</w:t>
      </w:r>
      <w:r/>
    </w:p>
    <w:p>
      <w:pPr>
        <w:pStyle w:val="820"/>
        <w:ind w:firstLine="420"/>
        <w:spacing w:before="0" w:after="0" w:line="360" w:lineRule="auto"/>
        <w:rPr>
          <w:rFonts w:ascii="Times New Roman" w:hAnsi="Times New Roman" w:eastAsia="宋体"/>
          <w:b w:val="0"/>
          <w:bCs w:val="0"/>
          <w:sz w:val="21"/>
          <w:szCs w:val="21"/>
        </w:rPr>
      </w:pPr>
      <w:r>
        <w:rPr>
          <w:rFonts w:hint="eastAsia" w:ascii="Times New Roman" w:hAnsi="Times New Roman" w:eastAsia="宋体"/>
          <w:b w:val="0"/>
          <w:bCs w:val="0"/>
          <w:sz w:val="21"/>
          <w:szCs w:val="21"/>
        </w:rPr>
        <w:t xml:space="preserve">（2）代理服务费支付方式：一次性以电汇或转账等形式支付。</w:t>
      </w:r>
      <w:r/>
    </w:p>
    <w:p>
      <w:pPr>
        <w:pStyle w:val="820"/>
        <w:ind w:firstLine="420"/>
        <w:spacing w:before="0" w:after="0" w:line="360" w:lineRule="auto"/>
        <w:rPr>
          <w:rFonts w:ascii="宋体" w:hAnsi="宋体"/>
          <w:szCs w:val="21"/>
        </w:rPr>
      </w:pPr>
      <w:r>
        <w:rPr>
          <w:rFonts w:hint="eastAsia" w:ascii="Times New Roman" w:hAnsi="Times New Roman" w:eastAsia="宋体"/>
          <w:b w:val="0"/>
          <w:bCs w:val="0"/>
          <w:sz w:val="21"/>
          <w:szCs w:val="21"/>
        </w:rPr>
        <w:t xml:space="preserve">（3）代理服务费不在报价中单列，但包含在总价中，由中标供应商支付给代理机构。</w:t>
      </w:r>
      <w:r/>
    </w:p>
    <w:p>
      <w:pPr>
        <w:ind w:firstLine="420"/>
        <w:spacing w:line="360" w:lineRule="auto"/>
        <w:rPr>
          <w:rFonts w:ascii="宋体" w:hAnsi="宋体"/>
          <w:bCs/>
          <w:szCs w:val="21"/>
        </w:rPr>
      </w:pPr>
      <w:r>
        <w:rPr>
          <w:rFonts w:hint="eastAsia" w:ascii="宋体" w:hAnsi="宋体"/>
          <w:bCs/>
          <w:szCs w:val="21"/>
        </w:rPr>
        <w:t xml:space="preserve">4.3专家评审费</w:t>
      </w:r>
      <w:r>
        <w:rPr>
          <w:rFonts w:hint="eastAsia" w:ascii="宋体" w:hAnsi="宋体"/>
          <w:bCs/>
          <w:szCs w:val="21"/>
          <w:lang w:val="en-US" w:eastAsia="zh-CN"/>
        </w:rPr>
        <w:t xml:space="preserve">参照</w:t>
      </w:r>
      <w:r>
        <w:rPr>
          <w:rFonts w:hint="eastAsia" w:ascii="宋体" w:hAnsi="宋体"/>
          <w:bCs/>
          <w:szCs w:val="21"/>
        </w:rPr>
        <w:t xml:space="preserve">《关于规范江苏省政府采购专家评审费标准的通知》（苏财购〔2016〕48号）执行，</w:t>
      </w:r>
      <w:r>
        <w:rPr>
          <w:rFonts w:hint="eastAsia" w:ascii="Times New Roman" w:hAnsi="Times New Roman"/>
          <w:szCs w:val="21"/>
        </w:rPr>
        <w:t xml:space="preserve">按实结算，由采购人支付</w:t>
      </w:r>
      <w:r>
        <w:rPr>
          <w:rFonts w:hint="eastAsia" w:ascii="宋体" w:hAnsi="宋体"/>
          <w:bCs/>
          <w:szCs w:val="21"/>
        </w:rPr>
        <w:t xml:space="preserve">。</w:t>
      </w:r>
      <w:r/>
    </w:p>
    <w:p>
      <w:pPr>
        <w:ind w:firstLine="422"/>
        <w:spacing w:line="360" w:lineRule="auto"/>
        <w:rPr>
          <w:rFonts w:ascii="宋体" w:hAnsi="宋体"/>
          <w:b/>
          <w:szCs w:val="21"/>
        </w:rPr>
      </w:pPr>
      <w:r>
        <w:rPr>
          <w:rFonts w:hint="eastAsia" w:ascii="宋体" w:hAnsi="宋体"/>
          <w:b/>
          <w:szCs w:val="21"/>
        </w:rPr>
        <w:t xml:space="preserve">5、招标文件的约束力</w:t>
      </w:r>
      <w:r/>
    </w:p>
    <w:p>
      <w:pPr>
        <w:ind w:firstLine="420"/>
        <w:spacing w:line="360" w:lineRule="auto"/>
        <w:rPr>
          <w:rFonts w:ascii="宋体" w:hAnsi="宋体"/>
          <w:bCs/>
          <w:szCs w:val="21"/>
        </w:rPr>
      </w:pPr>
      <w:r>
        <w:rPr>
          <w:rFonts w:hint="eastAsia" w:ascii="宋体" w:hAnsi="宋体"/>
          <w:bCs/>
          <w:szCs w:val="21"/>
        </w:rPr>
        <w:t xml:space="preserve">5.1 投标人一旦参加本项目采购活动，即被认为接受了本招标文件的规定和约束。</w:t>
      </w:r>
      <w:r/>
    </w:p>
    <w:p>
      <w:pPr>
        <w:ind w:firstLine="422"/>
        <w:spacing w:line="360" w:lineRule="auto"/>
        <w:rPr>
          <w:rFonts w:ascii="宋体" w:hAnsi="宋体"/>
          <w:b/>
          <w:szCs w:val="21"/>
        </w:rPr>
      </w:pPr>
      <w:r>
        <w:rPr>
          <w:rFonts w:hint="eastAsia" w:ascii="宋体" w:hAnsi="宋体"/>
          <w:b/>
          <w:szCs w:val="21"/>
        </w:rPr>
        <w:t xml:space="preserve">6、招标文件构成</w:t>
      </w:r>
      <w:r/>
    </w:p>
    <w:p>
      <w:pPr>
        <w:ind w:firstLine="420"/>
        <w:spacing w:line="360" w:lineRule="auto"/>
        <w:rPr>
          <w:rFonts w:ascii="宋体" w:hAnsi="宋体"/>
          <w:bCs/>
          <w:szCs w:val="21"/>
        </w:rPr>
      </w:pPr>
      <w:r>
        <w:rPr>
          <w:rFonts w:hint="eastAsia" w:ascii="宋体" w:hAnsi="宋体"/>
          <w:bCs/>
          <w:szCs w:val="21"/>
        </w:rPr>
        <w:t xml:space="preserve">6.1 招标文件有以下部分组成：</w:t>
      </w:r>
      <w:r/>
    </w:p>
    <w:p>
      <w:pPr>
        <w:ind w:firstLine="420"/>
        <w:spacing w:line="360" w:lineRule="auto"/>
        <w:rPr>
          <w:rFonts w:ascii="宋体" w:hAnsi="宋体"/>
          <w:bCs/>
          <w:szCs w:val="21"/>
        </w:rPr>
      </w:pPr>
      <w:r>
        <w:rPr>
          <w:rFonts w:hint="eastAsia" w:ascii="宋体" w:hAnsi="宋体"/>
          <w:bCs/>
          <w:szCs w:val="21"/>
        </w:rPr>
        <w:t xml:space="preserve">（1）招标公告</w:t>
      </w:r>
      <w:r/>
    </w:p>
    <w:p>
      <w:pPr>
        <w:ind w:firstLine="420"/>
        <w:spacing w:line="360" w:lineRule="auto"/>
        <w:rPr>
          <w:rFonts w:ascii="宋体" w:hAnsi="宋体"/>
          <w:bCs/>
          <w:szCs w:val="21"/>
        </w:rPr>
      </w:pPr>
      <w:r>
        <w:rPr>
          <w:rFonts w:hint="eastAsia" w:ascii="宋体" w:hAnsi="宋体"/>
          <w:bCs/>
          <w:szCs w:val="21"/>
        </w:rPr>
        <w:t xml:space="preserve">（2）投标人须知</w:t>
      </w:r>
      <w:r>
        <w:rPr>
          <w:rFonts w:hint="eastAsia" w:ascii="宋体" w:hAnsi="宋体"/>
          <w:bCs/>
          <w:szCs w:val="21"/>
        </w:rPr>
        <w:tab/>
      </w:r>
      <w:r/>
    </w:p>
    <w:p>
      <w:pPr>
        <w:ind w:firstLine="420"/>
        <w:spacing w:line="360" w:lineRule="auto"/>
        <w:rPr>
          <w:rFonts w:ascii="宋体" w:hAnsi="宋体"/>
          <w:bCs/>
          <w:szCs w:val="21"/>
        </w:rPr>
      </w:pPr>
      <w:r>
        <w:rPr>
          <w:rFonts w:hint="eastAsia" w:ascii="宋体" w:hAnsi="宋体"/>
          <w:bCs/>
          <w:szCs w:val="21"/>
        </w:rPr>
        <w:t xml:space="preserve">（3）合同条款及格式</w:t>
      </w:r>
      <w:r/>
    </w:p>
    <w:p>
      <w:pPr>
        <w:ind w:firstLine="420"/>
        <w:spacing w:line="360" w:lineRule="auto"/>
        <w:rPr>
          <w:rFonts w:ascii="宋体" w:hAnsi="宋体"/>
          <w:bCs/>
          <w:szCs w:val="21"/>
        </w:rPr>
      </w:pPr>
      <w:r>
        <w:rPr>
          <w:rFonts w:hint="eastAsia" w:ascii="宋体" w:hAnsi="宋体"/>
          <w:bCs/>
          <w:szCs w:val="21"/>
        </w:rPr>
        <w:t xml:space="preserve">（4）项目需求</w:t>
      </w:r>
      <w:r/>
    </w:p>
    <w:p>
      <w:pPr>
        <w:ind w:firstLine="420"/>
        <w:spacing w:line="360" w:lineRule="auto"/>
        <w:rPr>
          <w:rFonts w:ascii="宋体" w:hAnsi="宋体"/>
          <w:bCs/>
          <w:szCs w:val="21"/>
        </w:rPr>
      </w:pPr>
      <w:r>
        <w:rPr>
          <w:rFonts w:hint="eastAsia" w:ascii="宋体" w:hAnsi="宋体"/>
          <w:bCs/>
          <w:szCs w:val="21"/>
        </w:rPr>
        <w:t xml:space="preserve">（5）评标方法与评标标准</w:t>
      </w:r>
      <w:r/>
    </w:p>
    <w:p>
      <w:pPr>
        <w:ind w:firstLine="420"/>
        <w:spacing w:line="360" w:lineRule="auto"/>
        <w:rPr>
          <w:rFonts w:ascii="宋体" w:hAnsi="宋体"/>
          <w:bCs/>
          <w:szCs w:val="21"/>
        </w:rPr>
      </w:pPr>
      <w:r>
        <w:rPr>
          <w:rFonts w:hint="eastAsia" w:ascii="宋体" w:hAnsi="宋体"/>
          <w:bCs/>
          <w:szCs w:val="21"/>
        </w:rPr>
        <w:t xml:space="preserve">（6）投标文件格式</w:t>
      </w:r>
      <w:r/>
    </w:p>
    <w:p>
      <w:pPr>
        <w:ind w:firstLine="420"/>
        <w:spacing w:line="360" w:lineRule="auto"/>
        <w:rPr>
          <w:rFonts w:ascii="宋体" w:hAnsi="宋体"/>
          <w:bCs/>
          <w:szCs w:val="21"/>
        </w:rPr>
      </w:pPr>
      <w:r>
        <w:rPr>
          <w:rFonts w:hint="eastAsia" w:ascii="宋体" w:hAnsi="宋体"/>
          <w:bCs/>
          <w:szCs w:val="21"/>
        </w:rPr>
        <w:t xml:space="preserve">请仔细检查招标文件是否齐全，如有缺漏请立即与代理机构联系解决。</w:t>
      </w:r>
      <w:r/>
    </w:p>
    <w:p>
      <w:pPr>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p>
    <w:p>
      <w:pPr>
        <w:ind w:firstLine="420"/>
        <w:spacing w:line="360" w:lineRule="auto"/>
        <w:rPr>
          <w:rFonts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szCs w:val="21"/>
        </w:rPr>
      </w:pPr>
      <w:r>
        <w:rPr>
          <w:rFonts w:hint="eastAsia" w:ascii="宋体" w:hAnsi="宋体"/>
          <w:b/>
          <w:szCs w:val="21"/>
        </w:rPr>
        <w:t xml:space="preserve">7、招标文件的澄清</w:t>
      </w:r>
      <w:r/>
    </w:p>
    <w:p>
      <w:pPr>
        <w:ind w:firstLine="420"/>
        <w:spacing w:line="360" w:lineRule="auto"/>
        <w:rPr>
          <w:rFonts w:ascii="宋体" w:hAnsi="宋体"/>
          <w:bCs/>
          <w:szCs w:val="21"/>
        </w:rPr>
      </w:pPr>
      <w:r>
        <w:rPr>
          <w:rFonts w:hint="eastAsia" w:ascii="宋体" w:hAnsi="宋体"/>
          <w:bCs/>
          <w:szCs w:val="21"/>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b/>
          <w:szCs w:val="21"/>
        </w:rPr>
      </w:pPr>
      <w:r>
        <w:rPr>
          <w:rFonts w:hint="eastAsia" w:ascii="宋体" w:hAnsi="宋体"/>
          <w:b/>
          <w:szCs w:val="21"/>
        </w:rPr>
        <w:t xml:space="preserve">8、招标文件的修改</w:t>
      </w:r>
      <w:r/>
    </w:p>
    <w:p>
      <w:pPr>
        <w:ind w:firstLine="420"/>
        <w:spacing w:line="360" w:lineRule="auto"/>
        <w:rPr>
          <w:rFonts w:ascii="宋体" w:hAnsi="宋体"/>
          <w:bCs/>
          <w:szCs w:val="21"/>
        </w:rPr>
      </w:pPr>
      <w:r>
        <w:rPr>
          <w:rFonts w:hint="eastAsia" w:ascii="宋体" w:hAnsi="宋体"/>
          <w:bCs/>
          <w:szCs w:val="21"/>
        </w:rPr>
        <w:t xml:space="preserve">8.1 在投标截止时间前，代理机构可以对招标文件进行修改。</w:t>
      </w:r>
      <w:r/>
    </w:p>
    <w:p>
      <w:pPr>
        <w:ind w:firstLine="420"/>
        <w:spacing w:line="360" w:lineRule="auto"/>
        <w:rPr>
          <w:rFonts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p>
    <w:p>
      <w:pPr>
        <w:ind w:firstLine="420"/>
        <w:spacing w:line="360" w:lineRule="auto"/>
        <w:rPr>
          <w:rFonts w:ascii="宋体" w:hAnsi="宋体"/>
          <w:bCs/>
          <w:szCs w:val="21"/>
        </w:rPr>
      </w:pPr>
      <w:r>
        <w:rPr>
          <w:rFonts w:hint="eastAsia" w:ascii="宋体" w:hAnsi="宋体"/>
          <w:bCs/>
          <w:szCs w:val="21"/>
        </w:rPr>
        <w:t xml:space="preserve">8.3招标文件的修改将在“江苏省政府采购网”、“中国政府采购网”公布，补充文件将作为招标文件的组成部分，并对投标人具有约束力。</w:t>
      </w:r>
      <w:r/>
    </w:p>
    <w:p>
      <w:pPr>
        <w:ind w:firstLine="422"/>
        <w:spacing w:line="360" w:lineRule="auto"/>
        <w:rPr>
          <w:rFonts w:ascii="宋体" w:hAnsi="宋体"/>
          <w:b/>
          <w:szCs w:val="21"/>
        </w:rPr>
      </w:pPr>
      <w:r>
        <w:rPr>
          <w:rFonts w:hint="eastAsia" w:ascii="宋体" w:hAnsi="宋体"/>
          <w:b/>
          <w:szCs w:val="21"/>
        </w:rPr>
        <w:t xml:space="preserve">9、投标文件的语言、度量衡单位、货币</w:t>
      </w:r>
      <w:r/>
    </w:p>
    <w:p>
      <w:pPr>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p>
    <w:p>
      <w:pPr>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除技术性能另有规定外，投标文件所使用的度量衡单位，均须采用国家法定计量单位。</w:t>
      </w:r>
      <w:r/>
    </w:p>
    <w:p>
      <w:pPr>
        <w:ind w:firstLine="420"/>
        <w:spacing w:line="360" w:lineRule="auto"/>
        <w:rPr>
          <w:rFonts w:ascii="宋体" w:hAnsi="宋体"/>
          <w:bCs/>
          <w:szCs w:val="21"/>
        </w:rPr>
      </w:pPr>
      <w:r>
        <w:rPr>
          <w:rFonts w:hint="eastAsia" w:ascii="宋体" w:hAnsi="宋体"/>
          <w:bCs/>
          <w:szCs w:val="21"/>
        </w:rPr>
        <w:t xml:space="preserve">9.3投标人应使用人民币报价。</w:t>
      </w:r>
      <w:r/>
    </w:p>
    <w:p>
      <w:pPr>
        <w:ind w:firstLine="422"/>
        <w:spacing w:line="360" w:lineRule="auto"/>
        <w:rPr>
          <w:rFonts w:ascii="宋体" w:hAnsi="宋体"/>
          <w:b/>
          <w:szCs w:val="21"/>
        </w:rPr>
      </w:pPr>
      <w:r>
        <w:rPr>
          <w:rFonts w:hint="eastAsia" w:ascii="宋体" w:hAnsi="宋体"/>
          <w:b/>
          <w:szCs w:val="21"/>
        </w:rPr>
        <w:t xml:space="preserve">10、投标文件构成</w:t>
      </w:r>
      <w:r/>
    </w:p>
    <w:p>
      <w:pPr>
        <w:ind w:firstLine="420"/>
        <w:spacing w:line="360" w:lineRule="auto"/>
        <w:rPr>
          <w:rFonts w:ascii="宋体" w:hAnsi="宋体"/>
          <w:bCs/>
          <w:szCs w:val="21"/>
        </w:rPr>
      </w:pPr>
      <w:r>
        <w:rPr>
          <w:rFonts w:hint="eastAsia" w:ascii="宋体" w:hAnsi="宋体"/>
          <w:bCs/>
          <w:szCs w:val="21"/>
        </w:rPr>
        <w:t xml:space="preserve">10.1投标文件由以下部分组成</w:t>
      </w:r>
      <w:r/>
    </w:p>
    <w:p>
      <w:pPr>
        <w:ind w:firstLine="420"/>
        <w:spacing w:line="360" w:lineRule="auto"/>
        <w:rPr>
          <w:rFonts w:ascii="宋体" w:hAnsi="宋体"/>
          <w:bCs/>
          <w:szCs w:val="21"/>
        </w:rPr>
      </w:pPr>
      <w:r>
        <w:rPr>
          <w:rFonts w:hint="eastAsia" w:ascii="宋体" w:hAnsi="宋体"/>
          <w:bCs/>
          <w:szCs w:val="21"/>
        </w:rPr>
        <w:t xml:space="preserve">（1）资格审查响应对照表</w:t>
      </w:r>
      <w:r/>
    </w:p>
    <w:p>
      <w:pPr>
        <w:ind w:firstLine="420"/>
        <w:spacing w:line="360" w:lineRule="auto"/>
        <w:rPr>
          <w:rFonts w:ascii="宋体" w:hAnsi="宋体"/>
          <w:bCs/>
          <w:szCs w:val="21"/>
        </w:rPr>
      </w:pPr>
      <w:r>
        <w:rPr>
          <w:rFonts w:hint="eastAsia" w:ascii="宋体" w:hAnsi="宋体"/>
          <w:bCs/>
          <w:szCs w:val="21"/>
        </w:rPr>
        <w:t xml:space="preserve">（2）符合性审查响应对照表</w:t>
      </w:r>
      <w:r/>
    </w:p>
    <w:p>
      <w:pPr>
        <w:ind w:firstLine="420"/>
        <w:spacing w:line="360" w:lineRule="auto"/>
        <w:rPr>
          <w:rFonts w:ascii="宋体" w:hAnsi="宋体"/>
          <w:bCs/>
          <w:szCs w:val="21"/>
        </w:rPr>
      </w:pPr>
      <w:r>
        <w:rPr>
          <w:rFonts w:hint="eastAsia" w:ascii="宋体" w:hAnsi="宋体"/>
          <w:bCs/>
          <w:szCs w:val="21"/>
        </w:rPr>
        <w:t xml:space="preserve">（3）非实质性响应对照表</w:t>
      </w:r>
      <w:r/>
    </w:p>
    <w:p>
      <w:pPr>
        <w:ind w:firstLine="420"/>
        <w:spacing w:line="360" w:lineRule="auto"/>
        <w:rPr>
          <w:rFonts w:ascii="宋体" w:hAnsi="宋体"/>
          <w:bCs/>
          <w:szCs w:val="21"/>
        </w:rPr>
      </w:pPr>
      <w:r>
        <w:rPr>
          <w:rFonts w:hint="eastAsia" w:ascii="宋体" w:hAnsi="宋体"/>
          <w:bCs/>
          <w:szCs w:val="21"/>
        </w:rPr>
        <w:t xml:space="preserve">（4）开标一览表 </w:t>
      </w:r>
      <w:r/>
    </w:p>
    <w:p>
      <w:pPr>
        <w:ind w:firstLine="420"/>
        <w:spacing w:line="360" w:lineRule="auto"/>
        <w:rPr>
          <w:rFonts w:ascii="宋体" w:hAnsi="宋体"/>
          <w:bCs/>
          <w:szCs w:val="21"/>
        </w:rPr>
      </w:pPr>
      <w:r>
        <w:rPr>
          <w:rFonts w:hint="eastAsia" w:ascii="宋体" w:hAnsi="宋体"/>
          <w:bCs/>
          <w:szCs w:val="21"/>
        </w:rPr>
        <w:t xml:space="preserve">（5）分项报价表 </w:t>
      </w:r>
      <w:r/>
    </w:p>
    <w:p>
      <w:pPr>
        <w:ind w:firstLine="420"/>
        <w:spacing w:line="360" w:lineRule="auto"/>
        <w:rPr>
          <w:rFonts w:ascii="宋体" w:hAnsi="宋体"/>
          <w:bCs/>
          <w:szCs w:val="21"/>
        </w:rPr>
      </w:pPr>
      <w:r>
        <w:rPr>
          <w:rFonts w:hint="eastAsia" w:ascii="宋体" w:hAnsi="宋体"/>
          <w:bCs/>
          <w:szCs w:val="21"/>
        </w:rPr>
        <w:t xml:space="preserve">（6）技术参数响应及偏离表 </w:t>
      </w:r>
      <w:r/>
    </w:p>
    <w:p>
      <w:pPr>
        <w:ind w:firstLine="420"/>
        <w:spacing w:line="360" w:lineRule="auto"/>
        <w:rPr>
          <w:rFonts w:ascii="宋体" w:hAnsi="宋体"/>
          <w:bCs/>
          <w:szCs w:val="21"/>
        </w:rPr>
      </w:pPr>
      <w:r>
        <w:rPr>
          <w:rFonts w:hint="eastAsia" w:ascii="宋体" w:hAnsi="宋体"/>
          <w:bCs/>
          <w:szCs w:val="21"/>
        </w:rPr>
        <w:t xml:space="preserve">（7）商务条款响应及偏离表 </w:t>
      </w:r>
      <w:r/>
    </w:p>
    <w:p>
      <w:pPr>
        <w:ind w:firstLine="420"/>
        <w:spacing w:line="360" w:lineRule="auto"/>
        <w:rPr>
          <w:rFonts w:ascii="宋体" w:hAnsi="宋体"/>
          <w:bCs/>
          <w:szCs w:val="21"/>
        </w:rPr>
      </w:pPr>
      <w:r>
        <w:rPr>
          <w:rFonts w:hint="eastAsia" w:ascii="宋体" w:hAnsi="宋体"/>
          <w:bCs/>
          <w:szCs w:val="21"/>
        </w:rPr>
        <w:t xml:space="preserve">（8）其他 （投标人认为有必要提供的声明和文件，如有自拟并自行添加）</w:t>
      </w:r>
      <w:r/>
    </w:p>
    <w:p>
      <w:pPr>
        <w:ind w:firstLine="420"/>
        <w:spacing w:line="360" w:lineRule="auto"/>
        <w:rPr>
          <w:rFonts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szCs w:val="21"/>
        </w:rPr>
      </w:pPr>
      <w:r>
        <w:rPr>
          <w:rFonts w:hint="eastAsia" w:ascii="宋体" w:hAnsi="宋体"/>
          <w:b/>
          <w:szCs w:val="21"/>
        </w:rPr>
        <w:t xml:space="preserve">11、证明投标人资格及符合招标文件规定的文件</w:t>
      </w:r>
      <w:r/>
    </w:p>
    <w:p>
      <w:pPr>
        <w:ind w:firstLine="420"/>
        <w:spacing w:line="360" w:lineRule="auto"/>
        <w:rPr>
          <w:rFonts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p>
    <w:p>
      <w:pPr>
        <w:spacing w:line="360" w:lineRule="auto"/>
        <w:rPr>
          <w:rFonts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p>
    <w:p>
      <w:pPr>
        <w:ind w:left="420"/>
        <w:spacing w:line="360" w:lineRule="auto"/>
        <w:rPr>
          <w:rFonts w:ascii="宋体" w:hAnsi="宋体"/>
          <w:b/>
          <w:szCs w:val="21"/>
        </w:rPr>
      </w:pPr>
      <w:r>
        <w:rPr>
          <w:rFonts w:hint="eastAsia" w:ascii="宋体" w:hAnsi="宋体"/>
          <w:b/>
          <w:szCs w:val="21"/>
        </w:rPr>
        <w:t xml:space="preserve">12、</w:t>
      </w:r>
      <w:r>
        <w:rPr>
          <w:rFonts w:hint="eastAsia"/>
          <w:b/>
          <w:bCs/>
        </w:rPr>
        <w:t xml:space="preserve">分项报价表</w:t>
      </w:r>
      <w:r/>
    </w:p>
    <w:p>
      <w:pPr>
        <w:ind w:firstLine="420"/>
        <w:spacing w:line="360" w:lineRule="auto"/>
        <w:rPr>
          <w:rFonts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szCs w:val="21"/>
        </w:rPr>
      </w:pPr>
      <w:r>
        <w:rPr>
          <w:rFonts w:hint="eastAsia" w:ascii="宋体" w:hAnsi="宋体"/>
          <w:bCs/>
          <w:szCs w:val="21"/>
        </w:rPr>
        <w:t xml:space="preserve">12.2 标的物</w:t>
      </w:r>
      <w:r/>
    </w:p>
    <w:p>
      <w:pPr>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p>
    <w:p>
      <w:pPr>
        <w:ind w:firstLine="420"/>
        <w:spacing w:line="360" w:lineRule="auto"/>
        <w:rPr>
          <w:rFonts w:ascii="宋体" w:hAnsi="宋体"/>
        </w:rPr>
      </w:pPr>
      <w:r>
        <w:rPr>
          <w:rFonts w:hint="eastAsia" w:ascii="宋体" w:hAnsi="宋体"/>
        </w:rPr>
        <w:t xml:space="preserve">12.3其它费用处理</w:t>
      </w:r>
      <w:r/>
    </w:p>
    <w:p>
      <w:pPr>
        <w:ind w:firstLine="420"/>
        <w:spacing w:line="360" w:lineRule="auto"/>
        <w:rPr>
          <w:rFonts w:ascii="宋体" w:hAnsi="宋体"/>
        </w:rPr>
      </w:pPr>
      <w:r>
        <w:rPr>
          <w:rFonts w:hint="eastAsia" w:ascii="宋体" w:hAnsi="宋体"/>
        </w:rPr>
        <w:t xml:space="preserve">招标文件未列明，而投标人认为必需的费用也需列入报价。</w:t>
      </w:r>
      <w:r/>
    </w:p>
    <w:p>
      <w:pPr>
        <w:ind w:firstLine="420"/>
        <w:spacing w:line="360" w:lineRule="auto"/>
        <w:rPr>
          <w:rFonts w:ascii="宋体" w:hAnsi="宋体"/>
        </w:rPr>
      </w:pPr>
      <w:r>
        <w:rPr>
          <w:rFonts w:hint="eastAsia" w:ascii="宋体" w:hAnsi="宋体"/>
        </w:rPr>
        <w:t xml:space="preserve">12.4投标货币</w:t>
      </w:r>
      <w:r/>
    </w:p>
    <w:p>
      <w:pPr>
        <w:ind w:firstLine="420"/>
        <w:spacing w:line="360" w:lineRule="auto"/>
        <w:rPr>
          <w:rFonts w:ascii="宋体" w:hAnsi="宋体"/>
        </w:rPr>
      </w:pPr>
      <w:r>
        <w:rPr>
          <w:rFonts w:hint="eastAsia" w:ascii="宋体" w:hAnsi="宋体"/>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szCs w:val="21"/>
        </w:rPr>
      </w:pPr>
      <w:r>
        <w:rPr>
          <w:rFonts w:hint="eastAsia" w:ascii="宋体" w:hAnsi="宋体"/>
          <w:b/>
          <w:szCs w:val="21"/>
        </w:rPr>
        <w:t xml:space="preserve">13、技术参数响应及偏离表、商务条款响应及偏离表及投标货物说明</w:t>
      </w:r>
      <w:r/>
    </w:p>
    <w:p>
      <w:pPr>
        <w:ind w:firstLine="420"/>
        <w:spacing w:line="360" w:lineRule="auto"/>
        <w:rPr>
          <w:rFonts w:ascii="宋体" w:hAnsi="宋体"/>
          <w:bCs/>
          <w:szCs w:val="21"/>
        </w:rPr>
      </w:pPr>
      <w:r>
        <w:rPr>
          <w:rFonts w:hint="eastAsia" w:ascii="宋体" w:hAnsi="宋体"/>
          <w:bCs/>
          <w:szCs w:val="21"/>
        </w:rPr>
        <w:t xml:space="preserve">13.1 对招标文件中的技术与商务条款要求逐项作出响应或偏离，并说明原因；</w:t>
      </w:r>
      <w:r/>
    </w:p>
    <w:p>
      <w:pPr>
        <w:ind w:firstLine="420"/>
        <w:spacing w:line="360" w:lineRule="auto"/>
        <w:rPr>
          <w:rFonts w:ascii="宋体" w:hAnsi="宋体"/>
          <w:bCs/>
          <w:szCs w:val="21"/>
        </w:rPr>
      </w:pPr>
      <w:r>
        <w:rPr>
          <w:rFonts w:hint="eastAsia" w:ascii="宋体" w:hAnsi="宋体"/>
          <w:bCs/>
          <w:szCs w:val="21"/>
        </w:rPr>
        <w:t xml:space="preserve">13.2 提供参加本项目类似案例简介；</w:t>
      </w:r>
      <w:r/>
    </w:p>
    <w:p>
      <w:pPr>
        <w:ind w:firstLine="420"/>
        <w:spacing w:line="360" w:lineRule="auto"/>
        <w:rPr>
          <w:rFonts w:ascii="宋体" w:hAnsi="宋体"/>
          <w:bCs/>
          <w:szCs w:val="21"/>
        </w:rPr>
      </w:pPr>
      <w:r>
        <w:rPr>
          <w:rFonts w:hint="eastAsia" w:ascii="宋体" w:hAnsi="宋体"/>
          <w:bCs/>
          <w:szCs w:val="21"/>
        </w:rPr>
        <w:t xml:space="preserve">13.3 培训计划；</w:t>
      </w:r>
      <w:r/>
    </w:p>
    <w:p>
      <w:pPr>
        <w:ind w:firstLine="420"/>
        <w:spacing w:line="360" w:lineRule="auto"/>
        <w:rPr>
          <w:rFonts w:ascii="宋体" w:hAnsi="宋体"/>
          <w:bCs/>
          <w:szCs w:val="21"/>
        </w:rPr>
      </w:pPr>
      <w:r>
        <w:rPr>
          <w:rFonts w:hint="eastAsia" w:ascii="宋体" w:hAnsi="宋体"/>
          <w:bCs/>
          <w:szCs w:val="21"/>
        </w:rPr>
        <w:t xml:space="preserve">13.4 投标人认为需要的其他技术文件或说明。</w:t>
      </w:r>
      <w:r/>
    </w:p>
    <w:p>
      <w:pPr>
        <w:ind w:firstLine="422"/>
        <w:spacing w:line="360" w:lineRule="auto"/>
        <w:rPr>
          <w:rFonts w:ascii="宋体" w:hAnsi="宋体"/>
          <w:b/>
          <w:szCs w:val="21"/>
        </w:rPr>
      </w:pPr>
      <w:r>
        <w:rPr>
          <w:rFonts w:hint="eastAsia" w:ascii="宋体" w:hAnsi="宋体"/>
          <w:b/>
          <w:szCs w:val="21"/>
        </w:rPr>
        <w:t xml:space="preserve">14、服务承诺及售后服务机构、人员的情况介绍</w:t>
      </w:r>
      <w:r/>
    </w:p>
    <w:p>
      <w:pPr>
        <w:spacing w:line="360" w:lineRule="auto"/>
        <w:rPr>
          <w:rFonts w:ascii="宋体" w:hAnsi="宋体"/>
          <w:bCs/>
          <w:szCs w:val="21"/>
        </w:rPr>
      </w:pPr>
      <w:r>
        <w:rPr>
          <w:rFonts w:hint="eastAsia" w:ascii="宋体" w:hAnsi="宋体"/>
          <w:bCs/>
          <w:szCs w:val="21"/>
        </w:rPr>
        <w:t xml:space="preserve">    14.1投标人的服务承诺应按不低于招标文件中商务要求的标准。</w:t>
      </w:r>
      <w:r/>
    </w:p>
    <w:p>
      <w:pPr>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szCs w:val="21"/>
        </w:rPr>
      </w:pPr>
      <w:r>
        <w:rPr>
          <w:rFonts w:hint="eastAsia" w:ascii="宋体" w:hAnsi="宋体"/>
          <w:b/>
          <w:szCs w:val="21"/>
        </w:rPr>
        <w:t xml:space="preserve">15、投标函和开标一览表</w:t>
      </w:r>
      <w:r/>
    </w:p>
    <w:p>
      <w:pPr>
        <w:ind w:firstLine="420"/>
        <w:spacing w:line="360" w:lineRule="auto"/>
        <w:rPr>
          <w:rFonts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szCs w:val="21"/>
        </w:rPr>
      </w:pPr>
      <w:r>
        <w:rPr>
          <w:rFonts w:hint="eastAsia" w:ascii="宋体" w:hAnsi="宋体"/>
          <w:b/>
          <w:szCs w:val="21"/>
        </w:rPr>
        <w:t xml:space="preserve">16、投标有效期</w:t>
      </w:r>
      <w:r/>
    </w:p>
    <w:p>
      <w:pPr>
        <w:ind w:firstLine="420"/>
        <w:spacing w:line="360" w:lineRule="auto"/>
        <w:rPr>
          <w:rFonts w:ascii="宋体" w:hAnsi="宋体"/>
          <w:bCs/>
          <w:szCs w:val="21"/>
        </w:rPr>
      </w:pPr>
      <w:r>
        <w:rPr>
          <w:rFonts w:hint="eastAsia" w:ascii="宋体" w:hAnsi="宋体"/>
          <w:bCs/>
          <w:szCs w:val="21"/>
        </w:rPr>
        <w:t xml:space="preserve">16.1 投标有效期为开标之日起六十（60）天。投标有效期比规定短的将被视为非响应性投标而予以拒绝。</w:t>
      </w:r>
      <w:r/>
    </w:p>
    <w:p>
      <w:pPr>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szCs w:val="21"/>
        </w:rPr>
      </w:pPr>
      <w:r/>
      <w:bookmarkStart w:id="35" w:name="_Toc16938541"/>
      <w:r/>
      <w:bookmarkStart w:id="36" w:name="_Toc462564084"/>
      <w:r/>
      <w:bookmarkStart w:id="37" w:name="_Toc513029225"/>
      <w:r/>
      <w:bookmarkStart w:id="38" w:name="_Toc20823297"/>
      <w:r>
        <w:rPr>
          <w:rFonts w:hint="eastAsia" w:ascii="宋体" w:hAnsi="宋体"/>
          <w:b/>
          <w:szCs w:val="21"/>
        </w:rPr>
        <w:t xml:space="preserve">17、投标文件</w:t>
      </w:r>
      <w:bookmarkEnd w:id="35"/>
      <w:r/>
      <w:bookmarkEnd w:id="36"/>
      <w:r/>
      <w:bookmarkEnd w:id="37"/>
      <w:r/>
      <w:bookmarkEnd w:id="38"/>
      <w:r>
        <w:rPr>
          <w:rFonts w:hint="eastAsia" w:ascii="宋体" w:hAnsi="宋体"/>
          <w:b/>
          <w:szCs w:val="21"/>
        </w:rPr>
        <w:t xml:space="preserve">的递交</w:t>
      </w:r>
      <w:r/>
    </w:p>
    <w:p>
      <w:pPr>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39" w:name="_Toc513029226"/>
      <w:r/>
      <w:bookmarkStart w:id="40" w:name="_Toc20823298"/>
      <w:r/>
      <w:bookmarkStart w:id="41" w:name="_Toc16938542"/>
      <w:r/>
      <w:r/>
    </w:p>
    <w:p>
      <w:pPr>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17.3投标人应对 CA 证书妥善保管，如被他人盗用投标，因此带来的结果均由投标人自行承担。</w:t>
      </w:r>
      <w:r/>
    </w:p>
    <w:p>
      <w:pPr>
        <w:ind w:firstLine="422"/>
        <w:spacing w:line="360" w:lineRule="auto"/>
        <w:rPr>
          <w:rFonts w:ascii="宋体" w:hAnsi="宋体"/>
          <w:b/>
          <w:szCs w:val="21"/>
        </w:rPr>
      </w:pPr>
      <w:r>
        <w:rPr>
          <w:rFonts w:hint="eastAsia" w:ascii="宋体" w:hAnsi="宋体"/>
          <w:b/>
          <w:szCs w:val="21"/>
        </w:rPr>
        <w:t xml:space="preserve">17.4投标人应当对招标文件提出的要求和条件作出实质性响应，并在电子投标系统逐条应答。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szCs w:val="21"/>
        </w:rPr>
      </w:pPr>
      <w:r>
        <w:rPr>
          <w:rFonts w:hint="eastAsia" w:ascii="宋体" w:hAnsi="宋体"/>
          <w:b/>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pPr>
      <w:r>
        <w:rPr>
          <w:rFonts w:hint="eastAsia" w:ascii="宋体" w:hAnsi="宋体"/>
          <w:b/>
          <w:szCs w:val="21"/>
        </w:rPr>
        <w:t xml:space="preserve">17.7各投标人应在规定时间内凭CA证书进行网上解密。</w:t>
      </w:r>
      <w:r/>
    </w:p>
    <w:p>
      <w:pPr>
        <w:ind w:firstLine="422"/>
        <w:spacing w:line="360" w:lineRule="auto"/>
        <w:rPr>
          <w:rFonts w:ascii="宋体" w:hAnsi="宋体"/>
          <w:b/>
          <w:szCs w:val="21"/>
        </w:rPr>
      </w:pPr>
      <w:r>
        <w:rPr>
          <w:rFonts w:hint="eastAsia" w:ascii="宋体" w:hAnsi="宋体"/>
          <w:b/>
          <w:szCs w:val="21"/>
        </w:rPr>
        <w:t xml:space="preserve">18、投标截止日期</w:t>
      </w:r>
      <w:bookmarkEnd w:id="39"/>
      <w:r/>
      <w:bookmarkEnd w:id="40"/>
      <w:r/>
      <w:bookmarkEnd w:id="41"/>
      <w:r/>
      <w:r/>
    </w:p>
    <w:p>
      <w:pPr>
        <w:ind w:firstLine="420"/>
        <w:spacing w:line="360" w:lineRule="auto"/>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p>
    <w:p>
      <w:pPr>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szCs w:val="21"/>
        </w:rPr>
      </w:pPr>
      <w:r>
        <w:rPr>
          <w:rFonts w:hint="eastAsia" w:ascii="宋体" w:hAnsi="宋体"/>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szCs w:val="21"/>
        </w:rPr>
      </w:pPr>
      <w:r/>
      <w:bookmarkStart w:id="42" w:name="_Toc513029227"/>
      <w:r/>
      <w:bookmarkStart w:id="43" w:name="_Toc16938543"/>
      <w:r/>
      <w:bookmarkStart w:id="44" w:name="_Toc20823299"/>
      <w:r>
        <w:rPr>
          <w:rFonts w:hint="eastAsia" w:ascii="宋体" w:hAnsi="宋体"/>
          <w:b/>
          <w:szCs w:val="21"/>
        </w:rPr>
        <w:t xml:space="preserve">19、投标文件</w:t>
      </w:r>
      <w:bookmarkEnd w:id="42"/>
      <w:r/>
      <w:bookmarkEnd w:id="43"/>
      <w:r/>
      <w:bookmarkEnd w:id="44"/>
      <w:r>
        <w:rPr>
          <w:rFonts w:hint="eastAsia" w:ascii="宋体" w:hAnsi="宋体"/>
          <w:b/>
          <w:szCs w:val="21"/>
        </w:rPr>
        <w:t xml:space="preserve">的拒收</w:t>
      </w:r>
      <w:r/>
    </w:p>
    <w:p>
      <w:pPr>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p>
    <w:p>
      <w:pPr>
        <w:ind w:firstLine="422"/>
        <w:spacing w:line="360" w:lineRule="auto"/>
        <w:rPr>
          <w:rFonts w:ascii="宋体" w:hAnsi="宋体"/>
          <w:b/>
          <w:szCs w:val="21"/>
        </w:rPr>
      </w:pPr>
      <w:r/>
      <w:bookmarkStart w:id="45" w:name="_Toc16938544"/>
      <w:r/>
      <w:bookmarkStart w:id="46" w:name="_Toc513029228"/>
      <w:r/>
      <w:bookmarkStart w:id="47" w:name="_Toc20823300"/>
      <w:r>
        <w:rPr>
          <w:rFonts w:hint="eastAsia" w:ascii="宋体" w:hAnsi="宋体"/>
          <w:b/>
          <w:szCs w:val="21"/>
        </w:rPr>
        <w:t xml:space="preserve">20、投标文件的撤回和修改</w:t>
      </w:r>
      <w:bookmarkEnd w:id="45"/>
      <w:r/>
      <w:bookmarkEnd w:id="46"/>
      <w:r/>
      <w:bookmarkEnd w:id="47"/>
      <w:r/>
      <w:r/>
    </w:p>
    <w:p>
      <w:pPr>
        <w:ind w:firstLine="420"/>
        <w:spacing w:line="360" w:lineRule="auto"/>
        <w:rPr>
          <w:rFonts w:ascii="宋体" w:hAnsi="宋体"/>
          <w:bCs/>
          <w:szCs w:val="21"/>
        </w:rPr>
      </w:pPr>
      <w:r>
        <w:rPr>
          <w:rFonts w:hint="eastAsia" w:ascii="宋体" w:hAnsi="宋体"/>
          <w:bCs/>
          <w:szCs w:val="21"/>
        </w:rPr>
        <w:t xml:space="preserve">20.1 投标文件的撤回</w:t>
      </w:r>
      <w:r/>
    </w:p>
    <w:p>
      <w:pPr>
        <w:ind w:firstLine="420"/>
        <w:spacing w:line="360" w:lineRule="auto"/>
        <w:rPr>
          <w:rFonts w:ascii="宋体" w:hAnsi="宋体"/>
          <w:bCs/>
          <w:szCs w:val="21"/>
        </w:rPr>
      </w:pPr>
      <w:r>
        <w:rPr>
          <w:rFonts w:hint="eastAsia" w:ascii="宋体" w:hAnsi="宋体"/>
          <w:bCs/>
          <w:szCs w:val="21"/>
        </w:rPr>
        <w:t xml:space="preserve">20.1.1 电子投标文件的撤回</w:t>
      </w:r>
      <w:r/>
    </w:p>
    <w:p>
      <w:pPr>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p>
    <w:p>
      <w:pPr>
        <w:ind w:firstLine="420"/>
        <w:spacing w:line="360" w:lineRule="auto"/>
        <w:rPr>
          <w:rFonts w:ascii="宋体" w:hAnsi="宋体"/>
          <w:bCs/>
          <w:szCs w:val="21"/>
        </w:rPr>
      </w:pPr>
      <w:r>
        <w:rPr>
          <w:rFonts w:hint="eastAsia" w:ascii="宋体" w:hAnsi="宋体"/>
          <w:bCs/>
          <w:szCs w:val="21"/>
        </w:rPr>
        <w:t xml:space="preserve">20.2 投标文件的修改</w:t>
      </w:r>
      <w:r/>
    </w:p>
    <w:p>
      <w:pPr>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p>
    <w:p>
      <w:pPr>
        <w:ind w:firstLine="420"/>
        <w:spacing w:line="360" w:lineRule="auto"/>
        <w:rPr>
          <w:rFonts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p>
    <w:p>
      <w:pPr>
        <w:ind w:firstLine="422"/>
        <w:spacing w:line="360" w:lineRule="auto"/>
        <w:rPr>
          <w:rFonts w:ascii="宋体" w:hAnsi="宋体"/>
          <w:b/>
          <w:szCs w:val="21"/>
        </w:rPr>
      </w:pPr>
      <w:r>
        <w:rPr>
          <w:rFonts w:hint="eastAsia" w:ascii="宋体" w:hAnsi="宋体"/>
          <w:b/>
          <w:szCs w:val="21"/>
        </w:rPr>
        <w:t xml:space="preserve">21、开标</w:t>
      </w:r>
      <w:r/>
    </w:p>
    <w:p>
      <w:pPr>
        <w:ind w:firstLine="420"/>
        <w:spacing w:line="360" w:lineRule="auto"/>
        <w:rPr>
          <w:rFonts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szCs w:val="21"/>
        </w:rPr>
      </w:pPr>
      <w:r>
        <w:rPr>
          <w:rFonts w:hint="eastAsia" w:ascii="宋体" w:hAnsi="宋体"/>
          <w:bCs/>
          <w:szCs w:val="21"/>
        </w:rPr>
        <w:t xml:space="preserve">21.2投标人不足3家的，不得开标。</w:t>
      </w:r>
      <w:r/>
    </w:p>
    <w:p>
      <w:pPr>
        <w:spacing w:line="360" w:lineRule="auto"/>
        <w:rPr>
          <w:rFonts w:ascii="宋体" w:hAnsi="宋体"/>
          <w:bCs/>
          <w:szCs w:val="21"/>
        </w:rPr>
      </w:pPr>
      <w:r>
        <w:rPr>
          <w:rFonts w:hint="eastAsia" w:ascii="宋体" w:hAnsi="宋体"/>
          <w:bCs/>
          <w:szCs w:val="21"/>
        </w:rPr>
        <w:t xml:space="preserve">    </w:t>
      </w:r>
      <w:r>
        <w:rPr>
          <w:rFonts w:hint="eastAsia" w:ascii="宋体" w:hAnsi="宋体"/>
          <w:b/>
          <w:szCs w:val="21"/>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bCs/>
          <w:szCs w:val="21"/>
        </w:rPr>
      </w:pPr>
      <w:r>
        <w:rPr>
          <w:rFonts w:hint="eastAsia" w:ascii="宋体" w:hAnsi="宋体"/>
          <w:bCs/>
          <w:szCs w:val="21"/>
        </w:rPr>
        <w:t xml:space="preserve">21.4投标人在开标过程中涉及到的投标文件解密、开标结果确认等工作，应按照《操作手册》规定执行。</w:t>
      </w:r>
      <w:r/>
    </w:p>
    <w:p>
      <w:pPr>
        <w:ind w:firstLine="422"/>
        <w:spacing w:line="360" w:lineRule="auto"/>
        <w:rPr>
          <w:rFonts w:ascii="宋体" w:hAnsi="宋体"/>
          <w:b/>
          <w:szCs w:val="21"/>
        </w:rPr>
      </w:pPr>
      <w:r>
        <w:rPr>
          <w:rFonts w:hint="eastAsia" w:ascii="宋体" w:hAnsi="宋体"/>
          <w:b/>
          <w:szCs w:val="21"/>
        </w:rPr>
        <w:t xml:space="preserve">22、评标委员会</w:t>
      </w:r>
      <w:r/>
    </w:p>
    <w:p>
      <w:pPr>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p>
    <w:p>
      <w:pPr>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p>
    <w:p>
      <w:pPr>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p>
    <w:p>
      <w:pPr>
        <w:ind w:firstLine="422"/>
        <w:spacing w:line="360" w:lineRule="auto"/>
        <w:rPr>
          <w:rFonts w:ascii="宋体" w:hAnsi="宋体"/>
          <w:b/>
          <w:szCs w:val="21"/>
        </w:rPr>
      </w:pPr>
      <w:r>
        <w:rPr>
          <w:rFonts w:hint="eastAsia" w:ascii="宋体" w:hAnsi="宋体"/>
          <w:b/>
          <w:szCs w:val="21"/>
        </w:rPr>
        <w:t xml:space="preserve">23、评标过程的保密与公正</w:t>
      </w:r>
      <w:r/>
    </w:p>
    <w:p>
      <w:pPr>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p>
    <w:p>
      <w:pPr>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p>
    <w:p>
      <w:pPr>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szCs w:val="21"/>
        </w:rPr>
      </w:pPr>
      <w:r>
        <w:rPr>
          <w:rFonts w:hint="eastAsia" w:ascii="宋体" w:hAnsi="宋体"/>
          <w:b/>
          <w:szCs w:val="21"/>
        </w:rPr>
        <w:t xml:space="preserve">24、投标的澄清</w:t>
      </w:r>
      <w:r/>
    </w:p>
    <w:p>
      <w:pPr>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p>
    <w:p>
      <w:pPr>
        <w:ind w:firstLine="422"/>
        <w:spacing w:line="360" w:lineRule="auto"/>
        <w:rPr>
          <w:rFonts w:ascii="宋体" w:hAnsi="宋体"/>
          <w:b/>
          <w:szCs w:val="21"/>
        </w:rPr>
      </w:pPr>
      <w:r>
        <w:rPr>
          <w:rFonts w:hint="eastAsia" w:ascii="宋体" w:hAnsi="宋体"/>
          <w:b/>
          <w:szCs w:val="21"/>
        </w:rPr>
        <w:t xml:space="preserve">25、对投标文件的初审</w:t>
      </w:r>
      <w:r/>
    </w:p>
    <w:p>
      <w:pPr>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p>
    <w:p>
      <w:pPr>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p>
    <w:p>
      <w:pPr>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p>
    <w:p>
      <w:pPr>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ascii="宋体" w:hAnsi="宋体"/>
        </w:rPr>
      </w:pPr>
      <w:r>
        <w:rPr>
          <w:rFonts w:hint="eastAsia" w:ascii="宋体" w:hAnsi="宋体"/>
        </w:rPr>
        <w:t xml:space="preserve">25.7 投标人在开、评标全过程中应保持通讯畅通，并安排专人与代理机构及评委会联系。</w:t>
      </w:r>
      <w:r/>
    </w:p>
    <w:p>
      <w:pPr>
        <w:ind w:firstLine="422"/>
        <w:spacing w:line="360" w:lineRule="auto"/>
        <w:rPr>
          <w:rFonts w:ascii="宋体" w:hAnsi="宋体"/>
          <w:b/>
          <w:szCs w:val="21"/>
        </w:rPr>
      </w:pPr>
      <w:r>
        <w:rPr>
          <w:rFonts w:hint="eastAsia" w:ascii="宋体" w:hAnsi="宋体"/>
          <w:b/>
          <w:szCs w:val="21"/>
        </w:rPr>
        <w:t xml:space="preserve">26、无效投标、废标及投标人不足三家的处理</w:t>
      </w:r>
      <w:r/>
    </w:p>
    <w:p>
      <w:pPr>
        <w:ind w:firstLine="420"/>
        <w:spacing w:line="360" w:lineRule="auto"/>
        <w:rPr>
          <w:rFonts w:ascii="宋体" w:hAnsi="宋体"/>
          <w:bCs/>
          <w:szCs w:val="21"/>
        </w:rPr>
      </w:pPr>
      <w:r>
        <w:rPr>
          <w:rFonts w:hint="eastAsia" w:ascii="宋体" w:hAnsi="宋体"/>
          <w:bCs/>
          <w:szCs w:val="21"/>
        </w:rPr>
        <w:t xml:space="preserve">26.1无效投标条款</w:t>
      </w:r>
      <w:r/>
    </w:p>
    <w:p>
      <w:pPr>
        <w:ind w:firstLine="420"/>
        <w:spacing w:line="360" w:lineRule="auto"/>
        <w:rPr>
          <w:rFonts w:ascii="宋体" w:hAnsi="宋体"/>
          <w:bCs/>
          <w:szCs w:val="21"/>
        </w:rPr>
      </w:pPr>
      <w:r>
        <w:rPr>
          <w:rFonts w:hint="eastAsia" w:ascii="宋体" w:hAnsi="宋体"/>
          <w:bCs/>
          <w:szCs w:val="21"/>
        </w:rPr>
        <w:t xml:space="preserve">26.1.1 投标人未成功解密电子投标文件的。</w:t>
      </w:r>
      <w:r/>
    </w:p>
    <w:p>
      <w:pPr>
        <w:ind w:firstLine="420"/>
        <w:spacing w:line="360" w:lineRule="auto"/>
        <w:rPr>
          <w:rFonts w:ascii="宋体" w:hAnsi="宋体"/>
          <w:bCs/>
          <w:szCs w:val="21"/>
        </w:rPr>
      </w:pPr>
      <w:r>
        <w:rPr>
          <w:rFonts w:hint="eastAsia" w:ascii="宋体" w:hAnsi="宋体"/>
          <w:bCs/>
          <w:szCs w:val="21"/>
        </w:rPr>
        <w:t xml:space="preserve">26.1.2 投标人未按照招标文件要求上传电子投标文件的。</w:t>
      </w:r>
      <w:r/>
    </w:p>
    <w:p>
      <w:pPr>
        <w:ind w:firstLine="420"/>
        <w:spacing w:line="360" w:lineRule="auto"/>
        <w:rPr>
          <w:rFonts w:ascii="宋体" w:hAnsi="宋体"/>
          <w:bCs/>
          <w:szCs w:val="21"/>
        </w:rPr>
      </w:pPr>
      <w:r>
        <w:rPr>
          <w:rFonts w:hint="eastAsia" w:ascii="宋体" w:hAnsi="宋体"/>
          <w:bCs/>
          <w:szCs w:val="21"/>
        </w:rPr>
        <w:t xml:space="preserve">26.1.3投标人在报价时采用选择性报价的。</w:t>
      </w:r>
      <w:r/>
    </w:p>
    <w:p>
      <w:pPr>
        <w:ind w:firstLine="420"/>
        <w:spacing w:line="360" w:lineRule="auto"/>
        <w:rPr>
          <w:rFonts w:ascii="宋体" w:hAnsi="宋体"/>
          <w:bCs/>
          <w:szCs w:val="21"/>
        </w:rPr>
      </w:pPr>
      <w:r>
        <w:rPr>
          <w:rFonts w:hint="eastAsia" w:ascii="宋体" w:hAnsi="宋体"/>
          <w:bCs/>
          <w:szCs w:val="21"/>
        </w:rPr>
        <w:t xml:space="preserve">26.1.4投标人不具备招标文件中规定资格要求的。</w:t>
      </w:r>
      <w:r/>
    </w:p>
    <w:p>
      <w:pPr>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p>
    <w:p>
      <w:pPr>
        <w:ind w:firstLine="420"/>
        <w:spacing w:line="360" w:lineRule="auto"/>
        <w:rPr>
          <w:rFonts w:ascii="宋体" w:hAnsi="宋体"/>
          <w:bCs/>
          <w:szCs w:val="21"/>
        </w:rPr>
      </w:pPr>
      <w:r>
        <w:rPr>
          <w:rFonts w:hint="eastAsia" w:ascii="宋体" w:hAnsi="宋体"/>
          <w:bCs/>
          <w:szCs w:val="21"/>
        </w:rPr>
        <w:t xml:space="preserve">26.1.6未通过符合性审查的。</w:t>
      </w:r>
      <w:r/>
    </w:p>
    <w:p>
      <w:pPr>
        <w:ind w:firstLine="420"/>
        <w:spacing w:line="360" w:lineRule="auto"/>
        <w:rPr>
          <w:rFonts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p>
    <w:p>
      <w:pPr>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szCs w:val="21"/>
        </w:rPr>
      </w:pPr>
      <w:r>
        <w:rPr>
          <w:rFonts w:hint="eastAsia" w:ascii="宋体" w:hAnsi="宋体"/>
          <w:bCs/>
          <w:szCs w:val="21"/>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ascii="宋体" w:hAnsi="宋体"/>
          <w:bCs/>
          <w:szCs w:val="21"/>
        </w:rPr>
      </w:pPr>
      <w:r>
        <w:rPr>
          <w:rFonts w:hint="eastAsia" w:ascii="宋体" w:hAnsi="宋体"/>
          <w:bCs/>
          <w:szCs w:val="21"/>
        </w:rPr>
        <w:t xml:space="preserve">26.1.12 投标文件未按照招标文件要求加盖电子签章。</w:t>
      </w:r>
      <w:r/>
    </w:p>
    <w:p>
      <w:pPr>
        <w:ind w:firstLine="420"/>
        <w:spacing w:line="360" w:lineRule="auto"/>
        <w:rPr>
          <w:rFonts w:ascii="宋体" w:hAnsi="宋体"/>
          <w:bCs/>
          <w:szCs w:val="21"/>
        </w:rPr>
      </w:pPr>
      <w:r>
        <w:rPr>
          <w:rFonts w:hint="eastAsia" w:ascii="宋体" w:hAnsi="宋体"/>
          <w:bCs/>
          <w:szCs w:val="21"/>
        </w:rPr>
        <w:t xml:space="preserve">26.1.13其他法律、法规及本招标文件规定的属无效投标的情形。</w:t>
      </w:r>
      <w:r/>
    </w:p>
    <w:p>
      <w:pPr>
        <w:ind w:firstLine="420"/>
        <w:spacing w:line="360" w:lineRule="auto"/>
        <w:rPr>
          <w:rFonts w:ascii="宋体" w:hAnsi="宋体"/>
          <w:bCs/>
          <w:szCs w:val="21"/>
        </w:rPr>
      </w:pPr>
      <w:r>
        <w:rPr>
          <w:rFonts w:hint="eastAsia" w:ascii="宋体" w:hAnsi="宋体"/>
          <w:bCs/>
          <w:szCs w:val="21"/>
        </w:rPr>
        <w:t xml:space="preserve">26.2废标条款：</w:t>
      </w:r>
      <w:r/>
    </w:p>
    <w:p>
      <w:pPr>
        <w:ind w:left="420"/>
        <w:spacing w:line="360" w:lineRule="auto"/>
        <w:rPr>
          <w:rFonts w:ascii="宋体" w:hAnsi="宋体"/>
          <w:bCs/>
          <w:szCs w:val="21"/>
        </w:rPr>
      </w:pPr>
      <w:r>
        <w:rPr>
          <w:rFonts w:hint="eastAsia" w:ascii="宋体" w:hAnsi="宋体"/>
          <w:bCs/>
          <w:szCs w:val="21"/>
        </w:rPr>
        <w:t xml:space="preserve">26.2.1符合专业条件的供应商或者对招标文件作实质响应的供应商不足三家的。</w:t>
      </w:r>
      <w:r/>
    </w:p>
    <w:p>
      <w:pPr>
        <w:ind w:left="420"/>
        <w:spacing w:line="360" w:lineRule="auto"/>
        <w:rPr>
          <w:rFonts w:ascii="宋体" w:hAnsi="宋体"/>
          <w:bCs/>
          <w:szCs w:val="21"/>
        </w:rPr>
      </w:pPr>
      <w:r>
        <w:rPr>
          <w:rFonts w:hint="eastAsia" w:ascii="宋体" w:hAnsi="宋体"/>
          <w:bCs/>
          <w:szCs w:val="21"/>
        </w:rPr>
        <w:t xml:space="preserve">26.2.2出现影响采购公正的违法、违规行为的。</w:t>
      </w:r>
      <w:r/>
    </w:p>
    <w:p>
      <w:pPr>
        <w:ind w:firstLine="420"/>
        <w:spacing w:line="360" w:lineRule="auto"/>
        <w:rPr>
          <w:rFonts w:ascii="宋体" w:hAnsi="宋体"/>
          <w:bCs/>
          <w:szCs w:val="21"/>
        </w:rPr>
      </w:pPr>
      <w:r>
        <w:rPr>
          <w:rFonts w:hint="eastAsia" w:ascii="宋体" w:hAnsi="宋体"/>
          <w:bCs/>
          <w:szCs w:val="21"/>
        </w:rPr>
        <w:t xml:space="preserve">26.2.3因重大变故，采购任务取消的。</w:t>
      </w:r>
      <w:r/>
    </w:p>
    <w:p>
      <w:pPr>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p>
    <w:p>
      <w:pPr>
        <w:ind w:firstLine="420"/>
        <w:spacing w:line="360" w:lineRule="auto"/>
        <w:rPr>
          <w:rFonts w:ascii="宋体" w:hAnsi="宋体"/>
          <w:bCs/>
          <w:szCs w:val="21"/>
        </w:rPr>
      </w:pPr>
      <w:r>
        <w:rPr>
          <w:rFonts w:hint="eastAsia" w:ascii="宋体" w:hAnsi="宋体"/>
          <w:bCs/>
          <w:szCs w:val="21"/>
        </w:rPr>
        <w:t xml:space="preserve">26.3 投标截止时间结束后参加投标的供应商不足三家的处理：</w:t>
      </w:r>
      <w:r/>
    </w:p>
    <w:p>
      <w:pPr>
        <w:ind w:firstLine="420"/>
        <w:spacing w:line="360" w:lineRule="auto"/>
        <w:rPr>
          <w:rFonts w:ascii="宋体" w:hAnsi="宋体"/>
          <w:bCs/>
          <w:szCs w:val="21"/>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szCs w:val="21"/>
        </w:rPr>
      </w:pPr>
      <w:r>
        <w:rPr>
          <w:rFonts w:hint="eastAsia" w:ascii="宋体" w:hAnsi="宋体"/>
          <w:b/>
          <w:szCs w:val="21"/>
        </w:rPr>
        <w:t xml:space="preserve">27、确定中标单位</w:t>
      </w:r>
      <w:r/>
    </w:p>
    <w:p>
      <w:pPr>
        <w:ind w:firstLine="420"/>
        <w:spacing w:line="360" w:lineRule="auto"/>
        <w:rPr>
          <w:rFonts w:ascii="宋体" w:hAnsi="宋体"/>
          <w:bCs/>
          <w:szCs w:val="21"/>
        </w:rPr>
      </w:pPr>
      <w:r>
        <w:rPr>
          <w:rFonts w:hint="eastAsia" w:ascii="宋体" w:hAnsi="宋体"/>
          <w:bCs/>
          <w:szCs w:val="21"/>
        </w:rPr>
        <w:t xml:space="preserve">27.1评委会根据本招标文件规定评标方法与评标标准向采购人推荐出中标候选人。</w:t>
      </w:r>
      <w:r/>
    </w:p>
    <w:p>
      <w:pPr>
        <w:ind w:firstLine="420"/>
        <w:spacing w:line="360" w:lineRule="auto"/>
        <w:rPr>
          <w:rFonts w:ascii="宋体" w:hAnsi="宋体"/>
          <w:bCs/>
          <w:szCs w:val="21"/>
        </w:rPr>
      </w:pPr>
      <w:r>
        <w:rPr>
          <w:rFonts w:hint="eastAsia" w:ascii="宋体" w:hAnsi="宋体"/>
          <w:bCs/>
          <w:szCs w:val="21"/>
        </w:rPr>
        <w:t xml:space="preserve">27.2 当排名第一的中标候选人放弃中标、因不可抗力提出不能履行合同或者因其他原因被取消中标资格的，采购人可以确定排名第二的中标候选人为中标人或重新招标；排名第二的中标候选人因同样的原因不能签订合同的，采购人可以确定排名第三的中标候选人为中标人或重新招标。</w:t>
      </w:r>
      <w:r/>
    </w:p>
    <w:p>
      <w:pPr>
        <w:ind w:firstLine="420"/>
        <w:spacing w:line="360" w:lineRule="auto"/>
        <w:rPr>
          <w:rFonts w:ascii="宋体" w:hAnsi="宋体"/>
          <w:bCs/>
          <w:szCs w:val="21"/>
        </w:rPr>
      </w:pPr>
      <w:r>
        <w:rPr>
          <w:rFonts w:hint="eastAsia" w:ascii="宋体" w:hAnsi="宋体"/>
          <w:bCs/>
          <w:szCs w:val="21"/>
        </w:rPr>
        <w:t xml:space="preserve">27.3代理机构将在“江苏省政府采购网”、“中国政府采购网”发布中标公告，公告期限为1个工作日。</w:t>
      </w:r>
      <w:r/>
    </w:p>
    <w:p>
      <w:pPr>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360" w:lineRule="auto"/>
        <w:rPr>
          <w:rFonts w:ascii="宋体" w:hAnsi="宋体"/>
          <w:bCs/>
          <w:szCs w:val="21"/>
        </w:rPr>
      </w:pPr>
      <w:r>
        <w:rPr>
          <w:rFonts w:hint="eastAsia" w:ascii="宋体" w:hAnsi="宋体"/>
          <w:bCs/>
          <w:szCs w:val="21"/>
        </w:rPr>
        <w:t xml:space="preserve">27.4.1提供虚假材料谋取中标的；</w:t>
      </w:r>
      <w:r/>
    </w:p>
    <w:p>
      <w:pPr>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p>
    <w:p>
      <w:pPr>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360" w:lineRule="auto"/>
        <w:rPr>
          <w:rFonts w:ascii="宋体" w:hAnsi="宋体"/>
          <w:bCs/>
          <w:szCs w:val="21"/>
        </w:rPr>
      </w:pPr>
      <w:r>
        <w:rPr>
          <w:rFonts w:hint="eastAsia" w:ascii="宋体" w:hAnsi="宋体"/>
          <w:bCs/>
          <w:szCs w:val="21"/>
        </w:rPr>
        <w:t xml:space="preserve">27.4.5与采购人或者其他投标人恶意串通的；</w:t>
      </w:r>
      <w:r/>
    </w:p>
    <w:p>
      <w:pPr>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p>
    <w:p>
      <w:pPr>
        <w:ind w:firstLine="420"/>
        <w:spacing w:line="360" w:lineRule="auto"/>
        <w:rPr>
          <w:rFonts w:ascii="宋体" w:hAnsi="宋体"/>
          <w:bCs/>
          <w:szCs w:val="21"/>
        </w:rPr>
      </w:pPr>
      <w:r>
        <w:rPr>
          <w:rFonts w:hint="eastAsia" w:ascii="宋体" w:hAnsi="宋体"/>
          <w:bCs/>
          <w:szCs w:val="21"/>
        </w:rPr>
        <w:t xml:space="preserve">27.4.7不符合法律、法规的规定的。</w:t>
      </w:r>
      <w:r/>
    </w:p>
    <w:p>
      <w:pPr>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p>
    <w:p>
      <w:pPr>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p>
    <w:p>
      <w:pPr>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p>
    <w:p>
      <w:pPr>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p>
    <w:p>
      <w:pPr>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360" w:lineRule="auto"/>
        <w:rPr>
          <w:rFonts w:ascii="宋体" w:hAnsi="宋体"/>
          <w:bCs/>
          <w:szCs w:val="21"/>
        </w:rPr>
      </w:pPr>
      <w:r>
        <w:rPr>
          <w:rFonts w:hint="eastAsia" w:ascii="宋体" w:hAnsi="宋体"/>
          <w:bCs/>
          <w:szCs w:val="21"/>
        </w:rPr>
        <w:t xml:space="preserve">27.5.5不同投标人的投标文件相互混装。</w:t>
      </w:r>
      <w:r/>
    </w:p>
    <w:p>
      <w:pPr>
        <w:ind w:firstLine="422"/>
        <w:spacing w:line="360" w:lineRule="auto"/>
        <w:rPr>
          <w:rFonts w:ascii="宋体" w:hAnsi="宋体"/>
          <w:b/>
          <w:szCs w:val="21"/>
        </w:rPr>
      </w:pPr>
      <w:r>
        <w:rPr>
          <w:rFonts w:hint="eastAsia" w:ascii="宋体" w:hAnsi="宋体"/>
          <w:b/>
          <w:szCs w:val="21"/>
        </w:rPr>
        <w:t xml:space="preserve">28、质疑处理</w:t>
      </w:r>
      <w:r/>
    </w:p>
    <w:p>
      <w:pPr>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28.2.2对采购过程提出质疑的，为各采购程序环节结束之日起7个工作日内提出。</w:t>
      </w:r>
      <w:r/>
    </w:p>
    <w:p>
      <w:pPr>
        <w:ind w:firstLine="420"/>
        <w:spacing w:line="360" w:lineRule="auto"/>
        <w:rPr>
          <w:rFonts w:ascii="宋体" w:hAnsi="宋体"/>
          <w:bCs/>
          <w:szCs w:val="21"/>
        </w:rPr>
      </w:pPr>
      <w:r>
        <w:rPr>
          <w:rFonts w:hint="eastAsia" w:ascii="宋体" w:hAnsi="宋体"/>
          <w:bCs/>
          <w:szCs w:val="21"/>
        </w:rPr>
        <w:t xml:space="preserve">28.2.3对中标结果提出质疑的，为中标结果公告期限届满之日起7个工作日内提出。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28.3投标人/供应商应在法定质疑期内一次性提出针对同一采购程序环节的质疑。投标人/供应商如在法定期限内对同一采购程序环节提出多次质疑的，代理机构、采购人将只对投标人/供应商第一次质疑作出答复。</w:t>
      </w:r>
      <w:r/>
    </w:p>
    <w:p>
      <w:pPr>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
          <w:szCs w:val="21"/>
        </w:rPr>
      </w:pPr>
      <w:r>
        <w:rPr>
          <w:rFonts w:hint="eastAsia" w:ascii="宋体" w:hAnsi="宋体"/>
          <w:bCs/>
          <w:szCs w:val="21"/>
        </w:rPr>
        <w:t xml:space="preserve">28.5 代理机构及采购人只接收以纸质原件形式送达的质疑。</w:t>
      </w:r>
      <w:r>
        <w:rPr>
          <w:rFonts w:hint="eastAsia" w:ascii="宋体" w:hAnsi="宋体"/>
          <w:b/>
          <w:szCs w:val="21"/>
        </w:rPr>
        <w:t xml:space="preserve">同时需与采购代理机构经办人确认是否收到《质疑函》，如供应商未按上述要求去做，将自行承担所产生的风险。</w:t>
      </w:r>
      <w:r/>
    </w:p>
    <w:p>
      <w:pPr>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p>
    <w:p>
      <w:pPr>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p>
    <w:p>
      <w:pPr>
        <w:ind w:firstLine="420"/>
        <w:spacing w:line="360" w:lineRule="auto"/>
        <w:rPr>
          <w:rFonts w:ascii="宋体" w:hAnsi="宋体"/>
          <w:bCs/>
          <w:szCs w:val="21"/>
        </w:rPr>
      </w:pPr>
      <w:r>
        <w:rPr>
          <w:rFonts w:hint="eastAsia" w:ascii="宋体" w:hAnsi="宋体"/>
          <w:bCs/>
          <w:szCs w:val="21"/>
        </w:rPr>
        <w:t xml:space="preserve">28.8 以下情形的质疑不予受理</w:t>
      </w:r>
      <w:r/>
    </w:p>
    <w:p>
      <w:pPr>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p>
    <w:p>
      <w:pPr>
        <w:ind w:firstLine="420"/>
        <w:spacing w:line="360" w:lineRule="auto"/>
        <w:rPr>
          <w:rFonts w:ascii="宋体" w:hAnsi="宋体"/>
          <w:bCs/>
          <w:szCs w:val="21"/>
        </w:rPr>
      </w:pPr>
      <w:r>
        <w:rPr>
          <w:rFonts w:hint="eastAsia" w:ascii="宋体" w:hAnsi="宋体"/>
          <w:bCs/>
          <w:szCs w:val="21"/>
        </w:rPr>
        <w:t xml:space="preserve">28.8.2 超出政府采购法定期限的质疑。</w:t>
      </w:r>
      <w:r/>
    </w:p>
    <w:p>
      <w:pPr>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p>
    <w:p>
      <w:pPr>
        <w:ind w:firstLine="420"/>
        <w:spacing w:line="360" w:lineRule="auto"/>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p>
    <w:p>
      <w:pPr>
        <w:ind w:firstLine="420"/>
        <w:spacing w:line="360" w:lineRule="auto"/>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p>
    <w:p>
      <w:pPr>
        <w:ind w:firstLine="420"/>
        <w:spacing w:line="360" w:lineRule="auto"/>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szCs w:val="21"/>
        </w:rPr>
      </w:pPr>
      <w:r>
        <w:rPr>
          <w:rFonts w:hint="eastAsia" w:ascii="宋体" w:hAnsi="宋体"/>
          <w:b/>
          <w:szCs w:val="21"/>
        </w:rPr>
        <w:t xml:space="preserve">29、中标通知书</w:t>
      </w:r>
      <w:r/>
    </w:p>
    <w:p>
      <w:pPr>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p>
    <w:p>
      <w:pPr>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p>
    <w:p>
      <w:pPr>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szCs w:val="21"/>
        </w:rPr>
      </w:pPr>
      <w:r>
        <w:rPr>
          <w:rFonts w:hint="eastAsia" w:ascii="宋体" w:hAnsi="宋体"/>
          <w:b/>
          <w:szCs w:val="21"/>
        </w:rPr>
        <w:t xml:space="preserve">30、 签订合同</w:t>
      </w:r>
      <w:r/>
    </w:p>
    <w:p>
      <w:pPr>
        <w:ind w:firstLine="420"/>
        <w:spacing w:line="360" w:lineRule="auto"/>
        <w:rPr>
          <w:rFonts w:ascii="宋体" w:hAnsi="宋体"/>
          <w:bCs/>
          <w:szCs w:val="21"/>
        </w:rPr>
      </w:pPr>
      <w:r>
        <w:rPr>
          <w:rFonts w:hint="eastAsia" w:ascii="宋体" w:hAnsi="宋体"/>
          <w:bCs/>
          <w:szCs w:val="21"/>
        </w:rPr>
        <w:t xml:space="preserve">30.l中标人应在中标通知书发出之日起三十日内，按照招标文件确定的事项与采购人签订政府采购合同。</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30.2 招标文件、中标人的投标文件及招标过程中有关澄清、承诺文件均应作为合同附件。</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30.3 合同在“政府采购管理交易系统（苏采云）”中签订，签订合同后，</w:t>
      </w:r>
      <w:r>
        <w:rPr>
          <w:rFonts w:hint="eastAsia" w:ascii="Times New Roman" w:hAnsi="Times New Roman" w:cs="宋体"/>
          <w:bCs/>
          <w:i/>
          <w:iCs/>
          <w:color w:val="auto"/>
          <w:szCs w:val="21"/>
          <w:highlight w:val="none"/>
          <w:u w:val="single"/>
        </w:rPr>
        <w:t xml:space="preserve">中标人不得将货物或服务及其他服务进行转包</w:t>
      </w:r>
      <w:r>
        <w:rPr>
          <w:rFonts w:hint="eastAsia" w:ascii="Times New Roman" w:hAnsi="Times New Roman"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0"/>
        <w:spacing w:line="360" w:lineRule="auto"/>
        <w:rPr>
          <w:rFonts w:hint="eastAsia" w:ascii="宋体" w:hAnsi="宋体" w:eastAsia="宋体" w:cs="宋体"/>
          <w:b/>
          <w:bCs/>
          <w:color w:val="auto"/>
          <w:szCs w:val="21"/>
          <w:highlight w:val="none"/>
          <w:lang w:eastAsia="zh-CN"/>
        </w:rPr>
      </w:pPr>
      <w:r>
        <w:rPr>
          <w:rFonts w:hint="eastAsia" w:ascii="Times New Roman" w:hAnsi="Times New Roman" w:cs="宋体"/>
          <w:bCs/>
          <w:color w:val="auto"/>
          <w:szCs w:val="21"/>
          <w:highlight w:val="none"/>
          <w:lang w:val="en-US" w:eastAsia="zh-CN"/>
        </w:rPr>
        <w:t xml:space="preserve">30.5</w:t>
      </w:r>
      <w:r>
        <w:rPr>
          <w:rFonts w:hint="eastAsia" w:ascii="宋体" w:hAnsi="宋体" w:cs="宋体"/>
          <w:b w:val="0"/>
          <w:bCs w:val="0"/>
          <w:color w:val="auto"/>
          <w:szCs w:val="21"/>
          <w:highlight w:val="none"/>
        </w:rPr>
        <w:t xml:space="preserve">如中标候选</w:t>
      </w:r>
      <w:r>
        <w:rPr>
          <w:rFonts w:hint="eastAsia" w:ascii="宋体" w:hAnsi="宋体" w:cs="宋体"/>
          <w:b w:val="0"/>
          <w:bCs w:val="0"/>
          <w:color w:val="auto"/>
          <w:szCs w:val="21"/>
          <w:highlight w:val="none"/>
          <w:lang w:val="en-US" w:eastAsia="zh-CN"/>
        </w:rPr>
        <w:t xml:space="preserve">人</w:t>
      </w:r>
      <w:r>
        <w:rPr>
          <w:rFonts w:hint="eastAsia" w:ascii="宋体" w:hAnsi="宋体" w:cs="宋体"/>
          <w:b w:val="0"/>
          <w:bCs w:val="0"/>
          <w:color w:val="auto"/>
          <w:szCs w:val="21"/>
          <w:highlight w:val="none"/>
        </w:rPr>
        <w:t xml:space="preserve">在规定时间不与学校签订合同、主动放弃</w:t>
      </w:r>
      <w:r>
        <w:rPr>
          <w:rFonts w:hint="eastAsia" w:ascii="宋体" w:hAnsi="宋体" w:cs="宋体"/>
          <w:b w:val="0"/>
          <w:bCs w:val="0"/>
          <w:color w:val="auto"/>
          <w:szCs w:val="21"/>
          <w:highlight w:val="none"/>
          <w:lang w:val="en-US" w:eastAsia="zh-CN"/>
        </w:rPr>
        <w:t xml:space="preserve">中标</w:t>
      </w:r>
      <w:r>
        <w:rPr>
          <w:rFonts w:hint="eastAsia" w:ascii="宋体" w:hAnsi="宋体" w:cs="宋体"/>
          <w:b w:val="0"/>
          <w:bCs w:val="0"/>
          <w:color w:val="auto"/>
          <w:szCs w:val="21"/>
          <w:highlight w:val="none"/>
        </w:rPr>
        <w:t xml:space="preserve">资格或无正当理由终止合同履行的，将列入学校不良行为记录名单，我校有权在学校相关网址公开供应商不良行为黑名单信息，并保留在一至三年内禁止其参加学校采购活动的权利</w:t>
      </w:r>
      <w:r>
        <w:rPr>
          <w:rFonts w:hint="eastAsia" w:ascii="宋体" w:hAnsi="宋体" w:cs="宋体"/>
          <w:b/>
          <w:bCs/>
          <w:color w:val="auto"/>
          <w:szCs w:val="21"/>
          <w:highlight w:val="none"/>
          <w:lang w:eastAsia="zh-CN"/>
        </w:rPr>
        <w:t xml:space="preserve">。</w:t>
      </w:r>
      <w:r/>
    </w:p>
    <w:p>
      <w:pPr>
        <w:ind w:firstLine="422"/>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31、货物（包含与货物相关的服务）的追加</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422"/>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32、政府采购履约资金扶持政策</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中标供应商可凭政府采购合同办理融资贷款，详情请见江苏政府采购网“政采贷”专栏。</w:t>
      </w:r>
      <w:r/>
    </w:p>
    <w:p>
      <w:pPr>
        <w:ind w:firstLine="422"/>
        <w:spacing w:line="360" w:lineRule="auto"/>
        <w:rPr>
          <w:rFonts w:ascii="Times New Roman" w:hAnsi="Times New Roman" w:cs="宋体"/>
          <w:b/>
          <w:color w:val="auto"/>
          <w:szCs w:val="21"/>
          <w:highlight w:val="none"/>
        </w:rPr>
      </w:pPr>
      <w:r>
        <w:rPr>
          <w:rFonts w:hint="eastAsia" w:ascii="Times New Roman" w:hAnsi="Times New Roman" w:cs="宋体"/>
          <w:b/>
          <w:color w:val="auto"/>
          <w:szCs w:val="21"/>
          <w:highlight w:val="none"/>
        </w:rPr>
        <w:t xml:space="preserve">33、电子投标文件要求</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33.1政府采购管理交易系统（苏采云）相关要求是本招标文件的组成部分。</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33.2投标人应对 CA 证书妥善保管，如被他人盗用投标，因此带来的结果均由投标人自行承担。</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33.3投标人应当对招标文件提出的要求和条件作出实质性响应，并在电子投标系统逐条应答。</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bCs/>
          <w:color w:val="auto"/>
          <w:szCs w:val="21"/>
          <w:highlight w:val="none"/>
        </w:rPr>
        <w:t xml:space="preserve">33.4投标人应对要求提供的资格证明文件（如资质证书、资格证书）、技术资料（如白皮书、彩页、手册、检测报告等）扫描上传至投标系统。</w:t>
      </w:r>
      <w:r/>
    </w:p>
    <w:p>
      <w:pPr>
        <w:ind w:firstLine="422"/>
        <w:spacing w:line="360" w:lineRule="auto"/>
        <w:rPr>
          <w:rFonts w:ascii="Times New Roman" w:hAnsi="Times New Roman"/>
          <w:b/>
          <w:color w:val="auto"/>
          <w:szCs w:val="21"/>
          <w:highlight w:val="none"/>
        </w:rPr>
      </w:pPr>
      <w:r>
        <w:rPr>
          <w:rFonts w:hint="eastAsia" w:ascii="Times New Roman" w:hAnsi="Times New Roman" w:cs="宋体"/>
          <w:b/>
          <w:color w:val="auto"/>
          <w:szCs w:val="21"/>
          <w:highlight w:val="none"/>
        </w:rPr>
        <w:t xml:space="preserve">34、</w:t>
      </w:r>
      <w:r>
        <w:rPr>
          <w:rFonts w:hint="eastAsia" w:ascii="Times New Roman" w:hAnsi="Times New Roman"/>
          <w:b/>
          <w:color w:val="auto"/>
          <w:szCs w:val="21"/>
          <w:highlight w:val="none"/>
        </w:rPr>
        <w:t xml:space="preserve">提交投标文件的截止时间（投标截止时间）</w:t>
      </w:r>
      <w:r/>
    </w:p>
    <w:p>
      <w:pPr>
        <w:ind w:firstLine="422"/>
        <w:spacing w:line="360" w:lineRule="auto"/>
        <w:rPr>
          <w:rFonts w:ascii="Times New Roman" w:hAnsi="Times New Roman"/>
          <w:b/>
          <w:color w:val="auto"/>
          <w:szCs w:val="21"/>
          <w:highlight w:val="none"/>
        </w:rPr>
      </w:pPr>
      <w:r>
        <w:rPr>
          <w:rFonts w:hint="eastAsia" w:ascii="Times New Roman" w:hAnsi="Times New Roman"/>
          <w:b/>
          <w:color w:val="auto"/>
          <w:szCs w:val="21"/>
          <w:highlight w:val="none"/>
        </w:rPr>
        <w:t xml:space="preserve">34.1投标人应当在招标文件要求提交投标文件的截止时间前，将投标文件提交至“苏采云”系统，逾期提交的投标文件，“苏采云”系统将自动拒收。</w:t>
      </w:r>
      <w:r/>
    </w:p>
    <w:p>
      <w:pPr>
        <w:ind w:firstLine="420"/>
        <w:spacing w:line="360" w:lineRule="auto"/>
        <w:rPr>
          <w:rFonts w:ascii="Times New Roman" w:hAnsi="Times New Roman" w:cs="宋体"/>
          <w:bCs/>
          <w:color w:val="auto"/>
          <w:szCs w:val="21"/>
          <w:highlight w:val="none"/>
        </w:rPr>
      </w:pPr>
      <w:r>
        <w:rPr>
          <w:rFonts w:hint="eastAsia" w:ascii="Times New Roman" w:hAnsi="Times New Roman"/>
          <w:b/>
          <w:color w:val="auto"/>
          <w:szCs w:val="21"/>
          <w:highlight w:val="none"/>
        </w:rPr>
        <w:t xml:space="preserve">34.2各投标人应在规定时间内凭CA证书进行网上解密。</w:t>
      </w:r>
      <w:r/>
    </w:p>
    <w:p>
      <w:pPr>
        <w:ind w:firstLine="422"/>
        <w:spacing w:line="360" w:lineRule="auto"/>
        <w:rPr>
          <w:rFonts w:ascii="Times New Roman" w:hAnsi="Times New Roman" w:cs="宋体"/>
          <w:b/>
          <w:bCs/>
          <w:color w:val="auto"/>
          <w:highlight w:val="none"/>
        </w:rPr>
      </w:pPr>
      <w:r>
        <w:rPr>
          <w:rFonts w:hint="eastAsia" w:ascii="Times New Roman" w:hAnsi="Times New Roman" w:cs="宋体"/>
          <w:b/>
          <w:bCs/>
          <w:color w:val="auto"/>
          <w:highlight w:val="none"/>
        </w:rPr>
        <w:t xml:space="preserve">35、其他</w:t>
      </w:r>
      <w:r/>
    </w:p>
    <w:p>
      <w:pPr>
        <w:ind w:firstLine="420"/>
        <w:spacing w:line="360" w:lineRule="auto"/>
        <w:rPr>
          <w:rFonts w:ascii="Times New Roman" w:hAnsi="Times New Roman" w:cs="宋体"/>
          <w:bCs/>
          <w:color w:val="auto"/>
          <w:szCs w:val="21"/>
          <w:highlight w:val="none"/>
        </w:rPr>
      </w:pPr>
      <w:r>
        <w:rPr>
          <w:rFonts w:hint="eastAsia" w:ascii="Times New Roman" w:hAnsi="Times New Roman" w:cs="宋体"/>
          <w:color w:val="auto"/>
          <w:highlight w:val="none"/>
        </w:rPr>
        <w:t xml:space="preserve">35.1 依据《政府采购促进中小企业发展管理办法》享受享受扶持政策获得政府采购合同的，小微企业不得将合同分包给大中型企业，中型企业不得将合同分包给大型企业。</w:t>
      </w:r>
      <w:r/>
    </w:p>
    <w:p>
      <w:pPr>
        <w:ind w:firstLine="420"/>
        <w:spacing w:line="360" w:lineRule="auto"/>
        <w:rPr>
          <w:rFonts w:ascii="宋体" w:hAnsi="宋体"/>
          <w:bCs/>
          <w:szCs w:val="21"/>
        </w:rPr>
      </w:pPr>
      <w:r>
        <w:rPr>
          <w:rFonts w:ascii="宋体" w:hAnsi="宋体"/>
          <w:bCs/>
          <w:szCs w:val="21"/>
        </w:rPr>
      </w:r>
      <w:r/>
    </w:p>
    <w:p>
      <w:pPr>
        <w:jc w:val="center"/>
        <w:spacing w:line="360" w:lineRule="auto"/>
        <w:rPr>
          <w:rFonts w:ascii="宋体" w:hAnsi="宋体"/>
          <w:b/>
          <w:bCs/>
          <w:sz w:val="32"/>
          <w:szCs w:val="32"/>
        </w:rPr>
      </w:pPr>
      <w:r>
        <w:rPr>
          <w:rFonts w:hint="eastAsia" w:ascii="宋体" w:hAnsi="宋体"/>
          <w:bCs/>
          <w:szCs w:val="21"/>
        </w:rPr>
        <w:br w:type="page" w:clear="all"/>
      </w:r>
      <w:bookmarkStart w:id="48" w:name="_Toc55204179"/>
      <w:r/>
      <w:bookmarkStart w:id="49" w:name="_Hlk69392822"/>
      <w:r>
        <w:rPr>
          <w:rFonts w:hint="eastAsia" w:ascii="宋体" w:hAnsi="宋体"/>
          <w:b/>
          <w:bCs/>
          <w:sz w:val="44"/>
          <w:szCs w:val="36"/>
        </w:rPr>
        <w:t xml:space="preserve">第三章 合同条款及格式</w:t>
      </w:r>
      <w:bookmarkEnd w:id="48"/>
      <w:r/>
      <w:r/>
    </w:p>
    <w:p>
      <w:pPr>
        <w:pStyle w:val="1031"/>
        <w:ind w:firstLine="420"/>
        <w:spacing w:before="120" w:after="120" w:line="360" w:lineRule="auto"/>
        <w:rPr>
          <w:rFonts w:hAnsi="宋体"/>
          <w:sz w:val="21"/>
        </w:rPr>
      </w:pPr>
      <w:r>
        <w:rPr>
          <w:rFonts w:hint="eastAsia" w:hAnsi="宋体"/>
          <w:sz w:val="21"/>
        </w:rPr>
        <w:t xml:space="preserve">以下为中标后签定本项目合同的通用条款，中标人不得提出实质性的修改，关于专用条款将由采购人与中标人结合本项目具体情况协商后签订。</w:t>
      </w:r>
      <w:r/>
    </w:p>
    <w:p>
      <w:pPr>
        <w:pStyle w:val="832"/>
        <w:jc w:val="center"/>
        <w:rPr>
          <w:rFonts w:hAnsi="宋体"/>
          <w:sz w:val="21"/>
        </w:rPr>
      </w:pPr>
      <w:r>
        <w:rPr>
          <w:rFonts w:hint="eastAsia" w:hAnsi="宋体"/>
          <w:sz w:val="21"/>
        </w:rPr>
        <w:t xml:space="preserve"> </w:t>
      </w:r>
      <w:bookmarkEnd w:id="49"/>
      <w:r/>
      <w:r/>
    </w:p>
    <w:p>
      <w:pPr>
        <w:pStyle w:val="832"/>
        <w:jc w:val="center"/>
        <w:rPr>
          <w:rFonts w:hAnsi="宋体"/>
          <w:sz w:val="21"/>
        </w:rPr>
      </w:pPr>
      <w:r>
        <w:rPr>
          <w:rFonts w:hAnsi="宋体"/>
          <w:sz w:val="21"/>
        </w:rPr>
      </w:r>
      <w:r/>
    </w:p>
    <w:p>
      <w:pPr>
        <w:pStyle w:val="832"/>
        <w:jc w:val="center"/>
        <w:rPr>
          <w:rFonts w:hAnsi="宋体"/>
          <w:sz w:val="21"/>
        </w:rPr>
      </w:pPr>
      <w:r>
        <w:rPr>
          <w:rFonts w:hAnsi="宋体"/>
          <w:sz w:val="21"/>
        </w:rPr>
      </w:r>
      <w:r/>
    </w:p>
    <w:p>
      <w:pPr>
        <w:pStyle w:val="832"/>
        <w:jc w:val="center"/>
        <w:rPr>
          <w:rFonts w:hAnsi="宋体"/>
          <w:sz w:val="21"/>
        </w:rPr>
      </w:pPr>
      <w:r>
        <w:rPr>
          <w:rFonts w:hAnsi="宋体"/>
          <w:sz w:val="21"/>
        </w:rPr>
      </w:r>
      <w:r/>
    </w:p>
    <w:p>
      <w:pPr>
        <w:pStyle w:val="832"/>
        <w:jc w:val="center"/>
        <w:rPr>
          <w:rFonts w:hAnsi="宋体"/>
          <w:sz w:val="21"/>
        </w:rPr>
      </w:pPr>
      <w:r>
        <w:rPr>
          <w:rFonts w:hAnsi="宋体"/>
          <w:sz w:val="21"/>
        </w:rPr>
      </w:r>
      <w:r/>
    </w:p>
    <w:p>
      <w:pPr>
        <w:pStyle w:val="832"/>
        <w:jc w:val="center"/>
        <w:rPr>
          <w:rFonts w:hAnsi="宋体"/>
          <w:sz w:val="21"/>
        </w:rPr>
      </w:pPr>
      <w:r>
        <w:rPr>
          <w:rFonts w:hAnsi="宋体"/>
          <w:sz w:val="21"/>
        </w:rPr>
      </w:r>
      <w:r/>
    </w:p>
    <w:p>
      <w:pPr>
        <w:pStyle w:val="832"/>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832"/>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headerReference w:type="default" r:id="rId9"/>
          <w:footerReference w:type="default" r:id="rId12"/>
          <w:footnotePr/>
          <w:endnotePr/>
          <w:type w:val="nextPage"/>
          <w:pgSz w:w="11906" w:h="16838" w:orient="portrait"/>
          <w:pgMar w:top="1440" w:right="1080" w:bottom="1440" w:left="1080" w:header="851" w:footer="992" w:gutter="0"/>
          <w:pgNumType w:start="1"/>
          <w:cols w:num="1" w:sep="0" w:space="720" w:equalWidth="1"/>
          <w:docGrid w:linePitch="360"/>
        </w:sectPr>
      </w:pPr>
      <w:r>
        <w:rPr>
          <w:rFonts w:eastAsia="黑体"/>
          <w:sz w:val="44"/>
          <w:szCs w:val="44"/>
        </w:rPr>
      </w:r>
      <w:r/>
    </w:p>
    <w:p>
      <w:pPr>
        <w:pStyle w:val="818"/>
        <w:spacing w:line="400" w:lineRule="exact"/>
        <w:rPr>
          <w:rFonts w:ascii="黑体" w:hAnsi="华文中宋" w:eastAsia="黑体"/>
          <w:sz w:val="28"/>
          <w:szCs w:val="28"/>
        </w:rPr>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r/>
    </w:p>
    <w:p>
      <w:pPr>
        <w:pStyle w:val="818"/>
        <w:spacing w:line="400" w:lineRule="exact"/>
        <w:rPr>
          <w:rFonts w:ascii="黑体" w:hAnsi="华文中宋" w:eastAsia="黑体"/>
          <w:sz w:val="28"/>
          <w:szCs w:val="28"/>
        </w:rPr>
      </w:pPr>
      <w:r>
        <w:rPr>
          <w:rFonts w:ascii="黑体" w:hAnsi="华文中宋" w:eastAsia="黑体"/>
          <w:sz w:val="28"/>
          <w:szCs w:val="28"/>
        </w:r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甲方（全称）：</w:t>
      </w:r>
      <w:r>
        <w:rPr>
          <w:rFonts w:ascii="宋体" w:hAnsi="宋体" w:cs="宋体"/>
          <w:color w:val="000000"/>
          <w:u w:val="single"/>
        </w:rPr>
        <w:t xml:space="preserve">     </w:t>
      </w:r>
      <w:r>
        <w:rPr>
          <w:rFonts w:ascii="宋体" w:hAnsi="宋体" w:cs="宋体"/>
          <w:color w:val="000000"/>
        </w:rPr>
        <w:t xml:space="preserve">（采购人、受采购人委托签订合同的单位或采购文件约定的合同甲方）</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乙方1（全称）：</w:t>
      </w:r>
      <w:r>
        <w:rPr>
          <w:rFonts w:ascii="宋体" w:hAnsi="宋体" w:cs="宋体"/>
          <w:color w:val="000000"/>
          <w:u w:val="single"/>
        </w:rPr>
        <w:t xml:space="preserve">     </w:t>
      </w:r>
      <w:r>
        <w:rPr>
          <w:rFonts w:ascii="宋体" w:hAnsi="宋体" w:cs="宋体"/>
          <w:color w:val="000000"/>
        </w:rPr>
        <w:t xml:space="preserve">（供应商）</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乙方2（全称）：</w:t>
      </w:r>
      <w:r>
        <w:rPr>
          <w:rFonts w:ascii="宋体" w:hAnsi="宋体" w:cs="宋体"/>
          <w:color w:val="000000"/>
          <w:u w:val="single"/>
        </w:rPr>
        <w:t xml:space="preserve">          </w:t>
      </w:r>
      <w:r>
        <w:rPr>
          <w:rFonts w:ascii="宋体" w:hAnsi="宋体" w:cs="宋体"/>
          <w:color w:val="000000"/>
        </w:rPr>
        <w:t xml:space="preserve">（联合体成员供应商或其他合同主体）（如有）</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乙方3（全称）</w:t>
      </w:r>
      <w:r>
        <w:rPr>
          <w:rFonts w:ascii="宋体" w:hAnsi="宋体" w:cs="宋体"/>
          <w:color w:val="000000"/>
          <w:u w:val="single"/>
        </w:rPr>
        <w:t xml:space="preserve">            </w:t>
      </w:r>
      <w:r>
        <w:rPr>
          <w:rFonts w:ascii="宋体" w:hAnsi="宋体" w:cs="宋体"/>
          <w:color w:val="000000"/>
        </w:rPr>
        <w:t xml:space="preserve">（联合体成员供应商或其他合同主体）（如有）</w:t>
      </w:r>
      <w:r/>
    </w:p>
    <w:p>
      <w:pPr>
        <w:spacing w:line="40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420"/>
        <w:spacing w:before="21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依据《中华人民共和国民法典》、《中华人民共和国政府采购法》等有关的法律法规，以及本采购项目采购文件（征集文件）、乙方的《投标（响应）文件》及《中标（成交）通知书》，甲乙双方同意签订本合同。具体情况及要求如下：</w:t>
      </w:r>
      <w:r/>
    </w:p>
    <w:p>
      <w:pPr>
        <w:numPr>
          <w:ilvl w:val="0"/>
          <w:numId w:val="4"/>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项目信息</w:t>
      </w:r>
      <w:r/>
    </w:p>
    <w:p>
      <w:pPr>
        <w:spacing w:before="21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（1）采购项目名称：</w:t>
      </w:r>
      <w:r>
        <w:rPr>
          <w:rFonts w:ascii="宋体" w:hAnsi="宋体" w:cs="宋体"/>
          <w:color w:val="000000"/>
          <w:u w:val="single"/>
        </w:rPr>
        <w:t xml:space="preserve">           </w:t>
      </w:r>
      <w:r/>
    </w:p>
    <w:p>
      <w:pPr>
        <w:spacing w:before="21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采购项目编号：</w:t>
      </w:r>
      <w:r>
        <w:rPr>
          <w:rFonts w:ascii="宋体" w:hAnsi="宋体" w:cs="宋体"/>
          <w:color w:val="000000"/>
          <w:u w:val="single"/>
        </w:rPr>
        <w:t xml:space="preserve">           </w:t>
      </w:r>
      <w:r/>
    </w:p>
    <w:p>
      <w:pPr>
        <w:ind w:firstLine="420"/>
        <w:spacing w:before="21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（2）采购计划编号：</w:t>
      </w:r>
      <w:r>
        <w:rPr>
          <w:rFonts w:ascii="宋体" w:hAnsi="宋体" w:cs="宋体"/>
          <w:color w:val="000000"/>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（3）项目内容：</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采购标的及数量（台/套/个/架/组等）：</w:t>
      </w:r>
      <w:r>
        <w:rPr>
          <w:rFonts w:ascii="宋体" w:hAnsi="宋体" w:cs="宋体"/>
          <w:color w:val="000000"/>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品牌：</w:t>
      </w:r>
      <w:r>
        <w:rPr>
          <w:rFonts w:ascii="宋体" w:hAnsi="宋体" w:cs="宋体"/>
          <w:color w:val="000000"/>
          <w:u w:val="single"/>
        </w:rPr>
        <w:t xml:space="preserve">        </w:t>
      </w:r>
      <w:r>
        <w:rPr>
          <w:rFonts w:ascii="宋体" w:hAnsi="宋体" w:cs="宋体"/>
          <w:color w:val="000000"/>
        </w:rPr>
        <w:t xml:space="preserve">     规格型号：</w:t>
      </w:r>
      <w:r>
        <w:rPr>
          <w:rFonts w:ascii="宋体" w:hAnsi="宋体" w:cs="宋体"/>
          <w:color w:val="000000"/>
          <w:u w:val="single"/>
        </w:rPr>
        <w:t xml:space="preserve">         </w:t>
      </w:r>
      <w:r/>
    </w:p>
    <w:p>
      <w:pPr>
        <w:ind w:firstLine="9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采购标的的技术要求、商务要求具体见附件。</w:t>
      </w:r>
      <w:r/>
    </w:p>
    <w:p>
      <w:pPr>
        <w:ind w:firstLine="945"/>
        <w:spacing w:line="400" w:lineRule="atLeast"/>
        <w:pBdr>
          <w:top w:val="none" w:color="000000" w:sz="0" w:space="0"/>
          <w:left w:val="none" w:color="000000" w:sz="0" w:space="0"/>
          <w:bottom w:val="none" w:color="000000" w:sz="0" w:space="0"/>
          <w:right w:val="none" w:color="000000" w:sz="0" w:space="0"/>
        </w:pBdr>
      </w:pPr>
      <w:r>
        <w:rPr>
          <w:rFonts w:hint="eastAsia" w:ascii="微软雅黑" w:hAnsi="微软雅黑" w:eastAsia="微软雅黑" w:cs="微软雅黑"/>
          <w:color w:val="000000"/>
        </w:rPr>
        <w:t xml:space="preserve">①</w:t>
      </w:r>
      <w:r>
        <w:rPr>
          <w:rFonts w:ascii="宋体" w:hAnsi="宋体" w:cs="宋体"/>
          <w:color w:val="000000"/>
        </w:rPr>
        <w:t xml:space="preserve">涉及信息类产品，请填写该产品关键部件的品牌、型号：</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标的名称：</w:t>
      </w:r>
      <w:r>
        <w:rPr>
          <w:rFonts w:ascii="宋体" w:hAnsi="宋体" w:cs="宋体"/>
          <w:color w:val="000000"/>
          <w:u w:val="single"/>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关键部件：</w:t>
      </w:r>
      <w:r>
        <w:rPr>
          <w:rFonts w:ascii="宋体" w:hAnsi="宋体" w:cs="宋体"/>
          <w:color w:val="000000"/>
          <w:u w:val="single"/>
        </w:rPr>
        <w:t xml:space="preserve">    </w:t>
      </w:r>
      <w:r>
        <w:rPr>
          <w:rFonts w:ascii="宋体" w:hAnsi="宋体" w:cs="宋体"/>
          <w:color w:val="000000"/>
        </w:rPr>
        <w:t xml:space="preserve"> 品牌：</w:t>
      </w:r>
      <w:r>
        <w:rPr>
          <w:rFonts w:ascii="宋体" w:hAnsi="宋体" w:cs="宋体"/>
          <w:color w:val="000000"/>
          <w:u w:val="single"/>
        </w:rPr>
        <w:t xml:space="preserve">    </w:t>
      </w:r>
      <w:r>
        <w:rPr>
          <w:rFonts w:ascii="宋体" w:hAnsi="宋体" w:cs="宋体"/>
          <w:color w:val="000000"/>
        </w:rPr>
        <w:t xml:space="preserve"> 型号：</w:t>
      </w:r>
      <w:r>
        <w:rPr>
          <w:rFonts w:ascii="宋体" w:hAnsi="宋体" w:cs="宋体"/>
          <w:color w:val="000000"/>
          <w:u w:val="single"/>
        </w:rPr>
        <w:t xml:space="preserve">    </w:t>
      </w:r>
      <w:r>
        <w:rPr>
          <w:rFonts w:ascii="宋体" w:hAnsi="宋体" w:cs="宋体"/>
          <w:color w:val="000000"/>
        </w:rPr>
        <w:t xml:space="preserve"> </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关键部件</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cs="宋体"/>
          <w:color w:val="000000"/>
        </w:rPr>
        <w:t xml:space="preserve">品牌</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cs="宋体"/>
          <w:color w:val="000000"/>
        </w:rPr>
        <w:t xml:space="preserve">型号</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关键部件</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cs="宋体"/>
          <w:color w:val="000000"/>
        </w:rPr>
        <w:t xml:space="preserve">品牌</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rPr>
          <w:rFonts w:ascii="宋体" w:hAnsi="宋体" w:cs="宋体"/>
          <w:color w:val="000000"/>
        </w:rPr>
        <w:t xml:space="preserve">型号</w:t>
      </w:r>
      <w:r>
        <w:rPr>
          <w:rFonts w:ascii="华文楷体" w:hAnsi="华文楷体" w:eastAsia="华文楷体" w:cs="华文楷体"/>
          <w:color w:val="000000"/>
          <w:sz w:val="22"/>
        </w:rPr>
        <w:t xml:space="preserve">：</w:t>
      </w:r>
      <w:r>
        <w:rPr>
          <w:rFonts w:ascii="华文楷体" w:hAnsi="华文楷体" w:eastAsia="华文楷体" w:cs="华文楷体"/>
          <w:color w:val="000000"/>
          <w:sz w:val="22"/>
          <w:u w:val="single"/>
        </w:rPr>
        <w:t xml:space="preserve">    </w:t>
      </w:r>
      <w:r>
        <w:rPr>
          <w:rFonts w:ascii="华文楷体" w:hAnsi="华文楷体" w:eastAsia="华文楷体" w:cs="华文楷体"/>
          <w:color w:val="000000"/>
          <w:sz w:val="22"/>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（注：关键部件是指财政部会同有关部门发布的政府采购需求标准规定的需要通过国家有关部门指定的测评机构开展的安全可靠测评的软硬件，如CPU芯片、操作系统、数据库等。）</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hint="eastAsia" w:ascii="微软雅黑" w:hAnsi="微软雅黑" w:eastAsia="微软雅黑" w:cs="微软雅黑"/>
          <w:color w:val="000000"/>
        </w:rPr>
        <w:t xml:space="preserve">②</w:t>
      </w:r>
      <w:r>
        <w:rPr>
          <w:rFonts w:ascii="宋体" w:hAnsi="宋体" w:cs="宋体"/>
          <w:color w:val="000000"/>
        </w:rPr>
        <w:t xml:space="preserve">涉及车辆采购，请填写是否属于新能源汽车：</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是，《政府采购品目分类目录》底级品目名称：</w:t>
      </w:r>
      <w:r>
        <w:rPr>
          <w:rFonts w:ascii="宋体" w:hAnsi="宋体" w:cs="宋体"/>
          <w:color w:val="000000"/>
          <w:u w:val="single"/>
        </w:rPr>
        <w:t xml:space="preserve">     </w:t>
      </w:r>
      <w:r>
        <w:rPr>
          <w:rFonts w:ascii="宋体" w:hAnsi="宋体" w:cs="宋体"/>
          <w:color w:val="000000"/>
        </w:rPr>
        <w:t xml:space="preserve"> 数量：</w:t>
      </w:r>
      <w:r>
        <w:rPr>
          <w:rFonts w:ascii="宋体" w:hAnsi="宋体" w:cs="宋体"/>
          <w:color w:val="000000"/>
          <w:u w:val="single"/>
        </w:rPr>
        <w:t xml:space="preserve">    </w:t>
      </w:r>
      <w:r>
        <w:rPr>
          <w:rFonts w:ascii="宋体" w:hAnsi="宋体" w:cs="宋体"/>
          <w:color w:val="000000"/>
        </w:rPr>
        <w:t xml:space="preserve"> 金额：</w:t>
      </w:r>
      <w:r>
        <w:rPr>
          <w:rFonts w:ascii="宋体" w:hAnsi="宋体" w:cs="宋体"/>
          <w:color w:val="000000"/>
          <w:u w:val="single"/>
        </w:rPr>
        <w:t xml:space="preserve">     </w:t>
      </w:r>
      <w:r>
        <w:rPr>
          <w:rFonts w:ascii="宋体" w:hAnsi="宋体" w:cs="宋体"/>
          <w:color w:val="000000"/>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（4）政府采购组织形式：</w:t>
      </w:r>
      <w:r>
        <w:rPr>
          <w:rFonts w:ascii="Wingdings" w:hAnsi="Wingdings" w:eastAsia="Wingdings" w:cs="Wingdings"/>
          <w:color w:val="000000"/>
        </w:rPr>
        <w:t xml:space="preserve"></w:t>
      </w:r>
      <w:r>
        <w:rPr>
          <w:rFonts w:ascii="宋体" w:hAnsi="宋体" w:cs="宋体"/>
          <w:color w:val="000000"/>
        </w:rPr>
        <w:t xml:space="preserve">政府集中采购</w:t>
      </w:r>
      <w:r>
        <w:rPr>
          <w:rFonts w:ascii="Wingdings" w:hAnsi="Wingdings" w:eastAsia="Wingdings" w:cs="Wingdings"/>
          <w:color w:val="000000"/>
        </w:rPr>
        <w:t xml:space="preserve"></w:t>
      </w:r>
      <w:r>
        <w:rPr>
          <w:rFonts w:ascii="宋体" w:hAnsi="宋体" w:cs="宋体"/>
          <w:color w:val="000000"/>
        </w:rPr>
        <w:t xml:space="preserve">部门集中采购</w:t>
      </w:r>
      <w:r>
        <w:rPr>
          <w:rFonts w:ascii="Wingdings" w:hAnsi="Wingdings" w:eastAsia="Wingdings" w:cs="Wingdings"/>
          <w:color w:val="000000"/>
        </w:rPr>
        <w:t xml:space="preserve"></w:t>
      </w:r>
      <w:r>
        <w:rPr>
          <w:rFonts w:ascii="宋体" w:hAnsi="宋体" w:cs="宋体"/>
          <w:color w:val="000000"/>
        </w:rPr>
        <w:t xml:space="preserve">分散采购</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（5）政府采购方式：</w:t>
      </w:r>
      <w:r>
        <w:rPr>
          <w:rFonts w:ascii="Wingdings" w:hAnsi="Wingdings" w:eastAsia="Wingdings" w:cs="Wingdings"/>
          <w:color w:val="000000"/>
        </w:rPr>
        <w:t xml:space="preserve"></w:t>
      </w:r>
      <w:r>
        <w:rPr>
          <w:rFonts w:ascii="宋体" w:hAnsi="宋体" w:cs="宋体"/>
          <w:color w:val="000000"/>
        </w:rPr>
        <w:t xml:space="preserve">公开招标 </w:t>
      </w:r>
      <w:r>
        <w:rPr>
          <w:rFonts w:ascii="Wingdings" w:hAnsi="Wingdings" w:eastAsia="Wingdings" w:cs="Wingdings"/>
          <w:color w:val="000000"/>
        </w:rPr>
        <w:t xml:space="preserve"></w:t>
      </w:r>
      <w:r>
        <w:rPr>
          <w:rFonts w:ascii="宋体" w:hAnsi="宋体" w:cs="宋体"/>
          <w:color w:val="000000"/>
        </w:rPr>
        <w:t xml:space="preserve">邀请招标 </w:t>
      </w:r>
      <w:r>
        <w:rPr>
          <w:rFonts w:ascii="Wingdings" w:hAnsi="Wingdings" w:eastAsia="Wingdings" w:cs="Wingdings"/>
          <w:color w:val="000000"/>
        </w:rPr>
        <w:t xml:space="preserve"></w:t>
      </w:r>
      <w:r>
        <w:rPr>
          <w:rFonts w:ascii="宋体" w:hAnsi="宋体" w:cs="宋体"/>
          <w:color w:val="000000"/>
        </w:rPr>
        <w:t xml:space="preserve">竞争性谈判 </w:t>
      </w:r>
      <w:r>
        <w:rPr>
          <w:rFonts w:ascii="Wingdings" w:hAnsi="Wingdings" w:eastAsia="Wingdings" w:cs="Wingdings"/>
          <w:color w:val="000000"/>
        </w:rPr>
        <w:t xml:space="preserve"></w:t>
      </w:r>
      <w:r>
        <w:rPr>
          <w:rFonts w:ascii="宋体" w:hAnsi="宋体" w:cs="宋体"/>
          <w:color w:val="000000"/>
        </w:rPr>
        <w:t xml:space="preserve">竞争性磋商</w:t>
      </w:r>
      <w:r/>
    </w:p>
    <w:p>
      <w:pPr>
        <w:ind w:firstLine="420"/>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rPr>
          <w:rFonts w:ascii="Wingdings" w:hAnsi="Wingdings" w:eastAsia="Wingdings" w:cs="Wingdings"/>
          <w:color w:val="000000"/>
        </w:rPr>
        <w:t xml:space="preserve"></w:t>
      </w:r>
      <w:r>
        <w:rPr>
          <w:rFonts w:ascii="宋体" w:hAnsi="宋体" w:cs="宋体"/>
          <w:color w:val="000000"/>
        </w:rPr>
        <w:t xml:space="preserve">询价 </w:t>
      </w:r>
      <w:r>
        <w:rPr>
          <w:rFonts w:ascii="Wingdings" w:hAnsi="Wingdings" w:eastAsia="Wingdings" w:cs="Wingdings"/>
          <w:color w:val="000000"/>
        </w:rPr>
        <w:t xml:space="preserve"></w:t>
      </w:r>
      <w:r>
        <w:rPr>
          <w:rFonts w:ascii="宋体" w:hAnsi="宋体" w:cs="宋体"/>
          <w:color w:val="000000"/>
        </w:rPr>
        <w:t xml:space="preserve">单一来源 </w:t>
      </w:r>
      <w:r>
        <w:rPr>
          <w:rFonts w:ascii="Wingdings" w:hAnsi="Wingdings" w:eastAsia="Wingdings" w:cs="Wingdings"/>
          <w:color w:val="000000"/>
        </w:rPr>
        <w:t xml:space="preserve"></w:t>
      </w:r>
      <w:r>
        <w:rPr>
          <w:rFonts w:ascii="宋体" w:hAnsi="宋体" w:cs="宋体"/>
          <w:color w:val="000000"/>
        </w:rPr>
        <w:t xml:space="preserve">框架协议 </w:t>
      </w:r>
      <w:r>
        <w:rPr>
          <w:rFonts w:ascii="Wingdings" w:hAnsi="Wingdings" w:eastAsia="Wingdings" w:cs="Wingdings"/>
          <w:color w:val="000000"/>
        </w:rPr>
        <w:t xml:space="preserve"></w:t>
      </w:r>
      <w:r>
        <w:rPr>
          <w:rFonts w:ascii="宋体" w:hAnsi="宋体" w:cs="宋体"/>
          <w:color w:val="000000"/>
        </w:rPr>
        <w:t xml:space="preserve">其他：</w:t>
      </w:r>
      <w:r>
        <w:rPr>
          <w:rFonts w:ascii="宋体" w:hAnsi="宋体" w:cs="宋体"/>
          <w:color w:val="000000"/>
          <w:u w:val="single"/>
        </w:rPr>
        <w:t xml:space="preserve">          </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（注：在框架协议采购的第二阶段，可选择使用该合同文本）</w:t>
      </w:r>
      <w:r/>
    </w:p>
    <w:p>
      <w:pPr>
        <w:numPr>
          <w:ilvl w:val="0"/>
          <w:numId w:val="5"/>
        </w:num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中标（成交）采购标的制造商是否为中小企业：</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left="275" w:firstLine="315"/>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本合同是否为专门面向中小企业的采购合同（中小企业预留合同）：</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left="275" w:firstLine="525"/>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若本项目不专门面向中小企业采购，是否给予小微企业评审优惠：</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left="275" w:firstLine="525"/>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中标（成交）采购标的制造商是否为残疾人福利性单位：</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left="275" w:firstLine="525"/>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中标（成交）采购标的制造商是否为监狱企业：</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（7）合同是否分包：</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分包主要内容：</w:t>
      </w:r>
      <w:r>
        <w:rPr>
          <w:rFonts w:ascii="宋体" w:hAnsi="宋体" w:cs="宋体"/>
          <w:color w:val="000000"/>
          <w:u w:val="single"/>
        </w:rPr>
        <w:t xml:space="preserve">         </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分包供应商/制造商名称（如供应商和制造商不同，请分别填写）：</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宋体" w:hAnsi="宋体" w:cs="宋体"/>
          <w:color w:val="000000"/>
          <w:u w:val="single"/>
        </w:rPr>
        <w:t xml:space="preserve">             </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分包供应商/制造商类型（如果供应商和制造商不同，只填写制造商类型）：</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大型企业</w:t>
      </w:r>
      <w:r>
        <w:rPr>
          <w:rFonts w:ascii="Wingdings" w:hAnsi="Wingdings" w:eastAsia="Wingdings" w:cs="Wingdings"/>
          <w:color w:val="000000"/>
        </w:rPr>
        <w:t xml:space="preserve"></w:t>
      </w:r>
      <w:r>
        <w:rPr>
          <w:rFonts w:ascii="宋体" w:hAnsi="宋体" w:cs="宋体"/>
          <w:color w:val="000000"/>
        </w:rPr>
        <w:t xml:space="preserve">中型企业</w:t>
      </w:r>
      <w:r>
        <w:rPr>
          <w:rFonts w:ascii="Wingdings" w:hAnsi="Wingdings" w:eastAsia="Wingdings" w:cs="Wingdings"/>
          <w:color w:val="000000"/>
        </w:rPr>
        <w:t xml:space="preserve"></w:t>
      </w:r>
      <w:r>
        <w:rPr>
          <w:rFonts w:ascii="宋体" w:hAnsi="宋体" w:cs="宋体"/>
          <w:color w:val="000000"/>
        </w:rPr>
        <w:t xml:space="preserve">小微型企业</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残疾人福利性单位 </w:t>
      </w:r>
      <w:r>
        <w:rPr>
          <w:rFonts w:ascii="Wingdings" w:hAnsi="Wingdings" w:eastAsia="Wingdings" w:cs="Wingdings"/>
          <w:color w:val="000000"/>
        </w:rPr>
        <w:t xml:space="preserve"></w:t>
      </w:r>
      <w:r>
        <w:rPr>
          <w:rFonts w:ascii="宋体" w:hAnsi="宋体" w:cs="宋体"/>
          <w:color w:val="000000"/>
        </w:rPr>
        <w:t xml:space="preserve">监狱企业 </w:t>
      </w:r>
      <w:r>
        <w:rPr>
          <w:rFonts w:ascii="Wingdings" w:hAnsi="Wingdings" w:eastAsia="Wingdings" w:cs="Wingdings"/>
          <w:color w:val="000000"/>
        </w:rPr>
        <w:t xml:space="preserve"></w:t>
      </w:r>
      <w:r>
        <w:rPr>
          <w:rFonts w:ascii="宋体" w:hAnsi="宋体" w:cs="宋体"/>
          <w:color w:val="000000"/>
        </w:rPr>
        <w:t xml:space="preserve">其他</w:t>
      </w:r>
      <w:r/>
    </w:p>
    <w:p>
      <w:pPr>
        <w:ind w:firstLine="52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(8)中标（成交）供应商是否为外商投资企业：</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left="275" w:firstLine="73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外商投资企业类型：</w:t>
      </w:r>
      <w:r>
        <w:rPr>
          <w:rFonts w:ascii="Wingdings" w:hAnsi="Wingdings" w:eastAsia="Wingdings" w:cs="Wingdings"/>
          <w:color w:val="000000"/>
        </w:rPr>
        <w:t xml:space="preserve"></w:t>
      </w:r>
      <w:r>
        <w:rPr>
          <w:rFonts w:ascii="宋体" w:hAnsi="宋体" w:cs="宋体"/>
          <w:color w:val="000000"/>
        </w:rPr>
        <w:t xml:space="preserve">全部由外国投资者投资</w:t>
      </w:r>
      <w:r>
        <w:rPr>
          <w:rFonts w:ascii="Wingdings" w:hAnsi="Wingdings" w:eastAsia="Wingdings" w:cs="Wingdings"/>
          <w:color w:val="000000"/>
        </w:rPr>
        <w:t xml:space="preserve"></w:t>
      </w:r>
      <w:r>
        <w:rPr>
          <w:rFonts w:ascii="宋体" w:hAnsi="宋体" w:cs="宋体"/>
          <w:color w:val="000000"/>
        </w:rPr>
        <w:t xml:space="preserve">部分由外国投资者投资</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（9）是否涉及进口产品：</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是，《政府采购品目分类目录》底级品目名称：</w:t>
      </w:r>
      <w:r>
        <w:rPr>
          <w:rFonts w:ascii="宋体" w:hAnsi="宋体" w:cs="宋体"/>
          <w:color w:val="000000"/>
          <w:u w:val="single"/>
        </w:rPr>
        <w:t xml:space="preserve">  </w:t>
      </w:r>
      <w:r>
        <w:rPr>
          <w:rFonts w:ascii="宋体" w:hAnsi="宋体" w:cs="宋体"/>
          <w:color w:val="000000"/>
        </w:rPr>
        <w:t xml:space="preserve"> 金额：</w:t>
      </w:r>
      <w:r>
        <w:rPr>
          <w:rFonts w:ascii="宋体" w:hAnsi="宋体" w:cs="宋体"/>
          <w:color w:val="000000"/>
          <w:u w:val="single"/>
        </w:rPr>
        <w:t xml:space="preserve">  </w:t>
      </w:r>
      <w:r>
        <w:rPr>
          <w:rFonts w:ascii="宋体" w:hAnsi="宋体" w:cs="宋体"/>
          <w:color w:val="000000"/>
        </w:rPr>
        <w:t xml:space="preserve"> </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国别：</w:t>
      </w:r>
      <w:r>
        <w:rPr>
          <w:rFonts w:ascii="宋体" w:hAnsi="宋体" w:cs="宋体"/>
          <w:color w:val="000000"/>
          <w:u w:val="single"/>
        </w:rPr>
        <w:t xml:space="preserve">  </w:t>
      </w:r>
      <w:r>
        <w:rPr>
          <w:rFonts w:ascii="宋体" w:hAnsi="宋体" w:cs="宋体"/>
          <w:color w:val="000000"/>
        </w:rPr>
        <w:t xml:space="preserve"> 品牌：</w:t>
      </w:r>
      <w:r>
        <w:rPr>
          <w:rFonts w:ascii="宋体" w:hAnsi="宋体" w:cs="宋体"/>
          <w:color w:val="000000"/>
          <w:u w:val="single"/>
        </w:rPr>
        <w:t xml:space="preserve">  </w:t>
      </w:r>
      <w:r>
        <w:rPr>
          <w:rFonts w:ascii="宋体" w:hAnsi="宋体" w:cs="宋体"/>
          <w:color w:val="000000"/>
        </w:rPr>
        <w:t xml:space="preserve"> 规格型号：</w:t>
      </w:r>
      <w:r>
        <w:rPr>
          <w:rFonts w:ascii="宋体" w:hAnsi="宋体" w:cs="宋体"/>
          <w:color w:val="000000"/>
          <w:u w:val="single"/>
        </w:rPr>
        <w:t xml:space="preserve">  </w:t>
      </w:r>
      <w:r>
        <w:rPr>
          <w:rFonts w:ascii="宋体" w:hAnsi="宋体" w:cs="宋体"/>
          <w:color w:val="000000"/>
        </w:rPr>
        <w:t xml:space="preserve"> </w:t>
      </w:r>
      <w:r/>
    </w:p>
    <w:p>
      <w:pPr>
        <w:ind w:firstLine="8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numPr>
          <w:ilvl w:val="0"/>
          <w:numId w:val="6"/>
        </w:num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是否涉及节能产品：</w:t>
      </w:r>
      <w:r/>
    </w:p>
    <w:p>
      <w:pPr>
        <w:ind w:firstLine="105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w:t>
      </w:r>
      <w:r>
        <w:rPr>
          <w:rFonts w:ascii="宋体" w:hAnsi="宋体" w:cs="宋体"/>
          <w:color w:val="000000"/>
        </w:rPr>
        <w:t xml:space="preserve">是，《节能产品政府采购品目清单》的底级品目名称：</w:t>
      </w:r>
      <w:r>
        <w:rPr>
          <w:rFonts w:ascii="宋体" w:hAnsi="宋体" w:cs="宋体"/>
          <w:color w:val="000000"/>
          <w:u w:val="single"/>
        </w:rPr>
        <w:t xml:space="preserve">  </w:t>
      </w:r>
      <w:r>
        <w:rPr>
          <w:rFonts w:ascii="宋体" w:hAnsi="宋体" w:cs="宋体"/>
          <w:color w:val="000000"/>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强制采购    </w:t>
      </w:r>
      <w:r>
        <w:rPr>
          <w:rFonts w:ascii="Wingdings" w:hAnsi="Wingdings" w:eastAsia="Wingdings" w:cs="Wingdings"/>
          <w:color w:val="000000"/>
        </w:rPr>
        <w:t xml:space="preserve"></w:t>
      </w:r>
      <w:r>
        <w:rPr>
          <w:rFonts w:ascii="宋体" w:hAnsi="宋体" w:cs="宋体"/>
          <w:color w:val="000000"/>
        </w:rPr>
        <w:t xml:space="preserve">优先采购</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是否涉及环境标志产品：</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是，《环境标志产品政府采购品目清单》的底级品目名称：</w:t>
      </w:r>
      <w:r>
        <w:rPr>
          <w:rFonts w:ascii="宋体" w:hAnsi="宋体" w:cs="宋体"/>
          <w:color w:val="000000"/>
          <w:u w:val="single"/>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强制采购   </w:t>
      </w:r>
      <w:r>
        <w:rPr>
          <w:rFonts w:ascii="Wingdings" w:hAnsi="Wingdings" w:eastAsia="Wingdings" w:cs="Wingdings"/>
          <w:color w:val="000000"/>
        </w:rPr>
        <w:t xml:space="preserve"></w:t>
      </w:r>
      <w:r>
        <w:rPr>
          <w:rFonts w:ascii="宋体" w:hAnsi="宋体" w:cs="宋体"/>
          <w:color w:val="000000"/>
        </w:rPr>
        <w:t xml:space="preserve">优先采购</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rPr>
        <w:t xml:space="preserve">                   </w:t>
      </w:r>
      <w:r>
        <w:rPr>
          <w:rFonts w:ascii="宋体" w:hAnsi="宋体" w:cs="宋体"/>
          <w:color w:val="000000"/>
        </w:rPr>
        <w:t xml:space="preserve">是否涉及绿色产品： </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是，绿色产品政府采购相关政策确定的底级品目名称：</w:t>
      </w:r>
      <w:r>
        <w:rPr>
          <w:rFonts w:ascii="宋体" w:hAnsi="宋体" w:cs="宋体"/>
          <w:color w:val="000000"/>
          <w:u w:val="single"/>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强制采购   </w:t>
      </w:r>
      <w:r>
        <w:rPr>
          <w:rFonts w:ascii="Wingdings" w:hAnsi="Wingdings" w:eastAsia="Wingdings" w:cs="Wingdings"/>
          <w:color w:val="000000"/>
        </w:rPr>
        <w:t xml:space="preserve"></w:t>
      </w:r>
      <w:r>
        <w:rPr>
          <w:rFonts w:ascii="宋体" w:hAnsi="宋体" w:cs="宋体"/>
          <w:color w:val="000000"/>
        </w:rPr>
        <w:t xml:space="preserve">优先采购</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（11）涉及商品包装和快递包装的，是否参考《商品包装政府采购需求标准（试行）》、《快递包装政府采购需求标准（试行）》明确产品及相关快递服务的具体包装要求：</w:t>
      </w:r>
      <w:r/>
    </w:p>
    <w:p>
      <w:pPr>
        <w:ind w:firstLine="84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rPr>
          <w:rFonts w:ascii="Wingdings" w:hAnsi="Wingdings" w:eastAsia="Wingdings" w:cs="Wingdings"/>
          <w:color w:val="000000"/>
        </w:rPr>
        <w:t xml:space="preserve"></w:t>
      </w:r>
      <w:r>
        <w:rPr>
          <w:rFonts w:ascii="宋体" w:hAnsi="宋体" w:cs="宋体"/>
          <w:color w:val="000000"/>
        </w:rPr>
        <w:t xml:space="preserve">不涉及</w:t>
      </w:r>
      <w:r/>
    </w:p>
    <w:p>
      <w:pPr>
        <w:ind w:firstLine="527"/>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2.合同金额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（1）合同金额小写：</w:t>
      </w:r>
      <w:r>
        <w:rPr>
          <w:rFonts w:ascii="宋体" w:hAnsi="宋体" w:cs="宋体"/>
          <w:color w:val="000000"/>
          <w:u w:val="single"/>
        </w:rPr>
        <w:t xml:space="preserve">  </w:t>
      </w:r>
      <w:r>
        <w:rPr>
          <w:rFonts w:ascii="宋体" w:hAnsi="宋体" w:cs="宋体"/>
          <w:color w:val="000000"/>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大写：</w:t>
      </w:r>
      <w:r>
        <w:rPr>
          <w:rFonts w:ascii="宋体" w:hAnsi="宋体" w:cs="宋体"/>
          <w:color w:val="000000"/>
          <w:u w:val="single"/>
        </w:rPr>
        <w:t xml:space="preserve">  </w:t>
      </w:r>
      <w:r>
        <w:rPr>
          <w:rFonts w:ascii="宋体" w:hAnsi="宋体" w:cs="宋体"/>
          <w:color w:val="000000"/>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分包金额（如有）小写：</w:t>
      </w:r>
      <w:r>
        <w:rPr>
          <w:rFonts w:ascii="宋体" w:hAnsi="宋体" w:cs="宋体"/>
          <w:color w:val="000000"/>
          <w:u w:val="single"/>
        </w:rPr>
        <w:t xml:space="preserve">  </w:t>
      </w:r>
      <w:r>
        <w:rPr>
          <w:rFonts w:ascii="宋体" w:hAnsi="宋体" w:cs="宋体"/>
          <w:color w:val="000000"/>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大写：</w:t>
      </w:r>
      <w:r>
        <w:rPr>
          <w:rFonts w:ascii="宋体" w:hAnsi="宋体" w:cs="宋体"/>
          <w:color w:val="000000"/>
          <w:u w:val="single"/>
        </w:rPr>
        <w:t xml:space="preserve">  </w:t>
      </w:r>
      <w:r>
        <w:rPr>
          <w:rFonts w:ascii="宋体" w:hAnsi="宋体" w:cs="宋体"/>
          <w:color w:val="000000"/>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（注：固定单价合同应填写单价和最高限价）</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（2）合同定价方式（采用组合定价方式的，可以勾选多项）：</w:t>
      </w:r>
      <w:r/>
    </w:p>
    <w:p>
      <w:pPr>
        <w:ind w:firstLine="42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w:t>
      </w:r>
      <w:r>
        <w:rPr>
          <w:rFonts w:ascii="宋体" w:hAnsi="宋体" w:cs="宋体"/>
          <w:color w:val="000000"/>
        </w:rPr>
        <w:t xml:space="preserve">固定总价 </w:t>
      </w:r>
      <w:r>
        <w:rPr>
          <w:rFonts w:ascii="Wingdings" w:hAnsi="Wingdings" w:eastAsia="Wingdings" w:cs="Wingdings"/>
          <w:color w:val="000000"/>
        </w:rPr>
        <w:t xml:space="preserve"></w:t>
      </w:r>
      <w:r>
        <w:rPr>
          <w:rFonts w:ascii="宋体" w:hAnsi="宋体" w:cs="宋体"/>
          <w:color w:val="000000"/>
        </w:rPr>
        <w:t xml:space="preserve">固定单价 </w:t>
      </w:r>
      <w:r>
        <w:rPr>
          <w:rFonts w:ascii="Wingdings" w:hAnsi="Wingdings" w:eastAsia="Wingdings" w:cs="Wingdings"/>
          <w:color w:val="000000"/>
        </w:rPr>
        <w:t xml:space="preserve"></w:t>
      </w:r>
      <w:r>
        <w:rPr>
          <w:rFonts w:ascii="宋体" w:hAnsi="宋体" w:cs="宋体"/>
          <w:color w:val="000000"/>
        </w:rPr>
        <w:t xml:space="preserve">固定费率 </w:t>
      </w:r>
      <w:r>
        <w:rPr>
          <w:rFonts w:ascii="Wingdings" w:hAnsi="Wingdings" w:eastAsia="Wingdings" w:cs="Wingdings"/>
          <w:color w:val="000000"/>
        </w:rPr>
        <w:t xml:space="preserve"></w:t>
      </w:r>
      <w:r>
        <w:rPr>
          <w:rFonts w:ascii="宋体" w:hAnsi="宋体" w:cs="宋体"/>
          <w:color w:val="000000"/>
        </w:rPr>
        <w:t xml:space="preserve">成本补偿 </w:t>
      </w:r>
      <w:r>
        <w:rPr>
          <w:rFonts w:ascii="Wingdings" w:hAnsi="Wingdings" w:eastAsia="Wingdings" w:cs="Wingdings"/>
          <w:color w:val="000000"/>
        </w:rPr>
        <w:t xml:space="preserve"></w:t>
      </w:r>
      <w:r>
        <w:rPr>
          <w:rFonts w:ascii="宋体" w:hAnsi="宋体" w:cs="宋体"/>
          <w:color w:val="000000"/>
        </w:rPr>
        <w:t xml:space="preserve">绩效激励 </w:t>
      </w:r>
      <w:r>
        <w:rPr>
          <w:rFonts w:ascii="Wingdings" w:hAnsi="Wingdings" w:eastAsia="Wingdings" w:cs="Wingdings"/>
          <w:color w:val="000000"/>
        </w:rPr>
        <w:t xml:space="preserve"></w:t>
      </w:r>
      <w:r>
        <w:rPr>
          <w:rFonts w:ascii="宋体" w:hAnsi="宋体" w:cs="宋体"/>
          <w:color w:val="000000"/>
        </w:rPr>
        <w:t xml:space="preserve">其他</w:t>
      </w:r>
      <w:r>
        <w:rPr>
          <w:rFonts w:ascii="宋体" w:hAnsi="宋体" w:cs="宋体"/>
          <w:color w:val="000000"/>
          <w:u w:val="single"/>
        </w:rPr>
        <w:t xml:space="preserve">    </w:t>
      </w:r>
      <w:r/>
    </w:p>
    <w:p>
      <w:pPr>
        <w:ind w:firstLine="42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（3）付款方式（按项目实际勾选填写）：</w:t>
      </w:r>
      <w:r/>
    </w:p>
    <w:p>
      <w:pPr>
        <w:ind w:firstLine="630"/>
        <w:spacing w:line="400" w:lineRule="atLeast"/>
        <w:rPr>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highlight w:val="none"/>
        </w:rPr>
        <w:t xml:space="preserve"></w:t>
      </w:r>
      <w:r>
        <w:rPr>
          <w:rFonts w:ascii="宋体" w:hAnsi="宋体" w:cs="宋体"/>
          <w:color w:val="000000"/>
          <w:highlight w:val="none"/>
        </w:rPr>
        <w:t xml:space="preserve">全额付款：</w:t>
      </w:r>
      <w:r>
        <w:rPr>
          <w:rFonts w:ascii="宋体" w:hAnsi="宋体" w:cs="宋体"/>
          <w:color w:val="000000"/>
          <w:highlight w:val="none"/>
          <w:u w:val="single"/>
        </w:rPr>
        <w:t xml:space="preserve">  （应明确一次性支付合同款项的条件）</w:t>
      </w:r>
      <w:r/>
    </w:p>
    <w:p>
      <w:pPr>
        <w:ind w:firstLine="636"/>
        <w:rPr>
          <w:rFonts w:ascii="宋体" w:hAnsi="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Segoe UI Symbol" w:hAnsi="Segoe UI Symbol" w:cs="Segoe UI Symbol"/>
          <w:color w:val="000000"/>
          <w:spacing w:val="1"/>
          <w:highlight w:val="none"/>
        </w:rPr>
        <w:t xml:space="preserve">☑</w:t>
      </w:r>
      <w:r>
        <w:rPr>
          <w:rFonts w:ascii="宋体" w:hAnsi="宋体" w:cs="宋体"/>
          <w:color w:val="000000"/>
          <w:highlight w:val="none"/>
        </w:rPr>
        <w:t xml:space="preserve">分期付款：</w:t>
      </w:r>
      <w:r>
        <w:rPr>
          <w:rFonts w:hint="eastAsia" w:ascii="宋体" w:hAnsi="宋体" w:cs="宋体"/>
          <w:color w:val="000000" w:themeColor="text1"/>
          <w:highlight w:val="none"/>
          <w14:textFill>
            <w14:solidFill>
              <w14:schemeClr w14:val="tx1"/>
            </w14:solidFill>
          </w14:textFill>
        </w:rPr>
        <w:t xml:space="preserve">1、合同签订后，乙方向甲方开具发票，甲方自收到发票之日起10个工作日内支付合同总价30%的预付款；</w:t>
      </w:r>
      <w:r/>
    </w:p>
    <w:p>
      <w:pPr>
        <w:ind w:firstLine="636"/>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highlight w:val="none"/>
          <w14:textFill>
            <w14:solidFill>
              <w14:schemeClr w14:val="tx1"/>
            </w14:solidFill>
          </w14:textFill>
        </w:rPr>
        <w:t xml:space="preserve">2、项目验收合格后，乙方向甲方开具发票，甲方自收到发票之日起10个工作日内付清剩余款项。</w:t>
      </w:r>
      <w:r/>
    </w:p>
    <w:p>
      <w:pPr>
        <w:ind w:firstLine="63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w:t>
      </w:r>
      <w:r>
        <w:rPr>
          <w:rFonts w:ascii="宋体" w:hAnsi="宋体" w:cs="宋体"/>
          <w:color w:val="000000"/>
        </w:rPr>
        <w:t xml:space="preserve">成本补偿：</w:t>
      </w:r>
      <w:r>
        <w:rPr>
          <w:rFonts w:ascii="宋体" w:hAnsi="宋体" w:cs="宋体"/>
          <w:color w:val="000000"/>
          <w:u w:val="single"/>
        </w:rPr>
        <w:t xml:space="preserve">（应明确按照成本补偿方式的支付方式和支付条件）</w:t>
      </w:r>
      <w:r/>
    </w:p>
    <w:p>
      <w:pPr>
        <w:ind w:firstLine="630"/>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w:t>
      </w:r>
      <w:r>
        <w:rPr>
          <w:rFonts w:ascii="宋体" w:hAnsi="宋体" w:cs="宋体"/>
          <w:color w:val="000000"/>
        </w:rPr>
        <w:t xml:space="preserve">绩效激励：</w:t>
      </w:r>
      <w:r>
        <w:rPr>
          <w:rFonts w:ascii="宋体" w:hAnsi="宋体" w:cs="宋体"/>
          <w:color w:val="000000"/>
          <w:u w:val="single"/>
        </w:rPr>
        <w:t xml:space="preserve">（应明确按照绩效激励方式的支付方式和支付条件）</w:t>
      </w:r>
      <w:r/>
    </w:p>
    <w:p>
      <w:pPr>
        <w:numPr>
          <w:ilvl w:val="0"/>
          <w:numId w:val="7"/>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合同履行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（1）起始日期：</w:t>
      </w:r>
      <w:r>
        <w:rPr>
          <w:rFonts w:ascii="宋体" w:hAnsi="宋体" w:cs="宋体"/>
          <w:color w:val="000000"/>
          <w:u w:val="single"/>
        </w:rPr>
        <w:t xml:space="preserve">    </w:t>
      </w:r>
      <w:r>
        <w:rPr>
          <w:rFonts w:ascii="宋体" w:hAnsi="宋体" w:cs="宋体"/>
          <w:color w:val="000000"/>
        </w:rPr>
        <w:t xml:space="preserve">年</w:t>
      </w:r>
      <w:r>
        <w:rPr>
          <w:rFonts w:ascii="宋体" w:hAnsi="宋体" w:cs="宋体"/>
          <w:color w:val="000000"/>
          <w:u w:val="single"/>
        </w:rPr>
        <w:t xml:space="preserve">   </w:t>
      </w:r>
      <w:r>
        <w:rPr>
          <w:rFonts w:ascii="宋体" w:hAnsi="宋体" w:cs="宋体"/>
          <w:color w:val="000000"/>
        </w:rPr>
        <w:t xml:space="preserve">月</w:t>
      </w:r>
      <w:r>
        <w:rPr>
          <w:rFonts w:ascii="宋体" w:hAnsi="宋体" w:cs="宋体"/>
          <w:color w:val="000000"/>
          <w:u w:val="single"/>
        </w:rPr>
        <w:t xml:space="preserve">   </w:t>
      </w:r>
      <w:r>
        <w:rPr>
          <w:rFonts w:ascii="宋体" w:hAnsi="宋体" w:cs="宋体"/>
          <w:color w:val="000000"/>
        </w:rPr>
        <w:t xml:space="preserve">日，完成日期：</w:t>
      </w:r>
      <w:r>
        <w:rPr>
          <w:rFonts w:ascii="宋体" w:hAnsi="宋体" w:cs="宋体"/>
          <w:color w:val="000000"/>
          <w:u w:val="single"/>
        </w:rPr>
        <w:t xml:space="preserve">    </w:t>
      </w:r>
      <w:r>
        <w:rPr>
          <w:rFonts w:ascii="宋体" w:hAnsi="宋体" w:cs="宋体"/>
          <w:color w:val="000000"/>
        </w:rPr>
        <w:t xml:space="preserve">年</w:t>
      </w:r>
      <w:r>
        <w:rPr>
          <w:rFonts w:ascii="宋体" w:hAnsi="宋体" w:cs="宋体"/>
          <w:color w:val="000000"/>
          <w:u w:val="single"/>
        </w:rPr>
        <w:t xml:space="preserve">   </w:t>
      </w:r>
      <w:r>
        <w:rPr>
          <w:rFonts w:ascii="宋体" w:hAnsi="宋体" w:cs="宋体"/>
          <w:color w:val="000000"/>
        </w:rPr>
        <w:t xml:space="preserve">月</w:t>
      </w:r>
      <w:r>
        <w:rPr>
          <w:rFonts w:ascii="宋体" w:hAnsi="宋体" w:cs="宋体"/>
          <w:color w:val="000000"/>
          <w:u w:val="single"/>
        </w:rPr>
        <w:t xml:space="preserve">   </w:t>
      </w:r>
      <w:r>
        <w:rPr>
          <w:rFonts w:ascii="宋体" w:hAnsi="宋体" w:cs="宋体"/>
          <w:color w:val="000000"/>
        </w:rPr>
        <w:t xml:space="preserve">日。</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（2）履约地点：</w:t>
      </w:r>
      <w:r>
        <w:rPr>
          <w:rFonts w:ascii="宋体" w:hAnsi="宋体" w:cs="宋体"/>
          <w:color w:val="000000"/>
          <w:u w:val="single"/>
        </w:rPr>
        <w:t xml:space="preserve">  </w:t>
      </w:r>
      <w:r>
        <w:rPr>
          <w:rFonts w:ascii="宋体" w:hAnsi="宋体" w:cs="宋体"/>
          <w:color w:val="000000"/>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（3）履约担保：是否收取履约保证金：</w:t>
      </w:r>
      <w:r>
        <w:rPr>
          <w:rFonts w:ascii="Wingdings" w:hAnsi="Wingdings" w:eastAsia="Wingdings" w:cs="Wingdings"/>
          <w:color w:val="000000"/>
        </w:rPr>
        <w:t xml:space="preserve"></w:t>
      </w:r>
      <w:r>
        <w:rPr>
          <w:rFonts w:ascii="宋体" w:hAnsi="宋体" w:cs="宋体"/>
          <w:color w:val="000000"/>
        </w:rPr>
        <w:t xml:space="preserve">是</w:t>
      </w:r>
      <w:r>
        <w:rPr>
          <w:rFonts w:ascii="Segoe UI Symbol" w:hAnsi="Segoe UI Symbol" w:cs="Segoe UI Symbol"/>
          <w:color w:val="000000"/>
          <w:spacing w:val="1"/>
        </w:rPr>
        <w:t xml:space="preserve">☑</w:t>
      </w:r>
      <w:r>
        <w:rPr>
          <w:rFonts w:ascii="宋体" w:hAnsi="宋体" w:cs="宋体"/>
          <w:color w:val="000000"/>
        </w:rPr>
        <w:t xml:space="preserve">否</w:t>
      </w:r>
      <w:r/>
    </w:p>
    <w:p>
      <w:pPr>
        <w:spacing w:before="240" w:after="240"/>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000000"/>
          <w:sz w:val="22"/>
        </w:rPr>
        <w:t xml:space="preserve">      </w:t>
      </w:r>
      <w:r>
        <w:rPr>
          <w:rFonts w:ascii="宋体" w:hAnsi="宋体" w:cs="宋体"/>
          <w:color w:val="000000"/>
        </w:rPr>
        <w:t xml:space="preserve">收取履约保证金形式：</w:t>
      </w:r>
      <w:r>
        <w:rPr>
          <w:rFonts w:ascii="宋体" w:hAnsi="宋体" w:cs="宋体"/>
          <w:color w:val="000000"/>
          <w:u w:val="single"/>
        </w:rPr>
        <w:t xml:space="preserve">  </w:t>
      </w:r>
      <w:r>
        <w:rPr>
          <w:rFonts w:ascii="宋体" w:hAnsi="宋体" w:cs="宋体"/>
          <w:color w:val="000000"/>
        </w:rPr>
        <w:t xml:space="preserve"> </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收取履约保证金金额：</w:t>
      </w:r>
      <w:r>
        <w:rPr>
          <w:rFonts w:ascii="宋体" w:hAnsi="宋体" w:cs="宋体"/>
          <w:color w:val="000000"/>
          <w:u w:val="single"/>
        </w:rPr>
        <w:t xml:space="preserve">  </w:t>
      </w:r>
      <w:r>
        <w:rPr>
          <w:rFonts w:ascii="宋体" w:hAnsi="宋体" w:cs="宋体"/>
          <w:color w:val="000000"/>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履约担保期限：</w:t>
      </w:r>
      <w:r>
        <w:rPr>
          <w:rFonts w:ascii="宋体" w:hAnsi="宋体" w:cs="宋体"/>
          <w:color w:val="000000"/>
          <w:u w:val="single"/>
        </w:rPr>
        <w:t xml:space="preserve">  </w:t>
      </w:r>
      <w:r>
        <w:rPr>
          <w:rFonts w:ascii="宋体" w:hAnsi="宋体" w:cs="宋体"/>
          <w:color w:val="000000"/>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（4）分期履行要求：</w:t>
      </w:r>
      <w:r>
        <w:rPr>
          <w:rFonts w:ascii="宋体" w:hAnsi="宋体" w:cs="宋体"/>
          <w:color w:val="000000"/>
          <w:u w:val="single"/>
        </w:rPr>
        <w:t xml:space="preserve">  </w:t>
      </w:r>
      <w:r>
        <w:rPr>
          <w:rFonts w:ascii="宋体" w:hAnsi="宋体" w:cs="宋体"/>
          <w:color w:val="000000"/>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（5）风险处置措施和替代方案：</w:t>
      </w:r>
      <w:r>
        <w:rPr>
          <w:rFonts w:ascii="宋体" w:hAnsi="宋体" w:cs="宋体"/>
          <w:color w:val="000000"/>
          <w:u w:val="single"/>
        </w:rPr>
        <w:t xml:space="preserve">  </w:t>
      </w:r>
      <w:r>
        <w:rPr>
          <w:rFonts w:ascii="宋体" w:hAnsi="宋体" w:cs="宋体"/>
          <w:color w:val="000000"/>
        </w:rPr>
        <w:t xml:space="preserve"> </w:t>
      </w:r>
      <w:r/>
    </w:p>
    <w:p>
      <w:pPr>
        <w:numPr>
          <w:ilvl w:val="0"/>
          <w:numId w:val="7"/>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合同验收</w:t>
      </w:r>
      <w:r/>
    </w:p>
    <w:p>
      <w:pPr>
        <w:numPr>
          <w:ilvl w:val="0"/>
          <w:numId w:val="8"/>
        </w:num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验收组织方式：</w:t>
      </w:r>
      <w:r>
        <w:rPr>
          <w:rFonts w:ascii="Wingdings" w:hAnsi="Wingdings" w:eastAsia="Wingdings" w:cs="Wingdings"/>
          <w:color w:val="000000"/>
        </w:rPr>
        <w:t xml:space="preserve"></w:t>
      </w:r>
      <w:r>
        <w:rPr>
          <w:rFonts w:ascii="宋体" w:hAnsi="宋体" w:cs="宋体"/>
          <w:color w:val="000000"/>
        </w:rPr>
        <w:t xml:space="preserve">自行组织 </w:t>
      </w:r>
      <w:r>
        <w:rPr>
          <w:rFonts w:ascii="Wingdings" w:hAnsi="Wingdings" w:eastAsia="Wingdings" w:cs="Wingdings"/>
          <w:color w:val="000000"/>
        </w:rPr>
        <w:t xml:space="preserve"></w:t>
      </w:r>
      <w:r>
        <w:rPr>
          <w:rFonts w:ascii="宋体" w:hAnsi="宋体" w:cs="宋体"/>
          <w:color w:val="000000"/>
        </w:rPr>
        <w:t xml:space="preserve">委托第三方组织</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验收主体：</w:t>
      </w:r>
      <w:r>
        <w:rPr>
          <w:rFonts w:ascii="宋体" w:hAnsi="宋体" w:cs="宋体"/>
          <w:color w:val="000000"/>
          <w:u w:val="single"/>
        </w:rPr>
        <w:t xml:space="preserve">  </w:t>
      </w:r>
      <w:r>
        <w:rPr>
          <w:rFonts w:ascii="宋体" w:hAnsi="宋体" w:cs="宋体"/>
          <w:color w:val="000000"/>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是否邀请本项目的其他供应商参加验收：</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firstLine="52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是否邀请专家参加验收：</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firstLine="52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是否邀请服务对象参加验收：</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firstLine="52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是否邀请第三方检测机构参加验收：</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firstLine="52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是否进行抽查检测：</w:t>
      </w:r>
      <w:r>
        <w:rPr>
          <w:rFonts w:ascii="Wingdings" w:hAnsi="Wingdings" w:eastAsia="Wingdings" w:cs="Wingdings"/>
          <w:color w:val="000000"/>
        </w:rPr>
        <w:t xml:space="preserve"></w:t>
      </w:r>
      <w:r>
        <w:rPr>
          <w:rFonts w:ascii="宋体" w:hAnsi="宋体" w:cs="宋体"/>
          <w:color w:val="000000"/>
        </w:rPr>
        <w:t xml:space="preserve">是，抽查比例：</w:t>
      </w:r>
      <w:r>
        <w:rPr>
          <w:rFonts w:ascii="宋体" w:hAnsi="宋体" w:cs="宋体"/>
          <w:color w:val="000000"/>
          <w:u w:val="single"/>
        </w:rPr>
        <w:t xml:space="preserve">        </w:t>
      </w: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否</w:t>
      </w:r>
      <w:r/>
    </w:p>
    <w:p>
      <w:pPr>
        <w:ind w:firstLine="52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是否存在破坏性检测：</w:t>
      </w:r>
      <w:r>
        <w:rPr>
          <w:rFonts w:ascii="Wingdings" w:hAnsi="Wingdings" w:eastAsia="Wingdings" w:cs="Wingdings"/>
          <w:color w:val="000000"/>
        </w:rPr>
        <w:t xml:space="preserve"></w:t>
      </w:r>
      <w:r>
        <w:rPr>
          <w:rFonts w:ascii="宋体" w:hAnsi="宋体" w:cs="宋体"/>
          <w:color w:val="000000"/>
        </w:rPr>
        <w:t xml:space="preserve">是，</w:t>
      </w:r>
      <w:r>
        <w:rPr>
          <w:rFonts w:ascii="宋体" w:hAnsi="宋体" w:cs="宋体"/>
          <w:color w:val="000000"/>
          <w:u w:val="single"/>
        </w:rPr>
        <w:t xml:space="preserve">（应明确对被破坏的检测产品的处理方式）</w:t>
      </w:r>
      <w:r/>
    </w:p>
    <w:p>
      <w:pPr>
        <w:ind w:firstLine="525"/>
        <w:spacing w:line="400" w:lineRule="atLeast"/>
        <w:pBdr>
          <w:top w:val="none" w:color="000000" w:sz="0" w:space="0"/>
          <w:left w:val="none" w:color="000000" w:sz="0" w:space="0"/>
          <w:bottom w:val="none" w:color="000000" w:sz="0" w:space="0"/>
          <w:right w:val="none" w:color="000000" w:sz="0" w:space="0"/>
        </w:pBdr>
      </w:pPr>
      <w:r>
        <w:rPr>
          <w:rFonts w:ascii="Wingdings" w:hAnsi="Wingdings" w:eastAsia="Wingdings" w:cs="Wingdings"/>
          <w:color w:val="000000"/>
        </w:rPr>
        <w:t xml:space="preserve"></w:t>
      </w:r>
      <w:r>
        <w:rPr>
          <w:rFonts w:ascii="宋体" w:hAnsi="宋体" w:cs="宋体"/>
          <w:color w:val="000000"/>
        </w:rPr>
        <w:t xml:space="preserve">否</w:t>
      </w:r>
      <w:r/>
    </w:p>
    <w:p>
      <w:pPr>
        <w:ind w:firstLine="52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验收组织的其他事项：</w:t>
      </w:r>
      <w:r>
        <w:rPr>
          <w:rFonts w:ascii="宋体" w:hAnsi="宋体" w:cs="宋体"/>
          <w:color w:val="000000"/>
          <w:u w:val="single"/>
        </w:rPr>
        <w:t xml:space="preserve">  </w:t>
      </w:r>
      <w:r>
        <w:rPr>
          <w:rFonts w:ascii="宋体" w:hAnsi="宋体" w:cs="宋体"/>
          <w:color w:val="000000"/>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（2）履约验收时间：</w:t>
      </w:r>
      <w:r>
        <w:rPr>
          <w:rFonts w:ascii="宋体" w:hAnsi="宋体" w:cs="宋体"/>
          <w:color w:val="000000"/>
          <w:u w:val="single"/>
        </w:rPr>
        <w:t xml:space="preserve">（计划于何时验收/供应商提出验收申请之日起   日内组织验收）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（3）履约验收方式：</w:t>
      </w:r>
      <w:r>
        <w:rPr>
          <w:rFonts w:ascii="Wingdings" w:hAnsi="Wingdings" w:eastAsia="Wingdings" w:cs="Wingdings"/>
          <w:color w:val="000000"/>
        </w:rPr>
        <w:t xml:space="preserve"></w:t>
      </w:r>
      <w:r>
        <w:rPr>
          <w:rFonts w:ascii="宋体" w:hAnsi="宋体" w:cs="宋体"/>
          <w:color w:val="000000"/>
        </w:rPr>
        <w:t xml:space="preserve">一次性验收</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rPr>
          <w:rFonts w:ascii="Wingdings" w:hAnsi="Wingdings" w:eastAsia="Wingdings" w:cs="Wingdings"/>
          <w:color w:val="000000"/>
        </w:rPr>
        <w:t xml:space="preserve"></w:t>
      </w:r>
      <w:r>
        <w:rPr>
          <w:rFonts w:ascii="宋体" w:hAnsi="宋体" w:cs="宋体"/>
          <w:color w:val="000000"/>
        </w:rPr>
        <w:t xml:space="preserve">分期/分项验收：</w:t>
      </w:r>
      <w:r>
        <w:rPr>
          <w:rFonts w:ascii="宋体" w:hAnsi="宋体" w:cs="宋体"/>
          <w:color w:val="000000"/>
          <w:u w:val="single"/>
        </w:rPr>
        <w:t xml:space="preserve"> （应明确分期/分项验收的工作安排）</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（4）履约验收程序：</w:t>
      </w:r>
      <w:r>
        <w:rPr>
          <w:rFonts w:ascii="宋体" w:hAnsi="宋体" w:cs="宋体"/>
          <w:color w:val="000000"/>
          <w:u w:val="single"/>
        </w:rPr>
        <w:t xml:space="preserve">  </w:t>
      </w:r>
      <w:r>
        <w:rPr>
          <w:rFonts w:ascii="宋体" w:hAnsi="宋体" w:cs="宋体"/>
          <w:color w:val="000000"/>
        </w:rPr>
        <w:t xml:space="preserve"> </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（5）履约验收的内容：</w:t>
      </w:r>
      <w:r>
        <w:rPr>
          <w:rFonts w:ascii="宋体" w:hAnsi="宋体" w:cs="宋体"/>
          <w:color w:val="000000"/>
          <w:u w:val="single"/>
        </w:rPr>
        <w:t xml:space="preserve"> （应当包括每一项技术和商务要求的履约情况，特别是落实政府采购扶持中小企业，支持绿色发展和乡村振兴等政策情况）</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（6）履约验收标准：</w:t>
      </w:r>
      <w:r>
        <w:rPr>
          <w:rFonts w:ascii="宋体" w:hAnsi="宋体" w:cs="宋体"/>
          <w:color w:val="000000"/>
          <w:u w:val="single"/>
        </w:rPr>
        <w:t xml:space="preserve">  </w:t>
      </w:r>
      <w:r>
        <w:rPr>
          <w:rFonts w:ascii="宋体" w:hAnsi="宋体" w:cs="宋体"/>
          <w:color w:val="000000"/>
        </w:rPr>
        <w:t xml:space="preserve"> </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（7）是否以采购活动中供应商提供的样品作为参考：</w:t>
      </w:r>
      <w:r>
        <w:rPr>
          <w:rFonts w:ascii="Wingdings" w:hAnsi="Wingdings" w:eastAsia="Wingdings" w:cs="Wingdings"/>
          <w:color w:val="000000"/>
        </w:rPr>
        <w:t xml:space="preserve"></w:t>
      </w:r>
      <w:r>
        <w:rPr>
          <w:rFonts w:ascii="宋体" w:hAnsi="宋体" w:cs="宋体"/>
          <w:color w:val="000000"/>
        </w:rPr>
        <w:t xml:space="preserve">是</w:t>
      </w:r>
      <w:r>
        <w:rPr>
          <w:rFonts w:ascii="Wingdings" w:hAnsi="Wingdings" w:eastAsia="Wingdings" w:cs="Wingdings"/>
          <w:color w:val="000000"/>
        </w:rPr>
        <w:t xml:space="preserve"></w:t>
      </w:r>
      <w:r>
        <w:rPr>
          <w:rFonts w:ascii="宋体" w:hAnsi="宋体" w:cs="宋体"/>
          <w:color w:val="000000"/>
        </w:rPr>
        <w:t xml:space="preserve">否</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（8）履约验收其他事项：</w:t>
      </w:r>
      <w:r>
        <w:rPr>
          <w:rFonts w:ascii="宋体" w:hAnsi="宋体" w:cs="宋体"/>
          <w:color w:val="000000"/>
          <w:u w:val="single"/>
        </w:rPr>
        <w:t xml:space="preserve">      （产权过户登记等）</w:t>
      </w:r>
      <w:r/>
    </w:p>
    <w:p>
      <w:pPr>
        <w:numPr>
          <w:ilvl w:val="0"/>
          <w:numId w:val="7"/>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组成合同的文件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本协议书与下列文件一起构成合同文件，如下述文件之间有任何抵触、矛盾或歧义，应按以下顺序解释：</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（1）政府采购合同协议书及其变更、补充协议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（2）政府采购合同专用条款</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（3）政府采购合同通用条款</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（4）中标（成交）通知书</w:t>
      </w:r>
      <w:r/>
    </w:p>
    <w:p>
      <w:pPr>
        <w:ind w:firstLine="420"/>
        <w:spacing w:line="400" w:lineRule="atLeast"/>
        <w:tabs>
          <w:tab w:val="left" w:pos="5904" w:leader="none"/>
        </w:tabs>
        <w:pBdr>
          <w:top w:val="none" w:color="000000" w:sz="0" w:space="0"/>
          <w:left w:val="none" w:color="000000" w:sz="0" w:space="0"/>
          <w:bottom w:val="none" w:color="000000" w:sz="0" w:space="0"/>
          <w:right w:val="none" w:color="000000" w:sz="0" w:space="0"/>
        </w:pBdr>
      </w:pPr>
      <w:r>
        <w:rPr>
          <w:rFonts w:ascii="宋体" w:hAnsi="宋体" w:cs="宋体"/>
          <w:color w:val="000000"/>
        </w:rPr>
        <w:t xml:space="preserve">（5）投标（响应）文件</w:t>
      </w:r>
      <w:r>
        <w:tab/>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（6）采购文件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（7）有关技术文件，图纸</w:t>
      </w:r>
      <w:r/>
    </w:p>
    <w:p>
      <w:pPr>
        <w:ind w:firstLine="42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（8）国家法律、行政法规和规章制度规定或合同约定的作为合同组成部分的其他文件</w:t>
      </w:r>
      <w:r/>
    </w:p>
    <w:p>
      <w:pPr>
        <w:numPr>
          <w:ilvl w:val="0"/>
          <w:numId w:val="7"/>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合同生效</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本合同自</w:t>
      </w:r>
      <w:r>
        <w:rPr>
          <w:rFonts w:ascii="宋体" w:hAnsi="宋体" w:cs="宋体"/>
          <w:color w:val="000000"/>
          <w:u w:val="single"/>
        </w:rPr>
        <w:t xml:space="preserve">                             </w:t>
      </w:r>
      <w:r>
        <w:rPr>
          <w:rFonts w:ascii="宋体" w:hAnsi="宋体" w:cs="宋体"/>
          <w:color w:val="000000"/>
        </w:rPr>
        <w:t xml:space="preserve">生效。</w:t>
      </w:r>
      <w:r/>
    </w:p>
    <w:p>
      <w:pPr>
        <w:numPr>
          <w:ilvl w:val="0"/>
          <w:numId w:val="7"/>
        </w:num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合同份数</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本合同一式</w:t>
      </w:r>
      <w:r>
        <w:rPr>
          <w:rFonts w:ascii="宋体" w:hAnsi="宋体" w:cs="宋体"/>
          <w:color w:val="000000"/>
          <w:u w:val="single"/>
        </w:rPr>
        <w:t xml:space="preserve">    </w:t>
      </w:r>
      <w:r>
        <w:rPr>
          <w:rFonts w:ascii="宋体" w:hAnsi="宋体" w:cs="宋体"/>
          <w:color w:val="000000"/>
        </w:rPr>
        <w:t xml:space="preserve">份，甲方执</w:t>
      </w:r>
      <w:r>
        <w:rPr>
          <w:rFonts w:ascii="宋体" w:hAnsi="宋体" w:cs="宋体"/>
          <w:color w:val="000000"/>
          <w:u w:val="single"/>
        </w:rPr>
        <w:t xml:space="preserve">    </w:t>
      </w:r>
      <w:r>
        <w:rPr>
          <w:rFonts w:ascii="宋体" w:hAnsi="宋体" w:cs="宋体"/>
          <w:color w:val="000000"/>
        </w:rPr>
        <w:t xml:space="preserve">份，乙方执</w:t>
      </w:r>
      <w:r>
        <w:rPr>
          <w:rFonts w:ascii="宋体" w:hAnsi="宋体" w:cs="宋体"/>
          <w:color w:val="000000"/>
          <w:u w:val="single"/>
        </w:rPr>
        <w:t xml:space="preserve">    </w:t>
      </w:r>
      <w:r>
        <w:rPr>
          <w:rFonts w:ascii="宋体" w:hAnsi="宋体" w:cs="宋体"/>
          <w:color w:val="000000"/>
        </w:rPr>
        <w:t xml:space="preserve">份，均具有同等法律效力。</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合同订立时间：</w:t>
      </w:r>
      <w:r>
        <w:rPr>
          <w:rFonts w:ascii="宋体" w:hAnsi="宋体" w:cs="宋体"/>
          <w:color w:val="000000"/>
          <w:u w:val="single"/>
        </w:rPr>
        <w:t xml:space="preserve">         </w:t>
      </w:r>
      <w:r>
        <w:rPr>
          <w:rFonts w:ascii="宋体" w:hAnsi="宋体" w:cs="宋体"/>
          <w:color w:val="000000"/>
        </w:rPr>
        <w:t xml:space="preserve">年</w:t>
      </w:r>
      <w:r>
        <w:rPr>
          <w:rFonts w:ascii="宋体" w:hAnsi="宋体" w:cs="宋体"/>
          <w:color w:val="000000"/>
          <w:u w:val="single"/>
        </w:rPr>
        <w:t xml:space="preserve">      </w:t>
      </w:r>
      <w:r>
        <w:rPr>
          <w:rFonts w:ascii="宋体" w:hAnsi="宋体" w:cs="宋体"/>
          <w:color w:val="000000"/>
        </w:rPr>
        <w:t xml:space="preserve">月</w:t>
      </w:r>
      <w:r>
        <w:rPr>
          <w:rFonts w:ascii="宋体" w:hAnsi="宋体" w:cs="宋体"/>
          <w:color w:val="000000"/>
          <w:u w:val="single"/>
        </w:rPr>
        <w:t xml:space="preserve">      </w:t>
      </w:r>
      <w:r>
        <w:rPr>
          <w:rFonts w:ascii="宋体" w:hAnsi="宋体" w:cs="宋体"/>
          <w:color w:val="000000"/>
        </w:rPr>
        <w:t xml:space="preserve">日</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合同订立地点：</w:t>
      </w:r>
      <w:r>
        <w:rPr>
          <w:rFonts w:ascii="宋体" w:hAnsi="宋体" w:cs="宋体"/>
          <w:color w:val="000000"/>
          <w:u w:val="single"/>
        </w:rPr>
        <w:t xml:space="preserve">                           </w:t>
      </w:r>
      <w:r/>
    </w:p>
    <w:p>
      <w:pPr>
        <w:ind w:firstLine="420"/>
        <w:spacing w:line="400" w:lineRule="atLeast"/>
        <w:rPr>
          <w:b/>
          <w:color w:val="000000"/>
          <w:sz w:val="44"/>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附件：具体标的及其技术要求和商务要求、联合协议、分包意向协议等</w:t>
      </w:r>
      <w:r>
        <w:rPr>
          <w:b/>
          <w:color w:val="000000"/>
          <w:sz w:val="44"/>
        </w:rPr>
        <w:t xml:space="preserve">  </w:t>
      </w:r>
      <w:r/>
    </w:p>
    <w:tbl>
      <w:tblPr>
        <w:tblStyle w:val="827"/>
        <w:tblpPr w:horzAnchor="page" w:tblpX="1535" w:vertAnchor="text" w:tblpY="184" w:leftFromText="180" w:topFromText="0" w:rightFromText="180" w:bottomFromText="0"/>
        <w:tblW w:w="8644"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1892"/>
        <w:gridCol w:w="2214"/>
        <w:gridCol w:w="2693"/>
        <w:gridCol w:w="1845"/>
      </w:tblGrid>
      <w:tr>
        <w:trPr>
          <w:trHeight w:val="490"/>
        </w:trPr>
        <w:tc>
          <w:tcPr>
            <w:gridSpan w:val="2"/>
            <w:tcBorders>
              <w:bottom w:val="single" w:color="auto" w:sz="2" w:space="0"/>
              <w:right w:val="single" w:color="auto" w:sz="2" w:space="0"/>
            </w:tcBorders>
            <w:tcW w:w="4106"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4538"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804"/>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845" w:type="dxa"/>
            <w:vAlign w:val="center"/>
            <w:textDirection w:val="lrTb"/>
            <w:noWrap w:val="false"/>
          </w:tcPr>
          <w:p>
            <w:pPr>
              <w:jc w:val="center"/>
              <w:spacing w:line="300" w:lineRule="exact"/>
              <w:rPr>
                <w:spacing w:val="20"/>
                <w:szCs w:val="21"/>
              </w:rPr>
            </w:pPr>
            <w:r>
              <w:rPr>
                <w:spacing w:val="20"/>
                <w:szCs w:val="21"/>
              </w:rPr>
            </w:r>
            <w:r/>
          </w:p>
        </w:tc>
      </w:tr>
      <w:tr>
        <w:trPr>
          <w:trHeight w:val="703"/>
        </w:trPr>
        <w:tc>
          <w:tcPr>
            <w:tcBorders>
              <w:top w:val="single" w:color="auto" w:sz="2" w:space="0"/>
              <w:right w:val="single" w:color="auto" w:sz="2" w:space="0"/>
            </w:tcBorders>
            <w:tcW w:w="1892"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2214" w:type="dxa"/>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2693"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845" w:type="dxa"/>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892" w:type="dxa"/>
            <w:vAlign w:val="center"/>
            <w:vMerge w:val="continue"/>
            <w:textDirection w:val="lrTb"/>
            <w:noWrap w:val="false"/>
          </w:tcPr>
          <w:p>
            <w:pPr>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2214" w:type="dxa"/>
            <w:vAlign w:val="center"/>
            <w:vMerge w:val="continue"/>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845"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1845"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845"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845"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845"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845"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845"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845"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845"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845"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892"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214" w:type="dxa"/>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2693" w:type="dxa"/>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845" w:type="dxa"/>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8644" w:type="dxa"/>
            <w:vAlign w:val="center"/>
            <w:textDirection w:val="lrTb"/>
            <w:noWrap w:val="false"/>
          </w:tcPr>
          <w:p>
            <w:pPr>
              <w:pStyle w:val="833"/>
              <w:jc w:val="left"/>
              <w:spacing w:before="156" w:line="360" w:lineRule="auto"/>
              <w:rPr>
                <w:spacing w:val="20"/>
                <w:szCs w:val="21"/>
              </w:rPr>
            </w:pPr>
            <w:r>
              <w:rPr>
                <w:rFonts w:hint="eastAsia" w:ascii="宋体" w:hAnsi="宋体"/>
                <w:szCs w:val="21"/>
              </w:rPr>
              <w:t xml:space="preserve">注：涉及联合体或其他合同主体的信息应按上表格式加列。</w:t>
            </w:r>
            <w:r/>
          </w:p>
        </w:tc>
      </w:tr>
    </w:tbl>
    <w:p>
      <w:pPr>
        <w:ind w:firstLine="420"/>
        <w:spacing w:line="400" w:lineRule="atLeast"/>
        <w:rPr>
          <w:b/>
          <w:color w:val="000000"/>
          <w:sz w:val="44"/>
        </w:rPr>
        <w:pBdr>
          <w:top w:val="none" w:color="000000" w:sz="0" w:space="0"/>
          <w:left w:val="none" w:color="000000" w:sz="0" w:space="0"/>
          <w:bottom w:val="none" w:color="000000" w:sz="0" w:space="0"/>
          <w:right w:val="none" w:color="000000" w:sz="0" w:space="0"/>
        </w:pBdr>
      </w:pPr>
      <w:r>
        <w:rPr>
          <w:b/>
          <w:color w:val="000000"/>
          <w:sz w:val="44"/>
        </w:rPr>
      </w:r>
      <w:r/>
    </w:p>
    <w:p>
      <w:pPr>
        <w:ind w:firstLine="420"/>
        <w:spacing w:line="400" w:lineRule="atLeast"/>
        <w:rPr>
          <w:b/>
          <w:color w:val="000000"/>
          <w:sz w:val="44"/>
        </w:rPr>
        <w:pBdr>
          <w:top w:val="none" w:color="000000" w:sz="0" w:space="0"/>
          <w:left w:val="none" w:color="000000" w:sz="0" w:space="0"/>
          <w:bottom w:val="none" w:color="000000" w:sz="0" w:space="0"/>
          <w:right w:val="none" w:color="000000" w:sz="0" w:space="0"/>
        </w:pBdr>
      </w:pPr>
      <w:r>
        <w:rPr>
          <w:b/>
          <w:color w:val="000000"/>
          <w:sz w:val="44"/>
        </w:rPr>
      </w:r>
      <w:r/>
    </w:p>
    <w:p>
      <w:pPr>
        <w:ind w:firstLine="420"/>
        <w:spacing w:line="400" w:lineRule="atLeast"/>
        <w:rPr>
          <w:b/>
          <w:color w:val="000000"/>
          <w:sz w:val="44"/>
        </w:rPr>
        <w:pBdr>
          <w:top w:val="none" w:color="000000" w:sz="0" w:space="0"/>
          <w:left w:val="none" w:color="000000" w:sz="0" w:space="0"/>
          <w:bottom w:val="none" w:color="000000" w:sz="0" w:space="0"/>
          <w:right w:val="none" w:color="000000" w:sz="0" w:space="0"/>
        </w:pBdr>
      </w:pPr>
      <w:r>
        <w:rPr>
          <w:b/>
          <w:color w:val="000000"/>
          <w:sz w:val="44"/>
        </w:rPr>
      </w:r>
      <w:r/>
    </w:p>
    <w:p>
      <w:pPr>
        <w:pStyle w:val="818"/>
        <w:ind w:firstLine="2520"/>
        <w:spacing w:before="156"/>
        <w:rPr>
          <w:rFonts w:ascii="黑体" w:hAnsi="黑体" w:eastAsia="黑体"/>
          <w:sz w:val="28"/>
          <w:szCs w:val="28"/>
        </w:rPr>
      </w:pPr>
      <w:r>
        <w:rPr>
          <w:rFonts w:ascii="黑体" w:hAnsi="黑体" w:eastAsia="黑体"/>
          <w:sz w:val="28"/>
          <w:szCs w:val="28"/>
        </w:rPr>
      </w:r>
      <w:r/>
    </w:p>
    <w:p>
      <w:pPr>
        <w:rPr>
          <w:rFonts w:ascii="黑体" w:hAnsi="黑体" w:eastAsia="黑体"/>
          <w:sz w:val="28"/>
          <w:szCs w:val="28"/>
        </w:rPr>
      </w:pPr>
      <w:r>
        <w:rPr>
          <w:rFonts w:ascii="黑体" w:hAnsi="黑体" w:eastAsia="黑体"/>
          <w:sz w:val="28"/>
          <w:szCs w:val="28"/>
        </w:rPr>
      </w:r>
      <w:r/>
    </w:p>
    <w:p>
      <w:pPr>
        <w:rPr>
          <w:rFonts w:ascii="黑体" w:hAnsi="黑体" w:eastAsia="黑体"/>
          <w:sz w:val="28"/>
          <w:szCs w:val="28"/>
        </w:rPr>
      </w:pPr>
      <w:r>
        <w:rPr>
          <w:rFonts w:ascii="黑体" w:hAnsi="黑体" w:eastAsia="黑体"/>
          <w:sz w:val="28"/>
          <w:szCs w:val="28"/>
        </w:rPr>
      </w:r>
      <w:r/>
    </w:p>
    <w:p>
      <w:pPr>
        <w:rPr>
          <w:rFonts w:ascii="黑体" w:hAnsi="黑体" w:eastAsia="黑体"/>
          <w:sz w:val="28"/>
          <w:szCs w:val="28"/>
        </w:rPr>
      </w:pPr>
      <w:r>
        <w:rPr>
          <w:rFonts w:ascii="黑体" w:hAnsi="黑体" w:eastAsia="黑体"/>
          <w:sz w:val="28"/>
          <w:szCs w:val="28"/>
        </w:rPr>
      </w:r>
      <w:r/>
    </w:p>
    <w:p>
      <w:pPr>
        <w:rPr>
          <w:rFonts w:ascii="黑体" w:hAnsi="黑体" w:eastAsia="黑体"/>
          <w:sz w:val="28"/>
          <w:szCs w:val="28"/>
        </w:rPr>
      </w:pPr>
      <w:r>
        <w:rPr>
          <w:rFonts w:ascii="黑体" w:hAnsi="黑体" w:eastAsia="黑体"/>
          <w:sz w:val="28"/>
          <w:szCs w:val="28"/>
        </w:rPr>
      </w:r>
      <w:r/>
    </w:p>
    <w:p>
      <w:pPr>
        <w:rPr>
          <w:rFonts w:ascii="黑体" w:hAnsi="黑体" w:eastAsia="黑体"/>
          <w:sz w:val="28"/>
          <w:szCs w:val="28"/>
        </w:rPr>
      </w:pPr>
      <w:r>
        <w:rPr>
          <w:rFonts w:ascii="黑体" w:hAnsi="黑体" w:eastAsia="黑体"/>
          <w:sz w:val="28"/>
          <w:szCs w:val="28"/>
        </w:rPr>
      </w:r>
      <w:r/>
    </w:p>
    <w:p>
      <w:pPr>
        <w:rPr>
          <w:rFonts w:ascii="黑体" w:hAnsi="黑体" w:eastAsia="黑体"/>
          <w:sz w:val="28"/>
          <w:szCs w:val="28"/>
        </w:rPr>
      </w:pPr>
      <w:r>
        <w:rPr>
          <w:rFonts w:ascii="黑体" w:hAnsi="黑体" w:eastAsia="黑体"/>
          <w:sz w:val="28"/>
          <w:szCs w:val="28"/>
        </w:rPr>
      </w:r>
      <w:r/>
    </w:p>
    <w:p>
      <w:pPr>
        <w:rPr>
          <w:rFonts w:ascii="黑体" w:hAnsi="黑体" w:eastAsia="黑体"/>
          <w:sz w:val="28"/>
          <w:szCs w:val="28"/>
        </w:rPr>
      </w:pPr>
      <w:r>
        <w:rPr>
          <w:rFonts w:ascii="黑体" w:hAnsi="黑体" w:eastAsia="黑体"/>
          <w:sz w:val="28"/>
          <w:szCs w:val="28"/>
        </w:rPr>
      </w:r>
      <w:r/>
    </w:p>
    <w:p>
      <w:pPr>
        <w:rPr>
          <w:rFonts w:ascii="黑体" w:hAnsi="黑体" w:eastAsia="黑体"/>
          <w:sz w:val="28"/>
          <w:szCs w:val="28"/>
        </w:rPr>
      </w:pPr>
      <w:r>
        <w:rPr>
          <w:rFonts w:ascii="黑体" w:hAnsi="黑体" w:eastAsia="黑体"/>
          <w:sz w:val="28"/>
          <w:szCs w:val="28"/>
        </w:rPr>
      </w:r>
      <w:r/>
    </w:p>
    <w:p>
      <w:pPr>
        <w:rPr>
          <w:rFonts w:ascii="黑体" w:hAnsi="黑体" w:eastAsia="黑体"/>
          <w:sz w:val="28"/>
          <w:szCs w:val="28"/>
        </w:rPr>
      </w:pPr>
      <w:r>
        <w:rPr>
          <w:rFonts w:ascii="黑体" w:hAnsi="黑体" w:eastAsia="黑体"/>
          <w:sz w:val="28"/>
          <w:szCs w:val="28"/>
        </w:rPr>
      </w:r>
      <w:r/>
    </w:p>
    <w:p>
      <w:pPr>
        <w:rPr>
          <w:rFonts w:ascii="黑体" w:hAnsi="黑体" w:eastAsia="黑体"/>
          <w:sz w:val="28"/>
          <w:szCs w:val="28"/>
        </w:rPr>
      </w:pPr>
      <w:r>
        <w:rPr>
          <w:rFonts w:ascii="黑体" w:hAnsi="黑体" w:eastAsia="黑体"/>
          <w:sz w:val="28"/>
          <w:szCs w:val="28"/>
        </w:rPr>
      </w:r>
      <w:r/>
    </w:p>
    <w:p>
      <w:pPr>
        <w:rPr>
          <w:rFonts w:ascii="黑体" w:hAnsi="黑体" w:eastAsia="黑体"/>
          <w:sz w:val="28"/>
          <w:szCs w:val="28"/>
        </w:rPr>
      </w:pPr>
      <w:r>
        <w:rPr>
          <w:rFonts w:ascii="黑体" w:hAnsi="黑体" w:eastAsia="黑体"/>
          <w:sz w:val="28"/>
          <w:szCs w:val="28"/>
        </w:rPr>
      </w:r>
      <w:r/>
    </w:p>
    <w:p>
      <w:pPr>
        <w:rPr>
          <w:rFonts w:ascii="黑体" w:hAnsi="黑体" w:eastAsia="黑体"/>
          <w:sz w:val="28"/>
          <w:szCs w:val="28"/>
        </w:rPr>
      </w:pPr>
      <w:r>
        <w:rPr>
          <w:rFonts w:ascii="黑体" w:hAnsi="黑体" w:eastAsia="黑体"/>
          <w:sz w:val="28"/>
          <w:szCs w:val="28"/>
        </w:rPr>
      </w:r>
      <w:r/>
    </w:p>
    <w:p>
      <w:pPr>
        <w:pStyle w:val="818"/>
        <w:ind w:firstLine="2520"/>
        <w:spacing w:before="156"/>
        <w:rPr>
          <w:rFonts w:ascii="黑体" w:hAnsi="黑体" w:eastAsia="黑体"/>
          <w:sz w:val="28"/>
          <w:szCs w:val="28"/>
        </w:rPr>
      </w:pPr>
      <w:r>
        <w:rPr>
          <w:rFonts w:ascii="黑体" w:hAnsi="黑体" w:eastAsia="黑体"/>
          <w:sz w:val="28"/>
          <w:szCs w:val="28"/>
        </w:rPr>
      </w:r>
      <w:r/>
    </w:p>
    <w:p>
      <w:pPr>
        <w:pStyle w:val="818"/>
        <w:ind w:firstLine="2520"/>
        <w:spacing w:before="156"/>
        <w:rPr>
          <w:rFonts w:ascii="黑体" w:hAnsi="黑体" w:eastAsia="黑体"/>
          <w:sz w:val="28"/>
          <w:szCs w:val="28"/>
        </w:rPr>
      </w:pPr>
      <w:r>
        <w:rPr>
          <w:rFonts w:ascii="黑体" w:hAnsi="黑体" w:eastAsia="黑体"/>
          <w:sz w:val="28"/>
          <w:szCs w:val="28"/>
        </w:rPr>
      </w:r>
      <w:r/>
    </w:p>
    <w:p>
      <w:pPr>
        <w:pStyle w:val="818"/>
        <w:ind w:firstLine="2520"/>
        <w:spacing w:before="156"/>
        <w:rPr>
          <w:rFonts w:ascii="黑体" w:hAnsi="黑体" w:eastAsia="黑体"/>
          <w:sz w:val="28"/>
          <w:szCs w:val="28"/>
        </w:rPr>
      </w:pPr>
      <w:r>
        <w:rPr>
          <w:rFonts w:hint="eastAsia" w:ascii="黑体" w:hAnsi="黑体" w:eastAsia="黑体"/>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numPr>
          <w:ilvl w:val="0"/>
          <w:numId w:val="9"/>
        </w:numPr>
        <w:ind w:firstLine="420"/>
        <w:jc w:val="left"/>
        <w:spacing w:line="400" w:lineRule="exact"/>
        <w:rPr>
          <w:rFonts w:ascii="宋体" w:hAnsi="宋体"/>
          <w:szCs w:val="21"/>
        </w:rPr>
      </w:pPr>
      <w:r>
        <w:rPr>
          <w:rFonts w:hint="eastAsia" w:ascii="宋体" w:hAnsi="宋体"/>
          <w:szCs w:val="21"/>
        </w:rPr>
        <w:t xml:space="preserve">采购人（以下称甲方）是指使用财政性资金，通过政府采购方式向供应商购买货物及其相关服务的国家机关、</w:t>
      </w:r>
      <w:r/>
    </w:p>
    <w:p>
      <w:pPr>
        <w:jc w:val="left"/>
        <w:spacing w:line="400" w:lineRule="exact"/>
        <w:rPr>
          <w:rFonts w:ascii="宋体" w:hAnsi="宋体"/>
          <w:szCs w:val="21"/>
        </w:rPr>
      </w:pPr>
      <w:r>
        <w:rPr>
          <w:rFonts w:hint="eastAsia" w:ascii="宋体" w:hAnsi="宋体"/>
          <w:szCs w:val="21"/>
        </w:rPr>
        <w:t xml:space="preserve">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jc w:val="left"/>
        <w:spacing w:line="400" w:lineRule="exact"/>
        <w:rPr>
          <w:rFonts w:ascii="宋体" w:hAnsi="宋体"/>
          <w:b/>
          <w:bCs/>
          <w:color w:val="000000"/>
          <w:sz w:val="24"/>
        </w:rPr>
      </w:pPr>
      <w:r>
        <w:rPr>
          <w:rFonts w:ascii="宋体" w:hAnsi="宋体"/>
          <w:b/>
          <w:bCs/>
          <w:color w:val="000000"/>
          <w:sz w:val="24"/>
        </w:rPr>
        <w:t xml:space="preserve">2.</w:t>
      </w: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10"/>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1068"/>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837"/>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37"/>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68"/>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1"/>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68"/>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068"/>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068"/>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1068"/>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68"/>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68"/>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1068"/>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68"/>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1068"/>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68"/>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2"/>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818"/>
        <w:rPr>
          <w:rFonts w:ascii="黑体" w:hAnsi="华文中宋" w:eastAsia="黑体"/>
          <w:sz w:val="28"/>
          <w:szCs w:val="28"/>
        </w:rPr>
      </w:pPr>
      <w:r>
        <w:rPr>
          <w:rFonts w:hint="eastAsia" w:ascii="黑体" w:hAnsi="华文中宋" w:eastAsia="黑体"/>
          <w:sz w:val="28"/>
          <w:szCs w:val="28"/>
        </w:rPr>
        <w:t xml:space="preserve">第三节 政府采购合同专用条款</w:t>
      </w:r>
      <w:r/>
    </w:p>
    <w:tbl>
      <w:tblPr>
        <w:tblStyle w:val="827"/>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1068"/>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pStyle w:val="1020"/>
        <w:jc w:val="center"/>
        <w:spacing w:line="360" w:lineRule="auto"/>
        <w:rPr>
          <w:rFonts w:hAnsi="宋体"/>
          <w:sz w:val="21"/>
        </w:rPr>
      </w:pPr>
      <w:r>
        <w:rPr>
          <w:rFonts w:hAnsi="宋体"/>
          <w:sz w:val="21"/>
        </w:rPr>
      </w:r>
      <w:r/>
    </w:p>
    <w:p>
      <w:pPr>
        <w:rPr>
          <w:rFonts w:hAnsi="宋体"/>
        </w:rPr>
      </w:pPr>
      <w:r>
        <w:rPr>
          <w:rFonts w:hAnsi="宋体"/>
        </w:rPr>
      </w:r>
      <w:r/>
    </w:p>
    <w:p>
      <w:pPr>
        <w:rPr>
          <w:rFonts w:hAnsi="宋体"/>
        </w:rPr>
      </w:pPr>
      <w:r>
        <w:rPr>
          <w:rFonts w:hAnsi="宋体"/>
        </w:rPr>
      </w:r>
      <w:r/>
    </w:p>
    <w:p>
      <w:pPr>
        <w:rPr>
          <w:rFonts w:hAnsi="宋体"/>
        </w:rPr>
      </w:pPr>
      <w:r>
        <w:rPr>
          <w:rFonts w:hAnsi="宋体"/>
        </w:rPr>
      </w:r>
      <w:r/>
    </w:p>
    <w:p>
      <w:pPr>
        <w:rPr>
          <w:rFonts w:hAnsi="宋体"/>
        </w:rPr>
      </w:pPr>
      <w:r>
        <w:rPr>
          <w:rFonts w:hAnsi="宋体"/>
        </w:rPr>
      </w:r>
      <w:r/>
    </w:p>
    <w:p>
      <w:pPr>
        <w:rPr>
          <w:rFonts w:hAnsi="宋体"/>
        </w:rPr>
      </w:pPr>
      <w:r>
        <w:rPr>
          <w:rFonts w:hAnsi="宋体"/>
        </w:rPr>
      </w:r>
      <w:r/>
    </w:p>
    <w:p>
      <w:pPr>
        <w:rPr>
          <w:rFonts w:hAnsi="宋体"/>
        </w:rPr>
      </w:pPr>
      <w:r>
        <w:rPr>
          <w:rFonts w:hAnsi="宋体"/>
        </w:rPr>
      </w:r>
      <w:r/>
    </w:p>
    <w:p>
      <w:pPr>
        <w:rPr>
          <w:rFonts w:hAnsi="宋体"/>
        </w:rPr>
      </w:pPr>
      <w:r>
        <w:rPr>
          <w:rFonts w:hAnsi="宋体"/>
        </w:rPr>
      </w:r>
      <w:r/>
    </w:p>
    <w:p>
      <w:pPr>
        <w:rPr>
          <w:rFonts w:hAnsi="宋体"/>
        </w:rPr>
      </w:pPr>
      <w:r>
        <w:rPr>
          <w:rFonts w:hAnsi="宋体"/>
        </w:rPr>
      </w:r>
      <w:r/>
    </w:p>
    <w:p>
      <w:pPr>
        <w:rPr>
          <w:rFonts w:hAnsi="宋体"/>
        </w:rPr>
      </w:pPr>
      <w:r>
        <w:rPr>
          <w:rFonts w:hAnsi="宋体"/>
        </w:rPr>
      </w:r>
      <w:r/>
    </w:p>
    <w:p>
      <w:pPr>
        <w:rPr>
          <w:rFonts w:hAnsi="宋体"/>
        </w:rPr>
      </w:pPr>
      <w:r>
        <w:rPr>
          <w:rFonts w:hAnsi="宋体"/>
        </w:rPr>
      </w:r>
      <w:r/>
    </w:p>
    <w:p>
      <w:pPr>
        <w:pStyle w:val="1020"/>
        <w:jc w:val="center"/>
        <w:spacing w:line="360" w:lineRule="auto"/>
        <w:rPr>
          <w:rFonts w:hAnsi="宋体"/>
          <w:sz w:val="21"/>
        </w:rPr>
      </w:pPr>
      <w:r>
        <w:rPr>
          <w:rFonts w:hAnsi="宋体"/>
          <w:sz w:val="21"/>
        </w:rPr>
      </w:r>
      <w:r/>
    </w:p>
    <w:p>
      <w:r/>
      <w:r/>
    </w:p>
    <w:p>
      <w:pPr>
        <w:pStyle w:val="1020"/>
        <w:jc w:val="center"/>
        <w:spacing w:line="360" w:lineRule="auto"/>
        <w:rPr>
          <w:rFonts w:ascii="宋体" w:hAnsi="宋体"/>
          <w:sz w:val="32"/>
          <w:szCs w:val="32"/>
        </w:rPr>
      </w:pPr>
      <w:r>
        <w:rPr>
          <w:rFonts w:hint="eastAsia" w:ascii="宋体" w:hAnsi="宋体"/>
          <w:szCs w:val="36"/>
        </w:rPr>
        <w:t xml:space="preserve">第四章 项目需求</w:t>
      </w:r>
      <w:r/>
    </w:p>
    <w:p>
      <w:pPr>
        <w:ind w:firstLine="422"/>
        <w:spacing w:line="360" w:lineRule="auto"/>
        <w:rPr>
          <w:rFonts w:ascii="宋体" w:hAnsi="宋体"/>
          <w:b/>
          <w:iCs/>
          <w:szCs w:val="21"/>
        </w:rPr>
      </w:pPr>
      <w:r/>
      <w:bookmarkStart w:id="50" w:name="_Toc37707593"/>
      <w:r/>
      <w:bookmarkStart w:id="51" w:name="_Toc267757099"/>
      <w:r/>
      <w:bookmarkStart w:id="52" w:name="_Hlk58856582"/>
      <w:r/>
      <w:bookmarkStart w:id="53" w:name="_Toc55204181"/>
      <w:r>
        <w:rPr>
          <w:rFonts w:hint="eastAsia" w:ascii="宋体" w:hAnsi="宋体"/>
          <w:b/>
          <w:iCs/>
          <w:szCs w:val="21"/>
        </w:rPr>
        <w:t xml:space="preserve">一、其他要求</w:t>
      </w:r>
      <w:r/>
    </w:p>
    <w:p>
      <w:pPr>
        <w:ind w:firstLine="420"/>
        <w:spacing w:line="360" w:lineRule="auto"/>
        <w:rPr>
          <w:rFonts w:ascii="宋体" w:hAnsi="宋体"/>
          <w:bCs/>
          <w:iCs/>
          <w:szCs w:val="21"/>
        </w:rPr>
      </w:pPr>
      <w:r>
        <w:rPr>
          <w:rFonts w:hint="eastAsia" w:ascii="宋体" w:hAnsi="宋体"/>
          <w:bCs/>
          <w:iCs/>
          <w:szCs w:val="21"/>
        </w:rPr>
        <w:t xml:space="preserve">1.严格执行政府采购关于支持</w:t>
      </w:r>
      <w:r>
        <w:rPr>
          <w:rFonts w:hint="eastAsia" w:ascii="宋体" w:hAnsi="宋体"/>
          <w:bCs/>
          <w:iCs/>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ascii="宋体" w:hAnsi="宋体"/>
          <w:bCs/>
          <w:iCs/>
          <w:szCs w:val="21"/>
        </w:rPr>
      </w:pPr>
      <w:r>
        <w:rPr>
          <w:rFonts w:hint="eastAsia" w:ascii="宋体" w:hAnsi="宋体"/>
          <w:bCs/>
          <w:iCs/>
          <w:szCs w:val="21"/>
        </w:rPr>
        <w:t xml:space="preserve">本项目强制节能产品：无。</w:t>
      </w:r>
      <w:r/>
    </w:p>
    <w:p>
      <w:pPr>
        <w:ind w:firstLine="420"/>
        <w:spacing w:line="360" w:lineRule="auto"/>
        <w:rPr>
          <w:rFonts w:ascii="宋体" w:hAnsi="宋体"/>
          <w:b/>
          <w:iCs/>
          <w:szCs w:val="21"/>
        </w:rPr>
      </w:pPr>
      <w:r>
        <w:rPr>
          <w:rFonts w:hint="eastAsia" w:ascii="宋体" w:hAnsi="宋体"/>
          <w:b/>
          <w:iCs/>
          <w:szCs w:val="21"/>
        </w:rPr>
        <w:t xml:space="preserve">二、核心产品</w:t>
      </w:r>
      <w:r/>
    </w:p>
    <w:p>
      <w:pPr>
        <w:ind w:firstLine="420"/>
        <w:spacing w:line="360" w:lineRule="auto"/>
        <w:rPr>
          <w:rFonts w:ascii="宋体" w:hAnsi="宋体"/>
          <w:bCs/>
          <w:iCs/>
          <w:szCs w:val="21"/>
        </w:rPr>
      </w:pPr>
      <w:r>
        <w:rPr>
          <w:rFonts w:hint="eastAsia" w:ascii="宋体" w:hAnsi="宋体"/>
          <w:bCs/>
          <w:iCs/>
          <w:szCs w:val="21"/>
        </w:rPr>
        <w:t xml:space="preserve">核心产品：</w:t>
      </w:r>
      <w:r>
        <w:rPr>
          <w:rFonts w:hint="eastAsia" w:ascii="宋体" w:hAnsi="宋体"/>
          <w:b/>
          <w:iCs/>
          <w:color w:val="ff0000"/>
          <w:szCs w:val="21"/>
        </w:rPr>
        <w:t xml:space="preserve">胖终端</w:t>
      </w:r>
      <w:r/>
    </w:p>
    <w:p>
      <w:pPr>
        <w:ind w:firstLine="420"/>
        <w:spacing w:line="360" w:lineRule="auto"/>
        <w:rPr>
          <w:rFonts w:ascii="宋体" w:hAnsi="宋体"/>
          <w:b/>
          <w:iCs/>
          <w:szCs w:val="21"/>
        </w:rPr>
      </w:pPr>
      <w:r>
        <w:rPr>
          <w:rFonts w:hint="eastAsia" w:ascii="宋体" w:hAnsi="宋体"/>
          <w:b/>
          <w:iCs/>
          <w:szCs w:val="21"/>
        </w:rPr>
        <w:t xml:space="preserve">三、采购标的对应的中小企业划分标准所属行业一览表</w:t>
      </w:r>
      <w:r/>
    </w:p>
    <w:tbl>
      <w:tblPr>
        <w:tblStyle w:val="827"/>
        <w:tblW w:w="81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3854"/>
        <w:gridCol w:w="3323"/>
      </w:tblGrid>
      <w:tr>
        <w:trPr>
          <w:cantSplit/>
          <w:jc w:val="center"/>
        </w:trPr>
        <w:tc>
          <w:tcPr>
            <w:tcW w:w="928" w:type="dxa"/>
            <w:vAlign w:val="center"/>
            <w:textDirection w:val="lrTb"/>
            <w:noWrap w:val="false"/>
          </w:tcPr>
          <w:p>
            <w:pPr>
              <w:jc w:val="center"/>
              <w:spacing w:line="280" w:lineRule="exact"/>
              <w:rPr>
                <w:rFonts w:ascii="宋体" w:hAnsi="宋体" w:cstheme="minorEastAsia"/>
                <w:szCs w:val="21"/>
              </w:rPr>
            </w:pPr>
            <w:r>
              <w:rPr>
                <w:rFonts w:hint="eastAsia" w:ascii="宋体" w:hAnsi="宋体" w:cstheme="minorEastAsia"/>
                <w:szCs w:val="21"/>
              </w:rPr>
              <w:t xml:space="preserve">序号</w:t>
            </w:r>
            <w:r/>
          </w:p>
        </w:tc>
        <w:tc>
          <w:tcPr>
            <w:tcW w:w="3854" w:type="dxa"/>
            <w:vAlign w:val="center"/>
            <w:textDirection w:val="lrTb"/>
            <w:noWrap w:val="false"/>
          </w:tcPr>
          <w:p>
            <w:pPr>
              <w:jc w:val="center"/>
              <w:spacing w:line="280" w:lineRule="exact"/>
              <w:rPr>
                <w:rFonts w:ascii="宋体" w:hAnsi="宋体" w:cstheme="minorEastAsia"/>
                <w:szCs w:val="21"/>
              </w:rPr>
            </w:pPr>
            <w:r>
              <w:rPr>
                <w:rFonts w:hint="eastAsia" w:ascii="宋体" w:hAnsi="宋体" w:cstheme="minorEastAsia"/>
                <w:szCs w:val="21"/>
              </w:rPr>
              <w:t xml:space="preserve">采购标的</w:t>
            </w:r>
            <w:r/>
          </w:p>
        </w:tc>
        <w:tc>
          <w:tcPr>
            <w:tcW w:w="3323" w:type="dxa"/>
            <w:vAlign w:val="center"/>
            <w:textDirection w:val="lrTb"/>
            <w:noWrap w:val="false"/>
          </w:tcPr>
          <w:p>
            <w:pPr>
              <w:jc w:val="center"/>
              <w:spacing w:line="280" w:lineRule="exact"/>
              <w:rPr>
                <w:rFonts w:ascii="宋体" w:hAnsi="宋体" w:cstheme="minorEastAsia"/>
                <w:szCs w:val="21"/>
              </w:rPr>
            </w:pPr>
            <w:r>
              <w:rPr>
                <w:rFonts w:hint="eastAsia" w:ascii="宋体" w:hAnsi="宋体" w:cstheme="minorEastAsia"/>
                <w:szCs w:val="21"/>
              </w:rPr>
              <w:t xml:space="preserve">对应中小企业划分标准所属行业</w:t>
            </w:r>
            <w:r/>
          </w:p>
        </w:tc>
      </w:tr>
      <w:tr>
        <w:trPr>
          <w:cantSplit/>
          <w:jc w:val="center"/>
          <w:trHeight w:val="291"/>
        </w:trPr>
        <w:tc>
          <w:tcPr>
            <w:tcW w:w="928" w:type="dxa"/>
            <w:vAlign w:val="center"/>
            <w:textDirection w:val="lrTb"/>
            <w:noWrap w:val="false"/>
          </w:tcPr>
          <w:p>
            <w:pPr>
              <w:jc w:val="center"/>
              <w:spacing w:line="280" w:lineRule="exact"/>
              <w:rPr>
                <w:rFonts w:ascii="宋体" w:hAnsi="宋体" w:cstheme="minorEastAsia"/>
                <w:szCs w:val="21"/>
              </w:rPr>
            </w:pPr>
            <w:r>
              <w:rPr>
                <w:rFonts w:hint="eastAsia" w:ascii="宋体" w:hAnsi="宋体" w:cstheme="minorEastAsia"/>
                <w:szCs w:val="21"/>
              </w:rPr>
              <w:t xml:space="preserve">1</w:t>
            </w:r>
            <w:r/>
          </w:p>
        </w:tc>
        <w:tc>
          <w:tcPr>
            <w:tcW w:w="3854" w:type="dxa"/>
            <w:vAlign w:val="center"/>
            <w:textDirection w:val="lrTb"/>
            <w:noWrap w:val="false"/>
          </w:tcPr>
          <w:p>
            <w:pPr>
              <w:jc w:val="center"/>
              <w:spacing w:line="280" w:lineRule="exact"/>
              <w:rPr>
                <w:rFonts w:ascii="宋体" w:hAnsi="宋体" w:cstheme="minorEastAsia"/>
                <w:szCs w:val="21"/>
              </w:rPr>
            </w:pPr>
            <w:r>
              <w:rPr>
                <w:rFonts w:hint="eastAsia" w:ascii="宋体" w:hAnsi="宋体" w:cstheme="minorEastAsia"/>
                <w:szCs w:val="21"/>
              </w:rPr>
              <w:t xml:space="preserve">扬州大学公共云机房建设（三期）项目</w:t>
            </w:r>
            <w:r/>
          </w:p>
        </w:tc>
        <w:tc>
          <w:tcPr>
            <w:tcW w:w="3323" w:type="dxa"/>
            <w:vAlign w:val="center"/>
            <w:textDirection w:val="lrTb"/>
            <w:noWrap w:val="false"/>
          </w:tcPr>
          <w:p>
            <w:pPr>
              <w:jc w:val="center"/>
              <w:spacing w:line="280" w:lineRule="exact"/>
              <w:rPr>
                <w:rFonts w:ascii="宋体" w:hAnsi="宋体" w:cstheme="minorEastAsia"/>
                <w:szCs w:val="21"/>
              </w:rPr>
            </w:pPr>
            <w:r>
              <w:rPr>
                <w:rFonts w:hint="eastAsia" w:ascii="宋体" w:hAnsi="宋体" w:cstheme="minorEastAsia"/>
                <w:b/>
                <w:bCs/>
                <w:color w:val="ff0000"/>
                <w:szCs w:val="21"/>
              </w:rPr>
              <w:t xml:space="preserve">工业</w:t>
            </w:r>
            <w:r/>
          </w:p>
        </w:tc>
      </w:tr>
    </w:tbl>
    <w:p>
      <w:r/>
      <w:r/>
    </w:p>
    <w:p>
      <w:pPr>
        <w:ind w:firstLine="422"/>
        <w:spacing w:line="360" w:lineRule="auto"/>
        <w:rPr>
          <w:rFonts w:ascii="宋体" w:hAnsi="宋体" w:cs="宋体"/>
          <w:b/>
          <w:bCs/>
          <w:szCs w:val="21"/>
        </w:rPr>
      </w:pPr>
      <w:r>
        <w:rPr>
          <w:rFonts w:hint="eastAsia" w:ascii="宋体" w:hAnsi="宋体" w:cs="宋体"/>
          <w:b/>
          <w:bCs/>
          <w:szCs w:val="21"/>
        </w:rPr>
        <w:t xml:space="preserve">四、建设内容</w:t>
      </w:r>
      <w:r/>
    </w:p>
    <w:p>
      <w:pPr>
        <w:ind w:firstLine="420"/>
        <w:spacing w:line="360" w:lineRule="auto"/>
        <w:rPr>
          <w:rFonts w:ascii="宋体" w:hAnsi="宋体"/>
          <w:szCs w:val="21"/>
        </w:rPr>
      </w:pPr>
      <w:r>
        <w:rPr>
          <w:rFonts w:hint="eastAsia" w:ascii="宋体" w:hAnsi="宋体"/>
          <w:szCs w:val="21"/>
        </w:rPr>
        <w:t xml:space="preserve">1.本期建设的扬子津校区公共云计算机机房，拟采用胖终端模式对扬子津校区7间教室建设(</w:t>
      </w:r>
      <w:r>
        <w:rPr>
          <w:rFonts w:ascii="宋体" w:hAnsi="宋体"/>
          <w:szCs w:val="21"/>
        </w:rPr>
        <w:t xml:space="preserve">550</w:t>
      </w:r>
      <w:r>
        <w:rPr>
          <w:rFonts w:hint="eastAsia" w:ascii="宋体" w:hAnsi="宋体"/>
          <w:szCs w:val="21"/>
        </w:rPr>
        <w:t xml:space="preserve">学生机点位+</w:t>
      </w:r>
      <w:r>
        <w:rPr>
          <w:rFonts w:ascii="宋体" w:hAnsi="宋体"/>
          <w:szCs w:val="21"/>
        </w:rPr>
        <w:t xml:space="preserve">7</w:t>
      </w:r>
      <w:r>
        <w:rPr>
          <w:rFonts w:hint="eastAsia" w:ascii="宋体" w:hAnsi="宋体"/>
          <w:szCs w:val="21"/>
        </w:rPr>
        <w:t xml:space="preserve">个教师机点位)。</w:t>
      </w:r>
      <w:r/>
    </w:p>
    <w:tbl>
      <w:tblPr>
        <w:tblStyle w:val="8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38"/>
        <w:gridCol w:w="2268"/>
        <w:gridCol w:w="1965"/>
        <w:gridCol w:w="2225"/>
      </w:tblGrid>
      <w:tr>
        <w:trPr>
          <w:jc w:val="center"/>
        </w:trPr>
        <w:tc>
          <w:tcPr>
            <w:shd w:val="clear" w:color="auto" w:fill="auto"/>
            <w:tcW w:w="1838" w:type="dxa"/>
            <w:textDirection w:val="lrTb"/>
            <w:noWrap w:val="false"/>
          </w:tcPr>
          <w:p>
            <w:pPr>
              <w:ind w:firstLine="422"/>
              <w:jc w:val="center"/>
              <w:spacing w:line="360" w:lineRule="auto"/>
              <w:rPr>
                <w:rFonts w:ascii="宋体" w:hAnsi="宋体" w:cs="宋体"/>
                <w:b/>
                <w:bCs/>
                <w:szCs w:val="21"/>
              </w:rPr>
            </w:pPr>
            <w:r>
              <w:rPr>
                <w:rFonts w:hint="eastAsia" w:ascii="宋体" w:hAnsi="宋体" w:cs="宋体"/>
                <w:b/>
                <w:bCs/>
                <w:szCs w:val="21"/>
              </w:rPr>
              <w:t xml:space="preserve">校区</w:t>
            </w:r>
            <w:r/>
          </w:p>
        </w:tc>
        <w:tc>
          <w:tcPr>
            <w:shd w:val="clear" w:color="auto" w:fill="auto"/>
            <w:tcW w:w="2268" w:type="dxa"/>
            <w:textDirection w:val="lrTb"/>
            <w:noWrap w:val="false"/>
          </w:tcPr>
          <w:p>
            <w:pPr>
              <w:ind w:firstLine="422"/>
              <w:jc w:val="center"/>
              <w:spacing w:line="360" w:lineRule="auto"/>
              <w:rPr>
                <w:rFonts w:ascii="宋体" w:hAnsi="宋体" w:cs="宋体"/>
                <w:b/>
                <w:bCs/>
                <w:szCs w:val="21"/>
              </w:rPr>
            </w:pPr>
            <w:r>
              <w:rPr>
                <w:rFonts w:hint="eastAsia" w:ascii="宋体" w:hAnsi="宋体" w:cs="宋体"/>
                <w:b/>
                <w:bCs/>
                <w:szCs w:val="21"/>
              </w:rPr>
              <w:t xml:space="preserve">地点</w:t>
            </w:r>
            <w:r/>
          </w:p>
        </w:tc>
        <w:tc>
          <w:tcPr>
            <w:shd w:val="clear" w:color="auto" w:fill="auto"/>
            <w:tcW w:w="1965" w:type="dxa"/>
            <w:textDirection w:val="lrTb"/>
            <w:noWrap w:val="false"/>
          </w:tcPr>
          <w:p>
            <w:pPr>
              <w:ind w:firstLine="422"/>
              <w:jc w:val="center"/>
              <w:spacing w:line="360" w:lineRule="auto"/>
              <w:rPr>
                <w:rFonts w:ascii="宋体" w:hAnsi="宋体" w:cs="宋体"/>
                <w:b/>
                <w:bCs/>
                <w:szCs w:val="21"/>
              </w:rPr>
            </w:pPr>
            <w:r>
              <w:rPr>
                <w:rFonts w:hint="eastAsia" w:ascii="宋体" w:hAnsi="宋体" w:cs="宋体"/>
                <w:b/>
                <w:bCs/>
                <w:szCs w:val="21"/>
              </w:rPr>
              <w:t xml:space="preserve">点位数（个）</w:t>
            </w:r>
            <w:r/>
          </w:p>
        </w:tc>
        <w:tc>
          <w:tcPr>
            <w:shd w:val="clear" w:color="auto" w:fill="auto"/>
            <w:tcW w:w="2225" w:type="dxa"/>
            <w:textDirection w:val="lrTb"/>
            <w:noWrap w:val="false"/>
          </w:tcPr>
          <w:p>
            <w:pPr>
              <w:ind w:firstLine="422"/>
              <w:jc w:val="center"/>
              <w:spacing w:line="360" w:lineRule="auto"/>
              <w:rPr>
                <w:rFonts w:ascii="宋体" w:hAnsi="宋体" w:cs="宋体"/>
                <w:b/>
                <w:bCs/>
                <w:szCs w:val="21"/>
              </w:rPr>
            </w:pPr>
            <w:r>
              <w:rPr>
                <w:rFonts w:hint="eastAsia" w:ascii="宋体" w:hAnsi="宋体" w:cs="宋体"/>
                <w:b/>
                <w:bCs/>
                <w:szCs w:val="21"/>
              </w:rPr>
              <w:t xml:space="preserve">服务器放置地点</w:t>
            </w:r>
            <w:r/>
          </w:p>
        </w:tc>
      </w:tr>
      <w:tr>
        <w:trPr>
          <w:jc w:val="center"/>
        </w:trPr>
        <w:tc>
          <w:tcPr>
            <w:shd w:val="clear" w:color="auto" w:fill="auto"/>
            <w:tcW w:w="1838"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扬子津校区</w:t>
            </w:r>
            <w:r/>
          </w:p>
        </w:tc>
        <w:tc>
          <w:tcPr>
            <w:shd w:val="clear" w:color="auto" w:fill="auto"/>
            <w:tcW w:w="226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文津楼</w:t>
            </w:r>
            <w:r>
              <w:rPr>
                <w:rFonts w:ascii="宋体" w:hAnsi="宋体" w:cs="宋体"/>
                <w:szCs w:val="21"/>
              </w:rPr>
              <w:t xml:space="preserve">N501</w:t>
            </w:r>
            <w:r/>
          </w:p>
        </w:tc>
        <w:tc>
          <w:tcPr>
            <w:shd w:val="clear" w:color="auto" w:fill="auto"/>
            <w:tcW w:w="19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rPr>
                <w:rFonts w:ascii="宋体" w:hAnsi="宋体" w:cs="宋体"/>
                <w:szCs w:val="21"/>
              </w:rPr>
              <w:t xml:space="preserve">0+1</w:t>
            </w:r>
            <w:r/>
          </w:p>
        </w:tc>
        <w:tc>
          <w:tcPr>
            <w:shd w:val="clear" w:color="auto" w:fill="auto"/>
            <w:tcW w:w="2225" w:type="dxa"/>
            <w:vAlign w:val="center"/>
            <w:vMerge w:val="restart"/>
            <w:textDirection w:val="lrTb"/>
            <w:noWrap w:val="false"/>
          </w:tcPr>
          <w:p>
            <w:pPr>
              <w:jc w:val="center"/>
              <w:spacing w:line="360" w:lineRule="auto"/>
              <w:rPr>
                <w:rFonts w:ascii="宋体" w:hAnsi="宋体" w:cs="宋体"/>
                <w:szCs w:val="21"/>
              </w:rPr>
            </w:pPr>
            <w:r>
              <w:rPr>
                <w:rFonts w:hint="eastAsia" w:ascii="宋体" w:hAnsi="宋体" w:cs="宋体"/>
                <w:szCs w:val="21"/>
              </w:rPr>
              <w:t xml:space="preserve">信息化处机房</w:t>
            </w:r>
            <w:r>
              <w:rPr>
                <w:rFonts w:ascii="宋体" w:hAnsi="宋体" w:cs="宋体"/>
                <w:szCs w:val="21"/>
              </w:rPr>
              <w:br/>
            </w:r>
            <w:r>
              <w:rPr>
                <w:rFonts w:hint="eastAsia" w:ascii="宋体" w:hAnsi="宋体" w:cs="宋体"/>
                <w:szCs w:val="21"/>
              </w:rPr>
              <w:t xml:space="preserve">（暂定）</w:t>
            </w:r>
            <w:r/>
          </w:p>
        </w:tc>
      </w:tr>
      <w:tr>
        <w:trPr>
          <w:jc w:val="center"/>
        </w:trPr>
        <w:tc>
          <w:tcPr>
            <w:shd w:val="clear" w:color="auto" w:fill="auto"/>
            <w:tcW w:w="183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226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文津楼</w:t>
            </w:r>
            <w:r>
              <w:rPr>
                <w:rFonts w:ascii="宋体" w:hAnsi="宋体" w:cs="宋体"/>
                <w:szCs w:val="21"/>
              </w:rPr>
              <w:t xml:space="preserve">N502</w:t>
            </w:r>
            <w:r/>
          </w:p>
        </w:tc>
        <w:tc>
          <w:tcPr>
            <w:shd w:val="clear" w:color="auto" w:fill="auto"/>
            <w:tcW w:w="1965" w:type="dxa"/>
            <w:vAlign w:val="center"/>
            <w:textDirection w:val="lrTb"/>
            <w:noWrap w:val="false"/>
          </w:tcPr>
          <w:p>
            <w:pPr>
              <w:jc w:val="center"/>
              <w:spacing w:line="360" w:lineRule="auto"/>
              <w:rPr>
                <w:rFonts w:ascii="宋体" w:hAnsi="宋体" w:cs="宋体"/>
                <w:szCs w:val="21"/>
              </w:rPr>
            </w:pPr>
            <w:r>
              <w:rPr>
                <w:rFonts w:ascii="宋体" w:hAnsi="宋体" w:cs="宋体"/>
                <w:szCs w:val="21"/>
              </w:rPr>
              <w:t xml:space="preserve">70+1</w:t>
            </w:r>
            <w:r/>
          </w:p>
        </w:tc>
        <w:tc>
          <w:tcPr>
            <w:shd w:val="clear" w:color="auto" w:fill="auto"/>
            <w:tcW w:w="2225"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shd w:val="clear" w:color="auto" w:fill="auto"/>
            <w:tcW w:w="183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226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文津楼</w:t>
            </w:r>
            <w:r>
              <w:rPr>
                <w:rFonts w:ascii="宋体" w:hAnsi="宋体" w:cs="宋体"/>
                <w:szCs w:val="21"/>
              </w:rPr>
              <w:t xml:space="preserve">N503</w:t>
            </w:r>
            <w:r/>
          </w:p>
        </w:tc>
        <w:tc>
          <w:tcPr>
            <w:shd w:val="clear" w:color="auto" w:fill="auto"/>
            <w:tcW w:w="19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rPr>
                <w:rFonts w:ascii="宋体" w:hAnsi="宋体" w:cs="宋体"/>
                <w:szCs w:val="21"/>
              </w:rPr>
              <w:t xml:space="preserve">0+1</w:t>
            </w:r>
            <w:r/>
          </w:p>
        </w:tc>
        <w:tc>
          <w:tcPr>
            <w:shd w:val="clear" w:color="auto" w:fill="auto"/>
            <w:tcW w:w="2225"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shd w:val="clear" w:color="auto" w:fill="auto"/>
            <w:tcW w:w="183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226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文津楼</w:t>
            </w:r>
            <w:r>
              <w:rPr>
                <w:rFonts w:ascii="宋体" w:hAnsi="宋体" w:cs="宋体"/>
                <w:szCs w:val="21"/>
              </w:rPr>
              <w:t xml:space="preserve">N504</w:t>
            </w:r>
            <w:r/>
          </w:p>
        </w:tc>
        <w:tc>
          <w:tcPr>
            <w:shd w:val="clear" w:color="auto" w:fill="auto"/>
            <w:tcW w:w="19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7</w:t>
            </w:r>
            <w:r>
              <w:rPr>
                <w:rFonts w:ascii="宋体" w:hAnsi="宋体" w:cs="宋体"/>
                <w:szCs w:val="21"/>
              </w:rPr>
              <w:t xml:space="preserve">0+1</w:t>
            </w:r>
            <w:r/>
          </w:p>
        </w:tc>
        <w:tc>
          <w:tcPr>
            <w:shd w:val="clear" w:color="auto" w:fill="auto"/>
            <w:tcW w:w="2225"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shd w:val="clear" w:color="auto" w:fill="auto"/>
            <w:tcW w:w="183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226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文津楼</w:t>
            </w:r>
            <w:r>
              <w:rPr>
                <w:rFonts w:ascii="宋体" w:hAnsi="宋体" w:cs="宋体"/>
                <w:szCs w:val="21"/>
              </w:rPr>
              <w:t xml:space="preserve">N505</w:t>
            </w:r>
            <w:r/>
          </w:p>
        </w:tc>
        <w:tc>
          <w:tcPr>
            <w:shd w:val="clear" w:color="auto" w:fill="auto"/>
            <w:tcW w:w="19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rPr>
                <w:rFonts w:ascii="宋体" w:hAnsi="宋体" w:cs="宋体"/>
                <w:szCs w:val="21"/>
              </w:rPr>
              <w:t xml:space="preserve">0+1</w:t>
            </w:r>
            <w:r/>
          </w:p>
        </w:tc>
        <w:tc>
          <w:tcPr>
            <w:shd w:val="clear" w:color="auto" w:fill="auto"/>
            <w:tcW w:w="2225"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shd w:val="clear" w:color="auto" w:fill="auto"/>
            <w:tcW w:w="183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226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文津楼</w:t>
            </w:r>
            <w:r>
              <w:rPr>
                <w:rFonts w:ascii="宋体" w:hAnsi="宋体" w:cs="宋体"/>
                <w:szCs w:val="21"/>
              </w:rPr>
              <w:t xml:space="preserve">N507</w:t>
            </w:r>
            <w:r/>
          </w:p>
        </w:tc>
        <w:tc>
          <w:tcPr>
            <w:shd w:val="clear" w:color="auto" w:fill="auto"/>
            <w:tcW w:w="19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9</w:t>
            </w:r>
            <w:r>
              <w:rPr>
                <w:rFonts w:ascii="宋体" w:hAnsi="宋体" w:cs="宋体"/>
                <w:szCs w:val="21"/>
              </w:rPr>
              <w:t xml:space="preserve">0+1</w:t>
            </w:r>
            <w:r/>
          </w:p>
        </w:tc>
        <w:tc>
          <w:tcPr>
            <w:shd w:val="clear" w:color="auto" w:fill="auto"/>
            <w:tcW w:w="2225"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r>
        <w:trPr>
          <w:jc w:val="center"/>
        </w:trPr>
        <w:tc>
          <w:tcPr>
            <w:shd w:val="clear" w:color="auto" w:fill="auto"/>
            <w:tcW w:w="1838" w:type="dxa"/>
            <w:vAlign w:val="center"/>
            <w:vMerge w:val="continue"/>
            <w:textDirection w:val="lrTb"/>
            <w:noWrap w:val="false"/>
          </w:tcPr>
          <w:p>
            <w:pPr>
              <w:jc w:val="center"/>
              <w:spacing w:line="360" w:lineRule="auto"/>
              <w:rPr>
                <w:rFonts w:ascii="宋体" w:hAnsi="宋体" w:cs="宋体"/>
                <w:szCs w:val="21"/>
              </w:rPr>
            </w:pPr>
            <w:r>
              <w:rPr>
                <w:rFonts w:ascii="宋体" w:hAnsi="宋体" w:cs="宋体"/>
                <w:szCs w:val="21"/>
              </w:rPr>
            </w:r>
            <w:r/>
          </w:p>
        </w:tc>
        <w:tc>
          <w:tcPr>
            <w:shd w:val="clear" w:color="auto" w:fill="auto"/>
            <w:tcW w:w="2268"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文津楼</w:t>
            </w:r>
            <w:r>
              <w:rPr>
                <w:rFonts w:ascii="宋体" w:hAnsi="宋体" w:cs="宋体"/>
                <w:szCs w:val="21"/>
              </w:rPr>
              <w:t xml:space="preserve">N508</w:t>
            </w:r>
            <w:r/>
          </w:p>
        </w:tc>
        <w:tc>
          <w:tcPr>
            <w:shd w:val="clear" w:color="auto" w:fill="auto"/>
            <w:tcW w:w="1965" w:type="dxa"/>
            <w:vAlign w:val="center"/>
            <w:textDirection w:val="lrTb"/>
            <w:noWrap w:val="false"/>
          </w:tcPr>
          <w:p>
            <w:pPr>
              <w:jc w:val="center"/>
              <w:spacing w:line="360" w:lineRule="auto"/>
              <w:rPr>
                <w:rFonts w:ascii="宋体" w:hAnsi="宋体" w:cs="宋体"/>
                <w:szCs w:val="21"/>
              </w:rPr>
            </w:pPr>
            <w:r>
              <w:rPr>
                <w:rFonts w:hint="eastAsia" w:ascii="宋体" w:hAnsi="宋体" w:cs="宋体"/>
                <w:szCs w:val="21"/>
              </w:rPr>
              <w:t xml:space="preserve">5</w:t>
            </w:r>
            <w:r>
              <w:rPr>
                <w:rFonts w:ascii="宋体" w:hAnsi="宋体" w:cs="宋体"/>
                <w:szCs w:val="21"/>
              </w:rPr>
              <w:t xml:space="preserve">0+1</w:t>
            </w:r>
            <w:r/>
          </w:p>
        </w:tc>
        <w:tc>
          <w:tcPr>
            <w:shd w:val="clear" w:color="auto" w:fill="auto"/>
            <w:tcW w:w="2225" w:type="dxa"/>
            <w:vMerge w:val="continue"/>
            <w:textDirection w:val="lrTb"/>
            <w:noWrap w:val="false"/>
          </w:tcPr>
          <w:p>
            <w:pPr>
              <w:spacing w:line="360" w:lineRule="auto"/>
              <w:rPr>
                <w:rFonts w:ascii="宋体" w:hAnsi="宋体" w:cs="宋体"/>
                <w:szCs w:val="21"/>
              </w:rPr>
            </w:pPr>
            <w:r>
              <w:rPr>
                <w:rFonts w:ascii="宋体" w:hAnsi="宋体" w:cs="宋体"/>
                <w:szCs w:val="21"/>
              </w:rPr>
            </w:r>
            <w:r/>
          </w:p>
        </w:tc>
      </w:tr>
    </w:tbl>
    <w:p>
      <w:pPr>
        <w:ind w:firstLine="420"/>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本次采购中的硬件设备主要涉及胖终端、交换机、键鼠及安装过程中的光纤、超六类双绞线等各项辅材。</w:t>
      </w:r>
      <w:r>
        <w:rPr>
          <w:rFonts w:hint="eastAsia" w:ascii="宋体" w:hAnsi="宋体" w:cs="宋体"/>
          <w:szCs w:val="21"/>
          <w:highlight w:val="none"/>
        </w:rPr>
        <w:t xml:space="preserve">软件主</w:t>
      </w:r>
      <w:r>
        <w:rPr>
          <w:rFonts w:hint="eastAsia" w:ascii="宋体" w:hAnsi="宋体" w:cs="宋体"/>
          <w:color w:val="000000" w:themeColor="text1"/>
          <w:szCs w:val="21"/>
          <w:highlight w:val="none"/>
          <w14:textFill>
            <w14:solidFill>
              <w14:schemeClr w14:val="tx1"/>
            </w14:solidFill>
          </w14:textFill>
        </w:rPr>
        <w:t xml:space="preserve">要是云平台管理软件、终端客户端软件和电子教学软件。项</w:t>
      </w:r>
      <w:r>
        <w:rPr>
          <w:rFonts w:hint="eastAsia" w:ascii="宋体" w:hAnsi="宋体" w:cs="宋体"/>
          <w:szCs w:val="21"/>
        </w:rPr>
        <w:t xml:space="preserve">目建设完成后，应满足扬子津校区公共计算机语言和多个学院的专业软件的教学要求以及各类涉及计算机类考试、阅卷、招生等公共事务服务的计算机资源使用需求。</w:t>
      </w:r>
      <w:r/>
    </w:p>
    <w:p>
      <w:pPr>
        <w:ind w:firstLine="420"/>
        <w:spacing w:line="360" w:lineRule="auto"/>
        <w:rPr>
          <w:rFonts w:ascii="宋体" w:hAnsi="宋体" w:cs="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本次</w:t>
      </w:r>
      <w:r>
        <w:rPr>
          <w:rFonts w:hint="eastAsia" w:ascii="宋体" w:hAnsi="宋体" w:cs="宋体"/>
          <w:szCs w:val="21"/>
        </w:rPr>
        <w:t xml:space="preserve">采购中涉及到的少量装修内容主要包括扬子津校区</w:t>
      </w:r>
      <w:r>
        <w:rPr>
          <w:rFonts w:ascii="宋体" w:hAnsi="宋体" w:cs="宋体"/>
          <w:szCs w:val="21"/>
        </w:rPr>
        <w:t xml:space="preserve">7</w:t>
      </w:r>
      <w:r>
        <w:rPr>
          <w:rFonts w:hint="eastAsia" w:ascii="宋体" w:hAnsi="宋体" w:cs="宋体"/>
          <w:szCs w:val="21"/>
        </w:rPr>
        <w:t xml:space="preserve">间教室的墙面出新、静电陶瓷地板更换以及项目实施所必须包含的强电和弱电改造所需全部施工材料以及安装服务。</w:t>
      </w:r>
      <w:r/>
    </w:p>
    <w:p>
      <w:pPr>
        <w:ind w:firstLine="420"/>
        <w:spacing w:line="360" w:lineRule="auto"/>
        <w:rPr>
          <w:rFonts w:ascii="宋体" w:hAnsi="宋体"/>
          <w:szCs w:val="21"/>
        </w:rPr>
      </w:pPr>
      <w:r>
        <w:rPr>
          <w:rFonts w:hint="eastAsia" w:ascii="宋体" w:hAnsi="宋体" w:cs="宋体"/>
          <w:szCs w:val="21"/>
        </w:rPr>
        <w:t xml:space="preserve">4.系统集成</w:t>
      </w:r>
      <w:r>
        <w:rPr>
          <w:rFonts w:ascii="宋体" w:hAnsi="宋体" w:cs="宋体"/>
          <w:szCs w:val="21"/>
        </w:rPr>
        <w:t xml:space="preserve">:</w:t>
      </w:r>
      <w:r>
        <w:rPr>
          <w:rFonts w:hint="eastAsia" w:ascii="宋体" w:hAnsi="宋体" w:cs="宋体"/>
          <w:szCs w:val="21"/>
        </w:rPr>
        <w:t xml:space="preserve">将服务器(另购</w:t>
      </w:r>
      <w:r>
        <w:rPr>
          <w:rFonts w:ascii="宋体" w:hAnsi="宋体" w:cs="宋体"/>
          <w:szCs w:val="21"/>
        </w:rPr>
        <w:t xml:space="preserve">)</w:t>
      </w:r>
      <w:r>
        <w:rPr>
          <w:rFonts w:hint="eastAsia" w:ascii="宋体" w:hAnsi="宋体" w:cs="宋体"/>
          <w:szCs w:val="21"/>
        </w:rPr>
        <w:t xml:space="preserve">、交换机、终端等硬件与各云桌面软件进行系统集成。</w:t>
      </w:r>
      <w:r/>
    </w:p>
    <w:tbl>
      <w:tblPr>
        <w:tblStyle w:val="827"/>
        <w:tblW w:w="5230" w:type="pct"/>
        <w:tblInd w:w="-323" w:type="dxa"/>
        <w:tblLayout w:type="fixed"/>
        <w:tblCellMar>
          <w:left w:w="108" w:type="dxa"/>
          <w:top w:w="0" w:type="dxa"/>
          <w:right w:w="108" w:type="dxa"/>
          <w:bottom w:w="0" w:type="dxa"/>
        </w:tblCellMar>
        <w:tblLook w:val="04A0" w:firstRow="1" w:lastRow="0" w:firstColumn="1" w:lastColumn="0" w:noHBand="0" w:noVBand="1"/>
      </w:tblPr>
      <w:tblGrid>
        <w:gridCol w:w="443"/>
        <w:gridCol w:w="639"/>
        <w:gridCol w:w="7642"/>
        <w:gridCol w:w="508"/>
        <w:gridCol w:w="1188"/>
      </w:tblGrid>
      <w:tr>
        <w:trPr>
          <w:trHeight w:val="288"/>
        </w:trPr>
        <w:tc>
          <w:tcPr>
            <w:tcBorders>
              <w:top w:val="single" w:color="auto" w:sz="4" w:space="0"/>
              <w:left w:val="single" w:color="auto" w:sz="4" w:space="0"/>
              <w:bottom w:val="single" w:color="auto" w:sz="4" w:space="0"/>
              <w:right w:val="single" w:color="auto" w:sz="4" w:space="0"/>
            </w:tcBorders>
            <w:tcW w:w="212" w:type="pct"/>
            <w:vAlign w:val="center"/>
            <w:textDirection w:val="lrTb"/>
            <w:noWrap/>
          </w:tcPr>
          <w:p>
            <w:pPr>
              <w:jc w:val="center"/>
              <w:spacing w:line="360" w:lineRule="auto"/>
              <w:widowControl/>
              <w:rPr>
                <w:rFonts w:ascii="宋体" w:hAnsi="宋体" w:cs="宋体"/>
                <w:color w:val="000000"/>
                <w:szCs w:val="21"/>
              </w:rPr>
            </w:pPr>
            <w:r/>
            <w:bookmarkStart w:id="54" w:name="_Hlk230681272"/>
            <w:r>
              <w:rPr>
                <w:rFonts w:hint="eastAsia" w:ascii="宋体" w:hAnsi="宋体" w:cs="宋体"/>
                <w:color w:val="000000"/>
                <w:szCs w:val="21"/>
              </w:rPr>
              <w:t xml:space="preserve">序号</w:t>
            </w:r>
            <w:r/>
          </w:p>
        </w:tc>
        <w:tc>
          <w:tcPr>
            <w:tcBorders>
              <w:top w:val="single" w:color="auto" w:sz="4" w:space="0"/>
              <w:left w:val="none" w:color="000000" w:sz="4" w:space="0"/>
              <w:bottom w:val="single" w:color="auto" w:sz="4" w:space="0"/>
              <w:right w:val="single" w:color="auto" w:sz="4" w:space="0"/>
            </w:tcBorders>
            <w:tcW w:w="306"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设备名称</w:t>
            </w:r>
            <w:r/>
          </w:p>
        </w:tc>
        <w:tc>
          <w:tcPr>
            <w:tcBorders>
              <w:top w:val="single" w:color="auto" w:sz="4" w:space="0"/>
              <w:left w:val="none" w:color="000000" w:sz="4" w:space="0"/>
              <w:bottom w:val="single" w:color="auto" w:sz="4" w:space="0"/>
              <w:right w:val="single" w:color="auto" w:sz="4" w:space="0"/>
            </w:tcBorders>
            <w:tcW w:w="3665"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设备规格及</w:t>
            </w:r>
            <w:r>
              <w:rPr>
                <w:rFonts w:ascii="宋体" w:hAnsi="宋体" w:cs="宋体"/>
                <w:color w:val="000000"/>
                <w:szCs w:val="21"/>
              </w:rPr>
              <w:t xml:space="preserve">技术参数要求</w:t>
            </w:r>
            <w:r/>
          </w:p>
        </w:tc>
        <w:tc>
          <w:tcPr>
            <w:tcBorders>
              <w:top w:val="single" w:color="auto" w:sz="4" w:space="0"/>
              <w:left w:val="none" w:color="000000" w:sz="4" w:space="0"/>
              <w:bottom w:val="single" w:color="auto" w:sz="4" w:space="0"/>
              <w:right w:val="single" w:color="auto" w:sz="4" w:space="0"/>
            </w:tcBorders>
            <w:tcW w:w="244"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单位</w:t>
            </w:r>
            <w:r/>
          </w:p>
        </w:tc>
        <w:tc>
          <w:tcPr>
            <w:tcBorders>
              <w:top w:val="single" w:color="auto" w:sz="4" w:space="0"/>
              <w:left w:val="none" w:color="000000" w:sz="4" w:space="0"/>
              <w:bottom w:val="single" w:color="auto" w:sz="4" w:space="0"/>
              <w:right w:val="single" w:color="auto" w:sz="4" w:space="0"/>
            </w:tcBorders>
            <w:tcW w:w="570" w:type="pct"/>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数量</w:t>
            </w:r>
            <w:r/>
          </w:p>
        </w:tc>
      </w:tr>
      <w:tr>
        <w:trPr>
          <w:trHeight w:val="1606"/>
        </w:trPr>
        <w:tc>
          <w:tcPr>
            <w:tcBorders>
              <w:top w:val="none" w:color="000000" w:sz="4" w:space="0"/>
              <w:left w:val="single" w:color="auto" w:sz="4" w:space="0"/>
              <w:bottom w:val="single" w:color="auto" w:sz="4" w:space="0"/>
              <w:right w:val="single" w:color="auto" w:sz="4" w:space="0"/>
            </w:tcBorders>
            <w:tcW w:w="212" w:type="pct"/>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t xml:space="preserve">1</w:t>
            </w:r>
            <w:r/>
          </w:p>
        </w:tc>
        <w:tc>
          <w:tcPr>
            <w:tcBorders>
              <w:top w:val="none" w:color="000000" w:sz="4" w:space="0"/>
              <w:left w:val="none" w:color="000000" w:sz="4" w:space="0"/>
              <w:bottom w:val="single" w:color="auto" w:sz="4" w:space="0"/>
              <w:right w:val="single" w:color="auto" w:sz="4" w:space="0"/>
            </w:tcBorders>
            <w:tcW w:w="306"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胖终端</w:t>
            </w:r>
            <w:r/>
          </w:p>
        </w:tc>
        <w:tc>
          <w:tcPr>
            <w:tcBorders>
              <w:top w:val="none" w:color="000000" w:sz="4" w:space="0"/>
              <w:left w:val="none" w:color="000000" w:sz="4" w:space="0"/>
              <w:bottom w:val="single" w:color="auto" w:sz="4" w:space="0"/>
              <w:right w:val="single" w:color="auto" w:sz="4" w:space="0"/>
            </w:tcBorders>
            <w:tcW w:w="3665" w:type="pct"/>
            <w:vAlign w:val="center"/>
            <w:textDirection w:val="lrTb"/>
            <w:noWrap/>
          </w:tcPr>
          <w:p>
            <w:pPr>
              <w:spacing w:line="360" w:lineRule="auto"/>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szCs w:val="21"/>
              </w:rPr>
              <w:t xml:space="preserve">▲1、处理器: 性能不低于英特尔酷睿I5-13420H，主频≥1.99GHz；，核心数≥8核，终端支持分辨率≥3840×2160（4K）</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（须提供包括但不限于产品说明书等技术支持资料（如白皮书、彩页、手册、官网或功能截图等），并加盖投标人公章）</w:t>
            </w:r>
            <w:r/>
          </w:p>
          <w:p>
            <w:pPr>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▲2、内存：≥16GB</w:t>
            </w:r>
            <w:r>
              <w:rPr>
                <w:rFonts w:ascii="宋体" w:hAnsi="宋体" w:cs="宋体"/>
                <w:color w:val="000000" w:themeColor="text1"/>
                <w:szCs w:val="21"/>
                <w:highlight w:val="none"/>
                <w14:textFill>
                  <w14:solidFill>
                    <w14:schemeClr w14:val="tx1"/>
                  </w14:solidFill>
                </w14:textFill>
              </w:rPr>
              <w:t xml:space="preserve"> DDR4 3200 </w:t>
            </w:r>
            <w:r>
              <w:rPr>
                <w:rFonts w:hint="eastAsia" w:ascii="宋体" w:hAnsi="宋体" w:cs="宋体"/>
                <w:color w:val="000000" w:themeColor="text1"/>
                <w:szCs w:val="21"/>
                <w:highlight w:val="none"/>
                <w14:textFill>
                  <w14:solidFill>
                    <w14:schemeClr w14:val="tx1"/>
                  </w14:solidFill>
                </w14:textFill>
              </w:rPr>
              <w:t xml:space="preserve">；存储：≥512GB</w:t>
            </w:r>
            <w:r>
              <w:rPr>
                <w:rFonts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 M.2 NVME协议；支持操作系统：Windows及Linux； </w:t>
            </w:r>
            <w:r>
              <w:rPr>
                <w:rFonts w:hint="eastAsia" w:ascii="宋体" w:hAnsi="宋体" w:cs="宋体"/>
                <w:b/>
                <w:bCs/>
                <w:color w:val="000000" w:themeColor="text1"/>
                <w:szCs w:val="21"/>
                <w:highlight w:val="none"/>
                <w14:textFill>
                  <w14:solidFill>
                    <w14:schemeClr w14:val="tx1"/>
                  </w14:solidFill>
                </w14:textFill>
              </w:rPr>
              <w:t xml:space="preserve">（须提供包括但不限于产品说明书等技术支持资料（如白皮书、彩页、手册、官网或功能截图等），并加盖投标人公章）</w:t>
            </w:r>
            <w:r/>
          </w:p>
          <w:p>
            <w:pPr>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3、网口：电源接口*1、千兆双网口*1、HDMI2.1及以上*1、DP1.2及以上*1、USB3.2Gen1*4、全功能Type-c接口*1、3.5mm耳麦接口*1； </w:t>
            </w:r>
            <w:r/>
          </w:p>
          <w:p>
            <w:pPr>
              <w:spacing w:line="360" w:lineRule="auto"/>
              <w:widowControl/>
              <w:rPr>
                <w:rFonts w:ascii="宋体" w:hAnsi="宋体" w:cs="宋体"/>
                <w:color w:val="000000"/>
                <w:szCs w:val="21"/>
              </w:rPr>
            </w:pPr>
            <w:r/>
            <w:bookmarkStart w:id="55" w:name="OLE_LINK46"/>
            <w:r/>
            <w:bookmarkStart w:id="56" w:name="OLE_LINK45"/>
            <w:r>
              <w:rPr>
                <w:rFonts w:hint="eastAsia" w:ascii="宋体" w:hAnsi="宋体" w:cs="宋体"/>
                <w:color w:val="000000" w:themeColor="text1"/>
                <w:szCs w:val="21"/>
                <w:highlight w:val="none"/>
                <w14:textFill>
                  <w14:solidFill>
                    <w14:schemeClr w14:val="tx1"/>
                  </w14:solidFill>
                </w14:textFill>
              </w:rPr>
              <w:t xml:space="preserve">▲</w:t>
            </w:r>
            <w:bookmarkEnd w:id="55"/>
            <w:r/>
            <w:bookmarkEnd w:id="56"/>
            <w:r>
              <w:rPr>
                <w:rFonts w:hint="eastAsia" w:ascii="宋体" w:hAnsi="宋体" w:cs="宋体"/>
                <w:color w:val="000000" w:themeColor="text1"/>
                <w:szCs w:val="21"/>
                <w:highlight w:val="none"/>
                <w14:textFill>
                  <w14:solidFill>
                    <w14:schemeClr w14:val="tx1"/>
                  </w14:solidFill>
                </w14:textFill>
              </w:rPr>
              <w:t xml:space="preserve">4、虚拟化协议：支持主流虚拟化协议（TF-VDI、VDP 、RDP、ICA、PCoIP、SPICE等主流厂商协议）；</w:t>
            </w:r>
            <w:r>
              <w:rPr>
                <w:rFonts w:hint="eastAsia" w:ascii="宋体" w:hAnsi="宋体" w:cs="宋体"/>
                <w:b/>
                <w:bCs/>
                <w:color w:val="000000" w:themeColor="text1"/>
                <w:szCs w:val="21"/>
                <w:highlight w:val="none"/>
                <w14:textFill>
                  <w14:solidFill>
                    <w14:schemeClr w14:val="tx1"/>
                  </w14:solidFill>
                </w14:textFill>
              </w:rPr>
              <w:t xml:space="preserve">（须提供包括但不限于产品说明书等技术支持资料（如白皮书、彩页、手册、官网或功能截图等），并加盖投标人公章）</w:t>
            </w:r>
            <w:r/>
          </w:p>
        </w:tc>
        <w:tc>
          <w:tcPr>
            <w:tcBorders>
              <w:top w:val="none" w:color="000000" w:sz="4" w:space="0"/>
              <w:left w:val="none" w:color="000000" w:sz="4" w:space="0"/>
              <w:bottom w:val="single" w:color="auto" w:sz="4" w:space="0"/>
              <w:right w:val="single" w:color="auto" w:sz="4" w:space="0"/>
            </w:tcBorders>
            <w:tcW w:w="244"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台</w:t>
            </w:r>
            <w:r/>
          </w:p>
        </w:tc>
        <w:tc>
          <w:tcPr>
            <w:tcBorders>
              <w:top w:val="none" w:color="000000" w:sz="4" w:space="0"/>
              <w:left w:val="none" w:color="000000" w:sz="4" w:space="0"/>
              <w:bottom w:val="single" w:color="auto" w:sz="4" w:space="0"/>
              <w:right w:val="single" w:color="auto" w:sz="4" w:space="0"/>
            </w:tcBorders>
            <w:tcW w:w="570" w:type="pct"/>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t xml:space="preserve">557</w:t>
            </w:r>
            <w:r/>
          </w:p>
        </w:tc>
      </w:tr>
      <w:tr>
        <w:trPr>
          <w:trHeight w:val="288"/>
        </w:trPr>
        <w:tc>
          <w:tcPr>
            <w:tcBorders>
              <w:top w:val="none" w:color="000000" w:sz="4" w:space="0"/>
              <w:left w:val="single" w:color="auto" w:sz="4" w:space="0"/>
              <w:bottom w:val="single" w:color="auto" w:sz="4" w:space="0"/>
              <w:right w:val="single" w:color="auto" w:sz="4" w:space="0"/>
            </w:tcBorders>
            <w:tcW w:w="212"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2</w:t>
            </w:r>
            <w:r/>
          </w:p>
        </w:tc>
        <w:tc>
          <w:tcPr>
            <w:tcBorders>
              <w:top w:val="none" w:color="000000" w:sz="4" w:space="0"/>
              <w:left w:val="none" w:color="000000" w:sz="4" w:space="0"/>
              <w:bottom w:val="single" w:color="auto" w:sz="4" w:space="0"/>
              <w:right w:val="single" w:color="auto" w:sz="4" w:space="0"/>
            </w:tcBorders>
            <w:tcW w:w="306"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键鼠</w:t>
            </w:r>
            <w:r/>
          </w:p>
        </w:tc>
        <w:tc>
          <w:tcPr>
            <w:tcBorders>
              <w:top w:val="none" w:color="000000" w:sz="4" w:space="0"/>
              <w:left w:val="none" w:color="000000" w:sz="4" w:space="0"/>
              <w:bottom w:val="single" w:color="auto" w:sz="4" w:space="0"/>
              <w:right w:val="single" w:color="auto" w:sz="4" w:space="0"/>
            </w:tcBorders>
            <w:tcW w:w="3665" w:type="pct"/>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国产信创优质品牌；USB 3.2/Type-C 接口，108 键全尺寸键盘；有线 / 无线双模光鼠，分辨率 ≥4000dpi。</w:t>
            </w:r>
            <w:r/>
          </w:p>
        </w:tc>
        <w:tc>
          <w:tcPr>
            <w:tcBorders>
              <w:top w:val="none" w:color="000000" w:sz="4" w:space="0"/>
              <w:left w:val="none" w:color="000000" w:sz="4" w:space="0"/>
              <w:bottom w:val="single" w:color="auto" w:sz="4" w:space="0"/>
              <w:right w:val="single" w:color="auto" w:sz="4" w:space="0"/>
            </w:tcBorders>
            <w:tcW w:w="244"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570" w:type="pct"/>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t xml:space="preserve">557</w:t>
            </w:r>
            <w:r/>
          </w:p>
        </w:tc>
      </w:tr>
      <w:tr>
        <w:trPr>
          <w:trHeight w:val="288"/>
        </w:trPr>
        <w:tc>
          <w:tcPr>
            <w:tcBorders>
              <w:top w:val="none" w:color="000000" w:sz="4" w:space="0"/>
              <w:left w:val="single" w:color="auto" w:sz="4" w:space="0"/>
              <w:bottom w:val="single" w:color="auto" w:sz="4" w:space="0"/>
              <w:right w:val="single" w:color="auto" w:sz="4" w:space="0"/>
            </w:tcBorders>
            <w:tcW w:w="212"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3</w:t>
            </w:r>
            <w:r/>
          </w:p>
        </w:tc>
        <w:tc>
          <w:tcPr>
            <w:tcBorders>
              <w:top w:val="none" w:color="000000" w:sz="4" w:space="0"/>
              <w:left w:val="none" w:color="000000" w:sz="4" w:space="0"/>
              <w:bottom w:val="single" w:color="auto" w:sz="4" w:space="0"/>
              <w:right w:val="single" w:color="auto" w:sz="4" w:space="0"/>
            </w:tcBorders>
            <w:tcW w:w="306"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汇聚交换机</w:t>
            </w:r>
            <w:r/>
          </w:p>
        </w:tc>
        <w:tc>
          <w:tcPr>
            <w:tcBorders>
              <w:top w:val="none" w:color="000000" w:sz="4" w:space="0"/>
              <w:left w:val="none" w:color="000000" w:sz="4" w:space="0"/>
              <w:bottom w:val="single" w:color="auto" w:sz="4" w:space="0"/>
              <w:right w:val="single" w:color="auto" w:sz="4" w:space="0"/>
            </w:tcBorders>
            <w:tcW w:w="3665" w:type="pct"/>
            <w:vAlign w:val="center"/>
            <w:textDirection w:val="lrTb"/>
            <w:noWrap/>
          </w:tcPr>
          <w:p>
            <w:pPr>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核心交换芯片采用国产自主可控品牌</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万兆光口</w:t>
            </w:r>
            <w:r>
              <w:rPr>
                <w:rFonts w:ascii="宋体" w:hAnsi="宋体" w:cs="宋体"/>
                <w:color w:val="000000" w:themeColor="text1"/>
                <w:szCs w:val="21"/>
                <w:highlight w:val="none"/>
                <w14:textFill>
                  <w14:solidFill>
                    <w14:schemeClr w14:val="tx1"/>
                  </w14:solidFill>
                </w14:textFill>
              </w:rPr>
              <w:t xml:space="preserve">≥24</w:t>
            </w:r>
            <w:r>
              <w:rPr>
                <w:rFonts w:hint="eastAsia" w:ascii="宋体" w:hAnsi="宋体" w:cs="宋体"/>
                <w:color w:val="000000" w:themeColor="text1"/>
                <w:szCs w:val="21"/>
                <w:highlight w:val="none"/>
                <w14:textFill>
                  <w14:solidFill>
                    <w14:schemeClr w14:val="tx1"/>
                  </w14:solidFill>
                </w14:textFill>
              </w:rPr>
              <w:t xml:space="preserve">，支持堆叠；</w:t>
            </w:r>
            <w:r>
              <w:rPr>
                <w:rFonts w:ascii="宋体" w:hAnsi="宋体" w:cs="宋体"/>
                <w:color w:val="000000" w:themeColor="text1"/>
                <w:szCs w:val="21"/>
                <w:highlight w:val="none"/>
                <w14:textFill>
                  <w14:solidFill>
                    <w14:schemeClr w14:val="tx1"/>
                  </w14:solidFill>
                </w14:textFill>
              </w:rPr>
              <w:t xml:space="preserve">交换容量≥24Tbps，包转发率≥357.12Mpps；支持前后、后前风道；</w:t>
            </w:r>
            <w:r>
              <w:rPr>
                <w:rFonts w:hint="eastAsia" w:ascii="宋体" w:hAnsi="宋体" w:cs="宋体"/>
                <w:color w:val="000000" w:themeColor="text1"/>
                <w:szCs w:val="21"/>
                <w:highlight w:val="none"/>
                <w14:textFill>
                  <w14:solidFill>
                    <w14:schemeClr w14:val="tx1"/>
                  </w14:solidFill>
                </w14:textFill>
              </w:rPr>
              <w:t xml:space="preserve">具备模块化风扇冗余设计，</w:t>
            </w:r>
            <w:r>
              <w:rPr>
                <w:rFonts w:ascii="宋体" w:hAnsi="宋体" w:cs="宋体"/>
                <w:color w:val="000000" w:themeColor="text1"/>
                <w:szCs w:val="21"/>
                <w:highlight w:val="none"/>
                <w14:textFill>
                  <w14:solidFill>
                    <w14:schemeClr w14:val="tx1"/>
                  </w14:solidFill>
                </w14:textFill>
              </w:rPr>
              <w:t xml:space="preserve">风扇模块≥4；</w:t>
            </w:r>
            <w:r>
              <w:rPr>
                <w:rFonts w:hint="eastAsia" w:ascii="宋体" w:hAnsi="宋体" w:cs="宋体"/>
                <w:b/>
                <w:bCs/>
                <w:color w:val="000000" w:themeColor="text1"/>
                <w:szCs w:val="21"/>
                <w:highlight w:val="none"/>
                <w14:textFill>
                  <w14:solidFill>
                    <w14:schemeClr w14:val="tx1"/>
                  </w14:solidFill>
                </w14:textFill>
              </w:rPr>
              <w:t xml:space="preserve">（须提供包括但不限于产品说明书等技术支持资料（如白皮书、彩页、手册、官网或功能截图等），并加盖投标人公章）</w:t>
            </w:r>
            <w:r/>
          </w:p>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2、</w:t>
            </w:r>
            <w:r>
              <w:rPr>
                <w:rFonts w:hint="eastAsia" w:ascii="宋体" w:hAnsi="宋体" w:cs="宋体"/>
                <w:color w:val="000000" w:themeColor="text1"/>
                <w:szCs w:val="21"/>
                <w:highlight w:val="none"/>
                <w14:textFill>
                  <w14:solidFill>
                    <w14:schemeClr w14:val="tx1"/>
                  </w14:solidFill>
                </w14:textFill>
              </w:rPr>
              <w:t xml:space="preserve">支持静态路由、RIP v1/v2、OSPF、BGP、ISIS、RIPng、OSPFv3、ISISv6、BGP4+，支持策略路由、路由策略、VRRP、BFD for OSPF、BGP、IS-IS、Static Route；SRv6、EVPN；</w:t>
            </w:r>
            <w:r/>
          </w:p>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14:textFill>
                  <w14:solidFill>
                    <w14:schemeClr w14:val="tx1"/>
                  </w14:solidFill>
                </w14:textFill>
              </w:rPr>
              <w:t xml:space="preserve">支持 IPv6、支持 IPv4/IPv6 双栈、IPv6 over IPv4 隧道、IPv4 over IPv6 隧道；支持 IPv6 Source Guard、RA-Guard；</w:t>
            </w:r>
            <w:r/>
          </w:p>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支持 IP 报文分片重组，支持 IPCA；支持 BFD 1ms检测间隔</w:t>
            </w:r>
            <w:r>
              <w:rPr>
                <w:rFonts w:ascii="宋体" w:hAnsi="宋体" w:cs="宋体"/>
                <w:color w:val="000000" w:themeColor="text1"/>
                <w:szCs w:val="21"/>
                <w:highlight w:val="none"/>
                <w14:textFill>
                  <w14:solidFill>
                    <w14:schemeClr w14:val="tx1"/>
                  </w14:solidFill>
                </w14:textFill>
              </w:rPr>
              <w:t xml:space="preserve">；</w:t>
            </w:r>
            <w:r/>
          </w:p>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、支持DHCP snooping，DHCP server，DHCP r</w:t>
            </w:r>
            <w:r>
              <w:rPr>
                <w:rFonts w:ascii="宋体" w:hAnsi="宋体" w:cs="宋体"/>
                <w:color w:val="000000" w:themeColor="text1"/>
                <w:szCs w:val="21"/>
                <w:highlight w:val="none"/>
                <w14:textFill>
                  <w14:solidFill>
                    <w14:schemeClr w14:val="tx1"/>
                  </w14:solidFill>
                </w14:textFill>
              </w:rPr>
              <w:t xml:space="preserve">e</w:t>
            </w:r>
            <w:r>
              <w:rPr>
                <w:rFonts w:hint="eastAsia" w:ascii="宋体" w:hAnsi="宋体" w:cs="宋体"/>
                <w:color w:val="000000" w:themeColor="text1"/>
                <w:szCs w:val="21"/>
                <w:highlight w:val="none"/>
                <w14:textFill>
                  <w14:solidFill>
                    <w14:schemeClr w14:val="tx1"/>
                  </w14:solidFill>
                </w14:textFill>
              </w:rPr>
              <w:t xml:space="preserve">lay；支持DHCP</w:t>
            </w:r>
            <w:r>
              <w:rPr>
                <w:rFonts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Snooping有效防范欺骗攻击。</w:t>
            </w:r>
            <w:r>
              <w:rPr>
                <w:rFonts w:hint="eastAsia" w:ascii="宋体" w:hAnsi="宋体" w:cs="宋体"/>
                <w:b/>
                <w:bCs/>
                <w:color w:val="000000" w:themeColor="text1"/>
                <w:szCs w:val="21"/>
                <w:highlight w:val="none"/>
                <w14:textFill>
                  <w14:solidFill>
                    <w14:schemeClr w14:val="tx1"/>
                  </w14:solidFill>
                </w14:textFill>
              </w:rPr>
              <w:t xml:space="preserve">（须提供包括但不限于产品说明书等技术支持资料（如白皮书、彩页、手册、官网或功能截图等），并加盖投标人公章）</w:t>
            </w:r>
            <w:r/>
          </w:p>
        </w:tc>
        <w:tc>
          <w:tcPr>
            <w:tcBorders>
              <w:top w:val="none" w:color="000000" w:sz="4" w:space="0"/>
              <w:left w:val="none" w:color="000000" w:sz="4" w:space="0"/>
              <w:bottom w:val="single" w:color="auto" w:sz="4" w:space="0"/>
              <w:right w:val="single" w:color="auto" w:sz="4" w:space="0"/>
            </w:tcBorders>
            <w:tcW w:w="244"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 台 </w:t>
            </w:r>
            <w:r/>
          </w:p>
        </w:tc>
        <w:tc>
          <w:tcPr>
            <w:tcBorders>
              <w:top w:val="none" w:color="000000" w:sz="4" w:space="0"/>
              <w:left w:val="none" w:color="000000" w:sz="4" w:space="0"/>
              <w:bottom w:val="single" w:color="auto" w:sz="4" w:space="0"/>
              <w:right w:val="single" w:color="auto" w:sz="4" w:space="0"/>
            </w:tcBorders>
            <w:tcW w:w="570" w:type="pct"/>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t xml:space="preserve">1</w:t>
            </w:r>
            <w:r/>
          </w:p>
        </w:tc>
      </w:tr>
      <w:tr>
        <w:trPr>
          <w:trHeight w:val="288"/>
        </w:trPr>
        <w:tc>
          <w:tcPr>
            <w:tcBorders>
              <w:top w:val="none" w:color="000000" w:sz="4" w:space="0"/>
              <w:left w:val="single" w:color="auto" w:sz="4" w:space="0"/>
              <w:bottom w:val="single" w:color="auto" w:sz="4" w:space="0"/>
              <w:right w:val="single" w:color="auto" w:sz="4" w:space="0"/>
            </w:tcBorders>
            <w:tcW w:w="212"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4</w:t>
            </w:r>
            <w:r/>
          </w:p>
        </w:tc>
        <w:tc>
          <w:tcPr>
            <w:tcBorders>
              <w:top w:val="none" w:color="000000" w:sz="4" w:space="0"/>
              <w:left w:val="none" w:color="000000" w:sz="4" w:space="0"/>
              <w:bottom w:val="single" w:color="auto" w:sz="4" w:space="0"/>
              <w:right w:val="single" w:color="auto" w:sz="4" w:space="0"/>
            </w:tcBorders>
            <w:tcW w:w="306"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接入交换机 </w:t>
            </w:r>
            <w:r/>
          </w:p>
        </w:tc>
        <w:tc>
          <w:tcPr>
            <w:tcBorders>
              <w:top w:val="none" w:color="000000" w:sz="4" w:space="0"/>
              <w:left w:val="none" w:color="000000" w:sz="4" w:space="0"/>
              <w:bottom w:val="single" w:color="auto" w:sz="4" w:space="0"/>
              <w:right w:val="single" w:color="auto" w:sz="4" w:space="0"/>
            </w:tcBorders>
            <w:tcW w:w="3665" w:type="pct"/>
            <w:vAlign w:val="center"/>
            <w:textDirection w:val="lrTb"/>
            <w:noWrap/>
          </w:tcPr>
          <w:p>
            <w:pPr>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1、单台配置：千兆电口≥48，万兆SFP28≥4；交换容量≥1.2</w:t>
            </w:r>
            <w:r>
              <w:rPr>
                <w:rFonts w:hint="eastAsia" w:ascii="宋体" w:hAnsi="宋体" w:cs="宋体"/>
                <w:color w:val="000000" w:themeColor="text1"/>
                <w:szCs w:val="21"/>
                <w:highlight w:val="none"/>
                <w14:textFill>
                  <w14:solidFill>
                    <w14:schemeClr w14:val="tx1"/>
                  </w14:solidFill>
                </w14:textFill>
              </w:rPr>
              <w:t xml:space="preserve">T</w:t>
            </w:r>
            <w:r>
              <w:rPr>
                <w:rFonts w:ascii="宋体" w:hAnsi="宋体" w:cs="宋体"/>
                <w:color w:val="000000" w:themeColor="text1"/>
                <w:szCs w:val="21"/>
                <w:highlight w:val="none"/>
                <w14:textFill>
                  <w14:solidFill>
                    <w14:schemeClr w14:val="tx1"/>
                  </w14:solidFill>
                </w14:textFill>
              </w:rPr>
              <w:t xml:space="preserve"> bps，包转发率≥480 Mpps；</w:t>
            </w:r>
            <w:r>
              <w:rPr>
                <w:rFonts w:hint="eastAsia" w:ascii="宋体" w:hAnsi="宋体" w:cs="宋体"/>
                <w:b/>
                <w:bCs/>
                <w:color w:val="000000" w:themeColor="text1"/>
                <w:szCs w:val="21"/>
                <w:highlight w:val="none"/>
                <w14:textFill>
                  <w14:solidFill>
                    <w14:schemeClr w14:val="tx1"/>
                  </w14:solidFill>
                </w14:textFill>
              </w:rPr>
              <w:t xml:space="preserve">（须提供包括但不限于产品说明书等技术支持资料（如白皮书、彩页、手册、官网或功能截图等），并加盖投标人公章）</w:t>
            </w:r>
            <w:r/>
          </w:p>
          <w:p>
            <w:pPr>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2、支持MAC表容量≥32k，ARP表容量≥16k，IPv4路由表≥16k；</w:t>
            </w:r>
            <w:r/>
          </w:p>
          <w:p>
            <w:pPr>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3、支持MAC地址认证、802.1x认证、Portal认证等多种安全认证方式，实现用户策略（VLAN、QoS、ACL）的动态下发；支持静态路由，支持RIP、RIPng、OSPF、OSPFv3协议；</w:t>
            </w:r>
            <w:r/>
          </w:p>
          <w:p>
            <w:pPr>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支持虚拟化技术，可将多台物理设备虚拟化为一台逻辑设备统一管理</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（须提供包括但不限于产品说明书等技术支持资料（如白皮书、彩页、手册、官网或功能截图等），并加盖投标人公章）</w:t>
            </w:r>
            <w:r/>
          </w:p>
          <w:p>
            <w:pPr>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5、支持电信级的以太环网保护协议，保护倒换时间&lt;50ms；同时支持STP/RSTP/MSTP协议，双上行主备链路保护，LACP链路聚合等简单高效的冗余保护机制；</w:t>
            </w:r>
            <w:r>
              <w:rPr>
                <w:rFonts w:ascii="宋体" w:hAnsi="宋体" w:cs="宋体"/>
                <w:color w:val="000000" w:themeColor="text1"/>
                <w:szCs w:val="21"/>
                <w:highlight w:val="none"/>
                <w14:textFill>
                  <w14:solidFill>
                    <w14:schemeClr w14:val="tx1"/>
                  </w14:solidFill>
                </w14:textFill>
              </w:rPr>
              <w:t xml:space="preserve"> </w:t>
            </w:r>
            <w:r/>
          </w:p>
          <w:p>
            <w:pPr>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、支持IGMPv1/v2/v3、PIM-SM、PIM-DM，支持组播流量跨VLAN复制功能；</w:t>
            </w:r>
            <w:r/>
          </w:p>
          <w:p>
            <w:pPr>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7</w:t>
            </w:r>
            <w:r>
              <w:rPr>
                <w:rFonts w:hint="eastAsia" w:ascii="宋体" w:hAnsi="宋体" w:cs="宋体"/>
                <w:color w:val="000000" w:themeColor="text1"/>
                <w:szCs w:val="21"/>
                <w:highlight w:val="none"/>
                <w14:textFill>
                  <w14:solidFill>
                    <w14:schemeClr w14:val="tx1"/>
                  </w14:solidFill>
                </w14:textFill>
              </w:rPr>
              <w:t xml:space="preserve">、支持DHCP snooping，DHCP server，DHCP r</w:t>
            </w:r>
            <w:r>
              <w:rPr>
                <w:rFonts w:ascii="宋体" w:hAnsi="宋体" w:cs="宋体"/>
                <w:color w:val="000000" w:themeColor="text1"/>
                <w:szCs w:val="21"/>
                <w:highlight w:val="none"/>
                <w14:textFill>
                  <w14:solidFill>
                    <w14:schemeClr w14:val="tx1"/>
                  </w14:solidFill>
                </w14:textFill>
              </w:rPr>
              <w:t xml:space="preserve">e</w:t>
            </w:r>
            <w:r>
              <w:rPr>
                <w:rFonts w:hint="eastAsia" w:ascii="宋体" w:hAnsi="宋体" w:cs="宋体"/>
                <w:color w:val="000000" w:themeColor="text1"/>
                <w:szCs w:val="21"/>
                <w:highlight w:val="none"/>
                <w14:textFill>
                  <w14:solidFill>
                    <w14:schemeClr w14:val="tx1"/>
                  </w14:solidFill>
                </w14:textFill>
              </w:rPr>
              <w:t xml:space="preserve">lay, 支持IP Source Guard，DAI等安全特性；</w:t>
            </w:r>
            <w:r/>
          </w:p>
          <w:p>
            <w:pPr>
              <w:spacing w:line="360" w:lineRule="auto"/>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szCs w:val="21"/>
                <w:highlight w:val="none"/>
                <w14:textFill>
                  <w14:solidFill>
                    <w14:schemeClr w14:val="tx1"/>
                  </w14:solidFill>
                </w14:textFill>
              </w:rPr>
              <w:t xml:space="preserve">含配套光模块。万兆多模SFP+（300米，LC接口，OM3/OM4，850nm）：数量</w:t>
            </w:r>
            <w:r>
              <w:rPr>
                <w:rFonts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8个。</w:t>
            </w:r>
            <w:r/>
          </w:p>
        </w:tc>
        <w:tc>
          <w:tcPr>
            <w:tcBorders>
              <w:top w:val="none" w:color="000000" w:sz="4" w:space="0"/>
              <w:left w:val="none" w:color="000000" w:sz="4" w:space="0"/>
              <w:bottom w:val="single" w:color="auto" w:sz="4" w:space="0"/>
              <w:right w:val="single" w:color="auto" w:sz="4" w:space="0"/>
            </w:tcBorders>
            <w:tcW w:w="244" w:type="pct"/>
            <w:vAlign w:val="center"/>
            <w:textDirection w:val="lrTb"/>
            <w:noWrap/>
          </w:tcPr>
          <w:p>
            <w:pPr>
              <w:spacing w:line="360" w:lineRule="auto"/>
              <w:widowControl/>
              <w:rPr>
                <w:rFonts w:ascii="宋体" w:hAnsi="宋体" w:cs="宋体"/>
                <w:color w:val="000000"/>
                <w:szCs w:val="21"/>
              </w:rPr>
            </w:pPr>
            <w:r>
              <w:rPr>
                <w:rFonts w:hint="eastAsia" w:ascii="宋体" w:hAnsi="宋体" w:cs="宋体"/>
                <w:color w:val="000000"/>
                <w:szCs w:val="21"/>
              </w:rPr>
              <w:t xml:space="preserve">台 </w:t>
            </w:r>
            <w:r/>
          </w:p>
        </w:tc>
        <w:tc>
          <w:tcPr>
            <w:tcBorders>
              <w:top w:val="none" w:color="000000" w:sz="4" w:space="0"/>
              <w:left w:val="none" w:color="000000" w:sz="4" w:space="0"/>
              <w:bottom w:val="single" w:color="auto" w:sz="4" w:space="0"/>
              <w:right w:val="single" w:color="auto" w:sz="4" w:space="0"/>
            </w:tcBorders>
            <w:tcW w:w="570" w:type="pct"/>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t xml:space="preserve">14</w:t>
            </w:r>
            <w:r/>
          </w:p>
        </w:tc>
      </w:tr>
      <w:tr>
        <w:trPr>
          <w:trHeight w:val="288"/>
        </w:trPr>
        <w:tc>
          <w:tcPr>
            <w:tcBorders>
              <w:top w:val="none" w:color="000000" w:sz="4" w:space="0"/>
              <w:left w:val="single" w:color="auto" w:sz="4" w:space="0"/>
              <w:bottom w:val="single" w:color="auto" w:sz="4" w:space="0"/>
              <w:right w:val="single" w:color="auto" w:sz="4" w:space="0"/>
            </w:tcBorders>
            <w:tcW w:w="212"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5</w:t>
            </w:r>
            <w:r/>
          </w:p>
        </w:tc>
        <w:tc>
          <w:tcPr>
            <w:tcBorders>
              <w:top w:val="none" w:color="000000" w:sz="4" w:space="0"/>
              <w:left w:val="none" w:color="000000" w:sz="4" w:space="0"/>
              <w:bottom w:val="single" w:color="auto" w:sz="4" w:space="0"/>
              <w:right w:val="single" w:color="auto" w:sz="4" w:space="0"/>
            </w:tcBorders>
            <w:tcW w:w="306" w:type="pct"/>
            <w:vAlign w:val="center"/>
            <w:textDirection w:val="lrTb"/>
            <w:noWrap/>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平台管理软件</w:t>
            </w:r>
            <w:r/>
          </w:p>
        </w:tc>
        <w:tc>
          <w:tcPr>
            <w:tcBorders>
              <w:top w:val="none" w:color="000000" w:sz="4" w:space="0"/>
              <w:left w:val="none" w:color="000000" w:sz="4" w:space="0"/>
              <w:bottom w:val="single" w:color="auto" w:sz="4" w:space="0"/>
              <w:right w:val="single" w:color="auto" w:sz="4" w:space="0"/>
            </w:tcBorders>
            <w:tcW w:w="3665" w:type="pct"/>
            <w:vAlign w:val="center"/>
            <w:textDirection w:val="lrTb"/>
            <w:noWrap/>
          </w:tcPr>
          <w:p>
            <w:pP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1、平台可统一对基础架构（服务器虚拟化）、云桌面、终端、用户、排课等进行管理，在一个Web平台上即可完成镜像模板更新、云桌面发布、用户创建、云终端管理、云终端配置更新等操作；</w:t>
            </w:r>
            <w:r/>
          </w:p>
          <w:p>
            <w:pP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2、管理系统至少支持VDI、 VOI或TCI、IDV三种云桌面技术架构，在一个系统平台可以实现VDI、 VOI或TCI 、IDV三种类型的桌面管理，既能够充分利用服务器资源，将桌面运行在服务器端，终端通过远程协议访问，也可将桌面镜像直接下发到终端本地，利用终端资源运行，不占用服务器资源，便于后期无缝扩展；</w:t>
            </w:r>
            <w:r/>
          </w:p>
          <w:p>
            <w:pP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采用分布式存储架构，可以将服务器集群中多个节点的本地磁盘融合为统一存储资源空间；具备在线横向扩展能力，任一节点故障，都不会影响数据的正常访问；当集群内某一服务器出现故障时，其余服务器能够快速接管该服务器上所有运行业务，保证终端的正常使用。当网络出现故障，导致VDI桌面无法使用时，可点击切换至本地系统，不影响正常的上课业务；</w:t>
            </w:r>
            <w:r/>
          </w:p>
          <w:p>
            <w:pP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4、支持控制节点HA，HA切换过程中，用户虚拟桌面业务无感知，无需重新登录，所有终端连接服务器的网络配置无需更改（例如使用浮动IP）。为保证服务器硬盘故障后数据可快速重构，要求所投产品在分布式存储方案下，在万兆网络、无其他业务压力、采用SSD缓存的典型配置下，1T数据重构时间 ≤ 60分钟；</w:t>
            </w:r>
            <w:r/>
          </w:p>
          <w:p>
            <w:pP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5、为保证云桌面的使用体验，要求三节点集群模式下4KB块大小全随机100%读IOPS&gt;170万；</w:t>
            </w:r>
            <w:r/>
          </w:p>
          <w:p>
            <w:pP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6、支持桌面还原属性修改，桌面创建完成后，可随时在管理平台根据教学需求修改教学桌面还原属性，可单独分别为系统盘和数据盘设置每次还原也可对场景中的任意数量的桌面实现还原操作，满足教学桌面还原和考试环境数据保存等需求； </w:t>
            </w:r>
            <w:r/>
          </w:p>
          <w:p>
            <w:pP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7、支持系统环境的批量部署，可根据不同专业的教学、考试要求，快速创建多套教学环境，使用时开放，不使用时随时回收；</w:t>
            </w:r>
            <w:r/>
          </w:p>
          <w:p>
            <w:pP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8、支持跨校区多区域资源汇总分析，可统计所有区域的桌面云部署信息，至少包括服务器数量，CPU、内存、存储使用率，教室数量，终端数量，桌面数量等，也可统计分析区域内桌面使用次数，桌面场景使用时长，机房日均使用时长等信息，便于学校掌握桌面云整体建设使用情况；</w:t>
            </w:r>
            <w:r/>
          </w:p>
          <w:p>
            <w:pP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9、教师和学生通过账号随机获取要使用的桌面资源，使用完后可释放资源；教学桌面池不限终端类型，用户无需账号密码可在任意终端上（如学生笔记本）随机获取桌面资源，使用完后可释放资源，满足开放型实验、公共学习等要求；</w:t>
            </w:r>
            <w:r/>
          </w:p>
          <w:p>
            <w:pP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rPr>
                <w:rFonts w:ascii="宋体" w:hAnsi="宋体" w:cs="宋体"/>
                <w:color w:val="000000" w:themeColor="text1"/>
                <w:szCs w:val="21"/>
                <w14:textFill>
                  <w14:solidFill>
                    <w14:schemeClr w14:val="tx1"/>
                  </w14:solidFill>
                </w14:textFill>
              </w:rPr>
              <w:t xml:space="preserve">0</w:t>
            </w:r>
            <w:r>
              <w:rPr>
                <w:rFonts w:hint="eastAsia" w:ascii="宋体" w:hAnsi="宋体" w:cs="宋体"/>
                <w:color w:val="000000" w:themeColor="text1"/>
                <w:szCs w:val="21"/>
                <w14:textFill>
                  <w14:solidFill>
                    <w14:schemeClr w14:val="tx1"/>
                  </w14:solidFill>
                </w14:textFill>
              </w:rPr>
              <w:t xml:space="preserve">、至少支持Windows客户端和linux客户端，Windows客户端支持窗口模式和全屏模式并可设置开机自启；linux客户端支持虚实双系统断网切换，虚拟桌面连接中断时，无需人工干预，平台自动将虚拟桌面切换至终端本地系统；</w:t>
            </w:r>
            <w:r/>
          </w:p>
          <w:p>
            <w:pP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w:t>
            </w:r>
            <w:r>
              <w:rPr>
                <w:rFonts w:ascii="宋体" w:hAnsi="宋体" w:cs="宋体"/>
                <w:color w:val="000000" w:themeColor="text1"/>
                <w:szCs w:val="21"/>
                <w14:textFill>
                  <w14:solidFill>
                    <w14:schemeClr w14:val="tx1"/>
                  </w14:solidFill>
                </w14:textFill>
              </w:rPr>
              <w:t xml:space="preserve">1</w:t>
            </w:r>
            <w:r>
              <w:rPr>
                <w:rFonts w:hint="eastAsia" w:ascii="宋体" w:hAnsi="宋体" w:cs="宋体"/>
                <w:color w:val="000000" w:themeColor="text1"/>
                <w:szCs w:val="21"/>
                <w14:textFill>
                  <w14:solidFill>
                    <w14:schemeClr w14:val="tx1"/>
                  </w14:solidFill>
                </w14:textFill>
              </w:rPr>
              <w:t xml:space="preserve">、兼容主流X86及信创架构服务器，支持主流</w:t>
            </w:r>
            <w:r>
              <w:rPr>
                <w:rFonts w:ascii="宋体" w:hAnsi="宋体" w:cs="宋体"/>
                <w:color w:val="000000" w:themeColor="text1"/>
                <w:szCs w:val="21"/>
                <w14:textFill>
                  <w14:solidFill>
                    <w14:schemeClr w14:val="tx1"/>
                  </w14:solidFill>
                </w14:textFill>
              </w:rPr>
              <w:t xml:space="preserve">操作系统</w:t>
            </w:r>
            <w:r>
              <w:rPr>
                <w:rFonts w:hint="eastAsia" w:ascii="宋体" w:hAnsi="宋体" w:cs="宋体"/>
                <w:color w:val="000000" w:themeColor="text1"/>
                <w:szCs w:val="21"/>
                <w14:textFill>
                  <w14:solidFill>
                    <w14:schemeClr w14:val="tx1"/>
                  </w14:solidFill>
                </w14:textFill>
              </w:rPr>
              <w:t xml:space="preserve">及信创操作系统；</w:t>
            </w:r>
            <w:r>
              <w:rPr>
                <w:rFonts w:ascii="宋体" w:hAnsi="宋体" w:cs="宋体"/>
                <w:color w:val="000000" w:themeColor="text1"/>
                <w:szCs w:val="21"/>
                <w14:textFill>
                  <w14:solidFill>
                    <w14:schemeClr w14:val="tx1"/>
                  </w14:solidFill>
                </w14:textFill>
              </w:rPr>
              <w:t xml:space="preserve">支持异构资源池，</w:t>
            </w:r>
            <w:r>
              <w:rPr>
                <w:rFonts w:hint="eastAsia" w:ascii="宋体" w:hAnsi="宋体" w:cs="宋体"/>
                <w:color w:val="000000" w:themeColor="text1"/>
                <w:szCs w:val="21"/>
                <w14:textFill>
                  <w14:solidFill>
                    <w14:schemeClr w14:val="tx1"/>
                  </w14:solidFill>
                </w14:textFill>
              </w:rPr>
              <w:t xml:space="preserve">支持在同一集群中同时运行搭载不同厂商以及不同代际CPU的物理服务器，并能构建统一资源池，并作为一个统一的计算资源池进行管理；</w:t>
            </w:r>
            <w:r/>
          </w:p>
          <w:p>
            <w:pPr>
              <w:spacing w:line="360" w:lineRule="auto"/>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12</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支持将物理服务器虚拟成多个逻辑上相互独立的虚拟机，虚拟机之间可实现隔离保护，任何一个虚拟机发生故障时都不会影响同物理机上的其它虚拟机运行；虚拟机具</w:t>
            </w:r>
            <w:r>
              <w:rPr>
                <w:rFonts w:hint="eastAsia" w:ascii="宋体" w:hAnsi="宋体" w:cs="宋体"/>
                <w:color w:val="000000" w:themeColor="text1"/>
                <w:szCs w:val="21"/>
                <w14:textFill>
                  <w14:solidFill>
                    <w14:schemeClr w14:val="tx1"/>
                  </w14:solidFill>
                </w14:textFill>
              </w:rPr>
              <w:t xml:space="preserve">独立</w:t>
            </w:r>
            <w:r>
              <w:rPr>
                <w:rFonts w:ascii="宋体" w:hAnsi="宋体" w:cs="宋体"/>
                <w:color w:val="000000" w:themeColor="text1"/>
                <w:szCs w:val="21"/>
                <w14:textFill>
                  <w14:solidFill>
                    <w14:schemeClr w14:val="tx1"/>
                  </w14:solidFill>
                </w14:textFill>
              </w:rPr>
              <w:t xml:space="preserve">资源（内存、CPU、网卡、存储），可指定单独的IP地址、MAC地址</w:t>
            </w:r>
            <w:r>
              <w:rPr>
                <w:rFonts w:hint="eastAsia" w:ascii="宋体" w:hAnsi="宋体" w:cs="宋体"/>
                <w:color w:val="000000" w:themeColor="text1"/>
                <w:szCs w:val="21"/>
                <w14:textFill>
                  <w14:solidFill>
                    <w14:schemeClr w14:val="tx1"/>
                  </w14:solidFill>
                </w14:textFill>
              </w:rPr>
              <w:t xml:space="preserve">；虚拟机在不关机、不中断业务的情况下，支持在不同品牌物理服务器之间或不同代际CPU之间进行实时在线迁移；</w:t>
            </w:r>
            <w:r/>
          </w:p>
          <w:p>
            <w:pPr>
              <w:spacing w:line="360" w:lineRule="auto"/>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13</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支持GPU虚拟化技术</w:t>
            </w:r>
            <w:r>
              <w:rPr>
                <w:rFonts w:hint="eastAsia" w:ascii="宋体" w:hAnsi="宋体" w:cs="宋体"/>
                <w:color w:val="000000" w:themeColor="text1"/>
                <w:szCs w:val="21"/>
                <w14:textFill>
                  <w14:solidFill>
                    <w14:schemeClr w14:val="tx1"/>
                  </w14:solidFill>
                </w14:textFill>
              </w:rPr>
              <w:t xml:space="preserve">；支持不同品牌或不同代级的GPU资源的统筹管理和统一调度。可对GPU资源池创建GPU使用策略，有vGPU授权可以选择直通和虚拟，无vGPU授权可进行cuda切分，支持设置详细配置的GPU显存、应用的桌面范围；可新增、启用、停用、编辑、删除策略；单个GPU资源池支持设置多条使用策略，也可对某条重要的策略开启“高优先级”，高优先级的策略关联的桌面启动时会抢占GPU资源；</w:t>
            </w:r>
            <w:r/>
          </w:p>
          <w:p>
            <w:pPr>
              <w:spacing w:line="360" w:lineRule="auto"/>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14</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支持1+N网卡绑定,实现增加网络吞吐量和提高网络可靠性的目</w:t>
            </w:r>
            <w:r>
              <w:rPr>
                <w:rFonts w:hint="eastAsia" w:ascii="宋体" w:hAnsi="宋体" w:cs="宋体"/>
                <w:color w:val="000000" w:themeColor="text1"/>
                <w:szCs w:val="21"/>
                <w14:textFill>
                  <w14:solidFill>
                    <w14:schemeClr w14:val="tx1"/>
                  </w14:solidFill>
                </w14:textFill>
              </w:rPr>
              <w:t xml:space="preserve">的</w:t>
            </w:r>
            <w:r>
              <w:rPr>
                <w:rFonts w:ascii="宋体" w:hAnsi="宋体" w:cs="宋体"/>
                <w:color w:val="000000" w:themeColor="text1"/>
                <w:szCs w:val="21"/>
                <w14:textFill>
                  <w14:solidFill>
                    <w14:schemeClr w14:val="tx1"/>
                  </w14:solidFill>
                </w14:textFill>
              </w:rPr>
              <w:t xml:space="preserve">，支持多种绑定模式</w:t>
            </w:r>
            <w:r>
              <w:rPr>
                <w:rFonts w:hint="eastAsia" w:ascii="宋体" w:hAnsi="宋体" w:cs="宋体"/>
                <w:color w:val="000000" w:themeColor="text1"/>
                <w:szCs w:val="21"/>
                <w14:textFill>
                  <w14:solidFill>
                    <w14:schemeClr w14:val="tx1"/>
                  </w14:solidFill>
                </w14:textFill>
              </w:rPr>
              <w:t xml:space="preserve">，支持 2.5G/10G/25G 网卡链路聚合；</w:t>
            </w:r>
            <w:r/>
          </w:p>
          <w:p>
            <w:pPr>
              <w:spacing w:line="360" w:lineRule="auto"/>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15</w:t>
            </w:r>
            <w:r>
              <w:rPr>
                <w:rFonts w:hint="eastAsia" w:ascii="宋体" w:hAnsi="宋体" w:cs="宋体"/>
                <w:color w:val="000000" w:themeColor="text1"/>
                <w:szCs w:val="21"/>
                <w14:textFill>
                  <w14:solidFill>
                    <w14:schemeClr w14:val="tx1"/>
                  </w14:solidFill>
                </w14:textFill>
              </w:rPr>
              <w:t xml:space="preserve">、支持主流NVIDIA、AMD或国产GPU加速卡，支持vGPU虚拟化及算力切分，满足实训渲染、AI教学及高并发算力需求；具体GPU规格根据实际采购的服务器硬件配置确定；</w:t>
            </w:r>
            <w:r/>
          </w:p>
        </w:tc>
        <w:tc>
          <w:tcPr>
            <w:tcBorders>
              <w:top w:val="none" w:color="000000" w:sz="4" w:space="0"/>
              <w:left w:val="none" w:color="000000" w:sz="4" w:space="0"/>
              <w:bottom w:val="single" w:color="auto" w:sz="4" w:space="0"/>
              <w:right w:val="single" w:color="auto" w:sz="4" w:space="0"/>
            </w:tcBorders>
            <w:tcW w:w="244" w:type="pct"/>
            <w:vAlign w:val="center"/>
            <w:textDirection w:val="lrTb"/>
            <w:noWrap/>
          </w:tcPr>
          <w:p>
            <w:pPr>
              <w:jc w:val="center"/>
              <w:spacing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套</w:t>
            </w:r>
            <w:r/>
          </w:p>
        </w:tc>
        <w:tc>
          <w:tcPr>
            <w:tcBorders>
              <w:top w:val="none" w:color="000000" w:sz="4" w:space="0"/>
              <w:left w:val="none" w:color="000000" w:sz="4" w:space="0"/>
              <w:bottom w:val="single" w:color="auto" w:sz="4" w:space="0"/>
              <w:right w:val="single" w:color="auto" w:sz="4" w:space="0"/>
            </w:tcBorders>
            <w:tcW w:w="570" w:type="pct"/>
            <w:vAlign w:val="center"/>
            <w:textDirection w:val="lrTb"/>
            <w:noWrap/>
          </w:tcPr>
          <w:p>
            <w:pPr>
              <w:jc w:val="center"/>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557</w:t>
            </w:r>
            <w:r/>
          </w:p>
        </w:tc>
      </w:tr>
      <w:tr>
        <w:trPr>
          <w:trHeight w:val="90"/>
        </w:trPr>
        <w:tc>
          <w:tcPr>
            <w:tcBorders>
              <w:top w:val="none" w:color="000000" w:sz="4" w:space="0"/>
              <w:left w:val="single" w:color="auto" w:sz="4" w:space="0"/>
              <w:bottom w:val="single" w:color="auto" w:sz="4" w:space="0"/>
              <w:right w:val="single" w:color="auto" w:sz="4" w:space="0"/>
            </w:tcBorders>
            <w:tcW w:w="212"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6</w:t>
            </w:r>
            <w:r/>
          </w:p>
        </w:tc>
        <w:tc>
          <w:tcPr>
            <w:tcBorders>
              <w:top w:val="none" w:color="000000" w:sz="4" w:space="0"/>
              <w:left w:val="none" w:color="000000" w:sz="4" w:space="0"/>
              <w:bottom w:val="single" w:color="auto" w:sz="4" w:space="0"/>
              <w:right w:val="single" w:color="auto" w:sz="4" w:space="0"/>
            </w:tcBorders>
            <w:tcW w:w="306"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themeColor="text1"/>
                <w:szCs w:val="21"/>
                <w14:textFill>
                  <w14:solidFill>
                    <w14:schemeClr w14:val="tx1"/>
                  </w14:solidFill>
                </w14:textFill>
              </w:rPr>
              <w:t xml:space="preserve">终端客户端软件</w:t>
            </w:r>
            <w:r/>
          </w:p>
        </w:tc>
        <w:tc>
          <w:tcPr>
            <w:tcBorders>
              <w:top w:val="none" w:color="000000" w:sz="4" w:space="0"/>
              <w:left w:val="none" w:color="000000" w:sz="4" w:space="0"/>
              <w:bottom w:val="single" w:color="auto" w:sz="4" w:space="0"/>
              <w:right w:val="single" w:color="auto" w:sz="4" w:space="0"/>
            </w:tcBorders>
            <w:tcW w:w="3665" w:type="pct"/>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1、终端可同时支持虚拟桌面和本地系统，两者可使用统一镜像模板进行维护，保障虚拟系统和本地系统的一致性，便于服务器故障下的持续教学；终端支持裸机部署模式，本地无操作系统也可连接服务器部署客户端，便于终端和服务器处在跨VLAN环境下的环境部署；</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2、支持高效镜像分发机制，提升系统下发效率； </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3、支持云桌面自动多种登录功能策略（如自动登录、账号密码登录等），管理员可根据教学、考试等不同场景灵活配置；</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4、可通过管理平台进行批量更新操作，软件更新后，无需再次重复配置云终端（如网络地址、主机名等）、云桌面参数（服务器连接地址、编号等）,管理员可通过终端管理软件远程集中管理终端；</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5、当云桌面断开连接或终端意外重启，云桌面恢复连接后，原有操作不变及数据不丢失；</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6、为了方便后期的扩展性，要求同一虚拟教室的学生机可以支持IDV、TCI或VDI等主流架构，且支持统一管理；</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7、支持分级分权管理，可以按需自定义不同角色用户对应的管理权限：①可以针对角色指定其可以操作的功能菜单，至少包括镜像管理、教室管理、用户管理、系统设置等权限设置。②可以针对角色指定其可以操作的具体功能按钮，至少包括镜像模版的删除、创建、复制、快照管理等权限设置。③可以针对用户指定其具体可以管理的哪几个镜像模版、哪几间教室；</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8、为了管理的便捷性，支持管理员通过服务器集群的web管理平台唤醒远程不同网段的终端，中间无需使用跳板机转发；为确保镜像文件修改后，修改前的镜像不丢失，支持镜像模版自动快照，每次镜像发布时可以自动为镜像模版打快照，支持的最大快照数量≥8个；</w:t>
            </w:r>
            <w:r>
              <w:rPr>
                <w:rFonts w:ascii="宋体" w:hAnsi="宋体" w:cs="宋体"/>
                <w:color w:val="000000"/>
                <w:szCs w:val="21"/>
              </w:rPr>
              <w:t xml:space="preserve"> </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9、为实现资源最大集约化，支持二级学院申请某时间段资源优先进行保障上课，课程完成后自动关机；</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0</w:t>
            </w:r>
            <w:r>
              <w:rPr>
                <w:rFonts w:hint="eastAsia" w:ascii="宋体" w:hAnsi="宋体" w:cs="宋体"/>
                <w:color w:val="000000"/>
                <w:szCs w:val="21"/>
              </w:rPr>
              <w:t xml:space="preserve">、为保证云桌面系统存储空间利用率高，存储池可以设置的冗余策略至少包括：单副本、2副本、3副本、纠删码等冗余策略，纠删码可实际部署使用，磁盘空间的利用率≥65%；</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11、离线运行能力：终端需支持断网离线运行本地操作系统，保障在网络故障或服务器宕机时，仍能正常进行计算机等级考试及日常教学，且本地数据不丢失；</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12、系统保护与还原：终端需支持底层系统还原保护功能（如重启还原、定时还原等），以快速恢复教学环境，防范病毒及学生误操作。</w:t>
            </w:r>
            <w:r/>
          </w:p>
        </w:tc>
        <w:tc>
          <w:tcPr>
            <w:tcBorders>
              <w:top w:val="none" w:color="000000" w:sz="4" w:space="0"/>
              <w:left w:val="none" w:color="000000" w:sz="4" w:space="0"/>
              <w:bottom w:val="single" w:color="auto" w:sz="4" w:space="0"/>
              <w:right w:val="single" w:color="auto" w:sz="4" w:space="0"/>
            </w:tcBorders>
            <w:tcW w:w="244"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570" w:type="pct"/>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t xml:space="preserve">557</w:t>
            </w:r>
            <w:r/>
          </w:p>
        </w:tc>
      </w:tr>
      <w:tr>
        <w:trPr>
          <w:trHeight w:val="288"/>
        </w:trPr>
        <w:tc>
          <w:tcPr>
            <w:tcBorders>
              <w:top w:val="none" w:color="000000" w:sz="4" w:space="0"/>
              <w:left w:val="single" w:color="auto" w:sz="4" w:space="0"/>
              <w:bottom w:val="single" w:color="auto" w:sz="4" w:space="0"/>
              <w:right w:val="single" w:color="auto" w:sz="4" w:space="0"/>
            </w:tcBorders>
            <w:tcW w:w="212"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7</w:t>
            </w:r>
            <w:r/>
          </w:p>
        </w:tc>
        <w:tc>
          <w:tcPr>
            <w:tcBorders>
              <w:top w:val="none" w:color="000000" w:sz="4" w:space="0"/>
              <w:left w:val="none" w:color="000000" w:sz="4" w:space="0"/>
              <w:bottom w:val="single" w:color="auto" w:sz="4" w:space="0"/>
              <w:right w:val="single" w:color="auto" w:sz="4" w:space="0"/>
            </w:tcBorders>
            <w:tcW w:w="306" w:type="pct"/>
            <w:vAlign w:val="center"/>
            <w:textDirection w:val="lrTb"/>
            <w:noWrap/>
          </w:tcPr>
          <w:p>
            <w:pPr>
              <w:jc w:val="center"/>
              <w:spacing w:line="360" w:lineRule="auto"/>
              <w:widowControl/>
              <w:rPr>
                <w:rFonts w:ascii="宋体" w:hAnsi="宋体" w:cs="宋体"/>
                <w:color w:val="ff0000"/>
                <w:szCs w:val="21"/>
              </w:rPr>
            </w:pPr>
            <w:r>
              <w:rPr>
                <w:rFonts w:hint="eastAsia" w:ascii="宋体" w:hAnsi="宋体" w:cs="宋体"/>
                <w:color w:val="000000" w:themeColor="text1"/>
                <w:szCs w:val="21"/>
                <w14:textFill>
                  <w14:solidFill>
                    <w14:schemeClr w14:val="tx1"/>
                  </w14:solidFill>
                </w14:textFill>
              </w:rPr>
              <w:t xml:space="preserve">电子教学软件</w:t>
            </w:r>
            <w:r/>
          </w:p>
        </w:tc>
        <w:tc>
          <w:tcPr>
            <w:tcBorders>
              <w:top w:val="none" w:color="000000" w:sz="4" w:space="0"/>
              <w:left w:val="none" w:color="000000" w:sz="4" w:space="0"/>
              <w:bottom w:val="single" w:color="auto" w:sz="4" w:space="0"/>
              <w:right w:val="single" w:color="auto" w:sz="4" w:space="0"/>
            </w:tcBorders>
            <w:tcW w:w="3665" w:type="pct"/>
            <w:vAlign w:val="center"/>
            <w:textDirection w:val="lrTb"/>
            <w:noWrap/>
          </w:tcPr>
          <w:p>
            <w:pPr>
              <w:jc w:val="left"/>
              <w:spacing w:line="360" w:lineRule="auto"/>
              <w:widowControl/>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、支持</w:t>
            </w:r>
            <w:r>
              <w:rPr>
                <w:rFonts w:ascii="宋体" w:hAnsi="宋体" w:cs="宋体"/>
                <w:color w:val="000000"/>
                <w:szCs w:val="21"/>
              </w:rPr>
              <w:t xml:space="preserve">快捷部署，中文界面，</w:t>
            </w:r>
            <w:r>
              <w:rPr>
                <w:rFonts w:hint="eastAsia" w:ascii="宋体" w:hAnsi="宋体" w:cs="宋体"/>
                <w:color w:val="000000"/>
                <w:szCs w:val="21"/>
              </w:rPr>
              <w:t xml:space="preserve">具备在</w:t>
            </w:r>
            <w:r>
              <w:rPr>
                <w:rFonts w:ascii="宋体" w:hAnsi="宋体" w:cs="宋体"/>
                <w:color w:val="000000"/>
                <w:szCs w:val="21"/>
              </w:rPr>
              <w:t xml:space="preserve">线帮助、支持主窗口功能按钮、浮动工具条等</w:t>
            </w:r>
            <w:r>
              <w:rPr>
                <w:rFonts w:hint="eastAsia" w:ascii="宋体" w:hAnsi="宋体" w:cs="宋体"/>
                <w:color w:val="000000"/>
                <w:szCs w:val="21"/>
              </w:rPr>
              <w:t xml:space="preserve">功能；</w:t>
            </w:r>
            <w:r>
              <w:rPr>
                <w:rFonts w:ascii="宋体" w:hAnsi="宋体" w:cs="宋体"/>
                <w:color w:val="000000"/>
                <w:szCs w:val="21"/>
              </w:rPr>
              <w:t xml:space="preserve">支持软件防杀进程、断线保护、卸载密码保护</w:t>
            </w:r>
            <w:r>
              <w:rPr>
                <w:rFonts w:hint="eastAsia" w:ascii="宋体" w:hAnsi="宋体" w:cs="宋体"/>
                <w:color w:val="000000"/>
                <w:szCs w:val="21"/>
              </w:rPr>
              <w:t xml:space="preserve">，</w:t>
            </w:r>
            <w:r>
              <w:rPr>
                <w:rFonts w:ascii="宋体" w:hAnsi="宋体" w:cs="宋体"/>
                <w:color w:val="000000"/>
                <w:szCs w:val="21"/>
              </w:rPr>
              <w:t xml:space="preserve">支持Windows</w:t>
            </w:r>
            <w:r>
              <w:rPr>
                <w:rFonts w:hint="eastAsia" w:ascii="宋体" w:hAnsi="宋体" w:cs="宋体"/>
                <w:color w:val="000000"/>
                <w:szCs w:val="21"/>
              </w:rPr>
              <w:t xml:space="preserve">系列、</w:t>
            </w:r>
            <w:r>
              <w:rPr>
                <w:rFonts w:ascii="宋体" w:hAnsi="宋体" w:cs="宋体"/>
                <w:color w:val="000000"/>
                <w:szCs w:val="21"/>
              </w:rPr>
              <w:t xml:space="preserve">Linux操作系统部署</w:t>
            </w:r>
            <w:r>
              <w:rPr>
                <w:rFonts w:hint="eastAsia" w:ascii="宋体" w:hAnsi="宋体" w:cs="宋体"/>
                <w:color w:val="000000"/>
                <w:szCs w:val="21"/>
              </w:rPr>
              <w:t xml:space="preserve">；</w:t>
            </w:r>
            <w:r/>
          </w:p>
          <w:p>
            <w:pPr>
              <w:jc w:val="left"/>
              <w:spacing w:line="360" w:lineRule="auto"/>
              <w:widowControl/>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、支持</w:t>
            </w:r>
            <w:r>
              <w:rPr>
                <w:rFonts w:ascii="宋体" w:hAnsi="宋体" w:cs="宋体"/>
                <w:color w:val="000000"/>
                <w:szCs w:val="21"/>
              </w:rPr>
              <w:t xml:space="preserve">教师机视频无延时同步到学生机，支持Windows Media、AVI、MP3</w:t>
            </w:r>
            <w:r>
              <w:rPr>
                <w:rFonts w:hint="eastAsia" w:ascii="宋体" w:hAnsi="宋体" w:cs="宋体"/>
                <w:color w:val="000000"/>
                <w:szCs w:val="21"/>
              </w:rPr>
              <w:t xml:space="preserve">、</w:t>
            </w:r>
            <w:r>
              <w:rPr>
                <w:rFonts w:ascii="宋体" w:hAnsi="宋体" w:cs="宋体"/>
                <w:color w:val="000000"/>
                <w:szCs w:val="21"/>
              </w:rPr>
              <w:t xml:space="preserve">MP4等主流音视频格式，支持</w:t>
            </w:r>
            <w:r>
              <w:rPr>
                <w:rFonts w:hint="eastAsia" w:ascii="宋体" w:hAnsi="宋体" w:cs="宋体"/>
                <w:color w:val="000000"/>
                <w:szCs w:val="21"/>
              </w:rPr>
              <w:t xml:space="preserve">4K超高清视频播放与广播；</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3、支持云桌面与本地系统双环境部署，当云桌面网络异常时，可自动或手动切换至本地系统进行教学广播与作业收发，保障教学不中断；</w:t>
            </w:r>
            <w:r/>
          </w:p>
          <w:p>
            <w:pPr>
              <w:jc w:val="left"/>
              <w:spacing w:line="360" w:lineRule="auto"/>
              <w:widowControl/>
              <w:rPr>
                <w:rFonts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w:t>
            </w:r>
            <w:r>
              <w:rPr>
                <w:rFonts w:ascii="宋体" w:hAnsi="宋体" w:cs="宋体"/>
                <w:color w:val="000000"/>
                <w:szCs w:val="21"/>
              </w:rPr>
              <w:t xml:space="preserve">支持文件分发和提交，添加文件或文件目录，云桌面模式下，文件可自动分发至云桌面中；云桌面断开时，文件可自动发送至终端本地桌面或指定目录</w:t>
            </w:r>
            <w:r>
              <w:rPr>
                <w:rFonts w:hint="eastAsia" w:ascii="宋体" w:hAnsi="宋体" w:cs="宋体"/>
                <w:color w:val="000000"/>
                <w:szCs w:val="21"/>
              </w:rPr>
              <w:t xml:space="preserve">；</w:t>
            </w:r>
            <w:r>
              <w:rPr>
                <w:rFonts w:ascii="宋体" w:hAnsi="宋体" w:cs="宋体"/>
                <w:color w:val="000000"/>
                <w:szCs w:val="21"/>
              </w:rPr>
              <w:t xml:space="preserve">支持将教师机屏幕实时广播给单一、部分或全体学生，可选择全屏或窗口方式</w:t>
            </w:r>
            <w:r>
              <w:rPr>
                <w:rFonts w:hint="eastAsia" w:ascii="宋体" w:hAnsi="宋体" w:cs="宋体"/>
                <w:color w:val="000000"/>
                <w:szCs w:val="21"/>
              </w:rPr>
              <w:t xml:space="preserve">；</w:t>
            </w:r>
            <w:r/>
          </w:p>
          <w:p>
            <w:pPr>
              <w:jc w:val="left"/>
              <w:spacing w:line="360" w:lineRule="auto"/>
              <w:widowControl/>
              <w:rPr>
                <w:rFonts w:ascii="宋体" w:hAnsi="宋体" w:cs="宋体"/>
                <w:color w:val="000000"/>
                <w:szCs w:val="21"/>
              </w:rPr>
            </w:pPr>
            <w:r>
              <w:rPr>
                <w:rFonts w:ascii="宋体" w:hAnsi="宋体" w:cs="宋体"/>
                <w:color w:val="000000"/>
                <w:szCs w:val="21"/>
              </w:rPr>
              <w:t xml:space="preserve">5</w:t>
            </w:r>
            <w:r>
              <w:rPr>
                <w:rFonts w:hint="eastAsia" w:ascii="宋体" w:hAnsi="宋体" w:cs="宋体"/>
                <w:color w:val="000000"/>
                <w:szCs w:val="21"/>
              </w:rPr>
              <w:t xml:space="preserve">、支持</w:t>
            </w:r>
            <w:r>
              <w:rPr>
                <w:rFonts w:ascii="宋体" w:hAnsi="宋体" w:cs="宋体"/>
                <w:color w:val="000000"/>
                <w:szCs w:val="21"/>
              </w:rPr>
              <w:t xml:space="preserve">教师端屏幕广播时采用终端本地网络，无需占用云桌面网络带宽</w:t>
            </w:r>
            <w:r>
              <w:rPr>
                <w:rFonts w:hint="eastAsia" w:ascii="宋体" w:hAnsi="宋体" w:cs="宋体"/>
                <w:color w:val="000000"/>
                <w:szCs w:val="21"/>
              </w:rPr>
              <w:t xml:space="preserve">，</w:t>
            </w:r>
            <w:r>
              <w:rPr>
                <w:rFonts w:ascii="宋体" w:hAnsi="宋体" w:cs="宋体"/>
                <w:color w:val="000000"/>
                <w:szCs w:val="21"/>
              </w:rPr>
              <w:t xml:space="preserve">云桌面断开连接时</w:t>
            </w:r>
            <w:r>
              <w:rPr>
                <w:rFonts w:hint="eastAsia" w:ascii="宋体" w:hAnsi="宋体" w:cs="宋体"/>
                <w:color w:val="000000"/>
                <w:szCs w:val="21"/>
              </w:rPr>
              <w:t xml:space="preserve">，</w:t>
            </w:r>
            <w:r>
              <w:rPr>
                <w:rFonts w:ascii="宋体" w:hAnsi="宋体" w:cs="宋体"/>
                <w:color w:val="000000"/>
                <w:szCs w:val="21"/>
              </w:rPr>
              <w:t xml:space="preserve">不影响屏幕广播的正常使用</w:t>
            </w:r>
            <w:r>
              <w:rPr>
                <w:rFonts w:hint="eastAsia" w:ascii="宋体" w:hAnsi="宋体" w:cs="宋体"/>
                <w:color w:val="000000"/>
                <w:szCs w:val="21"/>
              </w:rPr>
              <w:t xml:space="preserve">；支持</w:t>
            </w:r>
            <w:r>
              <w:rPr>
                <w:rFonts w:ascii="宋体" w:hAnsi="宋体" w:cs="宋体"/>
                <w:color w:val="000000"/>
                <w:szCs w:val="21"/>
              </w:rPr>
              <w:t xml:space="preserve">收发作业时，教师端云桌面和学生端云桌面直接传输，</w:t>
            </w:r>
            <w:r>
              <w:rPr>
                <w:rFonts w:hint="eastAsia" w:ascii="宋体" w:hAnsi="宋体" w:cs="宋体"/>
                <w:color w:val="000000"/>
                <w:szCs w:val="21"/>
              </w:rPr>
              <w:t xml:space="preserve">不</w:t>
            </w:r>
            <w:r>
              <w:rPr>
                <w:rFonts w:ascii="宋体" w:hAnsi="宋体" w:cs="宋体"/>
                <w:color w:val="000000"/>
                <w:szCs w:val="21"/>
              </w:rPr>
              <w:t xml:space="preserve">占用本地网络资源</w:t>
            </w:r>
            <w:r>
              <w:rPr>
                <w:rFonts w:hint="eastAsia" w:ascii="宋体" w:hAnsi="宋体" w:cs="宋体"/>
                <w:color w:val="000000"/>
                <w:szCs w:val="21"/>
              </w:rPr>
              <w:t xml:space="preserve">；</w:t>
            </w:r>
            <w:r>
              <w:rPr>
                <w:rFonts w:ascii="宋体" w:hAnsi="宋体" w:cs="宋体"/>
                <w:color w:val="000000"/>
                <w:szCs w:val="21"/>
              </w:rPr>
              <w:t xml:space="preserve"> </w:t>
            </w:r>
            <w:r/>
          </w:p>
          <w:p>
            <w:pPr>
              <w:jc w:val="left"/>
              <w:spacing w:line="360" w:lineRule="auto"/>
              <w:widowControl/>
              <w:rPr>
                <w:rFonts w:ascii="宋体" w:hAnsi="宋体" w:cs="宋体"/>
                <w:color w:val="000000"/>
                <w:szCs w:val="21"/>
              </w:rPr>
            </w:pPr>
            <w:r>
              <w:rPr>
                <w:rFonts w:ascii="宋体" w:hAnsi="宋体" w:cs="宋体"/>
                <w:color w:val="000000"/>
                <w:szCs w:val="21"/>
              </w:rPr>
              <w:t xml:space="preserve">6</w:t>
            </w:r>
            <w:r>
              <w:rPr>
                <w:rFonts w:hint="eastAsia" w:ascii="宋体" w:hAnsi="宋体" w:cs="宋体"/>
                <w:color w:val="000000"/>
                <w:szCs w:val="21"/>
              </w:rPr>
              <w:t xml:space="preserve">、具备</w:t>
            </w:r>
            <w:r>
              <w:rPr>
                <w:rFonts w:ascii="宋体" w:hAnsi="宋体" w:cs="宋体"/>
                <w:color w:val="000000"/>
                <w:szCs w:val="21"/>
              </w:rPr>
              <w:t xml:space="preserve">控制学生云桌面/终端打开/关闭应用程序</w:t>
            </w:r>
            <w:r>
              <w:rPr>
                <w:rFonts w:hint="eastAsia" w:ascii="宋体" w:hAnsi="宋体" w:cs="宋体"/>
                <w:color w:val="000000"/>
                <w:szCs w:val="21"/>
              </w:rPr>
              <w:t xml:space="preserve">的功能；</w:t>
            </w:r>
            <w:r>
              <w:rPr>
                <w:rFonts w:ascii="宋体" w:hAnsi="宋体" w:cs="宋体"/>
                <w:color w:val="000000"/>
                <w:szCs w:val="21"/>
              </w:rPr>
              <w:t xml:space="preserve">支持即时通讯功能，包括文字或图片通讯</w:t>
            </w:r>
            <w:r>
              <w:rPr>
                <w:rFonts w:hint="eastAsia" w:ascii="宋体" w:hAnsi="宋体" w:cs="宋体"/>
                <w:color w:val="000000"/>
                <w:szCs w:val="21"/>
              </w:rPr>
              <w:t xml:space="preserve">；</w:t>
            </w:r>
            <w:r/>
          </w:p>
          <w:p>
            <w:pPr>
              <w:jc w:val="left"/>
              <w:spacing w:line="360" w:lineRule="auto"/>
              <w:widowControl/>
              <w:rPr>
                <w:rFonts w:ascii="宋体" w:hAnsi="宋体" w:cs="宋体"/>
                <w:color w:val="000000"/>
                <w:szCs w:val="21"/>
              </w:rPr>
            </w:pPr>
            <w:r>
              <w:rPr>
                <w:rFonts w:ascii="宋体" w:hAnsi="宋体" w:cs="宋体"/>
                <w:color w:val="000000"/>
                <w:szCs w:val="21"/>
              </w:rPr>
              <w:t xml:space="preserve">7</w:t>
            </w:r>
            <w:r>
              <w:rPr>
                <w:rFonts w:hint="eastAsia" w:ascii="宋体" w:hAnsi="宋体" w:cs="宋体"/>
                <w:color w:val="000000"/>
                <w:szCs w:val="21"/>
              </w:rPr>
              <w:t xml:space="preserve">、</w:t>
            </w:r>
            <w:r>
              <w:rPr>
                <w:rFonts w:ascii="宋体" w:hAnsi="宋体" w:cs="宋体"/>
                <w:color w:val="000000"/>
                <w:szCs w:val="21"/>
              </w:rPr>
              <w:t xml:space="preserve">支持举手功能，学生端点击“举手”，教师端显示明显标识并文字提示</w:t>
            </w:r>
            <w:r>
              <w:rPr>
                <w:rFonts w:hint="eastAsia" w:ascii="宋体" w:hAnsi="宋体" w:cs="宋体"/>
                <w:color w:val="000000"/>
                <w:szCs w:val="21"/>
              </w:rPr>
              <w:t xml:space="preserve">；支持</w:t>
            </w:r>
            <w:r>
              <w:rPr>
                <w:rFonts w:ascii="宋体" w:hAnsi="宋体" w:cs="宋体"/>
                <w:color w:val="000000"/>
                <w:szCs w:val="21"/>
              </w:rPr>
              <w:t xml:space="preserve">教师云桌面和学生云桌面共用同一桌面模板，云桌面中基于教学服务器自动识别教师和学生身份。当教学过程中教师机出现故障时只需一步操作即可快速将任意一台学生机切换为教师机；</w:t>
            </w:r>
            <w:r>
              <w:rPr>
                <w:rFonts w:hint="eastAsia" w:ascii="宋体" w:hAnsi="宋体" w:cs="宋体"/>
                <w:color w:val="000000"/>
                <w:szCs w:val="21"/>
              </w:rPr>
              <w:t xml:space="preserve">支持黑屏肃静，教师可对学生执行黑屏肃静操作，能够自定义黑屏肃静的提示信息，支持手动解锁、按时解锁、按时长解锁；</w:t>
            </w:r>
            <w:r/>
          </w:p>
          <w:p>
            <w:pPr>
              <w:jc w:val="left"/>
              <w:spacing w:line="360" w:lineRule="auto"/>
              <w:widowControl/>
              <w:rPr>
                <w:rFonts w:ascii="宋体" w:hAnsi="宋体" w:cs="宋体"/>
                <w:color w:val="000000"/>
                <w:szCs w:val="21"/>
              </w:rPr>
            </w:pPr>
            <w:r>
              <w:rPr>
                <w:rFonts w:ascii="宋体" w:hAnsi="宋体" w:cs="宋体"/>
                <w:color w:val="000000"/>
                <w:szCs w:val="21"/>
              </w:rPr>
              <w:t xml:space="preserve">8</w:t>
            </w:r>
            <w:r>
              <w:rPr>
                <w:rFonts w:hint="eastAsia" w:ascii="宋体" w:hAnsi="宋体" w:cs="宋体"/>
                <w:color w:val="000000"/>
                <w:szCs w:val="21"/>
              </w:rPr>
              <w:t xml:space="preserve">、支持</w:t>
            </w:r>
            <w:r>
              <w:rPr>
                <w:rFonts w:ascii="宋体" w:hAnsi="宋体" w:cs="宋体"/>
                <w:color w:val="000000"/>
                <w:szCs w:val="21"/>
              </w:rPr>
              <w:t xml:space="preserve">电子教学软件程序启动时，根据登录的账号自动识别为教师端和学生端，并启动对应的界面</w:t>
            </w:r>
            <w:r>
              <w:rPr>
                <w:rFonts w:hint="eastAsia" w:ascii="宋体" w:hAnsi="宋体" w:cs="宋体"/>
                <w:color w:val="000000"/>
                <w:szCs w:val="21"/>
              </w:rPr>
              <w:t xml:space="preserve">；支持</w:t>
            </w:r>
            <w:r>
              <w:rPr>
                <w:rFonts w:ascii="宋体" w:hAnsi="宋体" w:cs="宋体"/>
                <w:color w:val="000000"/>
                <w:szCs w:val="21"/>
              </w:rPr>
              <w:t xml:space="preserve">教师机监视单一、部分、全体学生机的屏幕</w:t>
            </w:r>
            <w:r>
              <w:rPr>
                <w:rFonts w:hint="eastAsia" w:ascii="宋体" w:hAnsi="宋体" w:cs="宋体"/>
                <w:color w:val="000000"/>
                <w:szCs w:val="21"/>
              </w:rPr>
              <w:t xml:space="preserve">；</w:t>
            </w:r>
            <w:r/>
          </w:p>
          <w:p>
            <w:pPr>
              <w:jc w:val="left"/>
              <w:spacing w:line="360" w:lineRule="auto"/>
              <w:widowControl/>
              <w:rPr>
                <w:rFonts w:ascii="宋体" w:hAnsi="宋体" w:cs="宋体"/>
                <w:color w:val="000000"/>
                <w:szCs w:val="21"/>
              </w:rPr>
            </w:pPr>
            <w:r>
              <w:rPr>
                <w:rFonts w:ascii="宋体" w:hAnsi="宋体" w:cs="宋体"/>
                <w:color w:val="000000"/>
                <w:szCs w:val="21"/>
              </w:rPr>
              <w:t xml:space="preserve">9</w:t>
            </w:r>
            <w:r>
              <w:rPr>
                <w:rFonts w:hint="eastAsia" w:ascii="宋体" w:hAnsi="宋体" w:cs="宋体"/>
                <w:color w:val="000000"/>
                <w:szCs w:val="21"/>
              </w:rPr>
              <w:t xml:space="preserve">、</w:t>
            </w:r>
            <w:r>
              <w:rPr>
                <w:rFonts w:ascii="宋体" w:hAnsi="宋体" w:cs="宋体"/>
                <w:color w:val="000000"/>
                <w:szCs w:val="21"/>
              </w:rPr>
              <w:t xml:space="preserve">支持学生签到功能，保留学生的签到信息，期末可统一导出，核对学生考勤情况</w:t>
            </w:r>
            <w:r>
              <w:rPr>
                <w:rFonts w:hint="eastAsia" w:ascii="宋体" w:hAnsi="宋体" w:cs="宋体"/>
                <w:color w:val="000000"/>
                <w:szCs w:val="21"/>
              </w:rPr>
              <w:t xml:space="preserve">；</w:t>
            </w:r>
            <w:r>
              <w:rPr>
                <w:rFonts w:ascii="宋体" w:hAnsi="宋体" w:cs="宋体"/>
                <w:color w:val="000000"/>
                <w:szCs w:val="21"/>
              </w:rPr>
              <w:t xml:space="preserve">支持上网控制，设定学生访问网站的黑名单或白名单，对学生可以访问的Internet站点进行管理</w:t>
            </w:r>
            <w:r>
              <w:rPr>
                <w:rFonts w:hint="eastAsia" w:ascii="宋体" w:hAnsi="宋体" w:cs="宋体"/>
                <w:color w:val="000000"/>
                <w:szCs w:val="21"/>
              </w:rPr>
              <w:t xml:space="preserve">；</w:t>
            </w:r>
            <w:r/>
          </w:p>
          <w:p>
            <w:pPr>
              <w:jc w:val="left"/>
              <w:spacing w:line="360" w:lineRule="auto"/>
              <w:widowControl/>
              <w:rPr>
                <w:rFonts w:ascii="宋体" w:hAnsi="宋体" w:cs="宋体"/>
                <w:color w:val="000000"/>
                <w:szCs w:val="21"/>
              </w:rPr>
            </w:pPr>
            <w:r>
              <w:rPr>
                <w:rFonts w:ascii="宋体" w:hAnsi="宋体" w:cs="宋体"/>
                <w:color w:val="000000"/>
                <w:szCs w:val="21"/>
              </w:rPr>
              <w:t xml:space="preserve">10</w:t>
            </w:r>
            <w:r>
              <w:rPr>
                <w:rFonts w:hint="eastAsia" w:ascii="宋体" w:hAnsi="宋体" w:cs="宋体"/>
                <w:color w:val="000000"/>
                <w:szCs w:val="21"/>
              </w:rPr>
              <w:t xml:space="preserve">、支持</w:t>
            </w:r>
            <w:r>
              <w:rPr>
                <w:rFonts w:ascii="宋体" w:hAnsi="宋体" w:cs="宋体"/>
                <w:color w:val="000000"/>
                <w:szCs w:val="21"/>
              </w:rPr>
              <w:t xml:space="preserve">对终端设备远程开机、关机、重启</w:t>
            </w:r>
            <w:r>
              <w:rPr>
                <w:rFonts w:hint="eastAsia" w:ascii="宋体" w:hAnsi="宋体" w:cs="宋体"/>
                <w:color w:val="000000"/>
                <w:szCs w:val="21"/>
              </w:rPr>
              <w:t xml:space="preserve">；支持</w:t>
            </w:r>
            <w:r>
              <w:rPr>
                <w:rFonts w:ascii="宋体" w:hAnsi="宋体" w:cs="宋体"/>
                <w:color w:val="000000"/>
                <w:szCs w:val="21"/>
              </w:rPr>
              <w:t xml:space="preserve">云桌面多系统时，教师端一键控制学生进入指定的云桌面</w:t>
            </w:r>
            <w:r>
              <w:rPr>
                <w:rFonts w:hint="eastAsia" w:ascii="宋体" w:hAnsi="宋体" w:cs="宋体"/>
                <w:color w:val="000000"/>
                <w:szCs w:val="21"/>
              </w:rPr>
              <w:t xml:space="preserve">；</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1</w:t>
            </w:r>
            <w:r>
              <w:rPr>
                <w:rFonts w:hint="eastAsia" w:ascii="宋体" w:hAnsi="宋体" w:cs="宋体"/>
                <w:color w:val="000000"/>
                <w:szCs w:val="21"/>
              </w:rPr>
              <w:t xml:space="preserve">、支持老师在线打开学生作业；支持TXT、Word、PDF、图片等学生作业格式。在线查看学生作业后，可以在个人空间中打分；</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2</w:t>
            </w:r>
            <w:r>
              <w:rPr>
                <w:rFonts w:hint="eastAsia" w:ascii="宋体" w:hAnsi="宋体" w:cs="宋体"/>
                <w:color w:val="000000"/>
                <w:szCs w:val="21"/>
              </w:rPr>
              <w:t xml:space="preserve">、支持自主注册账号、支持管理员统一账号导入；老师账号仅支持密码登陆个人空间；学生账号支持密码登陆和无密码登陆；</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3</w:t>
            </w:r>
            <w:r>
              <w:rPr>
                <w:rFonts w:hint="eastAsia" w:ascii="宋体" w:hAnsi="宋体" w:cs="宋体"/>
                <w:color w:val="000000"/>
                <w:szCs w:val="21"/>
              </w:rPr>
              <w:t xml:space="preserve">、支持老师对选中文件的分发和回收；支持老师对文件分发学生范围设置，支持老师根据姓名、小组、班级、年级或全员进行分发；支持考试对单独文件或文件夹形式分发；支持老师设置文件回收截止时间；支持老师设置回收后的文件存储位置；支持学生一键文件提交。 随堂测试：为方便老师快速出题，支持老师通过教师端导入TXT、Word、PDF等题库文件，也可以通过截屏方式快速出题。老师可以通过全班答题、抢答、随机答题多种方式发起测试，发起测试时为防止作弊老师可选择全屏答题或窗口答题；</w:t>
            </w:r>
            <w:r/>
          </w:p>
        </w:tc>
        <w:tc>
          <w:tcPr>
            <w:tcBorders>
              <w:top w:val="none" w:color="000000" w:sz="4" w:space="0"/>
              <w:left w:val="none" w:color="000000" w:sz="4" w:space="0"/>
              <w:bottom w:val="single" w:color="auto" w:sz="4" w:space="0"/>
              <w:right w:val="single" w:color="auto" w:sz="4" w:space="0"/>
            </w:tcBorders>
            <w:tcW w:w="244"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套</w:t>
            </w:r>
            <w:r/>
          </w:p>
        </w:tc>
        <w:tc>
          <w:tcPr>
            <w:tcBorders>
              <w:top w:val="none" w:color="000000" w:sz="4" w:space="0"/>
              <w:left w:val="none" w:color="000000" w:sz="4" w:space="0"/>
              <w:bottom w:val="single" w:color="auto" w:sz="4" w:space="0"/>
              <w:right w:val="single" w:color="auto" w:sz="4" w:space="0"/>
            </w:tcBorders>
            <w:tcW w:w="570" w:type="pct"/>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t xml:space="preserve">557</w:t>
            </w:r>
            <w:r/>
          </w:p>
        </w:tc>
      </w:tr>
      <w:tr>
        <w:trPr>
          <w:trHeight w:val="288"/>
        </w:trPr>
        <w:tc>
          <w:tcPr>
            <w:tcBorders>
              <w:top w:val="none" w:color="000000" w:sz="4" w:space="0"/>
              <w:left w:val="single" w:color="auto" w:sz="4" w:space="0"/>
              <w:bottom w:val="single" w:color="auto" w:sz="4" w:space="0"/>
              <w:right w:val="single" w:color="auto" w:sz="4" w:space="0"/>
            </w:tcBorders>
            <w:tcW w:w="212"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8</w:t>
            </w:r>
            <w:r/>
          </w:p>
        </w:tc>
        <w:tc>
          <w:tcPr>
            <w:tcBorders>
              <w:top w:val="none" w:color="000000" w:sz="4" w:space="0"/>
              <w:left w:val="none" w:color="000000" w:sz="4" w:space="0"/>
              <w:bottom w:val="single" w:color="auto" w:sz="4" w:space="0"/>
              <w:right w:val="single" w:color="auto" w:sz="4" w:space="0"/>
            </w:tcBorders>
            <w:tcW w:w="306"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超六类四对屏蔽双绞线</w:t>
            </w:r>
            <w:r/>
          </w:p>
        </w:tc>
        <w:tc>
          <w:tcPr>
            <w:tcBorders>
              <w:top w:val="none" w:color="000000" w:sz="4" w:space="0"/>
              <w:left w:val="none" w:color="000000" w:sz="4" w:space="0"/>
              <w:bottom w:val="single" w:color="auto" w:sz="4" w:space="0"/>
              <w:right w:val="single" w:color="auto" w:sz="4" w:space="0"/>
            </w:tcBorders>
            <w:tcW w:w="3665" w:type="pct"/>
            <w:vAlign w:val="center"/>
            <w:textDirection w:val="lrTb"/>
            <w:noWrap/>
          </w:tcPr>
          <w:p>
            <w:pPr>
              <w:jc w:val="left"/>
              <w:spacing w:line="360" w:lineRule="auto"/>
              <w:widowControl/>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国内优质品牌，</w:t>
            </w:r>
            <w:r>
              <w:rPr>
                <w:rFonts w:ascii="宋体" w:hAnsi="宋体" w:cs="宋体"/>
                <w:color w:val="000000"/>
                <w:szCs w:val="21"/>
              </w:rPr>
              <w:t xml:space="preserve">符合YD/T1019-2013、TIA/EIA-568-C.2和ISO/IEC11801 标准；</w:t>
            </w:r>
            <w:r/>
          </w:p>
          <w:p>
            <w:pPr>
              <w:jc w:val="left"/>
              <w:spacing w:line="360" w:lineRule="auto"/>
              <w:widowControl/>
              <w:rPr>
                <w:rFonts w:ascii="宋体" w:hAnsi="宋体" w:cs="宋体"/>
                <w:color w:val="000000"/>
                <w:szCs w:val="21"/>
              </w:rPr>
            </w:pPr>
            <w:r>
              <w:rPr>
                <w:rFonts w:ascii="宋体" w:hAnsi="宋体" w:cs="宋体"/>
                <w:color w:val="000000"/>
                <w:szCs w:val="21"/>
              </w:rPr>
              <w:t xml:space="preserve">2、线缆中心十字骨架；</w:t>
            </w:r>
            <w:r/>
          </w:p>
          <w:p>
            <w:pPr>
              <w:jc w:val="left"/>
              <w:spacing w:line="360" w:lineRule="auto"/>
              <w:widowControl/>
              <w:rPr>
                <w:rFonts w:ascii="宋体" w:hAnsi="宋体" w:cs="宋体"/>
                <w:color w:val="000000"/>
                <w:szCs w:val="21"/>
              </w:rPr>
            </w:pPr>
            <w:r>
              <w:rPr>
                <w:rFonts w:ascii="宋体" w:hAnsi="宋体" w:cs="宋体"/>
                <w:color w:val="000000"/>
                <w:szCs w:val="21"/>
              </w:rPr>
              <w:t xml:space="preserve">3、带宽满足500MHz测试</w:t>
            </w:r>
            <w:r>
              <w:rPr>
                <w:rFonts w:hint="eastAsia" w:ascii="宋体" w:hAnsi="宋体" w:cs="宋体"/>
                <w:color w:val="000000"/>
                <w:szCs w:val="21"/>
              </w:rPr>
              <w:t xml:space="preserve">，</w:t>
            </w:r>
            <w:r>
              <w:rPr>
                <w:rFonts w:ascii="宋体" w:hAnsi="宋体" w:cs="宋体"/>
                <w:color w:val="000000"/>
                <w:szCs w:val="21"/>
              </w:rPr>
              <w:t xml:space="preserve">符合超六类标准；</w:t>
            </w:r>
            <w:r/>
          </w:p>
          <w:p>
            <w:pPr>
              <w:jc w:val="left"/>
              <w:spacing w:line="360" w:lineRule="auto"/>
              <w:widowControl/>
              <w:rPr>
                <w:rFonts w:ascii="宋体" w:hAnsi="宋体" w:cs="宋体"/>
                <w:color w:val="000000"/>
                <w:szCs w:val="21"/>
              </w:rPr>
            </w:pPr>
            <w:r>
              <w:rPr>
                <w:rFonts w:ascii="宋体" w:hAnsi="宋体" w:cs="宋体"/>
                <w:color w:val="000000"/>
                <w:szCs w:val="21"/>
              </w:rPr>
              <w:t xml:space="preserve">4、外径：7.7±0.2mm；</w:t>
            </w:r>
            <w:r/>
          </w:p>
          <w:p>
            <w:pPr>
              <w:jc w:val="left"/>
              <w:spacing w:line="360" w:lineRule="auto"/>
              <w:widowControl/>
              <w:rPr>
                <w:rFonts w:ascii="宋体" w:hAnsi="宋体" w:cs="宋体"/>
                <w:color w:val="000000"/>
                <w:szCs w:val="21"/>
              </w:rPr>
            </w:pPr>
            <w:r>
              <w:rPr>
                <w:rFonts w:ascii="宋体" w:hAnsi="宋体" w:cs="宋体"/>
                <w:color w:val="000000"/>
                <w:szCs w:val="21"/>
              </w:rPr>
              <w:t xml:space="preserve">5、导体：23AWG，0.57±0.005mm，实芯裸铜导线；</w:t>
            </w:r>
            <w:r/>
          </w:p>
          <w:p>
            <w:pPr>
              <w:jc w:val="left"/>
              <w:spacing w:line="360" w:lineRule="auto"/>
              <w:widowControl/>
              <w:rPr>
                <w:rFonts w:ascii="宋体" w:hAnsi="宋体" w:cs="宋体"/>
                <w:color w:val="000000"/>
                <w:szCs w:val="21"/>
              </w:rPr>
            </w:pPr>
            <w:r>
              <w:rPr>
                <w:rFonts w:ascii="宋体" w:hAnsi="宋体" w:cs="宋体"/>
                <w:color w:val="000000"/>
                <w:szCs w:val="21"/>
              </w:rPr>
              <w:t xml:space="preserve">6、绝缘层：高密度聚乙烯，绝缘直径：1.15±0.03mm；</w:t>
            </w:r>
            <w:r/>
          </w:p>
          <w:p>
            <w:pPr>
              <w:jc w:val="left"/>
              <w:spacing w:line="360" w:lineRule="auto"/>
              <w:widowControl/>
              <w:rPr>
                <w:rFonts w:ascii="宋体" w:hAnsi="宋体" w:cs="宋体"/>
                <w:color w:val="000000"/>
                <w:szCs w:val="21"/>
              </w:rPr>
            </w:pPr>
            <w:r>
              <w:rPr>
                <w:rFonts w:ascii="宋体" w:hAnsi="宋体" w:cs="宋体"/>
                <w:color w:val="000000"/>
                <w:szCs w:val="21"/>
              </w:rPr>
              <w:t xml:space="preserve">7、外护套采用阻燃PVC材料；</w:t>
            </w:r>
            <w:r/>
          </w:p>
          <w:p>
            <w:pPr>
              <w:jc w:val="left"/>
              <w:spacing w:line="360" w:lineRule="auto"/>
              <w:widowControl/>
              <w:rPr>
                <w:rFonts w:ascii="宋体" w:hAnsi="宋体" w:cs="宋体"/>
                <w:szCs w:val="21"/>
              </w:rPr>
            </w:pPr>
            <w:r>
              <w:rPr>
                <w:rFonts w:ascii="宋体" w:hAnsi="宋体" w:cs="宋体"/>
                <w:szCs w:val="21"/>
              </w:rPr>
              <w:t xml:space="preserve">8、阻燃等级：CM、IEC60332-1可选；</w:t>
            </w:r>
            <w:r/>
          </w:p>
          <w:p>
            <w:pPr>
              <w:jc w:val="left"/>
              <w:spacing w:line="360" w:lineRule="auto"/>
              <w:widowControl/>
              <w:rPr>
                <w:rFonts w:ascii="宋体" w:hAnsi="宋体" w:cs="宋体"/>
                <w:szCs w:val="21"/>
              </w:rPr>
            </w:pPr>
            <w:r>
              <w:rPr>
                <w:rFonts w:ascii="宋体" w:hAnsi="宋体" w:cs="宋体"/>
                <w:szCs w:val="21"/>
              </w:rPr>
              <w:t xml:space="preserve">9、最大电容：≤5.6nF/100m；</w:t>
            </w:r>
            <w:r/>
          </w:p>
          <w:p>
            <w:pPr>
              <w:jc w:val="left"/>
              <w:spacing w:line="360" w:lineRule="auto"/>
              <w:widowControl/>
              <w:rPr>
                <w:rFonts w:ascii="宋体" w:hAnsi="宋体" w:cs="宋体"/>
                <w:szCs w:val="21"/>
              </w:rPr>
            </w:pPr>
            <w:r>
              <w:rPr>
                <w:rFonts w:ascii="宋体" w:hAnsi="宋体" w:cs="宋体"/>
                <w:szCs w:val="21"/>
              </w:rPr>
              <w:t xml:space="preserve">10、最大直流电阻：≤7.0Ω/100m；</w:t>
            </w:r>
            <w:r/>
          </w:p>
          <w:p>
            <w:pPr>
              <w:jc w:val="left"/>
              <w:spacing w:line="360" w:lineRule="auto"/>
              <w:widowControl/>
              <w:rPr>
                <w:rFonts w:ascii="宋体" w:hAnsi="宋体" w:cs="宋体"/>
                <w:szCs w:val="21"/>
              </w:rPr>
            </w:pPr>
            <w:r>
              <w:rPr>
                <w:rFonts w:ascii="宋体" w:hAnsi="宋体" w:cs="宋体"/>
                <w:szCs w:val="21"/>
              </w:rPr>
              <w:t xml:space="preserve">11、工作温度：-20℃到70℃</w:t>
            </w:r>
            <w:r>
              <w:rPr>
                <w:rFonts w:hint="eastAsia" w:ascii="宋体" w:hAnsi="宋体" w:cs="宋体"/>
                <w:szCs w:val="21"/>
              </w:rPr>
              <w:t xml:space="preserve">。</w:t>
            </w:r>
            <w:r/>
          </w:p>
          <w:p>
            <w:pPr>
              <w:jc w:val="left"/>
              <w:spacing w:line="360" w:lineRule="auto"/>
              <w:widowControl/>
              <w:rPr>
                <w:rFonts w:ascii="宋体" w:hAnsi="宋体" w:cs="宋体"/>
                <w:color w:val="000000"/>
                <w:szCs w:val="21"/>
              </w:rPr>
            </w:pPr>
            <w:r>
              <w:rPr>
                <w:rFonts w:hint="eastAsia" w:ascii="宋体" w:hAnsi="宋体" w:cs="宋体"/>
                <w:szCs w:val="21"/>
              </w:rPr>
              <w:t xml:space="preserve">1</w:t>
            </w:r>
            <w:r>
              <w:rPr>
                <w:rFonts w:ascii="宋体" w:hAnsi="宋体" w:cs="宋体"/>
                <w:szCs w:val="21"/>
              </w:rPr>
              <w:t xml:space="preserve">2</w:t>
            </w:r>
            <w:r>
              <w:rPr>
                <w:rFonts w:hint="eastAsia" w:ascii="宋体" w:hAnsi="宋体" w:cs="宋体"/>
                <w:szCs w:val="21"/>
              </w:rPr>
              <w:t xml:space="preserve">、</w:t>
            </w:r>
            <w:r>
              <w:rPr>
                <w:rFonts w:hint="eastAsia" w:ascii="MS Mincho" w:hAnsi="MS Mincho" w:eastAsia="MS Mincho" w:cs="MS Mincho"/>
                <w:szCs w:val="21"/>
              </w:rPr>
              <w:t xml:space="preserve">‌‌</w:t>
            </w:r>
            <w:r>
              <w:rPr>
                <w:rFonts w:hint="eastAsia" w:ascii="宋体" w:hAnsi="宋体" w:cs="宋体"/>
                <w:szCs w:val="21"/>
              </w:rPr>
              <w:t xml:space="preserve">特性阻抗</w:t>
            </w:r>
            <w:r>
              <w:rPr>
                <w:rFonts w:hint="eastAsia" w:ascii="MS Mincho" w:hAnsi="MS Mincho" w:eastAsia="MS Mincho" w:cs="MS Mincho"/>
                <w:szCs w:val="21"/>
              </w:rPr>
              <w:t xml:space="preserve">‌</w:t>
            </w:r>
            <w:r>
              <w:rPr>
                <w:rFonts w:hint="eastAsia" w:ascii="宋体" w:hAnsi="宋体" w:cs="宋体"/>
                <w:szCs w:val="21"/>
              </w:rPr>
              <w:t xml:space="preserve">：</w:t>
            </w:r>
            <w:r>
              <w:rPr>
                <w:rFonts w:ascii="Times New Roman" w:hAnsi="Times New Roman" w:eastAsia="MS Mincho"/>
                <w:szCs w:val="21"/>
              </w:rPr>
              <w:t xml:space="preserve">‌</w:t>
            </w:r>
            <w:r>
              <w:rPr>
                <w:rFonts w:ascii="Times New Roman" w:hAnsi="Times New Roman"/>
                <w:szCs w:val="21"/>
              </w:rPr>
              <w:t xml:space="preserve">100 ± 15 Ω</w:t>
            </w:r>
            <w:r>
              <w:rPr>
                <w:rFonts w:ascii="Times New Roman" w:hAnsi="Times New Roman" w:eastAsia="MS Mincho"/>
                <w:szCs w:val="21"/>
              </w:rPr>
              <w:t xml:space="preserve">‌</w:t>
            </w:r>
            <w:r>
              <w:rPr>
                <w:rFonts w:ascii="Times New Roman" w:hAnsi="Times New Roman"/>
                <w:szCs w:val="21"/>
              </w:rPr>
              <w:t xml:space="preserve">（1–500 MHz </w:t>
            </w:r>
            <w:r>
              <w:rPr>
                <w:rFonts w:hint="eastAsia" w:ascii="宋体" w:hAnsi="宋体" w:cs="宋体"/>
                <w:szCs w:val="21"/>
              </w:rPr>
              <w:t xml:space="preserve">频段内）</w:t>
            </w:r>
            <w:r>
              <w:rPr>
                <w:rFonts w:hint="eastAsia" w:ascii="MS Mincho" w:hAnsi="MS Mincho" w:eastAsia="MS Mincho" w:cs="MS Mincho"/>
                <w:szCs w:val="21"/>
              </w:rPr>
              <w:t xml:space="preserve">‌‌</w:t>
            </w:r>
            <w:r>
              <w:rPr>
                <w:rFonts w:ascii="MS Mincho" w:hAnsi="MS Mincho" w:cs="MS Mincho" w:eastAsiaTheme="minorEastAsia"/>
                <w:szCs w:val="21"/>
              </w:rPr>
              <w:t xml:space="preserve">;</w:t>
            </w:r>
            <w:r>
              <w:rPr>
                <w:rFonts w:hint="eastAsia"/>
              </w:rPr>
              <w:t xml:space="preserve"> </w:t>
            </w:r>
            <w:r>
              <w:rPr>
                <w:rFonts w:hint="eastAsia" w:ascii="MS Mincho" w:hAnsi="MS Mincho" w:cs="MS Mincho" w:eastAsiaTheme="minorEastAsia"/>
                <w:szCs w:val="21"/>
              </w:rPr>
              <w:t xml:space="preserve">转移阻抗 </w:t>
            </w:r>
            <w:r>
              <w:rPr>
                <w:rFonts w:hint="eastAsia" w:ascii="Times New Roman" w:hAnsi="Times New Roman" w:eastAsia="MS Mincho"/>
                <w:szCs w:val="21"/>
              </w:rPr>
              <w:t xml:space="preserve">(Zt)</w:t>
            </w:r>
            <w:r>
              <w:rPr>
                <w:rFonts w:ascii="MS Mincho" w:hAnsi="MS Mincho" w:cs="MS Mincho" w:eastAsiaTheme="minorEastAsia"/>
                <w:szCs w:val="21"/>
              </w:rPr>
              <w:t xml:space="preserve">:</w:t>
            </w:r>
            <w:r>
              <w:rPr>
                <w:rFonts w:hint="eastAsia"/>
              </w:rPr>
              <w:t xml:space="preserve"> </w:t>
            </w:r>
            <w:r>
              <w:rPr>
                <w:rFonts w:asciiTheme="majorEastAsia" w:hAnsiTheme="majorEastAsia" w:eastAsiaTheme="majorEastAsia"/>
                <w:szCs w:val="21"/>
              </w:rPr>
              <w:t xml:space="preserve">≤</w:t>
            </w:r>
            <w:r>
              <w:rPr>
                <w:rFonts w:hint="eastAsia" w:ascii="Times New Roman" w:hAnsi="Times New Roman" w:eastAsia="MS Mincho"/>
                <w:szCs w:val="21"/>
              </w:rPr>
              <w:t xml:space="preserve"> 100 mΩ/m (30~300 MHz)</w:t>
            </w:r>
            <w:r>
              <w:rPr>
                <w:rFonts w:ascii="MS Mincho" w:hAnsi="MS Mincho" w:cs="MS Mincho" w:eastAsiaTheme="minorEastAsia"/>
                <w:szCs w:val="21"/>
              </w:rPr>
              <w:t xml:space="preserve">;</w:t>
            </w:r>
            <w:r>
              <w:rPr>
                <w:rFonts w:hint="eastAsia"/>
              </w:rPr>
              <w:t xml:space="preserve"> </w:t>
            </w:r>
            <w:r>
              <w:rPr>
                <w:rFonts w:hint="eastAsia" w:ascii="MS Mincho" w:hAnsi="MS Mincho" w:cs="MS Mincho" w:eastAsiaTheme="minorEastAsia"/>
                <w:szCs w:val="21"/>
              </w:rPr>
              <w:t xml:space="preserve">屏蔽衰减 </w:t>
            </w:r>
            <w:r>
              <w:rPr>
                <w:rFonts w:hint="eastAsia" w:ascii="Times New Roman" w:hAnsi="Times New Roman" w:eastAsia="MS Mincho"/>
                <w:szCs w:val="21"/>
              </w:rPr>
              <w:t xml:space="preserve">(a_s)</w:t>
            </w:r>
            <w:r>
              <w:rPr>
                <w:rFonts w:hint="eastAsia" w:ascii="MS Mincho" w:hAnsi="MS Mincho" w:cs="MS Mincho" w:eastAsiaTheme="minorEastAsia"/>
                <w:szCs w:val="21"/>
              </w:rPr>
              <w:t xml:space="preserve">≥ </w:t>
            </w:r>
            <w:r>
              <w:rPr>
                <w:rFonts w:hint="eastAsia" w:ascii="Times New Roman" w:hAnsi="Times New Roman" w:eastAsia="MS Mincho"/>
                <w:szCs w:val="21"/>
              </w:rPr>
              <w:t xml:space="preserve">70 dB (1~6 GHz)</w:t>
            </w:r>
            <w:r>
              <w:rPr>
                <w:rFonts w:hint="eastAsia" w:ascii="MS Mincho" w:hAnsi="MS Mincho" w:eastAsia="MS Mincho" w:cs="MS Mincho"/>
                <w:szCs w:val="21"/>
              </w:rPr>
              <w:t xml:space="preserve">‌</w:t>
            </w:r>
            <w:r>
              <w:rPr>
                <w:rFonts w:hint="eastAsia" w:ascii="宋体" w:hAnsi="宋体" w:cs="宋体"/>
                <w:szCs w:val="21"/>
              </w:rPr>
              <w:t xml:space="preserve"> </w:t>
            </w:r>
            <w:r/>
          </w:p>
        </w:tc>
        <w:tc>
          <w:tcPr>
            <w:tcBorders>
              <w:top w:val="none" w:color="000000" w:sz="4" w:space="0"/>
              <w:left w:val="none" w:color="000000" w:sz="4" w:space="0"/>
              <w:bottom w:val="single" w:color="auto" w:sz="4" w:space="0"/>
              <w:right w:val="single" w:color="auto" w:sz="4" w:space="0"/>
            </w:tcBorders>
            <w:tcW w:w="244"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 米 </w:t>
            </w:r>
            <w:r/>
          </w:p>
        </w:tc>
        <w:tc>
          <w:tcPr>
            <w:tcBorders>
              <w:top w:val="none" w:color="000000" w:sz="4" w:space="0"/>
              <w:left w:val="none" w:color="000000" w:sz="4" w:space="0"/>
              <w:bottom w:val="single" w:color="auto" w:sz="4" w:space="0"/>
              <w:right w:val="single" w:color="auto" w:sz="4" w:space="0"/>
            </w:tcBorders>
            <w:tcW w:w="570" w:type="pct"/>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t xml:space="preserve">9590</w:t>
            </w:r>
            <w:r/>
          </w:p>
        </w:tc>
      </w:tr>
      <w:tr>
        <w:trPr>
          <w:trHeight w:val="288"/>
        </w:trPr>
        <w:tc>
          <w:tcPr>
            <w:tcBorders>
              <w:top w:val="none" w:color="000000" w:sz="4" w:space="0"/>
              <w:left w:val="single" w:color="auto" w:sz="4" w:space="0"/>
              <w:bottom w:val="single" w:color="auto" w:sz="4" w:space="0"/>
              <w:right w:val="single" w:color="auto" w:sz="4" w:space="0"/>
            </w:tcBorders>
            <w:tcW w:w="212" w:type="pct"/>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9</w:t>
            </w:r>
            <w:r/>
          </w:p>
        </w:tc>
        <w:tc>
          <w:tcPr>
            <w:tcBorders>
              <w:top w:val="none" w:color="000000" w:sz="4" w:space="0"/>
              <w:left w:val="none" w:color="000000" w:sz="4" w:space="0"/>
              <w:bottom w:val="single" w:color="auto" w:sz="4" w:space="0"/>
              <w:right w:val="single" w:color="auto" w:sz="4" w:space="0"/>
            </w:tcBorders>
            <w:tcW w:w="306" w:type="pct"/>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辅材</w:t>
            </w:r>
            <w:r/>
          </w:p>
        </w:tc>
        <w:tc>
          <w:tcPr>
            <w:tcBorders>
              <w:top w:val="none" w:color="000000" w:sz="4" w:space="0"/>
              <w:left w:val="none" w:color="000000" w:sz="4" w:space="0"/>
              <w:bottom w:val="single" w:color="auto" w:sz="4" w:space="0"/>
              <w:right w:val="single" w:color="auto" w:sz="4" w:space="0"/>
            </w:tcBorders>
            <w:tcW w:w="3665" w:type="pct"/>
            <w:vAlign w:val="center"/>
            <w:textDirection w:val="lrTb"/>
            <w:noWrap/>
          </w:tcPr>
          <w:p>
            <w:pPr>
              <w:jc w:val="left"/>
              <w:spacing w:line="360" w:lineRule="auto"/>
              <w:widowControl/>
              <w:rPr>
                <w:rFonts w:ascii="宋体" w:hAnsi="宋体" w:cs="宋体"/>
                <w:szCs w:val="21"/>
              </w:rPr>
            </w:pPr>
            <w:r>
              <w:rPr>
                <w:rFonts w:hint="eastAsia" w:ascii="宋体" w:hAnsi="宋体" w:cs="宋体"/>
                <w:szCs w:val="21"/>
              </w:rPr>
              <w:t xml:space="preserve">配套(含PDU、PVC线槽、电线、光纤、插线板、空开等）</w:t>
            </w:r>
            <w:r/>
          </w:p>
        </w:tc>
        <w:tc>
          <w:tcPr>
            <w:tcBorders>
              <w:top w:val="none" w:color="000000" w:sz="4" w:space="0"/>
              <w:left w:val="none" w:color="000000" w:sz="4" w:space="0"/>
              <w:bottom w:val="single" w:color="auto" w:sz="4" w:space="0"/>
              <w:right w:val="single" w:color="auto" w:sz="4" w:space="0"/>
            </w:tcBorders>
            <w:tcW w:w="244" w:type="pct"/>
            <w:vAlign w:val="center"/>
            <w:textDirection w:val="lrTb"/>
            <w:noWrap/>
          </w:tcPr>
          <w:p>
            <w:pPr>
              <w:jc w:val="center"/>
              <w:spacing w:line="360" w:lineRule="auto"/>
              <w:widowControl/>
              <w:rPr>
                <w:rFonts w:ascii="宋体" w:hAnsi="宋体" w:cs="宋体"/>
                <w:szCs w:val="21"/>
              </w:rPr>
            </w:pPr>
            <w:r>
              <w:rPr>
                <w:rFonts w:hint="eastAsia" w:ascii="宋体" w:hAnsi="宋体" w:cs="宋体"/>
                <w:szCs w:val="21"/>
              </w:rPr>
              <w:t xml:space="preserve">批</w:t>
            </w:r>
            <w:r/>
          </w:p>
        </w:tc>
        <w:tc>
          <w:tcPr>
            <w:tcBorders>
              <w:top w:val="none" w:color="000000" w:sz="4" w:space="0"/>
              <w:left w:val="none" w:color="000000" w:sz="4" w:space="0"/>
              <w:bottom w:val="single" w:color="auto" w:sz="4" w:space="0"/>
              <w:right w:val="single" w:color="auto" w:sz="4" w:space="0"/>
            </w:tcBorders>
            <w:tcW w:w="570" w:type="pct"/>
            <w:vAlign w:val="center"/>
            <w:textDirection w:val="lrTb"/>
            <w:noWrap/>
          </w:tcPr>
          <w:p>
            <w:pPr>
              <w:jc w:val="center"/>
              <w:spacing w:line="360" w:lineRule="auto"/>
              <w:rPr>
                <w:rFonts w:ascii="宋体" w:hAnsi="宋体" w:cs="宋体"/>
                <w:szCs w:val="21"/>
              </w:rPr>
            </w:pPr>
            <w:r>
              <w:rPr>
                <w:rFonts w:hint="eastAsia" w:ascii="宋体" w:hAnsi="宋体" w:cs="宋体"/>
                <w:szCs w:val="21"/>
              </w:rPr>
              <w:t xml:space="preserve">1</w:t>
            </w:r>
            <w:r/>
          </w:p>
        </w:tc>
      </w:tr>
      <w:tr>
        <w:trPr>
          <w:trHeight w:val="288"/>
        </w:trPr>
        <w:tc>
          <w:tcPr>
            <w:tcBorders>
              <w:top w:val="single" w:color="auto" w:sz="4" w:space="0"/>
              <w:left w:val="single" w:color="auto" w:sz="4" w:space="0"/>
              <w:bottom w:val="single" w:color="auto" w:sz="4" w:space="0"/>
              <w:right w:val="single" w:color="auto" w:sz="4" w:space="0"/>
            </w:tcBorders>
            <w:tcW w:w="212" w:type="pct"/>
            <w:vAlign w:val="center"/>
            <w:textDirection w:val="lrTb"/>
            <w:noWrap/>
          </w:tcPr>
          <w:p>
            <w:pPr>
              <w:jc w:val="center"/>
              <w:spacing w:line="360" w:lineRule="auto"/>
              <w:widowControl/>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0</w:t>
            </w:r>
            <w:r/>
          </w:p>
        </w:tc>
        <w:tc>
          <w:tcPr>
            <w:tcBorders>
              <w:top w:val="single" w:color="auto" w:sz="4" w:space="0"/>
              <w:left w:val="none" w:color="000000" w:sz="4" w:space="0"/>
              <w:bottom w:val="single" w:color="auto" w:sz="4" w:space="0"/>
              <w:right w:val="single" w:color="auto" w:sz="4" w:space="0"/>
            </w:tcBorders>
            <w:tcW w:w="306"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静电地板</w:t>
            </w:r>
            <w:r/>
          </w:p>
        </w:tc>
        <w:tc>
          <w:tcPr>
            <w:tcBorders>
              <w:top w:val="single" w:color="auto" w:sz="4" w:space="0"/>
              <w:left w:val="none" w:color="000000" w:sz="4" w:space="0"/>
              <w:bottom w:val="single" w:color="auto" w:sz="4" w:space="0"/>
              <w:right w:val="single" w:color="auto" w:sz="4" w:space="0"/>
            </w:tcBorders>
            <w:tcW w:w="3665" w:type="pct"/>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1、规格尺寸： 600×600mm，厚度：≥30mm；</w:t>
            </w:r>
            <w:r/>
          </w:p>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szCs w:val="21"/>
              </w:rPr>
              <w:t xml:space="preserve">▲2、</w:t>
            </w:r>
            <w:r>
              <w:rPr>
                <w:rFonts w:hint="eastAsia" w:ascii="宋体" w:hAnsi="宋体" w:cs="宋体"/>
                <w:color w:val="000000" w:themeColor="text1"/>
                <w:szCs w:val="21"/>
                <w:highlight w:val="none"/>
                <w14:textFill>
                  <w14:solidFill>
                    <w14:schemeClr w14:val="tx1"/>
                  </w14:solidFill>
                </w14:textFill>
              </w:rPr>
              <w:t xml:space="preserve">面层材质：2mm厚高耐磨陶瓷贴面（氧化铝增强），基材材质：高密度水泥基（密度≥1.8g/cm³），导电层：铜箔导电网（厚度≥0.05mm），防火等级：A级不燃材料（GB 8624-2012标准）；</w:t>
            </w:r>
            <w:r>
              <w:rPr>
                <w:rFonts w:hint="eastAsia" w:ascii="宋体" w:hAnsi="宋体" w:cs="宋体"/>
                <w:b/>
                <w:bCs/>
                <w:color w:val="000000" w:themeColor="text1"/>
                <w:szCs w:val="21"/>
                <w:highlight w:val="none"/>
                <w14:textFill>
                  <w14:solidFill>
                    <w14:schemeClr w14:val="tx1"/>
                  </w14:solidFill>
                </w14:textFill>
              </w:rPr>
              <w:t xml:space="preserve">（提供静电地板A级不燃材料的证明材料）</w:t>
            </w:r>
            <w:r/>
          </w:p>
          <w:p>
            <w:pPr>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3、表面电阻：</w:t>
            </w:r>
            <w:r>
              <w:rPr>
                <w:rFonts w:ascii="宋体" w:hAnsi="宋体" w:cs="宋体"/>
                <w:color w:val="000000" w:themeColor="text1"/>
                <w:szCs w:val="21"/>
                <w:highlight w:val="none"/>
                <w14:textFill>
                  <w14:solidFill>
                    <w14:schemeClr w14:val="tx1"/>
                  </w14:solidFill>
                </w14:textFill>
              </w:rPr>
              <w:t xml:space="preserve">1×10</w:t>
            </w:r>
            <w:r>
              <w:rPr>
                <w:rFonts w:hint="eastAsia" w:ascii="MS Mincho" w:hAnsi="MS Mincho" w:eastAsia="MS Mincho" w:cs="MS Mincho"/>
                <w:color w:val="000000" w:themeColor="text1"/>
                <w:szCs w:val="21"/>
                <w:highlight w:val="none"/>
                <w14:textFill>
                  <w14:solidFill>
                    <w14:schemeClr w14:val="tx1"/>
                  </w14:solidFill>
                </w14:textFill>
              </w:rPr>
              <w:t xml:space="preserve">⁶</w:t>
            </w:r>
            <w:r>
              <w:rPr>
                <w:rFonts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14:textFill>
                  <w14:solidFill>
                    <w14:schemeClr w14:val="tx1"/>
                  </w14:solidFill>
                </w14:textFill>
              </w:rPr>
              <w:t xml:space="preserve">×</w:t>
            </w:r>
            <w:r>
              <w:rPr>
                <w:rFonts w:ascii="宋体" w:hAnsi="宋体" w:cs="宋体"/>
                <w:color w:val="000000" w:themeColor="text1"/>
                <w:szCs w:val="21"/>
                <w:highlight w:val="none"/>
                <w14:textFill>
                  <w14:solidFill>
                    <w14:schemeClr w14:val="tx1"/>
                  </w14:solidFill>
                </w14:textFill>
              </w:rPr>
              <w:t xml:space="preserve">10</w:t>
            </w:r>
            <w:r>
              <w:rPr>
                <w:rFonts w:hint="eastAsia" w:ascii="MS Mincho" w:hAnsi="MS Mincho" w:eastAsia="MS Mincho" w:cs="MS Mincho"/>
                <w:color w:val="000000" w:themeColor="text1"/>
                <w:szCs w:val="21"/>
                <w:highlight w:val="none"/>
                <w14:textFill>
                  <w14:solidFill>
                    <w14:schemeClr w14:val="tx1"/>
                  </w14:solidFill>
                </w14:textFill>
              </w:rPr>
              <w:t xml:space="preserve">⁹</w:t>
            </w:r>
            <w:r>
              <w:rPr>
                <w:rFonts w:ascii="宋体" w:hAnsi="宋体" w:cs="宋体"/>
                <w:color w:val="000000" w:themeColor="text1"/>
                <w:szCs w:val="21"/>
                <w:highlight w:val="none"/>
                <w14:textFill>
                  <w14:solidFill>
                    <w14:schemeClr w14:val="tx1"/>
                  </w14:solidFill>
                </w14:textFill>
              </w:rPr>
              <w:t xml:space="preserve">Ω</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4、集中载荷：≥5000N（单点承重500kg以上）；均布载荷：≥12,000N/m²，抗冲击性：≥15J</w:t>
            </w:r>
            <w:r/>
          </w:p>
        </w:tc>
        <w:tc>
          <w:tcPr>
            <w:tcBorders>
              <w:top w:val="single" w:color="auto" w:sz="4" w:space="0"/>
              <w:left w:val="none" w:color="000000" w:sz="4" w:space="0"/>
              <w:bottom w:val="single" w:color="auto" w:sz="4" w:space="0"/>
              <w:right w:val="single" w:color="auto" w:sz="4" w:space="0"/>
            </w:tcBorders>
            <w:tcW w:w="244"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平方</w:t>
            </w:r>
            <w:r/>
          </w:p>
        </w:tc>
        <w:tc>
          <w:tcPr>
            <w:tcBorders>
              <w:top w:val="single" w:color="auto" w:sz="4" w:space="0"/>
              <w:left w:val="none" w:color="000000" w:sz="4" w:space="0"/>
              <w:bottom w:val="single" w:color="auto" w:sz="4" w:space="0"/>
              <w:right w:val="single" w:color="auto" w:sz="4" w:space="0"/>
            </w:tcBorders>
            <w:tcW w:w="570" w:type="pct"/>
            <w:vAlign w:val="center"/>
            <w:textDirection w:val="lrTb"/>
            <w:noWrap/>
          </w:tcPr>
          <w:p>
            <w:pPr>
              <w:jc w:val="center"/>
              <w:spacing w:line="360" w:lineRule="auto"/>
              <w:rPr>
                <w:rFonts w:ascii="宋体" w:hAnsi="宋体" w:cs="宋体"/>
                <w:color w:val="000000"/>
                <w:szCs w:val="21"/>
              </w:rPr>
            </w:pPr>
            <w:r>
              <w:rPr>
                <w:rFonts w:ascii="宋体" w:hAnsi="宋体" w:cs="宋体"/>
                <w:color w:val="000000"/>
                <w:szCs w:val="21"/>
              </w:rPr>
              <w:t xml:space="preserve">980</w:t>
            </w:r>
            <w:r/>
          </w:p>
        </w:tc>
      </w:tr>
      <w:tr>
        <w:trPr>
          <w:trHeight w:val="288"/>
        </w:trPr>
        <w:tc>
          <w:tcPr>
            <w:tcBorders>
              <w:top w:val="single" w:color="auto" w:sz="4" w:space="0"/>
              <w:left w:val="single" w:color="auto" w:sz="4" w:space="0"/>
              <w:bottom w:val="single" w:color="auto" w:sz="4" w:space="0"/>
              <w:right w:val="single" w:color="auto" w:sz="4" w:space="0"/>
            </w:tcBorders>
            <w:tcW w:w="212"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11</w:t>
            </w:r>
            <w:r/>
          </w:p>
        </w:tc>
        <w:tc>
          <w:tcPr>
            <w:tcBorders>
              <w:top w:val="single" w:color="auto" w:sz="4" w:space="0"/>
              <w:left w:val="none" w:color="000000" w:sz="4" w:space="0"/>
              <w:bottom w:val="single" w:color="auto" w:sz="4" w:space="0"/>
              <w:right w:val="single" w:color="auto" w:sz="4" w:space="0"/>
            </w:tcBorders>
            <w:tcW w:w="306" w:type="pct"/>
            <w:vAlign w:val="center"/>
            <w:textDirection w:val="lrTb"/>
            <w:noWrap/>
          </w:tcPr>
          <w:p>
            <w:pPr>
              <w:spacing w:line="360" w:lineRule="auto"/>
              <w:widowControl/>
              <w:rPr>
                <w:rFonts w:ascii="宋体" w:hAnsi="宋体" w:cs="宋体"/>
                <w:color w:val="000000"/>
                <w:szCs w:val="21"/>
              </w:rPr>
            </w:pPr>
            <w:r>
              <w:rPr>
                <w:rFonts w:hint="eastAsia" w:ascii="宋体" w:hAnsi="宋体"/>
                <w:b/>
                <w:bCs/>
                <w:iCs/>
                <w:szCs w:val="21"/>
              </w:rPr>
              <w:t xml:space="preserve">单人位桌</w:t>
            </w:r>
            <w:r/>
          </w:p>
        </w:tc>
        <w:tc>
          <w:tcPr>
            <w:tcBorders>
              <w:top w:val="single" w:color="auto" w:sz="4" w:space="0"/>
              <w:left w:val="none" w:color="000000" w:sz="4" w:space="0"/>
              <w:bottom w:val="single" w:color="auto" w:sz="4" w:space="0"/>
              <w:right w:val="single" w:color="auto" w:sz="4" w:space="0"/>
            </w:tcBorders>
            <w:tcW w:w="3665" w:type="pct"/>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1、规格尺寸要求：</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.1</w:t>
            </w:r>
            <w:r>
              <w:rPr>
                <w:rFonts w:hint="eastAsia" w:ascii="宋体" w:hAnsi="宋体" w:cs="宋体"/>
                <w:color w:val="000000"/>
                <w:szCs w:val="21"/>
              </w:rPr>
              <w:t xml:space="preserve">外形</w:t>
            </w:r>
            <w:r>
              <w:rPr>
                <w:rFonts w:hint="eastAsia" w:ascii="宋体" w:hAnsi="宋体"/>
                <w:bCs/>
                <w:color w:val="000000" w:themeColor="text1"/>
                <w:szCs w:val="21"/>
                <w14:textFill>
                  <w14:solidFill>
                    <w14:schemeClr w14:val="tx1"/>
                  </w14:solidFill>
                </w14:textFill>
              </w:rPr>
              <w:t xml:space="preserve">尺寸：770×670×760mm；</w:t>
            </w:r>
            <w:r>
              <w:rPr>
                <w:rFonts w:hint="eastAsia" w:ascii="宋体" w:hAnsi="宋体" w:cs="宋体"/>
                <w:color w:val="000000"/>
                <w:szCs w:val="21"/>
              </w:rPr>
              <w:t xml:space="preserve">长、宽、高误差≤2mm，邻边垂直度：台面对角线、框架对角线 1000mm的误差≤2mm，2000mm的误差≤3mm，3000mm的误差≤3mm；地脚平稳性：误差≤1mm；</w:t>
            </w:r>
            <w:r/>
          </w:p>
          <w:p>
            <w:pPr>
              <w:jc w:val="left"/>
              <w:spacing w:line="360" w:lineRule="auto"/>
              <w:widowControl/>
              <w:rPr>
                <w:rFonts w:ascii="宋体" w:hAnsi="宋体" w:cs="宋体"/>
                <w:color w:val="000000"/>
                <w:szCs w:val="21"/>
              </w:rPr>
            </w:pPr>
            <w:r>
              <w:rPr>
                <w:rFonts w:ascii="宋体" w:hAnsi="宋体" w:cs="宋体"/>
                <w:color w:val="000000"/>
                <w:szCs w:val="21"/>
              </w:rPr>
              <w:t xml:space="preserve">1.2</w:t>
            </w:r>
            <w:r>
              <w:rPr>
                <w:rFonts w:hint="eastAsia" w:ascii="宋体" w:hAnsi="宋体" w:cs="宋体"/>
                <w:color w:val="000000"/>
                <w:szCs w:val="21"/>
              </w:rPr>
              <w:t xml:space="preserve">涂层：各涂层均匀，涂层厚度≥75μm，钢制板材表面平整，无色差、无拼接、无明显凹凸、无毛刺、无斑点、无划痕、无碰伤等缺陷;木制贴面和封边部件严密、平整，无脱胶、鼓泡、凹陷、压痕以及表面划伤、麻点、裂痕、崩角和刃口等现象，外表的圆角、倒棱均匀一致；钢结构部件表面经静电粉末喷涂处理，平整光滑，无喷涂层脱落、鼓泡、凹陷、压痕以及表面划伤、麻点、裂痕、崩角和刃口等；</w:t>
            </w:r>
            <w:r/>
          </w:p>
          <w:p>
            <w:pPr>
              <w:jc w:val="left"/>
              <w:spacing w:line="360" w:lineRule="auto"/>
              <w:widowControl/>
              <w:rPr>
                <w:rFonts w:ascii="宋体" w:hAnsi="宋体" w:cs="宋体"/>
                <w:color w:val="000000"/>
                <w:szCs w:val="21"/>
              </w:rPr>
            </w:pPr>
            <w:r>
              <w:rPr>
                <w:rFonts w:ascii="宋体" w:hAnsi="宋体" w:cs="宋体"/>
                <w:color w:val="000000"/>
                <w:szCs w:val="21"/>
              </w:rPr>
              <w:t xml:space="preserve">1.3</w:t>
            </w:r>
            <w:r>
              <w:rPr>
                <w:rFonts w:hint="eastAsia" w:ascii="宋体" w:hAnsi="宋体" w:cs="宋体"/>
                <w:color w:val="000000"/>
                <w:szCs w:val="21"/>
              </w:rPr>
              <w:t xml:space="preserve"> 台面采用木纹色（颜色需中标后经用户确认）专用一体通透实芯抗倍特板，厚度≥19mm。台面要求具有防水、耐磨、抗污染等优点，四周边缘加厚处理，操作面前缘上下边经1/4圆角处理，边角采用1/4圆角（R20mm）美观且光滑不伤手。 </w:t>
            </w:r>
            <w:r/>
          </w:p>
          <w:p>
            <w:pPr>
              <w:jc w:val="left"/>
              <w:spacing w:line="360" w:lineRule="auto"/>
              <w:widowControl/>
              <w:rPr>
                <w:rFonts w:ascii="宋体" w:hAnsi="宋体" w:cs="宋体"/>
                <w:color w:val="000000"/>
                <w:szCs w:val="21"/>
              </w:rPr>
            </w:pPr>
            <w:r>
              <w:rPr>
                <w:rFonts w:ascii="宋体" w:hAnsi="宋体" w:cs="宋体"/>
                <w:color w:val="000000"/>
                <w:szCs w:val="21"/>
              </w:rPr>
              <w:t xml:space="preserve">1.4</w:t>
            </w:r>
            <w:r>
              <w:rPr>
                <w:rFonts w:hint="eastAsia" w:ascii="宋体" w:hAnsi="宋体" w:cs="宋体"/>
                <w:color w:val="000000"/>
                <w:szCs w:val="21"/>
              </w:rPr>
              <w:t xml:space="preserve">物理性能须满足以下需求：1、耐刮划性(金刚石划痕法) ≥1.5N试件表面无整圈连续划痕；2、耐磨性能≥1150；3、耐龟裂性能5级无变化；4、抗拉强度≥127MPa;5、抗弯强度≥162MPa；</w:t>
            </w:r>
            <w:r/>
          </w:p>
          <w:p>
            <w:pPr>
              <w:jc w:val="left"/>
              <w:spacing w:line="360" w:lineRule="auto"/>
              <w:widowControl/>
              <w:rPr>
                <w:rFonts w:ascii="宋体" w:hAnsi="宋体" w:cs="宋体"/>
                <w:color w:val="ff0000"/>
                <w:szCs w:val="21"/>
              </w:rPr>
            </w:pPr>
            <w:r>
              <w:rPr>
                <w:rFonts w:hint="eastAsia" w:ascii="宋体" w:hAnsi="宋体" w:cs="宋体"/>
                <w:color w:val="000000"/>
                <w:szCs w:val="21"/>
              </w:rPr>
              <w:t xml:space="preserve">▲</w:t>
            </w:r>
            <w:r>
              <w:rPr>
                <w:rFonts w:ascii="宋体" w:hAnsi="宋体" w:cs="宋体"/>
                <w:color w:val="000000"/>
                <w:szCs w:val="21"/>
              </w:rPr>
              <w:t xml:space="preserve">1.5</w:t>
            </w:r>
            <w:r>
              <w:rPr>
                <w:rFonts w:hint="eastAsia" w:ascii="宋体" w:hAnsi="宋体" w:cs="宋体"/>
                <w:color w:val="000000"/>
                <w:szCs w:val="21"/>
              </w:rPr>
              <w:t xml:space="preserve"> 台面材料测试项不少于14项。以下参照GB/T 7911-20</w:t>
            </w:r>
            <w:r>
              <w:rPr>
                <w:rFonts w:ascii="宋体" w:hAnsi="宋体" w:cs="宋体"/>
                <w:color w:val="000000"/>
                <w:szCs w:val="21"/>
              </w:rPr>
              <w:t xml:space="preserve">24</w:t>
            </w:r>
            <w:r>
              <w:rPr>
                <w:rFonts w:hint="eastAsia" w:ascii="宋体" w:hAnsi="宋体" w:cs="宋体"/>
                <w:color w:val="000000"/>
                <w:szCs w:val="21"/>
              </w:rPr>
              <w:t xml:space="preserve">《热固性树脂浸渍纸高压装饰层积板》进行检测，其中不限于如下几种：耐沸水、耐干热、耐湿热、耐水蒸气达5级标准（5级表面无变化），耐污染性能达5级标准、耐香烟灼烧性达5级标准；耐光色牢度达5级标准；抗拉强度、弯曲强度等项目均符合国家标准；甲醛参照GB/T 18580-20</w:t>
            </w:r>
            <w:r>
              <w:rPr>
                <w:rFonts w:ascii="宋体" w:hAnsi="宋体" w:cs="宋体"/>
                <w:color w:val="000000"/>
                <w:szCs w:val="21"/>
              </w:rPr>
              <w:t xml:space="preserve">17</w:t>
            </w:r>
            <w:r>
              <w:rPr>
                <w:rFonts w:hint="eastAsia" w:ascii="宋体" w:hAnsi="宋体" w:cs="宋体"/>
                <w:color w:val="000000"/>
                <w:szCs w:val="21"/>
              </w:rPr>
              <w:t xml:space="preserve">《室内装饰装修材料 人造板及制品中甲醛释放限量》检测，且甲醛释放量≤0.124mg/m3；</w:t>
            </w:r>
            <w:r>
              <w:rPr>
                <w:rFonts w:hint="eastAsia" w:ascii="宋体" w:hAnsi="宋体" w:cs="宋体"/>
                <w:b/>
                <w:bCs/>
                <w:color w:val="000000" w:themeColor="text1"/>
                <w:szCs w:val="21"/>
                <w:highlight w:val="none"/>
                <w14:textFill>
                  <w14:solidFill>
                    <w14:schemeClr w14:val="tx1"/>
                  </w14:solidFill>
                </w14:textFill>
              </w:rPr>
              <w:t xml:space="preserve">（提供第三方CMA检测报告，原件扫描上传）。</w:t>
            </w:r>
            <w:r/>
          </w:p>
          <w:p>
            <w:pPr>
              <w:jc w:val="left"/>
              <w:spacing w:line="360" w:lineRule="auto"/>
              <w:widowControl/>
              <w:rPr>
                <w:rFonts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、箱体及抽面门板：</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2.1  所有箱体板采用国标E0级18mm厚的三聚氰胺饰面多层板，采用1*20mmPVC同色封边条封边，热熔胶高温全自动直线机封边；</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2.2  所有抽面及门板采用国标E0级暖白色18mm厚的三聚氰胺饰面多层板，采用2*22mmPVC同色封边条封边，热熔胶高温全自动直线机封边；</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3、钢架：</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3.1  钢架结构为组合连接结构，并具方便拆装、重复使用功能；</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3.2  钢架全部采用40*40*1.2mm厚面包管焊接，整体焊接成口字型结构，承重150kg/㎡以上之荷重功能，表面使用环氧树脂粉末喷涂防腐处理；</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3.3  钢架连接翼、固定片:材料采用1.0mm厚镀锌钢板冲孔折制作，表面使用环氧树脂粉末喷涂防腐处理；背面连接板留检修门板，开关自如。</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3.4  可调脚：采用ABS专用注塑可调脚，高度可调节，调节范围为5-15mm，防滑减震，满足桌面承重要求；</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3.5  所有钢架表面接缝均应满焊，焊接处打磨平整以保持为连续的平滑表面，所有部件不得于安装现场焊接加工，以避免破坏表面环氧树脂涂层；</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4、  五金及配件：</w:t>
            </w:r>
            <w:r/>
          </w:p>
          <w:p>
            <w:pPr>
              <w:jc w:val="left"/>
              <w:spacing w:line="360" w:lineRule="auto"/>
              <w:widowControl/>
              <w:rPr>
                <w:rFonts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.1 铰链：采用金属耐腐蚀阻尼铰链，具有耐酸碱、抗腐蚀、承重力强、开启110度，闭合循环寿命高达5万次;自闭式，与柜体面水平角度&lt;15度时，柜门即可自行关闭，弹性好，使用过程中无噪音； 投标人提供第三方检测机构出具的有效期内的检测报告，需按照GB/T 3325-2017标准，作相应理化性能以及金属电镀层抗盐雾测试；</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▲4.2 抽屉导轨：采用三节承重钢珠自动回位滑轨，开合平稳、承重力强、耐磨;使用寿命循环抽拉高达5万次;投标人提供第三方检测机构出具的有效期内的检测报告，需按照GB/T 3325-2017标准，作相应理化性能以及金属电镀层抗盐雾测试</w:t>
            </w:r>
            <w:r>
              <w:rPr>
                <w:rFonts w:hint="eastAsia" w:ascii="宋体" w:hAnsi="宋体" w:cs="宋体"/>
                <w:color w:val="000000"/>
                <w:szCs w:val="21"/>
                <w:highlight w:val="none"/>
              </w:rPr>
              <w:t xml:space="preserve">；</w:t>
            </w:r>
            <w:r>
              <w:rPr>
                <w:rFonts w:hint="eastAsia" w:ascii="宋体" w:hAnsi="宋体" w:cs="宋体"/>
                <w:b/>
                <w:bCs/>
                <w:color w:val="000000"/>
                <w:szCs w:val="21"/>
                <w:highlight w:val="none"/>
              </w:rPr>
              <w:t xml:space="preserve">（提供第三方CMA检测报告，原件扫描上传。）</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4.3 把手：采用铝合金一字型拉手， 投标人提供第三方检测机构出具的有效期内的检测报告，需按照GB/T 3325-2017标准，作相应理化性能以及金属电镀层抗盐雾测试。嵌入箱体的柜门采用96mmPP或304不锈钢C型中弯拉手，外观美观大方。</w:t>
            </w:r>
            <w:r/>
          </w:p>
          <w:p>
            <w:pPr>
              <w:jc w:val="left"/>
              <w:spacing w:line="360" w:lineRule="auto"/>
              <w:widowControl/>
              <w:rPr>
                <w:rFonts w:ascii="宋体" w:hAnsi="宋体" w:cs="宋体"/>
                <w:color w:val="000000"/>
                <w:szCs w:val="21"/>
              </w:rPr>
            </w:pPr>
            <w:r>
              <w:rPr>
                <w:rFonts w:ascii="宋体" w:hAnsi="宋体" w:cs="宋体"/>
                <w:color w:val="000000"/>
                <w:szCs w:val="21"/>
              </w:rPr>
              <w:t xml:space="preserve">5</w:t>
            </w:r>
            <w:r>
              <w:rPr>
                <w:rFonts w:hint="eastAsia" w:ascii="宋体" w:hAnsi="宋体" w:cs="宋体"/>
                <w:color w:val="000000"/>
                <w:szCs w:val="21"/>
              </w:rPr>
              <w:t xml:space="preserve">、公共机房桌性能检测要求：</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5.1台面耐划痕：加载1.5N，无整圈连续划痕，检测结果：符合要求；</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5.2耐光色牢度：灰色样卡≥4级，检测结果：符合要求；</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5.3表面耐磨性（图案）：磨100r后应保留50%以上花纹，检测结果：符合要求；</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5.4台面耐冷热循环：（80±2）℃，（120±10）min，（-20±3）℃，（120±10）min，四个周期;无裂纹、鼓泡、起皱和无明显变色;检测结果：符合要求； </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5.5柜体耐干热：80℃，20min≥3级，柜体耐湿热：70℃，20min≥3级，检测结果：符合要求；</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5.6柜体抗冲击：冲击高度50mm≥3级，检测结果：符合要求；</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5.7有害物质检测：甲醛释放量≤0.7 mg/L，检测结果：符合要求；</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5.8安全性要求：与人体接触的零部件不应有毛刺、刃口、尖锐的棱角和端头，抽屉和柜门等推拉件应有防脱落装置，检测结果：符合要求；</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5.9 金属件外观要求：焊接件、喷涂层、冲压件，管材应无裂缝、叠缝、外露管口端面应封闭；焊接表面波纹均匀、高低之差不大于1mm，焊接处无脱焊、虚焊、焊穿、错位，焊接处无夹渣、气孔、焊瘤、焊丝头、咬边、飞溅等现象；冲压件无脱层、裂缝现象；喷涂层应无漏喷、锈蚀，喷涂层光滑均匀、色泽一致、应无流挂、皱皮、飞漆等缺陷，检测结果：符合要求;</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6、其他要求：①电源要求：每个工位配备1套斜五孔插座电源，1套2孔USB数据面板（不低于兼容USB3.0*2要求），需配2根连接终端的不低于兼容USB3.0*2要求的USB接线，所有强、弱电线必须规范安装且隐蔽于柜体内，不得外露，要求有专门的终端放置位置。强弱电电线需分开布线。②工作台需防静电处置。</w:t>
            </w:r>
            <w:r/>
          </w:p>
        </w:tc>
        <w:tc>
          <w:tcPr>
            <w:tcBorders>
              <w:top w:val="single" w:color="auto" w:sz="4" w:space="0"/>
              <w:left w:val="none" w:color="000000" w:sz="4" w:space="0"/>
              <w:bottom w:val="single" w:color="auto" w:sz="4" w:space="0"/>
              <w:right w:val="single" w:color="auto" w:sz="4" w:space="0"/>
            </w:tcBorders>
            <w:tcW w:w="244"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张</w:t>
            </w:r>
            <w:r/>
          </w:p>
        </w:tc>
        <w:tc>
          <w:tcPr>
            <w:tcBorders>
              <w:top w:val="single" w:color="auto" w:sz="4" w:space="0"/>
              <w:left w:val="none" w:color="000000" w:sz="4" w:space="0"/>
              <w:bottom w:val="single" w:color="auto" w:sz="4" w:space="0"/>
              <w:right w:val="single" w:color="auto" w:sz="4" w:space="0"/>
            </w:tcBorders>
            <w:tcW w:w="570" w:type="pct"/>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90</w:t>
            </w:r>
            <w:r/>
          </w:p>
        </w:tc>
      </w:tr>
      <w:tr>
        <w:trPr>
          <w:trHeight w:val="288"/>
        </w:trPr>
        <w:tc>
          <w:tcPr>
            <w:tcBorders>
              <w:top w:val="single" w:color="auto" w:sz="4" w:space="0"/>
              <w:left w:val="single" w:color="auto" w:sz="4" w:space="0"/>
              <w:bottom w:val="single" w:color="auto" w:sz="4" w:space="0"/>
              <w:right w:val="single" w:color="auto" w:sz="4" w:space="0"/>
            </w:tcBorders>
            <w:tcW w:w="212"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12</w:t>
            </w:r>
            <w:r/>
          </w:p>
        </w:tc>
        <w:tc>
          <w:tcPr>
            <w:tcBorders>
              <w:top w:val="single" w:color="auto" w:sz="4" w:space="0"/>
              <w:left w:val="none" w:color="000000" w:sz="4" w:space="0"/>
              <w:bottom w:val="single" w:color="auto" w:sz="4" w:space="0"/>
              <w:right w:val="single" w:color="auto" w:sz="4" w:space="0"/>
            </w:tcBorders>
            <w:tcW w:w="306"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集成</w:t>
            </w:r>
            <w:r/>
          </w:p>
        </w:tc>
        <w:tc>
          <w:tcPr>
            <w:tcBorders>
              <w:top w:val="single" w:color="auto" w:sz="4" w:space="0"/>
              <w:left w:val="none" w:color="000000" w:sz="4" w:space="0"/>
              <w:bottom w:val="single" w:color="auto" w:sz="4" w:space="0"/>
              <w:right w:val="single" w:color="auto" w:sz="4" w:space="0"/>
            </w:tcBorders>
            <w:tcW w:w="3665" w:type="pct"/>
            <w:vAlign w:val="center"/>
            <w:textDirection w:val="lrTb"/>
            <w:noWrap/>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集成配套</w:t>
            </w:r>
            <w:r/>
          </w:p>
        </w:tc>
        <w:tc>
          <w:tcPr>
            <w:tcBorders>
              <w:top w:val="single" w:color="auto" w:sz="4" w:space="0"/>
              <w:left w:val="none" w:color="000000" w:sz="4" w:space="0"/>
              <w:bottom w:val="single" w:color="auto" w:sz="4" w:space="0"/>
              <w:right w:val="single" w:color="auto" w:sz="4" w:space="0"/>
            </w:tcBorders>
            <w:tcW w:w="244" w:type="pct"/>
            <w:vAlign w:val="center"/>
            <w:textDirection w:val="lrTb"/>
            <w:noWrap/>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项</w:t>
            </w:r>
            <w:r/>
          </w:p>
        </w:tc>
        <w:tc>
          <w:tcPr>
            <w:tcBorders>
              <w:top w:val="single" w:color="auto" w:sz="4" w:space="0"/>
              <w:left w:val="none" w:color="000000" w:sz="4" w:space="0"/>
              <w:bottom w:val="single" w:color="auto" w:sz="4" w:space="0"/>
              <w:right w:val="single" w:color="auto" w:sz="4" w:space="0"/>
            </w:tcBorders>
            <w:tcW w:w="570" w:type="pct"/>
            <w:vAlign w:val="center"/>
            <w:textDirection w:val="lrTb"/>
            <w:noWrap/>
          </w:tcPr>
          <w:p>
            <w:pPr>
              <w:jc w:val="center"/>
              <w:spacing w:line="360" w:lineRule="auto"/>
              <w:rPr>
                <w:rFonts w:ascii="宋体" w:hAnsi="宋体" w:cs="宋体"/>
                <w:color w:val="000000"/>
                <w:szCs w:val="21"/>
              </w:rPr>
            </w:pPr>
            <w:r>
              <w:rPr>
                <w:rFonts w:hint="eastAsia" w:ascii="宋体" w:hAnsi="宋体" w:cs="宋体"/>
                <w:color w:val="000000"/>
                <w:szCs w:val="21"/>
              </w:rPr>
              <w:t xml:space="preserve">1</w:t>
            </w:r>
            <w:bookmarkEnd w:id="54"/>
            <w:r/>
            <w:r/>
          </w:p>
        </w:tc>
      </w:tr>
    </w:tbl>
    <w:p>
      <w:pPr>
        <w:ind w:firstLine="420"/>
        <w:spacing w:line="360" w:lineRule="auto"/>
        <w:rPr>
          <w:rFonts w:ascii="宋体" w:hAnsi="宋体"/>
          <w:iCs/>
          <w:szCs w:val="21"/>
        </w:rPr>
      </w:pPr>
      <w:r>
        <w:rPr>
          <w:rFonts w:hint="eastAsia" w:ascii="宋体" w:hAnsi="宋体"/>
          <w:iCs/>
          <w:szCs w:val="21"/>
        </w:rPr>
        <w:t xml:space="preserve">5. 单人位桌设计参考图</w:t>
      </w:r>
      <w:r/>
    </w:p>
    <w:p>
      <w:pPr>
        <w:ind w:firstLine="420"/>
        <w:spacing w:line="360" w:lineRule="auto"/>
        <w:rPr>
          <w:rFonts w:ascii="宋体" w:hAnsi="宋体"/>
          <w:iCs/>
          <w:szCs w:val="21"/>
        </w:rPr>
      </w:pPr>
      <w:r>
        <w:rPr>
          <w:rFonts w:ascii="宋体" w:hAnsi="宋体"/>
          <w:iCs/>
          <w:szCs w:val="21"/>
        </w:rPr>
        <mc:AlternateContent>
          <mc:Choice Requires="wpg">
            <w:drawing>
              <wp:inline xmlns:wp="http://schemas.openxmlformats.org/drawingml/2006/wordprocessingDrawing" distT="0" distB="0" distL="0" distR="0">
                <wp:extent cx="4694555" cy="2603500"/>
                <wp:effectExtent l="0" t="0" r="10795" b="635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6"/>
                        <a:stretch/>
                      </pic:blipFill>
                      <pic:spPr bwMode="auto">
                        <a:xfrm>
                          <a:off x="0" y="0"/>
                          <a:ext cx="4694555" cy="2603500"/>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69.6pt;height:205.0pt;mso-wrap-distance-left:0.0pt;mso-wrap-distance-top:0.0pt;mso-wrap-distance-right:0.0pt;mso-wrap-distance-bottom:0.0pt;" stroked="false">
                <v:path textboxrect="0,0,0,0"/>
                <v:imagedata r:id="rId16" o:title=""/>
              </v:shape>
            </w:pict>
          </mc:Fallback>
        </mc:AlternateContent>
      </w:r>
      <w:r/>
    </w:p>
    <w:p>
      <w:pPr>
        <w:ind w:firstLine="420"/>
        <w:jc w:val="center"/>
        <w:spacing w:line="360" w:lineRule="auto"/>
        <w:rPr>
          <w:rFonts w:ascii="宋体" w:hAnsi="宋体"/>
          <w:i/>
          <w:szCs w:val="21"/>
          <w:u w:val="single"/>
        </w:rPr>
      </w:pPr>
      <w:r>
        <w:rPr>
          <w:rFonts w:hint="eastAsia" w:ascii="宋体" w:hAnsi="宋体"/>
          <w:iCs/>
          <w:szCs w:val="21"/>
        </w:rPr>
        <w:t xml:space="preserve">单人位桌示意图</w:t>
      </w:r>
      <w:r/>
    </w:p>
    <w:p>
      <w:pPr>
        <w:ind w:firstLine="422"/>
        <w:spacing w:line="360" w:lineRule="auto"/>
        <w:rPr>
          <w:rFonts w:ascii="宋体" w:hAnsi="宋体"/>
          <w:b/>
          <w:szCs w:val="21"/>
        </w:rPr>
      </w:pPr>
      <w:r>
        <w:rPr>
          <w:rFonts w:hint="eastAsia" w:ascii="宋体" w:hAnsi="宋体" w:cs="宋体"/>
          <w:b/>
          <w:szCs w:val="21"/>
        </w:rPr>
        <w:t xml:space="preserve">五、服务要求</w:t>
      </w:r>
      <w:r/>
    </w:p>
    <w:p>
      <w:pPr>
        <w:ind w:firstLine="420"/>
        <w:spacing w:line="360" w:lineRule="auto"/>
        <w:rPr>
          <w:rFonts w:ascii="宋体" w:hAnsi="宋体" w:cs="宋体"/>
          <w:szCs w:val="21"/>
        </w:rPr>
      </w:pPr>
      <w:r>
        <w:rPr>
          <w:rFonts w:hint="eastAsia" w:ascii="宋体" w:hAnsi="宋体" w:cs="宋体"/>
          <w:szCs w:val="21"/>
        </w:rPr>
        <w:t xml:space="preserve">  1、本项目为交钥匙项目，招标文件所提供的设备清单、集成服务项目量均为报价依据，项目报价应包含除设备清单外的辅材及与项目相关的所有费用（如强、弱电的转移费用、安装管线孔洞的修复封堵费用、垃圾清除费用；采购人负责强弱电至配电箱）。</w:t>
      </w:r>
      <w:r/>
    </w:p>
    <w:p>
      <w:pPr>
        <w:ind w:firstLine="630"/>
        <w:spacing w:line="360" w:lineRule="auto"/>
        <w:rPr>
          <w:rFonts w:ascii="宋体" w:hAnsi="宋体" w:cs="宋体"/>
          <w:szCs w:val="21"/>
        </w:rPr>
      </w:pPr>
      <w:r>
        <w:rPr>
          <w:rFonts w:hint="eastAsia" w:ascii="宋体" w:hAnsi="宋体" w:cs="宋体"/>
          <w:szCs w:val="21"/>
        </w:rPr>
        <w:t xml:space="preserve">2、设备及安装施工依据：</w:t>
      </w:r>
      <w:r/>
    </w:p>
    <w:p>
      <w:pPr>
        <w:ind w:firstLine="840"/>
        <w:spacing w:line="360" w:lineRule="auto"/>
        <w:rPr>
          <w:rFonts w:ascii="宋体" w:hAnsi="宋体" w:cs="宋体"/>
          <w:szCs w:val="21"/>
        </w:rPr>
      </w:pPr>
      <w:r>
        <w:rPr>
          <w:rFonts w:hint="eastAsia" w:ascii="宋体" w:hAnsi="宋体" w:cs="宋体"/>
          <w:szCs w:val="21"/>
        </w:rPr>
        <w:t xml:space="preserve">要求执行的最新版本的施工及验收规范：（包括但不限于以下所列规范、标准）</w:t>
      </w:r>
      <w:r/>
    </w:p>
    <w:p>
      <w:pPr>
        <w:ind w:firstLine="840"/>
        <w:spacing w:line="360" w:lineRule="auto"/>
        <w:rPr>
          <w:rFonts w:ascii="宋体" w:hAnsi="宋体" w:cs="宋体"/>
          <w:szCs w:val="21"/>
        </w:rPr>
      </w:pPr>
      <w:r>
        <w:rPr>
          <w:rFonts w:hint="eastAsia" w:ascii="宋体" w:hAnsi="宋体" w:cs="宋体"/>
          <w:szCs w:val="21"/>
        </w:rPr>
        <w:t xml:space="preserve">《数据中心设计规范》GB50174-2017；</w:t>
      </w:r>
      <w:r/>
    </w:p>
    <w:p>
      <w:pPr>
        <w:ind w:firstLine="840"/>
        <w:spacing w:line="360" w:lineRule="auto"/>
        <w:rPr>
          <w:rFonts w:ascii="宋体" w:hAnsi="宋体" w:cs="宋体"/>
          <w:szCs w:val="21"/>
        </w:rPr>
      </w:pPr>
      <w:r>
        <w:rPr>
          <w:rFonts w:hint="eastAsia" w:ascii="宋体" w:hAnsi="宋体" w:cs="宋体"/>
          <w:szCs w:val="21"/>
        </w:rPr>
        <w:t xml:space="preserve">《数据中心基础设施施工及验收标准》</w:t>
      </w:r>
      <w:r>
        <w:rPr>
          <w:rFonts w:ascii="宋体" w:hAnsi="宋体" w:cs="宋体"/>
          <w:szCs w:val="21"/>
        </w:rPr>
        <w:t xml:space="preserve">GB50462-2024</w:t>
      </w:r>
      <w:r>
        <w:rPr>
          <w:rFonts w:hint="eastAsia" w:ascii="MS Mincho" w:hAnsi="MS Mincho" w:eastAsia="MS Mincho" w:cs="MS Mincho"/>
          <w:szCs w:val="21"/>
        </w:rPr>
        <w:t xml:space="preserve">‌</w:t>
      </w:r>
      <w:r>
        <w:rPr>
          <w:rFonts w:hint="eastAsia" w:ascii="宋体" w:hAnsi="宋体" w:cs="宋体"/>
          <w:szCs w:val="21"/>
        </w:rPr>
        <w:t xml:space="preserve">；</w:t>
      </w:r>
      <w:r/>
    </w:p>
    <w:p>
      <w:pPr>
        <w:ind w:firstLine="840"/>
        <w:spacing w:line="360" w:lineRule="auto"/>
        <w:rPr>
          <w:rFonts w:ascii="宋体" w:hAnsi="宋体" w:cs="宋体"/>
          <w:szCs w:val="21"/>
        </w:rPr>
      </w:pPr>
      <w:r>
        <w:rPr>
          <w:rFonts w:hint="eastAsia" w:ascii="宋体" w:hAnsi="宋体" w:cs="宋体"/>
          <w:szCs w:val="21"/>
        </w:rPr>
        <w:t xml:space="preserve">《计算机场地通用规范》GT</w:t>
      </w:r>
      <w:r>
        <w:rPr>
          <w:rFonts w:ascii="宋体" w:hAnsi="宋体" w:cs="宋体"/>
          <w:szCs w:val="21"/>
        </w:rPr>
        <w:t xml:space="preserve">/</w:t>
      </w:r>
      <w:r>
        <w:rPr>
          <w:rFonts w:hint="eastAsia" w:ascii="宋体" w:hAnsi="宋体" w:cs="宋体"/>
          <w:szCs w:val="21"/>
        </w:rPr>
        <w:t xml:space="preserve">T</w:t>
      </w:r>
      <w:r>
        <w:rPr>
          <w:rFonts w:ascii="宋体" w:hAnsi="宋体" w:cs="宋体"/>
          <w:szCs w:val="21"/>
        </w:rPr>
        <w:t xml:space="preserve">2887</w:t>
      </w:r>
      <w:r>
        <w:rPr>
          <w:rFonts w:hint="eastAsia" w:ascii="宋体" w:hAnsi="宋体" w:cs="宋体"/>
          <w:szCs w:val="21"/>
        </w:rPr>
        <w:t xml:space="preserve">-</w:t>
      </w:r>
      <w:r>
        <w:rPr>
          <w:rFonts w:ascii="宋体" w:hAnsi="宋体" w:cs="宋体"/>
          <w:szCs w:val="21"/>
        </w:rPr>
        <w:t xml:space="preserve">2011</w:t>
      </w:r>
      <w:r>
        <w:rPr>
          <w:rFonts w:hint="eastAsia" w:ascii="宋体" w:hAnsi="宋体" w:cs="宋体"/>
          <w:szCs w:val="21"/>
        </w:rPr>
        <w:t xml:space="preserve">；</w:t>
      </w:r>
      <w:r/>
    </w:p>
    <w:p>
      <w:pPr>
        <w:ind w:firstLine="840"/>
        <w:spacing w:line="360" w:lineRule="auto"/>
        <w:rPr>
          <w:rFonts w:ascii="宋体" w:hAnsi="宋体" w:cs="宋体"/>
          <w:szCs w:val="21"/>
        </w:rPr>
      </w:pPr>
      <w:r>
        <w:rPr>
          <w:rFonts w:hint="eastAsia" w:ascii="宋体" w:hAnsi="宋体" w:cs="宋体"/>
          <w:szCs w:val="21"/>
        </w:rPr>
        <w:t xml:space="preserve">《计算机场地安全要求》GT</w:t>
      </w:r>
      <w:r>
        <w:rPr>
          <w:rFonts w:ascii="宋体" w:hAnsi="宋体" w:cs="宋体"/>
          <w:szCs w:val="21"/>
        </w:rPr>
        <w:t xml:space="preserve">/</w:t>
      </w:r>
      <w:r>
        <w:rPr>
          <w:rFonts w:hint="eastAsia" w:ascii="宋体" w:hAnsi="宋体" w:cs="宋体"/>
          <w:szCs w:val="21"/>
        </w:rPr>
        <w:t xml:space="preserve">T</w:t>
      </w:r>
      <w:r>
        <w:rPr>
          <w:rFonts w:ascii="宋体" w:hAnsi="宋体" w:cs="宋体"/>
          <w:szCs w:val="21"/>
        </w:rPr>
        <w:t xml:space="preserve">9361</w:t>
      </w:r>
      <w:r>
        <w:rPr>
          <w:rFonts w:hint="eastAsia" w:ascii="宋体" w:hAnsi="宋体" w:cs="宋体"/>
          <w:szCs w:val="21"/>
        </w:rPr>
        <w:t xml:space="preserve">-</w:t>
      </w:r>
      <w:r>
        <w:rPr>
          <w:rFonts w:ascii="宋体" w:hAnsi="宋体" w:cs="宋体"/>
          <w:szCs w:val="21"/>
        </w:rPr>
        <w:t xml:space="preserve">2011</w:t>
      </w:r>
      <w:r>
        <w:rPr>
          <w:rFonts w:hint="eastAsia" w:ascii="宋体" w:hAnsi="宋体" w:cs="宋体"/>
          <w:szCs w:val="21"/>
        </w:rPr>
        <w:t xml:space="preserve">；</w:t>
      </w:r>
      <w:r/>
    </w:p>
    <w:p>
      <w:pPr>
        <w:ind w:firstLine="840"/>
        <w:spacing w:line="360" w:lineRule="auto"/>
        <w:rPr>
          <w:rFonts w:ascii="宋体" w:hAnsi="宋体" w:cs="宋体"/>
          <w:szCs w:val="21"/>
        </w:rPr>
      </w:pPr>
      <w:r>
        <w:rPr>
          <w:rFonts w:hint="eastAsia" w:ascii="宋体" w:hAnsi="宋体" w:cs="宋体"/>
          <w:szCs w:val="21"/>
        </w:rPr>
        <w:t xml:space="preserve">《金属家具质量检验及质量评定》QB/T 1951.2-2024；</w:t>
      </w:r>
      <w:r/>
    </w:p>
    <w:p>
      <w:pPr>
        <w:ind w:firstLine="840"/>
        <w:spacing w:line="360" w:lineRule="auto"/>
        <w:rPr>
          <w:rFonts w:ascii="宋体" w:hAnsi="宋体" w:cs="宋体"/>
          <w:color w:val="000000"/>
          <w:szCs w:val="21"/>
        </w:rPr>
      </w:pPr>
      <w:r>
        <w:rPr>
          <w:rFonts w:hint="eastAsia" w:ascii="宋体" w:hAnsi="宋体" w:cs="宋体"/>
          <w:color w:val="000000"/>
          <w:szCs w:val="21"/>
        </w:rPr>
        <w:t xml:space="preserve">《热固性树脂浸渍纸高压装饰层积板》GB/T 7911-20</w:t>
      </w:r>
      <w:r>
        <w:rPr>
          <w:rFonts w:ascii="宋体" w:hAnsi="宋体" w:cs="宋体"/>
          <w:color w:val="000000"/>
          <w:szCs w:val="21"/>
        </w:rPr>
        <w:t xml:space="preserve">24</w:t>
      </w:r>
      <w:r/>
    </w:p>
    <w:p>
      <w:pPr>
        <w:ind w:firstLine="840"/>
        <w:spacing w:line="360" w:lineRule="auto"/>
        <w:rPr>
          <w:rFonts w:ascii="宋体" w:hAnsi="宋体" w:cs="宋体"/>
          <w:color w:val="000000"/>
          <w:szCs w:val="21"/>
        </w:rPr>
      </w:pPr>
      <w:r>
        <w:rPr>
          <w:rFonts w:hint="eastAsia" w:ascii="宋体" w:hAnsi="宋体" w:cs="宋体"/>
          <w:color w:val="000000"/>
          <w:szCs w:val="21"/>
        </w:rPr>
        <w:t xml:space="preserve">《室内装饰装修材料 人造板及制品中甲醛释放限量》GB/T 18580-20</w:t>
      </w:r>
      <w:r>
        <w:rPr>
          <w:rFonts w:ascii="宋体" w:hAnsi="宋体" w:cs="宋体"/>
          <w:color w:val="000000"/>
          <w:szCs w:val="21"/>
        </w:rPr>
        <w:t xml:space="preserve">17</w:t>
      </w:r>
      <w:r/>
    </w:p>
    <w:p>
      <w:pPr>
        <w:ind w:firstLine="840"/>
        <w:spacing w:line="360" w:lineRule="auto"/>
        <w:rPr>
          <w:rFonts w:ascii="宋体" w:hAnsi="宋体" w:cs="宋体"/>
          <w:szCs w:val="21"/>
        </w:rPr>
      </w:pPr>
      <w:r>
        <w:rPr>
          <w:rFonts w:hint="eastAsia" w:ascii="宋体" w:hAnsi="宋体" w:cs="宋体"/>
          <w:color w:val="000000"/>
          <w:szCs w:val="21"/>
        </w:rPr>
        <w:t xml:space="preserve">《</w:t>
      </w:r>
      <w:r>
        <w:rPr>
          <w:rFonts w:ascii="宋体" w:hAnsi="宋体" w:cs="宋体"/>
          <w:color w:val="000000"/>
          <w:szCs w:val="21"/>
        </w:rPr>
        <w:t xml:space="preserve">金属家具通用技术条件</w:t>
      </w:r>
      <w:r>
        <w:rPr>
          <w:rFonts w:hint="eastAsia" w:ascii="宋体" w:hAnsi="宋体" w:cs="宋体"/>
          <w:color w:val="000000"/>
          <w:szCs w:val="21"/>
        </w:rPr>
        <w:t xml:space="preserve">》GB/T 3325-20</w:t>
      </w:r>
      <w:r>
        <w:rPr>
          <w:rFonts w:ascii="宋体" w:hAnsi="宋体" w:cs="宋体"/>
          <w:color w:val="000000"/>
          <w:szCs w:val="21"/>
        </w:rPr>
        <w:t xml:space="preserve">24</w:t>
      </w:r>
      <w:r/>
    </w:p>
    <w:p>
      <w:pPr>
        <w:ind w:firstLine="630"/>
        <w:spacing w:line="360" w:lineRule="auto"/>
        <w:rPr>
          <w:rFonts w:ascii="宋体" w:hAnsi="宋体" w:cs="宋体"/>
          <w:szCs w:val="21"/>
        </w:rPr>
      </w:pPr>
      <w:r>
        <w:rPr>
          <w:rFonts w:hint="eastAsia" w:ascii="宋体" w:hAnsi="宋体" w:cs="宋体"/>
          <w:szCs w:val="21"/>
        </w:rPr>
        <w:t xml:space="preserve">3、项目质量：</w:t>
      </w:r>
      <w:r/>
    </w:p>
    <w:p>
      <w:pPr>
        <w:ind w:firstLine="420"/>
        <w:spacing w:line="360" w:lineRule="auto"/>
        <w:rPr>
          <w:rFonts w:ascii="宋体" w:hAnsi="宋体" w:cs="宋体"/>
          <w:szCs w:val="21"/>
        </w:rPr>
      </w:pPr>
      <w:r>
        <w:rPr>
          <w:rFonts w:hint="eastAsia" w:ascii="宋体" w:hAnsi="宋体" w:cs="宋体"/>
          <w:szCs w:val="21"/>
        </w:rPr>
        <w:t xml:space="preserve">货物外型构造尺寸应满足现场安装条件；设备、材料质量必须满足相关标准要求；项目质量必须符合国家质量验收规范标准。</w:t>
      </w:r>
      <w:r/>
    </w:p>
    <w:p>
      <w:pPr>
        <w:ind w:firstLine="630"/>
        <w:spacing w:line="360" w:lineRule="auto"/>
        <w:rPr>
          <w:rFonts w:ascii="宋体" w:hAnsi="宋体" w:cs="宋体"/>
          <w:szCs w:val="21"/>
        </w:rPr>
      </w:pPr>
      <w:r>
        <w:rPr>
          <w:rFonts w:hint="eastAsia" w:ascii="宋体" w:hAnsi="宋体" w:cs="宋体"/>
          <w:szCs w:val="21"/>
        </w:rPr>
        <w:t xml:space="preserve">4、施工组织设计：</w:t>
      </w:r>
      <w:r/>
    </w:p>
    <w:p>
      <w:pPr>
        <w:ind w:firstLine="420"/>
        <w:spacing w:line="360" w:lineRule="auto"/>
        <w:rPr>
          <w:rFonts w:ascii="宋体" w:hAnsi="宋体" w:cs="宋体"/>
          <w:szCs w:val="21"/>
        </w:rPr>
      </w:pPr>
      <w:r>
        <w:rPr>
          <w:rFonts w:hint="eastAsia" w:ascii="宋体" w:hAnsi="宋体" w:cs="宋体"/>
          <w:szCs w:val="21"/>
        </w:rPr>
        <w:t xml:space="preserve">投标人均应根据项目实际情况编制施工组织设计。</w:t>
      </w:r>
      <w:r/>
    </w:p>
    <w:p>
      <w:pPr>
        <w:ind w:firstLine="630"/>
        <w:spacing w:line="360" w:lineRule="auto"/>
        <w:rPr>
          <w:rFonts w:ascii="宋体" w:hAnsi="宋体" w:cs="宋体"/>
          <w:szCs w:val="21"/>
        </w:rPr>
      </w:pPr>
      <w:r>
        <w:rPr>
          <w:rFonts w:hint="eastAsia" w:ascii="宋体" w:hAnsi="宋体" w:cs="宋体"/>
          <w:szCs w:val="21"/>
        </w:rPr>
        <w:t xml:space="preserve">5、建设周期：</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为保证公共计算机云平台项目的顺利建设</w:t>
      </w:r>
      <w:r>
        <w:rPr>
          <w:rFonts w:hint="eastAsia" w:ascii="宋体" w:hAnsi="宋体" w:cs="宋体"/>
          <w:b w:val="0"/>
          <w:bCs w:val="0"/>
          <w:i/>
          <w:iCs/>
          <w:szCs w:val="21"/>
          <w:u w:val="single"/>
        </w:rPr>
        <w:t xml:space="preserve">，本次设备到货、安装、调试工作应在</w:t>
      </w:r>
      <w:r>
        <w:rPr>
          <w:rFonts w:hint="eastAsia" w:ascii="宋体" w:hAnsi="宋体" w:cs="宋体"/>
          <w:b w:val="0"/>
          <w:bCs w:val="0"/>
          <w:i/>
          <w:iCs/>
          <w:color w:val="000000"/>
          <w:szCs w:val="21"/>
          <w:u w:val="single"/>
        </w:rPr>
        <w:t xml:space="preserve">合同签订后</w:t>
      </w:r>
      <w:r>
        <w:rPr>
          <w:rFonts w:ascii="宋体" w:hAnsi="宋体" w:cs="宋体"/>
          <w:b w:val="0"/>
          <w:bCs w:val="0"/>
          <w:i/>
          <w:iCs/>
          <w:color w:val="000000"/>
          <w:szCs w:val="21"/>
          <w:u w:val="single"/>
        </w:rPr>
        <w:t xml:space="preserve">40</w:t>
      </w:r>
      <w:r>
        <w:rPr>
          <w:rFonts w:hint="eastAsia" w:ascii="宋体" w:hAnsi="宋体" w:cs="宋体"/>
          <w:b w:val="0"/>
          <w:bCs w:val="0"/>
          <w:i/>
          <w:iCs/>
          <w:color w:val="000000"/>
          <w:szCs w:val="21"/>
          <w:u w:val="single"/>
        </w:rPr>
        <w:t xml:space="preserve">个日历天内</w:t>
      </w:r>
      <w:r>
        <w:rPr>
          <w:rFonts w:hint="eastAsia" w:ascii="宋体" w:hAnsi="宋体" w:cs="宋体"/>
          <w:b w:val="0"/>
          <w:bCs w:val="0"/>
          <w:i/>
          <w:iCs/>
          <w:szCs w:val="21"/>
          <w:u w:val="single"/>
        </w:rPr>
        <w:t xml:space="preserve">完成，应按照招标需求合理安排时间，制</w:t>
      </w:r>
      <w:r>
        <w:rPr>
          <w:rFonts w:hint="eastAsia" w:ascii="宋体" w:hAnsi="宋体" w:cs="宋体"/>
          <w:i/>
          <w:iCs/>
          <w:szCs w:val="21"/>
          <w:u w:val="single"/>
        </w:rPr>
        <w:t xml:space="preserve">定相应的项目实施详细进度计划。</w:t>
      </w:r>
      <w:r>
        <w:rPr>
          <w:rFonts w:hint="eastAsia" w:ascii="宋体" w:hAnsi="宋体" w:cs="宋体"/>
          <w:b/>
          <w:bCs w:val="0"/>
          <w:i/>
          <w:iCs/>
          <w:color w:val="ff0000"/>
          <w:szCs w:val="21"/>
          <w:u w:val="single"/>
        </w:rPr>
        <w:t xml:space="preserve">（须提供承诺函原件扫描上传，格式自拟）</w:t>
      </w:r>
      <w:r/>
    </w:p>
    <w:p>
      <w:pPr>
        <w:ind w:firstLine="630"/>
        <w:spacing w:line="360" w:lineRule="auto"/>
        <w:rPr>
          <w:rFonts w:ascii="宋体" w:hAnsi="宋体" w:cs="宋体"/>
          <w:szCs w:val="21"/>
        </w:rPr>
      </w:pPr>
      <w:r>
        <w:rPr>
          <w:rFonts w:hint="eastAsia" w:ascii="宋体" w:hAnsi="宋体" w:cs="宋体"/>
          <w:szCs w:val="21"/>
        </w:rPr>
        <w:t xml:space="preserve">6、安装、调试与验收：</w:t>
      </w:r>
      <w:r/>
    </w:p>
    <w:p>
      <w:pPr>
        <w:ind w:firstLine="420"/>
        <w:spacing w:line="360" w:lineRule="auto"/>
        <w:rPr>
          <w:rFonts w:ascii="宋体" w:hAnsi="宋体" w:cs="宋体"/>
          <w:szCs w:val="21"/>
        </w:rPr>
      </w:pPr>
      <w:r>
        <w:rPr>
          <w:rFonts w:hint="eastAsia" w:ascii="宋体" w:hAnsi="宋体" w:cs="宋体"/>
          <w:szCs w:val="21"/>
        </w:rPr>
        <w:t xml:space="preserve">（1）中标人负责检查安装现场的安装条件，事先提出对安装的环境方面的要求，（室外机安装所需的土建基础由土建装饰单位提供）。</w:t>
      </w:r>
      <w:r/>
    </w:p>
    <w:p>
      <w:pPr>
        <w:ind w:firstLine="420"/>
        <w:spacing w:line="360" w:lineRule="auto"/>
        <w:rPr>
          <w:rFonts w:ascii="宋体" w:hAnsi="宋体" w:cs="宋体"/>
          <w:szCs w:val="21"/>
        </w:rPr>
      </w:pPr>
      <w:r>
        <w:rPr>
          <w:rFonts w:hint="eastAsia" w:ascii="宋体" w:hAnsi="宋体" w:cs="宋体"/>
          <w:szCs w:val="21"/>
        </w:rPr>
        <w:t xml:space="preserve">（2）本项目涉及的设备由中标人负责测试、安装、调试和有关配置工作，中标人应提供详细的具有时效性的测试、安装、调试方案，经采购人确认后，作为设备验收的标准，中标人应按上述方案完成测试、安装、调试和有关配置工作。</w:t>
      </w:r>
      <w:r/>
    </w:p>
    <w:p>
      <w:pPr>
        <w:ind w:firstLine="420"/>
        <w:spacing w:line="360" w:lineRule="auto"/>
        <w:rPr>
          <w:rFonts w:ascii="宋体" w:hAnsi="宋体" w:cs="宋体"/>
          <w:szCs w:val="21"/>
        </w:rPr>
      </w:pPr>
      <w:r>
        <w:rPr>
          <w:rFonts w:hint="eastAsia" w:ascii="宋体" w:hAnsi="宋体" w:cs="宋体"/>
          <w:szCs w:val="21"/>
        </w:rPr>
        <w:t xml:space="preserve">（3）中标人需保证设备均为制造商原产地原装产品，保证所提供货物是全新的、未使用过的，并完全符合合同规定的质量、规格和性能的要求。货物到达采购人指定的现场后，由中标人与采购人共同核对装箱单，共同开箱（若有争议，请质检机构检验确定），依照合同的货物清单清点，并进行签字确认。</w:t>
      </w:r>
      <w:r/>
    </w:p>
    <w:p>
      <w:pPr>
        <w:ind w:firstLine="420"/>
        <w:spacing w:line="360" w:lineRule="auto"/>
        <w:rPr>
          <w:rFonts w:ascii="宋体" w:hAnsi="宋体" w:cs="宋体"/>
          <w:szCs w:val="21"/>
        </w:rPr>
      </w:pPr>
      <w:r>
        <w:rPr>
          <w:rFonts w:hint="eastAsia" w:ascii="宋体" w:hAnsi="宋体" w:cs="宋体"/>
          <w:szCs w:val="21"/>
        </w:rPr>
        <w:t xml:space="preserve">（4）中标人保证其提供的货物在正确安装、正常使用和保养条件下，在使用寿命期内具有满意的性能，中标人对由于产品设计、工艺或材料的缺陷而产生的故障负责与制造商沟通解决。</w:t>
      </w:r>
      <w:r/>
    </w:p>
    <w:p>
      <w:pPr>
        <w:ind w:firstLine="420"/>
        <w:spacing w:line="360" w:lineRule="auto"/>
        <w:rPr>
          <w:rFonts w:ascii="宋体" w:hAnsi="宋体" w:cs="宋体"/>
          <w:szCs w:val="21"/>
        </w:rPr>
      </w:pPr>
      <w:r>
        <w:rPr>
          <w:rFonts w:hint="eastAsia" w:ascii="宋体" w:hAnsi="宋体" w:cs="宋体"/>
          <w:szCs w:val="21"/>
        </w:rPr>
        <w:t xml:space="preserve">（5）中标人承诺本次提供的所有设备满足招标文件要求及自身投标文件承诺，对招标文件中的变更修改内容以本合同的设备配置附件为准。中标人承诺所有的设备满足技术完整性要求。</w:t>
      </w:r>
      <w:r/>
    </w:p>
    <w:p>
      <w:pPr>
        <w:ind w:firstLine="422"/>
        <w:spacing w:line="360" w:lineRule="auto"/>
        <w:rPr>
          <w:rFonts w:ascii="宋体" w:hAnsi="宋体" w:cs="宋体"/>
          <w:b/>
          <w:bCs/>
          <w:szCs w:val="21"/>
        </w:rPr>
      </w:pPr>
      <w:r>
        <w:rPr>
          <w:rFonts w:hint="eastAsia" w:ascii="宋体" w:hAnsi="宋体" w:cs="宋体"/>
          <w:b/>
          <w:bCs/>
          <w:szCs w:val="21"/>
        </w:rPr>
        <w:t xml:space="preserve">六、售后服务</w:t>
      </w:r>
      <w:r/>
    </w:p>
    <w:p>
      <w:pPr>
        <w:ind w:firstLine="420"/>
        <w:spacing w:line="360" w:lineRule="auto"/>
        <w:rPr>
          <w:rFonts w:ascii="宋体" w:hAnsi="宋体" w:cs="宋体"/>
          <w:szCs w:val="21"/>
        </w:rPr>
      </w:pPr>
      <w:r>
        <w:rPr>
          <w:rFonts w:hint="eastAsia" w:ascii="宋体" w:hAnsi="宋体" w:cs="宋体"/>
          <w:szCs w:val="21"/>
        </w:rPr>
        <w:t xml:space="preserve">1、按国家规定实行“三包”（包修、包换、包退）。</w:t>
      </w:r>
      <w:r/>
    </w:p>
    <w:p>
      <w:pPr>
        <w:ind w:firstLine="420"/>
        <w:spacing w:line="360" w:lineRule="auto"/>
        <w:rPr>
          <w:rFonts w:ascii="宋体" w:hAnsi="宋体" w:cs="宋体"/>
          <w:szCs w:val="21"/>
        </w:rPr>
      </w:pPr>
      <w:r>
        <w:rPr>
          <w:rFonts w:hint="eastAsia" w:ascii="宋体" w:hAnsi="宋体" w:cs="宋体"/>
          <w:szCs w:val="21"/>
        </w:rPr>
        <w:t xml:space="preserve">2、中标人对采购人的相关人员进行设备操作、维修等技术方面提供免费培训与指导。由技术人员保障本项目的实施和运行。</w:t>
      </w:r>
      <w:r/>
    </w:p>
    <w:p>
      <w:pPr>
        <w:ind w:firstLine="420"/>
        <w:spacing w:line="360" w:lineRule="auto"/>
        <w:rPr>
          <w:rFonts w:ascii="宋体" w:hAnsi="宋体" w:cs="宋体"/>
          <w:szCs w:val="21"/>
        </w:rPr>
      </w:pPr>
      <w:r>
        <w:rPr>
          <w:rFonts w:hint="eastAsia" w:ascii="宋体" w:hAnsi="宋体" w:cs="宋体"/>
          <w:szCs w:val="21"/>
        </w:rPr>
        <w:t xml:space="preserve">3、中标人应在接到采购人故障报告后在服务承诺时间内作出响应，到达现场并排除故障。如果在服务承诺时间内中标人没有到达现场并且排除故障，则每次除继续维修以外另支付违约金给采购人每次壹仟元，采购人有权在中标人履约保证金中扣除，中标人对此不得提出异议。</w:t>
      </w:r>
      <w:r/>
    </w:p>
    <w:p>
      <w:pPr>
        <w:ind w:firstLine="420"/>
        <w:spacing w:line="360" w:lineRule="auto"/>
        <w:rPr>
          <w:rFonts w:ascii="宋体" w:hAnsi="宋体" w:cs="宋体"/>
          <w:szCs w:val="21"/>
        </w:rPr>
      </w:pPr>
      <w:r>
        <w:rPr>
          <w:rFonts w:hint="eastAsia" w:ascii="宋体" w:hAnsi="宋体" w:cs="宋体"/>
          <w:szCs w:val="21"/>
        </w:rPr>
        <w:t xml:space="preserve">4、质保期内，对由于质量问题造成的设备损坏，中标人在服务承诺时间内免费维修或更换。对于其他原因造成的损坏，中标人有义务对损坏的硬件做有偿更换。在产品质保期内，确属产品质量问题，经维修人员修理后仍达不到质量要求的产品包退包换。</w:t>
      </w:r>
      <w:r/>
    </w:p>
    <w:p>
      <w:pPr>
        <w:ind w:firstLine="420"/>
        <w:spacing w:line="360" w:lineRule="auto"/>
        <w:rPr>
          <w:rFonts w:ascii="宋体" w:hAnsi="宋体" w:cs="宋体"/>
          <w:szCs w:val="21"/>
        </w:rPr>
      </w:pPr>
      <w:r>
        <w:rPr>
          <w:rFonts w:hint="eastAsia" w:ascii="宋体" w:hAnsi="宋体" w:cs="宋体"/>
          <w:szCs w:val="21"/>
        </w:rPr>
        <w:t xml:space="preserve">5、质保期为项目竣工验收交付使用后承诺的时间阶段内。</w:t>
      </w:r>
      <w:r/>
    </w:p>
    <w:p>
      <w:pPr>
        <w:ind w:firstLine="420"/>
        <w:spacing w:line="360" w:lineRule="auto"/>
        <w:rPr>
          <w:rFonts w:ascii="宋体" w:hAnsi="宋体" w:cs="宋体"/>
          <w:szCs w:val="21"/>
        </w:rPr>
      </w:pPr>
      <w:r>
        <w:rPr>
          <w:rFonts w:hint="eastAsia" w:ascii="宋体" w:hAnsi="宋体" w:cs="宋体"/>
          <w:szCs w:val="21"/>
        </w:rPr>
        <w:t xml:space="preserve">6、中标人在每次服务完成后，须向采购人提交相关文档，内容包括起因、响应、过程、结果、今后注意事项等各部分。</w:t>
      </w:r>
      <w:r/>
    </w:p>
    <w:p>
      <w:pPr>
        <w:ind w:firstLine="420"/>
        <w:spacing w:line="360" w:lineRule="auto"/>
        <w:rPr>
          <w:rFonts w:ascii="宋体" w:hAnsi="宋体" w:cs="宋体"/>
          <w:szCs w:val="21"/>
        </w:rPr>
      </w:pPr>
      <w:r>
        <w:rPr>
          <w:rFonts w:hint="eastAsia" w:ascii="宋体" w:hAnsi="宋体" w:cs="宋体"/>
          <w:szCs w:val="21"/>
        </w:rPr>
        <w:t xml:space="preserve">7、在质保期结束前，由中标人工程师、采购人对所供设备进行一次全面检查，任何缺陷必须由投标人负责修理，在修复之后，中标人应将缺陷原因、修理内容、完成修理及恢复正常的时间和日期等报告给采购人。</w:t>
      </w:r>
      <w:r/>
    </w:p>
    <w:p>
      <w:pPr>
        <w:ind w:firstLine="420"/>
        <w:spacing w:line="360" w:lineRule="auto"/>
        <w:rPr>
          <w:rFonts w:ascii="宋体" w:hAnsi="宋体"/>
          <w:szCs w:val="21"/>
        </w:rPr>
      </w:pPr>
      <w:r>
        <w:rPr>
          <w:rFonts w:ascii="宋体" w:hAnsi="宋体"/>
          <w:szCs w:val="21"/>
        </w:rPr>
        <w:t xml:space="preserve">8、中标人需要根据售后服务内容提供详细的售后服务方案，包含不限售后服务机构、售后服务培训方案、质量保证、定期维修策略、应急响应方案、售后服务承诺、保障售后服务的措施等具体内容。</w:t>
      </w:r>
      <w:r/>
    </w:p>
    <w:p>
      <w:pPr>
        <w:ind w:firstLine="422"/>
        <w:spacing w:line="360" w:lineRule="auto"/>
        <w:rPr>
          <w:rFonts w:ascii="宋体" w:hAnsi="宋体" w:cs="宋体"/>
          <w:b/>
          <w:bCs/>
          <w:szCs w:val="21"/>
        </w:rPr>
      </w:pPr>
      <w:r>
        <w:rPr>
          <w:rFonts w:hint="eastAsia" w:ascii="宋体" w:hAnsi="宋体" w:cs="宋体"/>
          <w:b/>
          <w:bCs/>
          <w:szCs w:val="21"/>
        </w:rPr>
        <w:t xml:space="preserve">七、其他要求</w:t>
      </w:r>
      <w:r/>
    </w:p>
    <w:p>
      <w:pPr>
        <w:ind w:firstLine="420"/>
        <w:spacing w:line="360" w:lineRule="auto"/>
        <w:rPr>
          <w:rFonts w:ascii="宋体" w:hAnsi="宋体" w:cs="宋体"/>
          <w:b/>
          <w:szCs w:val="21"/>
        </w:rPr>
      </w:pPr>
      <w:r>
        <w:rPr>
          <w:rFonts w:hint="eastAsia" w:ascii="宋体" w:hAnsi="宋体" w:cs="宋体"/>
          <w:szCs w:val="21"/>
        </w:rPr>
        <w:t xml:space="preserve">1、</w:t>
      </w:r>
      <w:r>
        <w:rPr>
          <w:rFonts w:hint="eastAsia" w:ascii="宋体" w:hAnsi="宋体" w:cs="宋体"/>
          <w:b/>
          <w:szCs w:val="21"/>
        </w:rPr>
        <w:t xml:space="preserve">中标人严格按照合同时间供货、安装、调试竣工验收，验收合格后15日内办理竣工结算。</w:t>
      </w:r>
      <w:r/>
    </w:p>
    <w:p>
      <w:pPr>
        <w:ind w:firstLine="420"/>
        <w:spacing w:before="120" w:after="120" w:line="360" w:lineRule="auto"/>
        <w:rPr>
          <w:rFonts w:ascii="宋体" w:hAnsi="宋体" w:cs="宋体"/>
          <w:i/>
          <w:szCs w:val="21"/>
          <w:u w:val="single"/>
        </w:rPr>
      </w:pPr>
      <w:r>
        <w:rPr>
          <w:rFonts w:hint="eastAsia" w:ascii="宋体" w:hAnsi="宋体" w:cs="宋体"/>
          <w:i/>
          <w:szCs w:val="21"/>
          <w:u w:val="single"/>
        </w:rPr>
        <w:t xml:space="preserve">2、本项目报价总金额包括所有投标人提供的投标产品配置及分项报价表内所包含的设备费、辅材费、吊装费、安装人工费、调试费、开洞及税金等，强、弱电施工长度应根据所提供的现场实际需要配置，以上报价包含为完成本项目所发生的所有费用（如投标人提供的伴随服务/售后服务费用等），招标文件中另有规定的除外。在招标文件中未列明，而投标人认为履行本合同必需的费用也包含在合同总金额中。</w:t>
      </w:r>
      <w:r/>
    </w:p>
    <w:p>
      <w:pPr>
        <w:ind w:firstLine="420"/>
        <w:spacing w:line="360" w:lineRule="auto"/>
        <w:rPr>
          <w:rFonts w:ascii="宋体" w:hAnsi="宋体" w:cs="宋体"/>
          <w:szCs w:val="21"/>
        </w:rPr>
      </w:pPr>
      <w:r>
        <w:rPr>
          <w:rFonts w:hint="eastAsia" w:ascii="宋体" w:hAnsi="宋体" w:cs="宋体"/>
          <w:szCs w:val="21"/>
        </w:rPr>
        <w:t xml:space="preserve">3、中标人在供货前应到交货地点现场察看通行条件，做好同土建装修施工单位的协调配合工作，。安排好供应进度计划。运输车辆在校园内行驶还须服从学校管理规定，按规定行驶路线文明行驶，限制时速，注意车辆在校园内行车安全，不得影响教学和生活秩序，否则中标人承担相应责任和费用。</w:t>
      </w:r>
      <w:r/>
    </w:p>
    <w:p>
      <w:pPr>
        <w:ind w:firstLine="420"/>
        <w:spacing w:line="360" w:lineRule="auto"/>
        <w:rPr>
          <w:rFonts w:ascii="宋体" w:hAnsi="宋体" w:cs="宋体"/>
          <w:bCs/>
          <w:i/>
          <w:iCs/>
          <w:szCs w:val="21"/>
          <w:u w:val="single"/>
        </w:rPr>
      </w:pPr>
      <w:r>
        <w:rPr>
          <w:rFonts w:hint="eastAsia" w:ascii="宋体" w:hAnsi="宋体" w:cs="宋体"/>
          <w:i/>
          <w:szCs w:val="21"/>
          <w:u w:val="single"/>
        </w:rPr>
        <w:t xml:space="preserve">4、</w:t>
      </w:r>
      <w:r>
        <w:rPr>
          <w:rFonts w:hint="eastAsia" w:ascii="宋体" w:hAnsi="宋体" w:cs="宋体"/>
          <w:bCs/>
          <w:i/>
          <w:iCs/>
          <w:szCs w:val="21"/>
          <w:u w:val="single"/>
        </w:rPr>
        <w:t xml:space="preserve">考虑后期采购人服务端进行扩容，所提供服务器类型采购人可进行自行采购，云桌面制造商需提供兼容性承诺及相应服务。</w:t>
      </w:r>
      <w:r>
        <w:rPr>
          <w:rFonts w:hint="eastAsia" w:ascii="宋体" w:hAnsi="宋体" w:cs="宋体"/>
          <w:b/>
          <w:i/>
          <w:iCs/>
          <w:color w:val="ff0000"/>
          <w:szCs w:val="21"/>
          <w:u w:val="single"/>
        </w:rPr>
        <w:t xml:space="preserve">（须提供承诺函原件扫描上传，格式自拟）</w:t>
      </w:r>
      <w:r/>
    </w:p>
    <w:p>
      <w:pPr>
        <w:ind w:firstLine="420"/>
        <w:spacing w:line="360" w:lineRule="auto"/>
        <w:rPr>
          <w:rFonts w:ascii="宋体" w:hAnsi="宋体" w:cs="宋体"/>
          <w:bCs/>
          <w:iCs/>
          <w:szCs w:val="21"/>
        </w:rPr>
      </w:pPr>
      <w:r>
        <w:rPr>
          <w:rFonts w:ascii="宋体" w:hAnsi="宋体" w:cs="宋体"/>
          <w:bCs/>
          <w:iCs/>
          <w:szCs w:val="21"/>
        </w:rPr>
        <w:t xml:space="preserve">5</w:t>
      </w:r>
      <w:r>
        <w:rPr>
          <w:rFonts w:hint="eastAsia" w:ascii="宋体" w:hAnsi="宋体" w:cs="宋体"/>
          <w:bCs/>
          <w:iCs/>
          <w:szCs w:val="21"/>
        </w:rPr>
        <w:t xml:space="preserve">、为确保采购人后期终端扩容，投标人需提供承诺，若中标后三年内，采购人在该项目中需增补设备，投标人供货的设备单价不得高于本项目所投单价。</w:t>
      </w:r>
      <w:r/>
    </w:p>
    <w:p>
      <w:pPr>
        <w:ind w:firstLine="420"/>
        <w:spacing w:line="360" w:lineRule="auto"/>
        <w:rPr>
          <w:rFonts w:ascii="宋体" w:hAnsi="宋体" w:cs="宋体"/>
          <w:bCs/>
          <w:color w:val="ff0000"/>
          <w:szCs w:val="21"/>
        </w:rPr>
      </w:pPr>
      <w:r>
        <w:rPr>
          <w:rFonts w:ascii="宋体" w:hAnsi="宋体" w:cs="宋体"/>
          <w:bCs/>
          <w:szCs w:val="21"/>
        </w:rPr>
        <w:t xml:space="preserve">6</w:t>
      </w:r>
      <w:r>
        <w:rPr>
          <w:rFonts w:hint="eastAsia" w:ascii="宋体" w:hAnsi="宋体" w:cs="宋体"/>
          <w:bCs/>
          <w:szCs w:val="21"/>
        </w:rPr>
        <w:t xml:space="preserve">、质保期：验收合格之日起</w:t>
      </w:r>
      <w:r>
        <w:rPr>
          <w:rFonts w:hint="eastAsia" w:ascii="宋体" w:hAnsi="宋体" w:cs="宋体"/>
          <w:bCs/>
          <w:color w:val="000000" w:themeColor="text1"/>
          <w:szCs w:val="21"/>
          <w14:textFill>
            <w14:solidFill>
              <w14:schemeClr w14:val="tx1"/>
            </w14:solidFill>
          </w14:textFill>
        </w:rPr>
        <w:t xml:space="preserve">不少于</w:t>
      </w:r>
      <w:r>
        <w:rPr>
          <w:rFonts w:ascii="宋体" w:hAnsi="宋体" w:cs="宋体"/>
          <w:bCs/>
          <w:color w:val="000000" w:themeColor="text1"/>
          <w:szCs w:val="21"/>
          <w14:textFill>
            <w14:solidFill>
              <w14:schemeClr w14:val="tx1"/>
            </w14:solidFill>
          </w14:textFill>
        </w:rPr>
        <w:t xml:space="preserve">3</w:t>
      </w:r>
      <w:r>
        <w:rPr>
          <w:rFonts w:hint="eastAsia" w:ascii="宋体" w:hAnsi="宋体" w:cs="宋体"/>
          <w:bCs/>
          <w:color w:val="000000" w:themeColor="text1"/>
          <w:szCs w:val="21"/>
          <w14:textFill>
            <w14:solidFill>
              <w14:schemeClr w14:val="tx1"/>
            </w14:solidFill>
          </w14:textFill>
        </w:rPr>
        <w:t xml:space="preserve">年。</w:t>
      </w:r>
      <w:r/>
    </w:p>
    <w:p>
      <w:pPr>
        <w:ind w:firstLine="420"/>
        <w:spacing w:line="360" w:lineRule="auto"/>
        <w:rPr>
          <w:rFonts w:ascii="宋体" w:hAnsi="宋体" w:cs="宋体"/>
          <w:bCs/>
          <w:iCs/>
          <w:szCs w:val="21"/>
        </w:rPr>
      </w:pPr>
      <w:r>
        <w:rPr>
          <w:rFonts w:hint="eastAsia" w:ascii="宋体" w:hAnsi="宋体" w:cs="宋体"/>
          <w:bCs/>
          <w:iCs/>
          <w:szCs w:val="21"/>
        </w:rPr>
        <w:t xml:space="preserve">7、依据《教育部办公厅关于加强学校新建校舍室内空气质量管理的通知》：在本项目验收前，对学校实验室室内空气质量进行检测，应符合《民用建筑工程室内环境污染控制标准》（GB50325-2020），费用由中标人承担。</w:t>
      </w:r>
      <w:r/>
    </w:p>
    <w:p>
      <w:pPr>
        <w:ind w:firstLine="420"/>
        <w:spacing w:line="360" w:lineRule="auto"/>
        <w:rPr>
          <w:rFonts w:ascii="宋体" w:hAnsi="宋体" w:cs="宋体"/>
          <w:bCs/>
          <w:iCs/>
          <w:szCs w:val="21"/>
        </w:rPr>
      </w:pPr>
      <w:r>
        <w:rPr>
          <w:rFonts w:hint="eastAsia" w:ascii="宋体" w:hAnsi="宋体" w:cs="宋体"/>
          <w:bCs/>
          <w:iCs/>
          <w:szCs w:val="21"/>
        </w:rPr>
        <w:t xml:space="preserve">8、中标人自中标之日起五个工作日内须提供所投主要产品（胖终端、汇聚交换机、接入交换机）的技术参数详细列表（与投标文件须一致）及相关证明材料并加</w:t>
      </w:r>
      <w:r>
        <w:rPr>
          <w:rFonts w:hint="eastAsia" w:ascii="宋体" w:hAnsi="宋体" w:cs="宋体"/>
          <w:bCs/>
          <w:iCs/>
          <w:color w:val="000000" w:themeColor="text1"/>
          <w:szCs w:val="21"/>
          <w14:textFill>
            <w14:solidFill>
              <w14:schemeClr w14:val="tx1"/>
            </w14:solidFill>
          </w14:textFill>
        </w:rPr>
        <w:t xml:space="preserve">盖投标人</w:t>
      </w:r>
      <w:r>
        <w:rPr>
          <w:rFonts w:hint="eastAsia" w:ascii="宋体" w:hAnsi="宋体" w:cs="宋体"/>
          <w:bCs/>
          <w:iCs/>
          <w:szCs w:val="21"/>
        </w:rPr>
        <w:t xml:space="preserve">公章。</w:t>
      </w:r>
      <w:r/>
    </w:p>
    <w:p>
      <w:pPr>
        <w:ind w:firstLine="422"/>
        <w:jc w:val="left"/>
        <w:spacing w:line="480" w:lineRule="exact"/>
        <w:rPr>
          <w:rFonts w:ascii="宋体" w:hAnsi="宋体" w:cs="宋体"/>
          <w:b/>
          <w:bCs/>
          <w:color w:val="000000" w:themeColor="text1"/>
          <w:szCs w:val="21"/>
          <w14:textFill>
            <w14:solidFill>
              <w14:schemeClr w14:val="tx1"/>
            </w14:solidFill>
          </w14:textFill>
        </w:rPr>
      </w:pPr>
      <w:r>
        <w:rPr>
          <w:rFonts w:hint="eastAsia" w:ascii="Times New Roman" w:hAnsi="Times New Roman"/>
          <w:b/>
          <w:bCs/>
          <w:color w:val="000000" w:themeColor="text1"/>
          <w14:textFill>
            <w14:solidFill>
              <w14:schemeClr w14:val="tx1"/>
            </w14:solidFill>
          </w14:textFill>
        </w:rPr>
        <w:t xml:space="preserve">9、</w:t>
      </w:r>
      <w:bookmarkEnd w:id="50"/>
      <w:r/>
      <w:bookmarkEnd w:id="51"/>
      <w:r/>
      <w:bookmarkEnd w:id="52"/>
      <w:r>
        <w:rPr>
          <w:rFonts w:hint="eastAsia" w:ascii="宋体" w:hAnsi="宋体" w:cs="宋体"/>
          <w:b/>
          <w:bCs/>
          <w:color w:val="000000" w:themeColor="text1"/>
          <w:szCs w:val="21"/>
          <w14:textFill>
            <w14:solidFill>
              <w14:schemeClr w14:val="tx1"/>
            </w14:solidFill>
          </w14:textFill>
        </w:rPr>
        <w:t xml:space="preserve">演示要求</w:t>
      </w:r>
      <w:r/>
    </w:p>
    <w:p>
      <w:pPr>
        <w:ind w:firstLine="422"/>
        <w:jc w:val="left"/>
        <w:spacing w:line="480" w:lineRule="exac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1）投标人需按照招标文件规定的演示内容制作演示视频文件，视频文件的格式为*.mp4或*.avi，投标人须将视频文件分段压缩为*.zip文件上传(单个视频附件压缩包大小不得超过50M，整体附件压缩包不得超过300M，压缩包文件格式为zip格式。)。上传的演示视频将作为投标文件的组成部分，视频时长总计不超过15分钟。</w:t>
      </w:r>
      <w:r/>
    </w:p>
    <w:p>
      <w:pPr>
        <w:ind w:firstLine="422"/>
        <w:jc w:val="left"/>
        <w:spacing w:line="480" w:lineRule="exact"/>
        <w:rPr>
          <w:rFonts w:ascii="宋体" w:hAnsi="宋体" w:cs="宋体"/>
          <w:b/>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（2）投标人采用类似真实系统针对具体演示内容进行展示，并录制演示视频文件，视频画面须清晰。视频文件未提供或因供应商自身原因无法打开的不得分。</w:t>
      </w:r>
      <w:r/>
    </w:p>
    <w:p>
      <w:pPr>
        <w:rPr>
          <w:rFonts w:ascii="宋体" w:hAnsi="宋体"/>
          <w:b/>
          <w:bCs/>
          <w:sz w:val="44"/>
          <w:szCs w:val="36"/>
        </w:rPr>
      </w:pPr>
      <w:r>
        <w:rPr>
          <w:rFonts w:hint="eastAsia" w:ascii="宋体" w:hAnsi="宋体"/>
          <w:b/>
          <w:bCs/>
          <w:sz w:val="44"/>
          <w:szCs w:val="36"/>
        </w:rPr>
        <w:br w:type="page" w:clear="all"/>
      </w:r>
      <w:r/>
    </w:p>
    <w:p>
      <w:pPr>
        <w:pStyle w:val="1042"/>
        <w:ind w:firstLine="883"/>
        <w:jc w:val="center"/>
        <w:spacing w:line="360" w:lineRule="auto"/>
        <w:rPr>
          <w:rFonts w:ascii="宋体" w:hAnsi="宋体"/>
          <w:b/>
          <w:bCs/>
          <w:sz w:val="44"/>
          <w:szCs w:val="36"/>
        </w:rPr>
      </w:pPr>
      <w:r>
        <w:rPr>
          <w:rFonts w:hint="eastAsia" w:ascii="宋体" w:hAnsi="宋体"/>
          <w:b/>
          <w:bCs/>
          <w:sz w:val="44"/>
          <w:szCs w:val="36"/>
        </w:rPr>
        <w:t xml:space="preserve">第五章 评标方法及评标标准</w:t>
      </w:r>
      <w:bookmarkEnd w:id="53"/>
      <w:r/>
      <w:r/>
    </w:p>
    <w:p>
      <w:pPr>
        <w:numPr>
          <w:ilvl w:val="0"/>
          <w:numId w:val="13"/>
        </w:numPr>
        <w:ind w:firstLine="422"/>
        <w:spacing w:line="360" w:lineRule="auto"/>
      </w:pPr>
      <w:r>
        <w:rPr>
          <w:rFonts w:hint="eastAsia"/>
          <w:b/>
          <w:bCs/>
        </w:rPr>
        <w:t xml:space="preserve">评标方法</w:t>
      </w:r>
      <w:r/>
    </w:p>
    <w:p>
      <w:pPr>
        <w:pStyle w:val="1053"/>
        <w:ind w:firstLine="420"/>
        <w:rPr>
          <w:rFonts w:ascii="Times New Roman" w:hAnsi="Times New Roman"/>
          <w:sz w:val="21"/>
          <w:szCs w:val="21"/>
        </w:rPr>
      </w:pPr>
      <w:r/>
      <w:bookmarkStart w:id="57" w:name="_Toc449016388"/>
      <w:r/>
      <w:bookmarkStart w:id="58" w:name="_Toc449017024"/>
      <w:r>
        <w:rPr>
          <w:rFonts w:hint="eastAsia" w:ascii="Times New Roman" w:hAnsi="Times New Roman"/>
          <w:sz w:val="21"/>
          <w:szCs w:val="21"/>
        </w:rPr>
        <w:t xml:space="preserve">本项目采用综合评分法，评委会将对确定为实质性响应采购文件要求的投标文件进行评价和比较。评审结果按综合得分由高到低顺序排列。得分相同的，按报价由低到高顺序排列。得分且报价相同的并列，投标文件满足采购文件全部实质性要求，且按照评审因素的量化指标评审得分最高的前三名供应商为中标候选人。</w:t>
      </w:r>
      <w:r/>
    </w:p>
    <w:p>
      <w:pPr>
        <w:ind w:firstLine="422"/>
        <w:spacing w:line="360" w:lineRule="auto"/>
        <w:rPr>
          <w:rFonts w:ascii="Times New Roman" w:hAnsi="Times New Roman"/>
          <w:szCs w:val="21"/>
        </w:rPr>
      </w:pPr>
      <w:r>
        <w:rPr>
          <w:rFonts w:hint="eastAsia" w:ascii="Times New Roman" w:hAnsi="Times New Roman"/>
          <w:szCs w:val="21"/>
        </w:rPr>
        <w:t xml:space="preserve">确定中标人的原则：采购人按照评委会的书面评标报告中的中标候选人排序，确定排名第一的为中标人。当排名第一的中标候选人放弃中标、因不可抗力提出不能履行合同或者因其他原因被取消中标资格的，采购人可以确定排名第二的中标候选人为中标人</w:t>
      </w:r>
      <w:bookmarkStart w:id="59" w:name="OLE_LINK2"/>
      <w:r>
        <w:rPr>
          <w:rFonts w:hint="eastAsia" w:ascii="Times New Roman" w:hAnsi="Times New Roman"/>
          <w:szCs w:val="21"/>
        </w:rPr>
        <w:t xml:space="preserve">或重新招标</w:t>
      </w:r>
      <w:bookmarkEnd w:id="59"/>
      <w:r>
        <w:rPr>
          <w:rFonts w:hint="eastAsia" w:ascii="Times New Roman" w:hAnsi="Times New Roman"/>
          <w:szCs w:val="21"/>
        </w:rPr>
        <w:t xml:space="preserve">；排名第二的中标候选人因同样的原因不能签订合同的，采购人可以确定排名第三的中标候选人为中标人或重新招标。</w:t>
      </w:r>
      <w:bookmarkEnd w:id="57"/>
      <w:r/>
      <w:bookmarkEnd w:id="58"/>
      <w:r/>
      <w:r/>
    </w:p>
    <w:p>
      <w:pPr>
        <w:ind w:firstLine="422"/>
        <w:spacing w:line="360" w:lineRule="auto"/>
        <w:rPr>
          <w:rFonts w:ascii="宋体" w:hAnsi="宋体"/>
          <w:b/>
          <w:szCs w:val="21"/>
        </w:rPr>
      </w:pPr>
      <w:r>
        <w:rPr>
          <w:rFonts w:ascii="宋体" w:hAnsi="宋体"/>
          <w:b/>
          <w:szCs w:val="21"/>
        </w:rPr>
        <w:t xml:space="preserve">二、</w:t>
      </w:r>
      <w:r>
        <w:rPr>
          <w:rFonts w:hint="eastAsia" w:ascii="宋体" w:hAnsi="宋体"/>
          <w:b/>
          <w:szCs w:val="21"/>
        </w:rPr>
        <w:t xml:space="preserve">政府采购政策功能落实</w:t>
      </w:r>
      <w:r/>
    </w:p>
    <w:p>
      <w:pPr>
        <w:ind w:firstLine="420"/>
        <w:spacing w:line="360" w:lineRule="auto"/>
        <w:rPr>
          <w:rFonts w:ascii="宋体" w:hAnsi="宋体"/>
          <w:b/>
          <w:szCs w:val="21"/>
        </w:rPr>
      </w:pPr>
      <w: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spacing w:line="360" w:lineRule="auto"/>
      </w:pPr>
      <w:r>
        <w:rPr>
          <w:rFonts w:hint="eastAsia"/>
        </w:rPr>
        <w:t xml:space="preserve">1、小微型企业价格扣除</w:t>
      </w:r>
      <w:r/>
    </w:p>
    <w:p>
      <w:pPr>
        <w:ind w:firstLine="420"/>
        <w:spacing w:line="360" w:lineRule="auto"/>
      </w:pPr>
      <w:r>
        <w:rPr>
          <w:rFonts w:hint="eastAsia"/>
        </w:rPr>
        <w:t xml:space="preserve">（1）本项目对小型和微型企业产品给予1</w:t>
      </w:r>
      <w:r>
        <w:t xml:space="preserve">0</w:t>
      </w:r>
      <w:r>
        <w:rPr>
          <w:rFonts w:hint="eastAsia"/>
        </w:rPr>
        <w:t xml:space="preserve">%的扣除价格，用扣除后的价格参与评审。</w:t>
      </w:r>
      <w:r/>
    </w:p>
    <w:p>
      <w:pPr>
        <w:ind w:firstLine="420"/>
        <w:spacing w:line="360" w:lineRule="auto"/>
      </w:pPr>
      <w:r>
        <w:rPr>
          <w:rFonts w:hint="eastAsia"/>
        </w:rPr>
        <w:t xml:space="preserve">（2）供应商需按照采购文件的要求提供相应的《中小企业声明函》。</w:t>
      </w:r>
      <w:r/>
    </w:p>
    <w:p>
      <w:pPr>
        <w:ind w:firstLine="420"/>
        <w:spacing w:line="360" w:lineRule="auto"/>
      </w:pPr>
      <w:r>
        <w:rPr>
          <w:rFonts w:hint="eastAsia"/>
        </w:rPr>
        <w:t xml:space="preserve">（3）企业标准请参照《关于印发中小企业划型标准规定的通知》（工信部联企业[2011]300号）文件规定自行填写。</w:t>
      </w:r>
      <w:r/>
    </w:p>
    <w:p>
      <w:pPr>
        <w:ind w:firstLine="420"/>
        <w:spacing w:line="360" w:lineRule="auto"/>
      </w:pPr>
      <w:r>
        <w:rPr>
          <w:rFonts w:hint="eastAsia"/>
        </w:rPr>
        <w:t xml:space="preserve">2、残疾人福利单位价格扣除</w:t>
      </w:r>
      <w:r/>
    </w:p>
    <w:p>
      <w:pPr>
        <w:ind w:firstLine="420"/>
        <w:spacing w:line="360" w:lineRule="auto"/>
      </w:pPr>
      <w:r>
        <w:rPr>
          <w:rFonts w:hint="eastAsia"/>
        </w:rPr>
        <w:t xml:space="preserve">（1）本项目对残疾人福利性单位视同小型、微型企业，给予1</w:t>
      </w:r>
      <w:r>
        <w:t xml:space="preserve">0</w:t>
      </w:r>
      <w:r>
        <w:rPr>
          <w:rFonts w:hint="eastAsia"/>
        </w:rPr>
        <w:t xml:space="preserve">%的价格扣除，用扣除后的价格参与评审。</w:t>
      </w:r>
      <w:r/>
    </w:p>
    <w:p>
      <w:pPr>
        <w:ind w:firstLine="420"/>
        <w:spacing w:line="360" w:lineRule="auto"/>
      </w:pPr>
      <w:r>
        <w:rPr>
          <w:rFonts w:hint="eastAsia"/>
        </w:rPr>
        <w:t xml:space="preserve">（2）残疾人福利单位需按照采购文件的要求提供《残疾人福利性单位声明函》。</w:t>
      </w:r>
      <w:r/>
    </w:p>
    <w:p>
      <w:pPr>
        <w:ind w:firstLine="420"/>
        <w:spacing w:line="360" w:lineRule="auto"/>
      </w:pPr>
      <w:r>
        <w:rPr>
          <w:rFonts w:hint="eastAsia"/>
        </w:rPr>
        <w:t xml:space="preserve">（3）残疾人福利单位标准请参照《关于促进残疾人就业政府采购政策的通知》（财库〔2017〕141号）。</w:t>
      </w:r>
      <w:r/>
    </w:p>
    <w:p>
      <w:pPr>
        <w:ind w:firstLine="420"/>
        <w:spacing w:line="360" w:lineRule="auto"/>
      </w:pPr>
      <w:r>
        <w:rPr>
          <w:rFonts w:hint="eastAsia"/>
        </w:rPr>
        <w:t xml:space="preserve">3、监狱和戒毒企业价格扣除</w:t>
      </w:r>
      <w:r/>
    </w:p>
    <w:p>
      <w:pPr>
        <w:ind w:firstLine="420"/>
        <w:spacing w:line="360" w:lineRule="auto"/>
      </w:pPr>
      <w:r>
        <w:rPr>
          <w:rFonts w:hint="eastAsia"/>
        </w:rPr>
        <w:t xml:space="preserve">（1）本项目对监狱和戒毒企业（简称监狱企业）视同小型、微型企业，给予1</w:t>
      </w:r>
      <w:r>
        <w:t xml:space="preserve">0</w:t>
      </w:r>
      <w:r>
        <w:rPr>
          <w:rFonts w:hint="eastAsia"/>
        </w:rPr>
        <w:t xml:space="preserve">%的价格扣除，用扣除后的价格参与评审。</w:t>
      </w:r>
      <w:r/>
    </w:p>
    <w:p>
      <w:pPr>
        <w:ind w:firstLine="420"/>
        <w:spacing w:line="360" w:lineRule="auto"/>
      </w:pPr>
      <w:r>
        <w:rPr>
          <w:rFonts w:hint="eastAsia"/>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360" w:lineRule="auto"/>
      </w:pPr>
      <w:r>
        <w:rPr>
          <w:rFonts w:hint="eastAsia"/>
        </w:rPr>
        <w:t xml:space="preserve">（3）监狱企业标准请参照《关于政府采购支持监狱企业发展有关问题的通知》（</w:t>
      </w:r>
      <w:r>
        <w:t xml:space="preserve">财库</w:t>
      </w:r>
      <w:r>
        <w:rPr>
          <w:rFonts w:hint="eastAsia"/>
        </w:rPr>
        <w:t xml:space="preserve">〔</w:t>
      </w:r>
      <w:r>
        <w:t xml:space="preserve">2014</w:t>
      </w:r>
      <w:r>
        <w:rPr>
          <w:rFonts w:hint="eastAsia"/>
        </w:rPr>
        <w:t xml:space="preserve">〕</w:t>
      </w:r>
      <w:r>
        <w:t xml:space="preserve">68号</w:t>
      </w:r>
      <w:r>
        <w:rPr>
          <w:rFonts w:hint="eastAsia"/>
        </w:rPr>
        <w:t xml:space="preserve">）。</w:t>
      </w:r>
      <w:r/>
    </w:p>
    <w:p>
      <w:pPr>
        <w:ind w:firstLine="420"/>
        <w:spacing w:line="360" w:lineRule="auto"/>
      </w:pPr>
      <w:r>
        <w:rPr>
          <w:rFonts w:hint="eastAsia"/>
        </w:rPr>
        <w:t xml:space="preserve">4、残疾人福利单位、监狱企业属于小型、微型企业的，不重复享受政策。</w:t>
      </w:r>
      <w:r/>
    </w:p>
    <w:p>
      <w:pPr>
        <w:ind w:firstLine="420"/>
        <w:spacing w:line="360" w:lineRule="auto"/>
      </w:pPr>
      <w:r>
        <w:rPr>
          <w:rFonts w:hint="eastAsia"/>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20"/>
        <w:spacing w:line="360" w:lineRule="auto"/>
        <w:rPr>
          <w:rFonts w:hint="eastAsia"/>
        </w:rPr>
      </w:pPr>
      <w:r>
        <w:rPr>
          <w:rFonts w:hint="eastAsia"/>
        </w:rPr>
        <w:t xml:space="preserve">6、联合体各方均为小型、微型企业（残疾人福利单位、监狱企业）的，联合体享受1</w:t>
      </w:r>
      <w:r>
        <w:t xml:space="preserve">0</w:t>
      </w:r>
      <w:r>
        <w:rPr>
          <w:rFonts w:hint="eastAsia"/>
        </w:rPr>
        <w:t xml:space="preserve">%价格扣除，用扣除后的价格参与评审。</w:t>
      </w:r>
      <w:r/>
    </w:p>
    <w:p>
      <w:pPr>
        <w:ind w:firstLine="420"/>
        <w:jc w:val="left"/>
        <w:spacing w:before="120" w:after="120" w:line="360" w:lineRule="auto"/>
        <w:rPr>
          <w:rFonts w:hint="eastAsia"/>
        </w:rPr>
      </w:pPr>
      <w:r>
        <w:rPr>
          <w:rFonts w:hint="eastAsia"/>
        </w:rPr>
        <w:t xml:space="preserve">7、大中型企业向小型、微型企业分包的，分包意向协议约定小型、微型企业合同份额占到合同总金额30%以上的，给予4%的价格扣除，用扣除后的价格参与评审。</w:t>
      </w:r>
      <w:r/>
    </w:p>
    <w:p>
      <w:pPr>
        <w:ind w:firstLine="420"/>
        <w:jc w:val="left"/>
        <w:spacing w:before="120" w:after="120" w:line="360" w:lineRule="auto"/>
        <w:rPr>
          <w:rFonts w:hint="eastAsia"/>
        </w:rPr>
      </w:pPr>
      <w:r>
        <w:rPr>
          <w:rFonts w:hint="eastAsia"/>
        </w:rPr>
        <w:t xml:space="preserve">8、采购本国产品的支持政策</w:t>
      </w:r>
      <w:r/>
    </w:p>
    <w:p>
      <w:pPr>
        <w:ind w:firstLine="420"/>
        <w:jc w:val="left"/>
        <w:spacing w:before="120" w:after="120" w:line="360" w:lineRule="auto"/>
        <w:rPr>
          <w:rFonts w:hint="eastAsia"/>
        </w:rPr>
      </w:pPr>
      <w:r>
        <w:rPr>
          <w:rFonts w:hint="eastAsia"/>
        </w:rPr>
        <w:t xml:space="preserve">8.1 本项目政府采购活动中既有本国产品又有非本国产品参与竞争的，依法对本国产品给予价格评审优惠，对本国产品的报价给予 20%的价格扣除，用扣除后的价格参与评审。</w:t>
      </w:r>
      <w:r/>
    </w:p>
    <w:p>
      <w:pPr>
        <w:ind w:firstLine="420"/>
        <w:jc w:val="left"/>
        <w:spacing w:before="120" w:after="120" w:line="360" w:lineRule="auto"/>
        <w:rPr>
          <w:rFonts w:hint="eastAsia"/>
        </w:rPr>
      </w:pPr>
      <w:r>
        <w:rPr>
          <w:rFonts w:hint="eastAsia"/>
        </w:rPr>
        <w:t xml:space="preserve">8.2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spacing w:before="120" w:after="120" w:line="360" w:lineRule="auto"/>
        <w:rPr>
          <w:rFonts w:hint="eastAsia"/>
        </w:rPr>
      </w:pPr>
      <w:r>
        <w:rPr>
          <w:rFonts w:hint="eastAsia"/>
        </w:rPr>
        <w:t xml:space="preserve">8.3 供应商需按照招标文件的要求提供《关于符合本国产品标准的声明函》（以下简称《声明函》），如不提供将不享受本国产品价格评审优惠。</w:t>
      </w:r>
      <w:r/>
    </w:p>
    <w:p>
      <w:pPr>
        <w:ind w:firstLine="420"/>
        <w:jc w:val="left"/>
        <w:spacing w:before="120" w:after="120" w:line="360" w:lineRule="auto"/>
        <w:rPr>
          <w:rFonts w:hint="eastAsia"/>
        </w:rPr>
      </w:pPr>
      <w:r>
        <w:rPr>
          <w:rFonts w:hint="eastAsia"/>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spacing w:before="120" w:after="120" w:line="360" w:lineRule="auto"/>
        <w:rPr>
          <w:rFonts w:hint="eastAsia"/>
        </w:rPr>
      </w:pPr>
      <w:r>
        <w:rPr>
          <w:rFonts w:hint="eastAsia"/>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jc w:val="left"/>
        <w:spacing w:before="120" w:after="120" w:line="360" w:lineRule="auto"/>
        <w:rPr>
          <w:rFonts w:ascii="宋体" w:hAnsi="宋体"/>
          <w:b/>
          <w:szCs w:val="21"/>
        </w:rPr>
      </w:pPr>
      <w:r>
        <w:rPr>
          <w:rFonts w:hint="eastAsia" w:ascii="宋体" w:hAnsi="宋体"/>
          <w:b/>
          <w:szCs w:val="21"/>
        </w:rPr>
        <w:t xml:space="preserve">三、评标标准</w:t>
      </w:r>
      <w:r/>
    </w:p>
    <w:tbl>
      <w:tblPr>
        <w:tblStyle w:val="827"/>
        <w:tblW w:w="925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44"/>
        <w:gridCol w:w="7414"/>
      </w:tblGrid>
      <w:tr>
        <w:trPr>
          <w:trHeight w:val="742"/>
        </w:trPr>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项目</w:t>
            </w:r>
            <w:r/>
          </w:p>
        </w:tc>
        <w:tc>
          <w:tcPr>
            <w:tcBorders>
              <w:top w:val="single" w:color="auto" w:sz="4" w:space="0"/>
              <w:left w:val="single" w:color="auto" w:sz="4" w:space="0"/>
              <w:bottom w:val="single" w:color="auto" w:sz="4" w:space="0"/>
              <w:right w:val="single" w:color="auto" w:sz="4" w:space="0"/>
            </w:tcBorders>
            <w:tcW w:w="7417"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评分标准</w:t>
            </w:r>
            <w:r/>
          </w:p>
        </w:tc>
      </w:tr>
      <w:tr>
        <w:trPr>
          <w:trHeight w:val="726"/>
        </w:trPr>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报价</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（30分）</w:t>
            </w:r>
            <w:r/>
          </w:p>
        </w:tc>
        <w:tc>
          <w:tcPr>
            <w:tcBorders>
              <w:top w:val="single" w:color="auto" w:sz="4" w:space="0"/>
              <w:left w:val="single" w:color="auto" w:sz="4" w:space="0"/>
              <w:bottom w:val="single" w:color="auto" w:sz="4" w:space="0"/>
              <w:right w:val="single" w:color="auto" w:sz="4" w:space="0"/>
            </w:tcBorders>
            <w:tcW w:w="7417" w:type="dxa"/>
            <w:vAlign w:val="center"/>
            <w:textDirection w:val="lrTb"/>
            <w:noWrap w:val="false"/>
          </w:tcPr>
          <w:p>
            <w:pPr>
              <w:spacing w:line="360" w:lineRule="auto"/>
              <w:rPr>
                <w:rFonts w:ascii="宋体" w:hAnsi="宋体" w:cs="宋体"/>
                <w:szCs w:val="21"/>
              </w:rPr>
            </w:pPr>
            <w:r>
              <w:rPr>
                <w:rFonts w:hint="eastAsia" w:ascii="宋体" w:hAnsi="宋体" w:cs="宋体"/>
                <w:color w:val="000000"/>
                <w:szCs w:val="21"/>
              </w:rPr>
              <w:t xml:space="preserve">以满足招标文件要求的最低投标报价为评标基准价，得满分30分，其他投标报价得分=（评标基准价/其他投标报价）×30（保留小数点后两位）。</w:t>
            </w:r>
            <w:r/>
          </w:p>
        </w:tc>
      </w:tr>
      <w:tr>
        <w:trPr>
          <w:trHeight w:val="6107"/>
        </w:trPr>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硬件、软件技术性能及其他</w:t>
            </w:r>
            <w:r/>
          </w:p>
          <w:p>
            <w:pPr>
              <w:jc w:val="center"/>
              <w:spacing w:line="360" w:lineRule="auto"/>
              <w:rPr>
                <w:rFonts w:ascii="宋体" w:hAnsi="宋体" w:cs="宋体"/>
                <w:color w:val="000000"/>
                <w:szCs w:val="21"/>
              </w:rPr>
            </w:pPr>
            <w:r>
              <w:rPr>
                <w:rFonts w:hint="eastAsia" w:ascii="宋体" w:hAnsi="宋体" w:cs="宋体"/>
                <w:color w:val="000000"/>
                <w:szCs w:val="21"/>
              </w:rPr>
              <w:t xml:space="preserve">（45分）</w:t>
            </w:r>
            <w:r/>
          </w:p>
        </w:tc>
        <w:tc>
          <w:tcPr>
            <w:tcBorders>
              <w:top w:val="single" w:color="auto" w:sz="4" w:space="0"/>
              <w:left w:val="single" w:color="auto" w:sz="4" w:space="0"/>
              <w:bottom w:val="single" w:color="auto" w:sz="4" w:space="0"/>
              <w:right w:val="single" w:color="auto" w:sz="4" w:space="0"/>
            </w:tcBorders>
            <w:tcW w:w="7417" w:type="dxa"/>
            <w:vAlign w:val="center"/>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一、标注“▲”的技术参数：根据招标文件中建设内容设备规格及技术参数要求中标注“▲”的内容为重要参数综合评分，全部满足、符合或优于招标文件中建设内容设备规格及技术参数要求的得</w:t>
            </w:r>
            <w:r>
              <w:rPr>
                <w:rFonts w:ascii="宋体" w:hAnsi="宋体" w:cs="宋体"/>
                <w:bCs/>
                <w:szCs w:val="21"/>
              </w:rPr>
              <w:t xml:space="preserve">3</w:t>
            </w:r>
            <w:r>
              <w:rPr>
                <w:rFonts w:hint="eastAsia" w:ascii="宋体" w:hAnsi="宋体" w:cs="宋体"/>
                <w:bCs/>
                <w:szCs w:val="21"/>
              </w:rPr>
              <w:t xml:space="preserve">0分，若有一项负偏离的扣</w:t>
            </w:r>
            <w:r>
              <w:rPr>
                <w:rFonts w:ascii="宋体" w:hAnsi="宋体" w:cs="宋体"/>
                <w:bCs/>
                <w:szCs w:val="21"/>
              </w:rPr>
              <w:t xml:space="preserve">3</w:t>
            </w:r>
            <w:r>
              <w:rPr>
                <w:rFonts w:hint="eastAsia" w:ascii="宋体" w:hAnsi="宋体" w:cs="宋体"/>
                <w:bCs/>
                <w:szCs w:val="21"/>
              </w:rPr>
              <w:t xml:space="preserve">分，扣完为止。</w:t>
            </w:r>
            <w:r/>
          </w:p>
          <w:p>
            <w:pPr>
              <w:ind w:firstLine="422"/>
              <w:jc w:val="left"/>
              <w:spacing w:line="360" w:lineRule="auto"/>
              <w:widowControl/>
              <w:rPr>
                <w:rFonts w:ascii="宋体" w:hAnsi="宋体" w:cs="宋体"/>
                <w:b/>
                <w:szCs w:val="21"/>
              </w:rPr>
            </w:pPr>
            <w:r>
              <w:rPr>
                <w:rFonts w:hint="eastAsia" w:ascii="宋体" w:hAnsi="宋体" w:cs="宋体"/>
                <w:b/>
                <w:szCs w:val="21"/>
              </w:rPr>
              <w:t xml:space="preserve">备注：供应商须在投标文件内对于招标文件第四章建设内容设备规格及技术参数要求中标注 “▲”的参数提供相应技术资料。</w:t>
            </w:r>
            <w:r/>
          </w:p>
          <w:p>
            <w:pPr>
              <w:jc w:val="left"/>
              <w:spacing w:line="360" w:lineRule="auto"/>
              <w:widowControl/>
              <w:rPr>
                <w:rFonts w:ascii="宋体" w:hAnsi="宋体" w:cs="宋体"/>
                <w:b/>
                <w:color w:val="000000"/>
                <w:szCs w:val="21"/>
              </w:rPr>
            </w:pPr>
            <w:r>
              <w:rPr>
                <w:rFonts w:hint="eastAsia" w:ascii="宋体" w:hAnsi="宋体" w:cs="宋体"/>
                <w:b/>
                <w:color w:val="000000"/>
                <w:szCs w:val="21"/>
              </w:rPr>
              <w:t xml:space="preserve">二、软件内容功能演示：对设备采购清单及主要技术参数表的6-8的软件部分</w:t>
            </w:r>
            <w:r>
              <w:rPr>
                <w:rFonts w:hint="eastAsia" w:ascii="宋体" w:hAnsi="宋体" w:cs="宋体"/>
                <w:b/>
                <w:szCs w:val="21"/>
              </w:rPr>
              <w:t xml:space="preserve">逐条进行演示，用录屏的形式展示，</w:t>
            </w:r>
            <w:r>
              <w:rPr>
                <w:rFonts w:hint="eastAsia" w:ascii="宋体" w:hAnsi="宋体" w:cs="宋体"/>
                <w:b/>
                <w:color w:val="000000"/>
                <w:szCs w:val="21"/>
              </w:rPr>
              <w:t xml:space="preserve">须在系统中上传演示视频。</w:t>
            </w:r>
            <w:r>
              <w:rPr>
                <w:rFonts w:hint="eastAsia" w:ascii="宋体" w:hAnsi="宋体" w:cs="宋体"/>
                <w:b/>
                <w:szCs w:val="21"/>
              </w:rPr>
              <w:t xml:space="preserve">满分1</w:t>
            </w:r>
            <w:r>
              <w:rPr>
                <w:rFonts w:ascii="宋体" w:hAnsi="宋体" w:cs="宋体"/>
                <w:b/>
                <w:szCs w:val="21"/>
              </w:rPr>
              <w:t xml:space="preserve">5</w:t>
            </w:r>
            <w:r>
              <w:rPr>
                <w:rFonts w:hint="eastAsia" w:ascii="宋体" w:hAnsi="宋体" w:cs="宋体"/>
                <w:b/>
                <w:szCs w:val="21"/>
              </w:rPr>
              <w:t xml:space="preserve">分。</w:t>
            </w:r>
            <w:r>
              <w:rPr>
                <w:rFonts w:hint="eastAsia" w:ascii="宋体" w:hAnsi="宋体" w:cs="宋体"/>
                <w:b/>
                <w:color w:val="000000"/>
                <w:szCs w:val="21"/>
              </w:rPr>
              <w:t xml:space="preserve">视频演示时间控制在15分钟内。</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1、云平台管理软件功能演示（共15项），全部满足招标文件要求得7.5分，每有1项不满足要求扣0.</w:t>
            </w:r>
            <w:r>
              <w:rPr>
                <w:rFonts w:ascii="宋体" w:hAnsi="宋体" w:cs="宋体"/>
                <w:color w:val="000000"/>
                <w:szCs w:val="21"/>
              </w:rPr>
              <w:t xml:space="preserve">5</w:t>
            </w:r>
            <w:r>
              <w:rPr>
                <w:rFonts w:hint="eastAsia" w:ascii="宋体" w:hAnsi="宋体" w:cs="宋体"/>
                <w:color w:val="000000"/>
                <w:szCs w:val="21"/>
              </w:rPr>
              <w:t xml:space="preserve">分；</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2、终端客户端软件功能演示（12项），全部满足招标文件要求得3.6分，每有1项不满足要求扣0.3分；</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3、电子教学软件功能演示（13项），全部满足招标文件要求得3.9分，每有1项不满足要求扣0.3分；</w:t>
            </w:r>
            <w:r/>
          </w:p>
        </w:tc>
      </w:tr>
      <w:tr>
        <w:trPr>
          <w:trHeight w:val="841"/>
        </w:trPr>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360" w:lineRule="auto"/>
              <w:widowControl/>
              <w:rPr>
                <w:rFonts w:ascii="宋体" w:hAnsi="宋体" w:cs="宋体"/>
                <w:szCs w:val="21"/>
              </w:rPr>
            </w:pPr>
            <w:r>
              <w:rPr>
                <w:rFonts w:hint="eastAsia" w:ascii="宋体" w:hAnsi="宋体" w:cs="宋体"/>
                <w:szCs w:val="21"/>
              </w:rPr>
              <w:t xml:space="preserve">企业综合实力</w:t>
            </w:r>
            <w:r/>
          </w:p>
          <w:p>
            <w:pPr>
              <w:jc w:val="center"/>
              <w:spacing w:line="360" w:lineRule="auto"/>
              <w:widowControl/>
              <w:rPr>
                <w:rFonts w:ascii="宋体" w:hAnsi="宋体" w:cs="宋体"/>
                <w:szCs w:val="21"/>
              </w:rPr>
            </w:pP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分）</w:t>
            </w:r>
            <w:r/>
          </w:p>
        </w:tc>
        <w:tc>
          <w:tcPr>
            <w:tcBorders>
              <w:top w:val="single" w:color="auto" w:sz="4" w:space="0"/>
              <w:left w:val="single" w:color="auto" w:sz="4" w:space="0"/>
              <w:bottom w:val="single" w:color="auto" w:sz="4" w:space="0"/>
              <w:right w:val="single" w:color="auto" w:sz="4" w:space="0"/>
            </w:tcBorders>
            <w:tcW w:w="741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1、投标人具有ITSS信息技术服务运行维护标准符合性证书成熟度等级贰级及以上得1分，不提供不得分；</w:t>
            </w:r>
            <w:r>
              <w:rPr>
                <w:rFonts w:hint="eastAsia" w:ascii="宋体" w:hAnsi="宋体" w:cs="宋体"/>
                <w:b/>
                <w:bCs/>
                <w:szCs w:val="21"/>
              </w:rPr>
              <w:t xml:space="preserve">（证书原件扫描上传）</w:t>
            </w:r>
            <w:r/>
          </w:p>
          <w:p>
            <w:pPr>
              <w:spacing w:line="360" w:lineRule="auto"/>
              <w:rPr>
                <w:rFonts w:ascii="宋体" w:hAnsi="宋体" w:cs="宋体"/>
                <w:szCs w:val="21"/>
              </w:rPr>
            </w:pPr>
            <w:r>
              <w:rPr>
                <w:rFonts w:hint="eastAsia" w:ascii="宋体" w:hAnsi="宋体" w:cs="宋体"/>
                <w:szCs w:val="21"/>
              </w:rPr>
              <w:t xml:space="preserve">2、投标人拟定的</w:t>
            </w:r>
            <w:bookmarkStart w:id="60" w:name="OLE_LINK10"/>
            <w:r/>
            <w:bookmarkStart w:id="61" w:name="OLE_LINK9"/>
            <w:r>
              <w:rPr>
                <w:rFonts w:hint="eastAsia" w:ascii="宋体" w:hAnsi="宋体" w:cs="宋体"/>
                <w:szCs w:val="21"/>
              </w:rPr>
              <w:t xml:space="preserve">项目经理具有机电一级建造师证</w:t>
            </w:r>
            <w:bookmarkEnd w:id="60"/>
            <w:r/>
            <w:bookmarkEnd w:id="61"/>
            <w:r>
              <w:rPr>
                <w:rFonts w:hint="eastAsia" w:ascii="宋体" w:hAnsi="宋体" w:cs="宋体"/>
                <w:szCs w:val="21"/>
              </w:rPr>
              <w:t xml:space="preserve">书得1分，具有机电二级建造师证书得0.5分，否则不得分；</w:t>
            </w:r>
            <w:r>
              <w:rPr>
                <w:rFonts w:hint="eastAsia" w:ascii="宋体" w:hAnsi="宋体" w:cs="宋体"/>
                <w:b/>
                <w:bCs/>
                <w:szCs w:val="21"/>
              </w:rPr>
              <w:t xml:space="preserve">（扫描上传证书等相关材料及投标人近三个月任意一个月为其缴纳社保的证明复印件）</w:t>
            </w:r>
            <w:r/>
          </w:p>
          <w:p>
            <w:pPr>
              <w:jc w:val="left"/>
              <w:spacing w:line="360" w:lineRule="auto"/>
              <w:widowControl/>
              <w:rPr>
                <w:rFonts w:ascii="宋体" w:hAnsi="宋体"/>
                <w:szCs w:val="21"/>
              </w:rPr>
            </w:pPr>
            <w:r>
              <w:rPr>
                <w:rFonts w:hint="eastAsia" w:ascii="宋体" w:hAnsi="宋体" w:cs="宋体"/>
                <w:szCs w:val="21"/>
              </w:rPr>
              <w:t xml:space="preserve">3、投标人具有ISO14001环境管理体系认证证书，ISO45001职业健康安全管理体系认证证书，ISO9001质量管理体系认证证书，ISO27001信息安全管理体系认证证书；每提供一个的0.5分，满分2分。</w:t>
            </w:r>
            <w:r>
              <w:rPr>
                <w:rFonts w:hint="eastAsia" w:ascii="宋体" w:hAnsi="宋体" w:cs="宋体"/>
                <w:b/>
                <w:bCs/>
                <w:szCs w:val="21"/>
              </w:rPr>
              <w:t xml:space="preserve">（证书原件扫描上传）</w:t>
            </w:r>
            <w:r/>
          </w:p>
        </w:tc>
      </w:tr>
      <w:tr>
        <w:trPr>
          <w:trHeight w:val="973"/>
        </w:trPr>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业绩（</w:t>
            </w:r>
            <w:r>
              <w:rPr>
                <w:rFonts w:ascii="宋体" w:hAnsi="宋体" w:cs="宋体"/>
                <w:color w:val="000000"/>
                <w:szCs w:val="21"/>
              </w:rPr>
              <w:t xml:space="preserve">4</w:t>
            </w:r>
            <w:r>
              <w:rPr>
                <w:rFonts w:hint="eastAsia" w:ascii="宋体" w:hAnsi="宋体" w:cs="宋体"/>
                <w:color w:val="000000"/>
                <w:szCs w:val="21"/>
              </w:rPr>
              <w:t xml:space="preserve">分）</w:t>
            </w:r>
            <w:r/>
          </w:p>
        </w:tc>
        <w:tc>
          <w:tcPr>
            <w:tcBorders>
              <w:top w:val="single" w:color="auto" w:sz="4" w:space="0"/>
              <w:left w:val="single" w:color="auto" w:sz="4" w:space="0"/>
              <w:bottom w:val="single" w:color="auto" w:sz="4" w:space="0"/>
              <w:right w:val="single" w:color="auto" w:sz="4" w:space="0"/>
            </w:tcBorders>
            <w:tcW w:w="7417"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投标人提供2023年1月1日以来类似项目的业绩合同。每提供一个得1分，满分</w:t>
            </w:r>
            <w:r>
              <w:rPr>
                <w:rFonts w:ascii="宋体" w:hAnsi="宋体" w:cs="宋体"/>
                <w:color w:val="000000"/>
                <w:szCs w:val="21"/>
              </w:rPr>
              <w:t xml:space="preserve">4</w:t>
            </w:r>
            <w:r>
              <w:rPr>
                <w:rFonts w:hint="eastAsia" w:ascii="宋体" w:hAnsi="宋体" w:cs="宋体"/>
                <w:color w:val="000000"/>
                <w:szCs w:val="21"/>
              </w:rPr>
              <w:t xml:space="preserve">分。</w:t>
            </w:r>
            <w:r>
              <w:rPr>
                <w:rFonts w:hint="eastAsia" w:ascii="宋体" w:hAnsi="宋体" w:cs="宋体"/>
                <w:b w:val="0"/>
                <w:bCs w:val="0"/>
                <w:color w:val="000000" w:themeColor="text1"/>
                <w:szCs w:val="21"/>
                <w:highlight w:val="none"/>
                <w14:textFill>
                  <w14:solidFill>
                    <w14:schemeClr w14:val="tx1"/>
                  </w14:solidFill>
                </w14:textFill>
              </w:rPr>
              <w:t xml:space="preserve">（以合同签订时间为准，需提供合同和验收报告等（均须原件扫描上传）。）</w:t>
            </w:r>
            <w:r/>
          </w:p>
        </w:tc>
      </w:tr>
      <w:tr>
        <w:trPr>
          <w:trHeight w:val="365"/>
        </w:trPr>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实施方案</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（10分）</w:t>
            </w:r>
            <w:r/>
          </w:p>
        </w:tc>
        <w:tc>
          <w:tcPr>
            <w:tcBorders>
              <w:top w:val="single" w:color="auto" w:sz="4" w:space="0"/>
              <w:left w:val="single" w:color="auto" w:sz="4" w:space="0"/>
              <w:bottom w:val="single" w:color="auto" w:sz="4" w:space="0"/>
              <w:right w:val="single" w:color="auto" w:sz="4" w:space="0"/>
            </w:tcBorders>
            <w:tcW w:w="7417"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根据各投标人所提供整体项目实施方案，包括功能模块、技术方案具有科学性、先进性、合理性、适合本项目特点,施工方案组织计划设计、保证项目质量措施等，方案细致全面、合理，整体技术实施方案完全响应需求，得5分；实施技术方案较为完整，基本响应需求得3分；方案不完整、响应度低、技术可行性较低得1分；未提供项目实施方案不得分。</w:t>
            </w:r>
            <w:r/>
          </w:p>
          <w:p>
            <w:pPr>
              <w:jc w:val="left"/>
              <w:spacing w:line="360" w:lineRule="auto"/>
              <w:widowControl/>
              <w:rPr>
                <w:rFonts w:ascii="宋体" w:hAnsi="宋体" w:cs="宋体"/>
                <w:color w:val="000000"/>
                <w:szCs w:val="21"/>
              </w:rPr>
            </w:pPr>
            <w:r>
              <w:rPr>
                <w:rFonts w:hint="eastAsia" w:ascii="宋体" w:hAnsi="宋体" w:cs="宋体"/>
                <w:szCs w:val="21"/>
              </w:rPr>
              <w:t xml:space="preserve">2、投标人需要根据本项目建设要求提供施工现场布线图，整体施工现场布线图布置合理，完全符合现场需求，得5分；施工现场布线图较为完整，基本符合需求得3分；施工现场布线图不完整、部分符合需求得1分；未提供施工现场布线图不得分。</w:t>
            </w:r>
            <w:r/>
          </w:p>
        </w:tc>
      </w:tr>
      <w:tr>
        <w:trPr>
          <w:trHeight w:val="4100"/>
        </w:trPr>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售后服务</w:t>
            </w:r>
            <w:r/>
          </w:p>
          <w:p>
            <w:pPr>
              <w:jc w:val="center"/>
              <w:spacing w:line="360" w:lineRule="auto"/>
              <w:widowControl/>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6</w:t>
            </w:r>
            <w:r>
              <w:rPr>
                <w:rFonts w:hint="eastAsia" w:ascii="宋体" w:hAnsi="宋体" w:cs="宋体"/>
                <w:color w:val="000000"/>
                <w:szCs w:val="21"/>
              </w:rPr>
              <w:t xml:space="preserve">分）</w:t>
            </w:r>
            <w:r/>
          </w:p>
        </w:tc>
        <w:tc>
          <w:tcPr>
            <w:tcBorders>
              <w:top w:val="single" w:color="auto" w:sz="4" w:space="0"/>
              <w:left w:val="single" w:color="auto" w:sz="4" w:space="0"/>
              <w:bottom w:val="single" w:color="auto" w:sz="4" w:space="0"/>
              <w:right w:val="single" w:color="auto" w:sz="4" w:space="0"/>
            </w:tcBorders>
            <w:tcW w:w="7417" w:type="dxa"/>
            <w:vAlign w:val="center"/>
            <w:textDirection w:val="lrTb"/>
            <w:noWrap w:val="false"/>
          </w:tcPr>
          <w:p>
            <w:pPr>
              <w:jc w:val="left"/>
              <w:spacing w:line="360" w:lineRule="auto"/>
              <w:widowControl/>
              <w:rPr>
                <w:rFonts w:ascii="宋体" w:hAnsi="宋体" w:cs="宋体"/>
                <w:color w:val="000000"/>
                <w:szCs w:val="21"/>
              </w:rPr>
            </w:pPr>
            <w:r>
              <w:rPr>
                <w:rFonts w:hint="eastAsia" w:ascii="宋体" w:hAnsi="宋体" w:cs="宋体"/>
                <w:color w:val="000000"/>
                <w:szCs w:val="21"/>
              </w:rPr>
              <w:t xml:space="preserve">售后服务方案：</w:t>
            </w:r>
            <w:r/>
          </w:p>
          <w:p>
            <w:pPr>
              <w:jc w:val="left"/>
              <w:spacing w:line="360" w:lineRule="auto"/>
              <w:widowControl/>
              <w:rPr>
                <w:rFonts w:ascii="宋体" w:hAnsi="宋体" w:cs="宋体"/>
                <w:color w:val="000000"/>
                <w:szCs w:val="21"/>
              </w:rPr>
            </w:pPr>
            <w:r>
              <w:rPr>
                <w:rFonts w:hint="eastAsia" w:ascii="宋体" w:hAnsi="宋体" w:cs="宋体"/>
                <w:color w:val="000000"/>
                <w:szCs w:val="21"/>
              </w:rPr>
              <w:t xml:space="preserve">1、包括售后服务、应急响应方案、培训体系等。</w:t>
            </w:r>
            <w:r/>
          </w:p>
          <w:p>
            <w:pPr>
              <w:jc w:val="left"/>
              <w:spacing w:line="360" w:lineRule="auto"/>
              <w:rPr>
                <w:rFonts w:ascii="宋体" w:hAnsi="宋体" w:cs="宋体"/>
                <w:color w:val="000000"/>
                <w:szCs w:val="21"/>
              </w:rPr>
            </w:pPr>
            <w:r>
              <w:rPr>
                <w:rFonts w:hint="eastAsia" w:ascii="宋体" w:hAnsi="宋体" w:cs="宋体"/>
                <w:color w:val="000000"/>
                <w:szCs w:val="21"/>
              </w:rPr>
              <w:t xml:space="preserve">售后服务方案细致全面、合理、可行性强得3分；售后服务方案较为完整，基本可行得2分；售后服务方案不完整、可行性较低得1分；未提供项目售后服务方案的不得分。</w:t>
            </w:r>
            <w:r/>
          </w:p>
          <w:p>
            <w:pPr>
              <w:jc w:val="left"/>
              <w:spacing w:line="360" w:lineRule="auto"/>
              <w:rPr>
                <w:rFonts w:ascii="宋体" w:hAnsi="宋体" w:cs="宋体"/>
                <w:color w:val="000000"/>
                <w:szCs w:val="21"/>
              </w:rPr>
            </w:pPr>
            <w:r>
              <w:rPr>
                <w:rFonts w:hint="eastAsia" w:ascii="宋体" w:hAnsi="宋体" w:cs="宋体"/>
                <w:color w:val="000000"/>
                <w:szCs w:val="21"/>
              </w:rPr>
              <w:t xml:space="preserve">2、投标人售后服务响应时间小于等于0.5小时，得1分，售后服务响应时间大于0.5小时，小于等于2小时得0.5分，响应时间超过2小时不得分。</w:t>
            </w:r>
            <w:r>
              <w:rPr>
                <w:rFonts w:hint="eastAsia" w:ascii="宋体" w:hAnsi="宋体" w:cs="宋体"/>
                <w:b/>
                <w:bCs/>
                <w:szCs w:val="21"/>
              </w:rPr>
              <w:t xml:space="preserve">（提供承诺函扫描上传）</w:t>
            </w:r>
            <w:r/>
          </w:p>
          <w:p>
            <w:pPr>
              <w:jc w:val="left"/>
              <w:spacing w:line="360" w:lineRule="auto"/>
              <w:widowControl/>
              <w:rPr>
                <w:rFonts w:ascii="宋体" w:hAnsi="宋体" w:cs="宋体"/>
                <w:color w:val="000000"/>
                <w:szCs w:val="21"/>
              </w:rPr>
            </w:pP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在现有免费质保期（三年）基础上</w:t>
            </w:r>
            <w:r>
              <w:rPr>
                <w:rFonts w:hint="eastAsia" w:ascii="宋体" w:hAnsi="宋体" w:cs="宋体"/>
                <w:szCs w:val="21"/>
              </w:rPr>
              <w:t xml:space="preserve">，每增加一年质保得</w:t>
            </w:r>
            <w:r>
              <w:rPr>
                <w:rFonts w:ascii="宋体" w:hAnsi="宋体" w:cs="宋体"/>
                <w:szCs w:val="21"/>
              </w:rPr>
              <w:t xml:space="preserve">1</w:t>
            </w:r>
            <w:r>
              <w:rPr>
                <w:rFonts w:hint="eastAsia" w:ascii="宋体" w:hAnsi="宋体" w:cs="宋体"/>
                <w:szCs w:val="21"/>
              </w:rPr>
              <w:t xml:space="preserve">分，</w:t>
            </w:r>
            <w:r>
              <w:rPr>
                <w:rFonts w:hint="eastAsia" w:ascii="宋体" w:hAnsi="宋体" w:cs="宋体"/>
                <w:color w:val="000000"/>
                <w:szCs w:val="21"/>
              </w:rPr>
              <w:t xml:space="preserve">最高得</w:t>
            </w:r>
            <w:r>
              <w:rPr>
                <w:rFonts w:ascii="宋体" w:hAnsi="宋体" w:cs="宋体"/>
                <w:color w:val="000000"/>
                <w:szCs w:val="21"/>
              </w:rPr>
              <w:t xml:space="preserve">2</w:t>
            </w:r>
            <w:r>
              <w:rPr>
                <w:rFonts w:hint="eastAsia" w:ascii="宋体" w:hAnsi="宋体" w:cs="宋体"/>
                <w:color w:val="000000"/>
                <w:szCs w:val="21"/>
              </w:rPr>
              <w:t xml:space="preserve">分，未提供不得分。</w:t>
            </w:r>
            <w:r>
              <w:rPr>
                <w:rFonts w:hint="eastAsia" w:ascii="宋体" w:hAnsi="宋体" w:cs="宋体"/>
                <w:b/>
                <w:bCs/>
                <w:szCs w:val="21"/>
              </w:rPr>
              <w:t xml:space="preserve">（提供承诺函扫描上传）</w:t>
            </w:r>
            <w:r/>
          </w:p>
        </w:tc>
      </w:tr>
      <w:tr>
        <w:trPr>
          <w:trHeight w:val="1134"/>
        </w:trPr>
        <w:tc>
          <w:tcPr>
            <w:shd w:val="clear" w:color="auto" w:fill="auto"/>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节能环保（</w:t>
            </w:r>
            <w:r>
              <w:rPr>
                <w:rFonts w:ascii="宋体" w:hAnsi="宋体" w:cs="宋体"/>
                <w:szCs w:val="21"/>
              </w:rPr>
              <w:t xml:space="preserve">1</w:t>
            </w:r>
            <w:r>
              <w:rPr>
                <w:rFonts w:hint="eastAsia" w:ascii="宋体" w:hAnsi="宋体" w:cs="宋体"/>
                <w:szCs w:val="21"/>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7417"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1、投标产品属于财政部、国家发改委公布的“节能产品品目清单”范围内的，投标人提供国家确定的认证机构出具的、处于有效期之内的该节能产品认证证书复印件的，有1个得0.5分，最多得</w:t>
            </w:r>
            <w:r>
              <w:rPr>
                <w:rFonts w:ascii="宋体" w:hAnsi="宋体" w:cs="宋体"/>
                <w:szCs w:val="21"/>
              </w:rPr>
              <w:t xml:space="preserve">0.5</w:t>
            </w:r>
            <w:r>
              <w:rPr>
                <w:rFonts w:hint="eastAsia" w:ascii="宋体" w:hAnsi="宋体" w:cs="宋体"/>
                <w:szCs w:val="21"/>
              </w:rPr>
              <w:t xml:space="preserve">分。如投标产品均属于政府强制采购节能产品品目清单范围内，本项不得分。</w:t>
            </w:r>
            <w:r/>
          </w:p>
          <w:p>
            <w:pPr>
              <w:jc w:val="left"/>
              <w:spacing w:line="360" w:lineRule="auto"/>
              <w:widowControl/>
              <w:rPr>
                <w:rFonts w:ascii="宋体" w:hAnsi="宋体" w:cs="宋体"/>
                <w:szCs w:val="21"/>
              </w:rPr>
            </w:pPr>
            <w:r>
              <w:rPr>
                <w:rFonts w:hint="eastAsia" w:ascii="宋体" w:hAnsi="宋体" w:cs="宋体"/>
                <w:szCs w:val="21"/>
              </w:rPr>
              <w:t xml:space="preserve">2、投标产品属于财政部、生态环境部公布的“环境标志产品品目清单”范围内的，投标人提供国家确定的认证机构出具的、处于有效期内的该环保产品认证证书复印件的，有1个得0.5分，最多得</w:t>
            </w:r>
            <w:r>
              <w:rPr>
                <w:rFonts w:ascii="宋体" w:hAnsi="宋体" w:cs="宋体"/>
                <w:szCs w:val="21"/>
              </w:rPr>
              <w:t xml:space="preserve">0.5</w:t>
            </w:r>
            <w:r>
              <w:rPr>
                <w:rFonts w:hint="eastAsia" w:ascii="宋体" w:hAnsi="宋体" w:cs="宋体"/>
                <w:szCs w:val="21"/>
              </w:rPr>
              <w:t xml:space="preserve">分。</w:t>
            </w:r>
            <w:r/>
          </w:p>
        </w:tc>
      </w:tr>
    </w:tbl>
    <w:p>
      <w:pPr>
        <w:contextualSpacing/>
        <w:ind w:firstLine="422"/>
        <w:spacing w:line="360" w:lineRule="auto"/>
        <w:tabs>
          <w:tab w:val="left" w:pos="1134" w:leader="none"/>
        </w:tabs>
        <w:rPr>
          <w:rFonts w:ascii="Times New Roman" w:hAnsi="Times New Roman"/>
          <w:b/>
          <w:color w:val="000000" w:themeColor="text1"/>
          <w:szCs w:val="21"/>
          <w14:textFill>
            <w14:solidFill>
              <w14:schemeClr w14:val="tx1"/>
            </w14:solidFill>
          </w14:textFill>
        </w:rPr>
      </w:pPr>
      <w:r>
        <w:rPr>
          <w:rFonts w:hint="eastAsia" w:ascii="Times New Roman" w:hAnsi="Times New Roman"/>
          <w:b/>
          <w:color w:val="000000" w:themeColor="text1"/>
          <w:szCs w:val="21"/>
          <w14:textFill>
            <w14:solidFill>
              <w14:schemeClr w14:val="tx1"/>
            </w14:solidFill>
          </w14:textFill>
        </w:rPr>
        <w:t xml:space="preserve">四、本次采购执行财政部发布《关于推动解决政府采购异常低价问题的通知》财库〔2026〕2号）的文件要求。</w:t>
      </w:r>
      <w:r/>
    </w:p>
    <w:p>
      <w:pPr>
        <w:contextualSpacing/>
        <w:ind w:firstLine="420"/>
        <w:spacing w:line="360" w:lineRule="auto"/>
        <w:tabs>
          <w:tab w:val="left" w:pos="1134"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（一）评审过程中出现下列情形之一的，评标委员会应当启动异常低价投标（响应）审查程序：</w:t>
      </w:r>
      <w:r/>
    </w:p>
    <w:p>
      <w:pPr>
        <w:contextualSpacing/>
        <w:ind w:firstLine="420"/>
        <w:spacing w:line="360" w:lineRule="auto"/>
        <w:tabs>
          <w:tab w:val="left" w:pos="1134"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contextualSpacing/>
        <w:ind w:firstLine="420"/>
        <w:spacing w:line="360" w:lineRule="auto"/>
        <w:tabs>
          <w:tab w:val="left" w:pos="1134"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contextualSpacing/>
        <w:ind w:firstLine="420"/>
        <w:spacing w:line="360" w:lineRule="auto"/>
        <w:tabs>
          <w:tab w:val="left" w:pos="1134"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3.投标（响应）报价低于采购项目最高限价45%的，即投标（响应）报价&lt;采购项目最高限价×45%；</w:t>
      </w:r>
      <w:r/>
    </w:p>
    <w:p>
      <w:pPr>
        <w:contextualSpacing/>
        <w:ind w:firstLine="420"/>
        <w:spacing w:line="360" w:lineRule="auto"/>
        <w:tabs>
          <w:tab w:val="left" w:pos="1134"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4.评标委员会基于专业判断，认为供应商报价过低，有可能影响产品质量或者不能诚信履约的其他情形。</w:t>
      </w:r>
      <w:r/>
    </w:p>
    <w:p>
      <w:pPr>
        <w:contextualSpacing/>
        <w:ind w:firstLine="420"/>
        <w:spacing w:line="360" w:lineRule="auto"/>
        <w:tabs>
          <w:tab w:val="left" w:pos="1134"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二）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contextualSpacing/>
        <w:ind w:firstLine="420"/>
        <w:spacing w:line="360" w:lineRule="auto"/>
        <w:tabs>
          <w:tab w:val="left" w:pos="1134"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contextualSpacing/>
        <w:ind w:firstLine="420"/>
        <w:spacing w:line="360" w:lineRule="auto"/>
        <w:tabs>
          <w:tab w:val="left" w:pos="1134"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rPr>
          <w:rFonts w:ascii="宋体" w:hAnsi="宋体"/>
        </w:rPr>
      </w:pPr>
      <w:r>
        <w:rPr>
          <w:rFonts w:ascii="宋体" w:hAnsi="宋体"/>
        </w:rPr>
      </w:r>
      <w:r/>
    </w:p>
    <w:p>
      <w:pPr>
        <w:pStyle w:val="859"/>
        <w:rPr>
          <w:rFonts w:ascii="宋体" w:hAnsi="宋体"/>
        </w:rPr>
      </w:pPr>
      <w:r>
        <w:rPr>
          <w:rFonts w:ascii="宋体" w:hAnsi="宋体"/>
        </w:rPr>
      </w:r>
      <w:r/>
    </w:p>
    <w:p>
      <w:pPr>
        <w:pStyle w:val="860"/>
        <w:rPr>
          <w:rFonts w:ascii="宋体" w:hAnsi="宋体"/>
        </w:rPr>
      </w:pPr>
      <w:r>
        <w:rPr>
          <w:rFonts w:ascii="宋体" w:hAnsi="宋体"/>
        </w:rPr>
      </w:r>
      <w:r/>
    </w:p>
    <w:p>
      <w:pPr>
        <w:pStyle w:val="861"/>
        <w:rPr>
          <w:rFonts w:ascii="宋体" w:hAnsi="宋体"/>
        </w:rPr>
      </w:pPr>
      <w:r>
        <w:rPr>
          <w:rFonts w:ascii="宋体" w:hAnsi="宋体"/>
        </w:rPr>
      </w:r>
      <w:r/>
    </w:p>
    <w:p>
      <w:pPr>
        <w:pStyle w:val="862"/>
        <w:rPr>
          <w:rFonts w:ascii="宋体" w:hAnsi="宋体"/>
        </w:rPr>
      </w:pPr>
      <w:r>
        <w:rPr>
          <w:rFonts w:ascii="宋体" w:hAnsi="宋体"/>
        </w:rPr>
      </w:r>
      <w:r/>
    </w:p>
    <w:p>
      <w:pPr>
        <w:pStyle w:val="863"/>
        <w:rPr>
          <w:rFonts w:ascii="宋体" w:hAnsi="宋体"/>
        </w:rPr>
      </w:pPr>
      <w:r>
        <w:rPr>
          <w:rFonts w:ascii="宋体" w:hAnsi="宋体"/>
        </w:rPr>
      </w:r>
      <w:r/>
    </w:p>
    <w:p>
      <w:pPr>
        <w:pStyle w:val="864"/>
        <w:rPr>
          <w:rFonts w:ascii="宋体" w:hAnsi="宋体"/>
        </w:rPr>
      </w:pPr>
      <w:r>
        <w:rPr>
          <w:rFonts w:ascii="宋体" w:hAnsi="宋体"/>
        </w:rPr>
      </w:r>
      <w:r/>
    </w:p>
    <w:p>
      <w:pPr>
        <w:pStyle w:val="865"/>
        <w:rPr>
          <w:rFonts w:ascii="宋体" w:hAnsi="宋体"/>
        </w:rPr>
      </w:pPr>
      <w:r>
        <w:rPr>
          <w:rFonts w:ascii="宋体" w:hAnsi="宋体"/>
        </w:rPr>
      </w:r>
      <w:r/>
    </w:p>
    <w:p>
      <w:pPr>
        <w:pStyle w:val="849"/>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rPr>
          <w:rFonts w:ascii="宋体" w:hAnsi="宋体"/>
        </w:rPr>
      </w:pPr>
      <w:r>
        <w:rPr>
          <w:rFonts w:ascii="宋体" w:hAnsi="宋体"/>
        </w:rPr>
      </w:r>
      <w:r/>
    </w:p>
    <w:p>
      <w:pPr>
        <w:pStyle w:val="859"/>
      </w:pPr>
      <w:r/>
      <w:r/>
    </w:p>
    <w:p>
      <w:pPr>
        <w:pStyle w:val="860"/>
      </w:pPr>
      <w:r/>
      <w:r/>
    </w:p>
    <w:p>
      <w:pPr>
        <w:pStyle w:val="1020"/>
        <w:jc w:val="center"/>
        <w:spacing w:line="360" w:lineRule="auto"/>
        <w:rPr>
          <w:rFonts w:ascii="宋体" w:hAnsi="宋体"/>
        </w:rPr>
      </w:pPr>
      <w:r>
        <w:rPr>
          <w:rFonts w:hint="eastAsia" w:ascii="宋体" w:hAnsi="宋体"/>
        </w:rPr>
        <w:t xml:space="preserve">第六章 投标文件格式 </w:t>
      </w:r>
      <w:r/>
    </w:p>
    <w:p>
      <w:pPr>
        <w:spacing w:line="360" w:lineRule="auto"/>
        <w:rPr>
          <w:rFonts w:ascii="黑体" w:eastAsia="黑体"/>
          <w:bCs/>
          <w:sz w:val="44"/>
        </w:rPr>
      </w:pPr>
      <w:r>
        <w:rPr>
          <w:rFonts w:ascii="黑体" w:eastAsia="黑体"/>
          <w:bCs/>
          <w:sz w:val="44"/>
        </w:rPr>
      </w:r>
      <w:r/>
    </w:p>
    <w:p>
      <w:pPr>
        <w:jc w:val="center"/>
        <w:spacing w:line="360" w:lineRule="auto"/>
        <w:rPr>
          <w:rFonts w:ascii="宋体" w:hAnsi="宋体"/>
          <w:b/>
          <w:sz w:val="72"/>
        </w:rPr>
      </w:pPr>
      <w:r>
        <w:rPr>
          <w:rFonts w:hint="eastAsia" w:ascii="宋体" w:hAnsi="宋体"/>
          <w:b/>
          <w:sz w:val="72"/>
        </w:rPr>
        <w:t xml:space="preserve">投  标  文  件</w:t>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36"/>
        </w:rPr>
      </w:pPr>
      <w:r>
        <w:rPr>
          <w:rFonts w:ascii="宋体" w:hAnsi="宋体"/>
          <w:b/>
          <w:sz w:val="36"/>
        </w:rPr>
      </w:r>
      <w:r/>
    </w:p>
    <w:p>
      <w:pP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ind w:firstLine="1807"/>
        <w:spacing w:line="360" w:lineRule="auto"/>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807"/>
        <w:spacing w:line="360" w:lineRule="auto"/>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807"/>
        <w:spacing w:line="360" w:lineRule="auto"/>
        <w:rPr>
          <w:rFonts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pStyle w:val="1042"/>
        <w:ind w:firstLine="643"/>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hint="eastAsia" w:ascii="宋体" w:hAnsi="宋体"/>
          <w:b/>
          <w:bCs/>
          <w:sz w:val="32"/>
          <w:szCs w:val="32"/>
        </w:rPr>
        <w:t xml:space="preserve">投标主要文件目录</w:t>
      </w:r>
      <w:r/>
    </w:p>
    <w:p>
      <w:pPr>
        <w:jc w:val="center"/>
        <w:spacing w:line="360" w:lineRule="auto"/>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ascii="宋体" w:hAnsi="宋体"/>
          <w:sz w:val="24"/>
        </w:rPr>
      </w:pPr>
      <w:r>
        <w:rPr>
          <w:rFonts w:hint="eastAsia" w:ascii="宋体" w:hAnsi="宋体"/>
          <w:sz w:val="24"/>
        </w:rPr>
        <w:t xml:space="preserve">五、投标产品配置及分项报价表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 （投标人认为有必要提供的声明和文件，如有自拟并自行添加）</w:t>
      </w:r>
      <w:r/>
    </w:p>
    <w:p>
      <w:pPr>
        <w:contextualSpacing/>
        <w:jc w:val="center"/>
        <w:spacing w:line="360" w:lineRule="auto"/>
        <w:rPr>
          <w:rFonts w:ascii="宋体" w:hAnsi="宋体"/>
          <w:b/>
          <w:sz w:val="72"/>
        </w:rPr>
      </w:pPr>
      <w:r>
        <w:rPr>
          <w:rFonts w:ascii="宋体" w:hAnsi="宋体"/>
          <w:b/>
          <w:sz w:val="72"/>
        </w:rPr>
      </w:r>
      <w:r/>
    </w:p>
    <w:p>
      <w:pPr>
        <w:contextualSpacing/>
        <w:jc w:val="center"/>
        <w:spacing w:line="360" w:lineRule="auto"/>
        <w:rPr>
          <w:rFonts w:ascii="宋体" w:hAnsi="宋体"/>
          <w:b/>
          <w:sz w:val="72"/>
        </w:rPr>
      </w:pPr>
      <w:r>
        <w:rPr>
          <w:rFonts w:ascii="宋体" w:hAnsi="宋体"/>
          <w:b/>
          <w:sz w:val="72"/>
        </w:rPr>
      </w:r>
      <w:r/>
    </w:p>
    <w:p>
      <w:pPr>
        <w:contextualSpacing/>
        <w:jc w:val="center"/>
        <w:spacing w:line="360" w:lineRule="auto"/>
        <w:rPr>
          <w:rFonts w:ascii="宋体" w:hAnsi="宋体"/>
          <w:b/>
          <w:sz w:val="72"/>
        </w:rPr>
      </w:pPr>
      <w:r>
        <w:rPr>
          <w:rFonts w:ascii="宋体" w:hAnsi="宋体"/>
          <w:b/>
          <w:sz w:val="72"/>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pStyle w:val="833"/>
      </w:pPr>
      <w:r/>
      <w:r/>
    </w:p>
    <w:p>
      <w:pPr>
        <w:pStyle w:val="1021"/>
        <w:spacing w:line="360" w:lineRule="auto"/>
        <w:rPr>
          <w:rFonts w:ascii="宋体" w:hAnsi="宋体" w:eastAsia="宋体"/>
          <w:b w:val="0"/>
          <w:sz w:val="32"/>
          <w:szCs w:val="32"/>
        </w:rPr>
      </w:pPr>
      <w:r>
        <w:rPr>
          <w:rFonts w:hint="eastAsia" w:ascii="宋体" w:hAnsi="宋体" w:eastAsia="宋体"/>
          <w:sz w:val="32"/>
        </w:rPr>
        <w:t xml:space="preserve">一、资格审查响应对照表</w:t>
      </w:r>
      <w:r/>
    </w:p>
    <w:tbl>
      <w:tblPr>
        <w:tblStyle w:val="827"/>
        <w:tblW w:w="9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6311"/>
        <w:gridCol w:w="2207"/>
      </w:tblGrid>
      <w:tr>
        <w:trPr>
          <w:trHeight w:val="683"/>
        </w:trPr>
        <w:tc>
          <w:tcPr>
            <w:tcW w:w="660"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序号</w:t>
            </w:r>
            <w:r/>
          </w:p>
        </w:tc>
        <w:tc>
          <w:tcPr>
            <w:tcW w:w="6311"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资格审查响应内容</w:t>
            </w:r>
            <w:r/>
          </w:p>
        </w:tc>
        <w:tc>
          <w:tcPr>
            <w:tcW w:w="2207"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r>
      <w:tr>
        <w:trPr>
          <w:trHeight w:val="358"/>
        </w:trPr>
        <w:tc>
          <w:tcPr>
            <w:gridSpan w:val="3"/>
            <w:tcW w:w="9178" w:type="dxa"/>
            <w:vAlign w:val="center"/>
            <w:textDirection w:val="lrTb"/>
            <w:noWrap w:val="false"/>
          </w:tcPr>
          <w:p>
            <w:pPr>
              <w:spacing w:line="360" w:lineRule="auto"/>
              <w:rPr>
                <w:rFonts w:ascii="宋体" w:hAnsi="宋体"/>
                <w:b/>
                <w:szCs w:val="21"/>
              </w:rPr>
            </w:pPr>
            <w:r>
              <w:rPr>
                <w:rFonts w:hint="eastAsia" w:ascii="宋体" w:hAnsi="宋体"/>
                <w:b/>
                <w:szCs w:val="21"/>
              </w:rPr>
              <w:t xml:space="preserve">通用资格条件</w:t>
            </w:r>
            <w:r/>
          </w:p>
        </w:tc>
      </w:tr>
      <w:tr>
        <w:trPr>
          <w:trHeight w:val="567"/>
        </w:trPr>
        <w:tc>
          <w:tcPr>
            <w:tcW w:w="660" w:type="dxa"/>
            <w:vAlign w:val="center"/>
            <w:textDirection w:val="lrTb"/>
            <w:noWrap w:val="false"/>
          </w:tcPr>
          <w:p>
            <w:pPr>
              <w:jc w:val="center"/>
              <w:spacing w:line="360" w:lineRule="auto"/>
              <w:rPr>
                <w:rFonts w:ascii="宋体" w:hAnsi="宋体"/>
                <w:b/>
                <w:szCs w:val="21"/>
              </w:rPr>
            </w:pPr>
            <w:r>
              <w:rPr>
                <w:rFonts w:hint="eastAsia" w:ascii="宋体" w:hAnsi="宋体"/>
                <w:szCs w:val="21"/>
              </w:rPr>
              <w:t xml:space="preserve">1</w:t>
            </w:r>
            <w:r/>
          </w:p>
        </w:tc>
        <w:tc>
          <w:tcPr>
            <w:tcW w:w="6311" w:type="dxa"/>
            <w:vAlign w:val="center"/>
            <w:textDirection w:val="lrTb"/>
            <w:noWrap w:val="false"/>
          </w:tcPr>
          <w:p>
            <w:pPr>
              <w:spacing w:line="360" w:lineRule="auto"/>
              <w:rPr>
                <w:rFonts w:ascii="宋体" w:hAnsi="宋体"/>
                <w:iCs/>
                <w:szCs w:val="21"/>
              </w:rPr>
            </w:pPr>
            <w:r>
              <w:rPr>
                <w:rFonts w:hint="eastAsia" w:ascii="宋体" w:hAnsi="宋体"/>
                <w:szCs w:val="21"/>
              </w:rPr>
              <w:t xml:space="preserve">法人或者其他组织的营业执照等证明文件，自然人的身份证明；</w:t>
            </w:r>
            <w:r/>
          </w:p>
        </w:tc>
        <w:tc>
          <w:tcPr>
            <w:tcW w:w="2207"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67"/>
        </w:trPr>
        <w:tc>
          <w:tcPr>
            <w:tcW w:w="66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6311" w:type="dxa"/>
            <w:vAlign w:val="center"/>
            <w:textDirection w:val="lrTb"/>
            <w:noWrap w:val="false"/>
          </w:tcPr>
          <w:p>
            <w:pPr>
              <w:spacing w:line="360" w:lineRule="auto"/>
              <w:rPr>
                <w:rFonts w:ascii="宋体" w:hAnsi="宋体"/>
                <w:iCs/>
                <w:szCs w:val="21"/>
              </w:rPr>
            </w:pPr>
            <w:r>
              <w:rPr>
                <w:rFonts w:hint="eastAsia" w:ascii="宋体" w:hAnsi="宋体"/>
                <w:szCs w:val="21"/>
              </w:rPr>
              <w:t xml:space="preserve">上一年度的财务状况报告（成立不满一年无需提供）；</w:t>
            </w:r>
            <w:r/>
          </w:p>
        </w:tc>
        <w:tc>
          <w:tcPr>
            <w:tcW w:w="2207"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67"/>
        </w:trPr>
        <w:tc>
          <w:tcPr>
            <w:tcW w:w="66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6311"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新成立企业距投标截止日不足30日的，可不提供，以新办企业营业执照发放日期为准）</w:t>
            </w:r>
            <w:r/>
          </w:p>
        </w:tc>
        <w:tc>
          <w:tcPr>
            <w:tcW w:w="2207"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67"/>
        </w:trPr>
        <w:tc>
          <w:tcPr>
            <w:tcW w:w="66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6311" w:type="dxa"/>
            <w:vAlign w:val="center"/>
            <w:textDirection w:val="lrTb"/>
            <w:noWrap w:val="false"/>
          </w:tcPr>
          <w:p>
            <w:pPr>
              <w:spacing w:line="360" w:lineRule="auto"/>
              <w:rPr>
                <w:rFonts w:ascii="宋体" w:hAnsi="宋体"/>
                <w:iCs/>
                <w:szCs w:val="21"/>
              </w:rPr>
            </w:pPr>
            <w:r>
              <w:rPr>
                <w:rFonts w:hint="eastAsia" w:ascii="宋体" w:hAnsi="宋体"/>
                <w:szCs w:val="21"/>
              </w:rPr>
              <w:t xml:space="preserve">具备履行合同所必需的设备和专业技术能力的书面声明；</w:t>
            </w:r>
            <w:r/>
          </w:p>
        </w:tc>
        <w:tc>
          <w:tcPr>
            <w:tcW w:w="2207"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67"/>
        </w:trPr>
        <w:tc>
          <w:tcPr>
            <w:tcW w:w="66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6311" w:type="dxa"/>
            <w:vAlign w:val="center"/>
            <w:textDirection w:val="lrTb"/>
            <w:noWrap w:val="false"/>
          </w:tcPr>
          <w:p>
            <w:pPr>
              <w:spacing w:line="360" w:lineRule="auto"/>
              <w:rPr>
                <w:rFonts w:ascii="宋体" w:hAnsi="宋体"/>
                <w:iCs/>
                <w:szCs w:val="21"/>
              </w:rPr>
            </w:pPr>
            <w:r>
              <w:rPr>
                <w:rFonts w:hint="eastAsia" w:ascii="宋体" w:hAnsi="宋体"/>
                <w:szCs w:val="21"/>
              </w:rPr>
              <w:t xml:space="preserve">参加政府采购活动前3年内在经营活动中没有重大违法记录的书面声明。</w:t>
            </w:r>
            <w:r/>
          </w:p>
        </w:tc>
        <w:tc>
          <w:tcPr>
            <w:tcW w:w="2207"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67"/>
        </w:trPr>
        <w:tc>
          <w:tcPr>
            <w:tcW w:w="66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c>
          <w:tcPr>
            <w:tcW w:w="6311" w:type="dxa"/>
            <w:vAlign w:val="center"/>
            <w:textDirection w:val="lrTb"/>
            <w:noWrap w:val="false"/>
          </w:tcPr>
          <w:p>
            <w:pPr>
              <w:spacing w:line="360" w:lineRule="auto"/>
              <w:rPr>
                <w:rFonts w:ascii="宋体" w:hAnsi="宋体"/>
                <w:iCs/>
                <w:szCs w:val="21"/>
              </w:rPr>
            </w:pPr>
            <w:r>
              <w:rPr>
                <w:rFonts w:hint="eastAsia" w:ascii="宋体" w:hAnsi="宋体"/>
                <w:szCs w:val="21"/>
              </w:rPr>
              <w:t xml:space="preserve">供应商信用承诺函。</w:t>
            </w:r>
            <w:r/>
          </w:p>
        </w:tc>
        <w:tc>
          <w:tcPr>
            <w:tcW w:w="2207"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67"/>
        </w:trPr>
        <w:tc>
          <w:tcPr>
            <w:tcW w:w="660" w:type="dxa"/>
            <w:vAlign w:val="center"/>
            <w:textDirection w:val="lrTb"/>
            <w:noWrap w:val="false"/>
          </w:tcPr>
          <w:p>
            <w:pPr>
              <w:jc w:val="center"/>
              <w:spacing w:line="360" w:lineRule="auto"/>
              <w:rPr>
                <w:rFonts w:ascii="宋体" w:hAnsi="宋体"/>
                <w:szCs w:val="21"/>
              </w:rPr>
            </w:pPr>
            <w:r>
              <w:rPr>
                <w:rFonts w:ascii="宋体" w:hAnsi="宋体"/>
                <w:szCs w:val="21"/>
              </w:rPr>
              <w:t xml:space="preserve">7</w:t>
            </w:r>
            <w:r/>
          </w:p>
        </w:tc>
        <w:tc>
          <w:tcPr>
            <w:tcW w:w="6311" w:type="dxa"/>
            <w:vAlign w:val="center"/>
            <w:textDirection w:val="lrTb"/>
            <w:noWrap w:val="false"/>
          </w:tcPr>
          <w:p>
            <w:pPr>
              <w:spacing w:line="360" w:lineRule="auto"/>
              <w:rPr>
                <w:rFonts w:ascii="宋体" w:hAnsi="宋体"/>
                <w:szCs w:val="21"/>
              </w:rPr>
            </w:pPr>
            <w:r>
              <w:rPr>
                <w:rFonts w:hint="eastAsia" w:ascii="宋体" w:hAnsi="宋体"/>
                <w:szCs w:val="21"/>
              </w:rPr>
              <w:t xml:space="preserve">未被“信用中国”网站、“中国政府采购网"列入失信被执行人、重大税收违法案件当事人名单、政府采购严重违法失信行为记录名单及其他不符合《中华人民共和国政府采购法》第二十二条规定条件的信用记录。</w:t>
            </w:r>
            <w:r/>
          </w:p>
        </w:tc>
        <w:tc>
          <w:tcPr>
            <w:tcW w:w="2207"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26"/>
        </w:trPr>
        <w:tc>
          <w:tcPr>
            <w:gridSpan w:val="3"/>
            <w:tcW w:w="9178" w:type="dxa"/>
            <w:vAlign w:val="center"/>
            <w:textDirection w:val="lrTb"/>
            <w:noWrap w:val="false"/>
          </w:tcPr>
          <w:p>
            <w:pPr>
              <w:spacing w:line="360" w:lineRule="auto"/>
              <w:rPr>
                <w:rFonts w:ascii="宋体" w:hAnsi="宋体"/>
                <w:szCs w:val="21"/>
              </w:rPr>
            </w:pPr>
            <w:r>
              <w:rPr>
                <w:rFonts w:hint="eastAsia" w:ascii="宋体" w:hAnsi="宋体"/>
                <w:b/>
                <w:szCs w:val="21"/>
              </w:rPr>
              <w:t xml:space="preserve">其他资格条件</w:t>
            </w:r>
            <w:r/>
          </w:p>
        </w:tc>
      </w:tr>
      <w:tr>
        <w:trPr>
          <w:trHeight w:val="426"/>
        </w:trPr>
        <w:tc>
          <w:tcPr>
            <w:tcW w:w="66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10</w:t>
            </w:r>
            <w:r/>
          </w:p>
        </w:tc>
        <w:tc>
          <w:tcPr>
            <w:tcW w:w="6311"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投标函</w:t>
            </w:r>
            <w:r/>
          </w:p>
        </w:tc>
        <w:tc>
          <w:tcPr>
            <w:tcW w:w="2207"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36"/>
        </w:trPr>
        <w:tc>
          <w:tcPr>
            <w:tcW w:w="66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11</w:t>
            </w:r>
            <w:r/>
          </w:p>
        </w:tc>
        <w:tc>
          <w:tcPr>
            <w:tcW w:w="6311"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法人授权书</w:t>
            </w:r>
            <w:r/>
          </w:p>
        </w:tc>
        <w:tc>
          <w:tcPr>
            <w:tcW w:w="2207" w:type="dxa"/>
            <w:vAlign w:val="center"/>
            <w:textDirection w:val="lrTb"/>
            <w:noWrap w:val="false"/>
          </w:tcPr>
          <w:p>
            <w:pPr>
              <w:spacing w:line="360" w:lineRule="auto"/>
              <w:rPr>
                <w:rFonts w:ascii="宋体" w:hAnsi="宋体"/>
                <w:szCs w:val="21"/>
              </w:rPr>
            </w:pPr>
            <w:r>
              <w:rPr>
                <w:rFonts w:ascii="宋体" w:hAnsi="宋体"/>
                <w:szCs w:val="21"/>
              </w:rPr>
            </w:r>
            <w:r/>
          </w:p>
        </w:tc>
      </w:tr>
    </w:tbl>
    <w:p>
      <w:pPr>
        <w:ind w:firstLine="1476"/>
        <w:spacing w:before="156" w:after="156" w:line="360" w:lineRule="auto"/>
        <w:rPr>
          <w:rFonts w:ascii="宋体" w:hAnsi="宋体"/>
          <w:b/>
          <w:bCs/>
        </w:rPr>
        <w:sectPr>
          <w:headerReference w:type="default" r:id="rId10"/>
          <w:footerReference w:type="default" r:id="rId13"/>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b/>
          <w:bCs/>
        </w:rPr>
      </w:r>
      <w:r/>
    </w:p>
    <w:p>
      <w:pPr>
        <w:jc w:val="center"/>
        <w:spacing w:before="156" w:after="156" w:line="360" w:lineRule="auto"/>
        <w:rPr>
          <w:rFonts w:ascii="宋体" w:hAnsi="宋体"/>
          <w:b/>
          <w:bCs/>
          <w:szCs w:val="21"/>
        </w:rPr>
      </w:pPr>
      <w:r>
        <w:rPr>
          <w:rFonts w:hint="eastAsia" w:ascii="宋体" w:hAnsi="宋体"/>
          <w:b/>
          <w:bCs/>
          <w:szCs w:val="21"/>
        </w:rPr>
        <w:t xml:space="preserve">具备履行合同所必需的设备和专业技术能力的书面声明</w:t>
      </w:r>
      <w:r/>
    </w:p>
    <w:p>
      <w:pPr>
        <w:ind w:firstLine="492"/>
        <w:spacing w:line="360" w:lineRule="auto"/>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360" w:lineRule="auto"/>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contextualSpacing/>
        <w:spacing w:line="360" w:lineRule="auto"/>
        <w:rPr>
          <w:rFonts w:ascii="宋体" w:hAnsi="宋体"/>
          <w:b/>
          <w:sz w:val="36"/>
        </w:rPr>
      </w:pPr>
      <w:r>
        <w:rPr>
          <w:rFonts w:ascii="宋体" w:hAnsi="宋体"/>
          <w:b/>
          <w:sz w:val="36"/>
        </w:rPr>
      </w:r>
      <w:r/>
    </w:p>
    <w:p>
      <w:pPr>
        <w:pStyle w:val="1042"/>
        <w:ind w:firstLine="723"/>
        <w:spacing w:line="360" w:lineRule="auto"/>
        <w:rPr>
          <w:rFonts w:ascii="宋体" w:hAnsi="宋体"/>
          <w:b/>
          <w:sz w:val="36"/>
        </w:rPr>
      </w:pPr>
      <w:r>
        <w:rPr>
          <w:rFonts w:ascii="宋体" w:hAnsi="宋体"/>
          <w:b/>
          <w:sz w:val="36"/>
        </w:rPr>
      </w:r>
      <w:r/>
    </w:p>
    <w:p>
      <w:pPr>
        <w:spacing w:line="360" w:lineRule="auto"/>
        <w:rPr>
          <w:rFonts w:ascii="宋体" w:hAnsi="宋体"/>
          <w:bCs/>
        </w:rPr>
      </w:pPr>
      <w:r>
        <w:rPr>
          <w:rFonts w:hint="eastAsia" w:ascii="宋体" w:hAnsi="宋体"/>
          <w:bCs/>
        </w:rPr>
        <w:t xml:space="preserve">                                           供应商名称（公章）：</w:t>
      </w:r>
      <w:r/>
    </w:p>
    <w:p>
      <w:pPr>
        <w:spacing w:line="360" w:lineRule="auto"/>
        <w:rPr>
          <w:rFonts w:ascii="宋体" w:hAnsi="宋体"/>
          <w:bCs/>
          <w:u w:val="single"/>
        </w:rPr>
      </w:pPr>
      <w:r>
        <w:rPr>
          <w:rFonts w:hint="eastAsia" w:ascii="宋体" w:hAnsi="宋体"/>
          <w:bCs/>
        </w:rPr>
        <w:t xml:space="preserve">                                           法定代表人签章： </w:t>
      </w:r>
      <w:r>
        <w:rPr>
          <w:rFonts w:hint="eastAsia" w:ascii="宋体" w:hAnsi="宋体"/>
          <w:bCs/>
          <w:u w:val="single"/>
        </w:rPr>
        <w:t xml:space="preserve">                </w:t>
      </w:r>
      <w:r/>
    </w:p>
    <w:p>
      <w:pPr>
        <w:jc w:val="right"/>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        </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pStyle w:val="1042"/>
        <w:ind w:firstLine="723"/>
        <w:jc w:val="right"/>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jc w:val="center"/>
        <w:spacing w:line="360" w:lineRule="auto"/>
        <w:rPr>
          <w:rFonts w:ascii="宋体" w:hAnsi="宋体"/>
          <w:b/>
          <w:bCs/>
        </w:rPr>
      </w:pPr>
      <w:r>
        <w:rPr>
          <w:rFonts w:hint="eastAsia" w:ascii="宋体" w:hAnsi="宋体"/>
          <w:b/>
          <w:bCs/>
        </w:rPr>
        <w:t xml:space="preserve">参加本次政府采购活动前 3 年内在经营活动中没有重大违法记录的书面声明</w:t>
      </w:r>
      <w:r/>
    </w:p>
    <w:p>
      <w:pPr>
        <w:spacing w:line="360" w:lineRule="auto"/>
        <w:rPr>
          <w:rFonts w:ascii="宋体" w:hAnsi="宋体"/>
        </w:rPr>
      </w:pPr>
      <w:r>
        <w:rPr>
          <w:rFonts w:ascii="宋体" w:hAnsi="宋体"/>
        </w:rPr>
      </w:r>
      <w:r/>
    </w:p>
    <w:p>
      <w:pPr>
        <w:jc w:val="center"/>
        <w:spacing w:after="312" w:line="360" w:lineRule="auto"/>
        <w:rPr>
          <w:rFonts w:ascii="宋体" w:hAnsi="宋体"/>
          <w:b/>
          <w:bCs/>
          <w:sz w:val="28"/>
          <w:szCs w:val="28"/>
        </w:rPr>
      </w:pPr>
      <w:r>
        <w:rPr>
          <w:rFonts w:hint="eastAsia" w:ascii="宋体" w:hAnsi="宋体"/>
          <w:b/>
          <w:bCs/>
          <w:sz w:val="28"/>
          <w:szCs w:val="28"/>
        </w:rPr>
        <w:t xml:space="preserve">声  明</w:t>
      </w:r>
      <w:r/>
    </w:p>
    <w:p>
      <w:pPr>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rPr>
      </w:pPr>
      <w:r>
        <w:rPr>
          <w:rFonts w:hint="eastAsia" w:ascii="宋体" w:hAnsi="宋体"/>
          <w:bCs/>
        </w:rPr>
        <w:t xml:space="preserve">                                    供应商名称（公章）：</w:t>
      </w:r>
      <w:r/>
    </w:p>
    <w:p>
      <w:pPr>
        <w:spacing w:line="360" w:lineRule="auto"/>
        <w:rPr>
          <w:rFonts w:ascii="宋体" w:hAnsi="宋体"/>
          <w:bCs/>
          <w:u w:val="single"/>
        </w:rPr>
      </w:pPr>
      <w:r>
        <w:rPr>
          <w:rFonts w:hint="eastAsia" w:ascii="宋体" w:hAnsi="宋体"/>
          <w:bCs/>
        </w:rPr>
        <w:t xml:space="preserve">                                    法定代表人签章： </w:t>
      </w:r>
      <w:r>
        <w:rPr>
          <w:rFonts w:hint="eastAsia" w:ascii="宋体" w:hAnsi="宋体"/>
          <w:bCs/>
          <w:u w:val="single"/>
        </w:rPr>
        <w:t xml:space="preserve">                         </w:t>
      </w:r>
      <w:r/>
    </w:p>
    <w:p>
      <w:pPr>
        <w:jc w:val="right"/>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        </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方正仿宋_GBK"/>
          <w:szCs w:val="32"/>
        </w:rPr>
      </w:pPr>
      <w:r>
        <w:rPr>
          <w:rFonts w:hint="eastAsia" w:ascii="宋体" w:hAnsi="宋体"/>
          <w:b/>
          <w:bCs/>
        </w:rPr>
        <w:br w:type="page" w:clear="all"/>
      </w:r>
      <w:r>
        <w:rPr>
          <w:rFonts w:hint="eastAsia" w:ascii="宋体" w:hAnsi="宋体"/>
          <w:b/>
          <w:szCs w:val="21"/>
        </w:rPr>
        <w:t xml:space="preserve">供应商信用承诺函</w:t>
      </w:r>
      <w:r/>
    </w:p>
    <w:p>
      <w:pPr>
        <w:spacing w:line="360" w:lineRule="auto"/>
        <w:rPr>
          <w:rFonts w:ascii="宋体" w:hAnsi="宋体"/>
          <w:szCs w:val="21"/>
        </w:rPr>
      </w:pPr>
      <w:r>
        <w:rPr>
          <w:rFonts w:hint="eastAsia" w:ascii="宋体" w:hAnsi="宋体"/>
          <w:szCs w:val="21"/>
        </w:rPr>
        <w:t xml:space="preserve">承诺主体名称：</w:t>
      </w:r>
      <w:r/>
    </w:p>
    <w:p>
      <w:pPr>
        <w:spacing w:line="360" w:lineRule="auto"/>
        <w:rPr>
          <w:rFonts w:ascii="宋体" w:hAnsi="宋体"/>
          <w:szCs w:val="21"/>
        </w:rPr>
      </w:pPr>
      <w:r>
        <w:rPr>
          <w:rFonts w:hint="eastAsia" w:ascii="宋体" w:hAnsi="宋体"/>
          <w:szCs w:val="21"/>
        </w:rPr>
        <w:t xml:space="preserve">统一社会信用代码：</w:t>
      </w:r>
      <w:r/>
    </w:p>
    <w:p>
      <w:pPr>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szCs w:val="21"/>
        </w:rPr>
      </w:pPr>
      <w:r>
        <w:rPr>
          <w:rFonts w:hint="eastAsia" w:ascii="宋体" w:hAnsi="宋体"/>
          <w:szCs w:val="21"/>
        </w:rPr>
        <w:t xml:space="preserve">十、本承诺书自签订之日起生效。</w:t>
      </w:r>
      <w:r/>
    </w:p>
    <w:p>
      <w:pPr>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p>
    <w:p>
      <w:pPr>
        <w:ind w:firstLine="420"/>
        <w:spacing w:line="360" w:lineRule="auto"/>
        <w:rPr>
          <w:rFonts w:ascii="宋体" w:hAnsi="宋体"/>
          <w:szCs w:val="21"/>
        </w:rPr>
      </w:pPr>
      <w:r>
        <w:rPr>
          <w:rFonts w:hint="eastAsia" w:ascii="宋体" w:hAnsi="宋体"/>
          <w:szCs w:val="21"/>
        </w:rPr>
        <w:t xml:space="preserve">承诺单位（签章）：            法定代表人（负责人）：</w:t>
      </w:r>
      <w:r/>
    </w:p>
    <w:p>
      <w:pPr>
        <w:jc w:val="center"/>
        <w:spacing w:line="360" w:lineRule="auto"/>
        <w:rPr>
          <w:rFonts w:ascii="宋体" w:hAnsi="宋体"/>
          <w:b/>
          <w:bCs/>
        </w:rPr>
      </w:pPr>
      <w:r>
        <w:rPr>
          <w:rFonts w:hint="eastAsia" w:ascii="宋体" w:hAnsi="宋体"/>
          <w:szCs w:val="21"/>
        </w:rPr>
        <w:t xml:space="preserve">　　　　　　　　　      　年    月    日</w:t>
      </w:r>
      <w:r/>
    </w:p>
    <w:p>
      <w:pPr>
        <w:spacing w:line="360" w:lineRule="auto"/>
        <w:rPr>
          <w:rFonts w:ascii="宋体" w:hAnsi="宋体"/>
          <w:b/>
          <w:bCs/>
          <w:sz w:val="28"/>
          <w:szCs w:val="28"/>
        </w:rPr>
      </w:pPr>
      <w:r>
        <w:rPr>
          <w:rFonts w:hint="eastAsia" w:ascii="宋体" w:hAnsi="宋体"/>
          <w:b/>
          <w:bCs/>
          <w:sz w:val="28"/>
          <w:szCs w:val="28"/>
        </w:rPr>
        <w:br w:type="page" w:clear="all"/>
      </w:r>
      <w:r/>
    </w:p>
    <w:p>
      <w:pPr>
        <w:jc w:val="center"/>
        <w:spacing w:line="360" w:lineRule="auto"/>
        <w:rPr>
          <w:rFonts w:ascii="宋体" w:hAnsi="宋体"/>
          <w:b/>
          <w:bCs/>
          <w:sz w:val="28"/>
          <w:szCs w:val="28"/>
        </w:rPr>
      </w:pPr>
      <w:r>
        <w:rPr>
          <w:rFonts w:hint="eastAsia" w:ascii="宋体" w:hAnsi="宋体"/>
          <w:b/>
          <w:bCs/>
          <w:sz w:val="28"/>
          <w:szCs w:val="28"/>
        </w:rPr>
        <w:t xml:space="preserve">投标函格式</w:t>
      </w:r>
      <w:r/>
    </w:p>
    <w:p>
      <w:pPr>
        <w:pStyle w:val="1053"/>
        <w:ind w:firstLine="0"/>
        <w:spacing w:before="0" w:after="0"/>
        <w:rPr>
          <w:rFonts w:ascii="宋体" w:hAnsi="宋体"/>
          <w:sz w:val="21"/>
          <w:szCs w:val="21"/>
        </w:rPr>
      </w:pPr>
      <w:r>
        <w:rPr>
          <w:rFonts w:hint="eastAsia" w:ascii="宋体" w:hAnsi="宋体"/>
          <w:sz w:val="21"/>
          <w:szCs w:val="21"/>
        </w:rPr>
        <w:t xml:space="preserve">致：</w:t>
      </w:r>
      <w:r>
        <w:rPr>
          <w:rFonts w:hint="eastAsia" w:hAnsi="宋体"/>
          <w:sz w:val="21"/>
        </w:rPr>
        <w:t xml:space="preserve">江苏嘉加诚工程投资咨询有限公司</w:t>
      </w:r>
      <w:r/>
    </w:p>
    <w:p>
      <w:pPr>
        <w:pStyle w:val="1053"/>
        <w:ind w:firstLine="420"/>
        <w:spacing w:before="0" w:after="0"/>
        <w:rPr>
          <w:rFonts w:ascii="宋体" w:hAnsi="宋体"/>
          <w:sz w:val="21"/>
          <w:szCs w:val="21"/>
        </w:rPr>
      </w:pPr>
      <w:r>
        <w:rPr>
          <w:rFonts w:hint="eastAsia" w:ascii="宋体" w:hAnsi="宋体"/>
          <w:sz w:val="21"/>
          <w:szCs w:val="21"/>
        </w:rPr>
        <w:t xml:space="preserve">根据贵方的（）号招标文件，正式授权下述签字人_________________(姓名)代表我方______________（投标人的名称），全权处理本次项目投标的有关事宜。</w:t>
      </w:r>
      <w:r/>
    </w:p>
    <w:p>
      <w:pPr>
        <w:pStyle w:val="1053"/>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p>
    <w:p>
      <w:pPr>
        <w:pStyle w:val="1053"/>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1053"/>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1053"/>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1053"/>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1053"/>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1053"/>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1053"/>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p>
    <w:p>
      <w:pPr>
        <w:pStyle w:val="1053"/>
        <w:ind w:firstLine="478"/>
        <w:spacing w:before="0" w:after="0"/>
        <w:rPr>
          <w:rFonts w:ascii="宋体" w:hAnsi="宋体"/>
          <w:sz w:val="21"/>
          <w:szCs w:val="21"/>
        </w:rPr>
      </w:pPr>
      <w:r>
        <w:rPr>
          <w:rFonts w:hint="eastAsia" w:ascii="宋体" w:hAnsi="宋体"/>
          <w:sz w:val="21"/>
          <w:szCs w:val="21"/>
        </w:rPr>
        <w:t xml:space="preserve">地 址：</w:t>
      </w:r>
      <w:r/>
    </w:p>
    <w:p>
      <w:pPr>
        <w:pStyle w:val="1053"/>
        <w:ind w:firstLine="478"/>
        <w:spacing w:before="0" w:after="0"/>
        <w:rPr>
          <w:rFonts w:ascii="宋体" w:hAnsi="宋体"/>
          <w:sz w:val="21"/>
          <w:szCs w:val="21"/>
        </w:rPr>
      </w:pPr>
      <w:r>
        <w:rPr>
          <w:rFonts w:hint="eastAsia" w:ascii="宋体" w:hAnsi="宋体"/>
          <w:sz w:val="21"/>
          <w:szCs w:val="21"/>
        </w:rPr>
        <w:t xml:space="preserve">邮 编：</w:t>
      </w:r>
      <w:r/>
    </w:p>
    <w:p>
      <w:pPr>
        <w:pStyle w:val="1053"/>
        <w:ind w:firstLine="478"/>
        <w:spacing w:before="0" w:after="0"/>
        <w:rPr>
          <w:rFonts w:ascii="宋体" w:hAnsi="宋体"/>
          <w:sz w:val="21"/>
          <w:szCs w:val="21"/>
        </w:rPr>
      </w:pPr>
      <w:r>
        <w:rPr>
          <w:rFonts w:hint="eastAsia" w:ascii="宋体" w:hAnsi="宋体"/>
          <w:sz w:val="21"/>
          <w:szCs w:val="21"/>
        </w:rPr>
        <w:t xml:space="preserve">电 话： </w:t>
      </w:r>
      <w:r/>
    </w:p>
    <w:p>
      <w:pPr>
        <w:pStyle w:val="1053"/>
        <w:ind w:firstLine="478"/>
        <w:spacing w:before="0" w:after="0"/>
        <w:rPr>
          <w:rFonts w:ascii="宋体" w:hAnsi="宋体"/>
          <w:sz w:val="21"/>
          <w:szCs w:val="21"/>
        </w:rPr>
      </w:pPr>
      <w:r>
        <w:rPr>
          <w:rFonts w:hint="eastAsia" w:ascii="宋体" w:hAnsi="宋体"/>
          <w:sz w:val="21"/>
          <w:szCs w:val="21"/>
        </w:rPr>
        <w:t xml:space="preserve">传 真： </w:t>
      </w:r>
      <w:r/>
    </w:p>
    <w:p>
      <w:pPr>
        <w:pStyle w:val="1053"/>
        <w:ind w:firstLine="478"/>
        <w:spacing w:before="0" w:after="0"/>
        <w:rPr>
          <w:rFonts w:ascii="宋体" w:hAnsi="宋体"/>
          <w:sz w:val="21"/>
          <w:szCs w:val="21"/>
        </w:rPr>
      </w:pPr>
      <w:r>
        <w:rPr>
          <w:rFonts w:hint="eastAsia" w:ascii="宋体" w:hAnsi="宋体"/>
          <w:sz w:val="21"/>
          <w:szCs w:val="21"/>
        </w:rPr>
        <w:t xml:space="preserve">投标人开户行：</w:t>
      </w:r>
      <w:r/>
    </w:p>
    <w:p>
      <w:pPr>
        <w:pStyle w:val="1053"/>
        <w:ind w:firstLine="478"/>
        <w:spacing w:before="0" w:after="0"/>
        <w:rPr>
          <w:rFonts w:ascii="宋体" w:hAnsi="宋体"/>
          <w:sz w:val="21"/>
          <w:szCs w:val="21"/>
        </w:rPr>
      </w:pPr>
      <w:r>
        <w:rPr>
          <w:rFonts w:hint="eastAsia" w:ascii="宋体" w:hAnsi="宋体"/>
          <w:sz w:val="21"/>
          <w:szCs w:val="21"/>
        </w:rPr>
        <w:t xml:space="preserve">账 户： </w:t>
      </w:r>
      <w:r/>
    </w:p>
    <w:p>
      <w:pPr>
        <w:pStyle w:val="1053"/>
        <w:ind w:firstLine="478"/>
        <w:spacing w:before="0" w:after="0"/>
        <w:rPr>
          <w:rFonts w:ascii="宋体" w:hAnsi="宋体"/>
          <w:sz w:val="21"/>
          <w:szCs w:val="21"/>
        </w:rPr>
      </w:pPr>
      <w:r>
        <w:rPr>
          <w:rFonts w:hint="eastAsia" w:ascii="宋体" w:hAnsi="宋体"/>
          <w:sz w:val="21"/>
          <w:szCs w:val="21"/>
        </w:rPr>
        <w:t xml:space="preserve">行 号：</w:t>
      </w:r>
      <w:r/>
    </w:p>
    <w:p>
      <w:pPr>
        <w:pStyle w:val="1053"/>
        <w:ind w:firstLine="478"/>
        <w:spacing w:before="0" w:after="0"/>
        <w:rPr>
          <w:rFonts w:ascii="宋体" w:hAnsi="宋体"/>
          <w:sz w:val="21"/>
          <w:szCs w:val="21"/>
        </w:rPr>
      </w:pPr>
      <w:r>
        <w:rPr>
          <w:rFonts w:hint="eastAsia" w:ascii="宋体" w:hAnsi="宋体"/>
          <w:sz w:val="21"/>
          <w:szCs w:val="21"/>
        </w:rPr>
        <w:t xml:space="preserve">日 期：________年____月____日</w:t>
      </w:r>
      <w:r/>
    </w:p>
    <w:p>
      <w:pPr>
        <w:contextualSpacing/>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sz w:val="28"/>
          <w:szCs w:val="28"/>
        </w:rPr>
      </w:pPr>
      <w:r>
        <w:rPr>
          <w:rFonts w:hint="eastAsia" w:ascii="宋体" w:hAnsi="宋体"/>
          <w:b/>
          <w:sz w:val="32"/>
          <w:szCs w:val="32"/>
        </w:rPr>
        <w:br w:type="page" w:clear="all"/>
      </w:r>
      <w:r>
        <w:rPr>
          <w:rFonts w:hint="eastAsia" w:ascii="宋体" w:hAnsi="宋体"/>
          <w:b/>
          <w:sz w:val="28"/>
          <w:szCs w:val="28"/>
        </w:rPr>
        <w:t xml:space="preserve">法人授权书</w:t>
      </w:r>
      <w:r/>
    </w:p>
    <w:p>
      <w:pPr>
        <w:pStyle w:val="1054"/>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p>
    <w:p>
      <w:pPr>
        <w:pStyle w:val="1054"/>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1054"/>
        <w:ind w:firstLine="0"/>
        <w:spacing w:line="360" w:lineRule="auto"/>
        <w:rPr>
          <w:rFonts w:ascii="宋体" w:hAnsi="宋体"/>
          <w:sz w:val="21"/>
          <w:szCs w:val="21"/>
        </w:rPr>
      </w:pPr>
      <w:r>
        <w:rPr>
          <w:rFonts w:ascii="宋体" w:hAnsi="宋体"/>
          <w:sz w:val="21"/>
          <w:szCs w:val="21"/>
        </w:rPr>
        <w:t xml:space="preserve">    </w:t>
      </w:r>
      <w:r/>
    </w:p>
    <w:p>
      <w:pPr>
        <w:pStyle w:val="1054"/>
        <w:ind w:firstLine="420"/>
        <w:spacing w:line="360" w:lineRule="auto"/>
        <w:rPr>
          <w:rFonts w:ascii="宋体" w:hAnsi="宋体"/>
          <w:sz w:val="21"/>
          <w:szCs w:val="21"/>
        </w:rPr>
      </w:pPr>
      <w:r>
        <w:rPr>
          <w:rFonts w:hint="eastAsia" w:ascii="宋体" w:hAnsi="宋体"/>
          <w:sz w:val="21"/>
          <w:szCs w:val="21"/>
        </w:rPr>
        <w:t xml:space="preserve">被授权人姓名：</w:t>
      </w:r>
      <w:r>
        <w:rPr>
          <w:rFonts w:hint="eastAsia" w:ascii="宋体" w:hAnsi="宋体"/>
          <w:sz w:val="21"/>
          <w:szCs w:val="21"/>
          <w:u w:val="single"/>
        </w:rPr>
        <w:t xml:space="preserve">                                 </w:t>
      </w:r>
      <w:r>
        <w:rPr>
          <w:rFonts w:hint="eastAsia" w:ascii="宋体" w:hAnsi="宋体"/>
          <w:sz w:val="21"/>
          <w:szCs w:val="21"/>
        </w:rPr>
        <w:t xml:space="preserve">                 </w:t>
      </w:r>
      <w:r/>
    </w:p>
    <w:p>
      <w:pPr>
        <w:pStyle w:val="1054"/>
        <w:ind w:firstLine="420"/>
        <w:spacing w:line="360" w:lineRule="auto"/>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1054"/>
        <w:ind w:firstLine="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1054"/>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p>
    <w:p>
      <w:pPr>
        <w:pStyle w:val="1054"/>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360" w:lineRule="auto"/>
        <w:rPr>
          <w:rFonts w:ascii="宋体" w:hAnsi="宋体"/>
          <w:bCs/>
        </w:rPr>
      </w:pPr>
      <w:r>
        <w:rPr>
          <w:rFonts w:ascii="宋体" w:hAnsi="宋体"/>
          <w:bCs/>
        </w:rPr>
      </w:r>
      <w:r/>
    </w:p>
    <w:p>
      <w:pPr>
        <w:spacing w:line="360" w:lineRule="auto"/>
        <w:rPr>
          <w:rFonts w:ascii="宋体" w:hAnsi="宋体"/>
          <w:bCs/>
          <w:sz w:val="24"/>
        </w:rPr>
      </w:pPr>
      <w:r>
        <w:rPr>
          <w:rFonts w:ascii="宋体" w:hAnsi="宋体"/>
          <w:bCs/>
          <w:sz w:val="24"/>
        </w:rPr>
      </w:r>
      <w:r/>
    </w:p>
    <w:p>
      <w:pPr>
        <w:ind w:firstLine="420"/>
        <w:spacing w:line="360" w:lineRule="auto"/>
        <w:rPr>
          <w:rFonts w:ascii="宋体" w:hAnsi="宋体"/>
          <w:bCs/>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bCs/>
        </w:rPr>
        <w:t xml:space="preserve">被授权人身份证复印件</w:t>
      </w:r>
      <w:r/>
    </w:p>
    <w:p>
      <w:pPr>
        <w:pStyle w:val="1021"/>
        <w:spacing w:line="360" w:lineRule="auto"/>
        <w:rPr>
          <w:rFonts w:ascii="宋体" w:hAnsi="宋体" w:eastAsia="宋体"/>
          <w:sz w:val="28"/>
          <w:szCs w:val="28"/>
        </w:rPr>
      </w:pPr>
      <w:r>
        <w:rPr>
          <w:rFonts w:hint="eastAsia" w:ascii="宋体" w:hAnsi="宋体" w:eastAsia="宋体"/>
          <w:sz w:val="28"/>
          <w:szCs w:val="28"/>
        </w:rPr>
        <w:t xml:space="preserve">二、符合性审查响应对照表</w:t>
      </w:r>
      <w:r/>
    </w:p>
    <w:tbl>
      <w:tblPr>
        <w:tblStyle w:val="827"/>
        <w:tblW w:w="83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889"/>
        <w:gridCol w:w="1661"/>
        <w:gridCol w:w="1189"/>
      </w:tblGrid>
      <w:tr>
        <w:trPr>
          <w:jc w:val="cente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4889"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符合性审查响应内容</w:t>
            </w:r>
            <w:r/>
          </w:p>
        </w:tc>
        <w:tc>
          <w:tcPr>
            <w:tcW w:w="1661"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189"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W w:w="4889"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661" w:type="dxa"/>
            <w:vAlign w:val="center"/>
            <w:textDirection w:val="lrTb"/>
            <w:noWrap w:val="false"/>
          </w:tcPr>
          <w:p>
            <w:pPr>
              <w:spacing w:line="360" w:lineRule="auto"/>
              <w:rPr>
                <w:rFonts w:ascii="宋体" w:hAnsi="宋体"/>
                <w:b/>
                <w:szCs w:val="21"/>
              </w:rPr>
            </w:pPr>
            <w:r>
              <w:rPr>
                <w:rFonts w:ascii="宋体" w:hAnsi="宋体"/>
                <w:b/>
                <w:szCs w:val="21"/>
              </w:rPr>
            </w:r>
            <w:r/>
          </w:p>
        </w:tc>
        <w:tc>
          <w:tcPr>
            <w:tcW w:w="1189" w:type="dxa"/>
            <w:vAlign w:val="center"/>
            <w:textDirection w:val="lrTb"/>
            <w:noWrap w:val="false"/>
          </w:tcPr>
          <w:p>
            <w:pPr>
              <w:spacing w:line="360" w:lineRule="auto"/>
              <w:rPr>
                <w:rFonts w:ascii="宋体" w:hAnsi="宋体"/>
                <w:b/>
                <w:szCs w:val="21"/>
              </w:rPr>
            </w:pPr>
            <w:r>
              <w:rPr>
                <w:rFonts w:ascii="宋体" w:hAnsi="宋体"/>
                <w:b/>
                <w:szCs w:val="21"/>
              </w:rPr>
            </w:r>
            <w:r/>
          </w:p>
        </w:tc>
      </w:tr>
      <w:tr>
        <w:trPr>
          <w:jc w:val="cente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4889"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61" w:type="dxa"/>
            <w:vAlign w:val="center"/>
            <w:textDirection w:val="lrTb"/>
            <w:noWrap w:val="false"/>
          </w:tcPr>
          <w:p>
            <w:pPr>
              <w:spacing w:line="360" w:lineRule="auto"/>
              <w:rPr>
                <w:rFonts w:ascii="宋体" w:hAnsi="宋体"/>
                <w:szCs w:val="21"/>
              </w:rPr>
            </w:pPr>
            <w:r>
              <w:rPr>
                <w:rFonts w:ascii="宋体" w:hAnsi="宋体"/>
                <w:szCs w:val="21"/>
              </w:rPr>
            </w:r>
            <w:r/>
          </w:p>
        </w:tc>
        <w:tc>
          <w:tcPr>
            <w:tcW w:w="1189"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4889"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61" w:type="dxa"/>
            <w:vAlign w:val="center"/>
            <w:textDirection w:val="lrTb"/>
            <w:noWrap w:val="false"/>
          </w:tcPr>
          <w:p>
            <w:pPr>
              <w:spacing w:line="360" w:lineRule="auto"/>
              <w:rPr>
                <w:rFonts w:ascii="宋体" w:hAnsi="宋体"/>
                <w:szCs w:val="21"/>
              </w:rPr>
            </w:pPr>
            <w:r>
              <w:rPr>
                <w:rFonts w:ascii="宋体" w:hAnsi="宋体"/>
                <w:szCs w:val="21"/>
              </w:rPr>
            </w:r>
            <w:r/>
          </w:p>
        </w:tc>
        <w:tc>
          <w:tcPr>
            <w:tcW w:w="1189"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41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4889"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61" w:type="dxa"/>
            <w:vAlign w:val="center"/>
            <w:textDirection w:val="lrTb"/>
            <w:noWrap w:val="false"/>
          </w:tcPr>
          <w:p>
            <w:pPr>
              <w:spacing w:line="360" w:lineRule="auto"/>
              <w:rPr>
                <w:rFonts w:ascii="宋体" w:hAnsi="宋体"/>
                <w:szCs w:val="21"/>
              </w:rPr>
            </w:pPr>
            <w:r>
              <w:rPr>
                <w:rFonts w:ascii="宋体" w:hAnsi="宋体"/>
                <w:szCs w:val="21"/>
              </w:rPr>
            </w:r>
            <w:r/>
          </w:p>
        </w:tc>
        <w:tc>
          <w:tcPr>
            <w:tcW w:w="1189"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4889"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61" w:type="dxa"/>
            <w:vAlign w:val="center"/>
            <w:textDirection w:val="lrTb"/>
            <w:noWrap w:val="false"/>
          </w:tcPr>
          <w:p>
            <w:pPr>
              <w:spacing w:line="360" w:lineRule="auto"/>
              <w:rPr>
                <w:rFonts w:ascii="宋体" w:hAnsi="宋体"/>
                <w:szCs w:val="21"/>
              </w:rPr>
            </w:pPr>
            <w:r>
              <w:rPr>
                <w:rFonts w:ascii="宋体" w:hAnsi="宋体"/>
                <w:szCs w:val="21"/>
              </w:rPr>
            </w:r>
            <w:r/>
          </w:p>
        </w:tc>
        <w:tc>
          <w:tcPr>
            <w:tcW w:w="1189" w:type="dxa"/>
            <w:vAlign w:val="center"/>
            <w:textDirection w:val="lrTb"/>
            <w:noWrap w:val="false"/>
          </w:tcPr>
          <w:p>
            <w:pPr>
              <w:spacing w:line="360" w:lineRule="auto"/>
              <w:rPr>
                <w:rFonts w:ascii="宋体" w:hAnsi="宋体"/>
                <w:szCs w:val="21"/>
              </w:rPr>
            </w:pPr>
            <w:r>
              <w:rPr>
                <w:rFonts w:ascii="宋体" w:hAnsi="宋体"/>
                <w:szCs w:val="21"/>
              </w:rPr>
            </w:r>
            <w:r/>
          </w:p>
        </w:tc>
      </w:tr>
    </w:tbl>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spacing w:line="360" w:lineRule="auto"/>
        <w:rPr>
          <w:rFonts w:ascii="宋体" w:hAnsi="宋体"/>
          <w:b/>
          <w:bCs/>
          <w:sz w:val="32"/>
          <w:szCs w:val="32"/>
        </w:rPr>
      </w:pPr>
      <w:r>
        <w:rPr>
          <w:rFonts w:ascii="宋体" w:hAnsi="宋体"/>
          <w:b/>
          <w:bCs/>
          <w:sz w:val="32"/>
          <w:szCs w:val="32"/>
        </w:rPr>
      </w:r>
      <w:r/>
    </w:p>
    <w:p>
      <w:pPr>
        <w:pStyle w:val="1021"/>
        <w:spacing w:line="360" w:lineRule="auto"/>
        <w:rPr>
          <w:rFonts w:ascii="宋体" w:hAnsi="宋体" w:eastAsia="宋体"/>
          <w:sz w:val="28"/>
          <w:szCs w:val="28"/>
        </w:rPr>
      </w:pPr>
      <w:r>
        <w:rPr>
          <w:rFonts w:hint="eastAsia" w:ascii="宋体" w:hAnsi="宋体" w:eastAsia="宋体"/>
          <w:sz w:val="28"/>
          <w:szCs w:val="28"/>
        </w:rPr>
        <w:t xml:space="preserve">三、非实质性响应对照表</w:t>
      </w:r>
      <w:r/>
    </w:p>
    <w:p>
      <w:pPr>
        <w:spacing w:line="360" w:lineRule="auto"/>
        <w:rPr>
          <w:rFonts w:ascii="宋体" w:hAnsi="宋体"/>
          <w:b/>
          <w:sz w:val="32"/>
          <w:szCs w:val="32"/>
        </w:rPr>
      </w:pPr>
      <w:r>
        <w:rPr>
          <w:rFonts w:ascii="宋体" w:hAnsi="宋体"/>
          <w:b/>
          <w:sz w:val="32"/>
          <w:szCs w:val="32"/>
        </w:rPr>
      </w:r>
      <w:r/>
    </w:p>
    <w:tbl>
      <w:tblPr>
        <w:tblStyle w:val="827"/>
        <w:tblW w:w="83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485"/>
        <w:gridCol w:w="1800"/>
        <w:gridCol w:w="1454"/>
      </w:tblGrid>
      <w:tr>
        <w:trPr>
          <w:jc w:val="cente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4485"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非实质性响应内容</w:t>
            </w:r>
            <w:r/>
          </w:p>
        </w:tc>
        <w:tc>
          <w:tcPr>
            <w:tcW w:w="180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454"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响应情况</w:t>
            </w:r>
            <w:r/>
          </w:p>
        </w:tc>
      </w:tr>
      <w:tr>
        <w:trPr>
          <w:jc w:val="cente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szCs w:val="21"/>
              </w:rPr>
              <w:t xml:space="preserve">1</w:t>
            </w:r>
            <w:r/>
          </w:p>
        </w:tc>
        <w:tc>
          <w:tcPr>
            <w:tcW w:w="4485" w:type="dxa"/>
            <w:vAlign w:val="center"/>
            <w:textDirection w:val="lrTb"/>
            <w:noWrap w:val="false"/>
          </w:tcPr>
          <w:p>
            <w:pPr>
              <w:spacing w:line="360" w:lineRule="auto"/>
              <w:rPr>
                <w:rFonts w:ascii="宋体" w:hAnsi="宋体"/>
                <w:iCs/>
                <w:szCs w:val="21"/>
              </w:rPr>
            </w:pPr>
            <w:r>
              <w:rPr>
                <w:rFonts w:hint="eastAsia" w:ascii="宋体" w:hAnsi="宋体"/>
                <w:szCs w:val="21"/>
              </w:rPr>
              <w:t xml:space="preserve">《残疾人福利性单位声明函》</w:t>
            </w:r>
            <w:r/>
          </w:p>
        </w:tc>
        <w:tc>
          <w:tcPr>
            <w:tcW w:w="1800" w:type="dxa"/>
            <w:vAlign w:val="center"/>
            <w:textDirection w:val="lrTb"/>
            <w:noWrap w:val="false"/>
          </w:tcPr>
          <w:p>
            <w:pPr>
              <w:spacing w:line="360" w:lineRule="auto"/>
              <w:rPr>
                <w:rFonts w:ascii="宋体" w:hAnsi="宋体"/>
                <w:b/>
                <w:szCs w:val="21"/>
              </w:rPr>
            </w:pPr>
            <w:r>
              <w:rPr>
                <w:rFonts w:ascii="宋体" w:hAnsi="宋体"/>
                <w:b/>
                <w:szCs w:val="21"/>
              </w:rPr>
            </w:r>
            <w:r/>
          </w:p>
        </w:tc>
        <w:tc>
          <w:tcPr>
            <w:tcW w:w="1454" w:type="dxa"/>
            <w:vAlign w:val="center"/>
            <w:textDirection w:val="lrTb"/>
            <w:noWrap w:val="false"/>
          </w:tcPr>
          <w:p>
            <w:pPr>
              <w:spacing w:line="360" w:lineRule="auto"/>
              <w:rPr>
                <w:rFonts w:ascii="宋体" w:hAnsi="宋体"/>
                <w:b/>
                <w:szCs w:val="21"/>
              </w:rPr>
            </w:pPr>
            <w:r>
              <w:rPr>
                <w:rFonts w:ascii="宋体" w:hAnsi="宋体"/>
                <w:b/>
                <w:szCs w:val="21"/>
              </w:rPr>
            </w:r>
            <w:r/>
          </w:p>
        </w:tc>
      </w:tr>
      <w:tr>
        <w:trPr>
          <w:jc w:val="cente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4485"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800" w:type="dxa"/>
            <w:vAlign w:val="center"/>
            <w:textDirection w:val="lrTb"/>
            <w:noWrap w:val="false"/>
          </w:tcPr>
          <w:p>
            <w:pPr>
              <w:spacing w:line="360" w:lineRule="auto"/>
              <w:rPr>
                <w:rFonts w:ascii="宋体" w:hAnsi="宋体"/>
                <w:szCs w:val="21"/>
              </w:rPr>
            </w:pPr>
            <w:r>
              <w:rPr>
                <w:rFonts w:ascii="宋体" w:hAnsi="宋体"/>
                <w:szCs w:val="21"/>
              </w:rPr>
            </w:r>
            <w:r/>
          </w:p>
        </w:tc>
        <w:tc>
          <w:tcPr>
            <w:tcW w:w="1454" w:type="dxa"/>
            <w:vAlign w:val="center"/>
            <w:textDirection w:val="lrTb"/>
            <w:noWrap w:val="false"/>
          </w:tcPr>
          <w:p>
            <w:pPr>
              <w:spacing w:line="360" w:lineRule="auto"/>
              <w:rPr>
                <w:rFonts w:ascii="宋体" w:hAnsi="宋体"/>
                <w:szCs w:val="21"/>
              </w:rPr>
            </w:pPr>
            <w:r>
              <w:rPr>
                <w:rFonts w:ascii="宋体" w:hAnsi="宋体"/>
                <w:szCs w:val="21"/>
              </w:rPr>
            </w:r>
            <w:r/>
          </w:p>
        </w:tc>
      </w:tr>
      <w:tr>
        <w:trPr>
          <w:jc w:val="cente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4485"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800" w:type="dxa"/>
            <w:vAlign w:val="center"/>
            <w:textDirection w:val="lrTb"/>
            <w:noWrap w:val="false"/>
          </w:tcPr>
          <w:p>
            <w:pPr>
              <w:spacing w:line="360" w:lineRule="auto"/>
              <w:rPr>
                <w:rFonts w:ascii="宋体" w:hAnsi="宋体"/>
                <w:szCs w:val="21"/>
              </w:rPr>
            </w:pPr>
            <w:r>
              <w:rPr>
                <w:rFonts w:ascii="宋体" w:hAnsi="宋体"/>
                <w:szCs w:val="21"/>
              </w:rPr>
            </w:r>
            <w:r/>
          </w:p>
        </w:tc>
        <w:tc>
          <w:tcPr>
            <w:tcW w:w="1454" w:type="dxa"/>
            <w:vAlign w:val="center"/>
            <w:textDirection w:val="lrTb"/>
            <w:noWrap w:val="false"/>
          </w:tcPr>
          <w:p>
            <w:pPr>
              <w:spacing w:line="360" w:lineRule="auto"/>
              <w:rPr>
                <w:rFonts w:ascii="宋体" w:hAnsi="宋体"/>
                <w:szCs w:val="21"/>
              </w:rPr>
            </w:pPr>
            <w:r>
              <w:rPr>
                <w:rFonts w:ascii="宋体" w:hAnsi="宋体"/>
                <w:szCs w:val="21"/>
              </w:rPr>
            </w:r>
            <w:r/>
          </w:p>
        </w:tc>
      </w:tr>
    </w:tbl>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spacing w:line="360" w:lineRule="auto"/>
      </w:p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center"/>
        <w:spacing w:line="560" w:lineRule="exact"/>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中小企业声明函（货物类项目）</w:t>
      </w:r>
      <w:r/>
    </w:p>
    <w:p>
      <w:pPr>
        <w:ind w:firstLine="480"/>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8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color w:val="000000" w:themeColor="text1"/>
          <w:szCs w:val="21"/>
          <w:u w:val="single"/>
          <w14:textFill>
            <w14:solidFill>
              <w14:schemeClr w14:val="tx1"/>
            </w14:solidFill>
          </w14:textFill>
        </w:rPr>
        <w:t xml:space="preserve">        （单位名称）</w:t>
      </w:r>
      <w:r>
        <w:rPr>
          <w:rFonts w:hint="eastAsia" w:ascii="宋体" w:hAnsi="宋体" w:cs="宋体"/>
          <w:color w:val="000000" w:themeColor="text1"/>
          <w:szCs w:val="21"/>
          <w14:textFill>
            <w14:solidFill>
              <w14:schemeClr w14:val="tx1"/>
            </w14:solidFill>
          </w14:textFill>
        </w:rPr>
        <w:t xml:space="preserve">组织的</w:t>
      </w:r>
      <w:r>
        <w:rPr>
          <w:rFonts w:hint="eastAsia" w:ascii="宋体" w:hAnsi="宋体" w:cs="宋体"/>
          <w:color w:val="000000" w:themeColor="text1"/>
          <w:szCs w:val="21"/>
          <w:u w:val="single"/>
          <w14:textFill>
            <w14:solidFill>
              <w14:schemeClr w14:val="tx1"/>
            </w14:solidFill>
          </w14:textFill>
        </w:rPr>
        <w:t xml:space="preserve">（项目名称），（项目编号）</w:t>
      </w:r>
      <w:r>
        <w:rPr>
          <w:rFonts w:hint="eastAsia" w:ascii="宋体" w:hAnsi="宋体" w:cs="宋体"/>
          <w:color w:val="000000" w:themeColor="text1"/>
          <w:szCs w:val="21"/>
          <w14:textFill>
            <w14:solidFill>
              <w14:schemeClr w14:val="tx1"/>
            </w14:solidFill>
          </w14:textFill>
        </w:rPr>
        <w:t xml:space="preserve">的采购活动，提供的货物全部由符合政策要求的中小企业制造。相关企业（含联合体中的中小企业、签订分包意向协议的中小企业）的具体情况如下：</w:t>
      </w:r>
      <w:r/>
    </w:p>
    <w:p>
      <w:pPr>
        <w:ind w:firstLine="48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1. </w:t>
      </w:r>
      <w:r>
        <w:rPr>
          <w:rFonts w:hint="eastAsia" w:ascii="宋体" w:hAnsi="宋体" w:cs="宋体"/>
          <w:color w:val="000000" w:themeColor="text1"/>
          <w:szCs w:val="21"/>
          <w:u w:val="single"/>
          <w14:textFill>
            <w14:solidFill>
              <w14:schemeClr w14:val="tx1"/>
            </w14:solidFill>
          </w14:textFill>
        </w:rPr>
        <w:t xml:space="preserve">（标的名称） </w:t>
      </w:r>
      <w:r>
        <w:rPr>
          <w:rFonts w:hint="eastAsia" w:ascii="宋体" w:hAnsi="宋体" w:cs="宋体"/>
          <w:color w:val="000000" w:themeColor="text1"/>
          <w:szCs w:val="21"/>
          <w14:textFill>
            <w14:solidFill>
              <w14:schemeClr w14:val="tx1"/>
            </w14:solidFill>
          </w14:textFill>
        </w:rPr>
        <w:t xml:space="preserve">，属于</w:t>
      </w:r>
      <w:r>
        <w:rPr>
          <w:rFonts w:hint="eastAsia" w:ascii="宋体" w:hAnsi="宋体" w:cs="宋体"/>
          <w:color w:val="000000" w:themeColor="text1"/>
          <w:szCs w:val="21"/>
          <w:u w:val="single"/>
          <w14:textFill>
            <w14:solidFill>
              <w14:schemeClr w14:val="tx1"/>
            </w14:solidFill>
          </w14:textFill>
        </w:rPr>
        <w:t xml:space="preserve">（工业）</w:t>
      </w:r>
      <w:r>
        <w:rPr>
          <w:rFonts w:hint="eastAsia" w:ascii="宋体" w:hAnsi="宋体" w:cs="宋体"/>
          <w:color w:val="000000" w:themeColor="text1"/>
          <w:szCs w:val="21"/>
          <w14:textFill>
            <w14:solidFill>
              <w14:schemeClr w14:val="tx1"/>
            </w14:solidFill>
          </w14:textFill>
        </w:rPr>
        <w:t xml:space="preserve">行业；制造商为</w:t>
      </w:r>
      <w:r>
        <w:rPr>
          <w:rFonts w:hint="eastAsia" w:ascii="宋体" w:hAnsi="宋体" w:cs="宋体"/>
          <w:color w:val="000000" w:themeColor="text1"/>
          <w:szCs w:val="21"/>
          <w:u w:val="single"/>
          <w14:textFill>
            <w14:solidFill>
              <w14:schemeClr w14:val="tx1"/>
            </w14:solidFill>
          </w14:textFill>
        </w:rPr>
        <w:t xml:space="preserve">（企业名称）</w:t>
      </w:r>
      <w:r>
        <w:rPr>
          <w:rFonts w:hint="eastAsia" w:ascii="宋体" w:hAnsi="宋体" w:cs="宋体"/>
          <w:color w:val="000000" w:themeColor="text1"/>
          <w:szCs w:val="21"/>
          <w14:textFill>
            <w14:solidFill>
              <w14:schemeClr w14:val="tx1"/>
            </w14:solidFill>
          </w14:textFill>
        </w:rPr>
        <w:t xml:space="preserve">，从业人员</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人，营业收入为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万元，资产总额为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万元，属于（</w:t>
      </w:r>
      <w:r>
        <w:rPr>
          <w:rFonts w:hint="eastAsia" w:ascii="宋体" w:hAnsi="宋体" w:cs="宋体"/>
          <w:color w:val="000000" w:themeColor="text1"/>
          <w:szCs w:val="21"/>
          <w:u w:val="single"/>
          <w14:textFill>
            <w14:solidFill>
              <w14:schemeClr w14:val="tx1"/>
            </w14:solidFill>
          </w14:textFill>
        </w:rPr>
        <w:t xml:space="preserve">□中型企业、□小型企业、□微型企业</w:t>
      </w:r>
      <w:r>
        <w:rPr>
          <w:rFonts w:hint="eastAsia" w:ascii="宋体" w:hAnsi="宋体" w:cs="宋体"/>
          <w:color w:val="000000" w:themeColor="text1"/>
          <w:szCs w:val="21"/>
          <w14:textFill>
            <w14:solidFill>
              <w14:schemeClr w14:val="tx1"/>
            </w14:solidFill>
          </w14:textFill>
        </w:rPr>
        <w:t xml:space="preserve">）； </w:t>
      </w:r>
      <w:r/>
    </w:p>
    <w:p>
      <w:pPr>
        <w:ind w:firstLine="48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 </w:t>
      </w:r>
      <w:r>
        <w:rPr>
          <w:rFonts w:hint="eastAsia" w:ascii="宋体" w:hAnsi="宋体" w:cs="宋体"/>
          <w:color w:val="000000" w:themeColor="text1"/>
          <w:szCs w:val="21"/>
          <w:u w:val="single"/>
          <w14:textFill>
            <w14:solidFill>
              <w14:schemeClr w14:val="tx1"/>
            </w14:solidFill>
          </w14:textFill>
        </w:rPr>
        <w:t xml:space="preserve">（标的名称） </w:t>
      </w:r>
      <w:r>
        <w:rPr>
          <w:rFonts w:hint="eastAsia" w:ascii="宋体" w:hAnsi="宋体" w:cs="宋体"/>
          <w:color w:val="000000" w:themeColor="text1"/>
          <w:szCs w:val="21"/>
          <w14:textFill>
            <w14:solidFill>
              <w14:schemeClr w14:val="tx1"/>
            </w14:solidFill>
          </w14:textFill>
        </w:rPr>
        <w:t xml:space="preserve">，属于</w:t>
      </w:r>
      <w:r>
        <w:rPr>
          <w:rFonts w:hint="eastAsia" w:ascii="宋体" w:hAnsi="宋体" w:cs="宋体"/>
          <w:color w:val="000000" w:themeColor="text1"/>
          <w:szCs w:val="21"/>
          <w:u w:val="single"/>
          <w14:textFill>
            <w14:solidFill>
              <w14:schemeClr w14:val="tx1"/>
            </w14:solidFill>
          </w14:textFill>
        </w:rPr>
        <w:t xml:space="preserve">（工业）</w:t>
      </w:r>
      <w:r>
        <w:rPr>
          <w:rFonts w:hint="eastAsia" w:ascii="宋体" w:hAnsi="宋体" w:cs="宋体"/>
          <w:color w:val="000000" w:themeColor="text1"/>
          <w:szCs w:val="21"/>
          <w14:textFill>
            <w14:solidFill>
              <w14:schemeClr w14:val="tx1"/>
            </w14:solidFill>
          </w14:textFill>
        </w:rPr>
        <w:t xml:space="preserve">行业；制造商为</w:t>
      </w:r>
      <w:r>
        <w:rPr>
          <w:rFonts w:hint="eastAsia" w:ascii="宋体" w:hAnsi="宋体" w:cs="宋体"/>
          <w:color w:val="000000" w:themeColor="text1"/>
          <w:szCs w:val="21"/>
          <w:u w:val="single"/>
          <w14:textFill>
            <w14:solidFill>
              <w14:schemeClr w14:val="tx1"/>
            </w14:solidFill>
          </w14:textFill>
        </w:rPr>
        <w:t xml:space="preserve">（企业名称）</w:t>
      </w:r>
      <w:r>
        <w:rPr>
          <w:rFonts w:hint="eastAsia" w:ascii="宋体" w:hAnsi="宋体" w:cs="宋体"/>
          <w:color w:val="000000" w:themeColor="text1"/>
          <w:szCs w:val="21"/>
          <w14:textFill>
            <w14:solidFill>
              <w14:schemeClr w14:val="tx1"/>
            </w14:solidFill>
          </w14:textFill>
        </w:rPr>
        <w:t xml:space="preserve">，从业人员</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人，营业收入为</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万元，资产总额为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万元，属于（</w:t>
      </w:r>
      <w:r>
        <w:rPr>
          <w:rFonts w:hint="eastAsia" w:ascii="宋体" w:hAnsi="宋体" w:cs="宋体"/>
          <w:color w:val="000000" w:themeColor="text1"/>
          <w:szCs w:val="21"/>
          <w:u w:val="single"/>
          <w14:textFill>
            <w14:solidFill>
              <w14:schemeClr w14:val="tx1"/>
            </w14:solidFill>
          </w14:textFill>
        </w:rPr>
        <w:t xml:space="preserve">□中型企业、□小型企业、□微型企业</w:t>
      </w:r>
      <w:r>
        <w:rPr>
          <w:rFonts w:hint="eastAsia" w:ascii="宋体" w:hAnsi="宋体" w:cs="宋体"/>
          <w:color w:val="000000" w:themeColor="text1"/>
          <w:szCs w:val="21"/>
          <w14:textFill>
            <w14:solidFill>
              <w14:schemeClr w14:val="tx1"/>
            </w14:solidFill>
          </w14:textFill>
        </w:rPr>
        <w:t xml:space="preserve">）；</w:t>
      </w:r>
      <w:r/>
    </w:p>
    <w:p>
      <w:pPr>
        <w:ind w:firstLine="48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 </w:t>
      </w:r>
      <w:r/>
    </w:p>
    <w:p>
      <w:pPr>
        <w:ind w:firstLine="48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本企业对上述声明内容的真实性负责。如有虚假，将依法承担相应责任。 </w:t>
      </w:r>
      <w:r/>
    </w:p>
    <w:p>
      <w:pPr>
        <w:ind w:firstLine="4080"/>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08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企业名称（加盖CA电子公章）：</w:t>
      </w:r>
      <w:r/>
    </w:p>
    <w:p>
      <w:pPr>
        <w:ind w:firstLine="480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日期：</w:t>
      </w:r>
      <w:r/>
    </w:p>
    <w:p>
      <w:pPr>
        <w:ind w:firstLine="480"/>
        <w:spacing w:line="400" w:lineRule="exac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ind w:firstLine="48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备注：</w:t>
      </w:r>
      <w:r/>
    </w:p>
    <w:p>
      <w:pPr>
        <w:ind w:firstLine="48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1.从业人员、营业收入、资产总额填报上一年度数据，无上一年度数据的新成立企业可不填报。</w:t>
      </w:r>
      <w:r/>
    </w:p>
    <w:p>
      <w:pPr>
        <w:ind w:firstLine="48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2.专门面向中小企业采购的项目，供应商如不提供此声明函，则不能通过资格审查；非专门面向中小企业采购的项目，供应商如不提供此声明函，价格将不做相应扣除。</w:t>
      </w:r>
      <w:r/>
    </w:p>
    <w:p>
      <w:pPr>
        <w:ind w:firstLine="480"/>
        <w:jc w:val="left"/>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3.供应商应对照《工业和信息化部、国家统计局、国家发展和改革委员会、</w:t>
      </w:r>
      <w:r/>
    </w:p>
    <w:p>
      <w:pPr>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财政部关于印发中小企业划型标准规定的通知》(工信部联企业[2011]300号)《国家统计局关于印发〈统计上大中小微型企业划分办法（2017）〉的通知》（国统字〔2017〕213号）的规定，自行勾选制造商的企业规模类型。                                        </w:t>
      </w:r>
      <w:r/>
    </w:p>
    <w:p>
      <w:pPr>
        <w:jc w:val="lef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lef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left"/>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p>
      <w:pPr>
        <w:jc w:val="center"/>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jc w:val="center"/>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jc w:val="center"/>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jc w:val="center"/>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jc w:val="center"/>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jc w:val="center"/>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jc w:val="center"/>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pStyle w:val="859"/>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pStyle w:val="860"/>
      </w:pPr>
      <w:r/>
      <w:r/>
    </w:p>
    <w:p>
      <w:pPr>
        <w:jc w:val="left"/>
        <w:spacing w:before="300" w:after="452"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中小微企业划型标准如下：</w:t>
      </w:r>
      <w:r/>
    </w:p>
    <w:tbl>
      <w:tblPr>
        <w:tblStyle w:val="827"/>
        <w:tblW w:w="980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626"/>
        <w:gridCol w:w="1838"/>
        <w:gridCol w:w="822"/>
        <w:gridCol w:w="2012"/>
        <w:gridCol w:w="1829"/>
        <w:gridCol w:w="1680"/>
      </w:tblGrid>
      <w:tr>
        <w:trPr>
          <w:tblCellSpacing w:w="15" w:type="dxa"/>
          <w:trHeight w:val="285"/>
        </w:trPr>
        <w:tc>
          <w:tcPr>
            <w:tcMar>
              <w:left w:w="105" w:type="dxa"/>
              <w:top w:w="0" w:type="dxa"/>
              <w:right w:w="105" w:type="dxa"/>
              <w:bottom w:w="0" w:type="dxa"/>
            </w:tcMar>
            <w:tcW w:w="1581"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行业名称</w:t>
            </w:r>
            <w:r/>
          </w:p>
        </w:tc>
        <w:tc>
          <w:tcPr>
            <w:tcMar>
              <w:left w:w="105" w:type="dxa"/>
              <w:top w:w="0" w:type="dxa"/>
              <w:right w:w="105" w:type="dxa"/>
              <w:bottom w:w="0" w:type="dxa"/>
            </w:tcMar>
            <w:tcW w:w="1808"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指标名称</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计量单位</w:t>
            </w:r>
            <w:r/>
          </w:p>
        </w:tc>
        <w:tc>
          <w:tcPr>
            <w:tcMar>
              <w:left w:w="105" w:type="dxa"/>
              <w:top w:w="0" w:type="dxa"/>
              <w:right w:w="105" w:type="dxa"/>
              <w:bottom w:w="0" w:type="dxa"/>
            </w:tcMar>
            <w:tcW w:w="1982"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中型</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小型</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微型</w:t>
            </w:r>
            <w:r/>
          </w:p>
        </w:tc>
      </w:tr>
      <w:tr>
        <w:trPr>
          <w:tblCellSpacing w:w="15" w:type="dxa"/>
          <w:trHeight w:val="225"/>
        </w:trPr>
        <w:tc>
          <w:tcPr>
            <w:tcMar>
              <w:left w:w="105" w:type="dxa"/>
              <w:top w:w="0" w:type="dxa"/>
              <w:right w:w="105" w:type="dxa"/>
              <w:bottom w:w="0" w:type="dxa"/>
            </w:tcMar>
            <w:tcW w:w="1581"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农、林、牧、渔</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营业收入（Y）</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500≤Y＜20000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50≤Y＜500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Y＜50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工业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从业人员（X）</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300≤X＜1000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20≤X＜300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X＜20</w:t>
            </w:r>
            <w:r/>
          </w:p>
        </w:tc>
      </w:tr>
      <w:tr>
        <w:trPr>
          <w:tblCellSpacing w:w="15" w:type="dxa"/>
          <w:trHeight w:val="225"/>
        </w:trPr>
        <w:tc>
          <w:tcPr>
            <w:tcW w:w="1581" w:type="dxa"/>
            <w:vAlign w:val="center"/>
            <w:vMerge w:val="continue"/>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营业收入（Y）</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2000≤Y＜40000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300≤Y＜2000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Y＜300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建筑业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营业收入（Y）</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6000≤Y＜80000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300≤Y＜6000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Y＜300</w:t>
            </w:r>
            <w:r/>
          </w:p>
        </w:tc>
      </w:tr>
      <w:tr>
        <w:trPr>
          <w:tblCellSpacing w:w="15" w:type="dxa"/>
          <w:trHeight w:val="225"/>
        </w:trPr>
        <w:tc>
          <w:tcPr>
            <w:tcW w:w="1581" w:type="dxa"/>
            <w:vAlign w:val="center"/>
            <w:vMerge w:val="continue"/>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资产总额（Z）</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5000≤Z＜80000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300≤Z＜5000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Z＜300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批发业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从业人员（X）</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20≤X＜200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5≤X＜20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X＜5</w:t>
            </w:r>
            <w:r/>
          </w:p>
        </w:tc>
      </w:tr>
      <w:tr>
        <w:trPr>
          <w:tblCellSpacing w:w="15" w:type="dxa"/>
          <w:trHeight w:val="225"/>
        </w:trPr>
        <w:tc>
          <w:tcPr>
            <w:tcW w:w="1581" w:type="dxa"/>
            <w:vAlign w:val="center"/>
            <w:vMerge w:val="continue"/>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营业收入（Y）</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5000≤Y＜40000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1000≤Y＜5000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Y＜1000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零售业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从业人员（X）</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50≤X＜300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10≤X＜50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X＜10</w:t>
            </w:r>
            <w:r/>
          </w:p>
        </w:tc>
      </w:tr>
      <w:tr>
        <w:trPr>
          <w:tblCellSpacing w:w="15" w:type="dxa"/>
          <w:trHeight w:val="225"/>
        </w:trPr>
        <w:tc>
          <w:tcPr>
            <w:tcW w:w="1581" w:type="dxa"/>
            <w:vAlign w:val="center"/>
            <w:vMerge w:val="continue"/>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营业收入（Y）</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500≤Y＜20000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100≤Y＜500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交通运输业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从业人员（X）</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300≤X＜1000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20≤X＜300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X＜20</w:t>
            </w:r>
            <w:r/>
          </w:p>
        </w:tc>
      </w:tr>
      <w:tr>
        <w:trPr>
          <w:tblCellSpacing w:w="15" w:type="dxa"/>
          <w:trHeight w:val="225"/>
        </w:trPr>
        <w:tc>
          <w:tcPr>
            <w:tcW w:w="1581" w:type="dxa"/>
            <w:vAlign w:val="center"/>
            <w:vMerge w:val="continue"/>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营业收入（Y）</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3000≤Y＜30000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200≤Y＜3000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Y＜200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仓储业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从业人员（X）</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100≤X＜200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20≤X＜100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X＜20</w:t>
            </w:r>
            <w:r/>
          </w:p>
        </w:tc>
      </w:tr>
      <w:tr>
        <w:trPr>
          <w:tblCellSpacing w:w="15" w:type="dxa"/>
          <w:trHeight w:val="225"/>
        </w:trPr>
        <w:tc>
          <w:tcPr>
            <w:tcW w:w="1581" w:type="dxa"/>
            <w:vAlign w:val="center"/>
            <w:vMerge w:val="continue"/>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营业收入（Y）</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1000≤Y＜30000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100≤Y＜1000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邮政业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从业人员（X）</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300≤X＜1000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20≤X＜300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X＜20</w:t>
            </w:r>
            <w:r/>
          </w:p>
        </w:tc>
      </w:tr>
      <w:tr>
        <w:trPr>
          <w:tblCellSpacing w:w="15" w:type="dxa"/>
          <w:trHeight w:val="225"/>
        </w:trPr>
        <w:tc>
          <w:tcPr>
            <w:tcW w:w="1581" w:type="dxa"/>
            <w:vAlign w:val="center"/>
            <w:vMerge w:val="continue"/>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营业收入（Y）</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2000≤Y＜30000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100≤Y＜2000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住宿业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从业人员（X）</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100≤X＜300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10≤X＜100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X＜10</w:t>
            </w:r>
            <w:r/>
          </w:p>
        </w:tc>
      </w:tr>
      <w:tr>
        <w:trPr>
          <w:tblCellSpacing w:w="15" w:type="dxa"/>
          <w:trHeight w:val="225"/>
        </w:trPr>
        <w:tc>
          <w:tcPr>
            <w:tcW w:w="1581" w:type="dxa"/>
            <w:vAlign w:val="center"/>
            <w:vMerge w:val="continue"/>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营业收入（Y）</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2000≤Y＜10000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100≤Y＜2000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餐饮业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从业人员（X）</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100≤X＜300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10≤X＜100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X＜10</w:t>
            </w:r>
            <w:r/>
          </w:p>
        </w:tc>
      </w:tr>
      <w:tr>
        <w:trPr>
          <w:tblCellSpacing w:w="15" w:type="dxa"/>
          <w:trHeight w:val="225"/>
        </w:trPr>
        <w:tc>
          <w:tcPr>
            <w:tcW w:w="1581" w:type="dxa"/>
            <w:vAlign w:val="center"/>
            <w:vMerge w:val="continue"/>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营业收入（Y）</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2000≤Y＜10000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100≤Y＜2000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信息传输业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从业人员（X）</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100≤X＜2000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10≤X＜100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X＜10</w:t>
            </w:r>
            <w:r/>
          </w:p>
        </w:tc>
      </w:tr>
      <w:tr>
        <w:trPr>
          <w:tblCellSpacing w:w="15" w:type="dxa"/>
          <w:trHeight w:val="225"/>
        </w:trPr>
        <w:tc>
          <w:tcPr>
            <w:tcW w:w="1581" w:type="dxa"/>
            <w:vAlign w:val="center"/>
            <w:vMerge w:val="continue"/>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营业收入（Y）</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1000≤Y＜100000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100≤Y＜1000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ind w:firstLine="420"/>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软件和信息技术服务业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从业人员（X）</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100≤X＜300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10≤X＜100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X＜10</w:t>
            </w:r>
            <w:r/>
          </w:p>
        </w:tc>
      </w:tr>
      <w:tr>
        <w:trPr>
          <w:tblCellSpacing w:w="15" w:type="dxa"/>
          <w:trHeight w:val="225"/>
        </w:trPr>
        <w:tc>
          <w:tcPr>
            <w:tcW w:w="1581" w:type="dxa"/>
            <w:vAlign w:val="center"/>
            <w:vMerge w:val="continue"/>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营业收入（Y）</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1000≤Y＜10000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50≤Y＜1000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Y＜50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房地产开发经营</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营业收入（Y）</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1000≤Y＜200000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100≤X＜1000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X＜100</w:t>
            </w:r>
            <w:r/>
          </w:p>
        </w:tc>
      </w:tr>
      <w:tr>
        <w:trPr>
          <w:tblCellSpacing w:w="15" w:type="dxa"/>
          <w:trHeight w:val="225"/>
        </w:trPr>
        <w:tc>
          <w:tcPr>
            <w:tcW w:w="1581" w:type="dxa"/>
            <w:vAlign w:val="center"/>
            <w:vMerge w:val="continue"/>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资产总额（Z）</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5000≤Z＜10000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2000≤Y＜5000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Y＜2000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物业管理</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从业人员（X）</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300≤X＜1000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100≤X＜300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X＜100</w:t>
            </w:r>
            <w:r/>
          </w:p>
        </w:tc>
      </w:tr>
      <w:tr>
        <w:trPr>
          <w:tblCellSpacing w:w="15" w:type="dxa"/>
          <w:trHeight w:val="225"/>
        </w:trPr>
        <w:tc>
          <w:tcPr>
            <w:tcW w:w="1581" w:type="dxa"/>
            <w:vAlign w:val="center"/>
            <w:vMerge w:val="continue"/>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营业收入（Y）</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1000≤Y＜5000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500≤Y＜1000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Y＜500</w:t>
            </w:r>
            <w:r/>
          </w:p>
        </w:tc>
      </w:tr>
      <w:tr>
        <w:trPr>
          <w:tblCellSpacing w:w="15" w:type="dxa"/>
          <w:trHeight w:val="225"/>
        </w:trPr>
        <w:tc>
          <w:tcPr>
            <w:tcMar>
              <w:left w:w="105" w:type="dxa"/>
              <w:top w:w="0" w:type="dxa"/>
              <w:right w:w="105" w:type="dxa"/>
              <w:bottom w:w="0" w:type="dxa"/>
            </w:tcMar>
            <w:tcW w:w="1581" w:type="dxa"/>
            <w:vAlign w:val="center"/>
            <w:vMerge w:val="restart"/>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租赁和商务服务业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从业人员（X）</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100≤X＜300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10≤X＜100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X＜10</w:t>
            </w:r>
            <w:r/>
          </w:p>
        </w:tc>
      </w:tr>
      <w:tr>
        <w:trPr>
          <w:tblCellSpacing w:w="15" w:type="dxa"/>
          <w:trHeight w:val="225"/>
        </w:trPr>
        <w:tc>
          <w:tcPr>
            <w:tcW w:w="1581" w:type="dxa"/>
            <w:vAlign w:val="center"/>
            <w:vMerge w:val="continue"/>
            <w:textDirection w:val="lrTb"/>
            <w:noWrap w:val="false"/>
          </w:tcPr>
          <w:p>
            <w:pPr>
              <w:jc w:val="center"/>
              <w:widowControl/>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资产总额（Z）</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万元</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8000≤Z＜120000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100≤Z＜8000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581"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其他未列明行业</w:t>
            </w:r>
            <w:r/>
          </w:p>
        </w:tc>
        <w:tc>
          <w:tcPr>
            <w:tcMar>
              <w:left w:w="105" w:type="dxa"/>
              <w:top w:w="0" w:type="dxa"/>
              <w:right w:w="105" w:type="dxa"/>
              <w:bottom w:w="0" w:type="dxa"/>
            </w:tcMar>
            <w:tcW w:w="1808"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从业人员（X）</w:t>
            </w:r>
            <w:r/>
          </w:p>
        </w:tc>
        <w:tc>
          <w:tcPr>
            <w:tcMar>
              <w:left w:w="105" w:type="dxa"/>
              <w:top w:w="0" w:type="dxa"/>
              <w:right w:w="105" w:type="dxa"/>
              <w:bottom w:w="0" w:type="dxa"/>
            </w:tcMar>
            <w:tcW w:w="79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人</w:t>
            </w:r>
            <w:r/>
          </w:p>
        </w:tc>
        <w:tc>
          <w:tcPr>
            <w:tcMar>
              <w:left w:w="105" w:type="dxa"/>
              <w:top w:w="0" w:type="dxa"/>
              <w:right w:w="105" w:type="dxa"/>
              <w:bottom w:w="0" w:type="dxa"/>
            </w:tcMar>
            <w:tcW w:w="1982" w:type="dxa"/>
            <w:vAlign w:val="center"/>
            <w:textDirection w:val="lrTb"/>
            <w:noWrap w:val="false"/>
          </w:tcPr>
          <w:p>
            <w:pPr>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100≤X＜300</w:t>
            </w:r>
            <w:r/>
          </w:p>
        </w:tc>
        <w:tc>
          <w:tcPr>
            <w:tcMar>
              <w:left w:w="105" w:type="dxa"/>
              <w:top w:w="0" w:type="dxa"/>
              <w:right w:w="105" w:type="dxa"/>
              <w:bottom w:w="0" w:type="dxa"/>
            </w:tcMar>
            <w:tcW w:w="1799" w:type="dxa"/>
            <w:vAlign w:val="center"/>
            <w:textDirection w:val="lrTb"/>
            <w:noWrap w:val="false"/>
          </w:tcPr>
          <w:p>
            <w:pPr>
              <w:jc w:val="center"/>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10≤X＜100</w:t>
            </w:r>
            <w:r/>
          </w:p>
        </w:tc>
        <w:tc>
          <w:tcPr>
            <w:tcMar>
              <w:left w:w="105" w:type="dxa"/>
              <w:top w:w="0" w:type="dxa"/>
              <w:right w:w="105" w:type="dxa"/>
              <w:bottom w:w="0" w:type="dxa"/>
            </w:tcMar>
            <w:tcW w:w="1635" w:type="dxa"/>
            <w:vAlign w:val="center"/>
            <w:textDirection w:val="lrTb"/>
            <w:noWrap w:val="false"/>
          </w:tcPr>
          <w:p>
            <w:pPr>
              <w:ind w:firstLine="420"/>
              <w:jc w:val="left"/>
              <w:spacing w:after="150" w:line="360" w:lineRule="auto"/>
              <w:widowControl/>
              <w:rPr>
                <w:rFonts w:ascii="宋体" w:hAnsi="宋体" w:cs="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X＜10</w:t>
            </w:r>
            <w:r/>
          </w:p>
        </w:tc>
      </w:tr>
    </w:tbl>
    <w:p>
      <w:pPr>
        <w:ind w:firstLine="810"/>
        <w:jc w:val="left"/>
        <w:spacing w:before="300" w:after="452" w:line="360" w:lineRule="auto"/>
        <w:widowControl/>
        <w:rPr>
          <w:rFonts w:ascii="宋体" w:hAnsi="宋体"/>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说明：上述标准参照《关于印发中小企业划型标准规定的通知》（工信部联企业[2011]300号），大型、中型和小型企业须同时满足所列指标的下限，否则下划一档；微型企业只须满足所列指标中的一项</w:t>
      </w:r>
      <w:r>
        <w:rPr>
          <w:rFonts w:hint="eastAsia" w:ascii="宋体" w:hAnsi="宋体" w:eastAsia="等线" w:cs="仿宋"/>
          <w:b/>
          <w:color w:val="000000" w:themeColor="text1"/>
          <w:szCs w:val="21"/>
          <w14:textFill>
            <w14:solidFill>
              <w14:schemeClr w14:val="tx1"/>
            </w14:solidFill>
          </w14:textFill>
        </w:rPr>
        <w:t xml:space="preserve">即可。</w:t>
      </w:r>
      <w:r/>
    </w:p>
    <w:p>
      <w:pPr>
        <w:spacing w:line="400" w:lineRule="exact"/>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t xml:space="preserve"> </w:t>
      </w:r>
      <w:r/>
    </w:p>
    <w:p>
      <w:pPr>
        <w:spacing w:line="400" w:lineRule="exact"/>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spacing w:line="400" w:lineRule="exact"/>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spacing w:line="400" w:lineRule="exact"/>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spacing w:line="400" w:lineRule="exact"/>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spacing w:line="400" w:lineRule="exact"/>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spacing w:line="400" w:lineRule="exact"/>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pStyle w:val="859"/>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pStyle w:val="860"/>
        <w:rPr>
          <w:color w:val="000000" w:themeColor="text1"/>
          <w14:textFill>
            <w14:solidFill>
              <w14:schemeClr w14:val="tx1"/>
            </w14:solidFill>
          </w14:textFill>
        </w:rPr>
      </w:pPr>
      <w:r>
        <w:rPr>
          <w:color w:val="000000" w:themeColor="text1"/>
          <w14:textFill>
            <w14:solidFill>
              <w14:schemeClr w14:val="tx1"/>
            </w14:solidFill>
          </w14:textFill>
        </w:rPr>
      </w:r>
      <w:r/>
    </w:p>
    <w:p>
      <w:pPr>
        <w:spacing w:line="400" w:lineRule="exact"/>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spacing w:line="400" w:lineRule="exact"/>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pStyle w:val="859"/>
      </w:pPr>
      <w:r/>
      <w:r/>
    </w:p>
    <w:p>
      <w:pPr>
        <w:jc w:val="center"/>
        <w:spacing w:line="400" w:lineRule="exact"/>
        <w:rPr>
          <w:rFonts w:ascii="宋体" w:hAnsi="宋体"/>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 残疾人福利性单位声明函（货物类项目）</w:t>
      </w:r>
      <w:r/>
    </w:p>
    <w:p>
      <w:pPr>
        <w:ind w:firstLine="480"/>
        <w:spacing w:line="40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ind w:firstLine="48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宋体" w:hAnsi="宋体"/>
          <w:color w:val="000000" w:themeColor="text1"/>
          <w:szCs w:val="21"/>
          <w:u w:val="single"/>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的</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项目采购活动提供本单位制造的货物，或者提供其他残疾人福利性单位制造的货物（不包括使用非残疾人福利性单位注册商标的货物）。</w:t>
      </w:r>
      <w:r/>
    </w:p>
    <w:p>
      <w:pPr>
        <w:ind w:firstLine="48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本单位对上述声明的真实性负责。如有虚假，将依法承担相应责任。</w:t>
      </w:r>
      <w:r/>
    </w:p>
    <w:p>
      <w:pPr>
        <w:ind w:firstLine="480"/>
        <w:spacing w:line="40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ind w:firstLine="48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备注：</w:t>
      </w:r>
      <w:r/>
    </w:p>
    <w:p>
      <w:pPr>
        <w:ind w:firstLine="48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专门面向中小企业采购的</w:t>
      </w:r>
      <w:r>
        <w:rPr>
          <w:rFonts w:ascii="宋体" w:hAnsi="宋体"/>
          <w:color w:val="000000" w:themeColor="text1"/>
          <w:szCs w:val="21"/>
          <w14:textFill>
            <w14:solidFill>
              <w14:schemeClr w14:val="tx1"/>
            </w14:solidFill>
          </w14:textFill>
        </w:rPr>
        <w:t xml:space="preserve">项目</w:t>
      </w:r>
      <w:r>
        <w:rPr>
          <w:rFonts w:hint="eastAsia" w:ascii="宋体" w:hAnsi="宋体"/>
          <w:color w:val="000000" w:themeColor="text1"/>
          <w:szCs w:val="21"/>
          <w14:textFill>
            <w14:solidFill>
              <w14:schemeClr w14:val="tx1"/>
            </w14:solidFill>
          </w14:textFill>
        </w:rPr>
        <w:t xml:space="preserve">，供应商为残疾人福利性单位并提供本单位制造的货物，或者提供其他残疾人福利性单位制造的货物，必须提供此</w:t>
      </w:r>
      <w:r>
        <w:rPr>
          <w:rFonts w:ascii="宋体" w:hAnsi="宋体"/>
          <w:color w:val="000000" w:themeColor="text1"/>
          <w:szCs w:val="21"/>
          <w14:textFill>
            <w14:solidFill>
              <w14:schemeClr w14:val="tx1"/>
            </w14:solidFill>
          </w14:textFill>
        </w:rPr>
        <w:t xml:space="preserve">声明函</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否则将</w:t>
      </w:r>
      <w:r>
        <w:rPr>
          <w:rFonts w:hint="eastAsia" w:ascii="宋体" w:hAnsi="宋体"/>
          <w:color w:val="000000" w:themeColor="text1"/>
          <w:szCs w:val="21"/>
          <w14:textFill>
            <w14:solidFill>
              <w14:schemeClr w14:val="tx1"/>
            </w14:solidFill>
          </w14:textFill>
        </w:rPr>
        <w:t xml:space="preserve">不能</w:t>
      </w:r>
      <w:r>
        <w:rPr>
          <w:rFonts w:ascii="宋体" w:hAnsi="宋体"/>
          <w:color w:val="000000" w:themeColor="text1"/>
          <w:szCs w:val="21"/>
          <w14:textFill>
            <w14:solidFill>
              <w14:schemeClr w14:val="tx1"/>
            </w14:solidFill>
          </w14:textFill>
        </w:rPr>
        <w:t xml:space="preserve">通过资格审查</w:t>
      </w:r>
      <w:r>
        <w:rPr>
          <w:rFonts w:hint="eastAsia" w:ascii="宋体" w:hAnsi="宋体"/>
          <w:color w:val="000000" w:themeColor="text1"/>
          <w:szCs w:val="21"/>
          <w14:textFill>
            <w14:solidFill>
              <w14:schemeClr w14:val="tx1"/>
            </w14:solidFill>
          </w14:textFill>
        </w:rPr>
        <w:t xml:space="preserve">。</w:t>
      </w:r>
      <w:r/>
    </w:p>
    <w:p>
      <w:pPr>
        <w:ind w:firstLine="48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 非专门面向中小企业采购的</w:t>
      </w:r>
      <w:r>
        <w:rPr>
          <w:rFonts w:ascii="宋体" w:hAnsi="宋体"/>
          <w:color w:val="000000" w:themeColor="text1"/>
          <w:szCs w:val="21"/>
          <w14:textFill>
            <w14:solidFill>
              <w14:schemeClr w14:val="tx1"/>
            </w14:solidFill>
          </w14:textFill>
        </w:rPr>
        <w:t xml:space="preserve">项目</w:t>
      </w:r>
      <w:r>
        <w:rPr>
          <w:rFonts w:hint="eastAsia" w:ascii="宋体" w:hAnsi="宋体"/>
          <w:color w:val="000000" w:themeColor="text1"/>
          <w:szCs w:val="21"/>
          <w14:textFill>
            <w14:solidFill>
              <w14:schemeClr w14:val="tx1"/>
            </w14:solidFill>
          </w14:textFill>
        </w:rPr>
        <w:t xml:space="preserve">，供应商如不提供此声明函，价格将不做相应扣除。</w:t>
      </w:r>
      <w:r/>
    </w:p>
    <w:p>
      <w:pPr>
        <w:ind w:firstLine="480"/>
        <w:spacing w:line="40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.中标/成交供应商为残疾人福利性单位的，此声明函将随中标/成交结果同时公告，接受社会监督。</w:t>
      </w:r>
      <w:r/>
    </w:p>
    <w:p>
      <w:pPr>
        <w:ind w:firstLine="624"/>
        <w:spacing w:line="588" w:lineRule="exact"/>
        <w:rPr>
          <w:rFonts w:ascii="仿宋_GB2312" w:eastAsia="仿宋_GB2312"/>
          <w:color w:val="000000" w:themeColor="text1"/>
          <w:spacing w:val="6"/>
          <w:szCs w:val="21"/>
          <w14:textFill>
            <w14:solidFill>
              <w14:schemeClr w14:val="tx1"/>
            </w14:solidFill>
          </w14:textFill>
        </w:rPr>
      </w:pPr>
      <w:r>
        <w:rPr>
          <w:rFonts w:ascii="仿宋_GB2312" w:eastAsia="仿宋_GB2312"/>
          <w:color w:val="000000" w:themeColor="text1"/>
          <w:spacing w:val="6"/>
          <w:szCs w:val="21"/>
          <w14:textFill>
            <w14:solidFill>
              <w14:schemeClr w14:val="tx1"/>
            </w14:solidFill>
          </w14:textFill>
        </w:rPr>
      </w:r>
      <w:r/>
    </w:p>
    <w:p>
      <w:pPr>
        <w:ind w:right="1559" w:firstLine="624"/>
        <w:jc w:val="center"/>
        <w:spacing w:line="400" w:lineRule="exact"/>
        <w:tabs>
          <w:tab w:val="left" w:pos="4860" w:leader="none"/>
        </w:tabs>
        <w:rPr>
          <w:rFonts w:ascii="宋体" w:hAnsi="宋体"/>
          <w:color w:val="000000" w:themeColor="text1"/>
          <w:szCs w:val="21"/>
          <w14:textFill>
            <w14:solidFill>
              <w14:schemeClr w14:val="tx1"/>
            </w14:solidFill>
          </w14:textFill>
        </w:rPr>
      </w:pPr>
      <w:r>
        <w:rPr>
          <w:rFonts w:hint="eastAsia" w:ascii="仿宋_GB2312" w:eastAsia="仿宋_GB2312"/>
          <w:color w:val="000000" w:themeColor="text1"/>
          <w:spacing w:val="6"/>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供应商全称（加盖CA电子公章）：</w:t>
      </w:r>
      <w:r/>
    </w:p>
    <w:p>
      <w:pPr>
        <w:ind w:right="1559" w:firstLine="480"/>
        <w:jc w:val="center"/>
        <w:spacing w:line="400" w:lineRule="exact"/>
        <w:tabs>
          <w:tab w:val="left" w:pos="4860"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日  期：</w:t>
      </w:r>
      <w:r/>
    </w:p>
    <w:p>
      <w:pPr>
        <w:pStyle w:val="851"/>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851"/>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851"/>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851"/>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851"/>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851"/>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851"/>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851"/>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851"/>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851"/>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851"/>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851"/>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851"/>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851"/>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851"/>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851"/>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851"/>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851"/>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851"/>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851"/>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851"/>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851"/>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851"/>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851"/>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851"/>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851"/>
        <w:jc w:val="center"/>
        <w:spacing w:before="15" w:beforeAutospacing="0" w:after="15" w:afterAutospacing="0"/>
        <w:shd w:val="clear" w:color="auto" w:fill="ffffff"/>
        <w:widowControl/>
        <w:rPr>
          <w:rFonts w:ascii="宋体" w:hAnsi="宋体" w:cs="宋体"/>
          <w:b/>
          <w:bCs/>
          <w:color w:val="000000" w:themeColor="text1"/>
          <w:sz w:val="21"/>
          <w:szCs w:val="21"/>
          <w:shd w:val="clear" w:color="auto" w:fill="ffffff"/>
          <w14:textFill>
            <w14:solidFill>
              <w14:schemeClr w14:val="tx1"/>
            </w14:solidFill>
          </w14:textFill>
        </w:rPr>
      </w:pPr>
      <w:r>
        <w:rPr>
          <w:rFonts w:ascii="宋体" w:hAnsi="宋体" w:cs="宋体"/>
          <w:b/>
          <w:bCs/>
          <w:color w:val="000000" w:themeColor="text1"/>
          <w:sz w:val="21"/>
          <w:szCs w:val="21"/>
          <w:shd w:val="clear" w:color="auto" w:fill="ffffff"/>
          <w14:textFill>
            <w14:solidFill>
              <w14:schemeClr w14:val="tx1"/>
            </w14:solidFill>
          </w14:textFill>
        </w:rPr>
      </w:r>
      <w:r/>
    </w:p>
    <w:p>
      <w:pPr>
        <w:pStyle w:val="851"/>
        <w:jc w:val="center"/>
        <w:spacing w:before="15" w:beforeAutospacing="0" w:after="15" w:afterAutospacing="0"/>
        <w:shd w:val="clear" w:color="auto" w:fill="ffffff"/>
        <w:widowControl/>
        <w:rPr>
          <w:color w:val="000000" w:themeColor="text1"/>
          <w:sz w:val="21"/>
          <w:szCs w:val="21"/>
          <w14:textFill>
            <w14:solidFill>
              <w14:schemeClr w14:val="tx1"/>
            </w14:solidFill>
          </w14:textFill>
        </w:rPr>
      </w:pPr>
      <w:r>
        <w:rPr>
          <w:rFonts w:hint="eastAsia" w:ascii="宋体" w:hAnsi="宋体" w:cs="宋体"/>
          <w:b/>
          <w:bCs/>
          <w:color w:val="000000" w:themeColor="text1"/>
          <w:sz w:val="21"/>
          <w:szCs w:val="21"/>
          <w:shd w:val="clear" w:color="auto" w:fill="ffffff"/>
          <w14:textFill>
            <w14:solidFill>
              <w14:schemeClr w14:val="tx1"/>
            </w14:solidFill>
          </w14:textFill>
        </w:rPr>
        <w:t xml:space="preserve">关于符合本国产品标准的声明函</w:t>
      </w:r>
      <w:r/>
    </w:p>
    <w:p>
      <w:pPr>
        <w:pStyle w:val="851"/>
        <w:ind w:firstLine="420"/>
        <w:spacing w:before="15" w:beforeAutospacing="0" w:after="15" w:afterAutospacing="0"/>
        <w:shd w:val="clear" w:color="auto" w:fill="ffffff"/>
        <w:widowControl/>
        <w:rPr>
          <w:color w:val="000000" w:themeColor="text1"/>
          <w:sz w:val="21"/>
          <w:szCs w:val="21"/>
          <w14:textFill>
            <w14:solidFill>
              <w14:schemeClr w14:val="tx1"/>
            </w14:solidFill>
          </w14:textFill>
        </w:rPr>
      </w:pPr>
      <w:r>
        <w:rPr>
          <w:color w:val="000000" w:themeColor="text1"/>
          <w:sz w:val="21"/>
          <w:szCs w:val="21"/>
          <w:shd w:val="clear" w:color="auto" w:fill="ffffff"/>
          <w14:textFill>
            <w14:solidFill>
              <w14:schemeClr w14:val="tx1"/>
            </w14:solidFill>
          </w14:textFill>
        </w:rPr>
        <w:t xml:space="preserve"> </w:t>
      </w:r>
      <w:r/>
    </w:p>
    <w:p>
      <w:pPr>
        <w:pStyle w:val="851"/>
        <w:ind w:firstLine="420"/>
        <w:spacing w:beforeAutospacing="0" w:afterAutospacing="0" w:line="360" w:lineRule="auto"/>
        <w:widowControl/>
        <w:rPr>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1"/>
        <w:ind w:firstLine="420"/>
        <w:spacing w:before="30" w:beforeAutospacing="0" w:after="30" w:afterAutospacing="0" w:line="360" w:lineRule="auto"/>
        <w:shd w:val="clear" w:color="auto" w:fill="ffffff"/>
        <w:widowControl/>
        <w:rPr>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14:textFill>
            <w14:solidFill>
              <w14:schemeClr w14:val="tx1"/>
            </w14:solidFill>
          </w14:textFill>
        </w:rPr>
        <w:t xml:space="preserve">1.</w:t>
      </w:r>
      <w:r>
        <w:rPr>
          <w:rFonts w:hint="eastAsia" w:ascii="宋体" w:hAnsi="宋体" w:cs="宋体"/>
          <w:color w:val="000000" w:themeColor="text1"/>
          <w:sz w:val="21"/>
          <w:szCs w:val="21"/>
          <w:u w:val="single"/>
          <w:shd w:val="clear" w:color="auto" w:fill="ffffff"/>
          <w14:textFill>
            <w14:solidFill>
              <w14:schemeClr w14:val="tx1"/>
            </w14:solidFill>
          </w14:textFill>
        </w:rPr>
        <w:t xml:space="preserve">（产品名称1）</w:t>
      </w:r>
      <w:r>
        <w:rPr>
          <w:rFonts w:hint="eastAsia" w:ascii="宋体" w:hAnsi="宋体" w:cs="宋体"/>
          <w:color w:val="000000" w:themeColor="text1"/>
          <w:sz w:val="21"/>
          <w:szCs w:val="21"/>
          <w:shd w:val="clear" w:color="auto" w:fill="ffffff"/>
          <w:vertAlign w:val="superscript"/>
          <w14:textFill>
            <w14:solidFill>
              <w14:schemeClr w14:val="tx1"/>
            </w14:solidFill>
          </w14:textFill>
        </w:rPr>
        <w:t xml:space="preserve">1</w:t>
      </w:r>
      <w:r>
        <w:rPr>
          <w:rFonts w:hint="eastAsia" w:ascii="宋体" w:hAnsi="宋体" w:cs="宋体"/>
          <w:color w:val="000000" w:themeColor="text1"/>
          <w:sz w:val="21"/>
          <w:szCs w:val="21"/>
          <w:shd w:val="clear" w:color="auto" w:fill="ffffff"/>
          <w14:textFill>
            <w14:solidFill>
              <w14:schemeClr w14:val="tx1"/>
            </w14:solidFill>
          </w14:textFill>
        </w:rPr>
        <w:t xml:space="preserve">，生产厂为</w:t>
      </w:r>
      <w:r>
        <w:rPr>
          <w:rFonts w:hint="eastAsia" w:ascii="宋体" w:hAnsi="宋体" w:cs="宋体"/>
          <w:color w:val="000000" w:themeColor="text1"/>
          <w:sz w:val="21"/>
          <w:szCs w:val="21"/>
          <w:u w:val="single"/>
          <w:shd w:val="clear" w:color="auto" w:fill="ffffff"/>
          <w14:textFill>
            <w14:solidFill>
              <w14:schemeClr w14:val="tx1"/>
            </w14:solidFill>
          </w14:textFill>
        </w:rPr>
        <w:t xml:space="preserve">（厂名）</w:t>
      </w:r>
      <w:r>
        <w:rPr>
          <w:rFonts w:hint="eastAsia" w:ascii="宋体" w:hAnsi="宋体" w:cs="宋体"/>
          <w:color w:val="000000" w:themeColor="text1"/>
          <w:sz w:val="21"/>
          <w:szCs w:val="21"/>
          <w:shd w:val="clear" w:color="auto" w:fill="ffffff"/>
          <w:vertAlign w:val="superscript"/>
          <w14:textFill>
            <w14:solidFill>
              <w14:schemeClr w14:val="tx1"/>
            </w14:solidFill>
          </w14:textFill>
        </w:rPr>
        <w:t xml:space="preserve">2</w:t>
      </w:r>
      <w:r>
        <w:rPr>
          <w:rFonts w:hint="eastAsia" w:ascii="宋体" w:hAnsi="宋体" w:cs="宋体"/>
          <w:color w:val="000000" w:themeColor="text1"/>
          <w:sz w:val="21"/>
          <w:szCs w:val="21"/>
          <w:shd w:val="clear" w:color="auto" w:fill="ffffff"/>
          <w14:textFill>
            <w14:solidFill>
              <w14:schemeClr w14:val="tx1"/>
            </w14:solidFill>
          </w14:textFill>
        </w:rPr>
        <w:t xml:space="preserve">，厂址为</w:t>
      </w:r>
      <w:r>
        <w:rPr>
          <w:rFonts w:hint="eastAsia" w:ascii="宋体" w:hAnsi="宋体" w:cs="宋体"/>
          <w:color w:val="000000" w:themeColor="text1"/>
          <w:sz w:val="21"/>
          <w:szCs w:val="21"/>
          <w:u w:val="single"/>
          <w:shd w:val="clear" w:color="auto" w:fill="ffffff"/>
          <w14:textFill>
            <w14:solidFill>
              <w14:schemeClr w14:val="tx1"/>
            </w14:solidFill>
          </w14:textFill>
        </w:rPr>
        <w:t xml:space="preserve">（生产厂址）</w:t>
      </w:r>
      <w:r>
        <w:rPr>
          <w:rFonts w:hint="eastAsia" w:ascii="宋体" w:hAnsi="宋体" w:cs="宋体"/>
          <w:color w:val="000000" w:themeColor="text1"/>
          <w:sz w:val="21"/>
          <w:szCs w:val="21"/>
          <w:shd w:val="clear" w:color="auto" w:fill="ffffff"/>
          <w14:textFill>
            <w14:solidFill>
              <w14:schemeClr w14:val="tx1"/>
            </w14:solidFill>
          </w14:textFill>
        </w:rPr>
        <w:t xml:space="preserve">。</w:t>
      </w:r>
      <w:r>
        <w:rPr>
          <w:rFonts w:hint="eastAsia" w:ascii="宋体" w:hAnsi="宋体" w:cs="宋体"/>
          <w:color w:val="000000" w:themeColor="text1"/>
          <w:sz w:val="21"/>
          <w:szCs w:val="21"/>
          <w:u w:val="single"/>
          <w:shd w:val="clear" w:color="auto" w:fill="ffffff"/>
          <w14:textFill>
            <w14:solidFill>
              <w14:schemeClr w14:val="tx1"/>
            </w14:solidFill>
          </w14:textFill>
        </w:rPr>
        <w:t xml:space="preserve"> / </w:t>
      </w:r>
      <w:r>
        <w:rPr>
          <w:rFonts w:hint="eastAsia" w:ascii="宋体" w:hAnsi="宋体" w:cs="宋体"/>
          <w:color w:val="000000" w:themeColor="text1"/>
          <w:sz w:val="21"/>
          <w:szCs w:val="21"/>
          <w:shd w:val="clear" w:color="auto" w:fill="ffffff"/>
          <w14:textFill>
            <w14:solidFill>
              <w14:schemeClr w14:val="tx1"/>
            </w14:solidFill>
          </w14:textFill>
        </w:rPr>
        <w:t xml:space="preserve">的中国境内生产的组件成本占比≥</w:t>
      </w:r>
      <w:r>
        <w:rPr>
          <w:rFonts w:hint="eastAsia" w:ascii="宋体" w:hAnsi="宋体" w:cs="宋体"/>
          <w:color w:val="000000" w:themeColor="text1"/>
          <w:sz w:val="21"/>
          <w:szCs w:val="21"/>
          <w:u w:val="single"/>
          <w:shd w:val="clear" w:color="auto" w:fill="ffffff"/>
          <w14:textFill>
            <w14:solidFill>
              <w14:schemeClr w14:val="tx1"/>
            </w14:solidFill>
          </w14:textFill>
        </w:rPr>
        <w:t xml:space="preserve">  /  </w:t>
      </w:r>
      <w:r>
        <w:rPr>
          <w:rFonts w:hint="eastAsia" w:ascii="宋体" w:hAnsi="宋体" w:cs="宋体"/>
          <w:color w:val="000000" w:themeColor="text1"/>
          <w:sz w:val="21"/>
          <w:szCs w:val="21"/>
          <w:shd w:val="clear" w:color="auto" w:fill="ffffff"/>
          <w:vertAlign w:val="superscript"/>
          <w14:textFill>
            <w14:solidFill>
              <w14:schemeClr w14:val="tx1"/>
            </w14:solidFill>
          </w14:textFill>
        </w:rPr>
        <w:t xml:space="preserve">3</w:t>
      </w:r>
      <w:r>
        <w:rPr>
          <w:rFonts w:hint="eastAsia" w:ascii="宋体" w:hAnsi="宋体" w:cs="宋体"/>
          <w:color w:val="000000" w:themeColor="text1"/>
          <w:sz w:val="21"/>
          <w:szCs w:val="21"/>
          <w:shd w:val="clear" w:color="auto" w:fill="ffffff"/>
          <w14:textFill>
            <w14:solidFill>
              <w14:schemeClr w14:val="tx1"/>
            </w14:solidFill>
          </w14:textFill>
        </w:rPr>
        <w:t xml:space="preserve">。</w:t>
      </w:r>
      <w:r>
        <w:rPr>
          <w:rFonts w:hint="eastAsia" w:ascii="宋体" w:hAnsi="宋体" w:cs="宋体"/>
          <w:color w:val="000000" w:themeColor="text1"/>
          <w:sz w:val="21"/>
          <w:szCs w:val="21"/>
          <w:u w:val="single"/>
          <w:shd w:val="clear" w:color="auto" w:fill="ffffff"/>
          <w14:textFill>
            <w14:solidFill>
              <w14:schemeClr w14:val="tx1"/>
            </w14:solidFill>
          </w14:textFill>
        </w:rPr>
        <w:t xml:space="preserve">  /  </w:t>
      </w:r>
      <w:r>
        <w:rPr>
          <w:rFonts w:hint="eastAsia" w:ascii="宋体" w:hAnsi="宋体" w:cs="宋体"/>
          <w:color w:val="000000" w:themeColor="text1"/>
          <w:sz w:val="21"/>
          <w:szCs w:val="21"/>
          <w:shd w:val="clear" w:color="auto" w:fill="ffffff"/>
          <w14:textFill>
            <w14:solidFill>
              <w14:schemeClr w14:val="tx1"/>
            </w14:solidFill>
          </w14:textFill>
        </w:rPr>
        <w:t xml:space="preserve">的</w:t>
      </w:r>
      <w:r>
        <w:rPr>
          <w:rFonts w:hint="eastAsia" w:ascii="宋体" w:hAnsi="宋体" w:cs="宋体"/>
          <w:color w:val="000000" w:themeColor="text1"/>
          <w:sz w:val="21"/>
          <w:szCs w:val="21"/>
          <w:u w:val="single"/>
          <w:shd w:val="clear" w:color="auto" w:fill="ffffff"/>
          <w14:textFill>
            <w14:solidFill>
              <w14:schemeClr w14:val="tx1"/>
            </w14:solidFill>
          </w14:textFill>
        </w:rPr>
        <w:t xml:space="preserve">  /  </w:t>
      </w:r>
      <w:r>
        <w:rPr>
          <w:rFonts w:hint="eastAsia" w:ascii="宋体" w:hAnsi="宋体" w:cs="宋体"/>
          <w:color w:val="000000" w:themeColor="text1"/>
          <w:sz w:val="21"/>
          <w:szCs w:val="21"/>
          <w:shd w:val="clear" w:color="auto" w:fill="ffffff"/>
          <w:vertAlign w:val="superscript"/>
          <w14:textFill>
            <w14:solidFill>
              <w14:schemeClr w14:val="tx1"/>
            </w14:solidFill>
          </w14:textFill>
        </w:rPr>
        <w:t xml:space="preserve">4</w:t>
      </w:r>
      <w:r>
        <w:rPr>
          <w:rFonts w:hint="eastAsia" w:ascii="宋体" w:hAnsi="宋体" w:cs="宋体"/>
          <w:color w:val="000000" w:themeColor="text1"/>
          <w:sz w:val="21"/>
          <w:szCs w:val="21"/>
          <w:shd w:val="clear" w:color="auto" w:fill="ffffff"/>
          <w14:textFill>
            <w14:solidFill>
              <w14:schemeClr w14:val="tx1"/>
            </w14:solidFill>
          </w14:textFill>
        </w:rPr>
        <w:t xml:space="preserve">在中国境内生产。</w:t>
      </w:r>
      <w:r>
        <w:rPr>
          <w:rFonts w:hint="eastAsia" w:ascii="宋体" w:hAnsi="宋体" w:cs="宋体"/>
          <w:color w:val="000000" w:themeColor="text1"/>
          <w:sz w:val="21"/>
          <w:szCs w:val="21"/>
          <w:u w:val="single"/>
          <w:shd w:val="clear" w:color="auto" w:fill="ffffff"/>
          <w14:textFill>
            <w14:solidFill>
              <w14:schemeClr w14:val="tx1"/>
            </w14:solidFill>
          </w14:textFill>
        </w:rPr>
        <w:t xml:space="preserve">  /  </w:t>
      </w:r>
      <w:r>
        <w:rPr>
          <w:rFonts w:hint="eastAsia" w:ascii="宋体" w:hAnsi="宋体" w:cs="宋体"/>
          <w:color w:val="000000" w:themeColor="text1"/>
          <w:sz w:val="21"/>
          <w:szCs w:val="21"/>
          <w:shd w:val="clear" w:color="auto" w:fill="ffffff"/>
          <w14:textFill>
            <w14:solidFill>
              <w14:schemeClr w14:val="tx1"/>
            </w14:solidFill>
          </w14:textFill>
        </w:rPr>
        <w:t xml:space="preserve">的</w:t>
      </w:r>
      <w:r>
        <w:rPr>
          <w:rFonts w:hint="eastAsia" w:ascii="宋体" w:hAnsi="宋体" w:cs="宋体"/>
          <w:color w:val="000000" w:themeColor="text1"/>
          <w:sz w:val="21"/>
          <w:szCs w:val="21"/>
          <w:u w:val="single"/>
          <w:shd w:val="clear" w:color="auto" w:fill="ffffff"/>
          <w14:textFill>
            <w14:solidFill>
              <w14:schemeClr w14:val="tx1"/>
            </w14:solidFill>
          </w14:textFill>
        </w:rPr>
        <w:t xml:space="preserve">  /  </w:t>
      </w:r>
      <w:r>
        <w:rPr>
          <w:rFonts w:hint="eastAsia" w:ascii="宋体" w:hAnsi="宋体" w:cs="宋体"/>
          <w:color w:val="000000" w:themeColor="text1"/>
          <w:sz w:val="21"/>
          <w:szCs w:val="21"/>
          <w:shd w:val="clear" w:color="auto" w:fill="ffffff"/>
          <w:vertAlign w:val="superscript"/>
          <w14:textFill>
            <w14:solidFill>
              <w14:schemeClr w14:val="tx1"/>
            </w14:solidFill>
          </w14:textFill>
        </w:rPr>
        <w:t xml:space="preserve">5</w:t>
      </w:r>
      <w:r>
        <w:rPr>
          <w:rFonts w:hint="eastAsia" w:ascii="宋体" w:hAnsi="宋体" w:cs="宋体"/>
          <w:color w:val="000000" w:themeColor="text1"/>
          <w:sz w:val="21"/>
          <w:szCs w:val="21"/>
          <w:shd w:val="clear" w:color="auto" w:fill="ffffff"/>
          <w14:textFill>
            <w14:solidFill>
              <w14:schemeClr w14:val="tx1"/>
            </w14:solidFill>
          </w14:textFill>
        </w:rPr>
        <w:t xml:space="preserve">在中国境内完成。</w:t>
      </w:r>
      <w:r/>
    </w:p>
    <w:p>
      <w:pPr>
        <w:pStyle w:val="851"/>
        <w:ind w:firstLine="420"/>
        <w:spacing w:before="30" w:beforeAutospacing="0" w:after="30" w:afterAutospacing="0" w:line="360" w:lineRule="auto"/>
        <w:shd w:val="clear" w:color="auto" w:fill="ffffff"/>
        <w:widowControl/>
        <w:rPr>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14:textFill>
            <w14:solidFill>
              <w14:schemeClr w14:val="tx1"/>
            </w14:solidFill>
          </w14:textFill>
        </w:rPr>
        <w:t xml:space="preserve">2.</w:t>
      </w:r>
      <w:r>
        <w:rPr>
          <w:rFonts w:hint="eastAsia" w:ascii="宋体" w:hAnsi="宋体" w:cs="宋体"/>
          <w:color w:val="000000" w:themeColor="text1"/>
          <w:sz w:val="21"/>
          <w:szCs w:val="21"/>
          <w:u w:val="single"/>
          <w:shd w:val="clear" w:color="auto" w:fill="ffffff"/>
          <w14:textFill>
            <w14:solidFill>
              <w14:schemeClr w14:val="tx1"/>
            </w14:solidFill>
          </w14:textFill>
        </w:rPr>
        <w:t xml:space="preserve">（产品名称2）</w:t>
      </w:r>
      <w:r>
        <w:rPr>
          <w:rFonts w:hint="eastAsia" w:ascii="宋体" w:hAnsi="宋体" w:cs="宋体"/>
          <w:color w:val="000000" w:themeColor="text1"/>
          <w:sz w:val="21"/>
          <w:szCs w:val="21"/>
          <w:shd w:val="clear" w:color="auto" w:fill="ffffff"/>
          <w14:textFill>
            <w14:solidFill>
              <w14:schemeClr w14:val="tx1"/>
            </w14:solidFill>
          </w14:textFill>
        </w:rPr>
        <w:t xml:space="preserve">，生产厂为</w:t>
      </w:r>
      <w:r>
        <w:rPr>
          <w:rFonts w:hint="eastAsia" w:ascii="宋体" w:hAnsi="宋体" w:cs="宋体"/>
          <w:color w:val="000000" w:themeColor="text1"/>
          <w:sz w:val="21"/>
          <w:szCs w:val="21"/>
          <w:u w:val="single"/>
          <w:shd w:val="clear" w:color="auto" w:fill="ffffff"/>
          <w14:textFill>
            <w14:solidFill>
              <w14:schemeClr w14:val="tx1"/>
            </w14:solidFill>
          </w14:textFill>
        </w:rPr>
        <w:t xml:space="preserve">（厂名）</w:t>
      </w:r>
      <w:r>
        <w:rPr>
          <w:rFonts w:hint="eastAsia" w:ascii="宋体" w:hAnsi="宋体" w:cs="宋体"/>
          <w:color w:val="000000" w:themeColor="text1"/>
          <w:sz w:val="21"/>
          <w:szCs w:val="21"/>
          <w:shd w:val="clear" w:color="auto" w:fill="ffffff"/>
          <w14:textFill>
            <w14:solidFill>
              <w14:schemeClr w14:val="tx1"/>
            </w14:solidFill>
          </w14:textFill>
        </w:rPr>
        <w:t xml:space="preserve">，厂址为</w:t>
      </w:r>
      <w:r>
        <w:rPr>
          <w:rFonts w:hint="eastAsia" w:ascii="宋体" w:hAnsi="宋体" w:cs="宋体"/>
          <w:color w:val="000000" w:themeColor="text1"/>
          <w:sz w:val="21"/>
          <w:szCs w:val="21"/>
          <w:u w:val="single"/>
          <w:shd w:val="clear" w:color="auto" w:fill="ffffff"/>
          <w14:textFill>
            <w14:solidFill>
              <w14:schemeClr w14:val="tx1"/>
            </w14:solidFill>
          </w14:textFill>
        </w:rPr>
        <w:t xml:space="preserve">（生产厂址）</w:t>
      </w:r>
      <w:r>
        <w:rPr>
          <w:rFonts w:hint="eastAsia" w:ascii="宋体" w:hAnsi="宋体" w:cs="宋体"/>
          <w:color w:val="000000" w:themeColor="text1"/>
          <w:sz w:val="21"/>
          <w:szCs w:val="21"/>
          <w:shd w:val="clear" w:color="auto" w:fill="ffffff"/>
          <w14:textFill>
            <w14:solidFill>
              <w14:schemeClr w14:val="tx1"/>
            </w14:solidFill>
          </w14:textFill>
        </w:rPr>
        <w:t xml:space="preserve">。</w:t>
      </w:r>
      <w:r>
        <w:rPr>
          <w:rFonts w:hint="eastAsia" w:ascii="宋体" w:hAnsi="宋体" w:cs="宋体"/>
          <w:color w:val="000000" w:themeColor="text1"/>
          <w:sz w:val="21"/>
          <w:szCs w:val="21"/>
          <w:u w:val="single"/>
          <w:shd w:val="clear" w:color="auto" w:fill="ffffff"/>
          <w14:textFill>
            <w14:solidFill>
              <w14:schemeClr w14:val="tx1"/>
            </w14:solidFill>
          </w14:textFill>
        </w:rPr>
        <w:t xml:space="preserve"> /  </w:t>
      </w:r>
      <w:r>
        <w:rPr>
          <w:rFonts w:hint="eastAsia" w:ascii="宋体" w:hAnsi="宋体" w:cs="宋体"/>
          <w:color w:val="000000" w:themeColor="text1"/>
          <w:sz w:val="21"/>
          <w:szCs w:val="21"/>
          <w:shd w:val="clear" w:color="auto" w:fill="ffffff"/>
          <w14:textFill>
            <w14:solidFill>
              <w14:schemeClr w14:val="tx1"/>
            </w14:solidFill>
          </w14:textFill>
        </w:rPr>
        <w:t xml:space="preserve">的中国境内生产的组件成本占比≥</w:t>
      </w:r>
      <w:r>
        <w:rPr>
          <w:rFonts w:hint="eastAsia" w:ascii="宋体" w:hAnsi="宋体" w:cs="宋体"/>
          <w:color w:val="000000" w:themeColor="text1"/>
          <w:sz w:val="21"/>
          <w:szCs w:val="21"/>
          <w:u w:val="single"/>
          <w:shd w:val="clear" w:color="auto" w:fill="ffffff"/>
          <w14:textFill>
            <w14:solidFill>
              <w14:schemeClr w14:val="tx1"/>
            </w14:solidFill>
          </w14:textFill>
        </w:rPr>
        <w:t xml:space="preserve">  /  </w:t>
      </w:r>
      <w:r>
        <w:rPr>
          <w:rFonts w:hint="eastAsia" w:ascii="宋体" w:hAnsi="宋体" w:cs="宋体"/>
          <w:color w:val="000000" w:themeColor="text1"/>
          <w:sz w:val="21"/>
          <w:szCs w:val="21"/>
          <w:shd w:val="clear" w:color="auto" w:fill="ffffff"/>
          <w14:textFill>
            <w14:solidFill>
              <w14:schemeClr w14:val="tx1"/>
            </w14:solidFill>
          </w14:textFill>
        </w:rPr>
        <w:t xml:space="preserve">。</w:t>
      </w:r>
      <w:r>
        <w:rPr>
          <w:rFonts w:hint="eastAsia" w:ascii="宋体" w:hAnsi="宋体" w:cs="宋体"/>
          <w:color w:val="000000" w:themeColor="text1"/>
          <w:sz w:val="21"/>
          <w:szCs w:val="21"/>
          <w:u w:val="single"/>
          <w:shd w:val="clear" w:color="auto" w:fill="ffffff"/>
          <w14:textFill>
            <w14:solidFill>
              <w14:schemeClr w14:val="tx1"/>
            </w14:solidFill>
          </w14:textFill>
        </w:rPr>
        <w:t xml:space="preserve">  /  </w:t>
      </w:r>
      <w:r>
        <w:rPr>
          <w:rFonts w:hint="eastAsia" w:ascii="宋体" w:hAnsi="宋体" w:cs="宋体"/>
          <w:color w:val="000000" w:themeColor="text1"/>
          <w:sz w:val="21"/>
          <w:szCs w:val="21"/>
          <w:shd w:val="clear" w:color="auto" w:fill="ffffff"/>
          <w14:textFill>
            <w14:solidFill>
              <w14:schemeClr w14:val="tx1"/>
            </w14:solidFill>
          </w14:textFill>
        </w:rPr>
        <w:t xml:space="preserve">的</w:t>
      </w:r>
      <w:r>
        <w:rPr>
          <w:rFonts w:hint="eastAsia" w:ascii="宋体" w:hAnsi="宋体" w:cs="宋体"/>
          <w:color w:val="000000" w:themeColor="text1"/>
          <w:sz w:val="21"/>
          <w:szCs w:val="21"/>
          <w:u w:val="single"/>
          <w:shd w:val="clear" w:color="auto" w:fill="ffffff"/>
          <w14:textFill>
            <w14:solidFill>
              <w14:schemeClr w14:val="tx1"/>
            </w14:solidFill>
          </w14:textFill>
        </w:rPr>
        <w:t xml:space="preserve">  /  </w:t>
      </w:r>
      <w:r>
        <w:rPr>
          <w:rFonts w:hint="eastAsia" w:ascii="宋体" w:hAnsi="宋体" w:cs="宋体"/>
          <w:color w:val="000000" w:themeColor="text1"/>
          <w:sz w:val="21"/>
          <w:szCs w:val="21"/>
          <w:shd w:val="clear" w:color="auto" w:fill="ffffff"/>
          <w14:textFill>
            <w14:solidFill>
              <w14:schemeClr w14:val="tx1"/>
            </w14:solidFill>
          </w14:textFill>
        </w:rPr>
        <w:t xml:space="preserve">在中国境内生产。</w:t>
      </w:r>
      <w:r>
        <w:rPr>
          <w:rFonts w:hint="eastAsia" w:ascii="宋体" w:hAnsi="宋体" w:cs="宋体"/>
          <w:color w:val="000000" w:themeColor="text1"/>
          <w:sz w:val="21"/>
          <w:szCs w:val="21"/>
          <w:u w:val="single"/>
          <w:shd w:val="clear" w:color="auto" w:fill="ffffff"/>
          <w14:textFill>
            <w14:solidFill>
              <w14:schemeClr w14:val="tx1"/>
            </w14:solidFill>
          </w14:textFill>
        </w:rPr>
        <w:t xml:space="preserve">  /  </w:t>
      </w:r>
      <w:r>
        <w:rPr>
          <w:rFonts w:hint="eastAsia" w:ascii="宋体" w:hAnsi="宋体" w:cs="宋体"/>
          <w:color w:val="000000" w:themeColor="text1"/>
          <w:sz w:val="21"/>
          <w:szCs w:val="21"/>
          <w:shd w:val="clear" w:color="auto" w:fill="ffffff"/>
          <w14:textFill>
            <w14:solidFill>
              <w14:schemeClr w14:val="tx1"/>
            </w14:solidFill>
          </w14:textFill>
        </w:rPr>
        <w:t xml:space="preserve">的</w:t>
      </w:r>
      <w:r>
        <w:rPr>
          <w:rFonts w:hint="eastAsia" w:ascii="宋体" w:hAnsi="宋体" w:cs="宋体"/>
          <w:color w:val="000000" w:themeColor="text1"/>
          <w:sz w:val="21"/>
          <w:szCs w:val="21"/>
          <w:u w:val="single"/>
          <w:shd w:val="clear" w:color="auto" w:fill="ffffff"/>
          <w14:textFill>
            <w14:solidFill>
              <w14:schemeClr w14:val="tx1"/>
            </w14:solidFill>
          </w14:textFill>
        </w:rPr>
        <w:t xml:space="preserve">  /  </w:t>
      </w:r>
      <w:r>
        <w:rPr>
          <w:rFonts w:hint="eastAsia" w:ascii="宋体" w:hAnsi="宋体" w:cs="宋体"/>
          <w:color w:val="000000" w:themeColor="text1"/>
          <w:sz w:val="21"/>
          <w:szCs w:val="21"/>
          <w:shd w:val="clear" w:color="auto" w:fill="ffffff"/>
          <w14:textFill>
            <w14:solidFill>
              <w14:schemeClr w14:val="tx1"/>
            </w14:solidFill>
          </w14:textFill>
        </w:rPr>
        <w:t xml:space="preserve">在中国境内完成。</w:t>
      </w:r>
      <w:r/>
    </w:p>
    <w:p>
      <w:pPr>
        <w:pStyle w:val="851"/>
        <w:ind w:firstLine="420"/>
        <w:spacing w:before="30" w:beforeAutospacing="0" w:after="30" w:afterAutospacing="0" w:line="360" w:lineRule="auto"/>
        <w:shd w:val="clear" w:color="auto" w:fill="ffffff"/>
        <w:widowControl/>
        <w:rPr>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14:textFill>
            <w14:solidFill>
              <w14:schemeClr w14:val="tx1"/>
            </w14:solidFill>
          </w14:textFill>
        </w:rPr>
        <w:t xml:space="preserve">……</w:t>
      </w:r>
      <w:r/>
    </w:p>
    <w:p>
      <w:pPr>
        <w:pStyle w:val="851"/>
        <w:ind w:firstLine="420"/>
        <w:spacing w:before="30" w:beforeAutospacing="0" w:after="30" w:afterAutospacing="0" w:line="360" w:lineRule="auto"/>
        <w:shd w:val="clear" w:color="auto" w:fill="ffffff"/>
        <w:widowControl/>
        <w:rPr>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14:textFill>
            <w14:solidFill>
              <w14:schemeClr w14:val="tx1"/>
            </w14:solidFill>
          </w14:textFill>
        </w:rPr>
        <w:t xml:space="preserve">本公司（单位）对上述声明内容的真实性负责。如有虚假，愿承担相应法律责任。</w:t>
      </w:r>
      <w:r/>
    </w:p>
    <w:p>
      <w:pPr>
        <w:pStyle w:val="851"/>
        <w:spacing w:before="30" w:beforeAutospacing="0" w:after="30" w:afterAutospacing="0" w:line="0" w:lineRule="atLeast"/>
        <w:shd w:val="clear" w:color="auto" w:fill="ffffff"/>
        <w:widowControl/>
        <w:rPr>
          <w:color w:val="000000" w:themeColor="text1"/>
          <w:sz w:val="21"/>
          <w:szCs w:val="21"/>
          <w14:textFill>
            <w14:solidFill>
              <w14:schemeClr w14:val="tx1"/>
            </w14:solidFill>
          </w14:textFill>
        </w:rPr>
      </w:pPr>
      <w:r>
        <w:rPr>
          <w:color w:val="000000" w:themeColor="text1"/>
          <w:sz w:val="21"/>
          <w:szCs w:val="21"/>
          <w:shd w:val="clear" w:color="auto" w:fill="ffffff"/>
          <w14:textFill>
            <w14:solidFill>
              <w14:schemeClr w14:val="tx1"/>
            </w14:solidFill>
          </w14:textFill>
        </w:rPr>
        <w:t xml:space="preserve"> </w:t>
      </w:r>
      <w:r/>
    </w:p>
    <w:p>
      <w:pPr>
        <w:pStyle w:val="851"/>
        <w:jc w:val="right"/>
        <w:spacing w:before="30" w:beforeAutospacing="0" w:after="30" w:afterAutospacing="0" w:line="360" w:lineRule="auto"/>
        <w:shd w:val="clear" w:color="auto" w:fill="ffffff"/>
        <w:widowControl/>
        <w:rPr>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14:textFill>
            <w14:solidFill>
              <w14:schemeClr w14:val="tx1"/>
            </w14:solidFill>
          </w14:textFill>
        </w:rPr>
        <w:t xml:space="preserve">   公司（单位）名称（加盖CA电子公章）：         </w:t>
      </w:r>
      <w:r/>
    </w:p>
    <w:p>
      <w:pPr>
        <w:pStyle w:val="851"/>
        <w:jc w:val="center"/>
        <w:spacing w:before="30" w:beforeAutospacing="0" w:after="30" w:afterAutospacing="0" w:line="360" w:lineRule="auto"/>
        <w:shd w:val="clear" w:color="auto" w:fill="ffffff"/>
        <w:widowControl/>
        <w:rPr>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14:textFill>
            <w14:solidFill>
              <w14:schemeClr w14:val="tx1"/>
            </w14:solidFill>
          </w14:textFill>
        </w:rPr>
        <w:t xml:space="preserve">           日期：      年   月   日         </w:t>
      </w:r>
      <w:r/>
    </w:p>
    <w:p>
      <w:pPr>
        <w:pStyle w:val="851"/>
        <w:spacing w:before="30" w:beforeAutospacing="0" w:after="30" w:afterAutospacing="0" w:line="0" w:lineRule="atLeast"/>
        <w:shd w:val="clear" w:color="auto" w:fill="ffffff"/>
        <w:widowControl/>
        <w:rPr>
          <w:color w:val="000000" w:themeColor="text1"/>
          <w:sz w:val="21"/>
          <w:szCs w:val="21"/>
          <w14:textFill>
            <w14:solidFill>
              <w14:schemeClr w14:val="tx1"/>
            </w14:solidFill>
          </w14:textFill>
        </w:rPr>
      </w:pPr>
      <w:r>
        <w:rPr>
          <w:color w:val="000000" w:themeColor="text1"/>
          <w:sz w:val="21"/>
          <w:szCs w:val="21"/>
          <w:shd w:val="clear" w:color="auto" w:fill="ffffff"/>
          <w14:textFill>
            <w14:solidFill>
              <w14:schemeClr w14:val="tx1"/>
            </w14:solidFill>
          </w14:textFill>
        </w:rPr>
        <w:t xml:space="preserve"> </w:t>
      </w:r>
      <w:r/>
    </w:p>
    <w:p>
      <w:pPr>
        <w:pStyle w:val="851"/>
        <w:spacing w:before="30" w:beforeAutospacing="0" w:after="30" w:afterAutospacing="0" w:line="0" w:lineRule="atLeast"/>
        <w:shd w:val="clear" w:color="auto" w:fill="ffffff"/>
        <w:widowControl/>
        <w:rPr>
          <w:color w:val="000000" w:themeColor="text1"/>
          <w:sz w:val="21"/>
          <w:szCs w:val="21"/>
          <w14:textFill>
            <w14:solidFill>
              <w14:schemeClr w14:val="tx1"/>
            </w14:solidFill>
          </w14:textFill>
        </w:rPr>
      </w:pPr>
      <w:r>
        <w:rPr>
          <w:color w:val="000000" w:themeColor="text1"/>
          <w:sz w:val="21"/>
          <w:szCs w:val="21"/>
          <w:shd w:val="clear" w:color="auto" w:fill="ffffff"/>
          <w14:textFill>
            <w14:solidFill>
              <w14:schemeClr w14:val="tx1"/>
            </w14:solidFill>
          </w14:textFill>
        </w:rPr>
        <w:t xml:space="preserve"> </w:t>
      </w:r>
      <w:r/>
    </w:p>
    <w:p>
      <w:pPr>
        <w:pStyle w:val="851"/>
        <w:spacing w:before="30" w:beforeAutospacing="0" w:after="30" w:afterAutospacing="0" w:line="0" w:lineRule="atLeast"/>
        <w:shd w:val="clear" w:color="auto" w:fill="ffffff"/>
        <w:widowControl/>
        <w:rPr>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14:textFill>
            <w14:solidFill>
              <w14:schemeClr w14:val="tx1"/>
            </w14:solidFill>
          </w14:textFill>
        </w:rPr>
        <w:t xml:space="preserve">_________________</w:t>
      </w:r>
      <w:r/>
    </w:p>
    <w:p>
      <w:pPr>
        <w:pStyle w:val="851"/>
        <w:spacing w:before="30" w:beforeAutospacing="0" w:after="30" w:afterAutospacing="0" w:line="360" w:lineRule="auto"/>
        <w:shd w:val="clear" w:color="auto" w:fill="ffffff"/>
        <w:widowControl/>
        <w:rPr>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14:textFill>
            <w14:solidFill>
              <w14:schemeClr w14:val="tx1"/>
            </w14:solidFill>
          </w14:textFill>
        </w:rPr>
        <w:t xml:space="preserve">1.产品如有型号，请在“产品名称”栏一并填写。</w:t>
      </w:r>
      <w:r/>
    </w:p>
    <w:p>
      <w:pPr>
        <w:pStyle w:val="851"/>
        <w:spacing w:before="30" w:beforeAutospacing="0" w:after="30" w:afterAutospacing="0" w:line="360" w:lineRule="auto"/>
        <w:shd w:val="clear" w:color="auto" w:fill="ffffff"/>
        <w:widowControl/>
        <w:rPr>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14:textFill>
            <w14:solidFill>
              <w14:schemeClr w14:val="tx1"/>
            </w14:solidFill>
          </w14:textFill>
        </w:rPr>
        <w:t xml:space="preserve">2.生产厂名与厂址应与生产厂营业执照载明的相关信息保持一致。</w:t>
      </w:r>
      <w:r/>
    </w:p>
    <w:p>
      <w:pPr>
        <w:pStyle w:val="851"/>
        <w:spacing w:before="30" w:beforeAutospacing="0" w:after="30" w:afterAutospacing="0" w:line="360" w:lineRule="auto"/>
        <w:shd w:val="clear" w:color="auto" w:fill="ffffff"/>
        <w:widowControl/>
        <w:rPr>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14:textFill>
            <w14:solidFill>
              <w14:schemeClr w14:val="tx1"/>
            </w14:solidFill>
          </w14:textFill>
        </w:rPr>
        <w:t xml:space="preserve">3.该产品的中国境内生产的组件成本占比相关要求实施前，“规定比例”栏可不填，下同。</w:t>
      </w:r>
      <w:r/>
    </w:p>
    <w:p>
      <w:pPr>
        <w:pStyle w:val="851"/>
        <w:spacing w:before="30" w:beforeAutospacing="0" w:after="30" w:afterAutospacing="0" w:line="360" w:lineRule="auto"/>
        <w:shd w:val="clear" w:color="auto" w:fill="ffffff"/>
        <w:widowControl/>
        <w:rPr>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14:textFill>
            <w14:solidFill>
              <w14:schemeClr w14:val="tx1"/>
            </w14:solidFill>
          </w14:textFill>
        </w:rPr>
        <w:t xml:space="preserve">4.该产品的关键组件要求实施前，“关键组件”栏可不填，下同。</w:t>
      </w:r>
      <w:r/>
    </w:p>
    <w:p>
      <w:pPr>
        <w:pStyle w:val="851"/>
        <w:spacing w:before="30" w:beforeAutospacing="0" w:after="30" w:afterAutospacing="0" w:line="360" w:lineRule="auto"/>
        <w:shd w:val="clear" w:color="auto" w:fill="ffffff"/>
        <w:widowControl/>
        <w:rPr>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14:textFill>
            <w14:solidFill>
              <w14:schemeClr w14:val="tx1"/>
            </w14:solidFill>
          </w14:textFill>
        </w:rPr>
        <w:t xml:space="preserve">5.该产品的关键工序要求实施前，“关键工序”栏可不填，下同。</w:t>
      </w:r>
      <w:r/>
    </w:p>
    <w:p>
      <w:pPr>
        <w:pStyle w:val="851"/>
        <w:spacing w:before="30" w:beforeAutospacing="0" w:after="30" w:afterAutospacing="0" w:line="360" w:lineRule="auto"/>
        <w:shd w:val="clear" w:color="auto" w:fill="ffffff"/>
        <w:widowControl/>
        <w:rPr>
          <w:color w:val="000000" w:themeColor="text1"/>
          <w:sz w:val="21"/>
          <w:szCs w:val="21"/>
          <w14:textFill>
            <w14:solidFill>
              <w14:schemeClr w14:val="tx1"/>
            </w14:solidFill>
          </w14:textFill>
        </w:rPr>
      </w:pPr>
      <w:r>
        <w:rPr>
          <w:rFonts w:hint="eastAsia" w:ascii="宋体" w:hAnsi="宋体" w:cs="宋体"/>
          <w:color w:val="000000" w:themeColor="text1"/>
          <w:sz w:val="21"/>
          <w:szCs w:val="21"/>
          <w:shd w:val="clear" w:color="auto" w:fill="ffffff"/>
          <w14:textFill>
            <w14:solidFill>
              <w14:schemeClr w14:val="tx1"/>
            </w14:solidFill>
          </w14:textFill>
        </w:rPr>
        <w:t xml:space="preserve">6.《声明函》中标注“</w:t>
      </w:r>
      <w:r>
        <w:rPr>
          <w:rFonts w:hint="eastAsia" w:ascii="宋体" w:hAnsi="宋体" w:cs="宋体"/>
          <w:color w:val="000000" w:themeColor="text1"/>
          <w:sz w:val="21"/>
          <w:szCs w:val="21"/>
          <w:u w:val="single"/>
          <w:shd w:val="clear" w:color="auto" w:fill="ffffff"/>
          <w14:textFill>
            <w14:solidFill>
              <w14:schemeClr w14:val="tx1"/>
            </w14:solidFill>
          </w14:textFill>
        </w:rPr>
        <w:t xml:space="preserve">  /  </w:t>
      </w:r>
      <w:r>
        <w:rPr>
          <w:rFonts w:hint="eastAsia" w:ascii="宋体" w:hAnsi="宋体" w:cs="宋体"/>
          <w:color w:val="000000" w:themeColor="text1"/>
          <w:sz w:val="21"/>
          <w:szCs w:val="21"/>
          <w:shd w:val="clear" w:color="auto" w:fill="ffffff"/>
          <w14:textFill>
            <w14:solidFill>
              <w14:schemeClr w14:val="tx1"/>
            </w14:solidFill>
          </w14:textFill>
        </w:rPr>
        <w:t xml:space="preserve">”的地方无需填写。</w:t>
      </w:r>
      <w:r/>
    </w:p>
    <w:p>
      <w:pPr>
        <w:pStyle w:val="851"/>
        <w:jc w:val="both"/>
        <w:spacing w:beforeAutospacing="0" w:afterAutospacing="0"/>
      </w:pPr>
      <w:r>
        <w:t xml:space="preserve"> </w:t>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pStyle w:val="859"/>
        <w:rPr>
          <w:rFonts w:ascii="宋体" w:hAnsi="宋体" w:cs="Arial"/>
          <w:b/>
          <w:bCs/>
        </w:rPr>
      </w:pPr>
      <w:r>
        <w:rPr>
          <w:rFonts w:ascii="宋体" w:hAnsi="宋体" w:cs="Arial"/>
          <w:b/>
          <w:bCs/>
        </w:rPr>
      </w:r>
      <w:r/>
    </w:p>
    <w:p>
      <w:pPr>
        <w:pStyle w:val="860"/>
        <w:rPr>
          <w:rFonts w:ascii="宋体" w:hAnsi="宋体" w:cs="Arial"/>
          <w:b/>
          <w:bCs/>
        </w:rPr>
      </w:pPr>
      <w:r>
        <w:rPr>
          <w:rFonts w:ascii="宋体" w:hAnsi="宋体" w:cs="Arial"/>
          <w:b/>
          <w:bCs/>
        </w:rPr>
      </w:r>
      <w:r/>
    </w:p>
    <w:p>
      <w:pPr>
        <w:pStyle w:val="861"/>
      </w:pPr>
      <w:r/>
      <w:r/>
    </w:p>
    <w:p>
      <w:pPr>
        <w:pStyle w:val="1021"/>
        <w:ind w:firstLine="3213"/>
        <w:jc w:val="both"/>
        <w:spacing w:line="360" w:lineRule="auto"/>
        <w:rPr>
          <w:rFonts w:ascii="宋体" w:hAnsi="宋体" w:eastAsia="宋体" w:cs="宋体"/>
          <w:sz w:val="24"/>
          <w:szCs w:val="20"/>
        </w:rPr>
      </w:pPr>
      <w:r>
        <w:rPr>
          <w:rFonts w:hint="eastAsia" w:ascii="宋体" w:hAnsi="宋体" w:eastAsia="宋体" w:cs="宋体"/>
          <w:bCs w:val="0"/>
          <w:sz w:val="32"/>
          <w:szCs w:val="32"/>
        </w:rPr>
        <w:t xml:space="preserve">四、</w:t>
      </w:r>
      <w:r>
        <w:rPr>
          <w:rFonts w:hint="eastAsia" w:ascii="宋体" w:hAnsi="宋体" w:eastAsia="宋体" w:cs="宋体"/>
          <w:sz w:val="32"/>
          <w:szCs w:val="32"/>
        </w:rPr>
        <w:t xml:space="preserve">开标一览表</w:t>
      </w:r>
      <w:r/>
    </w:p>
    <w:p>
      <w:pPr>
        <w:ind w:firstLine="480"/>
        <w:spacing w:line="360" w:lineRule="auto"/>
        <w:rPr>
          <w:rFonts w:hint="eastAsia" w:cs="宋体"/>
          <w:szCs w:val="21"/>
        </w:rPr>
      </w:pPr>
      <w:r>
        <w:rPr>
          <w:rFonts w:hint="eastAsia" w:cs="宋体"/>
          <w:szCs w:val="21"/>
        </w:rPr>
        <w:t xml:space="preserve">投标人全称（加盖公章）：</w:t>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tbl>
      <w:tblPr>
        <w:tblStyle w:val="827"/>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32"/>
              <w:jc w:val="center"/>
              <w:spacing w:before="156" w:after="200"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投标项目名称</w:t>
            </w:r>
            <w:r/>
          </w:p>
        </w:tc>
        <w:tc>
          <w:tcPr>
            <w:tcW w:w="6405" w:type="dxa"/>
            <w:vAlign w:val="center"/>
            <w:textDirection w:val="lrTb"/>
            <w:noWrap w:val="false"/>
          </w:tcPr>
          <w:p>
            <w:pPr>
              <w:spacing w:after="200" w:line="360" w:lineRule="auto"/>
              <w:rPr>
                <w:rFonts w:cs="宋体"/>
                <w:szCs w:val="21"/>
              </w:rPr>
            </w:pPr>
            <w:r>
              <w:rPr>
                <w:rFonts w:cs="宋体"/>
                <w:szCs w:val="21"/>
              </w:rPr>
              <w:t xml:space="preserve">                      </w:t>
            </w:r>
            <w:r>
              <w:rPr>
                <w:rFonts w:hint="eastAsia" w:cs="宋体"/>
                <w:szCs w:val="21"/>
              </w:rPr>
              <w:t xml:space="preserve">投标报价</w:t>
            </w:r>
            <w:r/>
          </w:p>
        </w:tc>
      </w:tr>
      <w:tr>
        <w:trPr>
          <w:cantSplit/>
          <w:trHeight w:val="1697"/>
        </w:trPr>
        <w:tc>
          <w:tcPr>
            <w:tcW w:w="2481" w:type="dxa"/>
            <w:vAlign w:val="center"/>
            <w:textDirection w:val="lrTb"/>
            <w:noWrap w:val="false"/>
          </w:tcPr>
          <w:p>
            <w:pPr>
              <w:pStyle w:val="832"/>
              <w:jc w:val="center"/>
              <w:spacing w:after="200" w:line="360" w:lineRule="auto"/>
              <w:rPr>
                <w:rFonts w:hint="eastAsia" w:ascii="Times New Roman" w:hAnsi="Times New Roman" w:eastAsia="宋体" w:cs="宋体"/>
                <w:sz w:val="21"/>
                <w:szCs w:val="21"/>
              </w:rPr>
            </w:pPr>
            <w:r>
              <w:rPr>
                <w:rFonts w:hint="eastAsia" w:ascii="Times New Roman" w:hAnsi="Times New Roman" w:eastAsia="宋体" w:cs="宋体"/>
                <w:sz w:val="21"/>
                <w:szCs w:val="21"/>
              </w:rPr>
              <w:t xml:space="preserve">扬州大学公共云机房建设（三期）项目</w:t>
            </w:r>
            <w:r/>
          </w:p>
        </w:tc>
        <w:tc>
          <w:tcPr>
            <w:tcW w:w="6405" w:type="dxa"/>
            <w:vAlign w:val="center"/>
            <w:textDirection w:val="lrTb"/>
            <w:noWrap w:val="false"/>
          </w:tcPr>
          <w:p>
            <w:pPr>
              <w:pStyle w:val="832"/>
              <w:spacing w:after="200" w:line="360" w:lineRule="auto"/>
              <w:rPr>
                <w:rFonts w:ascii="Times New Roman" w:hAnsi="Times New Roman" w:eastAsia="宋体" w:cs="宋体"/>
                <w:sz w:val="21"/>
                <w:szCs w:val="21"/>
              </w:rPr>
            </w:pPr>
            <w:r>
              <w:rPr>
                <w:rFonts w:hint="eastAsia" w:ascii="Times New Roman" w:hAnsi="Times New Roman" w:eastAsia="宋体" w:cs="宋体"/>
                <w:sz w:val="21"/>
                <w:szCs w:val="21"/>
              </w:rPr>
              <w:t xml:space="preserve">大写：</w:t>
            </w:r>
            <w:r/>
          </w:p>
          <w:p>
            <w:pPr>
              <w:pStyle w:val="1053"/>
              <w:ind w:firstLine="0"/>
              <w:spacing w:before="0" w:after="0"/>
              <w:rPr>
                <w:rFonts w:ascii="Times New Roman" w:hAnsi="Times New Roman" w:cs="宋体"/>
                <w:sz w:val="21"/>
                <w:szCs w:val="21"/>
              </w:rPr>
            </w:pPr>
            <w:r>
              <w:rPr>
                <w:rFonts w:hint="eastAsia" w:ascii="Times New Roman" w:hAnsi="Times New Roman" w:cs="宋体"/>
                <w:sz w:val="21"/>
                <w:szCs w:val="21"/>
              </w:rPr>
              <w:t xml:space="preserve">小写：</w:t>
            </w:r>
            <w:r>
              <w:rPr>
                <w:rFonts w:ascii="Times New Roman" w:hAnsi="Times New Roman" w:cs="宋体"/>
                <w:sz w:val="21"/>
                <w:szCs w:val="21"/>
              </w:rPr>
              <w:t xml:space="preserve">                             </w:t>
            </w:r>
            <w:r>
              <w:rPr>
                <w:rFonts w:hint="eastAsia" w:ascii="Times New Roman" w:hAnsi="Times New Roman" w:cs="宋体"/>
                <w:sz w:val="21"/>
                <w:szCs w:val="21"/>
              </w:rPr>
              <w:t xml:space="preserve">（人民币）</w:t>
            </w:r>
            <w:r/>
          </w:p>
        </w:tc>
      </w:tr>
      <w:tr>
        <w:trPr>
          <w:cantSplit/>
          <w:trHeight w:val="1361"/>
        </w:trPr>
        <w:tc>
          <w:tcPr>
            <w:tcW w:w="2481" w:type="dxa"/>
            <w:vAlign w:val="center"/>
            <w:textDirection w:val="lrTb"/>
            <w:noWrap w:val="false"/>
          </w:tcPr>
          <w:p>
            <w:pPr>
              <w:pStyle w:val="832"/>
              <w:jc w:val="center"/>
              <w:spacing w:after="200" w:line="360" w:lineRule="auto"/>
              <w:rPr>
                <w:rFonts w:hint="default" w:ascii="Times New Roman" w:hAnsi="Times New Roman" w:eastAsia="宋体" w:cs="宋体"/>
                <w:sz w:val="21"/>
                <w:szCs w:val="21"/>
                <w:lang w:val="en-US" w:eastAsia="zh-CN"/>
              </w:rPr>
            </w:pPr>
            <w:r>
              <w:rPr>
                <w:rFonts w:hint="eastAsia" w:ascii="Times New Roman" w:hAnsi="Times New Roman" w:eastAsia="宋体" w:cs="宋体"/>
                <w:sz w:val="21"/>
                <w:szCs w:val="21"/>
                <w:lang w:val="en-US" w:eastAsia="zh-CN"/>
              </w:rPr>
              <w:t xml:space="preserve">核心产品品牌</w:t>
            </w:r>
            <w:r/>
          </w:p>
        </w:tc>
        <w:tc>
          <w:tcPr>
            <w:tcW w:w="6405" w:type="dxa"/>
            <w:vAlign w:val="center"/>
            <w:textDirection w:val="lrTb"/>
            <w:noWrap w:val="false"/>
          </w:tcPr>
          <w:p>
            <w:pPr>
              <w:pStyle w:val="832"/>
              <w:ind w:firstLine="420"/>
              <w:spacing w:after="200" w:line="360" w:lineRule="auto"/>
              <w:rPr>
                <w:rFonts w:ascii="Times New Roman" w:hAnsi="Times New Roman" w:eastAsia="宋体" w:cs="宋体"/>
                <w:sz w:val="21"/>
                <w:szCs w:val="21"/>
              </w:rPr>
            </w:pPr>
            <w:r>
              <w:rPr>
                <w:rFonts w:ascii="Times New Roman" w:hAnsi="Times New Roman" w:eastAsia="宋体" w:cs="宋体"/>
                <w:sz w:val="21"/>
                <w:szCs w:val="21"/>
              </w:rPr>
            </w:r>
            <w:r/>
          </w:p>
        </w:tc>
      </w:tr>
    </w:tbl>
    <w:p>
      <w:pPr>
        <w:ind w:firstLine="482"/>
        <w:spacing w:after="312" w:line="360" w:lineRule="auto"/>
        <w:rPr>
          <w:rFonts w:ascii="宋体" w:hAnsi="宋体"/>
          <w:szCs w:val="21"/>
        </w:rPr>
      </w:pPr>
      <w:r>
        <w:rPr>
          <w:rFonts w:ascii="宋体" w:hAnsi="宋体"/>
          <w:szCs w:val="21"/>
        </w:rPr>
      </w:r>
      <w:r/>
    </w:p>
    <w:p>
      <w:pPr>
        <w:ind w:firstLine="482"/>
        <w:spacing w:after="312"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ind w:firstLine="480"/>
        <w:spacing w:line="360" w:lineRule="auto"/>
        <w:rPr>
          <w:rFonts w:ascii="宋体" w:hAnsi="宋体"/>
          <w:szCs w:val="21"/>
        </w:rPr>
      </w:pPr>
      <w:r>
        <w:rPr>
          <w:rFonts w:hint="eastAsia" w:ascii="宋体" w:hAnsi="宋体"/>
          <w:szCs w:val="21"/>
        </w:rPr>
        <w:t xml:space="preserve">                                           日期：</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jc w:val="center"/>
        <w:spacing w:line="360" w:lineRule="auto"/>
        <w:rPr>
          <w:rFonts w:ascii="宋体" w:hAnsi="宋体"/>
          <w:b/>
          <w:szCs w:val="21"/>
        </w:rPr>
      </w:pPr>
      <w:r>
        <w:rPr>
          <w:rFonts w:ascii="宋体" w:hAnsi="宋体"/>
          <w:b/>
          <w:szCs w:val="21"/>
        </w:rPr>
      </w:r>
      <w:r/>
    </w:p>
    <w:p>
      <w:pPr>
        <w:ind w:firstLine="480"/>
        <w:spacing w:line="360" w:lineRule="auto"/>
        <w:rPr>
          <w:rFonts w:ascii="宋体" w:hAnsi="宋体"/>
          <w:szCs w:val="21"/>
        </w:rPr>
      </w:pPr>
      <w:r>
        <w:rPr>
          <w:rFonts w:ascii="宋体" w:hAnsi="宋体"/>
          <w:szCs w:val="21"/>
        </w:rPr>
      </w:r>
      <w:r/>
    </w:p>
    <w:p>
      <w:pPr>
        <w:ind w:firstLine="420"/>
        <w:spacing w:line="360" w:lineRule="auto"/>
        <w:rPr>
          <w:rFonts w:ascii="宋体" w:hAnsi="宋体" w:cs="宋体"/>
          <w:iCs/>
          <w:szCs w:val="21"/>
        </w:rPr>
      </w:pPr>
      <w:r>
        <w:rPr>
          <w:rFonts w:ascii="宋体" w:hAnsi="宋体" w:cs="宋体"/>
          <w:iCs/>
          <w:szCs w:val="21"/>
        </w:rPr>
        <w:t xml:space="preserve">1</w:t>
      </w:r>
      <w:r>
        <w:rPr>
          <w:rFonts w:hint="eastAsia" w:ascii="宋体" w:hAnsi="宋体" w:cs="宋体"/>
          <w:iCs/>
          <w:szCs w:val="21"/>
        </w:rPr>
        <w:t xml:space="preserve">、投标报价应包括采购文件所规定的采购范围的全部内容。</w:t>
      </w:r>
      <w:r/>
    </w:p>
    <w:p>
      <w:pPr>
        <w:pStyle w:val="1022"/>
        <w:spacing w:line="360" w:lineRule="auto"/>
        <w:rPr>
          <w:rFonts w:ascii="宋体" w:hAnsi="宋体"/>
          <w:iCs/>
          <w:sz w:val="32"/>
          <w:szCs w:val="32"/>
        </w:rPr>
      </w:pPr>
      <w:r>
        <w:rPr>
          <w:rFonts w:ascii="宋体" w:hAnsi="宋体" w:cs="宋体"/>
          <w:iCs/>
          <w:spacing w:val="-3"/>
        </w:rPr>
        <w:t xml:space="preserve">2</w:t>
      </w:r>
      <w:r>
        <w:rPr>
          <w:rFonts w:hint="eastAsia" w:ascii="宋体" w:hAnsi="宋体" w:cs="宋体"/>
          <w:iCs/>
          <w:spacing w:val="-3"/>
        </w:rPr>
        <w:t xml:space="preserve">、如有分包，投标人投任何一个包的标的，都需单独填写开标一览表。</w:t>
      </w:r>
      <w:r/>
    </w:p>
    <w:p>
      <w:pPr>
        <w:jc w:val="center"/>
        <w:spacing w:line="360" w:lineRule="auto"/>
        <w:rPr>
          <w:rFonts w:hint="eastAsia"/>
          <w:b/>
          <w:szCs w:val="21"/>
        </w:rPr>
      </w:pPr>
      <w:r>
        <w:rPr>
          <w:rFonts w:hint="eastAsia"/>
          <w:b/>
          <w:szCs w:val="21"/>
        </w:rPr>
      </w:r>
      <w:r/>
    </w:p>
    <w:p>
      <w:pPr>
        <w:jc w:val="center"/>
        <w:spacing w:line="360" w:lineRule="auto"/>
        <w:rPr>
          <w:rFonts w:hint="eastAsia"/>
          <w:b/>
          <w:szCs w:val="21"/>
        </w:rPr>
      </w:pPr>
      <w:r>
        <w:rPr>
          <w:rFonts w:hint="eastAsia"/>
          <w:b/>
          <w:szCs w:val="21"/>
        </w:rPr>
      </w:r>
      <w:r/>
    </w:p>
    <w:p>
      <w:pPr>
        <w:jc w:val="center"/>
        <w:spacing w:line="360" w:lineRule="auto"/>
        <w:rPr>
          <w:rFonts w:hint="eastAsia"/>
          <w:b/>
          <w:szCs w:val="21"/>
        </w:rPr>
      </w:pPr>
      <w:r>
        <w:rPr>
          <w:rFonts w:hint="eastAsia"/>
          <w:b/>
          <w:szCs w:val="21"/>
        </w:rPr>
      </w:r>
      <w:r/>
    </w:p>
    <w:p>
      <w:pPr>
        <w:jc w:val="center"/>
        <w:spacing w:line="360" w:lineRule="auto"/>
        <w:rPr>
          <w:rFonts w:hint="eastAsia"/>
          <w:b/>
          <w:szCs w:val="21"/>
        </w:rPr>
      </w:pPr>
      <w:r>
        <w:rPr>
          <w:rFonts w:hint="eastAsia"/>
          <w:b/>
          <w:szCs w:val="21"/>
        </w:rPr>
      </w:r>
      <w:r/>
    </w:p>
    <w:p>
      <w:pPr>
        <w:jc w:val="center"/>
        <w:spacing w:line="360" w:lineRule="auto"/>
        <w:rPr>
          <w:rFonts w:hint="eastAsia"/>
          <w:b/>
          <w:szCs w:val="21"/>
        </w:rPr>
      </w:pPr>
      <w:r>
        <w:rPr>
          <w:rFonts w:hint="eastAsia"/>
          <w:b/>
          <w:szCs w:val="21"/>
        </w:rPr>
      </w:r>
      <w:r/>
    </w:p>
    <w:p>
      <w:pPr>
        <w:jc w:val="center"/>
        <w:spacing w:line="360" w:lineRule="auto"/>
        <w:rPr>
          <w:rFonts w:hint="eastAsia"/>
          <w:b/>
          <w:szCs w:val="21"/>
        </w:rPr>
      </w:pPr>
      <w:r>
        <w:rPr>
          <w:rFonts w:hint="eastAsia"/>
          <w:b/>
          <w:szCs w:val="21"/>
        </w:rPr>
      </w:r>
      <w:r/>
    </w:p>
    <w:p>
      <w:pPr>
        <w:jc w:val="center"/>
        <w:spacing w:line="360" w:lineRule="auto"/>
        <w:rPr>
          <w:rFonts w:hint="eastAsia"/>
          <w:b/>
          <w:szCs w:val="21"/>
        </w:rPr>
      </w:pPr>
      <w:r>
        <w:rPr>
          <w:rFonts w:hint="eastAsia"/>
          <w:b/>
          <w:szCs w:val="21"/>
        </w:rPr>
      </w:r>
      <w:r/>
    </w:p>
    <w:p>
      <w:pPr>
        <w:jc w:val="center"/>
        <w:spacing w:line="360" w:lineRule="auto"/>
        <w:rPr>
          <w:rFonts w:hint="eastAsia"/>
          <w:b/>
          <w:szCs w:val="21"/>
        </w:rPr>
      </w:pPr>
      <w:r>
        <w:rPr>
          <w:rFonts w:hint="eastAsia"/>
          <w:b/>
          <w:szCs w:val="21"/>
        </w:rPr>
      </w:r>
      <w:r/>
    </w:p>
    <w:p>
      <w:pPr>
        <w:jc w:val="center"/>
        <w:spacing w:line="360" w:lineRule="auto"/>
        <w:rPr>
          <w:rFonts w:hint="eastAsia"/>
          <w:b/>
          <w:szCs w:val="21"/>
        </w:rPr>
      </w:pPr>
      <w:r>
        <w:rPr>
          <w:rFonts w:hint="eastAsia"/>
          <w:b/>
          <w:szCs w:val="21"/>
        </w:rPr>
      </w:r>
      <w:r/>
    </w:p>
    <w:p>
      <w:pPr>
        <w:jc w:val="center"/>
        <w:spacing w:line="360" w:lineRule="auto"/>
        <w:rPr>
          <w:rFonts w:hint="eastAsia"/>
          <w:b/>
          <w:szCs w:val="21"/>
        </w:rPr>
      </w:pPr>
      <w:r>
        <w:rPr>
          <w:rFonts w:hint="eastAsia"/>
          <w:b/>
          <w:szCs w:val="21"/>
        </w:rPr>
      </w:r>
      <w:r/>
    </w:p>
    <w:p>
      <w:pPr>
        <w:jc w:val="center"/>
        <w:spacing w:line="360" w:lineRule="auto"/>
        <w:rPr>
          <w:rFonts w:hint="eastAsia" w:ascii="宋体" w:hAnsi="宋体" w:eastAsia="宋体" w:cs="宋体"/>
          <w:b/>
          <w:bCs w:val="0"/>
          <w:sz w:val="32"/>
          <w:szCs w:val="32"/>
          <w:lang w:val="en-US" w:eastAsia="zh-CN" w:bidi="ar-SA"/>
        </w:rPr>
      </w:pPr>
      <w:r>
        <w:rPr>
          <w:rFonts w:hint="eastAsia" w:ascii="宋体" w:hAnsi="宋体" w:cs="宋体"/>
          <w:b/>
          <w:bCs w:val="0"/>
          <w:sz w:val="32"/>
          <w:szCs w:val="32"/>
          <w:lang w:val="en-US" w:eastAsia="zh-CN" w:bidi="ar-SA"/>
        </w:rPr>
        <w:t xml:space="preserve">五</w:t>
      </w:r>
      <w:r>
        <w:rPr>
          <w:rFonts w:hint="eastAsia" w:ascii="宋体" w:hAnsi="宋体" w:eastAsia="宋体" w:cs="宋体"/>
          <w:b/>
          <w:bCs w:val="0"/>
          <w:sz w:val="32"/>
          <w:szCs w:val="32"/>
          <w:lang w:val="en-US" w:eastAsia="zh-CN" w:bidi="ar-SA"/>
        </w:rPr>
        <w:t xml:space="preserve">、投标产品配置及分项报价表</w:t>
      </w:r>
      <w:r/>
    </w:p>
    <w:p>
      <w:pPr>
        <w:spacing w:line="360" w:lineRule="auto"/>
        <w:rPr>
          <w:rFonts w:cs="宋体"/>
          <w:szCs w:val="21"/>
        </w:rPr>
      </w:pPr>
      <w:r>
        <w:rPr>
          <w:rFonts w:hint="eastAsia" w:cs="宋体"/>
          <w:szCs w:val="21"/>
        </w:rPr>
        <w:t xml:space="preserve">投标人全称（加盖公章）：</w:t>
      </w:r>
      <w:r/>
    </w:p>
    <w:p>
      <w:pPr>
        <w:spacing w:line="360" w:lineRule="auto"/>
        <w:rPr>
          <w:rFonts w:hint="eastAsia" w:cs="宋体"/>
          <w:szCs w:val="21"/>
        </w:rPr>
      </w:pPr>
      <w:r>
        <w:rPr>
          <w:rFonts w:hint="eastAsia" w:cs="宋体"/>
          <w:szCs w:val="21"/>
        </w:rPr>
        <w:t xml:space="preserve">项目名称：</w:t>
      </w:r>
      <w:r/>
    </w:p>
    <w:p>
      <w:pPr>
        <w:spacing w:line="360" w:lineRule="auto"/>
        <w:rPr>
          <w:rFonts w:hint="eastAsia" w:cs="宋体"/>
          <w:szCs w:val="21"/>
        </w:rPr>
      </w:pPr>
      <w:r>
        <w:rPr>
          <w:rFonts w:hint="eastAsia" w:cs="宋体"/>
          <w:szCs w:val="21"/>
        </w:rPr>
        <w:t xml:space="preserve">项目编号：    </w:t>
      </w:r>
      <w:r/>
    </w:p>
    <w:tbl>
      <w:tblPr>
        <w:tblStyle w:val="854"/>
        <w:tblW w:w="4997"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7"/>
        <w:gridCol w:w="744"/>
        <w:gridCol w:w="760"/>
        <w:gridCol w:w="917"/>
        <w:gridCol w:w="600"/>
        <w:gridCol w:w="1176"/>
        <w:gridCol w:w="1391"/>
        <w:gridCol w:w="1705"/>
        <w:gridCol w:w="2186"/>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4" w:type="pct"/>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8"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6"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5"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6"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5"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3"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1"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9"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5"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制造商名称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5"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5"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 w:type="pct"/>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5"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合同签订后</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5"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 w:type="pct"/>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5"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5"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 w:type="pct"/>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5"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6"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5"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 w:type="pct"/>
            <w:vAlign w:val="top"/>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5"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3"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9"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0" w:type="pct"/>
            <w:vAlign w:val="center"/>
            <w:textDirection w:val="lrTb"/>
            <w:noWrap w:val="false"/>
          </w:tcPr>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投标总报价（人民币：元）</w:t>
            </w:r>
            <w:r/>
          </w:p>
        </w:tc>
      </w:tr>
      <w:tr>
        <w:trPr>
          <w:trHeight w:val="580"/>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00" w:type="pct"/>
            <w:vAlign w:val="center"/>
            <w:textDirection w:val="lrTb"/>
            <w:noWrap w:val="false"/>
          </w:tcPr>
          <w:p>
            <w:pPr>
              <w:ind w:left="0" w:right="0" w:firstLine="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本采购包中提供的符合本国产品标准的产品成本之和占该采购包提供的全部产品成本之和的比例为***%。</w:t>
            </w:r>
            <w:r/>
          </w:p>
        </w:tc>
      </w:tr>
    </w:tbl>
    <w:p>
      <w:pPr>
        <w:rPr>
          <w:rFonts w:hint="eastAsia"/>
        </w:rPr>
      </w:pPr>
      <w:r>
        <w:rPr>
          <w:rFonts w:hint="eastAsia"/>
        </w:rPr>
      </w:r>
      <w:r/>
    </w:p>
    <w:p>
      <w:pPr>
        <w:spacing w:line="360" w:lineRule="auto"/>
        <w:rPr>
          <w:rFonts w:cs="宋体"/>
          <w:b/>
          <w:szCs w:val="21"/>
        </w:rPr>
      </w:pPr>
      <w:r>
        <w:rPr>
          <w:rFonts w:hint="eastAsia" w:cs="宋体"/>
          <w:szCs w:val="21"/>
        </w:rPr>
        <w:t xml:space="preserve">法定代表人或授权代表签字/签章：</w:t>
      </w:r>
      <w:r/>
    </w:p>
    <w:p>
      <w:pPr>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备注：</w:t>
      </w:r>
      <w:r/>
    </w:p>
    <w:p>
      <w:pPr>
        <w:numPr>
          <w:ilvl w:val="0"/>
          <w:numId w:val="13"/>
        </w:numPr>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投标报价采用总承包方式，“投标总报价”应包括所投货物制作（采购）、安装、施工、运输、调试验收相关的技术指导和售后服务、利润、保险、税金、以及所包含的风险、责任及其他有关的为完成本项目发生的所有费用，招标文件中另有规定的除外。</w:t>
      </w:r>
      <w:r/>
    </w:p>
    <w:p>
      <w:pPr>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2.“投标分项报价表”中“投标总报价”数额应当与“开标一览表”中“投标总报价”数额一致。</w:t>
      </w:r>
      <w:r/>
    </w:p>
    <w:p>
      <w:pPr>
        <w:spacing w:line="400" w:lineRule="exact"/>
        <w:rPr>
          <w:rFonts w:ascii="Times New Roman" w:hAnsi="Times New Roman"/>
          <w:color w:val="auto"/>
          <w:szCs w:val="21"/>
          <w:highlight w:val="none"/>
        </w:rPr>
      </w:pPr>
      <w:r>
        <w:rPr>
          <w:rFonts w:hint="eastAsia" w:ascii="Times New Roman" w:hAnsi="Times New Roman"/>
          <w:color w:val="auto"/>
          <w:szCs w:val="21"/>
          <w:highlight w:val="none"/>
        </w:rPr>
        <w:t xml:space="preserve">3.投标人需认真填写本报价表，尤其注意规格型号的准确填写。</w:t>
      </w:r>
      <w:r/>
    </w:p>
    <w:p>
      <w:pPr>
        <w:spacing w:line="400" w:lineRule="exact"/>
        <w:rPr>
          <w:rFonts w:ascii="Times New Roman" w:hAnsi="Times New Roman" w:cs="方正魏碑_GBK"/>
          <w:color w:val="auto"/>
          <w:szCs w:val="21"/>
          <w:highlight w:val="none"/>
        </w:rPr>
      </w:pPr>
      <w:r>
        <w:rPr>
          <w:rFonts w:hint="eastAsia" w:ascii="Times New Roman" w:hAnsi="Times New Roman"/>
          <w:color w:val="auto"/>
          <w:szCs w:val="21"/>
          <w:highlight w:val="none"/>
        </w:rPr>
        <w:t xml:space="preserve">4.项目经办人可以根据项目实际需要对表格结构进行调整</w:t>
      </w:r>
      <w:r>
        <w:rPr>
          <w:rFonts w:hint="eastAsia" w:ascii="Times New Roman" w:hAnsi="Times New Roman" w:cs="方正魏碑_GBK"/>
          <w:color w:val="auto"/>
          <w:szCs w:val="21"/>
          <w:highlight w:val="none"/>
        </w:rPr>
        <w:t xml:space="preserve">。</w:t>
      </w:r>
      <w:r/>
    </w:p>
    <w:p>
      <w:pPr>
        <w:spacing w:line="400" w:lineRule="exact"/>
        <w:rPr>
          <w:rFonts w:ascii="Times New Roman" w:hAnsi="Times New Roman" w:cs="方正魏碑_GBK"/>
          <w:color w:val="auto"/>
          <w:sz w:val="24"/>
          <w:szCs w:val="24"/>
          <w:highlight w:val="none"/>
        </w:rPr>
      </w:pPr>
      <w:r>
        <w:rPr>
          <w:rFonts w:hint="eastAsia" w:ascii="Times New Roman" w:hAnsi="Times New Roman" w:cs="方正魏碑_GBK"/>
          <w:color w:val="auto"/>
          <w:szCs w:val="21"/>
          <w:highlight w:val="none"/>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Times New Roman" w:hAnsi="Times New Roman" w:cs="方正魏碑_GBK"/>
          <w:color w:val="auto"/>
          <w:sz w:val="24"/>
          <w:szCs w:val="24"/>
          <w:highlight w:val="none"/>
        </w:rPr>
        <w:t xml:space="preserve">。</w:t>
      </w:r>
      <w:r/>
    </w:p>
    <w:p>
      <w:pPr>
        <w:rPr>
          <w:rFonts w:ascii="Times New Roman" w:hAnsi="Times New Roman" w:cs="方正魏碑_GBK"/>
          <w:color w:val="auto"/>
          <w:sz w:val="24"/>
          <w:szCs w:val="24"/>
          <w:highlight w:val="none"/>
        </w:rPr>
      </w:pPr>
      <w:r>
        <w:rPr>
          <w:rFonts w:hint="eastAsia" w:ascii="Times New Roman" w:hAnsi="Times New Roman" w:cs="方正魏碑_GBK"/>
          <w:color w:val="auto"/>
          <w:sz w:val="24"/>
          <w:szCs w:val="24"/>
          <w:highlight w:val="none"/>
        </w:rPr>
        <w:br w:type="page" w:clear="all"/>
      </w:r>
      <w:r/>
    </w:p>
    <w:p>
      <w:pPr>
        <w:jc w:val="center"/>
        <w:spacing w:line="360" w:lineRule="auto"/>
        <w:widowControl/>
        <w:rPr>
          <w:rFonts w:ascii="宋体" w:hAnsi="宋体"/>
          <w:sz w:val="28"/>
          <w:szCs w:val="28"/>
        </w:rPr>
      </w:pPr>
      <w:r/>
      <w:bookmarkStart w:id="69" w:name="_GoBack"/>
      <w:r/>
      <w:bookmarkEnd w:id="69"/>
      <w:r>
        <w:rPr>
          <w:rFonts w:hint="eastAsia" w:ascii="宋体" w:hAnsi="宋体"/>
          <w:b/>
          <w:bCs/>
          <w:sz w:val="28"/>
          <w:szCs w:val="28"/>
          <w:lang w:val="en-US" w:eastAsia="zh-CN"/>
        </w:rPr>
        <w:t xml:space="preserve">六</w:t>
      </w:r>
      <w:r>
        <w:rPr>
          <w:rFonts w:hint="eastAsia" w:ascii="宋体" w:hAnsi="宋体"/>
          <w:b/>
          <w:bCs/>
          <w:sz w:val="28"/>
          <w:szCs w:val="28"/>
        </w:rPr>
        <w:t xml:space="preserve">、技术参数响应及偏离表</w:t>
      </w:r>
      <w:r/>
    </w:p>
    <w:tbl>
      <w:tblPr>
        <w:tblStyle w:val="827"/>
        <w:tblW w:w="84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147"/>
        <w:gridCol w:w="2330"/>
        <w:gridCol w:w="2031"/>
        <w:gridCol w:w="1108"/>
      </w:tblGrid>
      <w:tr>
        <w:trPr>
          <w:cantSplit/>
          <w:jc w:val="center"/>
        </w:trPr>
        <w:tc>
          <w:tcPr>
            <w:tcW w:w="79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W w:w="2147"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招标要求</w:t>
            </w:r>
            <w:r/>
          </w:p>
        </w:tc>
        <w:tc>
          <w:tcPr>
            <w:tcW w:w="233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投标响应</w:t>
            </w:r>
            <w:r/>
          </w:p>
        </w:tc>
        <w:tc>
          <w:tcPr>
            <w:tcW w:w="203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超出、符合或偏离</w:t>
            </w:r>
            <w:r/>
          </w:p>
        </w:tc>
        <w:tc>
          <w:tcPr>
            <w:tcW w:w="110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证明材料</w:t>
            </w:r>
            <w:r/>
          </w:p>
        </w:tc>
      </w:tr>
      <w:tr>
        <w:trPr>
          <w:cantSplit/>
          <w:jc w:val="center"/>
          <w:trHeight w:val="640"/>
        </w:trPr>
        <w:tc>
          <w:tcPr>
            <w:tcW w:w="793" w:type="dxa"/>
            <w:textDirection w:val="lrTb"/>
            <w:noWrap w:val="false"/>
          </w:tcPr>
          <w:p>
            <w:pPr>
              <w:jc w:val="center"/>
              <w:spacing w:line="360" w:lineRule="auto"/>
              <w:rPr>
                <w:rFonts w:ascii="宋体" w:hAnsi="宋体"/>
                <w:szCs w:val="21"/>
              </w:rPr>
            </w:pPr>
            <w:r>
              <w:rPr>
                <w:rFonts w:ascii="宋体" w:hAnsi="宋体"/>
                <w:szCs w:val="21"/>
              </w:rPr>
            </w:r>
            <w:r/>
          </w:p>
        </w:tc>
        <w:tc>
          <w:tcPr>
            <w:tcW w:w="2147" w:type="dxa"/>
            <w:textDirection w:val="lrTb"/>
            <w:noWrap w:val="false"/>
          </w:tcPr>
          <w:p>
            <w:pPr>
              <w:jc w:val="center"/>
              <w:spacing w:line="360" w:lineRule="auto"/>
              <w:rPr>
                <w:rFonts w:ascii="宋体" w:hAnsi="宋体"/>
                <w:szCs w:val="21"/>
              </w:rPr>
            </w:pPr>
            <w:r>
              <w:rPr>
                <w:rFonts w:ascii="宋体" w:hAnsi="宋体"/>
                <w:szCs w:val="21"/>
              </w:rPr>
            </w:r>
            <w:r/>
          </w:p>
        </w:tc>
        <w:tc>
          <w:tcPr>
            <w:tcW w:w="2330" w:type="dxa"/>
            <w:textDirection w:val="lrTb"/>
            <w:noWrap w:val="false"/>
          </w:tcPr>
          <w:p>
            <w:pPr>
              <w:jc w:val="center"/>
              <w:spacing w:line="360" w:lineRule="auto"/>
              <w:rPr>
                <w:rFonts w:ascii="宋体" w:hAnsi="宋体"/>
                <w:szCs w:val="21"/>
              </w:rPr>
            </w:pPr>
            <w:r>
              <w:rPr>
                <w:rFonts w:ascii="宋体" w:hAnsi="宋体"/>
                <w:szCs w:val="21"/>
              </w:rPr>
            </w:r>
            <w:r/>
          </w:p>
        </w:tc>
        <w:tc>
          <w:tcPr>
            <w:tcW w:w="2031" w:type="dxa"/>
            <w:textDirection w:val="lrTb"/>
            <w:noWrap w:val="false"/>
          </w:tcPr>
          <w:p>
            <w:pPr>
              <w:jc w:val="center"/>
              <w:spacing w:line="360" w:lineRule="auto"/>
              <w:rPr>
                <w:rFonts w:ascii="宋体" w:hAnsi="宋体"/>
                <w:szCs w:val="21"/>
              </w:rPr>
            </w:pPr>
            <w:r>
              <w:rPr>
                <w:rFonts w:ascii="宋体" w:hAnsi="宋体"/>
                <w:szCs w:val="21"/>
              </w:rPr>
            </w:r>
            <w:r/>
          </w:p>
        </w:tc>
        <w:tc>
          <w:tcPr>
            <w:tcW w:w="1108" w:type="dxa"/>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640"/>
        </w:trPr>
        <w:tc>
          <w:tcPr>
            <w:tcW w:w="793" w:type="dxa"/>
            <w:textDirection w:val="lrTb"/>
            <w:noWrap w:val="false"/>
          </w:tcPr>
          <w:p>
            <w:pPr>
              <w:jc w:val="center"/>
              <w:spacing w:line="360" w:lineRule="auto"/>
              <w:rPr>
                <w:rFonts w:ascii="宋体" w:hAnsi="宋体"/>
                <w:szCs w:val="21"/>
              </w:rPr>
            </w:pPr>
            <w:r>
              <w:rPr>
                <w:rFonts w:ascii="宋体" w:hAnsi="宋体"/>
                <w:szCs w:val="21"/>
              </w:rPr>
            </w:r>
            <w:r/>
          </w:p>
        </w:tc>
        <w:tc>
          <w:tcPr>
            <w:tcW w:w="2147" w:type="dxa"/>
            <w:textDirection w:val="lrTb"/>
            <w:noWrap w:val="false"/>
          </w:tcPr>
          <w:p>
            <w:pPr>
              <w:jc w:val="center"/>
              <w:spacing w:line="360" w:lineRule="auto"/>
              <w:rPr>
                <w:rFonts w:ascii="宋体" w:hAnsi="宋体"/>
                <w:szCs w:val="21"/>
              </w:rPr>
            </w:pPr>
            <w:r>
              <w:rPr>
                <w:rFonts w:ascii="宋体" w:hAnsi="宋体"/>
                <w:szCs w:val="21"/>
              </w:rPr>
            </w:r>
            <w:r/>
          </w:p>
        </w:tc>
        <w:tc>
          <w:tcPr>
            <w:tcW w:w="2330" w:type="dxa"/>
            <w:textDirection w:val="lrTb"/>
            <w:noWrap w:val="false"/>
          </w:tcPr>
          <w:p>
            <w:pPr>
              <w:jc w:val="center"/>
              <w:spacing w:line="360" w:lineRule="auto"/>
              <w:rPr>
                <w:rFonts w:ascii="宋体" w:hAnsi="宋体"/>
                <w:szCs w:val="21"/>
              </w:rPr>
            </w:pPr>
            <w:r>
              <w:rPr>
                <w:rFonts w:ascii="宋体" w:hAnsi="宋体"/>
                <w:szCs w:val="21"/>
              </w:rPr>
            </w:r>
            <w:r/>
          </w:p>
        </w:tc>
        <w:tc>
          <w:tcPr>
            <w:tcW w:w="2031" w:type="dxa"/>
            <w:textDirection w:val="lrTb"/>
            <w:noWrap w:val="false"/>
          </w:tcPr>
          <w:p>
            <w:pPr>
              <w:jc w:val="center"/>
              <w:spacing w:line="360" w:lineRule="auto"/>
              <w:rPr>
                <w:rFonts w:ascii="宋体" w:hAnsi="宋体"/>
                <w:szCs w:val="21"/>
              </w:rPr>
            </w:pPr>
            <w:r>
              <w:rPr>
                <w:rFonts w:ascii="宋体" w:hAnsi="宋体"/>
                <w:szCs w:val="21"/>
              </w:rPr>
            </w:r>
            <w:r/>
          </w:p>
        </w:tc>
        <w:tc>
          <w:tcPr>
            <w:tcW w:w="1108" w:type="dxa"/>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640"/>
        </w:trPr>
        <w:tc>
          <w:tcPr>
            <w:tcW w:w="793" w:type="dxa"/>
            <w:textDirection w:val="lrTb"/>
            <w:noWrap w:val="false"/>
          </w:tcPr>
          <w:p>
            <w:pPr>
              <w:jc w:val="center"/>
              <w:spacing w:line="360" w:lineRule="auto"/>
              <w:rPr>
                <w:rFonts w:ascii="宋体" w:hAnsi="宋体"/>
                <w:szCs w:val="21"/>
              </w:rPr>
            </w:pPr>
            <w:r>
              <w:rPr>
                <w:rFonts w:ascii="宋体" w:hAnsi="宋体"/>
                <w:szCs w:val="21"/>
              </w:rPr>
            </w:r>
            <w:r/>
          </w:p>
        </w:tc>
        <w:tc>
          <w:tcPr>
            <w:tcW w:w="2147" w:type="dxa"/>
            <w:textDirection w:val="lrTb"/>
            <w:noWrap w:val="false"/>
          </w:tcPr>
          <w:p>
            <w:pPr>
              <w:jc w:val="center"/>
              <w:spacing w:line="360" w:lineRule="auto"/>
              <w:rPr>
                <w:rFonts w:ascii="宋体" w:hAnsi="宋体"/>
                <w:szCs w:val="21"/>
              </w:rPr>
            </w:pPr>
            <w:r>
              <w:rPr>
                <w:rFonts w:ascii="宋体" w:hAnsi="宋体"/>
                <w:szCs w:val="21"/>
              </w:rPr>
            </w:r>
            <w:r/>
          </w:p>
        </w:tc>
        <w:tc>
          <w:tcPr>
            <w:tcW w:w="2330" w:type="dxa"/>
            <w:textDirection w:val="lrTb"/>
            <w:noWrap w:val="false"/>
          </w:tcPr>
          <w:p>
            <w:pPr>
              <w:jc w:val="center"/>
              <w:spacing w:line="360" w:lineRule="auto"/>
              <w:rPr>
                <w:rFonts w:ascii="宋体" w:hAnsi="宋体"/>
                <w:szCs w:val="21"/>
              </w:rPr>
            </w:pPr>
            <w:r>
              <w:rPr>
                <w:rFonts w:ascii="宋体" w:hAnsi="宋体"/>
                <w:szCs w:val="21"/>
              </w:rPr>
            </w:r>
            <w:r/>
          </w:p>
        </w:tc>
        <w:tc>
          <w:tcPr>
            <w:tcW w:w="2031" w:type="dxa"/>
            <w:textDirection w:val="lrTb"/>
            <w:noWrap w:val="false"/>
          </w:tcPr>
          <w:p>
            <w:pPr>
              <w:jc w:val="center"/>
              <w:spacing w:line="360" w:lineRule="auto"/>
              <w:rPr>
                <w:rFonts w:ascii="宋体" w:hAnsi="宋体"/>
                <w:szCs w:val="21"/>
              </w:rPr>
            </w:pPr>
            <w:r>
              <w:rPr>
                <w:rFonts w:ascii="宋体" w:hAnsi="宋体"/>
                <w:szCs w:val="21"/>
              </w:rPr>
            </w:r>
            <w:r/>
          </w:p>
        </w:tc>
        <w:tc>
          <w:tcPr>
            <w:tcW w:w="1108" w:type="dxa"/>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640"/>
        </w:trPr>
        <w:tc>
          <w:tcPr>
            <w:tcW w:w="793" w:type="dxa"/>
            <w:textDirection w:val="lrTb"/>
            <w:noWrap w:val="false"/>
          </w:tcPr>
          <w:p>
            <w:pPr>
              <w:jc w:val="center"/>
              <w:spacing w:line="360" w:lineRule="auto"/>
              <w:rPr>
                <w:rFonts w:ascii="宋体" w:hAnsi="宋体"/>
                <w:szCs w:val="21"/>
              </w:rPr>
            </w:pPr>
            <w:r>
              <w:rPr>
                <w:rFonts w:ascii="宋体" w:hAnsi="宋体"/>
                <w:szCs w:val="21"/>
              </w:rPr>
            </w:r>
            <w:r/>
          </w:p>
        </w:tc>
        <w:tc>
          <w:tcPr>
            <w:tcW w:w="2147" w:type="dxa"/>
            <w:textDirection w:val="lrTb"/>
            <w:noWrap w:val="false"/>
          </w:tcPr>
          <w:p>
            <w:pPr>
              <w:jc w:val="center"/>
              <w:spacing w:line="360" w:lineRule="auto"/>
              <w:rPr>
                <w:rFonts w:ascii="宋体" w:hAnsi="宋体"/>
                <w:szCs w:val="21"/>
              </w:rPr>
            </w:pPr>
            <w:r>
              <w:rPr>
                <w:rFonts w:ascii="宋体" w:hAnsi="宋体"/>
                <w:szCs w:val="21"/>
              </w:rPr>
            </w:r>
            <w:r/>
          </w:p>
        </w:tc>
        <w:tc>
          <w:tcPr>
            <w:tcW w:w="2330" w:type="dxa"/>
            <w:textDirection w:val="lrTb"/>
            <w:noWrap w:val="false"/>
          </w:tcPr>
          <w:p>
            <w:pPr>
              <w:jc w:val="center"/>
              <w:spacing w:line="360" w:lineRule="auto"/>
              <w:rPr>
                <w:rFonts w:ascii="宋体" w:hAnsi="宋体"/>
                <w:szCs w:val="21"/>
              </w:rPr>
            </w:pPr>
            <w:r>
              <w:rPr>
                <w:rFonts w:ascii="宋体" w:hAnsi="宋体"/>
                <w:szCs w:val="21"/>
              </w:rPr>
            </w:r>
            <w:r/>
          </w:p>
        </w:tc>
        <w:tc>
          <w:tcPr>
            <w:tcW w:w="2031" w:type="dxa"/>
            <w:textDirection w:val="lrTb"/>
            <w:noWrap w:val="false"/>
          </w:tcPr>
          <w:p>
            <w:pPr>
              <w:jc w:val="center"/>
              <w:spacing w:line="360" w:lineRule="auto"/>
              <w:rPr>
                <w:rFonts w:ascii="宋体" w:hAnsi="宋体"/>
                <w:szCs w:val="21"/>
              </w:rPr>
            </w:pPr>
            <w:r>
              <w:rPr>
                <w:rFonts w:ascii="宋体" w:hAnsi="宋体"/>
                <w:szCs w:val="21"/>
              </w:rPr>
            </w:r>
            <w:r/>
          </w:p>
        </w:tc>
        <w:tc>
          <w:tcPr>
            <w:tcW w:w="1108" w:type="dxa"/>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640"/>
        </w:trPr>
        <w:tc>
          <w:tcPr>
            <w:tcW w:w="793" w:type="dxa"/>
            <w:textDirection w:val="lrTb"/>
            <w:noWrap w:val="false"/>
          </w:tcPr>
          <w:p>
            <w:pPr>
              <w:jc w:val="center"/>
              <w:spacing w:line="360" w:lineRule="auto"/>
              <w:rPr>
                <w:rFonts w:ascii="宋体" w:hAnsi="宋体"/>
                <w:szCs w:val="21"/>
              </w:rPr>
            </w:pPr>
            <w:r>
              <w:rPr>
                <w:rFonts w:ascii="宋体" w:hAnsi="宋体"/>
                <w:szCs w:val="21"/>
              </w:rPr>
            </w:r>
            <w:r/>
          </w:p>
        </w:tc>
        <w:tc>
          <w:tcPr>
            <w:tcW w:w="2147" w:type="dxa"/>
            <w:textDirection w:val="lrTb"/>
            <w:noWrap w:val="false"/>
          </w:tcPr>
          <w:p>
            <w:pPr>
              <w:jc w:val="center"/>
              <w:spacing w:line="360" w:lineRule="auto"/>
              <w:rPr>
                <w:rFonts w:ascii="宋体" w:hAnsi="宋体"/>
                <w:szCs w:val="21"/>
              </w:rPr>
            </w:pPr>
            <w:r>
              <w:rPr>
                <w:rFonts w:ascii="宋体" w:hAnsi="宋体"/>
                <w:szCs w:val="21"/>
              </w:rPr>
            </w:r>
            <w:r/>
          </w:p>
        </w:tc>
        <w:tc>
          <w:tcPr>
            <w:tcW w:w="2330" w:type="dxa"/>
            <w:textDirection w:val="lrTb"/>
            <w:noWrap w:val="false"/>
          </w:tcPr>
          <w:p>
            <w:pPr>
              <w:jc w:val="center"/>
              <w:spacing w:line="360" w:lineRule="auto"/>
              <w:rPr>
                <w:rFonts w:ascii="宋体" w:hAnsi="宋体"/>
                <w:szCs w:val="21"/>
              </w:rPr>
            </w:pPr>
            <w:r>
              <w:rPr>
                <w:rFonts w:ascii="宋体" w:hAnsi="宋体"/>
                <w:szCs w:val="21"/>
              </w:rPr>
            </w:r>
            <w:r/>
          </w:p>
        </w:tc>
        <w:tc>
          <w:tcPr>
            <w:tcW w:w="2031" w:type="dxa"/>
            <w:textDirection w:val="lrTb"/>
            <w:noWrap w:val="false"/>
          </w:tcPr>
          <w:p>
            <w:pPr>
              <w:jc w:val="center"/>
              <w:spacing w:line="360" w:lineRule="auto"/>
              <w:rPr>
                <w:rFonts w:ascii="宋体" w:hAnsi="宋体"/>
                <w:szCs w:val="21"/>
              </w:rPr>
            </w:pPr>
            <w:r>
              <w:rPr>
                <w:rFonts w:ascii="宋体" w:hAnsi="宋体"/>
                <w:szCs w:val="21"/>
              </w:rPr>
            </w:r>
            <w:r/>
          </w:p>
        </w:tc>
        <w:tc>
          <w:tcPr>
            <w:tcW w:w="1108" w:type="dxa"/>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640"/>
        </w:trPr>
        <w:tc>
          <w:tcPr>
            <w:tcW w:w="793" w:type="dxa"/>
            <w:textDirection w:val="lrTb"/>
            <w:noWrap w:val="false"/>
          </w:tcPr>
          <w:p>
            <w:pPr>
              <w:jc w:val="center"/>
              <w:spacing w:line="360" w:lineRule="auto"/>
              <w:rPr>
                <w:rFonts w:ascii="宋体" w:hAnsi="宋体"/>
                <w:szCs w:val="21"/>
              </w:rPr>
            </w:pPr>
            <w:r>
              <w:rPr>
                <w:rFonts w:ascii="宋体" w:hAnsi="宋体"/>
                <w:szCs w:val="21"/>
              </w:rPr>
            </w:r>
            <w:r/>
          </w:p>
        </w:tc>
        <w:tc>
          <w:tcPr>
            <w:tcW w:w="2147" w:type="dxa"/>
            <w:textDirection w:val="lrTb"/>
            <w:noWrap w:val="false"/>
          </w:tcPr>
          <w:p>
            <w:pPr>
              <w:jc w:val="center"/>
              <w:spacing w:line="360" w:lineRule="auto"/>
              <w:rPr>
                <w:rFonts w:ascii="宋体" w:hAnsi="宋体"/>
                <w:szCs w:val="21"/>
              </w:rPr>
            </w:pPr>
            <w:r>
              <w:rPr>
                <w:rFonts w:ascii="宋体" w:hAnsi="宋体"/>
                <w:szCs w:val="21"/>
              </w:rPr>
            </w:r>
            <w:r/>
          </w:p>
        </w:tc>
        <w:tc>
          <w:tcPr>
            <w:tcW w:w="2330" w:type="dxa"/>
            <w:textDirection w:val="lrTb"/>
            <w:noWrap w:val="false"/>
          </w:tcPr>
          <w:p>
            <w:pPr>
              <w:jc w:val="center"/>
              <w:spacing w:line="360" w:lineRule="auto"/>
              <w:rPr>
                <w:rFonts w:ascii="宋体" w:hAnsi="宋体"/>
                <w:szCs w:val="21"/>
              </w:rPr>
            </w:pPr>
            <w:r>
              <w:rPr>
                <w:rFonts w:ascii="宋体" w:hAnsi="宋体"/>
                <w:szCs w:val="21"/>
              </w:rPr>
            </w:r>
            <w:r/>
          </w:p>
        </w:tc>
        <w:tc>
          <w:tcPr>
            <w:tcW w:w="2031" w:type="dxa"/>
            <w:textDirection w:val="lrTb"/>
            <w:noWrap w:val="false"/>
          </w:tcPr>
          <w:p>
            <w:pPr>
              <w:jc w:val="center"/>
              <w:spacing w:line="360" w:lineRule="auto"/>
              <w:rPr>
                <w:rFonts w:ascii="宋体" w:hAnsi="宋体"/>
                <w:szCs w:val="21"/>
              </w:rPr>
            </w:pPr>
            <w:r>
              <w:rPr>
                <w:rFonts w:ascii="宋体" w:hAnsi="宋体"/>
                <w:szCs w:val="21"/>
              </w:rPr>
            </w:r>
            <w:r/>
          </w:p>
        </w:tc>
        <w:tc>
          <w:tcPr>
            <w:tcW w:w="1108" w:type="dxa"/>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640"/>
        </w:trPr>
        <w:tc>
          <w:tcPr>
            <w:tcW w:w="793" w:type="dxa"/>
            <w:textDirection w:val="lrTb"/>
            <w:noWrap w:val="false"/>
          </w:tcPr>
          <w:p>
            <w:pPr>
              <w:jc w:val="center"/>
              <w:spacing w:line="360" w:lineRule="auto"/>
              <w:rPr>
                <w:rFonts w:ascii="宋体" w:hAnsi="宋体"/>
                <w:szCs w:val="21"/>
              </w:rPr>
            </w:pPr>
            <w:r>
              <w:rPr>
                <w:rFonts w:ascii="宋体" w:hAnsi="宋体"/>
                <w:szCs w:val="21"/>
              </w:rPr>
            </w:r>
            <w:r/>
          </w:p>
        </w:tc>
        <w:tc>
          <w:tcPr>
            <w:tcW w:w="2147" w:type="dxa"/>
            <w:textDirection w:val="lrTb"/>
            <w:noWrap w:val="false"/>
          </w:tcPr>
          <w:p>
            <w:pPr>
              <w:jc w:val="center"/>
              <w:spacing w:line="360" w:lineRule="auto"/>
              <w:rPr>
                <w:rFonts w:ascii="宋体" w:hAnsi="宋体"/>
                <w:szCs w:val="21"/>
              </w:rPr>
            </w:pPr>
            <w:r>
              <w:rPr>
                <w:rFonts w:ascii="宋体" w:hAnsi="宋体"/>
                <w:szCs w:val="21"/>
              </w:rPr>
            </w:r>
            <w:r/>
          </w:p>
        </w:tc>
        <w:tc>
          <w:tcPr>
            <w:tcW w:w="2330" w:type="dxa"/>
            <w:textDirection w:val="lrTb"/>
            <w:noWrap w:val="false"/>
          </w:tcPr>
          <w:p>
            <w:pPr>
              <w:jc w:val="center"/>
              <w:spacing w:line="360" w:lineRule="auto"/>
              <w:rPr>
                <w:rFonts w:ascii="宋体" w:hAnsi="宋体"/>
                <w:szCs w:val="21"/>
              </w:rPr>
            </w:pPr>
            <w:r>
              <w:rPr>
                <w:rFonts w:ascii="宋体" w:hAnsi="宋体"/>
                <w:szCs w:val="21"/>
              </w:rPr>
            </w:r>
            <w:r/>
          </w:p>
        </w:tc>
        <w:tc>
          <w:tcPr>
            <w:tcW w:w="2031" w:type="dxa"/>
            <w:textDirection w:val="lrTb"/>
            <w:noWrap w:val="false"/>
          </w:tcPr>
          <w:p>
            <w:pPr>
              <w:jc w:val="center"/>
              <w:spacing w:line="360" w:lineRule="auto"/>
              <w:rPr>
                <w:rFonts w:ascii="宋体" w:hAnsi="宋体"/>
                <w:szCs w:val="21"/>
              </w:rPr>
            </w:pPr>
            <w:r>
              <w:rPr>
                <w:rFonts w:ascii="宋体" w:hAnsi="宋体"/>
                <w:szCs w:val="21"/>
              </w:rPr>
            </w:r>
            <w:r/>
          </w:p>
        </w:tc>
        <w:tc>
          <w:tcPr>
            <w:tcW w:w="1108" w:type="dxa"/>
            <w:textDirection w:val="lrTb"/>
            <w:noWrap w:val="false"/>
          </w:tcPr>
          <w:p>
            <w:pPr>
              <w:jc w:val="center"/>
              <w:spacing w:line="360" w:lineRule="auto"/>
              <w:rPr>
                <w:rFonts w:ascii="宋体" w:hAnsi="宋体"/>
                <w:szCs w:val="21"/>
              </w:rPr>
            </w:pPr>
            <w:r>
              <w:rPr>
                <w:rFonts w:ascii="宋体" w:hAnsi="宋体"/>
                <w:szCs w:val="21"/>
              </w:rPr>
            </w:r>
            <w:r/>
          </w:p>
        </w:tc>
      </w:tr>
      <w:tr>
        <w:trPr>
          <w:cantSplit/>
          <w:jc w:val="center"/>
          <w:trHeight w:val="640"/>
        </w:trPr>
        <w:tc>
          <w:tcPr>
            <w:tcW w:w="793" w:type="dxa"/>
            <w:textDirection w:val="lrTb"/>
            <w:noWrap w:val="false"/>
          </w:tcPr>
          <w:p>
            <w:pPr>
              <w:jc w:val="center"/>
              <w:spacing w:line="360" w:lineRule="auto"/>
              <w:rPr>
                <w:rFonts w:ascii="宋体" w:hAnsi="宋体"/>
                <w:szCs w:val="21"/>
              </w:rPr>
            </w:pPr>
            <w:r>
              <w:rPr>
                <w:rFonts w:ascii="宋体" w:hAnsi="宋体"/>
                <w:szCs w:val="21"/>
              </w:rPr>
            </w:r>
            <w:r/>
          </w:p>
        </w:tc>
        <w:tc>
          <w:tcPr>
            <w:tcW w:w="2147" w:type="dxa"/>
            <w:textDirection w:val="lrTb"/>
            <w:noWrap w:val="false"/>
          </w:tcPr>
          <w:p>
            <w:pPr>
              <w:jc w:val="center"/>
              <w:spacing w:line="360" w:lineRule="auto"/>
              <w:rPr>
                <w:rFonts w:ascii="宋体" w:hAnsi="宋体"/>
                <w:szCs w:val="21"/>
              </w:rPr>
            </w:pPr>
            <w:r>
              <w:rPr>
                <w:rFonts w:ascii="宋体" w:hAnsi="宋体"/>
                <w:szCs w:val="21"/>
              </w:rPr>
            </w:r>
            <w:r/>
          </w:p>
        </w:tc>
        <w:tc>
          <w:tcPr>
            <w:tcW w:w="2330" w:type="dxa"/>
            <w:textDirection w:val="lrTb"/>
            <w:noWrap w:val="false"/>
          </w:tcPr>
          <w:p>
            <w:pPr>
              <w:jc w:val="center"/>
              <w:spacing w:line="360" w:lineRule="auto"/>
              <w:rPr>
                <w:rFonts w:ascii="宋体" w:hAnsi="宋体"/>
                <w:szCs w:val="21"/>
              </w:rPr>
            </w:pPr>
            <w:r>
              <w:rPr>
                <w:rFonts w:ascii="宋体" w:hAnsi="宋体"/>
                <w:szCs w:val="21"/>
              </w:rPr>
            </w:r>
            <w:r/>
          </w:p>
        </w:tc>
        <w:tc>
          <w:tcPr>
            <w:tcW w:w="2031" w:type="dxa"/>
            <w:textDirection w:val="lrTb"/>
            <w:noWrap w:val="false"/>
          </w:tcPr>
          <w:p>
            <w:pPr>
              <w:jc w:val="center"/>
              <w:spacing w:line="360" w:lineRule="auto"/>
              <w:rPr>
                <w:rFonts w:ascii="宋体" w:hAnsi="宋体"/>
                <w:szCs w:val="21"/>
              </w:rPr>
            </w:pPr>
            <w:r>
              <w:rPr>
                <w:rFonts w:ascii="宋体" w:hAnsi="宋体"/>
                <w:szCs w:val="21"/>
              </w:rPr>
            </w:r>
            <w:r/>
          </w:p>
        </w:tc>
        <w:tc>
          <w:tcPr>
            <w:tcW w:w="1108" w:type="dxa"/>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注：1、按照基本技术要求详细填列。</w:t>
      </w:r>
      <w:r/>
    </w:p>
    <w:p>
      <w:pPr>
        <w:ind w:firstLine="420"/>
        <w:spacing w:line="360" w:lineRule="auto"/>
        <w:rPr>
          <w:rFonts w:ascii="宋体" w:hAnsi="宋体"/>
          <w:szCs w:val="21"/>
        </w:rPr>
      </w:pPr>
      <w:r>
        <w:rPr>
          <w:rFonts w:hint="eastAsia" w:ascii="宋体" w:hAnsi="宋体"/>
          <w:szCs w:val="21"/>
        </w:rPr>
        <w:t xml:space="preserve">2、行数不够，可自行添加。</w:t>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spacing w:line="360" w:lineRule="auto"/>
        <w:rPr>
          <w:rFonts w:ascii="黑体" w:hAnsi="Arial" w:eastAsia="黑体"/>
          <w:sz w:val="32"/>
        </w:rPr>
      </w:pPr>
      <w:r>
        <w:rPr>
          <w:rFonts w:ascii="黑体" w:hAnsi="Arial" w:eastAsia="黑体"/>
          <w:sz w:val="32"/>
        </w:rPr>
      </w:r>
      <w:r/>
    </w:p>
    <w:p>
      <w:pPr>
        <w:spacing w:line="360" w:lineRule="auto"/>
        <w:rPr>
          <w:rFonts w:ascii="黑体" w:hAnsi="Arial" w:eastAsia="黑体"/>
          <w:sz w:val="32"/>
        </w:rPr>
      </w:pPr>
      <w:r>
        <w:rPr>
          <w:rFonts w:ascii="黑体" w:hAnsi="Arial" w:eastAsia="黑体"/>
          <w:sz w:val="32"/>
        </w:rPr>
      </w:r>
      <w:r/>
    </w:p>
    <w:p>
      <w:pPr>
        <w:jc w:val="center"/>
        <w:spacing w:line="360" w:lineRule="auto"/>
        <w:rPr>
          <w:rFonts w:ascii="宋体" w:hAnsi="宋体"/>
          <w:sz w:val="32"/>
          <w:szCs w:val="32"/>
        </w:rPr>
      </w:pPr>
      <w:r>
        <w:rPr>
          <w:rFonts w:hint="eastAsia" w:ascii="黑体" w:hAnsi="Arial" w:eastAsia="黑体"/>
          <w:sz w:val="32"/>
        </w:rPr>
        <w:br w:type="page" w:clear="all"/>
      </w:r>
      <w:bookmarkStart w:id="62" w:name="_Hlt26955054"/>
      <w:r/>
      <w:bookmarkEnd w:id="62"/>
      <w:r/>
      <w:bookmarkStart w:id="63" w:name="_Toc113352363"/>
      <w:r>
        <w:rPr>
          <w:rFonts w:hint="eastAsia" w:ascii="宋体" w:hAnsi="宋体" w:eastAsia="黑体"/>
          <w:b/>
          <w:bCs/>
          <w:sz w:val="28"/>
          <w:szCs w:val="28"/>
          <w:lang w:val="en-US" w:eastAsia="zh-CN"/>
        </w:rPr>
        <w:t xml:space="preserve">七</w:t>
      </w:r>
      <w:r>
        <w:rPr>
          <w:rFonts w:hint="eastAsia" w:ascii="宋体" w:hAnsi="宋体"/>
          <w:b/>
          <w:bCs/>
          <w:sz w:val="28"/>
          <w:szCs w:val="28"/>
        </w:rPr>
        <w:t xml:space="preserve">、商务条款响应及偏离表</w:t>
      </w:r>
      <w:bookmarkEnd w:id="63"/>
      <w:r/>
      <w:r/>
    </w:p>
    <w:tbl>
      <w:tblPr>
        <w:tblStyle w:val="827"/>
        <w:tblW w:w="830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324"/>
      </w:tblGrid>
      <w:tr>
        <w:trPr>
          <w:trHeight w:val="642"/>
        </w:trPr>
        <w:tc>
          <w:tcPr>
            <w:tcW w:w="1638"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项目</w:t>
            </w:r>
            <w:r/>
          </w:p>
        </w:tc>
        <w:tc>
          <w:tcPr>
            <w:tcW w:w="2502"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采购文件要求</w:t>
            </w:r>
            <w:r/>
          </w:p>
        </w:tc>
        <w:tc>
          <w:tcPr>
            <w:tcW w:w="1837"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是否响应</w:t>
            </w:r>
            <w:r/>
          </w:p>
        </w:tc>
        <w:tc>
          <w:tcPr>
            <w:tcW w:w="2324"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供应商的承诺或说明</w:t>
            </w:r>
            <w:r/>
          </w:p>
        </w:tc>
      </w:tr>
      <w:tr>
        <w:trPr>
          <w:trHeight w:val="540"/>
        </w:trPr>
        <w:tc>
          <w:tcPr>
            <w:tcW w:w="1638" w:type="dxa"/>
            <w:textDirection w:val="lrTb"/>
            <w:noWrap w:val="false"/>
          </w:tcPr>
          <w:p>
            <w:pPr>
              <w:jc w:val="center"/>
              <w:spacing w:before="156" w:line="360" w:lineRule="auto"/>
              <w:rPr>
                <w:rFonts w:ascii="仿宋_GB2312" w:hAnsi="宋体" w:eastAsia="仿宋_GB2312"/>
                <w:szCs w:val="21"/>
              </w:rPr>
            </w:pPr>
            <w:r>
              <w:rPr>
                <w:rFonts w:hint="eastAsia" w:ascii="仿宋_GB2312"/>
                <w:szCs w:val="21"/>
              </w:rPr>
              <w:t xml:space="preserve">服务时间</w:t>
            </w:r>
            <w:r/>
          </w:p>
        </w:tc>
        <w:tc>
          <w:tcPr>
            <w:tcW w:w="2502"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W w:w="1837"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324"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40"/>
        </w:trPr>
        <w:tc>
          <w:tcPr>
            <w:tcW w:w="1638" w:type="dxa"/>
            <w:textDirection w:val="lrTb"/>
            <w:noWrap w:val="false"/>
          </w:tcPr>
          <w:p>
            <w:pPr>
              <w:jc w:val="center"/>
              <w:spacing w:before="156" w:line="360" w:lineRule="auto"/>
              <w:rPr>
                <w:rFonts w:ascii="仿宋_GB2312"/>
                <w:szCs w:val="21"/>
              </w:rPr>
            </w:pPr>
            <w:r>
              <w:rPr>
                <w:rFonts w:hint="eastAsia" w:ascii="仿宋_GB2312"/>
                <w:szCs w:val="21"/>
              </w:rPr>
              <w:t xml:space="preserve">服务方式</w:t>
            </w:r>
            <w:r/>
          </w:p>
        </w:tc>
        <w:tc>
          <w:tcPr>
            <w:tcW w:w="2502" w:type="dxa"/>
            <w:textDirection w:val="lrTb"/>
            <w:noWrap w:val="false"/>
          </w:tcPr>
          <w:p>
            <w:pPr>
              <w:spacing w:before="156" w:line="360" w:lineRule="auto"/>
              <w:rPr>
                <w:rFonts w:ascii="仿宋_GB2312" w:hAnsi="宋体"/>
                <w:szCs w:val="21"/>
              </w:rPr>
            </w:pPr>
            <w:r>
              <w:rPr>
                <w:rFonts w:ascii="仿宋_GB2312" w:hAnsi="宋体"/>
                <w:szCs w:val="21"/>
              </w:rPr>
            </w:r>
            <w:r/>
          </w:p>
        </w:tc>
        <w:tc>
          <w:tcPr>
            <w:tcW w:w="1837"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324"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60"/>
        </w:trPr>
        <w:tc>
          <w:tcPr>
            <w:tcW w:w="1638" w:type="dxa"/>
            <w:textDirection w:val="lrTb"/>
            <w:noWrap w:val="false"/>
          </w:tcPr>
          <w:p>
            <w:pPr>
              <w:jc w:val="center"/>
              <w:spacing w:before="156" w:line="360" w:lineRule="auto"/>
              <w:rPr>
                <w:rFonts w:ascii="仿宋_GB2312"/>
                <w:szCs w:val="21"/>
              </w:rPr>
            </w:pPr>
            <w:r>
              <w:rPr>
                <w:rFonts w:hint="eastAsia" w:ascii="仿宋_GB2312"/>
                <w:szCs w:val="21"/>
              </w:rPr>
              <w:t xml:space="preserve">服务地点</w:t>
            </w:r>
            <w:r/>
          </w:p>
        </w:tc>
        <w:tc>
          <w:tcPr>
            <w:tcW w:w="2502" w:type="dxa"/>
            <w:textDirection w:val="lrTb"/>
            <w:noWrap w:val="false"/>
          </w:tcPr>
          <w:p>
            <w:pPr>
              <w:spacing w:before="156" w:line="360" w:lineRule="auto"/>
              <w:rPr>
                <w:rFonts w:ascii="仿宋_GB2312" w:hAnsi="宋体"/>
                <w:szCs w:val="21"/>
              </w:rPr>
            </w:pPr>
            <w:r>
              <w:rPr>
                <w:rFonts w:ascii="仿宋_GB2312" w:hAnsi="宋体"/>
                <w:szCs w:val="21"/>
              </w:rPr>
            </w:r>
            <w:r/>
          </w:p>
        </w:tc>
        <w:tc>
          <w:tcPr>
            <w:tcW w:w="1837"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W w:w="2324" w:type="dxa"/>
            <w:textDirection w:val="lrTb"/>
            <w:noWrap w:val="false"/>
          </w:tcPr>
          <w:p>
            <w:pPr>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02"/>
        </w:trPr>
        <w:tc>
          <w:tcPr>
            <w:tcW w:w="1638"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付款方式</w:t>
            </w:r>
            <w:r/>
          </w:p>
        </w:tc>
        <w:tc>
          <w:tcPr>
            <w:tcW w:w="2502" w:type="dxa"/>
            <w:textDirection w:val="lrTb"/>
            <w:noWrap w:val="false"/>
          </w:tcPr>
          <w:p>
            <w:pPr>
              <w:spacing w:before="156" w:line="360" w:lineRule="auto"/>
              <w:rPr>
                <w:rFonts w:ascii="仿宋_GB2312" w:hAnsi="宋体" w:eastAsia="仿宋_GB2312"/>
                <w:szCs w:val="21"/>
              </w:rPr>
            </w:pPr>
            <w:r>
              <w:rPr>
                <w:rFonts w:ascii="仿宋_GB2312" w:hAnsi="宋体" w:eastAsia="仿宋_GB2312"/>
                <w:szCs w:val="21"/>
              </w:rPr>
            </w:r>
            <w:r/>
          </w:p>
        </w:tc>
        <w:tc>
          <w:tcPr>
            <w:tcW w:w="1837"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W w:w="2324"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r>
      <w:tr>
        <w:trPr/>
        <w:tc>
          <w:tcPr>
            <w:tcW w:w="1638" w:type="dxa"/>
            <w:textDirection w:val="lrTb"/>
            <w:noWrap w:val="false"/>
          </w:tcPr>
          <w:p>
            <w:pPr>
              <w:jc w:val="center"/>
              <w:spacing w:before="156" w:line="360" w:lineRule="auto"/>
              <w:rPr>
                <w:rFonts w:ascii="仿宋_GB2312" w:hAnsi="宋体" w:eastAsia="仿宋_GB2312"/>
                <w:szCs w:val="21"/>
              </w:rPr>
            </w:pPr>
            <w:r>
              <w:rPr>
                <w:rFonts w:hint="eastAsia" w:ascii="仿宋_GB2312" w:hAnsi="宋体"/>
                <w:szCs w:val="21"/>
              </w:rPr>
              <w:t xml:space="preserve">其他</w:t>
            </w:r>
            <w:r/>
          </w:p>
        </w:tc>
        <w:tc>
          <w:tcPr>
            <w:tcW w:w="2502"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t xml:space="preserve">……</w:t>
            </w:r>
            <w:r/>
          </w:p>
        </w:tc>
        <w:tc>
          <w:tcPr>
            <w:tcW w:w="1837"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c>
          <w:tcPr>
            <w:tcW w:w="2324" w:type="dxa"/>
            <w:textDirection w:val="lrTb"/>
            <w:noWrap w:val="false"/>
          </w:tcPr>
          <w:p>
            <w:pPr>
              <w:jc w:val="center"/>
              <w:spacing w:before="156" w:line="360" w:lineRule="auto"/>
              <w:rPr>
                <w:rFonts w:ascii="仿宋_GB2312" w:hAnsi="宋体" w:eastAsia="仿宋_GB2312"/>
                <w:szCs w:val="21"/>
              </w:rPr>
            </w:pPr>
            <w:r>
              <w:rPr>
                <w:rFonts w:ascii="仿宋_GB2312" w:hAnsi="宋体" w:eastAsia="仿宋_GB2312"/>
                <w:szCs w:val="21"/>
              </w:rPr>
            </w:r>
            <w:r/>
          </w:p>
        </w:tc>
      </w:tr>
    </w:tbl>
    <w:p>
      <w:pPr>
        <w:spacing w:line="360" w:lineRule="auto"/>
        <w:rPr>
          <w:rFonts w:ascii="仿宋_GB2312" w:hAnsi="Arial"/>
          <w:sz w:val="30"/>
        </w:rPr>
      </w:pPr>
      <w:r>
        <w:rPr>
          <w:rFonts w:ascii="仿宋_GB2312" w:hAnsi="Arial"/>
          <w:sz w:val="30"/>
        </w:rPr>
      </w:r>
      <w:r/>
    </w:p>
    <w:p>
      <w:pPr>
        <w:pStyle w:val="1022"/>
        <w:ind w:firstLine="480"/>
        <w:spacing w:line="360" w:lineRule="auto"/>
        <w:rPr>
          <w:rFonts w:ascii="宋体" w:hAnsi="宋体"/>
          <w:sz w:val="24"/>
        </w:rPr>
      </w:pPr>
      <w:r/>
      <w:bookmarkStart w:id="64" w:name="_Hlt26609389"/>
      <w:r/>
      <w:bookmarkEnd w:id="64"/>
      <w:r/>
      <w:bookmarkStart w:id="65" w:name="_Hlt26955066"/>
      <w:r/>
      <w:bookmarkEnd w:id="65"/>
      <w:r/>
      <w:bookmarkStart w:id="66" w:name="_Hlt26671374"/>
      <w:r/>
      <w:bookmarkEnd w:id="66"/>
      <w:r/>
      <w:bookmarkStart w:id="67" w:name="_Toc462564146"/>
      <w:r/>
      <w:r/>
    </w:p>
    <w:p>
      <w:pPr>
        <w:pStyle w:val="1022"/>
        <w:ind w:firstLine="480"/>
        <w:spacing w:line="360" w:lineRule="auto"/>
        <w:rPr>
          <w:rFonts w:ascii="宋体" w:hAnsi="宋体"/>
          <w:sz w:val="24"/>
        </w:rPr>
      </w:pPr>
      <w:r>
        <w:rPr>
          <w:rFonts w:ascii="宋体" w:hAnsi="宋体"/>
          <w:sz w:val="24"/>
        </w:rPr>
      </w:r>
      <w:r/>
    </w:p>
    <w:p>
      <w:pPr>
        <w:pStyle w:val="1022"/>
        <w:ind w:firstLine="480"/>
        <w:spacing w:line="360" w:lineRule="auto"/>
        <w:rPr>
          <w:rFonts w:ascii="宋体" w:hAnsi="宋体"/>
          <w:sz w:val="24"/>
        </w:rPr>
      </w:pPr>
      <w:r>
        <w:rPr>
          <w:rFonts w:ascii="宋体" w:hAnsi="宋体"/>
          <w:sz w:val="24"/>
        </w:rPr>
      </w:r>
      <w:r/>
    </w:p>
    <w:p>
      <w:pPr>
        <w:pStyle w:val="1022"/>
        <w:ind w:firstLine="480"/>
        <w:spacing w:line="360" w:lineRule="auto"/>
        <w:rPr>
          <w:rFonts w:ascii="宋体" w:hAnsi="宋体"/>
          <w:sz w:val="24"/>
        </w:rPr>
      </w:pPr>
      <w:r>
        <w:rPr>
          <w:rFonts w:ascii="宋体" w:hAnsi="宋体"/>
          <w:sz w:val="24"/>
        </w:rPr>
      </w:r>
      <w:r/>
    </w:p>
    <w:p>
      <w:pPr>
        <w:pStyle w:val="1022"/>
        <w:ind w:firstLine="480"/>
        <w:spacing w:line="360" w:lineRule="auto"/>
        <w:rPr>
          <w:rFonts w:ascii="宋体" w:hAnsi="宋体"/>
          <w:sz w:val="24"/>
        </w:rPr>
      </w:pPr>
      <w:r>
        <w:rPr>
          <w:rFonts w:hint="eastAsia" w:ascii="宋体" w:hAnsi="宋体"/>
          <w:sz w:val="24"/>
        </w:rPr>
        <w:t xml:space="preserve">.</w:t>
      </w:r>
      <w:r/>
    </w:p>
    <w:p>
      <w:pPr>
        <w:pStyle w:val="1022"/>
        <w:ind w:firstLine="480"/>
        <w:spacing w:line="360" w:lineRule="auto"/>
        <w:rPr>
          <w:rFonts w:ascii="宋体" w:hAnsi="宋体"/>
          <w:sz w:val="24"/>
        </w:rPr>
      </w:pPr>
      <w:r>
        <w:rPr>
          <w:rFonts w:ascii="宋体" w:hAnsi="宋体"/>
          <w:sz w:val="24"/>
        </w:rPr>
      </w:r>
      <w:r/>
    </w:p>
    <w:p>
      <w:pPr>
        <w:pStyle w:val="1022"/>
        <w:ind w:firstLine="480"/>
        <w:spacing w:line="360" w:lineRule="auto"/>
        <w:rPr>
          <w:rFonts w:ascii="宋体" w:hAnsi="宋体"/>
          <w:sz w:val="24"/>
        </w:rPr>
      </w:pPr>
      <w:r>
        <w:rPr>
          <w:rFonts w:ascii="宋体" w:hAnsi="宋体"/>
          <w:sz w:val="24"/>
        </w:rPr>
      </w:r>
      <w:r/>
    </w:p>
    <w:p>
      <w:pPr>
        <w:pStyle w:val="1022"/>
        <w:ind w:firstLine="480"/>
        <w:spacing w:line="360" w:lineRule="auto"/>
        <w:rPr>
          <w:rFonts w:ascii="宋体" w:hAnsi="宋体"/>
          <w:sz w:val="24"/>
        </w:rPr>
      </w:pPr>
      <w:r>
        <w:rPr>
          <w:rFonts w:ascii="宋体" w:hAnsi="宋体"/>
          <w:sz w:val="24"/>
        </w:rPr>
      </w:r>
      <w:r/>
    </w:p>
    <w:p>
      <w:pPr>
        <w:pStyle w:val="1022"/>
        <w:ind w:firstLine="480"/>
        <w:spacing w:line="360" w:lineRule="auto"/>
        <w:rPr>
          <w:rFonts w:ascii="宋体" w:hAnsi="宋体"/>
          <w:sz w:val="24"/>
        </w:rPr>
      </w:pPr>
      <w:r>
        <w:rPr>
          <w:rFonts w:ascii="宋体" w:hAnsi="宋体"/>
          <w:sz w:val="24"/>
        </w:rPr>
      </w:r>
      <w:r/>
    </w:p>
    <w:p>
      <w:pPr>
        <w:pStyle w:val="1022"/>
        <w:ind w:firstLine="480"/>
        <w:spacing w:line="360" w:lineRule="auto"/>
        <w:rPr>
          <w:rFonts w:ascii="宋体" w:hAnsi="宋体"/>
          <w:sz w:val="24"/>
        </w:rPr>
      </w:pPr>
      <w:r>
        <w:rPr>
          <w:rFonts w:ascii="宋体" w:hAnsi="宋体"/>
          <w:sz w:val="24"/>
        </w:rPr>
      </w:r>
      <w:r/>
    </w:p>
    <w:p>
      <w:pPr>
        <w:pStyle w:val="1022"/>
        <w:ind w:firstLine="480"/>
        <w:spacing w:line="360" w:lineRule="auto"/>
        <w:rPr>
          <w:rFonts w:ascii="宋体" w:hAnsi="宋体"/>
          <w:sz w:val="24"/>
        </w:rPr>
      </w:pPr>
      <w:r>
        <w:rPr>
          <w:rFonts w:ascii="宋体" w:hAnsi="宋体"/>
          <w:sz w:val="24"/>
        </w:rPr>
      </w:r>
      <w:r/>
    </w:p>
    <w:p>
      <w:pPr>
        <w:pStyle w:val="1022"/>
        <w:ind w:firstLine="480"/>
        <w:spacing w:line="360" w:lineRule="auto"/>
        <w:rPr>
          <w:rFonts w:ascii="宋体" w:hAnsi="宋体"/>
          <w:sz w:val="24"/>
        </w:rPr>
      </w:pPr>
      <w:r>
        <w:rPr>
          <w:rFonts w:ascii="宋体" w:hAnsi="宋体"/>
          <w:sz w:val="24"/>
        </w:rPr>
      </w:r>
      <w:r/>
    </w:p>
    <w:p>
      <w:pPr>
        <w:pStyle w:val="1022"/>
        <w:ind w:firstLine="480"/>
        <w:spacing w:line="360" w:lineRule="auto"/>
        <w:rPr>
          <w:rFonts w:ascii="宋体" w:hAnsi="宋体"/>
          <w:sz w:val="24"/>
        </w:rPr>
      </w:pPr>
      <w:r>
        <w:rPr>
          <w:rFonts w:ascii="宋体" w:hAnsi="宋体"/>
          <w:sz w:val="24"/>
        </w:rPr>
      </w:r>
      <w:r/>
    </w:p>
    <w:p>
      <w:pPr>
        <w:pStyle w:val="1022"/>
        <w:ind w:firstLine="480"/>
        <w:spacing w:line="360" w:lineRule="auto"/>
        <w:rPr>
          <w:rFonts w:ascii="宋体" w:hAnsi="宋体"/>
          <w:sz w:val="24"/>
        </w:rPr>
      </w:pPr>
      <w:r>
        <w:rPr>
          <w:rFonts w:ascii="宋体" w:hAnsi="宋体"/>
          <w:sz w:val="24"/>
        </w:rPr>
      </w:r>
      <w:r/>
    </w:p>
    <w:p>
      <w:pPr>
        <w:pStyle w:val="1022"/>
        <w:ind w:firstLine="480"/>
        <w:spacing w:line="360" w:lineRule="auto"/>
        <w:rPr>
          <w:rFonts w:ascii="宋体" w:hAnsi="宋体"/>
          <w:sz w:val="24"/>
        </w:rPr>
      </w:pPr>
      <w:r>
        <w:rPr>
          <w:rFonts w:ascii="宋体" w:hAnsi="宋体"/>
          <w:sz w:val="24"/>
        </w:rPr>
      </w:r>
      <w:r/>
    </w:p>
    <w:p>
      <w:pPr>
        <w:pStyle w:val="1022"/>
        <w:ind w:firstLine="480"/>
        <w:spacing w:line="360" w:lineRule="auto"/>
        <w:rPr>
          <w:rFonts w:ascii="宋体" w:hAnsi="宋体"/>
          <w:sz w:val="24"/>
        </w:rPr>
      </w:pPr>
      <w:r>
        <w:rPr>
          <w:rFonts w:ascii="宋体" w:hAnsi="宋体"/>
          <w:sz w:val="24"/>
        </w:rPr>
      </w:r>
      <w:r/>
    </w:p>
    <w:p>
      <w:pPr>
        <w:pStyle w:val="1022"/>
        <w:ind w:firstLine="480"/>
        <w:spacing w:line="360" w:lineRule="auto"/>
        <w:rPr>
          <w:rFonts w:ascii="宋体" w:hAnsi="宋体"/>
          <w:sz w:val="24"/>
        </w:rPr>
      </w:pPr>
      <w:r>
        <w:rPr>
          <w:rFonts w:ascii="宋体" w:hAnsi="宋体"/>
          <w:sz w:val="24"/>
        </w:rPr>
      </w:r>
      <w:r/>
    </w:p>
    <w:p>
      <w:pPr>
        <w:pStyle w:val="1022"/>
        <w:ind w:firstLine="480"/>
        <w:spacing w:line="360" w:lineRule="auto"/>
        <w:rPr>
          <w:rFonts w:ascii="宋体" w:hAnsi="宋体"/>
          <w:sz w:val="24"/>
        </w:rPr>
      </w:pPr>
      <w:r>
        <w:rPr>
          <w:rFonts w:ascii="宋体" w:hAnsi="宋体"/>
          <w:sz w:val="24"/>
        </w:rPr>
      </w:r>
      <w:r/>
    </w:p>
    <w:p>
      <w:pPr>
        <w:pStyle w:val="1022"/>
        <w:ind w:firstLine="480"/>
        <w:spacing w:line="360" w:lineRule="auto"/>
        <w:rPr>
          <w:rFonts w:ascii="宋体" w:hAnsi="宋体"/>
          <w:sz w:val="24"/>
        </w:rPr>
      </w:pPr>
      <w:r>
        <w:rPr>
          <w:rFonts w:ascii="宋体" w:hAnsi="宋体"/>
          <w:sz w:val="24"/>
        </w:rPr>
      </w:r>
      <w:r/>
    </w:p>
    <w:p>
      <w:pPr>
        <w:pStyle w:val="1022"/>
        <w:ind w:firstLine="480"/>
        <w:spacing w:line="360" w:lineRule="auto"/>
        <w:rPr>
          <w:rFonts w:ascii="宋体" w:hAnsi="宋体"/>
          <w:sz w:val="24"/>
        </w:rPr>
      </w:pPr>
      <w:r>
        <w:rPr>
          <w:rFonts w:ascii="宋体" w:hAnsi="宋体"/>
          <w:sz w:val="24"/>
        </w:rPr>
      </w:r>
      <w:bookmarkEnd w:id="67"/>
      <w:r/>
      <w:r/>
    </w:p>
    <w:p>
      <w:pPr>
        <w:spacing w:line="360" w:lineRule="auto"/>
        <w:rPr>
          <w:rFonts w:ascii="宋体" w:hAnsi="宋体"/>
          <w:b/>
          <w:sz w:val="28"/>
          <w:szCs w:val="28"/>
        </w:rPr>
      </w:pPr>
      <w:r/>
      <w:bookmarkStart w:id="68" w:name="_格式2__法定代表人授权书"/>
      <w:r/>
      <w:bookmarkEnd w:id="68"/>
      <w:r>
        <w:rPr>
          <w:rFonts w:ascii="宋体" w:hAnsi="宋体"/>
          <w:b/>
        </w:rPr>
        <w:br w:type="page" w:clear="all"/>
      </w:r>
      <w:r/>
    </w:p>
    <w:p>
      <w:pPr>
        <w:jc w:val="center"/>
        <w:spacing w:line="360" w:lineRule="auto"/>
        <w:widowControl/>
        <w:rPr>
          <w:rFonts w:ascii="宋体" w:hAnsi="宋体"/>
          <w:b/>
        </w:rPr>
      </w:pPr>
      <w:r>
        <w:rPr>
          <w:rFonts w:hint="eastAsia" w:ascii="宋体" w:hAnsi="宋体"/>
          <w:b/>
          <w:sz w:val="28"/>
          <w:szCs w:val="28"/>
        </w:rPr>
        <w:t xml:space="preserve">主要标的信息（中标后将公示）</w:t>
      </w:r>
      <w:r/>
    </w:p>
    <w:p>
      <w:pPr>
        <w:spacing w:after="312" w:line="360" w:lineRule="auto"/>
        <w:rPr>
          <w:rFonts w:ascii="宋体" w:hAnsi="宋体"/>
          <w:b/>
        </w:rPr>
      </w:pPr>
      <w:r>
        <w:rPr>
          <w:rFonts w:hint="eastAsia" w:ascii="宋体" w:hAnsi="宋体"/>
        </w:rPr>
        <w:t xml:space="preserve">投标人全称：</w:t>
      </w:r>
      <w:r/>
    </w:p>
    <w:tbl>
      <w:tblPr>
        <w:tblStyle w:val="827"/>
        <w:tblW w:w="416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02"/>
      </w:tblGrid>
      <w:tr>
        <w:trPr>
          <w:jc w:val="center"/>
        </w:trPr>
        <w:tc>
          <w:tcPr>
            <w:tcW w:w="5000" w:type="pct"/>
            <w:textDirection w:val="lrTb"/>
            <w:noWrap w:val="false"/>
          </w:tcPr>
          <w:p>
            <w:pPr>
              <w:jc w:val="center"/>
              <w:spacing w:line="360" w:lineRule="auto"/>
              <w:rPr>
                <w:rFonts w:ascii="宋体" w:hAnsi="宋体" w:cs="宋体"/>
              </w:rPr>
            </w:pPr>
            <w:r>
              <w:rPr>
                <w:rFonts w:hint="eastAsia" w:ascii="宋体" w:hAnsi="宋体" w:cs="宋体"/>
              </w:rPr>
              <w:t xml:space="preserve">货物类</w:t>
            </w:r>
            <w:r/>
          </w:p>
        </w:tc>
      </w:tr>
      <w:tr>
        <w:trPr>
          <w:jc w:val="center"/>
          <w:trHeight w:val="2037"/>
        </w:trPr>
        <w:tc>
          <w:tcPr>
            <w:tcW w:w="5000" w:type="pct"/>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r>
    </w:tbl>
    <w:p>
      <w:pPr>
        <w:rPr>
          <w:rFonts w:ascii="宋体" w:hAnsi="宋体"/>
        </w:rPr>
      </w:pPr>
      <w:r>
        <w:rPr>
          <w:rFonts w:ascii="宋体" w:hAnsi="宋体"/>
        </w:rPr>
      </w:r>
      <w:r/>
    </w:p>
    <w:sectPr>
      <w:headerReference w:type="default"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等线">
    <w:panose1 w:val="02010600030101010101"/>
  </w:font>
  <w:font w:name="仿宋">
    <w:panose1 w:val="02010609060101010101"/>
  </w:font>
  <w:font w:name="方正仿宋_GBK">
    <w:panose1 w:val="020B0503020202020204"/>
  </w:font>
  <w:font w:name="MS Mincho">
    <w:panose1 w:val="02020603050405090304"/>
  </w:font>
  <w:font w:name="Segoe UI Symbol">
    <w:panose1 w:val="020B0502040204020203"/>
  </w:font>
  <w:font w:name="Symbol">
    <w:panose1 w:val="05050102010706020507"/>
  </w:font>
  <w:font w:name="华文楷体">
    <w:panose1 w:val="02010600040101010101"/>
  </w:font>
  <w:font w:name="Wingdings">
    <w:panose1 w:val="05000000000000000000"/>
  </w:font>
  <w:font w:name="Cambria">
    <w:panose1 w:val="02040503050406030204"/>
  </w:font>
  <w:font w:name="仿宋_GB2312">
    <w:panose1 w:val="02010609060101010101"/>
  </w:font>
  <w:font w:name="华文中宋">
    <w:panose1 w:val="02010600040101010101"/>
  </w:font>
  <w:font w:name="幼圆">
    <w:panose1 w:val="02010509060101010101"/>
  </w:font>
  <w:font w:name="黑体">
    <w:panose1 w:val="02010609060101010101"/>
  </w:font>
  <w:font w:name="Courier New">
    <w:panose1 w:val="02070309020205020404"/>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tabs>
        <w:tab w:val="clear" w:pos="7143"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0"/>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17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0"/>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rPr>
                        <w:lang w:val="zh-CN"/>
                      </w:rPr>
                      <w:t xml:space="preserve">17</w:t>
                    </w:r>
                    <w:r>
                      <w:fldChar w:fldCharType="end"/>
                    </w:r>
                    <w:r/>
                  </w:p>
                </w:txbxContent>
              </v:textbox>
            </v:shape>
          </w:pict>
        </mc:Fallback>
      </mc:AlternateContent>
    </w:r>
    <w:r/>
  </w:p>
  <w:p>
    <w:pPr>
      <w:pStyle w:val="840"/>
      <w:tabs>
        <w:tab w:val="clear" w:pos="7143"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4"/>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41</w:t>
                          </w:r>
                          <w:r>
                            <w:rPr>
                              <w:lang w:val="zh-C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4"/>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41</w:t>
                    </w:r>
                    <w:r>
                      <w:rPr>
                        <w:lang w:val="zh-CN"/>
                      </w:rPr>
                      <w:fldChar w:fldCharType="end"/>
                    </w:r>
                    <w:r/>
                  </w:p>
                  <w:p>
                    <w:r/>
                    <w:r/>
                  </w:p>
                </w:txbxContent>
              </v:textbox>
            </v:shape>
          </w:pict>
        </mc:Fallback>
      </mc:AlternateContent>
    </w:r>
    <w:r/>
  </w:p>
  <w:p>
    <w:pPr>
      <w:pStyle w:val="103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rPr>
        <w:szCs w:val="21"/>
      </w:rPr>
      <w:pBdr>
        <w:bottom w:val="single" w:color="auto" w:sz="4" w:space="0"/>
      </w:pBdr>
    </w:pPr>
    <w:r>
      <w:rPr>
        <w:rFonts w:hint="eastAsia" w:ascii="宋体" w:hAnsi="宋体"/>
        <w:b/>
        <w:bCs/>
        <w:szCs w:val="21"/>
      </w:rPr>
      <w:t xml:space="preserve">JSZC-320000-JJJC-G2026-0014                                   江苏嘉加诚工程投资咨询有限公司</w:t>
    </w:r>
    <w:r/>
  </w:p>
  <w:p>
    <w:pPr>
      <w:pStyle w:val="84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Bdr>
        <w:bottom w:val="single" w:color="auto" w:sz="4" w:space="0"/>
      </w:pBdr>
    </w:pPr>
    <w:r>
      <w:rPr>
        <w:rFonts w:hint="eastAsia" w:ascii="宋体" w:hAnsi="宋体"/>
        <w:b/>
        <w:bCs/>
        <w:szCs w:val="21"/>
      </w:rPr>
      <w:t xml:space="preserve">JSZC-320000-JJJC-G2026-0014                                   江苏嘉加诚工程投资咨询有限公司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rPr>
        <w:szCs w:val="21"/>
      </w:rPr>
      <w:pBdr>
        <w:bottom w:val="single" w:color="auto" w:sz="4" w:space="0"/>
      </w:pBdr>
    </w:pPr>
    <w:r>
      <w:rPr>
        <w:rFonts w:hint="eastAsia" w:ascii="宋体" w:hAnsi="宋体"/>
        <w:b/>
        <w:bCs/>
        <w:szCs w:val="21"/>
      </w:rPr>
      <w:t xml:space="preserve">JSZC-320000-JJJC-G2026-0014                                   江苏嘉加诚工程投资咨询有限公司</w:t>
    </w:r>
    <w:r/>
  </w:p>
  <w:p>
    <w:pPr>
      <w:pStyle w:val="84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064"/>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3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834"/>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tab"/>
      <w:lvlText w:val="（%1）"/>
      <w:lvlJc w:val="left"/>
      <w:pPr>
        <w:ind w:left="275"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8">
    <w:multiLevelType w:val="hybridMultilevel"/>
    <w:lvl w:ilvl="0">
      <w:start w:val="10"/>
      <w:numFmt w:val="decimal"/>
      <w:isLgl w:val="false"/>
      <w:suff w:val="tab"/>
      <w:lvlText w:val="（%1）"/>
      <w:lvlJc w:val="left"/>
      <w:pPr>
        <w:ind w:left="840" w:firstLine="0"/>
      </w:pPr>
    </w:lvl>
    <w:lvl w:ilvl="1">
      <w:start w:val="1"/>
      <w:numFmt w:val="bullet"/>
      <w:isLgl w:val="false"/>
      <w:suff w:val="tab"/>
      <w:lvlText w:val="&quot;&quot;o&quot;&quot;"/>
      <w:lvlJc w:val="left"/>
      <w:pPr>
        <w:ind w:left="1440" w:hanging="360"/>
      </w:pPr>
      <w:rPr>
        <w:rFonts w:hint="default" w:ascii="Courier New" w:hAnsi="Courier New" w:eastAsia="Courier New" w:cs="Courier New"/>
      </w:rPr>
    </w:lvl>
    <w:lvl w:ilvl="2">
      <w:start w:val="1"/>
      <w:numFmt w:val="bullet"/>
      <w:isLgl w:val="false"/>
      <w:suff w:val="tab"/>
      <w:lvlText w:val="&quot;&quot;§&quot;&quot;"/>
      <w:lvlJc w:val="left"/>
      <w:pPr>
        <w:ind w:left="2160" w:hanging="360"/>
      </w:pPr>
      <w:rPr>
        <w:rFonts w:hint="default" w:ascii="Wingdings" w:hAnsi="Wingdings" w:eastAsia="Wingdings" w:cs="Wingdings"/>
      </w:rPr>
    </w:lvl>
    <w:lvl w:ilvl="3">
      <w:start w:val="1"/>
      <w:numFmt w:val="bullet"/>
      <w:isLgl w:val="false"/>
      <w:suff w:val="tab"/>
      <w:lvlText w:val="&quot;&quot;·&quot;&quot;"/>
      <w:lvlJc w:val="left"/>
      <w:pPr>
        <w:ind w:left="2880" w:hanging="360"/>
      </w:pPr>
      <w:rPr>
        <w:rFonts w:hint="default" w:ascii="Symbol" w:hAnsi="Symbol" w:eastAsia="Symbol" w:cs="Symbol"/>
      </w:rPr>
    </w:lvl>
    <w:lvl w:ilvl="4">
      <w:start w:val="1"/>
      <w:numFmt w:val="bullet"/>
      <w:isLgl w:val="false"/>
      <w:suff w:val="tab"/>
      <w:lvlText w:val="&quot;&quot;o&quot;&quot;"/>
      <w:lvlJc w:val="left"/>
      <w:pPr>
        <w:ind w:left="3600" w:hanging="360"/>
      </w:pPr>
      <w:rPr>
        <w:rFonts w:hint="default" w:ascii="Courier New" w:hAnsi="Courier New" w:eastAsia="Courier New" w:cs="Courier New"/>
      </w:rPr>
    </w:lvl>
    <w:lvl w:ilvl="5">
      <w:start w:val="1"/>
      <w:numFmt w:val="bullet"/>
      <w:isLgl w:val="false"/>
      <w:suff w:val="tab"/>
      <w:lvlText w:val="&quot;&quot;§&quot;&quot;"/>
      <w:lvlJc w:val="left"/>
      <w:pPr>
        <w:ind w:left="4320" w:hanging="360"/>
      </w:pPr>
      <w:rPr>
        <w:rFonts w:hint="default" w:ascii="Wingdings" w:hAnsi="Wingdings" w:eastAsia="Wingdings" w:cs="Wingdings"/>
      </w:rPr>
    </w:lvl>
    <w:lvl w:ilvl="6">
      <w:start w:val="1"/>
      <w:numFmt w:val="bullet"/>
      <w:isLgl w:val="false"/>
      <w:suff w:val="tab"/>
      <w:lvlText w:val="&quot;&quot;·&quot;&quot;"/>
      <w:lvlJc w:val="left"/>
      <w:pPr>
        <w:ind w:left="5040" w:hanging="360"/>
      </w:pPr>
      <w:rPr>
        <w:rFonts w:hint="default" w:ascii="Symbol" w:hAnsi="Symbol" w:eastAsia="Symbol" w:cs="Symbol"/>
      </w:rPr>
    </w:lvl>
    <w:lvl w:ilvl="7">
      <w:start w:val="1"/>
      <w:numFmt w:val="bullet"/>
      <w:isLgl w:val="false"/>
      <w:suff w:val="tab"/>
      <w:lvlText w:val="&quot;&quot;o&quot;&quot;"/>
      <w:lvlJc w:val="left"/>
      <w:pPr>
        <w:ind w:left="5760" w:hanging="360"/>
      </w:pPr>
      <w:rPr>
        <w:rFonts w:hint="default" w:ascii="Courier New" w:hAnsi="Courier New" w:eastAsia="Courier New" w:cs="Courier New"/>
      </w:rPr>
    </w:lvl>
    <w:lvl w:ilvl="8">
      <w:start w:val="1"/>
      <w:numFmt w:val="bullet"/>
      <w:isLgl w:val="false"/>
      <w:suff w:val="tab"/>
      <w:lvlText w:val="&quot;&quot;§&quot;&quot;"/>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quot;o&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
      <w:lvlJc w:val="left"/>
      <w:pPr>
        <w:ind w:left="2880" w:hanging="360"/>
      </w:pPr>
      <w:rPr>
        <w:rFonts w:hint="default" w:ascii="Symbol" w:hAnsi="Symbol" w:eastAsia="Symbol" w:cs="Symbol"/>
      </w:rPr>
    </w:lvl>
    <w:lvl w:ilvl="4">
      <w:start w:val="1"/>
      <w:numFmt w:val="bullet"/>
      <w:isLgl w:val="false"/>
      <w:suff w:val="tab"/>
      <w:lvlText w:val="&quot;&quot;&quot;&quot;o&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
      <w:lvlJc w:val="left"/>
      <w:pPr>
        <w:ind w:left="5040" w:hanging="360"/>
      </w:pPr>
      <w:rPr>
        <w:rFonts w:hint="default" w:ascii="Symbol" w:hAnsi="Symbol" w:eastAsia="Symbol" w:cs="Symbol"/>
      </w:rPr>
    </w:lvl>
    <w:lvl w:ilvl="7">
      <w:start w:val="1"/>
      <w:numFmt w:val="bullet"/>
      <w:isLgl w:val="false"/>
      <w:suff w:val="tab"/>
      <w:lvlText w:val="&quot;&quot;&quot;&quot;o&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quot;&quot;&quot;o&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
      <w:lvlJc w:val="left"/>
      <w:pPr>
        <w:ind w:left="2880" w:hanging="360"/>
      </w:pPr>
      <w:rPr>
        <w:rFonts w:hint="default" w:ascii="Symbol" w:hAnsi="Symbol" w:eastAsia="Symbol" w:cs="Symbol"/>
      </w:rPr>
    </w:lvl>
    <w:lvl w:ilvl="4">
      <w:start w:val="1"/>
      <w:numFmt w:val="bullet"/>
      <w:isLgl w:val="false"/>
      <w:suff w:val="tab"/>
      <w:lvlText w:val="&quot;&quot;&quot;o&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
      <w:lvlJc w:val="left"/>
      <w:pPr>
        <w:ind w:left="5040" w:hanging="360"/>
      </w:pPr>
      <w:rPr>
        <w:rFonts w:hint="default" w:ascii="Symbol" w:hAnsi="Symbol" w:eastAsia="Symbol" w:cs="Symbol"/>
      </w:rPr>
    </w:lvl>
    <w:lvl w:ilvl="7">
      <w:start w:val="1"/>
      <w:numFmt w:val="bullet"/>
      <w:isLgl w:val="false"/>
      <w:suff w:val="tab"/>
      <w:lvlText w:val="&quot;&quot;&quot;o&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12"/>
  </w:num>
  <w:num w:numId="5">
    <w:abstractNumId w:val="7"/>
  </w:num>
  <w:num w:numId="6">
    <w:abstractNumId w:val="8"/>
  </w:num>
  <w:num w:numId="7">
    <w:abstractNumId w:val="9"/>
  </w:num>
  <w:num w:numId="8">
    <w:abstractNumId w:val="5"/>
  </w:num>
  <w:num w:numId="9">
    <w:abstractNumId w:val="10"/>
  </w:num>
  <w:num w:numId="10">
    <w:abstractNumId w:val="6"/>
  </w:num>
  <w:num w:numId="11">
    <w:abstractNumId w:val="4"/>
  </w:num>
  <w:num w:numId="12">
    <w:abstractNumId w:val="1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79">
    <w:name w:val="Heading 1 Char"/>
    <w:basedOn w:val="826"/>
    <w:link w:val="817"/>
    <w:uiPriority w:val="9"/>
    <w:rPr>
      <w:rFonts w:ascii="Arial" w:hAnsi="Arial" w:eastAsia="Arial" w:cs="Arial"/>
      <w:sz w:val="40"/>
      <w:szCs w:val="40"/>
    </w:rPr>
  </w:style>
  <w:style w:type="character" w:styleId="780">
    <w:name w:val="Heading 2 Char"/>
    <w:basedOn w:val="826"/>
    <w:link w:val="818"/>
    <w:uiPriority w:val="9"/>
    <w:rPr>
      <w:rFonts w:ascii="Arial" w:hAnsi="Arial" w:eastAsia="Arial" w:cs="Arial"/>
      <w:sz w:val="34"/>
    </w:rPr>
  </w:style>
  <w:style w:type="character" w:styleId="781">
    <w:name w:val="Heading 3 Char"/>
    <w:basedOn w:val="826"/>
    <w:link w:val="819"/>
    <w:uiPriority w:val="9"/>
    <w:rPr>
      <w:rFonts w:ascii="Arial" w:hAnsi="Arial" w:eastAsia="Arial" w:cs="Arial"/>
      <w:sz w:val="30"/>
      <w:szCs w:val="30"/>
    </w:rPr>
  </w:style>
  <w:style w:type="character" w:styleId="782">
    <w:name w:val="Heading 4 Char"/>
    <w:basedOn w:val="826"/>
    <w:link w:val="820"/>
    <w:uiPriority w:val="9"/>
    <w:rPr>
      <w:rFonts w:ascii="Arial" w:hAnsi="Arial" w:eastAsia="Arial" w:cs="Arial"/>
      <w:b/>
      <w:bCs/>
      <w:sz w:val="26"/>
      <w:szCs w:val="26"/>
    </w:rPr>
  </w:style>
  <w:style w:type="character" w:styleId="783">
    <w:name w:val="Heading 5 Char"/>
    <w:basedOn w:val="826"/>
    <w:link w:val="821"/>
    <w:uiPriority w:val="9"/>
    <w:rPr>
      <w:rFonts w:ascii="Arial" w:hAnsi="Arial" w:eastAsia="Arial" w:cs="Arial"/>
      <w:b/>
      <w:bCs/>
      <w:sz w:val="24"/>
      <w:szCs w:val="24"/>
    </w:rPr>
  </w:style>
  <w:style w:type="character" w:styleId="784">
    <w:name w:val="Heading 6 Char"/>
    <w:basedOn w:val="826"/>
    <w:link w:val="822"/>
    <w:uiPriority w:val="9"/>
    <w:rPr>
      <w:rFonts w:ascii="Arial" w:hAnsi="Arial" w:eastAsia="Arial" w:cs="Arial"/>
      <w:b/>
      <w:bCs/>
      <w:sz w:val="22"/>
      <w:szCs w:val="22"/>
    </w:rPr>
  </w:style>
  <w:style w:type="character" w:styleId="785">
    <w:name w:val="Heading 7 Char"/>
    <w:basedOn w:val="826"/>
    <w:link w:val="823"/>
    <w:uiPriority w:val="9"/>
    <w:rPr>
      <w:rFonts w:ascii="Arial" w:hAnsi="Arial" w:eastAsia="Arial" w:cs="Arial"/>
      <w:b/>
      <w:bCs/>
      <w:i/>
      <w:iCs/>
      <w:sz w:val="22"/>
      <w:szCs w:val="22"/>
    </w:rPr>
  </w:style>
  <w:style w:type="character" w:styleId="786">
    <w:name w:val="Heading 8 Char"/>
    <w:basedOn w:val="826"/>
    <w:link w:val="824"/>
    <w:uiPriority w:val="9"/>
    <w:rPr>
      <w:rFonts w:ascii="Arial" w:hAnsi="Arial" w:eastAsia="Arial" w:cs="Arial"/>
      <w:i/>
      <w:iCs/>
      <w:sz w:val="22"/>
      <w:szCs w:val="22"/>
    </w:rPr>
  </w:style>
  <w:style w:type="character" w:styleId="787">
    <w:name w:val="Heading 9 Char"/>
    <w:basedOn w:val="826"/>
    <w:link w:val="825"/>
    <w:uiPriority w:val="9"/>
    <w:rPr>
      <w:rFonts w:ascii="Arial" w:hAnsi="Arial" w:eastAsia="Arial" w:cs="Arial"/>
      <w:i/>
      <w:iCs/>
      <w:sz w:val="21"/>
      <w:szCs w:val="21"/>
    </w:rPr>
  </w:style>
  <w:style w:type="character" w:styleId="788">
    <w:name w:val="Title Char"/>
    <w:basedOn w:val="826"/>
    <w:link w:val="852"/>
    <w:uiPriority w:val="10"/>
    <w:rPr>
      <w:sz w:val="48"/>
      <w:szCs w:val="48"/>
    </w:rPr>
  </w:style>
  <w:style w:type="character" w:styleId="789">
    <w:name w:val="Subtitle Char"/>
    <w:basedOn w:val="826"/>
    <w:link w:val="844"/>
    <w:uiPriority w:val="11"/>
    <w:rPr>
      <w:sz w:val="24"/>
      <w:szCs w:val="24"/>
    </w:rPr>
  </w:style>
  <w:style w:type="character" w:styleId="790">
    <w:name w:val="Quote Char"/>
    <w:link w:val="885"/>
    <w:uiPriority w:val="29"/>
    <w:rPr>
      <w:i/>
    </w:rPr>
  </w:style>
  <w:style w:type="character" w:styleId="791">
    <w:name w:val="Intense Quote Char"/>
    <w:link w:val="887"/>
    <w:uiPriority w:val="30"/>
    <w:rPr>
      <w:i/>
    </w:rPr>
  </w:style>
  <w:style w:type="character" w:styleId="792">
    <w:name w:val="Header Char"/>
    <w:basedOn w:val="826"/>
    <w:link w:val="841"/>
    <w:uiPriority w:val="99"/>
  </w:style>
  <w:style w:type="character" w:styleId="793">
    <w:name w:val="Caption Char"/>
    <w:basedOn w:val="830"/>
    <w:link w:val="840"/>
    <w:uiPriority w:val="99"/>
  </w:style>
  <w:style w:type="table" w:styleId="794">
    <w:name w:val="Plain Table 1"/>
    <w:basedOn w:val="8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2"/>
    <w:basedOn w:val="8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3"/>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name w:val="Plain Table 4"/>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name w:val="Plain Table 5"/>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9">
    <w:name w:val="Grid Table 1 Light"/>
    <w:basedOn w:val="8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0">
    <w:name w:val="Grid Table 2"/>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1">
    <w:name w:val="Grid Table 3"/>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4"/>
    <w:basedOn w:val="8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name w:val="Grid Table 5 Dark"/>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4">
    <w:name w:val="Grid Table 6 Colorful"/>
    <w:basedOn w:val="8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5">
    <w:name w:val="Grid Table 7 Colorful"/>
    <w:basedOn w:val="8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6">
    <w:name w:val="List Table 1 Light"/>
    <w:basedOn w:val="8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name w:val="List Table 2"/>
    <w:basedOn w:val="8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8">
    <w:name w:val="List Table 3"/>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5 Dark"/>
    <w:basedOn w:val="8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7 Colorful"/>
    <w:basedOn w:val="8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3">
    <w:name w:val="Footnote Text Char"/>
    <w:link w:val="845"/>
    <w:uiPriority w:val="99"/>
    <w:rPr>
      <w:sz w:val="18"/>
    </w:rPr>
  </w:style>
  <w:style w:type="character" w:styleId="814">
    <w:name w:val="Endnote Text Char"/>
    <w:link w:val="839"/>
    <w:uiPriority w:val="99"/>
    <w:rPr>
      <w:sz w:val="20"/>
    </w:rPr>
  </w:style>
  <w:style w:type="paragraph" w:styleId="815">
    <w:name w:val="TOC Heading"/>
    <w:uiPriority w:val="39"/>
    <w:unhideWhenUsed/>
  </w:style>
  <w:style w:type="paragraph" w:styleId="816"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17">
    <w:name w:val="Heading 1"/>
    <w:basedOn w:val="816"/>
    <w:next w:val="816"/>
    <w:link w:val="872"/>
    <w:uiPriority w:val="9"/>
    <w:qFormat/>
    <w:pPr>
      <w:keepLines/>
      <w:keepNext/>
      <w:spacing w:before="480" w:after="200"/>
      <w:outlineLvl w:val="0"/>
    </w:pPr>
    <w:rPr>
      <w:rFonts w:ascii="Arial" w:hAnsi="Arial" w:eastAsia="Arial" w:cs="Arial"/>
      <w:sz w:val="40"/>
      <w:szCs w:val="40"/>
    </w:rPr>
  </w:style>
  <w:style w:type="paragraph" w:styleId="818">
    <w:name w:val="Heading 2"/>
    <w:basedOn w:val="816"/>
    <w:next w:val="828"/>
    <w:link w:val="873"/>
    <w:uiPriority w:val="9"/>
    <w:unhideWhenUsed/>
    <w:qFormat/>
    <w:pPr>
      <w:keepLines/>
      <w:keepNext/>
      <w:spacing w:before="360" w:after="200"/>
      <w:outlineLvl w:val="1"/>
    </w:pPr>
    <w:rPr>
      <w:rFonts w:ascii="Arial" w:hAnsi="Arial" w:eastAsia="Arial" w:cs="Arial"/>
      <w:sz w:val="34"/>
    </w:rPr>
  </w:style>
  <w:style w:type="paragraph" w:styleId="819">
    <w:name w:val="Heading 3"/>
    <w:basedOn w:val="816"/>
    <w:next w:val="816"/>
    <w:link w:val="874"/>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link w:val="875"/>
    <w:uiPriority w:val="9"/>
    <w:unhideWhenUsed/>
    <w:qFormat/>
    <w:pPr>
      <w:keepLines/>
      <w:keepNext/>
      <w:spacing w:before="320" w:after="200"/>
      <w:outlineLvl w:val="3"/>
    </w:pPr>
    <w:rPr>
      <w:rFonts w:ascii="Arial" w:hAnsi="Arial" w:eastAsia="Arial" w:cs="Arial"/>
      <w:b/>
      <w:bCs/>
      <w:sz w:val="26"/>
      <w:szCs w:val="26"/>
    </w:rPr>
  </w:style>
  <w:style w:type="paragraph" w:styleId="821">
    <w:name w:val="Heading 5"/>
    <w:basedOn w:val="816"/>
    <w:next w:val="816"/>
    <w:link w:val="876"/>
    <w:uiPriority w:val="9"/>
    <w:unhideWhenUsed/>
    <w:qFormat/>
    <w:pPr>
      <w:keepLines/>
      <w:keepNext/>
      <w:spacing w:before="320" w:after="200"/>
      <w:outlineLvl w:val="4"/>
    </w:pPr>
    <w:rPr>
      <w:rFonts w:ascii="Arial" w:hAnsi="Arial" w:eastAsia="Arial" w:cs="Arial"/>
      <w:b/>
      <w:bCs/>
      <w:sz w:val="24"/>
      <w:szCs w:val="24"/>
    </w:rPr>
  </w:style>
  <w:style w:type="paragraph" w:styleId="822">
    <w:name w:val="Heading 6"/>
    <w:basedOn w:val="816"/>
    <w:next w:val="816"/>
    <w:link w:val="877"/>
    <w:uiPriority w:val="9"/>
    <w:unhideWhenUsed/>
    <w:qFormat/>
    <w:pPr>
      <w:keepLines/>
      <w:keepNext/>
      <w:spacing w:before="320" w:after="200"/>
      <w:outlineLvl w:val="5"/>
    </w:pPr>
    <w:rPr>
      <w:rFonts w:ascii="Arial" w:hAnsi="Arial" w:eastAsia="Arial" w:cs="Arial"/>
      <w:b/>
      <w:bCs/>
      <w:sz w:val="22"/>
    </w:rPr>
  </w:style>
  <w:style w:type="paragraph" w:styleId="823">
    <w:name w:val="Heading 7"/>
    <w:basedOn w:val="816"/>
    <w:next w:val="816"/>
    <w:link w:val="878"/>
    <w:uiPriority w:val="9"/>
    <w:unhideWhenUsed/>
    <w:qFormat/>
    <w:pPr>
      <w:keepLines/>
      <w:keepNext/>
      <w:spacing w:before="320" w:after="200"/>
      <w:outlineLvl w:val="6"/>
    </w:pPr>
    <w:rPr>
      <w:rFonts w:ascii="Arial" w:hAnsi="Arial" w:eastAsia="Arial" w:cs="Arial"/>
      <w:b/>
      <w:bCs/>
      <w:i/>
      <w:iCs/>
      <w:sz w:val="22"/>
    </w:rPr>
  </w:style>
  <w:style w:type="paragraph" w:styleId="824">
    <w:name w:val="Heading 8"/>
    <w:basedOn w:val="816"/>
    <w:next w:val="816"/>
    <w:link w:val="879"/>
    <w:uiPriority w:val="9"/>
    <w:unhideWhenUsed/>
    <w:qFormat/>
    <w:pPr>
      <w:keepLines/>
      <w:keepNext/>
      <w:spacing w:before="320" w:after="200"/>
      <w:outlineLvl w:val="7"/>
    </w:pPr>
    <w:rPr>
      <w:rFonts w:ascii="Arial" w:hAnsi="Arial" w:eastAsia="Arial" w:cs="Arial"/>
      <w:i/>
      <w:iCs/>
      <w:sz w:val="22"/>
    </w:rPr>
  </w:style>
  <w:style w:type="paragraph" w:styleId="825">
    <w:name w:val="Heading 9"/>
    <w:basedOn w:val="816"/>
    <w:next w:val="816"/>
    <w:link w:val="880"/>
    <w:uiPriority w:val="9"/>
    <w:unhideWhenUsed/>
    <w:qFormat/>
    <w:pPr>
      <w:keepLines/>
      <w:keepNext/>
      <w:spacing w:before="320" w:after="200"/>
      <w:outlineLvl w:val="8"/>
    </w:pPr>
    <w:rPr>
      <w:rFonts w:ascii="Arial" w:hAnsi="Arial" w:eastAsia="Arial" w:cs="Arial"/>
      <w:i/>
      <w:iCs/>
      <w:szCs w:val="21"/>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Normal Indent"/>
    <w:basedOn w:val="816"/>
    <w:uiPriority w:val="0"/>
    <w:qFormat/>
    <w:pPr>
      <w:ind w:firstLine="420"/>
    </w:pPr>
    <w:rPr>
      <w:szCs w:val="21"/>
    </w:rPr>
  </w:style>
  <w:style w:type="paragraph" w:styleId="829">
    <w:name w:val="toc 7"/>
    <w:basedOn w:val="816"/>
    <w:next w:val="816"/>
    <w:uiPriority w:val="39"/>
    <w:unhideWhenUsed/>
    <w:qFormat/>
    <w:pPr>
      <w:ind w:left="1701"/>
      <w:spacing w:after="57"/>
    </w:pPr>
  </w:style>
  <w:style w:type="paragraph" w:styleId="830">
    <w:name w:val="Caption"/>
    <w:basedOn w:val="816"/>
    <w:next w:val="8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1">
    <w:name w:val="annotation text"/>
    <w:basedOn w:val="816"/>
    <w:uiPriority w:val="99"/>
    <w:semiHidden/>
    <w:unhideWhenUsed/>
    <w:qFormat/>
    <w:pPr>
      <w:jc w:val="left"/>
    </w:pPr>
  </w:style>
  <w:style w:type="paragraph" w:styleId="832">
    <w:name w:val="Body Text"/>
    <w:basedOn w:val="816"/>
    <w:next w:val="816"/>
    <w:uiPriority w:val="0"/>
    <w:qFormat/>
    <w:rPr>
      <w:rFonts w:ascii="楷体_GB2312" w:hAnsi="Arial" w:eastAsia="楷体_GB2312"/>
      <w:sz w:val="28"/>
      <w:szCs w:val="28"/>
    </w:rPr>
  </w:style>
  <w:style w:type="paragraph" w:styleId="833">
    <w:name w:val="Body Text Indent"/>
    <w:basedOn w:val="816"/>
    <w:uiPriority w:val="0"/>
    <w:qFormat/>
    <w:pPr>
      <w:ind w:firstLine="645"/>
    </w:pPr>
    <w:rPr>
      <w:rFonts w:ascii="楷体_GB2312" w:eastAsia="楷体_GB2312"/>
      <w:sz w:val="32"/>
      <w:szCs w:val="32"/>
    </w:rPr>
  </w:style>
  <w:style w:type="paragraph" w:styleId="834">
    <w:name w:val="List Bullet 2"/>
    <w:basedOn w:val="816"/>
    <w:uiPriority w:val="99"/>
    <w:semiHidden/>
    <w:unhideWhenUsed/>
    <w:qFormat/>
    <w:pPr>
      <w:numPr>
        <w:ilvl w:val="0"/>
        <w:numId w:val="1"/>
      </w:numPr>
    </w:pPr>
  </w:style>
  <w:style w:type="paragraph" w:styleId="835">
    <w:name w:val="toc 5"/>
    <w:basedOn w:val="816"/>
    <w:next w:val="816"/>
    <w:uiPriority w:val="39"/>
    <w:unhideWhenUsed/>
    <w:qFormat/>
    <w:pPr>
      <w:ind w:left="1134"/>
      <w:spacing w:after="57"/>
    </w:pPr>
  </w:style>
  <w:style w:type="paragraph" w:styleId="836">
    <w:name w:val="toc 3"/>
    <w:basedOn w:val="816"/>
    <w:next w:val="816"/>
    <w:uiPriority w:val="39"/>
    <w:unhideWhenUsed/>
    <w:qFormat/>
    <w:pPr>
      <w:ind w:left="567"/>
      <w:spacing w:after="57"/>
    </w:pPr>
  </w:style>
  <w:style w:type="paragraph" w:styleId="837">
    <w:name w:val="Plain Text"/>
    <w:basedOn w:val="816"/>
    <w:uiPriority w:val="99"/>
    <w:qFormat/>
    <w:rPr>
      <w:rFonts w:ascii="宋体" w:hAnsi="Courier New"/>
      <w:sz w:val="20"/>
      <w:szCs w:val="21"/>
    </w:rPr>
  </w:style>
  <w:style w:type="paragraph" w:styleId="838">
    <w:name w:val="toc 8"/>
    <w:basedOn w:val="816"/>
    <w:next w:val="816"/>
    <w:uiPriority w:val="39"/>
    <w:unhideWhenUsed/>
    <w:qFormat/>
    <w:pPr>
      <w:ind w:left="1984"/>
      <w:spacing w:after="57"/>
    </w:pPr>
  </w:style>
  <w:style w:type="paragraph" w:styleId="839">
    <w:name w:val="endnote text"/>
    <w:basedOn w:val="816"/>
    <w:link w:val="1018"/>
    <w:uiPriority w:val="99"/>
    <w:semiHidden/>
    <w:unhideWhenUsed/>
    <w:qFormat/>
    <w:rPr>
      <w:sz w:val="20"/>
    </w:rPr>
  </w:style>
  <w:style w:type="paragraph" w:styleId="840">
    <w:name w:val="Footer"/>
    <w:basedOn w:val="816"/>
    <w:link w:val="891"/>
    <w:uiPriority w:val="99"/>
    <w:unhideWhenUsed/>
    <w:qFormat/>
    <w:pPr>
      <w:tabs>
        <w:tab w:val="center" w:pos="7143" w:leader="none"/>
        <w:tab w:val="right" w:pos="14287" w:leader="none"/>
      </w:tabs>
    </w:pPr>
  </w:style>
  <w:style w:type="paragraph" w:styleId="841">
    <w:name w:val="Header"/>
    <w:basedOn w:val="816"/>
    <w:link w:val="889"/>
    <w:uiPriority w:val="99"/>
    <w:unhideWhenUsed/>
    <w:qFormat/>
    <w:pPr>
      <w:tabs>
        <w:tab w:val="center" w:pos="7143" w:leader="none"/>
        <w:tab w:val="right" w:pos="14287" w:leader="none"/>
      </w:tabs>
    </w:pPr>
  </w:style>
  <w:style w:type="paragraph" w:styleId="842">
    <w:name w:val="toc 1"/>
    <w:basedOn w:val="816"/>
    <w:next w:val="816"/>
    <w:uiPriority w:val="39"/>
    <w:unhideWhenUsed/>
    <w:qFormat/>
    <w:pPr>
      <w:spacing w:after="57"/>
    </w:pPr>
  </w:style>
  <w:style w:type="paragraph" w:styleId="843">
    <w:name w:val="toc 4"/>
    <w:basedOn w:val="816"/>
    <w:next w:val="816"/>
    <w:uiPriority w:val="39"/>
    <w:unhideWhenUsed/>
    <w:qFormat/>
    <w:pPr>
      <w:ind w:left="850"/>
      <w:spacing w:after="57"/>
    </w:pPr>
  </w:style>
  <w:style w:type="paragraph" w:styleId="844">
    <w:name w:val="Subtitle"/>
    <w:basedOn w:val="816"/>
    <w:next w:val="816"/>
    <w:link w:val="884"/>
    <w:uiPriority w:val="11"/>
    <w:qFormat/>
    <w:pPr>
      <w:spacing w:before="200" w:after="200"/>
    </w:pPr>
    <w:rPr>
      <w:sz w:val="24"/>
      <w:szCs w:val="24"/>
    </w:rPr>
  </w:style>
  <w:style w:type="paragraph" w:styleId="845">
    <w:name w:val="footnote text"/>
    <w:basedOn w:val="816"/>
    <w:link w:val="1017"/>
    <w:uiPriority w:val="99"/>
    <w:semiHidden/>
    <w:unhideWhenUsed/>
    <w:qFormat/>
    <w:pPr>
      <w:spacing w:after="40"/>
    </w:pPr>
    <w:rPr>
      <w:sz w:val="18"/>
    </w:rPr>
  </w:style>
  <w:style w:type="paragraph" w:styleId="846">
    <w:name w:val="toc 6"/>
    <w:basedOn w:val="816"/>
    <w:next w:val="816"/>
    <w:uiPriority w:val="39"/>
    <w:unhideWhenUsed/>
    <w:qFormat/>
    <w:pPr>
      <w:ind w:left="1417"/>
      <w:spacing w:after="57"/>
    </w:pPr>
  </w:style>
  <w:style w:type="paragraph" w:styleId="847">
    <w:name w:val="table of figures"/>
    <w:basedOn w:val="816"/>
    <w:next w:val="816"/>
    <w:uiPriority w:val="99"/>
    <w:unhideWhenUsed/>
    <w:qFormat/>
  </w:style>
  <w:style w:type="paragraph" w:styleId="848">
    <w:name w:val="toc 2"/>
    <w:basedOn w:val="816"/>
    <w:next w:val="816"/>
    <w:uiPriority w:val="39"/>
    <w:unhideWhenUsed/>
    <w:qFormat/>
    <w:pPr>
      <w:ind w:left="283"/>
      <w:spacing w:after="57"/>
    </w:pPr>
  </w:style>
  <w:style w:type="paragraph" w:styleId="849">
    <w:name w:val="toc 9"/>
    <w:basedOn w:val="816"/>
    <w:next w:val="816"/>
    <w:uiPriority w:val="39"/>
    <w:unhideWhenUsed/>
    <w:qFormat/>
    <w:pPr>
      <w:ind w:left="2268"/>
      <w:spacing w:after="57"/>
    </w:pPr>
  </w:style>
  <w:style w:type="paragraph" w:styleId="850">
    <w:name w:val="Body Text 2"/>
    <w:basedOn w:val="816"/>
    <w:uiPriority w:val="0"/>
    <w:qFormat/>
    <w:pPr>
      <w:spacing w:after="120" w:line="480" w:lineRule="auto"/>
    </w:pPr>
  </w:style>
  <w:style w:type="paragraph" w:styleId="851">
    <w:name w:val="Normal (Web)"/>
    <w:basedOn w:val="816"/>
    <w:uiPriority w:val="99"/>
    <w:semiHidden/>
    <w:unhideWhenUsed/>
    <w:qFormat/>
    <w:pPr>
      <w:jc w:val="left"/>
      <w:spacing w:beforeAutospacing="1" w:afterAutospacing="1"/>
    </w:pPr>
    <w:rPr>
      <w:sz w:val="24"/>
    </w:rPr>
  </w:style>
  <w:style w:type="paragraph" w:styleId="852">
    <w:name w:val="Title"/>
    <w:basedOn w:val="816"/>
    <w:next w:val="816"/>
    <w:link w:val="883"/>
    <w:uiPriority w:val="10"/>
    <w:qFormat/>
    <w:pPr>
      <w:contextualSpacing/>
      <w:spacing w:before="300" w:after="200"/>
    </w:pPr>
    <w:rPr>
      <w:sz w:val="48"/>
      <w:szCs w:val="48"/>
    </w:rPr>
  </w:style>
  <w:style w:type="paragraph" w:styleId="853">
    <w:name w:val="Body Text First Indent 2"/>
    <w:basedOn w:val="833"/>
    <w:uiPriority w:val="99"/>
    <w:unhideWhenUsed/>
    <w:qFormat/>
    <w:pPr>
      <w:ind w:firstLine="420"/>
    </w:pPr>
  </w:style>
  <w:style w:type="table" w:styleId="85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5">
    <w:name w:val="Strong"/>
    <w:basedOn w:val="826"/>
    <w:uiPriority w:val="22"/>
    <w:qFormat/>
    <w:rPr>
      <w:b/>
    </w:rPr>
  </w:style>
  <w:style w:type="character" w:styleId="856">
    <w:name w:val="endnote reference"/>
    <w:uiPriority w:val="99"/>
    <w:semiHidden/>
    <w:unhideWhenUsed/>
    <w:qFormat/>
    <w:rPr>
      <w:vertAlign w:val="superscript"/>
    </w:rPr>
  </w:style>
  <w:style w:type="character" w:styleId="857">
    <w:name w:val="Hyperlink"/>
    <w:uiPriority w:val="99"/>
    <w:unhideWhenUsed/>
    <w:qFormat/>
    <w:rPr>
      <w:color w:val="0000ff" w:themeColor="hyperlink"/>
      <w:u w:val="single"/>
      <w14:textFill>
        <w14:solidFill>
          <w14:schemeClr w14:val="hlink"/>
        </w14:solidFill>
      </w14:textFill>
    </w:rPr>
  </w:style>
  <w:style w:type="character" w:styleId="858">
    <w:name w:val="footnote reference"/>
    <w:uiPriority w:val="99"/>
    <w:unhideWhenUsed/>
    <w:qFormat/>
    <w:rPr>
      <w:vertAlign w:val="superscript"/>
    </w:rPr>
  </w:style>
  <w:style w:type="paragraph" w:styleId="859" w:customStyle="1">
    <w:name w:val="正文（缩进）"/>
    <w:basedOn w:val="816"/>
    <w:next w:val="860"/>
    <w:uiPriority w:val="0"/>
    <w:qFormat/>
    <w:pPr>
      <w:ind w:firstLine="480"/>
      <w:spacing w:before="156" w:after="156"/>
    </w:pPr>
  </w:style>
  <w:style w:type="paragraph" w:styleId="860" w:customStyle="1">
    <w:name w:val="Char Char Char Char Char Char Char Char Char"/>
    <w:basedOn w:val="816"/>
    <w:next w:val="861"/>
    <w:uiPriority w:val="0"/>
    <w:qFormat/>
    <w:pPr>
      <w:ind w:left="360" w:firstLine="5784"/>
    </w:pPr>
  </w:style>
  <w:style w:type="paragraph" w:styleId="861" w:customStyle="1">
    <w:name w:val="正文文本 21"/>
    <w:basedOn w:val="816"/>
    <w:next w:val="862"/>
    <w:uiPriority w:val="0"/>
    <w:qFormat/>
    <w:pPr>
      <w:spacing w:after="120" w:line="480" w:lineRule="auto"/>
    </w:pPr>
  </w:style>
  <w:style w:type="paragraph" w:styleId="862" w:customStyle="1">
    <w:name w:val="默认段落字体 Para Char Char Char Char Char Char Char"/>
    <w:basedOn w:val="816"/>
    <w:next w:val="863"/>
    <w:uiPriority w:val="0"/>
    <w:qFormat/>
    <w:pPr>
      <w:ind w:firstLine="200"/>
    </w:pPr>
    <w:rPr>
      <w:rFonts w:cs="Arial"/>
    </w:rPr>
  </w:style>
  <w:style w:type="paragraph" w:styleId="863" w:customStyle="1">
    <w:name w:val="样式 首行缩进:  2 字符"/>
    <w:basedOn w:val="816"/>
    <w:next w:val="864"/>
    <w:uiPriority w:val="0"/>
    <w:qFormat/>
    <w:pPr>
      <w:ind w:left="480" w:firstLine="5856"/>
      <w:spacing w:line="360" w:lineRule="auto"/>
    </w:pPr>
  </w:style>
  <w:style w:type="paragraph" w:styleId="864" w:customStyle="1">
    <w:name w:val="样式 段后: 0.25 行"/>
    <w:basedOn w:val="816"/>
    <w:next w:val="865"/>
    <w:uiPriority w:val="0"/>
    <w:qFormat/>
    <w:pPr>
      <w:ind w:left="420" w:firstLine="5796"/>
      <w:spacing w:line="300" w:lineRule="auto"/>
      <w:widowControl/>
    </w:pPr>
  </w:style>
  <w:style w:type="paragraph" w:styleId="865" w:customStyle="1">
    <w:name w:val="正文 New New New New New New New New New New New New New New"/>
    <w:next w:val="849"/>
    <w:uiPriority w:val="0"/>
    <w:qFormat/>
    <w:pPr>
      <w:ind w:firstLine="2048"/>
      <w:jc w:val="both"/>
      <w:widowControl w:val="off"/>
    </w:pPr>
    <w:rPr>
      <w:rFonts w:ascii="Calibri" w:hAnsi="Calibri" w:eastAsia="宋体" w:cs="Times New Roman"/>
      <w:lang w:val="en-US" w:eastAsia="zh-CN" w:bidi="ar-SA"/>
    </w:rPr>
  </w:style>
  <w:style w:type="paragraph" w:styleId="866" w:customStyle="1">
    <w:name w:val="目录 91"/>
    <w:basedOn w:val="816"/>
    <w:next w:val="816"/>
    <w:uiPriority w:val="39"/>
    <w:unhideWhenUsed/>
    <w:qFormat/>
    <w:pPr>
      <w:ind w:left="2268"/>
      <w:spacing w:after="57"/>
    </w:pPr>
  </w:style>
  <w:style w:type="paragraph" w:styleId="867" w:customStyle="1">
    <w:name w:val="Default"/>
    <w:next w:val="816"/>
    <w:uiPriority w:val="0"/>
    <w:qFormat/>
    <w:pPr>
      <w:widowControl w:val="off"/>
    </w:pPr>
    <w:rPr>
      <w:rFonts w:ascii="宋体" w:hAnsi="Times New Roman" w:eastAsia="宋体" w:cs="宋体"/>
      <w:color w:val="000000"/>
      <w:sz w:val="24"/>
      <w:szCs w:val="24"/>
      <w:lang w:val="en-US" w:eastAsia="zh-CN" w:bidi="ar-SA"/>
    </w:rPr>
  </w:style>
  <w:style w:type="paragraph" w:styleId="868" w:customStyle="1">
    <w:name w:val="正文文本1"/>
    <w:basedOn w:val="869"/>
    <w:uiPriority w:val="0"/>
    <w:qFormat/>
    <w:pPr>
      <w:spacing w:after="120"/>
    </w:pPr>
    <w:rPr>
      <w:lang w:eastAsia="en-US"/>
    </w:rPr>
  </w:style>
  <w:style w:type="paragraph" w:styleId="869" w:customStyle="1">
    <w:name w:val="正文1"/>
    <w:basedOn w:val="816"/>
    <w:next w:val="868"/>
    <w:uiPriority w:val="0"/>
    <w:qFormat/>
    <w:pPr>
      <w:jc w:val="left"/>
      <w:spacing w:line="360" w:lineRule="atLeast"/>
    </w:pPr>
    <w:rPr>
      <w:rFonts w:ascii="宋体"/>
      <w:sz w:val="24"/>
      <w:szCs w:val="20"/>
    </w:rPr>
  </w:style>
  <w:style w:type="paragraph" w:styleId="870" w:customStyle="1">
    <w:name w:val="正文文本缩进11"/>
    <w:basedOn w:val="816"/>
    <w:next w:val="816"/>
    <w:uiPriority w:val="99"/>
    <w:unhideWhenUsed/>
    <w:qFormat/>
    <w:pPr>
      <w:ind w:firstLine="540"/>
      <w:spacing w:line="400" w:lineRule="exact"/>
    </w:pPr>
    <w:rPr>
      <w:sz w:val="24"/>
    </w:rPr>
  </w:style>
  <w:style w:type="paragraph" w:styleId="871" w:customStyle="1">
    <w:name w:val="标题 31"/>
    <w:basedOn w:val="816"/>
    <w:next w:val="816"/>
    <w:uiPriority w:val="0"/>
    <w:qFormat/>
    <w:pPr>
      <w:keepLines/>
      <w:keepNext/>
      <w:spacing w:before="260" w:after="260" w:line="416" w:lineRule="auto"/>
      <w:outlineLvl w:val="2"/>
    </w:pPr>
    <w:rPr>
      <w:b/>
      <w:bCs/>
      <w:sz w:val="32"/>
      <w:szCs w:val="32"/>
    </w:rPr>
  </w:style>
  <w:style w:type="character" w:styleId="872" w:customStyle="1">
    <w:name w:val="标题 1 字符"/>
    <w:link w:val="817"/>
    <w:uiPriority w:val="9"/>
    <w:qFormat/>
    <w:rPr>
      <w:rFonts w:ascii="Arial" w:hAnsi="Arial" w:eastAsia="Arial" w:cs="Arial"/>
      <w:sz w:val="40"/>
      <w:szCs w:val="40"/>
    </w:rPr>
  </w:style>
  <w:style w:type="character" w:styleId="873" w:customStyle="1">
    <w:name w:val="标题 2 字符"/>
    <w:link w:val="818"/>
    <w:uiPriority w:val="9"/>
    <w:qFormat/>
    <w:rPr>
      <w:rFonts w:ascii="Arial" w:hAnsi="Arial" w:eastAsia="Arial" w:cs="Arial"/>
      <w:sz w:val="34"/>
    </w:rPr>
  </w:style>
  <w:style w:type="character" w:styleId="874" w:customStyle="1">
    <w:name w:val="标题 3 字符"/>
    <w:link w:val="819"/>
    <w:uiPriority w:val="9"/>
    <w:qFormat/>
    <w:rPr>
      <w:rFonts w:ascii="Arial" w:hAnsi="Arial" w:eastAsia="Arial" w:cs="Arial"/>
      <w:sz w:val="30"/>
      <w:szCs w:val="30"/>
    </w:rPr>
  </w:style>
  <w:style w:type="character" w:styleId="875" w:customStyle="1">
    <w:name w:val="标题 4 字符"/>
    <w:link w:val="820"/>
    <w:uiPriority w:val="9"/>
    <w:qFormat/>
    <w:rPr>
      <w:rFonts w:ascii="Arial" w:hAnsi="Arial" w:eastAsia="Arial" w:cs="Arial"/>
      <w:b/>
      <w:bCs/>
      <w:sz w:val="26"/>
      <w:szCs w:val="26"/>
    </w:rPr>
  </w:style>
  <w:style w:type="character" w:styleId="876" w:customStyle="1">
    <w:name w:val="标题 5 字符"/>
    <w:link w:val="821"/>
    <w:uiPriority w:val="9"/>
    <w:qFormat/>
    <w:rPr>
      <w:rFonts w:ascii="Arial" w:hAnsi="Arial" w:eastAsia="Arial" w:cs="Arial"/>
      <w:b/>
      <w:bCs/>
      <w:sz w:val="24"/>
      <w:szCs w:val="24"/>
    </w:rPr>
  </w:style>
  <w:style w:type="character" w:styleId="877" w:customStyle="1">
    <w:name w:val="标题 6 字符"/>
    <w:link w:val="822"/>
    <w:uiPriority w:val="9"/>
    <w:qFormat/>
    <w:rPr>
      <w:rFonts w:ascii="Arial" w:hAnsi="Arial" w:eastAsia="Arial" w:cs="Arial"/>
      <w:b/>
      <w:bCs/>
      <w:sz w:val="22"/>
      <w:szCs w:val="22"/>
    </w:rPr>
  </w:style>
  <w:style w:type="character" w:styleId="878" w:customStyle="1">
    <w:name w:val="标题 7 字符"/>
    <w:link w:val="823"/>
    <w:uiPriority w:val="9"/>
    <w:qFormat/>
    <w:rPr>
      <w:rFonts w:ascii="Arial" w:hAnsi="Arial" w:eastAsia="Arial" w:cs="Arial"/>
      <w:b/>
      <w:bCs/>
      <w:i/>
      <w:iCs/>
      <w:sz w:val="22"/>
      <w:szCs w:val="22"/>
    </w:rPr>
  </w:style>
  <w:style w:type="character" w:styleId="879" w:customStyle="1">
    <w:name w:val="标题 8 字符"/>
    <w:link w:val="824"/>
    <w:uiPriority w:val="9"/>
    <w:qFormat/>
    <w:rPr>
      <w:rFonts w:ascii="Arial" w:hAnsi="Arial" w:eastAsia="Arial" w:cs="Arial"/>
      <w:i/>
      <w:iCs/>
      <w:sz w:val="22"/>
      <w:szCs w:val="22"/>
    </w:rPr>
  </w:style>
  <w:style w:type="character" w:styleId="880" w:customStyle="1">
    <w:name w:val="标题 9 字符"/>
    <w:link w:val="825"/>
    <w:uiPriority w:val="9"/>
    <w:qFormat/>
    <w:rPr>
      <w:rFonts w:ascii="Arial" w:hAnsi="Arial" w:eastAsia="Arial" w:cs="Arial"/>
      <w:i/>
      <w:iCs/>
      <w:sz w:val="21"/>
      <w:szCs w:val="21"/>
    </w:rPr>
  </w:style>
  <w:style w:type="paragraph" w:styleId="881">
    <w:name w:val="List Paragraph"/>
    <w:basedOn w:val="816"/>
    <w:uiPriority w:val="34"/>
    <w:qFormat/>
    <w:pPr>
      <w:contextualSpacing/>
      <w:ind w:left="720"/>
    </w:pPr>
  </w:style>
  <w:style w:type="paragraph" w:styleId="882">
    <w:name w:val="No Spacing"/>
    <w:uiPriority w:val="1"/>
    <w:qFormat/>
    <w:rPr>
      <w:rFonts w:ascii="Times New Roman" w:hAnsi="Times New Roman" w:eastAsia="宋体" w:cs="Times New Roman"/>
      <w:lang w:val="en-US" w:eastAsia="zh-CN" w:bidi="ar-SA"/>
    </w:rPr>
  </w:style>
  <w:style w:type="character" w:styleId="883" w:customStyle="1">
    <w:name w:val="标题 字符"/>
    <w:link w:val="852"/>
    <w:uiPriority w:val="10"/>
    <w:qFormat/>
    <w:rPr>
      <w:sz w:val="48"/>
      <w:szCs w:val="48"/>
    </w:rPr>
  </w:style>
  <w:style w:type="character" w:styleId="884" w:customStyle="1">
    <w:name w:val="副标题 字符"/>
    <w:link w:val="844"/>
    <w:uiPriority w:val="11"/>
    <w:qFormat/>
    <w:rPr>
      <w:sz w:val="24"/>
      <w:szCs w:val="24"/>
    </w:rPr>
  </w:style>
  <w:style w:type="paragraph" w:styleId="885">
    <w:name w:val="Quote"/>
    <w:basedOn w:val="816"/>
    <w:next w:val="816"/>
    <w:link w:val="886"/>
    <w:uiPriority w:val="29"/>
    <w:qFormat/>
    <w:pPr>
      <w:ind w:left="720" w:right="720"/>
    </w:pPr>
    <w:rPr>
      <w:i/>
    </w:rPr>
  </w:style>
  <w:style w:type="character" w:styleId="886" w:customStyle="1">
    <w:name w:val="引用 字符"/>
    <w:link w:val="885"/>
    <w:uiPriority w:val="29"/>
    <w:qFormat/>
    <w:rPr>
      <w:i/>
    </w:rPr>
  </w:style>
  <w:style w:type="paragraph" w:styleId="887">
    <w:name w:val="Intense Quote"/>
    <w:basedOn w:val="816"/>
    <w:next w:val="816"/>
    <w:link w:val="8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8" w:customStyle="1">
    <w:name w:val="明显引用 字符"/>
    <w:link w:val="887"/>
    <w:uiPriority w:val="30"/>
    <w:qFormat/>
    <w:rPr>
      <w:i/>
    </w:rPr>
  </w:style>
  <w:style w:type="character" w:styleId="889" w:customStyle="1">
    <w:name w:val="页眉 字符"/>
    <w:link w:val="841"/>
    <w:uiPriority w:val="99"/>
    <w:qFormat/>
  </w:style>
  <w:style w:type="character" w:styleId="890" w:customStyle="1">
    <w:name w:val="Footer Char"/>
    <w:uiPriority w:val="99"/>
    <w:qFormat/>
  </w:style>
  <w:style w:type="character" w:styleId="891" w:customStyle="1">
    <w:name w:val="页脚 字符"/>
    <w:link w:val="840"/>
    <w:uiPriority w:val="99"/>
    <w:qFormat/>
  </w:style>
  <w:style w:type="table" w:styleId="89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4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7" w:customStyle="1">
    <w:name w:val="脚注文本 字符"/>
    <w:link w:val="845"/>
    <w:uiPriority w:val="99"/>
    <w:qFormat/>
    <w:rPr>
      <w:sz w:val="18"/>
    </w:rPr>
  </w:style>
  <w:style w:type="character" w:styleId="1018" w:customStyle="1">
    <w:name w:val="尾注文本 字符"/>
    <w:link w:val="839"/>
    <w:uiPriority w:val="99"/>
    <w:qFormat/>
    <w:rPr>
      <w:sz w:val="20"/>
    </w:rPr>
  </w:style>
  <w:style w:type="paragraph" w:styleId="1019" w:customStyle="1">
    <w:name w:val="TOC 标题1"/>
    <w:uiPriority w:val="39"/>
    <w:unhideWhenUsed/>
    <w:qFormat/>
    <w:rPr>
      <w:rFonts w:ascii="Times New Roman" w:hAnsi="Times New Roman" w:eastAsia="宋体" w:cs="Times New Roman"/>
      <w:lang w:val="en-US" w:eastAsia="zh-CN" w:bidi="ar-SA"/>
    </w:rPr>
  </w:style>
  <w:style w:type="paragraph" w:styleId="1020" w:customStyle="1">
    <w:name w:val="标题 11"/>
    <w:basedOn w:val="816"/>
    <w:next w:val="816"/>
    <w:uiPriority w:val="9"/>
    <w:qFormat/>
    <w:pPr>
      <w:keepLines/>
      <w:keepNext/>
      <w:spacing w:before="340" w:after="330" w:line="578" w:lineRule="auto"/>
      <w:outlineLvl w:val="0"/>
    </w:pPr>
    <w:rPr>
      <w:b/>
      <w:bCs/>
      <w:sz w:val="44"/>
      <w:szCs w:val="44"/>
    </w:rPr>
  </w:style>
  <w:style w:type="paragraph" w:styleId="1021" w:customStyle="1">
    <w:name w:val="标题 211"/>
    <w:basedOn w:val="816"/>
    <w:next w:val="102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22" w:customStyle="1">
    <w:name w:val="正文缩进11"/>
    <w:basedOn w:val="816"/>
    <w:uiPriority w:val="0"/>
    <w:unhideWhenUsed/>
    <w:qFormat/>
    <w:pPr>
      <w:ind w:firstLine="420"/>
    </w:pPr>
  </w:style>
  <w:style w:type="character" w:styleId="1023" w:customStyle="1">
    <w:name w:val="默认段落字体1"/>
    <w:uiPriority w:val="1"/>
    <w:unhideWhenUsed/>
    <w:qFormat/>
  </w:style>
  <w:style w:type="table" w:styleId="1024" w:customStyle="1">
    <w:name w:val="普通表格1"/>
    <w:uiPriority w:val="99"/>
    <w:unhideWhenUsed/>
    <w:qFormat/>
    <w:tblPr>
      <w:tblCellMar>
        <w:left w:w="0" w:type="dxa"/>
        <w:top w:w="0" w:type="dxa"/>
        <w:right w:w="0" w:type="dxa"/>
        <w:bottom w:w="0" w:type="dxa"/>
      </w:tblCellMar>
    </w:tblPr>
  </w:style>
  <w:style w:type="paragraph" w:styleId="1025" w:customStyle="1">
    <w:name w:val="引文目录1"/>
    <w:basedOn w:val="816"/>
    <w:next w:val="816"/>
    <w:uiPriority w:val="0"/>
    <w:qFormat/>
    <w:pPr>
      <w:ind w:left="420"/>
    </w:pPr>
  </w:style>
  <w:style w:type="paragraph" w:styleId="1026" w:customStyle="1">
    <w:name w:val="批注文字1"/>
    <w:basedOn w:val="816"/>
    <w:link w:val="1027"/>
    <w:uiPriority w:val="0"/>
    <w:qFormat/>
    <w:pPr>
      <w:jc w:val="left"/>
    </w:pPr>
  </w:style>
  <w:style w:type="character" w:styleId="1027" w:customStyle="1">
    <w:name w:val="批注文字 Char"/>
    <w:link w:val="1026"/>
    <w:uiPriority w:val="0"/>
    <w:qFormat/>
    <w:rPr>
      <w:rFonts w:ascii="Calibri" w:hAnsi="Calibri"/>
      <w:sz w:val="21"/>
      <w:szCs w:val="22"/>
    </w:rPr>
  </w:style>
  <w:style w:type="paragraph" w:styleId="1028" w:customStyle="1">
    <w:name w:val="正文文本111"/>
    <w:basedOn w:val="816"/>
    <w:next w:val="1029"/>
    <w:uiPriority w:val="0"/>
    <w:qFormat/>
    <w:rPr>
      <w:rFonts w:ascii="楷体_GB2312" w:hAnsi="Arial" w:eastAsia="楷体_GB2312"/>
      <w:sz w:val="28"/>
      <w:szCs w:val="28"/>
    </w:rPr>
  </w:style>
  <w:style w:type="paragraph" w:styleId="1029" w:customStyle="1">
    <w:name w:val="正文文本 211"/>
    <w:basedOn w:val="816"/>
    <w:uiPriority w:val="0"/>
    <w:qFormat/>
    <w:pPr>
      <w:spacing w:after="120" w:line="480" w:lineRule="auto"/>
    </w:pPr>
  </w:style>
  <w:style w:type="paragraph" w:styleId="1030" w:customStyle="1">
    <w:name w:val="列表项目符号 21"/>
    <w:basedOn w:val="816"/>
    <w:uiPriority w:val="0"/>
    <w:qFormat/>
    <w:pPr>
      <w:numPr>
        <w:ilvl w:val="0"/>
        <w:numId w:val="2"/>
      </w:numPr>
    </w:pPr>
  </w:style>
  <w:style w:type="paragraph" w:styleId="1031" w:customStyle="1">
    <w:name w:val="纯文本11"/>
    <w:basedOn w:val="816"/>
    <w:uiPriority w:val="99"/>
    <w:qFormat/>
    <w:rPr>
      <w:rFonts w:ascii="宋体" w:hAnsi="Courier New"/>
      <w:sz w:val="20"/>
      <w:szCs w:val="21"/>
    </w:rPr>
  </w:style>
  <w:style w:type="paragraph" w:styleId="1032" w:customStyle="1">
    <w:name w:val="批注框文本1"/>
    <w:basedOn w:val="816"/>
    <w:link w:val="1033"/>
    <w:uiPriority w:val="0"/>
    <w:qFormat/>
    <w:rPr>
      <w:sz w:val="18"/>
      <w:szCs w:val="18"/>
    </w:rPr>
  </w:style>
  <w:style w:type="character" w:styleId="1033" w:customStyle="1">
    <w:name w:val="批注框文本 Char"/>
    <w:link w:val="1032"/>
    <w:uiPriority w:val="0"/>
    <w:qFormat/>
    <w:rPr>
      <w:sz w:val="18"/>
      <w:szCs w:val="18"/>
    </w:rPr>
  </w:style>
  <w:style w:type="paragraph" w:styleId="1034" w:customStyle="1">
    <w:name w:val="页脚1"/>
    <w:basedOn w:val="816"/>
    <w:uiPriority w:val="99"/>
    <w:unhideWhenUsed/>
    <w:qFormat/>
    <w:pPr>
      <w:jc w:val="left"/>
      <w:tabs>
        <w:tab w:val="center" w:pos="4153" w:leader="none"/>
        <w:tab w:val="right" w:pos="8306" w:leader="none"/>
      </w:tabs>
    </w:pPr>
    <w:rPr>
      <w:sz w:val="18"/>
      <w:szCs w:val="18"/>
    </w:rPr>
  </w:style>
  <w:style w:type="paragraph" w:styleId="1035" w:customStyle="1">
    <w:name w:val="寄信人地址1"/>
    <w:basedOn w:val="816"/>
    <w:uiPriority w:val="99"/>
    <w:unhideWhenUsed/>
    <w:qFormat/>
    <w:rPr>
      <w:rFonts w:ascii="Arial" w:hAnsi="Arial"/>
    </w:rPr>
  </w:style>
  <w:style w:type="paragraph" w:styleId="1036" w:customStyle="1">
    <w:name w:val="页眉1"/>
    <w:basedOn w:val="81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37" w:customStyle="1">
    <w:name w:val="目录 11"/>
    <w:basedOn w:val="816"/>
    <w:next w:val="816"/>
    <w:uiPriority w:val="39"/>
    <w:unhideWhenUsed/>
    <w:qFormat/>
  </w:style>
  <w:style w:type="paragraph" w:styleId="1038" w:customStyle="1">
    <w:name w:val="信息标题1"/>
    <w:basedOn w:val="816"/>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39" w:customStyle="1">
    <w:name w:val="普通(网站)1"/>
    <w:basedOn w:val="816"/>
    <w:uiPriority w:val="0"/>
    <w:qFormat/>
    <w:rPr>
      <w:rFonts w:ascii="Times New Roman" w:hAnsi="Times New Roman"/>
      <w:sz w:val="24"/>
    </w:rPr>
  </w:style>
  <w:style w:type="paragraph" w:styleId="1040" w:customStyle="1">
    <w:name w:val="批注主题1"/>
    <w:basedOn w:val="1026"/>
    <w:next w:val="1026"/>
    <w:link w:val="1041"/>
    <w:uiPriority w:val="0"/>
    <w:qFormat/>
    <w:rPr>
      <w:b/>
      <w:bCs/>
    </w:rPr>
  </w:style>
  <w:style w:type="character" w:styleId="1041" w:customStyle="1">
    <w:name w:val="批注主题 Char"/>
    <w:link w:val="1040"/>
    <w:uiPriority w:val="0"/>
    <w:qFormat/>
    <w:rPr>
      <w:rFonts w:ascii="Calibri" w:hAnsi="Calibri"/>
      <w:b/>
      <w:bCs/>
      <w:sz w:val="21"/>
      <w:szCs w:val="22"/>
    </w:rPr>
  </w:style>
  <w:style w:type="paragraph" w:styleId="1042" w:customStyle="1">
    <w:name w:val="正文首行缩进 211"/>
    <w:basedOn w:val="870"/>
    <w:next w:val="816"/>
    <w:uiPriority w:val="0"/>
    <w:qFormat/>
    <w:pPr>
      <w:ind w:firstLine="420"/>
      <w:spacing w:before="100" w:beforeAutospacing="1"/>
    </w:pPr>
    <w:rPr>
      <w:rFonts w:ascii="Times New Roman" w:hAnsi="Times New Roman"/>
      <w:sz w:val="20"/>
      <w:szCs w:val="21"/>
    </w:rPr>
  </w:style>
  <w:style w:type="table" w:styleId="1043" w:customStyle="1">
    <w:name w:val="网格型1"/>
    <w:basedOn w:val="1024"/>
    <w:uiPriority w:val="59"/>
    <w:qFormat/>
    <w:tblPr/>
  </w:style>
  <w:style w:type="character" w:styleId="1044" w:customStyle="1">
    <w:name w:val="要点1"/>
    <w:uiPriority w:val="0"/>
    <w:qFormat/>
    <w:rPr>
      <w:b/>
    </w:rPr>
  </w:style>
  <w:style w:type="character" w:styleId="1045" w:customStyle="1">
    <w:name w:val="超链接1"/>
    <w:uiPriority w:val="0"/>
    <w:qFormat/>
    <w:rPr>
      <w:color w:val="0000ff"/>
      <w:u w:val="single"/>
    </w:rPr>
  </w:style>
  <w:style w:type="character" w:styleId="1046" w:customStyle="1">
    <w:name w:val="批注引用1"/>
    <w:uiPriority w:val="0"/>
    <w:qFormat/>
    <w:rPr>
      <w:sz w:val="21"/>
      <w:szCs w:val="21"/>
    </w:rPr>
  </w:style>
  <w:style w:type="paragraph" w:styleId="1047" w:customStyle="1">
    <w:name w:val="一级条标题"/>
    <w:basedOn w:val="1048"/>
    <w:next w:val="105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48" w:customStyle="1">
    <w:name w:val="章标题"/>
    <w:next w:val="1049"/>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49" w:customStyle="1">
    <w:name w:val="正文11"/>
    <w:next w:val="1050"/>
    <w:uiPriority w:val="0"/>
    <w:qFormat/>
    <w:pPr>
      <w:jc w:val="both"/>
      <w:widowControl w:val="off"/>
    </w:pPr>
    <w:rPr>
      <w:rFonts w:ascii="Times New Roman" w:hAnsi="Times New Roman" w:eastAsia="宋体" w:cs="Times New Roman"/>
      <w:sz w:val="21"/>
      <w:szCs w:val="22"/>
      <w:lang w:val="en-US" w:eastAsia="zh-CN" w:bidi="ar-SA"/>
    </w:rPr>
  </w:style>
  <w:style w:type="paragraph" w:styleId="1050" w:customStyle="1">
    <w:name w:val="正文首行缩进 21"/>
    <w:basedOn w:val="1051"/>
    <w:next w:val="816"/>
    <w:uiPriority w:val="0"/>
    <w:qFormat/>
    <w:pPr>
      <w:ind w:firstLine="420"/>
    </w:pPr>
  </w:style>
  <w:style w:type="paragraph" w:styleId="1051" w:customStyle="1">
    <w:name w:val="正文文本缩进1"/>
    <w:basedOn w:val="1049"/>
    <w:next w:val="816"/>
    <w:uiPriority w:val="0"/>
    <w:qFormat/>
    <w:pPr>
      <w:ind w:firstLine="540"/>
      <w:spacing w:line="400" w:lineRule="exact"/>
    </w:pPr>
    <w:rPr>
      <w:sz w:val="24"/>
    </w:rPr>
  </w:style>
  <w:style w:type="paragraph" w:styleId="1052" w:customStyle="1">
    <w:name w:val="段"/>
    <w:basedOn w:val="869"/>
    <w:next w:val="816"/>
    <w:uiPriority w:val="0"/>
    <w:qFormat/>
    <w:pPr>
      <w:ind w:firstLine="200"/>
      <w:widowControl/>
    </w:pPr>
    <w:rPr>
      <w:sz w:val="20"/>
    </w:rPr>
  </w:style>
  <w:style w:type="paragraph" w:styleId="1053" w:customStyle="1">
    <w:name w:val="普通正文"/>
    <w:basedOn w:val="816"/>
    <w:uiPriority w:val="0"/>
    <w:qFormat/>
    <w:pPr>
      <w:ind w:firstLine="480"/>
      <w:jc w:val="left"/>
      <w:spacing w:before="120" w:after="120" w:line="360" w:lineRule="auto"/>
    </w:pPr>
    <w:rPr>
      <w:rFonts w:ascii="Arial" w:hAnsi="Arial"/>
      <w:sz w:val="24"/>
      <w:szCs w:val="24"/>
    </w:rPr>
  </w:style>
  <w:style w:type="paragraph" w:styleId="1054" w:customStyle="1">
    <w:name w:val="Char"/>
    <w:basedOn w:val="816"/>
    <w:uiPriority w:val="0"/>
    <w:qFormat/>
    <w:pPr>
      <w:ind w:firstLine="200"/>
      <w:tabs>
        <w:tab w:val="left" w:pos="360" w:leader="none"/>
      </w:tabs>
    </w:pPr>
    <w:rPr>
      <w:rFonts w:ascii="Times New Roman" w:hAnsi="Times New Roman"/>
      <w:sz w:val="28"/>
      <w:szCs w:val="30"/>
    </w:rPr>
  </w:style>
  <w:style w:type="paragraph" w:styleId="1055" w:customStyle="1">
    <w:name w:val="正文空2格  1."/>
    <w:basedOn w:val="816"/>
    <w:uiPriority w:val="0"/>
    <w:qFormat/>
    <w:pPr>
      <w:ind w:firstLine="480"/>
    </w:pPr>
    <w:rPr>
      <w:rFonts w:cs="宋体"/>
      <w:sz w:val="28"/>
      <w:szCs w:val="20"/>
    </w:rPr>
  </w:style>
  <w:style w:type="paragraph" w:styleId="1056" w:customStyle="1">
    <w:name w:val="标题 21"/>
    <w:basedOn w:val="816"/>
    <w:next w:val="1057"/>
    <w:uiPriority w:val="9"/>
    <w:qFormat/>
    <w:pPr>
      <w:keepLines/>
      <w:keepNext/>
      <w:spacing w:before="260" w:after="260" w:line="416" w:lineRule="auto"/>
      <w:outlineLvl w:val="1"/>
    </w:pPr>
    <w:rPr>
      <w:rFonts w:ascii="Cambria" w:hAnsi="Cambria"/>
      <w:b/>
      <w:bCs/>
      <w:sz w:val="32"/>
      <w:szCs w:val="32"/>
    </w:rPr>
  </w:style>
  <w:style w:type="paragraph" w:styleId="1057" w:customStyle="1">
    <w:name w:val="正文首行缩进1"/>
    <w:basedOn w:val="1058"/>
    <w:uiPriority w:val="0"/>
    <w:qFormat/>
    <w:pPr>
      <w:ind w:firstLine="425"/>
      <w:spacing w:before="100" w:after="100" w:line="360" w:lineRule="atLeast"/>
    </w:pPr>
    <w:rPr>
      <w:rFonts w:ascii="Times New Roman" w:hAnsi="Times New Roman" w:eastAsia="宋体"/>
    </w:rPr>
  </w:style>
  <w:style w:type="paragraph" w:styleId="1058" w:customStyle="1">
    <w:name w:val="正文文本11"/>
    <w:basedOn w:val="816"/>
    <w:next w:val="861"/>
    <w:uiPriority w:val="0"/>
    <w:qFormat/>
    <w:rPr>
      <w:rFonts w:ascii="楷体_GB2312" w:hAnsi="Arial" w:eastAsia="楷体_GB2312"/>
      <w:sz w:val="28"/>
      <w:szCs w:val="28"/>
    </w:rPr>
  </w:style>
  <w:style w:type="paragraph" w:styleId="1059" w:customStyle="1">
    <w:name w:val="正文缩进1"/>
    <w:basedOn w:val="816"/>
    <w:uiPriority w:val="0"/>
    <w:unhideWhenUsed/>
    <w:qFormat/>
    <w:pPr>
      <w:ind w:firstLine="420"/>
    </w:pPr>
  </w:style>
  <w:style w:type="paragraph" w:styleId="1060" w:customStyle="1">
    <w:name w:val="纯文本1"/>
    <w:basedOn w:val="1049"/>
    <w:uiPriority w:val="0"/>
    <w:qFormat/>
    <w:rPr>
      <w:rFonts w:ascii="宋体" w:hAnsi="Courier New"/>
      <w:sz w:val="20"/>
      <w:szCs w:val="20"/>
    </w:rPr>
  </w:style>
  <w:style w:type="paragraph" w:styleId="1061" w:customStyle="1">
    <w:name w:val="Body Text First Indent 21"/>
    <w:basedOn w:val="1062"/>
    <w:uiPriority w:val="0"/>
    <w:qFormat/>
    <w:pPr>
      <w:ind w:firstLine="420"/>
    </w:pPr>
  </w:style>
  <w:style w:type="paragraph" w:styleId="1062" w:customStyle="1">
    <w:name w:val="Body Text Indent1"/>
    <w:basedOn w:val="816"/>
    <w:uiPriority w:val="0"/>
    <w:qFormat/>
    <w:pPr>
      <w:ind w:left="420"/>
    </w:pPr>
  </w:style>
  <w:style w:type="paragraph" w:styleId="1063" w:customStyle="1">
    <w:name w:val="Table Paragraph"/>
    <w:basedOn w:val="816"/>
    <w:uiPriority w:val="1"/>
    <w:qFormat/>
    <w:rPr>
      <w:rFonts w:ascii="宋体" w:hAnsi="宋体" w:cs="宋体"/>
      <w:lang w:val="zh-CN" w:bidi="zh-CN"/>
    </w:rPr>
  </w:style>
  <w:style w:type="paragraph" w:styleId="1064" w:customStyle="1">
    <w:name w:val="ListBullet21"/>
    <w:basedOn w:val="816"/>
    <w:uiPriority w:val="0"/>
    <w:qFormat/>
    <w:pPr>
      <w:numPr>
        <w:ilvl w:val="0"/>
        <w:numId w:val="3"/>
      </w:numPr>
      <w:tabs>
        <w:tab w:val="decimal" w:pos="780" w:leader="none"/>
      </w:tabs>
    </w:pPr>
  </w:style>
  <w:style w:type="paragraph" w:styleId="1065" w:customStyle="1">
    <w:name w:val="标题 51"/>
    <w:basedOn w:val="816"/>
    <w:next w:val="1059"/>
    <w:uiPriority w:val="0"/>
    <w:qFormat/>
    <w:pPr>
      <w:keepNext/>
      <w:outlineLvl w:val="4"/>
    </w:pPr>
    <w:rPr>
      <w:rFonts w:ascii="宋体"/>
      <w:color w:val="000000"/>
      <w:sz w:val="28"/>
      <w:szCs w:val="28"/>
    </w:rPr>
  </w:style>
  <w:style w:type="paragraph" w:styleId="1066" w:customStyle="1">
    <w:name w:val="Table Text"/>
    <w:basedOn w:val="816"/>
    <w:uiPriority w:val="0"/>
    <w:semiHidden/>
    <w:qFormat/>
    <w:rPr>
      <w:rFonts w:ascii="Arial" w:hAnsi="Arial" w:eastAsia="Arial" w:cs="Arial"/>
      <w:szCs w:val="21"/>
      <w:lang w:eastAsia="en-US"/>
    </w:rPr>
  </w:style>
  <w:style w:type="table" w:styleId="1067" w:customStyle="1">
    <w:name w:val="Table Normal"/>
    <w:uiPriority w:val="0"/>
    <w:semiHidden/>
    <w:unhideWhenUsed/>
    <w:qFormat/>
    <w:rPr>
      <w:rFonts w:ascii="Arial" w:hAnsi="Arial" w:cs="Arial"/>
      <w:color w:val="000000"/>
      <w:szCs w:val="21"/>
    </w:rPr>
    <w:tblPr>
      <w:tblCellMar>
        <w:left w:w="0" w:type="dxa"/>
        <w:top w:w="0" w:type="dxa"/>
        <w:right w:w="0" w:type="dxa"/>
        <w:bottom w:w="0" w:type="dxa"/>
      </w:tblCellMar>
    </w:tblPr>
  </w:style>
  <w:style w:type="paragraph" w:styleId="106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0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高中翠</cp:lastModifiedBy>
  <cp:revision>17</cp:revision>
  <dcterms:created xsi:type="dcterms:W3CDTF">2023-07-07T02:21:00Z</dcterms:created>
  <dcterms:modified xsi:type="dcterms:W3CDTF">2026-06-10T02:58:43Z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A8C345558440401BB898110A04FA705A_13</vt:lpwstr>
  </property>
  <property fmtid="{D5CDD505-2E9C-101B-9397-08002B2CF9AE}" pid="4" name="KSOTemplateDocerSaveRecord">
    <vt:lpwstr>eyJoZGlkIjoiMDU2Nzg2MjFlYTg4YWM4NDc3MWYxYjMwMmMxOGQ0MjYiLCJ1c2VySWQiOiIxNDU4ODA2MzcyIn0=</vt:lpwstr>
  </property>
</Properties>
</file>