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2347E2">
      <w:pPr>
        <w:spacing w:line="360" w:lineRule="auto"/>
        <w:jc w:val="center"/>
        <w:rPr>
          <w:rFonts w:ascii="宋体" w:hAnsi="宋体" w:cs="宋体"/>
          <w:b/>
          <w:color w:val="auto"/>
          <w:sz w:val="24"/>
          <w:highlight w:val="none"/>
        </w:rPr>
      </w:pPr>
    </w:p>
    <w:p w14:paraId="2F7A2C15">
      <w:pPr>
        <w:spacing w:line="360" w:lineRule="auto"/>
        <w:jc w:val="center"/>
        <w:rPr>
          <w:rFonts w:ascii="宋体" w:hAnsi="宋体" w:cs="宋体"/>
          <w:b/>
          <w:color w:val="auto"/>
          <w:sz w:val="24"/>
          <w:highlight w:val="none"/>
        </w:rPr>
      </w:pPr>
    </w:p>
    <w:p w14:paraId="377779B2">
      <w:pPr>
        <w:adjustRightInd/>
        <w:spacing w:line="360" w:lineRule="auto"/>
        <w:jc w:val="center"/>
        <w:rPr>
          <w:rFonts w:ascii="宋体" w:hAnsi="宋体" w:cs="宋体"/>
          <w:b/>
          <w:color w:val="auto"/>
          <w:sz w:val="44"/>
          <w:szCs w:val="44"/>
          <w:highlight w:val="none"/>
        </w:rPr>
      </w:pPr>
    </w:p>
    <w:p w14:paraId="22F8541E">
      <w:pPr>
        <w:spacing w:line="360" w:lineRule="auto"/>
        <w:jc w:val="center"/>
        <w:rPr>
          <w:rFonts w:ascii="宋体" w:hAnsi="宋体" w:cs="宋体"/>
          <w:b/>
          <w:color w:val="auto"/>
          <w:sz w:val="44"/>
          <w:szCs w:val="44"/>
          <w:highlight w:val="none"/>
        </w:rPr>
      </w:pPr>
    </w:p>
    <w:p w14:paraId="091051D5">
      <w:pPr>
        <w:adjustRightInd/>
        <w:spacing w:line="360" w:lineRule="auto"/>
        <w:jc w:val="center"/>
        <w:rPr>
          <w:rFonts w:ascii="宋体" w:hAnsi="宋体" w:cs="宋体"/>
          <w:b/>
          <w:color w:val="auto"/>
          <w:sz w:val="48"/>
          <w:szCs w:val="48"/>
          <w:highlight w:val="none"/>
        </w:rPr>
      </w:pPr>
    </w:p>
    <w:p w14:paraId="1A472DED">
      <w:pPr>
        <w:adjustRightInd/>
        <w:spacing w:line="360" w:lineRule="auto"/>
        <w:jc w:val="center"/>
        <w:rPr>
          <w:rFonts w:hint="eastAsia" w:ascii="宋体" w:hAnsi="宋体" w:cs="宋体"/>
          <w:color w:val="auto"/>
          <w:sz w:val="48"/>
          <w:szCs w:val="48"/>
          <w:highlight w:val="none"/>
          <w:lang w:eastAsia="zh-CN"/>
        </w:rPr>
      </w:pPr>
      <w:r>
        <w:rPr>
          <w:rFonts w:hint="eastAsia" w:ascii="宋体" w:hAnsi="宋体" w:cs="宋体"/>
          <w:color w:val="auto"/>
          <w:spacing w:val="28"/>
          <w:sz w:val="48"/>
          <w:szCs w:val="48"/>
          <w:highlight w:val="none"/>
          <w:lang w:eastAsia="zh-CN"/>
        </w:rPr>
        <w:t>杭州市临安区人民法院</w:t>
      </w:r>
      <w:r>
        <w:rPr>
          <w:rFonts w:hint="eastAsia" w:ascii="宋体" w:hAnsi="宋体" w:cs="宋体"/>
          <w:color w:val="auto"/>
          <w:spacing w:val="28"/>
          <w:sz w:val="48"/>
          <w:szCs w:val="48"/>
          <w:highlight w:val="none"/>
          <w:lang w:val="en-US" w:eastAsia="zh-CN"/>
        </w:rPr>
        <w:t>2026年</w:t>
      </w:r>
      <w:r>
        <w:rPr>
          <w:rFonts w:hint="eastAsia" w:ascii="宋体" w:hAnsi="宋体" w:cs="宋体"/>
          <w:color w:val="auto"/>
          <w:spacing w:val="28"/>
          <w:sz w:val="48"/>
          <w:szCs w:val="48"/>
          <w:highlight w:val="none"/>
          <w:lang w:eastAsia="zh-CN"/>
        </w:rPr>
        <w:t>便携式</w:t>
      </w:r>
      <w:r>
        <w:rPr>
          <w:rFonts w:hint="eastAsia" w:ascii="宋体" w:hAnsi="宋体" w:cs="宋体"/>
          <w:color w:val="auto"/>
          <w:sz w:val="48"/>
          <w:szCs w:val="48"/>
          <w:highlight w:val="none"/>
          <w:lang w:eastAsia="zh-CN"/>
        </w:rPr>
        <w:t>计算机采购项目</w:t>
      </w:r>
    </w:p>
    <w:p w14:paraId="70EAFAFF">
      <w:pPr>
        <w:adjustRightInd/>
        <w:spacing w:line="360" w:lineRule="auto"/>
        <w:jc w:val="center"/>
        <w:rPr>
          <w:rFonts w:ascii="宋体" w:hAnsi="宋体" w:cs="宋体"/>
          <w:color w:val="auto"/>
          <w:sz w:val="48"/>
          <w:szCs w:val="48"/>
          <w:highlight w:val="none"/>
        </w:rPr>
      </w:pPr>
      <w:r>
        <w:rPr>
          <w:rFonts w:hint="eastAsia" w:ascii="宋体" w:hAnsi="宋体" w:cs="宋体"/>
          <w:color w:val="auto"/>
          <w:sz w:val="48"/>
          <w:szCs w:val="48"/>
          <w:highlight w:val="none"/>
        </w:rPr>
        <w:t>招标文件</w:t>
      </w:r>
    </w:p>
    <w:p w14:paraId="6E49CDAD">
      <w:pPr>
        <w:adjustRightInd/>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（电子招投标）</w:t>
      </w:r>
    </w:p>
    <w:p w14:paraId="56D5DA07">
      <w:pPr>
        <w:snapToGrid w:val="0"/>
        <w:spacing w:line="360" w:lineRule="auto"/>
        <w:jc w:val="center"/>
        <w:rPr>
          <w:rFonts w:ascii="宋体" w:hAnsi="宋体" w:cs="宋体"/>
          <w:color w:val="auto"/>
          <w:sz w:val="30"/>
          <w:szCs w:val="30"/>
          <w:highlight w:val="none"/>
        </w:rPr>
      </w:pPr>
      <w:r>
        <w:rPr>
          <w:rFonts w:hint="eastAsia" w:ascii="宋体" w:hAnsi="宋体" w:cs="宋体"/>
          <w:color w:val="auto"/>
          <w:sz w:val="30"/>
          <w:szCs w:val="30"/>
          <w:highlight w:val="none"/>
        </w:rPr>
        <w:t>编号</w:t>
      </w:r>
      <w:r>
        <w:rPr>
          <w:rFonts w:hint="eastAsia" w:ascii="宋体" w:hAnsi="宋体" w:cs="宋体"/>
          <w:color w:val="auto"/>
          <w:sz w:val="30"/>
          <w:szCs w:val="30"/>
          <w:highlight w:val="none"/>
          <w:lang w:eastAsia="zh-CN"/>
        </w:rPr>
        <w:t>：</w:t>
      </w:r>
      <w:r>
        <w:rPr>
          <w:rFonts w:hint="eastAsia" w:ascii="宋体" w:hAnsi="宋体" w:cs="宋体"/>
          <w:color w:val="auto"/>
          <w:sz w:val="30"/>
          <w:szCs w:val="30"/>
          <w:highlight w:val="none"/>
        </w:rPr>
        <w:t>（LZC-GK-</w:t>
      </w:r>
      <w:r>
        <w:rPr>
          <w:rFonts w:hint="eastAsia" w:ascii="宋体" w:hAnsi="宋体" w:cs="宋体"/>
          <w:color w:val="auto"/>
          <w:sz w:val="30"/>
          <w:szCs w:val="30"/>
          <w:highlight w:val="none"/>
          <w:lang w:val="en-US" w:eastAsia="zh-CN"/>
        </w:rPr>
        <w:t>[2026]865号</w:t>
      </w:r>
      <w:r>
        <w:rPr>
          <w:rFonts w:hint="eastAsia" w:ascii="宋体" w:hAnsi="宋体" w:cs="宋体"/>
          <w:color w:val="auto"/>
          <w:sz w:val="30"/>
          <w:szCs w:val="30"/>
          <w:highlight w:val="none"/>
        </w:rPr>
        <w:t>）</w:t>
      </w:r>
    </w:p>
    <w:p w14:paraId="4905DC7B">
      <w:pPr>
        <w:adjustRightInd/>
        <w:spacing w:line="360" w:lineRule="auto"/>
        <w:rPr>
          <w:rFonts w:ascii="宋体" w:hAnsi="宋体" w:cs="宋体"/>
          <w:color w:val="auto"/>
          <w:sz w:val="28"/>
          <w:szCs w:val="20"/>
          <w:highlight w:val="none"/>
        </w:rPr>
      </w:pPr>
    </w:p>
    <w:p w14:paraId="22FCE897">
      <w:pPr>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 xml:space="preserve"> </w:t>
      </w:r>
    </w:p>
    <w:p w14:paraId="48267B9B">
      <w:pPr>
        <w:spacing w:line="360" w:lineRule="auto"/>
        <w:jc w:val="center"/>
        <w:rPr>
          <w:rFonts w:ascii="宋体" w:hAnsi="宋体" w:cs="宋体"/>
          <w:b/>
          <w:color w:val="auto"/>
          <w:sz w:val="44"/>
          <w:szCs w:val="44"/>
          <w:highlight w:val="none"/>
        </w:rPr>
      </w:pPr>
    </w:p>
    <w:p w14:paraId="3E1F6A94">
      <w:pPr>
        <w:spacing w:line="360" w:lineRule="auto"/>
        <w:jc w:val="center"/>
        <w:rPr>
          <w:rFonts w:ascii="宋体" w:hAnsi="宋体" w:cs="宋体"/>
          <w:color w:val="auto"/>
          <w:sz w:val="24"/>
          <w:highlight w:val="none"/>
        </w:rPr>
      </w:pPr>
    </w:p>
    <w:p w14:paraId="2879DD61">
      <w:pPr>
        <w:spacing w:line="360" w:lineRule="auto"/>
        <w:jc w:val="center"/>
        <w:rPr>
          <w:rFonts w:ascii="宋体" w:hAnsi="宋体" w:cs="宋体"/>
          <w:color w:val="auto"/>
          <w:sz w:val="24"/>
          <w:highlight w:val="none"/>
        </w:rPr>
      </w:pPr>
    </w:p>
    <w:p w14:paraId="54C38AC3">
      <w:pPr>
        <w:spacing w:line="360" w:lineRule="auto"/>
        <w:rPr>
          <w:rFonts w:ascii="宋体" w:hAnsi="宋体" w:cs="宋体"/>
          <w:color w:val="auto"/>
          <w:sz w:val="32"/>
          <w:szCs w:val="32"/>
          <w:highlight w:val="none"/>
        </w:rPr>
      </w:pPr>
    </w:p>
    <w:p w14:paraId="6D0FFAE3">
      <w:pPr>
        <w:spacing w:line="360" w:lineRule="auto"/>
        <w:jc w:val="center"/>
        <w:rPr>
          <w:rFonts w:hint="eastAsia" w:ascii="宋体" w:hAnsi="宋体" w:cs="宋体"/>
          <w:bCs/>
          <w:sz w:val="32"/>
          <w:szCs w:val="32"/>
          <w:lang w:eastAsia="zh-CN"/>
        </w:rPr>
      </w:pPr>
    </w:p>
    <w:p w14:paraId="2A77A409">
      <w:pPr>
        <w:spacing w:line="360" w:lineRule="auto"/>
        <w:jc w:val="center"/>
        <w:rPr>
          <w:rFonts w:hint="eastAsia" w:ascii="宋体" w:hAnsi="宋体" w:cs="宋体"/>
          <w:bCs/>
          <w:sz w:val="32"/>
          <w:szCs w:val="32"/>
          <w:lang w:eastAsia="zh-CN"/>
        </w:rPr>
      </w:pPr>
      <w:r>
        <w:rPr>
          <w:rFonts w:hint="eastAsia" w:ascii="宋体" w:hAnsi="宋体" w:cs="宋体"/>
          <w:bCs/>
          <w:sz w:val="32"/>
          <w:szCs w:val="32"/>
          <w:lang w:eastAsia="zh-CN"/>
        </w:rPr>
        <w:t>杭州市临安区人民法院</w:t>
      </w:r>
    </w:p>
    <w:p w14:paraId="5F93736D">
      <w:pPr>
        <w:spacing w:line="360" w:lineRule="auto"/>
        <w:jc w:val="center"/>
        <w:rPr>
          <w:rFonts w:hint="eastAsia" w:ascii="宋体" w:hAnsi="宋体" w:eastAsia="宋体" w:cs="宋体"/>
          <w:bCs/>
          <w:color w:val="auto"/>
          <w:sz w:val="32"/>
          <w:szCs w:val="32"/>
          <w:highlight w:val="none"/>
          <w:lang w:eastAsia="zh-CN"/>
        </w:rPr>
      </w:pPr>
      <w:r>
        <w:rPr>
          <w:rFonts w:hint="eastAsia" w:ascii="宋体" w:hAnsi="宋体" w:cs="宋体"/>
          <w:bCs/>
          <w:sz w:val="32"/>
          <w:szCs w:val="32"/>
          <w:lang w:eastAsia="zh-CN"/>
        </w:rPr>
        <w:t>杭州市公共资</w:t>
      </w:r>
      <w:r>
        <w:rPr>
          <w:rFonts w:hint="eastAsia" w:ascii="宋体" w:hAnsi="宋体" w:cs="宋体"/>
          <w:bCs/>
          <w:color w:val="auto"/>
          <w:sz w:val="32"/>
          <w:szCs w:val="32"/>
          <w:lang w:eastAsia="zh-CN"/>
        </w:rPr>
        <w:t>源交易</w:t>
      </w:r>
      <w:r>
        <w:rPr>
          <w:rFonts w:hint="eastAsia" w:ascii="宋体" w:hAnsi="宋体" w:cs="宋体"/>
          <w:bCs/>
          <w:color w:val="auto"/>
          <w:sz w:val="32"/>
          <w:szCs w:val="32"/>
          <w:highlight w:val="none"/>
          <w:lang w:eastAsia="zh-CN"/>
        </w:rPr>
        <w:t>中心临安分中心</w:t>
      </w:r>
    </w:p>
    <w:p w14:paraId="10209112">
      <w:pPr>
        <w:snapToGrid w:val="0"/>
        <w:spacing w:line="360" w:lineRule="auto"/>
        <w:jc w:val="center"/>
        <w:rPr>
          <w:rFonts w:ascii="宋体" w:hAnsi="宋体" w:cs="宋体"/>
          <w:bCs/>
          <w:color w:val="auto"/>
          <w:sz w:val="32"/>
          <w:szCs w:val="32"/>
          <w:highlight w:val="none"/>
        </w:rPr>
      </w:pPr>
      <w:r>
        <w:rPr>
          <w:rFonts w:hint="eastAsia" w:ascii="宋体" w:hAnsi="宋体" w:cs="宋体"/>
          <w:bCs/>
          <w:color w:val="auto"/>
          <w:sz w:val="32"/>
          <w:szCs w:val="32"/>
          <w:highlight w:val="none"/>
        </w:rPr>
        <w:t>二〇二</w:t>
      </w:r>
      <w:r>
        <w:rPr>
          <w:rFonts w:hint="eastAsia" w:ascii="宋体" w:hAnsi="宋体" w:cs="宋体"/>
          <w:bCs/>
          <w:color w:val="auto"/>
          <w:sz w:val="32"/>
          <w:szCs w:val="32"/>
          <w:highlight w:val="none"/>
          <w:lang w:eastAsia="zh-CN"/>
        </w:rPr>
        <w:t>六</w:t>
      </w:r>
      <w:r>
        <w:rPr>
          <w:rFonts w:hint="eastAsia" w:ascii="宋体" w:hAnsi="宋体" w:cs="宋体"/>
          <w:bCs/>
          <w:color w:val="auto"/>
          <w:sz w:val="32"/>
          <w:szCs w:val="32"/>
          <w:highlight w:val="none"/>
        </w:rPr>
        <w:t>年</w:t>
      </w:r>
      <w:r>
        <w:rPr>
          <w:rFonts w:hint="eastAsia" w:ascii="宋体" w:hAnsi="宋体" w:cs="宋体"/>
          <w:bCs/>
          <w:color w:val="auto"/>
          <w:sz w:val="32"/>
          <w:szCs w:val="32"/>
          <w:highlight w:val="none"/>
          <w:lang w:eastAsia="zh-CN"/>
        </w:rPr>
        <w:t>五</w:t>
      </w:r>
      <w:r>
        <w:rPr>
          <w:rFonts w:hint="eastAsia" w:ascii="宋体" w:hAnsi="宋体" w:cs="宋体"/>
          <w:bCs/>
          <w:color w:val="auto"/>
          <w:sz w:val="32"/>
          <w:szCs w:val="32"/>
          <w:highlight w:val="none"/>
        </w:rPr>
        <w:t>月</w:t>
      </w:r>
      <w:r>
        <w:rPr>
          <w:rFonts w:hint="eastAsia" w:ascii="宋体" w:hAnsi="宋体" w:cs="宋体"/>
          <w:bCs/>
          <w:color w:val="auto"/>
          <w:sz w:val="32"/>
          <w:szCs w:val="32"/>
          <w:highlight w:val="none"/>
          <w:lang w:val="en-US" w:eastAsia="zh-CN"/>
        </w:rPr>
        <w:t>二十五</w:t>
      </w:r>
      <w:r>
        <w:rPr>
          <w:rFonts w:hint="eastAsia" w:ascii="宋体" w:hAnsi="宋体" w:cs="宋体"/>
          <w:bCs/>
          <w:color w:val="auto"/>
          <w:sz w:val="32"/>
          <w:szCs w:val="32"/>
          <w:highlight w:val="none"/>
        </w:rPr>
        <w:t>日</w:t>
      </w:r>
    </w:p>
    <w:p w14:paraId="143D0FF5">
      <w:pPr>
        <w:spacing w:line="360" w:lineRule="auto"/>
        <w:jc w:val="center"/>
        <w:rPr>
          <w:rFonts w:ascii="宋体" w:hAnsi="宋体" w:cs="宋体"/>
          <w:color w:val="auto"/>
          <w:sz w:val="24"/>
          <w:highlight w:val="none"/>
        </w:rPr>
      </w:pPr>
      <w:r>
        <w:rPr>
          <w:rFonts w:hint="eastAsia" w:ascii="宋体" w:hAnsi="宋体" w:cs="宋体"/>
          <w:color w:val="auto"/>
          <w:sz w:val="24"/>
          <w:highlight w:val="none"/>
        </w:rPr>
        <w:br w:type="page"/>
      </w:r>
      <w:bookmarkStart w:id="0" w:name="_Hlt67893495"/>
      <w:bookmarkEnd w:id="0"/>
    </w:p>
    <w:p w14:paraId="5E88CDFD">
      <w:pPr>
        <w:spacing w:line="360" w:lineRule="auto"/>
        <w:jc w:val="center"/>
        <w:rPr>
          <w:rFonts w:ascii="宋体" w:hAnsi="宋体" w:cs="宋体"/>
          <w:color w:val="auto"/>
          <w:sz w:val="24"/>
          <w:highlight w:val="none"/>
        </w:rPr>
      </w:pPr>
    </w:p>
    <w:p w14:paraId="7B198BBC">
      <w:pPr>
        <w:spacing w:line="360" w:lineRule="auto"/>
        <w:jc w:val="center"/>
        <w:rPr>
          <w:rFonts w:ascii="宋体" w:hAnsi="宋体" w:cs="宋体"/>
          <w:b/>
          <w:color w:val="auto"/>
          <w:sz w:val="48"/>
          <w:szCs w:val="48"/>
          <w:highlight w:val="none"/>
        </w:rPr>
      </w:pPr>
      <w:r>
        <w:rPr>
          <w:rFonts w:hint="eastAsia" w:ascii="宋体" w:hAnsi="宋体" w:cs="宋体"/>
          <w:b/>
          <w:color w:val="auto"/>
          <w:sz w:val="48"/>
          <w:szCs w:val="48"/>
          <w:highlight w:val="none"/>
        </w:rPr>
        <w:t>目  录</w:t>
      </w:r>
    </w:p>
    <w:p w14:paraId="33DC7C30">
      <w:pPr>
        <w:spacing w:line="360" w:lineRule="auto"/>
        <w:rPr>
          <w:rFonts w:ascii="宋体" w:hAnsi="宋体" w:cs="宋体"/>
          <w:color w:val="auto"/>
          <w:sz w:val="32"/>
          <w:szCs w:val="32"/>
          <w:highlight w:val="none"/>
        </w:rPr>
      </w:pPr>
    </w:p>
    <w:p w14:paraId="586CB733">
      <w:pPr>
        <w:spacing w:line="360" w:lineRule="auto"/>
        <w:rPr>
          <w:rFonts w:ascii="宋体" w:hAnsi="宋体" w:cs="宋体"/>
          <w:color w:val="auto"/>
          <w:sz w:val="32"/>
          <w:szCs w:val="32"/>
          <w:highlight w:val="none"/>
        </w:rPr>
      </w:pPr>
    </w:p>
    <w:p w14:paraId="39C01B05">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第一部分      招标公告</w:t>
      </w:r>
    </w:p>
    <w:p w14:paraId="2B5C7D3C">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第二部分      投标人须知</w:t>
      </w:r>
    </w:p>
    <w:p w14:paraId="774DE056">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第三部分      采购需求</w:t>
      </w:r>
    </w:p>
    <w:p w14:paraId="6441FD08">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第四部分      评标办法</w:t>
      </w:r>
    </w:p>
    <w:p w14:paraId="2497BF1F">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第五部分      拟签订的合同文本</w:t>
      </w:r>
    </w:p>
    <w:p w14:paraId="3852FAB1">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第六部分      应提交的有关格式范例</w:t>
      </w:r>
    </w:p>
    <w:p w14:paraId="77D3182E">
      <w:pPr>
        <w:spacing w:line="360" w:lineRule="auto"/>
        <w:ind w:firstLine="549" w:firstLineChars="229"/>
        <w:rPr>
          <w:rFonts w:ascii="宋体" w:hAnsi="宋体" w:cs="宋体"/>
          <w:color w:val="auto"/>
          <w:sz w:val="24"/>
          <w:highlight w:val="none"/>
        </w:rPr>
      </w:pPr>
      <w:bookmarkStart w:id="1" w:name="_Hlt91233176"/>
      <w:bookmarkEnd w:id="1"/>
      <w:bookmarkStart w:id="2" w:name="_Toc91899869"/>
    </w:p>
    <w:p w14:paraId="08E0C53F">
      <w:pPr>
        <w:spacing w:line="360" w:lineRule="auto"/>
        <w:ind w:firstLine="549" w:firstLineChars="229"/>
        <w:rPr>
          <w:rFonts w:ascii="宋体" w:hAnsi="宋体" w:cs="宋体"/>
          <w:color w:val="auto"/>
          <w:sz w:val="24"/>
          <w:highlight w:val="none"/>
        </w:rPr>
      </w:pPr>
    </w:p>
    <w:p w14:paraId="31F3AC47">
      <w:pPr>
        <w:spacing w:line="360" w:lineRule="auto"/>
        <w:ind w:firstLine="549" w:firstLineChars="229"/>
        <w:rPr>
          <w:rFonts w:ascii="宋体" w:hAnsi="宋体" w:cs="宋体"/>
          <w:color w:val="auto"/>
          <w:sz w:val="24"/>
          <w:highlight w:val="none"/>
        </w:rPr>
      </w:pPr>
    </w:p>
    <w:p w14:paraId="6A3EB198">
      <w:pPr>
        <w:spacing w:line="360" w:lineRule="auto"/>
        <w:ind w:firstLine="549" w:firstLineChars="229"/>
        <w:rPr>
          <w:rFonts w:ascii="宋体" w:hAnsi="宋体" w:cs="宋体"/>
          <w:color w:val="auto"/>
          <w:sz w:val="24"/>
          <w:highlight w:val="none"/>
        </w:rPr>
      </w:pPr>
    </w:p>
    <w:p w14:paraId="36299BAC">
      <w:pPr>
        <w:spacing w:line="360" w:lineRule="auto"/>
        <w:ind w:firstLine="549" w:firstLineChars="229"/>
        <w:rPr>
          <w:rFonts w:ascii="宋体" w:hAnsi="宋体" w:cs="宋体"/>
          <w:color w:val="auto"/>
          <w:sz w:val="24"/>
          <w:highlight w:val="none"/>
        </w:rPr>
      </w:pPr>
    </w:p>
    <w:p w14:paraId="0188C93E">
      <w:pPr>
        <w:spacing w:line="360" w:lineRule="auto"/>
        <w:ind w:firstLine="549" w:firstLineChars="229"/>
        <w:rPr>
          <w:rFonts w:ascii="宋体" w:hAnsi="宋体" w:cs="宋体"/>
          <w:color w:val="auto"/>
          <w:sz w:val="24"/>
          <w:highlight w:val="none"/>
        </w:rPr>
      </w:pPr>
    </w:p>
    <w:p w14:paraId="55326B96">
      <w:pPr>
        <w:spacing w:line="360" w:lineRule="auto"/>
        <w:ind w:firstLine="549" w:firstLineChars="229"/>
        <w:rPr>
          <w:rFonts w:ascii="宋体" w:hAnsi="宋体" w:cs="宋体"/>
          <w:color w:val="auto"/>
          <w:sz w:val="24"/>
          <w:highlight w:val="none"/>
        </w:rPr>
      </w:pPr>
    </w:p>
    <w:p w14:paraId="1FC40233">
      <w:pPr>
        <w:spacing w:line="360" w:lineRule="auto"/>
        <w:ind w:firstLine="549" w:firstLineChars="229"/>
        <w:rPr>
          <w:rFonts w:ascii="宋体" w:hAnsi="宋体" w:cs="宋体"/>
          <w:color w:val="auto"/>
          <w:sz w:val="24"/>
          <w:highlight w:val="none"/>
        </w:rPr>
      </w:pPr>
    </w:p>
    <w:p w14:paraId="43B9AD9D">
      <w:pPr>
        <w:spacing w:line="360" w:lineRule="auto"/>
        <w:ind w:firstLine="549" w:firstLineChars="229"/>
        <w:rPr>
          <w:rFonts w:ascii="宋体" w:hAnsi="宋体" w:cs="宋体"/>
          <w:color w:val="auto"/>
          <w:sz w:val="24"/>
          <w:highlight w:val="none"/>
        </w:rPr>
      </w:pPr>
    </w:p>
    <w:p w14:paraId="2B9AEAD2">
      <w:pPr>
        <w:spacing w:line="360" w:lineRule="auto"/>
        <w:ind w:firstLine="549" w:firstLineChars="229"/>
        <w:rPr>
          <w:rFonts w:ascii="宋体" w:hAnsi="宋体" w:cs="宋体"/>
          <w:color w:val="auto"/>
          <w:sz w:val="24"/>
          <w:highlight w:val="none"/>
        </w:rPr>
      </w:pPr>
    </w:p>
    <w:p w14:paraId="5412162A">
      <w:pPr>
        <w:spacing w:line="360" w:lineRule="auto"/>
        <w:ind w:firstLine="549" w:firstLineChars="229"/>
        <w:rPr>
          <w:rFonts w:ascii="宋体" w:hAnsi="宋体" w:cs="宋体"/>
          <w:color w:val="auto"/>
          <w:sz w:val="24"/>
          <w:highlight w:val="none"/>
        </w:rPr>
      </w:pPr>
    </w:p>
    <w:p w14:paraId="1D1124EA">
      <w:pPr>
        <w:spacing w:line="360" w:lineRule="auto"/>
        <w:ind w:firstLine="549" w:firstLineChars="229"/>
        <w:rPr>
          <w:rFonts w:ascii="宋体" w:hAnsi="宋体" w:cs="宋体"/>
          <w:color w:val="auto"/>
          <w:sz w:val="24"/>
          <w:highlight w:val="none"/>
        </w:rPr>
      </w:pPr>
    </w:p>
    <w:p w14:paraId="0D5120AE">
      <w:pPr>
        <w:spacing w:line="360" w:lineRule="auto"/>
        <w:ind w:firstLine="549" w:firstLineChars="229"/>
        <w:rPr>
          <w:rFonts w:ascii="宋体" w:hAnsi="宋体" w:cs="宋体"/>
          <w:color w:val="auto"/>
          <w:sz w:val="24"/>
          <w:highlight w:val="none"/>
        </w:rPr>
      </w:pPr>
    </w:p>
    <w:p w14:paraId="5E835302">
      <w:pPr>
        <w:adjustRightInd/>
        <w:spacing w:line="360" w:lineRule="auto"/>
        <w:jc w:val="center"/>
        <w:outlineLvl w:val="0"/>
        <w:rPr>
          <w:rFonts w:ascii="宋体" w:hAnsi="宋体" w:cs="宋体"/>
          <w:b/>
          <w:color w:val="auto"/>
          <w:sz w:val="36"/>
          <w:szCs w:val="20"/>
          <w:highlight w:val="none"/>
        </w:rPr>
      </w:pPr>
      <w:bookmarkStart w:id="3" w:name="第一部分"/>
      <w:r>
        <w:rPr>
          <w:rFonts w:hint="eastAsia" w:ascii="宋体" w:hAnsi="宋体" w:cs="宋体"/>
          <w:b/>
          <w:color w:val="auto"/>
          <w:sz w:val="36"/>
          <w:szCs w:val="36"/>
          <w:highlight w:val="none"/>
        </w:rPr>
        <w:br w:type="page"/>
      </w:r>
      <w:bookmarkEnd w:id="2"/>
      <w:bookmarkEnd w:id="3"/>
      <w:bookmarkStart w:id="4" w:name="_Hlt74707423"/>
      <w:bookmarkEnd w:id="4"/>
      <w:bookmarkStart w:id="5" w:name="_Hlt74649545"/>
      <w:bookmarkEnd w:id="5"/>
      <w:bookmarkStart w:id="6" w:name="_Hlt74728647"/>
      <w:bookmarkEnd w:id="6"/>
      <w:bookmarkStart w:id="7" w:name="_Hlt74729822"/>
      <w:bookmarkEnd w:id="7"/>
      <w:bookmarkStart w:id="8" w:name="第二部分"/>
      <w:bookmarkStart w:id="9" w:name="_Toc91899870"/>
      <w:bookmarkStart w:id="10" w:name="_Toc91899871"/>
      <w:r>
        <w:rPr>
          <w:rFonts w:hint="eastAsia" w:ascii="宋体" w:hAnsi="宋体" w:cs="宋体"/>
          <w:b/>
          <w:color w:val="auto"/>
          <w:sz w:val="36"/>
          <w:szCs w:val="20"/>
          <w:highlight w:val="none"/>
        </w:rPr>
        <w:t>第一部分 招标公告</w:t>
      </w:r>
    </w:p>
    <w:p w14:paraId="3920885A">
      <w:pPr>
        <w:pBdr>
          <w:top w:val="single" w:color="auto" w:sz="4" w:space="1"/>
          <w:left w:val="single" w:color="auto" w:sz="4" w:space="4"/>
          <w:bottom w:val="single" w:color="auto" w:sz="4" w:space="2"/>
          <w:right w:val="single" w:color="auto" w:sz="4" w:space="4"/>
        </w:pBd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项目概况</w:t>
      </w:r>
    </w:p>
    <w:p w14:paraId="220A9E1D">
      <w:pPr>
        <w:pBdr>
          <w:top w:val="single" w:color="auto" w:sz="4" w:space="1"/>
          <w:left w:val="single" w:color="auto" w:sz="4" w:space="4"/>
          <w:bottom w:val="single" w:color="auto" w:sz="4" w:space="2"/>
          <w:right w:val="single" w:color="auto" w:sz="4" w:space="4"/>
        </w:pBdr>
        <w:spacing w:line="360" w:lineRule="auto"/>
        <w:ind w:firstLine="480" w:firstLineChars="200"/>
        <w:rPr>
          <w:rFonts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u w:val="single"/>
        </w:rPr>
        <w:t>杭州市临安区人民法院2026年便携式计算机采购项目</w:t>
      </w:r>
      <w:r>
        <w:rPr>
          <w:rFonts w:hint="eastAsia" w:asciiTheme="minorEastAsia" w:hAnsiTheme="minorEastAsia" w:eastAsiaTheme="minorEastAsia"/>
          <w:color w:val="auto"/>
          <w:sz w:val="24"/>
          <w:highlight w:val="none"/>
        </w:rPr>
        <w:t>的潜在投标人应在政采云平台（</w:t>
      </w:r>
      <w:r>
        <w:rPr>
          <w:color w:val="auto"/>
          <w:highlight w:val="none"/>
        </w:rPr>
        <w:fldChar w:fldCharType="begin"/>
      </w:r>
      <w:r>
        <w:rPr>
          <w:color w:val="auto"/>
          <w:highlight w:val="none"/>
        </w:rPr>
        <w:instrText xml:space="preserve"> HYPERLINK "https://www.zcygov.cn/）获取（下载）招标文件，并于202%20年%20月%20日%20点%20分00秒" </w:instrText>
      </w:r>
      <w:r>
        <w:rPr>
          <w:color w:val="auto"/>
          <w:highlight w:val="none"/>
        </w:rPr>
        <w:fldChar w:fldCharType="separate"/>
      </w:r>
      <w:r>
        <w:rPr>
          <w:rStyle w:val="77"/>
          <w:rFonts w:cs="Times New Roman" w:asciiTheme="minorEastAsia" w:hAnsiTheme="minorEastAsia" w:eastAsiaTheme="minorEastAsia"/>
          <w:snapToGrid/>
          <w:color w:val="auto"/>
          <w:kern w:val="2"/>
          <w:sz w:val="24"/>
          <w:szCs w:val="24"/>
          <w:highlight w:val="none"/>
        </w:rPr>
        <w:t>https://www.zcygov.cn/）获取（下载）招标文件，并于</w:t>
      </w:r>
      <w:r>
        <w:rPr>
          <w:rStyle w:val="77"/>
          <w:rFonts w:hint="eastAsia" w:cs="Times New Roman" w:asciiTheme="minorEastAsia" w:hAnsiTheme="minorEastAsia" w:eastAsiaTheme="minorEastAsia"/>
          <w:snapToGrid/>
          <w:color w:val="auto"/>
          <w:kern w:val="2"/>
          <w:sz w:val="24"/>
          <w:szCs w:val="24"/>
          <w:highlight w:val="none"/>
        </w:rPr>
        <w:t>202</w:t>
      </w:r>
      <w:r>
        <w:rPr>
          <w:rStyle w:val="77"/>
          <w:rFonts w:hint="eastAsia" w:cs="Times New Roman" w:asciiTheme="minorEastAsia" w:hAnsiTheme="minorEastAsia" w:eastAsiaTheme="minorEastAsia"/>
          <w:snapToGrid/>
          <w:color w:val="auto"/>
          <w:kern w:val="2"/>
          <w:sz w:val="24"/>
          <w:szCs w:val="24"/>
          <w:highlight w:val="none"/>
          <w:lang w:val="en-US" w:eastAsia="zh-CN"/>
        </w:rPr>
        <w:t>6</w:t>
      </w:r>
      <w:r>
        <w:rPr>
          <w:rStyle w:val="77"/>
          <w:rFonts w:cs="Times New Roman" w:asciiTheme="minorEastAsia" w:hAnsiTheme="minorEastAsia" w:eastAsiaTheme="minorEastAsia"/>
          <w:snapToGrid/>
          <w:color w:val="auto"/>
          <w:kern w:val="2"/>
          <w:sz w:val="24"/>
          <w:szCs w:val="24"/>
          <w:highlight w:val="none"/>
        </w:rPr>
        <w:t>年</w:t>
      </w:r>
      <w:r>
        <w:rPr>
          <w:rStyle w:val="77"/>
          <w:rFonts w:hint="eastAsia" w:cs="Times New Roman" w:asciiTheme="minorEastAsia" w:hAnsiTheme="minorEastAsia" w:eastAsiaTheme="minorEastAsia"/>
          <w:snapToGrid/>
          <w:color w:val="auto"/>
          <w:kern w:val="2"/>
          <w:sz w:val="24"/>
          <w:szCs w:val="24"/>
          <w:highlight w:val="none"/>
          <w:lang w:val="en-US" w:eastAsia="zh-CN"/>
        </w:rPr>
        <w:t>6月15日13</w:t>
      </w:r>
      <w:r>
        <w:rPr>
          <w:rStyle w:val="77"/>
          <w:rFonts w:hint="eastAsia" w:cs="Times New Roman" w:asciiTheme="minorEastAsia" w:hAnsiTheme="minorEastAsia" w:eastAsiaTheme="minorEastAsia"/>
          <w:snapToGrid/>
          <w:color w:val="auto"/>
          <w:kern w:val="2"/>
          <w:sz w:val="24"/>
          <w:szCs w:val="24"/>
          <w:highlight w:val="none"/>
        </w:rPr>
        <w:t>点</w:t>
      </w:r>
      <w:r>
        <w:rPr>
          <w:rStyle w:val="77"/>
          <w:rFonts w:hint="eastAsia" w:cs="Times New Roman" w:asciiTheme="minorEastAsia" w:hAnsiTheme="minorEastAsia" w:eastAsiaTheme="minorEastAsia"/>
          <w:snapToGrid/>
          <w:color w:val="auto"/>
          <w:kern w:val="2"/>
          <w:sz w:val="24"/>
          <w:szCs w:val="24"/>
          <w:highlight w:val="none"/>
          <w:lang w:val="en-US" w:eastAsia="zh-CN"/>
        </w:rPr>
        <w:t>30</w:t>
      </w:r>
      <w:r>
        <w:rPr>
          <w:rStyle w:val="77"/>
          <w:rFonts w:hint="eastAsia" w:cs="Times New Roman" w:asciiTheme="minorEastAsia" w:hAnsiTheme="minorEastAsia" w:eastAsiaTheme="minorEastAsia"/>
          <w:snapToGrid/>
          <w:color w:val="auto"/>
          <w:kern w:val="2"/>
          <w:sz w:val="24"/>
          <w:szCs w:val="24"/>
          <w:highlight w:val="none"/>
        </w:rPr>
        <w:t>分</w:t>
      </w:r>
      <w:r>
        <w:rPr>
          <w:rStyle w:val="77"/>
          <w:rFonts w:hint="eastAsia" w:cs="Times New Roman" w:asciiTheme="minorEastAsia" w:hAnsiTheme="minorEastAsia" w:eastAsiaTheme="minorEastAsia"/>
          <w:bCs/>
          <w:snapToGrid/>
          <w:color w:val="auto"/>
          <w:kern w:val="2"/>
          <w:sz w:val="24"/>
          <w:szCs w:val="24"/>
          <w:highlight w:val="none"/>
        </w:rPr>
        <w:t>00秒</w:t>
      </w:r>
      <w:r>
        <w:rPr>
          <w:rStyle w:val="77"/>
          <w:rFonts w:hint="eastAsia" w:cs="Times New Roman" w:asciiTheme="minorEastAsia" w:hAnsiTheme="minorEastAsia" w:eastAsiaTheme="minorEastAsia"/>
          <w:bCs/>
          <w:snapToGrid/>
          <w:color w:val="auto"/>
          <w:kern w:val="2"/>
          <w:sz w:val="24"/>
          <w:szCs w:val="24"/>
          <w:highlight w:val="none"/>
        </w:rPr>
        <w:fldChar w:fldCharType="end"/>
      </w:r>
      <w:r>
        <w:rPr>
          <w:rFonts w:hint="eastAsia" w:asciiTheme="minorEastAsia" w:hAnsiTheme="minorEastAsia" w:eastAsiaTheme="minorEastAsia"/>
          <w:bCs/>
          <w:color w:val="auto"/>
          <w:sz w:val="24"/>
          <w:highlight w:val="none"/>
        </w:rPr>
        <w:t>（北京时间）前</w:t>
      </w:r>
      <w:r>
        <w:rPr>
          <w:rFonts w:hint="eastAsia" w:asciiTheme="minorEastAsia" w:hAnsiTheme="minorEastAsia" w:eastAsiaTheme="minorEastAsia"/>
          <w:color w:val="auto"/>
          <w:sz w:val="24"/>
          <w:highlight w:val="none"/>
        </w:rPr>
        <w:t>递交（上传）投标文件。</w:t>
      </w:r>
    </w:p>
    <w:p w14:paraId="3AED576C">
      <w:pPr>
        <w:bidi w:val="0"/>
        <w:rPr>
          <w:rFonts w:hint="eastAsia"/>
        </w:rPr>
      </w:pPr>
    </w:p>
    <w:p w14:paraId="18971E72">
      <w:pPr>
        <w:spacing w:line="360" w:lineRule="auto"/>
        <w:outlineLvl w:val="1"/>
        <w:rPr>
          <w:rFonts w:ascii="宋体" w:hAnsi="宋体" w:cs="宋体"/>
          <w:b/>
          <w:color w:val="auto"/>
          <w:sz w:val="24"/>
          <w:highlight w:val="none"/>
        </w:rPr>
      </w:pPr>
      <w:r>
        <w:rPr>
          <w:rFonts w:hint="eastAsia" w:ascii="宋体" w:hAnsi="宋体" w:cs="宋体"/>
          <w:b/>
          <w:color w:val="auto"/>
          <w:sz w:val="24"/>
          <w:highlight w:val="none"/>
        </w:rPr>
        <w:t>一、项目基本情况</w:t>
      </w:r>
    </w:p>
    <w:p w14:paraId="7A98BC36">
      <w:pPr>
        <w:spacing w:line="360" w:lineRule="auto"/>
        <w:ind w:firstLine="482" w:firstLineChars="200"/>
        <w:rPr>
          <w:rFonts w:hint="eastAsia" w:ascii="宋体" w:hAnsi="宋体" w:eastAsia="宋体" w:cs="宋体"/>
          <w:color w:val="auto"/>
          <w:sz w:val="24"/>
          <w:highlight w:val="none"/>
          <w:lang w:val="en-US" w:eastAsia="zh-CN"/>
        </w:rPr>
      </w:pPr>
      <w:r>
        <w:rPr>
          <w:rFonts w:hint="eastAsia" w:ascii="宋体" w:hAnsi="宋体" w:cs="宋体"/>
          <w:b/>
          <w:color w:val="auto"/>
          <w:sz w:val="24"/>
          <w:highlight w:val="none"/>
        </w:rPr>
        <w:t>项目编号：</w:t>
      </w:r>
      <w:r>
        <w:rPr>
          <w:rFonts w:hint="eastAsia" w:ascii="宋体" w:hAnsi="宋体" w:cs="宋体"/>
          <w:color w:val="auto"/>
          <w:sz w:val="24"/>
          <w:highlight w:val="none"/>
        </w:rPr>
        <w:t>LZC-GK-[2026]865号</w:t>
      </w:r>
    </w:p>
    <w:p w14:paraId="4301CE60">
      <w:pPr>
        <w:spacing w:line="360" w:lineRule="auto"/>
        <w:ind w:firstLine="480"/>
        <w:rPr>
          <w:rFonts w:hint="eastAsia" w:ascii="宋体" w:hAnsi="宋体" w:cs="宋体"/>
          <w:color w:val="auto"/>
          <w:sz w:val="24"/>
          <w:highlight w:val="none"/>
        </w:rPr>
      </w:pPr>
      <w:r>
        <w:rPr>
          <w:rFonts w:hint="eastAsia" w:ascii="宋体" w:hAnsi="宋体" w:cs="宋体"/>
          <w:b/>
          <w:color w:val="auto"/>
          <w:sz w:val="24"/>
          <w:highlight w:val="none"/>
        </w:rPr>
        <w:t>项目名称</w:t>
      </w:r>
      <w:r>
        <w:rPr>
          <w:rFonts w:hint="eastAsia" w:ascii="宋体" w:hAnsi="宋体" w:cs="宋体"/>
          <w:b/>
          <w:color w:val="auto"/>
          <w:sz w:val="24"/>
          <w:highlight w:val="none"/>
          <w:lang w:eastAsia="zh-CN"/>
        </w:rPr>
        <w:t>：</w:t>
      </w:r>
      <w:r>
        <w:rPr>
          <w:rFonts w:hint="eastAsia" w:ascii="宋体" w:hAnsi="宋体" w:cs="宋体"/>
          <w:color w:val="auto"/>
          <w:sz w:val="24"/>
          <w:highlight w:val="none"/>
        </w:rPr>
        <w:t>杭州市临安区人民法院2026年便携式计算机采购项目</w:t>
      </w:r>
    </w:p>
    <w:p w14:paraId="41CC9921">
      <w:pPr>
        <w:spacing w:line="360" w:lineRule="auto"/>
        <w:ind w:firstLine="480"/>
        <w:rPr>
          <w:rFonts w:hint="default" w:ascii="宋体" w:hAnsi="宋体" w:eastAsia="宋体" w:cs="宋体"/>
          <w:b w:val="0"/>
          <w:bCs/>
          <w:color w:val="auto"/>
          <w:sz w:val="24"/>
          <w:highlight w:val="none"/>
          <w:lang w:val="en-US" w:eastAsia="zh-CN"/>
        </w:rPr>
      </w:pPr>
      <w:r>
        <w:rPr>
          <w:rFonts w:hint="eastAsia" w:ascii="宋体" w:hAnsi="宋体" w:cs="宋体"/>
          <w:b/>
          <w:color w:val="auto"/>
          <w:sz w:val="24"/>
          <w:highlight w:val="none"/>
        </w:rPr>
        <w:t>预算金额（元）：</w:t>
      </w:r>
      <w:r>
        <w:rPr>
          <w:rFonts w:hint="eastAsia" w:ascii="宋体" w:hAnsi="宋体" w:cs="宋体"/>
          <w:b w:val="0"/>
          <w:bCs/>
          <w:color w:val="auto"/>
          <w:sz w:val="24"/>
          <w:highlight w:val="none"/>
          <w:lang w:val="en-US" w:eastAsia="zh-CN"/>
        </w:rPr>
        <w:t>378000</w:t>
      </w:r>
    </w:p>
    <w:p w14:paraId="6E250B88">
      <w:pPr>
        <w:spacing w:line="360" w:lineRule="auto"/>
        <w:ind w:firstLine="480"/>
        <w:rPr>
          <w:rFonts w:hint="default" w:ascii="宋体" w:hAnsi="宋体" w:eastAsia="宋体" w:cs="宋体"/>
          <w:color w:val="auto"/>
          <w:sz w:val="24"/>
          <w:highlight w:val="none"/>
          <w:lang w:val="en-US" w:eastAsia="zh-CN"/>
        </w:rPr>
      </w:pPr>
      <w:r>
        <w:rPr>
          <w:rFonts w:hint="eastAsia" w:ascii="宋体" w:hAnsi="宋体" w:cs="宋体"/>
          <w:b/>
          <w:color w:val="auto"/>
          <w:sz w:val="24"/>
          <w:highlight w:val="none"/>
        </w:rPr>
        <w:t>最高限价（元）：</w:t>
      </w:r>
      <w:r>
        <w:rPr>
          <w:rFonts w:hint="eastAsia" w:ascii="宋体" w:hAnsi="宋体" w:cs="宋体"/>
          <w:b w:val="0"/>
          <w:bCs/>
          <w:color w:val="auto"/>
          <w:sz w:val="24"/>
          <w:highlight w:val="none"/>
          <w:lang w:val="en-US" w:eastAsia="zh-CN"/>
        </w:rPr>
        <w:t>378000</w:t>
      </w:r>
    </w:p>
    <w:p w14:paraId="045ECC80">
      <w:pPr>
        <w:pStyle w:val="5"/>
        <w:spacing w:line="360" w:lineRule="auto"/>
        <w:ind w:firstLine="480"/>
        <w:rPr>
          <w:rFonts w:hAnsi="宋体" w:cs="宋体"/>
          <w:bCs/>
          <w:snapToGrid/>
          <w:color w:val="auto"/>
          <w:kern w:val="2"/>
          <w:sz w:val="24"/>
          <w:szCs w:val="24"/>
          <w:highlight w:val="none"/>
        </w:rPr>
      </w:pPr>
      <w:r>
        <w:rPr>
          <w:rFonts w:hint="eastAsia" w:hAnsi="宋体" w:cs="宋体"/>
          <w:b/>
          <w:color w:val="auto"/>
          <w:sz w:val="24"/>
          <w:highlight w:val="none"/>
        </w:rPr>
        <w:t>采购需求：</w:t>
      </w:r>
      <w:r>
        <w:rPr>
          <w:rFonts w:hint="eastAsia" w:hAnsi="宋体" w:cs="宋体"/>
          <w:b w:val="0"/>
          <w:bCs/>
          <w:color w:val="auto"/>
          <w:w w:val="100"/>
          <w:sz w:val="24"/>
          <w:highlight w:val="none"/>
        </w:rPr>
        <w:t>符合信息技术创新改造产品要求的便携式计算机</w:t>
      </w:r>
      <w:r>
        <w:rPr>
          <w:rFonts w:hint="eastAsia" w:hAnsi="宋体" w:cs="宋体"/>
          <w:b w:val="0"/>
          <w:bCs/>
          <w:color w:val="auto"/>
          <w:w w:val="100"/>
          <w:sz w:val="24"/>
          <w:highlight w:val="none"/>
          <w:lang w:val="en-US" w:eastAsia="zh-CN"/>
        </w:rPr>
        <w:t>54</w:t>
      </w:r>
      <w:r>
        <w:rPr>
          <w:rFonts w:hint="eastAsia" w:hAnsi="宋体" w:cs="宋体"/>
          <w:b w:val="0"/>
          <w:bCs/>
          <w:color w:val="auto"/>
          <w:w w:val="100"/>
          <w:sz w:val="24"/>
          <w:highlight w:val="none"/>
        </w:rPr>
        <w:t>台</w:t>
      </w:r>
      <w:r>
        <w:rPr>
          <w:rFonts w:hint="eastAsia" w:hAnsi="宋体" w:cs="宋体"/>
          <w:b w:val="0"/>
          <w:bCs/>
          <w:color w:val="auto"/>
          <w:w w:val="100"/>
          <w:sz w:val="24"/>
          <w:highlight w:val="none"/>
          <w:lang w:eastAsia="zh-CN"/>
        </w:rPr>
        <w:t>，</w:t>
      </w:r>
      <w:r>
        <w:rPr>
          <w:rFonts w:hint="eastAsia" w:hAnsi="宋体" w:cs="宋体"/>
          <w:b w:val="0"/>
          <w:bCs/>
          <w:color w:val="auto"/>
          <w:w w:val="100"/>
          <w:sz w:val="24"/>
          <w:highlight w:val="none"/>
        </w:rPr>
        <w:t>配套国产化操作系统。具体包括安装、产品调试、验收与相关的操作培训及不少于3年（含）7×24小时免费设备保修和售后现场技术服务等内容。具体以招标文件第三部分采购需求为准。</w:t>
      </w:r>
    </w:p>
    <w:p w14:paraId="34E3E31D">
      <w:pPr>
        <w:pStyle w:val="132"/>
        <w:keepNext w:val="0"/>
        <w:keepLines w:val="0"/>
        <w:pageBreakBefore w:val="0"/>
        <w:widowControl w:val="0"/>
        <w:kinsoku/>
        <w:wordWrap/>
        <w:overflowPunct/>
        <w:topLinePunct w:val="0"/>
        <w:autoSpaceDE/>
        <w:autoSpaceDN/>
        <w:bidi w:val="0"/>
        <w:adjustRightInd w:val="0"/>
        <w:snapToGrid/>
        <w:spacing w:before="0" w:line="360" w:lineRule="auto"/>
        <w:ind w:firstLine="482"/>
        <w:textAlignment w:val="auto"/>
        <w:outlineLvl w:val="9"/>
        <w:rPr>
          <w:rFonts w:ascii="宋体" w:hAnsi="宋体" w:cs="宋体"/>
          <w:color w:val="auto"/>
          <w:highlight w:val="none"/>
        </w:rPr>
      </w:pPr>
      <w:r>
        <w:rPr>
          <w:rFonts w:hint="eastAsia" w:ascii="宋体" w:hAnsi="宋体" w:cs="宋体"/>
          <w:b/>
          <w:color w:val="auto"/>
          <w:highlight w:val="none"/>
        </w:rPr>
        <w:t>合同履约期限：</w:t>
      </w:r>
      <w:r>
        <w:rPr>
          <w:rFonts w:hint="eastAsia" w:asciiTheme="minorEastAsia" w:hAnsiTheme="minorEastAsia" w:eastAsiaTheme="minorEastAsia" w:cstheme="minorEastAsia"/>
          <w:sz w:val="24"/>
          <w:szCs w:val="24"/>
          <w:highlight w:val="none"/>
        </w:rPr>
        <w:t>在合同生效后</w:t>
      </w:r>
      <w:r>
        <w:rPr>
          <w:rFonts w:hint="eastAsia" w:asciiTheme="minorEastAsia" w:hAnsiTheme="minorEastAsia" w:eastAsiaTheme="minorEastAsia" w:cstheme="minorEastAsia"/>
          <w:sz w:val="24"/>
          <w:szCs w:val="24"/>
          <w:highlight w:val="none"/>
          <w:lang w:val="en-US"/>
        </w:rPr>
        <w:t>30</w:t>
      </w:r>
      <w:r>
        <w:rPr>
          <w:rFonts w:hint="eastAsia" w:asciiTheme="minorEastAsia" w:hAnsiTheme="minorEastAsia" w:eastAsiaTheme="minorEastAsia" w:cstheme="minorEastAsia"/>
          <w:sz w:val="24"/>
          <w:szCs w:val="24"/>
          <w:highlight w:val="none"/>
        </w:rPr>
        <w:t>天内，供应商需将所供产品（出厂原包装）按合同清单所列的采购单位、地址以及货物品种、数量等，运至指定地点拆箱，并负责安装、调试，由采购单位负责验收。</w:t>
      </w:r>
    </w:p>
    <w:p w14:paraId="0DCEE65F">
      <w:pPr>
        <w:pStyle w:val="5"/>
        <w:keepNext w:val="0"/>
        <w:keepLines w:val="0"/>
        <w:pageBreakBefore w:val="0"/>
        <w:kinsoku/>
        <w:wordWrap/>
        <w:overflowPunct/>
        <w:topLinePunct w:val="0"/>
        <w:autoSpaceDE/>
        <w:autoSpaceDN/>
        <w:bidi w:val="0"/>
        <w:adjustRightInd w:val="0"/>
        <w:spacing w:line="360" w:lineRule="auto"/>
        <w:ind w:firstLine="480"/>
        <w:textAlignment w:val="auto"/>
        <w:outlineLvl w:val="9"/>
        <w:rPr>
          <w:rFonts w:hAnsi="宋体" w:cs="宋体"/>
          <w:color w:val="auto"/>
          <w:kern w:val="0"/>
          <w:sz w:val="24"/>
          <w:highlight w:val="none"/>
        </w:rPr>
      </w:pPr>
      <w:r>
        <w:rPr>
          <w:rFonts w:hint="eastAsia" w:hAnsi="宋体" w:cs="宋体"/>
          <w:b/>
          <w:color w:val="auto"/>
          <w:sz w:val="24"/>
          <w:highlight w:val="none"/>
        </w:rPr>
        <w:t>本项目接受联合体投标：</w:t>
      </w:r>
      <w:sdt>
        <w:sdtPr>
          <w:rPr>
            <w:rFonts w:hint="eastAsia" w:hAnsi="宋体" w:cs="宋体"/>
            <w:color w:val="auto"/>
            <w:kern w:val="0"/>
            <w:sz w:val="24"/>
            <w:highlight w:val="none"/>
          </w:rPr>
          <w:id w:val="2035453831"/>
          <w14:checkbox>
            <w14:checked w14:val="1"/>
            <w14:checkedState w14:val="00FE" w14:font="Wingdings"/>
            <w14:uncheckedState w14:val="2610" w14:font="MS Gothic"/>
          </w14:checkbox>
        </w:sdtPr>
        <w:sdtEndPr>
          <w:rPr>
            <w:rFonts w:hint="eastAsia" w:hAnsi="宋体" w:cs="宋体"/>
            <w:color w:val="auto"/>
            <w:kern w:val="0"/>
            <w:sz w:val="24"/>
            <w:highlight w:val="none"/>
          </w:rPr>
        </w:sdtEndPr>
        <w:sdtContent>
          <w:r>
            <w:rPr>
              <w:rFonts w:hint="eastAsia" w:hAnsi="宋体" w:cs="宋体"/>
              <w:color w:val="auto"/>
              <w:kern w:val="0"/>
              <w:sz w:val="24"/>
              <w:highlight w:val="none"/>
            </w:rPr>
            <w:sym w:font="Wingdings" w:char="F0FE"/>
          </w:r>
        </w:sdtContent>
      </w:sdt>
      <w:r>
        <w:rPr>
          <w:rFonts w:hint="eastAsia" w:hAnsi="宋体" w:cs="宋体"/>
          <w:b/>
          <w:color w:val="auto"/>
          <w:sz w:val="24"/>
          <w:highlight w:val="none"/>
        </w:rPr>
        <w:t>是</w:t>
      </w:r>
      <w:r>
        <w:rPr>
          <w:rFonts w:hint="eastAsia" w:hAnsi="宋体" w:cs="宋体"/>
          <w:b/>
          <w:snapToGrid/>
          <w:color w:val="auto"/>
          <w:kern w:val="2"/>
          <w:sz w:val="24"/>
          <w:highlight w:val="none"/>
        </w:rPr>
        <w:t>；</w:t>
      </w:r>
      <w:sdt>
        <w:sdtPr>
          <w:rPr>
            <w:rFonts w:hint="eastAsia" w:hAnsi="宋体" w:cs="宋体"/>
            <w:color w:val="auto"/>
            <w:kern w:val="0"/>
            <w:sz w:val="24"/>
            <w:highlight w:val="none"/>
          </w:rPr>
          <w:id w:val="-1"/>
          <w14:checkbox>
            <w14:checked w14:val="0"/>
            <w14:checkedState w14:val="00FE" w14:font="Wingdings"/>
            <w14:uncheckedState w14:val="2610" w14:font="MS Gothic"/>
          </w14:checkbox>
        </w:sdtPr>
        <w:sdtEndPr>
          <w:rPr>
            <w:rFonts w:hint="eastAsia" w:hAnsi="宋体" w:cs="宋体"/>
            <w:color w:val="auto"/>
            <w:kern w:val="0"/>
            <w:sz w:val="24"/>
            <w:highlight w:val="none"/>
          </w:rPr>
        </w:sdtEndPr>
        <w:sdtContent>
          <w:r>
            <w:rPr>
              <w:rFonts w:hint="eastAsia" w:hAnsi="宋体" w:cs="宋体"/>
              <w:color w:val="auto"/>
              <w:kern w:val="0"/>
              <w:sz w:val="24"/>
              <w:highlight w:val="none"/>
            </w:rPr>
            <w:t>☐</w:t>
          </w:r>
        </w:sdtContent>
      </w:sdt>
      <w:r>
        <w:rPr>
          <w:rFonts w:hint="eastAsia" w:hAnsi="宋体" w:cs="宋体"/>
          <w:b/>
          <w:color w:val="auto"/>
          <w:sz w:val="24"/>
          <w:highlight w:val="none"/>
        </w:rPr>
        <w:t>否</w:t>
      </w:r>
      <w:r>
        <w:rPr>
          <w:rFonts w:hint="eastAsia" w:hAnsi="宋体" w:cs="宋体"/>
          <w:color w:val="auto"/>
          <w:kern w:val="0"/>
          <w:sz w:val="24"/>
          <w:highlight w:val="none"/>
        </w:rPr>
        <w:t>。</w:t>
      </w:r>
    </w:p>
    <w:p w14:paraId="5B1A4D13">
      <w:pPr>
        <w:spacing w:line="360" w:lineRule="auto"/>
        <w:outlineLvl w:val="1"/>
        <w:rPr>
          <w:rFonts w:hint="eastAsia" w:ascii="宋体" w:hAnsi="宋体" w:cs="宋体"/>
          <w:b/>
          <w:color w:val="auto"/>
          <w:sz w:val="24"/>
          <w:highlight w:val="none"/>
        </w:rPr>
      </w:pPr>
      <w:r>
        <w:rPr>
          <w:rFonts w:hint="eastAsia" w:ascii="宋体" w:hAnsi="宋体" w:cs="宋体"/>
          <w:b/>
          <w:color w:val="auto"/>
          <w:sz w:val="24"/>
          <w:highlight w:val="none"/>
        </w:rPr>
        <w:t>二、</w:t>
      </w:r>
      <w:bookmarkStart w:id="11" w:name="_Hlk101132948"/>
      <w:r>
        <w:rPr>
          <w:rFonts w:hint="eastAsia" w:ascii="宋体" w:hAnsi="宋体" w:cs="宋体"/>
          <w:b/>
          <w:color w:val="auto"/>
          <w:sz w:val="24"/>
          <w:highlight w:val="none"/>
        </w:rPr>
        <w:t>申请人的资格要求</w:t>
      </w:r>
      <w:bookmarkEnd w:id="11"/>
      <w:r>
        <w:rPr>
          <w:rFonts w:hint="eastAsia" w:ascii="宋体" w:hAnsi="宋体" w:cs="宋体"/>
          <w:b/>
          <w:color w:val="auto"/>
          <w:sz w:val="24"/>
          <w:highlight w:val="none"/>
        </w:rPr>
        <w:t>：</w:t>
      </w:r>
    </w:p>
    <w:p w14:paraId="0240DD1A">
      <w:pPr>
        <w:spacing w:line="360" w:lineRule="auto"/>
        <w:ind w:firstLine="48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满足《中华人民共和国政府采购法》第二十二条规定；未被“信用中国”（www.creditchina.gov.cn)、中国政府采购网（www.ccgp.gov.cn）列入失信被执行人、重大税收违法案件当事人名单、政府采购严重违法失信行为记录名单；</w:t>
      </w:r>
    </w:p>
    <w:p w14:paraId="5234D6C3">
      <w:pPr>
        <w:spacing w:line="360" w:lineRule="auto"/>
        <w:ind w:firstLine="480" w:firstLineChars="200"/>
        <w:rPr>
          <w:rFonts w:ascii="宋体" w:hAnsi="宋体" w:cs="宋体"/>
          <w:snapToGrid w:val="0"/>
          <w:color w:val="auto"/>
          <w:kern w:val="28"/>
          <w:sz w:val="24"/>
          <w:szCs w:val="20"/>
          <w:highlight w:val="none"/>
        </w:rPr>
      </w:pPr>
      <w:r>
        <w:rPr>
          <w:rFonts w:ascii="宋体" w:hAnsi="宋体" w:cs="宋体"/>
          <w:snapToGrid w:val="0"/>
          <w:color w:val="auto"/>
          <w:kern w:val="28"/>
          <w:sz w:val="24"/>
          <w:szCs w:val="20"/>
          <w:highlight w:val="none"/>
        </w:rPr>
        <w:t>2</w:t>
      </w:r>
      <w:r>
        <w:rPr>
          <w:rFonts w:hint="eastAsia" w:ascii="宋体" w:hAnsi="宋体" w:cs="宋体"/>
          <w:snapToGrid w:val="0"/>
          <w:color w:val="auto"/>
          <w:kern w:val="28"/>
          <w:sz w:val="24"/>
          <w:szCs w:val="20"/>
          <w:highlight w:val="none"/>
        </w:rPr>
        <w:t>.以联合体形式投标的，提供联合协议</w:t>
      </w:r>
      <w:r>
        <w:rPr>
          <w:rFonts w:hint="eastAsia" w:ascii="宋体" w:hAnsi="宋体" w:cs="宋体"/>
          <w:snapToGrid w:val="0"/>
          <w:color w:val="auto"/>
          <w:kern w:val="28"/>
          <w:sz w:val="24"/>
          <w:szCs w:val="20"/>
          <w:highlight w:val="none"/>
          <w:lang w:eastAsia="zh-CN"/>
        </w:rPr>
        <w:t>（</w:t>
      </w:r>
      <w:r>
        <w:rPr>
          <w:rFonts w:hint="eastAsia" w:ascii="宋体" w:hAnsi="宋体" w:cs="宋体"/>
          <w:snapToGrid w:val="0"/>
          <w:color w:val="auto"/>
          <w:kern w:val="28"/>
          <w:sz w:val="24"/>
          <w:szCs w:val="20"/>
          <w:highlight w:val="none"/>
        </w:rPr>
        <w:t>本项目不接受联合体投标或者投标人不以联合体形式投标的，则不需要提供</w:t>
      </w:r>
      <w:r>
        <w:rPr>
          <w:rFonts w:hint="eastAsia" w:ascii="宋体" w:hAnsi="宋体" w:cs="宋体"/>
          <w:snapToGrid w:val="0"/>
          <w:color w:val="auto"/>
          <w:kern w:val="28"/>
          <w:sz w:val="24"/>
          <w:szCs w:val="20"/>
          <w:highlight w:val="none"/>
          <w:lang w:eastAsia="zh-CN"/>
        </w:rPr>
        <w:t>）</w:t>
      </w:r>
      <w:r>
        <w:rPr>
          <w:rFonts w:hint="eastAsia" w:ascii="宋体" w:hAnsi="宋体" w:cs="宋体"/>
          <w:snapToGrid w:val="0"/>
          <w:color w:val="auto"/>
          <w:kern w:val="28"/>
          <w:sz w:val="24"/>
          <w:szCs w:val="20"/>
          <w:highlight w:val="none"/>
        </w:rPr>
        <w:t>；</w:t>
      </w:r>
    </w:p>
    <w:p w14:paraId="7ACF5D46">
      <w:pPr>
        <w:spacing w:line="360" w:lineRule="auto"/>
        <w:ind w:firstLine="480" w:firstLineChars="200"/>
        <w:rPr>
          <w:rFonts w:ascii="宋体" w:hAnsi="宋体" w:cs="宋体"/>
          <w:snapToGrid w:val="0"/>
          <w:color w:val="auto"/>
          <w:kern w:val="28"/>
          <w:sz w:val="24"/>
          <w:szCs w:val="20"/>
          <w:highlight w:val="none"/>
        </w:rPr>
      </w:pPr>
      <w:r>
        <w:rPr>
          <w:rFonts w:ascii="宋体" w:hAnsi="宋体" w:cs="宋体"/>
          <w:snapToGrid w:val="0"/>
          <w:color w:val="auto"/>
          <w:kern w:val="28"/>
          <w:sz w:val="24"/>
          <w:szCs w:val="20"/>
          <w:highlight w:val="none"/>
        </w:rPr>
        <w:t>3</w:t>
      </w:r>
      <w:r>
        <w:rPr>
          <w:rFonts w:hint="eastAsia" w:ascii="宋体" w:hAnsi="宋体" w:cs="宋体"/>
          <w:snapToGrid w:val="0"/>
          <w:color w:val="auto"/>
          <w:kern w:val="28"/>
          <w:sz w:val="24"/>
          <w:szCs w:val="20"/>
          <w:highlight w:val="none"/>
        </w:rPr>
        <w:t>.落实政府采购政策需满足的资格要求：</w:t>
      </w:r>
    </w:p>
    <w:p w14:paraId="498FD0CB">
      <w:pPr>
        <w:spacing w:line="360" w:lineRule="auto"/>
        <w:ind w:firstLine="480" w:firstLineChars="200"/>
        <w:rPr>
          <w:rFonts w:ascii="宋体" w:hAnsi="宋体" w:cs="宋体"/>
          <w:color w:val="auto"/>
          <w:sz w:val="24"/>
          <w:highlight w:val="none"/>
        </w:rPr>
      </w:pPr>
      <w:sdt>
        <w:sdtPr>
          <w:rPr>
            <w:rFonts w:hint="eastAsia" w:ascii="宋体" w:hAnsi="宋体" w:cs="宋体"/>
            <w:color w:val="auto"/>
            <w:kern w:val="0"/>
            <w:sz w:val="24"/>
            <w:highlight w:val="none"/>
          </w:rPr>
          <w:id w:val="1928616923"/>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Wingdings" w:hAnsi="Wingdings" w:eastAsia="宋体" w:cs="宋体"/>
              <w:color w:val="auto"/>
              <w:kern w:val="0"/>
              <w:sz w:val="24"/>
              <w:szCs w:val="24"/>
              <w:highlight w:val="none"/>
              <w:lang w:val="en-US" w:eastAsia="zh-CN" w:bidi="ar-SA"/>
            </w:rPr>
            <w:t>þ</w:t>
          </w:r>
        </w:sdtContent>
      </w:sdt>
      <w:r>
        <w:rPr>
          <w:rFonts w:hint="eastAsia" w:ascii="宋体" w:hAnsi="宋体" w:cs="宋体"/>
          <w:color w:val="auto"/>
          <w:sz w:val="24"/>
          <w:highlight w:val="none"/>
        </w:rPr>
        <w:t>无</w:t>
      </w:r>
      <w:r>
        <w:rPr>
          <w:rFonts w:hint="eastAsia" w:ascii="宋体" w:hAnsi="宋体" w:cs="宋体"/>
          <w:snapToGrid w:val="0"/>
          <w:color w:val="auto"/>
          <w:kern w:val="28"/>
          <w:sz w:val="24"/>
          <w:szCs w:val="20"/>
          <w:highlight w:val="none"/>
        </w:rPr>
        <w:t>（注：不得限制大中型企业与小微企业组成联合体参与投标）</w:t>
      </w:r>
      <w:r>
        <w:rPr>
          <w:rFonts w:hint="eastAsia" w:ascii="宋体" w:hAnsi="宋体" w:cs="宋体"/>
          <w:color w:val="auto"/>
          <w:sz w:val="24"/>
          <w:highlight w:val="none"/>
        </w:rPr>
        <w:t>；</w:t>
      </w:r>
    </w:p>
    <w:p w14:paraId="2D3FD6DD">
      <w:pPr>
        <w:spacing w:line="360" w:lineRule="auto"/>
        <w:ind w:firstLine="480" w:firstLineChars="200"/>
        <w:rPr>
          <w:rFonts w:ascii="宋体" w:hAnsi="宋体" w:cs="宋体"/>
          <w:color w:val="auto"/>
          <w:sz w:val="24"/>
          <w:highlight w:val="none"/>
        </w:rPr>
      </w:pPr>
      <w:sdt>
        <w:sdtPr>
          <w:rPr>
            <w:rFonts w:hint="eastAsia" w:ascii="宋体" w:hAnsi="宋体" w:cs="宋体"/>
            <w:color w:val="auto"/>
            <w:kern w:val="0"/>
            <w:sz w:val="24"/>
            <w:highlight w:val="none"/>
          </w:rPr>
          <w:id w:val="957145625"/>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szCs w:val="24"/>
              <w:highlight w:val="none"/>
              <w:lang w:val="en-US" w:eastAsia="zh-CN" w:bidi="ar-SA"/>
            </w:rPr>
            <w:t>☐</w:t>
          </w:r>
        </w:sdtContent>
      </w:sdt>
      <w:r>
        <w:rPr>
          <w:rFonts w:hint="eastAsia" w:ascii="宋体" w:hAnsi="宋体" w:cs="宋体"/>
          <w:color w:val="auto"/>
          <w:kern w:val="0"/>
          <w:sz w:val="24"/>
          <w:highlight w:val="none"/>
        </w:rPr>
        <w:t>专</w:t>
      </w:r>
      <w:r>
        <w:rPr>
          <w:rFonts w:hint="eastAsia" w:ascii="宋体" w:hAnsi="宋体" w:cs="宋体"/>
          <w:color w:val="auto"/>
          <w:sz w:val="24"/>
          <w:highlight w:val="none"/>
        </w:rPr>
        <w:t>门面向中小企业</w:t>
      </w:r>
    </w:p>
    <w:p w14:paraId="1D66D433">
      <w:pPr>
        <w:spacing w:line="360" w:lineRule="auto"/>
        <w:ind w:firstLine="897" w:firstLineChars="374"/>
        <w:rPr>
          <w:rFonts w:ascii="宋体" w:hAnsi="宋体" w:cs="宋体"/>
          <w:color w:val="auto"/>
          <w:sz w:val="24"/>
          <w:highlight w:val="none"/>
          <w:u w:val="single"/>
        </w:rPr>
      </w:pPr>
      <w:sdt>
        <w:sdtPr>
          <w:rPr>
            <w:rFonts w:hint="eastAsia" w:ascii="宋体" w:hAnsi="宋体" w:cs="宋体"/>
            <w:color w:val="auto"/>
            <w:kern w:val="0"/>
            <w:sz w:val="24"/>
            <w:highlight w:val="none"/>
          </w:rPr>
          <w:id w:val="354303675"/>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szCs w:val="24"/>
              <w:highlight w:val="none"/>
              <w:lang w:val="en-US" w:eastAsia="zh-CN" w:bidi="ar-SA"/>
            </w:rPr>
            <w:t>☐</w:t>
          </w:r>
        </w:sdtContent>
      </w:sdt>
      <w:r>
        <w:rPr>
          <w:rFonts w:hint="eastAsia" w:ascii="宋体" w:hAnsi="宋体" w:cs="宋体"/>
          <w:color w:val="auto"/>
          <w:sz w:val="24"/>
          <w:highlight w:val="none"/>
        </w:rPr>
        <w:t>货物全部由符合政策要求的中小企业制造，提供中小企业声明函；</w:t>
      </w:r>
    </w:p>
    <w:p w14:paraId="32C23929">
      <w:pPr>
        <w:spacing w:line="360" w:lineRule="auto"/>
        <w:ind w:firstLine="897" w:firstLineChars="374"/>
        <w:rPr>
          <w:rFonts w:ascii="宋体" w:hAnsi="宋体" w:cs="宋体"/>
          <w:color w:val="auto"/>
          <w:sz w:val="24"/>
          <w:highlight w:val="none"/>
        </w:rPr>
      </w:pPr>
      <w:sdt>
        <w:sdtPr>
          <w:rPr>
            <w:rFonts w:hint="eastAsia" w:ascii="宋体" w:hAnsi="宋体" w:cs="宋体"/>
            <w:color w:val="auto"/>
            <w:kern w:val="0"/>
            <w:sz w:val="24"/>
            <w:highlight w:val="none"/>
          </w:rPr>
          <w:id w:val="313491756"/>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sz w:val="24"/>
          <w:highlight w:val="none"/>
        </w:rPr>
        <w:t>货物全部由符合政策要求的小微企业制造，提供中小企业声明函；</w:t>
      </w:r>
    </w:p>
    <w:p w14:paraId="0836384E">
      <w:pPr>
        <w:spacing w:line="360" w:lineRule="auto"/>
        <w:ind w:firstLine="480" w:firstLineChars="200"/>
        <w:rPr>
          <w:rFonts w:ascii="宋体" w:hAnsi="宋体" w:cs="宋体"/>
          <w:color w:val="auto"/>
          <w:sz w:val="24"/>
          <w:highlight w:val="none"/>
        </w:rPr>
      </w:pPr>
      <w:sdt>
        <w:sdtPr>
          <w:rPr>
            <w:rFonts w:hint="eastAsia" w:ascii="宋体" w:hAnsi="宋体" w:cs="宋体"/>
            <w:color w:val="auto"/>
            <w:kern w:val="0"/>
            <w:sz w:val="24"/>
            <w:highlight w:val="none"/>
          </w:rPr>
          <w:id w:val="648567299"/>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bookmarkStart w:id="12" w:name="_Hlk101132524"/>
        </w:sdtContent>
      </w:sdt>
      <w:r>
        <w:rPr>
          <w:rFonts w:hint="eastAsia" w:ascii="宋体" w:hAnsi="宋体" w:cs="宋体"/>
          <w:color w:val="auto"/>
          <w:kern w:val="0"/>
          <w:sz w:val="24"/>
          <w:highlight w:val="none"/>
          <w:lang w:eastAsia="zh-CN"/>
        </w:rPr>
        <w:t>供应商应</w:t>
      </w:r>
      <w:r>
        <w:rPr>
          <w:rFonts w:hint="eastAsia" w:ascii="宋体" w:hAnsi="宋体" w:cs="宋体"/>
          <w:color w:val="auto"/>
          <w:sz w:val="24"/>
          <w:highlight w:val="none"/>
        </w:rPr>
        <w:t>以联合体形式参加，提供联合协议和中小企业声明函，联合协议中中小企业合同金额应当达到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%，其中小微企业合同金额应当达到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r>
        <w:rPr>
          <w:rFonts w:hint="eastAsia" w:ascii="宋体" w:hAnsi="宋体" w:cs="宋体"/>
          <w:color w:val="auto"/>
          <w:sz w:val="24"/>
          <w:highlight w:val="none"/>
          <w:lang w:eastAsia="zh-CN"/>
        </w:rPr>
        <w:t>。</w:t>
      </w:r>
      <w:r>
        <w:rPr>
          <w:rFonts w:hint="eastAsia" w:ascii="宋体" w:hAnsi="宋体" w:cs="宋体"/>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宋体" w:hAnsi="宋体" w:cs="宋体"/>
          <w:color w:val="auto"/>
          <w:sz w:val="24"/>
          <w:highlight w:val="none"/>
        </w:rPr>
        <w:t>；</w:t>
      </w:r>
    </w:p>
    <w:bookmarkEnd w:id="12"/>
    <w:p w14:paraId="00F333EB">
      <w:pPr>
        <w:spacing w:line="360" w:lineRule="auto"/>
        <w:ind w:firstLine="480" w:firstLineChars="200"/>
        <w:rPr>
          <w:rFonts w:hint="eastAsia" w:ascii="宋体" w:hAnsi="宋体" w:eastAsia="宋体" w:cs="宋体"/>
          <w:color w:val="auto"/>
          <w:sz w:val="24"/>
          <w:highlight w:val="none"/>
          <w:lang w:eastAsia="zh-CN"/>
        </w:rPr>
      </w:pPr>
      <w:sdt>
        <w:sdtPr>
          <w:rPr>
            <w:rFonts w:hint="eastAsia" w:ascii="宋体" w:hAnsi="宋体" w:cs="宋体"/>
            <w:color w:val="auto"/>
            <w:kern w:val="0"/>
            <w:sz w:val="24"/>
            <w:highlight w:val="none"/>
          </w:rPr>
          <w:id w:val="34630645"/>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0"/>
          <w:sz w:val="24"/>
          <w:highlight w:val="none"/>
          <w:lang w:eastAsia="zh-CN"/>
        </w:rPr>
        <w:t>供应商应以</w:t>
      </w:r>
      <w:r>
        <w:rPr>
          <w:rFonts w:hint="eastAsia" w:ascii="宋体" w:hAnsi="宋体" w:cs="宋体"/>
          <w:color w:val="auto"/>
          <w:sz w:val="24"/>
          <w:highlight w:val="none"/>
        </w:rPr>
        <w:t>合同分包</w:t>
      </w:r>
      <w:r>
        <w:rPr>
          <w:rFonts w:hint="eastAsia" w:ascii="宋体" w:hAnsi="宋体" w:cs="宋体"/>
          <w:color w:val="auto"/>
          <w:sz w:val="24"/>
          <w:highlight w:val="none"/>
          <w:lang w:eastAsia="zh-CN"/>
        </w:rPr>
        <w:t>形式参加</w:t>
      </w:r>
      <w:r>
        <w:rPr>
          <w:rFonts w:hint="eastAsia" w:ascii="宋体" w:hAnsi="宋体" w:cs="宋体"/>
          <w:color w:val="auto"/>
          <w:sz w:val="24"/>
          <w:highlight w:val="none"/>
        </w:rPr>
        <w:t>，提供分包意向协议和中小企业声明函，分包意向协议中中小企业合同金额应当达到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%，其中小微企业合同金额应当达到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r>
        <w:rPr>
          <w:rFonts w:hint="eastAsia" w:ascii="宋体" w:hAnsi="宋体" w:cs="宋体"/>
          <w:color w:val="auto"/>
          <w:sz w:val="24"/>
          <w:highlight w:val="none"/>
          <w:lang w:eastAsia="zh-CN"/>
        </w:rPr>
        <w:t>。</w:t>
      </w:r>
      <w:r>
        <w:rPr>
          <w:rFonts w:hint="eastAsia" w:ascii="宋体" w:hAnsi="宋体" w:cs="宋体"/>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宋体" w:hAnsi="宋体" w:cs="宋体"/>
          <w:color w:val="auto"/>
          <w:sz w:val="24"/>
          <w:highlight w:val="none"/>
          <w:lang w:eastAsia="zh-CN"/>
        </w:rPr>
        <w:t>。</w:t>
      </w:r>
    </w:p>
    <w:p w14:paraId="1BD528AB">
      <w:pPr>
        <w:snapToGrid w:val="0"/>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4</w:t>
      </w:r>
      <w:r>
        <w:rPr>
          <w:rFonts w:hint="eastAsia" w:ascii="宋体" w:hAnsi="宋体" w:cs="宋体"/>
          <w:color w:val="auto"/>
          <w:sz w:val="24"/>
          <w:highlight w:val="none"/>
        </w:rPr>
        <w:t>.本项目的特定资格要求：</w:t>
      </w:r>
    </w:p>
    <w:p w14:paraId="740DC929">
      <w:pPr>
        <w:snapToGrid w:val="0"/>
        <w:spacing w:line="360" w:lineRule="auto"/>
        <w:ind w:firstLine="480" w:firstLineChars="200"/>
        <w:rPr>
          <w:rFonts w:hint="eastAsia" w:ascii="宋体" w:hAnsi="宋体" w:eastAsia="宋体" w:cs="宋体"/>
          <w:color w:val="auto"/>
          <w:sz w:val="24"/>
          <w:highlight w:val="none"/>
          <w:lang w:val="en-US" w:eastAsia="zh-CN"/>
        </w:rPr>
      </w:pPr>
      <w:sdt>
        <w:sdtPr>
          <w:rPr>
            <w:rFonts w:hint="eastAsia" w:ascii="宋体" w:hAnsi="宋体" w:cs="宋体"/>
            <w:color w:val="auto"/>
            <w:kern w:val="0"/>
            <w:sz w:val="24"/>
            <w:highlight w:val="none"/>
          </w:rPr>
          <w:id w:val="147466463"/>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ascii="宋体" w:hAnsi="宋体" w:cs="宋体"/>
          <w:color w:val="auto"/>
          <w:kern w:val="0"/>
          <w:sz w:val="24"/>
          <w:highlight w:val="none"/>
          <w:lang w:val="en-US" w:eastAsia="zh-CN"/>
        </w:rPr>
        <w:t>无。</w:t>
      </w:r>
    </w:p>
    <w:p w14:paraId="7AED0E14">
      <w:pPr>
        <w:snapToGrid w:val="0"/>
        <w:spacing w:line="360" w:lineRule="auto"/>
        <w:ind w:firstLine="480" w:firstLineChars="200"/>
        <w:rPr>
          <w:rFonts w:ascii="宋体" w:hAnsi="宋体" w:cs="宋体"/>
          <w:color w:val="auto"/>
          <w:sz w:val="24"/>
          <w:highlight w:val="none"/>
        </w:rPr>
      </w:pPr>
      <w:sdt>
        <w:sdtPr>
          <w:rPr>
            <w:rFonts w:hint="eastAsia" w:ascii="宋体" w:hAnsi="宋体" w:cs="宋体"/>
            <w:color w:val="auto"/>
            <w:kern w:val="0"/>
            <w:sz w:val="24"/>
            <w:highlight w:val="none"/>
          </w:rPr>
          <w:id w:val="470266774"/>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ascii="宋体" w:hAnsi="宋体" w:cs="宋体"/>
          <w:color w:val="auto"/>
          <w:sz w:val="24"/>
          <w:highlight w:val="none"/>
        </w:rPr>
        <w:t>有特定资格要求：</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，该特定条件的法律法规依据：</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64E35C58">
      <w:pPr>
        <w:snapToGrid w:val="0"/>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5</w:t>
      </w:r>
      <w:r>
        <w:rPr>
          <w:rFonts w:hint="eastAsia" w:ascii="宋体" w:hAnsi="宋体" w:cs="宋体"/>
          <w:color w:val="auto"/>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26D23683">
      <w:pPr>
        <w:spacing w:line="360" w:lineRule="auto"/>
        <w:outlineLvl w:val="1"/>
        <w:rPr>
          <w:rFonts w:hint="eastAsia" w:ascii="宋体" w:hAnsi="宋体" w:cs="宋体"/>
          <w:b/>
          <w:color w:val="auto"/>
          <w:sz w:val="24"/>
          <w:highlight w:val="none"/>
        </w:rPr>
      </w:pPr>
      <w:r>
        <w:rPr>
          <w:rFonts w:hint="eastAsia" w:ascii="宋体" w:hAnsi="宋体" w:cs="宋体"/>
          <w:b/>
          <w:color w:val="auto"/>
          <w:sz w:val="24"/>
          <w:highlight w:val="none"/>
        </w:rPr>
        <w:t>三、获取招标文件</w:t>
      </w:r>
    </w:p>
    <w:p w14:paraId="40E116C8">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时间：</w:t>
      </w:r>
      <w:r>
        <w:rPr>
          <w:rFonts w:hint="eastAsia" w:ascii="宋体" w:hAnsi="宋体" w:cs="宋体"/>
          <w:color w:val="auto"/>
          <w:sz w:val="24"/>
          <w:highlight w:val="none"/>
        </w:rPr>
        <w:t>/至</w:t>
      </w:r>
      <w:r>
        <w:rPr>
          <w:rFonts w:hint="eastAsia" w:ascii="宋体" w:hAnsi="宋体" w:cs="宋体"/>
          <w:color w:val="auto"/>
          <w:sz w:val="24"/>
          <w:highlight w:val="none"/>
          <w:u w:val="single"/>
        </w:rPr>
        <w:t>202</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rPr>
        <w:t>年</w:t>
      </w:r>
      <w:r>
        <w:rPr>
          <w:rFonts w:hint="eastAsia" w:ascii="宋体" w:hAnsi="宋体" w:cs="宋体"/>
          <w:color w:val="auto"/>
          <w:sz w:val="24"/>
          <w:highlight w:val="none"/>
          <w:u w:val="single"/>
          <w:lang w:val="en-US" w:eastAsia="zh-CN"/>
        </w:rPr>
        <w:t>6月15日</w:t>
      </w:r>
      <w:r>
        <w:rPr>
          <w:rFonts w:hint="eastAsia" w:ascii="宋体" w:hAnsi="宋体" w:cs="宋体"/>
          <w:color w:val="auto"/>
          <w:sz w:val="24"/>
          <w:highlight w:val="none"/>
        </w:rPr>
        <w:t>，每天上午00:00至12:00，下午12:00至23:59（北京时间，线上获取法定节假日均可，线下获取文件法定节假日除外）</w:t>
      </w:r>
    </w:p>
    <w:p w14:paraId="08F64186">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地点（网址）：</w:t>
      </w:r>
      <w:r>
        <w:rPr>
          <w:rFonts w:hint="eastAsia" w:ascii="宋体" w:hAnsi="宋体" w:cs="宋体"/>
          <w:color w:val="auto"/>
          <w:sz w:val="24"/>
          <w:highlight w:val="none"/>
        </w:rPr>
        <w:t>政采云平台（https://www.zcygov.cn/）</w:t>
      </w:r>
    </w:p>
    <w:p w14:paraId="59C189A9">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方式：</w:t>
      </w:r>
      <w:r>
        <w:rPr>
          <w:rFonts w:hint="eastAsia" w:ascii="宋体" w:hAnsi="宋体" w:cs="宋体"/>
          <w:color w:val="auto"/>
          <w:sz w:val="24"/>
          <w:highlight w:val="none"/>
        </w:rPr>
        <w:t>供应商登录政采云平台https://www.zcygov.cn/在线申请获取采购文件（进入“项目采购”应用，在获取采购文件菜单中选择项目，申请获取采购文件）。</w:t>
      </w:r>
    </w:p>
    <w:p w14:paraId="11C4A4BE">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售价（元）：</w:t>
      </w:r>
      <w:r>
        <w:rPr>
          <w:rFonts w:hint="eastAsia" w:ascii="宋体" w:hAnsi="宋体" w:cs="宋体"/>
          <w:color w:val="auto"/>
          <w:sz w:val="24"/>
          <w:highlight w:val="none"/>
        </w:rPr>
        <w:t>0</w:t>
      </w:r>
    </w:p>
    <w:p w14:paraId="5B32FBF8">
      <w:pPr>
        <w:spacing w:line="360" w:lineRule="auto"/>
        <w:outlineLvl w:val="1"/>
        <w:rPr>
          <w:rFonts w:hint="eastAsia" w:ascii="宋体" w:hAnsi="宋体" w:cs="宋体"/>
          <w:b/>
          <w:color w:val="auto"/>
          <w:sz w:val="24"/>
          <w:highlight w:val="none"/>
        </w:rPr>
      </w:pPr>
      <w:r>
        <w:rPr>
          <w:rFonts w:hint="eastAsia" w:ascii="宋体" w:hAnsi="宋体" w:cs="宋体"/>
          <w:b/>
          <w:color w:val="auto"/>
          <w:sz w:val="24"/>
          <w:highlight w:val="none"/>
        </w:rPr>
        <w:t>四、提交投标文件截止时间、开标时间和地点</w:t>
      </w:r>
    </w:p>
    <w:p w14:paraId="1B031A0A">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提交投标文件截止时间：</w:t>
      </w:r>
      <w:r>
        <w:rPr>
          <w:rFonts w:hint="eastAsia" w:ascii="宋体" w:hAnsi="宋体" w:cs="宋体"/>
          <w:color w:val="auto"/>
          <w:sz w:val="24"/>
          <w:highlight w:val="none"/>
          <w:u w:val="single"/>
        </w:rPr>
        <w:t>202</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rPr>
        <w:t>年</w:t>
      </w:r>
      <w:r>
        <w:rPr>
          <w:rFonts w:hint="eastAsia" w:ascii="宋体" w:hAnsi="宋体" w:cs="宋体"/>
          <w:color w:val="auto"/>
          <w:sz w:val="24"/>
          <w:highlight w:val="none"/>
          <w:u w:val="single"/>
          <w:lang w:val="en-US" w:eastAsia="zh-CN"/>
        </w:rPr>
        <w:t>6月15日13</w:t>
      </w:r>
      <w:r>
        <w:rPr>
          <w:rFonts w:hint="eastAsia" w:ascii="宋体" w:hAnsi="宋体" w:cs="宋体"/>
          <w:color w:val="auto"/>
          <w:sz w:val="24"/>
          <w:highlight w:val="none"/>
          <w:u w:val="single"/>
        </w:rPr>
        <w:t>点</w:t>
      </w:r>
      <w:r>
        <w:rPr>
          <w:rFonts w:hint="eastAsia" w:ascii="宋体" w:hAnsi="宋体" w:cs="宋体"/>
          <w:color w:val="auto"/>
          <w:sz w:val="24"/>
          <w:highlight w:val="none"/>
          <w:u w:val="single"/>
          <w:lang w:val="en-US" w:eastAsia="zh-CN"/>
        </w:rPr>
        <w:t>30</w:t>
      </w:r>
      <w:r>
        <w:rPr>
          <w:rFonts w:hint="eastAsia" w:ascii="宋体" w:hAnsi="宋体" w:cs="宋体"/>
          <w:color w:val="auto"/>
          <w:sz w:val="24"/>
          <w:highlight w:val="none"/>
          <w:u w:val="single"/>
        </w:rPr>
        <w:t>分00秒</w:t>
      </w:r>
      <w:r>
        <w:rPr>
          <w:rFonts w:hint="eastAsia" w:ascii="宋体" w:hAnsi="宋体" w:cs="宋体"/>
          <w:color w:val="auto"/>
          <w:sz w:val="24"/>
          <w:highlight w:val="none"/>
        </w:rPr>
        <w:t>（北京时间）</w:t>
      </w:r>
    </w:p>
    <w:p w14:paraId="35F3D2BA">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投标地点（网址）：</w:t>
      </w:r>
      <w:r>
        <w:rPr>
          <w:rFonts w:hint="eastAsia" w:ascii="宋体" w:hAnsi="宋体" w:cs="宋体"/>
          <w:color w:val="auto"/>
          <w:sz w:val="24"/>
          <w:highlight w:val="none"/>
        </w:rPr>
        <w:t>政采云平台（https://www.zcygov.cn/）</w:t>
      </w:r>
    </w:p>
    <w:p w14:paraId="591585CD">
      <w:pPr>
        <w:spacing w:line="360" w:lineRule="auto"/>
        <w:ind w:firstLine="482" w:firstLineChars="200"/>
        <w:rPr>
          <w:rFonts w:ascii="宋体" w:hAnsi="宋体" w:cs="宋体"/>
          <w:bCs/>
          <w:color w:val="auto"/>
          <w:sz w:val="24"/>
          <w:highlight w:val="yellow"/>
          <w:u w:val="single"/>
        </w:rPr>
      </w:pPr>
      <w:r>
        <w:rPr>
          <w:rFonts w:hint="eastAsia" w:ascii="宋体" w:hAnsi="宋体" w:cs="宋体"/>
          <w:b/>
          <w:color w:val="auto"/>
          <w:sz w:val="24"/>
          <w:highlight w:val="none"/>
        </w:rPr>
        <w:t>开标时间：</w:t>
      </w:r>
      <w:r>
        <w:rPr>
          <w:rFonts w:hint="eastAsia" w:ascii="宋体" w:hAnsi="宋体" w:cs="宋体"/>
          <w:color w:val="auto"/>
          <w:sz w:val="24"/>
          <w:highlight w:val="none"/>
          <w:u w:val="single"/>
          <w:lang w:eastAsia="zh-CN"/>
        </w:rPr>
        <w:t>2026年</w:t>
      </w:r>
      <w:r>
        <w:rPr>
          <w:rFonts w:hint="eastAsia" w:ascii="宋体" w:hAnsi="宋体" w:cs="宋体"/>
          <w:color w:val="auto"/>
          <w:sz w:val="24"/>
          <w:highlight w:val="none"/>
          <w:u w:val="single"/>
          <w:lang w:val="en-US" w:eastAsia="zh-CN"/>
        </w:rPr>
        <w:t>6月15日13</w:t>
      </w:r>
      <w:r>
        <w:rPr>
          <w:rFonts w:hint="eastAsia" w:ascii="宋体" w:hAnsi="宋体" w:cs="宋体"/>
          <w:color w:val="auto"/>
          <w:sz w:val="24"/>
          <w:highlight w:val="none"/>
          <w:u w:val="single"/>
        </w:rPr>
        <w:t>点</w:t>
      </w:r>
      <w:r>
        <w:rPr>
          <w:rFonts w:hint="eastAsia" w:ascii="宋体" w:hAnsi="宋体" w:cs="宋体"/>
          <w:color w:val="auto"/>
          <w:sz w:val="24"/>
          <w:highlight w:val="none"/>
          <w:u w:val="single"/>
          <w:lang w:val="en-US" w:eastAsia="zh-CN"/>
        </w:rPr>
        <w:t>30</w:t>
      </w:r>
      <w:r>
        <w:rPr>
          <w:rFonts w:hint="eastAsia" w:ascii="宋体" w:hAnsi="宋体" w:cs="宋体"/>
          <w:color w:val="auto"/>
          <w:sz w:val="24"/>
          <w:highlight w:val="none"/>
          <w:u w:val="single"/>
        </w:rPr>
        <w:t>分00秒</w:t>
      </w:r>
    </w:p>
    <w:p w14:paraId="21E5DB5C">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开标地点（网址）：</w:t>
      </w:r>
      <w:r>
        <w:rPr>
          <w:rFonts w:hint="eastAsia" w:ascii="宋体" w:hAnsi="宋体" w:cs="宋体"/>
          <w:color w:val="auto"/>
          <w:sz w:val="24"/>
          <w:highlight w:val="none"/>
        </w:rPr>
        <w:t>政采云平台（https://www.zcygov.cn/）</w:t>
      </w:r>
    </w:p>
    <w:p w14:paraId="69BF735A">
      <w:pPr>
        <w:spacing w:line="360" w:lineRule="auto"/>
        <w:outlineLvl w:val="1"/>
        <w:rPr>
          <w:rFonts w:hint="eastAsia" w:ascii="宋体" w:hAnsi="宋体" w:cs="宋体"/>
          <w:b/>
          <w:color w:val="auto"/>
          <w:sz w:val="24"/>
          <w:highlight w:val="none"/>
        </w:rPr>
      </w:pPr>
      <w:r>
        <w:rPr>
          <w:rFonts w:hint="eastAsia" w:ascii="宋体" w:hAnsi="宋体" w:cs="宋体"/>
          <w:b/>
          <w:color w:val="auto"/>
          <w:sz w:val="24"/>
          <w:highlight w:val="none"/>
        </w:rPr>
        <w:t>五、公告期限</w:t>
      </w:r>
    </w:p>
    <w:p w14:paraId="1584246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自本公告发布之日起5个工作日。</w:t>
      </w:r>
    </w:p>
    <w:p w14:paraId="2257937F">
      <w:pPr>
        <w:spacing w:line="360" w:lineRule="auto"/>
        <w:outlineLvl w:val="1"/>
        <w:rPr>
          <w:rFonts w:hint="eastAsia" w:ascii="宋体" w:hAnsi="宋体" w:cs="宋体"/>
          <w:b/>
          <w:color w:val="auto"/>
          <w:sz w:val="24"/>
          <w:highlight w:val="none"/>
        </w:rPr>
      </w:pPr>
      <w:r>
        <w:rPr>
          <w:rFonts w:hint="eastAsia" w:ascii="宋体" w:hAnsi="宋体" w:cs="宋体"/>
          <w:b/>
          <w:color w:val="auto"/>
          <w:sz w:val="24"/>
          <w:highlight w:val="none"/>
        </w:rPr>
        <w:t>六、其他补充事宜</w:t>
      </w:r>
    </w:p>
    <w:p w14:paraId="40F3762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r>
        <w:rPr>
          <w:rFonts w:hint="eastAsia" w:ascii="宋体" w:hAnsi="宋体" w:cs="宋体"/>
          <w:color w:val="auto"/>
          <w:sz w:val="24"/>
          <w:highlight w:val="none"/>
        </w:rPr>
        <w:t>。</w:t>
      </w:r>
    </w:p>
    <w:p w14:paraId="1DA85A1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根据《浙江省财政厅关于进一步促进政府采购公平竞争打造最优营商环境的通知》（浙财采监（2021）22号）文件关于“健全行政裁决机制”要求，鼓励供应商在线提起询问，路径为：政采云-项目采购-询问质疑投诉-询问列表</w:t>
      </w:r>
      <w:r>
        <w:rPr>
          <w:rFonts w:hint="eastAsia" w:ascii="宋体" w:hAnsi="宋体" w:cs="宋体"/>
          <w:color w:val="auto"/>
          <w:sz w:val="24"/>
          <w:highlight w:val="none"/>
          <w:lang w:eastAsia="zh-CN"/>
        </w:rPr>
        <w:t>：</w:t>
      </w:r>
      <w:r>
        <w:rPr>
          <w:rFonts w:hint="eastAsia" w:ascii="宋体" w:hAnsi="宋体" w:cs="宋体"/>
          <w:color w:val="auto"/>
          <w:sz w:val="24"/>
          <w:highlight w:val="none"/>
        </w:rPr>
        <w:t>鼓励供应商在线提起质疑，路径为：政采云-项目采购-询问质疑投诉-质疑列表。质疑供应商对在线质疑答复不满意的，可在线提起投诉，路径为：浙江政府服务网-政府采购投诉处理-在线办理。</w:t>
      </w:r>
    </w:p>
    <w:p w14:paraId="662EE24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26178D7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将依托政采云平台完成本项目的电子交易活动，平台不接受未按上述方式获取招标文件的供应商进行投标活动；⑥对未按上述方式获取招标文件的供应商对该文件提出的质疑，采购人或采购代理机构将不予处理；⑦不提供招标文件纸质版；⑧投标文件的传输递交：投标人在投标截止时间前将加密的投标文件上传至政府采购云平台，还可以在投标截止时间前直接提交或者以邮政快递方式递交备份投标文件1份。备份投标文件的制作、存储、密封详见招标文件第二部分第15点—“备份投标文件”；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未在电子交易平台传输递交投标文件的，投标无效；⑩具体操作指南：详见政采云平台“服务中心-帮助文档-项目采购-操作流程-电子招投标-政府采购项目电子交易管理操作指南-供应商”。（3）招标文件公告期限与招标公告的公告期限一致。（4）询问及质疑答复主体详见招标文件《询问、质疑答复责任主体一览表》。（5）本项目招标文件中的项目编号与浙江政府采购网招标公告中的项目编号均指向同一次采购活动，具有同等效力（如：某招标文件中项目编号为“LZC-GK-[2025]2382”，浙江政府采购网招标公告中的项目编号为“330112251351400000010-LZC-GK-[2025]2382”，两者在采购活动中具有同等效力）。</w:t>
      </w:r>
    </w:p>
    <w:p w14:paraId="6D1BDE2B">
      <w:pPr>
        <w:spacing w:line="360" w:lineRule="auto"/>
        <w:outlineLvl w:val="1"/>
        <w:rPr>
          <w:rFonts w:hint="eastAsia" w:ascii="宋体" w:hAnsi="宋体" w:cs="宋体"/>
          <w:b/>
          <w:color w:val="auto"/>
          <w:sz w:val="24"/>
          <w:highlight w:val="none"/>
        </w:rPr>
      </w:pPr>
      <w:r>
        <w:rPr>
          <w:rFonts w:hint="eastAsia" w:ascii="宋体" w:hAnsi="宋体" w:cs="宋体"/>
          <w:b/>
          <w:color w:val="auto"/>
          <w:sz w:val="24"/>
          <w:highlight w:val="none"/>
        </w:rPr>
        <w:t>七、对本次采购提出询问、质疑、投诉，请按以下方式联系</w:t>
      </w:r>
    </w:p>
    <w:p w14:paraId="4229B65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1.采购人信息</w:t>
      </w:r>
    </w:p>
    <w:p w14:paraId="474105B3">
      <w:pPr>
        <w:spacing w:line="360" w:lineRule="auto"/>
        <w:ind w:firstLine="480" w:firstLineChars="200"/>
        <w:rPr>
          <w:rFonts w:hint="eastAsia"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名    称：杭州市临安区人民法院</w:t>
      </w:r>
    </w:p>
    <w:p w14:paraId="6E5FA0B1">
      <w:pPr>
        <w:spacing w:line="360" w:lineRule="auto"/>
        <w:ind w:firstLine="480" w:firstLineChars="200"/>
        <w:rPr>
          <w:rFonts w:hint="eastAsia"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地    址：浙江省杭州市临安区钱王街958号</w:t>
      </w:r>
    </w:p>
    <w:p w14:paraId="6D3F36E9">
      <w:pPr>
        <w:spacing w:line="360" w:lineRule="auto"/>
        <w:ind w:firstLine="48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传    真：/</w:t>
      </w:r>
    </w:p>
    <w:p w14:paraId="5E66F728">
      <w:pPr>
        <w:spacing w:line="360" w:lineRule="auto"/>
        <w:ind w:firstLine="480"/>
        <w:rPr>
          <w:rFonts w:hint="eastAsia" w:ascii="宋体" w:hAnsi="宋体" w:cs="宋体"/>
          <w:color w:val="auto"/>
          <w:sz w:val="24"/>
          <w:highlight w:val="none"/>
          <w:shd w:val="clear" w:color="auto" w:fill="auto"/>
          <w:lang w:eastAsia="zh-CN"/>
        </w:rPr>
      </w:pPr>
      <w:r>
        <w:rPr>
          <w:rFonts w:hint="eastAsia" w:ascii="宋体" w:hAnsi="宋体" w:cs="宋体"/>
          <w:color w:val="auto"/>
          <w:sz w:val="24"/>
          <w:highlight w:val="none"/>
          <w:shd w:val="clear" w:color="auto" w:fill="auto"/>
        </w:rPr>
        <w:t>项目联系人（询问）：</w:t>
      </w:r>
      <w:r>
        <w:rPr>
          <w:rFonts w:hint="eastAsia" w:ascii="宋体" w:hAnsi="宋体" w:cs="宋体"/>
          <w:color w:val="auto"/>
          <w:sz w:val="24"/>
          <w:highlight w:val="none"/>
          <w:shd w:val="clear" w:color="auto" w:fill="auto"/>
          <w:lang w:eastAsia="zh-CN"/>
        </w:rPr>
        <w:t>徐晓俊</w:t>
      </w:r>
    </w:p>
    <w:p w14:paraId="4DE83F69">
      <w:pPr>
        <w:spacing w:line="360" w:lineRule="auto"/>
        <w:ind w:firstLine="480"/>
        <w:rPr>
          <w:rFonts w:hint="eastAsia"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项目联系方式（询问）：0571-89543671</w:t>
      </w:r>
    </w:p>
    <w:p w14:paraId="45FD7D75">
      <w:pPr>
        <w:spacing w:line="360" w:lineRule="auto"/>
        <w:ind w:firstLine="480"/>
        <w:rPr>
          <w:rFonts w:hint="eastAsia" w:ascii="宋体" w:hAnsi="宋体" w:eastAsia="宋体" w:cs="宋体"/>
          <w:color w:val="auto"/>
          <w:sz w:val="24"/>
          <w:highlight w:val="none"/>
          <w:shd w:val="clear" w:color="auto" w:fill="auto"/>
          <w:lang w:eastAsia="zh-CN"/>
        </w:rPr>
      </w:pPr>
      <w:r>
        <w:rPr>
          <w:rFonts w:hint="eastAsia" w:ascii="宋体" w:hAnsi="宋体" w:cs="宋体"/>
          <w:color w:val="auto"/>
          <w:sz w:val="24"/>
          <w:highlight w:val="none"/>
          <w:shd w:val="clear" w:color="auto" w:fill="auto"/>
        </w:rPr>
        <w:t>质疑联系人：</w:t>
      </w:r>
      <w:r>
        <w:rPr>
          <w:rFonts w:hint="eastAsia" w:ascii="宋体" w:hAnsi="宋体" w:cs="宋体"/>
          <w:color w:val="auto"/>
          <w:sz w:val="24"/>
          <w:highlight w:val="none"/>
          <w:shd w:val="clear" w:color="auto" w:fill="auto"/>
          <w:lang w:eastAsia="zh-CN"/>
        </w:rPr>
        <w:t>赵鑫</w:t>
      </w:r>
    </w:p>
    <w:p w14:paraId="7DF71FBB">
      <w:pPr>
        <w:spacing w:line="360" w:lineRule="auto"/>
        <w:ind w:firstLine="480"/>
        <w:rPr>
          <w:rFonts w:hint="default" w:ascii="宋体" w:hAnsi="宋体" w:eastAsia="宋体" w:cs="宋体"/>
          <w:color w:val="auto"/>
          <w:sz w:val="24"/>
          <w:highlight w:val="none"/>
          <w:shd w:val="clear" w:color="auto" w:fill="auto"/>
          <w:lang w:val="en-US" w:eastAsia="zh-CN"/>
        </w:rPr>
      </w:pPr>
      <w:r>
        <w:rPr>
          <w:rFonts w:hint="eastAsia" w:ascii="宋体" w:hAnsi="宋体" w:cs="宋体"/>
          <w:color w:val="auto"/>
          <w:sz w:val="24"/>
          <w:highlight w:val="none"/>
          <w:shd w:val="clear" w:color="auto" w:fill="auto"/>
        </w:rPr>
        <w:t>质疑联系方式：</w:t>
      </w:r>
      <w:r>
        <w:rPr>
          <w:rFonts w:hint="eastAsia" w:ascii="宋体" w:hAnsi="宋体" w:cs="宋体"/>
          <w:color w:val="auto"/>
          <w:sz w:val="24"/>
          <w:highlight w:val="none"/>
          <w:shd w:val="clear" w:color="auto" w:fill="auto"/>
          <w:lang w:val="en-US" w:eastAsia="zh-CN"/>
        </w:rPr>
        <w:t>0571-89543681</w:t>
      </w:r>
    </w:p>
    <w:p w14:paraId="30FF8BB4">
      <w:pPr>
        <w:spacing w:line="360" w:lineRule="auto"/>
        <w:ind w:firstLine="480" w:firstLineChars="200"/>
        <w:rPr>
          <w:rFonts w:ascii="宋体" w:hAnsi="宋体" w:cs="宋体"/>
          <w:color w:val="auto"/>
          <w:sz w:val="24"/>
        </w:rPr>
      </w:pPr>
      <w:r>
        <w:rPr>
          <w:rFonts w:hint="eastAsia" w:ascii="宋体" w:hAnsi="宋体" w:cs="宋体"/>
          <w:color w:val="auto"/>
          <w:sz w:val="24"/>
        </w:rPr>
        <w:t xml:space="preserve">2.采购代理机构信息            </w:t>
      </w:r>
    </w:p>
    <w:p w14:paraId="5BC4C14C">
      <w:pPr>
        <w:spacing w:line="360" w:lineRule="auto"/>
        <w:ind w:firstLine="480" w:firstLineChars="200"/>
        <w:rPr>
          <w:rFonts w:hint="eastAsia" w:ascii="宋体" w:hAnsi="宋体" w:cs="宋体"/>
          <w:sz w:val="24"/>
        </w:rPr>
      </w:pPr>
      <w:r>
        <w:rPr>
          <w:rFonts w:hint="eastAsia" w:ascii="宋体" w:hAnsi="宋体" w:cs="宋体"/>
          <w:sz w:val="24"/>
        </w:rPr>
        <w:t>名    称：杭州市公共资源交易中心</w:t>
      </w:r>
      <w:r>
        <w:rPr>
          <w:rFonts w:hint="eastAsia" w:ascii="宋体" w:hAnsi="宋体" w:cs="宋体"/>
          <w:sz w:val="24"/>
          <w:lang w:eastAsia="zh-CN"/>
        </w:rPr>
        <w:t>临安分中心</w:t>
      </w:r>
    </w:p>
    <w:p w14:paraId="51B0C3B2">
      <w:pPr>
        <w:spacing w:line="360" w:lineRule="auto"/>
        <w:ind w:firstLine="480" w:firstLineChars="200"/>
        <w:rPr>
          <w:rFonts w:hint="eastAsia" w:ascii="宋体" w:hAnsi="宋体" w:cs="宋体"/>
          <w:sz w:val="24"/>
        </w:rPr>
      </w:pPr>
      <w:r>
        <w:rPr>
          <w:rFonts w:hint="eastAsia" w:ascii="宋体" w:hAnsi="宋体" w:cs="宋体"/>
          <w:sz w:val="24"/>
        </w:rPr>
        <w:t>地    址：</w:t>
      </w:r>
      <w:r>
        <w:rPr>
          <w:rFonts w:hint="eastAsia" w:ascii="宋体" w:hAnsi="宋体" w:cs="宋体"/>
          <w:sz w:val="24"/>
          <w:lang w:eastAsia="zh-CN"/>
        </w:rPr>
        <w:t>浙江省杭州市临安区锦北街道科技大道</w:t>
      </w:r>
      <w:r>
        <w:rPr>
          <w:rFonts w:hint="eastAsia" w:ascii="宋体" w:hAnsi="宋体" w:cs="宋体"/>
          <w:sz w:val="24"/>
          <w:lang w:val="en-US" w:eastAsia="zh-CN"/>
        </w:rPr>
        <w:t>4398号市民中心4楼</w:t>
      </w:r>
    </w:p>
    <w:p w14:paraId="7490E356">
      <w:pPr>
        <w:spacing w:line="360" w:lineRule="auto"/>
        <w:ind w:firstLine="480" w:firstLineChars="200"/>
        <w:rPr>
          <w:rFonts w:hint="eastAsia" w:ascii="宋体" w:hAnsi="宋体" w:cs="宋体"/>
          <w:sz w:val="24"/>
        </w:rPr>
      </w:pPr>
      <w:r>
        <w:rPr>
          <w:rFonts w:hint="eastAsia" w:ascii="宋体" w:hAnsi="宋体" w:cs="宋体"/>
          <w:sz w:val="24"/>
        </w:rPr>
        <w:t>传    真：</w:t>
      </w:r>
      <w:r>
        <w:rPr>
          <w:rFonts w:hint="eastAsia" w:ascii="宋体" w:hAnsi="宋体" w:cs="宋体"/>
          <w:sz w:val="24"/>
          <w:lang w:val="en-US" w:eastAsia="zh-CN"/>
        </w:rPr>
        <w:t>0571-23616016</w:t>
      </w:r>
    </w:p>
    <w:p w14:paraId="5E296DA2">
      <w:pPr>
        <w:spacing w:line="360" w:lineRule="auto"/>
        <w:ind w:firstLine="480" w:firstLineChars="200"/>
        <w:rPr>
          <w:rFonts w:hint="eastAsia" w:ascii="宋体" w:hAnsi="宋体" w:eastAsia="宋体" w:cs="宋体"/>
          <w:sz w:val="24"/>
          <w:highlight w:val="none"/>
          <w:lang w:eastAsia="zh-CN"/>
        </w:rPr>
      </w:pPr>
      <w:r>
        <w:rPr>
          <w:rFonts w:hint="eastAsia" w:ascii="宋体" w:hAnsi="宋体" w:cs="宋体"/>
          <w:sz w:val="24"/>
          <w:highlight w:val="none"/>
        </w:rPr>
        <w:t>项目联系人（询问）：</w:t>
      </w:r>
      <w:r>
        <w:rPr>
          <w:rFonts w:hint="eastAsia" w:ascii="宋体" w:hAnsi="宋体" w:cs="宋体"/>
          <w:sz w:val="24"/>
          <w:highlight w:val="none"/>
          <w:lang w:eastAsia="zh-CN"/>
        </w:rPr>
        <w:t>王永红</w:t>
      </w:r>
    </w:p>
    <w:p w14:paraId="421F760C">
      <w:pPr>
        <w:spacing w:line="360" w:lineRule="auto"/>
        <w:ind w:firstLine="480"/>
        <w:rPr>
          <w:rFonts w:hint="default" w:ascii="宋体" w:hAnsi="宋体" w:cs="宋体"/>
          <w:sz w:val="24"/>
          <w:highlight w:val="none"/>
          <w:lang w:val="en-US" w:eastAsia="zh-CN"/>
        </w:rPr>
      </w:pPr>
      <w:r>
        <w:rPr>
          <w:rFonts w:hint="eastAsia" w:ascii="宋体" w:hAnsi="宋体" w:cs="宋体"/>
          <w:sz w:val="24"/>
          <w:highlight w:val="none"/>
        </w:rPr>
        <w:t>项目联系方式（询问）：</w:t>
      </w:r>
      <w:r>
        <w:rPr>
          <w:rFonts w:hint="eastAsia" w:ascii="宋体" w:hAnsi="宋体" w:cs="宋体"/>
          <w:sz w:val="24"/>
          <w:highlight w:val="none"/>
          <w:lang w:val="en-US" w:eastAsia="zh-CN"/>
        </w:rPr>
        <w:t>0571-89540621</w:t>
      </w:r>
    </w:p>
    <w:p w14:paraId="4DAA4F26">
      <w:pPr>
        <w:spacing w:line="360" w:lineRule="auto"/>
        <w:ind w:firstLine="480"/>
        <w:rPr>
          <w:rFonts w:hint="eastAsia" w:ascii="宋体" w:hAnsi="宋体" w:cs="宋体"/>
          <w:sz w:val="24"/>
          <w:highlight w:val="none"/>
        </w:rPr>
      </w:pPr>
      <w:r>
        <w:rPr>
          <w:rFonts w:hint="eastAsia" w:ascii="宋体" w:hAnsi="宋体" w:cs="宋体"/>
          <w:sz w:val="24"/>
          <w:highlight w:val="none"/>
        </w:rPr>
        <w:t>质疑联系人：</w:t>
      </w:r>
      <w:r>
        <w:rPr>
          <w:rFonts w:hint="eastAsia" w:ascii="宋体" w:hAnsi="宋体" w:cs="宋体"/>
          <w:sz w:val="24"/>
          <w:highlight w:val="none"/>
          <w:lang w:eastAsia="zh-CN"/>
        </w:rPr>
        <w:t>邵旭峰</w:t>
      </w:r>
    </w:p>
    <w:p w14:paraId="38155D8D">
      <w:pPr>
        <w:spacing w:line="360" w:lineRule="auto"/>
        <w:ind w:firstLine="480"/>
        <w:rPr>
          <w:rFonts w:hint="eastAsia" w:ascii="宋体" w:hAnsi="宋体" w:cs="宋体"/>
          <w:sz w:val="24"/>
          <w:highlight w:val="none"/>
          <w:lang w:val="en-US" w:eastAsia="zh-CN"/>
        </w:rPr>
      </w:pPr>
      <w:r>
        <w:rPr>
          <w:rFonts w:hint="eastAsia" w:ascii="宋体" w:hAnsi="宋体" w:cs="宋体"/>
          <w:sz w:val="24"/>
          <w:highlight w:val="none"/>
        </w:rPr>
        <w:t>质疑联系方式：</w:t>
      </w:r>
      <w:r>
        <w:rPr>
          <w:rFonts w:hint="eastAsia" w:ascii="宋体" w:hAnsi="宋体" w:cs="宋体"/>
          <w:sz w:val="24"/>
          <w:highlight w:val="none"/>
          <w:lang w:val="en-US" w:eastAsia="zh-CN"/>
        </w:rPr>
        <w:t>0571-89540588</w:t>
      </w:r>
    </w:p>
    <w:p w14:paraId="7B31894A">
      <w:pPr>
        <w:spacing w:line="360" w:lineRule="auto"/>
        <w:ind w:firstLine="480"/>
        <w:rPr>
          <w:rFonts w:ascii="宋体" w:hAnsi="宋体" w:cs="宋体"/>
          <w:sz w:val="24"/>
          <w:highlight w:val="none"/>
        </w:rPr>
      </w:pPr>
      <w:r>
        <w:rPr>
          <w:rFonts w:hint="eastAsia" w:ascii="宋体" w:hAnsi="宋体" w:cs="宋体"/>
          <w:sz w:val="24"/>
          <w:highlight w:val="none"/>
        </w:rPr>
        <w:t xml:space="preserve">3.同级政府采购监督管理部门            </w:t>
      </w:r>
    </w:p>
    <w:p w14:paraId="55BA266A">
      <w:pPr>
        <w:spacing w:line="360" w:lineRule="auto"/>
        <w:ind w:firstLine="480"/>
        <w:rPr>
          <w:rFonts w:hint="eastAsia" w:ascii="宋体" w:hAnsi="宋体" w:cs="宋体"/>
          <w:sz w:val="24"/>
          <w:highlight w:val="none"/>
        </w:rPr>
      </w:pPr>
      <w:r>
        <w:rPr>
          <w:rFonts w:hint="eastAsia" w:ascii="宋体" w:hAnsi="宋体" w:cs="宋体"/>
          <w:sz w:val="24"/>
          <w:highlight w:val="none"/>
        </w:rPr>
        <w:t xml:space="preserve">名 </w:t>
      </w:r>
      <w:r>
        <w:rPr>
          <w:rFonts w:hint="eastAsia" w:ascii="宋体" w:hAnsi="宋体" w:cs="宋体"/>
          <w:sz w:val="24"/>
          <w:highlight w:val="none"/>
          <w:lang w:val="en-US" w:eastAsia="zh-CN"/>
        </w:rPr>
        <w:t xml:space="preserve">   </w:t>
      </w:r>
      <w:r>
        <w:rPr>
          <w:rFonts w:hint="eastAsia" w:ascii="宋体" w:hAnsi="宋体" w:cs="宋体"/>
          <w:sz w:val="24"/>
          <w:highlight w:val="none"/>
        </w:rPr>
        <w:t>称：杭州市临安区财政局政府采购监管科、浙江省政府采购行政裁决服务中心（杭州）</w:t>
      </w:r>
    </w:p>
    <w:p w14:paraId="0FBBBB16">
      <w:pPr>
        <w:spacing w:line="360" w:lineRule="auto"/>
        <w:ind w:firstLine="480"/>
        <w:rPr>
          <w:rFonts w:hint="eastAsia" w:ascii="宋体" w:hAnsi="宋体" w:cs="宋体"/>
          <w:sz w:val="24"/>
          <w:highlight w:val="none"/>
        </w:rPr>
      </w:pPr>
      <w:r>
        <w:rPr>
          <w:rFonts w:hint="eastAsia" w:ascii="宋体" w:hAnsi="宋体" w:cs="宋体"/>
          <w:sz w:val="24"/>
          <w:highlight w:val="none"/>
        </w:rPr>
        <w:t>地</w:t>
      </w:r>
      <w:r>
        <w:rPr>
          <w:rFonts w:hint="eastAsia" w:ascii="宋体" w:hAnsi="宋体" w:cs="宋体"/>
          <w:sz w:val="24"/>
          <w:highlight w:val="none"/>
          <w:lang w:val="en-US" w:eastAsia="zh-CN"/>
        </w:rPr>
        <w:t xml:space="preserve">    </w:t>
      </w:r>
      <w:r>
        <w:rPr>
          <w:rFonts w:hint="eastAsia" w:ascii="宋体" w:hAnsi="宋体" w:cs="宋体"/>
          <w:sz w:val="24"/>
          <w:highlight w:val="none"/>
        </w:rPr>
        <w:t>址：杭州市上城区清泰街549号城建综合大楼11楼（快递仅限ems或顺丰）</w:t>
      </w:r>
    </w:p>
    <w:p w14:paraId="51A37B50">
      <w:pPr>
        <w:spacing w:line="360" w:lineRule="auto"/>
        <w:ind w:firstLine="480"/>
        <w:rPr>
          <w:rFonts w:hint="eastAsia" w:ascii="宋体" w:hAnsi="宋体" w:cs="宋体"/>
          <w:sz w:val="24"/>
          <w:highlight w:val="none"/>
        </w:rPr>
      </w:pPr>
      <w:r>
        <w:rPr>
          <w:rFonts w:hint="eastAsia" w:ascii="宋体" w:hAnsi="宋体" w:cs="宋体"/>
          <w:sz w:val="24"/>
          <w:highlight w:val="none"/>
        </w:rPr>
        <w:t>传</w:t>
      </w:r>
      <w:r>
        <w:rPr>
          <w:rFonts w:hint="eastAsia" w:ascii="宋体" w:hAnsi="宋体" w:cs="宋体"/>
          <w:sz w:val="24"/>
          <w:highlight w:val="none"/>
          <w:lang w:val="en-US" w:eastAsia="zh-CN"/>
        </w:rPr>
        <w:t xml:space="preserve">    </w:t>
      </w:r>
      <w:r>
        <w:rPr>
          <w:rFonts w:hint="eastAsia" w:ascii="宋体" w:hAnsi="宋体" w:cs="宋体"/>
          <w:sz w:val="24"/>
          <w:highlight w:val="none"/>
        </w:rPr>
        <w:t>真：</w:t>
      </w:r>
      <w:bookmarkStart w:id="13" w:name="OLE_LINK3"/>
      <w:r>
        <w:rPr>
          <w:rFonts w:hint="eastAsia" w:ascii="宋体" w:hAnsi="宋体" w:cs="宋体"/>
          <w:sz w:val="24"/>
          <w:highlight w:val="none"/>
        </w:rPr>
        <w:t>0571-89541600</w:t>
      </w:r>
      <w:bookmarkEnd w:id="13"/>
    </w:p>
    <w:p w14:paraId="69A1BCBB">
      <w:pPr>
        <w:spacing w:line="360" w:lineRule="auto"/>
        <w:ind w:firstLine="480"/>
        <w:rPr>
          <w:rFonts w:hint="eastAsia" w:ascii="宋体" w:hAnsi="宋体" w:cs="宋体"/>
          <w:sz w:val="24"/>
          <w:highlight w:val="none"/>
        </w:rPr>
      </w:pPr>
      <w:r>
        <w:rPr>
          <w:rFonts w:hint="eastAsia" w:ascii="宋体" w:hAnsi="宋体" w:cs="宋体"/>
          <w:sz w:val="24"/>
          <w:highlight w:val="none"/>
        </w:rPr>
        <w:t>联</w:t>
      </w:r>
      <w:r>
        <w:rPr>
          <w:rFonts w:hint="eastAsia" w:ascii="宋体" w:hAnsi="宋体" w:cs="宋体"/>
          <w:sz w:val="24"/>
          <w:highlight w:val="none"/>
          <w:lang w:val="en-US" w:eastAsia="zh-CN"/>
        </w:rPr>
        <w:t xml:space="preserve"> </w:t>
      </w:r>
      <w:r>
        <w:rPr>
          <w:rFonts w:hint="eastAsia" w:ascii="宋体" w:hAnsi="宋体" w:cs="宋体"/>
          <w:sz w:val="24"/>
          <w:highlight w:val="none"/>
        </w:rPr>
        <w:t>系</w:t>
      </w:r>
      <w:r>
        <w:rPr>
          <w:rFonts w:hint="eastAsia" w:ascii="宋体" w:hAnsi="宋体" w:cs="宋体"/>
          <w:sz w:val="24"/>
          <w:highlight w:val="none"/>
          <w:lang w:val="en-US" w:eastAsia="zh-CN"/>
        </w:rPr>
        <w:t xml:space="preserve"> </w:t>
      </w:r>
      <w:r>
        <w:rPr>
          <w:rFonts w:hint="eastAsia" w:ascii="宋体" w:hAnsi="宋体" w:cs="宋体"/>
          <w:sz w:val="24"/>
          <w:highlight w:val="none"/>
        </w:rPr>
        <w:t>人：朱女士</w:t>
      </w:r>
    </w:p>
    <w:p w14:paraId="363FC39A">
      <w:pPr>
        <w:spacing w:line="360" w:lineRule="auto"/>
        <w:ind w:firstLine="480"/>
        <w:rPr>
          <w:rFonts w:ascii="宋体" w:hAnsi="宋体" w:cs="宋体"/>
          <w:color w:val="auto"/>
          <w:sz w:val="24"/>
          <w:highlight w:val="none"/>
        </w:rPr>
      </w:pPr>
      <w:r>
        <w:rPr>
          <w:rFonts w:hint="eastAsia" w:ascii="宋体" w:hAnsi="宋体" w:cs="宋体"/>
          <w:sz w:val="24"/>
          <w:highlight w:val="none"/>
        </w:rPr>
        <w:t>监督投诉电话：0571-87800218</w:t>
      </w:r>
      <w:r>
        <w:rPr>
          <w:rFonts w:hint="eastAsia" w:ascii="宋体" w:hAnsi="宋体" w:cs="宋体"/>
          <w:color w:val="auto"/>
          <w:sz w:val="24"/>
          <w:highlight w:val="none"/>
        </w:rPr>
        <w:t xml:space="preserve">    </w:t>
      </w:r>
    </w:p>
    <w:p w14:paraId="61A4B8E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若对项目采购电子交易系统操作有疑问，可登录政采云（https://www.zcygov.cn/），点击右侧咨询小采，获取采小蜜智能服务管家帮助，或拨打政采云服务热线95763获取热线服务帮助。</w:t>
      </w:r>
    </w:p>
    <w:p w14:paraId="7AA94169">
      <w:pPr>
        <w:spacing w:line="360" w:lineRule="auto"/>
        <w:ind w:firstLine="480" w:firstLineChars="200"/>
        <w:rPr>
          <w:rFonts w:hAnsi="宋体" w:cs="宋体"/>
          <w:b/>
          <w:color w:val="auto"/>
          <w:sz w:val="36"/>
          <w:szCs w:val="20"/>
          <w:highlight w:val="none"/>
        </w:rPr>
      </w:pPr>
      <w:r>
        <w:rPr>
          <w:rFonts w:hint="eastAsia" w:ascii="宋体" w:hAnsi="宋体" w:cs="宋体"/>
          <w:color w:val="auto"/>
          <w:sz w:val="24"/>
          <w:highlight w:val="none"/>
        </w:rPr>
        <w:t>CA问题联系电话（人工）：汇信CA 400-888-4636；天谷CA 400-087-8198。</w:t>
      </w:r>
    </w:p>
    <w:p w14:paraId="3C59165C">
      <w:pPr>
        <w:tabs>
          <w:tab w:val="left" w:pos="432"/>
        </w:tabs>
        <w:outlineLvl w:val="9"/>
        <w:rPr>
          <w:rFonts w:ascii="宋体"/>
          <w:snapToGrid w:val="0"/>
          <w:color w:val="auto"/>
          <w:highlight w:val="none"/>
        </w:rPr>
      </w:pPr>
      <w:r>
        <w:rPr>
          <w:color w:val="auto"/>
          <w:highlight w:val="none"/>
        </w:rPr>
        <w:br w:type="page"/>
      </w:r>
    </w:p>
    <w:p w14:paraId="48FFF33E">
      <w:pPr>
        <w:adjustRightInd/>
        <w:spacing w:line="360" w:lineRule="auto"/>
        <w:jc w:val="center"/>
        <w:outlineLvl w:val="0"/>
        <w:rPr>
          <w:rFonts w:ascii="宋体" w:hAnsi="宋体" w:cs="宋体"/>
          <w:b/>
          <w:color w:val="auto"/>
          <w:sz w:val="36"/>
          <w:szCs w:val="20"/>
          <w:highlight w:val="none"/>
        </w:rPr>
      </w:pPr>
      <w:r>
        <w:rPr>
          <w:rFonts w:hint="eastAsia" w:ascii="宋体" w:hAnsi="宋体" w:cs="宋体"/>
          <w:b/>
          <w:color w:val="auto"/>
          <w:sz w:val="36"/>
          <w:szCs w:val="20"/>
          <w:highlight w:val="none"/>
        </w:rPr>
        <w:t>第二部分</w:t>
      </w:r>
      <w:bookmarkEnd w:id="8"/>
      <w:r>
        <w:rPr>
          <w:rFonts w:hint="eastAsia" w:ascii="宋体" w:hAnsi="宋体" w:cs="宋体"/>
          <w:b/>
          <w:color w:val="auto"/>
          <w:sz w:val="36"/>
          <w:szCs w:val="20"/>
          <w:highlight w:val="none"/>
        </w:rPr>
        <w:t xml:space="preserve"> 投标人须知</w:t>
      </w:r>
      <w:bookmarkEnd w:id="9"/>
    </w:p>
    <w:p w14:paraId="65C6C65F">
      <w:pPr>
        <w:adjustRightInd/>
        <w:spacing w:line="360" w:lineRule="auto"/>
        <w:ind w:firstLine="3845" w:firstLineChars="1197"/>
        <w:outlineLvl w:val="1"/>
        <w:rPr>
          <w:rFonts w:ascii="宋体" w:hAnsi="宋体" w:cs="宋体"/>
          <w:b/>
          <w:color w:val="auto"/>
          <w:sz w:val="32"/>
          <w:szCs w:val="20"/>
          <w:highlight w:val="none"/>
        </w:rPr>
      </w:pPr>
      <w:r>
        <w:rPr>
          <w:rFonts w:hint="eastAsia" w:ascii="宋体" w:hAnsi="宋体" w:cs="宋体"/>
          <w:b/>
          <w:color w:val="auto"/>
          <w:sz w:val="32"/>
          <w:szCs w:val="20"/>
          <w:highlight w:val="none"/>
        </w:rPr>
        <w:t>前附表</w:t>
      </w:r>
    </w:p>
    <w:tbl>
      <w:tblPr>
        <w:tblStyle w:val="63"/>
        <w:tblW w:w="856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29"/>
        <w:gridCol w:w="1843"/>
        <w:gridCol w:w="6095"/>
      </w:tblGrid>
      <w:tr w14:paraId="4854F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1" w:hRule="atLeast"/>
        </w:trPr>
        <w:tc>
          <w:tcPr>
            <w:tcW w:w="629" w:type="dxa"/>
            <w:tcBorders>
              <w:tl2br w:val="nil"/>
              <w:tr2bl w:val="nil"/>
            </w:tcBorders>
            <w:vAlign w:val="center"/>
          </w:tcPr>
          <w:p w14:paraId="539D9549">
            <w:pPr>
              <w:snapToGrid w:val="0"/>
              <w:spacing w:line="24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843" w:type="dxa"/>
            <w:tcBorders>
              <w:tl2br w:val="nil"/>
              <w:tr2bl w:val="nil"/>
            </w:tcBorders>
            <w:vAlign w:val="center"/>
          </w:tcPr>
          <w:p w14:paraId="3ABDF066">
            <w:pPr>
              <w:snapToGrid w:val="0"/>
              <w:spacing w:line="240" w:lineRule="auto"/>
              <w:jc w:val="center"/>
              <w:rPr>
                <w:rFonts w:ascii="宋体" w:hAnsi="宋体" w:cs="宋体"/>
                <w:b/>
                <w:color w:val="auto"/>
                <w:sz w:val="24"/>
                <w:highlight w:val="none"/>
              </w:rPr>
            </w:pPr>
            <w:r>
              <w:rPr>
                <w:rFonts w:hint="eastAsia" w:ascii="宋体" w:hAnsi="宋体" w:cs="宋体"/>
                <w:b/>
                <w:color w:val="auto"/>
                <w:sz w:val="24"/>
                <w:highlight w:val="none"/>
              </w:rPr>
              <w:t>事项</w:t>
            </w:r>
          </w:p>
        </w:tc>
        <w:tc>
          <w:tcPr>
            <w:tcW w:w="6095" w:type="dxa"/>
            <w:tcBorders>
              <w:tl2br w:val="nil"/>
              <w:tr2bl w:val="nil"/>
            </w:tcBorders>
            <w:vAlign w:val="center"/>
          </w:tcPr>
          <w:p w14:paraId="24532B76">
            <w:pPr>
              <w:snapToGrid w:val="0"/>
              <w:spacing w:line="240" w:lineRule="auto"/>
              <w:jc w:val="center"/>
              <w:rPr>
                <w:rFonts w:ascii="宋体" w:hAnsi="宋体" w:cs="宋体"/>
                <w:b/>
                <w:color w:val="auto"/>
                <w:sz w:val="24"/>
                <w:highlight w:val="none"/>
              </w:rPr>
            </w:pPr>
            <w:r>
              <w:rPr>
                <w:rFonts w:hint="eastAsia" w:ascii="宋体" w:hAnsi="宋体" w:cs="宋体"/>
                <w:b/>
                <w:color w:val="auto"/>
                <w:sz w:val="24"/>
                <w:highlight w:val="none"/>
              </w:rPr>
              <w:t>本项目的特别规定</w:t>
            </w:r>
          </w:p>
        </w:tc>
      </w:tr>
      <w:tr w14:paraId="2C06B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85" w:hRule="atLeast"/>
        </w:trPr>
        <w:tc>
          <w:tcPr>
            <w:tcW w:w="629" w:type="dxa"/>
            <w:tcBorders>
              <w:tl2br w:val="nil"/>
              <w:tr2bl w:val="nil"/>
            </w:tcBorders>
            <w:vAlign w:val="center"/>
          </w:tcPr>
          <w:p w14:paraId="00D690F8">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843" w:type="dxa"/>
            <w:tcBorders>
              <w:tl2br w:val="nil"/>
              <w:tr2bl w:val="nil"/>
            </w:tcBorders>
            <w:vAlign w:val="center"/>
          </w:tcPr>
          <w:p w14:paraId="5C4E4C68">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项目属性与核心产品</w:t>
            </w:r>
          </w:p>
        </w:tc>
        <w:tc>
          <w:tcPr>
            <w:tcW w:w="6095" w:type="dxa"/>
            <w:tcBorders>
              <w:tl2br w:val="nil"/>
              <w:tr2bl w:val="nil"/>
            </w:tcBorders>
            <w:vAlign w:val="center"/>
          </w:tcPr>
          <w:p w14:paraId="07B5412C">
            <w:pPr>
              <w:spacing w:line="360" w:lineRule="auto"/>
              <w:rPr>
                <w:rFonts w:ascii="宋体" w:hAnsi="宋体" w:cs="宋体"/>
                <w:color w:val="auto"/>
                <w:sz w:val="24"/>
                <w:highlight w:val="none"/>
              </w:rPr>
            </w:pPr>
            <w:r>
              <w:rPr>
                <w:rFonts w:hint="eastAsia" w:ascii="宋体" w:hAnsi="宋体" w:cs="宋体"/>
                <w:color w:val="auto"/>
                <w:sz w:val="24"/>
                <w:highlight w:val="none"/>
              </w:rPr>
              <w:t>货物类，单一产品或</w:t>
            </w:r>
            <w:r>
              <w:rPr>
                <w:rFonts w:hint="eastAsia" w:ascii="宋体" w:hAnsi="宋体" w:cs="宋体"/>
                <w:color w:val="auto"/>
                <w:kern w:val="0"/>
                <w:sz w:val="24"/>
                <w:highlight w:val="none"/>
              </w:rPr>
              <w:t>核心产品为：</w:t>
            </w:r>
            <w:r>
              <w:rPr>
                <w:rFonts w:hint="eastAsia" w:ascii="宋体" w:hAnsi="宋体" w:cs="宋体"/>
                <w:color w:val="auto"/>
                <w:kern w:val="0"/>
                <w:sz w:val="24"/>
                <w:highlight w:val="none"/>
                <w:u w:val="single"/>
                <w:lang w:val="en-US" w:eastAsia="zh-CN"/>
              </w:rPr>
              <w:t xml:space="preserve"> 便携式计算机 </w:t>
            </w:r>
            <w:r>
              <w:rPr>
                <w:rFonts w:hint="eastAsia" w:ascii="宋体" w:hAnsi="宋体" w:cs="宋体"/>
                <w:color w:val="auto"/>
                <w:sz w:val="24"/>
                <w:highlight w:val="none"/>
              </w:rPr>
              <w:t>。</w:t>
            </w:r>
          </w:p>
        </w:tc>
      </w:tr>
      <w:tr w14:paraId="19B47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5" w:hRule="atLeast"/>
        </w:trPr>
        <w:tc>
          <w:tcPr>
            <w:tcW w:w="629" w:type="dxa"/>
            <w:tcBorders>
              <w:tl2br w:val="nil"/>
              <w:tr2bl w:val="nil"/>
            </w:tcBorders>
            <w:vAlign w:val="center"/>
          </w:tcPr>
          <w:p w14:paraId="545DC165">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843" w:type="dxa"/>
            <w:tcBorders>
              <w:tl2br w:val="nil"/>
              <w:tr2bl w:val="nil"/>
            </w:tcBorders>
            <w:vAlign w:val="center"/>
          </w:tcPr>
          <w:p w14:paraId="62A2755F">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采购标的及其对应的中小企业划分标准所属行业</w:t>
            </w:r>
          </w:p>
        </w:tc>
        <w:tc>
          <w:tcPr>
            <w:tcW w:w="6095" w:type="dxa"/>
            <w:tcBorders>
              <w:tl2br w:val="nil"/>
              <w:tr2bl w:val="nil"/>
            </w:tcBorders>
            <w:vAlign w:val="center"/>
          </w:tcPr>
          <w:p w14:paraId="7EC16BEF">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（1）标的：</w:t>
            </w:r>
            <w:r>
              <w:rPr>
                <w:rFonts w:hint="eastAsia" w:ascii="宋体" w:hAnsi="宋体" w:cs="宋体"/>
                <w:color w:val="auto"/>
                <w:kern w:val="0"/>
                <w:sz w:val="24"/>
                <w:highlight w:val="none"/>
                <w:u w:val="single"/>
                <w:lang w:eastAsia="zh-CN"/>
              </w:rPr>
              <w:t>便携式计算机</w:t>
            </w:r>
            <w:r>
              <w:rPr>
                <w:rFonts w:hint="eastAsia" w:ascii="宋体" w:hAnsi="宋体" w:cs="宋体"/>
                <w:color w:val="auto"/>
                <w:kern w:val="0"/>
                <w:sz w:val="24"/>
                <w:highlight w:val="none"/>
              </w:rPr>
              <w:t>，属于</w:t>
            </w:r>
            <w:r>
              <w:rPr>
                <w:rFonts w:hint="eastAsia" w:ascii="宋体" w:hAnsi="宋体" w:cs="宋体"/>
                <w:b/>
                <w:bCs/>
                <w:color w:val="auto"/>
                <w:kern w:val="0"/>
                <w:sz w:val="24"/>
                <w:highlight w:val="none"/>
                <w:u w:val="single"/>
                <w:lang w:eastAsia="zh-CN"/>
              </w:rPr>
              <w:t>工业</w:t>
            </w:r>
            <w:r>
              <w:rPr>
                <w:rFonts w:hint="eastAsia" w:ascii="宋体" w:hAnsi="宋体" w:cs="宋体"/>
                <w:color w:val="auto"/>
                <w:kern w:val="0"/>
                <w:sz w:val="24"/>
                <w:highlight w:val="none"/>
              </w:rPr>
              <w:t>行业；</w:t>
            </w:r>
          </w:p>
          <w:p w14:paraId="62E0BA70">
            <w:pPr>
              <w:pStyle w:val="3"/>
              <w:ind w:left="0" w:leftChars="0" w:firstLine="0" w:firstLineChars="0"/>
              <w:rPr>
                <w:rFonts w:hint="eastAsia" w:ascii="宋体" w:hAnsi="宋体" w:eastAsia="仿宋_GB2312" w:cs="宋体"/>
                <w:color w:val="auto"/>
                <w:highlight w:val="none"/>
                <w:lang w:val="en-US" w:eastAsia="zh-CN"/>
              </w:rPr>
            </w:pPr>
            <w:r>
              <w:rPr>
                <w:rFonts w:hint="eastAsia" w:ascii="宋体" w:hAnsi="宋体" w:cs="宋体"/>
                <w:b w:val="0"/>
                <w:bCs w:val="0"/>
                <w:color w:val="auto"/>
                <w:kern w:val="0"/>
                <w:sz w:val="24"/>
                <w:szCs w:val="24"/>
                <w:highlight w:val="none"/>
                <w:lang w:val="en-US" w:eastAsia="zh-CN" w:bidi="ar-SA"/>
              </w:rPr>
              <w:t>注</w:t>
            </w:r>
            <w:r>
              <w:rPr>
                <w:rFonts w:hint="eastAsia" w:ascii="宋体" w:hAnsi="宋体" w:eastAsia="宋体" w:cs="宋体"/>
                <w:b w:val="0"/>
                <w:bCs w:val="0"/>
                <w:color w:val="auto"/>
                <w:kern w:val="0"/>
                <w:sz w:val="24"/>
                <w:szCs w:val="24"/>
                <w:highlight w:val="none"/>
                <w:lang w:val="en-US" w:eastAsia="zh-CN" w:bidi="ar-SA"/>
              </w:rPr>
              <w:t>：中小企业划型标准详见附件</w:t>
            </w:r>
            <w:r>
              <w:rPr>
                <w:rFonts w:hint="eastAsia" w:ascii="宋体" w:hAnsi="宋体" w:cs="宋体"/>
                <w:b w:val="0"/>
                <w:bCs w:val="0"/>
                <w:color w:val="auto"/>
                <w:kern w:val="0"/>
                <w:sz w:val="24"/>
                <w:szCs w:val="24"/>
                <w:highlight w:val="none"/>
                <w:lang w:val="en-US" w:eastAsia="zh-CN" w:bidi="ar-SA"/>
              </w:rPr>
              <w:t>8</w:t>
            </w:r>
            <w:r>
              <w:rPr>
                <w:rFonts w:hint="eastAsia" w:ascii="宋体" w:hAnsi="宋体" w:eastAsia="宋体" w:cs="宋体"/>
                <w:b w:val="0"/>
                <w:bCs w:val="0"/>
                <w:color w:val="auto"/>
                <w:kern w:val="0"/>
                <w:sz w:val="24"/>
                <w:szCs w:val="24"/>
                <w:highlight w:val="none"/>
                <w:lang w:val="en-US" w:eastAsia="zh-CN" w:bidi="ar-SA"/>
              </w:rPr>
              <w:t>。</w:t>
            </w:r>
          </w:p>
        </w:tc>
      </w:tr>
      <w:tr w14:paraId="31CB8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5" w:hRule="atLeast"/>
        </w:trPr>
        <w:tc>
          <w:tcPr>
            <w:tcW w:w="629" w:type="dxa"/>
            <w:tcBorders>
              <w:tl2br w:val="nil"/>
              <w:tr2bl w:val="nil"/>
            </w:tcBorders>
            <w:vAlign w:val="center"/>
          </w:tcPr>
          <w:p w14:paraId="295F22AE">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1843" w:type="dxa"/>
            <w:tcBorders>
              <w:tl2br w:val="nil"/>
              <w:tr2bl w:val="nil"/>
            </w:tcBorders>
            <w:vAlign w:val="center"/>
          </w:tcPr>
          <w:p w14:paraId="6E8AE470">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是否允许采购进口产品</w:t>
            </w:r>
          </w:p>
        </w:tc>
        <w:tc>
          <w:tcPr>
            <w:tcW w:w="6095" w:type="dxa"/>
            <w:tcBorders>
              <w:tl2br w:val="nil"/>
              <w:tr2bl w:val="nil"/>
            </w:tcBorders>
            <w:vAlign w:val="center"/>
          </w:tcPr>
          <w:p w14:paraId="3CA8973D">
            <w:pPr>
              <w:spacing w:line="360" w:lineRule="auto"/>
              <w:rPr>
                <w:rFonts w:ascii="宋体" w:hAnsi="宋体" w:cs="宋体"/>
                <w:color w:val="auto"/>
                <w:kern w:val="0"/>
                <w:sz w:val="24"/>
                <w:highlight w:val="none"/>
              </w:rPr>
            </w:pPr>
            <w:sdt>
              <w:sdtPr>
                <w:rPr>
                  <w:rFonts w:hint="eastAsia" w:ascii="宋体" w:hAnsi="宋体" w:cs="宋体"/>
                  <w:color w:val="auto"/>
                  <w:kern w:val="0"/>
                  <w:sz w:val="24"/>
                  <w:highlight w:val="none"/>
                </w:rPr>
                <w:id w:val="672303543"/>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本项目不允许采购进口产品。</w:t>
            </w:r>
          </w:p>
          <w:p w14:paraId="06F7469C">
            <w:pPr>
              <w:spacing w:line="360" w:lineRule="auto"/>
              <w:rPr>
                <w:rFonts w:ascii="宋体" w:hAnsi="宋体" w:cs="宋体"/>
                <w:color w:val="auto"/>
                <w:highlight w:val="none"/>
              </w:rPr>
            </w:pPr>
            <w:sdt>
              <w:sdtPr>
                <w:rPr>
                  <w:rFonts w:hint="eastAsia" w:ascii="宋体" w:hAnsi="宋体" w:cs="宋体"/>
                  <w:color w:val="auto"/>
                  <w:kern w:val="0"/>
                  <w:sz w:val="24"/>
                  <w:highlight w:val="none"/>
                </w:rPr>
                <w:id w:val="172905932"/>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0"/>
                <w:sz w:val="24"/>
                <w:highlight w:val="none"/>
              </w:rPr>
              <w:t>可以就</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采购进口产品。</w:t>
            </w:r>
            <w:r>
              <w:rPr>
                <w:rFonts w:hint="eastAsia" w:ascii="宋体" w:hAnsi="宋体" w:eastAsia="宋体" w:cs="宋体"/>
                <w:color w:val="auto"/>
                <w:kern w:val="0"/>
                <w:sz w:val="24"/>
                <w:highlight w:val="none"/>
              </w:rPr>
              <w:t>优先采购向我国企业转让技术、与我国企业签订消化吸收再创新方案的供应商的进口产品，详见评分标准。</w:t>
            </w:r>
          </w:p>
        </w:tc>
      </w:tr>
      <w:tr w14:paraId="10A85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5" w:hRule="atLeast"/>
        </w:trPr>
        <w:tc>
          <w:tcPr>
            <w:tcW w:w="629" w:type="dxa"/>
            <w:tcBorders>
              <w:tl2br w:val="nil"/>
              <w:tr2bl w:val="nil"/>
            </w:tcBorders>
            <w:vAlign w:val="center"/>
          </w:tcPr>
          <w:p w14:paraId="09ED6116">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4</w:t>
            </w:r>
          </w:p>
        </w:tc>
        <w:tc>
          <w:tcPr>
            <w:tcW w:w="1843" w:type="dxa"/>
            <w:tcBorders>
              <w:tl2br w:val="nil"/>
              <w:tr2bl w:val="nil"/>
            </w:tcBorders>
            <w:vAlign w:val="center"/>
          </w:tcPr>
          <w:p w14:paraId="338F3975">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分包</w:t>
            </w:r>
          </w:p>
        </w:tc>
        <w:tc>
          <w:tcPr>
            <w:tcW w:w="6095" w:type="dxa"/>
            <w:tcBorders>
              <w:tl2br w:val="nil"/>
              <w:tr2bl w:val="nil"/>
            </w:tcBorders>
            <w:vAlign w:val="center"/>
          </w:tcPr>
          <w:p w14:paraId="49E519A1">
            <w:pPr>
              <w:spacing w:line="360" w:lineRule="auto"/>
              <w:rPr>
                <w:rFonts w:hint="eastAsia" w:ascii="宋体" w:hAnsi="宋体" w:cs="宋体"/>
                <w:b/>
                <w:bCs/>
                <w:sz w:val="24"/>
                <w:highlight w:val="none"/>
              </w:rPr>
            </w:pPr>
            <w:sdt>
              <w:sdtPr>
                <w:rPr>
                  <w:rFonts w:hint="eastAsia" w:ascii="宋体" w:hAnsi="宋体" w:cs="宋体"/>
                  <w:kern w:val="0"/>
                  <w:sz w:val="24"/>
                  <w:highlight w:val="none"/>
                </w:rPr>
                <w:id w:val="412653405"/>
                <w14:checkbox>
                  <w14:checked w14:val="1"/>
                  <w14:checkedState w14:val="00FE" w14:font="Wingdings"/>
                  <w14:uncheckedState w14:val="2610" w14:font="MS Gothic"/>
                </w14:checkbox>
              </w:sdtPr>
              <w:sdtEndPr>
                <w:rPr>
                  <w:rFonts w:hint="eastAsia" w:ascii="宋体" w:hAnsi="宋体" w:cs="宋体"/>
                  <w:kern w:val="0"/>
                  <w:sz w:val="24"/>
                  <w:highlight w:val="none"/>
                </w:rPr>
              </w:sdtEndPr>
              <w:sdtContent>
                <w:r>
                  <w:rPr>
                    <w:rFonts w:ascii="Wingdings" w:hAnsi="Wingdings" w:cs="宋体"/>
                    <w:kern w:val="0"/>
                    <w:sz w:val="24"/>
                    <w:highlight w:val="none"/>
                  </w:rPr>
                  <w:t></w:t>
                </w:r>
              </w:sdtContent>
            </w:sdt>
            <w:r>
              <w:rPr>
                <w:rFonts w:hint="eastAsia" w:ascii="宋体" w:hAnsi="宋体" w:cs="宋体"/>
                <w:kern w:val="0"/>
                <w:sz w:val="24"/>
                <w:highlight w:val="none"/>
              </w:rPr>
              <w:t xml:space="preserve"> A</w:t>
            </w:r>
            <w:r>
              <w:rPr>
                <w:rFonts w:hint="eastAsia" w:ascii="宋体" w:hAnsi="宋体" w:cs="宋体"/>
                <w:color w:val="auto"/>
                <w:kern w:val="0"/>
                <w:sz w:val="24"/>
                <w:highlight w:val="none"/>
                <w:lang w:val="en-US" w:eastAsia="zh-CN"/>
              </w:rPr>
              <w:t>采购人仅</w:t>
            </w:r>
            <w:r>
              <w:rPr>
                <w:rFonts w:hint="eastAsia" w:ascii="宋体" w:hAnsi="宋体" w:cs="宋体"/>
                <w:color w:val="auto"/>
                <w:sz w:val="24"/>
                <w:highlight w:val="none"/>
              </w:rPr>
              <w:t>同意将非主体、非关键性的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运输</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工作分包。</w:t>
            </w:r>
            <w:r>
              <w:rPr>
                <w:rFonts w:hint="eastAsia" w:ascii="宋体" w:hAnsi="宋体" w:cs="宋体"/>
                <w:b/>
                <w:bCs/>
                <w:sz w:val="24"/>
              </w:rPr>
              <w:t>供应商将其他内容分包的视为“</w:t>
            </w:r>
            <w:r>
              <w:rPr>
                <w:rFonts w:hint="eastAsia" w:ascii="宋体" w:hAnsi="宋体" w:cs="宋体"/>
                <w:b/>
                <w:bCs/>
                <w:kern w:val="0"/>
                <w:sz w:val="24"/>
              </w:rPr>
              <w:t>投标文件含有采购人不能接受的附加条件”，投标无效。</w:t>
            </w:r>
          </w:p>
          <w:p w14:paraId="6FF8FCE4">
            <w:pPr>
              <w:spacing w:line="360" w:lineRule="auto"/>
              <w:rPr>
                <w:rFonts w:ascii="宋体" w:hAnsi="宋体" w:cs="宋体"/>
                <w:sz w:val="24"/>
                <w:highlight w:val="none"/>
              </w:rPr>
            </w:pPr>
            <w:sdt>
              <w:sdtPr>
                <w:rPr>
                  <w:rFonts w:hint="eastAsia" w:ascii="宋体" w:hAnsi="宋体" w:cs="宋体"/>
                  <w:kern w:val="0"/>
                  <w:sz w:val="24"/>
                  <w:highlight w:val="none"/>
                </w:rPr>
                <w:id w:val="287020344"/>
                <w14:checkbox>
                  <w14:checked w14:val="0"/>
                  <w14:checkedState w14:val="00FE" w14:font="Wingdings"/>
                  <w14:uncheckedState w14:val="2610" w14:font="MS Gothic"/>
                </w14:checkbox>
              </w:sdtPr>
              <w:sdtEndPr>
                <w:rPr>
                  <w:rFonts w:hint="eastAsia" w:ascii="宋体" w:hAnsi="宋体" w:cs="宋体"/>
                  <w:kern w:val="0"/>
                  <w:sz w:val="24"/>
                  <w:highlight w:val="none"/>
                </w:rPr>
              </w:sdtEndPr>
              <w:sdtContent>
                <w:r>
                  <w:rPr>
                    <w:rFonts w:hint="eastAsia" w:ascii="MS Gothic" w:hAnsi="MS Gothic" w:cs="宋体"/>
                    <w:kern w:val="0"/>
                    <w:sz w:val="24"/>
                    <w:highlight w:val="none"/>
                  </w:rPr>
                  <w:t>☐</w:t>
                </w:r>
              </w:sdtContent>
            </w:sdt>
            <w:r>
              <w:rPr>
                <w:rFonts w:hint="eastAsia" w:ascii="宋体" w:hAnsi="宋体" w:cs="宋体"/>
                <w:kern w:val="0"/>
                <w:sz w:val="24"/>
                <w:highlight w:val="none"/>
              </w:rPr>
              <w:t xml:space="preserve"> B</w:t>
            </w:r>
            <w:r>
              <w:rPr>
                <w:rFonts w:hint="eastAsia" w:ascii="宋体" w:hAnsi="宋体" w:cs="宋体"/>
                <w:sz w:val="24"/>
                <w:highlight w:val="none"/>
              </w:rPr>
              <w:t>不同意分包。</w:t>
            </w:r>
          </w:p>
          <w:p w14:paraId="1E4798AF">
            <w:pPr>
              <w:spacing w:line="360" w:lineRule="auto"/>
              <w:rPr>
                <w:rFonts w:ascii="宋体" w:hAnsi="宋体" w:cs="宋体"/>
                <w:color w:val="auto"/>
                <w:sz w:val="24"/>
                <w:highlight w:val="none"/>
              </w:rPr>
            </w:pPr>
            <w:r>
              <w:rPr>
                <w:rFonts w:hint="eastAsia" w:ascii="宋体" w:hAnsi="宋体" w:cs="宋体"/>
                <w:sz w:val="24"/>
                <w:highlight w:val="none"/>
              </w:rPr>
              <w:t>注：不得限制大中型企业向小微企业合理分包。</w:t>
            </w:r>
          </w:p>
        </w:tc>
      </w:tr>
      <w:tr w14:paraId="7DCD5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5" w:hRule="atLeast"/>
        </w:trPr>
        <w:tc>
          <w:tcPr>
            <w:tcW w:w="629" w:type="dxa"/>
            <w:tcBorders>
              <w:tl2br w:val="nil"/>
              <w:tr2bl w:val="nil"/>
            </w:tcBorders>
            <w:vAlign w:val="center"/>
          </w:tcPr>
          <w:p w14:paraId="0BEC8869">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5</w:t>
            </w:r>
          </w:p>
        </w:tc>
        <w:tc>
          <w:tcPr>
            <w:tcW w:w="1843" w:type="dxa"/>
            <w:tcBorders>
              <w:tl2br w:val="nil"/>
              <w:tr2bl w:val="nil"/>
            </w:tcBorders>
            <w:vAlign w:val="center"/>
          </w:tcPr>
          <w:p w14:paraId="46399458">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开标前答疑会或现场考察</w:t>
            </w:r>
          </w:p>
        </w:tc>
        <w:tc>
          <w:tcPr>
            <w:tcW w:w="6095" w:type="dxa"/>
            <w:tcBorders>
              <w:tl2br w:val="nil"/>
              <w:tr2bl w:val="nil"/>
            </w:tcBorders>
            <w:vAlign w:val="center"/>
          </w:tcPr>
          <w:p w14:paraId="746FC9BE">
            <w:pPr>
              <w:spacing w:line="360" w:lineRule="auto"/>
              <w:rPr>
                <w:color w:val="auto"/>
                <w:sz w:val="24"/>
                <w:szCs w:val="32"/>
                <w:highlight w:val="none"/>
              </w:rPr>
            </w:pPr>
            <w:sdt>
              <w:sdtPr>
                <w:rPr>
                  <w:rFonts w:hint="eastAsia"/>
                  <w:color w:val="auto"/>
                  <w:highlight w:val="none"/>
                </w:rPr>
                <w:id w:val="681833070"/>
                <w14:checkbox>
                  <w14:checked w14:val="1"/>
                  <w14:checkedState w14:val="00FE" w14:font="Wingdings"/>
                  <w14:uncheckedState w14:val="2610" w14:font="MS Gothic"/>
                </w14:checkbox>
              </w:sdtPr>
              <w:sdtEndPr>
                <w:rPr>
                  <w:rFonts w:hint="eastAsia"/>
                  <w:color w:val="auto"/>
                  <w:sz w:val="24"/>
                  <w:szCs w:val="32"/>
                  <w:highlight w:val="none"/>
                </w:rPr>
              </w:sdtEndPr>
              <w:sdtContent>
                <w:r>
                  <w:rPr>
                    <w:rFonts w:hint="eastAsia" w:ascii="Wingdings" w:hAnsi="Wingdings" w:eastAsia="宋体" w:cs="Times New Roman"/>
                    <w:color w:val="auto"/>
                    <w:kern w:val="2"/>
                    <w:sz w:val="24"/>
                    <w:szCs w:val="32"/>
                    <w:highlight w:val="none"/>
                    <w:lang w:val="en-US" w:eastAsia="zh-CN" w:bidi="ar-SA"/>
                  </w:rPr>
                  <w:t>þ</w:t>
                </w:r>
              </w:sdtContent>
            </w:sdt>
            <w:r>
              <w:rPr>
                <w:rFonts w:hint="eastAsia"/>
                <w:color w:val="auto"/>
                <w:sz w:val="24"/>
                <w:szCs w:val="32"/>
                <w:highlight w:val="none"/>
                <w:lang w:val="en-US" w:eastAsia="zh-CN"/>
              </w:rPr>
              <w:t xml:space="preserve"> </w:t>
            </w:r>
            <w:r>
              <w:rPr>
                <w:rFonts w:hint="eastAsia"/>
                <w:color w:val="auto"/>
                <w:sz w:val="24"/>
                <w:szCs w:val="32"/>
                <w:highlight w:val="none"/>
              </w:rPr>
              <w:t>A不组织。</w:t>
            </w:r>
          </w:p>
          <w:p w14:paraId="0C290E80">
            <w:pPr>
              <w:spacing w:line="360" w:lineRule="auto"/>
              <w:rPr>
                <w:rFonts w:hint="eastAsia"/>
                <w:color w:val="auto"/>
                <w:sz w:val="24"/>
                <w:szCs w:val="32"/>
                <w:highlight w:val="none"/>
              </w:rPr>
            </w:pPr>
            <w:sdt>
              <w:sdtPr>
                <w:rPr>
                  <w:rFonts w:hint="eastAsia"/>
                  <w:color w:val="auto"/>
                  <w:sz w:val="24"/>
                  <w:szCs w:val="32"/>
                  <w:highlight w:val="none"/>
                </w:rPr>
                <w:id w:val="238790731"/>
                <w14:checkbox>
                  <w14:checked w14:val="0"/>
                  <w14:checkedState w14:val="00FE" w14:font="Wingdings"/>
                  <w14:uncheckedState w14:val="2610" w14:font="MS Gothic"/>
                </w14:checkbox>
              </w:sdtPr>
              <w:sdtEndPr>
                <w:rPr>
                  <w:rFonts w:hint="eastAsia"/>
                  <w:color w:val="auto"/>
                  <w:sz w:val="24"/>
                  <w:szCs w:val="32"/>
                  <w:highlight w:val="none"/>
                </w:rPr>
              </w:sdtEndPr>
              <w:sdtContent>
                <w:r>
                  <w:rPr>
                    <w:rFonts w:hint="eastAsia"/>
                    <w:color w:val="auto"/>
                    <w:sz w:val="24"/>
                    <w:szCs w:val="32"/>
                    <w:highlight w:val="none"/>
                  </w:rPr>
                  <w:t>☐</w:t>
                </w:r>
              </w:sdtContent>
            </w:sdt>
            <w:r>
              <w:rPr>
                <w:rFonts w:hint="eastAsia"/>
                <w:color w:val="auto"/>
                <w:sz w:val="24"/>
                <w:szCs w:val="32"/>
                <w:highlight w:val="none"/>
                <w:lang w:val="en-US" w:eastAsia="zh-CN"/>
              </w:rPr>
              <w:t xml:space="preserve"> </w:t>
            </w:r>
            <w:r>
              <w:rPr>
                <w:rFonts w:hint="eastAsia"/>
                <w:color w:val="auto"/>
                <w:sz w:val="24"/>
                <w:szCs w:val="32"/>
                <w:highlight w:val="none"/>
              </w:rPr>
              <w:t>B组织，时间：</w:t>
            </w:r>
            <w:r>
              <w:rPr>
                <w:rFonts w:hint="eastAsia"/>
                <w:color w:val="auto"/>
                <w:sz w:val="24"/>
                <w:szCs w:val="32"/>
                <w:highlight w:val="none"/>
                <w:u w:val="single"/>
              </w:rPr>
              <w:t xml:space="preserve">    </w:t>
            </w:r>
            <w:r>
              <w:rPr>
                <w:rFonts w:hint="eastAsia"/>
                <w:color w:val="auto"/>
                <w:sz w:val="24"/>
                <w:szCs w:val="32"/>
                <w:highlight w:val="none"/>
                <w:lang w:eastAsia="zh-CN"/>
              </w:rPr>
              <w:t>，</w:t>
            </w:r>
            <w:r>
              <w:rPr>
                <w:rFonts w:hint="eastAsia"/>
                <w:color w:val="auto"/>
                <w:sz w:val="24"/>
                <w:szCs w:val="32"/>
                <w:highlight w:val="none"/>
              </w:rPr>
              <w:t>地点：</w:t>
            </w:r>
            <w:r>
              <w:rPr>
                <w:rFonts w:hint="eastAsia"/>
                <w:color w:val="auto"/>
                <w:sz w:val="24"/>
                <w:szCs w:val="32"/>
                <w:highlight w:val="none"/>
                <w:u w:val="single"/>
              </w:rPr>
              <w:t xml:space="preserve">    </w:t>
            </w:r>
            <w:r>
              <w:rPr>
                <w:rFonts w:hint="eastAsia"/>
                <w:color w:val="auto"/>
                <w:sz w:val="24"/>
                <w:szCs w:val="32"/>
                <w:highlight w:val="none"/>
              </w:rPr>
              <w:t>，联系人：</w:t>
            </w:r>
            <w:r>
              <w:rPr>
                <w:rFonts w:hint="eastAsia"/>
                <w:color w:val="auto"/>
                <w:sz w:val="24"/>
                <w:szCs w:val="32"/>
                <w:highlight w:val="none"/>
                <w:u w:val="single"/>
              </w:rPr>
              <w:t xml:space="preserve">    </w:t>
            </w:r>
            <w:r>
              <w:rPr>
                <w:rFonts w:hint="eastAsia"/>
                <w:color w:val="auto"/>
                <w:sz w:val="24"/>
                <w:szCs w:val="32"/>
                <w:highlight w:val="none"/>
              </w:rPr>
              <w:t>，联系方式：</w:t>
            </w:r>
            <w:r>
              <w:rPr>
                <w:rFonts w:hint="eastAsia"/>
                <w:color w:val="auto"/>
                <w:sz w:val="24"/>
                <w:szCs w:val="32"/>
                <w:highlight w:val="none"/>
                <w:u w:val="single"/>
              </w:rPr>
              <w:t xml:space="preserve">    </w:t>
            </w:r>
            <w:r>
              <w:rPr>
                <w:rFonts w:hint="eastAsia"/>
                <w:color w:val="auto"/>
                <w:sz w:val="24"/>
                <w:szCs w:val="32"/>
                <w:highlight w:val="none"/>
              </w:rPr>
              <w:t>。</w:t>
            </w:r>
          </w:p>
          <w:p w14:paraId="7505500C">
            <w:pPr>
              <w:pStyle w:val="82"/>
              <w:spacing w:line="360" w:lineRule="auto"/>
              <w:ind w:firstLine="0" w:firstLineChars="0"/>
              <w:rPr>
                <w:color w:val="auto"/>
                <w:highlight w:val="none"/>
              </w:rPr>
            </w:pPr>
            <w:sdt>
              <w:sdtPr>
                <w:rPr>
                  <w:rFonts w:hint="eastAsia"/>
                  <w:color w:val="auto"/>
                  <w:highlight w:val="none"/>
                </w:rPr>
                <w:id w:val="878495525"/>
                <w14:checkbox>
                  <w14:checked w14:val="0"/>
                  <w14:checkedState w14:val="00FE" w14:font="Wingdings"/>
                  <w14:uncheckedState w14:val="2610" w14:font="MS Gothic"/>
                </w14:checkbox>
              </w:sdtPr>
              <w:sdtEndPr>
                <w:rPr>
                  <w:rFonts w:hint="eastAsia"/>
                  <w:color w:val="auto"/>
                  <w:sz w:val="24"/>
                  <w:szCs w:val="32"/>
                  <w:highlight w:val="none"/>
                </w:rPr>
              </w:sdtEndPr>
              <w:sdtContent>
                <w:r>
                  <w:rPr>
                    <w:rFonts w:hint="eastAsia" w:ascii="MS Gothic" w:hAnsi="MS Gothic" w:eastAsia="宋体" w:cs="Times New Roman"/>
                    <w:color w:val="auto"/>
                    <w:kern w:val="2"/>
                    <w:sz w:val="24"/>
                    <w:szCs w:val="32"/>
                    <w:highlight w:val="none"/>
                    <w:lang w:val="en-US" w:eastAsia="zh-CN" w:bidi="ar-SA"/>
                  </w:rPr>
                  <w:t>☐</w:t>
                </w:r>
              </w:sdtContent>
            </w:sdt>
            <w:r>
              <w:rPr>
                <w:rFonts w:hint="eastAsia"/>
                <w:color w:val="auto"/>
                <w:sz w:val="24"/>
                <w:szCs w:val="32"/>
                <w:highlight w:val="none"/>
                <w:lang w:val="en-US" w:eastAsia="zh-CN"/>
              </w:rPr>
              <w:t xml:space="preserve"> </w:t>
            </w:r>
            <w:r>
              <w:rPr>
                <w:rFonts w:hint="eastAsia" w:ascii="Times New Roman" w:hAnsi="Times New Roman" w:eastAsia="宋体" w:cs="Times New Roman"/>
                <w:color w:val="auto"/>
                <w:kern w:val="2"/>
                <w:sz w:val="24"/>
                <w:szCs w:val="32"/>
                <w:highlight w:val="none"/>
                <w:lang w:val="en-US" w:eastAsia="zh-CN" w:bidi="ar-SA"/>
              </w:rPr>
              <w:t>C不统一组织，供应商在获取采购文件后，自行至项目现场考察。地点：</w:t>
            </w:r>
            <w:r>
              <w:rPr>
                <w:rFonts w:hint="eastAsia" w:ascii="Times New Roman" w:hAnsi="Times New Roman" w:eastAsia="宋体" w:cs="Times New Roman"/>
                <w:color w:val="auto"/>
                <w:kern w:val="2"/>
                <w:sz w:val="24"/>
                <w:szCs w:val="32"/>
                <w:highlight w:val="none"/>
                <w:u w:val="single"/>
                <w:lang w:val="en-US" w:eastAsia="zh-CN" w:bidi="ar-SA"/>
              </w:rPr>
              <w:t xml:space="preserve">    </w:t>
            </w:r>
            <w:r>
              <w:rPr>
                <w:rFonts w:hint="eastAsia" w:ascii="Times New Roman" w:hAnsi="Times New Roman" w:eastAsia="宋体" w:cs="Times New Roman"/>
                <w:color w:val="auto"/>
                <w:kern w:val="2"/>
                <w:sz w:val="24"/>
                <w:szCs w:val="32"/>
                <w:highlight w:val="none"/>
                <w:lang w:val="en-US" w:eastAsia="zh-CN" w:bidi="ar-SA"/>
              </w:rPr>
              <w:t>，联系人：</w:t>
            </w:r>
            <w:r>
              <w:rPr>
                <w:rFonts w:hint="eastAsia" w:ascii="Times New Roman" w:hAnsi="Times New Roman" w:eastAsia="宋体" w:cs="Times New Roman"/>
                <w:color w:val="auto"/>
                <w:kern w:val="2"/>
                <w:sz w:val="24"/>
                <w:szCs w:val="32"/>
                <w:highlight w:val="none"/>
                <w:u w:val="single"/>
                <w:lang w:val="en-US" w:eastAsia="zh-CN" w:bidi="ar-SA"/>
              </w:rPr>
              <w:t xml:space="preserve">    </w:t>
            </w:r>
            <w:r>
              <w:rPr>
                <w:rFonts w:hint="eastAsia" w:ascii="Times New Roman" w:hAnsi="Times New Roman" w:eastAsia="宋体" w:cs="Times New Roman"/>
                <w:color w:val="auto"/>
                <w:kern w:val="2"/>
                <w:sz w:val="24"/>
                <w:szCs w:val="32"/>
                <w:highlight w:val="none"/>
                <w:lang w:val="en-US" w:eastAsia="zh-CN" w:bidi="ar-SA"/>
              </w:rPr>
              <w:t>，联系方式：</w:t>
            </w:r>
            <w:r>
              <w:rPr>
                <w:rFonts w:hint="eastAsia" w:ascii="Times New Roman" w:hAnsi="Times New Roman" w:eastAsia="宋体" w:cs="Times New Roman"/>
                <w:color w:val="auto"/>
                <w:kern w:val="2"/>
                <w:sz w:val="24"/>
                <w:szCs w:val="32"/>
                <w:highlight w:val="none"/>
                <w:u w:val="single"/>
                <w:lang w:val="en-US" w:eastAsia="zh-CN" w:bidi="ar-SA"/>
              </w:rPr>
              <w:t xml:space="preserve">    </w:t>
            </w:r>
            <w:r>
              <w:rPr>
                <w:rFonts w:hint="eastAsia" w:ascii="Times New Roman" w:hAnsi="Times New Roman" w:eastAsia="宋体" w:cs="Times New Roman"/>
                <w:color w:val="auto"/>
                <w:kern w:val="2"/>
                <w:sz w:val="24"/>
                <w:szCs w:val="32"/>
                <w:highlight w:val="none"/>
                <w:lang w:val="en-US" w:eastAsia="zh-CN" w:bidi="ar-SA"/>
              </w:rPr>
              <w:t>。</w:t>
            </w:r>
          </w:p>
        </w:tc>
      </w:tr>
      <w:tr w14:paraId="04A2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5" w:hRule="atLeast"/>
        </w:trPr>
        <w:tc>
          <w:tcPr>
            <w:tcW w:w="629" w:type="dxa"/>
            <w:tcBorders>
              <w:tl2br w:val="nil"/>
              <w:tr2bl w:val="nil"/>
            </w:tcBorders>
            <w:vAlign w:val="center"/>
          </w:tcPr>
          <w:p w14:paraId="02D8A70A">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6</w:t>
            </w:r>
          </w:p>
        </w:tc>
        <w:tc>
          <w:tcPr>
            <w:tcW w:w="1843" w:type="dxa"/>
            <w:tcBorders>
              <w:tl2br w:val="nil"/>
              <w:tr2bl w:val="nil"/>
            </w:tcBorders>
            <w:vAlign w:val="center"/>
          </w:tcPr>
          <w:p w14:paraId="4F7774FC">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样品提供</w:t>
            </w:r>
          </w:p>
        </w:tc>
        <w:tc>
          <w:tcPr>
            <w:tcW w:w="6095" w:type="dxa"/>
            <w:tcBorders>
              <w:tl2br w:val="nil"/>
              <w:tr2bl w:val="nil"/>
            </w:tcBorders>
            <w:vAlign w:val="center"/>
          </w:tcPr>
          <w:p w14:paraId="0D7DEC8E">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352762657"/>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Wingdings" w:hAnsi="Wingdings" w:eastAsia="宋体" w:cs="宋体"/>
                    <w:color w:val="auto"/>
                    <w:kern w:val="0"/>
                    <w:sz w:val="24"/>
                    <w:szCs w:val="24"/>
                    <w:highlight w:val="none"/>
                    <w:lang w:val="en-US" w:eastAsia="zh-CN" w:bidi="ar-SA"/>
                  </w:rPr>
                  <w:t>þ</w:t>
                </w:r>
              </w:sdtContent>
            </w:sdt>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A</w:t>
            </w:r>
            <w:r>
              <w:rPr>
                <w:rFonts w:hint="eastAsia" w:ascii="宋体" w:hAnsi="宋体" w:cs="宋体"/>
                <w:color w:val="auto"/>
                <w:sz w:val="24"/>
                <w:highlight w:val="none"/>
              </w:rPr>
              <w:t>不要求提供。</w:t>
            </w:r>
          </w:p>
          <w:p w14:paraId="481CFE16">
            <w:pPr>
              <w:spacing w:line="360" w:lineRule="auto"/>
              <w:rPr>
                <w:rFonts w:hint="eastAsia" w:ascii="宋体" w:hAnsi="宋体" w:eastAsia="宋体" w:cs="宋体"/>
                <w:color w:val="auto"/>
                <w:kern w:val="0"/>
                <w:sz w:val="24"/>
                <w:highlight w:val="none"/>
                <w:lang w:eastAsia="zh-CN"/>
              </w:rPr>
            </w:pPr>
            <w:sdt>
              <w:sdtPr>
                <w:rPr>
                  <w:rFonts w:hint="eastAsia" w:ascii="宋体" w:hAnsi="宋体" w:cs="宋体"/>
                  <w:color w:val="auto"/>
                  <w:kern w:val="0"/>
                  <w:sz w:val="24"/>
                  <w:highlight w:val="none"/>
                </w:rPr>
                <w:id w:val="1026831988"/>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szCs w:val="24"/>
                    <w:highlight w:val="none"/>
                    <w:lang w:val="en-US" w:eastAsia="zh-CN" w:bidi="ar-SA"/>
                  </w:rPr>
                  <w:t>☐</w:t>
                </w:r>
              </w:sdtContent>
            </w:sdt>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B要求提供</w:t>
            </w:r>
            <w:r>
              <w:rPr>
                <w:rFonts w:hint="eastAsia" w:ascii="宋体" w:hAnsi="宋体" w:cs="宋体"/>
                <w:b/>
                <w:bCs/>
                <w:color w:val="auto"/>
                <w:kern w:val="0"/>
                <w:sz w:val="24"/>
                <w:highlight w:val="none"/>
              </w:rPr>
              <w:t>（未提供样品</w:t>
            </w:r>
            <w:r>
              <w:rPr>
                <w:rFonts w:hint="eastAsia" w:ascii="宋体" w:hAnsi="宋体" w:cs="宋体"/>
                <w:b/>
                <w:bCs/>
                <w:color w:val="auto"/>
                <w:kern w:val="0"/>
                <w:sz w:val="24"/>
                <w:highlight w:val="none"/>
                <w:lang w:eastAsia="zh-CN"/>
              </w:rPr>
              <w:t>或样品提供不全</w:t>
            </w:r>
            <w:r>
              <w:rPr>
                <w:rFonts w:hint="eastAsia" w:ascii="宋体" w:hAnsi="宋体" w:cs="宋体"/>
                <w:b/>
                <w:bCs/>
                <w:color w:val="auto"/>
                <w:kern w:val="0"/>
                <w:sz w:val="24"/>
                <w:highlight w:val="none"/>
              </w:rPr>
              <w:t>或提供样品不满足采购需求实质性条件的供应商，投标无效</w:t>
            </w:r>
            <w:r>
              <w:rPr>
                <w:rFonts w:hint="eastAsia" w:ascii="宋体" w:hAnsi="宋体" w:cs="宋体"/>
                <w:b/>
                <w:bCs/>
                <w:color w:val="auto"/>
                <w:kern w:val="0"/>
                <w:sz w:val="24"/>
                <w:highlight w:val="none"/>
                <w:lang w:eastAsia="zh-CN"/>
              </w:rPr>
              <w:t>）</w:t>
            </w:r>
          </w:p>
          <w:p w14:paraId="31990E32">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w:t>
            </w:r>
            <w:r>
              <w:rPr>
                <w:rFonts w:hint="eastAsia" w:ascii="宋体" w:hAnsi="宋体" w:cs="宋体"/>
                <w:snapToGrid w:val="0"/>
                <w:color w:val="auto"/>
                <w:kern w:val="28"/>
                <w:sz w:val="24"/>
                <w:highlight w:val="none"/>
              </w:rPr>
              <w:t>样品：</w:t>
            </w:r>
            <w:r>
              <w:rPr>
                <w:rFonts w:hint="eastAsia" w:ascii="宋体" w:hAnsi="宋体" w:cs="宋体"/>
                <w:snapToGrid w:val="0"/>
                <w:color w:val="auto"/>
                <w:kern w:val="28"/>
                <w:sz w:val="24"/>
                <w:highlight w:val="none"/>
                <w:u w:val="single"/>
                <w:lang w:val="en-US" w:eastAsia="zh-CN"/>
              </w:rPr>
              <w:t xml:space="preserve">     </w:t>
            </w:r>
            <w:r>
              <w:rPr>
                <w:rFonts w:hint="eastAsia" w:ascii="宋体" w:hAnsi="宋体" w:cs="宋体"/>
                <w:color w:val="auto"/>
                <w:kern w:val="0"/>
                <w:sz w:val="24"/>
                <w:highlight w:val="none"/>
              </w:rPr>
              <w:t>；</w:t>
            </w:r>
            <w:r>
              <w:rPr>
                <w:rFonts w:hint="eastAsia" w:ascii="宋体" w:hAnsi="宋体" w:cs="宋体"/>
                <w:kern w:val="0"/>
                <w:sz w:val="24"/>
                <w:highlight w:val="none"/>
                <w:shd w:val="clear" w:color="FFFFFF" w:fill="D9D9D9"/>
                <w:lang w:eastAsia="zh-CN"/>
              </w:rPr>
              <w:t>（</w:t>
            </w:r>
            <w:r>
              <w:rPr>
                <w:rFonts w:hint="eastAsia" w:ascii="宋体" w:hAnsi="宋体" w:cs="宋体"/>
                <w:kern w:val="0"/>
                <w:sz w:val="24"/>
                <w:highlight w:val="none"/>
                <w:shd w:val="clear" w:color="FFFFFF" w:fill="D9D9D9"/>
                <w:lang w:val="en-US" w:eastAsia="zh-CN"/>
              </w:rPr>
              <w:t>注：非核心产品不能设置为样品</w:t>
            </w:r>
            <w:r>
              <w:rPr>
                <w:rFonts w:hint="eastAsia" w:ascii="宋体" w:hAnsi="宋体" w:cs="宋体"/>
                <w:kern w:val="0"/>
                <w:sz w:val="24"/>
                <w:highlight w:val="none"/>
                <w:shd w:val="clear" w:color="FFFFFF" w:fill="D9D9D9"/>
                <w:lang w:eastAsia="zh-CN"/>
              </w:rPr>
              <w:t>）</w:t>
            </w:r>
            <w:r>
              <w:rPr>
                <w:rFonts w:ascii="宋体" w:hAnsi="宋体" w:cs="宋体"/>
                <w:kern w:val="0"/>
                <w:sz w:val="24"/>
                <w:highlight w:val="none"/>
              </w:rPr>
              <w:t xml:space="preserve"> </w:t>
            </w:r>
          </w:p>
          <w:p w14:paraId="7054583B">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（2）</w:t>
            </w:r>
            <w:r>
              <w:rPr>
                <w:rFonts w:hint="eastAsia" w:ascii="宋体" w:hAnsi="宋体" w:cs="宋体"/>
                <w:snapToGrid w:val="0"/>
                <w:color w:val="auto"/>
                <w:kern w:val="28"/>
                <w:sz w:val="24"/>
                <w:highlight w:val="none"/>
              </w:rPr>
              <w:t>样品制作的标准和要求：</w:t>
            </w:r>
            <w:r>
              <w:rPr>
                <w:rFonts w:hint="eastAsia" w:ascii="宋体" w:hAnsi="宋体" w:cs="宋体"/>
                <w:color w:val="auto"/>
                <w:sz w:val="24"/>
                <w:highlight w:val="none"/>
                <w:u w:val="single"/>
              </w:rPr>
              <w:t xml:space="preserve"> </w:t>
            </w:r>
            <w:r>
              <w:rPr>
                <w:rFonts w:hint="eastAsia" w:ascii="宋体" w:hAnsi="宋体" w:cs="宋体"/>
                <w:sz w:val="24"/>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w:t>
            </w:r>
          </w:p>
          <w:p w14:paraId="3AA13AFD">
            <w:pPr>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（3）样品的评审方法以及评审标准</w:t>
            </w:r>
            <w:r>
              <w:rPr>
                <w:rFonts w:hint="eastAsia" w:ascii="宋体" w:hAnsi="宋体" w:cs="宋体"/>
                <w:snapToGrid w:val="0"/>
                <w:color w:val="auto"/>
                <w:kern w:val="28"/>
                <w:sz w:val="24"/>
                <w:highlight w:val="none"/>
              </w:rPr>
              <w:t>：详见</w:t>
            </w:r>
            <w:r>
              <w:rPr>
                <w:rFonts w:hint="eastAsia" w:ascii="宋体" w:hAnsi="宋体" w:cs="宋体"/>
                <w:color w:val="auto"/>
                <w:sz w:val="24"/>
                <w:highlight w:val="none"/>
                <w:u w:val="single"/>
              </w:rPr>
              <w:t>评标办法</w:t>
            </w:r>
            <w:r>
              <w:rPr>
                <w:rFonts w:hint="eastAsia" w:ascii="宋体" w:hAnsi="宋体" w:cs="宋体"/>
                <w:color w:val="auto"/>
                <w:kern w:val="0"/>
                <w:sz w:val="24"/>
                <w:highlight w:val="none"/>
              </w:rPr>
              <w:t>；</w:t>
            </w:r>
          </w:p>
          <w:p w14:paraId="624A40B4">
            <w:pPr>
              <w:spacing w:line="360" w:lineRule="auto"/>
              <w:ind w:firstLine="240" w:firstLineChars="100"/>
              <w:rPr>
                <w:rFonts w:ascii="宋体" w:hAnsi="宋体" w:cs="宋体"/>
                <w:color w:val="auto"/>
                <w:sz w:val="24"/>
                <w:highlight w:val="none"/>
              </w:rPr>
            </w:pPr>
            <w:sdt>
              <w:sdtPr>
                <w:rPr>
                  <w:rFonts w:hint="eastAsia" w:ascii="宋体" w:hAnsi="宋体" w:cs="宋体"/>
                  <w:color w:val="auto"/>
                  <w:kern w:val="0"/>
                  <w:sz w:val="24"/>
                  <w:highlight w:val="none"/>
                </w:rPr>
                <w:id w:val="994079173"/>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宋体" w:cs="宋体"/>
                    <w:color w:val="auto"/>
                    <w:kern w:val="0"/>
                    <w:sz w:val="24"/>
                    <w:szCs w:val="24"/>
                    <w:highlight w:val="none"/>
                    <w:lang w:val="en-US" w:eastAsia="zh-CN" w:bidi="ar-SA"/>
                  </w:rPr>
                  <w:t>☐</w:t>
                </w:r>
              </w:sdtContent>
            </w:sdt>
            <w:r>
              <w:rPr>
                <w:rFonts w:hint="eastAsia" w:ascii="宋体" w:hAnsi="宋体" w:cs="宋体"/>
                <w:color w:val="auto"/>
                <w:sz w:val="24"/>
                <w:highlight w:val="none"/>
              </w:rPr>
              <w:t>样品分未超过价格分的50%；</w:t>
            </w:r>
          </w:p>
          <w:p w14:paraId="010C0838">
            <w:pPr>
              <w:spacing w:line="360" w:lineRule="auto"/>
              <w:ind w:firstLine="240" w:firstLineChars="100"/>
              <w:rPr>
                <w:rFonts w:ascii="宋体" w:hAnsi="宋体" w:cs="宋体"/>
                <w:color w:val="auto"/>
                <w:kern w:val="0"/>
                <w:sz w:val="24"/>
                <w:highlight w:val="none"/>
              </w:rPr>
            </w:pPr>
            <w:sdt>
              <w:sdtPr>
                <w:rPr>
                  <w:rFonts w:hint="eastAsia" w:ascii="宋体" w:hAnsi="宋体" w:cs="宋体"/>
                  <w:color w:val="auto"/>
                  <w:kern w:val="0"/>
                  <w:sz w:val="24"/>
                  <w:highlight w:val="none"/>
                </w:rPr>
                <w:id w:val="191389830"/>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sz w:val="24"/>
                <w:highlight w:val="none"/>
              </w:rPr>
              <w:t>样品分超过价格分的50%，理由</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3DC1227F">
            <w:pPr>
              <w:pStyle w:val="23"/>
              <w:ind w:firstLine="240" w:firstLineChars="100"/>
              <w:rPr>
                <w:color w:val="auto"/>
              </w:rPr>
            </w:pPr>
            <w:r>
              <w:rPr>
                <w:rFonts w:hint="eastAsia" w:ascii="宋体" w:hAnsi="宋体" w:cs="宋体"/>
                <w:snapToGrid w:val="0"/>
                <w:color w:val="auto"/>
                <w:kern w:val="28"/>
                <w:sz w:val="24"/>
                <w:highlight w:val="none"/>
              </w:rPr>
              <w:t>详见招标文件第四部分</w:t>
            </w:r>
            <w:r>
              <w:rPr>
                <w:rFonts w:hint="eastAsia" w:ascii="宋体" w:hAnsi="宋体" w:cs="宋体"/>
                <w:color w:val="auto"/>
                <w:sz w:val="24"/>
                <w:highlight w:val="none"/>
                <w:u w:val="single"/>
              </w:rPr>
              <w:t>评标办法</w:t>
            </w:r>
            <w:r>
              <w:rPr>
                <w:rFonts w:hint="eastAsia" w:ascii="宋体" w:hAnsi="宋体" w:cs="宋体"/>
                <w:color w:val="auto"/>
                <w:kern w:val="0"/>
                <w:sz w:val="24"/>
                <w:highlight w:val="none"/>
              </w:rPr>
              <w:t>。</w:t>
            </w:r>
          </w:p>
          <w:p w14:paraId="0A488B91">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（4）是否需要随样品提交检测报告：</w:t>
            </w:r>
            <w:sdt>
              <w:sdtPr>
                <w:rPr>
                  <w:rFonts w:hint="eastAsia" w:ascii="宋体" w:hAnsi="宋体" w:cs="宋体"/>
                  <w:color w:val="auto"/>
                  <w:kern w:val="0"/>
                  <w:sz w:val="24"/>
                  <w:highlight w:val="none"/>
                </w:rPr>
                <w:id w:val="1303421454"/>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ascii="宋体" w:hAnsi="宋体" w:cs="宋体"/>
                <w:color w:val="auto"/>
                <w:kern w:val="0"/>
                <w:sz w:val="24"/>
                <w:highlight w:val="none"/>
              </w:rPr>
              <w:t>否；</w:t>
            </w:r>
            <w:sdt>
              <w:sdtPr>
                <w:rPr>
                  <w:rFonts w:hint="eastAsia" w:ascii="宋体" w:hAnsi="宋体" w:cs="宋体"/>
                  <w:color w:val="auto"/>
                  <w:kern w:val="0"/>
                  <w:sz w:val="24"/>
                  <w:highlight w:val="none"/>
                </w:rPr>
                <w:id w:val="1621728433"/>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0"/>
                <w:sz w:val="24"/>
                <w:highlight w:val="none"/>
              </w:rPr>
              <w:t>是，检测机构的要求</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sz w:val="24"/>
                <w:u w:val="single"/>
              </w:rPr>
              <w:t>/</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；检测内容</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sz w:val="24"/>
                <w:u w:val="single"/>
              </w:rPr>
              <w:t>/</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w:t>
            </w:r>
          </w:p>
          <w:p w14:paraId="684DC3BF">
            <w:pPr>
              <w:spacing w:line="360" w:lineRule="auto"/>
              <w:rPr>
                <w:rFonts w:ascii="宋体" w:hAnsi="宋体" w:cs="宋体"/>
                <w:color w:val="auto"/>
                <w:sz w:val="24"/>
                <w:highlight w:val="none"/>
              </w:rPr>
            </w:pPr>
            <w:r>
              <w:rPr>
                <w:rFonts w:hint="eastAsia" w:ascii="宋体" w:hAnsi="宋体" w:cs="宋体"/>
                <w:color w:val="auto"/>
                <w:sz w:val="24"/>
                <w:highlight w:val="none"/>
              </w:rPr>
              <w:t>（5）提供样品的时间：</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；地点：</w:t>
            </w:r>
            <w:r>
              <w:rPr>
                <w:rFonts w:hint="eastAsia" w:ascii="宋体" w:hAnsi="宋体" w:cs="宋体"/>
                <w:color w:val="auto"/>
                <w:sz w:val="24"/>
                <w:highlight w:val="none"/>
                <w:u w:val="single"/>
                <w:lang w:val="en-US" w:eastAsia="zh-CN"/>
              </w:rPr>
              <w:t xml:space="preserve">   </w:t>
            </w:r>
            <w:r>
              <w:rPr>
                <w:rFonts w:hint="eastAsia" w:ascii="宋体" w:hAnsi="宋体" w:cs="宋体"/>
                <w:color w:val="auto"/>
                <w:kern w:val="0"/>
                <w:sz w:val="24"/>
                <w:highlight w:val="none"/>
              </w:rPr>
              <w:t>；联系人</w:t>
            </w:r>
            <w:r>
              <w:rPr>
                <w:rFonts w:hint="eastAsia" w:ascii="宋体" w:hAnsi="宋体" w:cs="宋体"/>
                <w:color w:val="auto"/>
                <w:sz w:val="24"/>
                <w:highlight w:val="none"/>
              </w:rPr>
              <w:t>：</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r>
              <w:rPr>
                <w:rFonts w:hint="eastAsia" w:ascii="宋体" w:hAnsi="宋体" w:cs="宋体"/>
                <w:color w:val="auto"/>
                <w:kern w:val="28"/>
                <w:sz w:val="24"/>
                <w:highlight w:val="none"/>
              </w:rPr>
              <w:t>联系电话：</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。请投标人在上述时间内提供样品并按规定位置安装完毕。超过截止时间的，采购人或采购代理机构将不予接收，并将清场并封闭样品现场。</w:t>
            </w:r>
          </w:p>
          <w:p w14:paraId="014349F1">
            <w:pPr>
              <w:spacing w:line="360" w:lineRule="auto"/>
              <w:rPr>
                <w:rFonts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rPr>
              <w:t>6</w:t>
            </w:r>
            <w:r>
              <w:rPr>
                <w:rFonts w:hint="eastAsia" w:ascii="宋体" w:hAnsi="宋体" w:cs="宋体"/>
                <w:color w:val="auto"/>
                <w:sz w:val="24"/>
                <w:highlight w:val="none"/>
                <w:lang w:eastAsia="zh-CN"/>
              </w:rPr>
              <w:t>）</w:t>
            </w:r>
            <w:r>
              <w:rPr>
                <w:rFonts w:hint="eastAsia" w:ascii="宋体" w:hAnsi="宋体" w:cs="宋体"/>
                <w:color w:val="auto"/>
                <w:sz w:val="24"/>
                <w:highlight w:val="none"/>
              </w:rPr>
              <w:t>采购活动结束后，对于未中标人提供的样品，采购人、</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将通知未中标人在规定的时间内取回，逾期未取回的，采购人、</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不负保管义务；对于中标人提供的样品，采购人将进行保管、封存，并作为履约验收的参考。</w:t>
            </w:r>
          </w:p>
          <w:p w14:paraId="341850BB">
            <w:pPr>
              <w:spacing w:line="360" w:lineRule="auto"/>
              <w:rPr>
                <w:rFonts w:ascii="宋体" w:hAnsi="宋体" w:cs="宋体"/>
                <w:b/>
                <w:color w:val="auto"/>
                <w:sz w:val="24"/>
                <w:highlight w:val="none"/>
              </w:rPr>
            </w:pPr>
            <w:r>
              <w:rPr>
                <w:rFonts w:hint="eastAsia" w:ascii="宋体" w:hAnsi="宋体" w:cs="宋体"/>
                <w:color w:val="auto"/>
                <w:sz w:val="24"/>
                <w:highlight w:val="none"/>
              </w:rPr>
              <w:t>（7）制作、运输、安装和保管样品所发生的一切费用由投标人自理。</w:t>
            </w:r>
          </w:p>
        </w:tc>
      </w:tr>
      <w:tr w14:paraId="1D026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75" w:hRule="atLeast"/>
        </w:trPr>
        <w:tc>
          <w:tcPr>
            <w:tcW w:w="629" w:type="dxa"/>
            <w:tcBorders>
              <w:tl2br w:val="nil"/>
              <w:tr2bl w:val="nil"/>
            </w:tcBorders>
            <w:vAlign w:val="center"/>
          </w:tcPr>
          <w:p w14:paraId="654E616C">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7</w:t>
            </w:r>
          </w:p>
        </w:tc>
        <w:tc>
          <w:tcPr>
            <w:tcW w:w="1843" w:type="dxa"/>
            <w:tcBorders>
              <w:tl2br w:val="nil"/>
              <w:tr2bl w:val="nil"/>
            </w:tcBorders>
            <w:vAlign w:val="center"/>
          </w:tcPr>
          <w:p w14:paraId="29553A5E">
            <w:pPr>
              <w:snapToGrid w:val="0"/>
              <w:spacing w:line="360" w:lineRule="auto"/>
              <w:jc w:val="center"/>
              <w:rPr>
                <w:rFonts w:ascii="宋体" w:hAnsi="宋体" w:cs="宋体"/>
                <w:bCs/>
                <w:color w:val="auto"/>
                <w:sz w:val="24"/>
                <w:highlight w:val="none"/>
              </w:rPr>
            </w:pPr>
            <w:r>
              <w:rPr>
                <w:rFonts w:hint="eastAsia" w:ascii="宋体" w:hAnsi="宋体" w:cs="宋体"/>
                <w:b/>
                <w:color w:val="auto"/>
                <w:sz w:val="24"/>
                <w:highlight w:val="none"/>
              </w:rPr>
              <w:t>方案讲解演示</w:t>
            </w:r>
          </w:p>
        </w:tc>
        <w:tc>
          <w:tcPr>
            <w:tcW w:w="6095" w:type="dxa"/>
            <w:tcBorders>
              <w:tl2br w:val="nil"/>
              <w:tr2bl w:val="nil"/>
            </w:tcBorders>
            <w:vAlign w:val="center"/>
          </w:tcPr>
          <w:p w14:paraId="6F90FF6F">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330370633"/>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A</w:t>
            </w:r>
            <w:r>
              <w:rPr>
                <w:rFonts w:hint="eastAsia" w:ascii="宋体" w:hAnsi="宋体" w:cs="宋体"/>
                <w:color w:val="auto"/>
                <w:sz w:val="24"/>
                <w:highlight w:val="none"/>
              </w:rPr>
              <w:t>不组织。</w:t>
            </w:r>
          </w:p>
          <w:p w14:paraId="665855D6">
            <w:pPr>
              <w:spacing w:line="360" w:lineRule="auto"/>
              <w:rPr>
                <w:rFonts w:ascii="宋体" w:hAnsi="宋体" w:cs="宋体"/>
                <w:color w:val="auto"/>
                <w:kern w:val="0"/>
                <w:sz w:val="24"/>
                <w:highlight w:val="none"/>
              </w:rPr>
            </w:pPr>
            <w:sdt>
              <w:sdtPr>
                <w:rPr>
                  <w:rFonts w:hint="eastAsia" w:ascii="宋体" w:hAnsi="宋体" w:cs="宋体"/>
                  <w:color w:val="auto"/>
                  <w:kern w:val="0"/>
                  <w:sz w:val="24"/>
                  <w:highlight w:val="none"/>
                </w:rPr>
                <w:id w:val="1174071719"/>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宋体" w:cs="宋体"/>
                    <w:color w:val="auto"/>
                    <w:kern w:val="0"/>
                    <w:sz w:val="24"/>
                    <w:szCs w:val="24"/>
                    <w:highlight w:val="none"/>
                    <w:lang w:val="en-US" w:eastAsia="zh-CN" w:bidi="ar-SA"/>
                  </w:rPr>
                  <w:t>☐</w:t>
                </w:r>
              </w:sdtContent>
            </w:sdt>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B组织。</w:t>
            </w:r>
          </w:p>
          <w:p w14:paraId="28606B6C">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（1）在评标时安排每个投标人进行方案讲解演示。每个投标人时间不超过</w:t>
            </w:r>
            <w:r>
              <w:rPr>
                <w:rFonts w:hint="eastAsia" w:ascii="宋体" w:hAnsi="宋体" w:cs="宋体"/>
                <w:color w:val="auto"/>
                <w:kern w:val="0"/>
                <w:sz w:val="24"/>
                <w:highlight w:val="none"/>
                <w:u w:val="single"/>
                <w:lang w:val="en-US" w:eastAsia="zh-CN"/>
              </w:rPr>
              <w:t>20</w:t>
            </w:r>
            <w:r>
              <w:rPr>
                <w:rFonts w:hint="eastAsia" w:ascii="宋体" w:hAnsi="宋体" w:cs="宋体"/>
                <w:color w:val="auto"/>
                <w:kern w:val="0"/>
                <w:sz w:val="24"/>
                <w:highlight w:val="none"/>
              </w:rPr>
              <w:t>分钟，讲解次序以投标文件解密时间先后次序为准，讲解演示人员不超过</w:t>
            </w:r>
            <w:r>
              <w:rPr>
                <w:rFonts w:hint="eastAsia" w:ascii="宋体" w:hAnsi="宋体" w:cs="宋体"/>
                <w:color w:val="auto"/>
                <w:kern w:val="0"/>
                <w:sz w:val="24"/>
                <w:highlight w:val="none"/>
                <w:u w:val="single"/>
                <w:lang w:val="en-US" w:eastAsia="zh-CN"/>
              </w:rPr>
              <w:t>1</w:t>
            </w:r>
            <w:r>
              <w:rPr>
                <w:rFonts w:hint="eastAsia" w:ascii="宋体" w:hAnsi="宋体" w:cs="宋体"/>
                <w:color w:val="auto"/>
                <w:kern w:val="0"/>
                <w:sz w:val="24"/>
                <w:highlight w:val="none"/>
              </w:rPr>
              <w:t>人。讲解演示结束后按要求解答评标委员会提问。</w:t>
            </w:r>
          </w:p>
          <w:p w14:paraId="302E40C4">
            <w:pPr>
              <w:snapToGrid w:val="0"/>
              <w:spacing w:line="360" w:lineRule="auto"/>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（2）方案讲解演示</w:t>
            </w:r>
            <w:r>
              <w:rPr>
                <w:rFonts w:hint="eastAsia" w:ascii="宋体" w:hAnsi="宋体" w:cs="宋体"/>
                <w:color w:val="auto"/>
                <w:kern w:val="0"/>
                <w:sz w:val="24"/>
                <w:highlight w:val="none"/>
                <w:lang w:eastAsia="zh-CN"/>
              </w:rPr>
              <w:t>方式：</w:t>
            </w:r>
          </w:p>
          <w:p w14:paraId="6A0A89DE">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交易中心现场讲解演示。现场讲解地点为</w:t>
            </w:r>
            <w:r>
              <w:rPr>
                <w:rFonts w:hint="eastAsia" w:ascii="宋体" w:hAnsi="宋体" w:cs="宋体"/>
                <w:color w:val="auto"/>
                <w:sz w:val="24"/>
                <w:highlight w:val="none"/>
                <w:u w:val="single"/>
              </w:rPr>
              <w:t>浙江省杭州市临安区锦北街道科技大道4398号市民中心1号楼B座4楼询标室B436</w:t>
            </w:r>
            <w:r>
              <w:rPr>
                <w:rFonts w:hint="eastAsia" w:ascii="宋体" w:hAnsi="宋体" w:cs="宋体"/>
                <w:color w:val="auto"/>
                <w:kern w:val="0"/>
                <w:sz w:val="24"/>
                <w:highlight w:val="none"/>
              </w:rPr>
              <w:t>，讲解演示所用电脑等设备由投标人自备。现场讲解演示人员进场时提供讲解人员名单（加盖公章或授权代表签名）及身份证明，否则不得讲解演示。</w:t>
            </w:r>
          </w:p>
          <w:p w14:paraId="71128474">
            <w:pPr>
              <w:snapToGrid w:val="0"/>
              <w:spacing w:line="360" w:lineRule="auto"/>
              <w:rPr>
                <w:rFonts w:ascii="宋体" w:hAnsi="宋体" w:cs="宋体"/>
                <w:b/>
                <w:color w:val="auto"/>
                <w:kern w:val="0"/>
                <w:sz w:val="24"/>
                <w:highlight w:val="none"/>
                <w:lang w:val="zh-CN"/>
              </w:rPr>
            </w:pPr>
            <w:r>
              <w:rPr>
                <w:rFonts w:hint="eastAsia" w:ascii="宋体" w:hAnsi="宋体" w:cs="宋体"/>
                <w:color w:val="auto"/>
                <w:kern w:val="0"/>
                <w:sz w:val="24"/>
                <w:highlight w:val="none"/>
              </w:rPr>
              <w:t>注：因投标人自身原因导致无法演示或者演示效果不理想的，责任自负。因平台原因导致本项目方案讲解演示环节无法顺利开展，按照《浙江省政府采购项目电子交易管理暂行办法》相关规定执行。</w:t>
            </w:r>
          </w:p>
        </w:tc>
      </w:tr>
      <w:tr w14:paraId="42140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1" w:hRule="atLeast"/>
        </w:trPr>
        <w:tc>
          <w:tcPr>
            <w:tcW w:w="629" w:type="dxa"/>
            <w:vMerge w:val="restart"/>
            <w:tcBorders>
              <w:tl2br w:val="nil"/>
              <w:tr2bl w:val="nil"/>
            </w:tcBorders>
            <w:vAlign w:val="center"/>
          </w:tcPr>
          <w:p w14:paraId="782C4936">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8</w:t>
            </w:r>
          </w:p>
        </w:tc>
        <w:tc>
          <w:tcPr>
            <w:tcW w:w="1843" w:type="dxa"/>
            <w:vMerge w:val="restart"/>
            <w:tcBorders>
              <w:tl2br w:val="nil"/>
              <w:tr2bl w:val="nil"/>
            </w:tcBorders>
            <w:vAlign w:val="center"/>
          </w:tcPr>
          <w:p w14:paraId="4EAF9E26">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投标人应当提供的资格、资信</w:t>
            </w:r>
            <w:r>
              <w:rPr>
                <w:rFonts w:hint="eastAsia" w:ascii="宋体" w:hAnsi="宋体" w:cs="宋体"/>
                <w:b/>
                <w:color w:val="auto"/>
                <w:sz w:val="24"/>
                <w:highlight w:val="none"/>
                <w:lang w:eastAsia="zh-CN"/>
              </w:rPr>
              <w:t>、资质等</w:t>
            </w:r>
            <w:r>
              <w:rPr>
                <w:rFonts w:hint="eastAsia" w:ascii="宋体" w:hAnsi="宋体" w:cs="宋体"/>
                <w:b/>
                <w:color w:val="auto"/>
                <w:sz w:val="24"/>
                <w:highlight w:val="none"/>
              </w:rPr>
              <w:t>证明文件</w:t>
            </w:r>
          </w:p>
        </w:tc>
        <w:tc>
          <w:tcPr>
            <w:tcW w:w="6095" w:type="dxa"/>
            <w:tcBorders>
              <w:tl2br w:val="nil"/>
              <w:tr2bl w:val="nil"/>
            </w:tcBorders>
            <w:vAlign w:val="center"/>
          </w:tcPr>
          <w:p w14:paraId="23B44EFD">
            <w:pPr>
              <w:spacing w:line="360" w:lineRule="auto"/>
              <w:rPr>
                <w:rFonts w:ascii="宋体" w:hAnsi="宋体" w:cs="宋体"/>
                <w:color w:val="auto"/>
                <w:sz w:val="24"/>
                <w:highlight w:val="none"/>
              </w:rPr>
            </w:pPr>
            <w:r>
              <w:rPr>
                <w:rFonts w:hint="eastAsia" w:ascii="宋体" w:hAnsi="宋体" w:cs="宋体"/>
                <w:color w:val="auto"/>
                <w:sz w:val="24"/>
                <w:highlight w:val="none"/>
              </w:rPr>
              <w:t>（1）资格证明文件：见招标文件第二部分11.1。</w:t>
            </w:r>
          </w:p>
          <w:p w14:paraId="78245C49">
            <w:pPr>
              <w:spacing w:line="360" w:lineRule="auto"/>
              <w:rPr>
                <w:rFonts w:ascii="宋体" w:hAnsi="宋体" w:cs="宋体"/>
                <w:snapToGrid w:val="0"/>
                <w:color w:val="auto"/>
                <w:kern w:val="0"/>
                <w:szCs w:val="21"/>
                <w:highlight w:val="none"/>
              </w:rPr>
            </w:pPr>
            <w:r>
              <w:rPr>
                <w:rFonts w:hint="eastAsia" w:ascii="宋体" w:hAnsi="宋体" w:cs="宋体"/>
                <w:color w:val="auto"/>
                <w:kern w:val="0"/>
                <w:sz w:val="24"/>
                <w:highlight w:val="none"/>
                <w:lang w:val="zh-CN"/>
              </w:rPr>
              <w:t>投标人未提供有效的资格证明文件的，视为投标人不具备招标文件中规定的资格要求，投标无效。</w:t>
            </w:r>
          </w:p>
        </w:tc>
      </w:tr>
      <w:tr w14:paraId="22349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31" w:hRule="atLeast"/>
        </w:trPr>
        <w:tc>
          <w:tcPr>
            <w:tcW w:w="629" w:type="dxa"/>
            <w:vMerge w:val="continue"/>
            <w:tcBorders>
              <w:tl2br w:val="nil"/>
              <w:tr2bl w:val="nil"/>
            </w:tcBorders>
            <w:vAlign w:val="center"/>
          </w:tcPr>
          <w:p w14:paraId="66877A81">
            <w:pPr>
              <w:snapToGrid w:val="0"/>
              <w:spacing w:line="360" w:lineRule="auto"/>
              <w:jc w:val="center"/>
              <w:rPr>
                <w:rFonts w:ascii="宋体" w:hAnsi="宋体" w:cs="宋体"/>
                <w:color w:val="auto"/>
                <w:sz w:val="24"/>
                <w:highlight w:val="none"/>
              </w:rPr>
            </w:pPr>
          </w:p>
        </w:tc>
        <w:tc>
          <w:tcPr>
            <w:tcW w:w="1843" w:type="dxa"/>
            <w:vMerge w:val="continue"/>
            <w:tcBorders>
              <w:tl2br w:val="nil"/>
              <w:tr2bl w:val="nil"/>
            </w:tcBorders>
            <w:vAlign w:val="center"/>
          </w:tcPr>
          <w:p w14:paraId="4D1AE175">
            <w:pPr>
              <w:snapToGrid w:val="0"/>
              <w:spacing w:line="360" w:lineRule="auto"/>
              <w:jc w:val="center"/>
              <w:rPr>
                <w:rFonts w:ascii="宋体" w:hAnsi="宋体" w:cs="宋体"/>
                <w:b/>
                <w:color w:val="auto"/>
                <w:sz w:val="24"/>
                <w:highlight w:val="none"/>
              </w:rPr>
            </w:pPr>
          </w:p>
        </w:tc>
        <w:tc>
          <w:tcPr>
            <w:tcW w:w="6095" w:type="dxa"/>
            <w:tcBorders>
              <w:tl2br w:val="nil"/>
              <w:tr2bl w:val="nil"/>
            </w:tcBorders>
            <w:vAlign w:val="center"/>
          </w:tcPr>
          <w:p w14:paraId="5ABE5108">
            <w:pPr>
              <w:spacing w:line="360" w:lineRule="auto"/>
              <w:rPr>
                <w:rFonts w:ascii="宋体" w:hAnsi="宋体" w:cs="宋体"/>
                <w:color w:val="auto"/>
                <w:sz w:val="24"/>
                <w:highlight w:val="none"/>
              </w:rPr>
            </w:pPr>
            <w:r>
              <w:rPr>
                <w:rFonts w:hint="eastAsia" w:ascii="宋体" w:hAnsi="宋体" w:cs="宋体"/>
                <w:color w:val="auto"/>
                <w:sz w:val="24"/>
                <w:highlight w:val="none"/>
              </w:rPr>
              <w:t>（2）资信</w:t>
            </w:r>
            <w:r>
              <w:rPr>
                <w:rFonts w:hint="eastAsia" w:ascii="宋体" w:hAnsi="宋体" w:cs="宋体"/>
                <w:color w:val="auto"/>
                <w:sz w:val="24"/>
                <w:highlight w:val="none"/>
                <w:lang w:eastAsia="zh-CN"/>
              </w:rPr>
              <w:t>、资质等</w:t>
            </w:r>
            <w:r>
              <w:rPr>
                <w:rFonts w:hint="eastAsia" w:ascii="宋体" w:hAnsi="宋体" w:cs="宋体"/>
                <w:color w:val="auto"/>
                <w:sz w:val="24"/>
                <w:highlight w:val="none"/>
              </w:rPr>
              <w:t>证明文件：根据招标文件第四部分评标标准提供</w:t>
            </w:r>
            <w:r>
              <w:rPr>
                <w:rFonts w:hint="eastAsia" w:ascii="宋体" w:hAnsi="宋体" w:cs="宋体"/>
                <w:color w:val="auto"/>
                <w:sz w:val="24"/>
                <w:highlight w:val="none"/>
                <w:lang w:val="en-US" w:eastAsia="zh-CN"/>
              </w:rPr>
              <w:t>有效的</w:t>
            </w:r>
            <w:r>
              <w:rPr>
                <w:rFonts w:hint="eastAsia" w:ascii="宋体" w:hAnsi="宋体" w:cs="宋体"/>
                <w:color w:val="auto"/>
                <w:sz w:val="24"/>
                <w:highlight w:val="none"/>
              </w:rPr>
              <w:t>资信</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资质等</w:t>
            </w:r>
            <w:r>
              <w:rPr>
                <w:rFonts w:hint="eastAsia" w:ascii="宋体" w:hAnsi="宋体" w:cs="宋体"/>
                <w:color w:val="auto"/>
                <w:sz w:val="24"/>
                <w:highlight w:val="none"/>
              </w:rPr>
              <w:t>证明文件。</w:t>
            </w:r>
          </w:p>
        </w:tc>
      </w:tr>
      <w:tr w14:paraId="1FDC4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6" w:hRule="atLeast"/>
        </w:trPr>
        <w:tc>
          <w:tcPr>
            <w:tcW w:w="629" w:type="dxa"/>
            <w:tcBorders>
              <w:tl2br w:val="nil"/>
              <w:tr2bl w:val="nil"/>
            </w:tcBorders>
            <w:vAlign w:val="center"/>
          </w:tcPr>
          <w:p w14:paraId="1E71A7B3">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9</w:t>
            </w:r>
          </w:p>
        </w:tc>
        <w:tc>
          <w:tcPr>
            <w:tcW w:w="1843" w:type="dxa"/>
            <w:tcBorders>
              <w:tl2br w:val="nil"/>
              <w:tr2bl w:val="nil"/>
            </w:tcBorders>
            <w:vAlign w:val="center"/>
          </w:tcPr>
          <w:p w14:paraId="5885FDC6">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节能产品、环境标志产品</w:t>
            </w:r>
          </w:p>
        </w:tc>
        <w:tc>
          <w:tcPr>
            <w:tcW w:w="6095" w:type="dxa"/>
            <w:tcBorders>
              <w:tl2br w:val="nil"/>
              <w:tr2bl w:val="nil"/>
            </w:tcBorders>
            <w:vAlign w:val="center"/>
          </w:tcPr>
          <w:p w14:paraId="41A05A3D">
            <w:pPr>
              <w:snapToGrid w:val="0"/>
              <w:spacing w:line="360" w:lineRule="auto"/>
              <w:rPr>
                <w:rFonts w:hint="eastAsia"/>
                <w:color w:val="auto"/>
                <w:sz w:val="24"/>
                <w:szCs w:val="24"/>
                <w:highlight w:val="none"/>
              </w:rPr>
            </w:pPr>
            <w:r>
              <w:rPr>
                <w:rFonts w:hint="eastAsia"/>
                <w:color w:val="auto"/>
                <w:sz w:val="24"/>
                <w:szCs w:val="24"/>
                <w:highlight w:val="none"/>
              </w:rPr>
              <w:t>采购人拟采购的产品属于品目清单范围的，采购人将依据国家确定的认证机构出具的、处于有效期之内的节能产品、环境标志产品认证证书，对获得证书的产品实施政府优先采购或强制采购。</w:t>
            </w:r>
          </w:p>
          <w:p w14:paraId="6FA19E3C">
            <w:pPr>
              <w:snapToGrid w:val="0"/>
              <w:spacing w:line="360" w:lineRule="auto"/>
              <w:ind w:firstLine="480" w:firstLineChars="200"/>
              <w:rPr>
                <w:rFonts w:hint="eastAsia"/>
                <w:b/>
                <w:bCs/>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rPr>
              <w:t>强制采购。产品：</w:t>
            </w:r>
            <w:r>
              <w:rPr>
                <w:rFonts w:hint="eastAsia"/>
                <w:color w:val="auto"/>
                <w:sz w:val="24"/>
                <w:szCs w:val="24"/>
                <w:highlight w:val="none"/>
                <w:u w:val="single"/>
                <w:lang w:eastAsia="zh-CN"/>
              </w:rPr>
              <w:t>便携式计算机</w:t>
            </w:r>
            <w:r>
              <w:rPr>
                <w:rFonts w:hint="eastAsia"/>
                <w:color w:val="auto"/>
                <w:sz w:val="24"/>
                <w:szCs w:val="24"/>
                <w:highlight w:val="none"/>
              </w:rPr>
              <w:t>。▲</w:t>
            </w:r>
            <w:r>
              <w:rPr>
                <w:rFonts w:hint="eastAsia"/>
                <w:b/>
                <w:bCs/>
                <w:color w:val="auto"/>
                <w:sz w:val="24"/>
                <w:szCs w:val="24"/>
                <w:highlight w:val="none"/>
              </w:rPr>
              <w:t>实施政府强制采购，投标人就相应的投标产品未提供国家确定的认证机构</w:t>
            </w:r>
            <w:r>
              <w:rPr>
                <w:rFonts w:hint="eastAsia"/>
                <w:b/>
                <w:bCs/>
                <w:color w:val="auto"/>
                <w:spacing w:val="-6"/>
                <w:sz w:val="24"/>
                <w:szCs w:val="24"/>
                <w:highlight w:val="none"/>
              </w:rPr>
              <w:t>出具的、处于有效期之内的节能产品认证证书的，投标无效。</w:t>
            </w:r>
          </w:p>
          <w:p w14:paraId="08035FB3">
            <w:pPr>
              <w:snapToGrid w:val="0"/>
              <w:spacing w:line="360" w:lineRule="auto"/>
              <w:ind w:firstLine="480" w:firstLineChars="200"/>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rPr>
              <w:t xml:space="preserve">优先采购节能产品。产品：        </w:t>
            </w:r>
          </w:p>
          <w:p w14:paraId="0171297B">
            <w:pPr>
              <w:snapToGrid w:val="0"/>
              <w:spacing w:line="360" w:lineRule="auto"/>
              <w:ind w:firstLine="480" w:firstLineChars="200"/>
              <w:rPr>
                <w:rFonts w:hint="eastAsia" w:eastAsia="宋体"/>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rPr>
              <w:t>优先采购环保产品。产品：</w:t>
            </w:r>
            <w:r>
              <w:rPr>
                <w:rFonts w:hint="eastAsia"/>
                <w:color w:val="auto"/>
                <w:sz w:val="24"/>
                <w:szCs w:val="24"/>
                <w:highlight w:val="none"/>
                <w:lang w:eastAsia="zh-CN"/>
              </w:rPr>
              <w:t>便携式计算机。</w:t>
            </w:r>
          </w:p>
          <w:p w14:paraId="2FBA1540">
            <w:pPr>
              <w:snapToGrid w:val="0"/>
              <w:spacing w:line="360" w:lineRule="auto"/>
              <w:ind w:firstLine="480" w:firstLineChars="200"/>
              <w:rPr>
                <w:rFonts w:hint="eastAsia" w:ascii="宋体" w:hAnsi="宋体" w:cs="宋体"/>
                <w:color w:val="auto"/>
                <w:kern w:val="0"/>
                <w:sz w:val="24"/>
                <w:highlight w:val="none"/>
                <w:lang w:eastAsia="zh-CN"/>
              </w:rPr>
            </w:pPr>
            <w:r>
              <w:rPr>
                <w:rFonts w:hint="eastAsia"/>
                <w:color w:val="auto"/>
                <w:sz w:val="24"/>
                <w:szCs w:val="24"/>
                <w:highlight w:val="none"/>
                <w:lang w:eastAsia="zh-CN"/>
              </w:rPr>
              <w:t>□</w:t>
            </w:r>
            <w:r>
              <w:rPr>
                <w:rFonts w:hint="eastAsia"/>
                <w:color w:val="auto"/>
                <w:sz w:val="24"/>
                <w:szCs w:val="24"/>
                <w:highlight w:val="none"/>
              </w:rPr>
              <w:t>无。</w:t>
            </w:r>
          </w:p>
        </w:tc>
      </w:tr>
      <w:tr w14:paraId="7416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165" w:hRule="atLeast"/>
        </w:trPr>
        <w:tc>
          <w:tcPr>
            <w:tcW w:w="629" w:type="dxa"/>
            <w:tcBorders>
              <w:tl2br w:val="nil"/>
              <w:tr2bl w:val="nil"/>
            </w:tcBorders>
            <w:vAlign w:val="center"/>
          </w:tcPr>
          <w:p w14:paraId="2D1BDAC2">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10</w:t>
            </w:r>
          </w:p>
        </w:tc>
        <w:tc>
          <w:tcPr>
            <w:tcW w:w="1843" w:type="dxa"/>
            <w:tcBorders>
              <w:tl2br w:val="nil"/>
              <w:tr2bl w:val="nil"/>
            </w:tcBorders>
            <w:vAlign w:val="center"/>
          </w:tcPr>
          <w:p w14:paraId="3B49653D">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报价要求</w:t>
            </w:r>
          </w:p>
        </w:tc>
        <w:tc>
          <w:tcPr>
            <w:tcW w:w="6095" w:type="dxa"/>
            <w:tcBorders>
              <w:tl2br w:val="nil"/>
              <w:tr2bl w:val="nil"/>
            </w:tcBorders>
            <w:vAlign w:val="center"/>
          </w:tcPr>
          <w:p w14:paraId="4785D37D">
            <w:pPr>
              <w:keepNext/>
              <w:keepLines w:val="0"/>
              <w:pageBreakBefore w:val="0"/>
              <w:widowControl w:val="0"/>
              <w:kinsoku/>
              <w:wordWrap/>
              <w:overflowPunct/>
              <w:topLinePunct w:val="0"/>
              <w:autoSpaceDE/>
              <w:autoSpaceDN/>
              <w:bidi w:val="0"/>
              <w:adjustRightInd w:val="0"/>
              <w:snapToGrid/>
              <w:spacing w:line="440" w:lineRule="exact"/>
              <w:ind w:firstLine="240" w:firstLineChars="100"/>
              <w:textAlignment w:val="auto"/>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（1）有关本项目实施所需的所有费用（含税费）均计入报价。</w:t>
            </w:r>
            <w:r>
              <w:rPr>
                <w:rFonts w:hint="eastAsia" w:ascii="宋体" w:hAnsi="宋体" w:cs="宋体"/>
                <w:b/>
                <w:bCs/>
                <w:color w:val="auto"/>
                <w:kern w:val="0"/>
                <w:sz w:val="24"/>
                <w:highlight w:val="none"/>
                <w:lang w:val="zh-CN"/>
              </w:rPr>
              <w:t>投标文件开标一览表（报价表）是报价的唯一载体，如投标人在政府采购云平台填写的投标报价与投标文件报价文件中开标一览表（报价表）不一致的，以报价文件中开标一览表（报价表）为准。</w:t>
            </w:r>
            <w:r>
              <w:rPr>
                <w:rFonts w:hint="eastAsia" w:ascii="宋体" w:hAnsi="宋体" w:cs="宋体"/>
                <w:color w:val="auto"/>
                <w:kern w:val="0"/>
                <w:sz w:val="24"/>
                <w:highlight w:val="none"/>
                <w:lang w:val="zh-CN"/>
              </w:rPr>
              <w:t>投标文件中价格全部采用人民币报价。招标文件未列明，而投标人认为必需的费用也需列入报价。</w:t>
            </w:r>
            <w:r>
              <w:rPr>
                <w:rFonts w:hint="eastAsia" w:ascii="宋体" w:hAnsi="宋体" w:cs="宋体"/>
                <w:b/>
                <w:bCs/>
                <w:color w:val="auto"/>
                <w:kern w:val="0"/>
                <w:sz w:val="24"/>
                <w:highlight w:val="none"/>
                <w:lang w:val="zh-CN"/>
              </w:rPr>
              <w:t>提醒：验收时检测费用由采购人承担，不包含在投标总价中。</w:t>
            </w:r>
          </w:p>
          <w:p w14:paraId="1DA81062">
            <w:pPr>
              <w:keepNext w:val="0"/>
              <w:keepLines w:val="0"/>
              <w:pageBreakBefore w:val="0"/>
              <w:widowControl w:val="0"/>
              <w:kinsoku/>
              <w:wordWrap/>
              <w:overflowPunct/>
              <w:topLinePunct w:val="0"/>
              <w:autoSpaceDE/>
              <w:autoSpaceDN/>
              <w:bidi w:val="0"/>
              <w:adjustRightInd w:val="0"/>
              <w:snapToGrid/>
              <w:spacing w:line="440" w:lineRule="exact"/>
              <w:ind w:firstLine="241" w:firstLineChars="100"/>
              <w:textAlignment w:val="auto"/>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（2）政府采购评审中出现下列情形之一的，评审委员会应当启动异常低价投标（响应）审查程序：</w:t>
            </w:r>
          </w:p>
          <w:p w14:paraId="03224271">
            <w:pPr>
              <w:keepNext w:val="0"/>
              <w:keepLines w:val="0"/>
              <w:pageBreakBefore w:val="0"/>
              <w:widowControl w:val="0"/>
              <w:kinsoku/>
              <w:wordWrap/>
              <w:overflowPunct/>
              <w:topLinePunct w:val="0"/>
              <w:autoSpaceDE/>
              <w:autoSpaceDN/>
              <w:bidi w:val="0"/>
              <w:adjustRightInd w:val="0"/>
              <w:snapToGrid/>
              <w:spacing w:line="440" w:lineRule="exact"/>
              <w:ind w:firstLine="241" w:firstLineChars="100"/>
              <w:textAlignment w:val="auto"/>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1.投标（响应）报价低于全部通过符合性审查供应商投标（响应）报价平均值50%的，即投标（响应）报价</w:t>
            </w:r>
            <w:r>
              <w:rPr>
                <w:rFonts w:hint="eastAsia" w:ascii="宋体" w:hAnsi="宋体" w:cs="宋体"/>
                <w:b/>
                <w:bCs/>
                <w:color w:val="auto"/>
                <w:kern w:val="0"/>
                <w:sz w:val="24"/>
                <w:highlight w:val="none"/>
                <w:lang w:val="en-US" w:eastAsia="zh-CN"/>
              </w:rPr>
              <w:t>＜</w:t>
            </w:r>
            <w:r>
              <w:rPr>
                <w:rFonts w:hint="eastAsia" w:ascii="宋体" w:hAnsi="宋体" w:cs="宋体"/>
                <w:b/>
                <w:bCs/>
                <w:color w:val="auto"/>
                <w:kern w:val="0"/>
                <w:sz w:val="24"/>
                <w:highlight w:val="none"/>
                <w:lang w:val="zh-CN"/>
              </w:rPr>
              <w:t>全部通过符合性审查供应商投标（响应）报价平均值×50%；</w:t>
            </w:r>
          </w:p>
          <w:p w14:paraId="57D13D7C">
            <w:pPr>
              <w:keepNext w:val="0"/>
              <w:keepLines w:val="0"/>
              <w:pageBreakBefore w:val="0"/>
              <w:widowControl w:val="0"/>
              <w:kinsoku/>
              <w:wordWrap/>
              <w:overflowPunct/>
              <w:topLinePunct w:val="0"/>
              <w:autoSpaceDE/>
              <w:autoSpaceDN/>
              <w:bidi w:val="0"/>
              <w:adjustRightInd w:val="0"/>
              <w:snapToGrid/>
              <w:spacing w:line="440" w:lineRule="exact"/>
              <w:ind w:firstLine="241" w:firstLineChars="100"/>
              <w:textAlignment w:val="auto"/>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2.投标（响应）报价低于通过符合性审查的次低报价供应商投标（响应）报价50%的，即投标（响应）报价</w:t>
            </w:r>
            <w:r>
              <w:rPr>
                <w:rFonts w:hint="eastAsia" w:ascii="宋体" w:hAnsi="宋体" w:cs="宋体"/>
                <w:b/>
                <w:bCs/>
                <w:color w:val="auto"/>
                <w:kern w:val="0"/>
                <w:sz w:val="24"/>
                <w:highlight w:val="none"/>
                <w:lang w:val="en-US" w:eastAsia="zh-CN"/>
              </w:rPr>
              <w:t>＜</w:t>
            </w:r>
            <w:r>
              <w:rPr>
                <w:rFonts w:hint="eastAsia" w:ascii="宋体" w:hAnsi="宋体" w:cs="宋体"/>
                <w:b/>
                <w:bCs/>
                <w:color w:val="auto"/>
                <w:kern w:val="0"/>
                <w:sz w:val="24"/>
                <w:highlight w:val="none"/>
                <w:lang w:val="zh-CN"/>
              </w:rPr>
              <w:t>通过符合性审查的次低报价供应商投标（响应）报价×50%；</w:t>
            </w:r>
          </w:p>
          <w:p w14:paraId="4B6BC886">
            <w:pPr>
              <w:keepNext w:val="0"/>
              <w:keepLines w:val="0"/>
              <w:pageBreakBefore w:val="0"/>
              <w:widowControl w:val="0"/>
              <w:kinsoku/>
              <w:wordWrap/>
              <w:overflowPunct/>
              <w:topLinePunct w:val="0"/>
              <w:autoSpaceDE/>
              <w:autoSpaceDN/>
              <w:bidi w:val="0"/>
              <w:adjustRightInd w:val="0"/>
              <w:snapToGrid/>
              <w:spacing w:line="440" w:lineRule="exact"/>
              <w:ind w:firstLine="241" w:firstLineChars="100"/>
              <w:textAlignment w:val="auto"/>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3.投标（响应）报价低于采购项目最高限价45%的，即投标（响应）报价</w:t>
            </w:r>
            <w:r>
              <w:rPr>
                <w:rFonts w:hint="eastAsia" w:ascii="宋体" w:hAnsi="宋体" w:cs="宋体"/>
                <w:b/>
                <w:bCs/>
                <w:color w:val="auto"/>
                <w:kern w:val="0"/>
                <w:sz w:val="24"/>
                <w:highlight w:val="none"/>
                <w:lang w:val="en-US" w:eastAsia="zh-CN"/>
              </w:rPr>
              <w:t>＜</w:t>
            </w:r>
            <w:r>
              <w:rPr>
                <w:rFonts w:hint="eastAsia" w:ascii="宋体" w:hAnsi="宋体" w:cs="宋体"/>
                <w:b/>
                <w:bCs/>
                <w:color w:val="auto"/>
                <w:kern w:val="0"/>
                <w:sz w:val="24"/>
                <w:highlight w:val="none"/>
                <w:lang w:val="zh-CN"/>
              </w:rPr>
              <w:t>采购项目最高限价×45%；</w:t>
            </w:r>
          </w:p>
          <w:p w14:paraId="54A0FF78">
            <w:pPr>
              <w:keepNext w:val="0"/>
              <w:keepLines w:val="0"/>
              <w:pageBreakBefore w:val="0"/>
              <w:widowControl w:val="0"/>
              <w:kinsoku/>
              <w:wordWrap/>
              <w:overflowPunct/>
              <w:topLinePunct w:val="0"/>
              <w:autoSpaceDE/>
              <w:autoSpaceDN/>
              <w:bidi w:val="0"/>
              <w:adjustRightInd w:val="0"/>
              <w:snapToGrid/>
              <w:spacing w:line="440" w:lineRule="exact"/>
              <w:ind w:firstLine="241" w:firstLineChars="100"/>
              <w:textAlignment w:val="auto"/>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4.评审委员会基于专业判断，认为供应商报价过低，有可能影响产品质量或者不能诚信履约的其他情形。</w:t>
            </w:r>
          </w:p>
          <w:p w14:paraId="1CF2064E">
            <w:pPr>
              <w:keepNext w:val="0"/>
              <w:keepLines w:val="0"/>
              <w:pageBreakBefore w:val="0"/>
              <w:widowControl w:val="0"/>
              <w:kinsoku/>
              <w:wordWrap/>
              <w:overflowPunct/>
              <w:topLinePunct w:val="0"/>
              <w:autoSpaceDE/>
              <w:autoSpaceDN/>
              <w:bidi w:val="0"/>
              <w:adjustRightInd w:val="0"/>
              <w:snapToGrid/>
              <w:spacing w:line="440" w:lineRule="exact"/>
              <w:ind w:firstLine="241" w:firstLineChars="100"/>
              <w:textAlignment w:val="auto"/>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注：采购人可以结合具体项目实际情况，提高上述第1项至第3项中启动异常低价投标（响应）审查的数值标准，并在招标文件中予以明确，但是最高不得超过65%。</w:t>
            </w:r>
          </w:p>
          <w:p w14:paraId="2D00919E">
            <w:pPr>
              <w:keepNext w:val="0"/>
              <w:keepLines w:val="0"/>
              <w:pageBreakBefore w:val="0"/>
              <w:widowControl w:val="0"/>
              <w:kinsoku/>
              <w:wordWrap/>
              <w:overflowPunct/>
              <w:topLinePunct w:val="0"/>
              <w:autoSpaceDE/>
              <w:autoSpaceDN/>
              <w:bidi w:val="0"/>
              <w:adjustRightInd w:val="0"/>
              <w:snapToGrid/>
              <w:spacing w:line="440" w:lineRule="exact"/>
              <w:ind w:firstLine="241" w:firstLineChars="100"/>
              <w:textAlignment w:val="auto"/>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相关法律法规对供应商报价有规定的，从其规定。</w:t>
            </w:r>
          </w:p>
          <w:p w14:paraId="5F39F6A1">
            <w:pPr>
              <w:keepNext w:val="0"/>
              <w:keepLines w:val="0"/>
              <w:pageBreakBefore w:val="0"/>
              <w:widowControl w:val="0"/>
              <w:kinsoku/>
              <w:wordWrap/>
              <w:overflowPunct/>
              <w:topLinePunct w:val="0"/>
              <w:autoSpaceDE/>
              <w:autoSpaceDN/>
              <w:bidi w:val="0"/>
              <w:adjustRightInd w:val="0"/>
              <w:snapToGrid/>
              <w:spacing w:line="440" w:lineRule="exact"/>
              <w:ind w:firstLine="241" w:firstLineChars="100"/>
              <w:textAlignment w:val="auto"/>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（3）投标报价出现下列情形的，投标无效：</w:t>
            </w:r>
          </w:p>
          <w:p w14:paraId="37D55041">
            <w:pPr>
              <w:keepNext w:val="0"/>
              <w:keepLines w:val="0"/>
              <w:pageBreakBefore w:val="0"/>
              <w:widowControl w:val="0"/>
              <w:kinsoku/>
              <w:wordWrap/>
              <w:overflowPunct/>
              <w:topLinePunct w:val="0"/>
              <w:autoSpaceDE/>
              <w:autoSpaceDN/>
              <w:bidi w:val="0"/>
              <w:adjustRightInd w:val="0"/>
              <w:snapToGrid/>
              <w:spacing w:line="440" w:lineRule="exact"/>
              <w:ind w:firstLine="241" w:firstLineChars="100"/>
              <w:textAlignment w:val="auto"/>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投标文件出现不是唯一的、有选择性投标报价的；</w:t>
            </w:r>
          </w:p>
          <w:p w14:paraId="39CFB26A">
            <w:pPr>
              <w:keepNext w:val="0"/>
              <w:keepLines w:val="0"/>
              <w:pageBreakBefore w:val="0"/>
              <w:widowControl w:val="0"/>
              <w:kinsoku/>
              <w:wordWrap/>
              <w:overflowPunct/>
              <w:topLinePunct w:val="0"/>
              <w:autoSpaceDE/>
              <w:autoSpaceDN/>
              <w:bidi w:val="0"/>
              <w:adjustRightInd w:val="0"/>
              <w:snapToGrid/>
              <w:spacing w:line="440" w:lineRule="exact"/>
              <w:ind w:firstLine="217" w:firstLineChars="100"/>
              <w:textAlignment w:val="auto"/>
              <w:rPr>
                <w:rFonts w:hint="eastAsia" w:ascii="宋体" w:hAnsi="宋体" w:cs="宋体"/>
                <w:b/>
                <w:bCs/>
                <w:color w:val="auto"/>
                <w:w w:val="90"/>
                <w:kern w:val="0"/>
                <w:sz w:val="24"/>
                <w:highlight w:val="none"/>
                <w:lang w:val="zh-CN"/>
              </w:rPr>
            </w:pPr>
            <w:r>
              <w:rPr>
                <w:rFonts w:hint="eastAsia" w:ascii="宋体" w:hAnsi="宋体" w:cs="宋体"/>
                <w:b/>
                <w:bCs/>
                <w:color w:val="auto"/>
                <w:w w:val="90"/>
                <w:kern w:val="0"/>
                <w:sz w:val="24"/>
                <w:highlight w:val="none"/>
                <w:lang w:val="zh-CN"/>
              </w:rPr>
              <w:t>投标报价超过招标文件中规定的预算金额或者最高限价的；</w:t>
            </w:r>
          </w:p>
          <w:p w14:paraId="26B328E0">
            <w:pPr>
              <w:keepNext w:val="0"/>
              <w:keepLines w:val="0"/>
              <w:pageBreakBefore w:val="0"/>
              <w:widowControl w:val="0"/>
              <w:kinsoku/>
              <w:wordWrap/>
              <w:overflowPunct/>
              <w:topLinePunct w:val="0"/>
              <w:autoSpaceDE/>
              <w:autoSpaceDN/>
              <w:bidi w:val="0"/>
              <w:adjustRightInd w:val="0"/>
              <w:snapToGrid/>
              <w:spacing w:line="440" w:lineRule="exact"/>
              <w:ind w:firstLine="241" w:firstLineChars="100"/>
              <w:textAlignment w:val="auto"/>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评审委员会启动异常低价投标（响应）审查后，投标（响应）供应商不能提供书面说明、证明材料，或者提供的书面说明、证明材料不能证明其报价合理性的；</w:t>
            </w:r>
          </w:p>
          <w:p w14:paraId="13EB2B35">
            <w:pPr>
              <w:keepNext w:val="0"/>
              <w:keepLines w:val="0"/>
              <w:pageBreakBefore w:val="0"/>
              <w:widowControl w:val="0"/>
              <w:kinsoku/>
              <w:wordWrap/>
              <w:overflowPunct/>
              <w:topLinePunct w:val="0"/>
              <w:autoSpaceDE/>
              <w:autoSpaceDN/>
              <w:bidi w:val="0"/>
              <w:adjustRightInd w:val="0"/>
              <w:snapToGrid/>
              <w:spacing w:line="440" w:lineRule="exact"/>
              <w:ind w:firstLine="241" w:firstLineChars="100"/>
              <w:textAlignment w:val="auto"/>
              <w:rPr>
                <w:rFonts w:ascii="宋体" w:hAnsi="宋体" w:cs="宋体"/>
                <w:color w:val="auto"/>
                <w:sz w:val="24"/>
                <w:highlight w:val="none"/>
              </w:rPr>
            </w:pPr>
            <w:r>
              <w:rPr>
                <w:rFonts w:hint="eastAsia" w:ascii="宋体" w:hAnsi="宋体" w:cs="宋体"/>
                <w:b/>
                <w:bCs/>
                <w:color w:val="auto"/>
                <w:kern w:val="0"/>
                <w:sz w:val="24"/>
                <w:highlight w:val="none"/>
                <w:lang w:val="zh-CN"/>
              </w:rPr>
              <w:t>投标人对根据修正原则修正后的报价不确认的。</w:t>
            </w:r>
          </w:p>
        </w:tc>
      </w:tr>
      <w:tr w14:paraId="4DEFA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32" w:hRule="atLeast"/>
        </w:trPr>
        <w:tc>
          <w:tcPr>
            <w:tcW w:w="629" w:type="dxa"/>
            <w:tcBorders>
              <w:tl2br w:val="nil"/>
              <w:tr2bl w:val="nil"/>
            </w:tcBorders>
            <w:vAlign w:val="center"/>
          </w:tcPr>
          <w:p w14:paraId="739998D2">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11</w:t>
            </w:r>
          </w:p>
        </w:tc>
        <w:tc>
          <w:tcPr>
            <w:tcW w:w="1843" w:type="dxa"/>
            <w:tcBorders>
              <w:tl2br w:val="nil"/>
              <w:tr2bl w:val="nil"/>
            </w:tcBorders>
            <w:vAlign w:val="center"/>
          </w:tcPr>
          <w:p w14:paraId="61B2F961">
            <w:pPr>
              <w:snapToGrid w:val="0"/>
              <w:spacing w:line="360" w:lineRule="auto"/>
              <w:jc w:val="center"/>
              <w:rPr>
                <w:rFonts w:ascii="宋体" w:hAnsi="宋体" w:cs="宋体"/>
                <w:b/>
                <w:color w:val="auto"/>
                <w:sz w:val="24"/>
                <w:highlight w:val="none"/>
              </w:rPr>
            </w:pPr>
            <w:r>
              <w:rPr>
                <w:rFonts w:hint="eastAsia" w:ascii="宋体" w:hAnsi="宋体" w:cs="宋体"/>
                <w:b/>
                <w:color w:val="auto"/>
                <w:w w:val="90"/>
                <w:sz w:val="24"/>
                <w:highlight w:val="none"/>
              </w:rPr>
              <w:t>中小企业信用融资</w:t>
            </w:r>
          </w:p>
        </w:tc>
        <w:tc>
          <w:tcPr>
            <w:tcW w:w="6095" w:type="dxa"/>
            <w:tcBorders>
              <w:tl2br w:val="nil"/>
              <w:tr2bl w:val="nil"/>
            </w:tcBorders>
            <w:vAlign w:val="center"/>
          </w:tcPr>
          <w:p w14:paraId="1E373690">
            <w:pPr>
              <w:spacing w:line="360" w:lineRule="auto"/>
              <w:ind w:firstLine="480" w:firstLineChars="200"/>
              <w:rPr>
                <w:rFonts w:ascii="宋体" w:hAnsi="宋体" w:cs="宋体"/>
                <w:color w:val="auto"/>
                <w:sz w:val="24"/>
                <w:highlight w:val="none"/>
              </w:rPr>
            </w:pPr>
            <w:r>
              <w:rPr>
                <w:rFonts w:hint="eastAsia" w:ascii="宋体" w:hAnsi="宋体" w:cs="宋体"/>
                <w:snapToGrid w:val="0"/>
                <w:color w:val="auto"/>
                <w:kern w:val="28"/>
                <w:sz w:val="24"/>
                <w:highlight w:val="none"/>
              </w:rPr>
              <w:t>供应商中标后也可在“政采云”平台申请政采贷：操作路径：登录政采云平台 - 金融服务中心 -【融资服务】，可在热门申请中选择产品直接申请，也可点击云智贷匹配适合产品进行申请，或者在可申请项目中根据该项目进行申请。</w:t>
            </w:r>
          </w:p>
        </w:tc>
      </w:tr>
      <w:tr w14:paraId="6D766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34" w:hRule="atLeast"/>
        </w:trPr>
        <w:tc>
          <w:tcPr>
            <w:tcW w:w="629" w:type="dxa"/>
            <w:tcBorders>
              <w:tl2br w:val="nil"/>
              <w:tr2bl w:val="nil"/>
            </w:tcBorders>
            <w:vAlign w:val="center"/>
          </w:tcPr>
          <w:p w14:paraId="7B2C94BB">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12</w:t>
            </w:r>
          </w:p>
        </w:tc>
        <w:tc>
          <w:tcPr>
            <w:tcW w:w="1843" w:type="dxa"/>
            <w:tcBorders>
              <w:tl2br w:val="nil"/>
              <w:tr2bl w:val="nil"/>
            </w:tcBorders>
            <w:vAlign w:val="center"/>
          </w:tcPr>
          <w:p w14:paraId="0B069856">
            <w:pPr>
              <w:snapToGrid w:val="0"/>
              <w:spacing w:line="360" w:lineRule="auto"/>
              <w:jc w:val="center"/>
              <w:rPr>
                <w:rFonts w:ascii="宋体" w:hAnsi="宋体" w:cs="宋体"/>
                <w:b/>
                <w:color w:val="auto"/>
                <w:sz w:val="24"/>
                <w:highlight w:val="none"/>
              </w:rPr>
            </w:pPr>
            <w:r>
              <w:rPr>
                <w:rFonts w:hint="eastAsia" w:ascii="宋体" w:hAnsi="宋体" w:cs="宋体"/>
                <w:b/>
                <w:color w:val="auto"/>
                <w:w w:val="90"/>
                <w:sz w:val="24"/>
                <w:highlight w:val="none"/>
              </w:rPr>
              <w:t>备份投标文件送达地点和签收人员</w:t>
            </w:r>
          </w:p>
        </w:tc>
        <w:tc>
          <w:tcPr>
            <w:tcW w:w="6095" w:type="dxa"/>
            <w:tcBorders>
              <w:tl2br w:val="nil"/>
              <w:tr2bl w:val="nil"/>
            </w:tcBorders>
            <w:vAlign w:val="center"/>
          </w:tcPr>
          <w:p w14:paraId="59004055">
            <w:pPr>
              <w:pStyle w:val="33"/>
              <w:spacing w:line="360" w:lineRule="auto"/>
              <w:rPr>
                <w:rFonts w:hAnsi="宋体" w:cs="宋体"/>
                <w:color w:val="auto"/>
                <w:kern w:val="28"/>
                <w:sz w:val="24"/>
                <w:highlight w:val="none"/>
              </w:rPr>
            </w:pPr>
            <w:r>
              <w:rPr>
                <w:rFonts w:hint="eastAsia" w:hAnsi="宋体" w:cs="宋体"/>
                <w:color w:val="auto"/>
                <w:kern w:val="28"/>
                <w:sz w:val="24"/>
                <w:szCs w:val="24"/>
                <w:highlight w:val="none"/>
              </w:rPr>
              <w:t>备份投标文件送达地点：</w:t>
            </w:r>
            <w:r>
              <w:rPr>
                <w:rFonts w:hint="eastAsia" w:hAnsi="宋体" w:cs="宋体"/>
                <w:color w:val="auto"/>
                <w:sz w:val="24"/>
                <w:highlight w:val="none"/>
                <w:u w:val="single"/>
              </w:rPr>
              <w:t xml:space="preserve"> </w:t>
            </w:r>
            <w:r>
              <w:rPr>
                <w:rFonts w:hint="eastAsia" w:hAnsi="宋体" w:cs="宋体"/>
                <w:kern w:val="28"/>
                <w:sz w:val="24"/>
                <w:szCs w:val="24"/>
                <w:u w:val="single"/>
              </w:rPr>
              <w:t>杭州市</w:t>
            </w:r>
            <w:r>
              <w:rPr>
                <w:rFonts w:hint="eastAsia" w:hAnsi="宋体" w:cs="宋体"/>
                <w:kern w:val="28"/>
                <w:sz w:val="24"/>
                <w:szCs w:val="24"/>
                <w:u w:val="single"/>
                <w:lang w:eastAsia="zh-CN"/>
              </w:rPr>
              <w:t>临安区锦北街道科技大道</w:t>
            </w:r>
            <w:r>
              <w:rPr>
                <w:rFonts w:hint="eastAsia" w:hAnsi="宋体" w:cs="宋体"/>
                <w:kern w:val="28"/>
                <w:sz w:val="24"/>
                <w:szCs w:val="24"/>
                <w:u w:val="single"/>
                <w:lang w:val="en-US" w:eastAsia="zh-CN"/>
              </w:rPr>
              <w:t>4398号市民中心B座B448室</w:t>
            </w:r>
            <w:r>
              <w:rPr>
                <w:rFonts w:hint="eastAsia" w:hAnsi="宋体" w:cs="宋体"/>
                <w:kern w:val="28"/>
                <w:sz w:val="24"/>
                <w:szCs w:val="24"/>
                <w:u w:val="single"/>
              </w:rPr>
              <w:t>（杭州市公共资源交易中心</w:t>
            </w:r>
            <w:r>
              <w:rPr>
                <w:rFonts w:hint="eastAsia" w:hAnsi="宋体" w:cs="宋体"/>
                <w:kern w:val="28"/>
                <w:sz w:val="24"/>
                <w:szCs w:val="24"/>
                <w:u w:val="single"/>
                <w:lang w:eastAsia="zh-CN"/>
              </w:rPr>
              <w:t>临安分中心</w:t>
            </w:r>
            <w:r>
              <w:rPr>
                <w:rFonts w:hint="eastAsia" w:hAnsi="宋体" w:cs="宋体"/>
                <w:kern w:val="28"/>
                <w:sz w:val="24"/>
                <w:szCs w:val="24"/>
                <w:u w:val="single"/>
              </w:rPr>
              <w:t>政府采购</w:t>
            </w:r>
            <w:r>
              <w:rPr>
                <w:rFonts w:hint="eastAsia" w:hAnsi="宋体" w:cs="宋体"/>
                <w:kern w:val="28"/>
                <w:sz w:val="24"/>
                <w:szCs w:val="24"/>
                <w:u w:val="single"/>
                <w:lang w:eastAsia="zh-CN"/>
              </w:rPr>
              <w:t>科</w:t>
            </w:r>
            <w:r>
              <w:rPr>
                <w:rFonts w:hint="eastAsia" w:hAnsi="宋体" w:cs="宋体"/>
                <w:kern w:val="28"/>
                <w:sz w:val="24"/>
                <w:szCs w:val="24"/>
                <w:u w:val="single"/>
              </w:rPr>
              <w:t>）</w:t>
            </w:r>
            <w:r>
              <w:rPr>
                <w:rFonts w:hint="eastAsia" w:hAnsi="宋体" w:cs="宋体"/>
                <w:color w:val="auto"/>
                <w:sz w:val="24"/>
                <w:highlight w:val="none"/>
                <w:u w:val="single"/>
              </w:rPr>
              <w:t xml:space="preserve"> </w:t>
            </w:r>
            <w:r>
              <w:rPr>
                <w:rFonts w:hint="eastAsia" w:hAnsi="宋体" w:cs="宋体"/>
                <w:color w:val="auto"/>
                <w:kern w:val="28"/>
                <w:sz w:val="24"/>
                <w:szCs w:val="24"/>
                <w:highlight w:val="none"/>
              </w:rPr>
              <w:t>；备份投标文件签收人员联系电话：</w:t>
            </w:r>
            <w:r>
              <w:rPr>
                <w:rFonts w:hint="eastAsia" w:hAnsi="宋体" w:cs="宋体"/>
                <w:kern w:val="28"/>
                <w:sz w:val="24"/>
                <w:szCs w:val="24"/>
                <w:u w:val="single"/>
              </w:rPr>
              <w:t>0571-</w:t>
            </w:r>
            <w:r>
              <w:rPr>
                <w:rFonts w:hint="eastAsia" w:hAnsi="宋体" w:cs="宋体"/>
                <w:kern w:val="28"/>
                <w:sz w:val="24"/>
                <w:szCs w:val="24"/>
                <w:u w:val="single"/>
                <w:lang w:val="en-US" w:eastAsia="zh-CN"/>
              </w:rPr>
              <w:t>89540588</w:t>
            </w:r>
            <w:r>
              <w:rPr>
                <w:rFonts w:hint="eastAsia" w:hAnsi="宋体" w:cs="宋体"/>
                <w:color w:val="auto"/>
                <w:sz w:val="24"/>
                <w:szCs w:val="24"/>
                <w:highlight w:val="none"/>
              </w:rPr>
              <w:t>。</w:t>
            </w:r>
            <w:r>
              <w:rPr>
                <w:rFonts w:hint="eastAsia" w:hAnsi="宋体" w:cs="宋体"/>
                <w:b/>
                <w:color w:val="auto"/>
                <w:sz w:val="24"/>
                <w:szCs w:val="24"/>
                <w:highlight w:val="none"/>
              </w:rPr>
              <w:t>采购人、</w:t>
            </w:r>
            <w:r>
              <w:rPr>
                <w:rFonts w:hint="eastAsia" w:hAnsi="宋体" w:cs="宋体"/>
                <w:b/>
                <w:color w:val="auto"/>
                <w:sz w:val="24"/>
                <w:szCs w:val="24"/>
                <w:highlight w:val="none"/>
                <w:lang w:eastAsia="zh-CN"/>
              </w:rPr>
              <w:t>采购代理机构</w:t>
            </w:r>
            <w:r>
              <w:rPr>
                <w:rFonts w:hint="eastAsia" w:hAnsi="宋体" w:cs="宋体"/>
                <w:b/>
                <w:color w:val="auto"/>
                <w:sz w:val="24"/>
                <w:szCs w:val="24"/>
                <w:highlight w:val="none"/>
              </w:rPr>
              <w:t>不强制或变相强制投标人提交备份投标文件。</w:t>
            </w:r>
          </w:p>
        </w:tc>
      </w:tr>
      <w:tr w14:paraId="4246C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35" w:hRule="atLeast"/>
        </w:trPr>
        <w:tc>
          <w:tcPr>
            <w:tcW w:w="629" w:type="dxa"/>
            <w:vMerge w:val="restart"/>
            <w:tcBorders>
              <w:tl2br w:val="nil"/>
              <w:tr2bl w:val="nil"/>
            </w:tcBorders>
            <w:vAlign w:val="center"/>
          </w:tcPr>
          <w:p w14:paraId="40A1D83D">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13</w:t>
            </w:r>
          </w:p>
        </w:tc>
        <w:tc>
          <w:tcPr>
            <w:tcW w:w="1843" w:type="dxa"/>
            <w:vMerge w:val="restart"/>
            <w:tcBorders>
              <w:tl2br w:val="nil"/>
              <w:tr2bl w:val="nil"/>
            </w:tcBorders>
            <w:vAlign w:val="center"/>
          </w:tcPr>
          <w:p w14:paraId="392092E5">
            <w:pPr>
              <w:snapToGrid w:val="0"/>
              <w:spacing w:line="360" w:lineRule="auto"/>
              <w:jc w:val="center"/>
              <w:rPr>
                <w:rFonts w:ascii="宋体" w:hAnsi="宋体" w:cs="宋体"/>
                <w:b/>
                <w:color w:val="auto"/>
                <w:sz w:val="24"/>
                <w:highlight w:val="none"/>
              </w:rPr>
            </w:pPr>
            <w:r>
              <w:rPr>
                <w:rFonts w:hint="eastAsia" w:cs="仿宋_GB2312" w:asciiTheme="minorEastAsia" w:hAnsiTheme="minorEastAsia" w:eastAsiaTheme="minorEastAsia"/>
                <w:b/>
                <w:color w:val="auto"/>
                <w:sz w:val="24"/>
                <w:highlight w:val="none"/>
              </w:rPr>
              <w:t>特别说明</w:t>
            </w:r>
          </w:p>
        </w:tc>
        <w:tc>
          <w:tcPr>
            <w:tcW w:w="6095" w:type="dxa"/>
            <w:tcBorders>
              <w:tl2br w:val="nil"/>
              <w:tr2bl w:val="nil"/>
            </w:tcBorders>
            <w:vAlign w:val="center"/>
          </w:tcPr>
          <w:p w14:paraId="002F0F0B">
            <w:pPr>
              <w:spacing w:line="360" w:lineRule="auto"/>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联合体投标的，联合体各方分别提供与联合体协议中规定的分工内容相应的业绩证明材料，业绩数量以提供材料较少的一方为准。</w:t>
            </w:r>
            <w:r>
              <w:rPr>
                <w:rFonts w:hint="eastAsia" w:ascii="宋体" w:hAnsi="宋体" w:cs="宋体"/>
                <w:snapToGrid w:val="0"/>
                <w:kern w:val="28"/>
                <w:sz w:val="24"/>
                <w:highlight w:val="none"/>
              </w:rPr>
              <w:t>招标文件第四部分评分标准有其他规定的，从其规定。</w:t>
            </w:r>
          </w:p>
        </w:tc>
      </w:tr>
      <w:tr w14:paraId="7006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35" w:hRule="atLeast"/>
        </w:trPr>
        <w:tc>
          <w:tcPr>
            <w:tcW w:w="629" w:type="dxa"/>
            <w:vMerge w:val="continue"/>
            <w:tcBorders>
              <w:tl2br w:val="nil"/>
              <w:tr2bl w:val="nil"/>
            </w:tcBorders>
            <w:vAlign w:val="center"/>
          </w:tcPr>
          <w:p w14:paraId="515E4DCF">
            <w:pPr>
              <w:snapToGrid w:val="0"/>
              <w:spacing w:line="360" w:lineRule="auto"/>
              <w:jc w:val="center"/>
              <w:rPr>
                <w:rFonts w:ascii="宋体" w:hAnsi="宋体" w:cs="宋体"/>
                <w:color w:val="auto"/>
                <w:sz w:val="24"/>
                <w:highlight w:val="none"/>
              </w:rPr>
            </w:pPr>
          </w:p>
        </w:tc>
        <w:tc>
          <w:tcPr>
            <w:tcW w:w="1843" w:type="dxa"/>
            <w:vMerge w:val="continue"/>
            <w:tcBorders>
              <w:tl2br w:val="nil"/>
              <w:tr2bl w:val="nil"/>
            </w:tcBorders>
            <w:vAlign w:val="center"/>
          </w:tcPr>
          <w:p w14:paraId="00FCBFB4">
            <w:pPr>
              <w:snapToGrid w:val="0"/>
              <w:spacing w:line="360" w:lineRule="auto"/>
              <w:jc w:val="center"/>
              <w:rPr>
                <w:rFonts w:ascii="宋体" w:hAnsi="宋体" w:cs="宋体"/>
                <w:b/>
                <w:color w:val="auto"/>
                <w:sz w:val="24"/>
                <w:highlight w:val="none"/>
              </w:rPr>
            </w:pPr>
          </w:p>
        </w:tc>
        <w:tc>
          <w:tcPr>
            <w:tcW w:w="6095" w:type="dxa"/>
            <w:tcBorders>
              <w:tl2br w:val="nil"/>
              <w:tr2bl w:val="nil"/>
            </w:tcBorders>
            <w:vAlign w:val="center"/>
          </w:tcPr>
          <w:p w14:paraId="3A8704CE">
            <w:pPr>
              <w:spacing w:line="360" w:lineRule="auto"/>
              <w:rPr>
                <w:rFonts w:ascii="宋体" w:hAnsi="宋体" w:cs="宋体"/>
                <w:snapToGrid w:val="0"/>
                <w:color w:val="auto"/>
                <w:kern w:val="28"/>
                <w:sz w:val="24"/>
                <w:highlight w:val="none"/>
              </w:rPr>
            </w:pPr>
            <w:sdt>
              <w:sdtPr>
                <w:rPr>
                  <w:rFonts w:hint="eastAsia" w:cs="Arial" w:asciiTheme="minorEastAsia" w:hAnsiTheme="minorEastAsia" w:eastAsiaTheme="minorEastAsia"/>
                  <w:color w:val="auto"/>
                  <w:kern w:val="0"/>
                  <w:sz w:val="24"/>
                  <w:highlight w:val="none"/>
                </w:rPr>
                <w:id w:val="194891717"/>
                <w14:checkbox>
                  <w14:checked w14:val="0"/>
                  <w14:checkedState w14:val="00FE" w14:font="Wingdings"/>
                  <w14:uncheckedState w14:val="2610" w14:font="MS Gothic"/>
                </w14:checkbox>
              </w:sdtPr>
              <w:sdtEndPr>
                <w:rPr>
                  <w:rFonts w:hint="eastAsia" w:cs="Arial" w:asciiTheme="minorEastAsia" w:hAnsiTheme="minorEastAsia" w:eastAsiaTheme="minorEastAsia"/>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ascii="宋体" w:hAnsi="宋体" w:cs="宋体"/>
                <w:snapToGrid w:val="0"/>
                <w:color w:val="auto"/>
                <w:kern w:val="28"/>
                <w:sz w:val="24"/>
                <w:highlight w:val="none"/>
              </w:rPr>
              <w:t>联合体投标的，联合体各方均需按招标文件第四部分评标标准要求提供资信证明文件，否则视为不符合相关要求。</w:t>
            </w:r>
            <w:r>
              <w:rPr>
                <w:rFonts w:hint="eastAsia" w:ascii="宋体" w:hAnsi="宋体" w:cs="宋体"/>
                <w:snapToGrid w:val="0"/>
                <w:kern w:val="28"/>
                <w:sz w:val="24"/>
                <w:highlight w:val="none"/>
              </w:rPr>
              <w:t>招标文件第四部分评分标准有其他规定的，从其规定。</w:t>
            </w:r>
          </w:p>
          <w:p w14:paraId="221FA485">
            <w:pPr>
              <w:spacing w:line="360" w:lineRule="auto"/>
              <w:rPr>
                <w:rFonts w:ascii="宋体" w:hAnsi="宋体" w:cs="宋体"/>
                <w:snapToGrid w:val="0"/>
                <w:color w:val="auto"/>
                <w:kern w:val="28"/>
                <w:sz w:val="24"/>
                <w:highlight w:val="none"/>
              </w:rPr>
            </w:pPr>
            <w:sdt>
              <w:sdtPr>
                <w:rPr>
                  <w:rFonts w:hint="eastAsia" w:cs="Arial" w:asciiTheme="minorEastAsia" w:hAnsiTheme="minorEastAsia" w:eastAsiaTheme="minorEastAsia"/>
                  <w:color w:val="auto"/>
                  <w:kern w:val="0"/>
                  <w:sz w:val="24"/>
                  <w:highlight w:val="none"/>
                </w:rPr>
                <w:id w:val="1052570136"/>
                <w14:checkbox>
                  <w14:checked w14:val="1"/>
                  <w14:checkedState w14:val="00FE" w14:font="Wingdings"/>
                  <w14:uncheckedState w14:val="2610" w14:font="MS Gothic"/>
                </w14:checkbox>
              </w:sdtPr>
              <w:sdtEndPr>
                <w:rPr>
                  <w:rFonts w:hint="eastAsia" w:cs="Arial" w:asciiTheme="minorEastAsia" w:hAnsiTheme="minorEastAsia" w:eastAsiaTheme="minorEastAsia"/>
                  <w:color w:val="auto"/>
                  <w:kern w:val="0"/>
                  <w:sz w:val="24"/>
                  <w:highlight w:val="none"/>
                </w:rPr>
              </w:sdtEndPr>
              <w:sdtContent>
                <w:r>
                  <w:rPr>
                    <w:rFonts w:hint="eastAsia" w:cs="Arial" w:asciiTheme="minorEastAsia" w:hAnsiTheme="minorEastAsia" w:eastAsiaTheme="minorEastAsia"/>
                    <w:color w:val="auto"/>
                    <w:kern w:val="0"/>
                    <w:sz w:val="24"/>
                    <w:highlight w:val="none"/>
                  </w:rPr>
                  <w:sym w:font="Wingdings" w:char="F0FE"/>
                </w:r>
              </w:sdtContent>
            </w:sdt>
            <w:r>
              <w:rPr>
                <w:rFonts w:hint="eastAsia" w:ascii="宋体" w:hAnsi="宋体" w:cs="宋体"/>
                <w:snapToGrid w:val="0"/>
                <w:color w:val="auto"/>
                <w:kern w:val="28"/>
                <w:sz w:val="24"/>
                <w:highlight w:val="none"/>
              </w:rPr>
              <w:t>联合体投标的，联合体中有一方或者联合体成员根据分工按招标文件第四部分评标标准要求提供资信证明文件的，视为符合了相关要求。</w:t>
            </w:r>
            <w:r>
              <w:rPr>
                <w:rFonts w:hint="eastAsia" w:ascii="宋体" w:hAnsi="宋体" w:cs="宋体"/>
                <w:snapToGrid w:val="0"/>
                <w:kern w:val="28"/>
                <w:sz w:val="24"/>
                <w:highlight w:val="none"/>
              </w:rPr>
              <w:t>招标文件第四部分评分标准有其他规定的，从其规定。</w:t>
            </w:r>
          </w:p>
        </w:tc>
      </w:tr>
      <w:tr w14:paraId="2683E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7" w:hRule="atLeast"/>
        </w:trPr>
        <w:tc>
          <w:tcPr>
            <w:tcW w:w="629" w:type="dxa"/>
            <w:tcBorders>
              <w:tl2br w:val="nil"/>
              <w:tr2bl w:val="nil"/>
            </w:tcBorders>
            <w:vAlign w:val="center"/>
          </w:tcPr>
          <w:p w14:paraId="5C377A67">
            <w:pPr>
              <w:snapToGrid w:val="0"/>
              <w:spacing w:line="360" w:lineRule="auto"/>
              <w:jc w:val="center"/>
              <w:rPr>
                <w:rFonts w:hint="default" w:ascii="宋体" w:hAnsi="宋体" w:eastAsia="宋体" w:cs="宋体"/>
                <w:color w:val="auto"/>
                <w:sz w:val="24"/>
                <w:highlight w:val="none"/>
                <w:lang w:val="en-US" w:eastAsia="zh-CN"/>
              </w:rPr>
            </w:pPr>
            <w:bookmarkStart w:id="14" w:name="第三部分"/>
            <w:bookmarkStart w:id="15" w:name="_Toc164416483"/>
            <w:r>
              <w:rPr>
                <w:rFonts w:hint="eastAsia" w:ascii="宋体" w:hAnsi="宋体" w:cs="宋体"/>
                <w:color w:val="auto"/>
                <w:sz w:val="24"/>
                <w:highlight w:val="none"/>
                <w:lang w:val="en-US" w:eastAsia="zh-CN"/>
              </w:rPr>
              <w:t>14</w:t>
            </w:r>
          </w:p>
        </w:tc>
        <w:tc>
          <w:tcPr>
            <w:tcW w:w="1843" w:type="dxa"/>
            <w:tcBorders>
              <w:tl2br w:val="nil"/>
              <w:tr2bl w:val="nil"/>
            </w:tcBorders>
            <w:vAlign w:val="center"/>
          </w:tcPr>
          <w:p w14:paraId="25479443">
            <w:pPr>
              <w:snapToGrid w:val="0"/>
              <w:spacing w:line="360" w:lineRule="auto"/>
              <w:jc w:val="center"/>
              <w:rPr>
                <w:rFonts w:hint="eastAsia" w:cs="仿宋_GB2312" w:asciiTheme="minorEastAsia" w:hAnsiTheme="minorEastAsia" w:eastAsiaTheme="minorEastAsia"/>
                <w:b/>
                <w:color w:val="auto"/>
                <w:sz w:val="24"/>
                <w:highlight w:val="none"/>
                <w:lang w:eastAsia="zh-CN"/>
              </w:rPr>
            </w:pPr>
            <w:r>
              <w:rPr>
                <w:rFonts w:hint="eastAsia" w:cs="仿宋_GB2312" w:asciiTheme="minorEastAsia" w:hAnsiTheme="minorEastAsia" w:eastAsiaTheme="minorEastAsia"/>
                <w:b/>
                <w:color w:val="auto"/>
                <w:sz w:val="24"/>
                <w:highlight w:val="none"/>
                <w:lang w:val="en" w:eastAsia="zh-CN"/>
              </w:rPr>
              <w:t>成交候选人数量</w:t>
            </w:r>
          </w:p>
        </w:tc>
        <w:tc>
          <w:tcPr>
            <w:tcW w:w="6095" w:type="dxa"/>
            <w:tcBorders>
              <w:tl2br w:val="nil"/>
              <w:tr2bl w:val="nil"/>
            </w:tcBorders>
            <w:vAlign w:val="center"/>
          </w:tcPr>
          <w:p w14:paraId="01DF1057">
            <w:pPr>
              <w:spacing w:line="360" w:lineRule="auto"/>
              <w:rPr>
                <w:rFonts w:hint="eastAsia" w:ascii="宋体" w:hAnsi="宋体" w:cs="宋体"/>
                <w:color w:val="auto"/>
                <w:kern w:val="0"/>
                <w:sz w:val="24"/>
                <w:highlight w:val="none"/>
                <w:lang w:val="en" w:eastAsia="zh-CN"/>
              </w:rPr>
            </w:pPr>
            <w:r>
              <w:rPr>
                <w:rFonts w:hint="eastAsia" w:ascii="宋体" w:hAnsi="宋体" w:cs="宋体"/>
                <w:color w:val="auto"/>
                <w:kern w:val="0"/>
                <w:sz w:val="24"/>
                <w:highlight w:val="none"/>
                <w:lang w:val="en" w:eastAsia="zh-CN"/>
              </w:rPr>
              <w:t>本项目推荐的成交候选人数量：</w:t>
            </w:r>
            <w:r>
              <w:rPr>
                <w:rFonts w:hint="eastAsia" w:ascii="宋体" w:hAnsi="宋体" w:cs="宋体"/>
                <w:color w:val="auto"/>
                <w:kern w:val="0"/>
                <w:sz w:val="24"/>
                <w:highlight w:val="none"/>
                <w:u w:val="single"/>
                <w:lang w:val="en-US" w:eastAsia="zh-CN"/>
              </w:rPr>
              <w:t>1</w:t>
            </w:r>
            <w:r>
              <w:rPr>
                <w:rFonts w:hint="eastAsia" w:ascii="宋体" w:hAnsi="宋体" w:cs="宋体"/>
                <w:color w:val="auto"/>
                <w:kern w:val="0"/>
                <w:sz w:val="24"/>
                <w:highlight w:val="none"/>
                <w:lang w:val="en" w:eastAsia="zh-CN"/>
              </w:rPr>
              <w:t>。</w:t>
            </w:r>
          </w:p>
        </w:tc>
      </w:tr>
      <w:bookmarkEnd w:id="10"/>
    </w:tbl>
    <w:p w14:paraId="6EAA5047">
      <w:pPr>
        <w:bidi w:val="0"/>
        <w:rPr>
          <w:rFonts w:hint="eastAsia"/>
        </w:rPr>
      </w:pPr>
    </w:p>
    <w:p w14:paraId="16D17EF7">
      <w:pPr>
        <w:adjustRightInd/>
        <w:spacing w:line="360" w:lineRule="auto"/>
        <w:ind w:firstLine="3845" w:firstLineChars="1197"/>
        <w:outlineLvl w:val="1"/>
        <w:rPr>
          <w:rFonts w:ascii="宋体" w:hAnsi="宋体" w:cs="宋体"/>
          <w:b/>
          <w:color w:val="auto"/>
          <w:sz w:val="32"/>
          <w:szCs w:val="20"/>
          <w:highlight w:val="none"/>
        </w:rPr>
      </w:pPr>
      <w:r>
        <w:rPr>
          <w:rFonts w:hint="eastAsia" w:ascii="宋体" w:hAnsi="宋体" w:cs="宋体"/>
          <w:b/>
          <w:color w:val="auto"/>
          <w:sz w:val="32"/>
          <w:szCs w:val="20"/>
          <w:highlight w:val="none"/>
        </w:rPr>
        <w:t>一、总则</w:t>
      </w:r>
    </w:p>
    <w:p w14:paraId="2378AAC1">
      <w:pPr>
        <w:snapToGrid w:val="0"/>
        <w:spacing w:line="360" w:lineRule="auto"/>
        <w:jc w:val="left"/>
        <w:outlineLvl w:val="9"/>
        <w:rPr>
          <w:rFonts w:ascii="宋体" w:hAnsi="宋体" w:cs="宋体"/>
          <w:b/>
          <w:color w:val="auto"/>
          <w:sz w:val="24"/>
          <w:highlight w:val="none"/>
        </w:rPr>
      </w:pPr>
      <w:r>
        <w:rPr>
          <w:rFonts w:hint="eastAsia" w:ascii="宋体" w:hAnsi="宋体" w:cs="宋体"/>
          <w:b/>
          <w:color w:val="auto"/>
          <w:sz w:val="24"/>
          <w:highlight w:val="none"/>
        </w:rPr>
        <w:t>1.适用范围</w:t>
      </w:r>
    </w:p>
    <w:p w14:paraId="775B3686">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本招标文件适用于该项目的招标、投标、开标、资格审查及信用信息查询、评标、定标、合同、验收等行为（法律、法规另有规定的，从其规定）。</w:t>
      </w:r>
    </w:p>
    <w:p w14:paraId="317ACFBD">
      <w:pPr>
        <w:adjustRightInd/>
        <w:spacing w:line="360" w:lineRule="auto"/>
        <w:outlineLvl w:val="9"/>
        <w:rPr>
          <w:rFonts w:ascii="宋体" w:hAnsi="宋体" w:cs="宋体"/>
          <w:b/>
          <w:color w:val="auto"/>
          <w:sz w:val="24"/>
          <w:highlight w:val="none"/>
        </w:rPr>
      </w:pPr>
      <w:r>
        <w:rPr>
          <w:rFonts w:hint="eastAsia" w:ascii="宋体" w:hAnsi="宋体" w:cs="宋体"/>
          <w:b/>
          <w:color w:val="auto"/>
          <w:sz w:val="24"/>
          <w:highlight w:val="none"/>
        </w:rPr>
        <w:t>2.定义</w:t>
      </w:r>
    </w:p>
    <w:p w14:paraId="127A3F5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2.1“采购人”系指招标公告中载明的本项目的采购人。</w:t>
      </w:r>
    </w:p>
    <w:p w14:paraId="170FCF6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”系指招标公告中载明的本项目的</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w:t>
      </w:r>
    </w:p>
    <w:p w14:paraId="3DDDAC3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2.3“投标人”系指响应招标、参加投标竞争的法人、其他组织或者自然人。</w:t>
      </w:r>
    </w:p>
    <w:p w14:paraId="2FCED6A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2.4“负责人”系指法人企业的法定负责人，或其他组织为法律、行政法规规定代表单位行使职权的主要负责人，或自然人本人。</w:t>
      </w:r>
    </w:p>
    <w:p w14:paraId="6CE673E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7FED55E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2.6“电子交易平台”</w:t>
      </w:r>
      <w:r>
        <w:rPr>
          <w:rFonts w:hint="eastAsia" w:ascii="宋体" w:hAnsi="宋体" w:cs="宋体"/>
          <w:color w:val="auto"/>
          <w:sz w:val="24"/>
          <w:highlight w:val="none"/>
          <w:lang w:val="en-US" w:eastAsia="zh-CN"/>
        </w:rPr>
        <w:t>系</w:t>
      </w:r>
      <w:r>
        <w:rPr>
          <w:rFonts w:hint="eastAsia" w:ascii="宋体" w:hAnsi="宋体" w:cs="宋体"/>
          <w:color w:val="auto"/>
          <w:sz w:val="24"/>
          <w:highlight w:val="none"/>
        </w:rPr>
        <w:t>指本项目政府采购活动所依托的政府采购云平台（https://www.zcygov.cn/）。</w:t>
      </w:r>
    </w:p>
    <w:p w14:paraId="5260F8D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2.7“▲” 系指实质性要求条款，“</w:t>
      </w:r>
      <w:sdt>
        <w:sdtPr>
          <w:rPr>
            <w:rFonts w:hint="eastAsia" w:ascii="宋体" w:hAnsi="宋体" w:cs="宋体"/>
            <w:color w:val="auto"/>
            <w:kern w:val="0"/>
            <w:sz w:val="24"/>
            <w:highlight w:val="none"/>
          </w:rPr>
          <w:id w:val="512970236"/>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ascii="Wingdings" w:hAnsi="Wingdings" w:cs="宋体"/>
              <w:color w:val="auto"/>
              <w:kern w:val="0"/>
              <w:sz w:val="24"/>
              <w:highlight w:val="none"/>
            </w:rPr>
            <w:t></w:t>
          </w:r>
        </w:sdtContent>
      </w:sdt>
      <w:r>
        <w:rPr>
          <w:rFonts w:hint="eastAsia" w:ascii="宋体" w:hAnsi="宋体" w:cs="宋体"/>
          <w:color w:val="auto"/>
          <w:sz w:val="24"/>
          <w:highlight w:val="none"/>
        </w:rPr>
        <w:t>” 系指适用本项目的要求，“</w:t>
      </w:r>
      <w:sdt>
        <w:sdtPr>
          <w:rPr>
            <w:rFonts w:hint="eastAsia" w:ascii="宋体" w:hAnsi="宋体" w:cs="宋体"/>
            <w:color w:val="auto"/>
            <w:kern w:val="0"/>
            <w:sz w:val="24"/>
            <w:highlight w:val="none"/>
          </w:rPr>
          <w:id w:val="404888855"/>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sz w:val="24"/>
          <w:highlight w:val="none"/>
        </w:rPr>
        <w:t>” 系指不适用本项目的要求。</w:t>
      </w:r>
    </w:p>
    <w:p w14:paraId="4413C11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2.8本招标文件所称的“以上”、“以下”、“以内”、“届满”、“含”、“及”，若无特别说明，则包括本数（如：45周岁以下，指不满46周岁生日当天，即“45周岁生日当天至46周岁生日前一天”均属于45周岁以下的范围）；所称的“不满”、“超过”、“以外”，若无特别说明，则不包括本数。</w:t>
      </w:r>
    </w:p>
    <w:p w14:paraId="71B14BF4">
      <w:pPr>
        <w:spacing w:line="360" w:lineRule="auto"/>
        <w:rPr>
          <w:rFonts w:ascii="宋体" w:hAnsi="宋体" w:cs="宋体"/>
          <w:b/>
          <w:color w:val="auto"/>
          <w:sz w:val="24"/>
          <w:highlight w:val="none"/>
        </w:rPr>
      </w:pPr>
      <w:r>
        <w:rPr>
          <w:rFonts w:hint="eastAsia" w:ascii="宋体" w:hAnsi="宋体" w:cs="宋体"/>
          <w:b/>
          <w:color w:val="auto"/>
          <w:sz w:val="24"/>
          <w:highlight w:val="none"/>
        </w:rPr>
        <w:t>3.采购项目需要落实的政府采购政策</w:t>
      </w:r>
    </w:p>
    <w:p w14:paraId="2878E67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不会对其加以限制，仍将按照公平竞争原则实施采购）；</w:t>
      </w:r>
      <w:r>
        <w:rPr>
          <w:rFonts w:hint="eastAsia" w:ascii="宋体" w:hAnsi="宋体" w:cs="宋体"/>
          <w:color w:val="auto"/>
          <w:kern w:val="0"/>
          <w:sz w:val="24"/>
          <w:highlight w:val="none"/>
        </w:rPr>
        <w:t>优先采购向我国企业转让技术、与我国企业签订消化吸收再创新方案的供应商的进口产品</w:t>
      </w:r>
      <w:r>
        <w:rPr>
          <w:rFonts w:hint="eastAsia" w:ascii="宋体" w:hAnsi="宋体" w:cs="宋体"/>
          <w:color w:val="auto"/>
          <w:sz w:val="24"/>
          <w:highlight w:val="none"/>
        </w:rPr>
        <w:t>。</w:t>
      </w:r>
    </w:p>
    <w:p w14:paraId="3AABF9D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3.2支持绿色发展</w:t>
      </w:r>
    </w:p>
    <w:p w14:paraId="69F7E8CA">
      <w:pPr>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r>
        <w:rPr>
          <w:rFonts w:hint="eastAsia" w:ascii="宋体" w:hAnsi="宋体" w:cs="宋体"/>
          <w:b/>
          <w:color w:val="auto"/>
          <w:sz w:val="24"/>
          <w:highlight w:val="none"/>
        </w:rPr>
        <w:t>▲按要求实施政府强制采购的，投标人就相应的投标产品未提供国家确定的认证机构出具的、处于有效期之内的节能产品认证证书的，投标无效。</w:t>
      </w:r>
    </w:p>
    <w:p w14:paraId="778500A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3.2.2纳入政府采购管理的修缮、装修类项目采购建材的，鼓励采购单位将绿色建材性能、指标等作为实质性条件纳入采购文件和合同，具体性能指标要求参考相关绿色建材政府采购需求标准。</w:t>
      </w:r>
    </w:p>
    <w:p w14:paraId="746A688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bookmarkStart w:id="16" w:name="_Hlk107568539"/>
      <w:r>
        <w:rPr>
          <w:rFonts w:hint="eastAsia" w:ascii="宋体" w:hAnsi="宋体" w:cs="宋体"/>
          <w:color w:val="auto"/>
          <w:sz w:val="24"/>
          <w:highlight w:val="none"/>
        </w:rPr>
        <w:t>鼓励采购单位优先采购秸秆环保板材等资源综合利用产品。鼓励采购单位优先采购绿色物流配送服务、提供新能源交通工具的租赁服务。</w:t>
      </w:r>
    </w:p>
    <w:p w14:paraId="4675D3A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3.2.4鼓励供应商在参加政府采购过程中开展绿色设计、选择绿色材料、打造绿色制造工艺、开展绿色运输、做好废弃产品回收处理，实现产品全周期的绿色环保。鼓励采购单位对其提高预付款比例、免收履约保证金。</w:t>
      </w:r>
      <w:bookmarkEnd w:id="16"/>
    </w:p>
    <w:p w14:paraId="0951B62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3.3支持中小企业发展</w:t>
      </w:r>
    </w:p>
    <w:p w14:paraId="12B768A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3.3.1中小企业，是指在中华人民共和国境内依法设立，依据国务院批准的中小企业划分标准确定的中型企业、小型企业和微型企业，但与大企业的负责人为同一人，或者与大企业存在直接控股、管理关系的除外。</w:t>
      </w:r>
    </w:p>
    <w:p w14:paraId="74996C0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符合中小企业划分标准的个体工商户，在政府采购活动中视同中小企业。</w:t>
      </w:r>
    </w:p>
    <w:p w14:paraId="737924D6">
      <w:pPr>
        <w:widowControl/>
        <w:spacing w:line="360" w:lineRule="auto"/>
        <w:ind w:firstLine="480" w:firstLineChars="200"/>
        <w:jc w:val="left"/>
        <w:rPr>
          <w:rFonts w:ascii="宋体" w:hAnsi="宋体" w:cs="宋体"/>
          <w:color w:val="auto"/>
          <w:kern w:val="0"/>
          <w:sz w:val="24"/>
          <w:highlight w:val="none"/>
        </w:rPr>
      </w:pPr>
      <w:r>
        <w:rPr>
          <w:rFonts w:ascii="宋体" w:hAnsi="宋体" w:cs="宋体"/>
          <w:bCs/>
          <w:color w:val="auto"/>
          <w:sz w:val="24"/>
          <w:highlight w:val="none"/>
        </w:rPr>
        <w:t>3.3.2</w:t>
      </w:r>
      <w:r>
        <w:rPr>
          <w:rFonts w:hint="eastAsia" w:ascii="宋体" w:hAnsi="宋体" w:cs="宋体"/>
          <w:color w:val="auto"/>
          <w:kern w:val="0"/>
          <w:sz w:val="24"/>
          <w:highlight w:val="none"/>
        </w:rPr>
        <w:t>在政府采购活动中，投标人提供的货物符合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14:paraId="736F8FD6">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以联合体形式参加政府采购活动，联合体各方均为中小企业的，联合体视同中小企业。其中，联合体各方均为小微企业的，联合体视同小微企业。</w:t>
      </w:r>
    </w:p>
    <w:p w14:paraId="1B09666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3.3.3对于未预留份额专门面向中小企业的政府采购货物项目，以及预留份额政府采购货物项目中的非预留部分标项，对小型和微型企业的投标报价给予10%-</w:t>
      </w:r>
      <w:r>
        <w:rPr>
          <w:rFonts w:ascii="宋体" w:hAnsi="宋体" w:cs="宋体"/>
          <w:color w:val="auto"/>
          <w:sz w:val="24"/>
          <w:highlight w:val="none"/>
        </w:rPr>
        <w:t>20</w:t>
      </w:r>
      <w:r>
        <w:rPr>
          <w:rFonts w:hint="eastAsia" w:ascii="宋体" w:hAnsi="宋体" w:cs="宋体"/>
          <w:color w:val="auto"/>
          <w:sz w:val="24"/>
          <w:highlight w:val="none"/>
        </w:rPr>
        <w:t>%的扣除，用扣除后的价格参与评审。接受大中型企业与小微企业组成联合体或者允许大中型企业向一家或者多家小微企业分包的政府采购货物项目，对于</w:t>
      </w:r>
      <w:bookmarkStart w:id="17" w:name="_Hlk101132181"/>
      <w:r>
        <w:rPr>
          <w:rFonts w:hint="eastAsia" w:ascii="宋体" w:hAnsi="宋体" w:cs="宋体"/>
          <w:color w:val="auto"/>
          <w:sz w:val="24"/>
          <w:highlight w:val="none"/>
        </w:rPr>
        <w:t>联合协议或者分包意向协议约定小微企业的合同份额占到合同总金额30%以上的</w:t>
      </w:r>
      <w:bookmarkEnd w:id="17"/>
      <w:r>
        <w:rPr>
          <w:rFonts w:hint="eastAsia" w:ascii="宋体" w:hAnsi="宋体" w:cs="宋体"/>
          <w:color w:val="auto"/>
          <w:sz w:val="24"/>
          <w:highlight w:val="none"/>
        </w:rPr>
        <w:t>，对联合体或者大中型企业的报价给予4%-</w:t>
      </w:r>
      <w:r>
        <w:rPr>
          <w:rFonts w:ascii="宋体" w:hAnsi="宋体" w:cs="宋体"/>
          <w:color w:val="auto"/>
          <w:sz w:val="24"/>
          <w:highlight w:val="none"/>
        </w:rPr>
        <w:t>6</w:t>
      </w:r>
      <w:r>
        <w:rPr>
          <w:rFonts w:hint="eastAsia" w:ascii="宋体" w:hAnsi="宋体" w:cs="宋体"/>
          <w:color w:val="auto"/>
          <w:sz w:val="24"/>
          <w:highlight w:val="none"/>
        </w:rPr>
        <w:t>%的扣除，用扣除后的价格参加评审。组成联合体或者接受分包的小微企业与联合体内其他企业、分包企业之间存在直接控股、管理关系的，不享受价格扣除优惠政策。</w:t>
      </w:r>
    </w:p>
    <w:p w14:paraId="7379A02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3.3.4符合《关于促进残疾人就业政府采购政策的通知》（财库〔2017〕141号）规定的条件并提供《残疾人福利性单位声明函》（附件1）的残疾人福利性单位视同小型、微型企业；</w:t>
      </w:r>
    </w:p>
    <w:p w14:paraId="5E7B9A8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3.3.5符合《关于政府采购支持监狱企业发展有关问题的通知》（财库[2014]68号）规定的监狱企业并提供由省级以上监狱管理局、戒毒管理局（含新疆生产建设兵团）出具的属于监狱企业证明文件的，视同为小型、微型企业。</w:t>
      </w:r>
    </w:p>
    <w:p w14:paraId="659DBE9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3.3.6</w:t>
      </w:r>
      <w:r>
        <w:rPr>
          <w:rFonts w:hint="eastAsia" w:ascii="宋体" w:hAnsi="宋体" w:cs="宋体"/>
          <w:color w:val="auto"/>
          <w:sz w:val="24"/>
          <w:highlight w:val="none"/>
          <w:lang w:val="en" w:eastAsia="zh-CN"/>
        </w:rPr>
        <w:t>可享受中小企业扶持政策的投标人应按照招标文件格式要求提供《中小企业声明函》，《中小企业声明函》填写企业类型错误，导致该企业享受本不能享受的中小企业扶持政策，投标无效并依法承担法律责任</w:t>
      </w:r>
      <w:r>
        <w:rPr>
          <w:rFonts w:hint="eastAsia" w:ascii="宋体" w:hAnsi="宋体" w:cs="宋体"/>
          <w:color w:val="auto"/>
          <w:sz w:val="24"/>
          <w:highlight w:val="none"/>
        </w:rPr>
        <w:t>。</w:t>
      </w:r>
    </w:p>
    <w:p w14:paraId="3047B1B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3.3.7中小企业享受扶持政策获得政府采购合同的，小微企业不得将合同分包给大中型企业，中型企业不得将合同分包给大型企业。</w:t>
      </w:r>
    </w:p>
    <w:p w14:paraId="3DE8154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w:t>
      </w:r>
      <w:r>
        <w:rPr>
          <w:rFonts w:hint="eastAsia" w:ascii="宋体" w:hAnsi="宋体" w:cs="宋体"/>
          <w:bCs/>
          <w:color w:val="auto"/>
          <w:sz w:val="24"/>
          <w:highlight w:val="none"/>
        </w:rPr>
        <w:t>支持创新发展</w:t>
      </w:r>
    </w:p>
    <w:p w14:paraId="6241877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3.4.1</w:t>
      </w:r>
      <w:r>
        <w:rPr>
          <w:rFonts w:hint="eastAsia" w:ascii="宋体" w:hAnsi="宋体" w:cs="宋体"/>
          <w:color w:val="auto"/>
          <w:sz w:val="24"/>
          <w:highlight w:val="none"/>
          <w:lang w:eastAsia="zh-CN"/>
        </w:rPr>
        <w:t>首台套、“制造精品”、“专精特新”等创新产品按规定享受政府采购支持政策</w:t>
      </w:r>
      <w:r>
        <w:rPr>
          <w:rFonts w:hint="eastAsia" w:ascii="宋体" w:hAnsi="宋体" w:cs="宋体"/>
          <w:color w:val="auto"/>
          <w:sz w:val="24"/>
          <w:highlight w:val="none"/>
        </w:rPr>
        <w:t>。</w:t>
      </w:r>
    </w:p>
    <w:p w14:paraId="50B7EC2A">
      <w:pPr>
        <w:tabs>
          <w:tab w:val="left" w:pos="432"/>
        </w:tabs>
        <w:adjustRightInd w:val="0"/>
        <w:spacing w:line="360" w:lineRule="auto"/>
        <w:ind w:left="0" w:firstLine="480" w:firstLineChars="200"/>
        <w:outlineLvl w:val="9"/>
        <w:rPr>
          <w:color w:val="auto"/>
          <w:highlight w:val="none"/>
        </w:rPr>
      </w:pPr>
      <w:r>
        <w:rPr>
          <w:rFonts w:hint="eastAsia" w:ascii="宋体" w:hAnsi="宋体" w:eastAsia="宋体" w:cs="仿宋"/>
          <w:b w:val="0"/>
          <w:bCs w:val="0"/>
          <w:color w:val="auto"/>
          <w:sz w:val="24"/>
          <w:szCs w:val="24"/>
          <w:highlight w:val="none"/>
          <w:lang w:val="en-US"/>
        </w:rPr>
        <w:t>3.4.</w:t>
      </w:r>
      <w:r>
        <w:rPr>
          <w:rFonts w:hint="eastAsia" w:ascii="宋体" w:hAnsi="宋体" w:eastAsia="宋体" w:cs="仿宋"/>
          <w:b w:val="0"/>
          <w:bCs w:val="0"/>
          <w:color w:val="auto"/>
          <w:sz w:val="24"/>
          <w:szCs w:val="24"/>
          <w:highlight w:val="none"/>
          <w:lang w:val="en-US" w:eastAsia="zh-CN"/>
        </w:rPr>
        <w:t>2采购人应当贯彻落实知识产权保护相关法律法规，</w:t>
      </w:r>
      <w:r>
        <w:rPr>
          <w:rFonts w:hint="eastAsia" w:ascii="宋体" w:hAnsi="宋体" w:eastAsia="宋体" w:cs="仿宋"/>
          <w:b w:val="0"/>
          <w:bCs w:val="0"/>
          <w:color w:val="auto"/>
          <w:sz w:val="24"/>
          <w:szCs w:val="24"/>
          <w:highlight w:val="none"/>
          <w:lang w:val="en-US"/>
        </w:rPr>
        <w:t>应当采购使用正版软件。</w:t>
      </w:r>
    </w:p>
    <w:p w14:paraId="1CBFCA3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3.5平等对待内外资企业和符合条件的破产重整企业</w:t>
      </w:r>
    </w:p>
    <w:p w14:paraId="7E7D398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平等对待内外资企业和符合条件的破产重整企业，切实保障企业公平竞争，平等维护企业的合法利益。</w:t>
      </w:r>
    </w:p>
    <w:p w14:paraId="40E27F6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3.6支持本国产品</w:t>
      </w:r>
    </w:p>
    <w:p w14:paraId="54DA317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3.6.1本国产品标准适用于货物，包括政府采购货物项目和服务项目中涉及的货物。</w:t>
      </w:r>
    </w:p>
    <w:p w14:paraId="62D8E03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3.6.2本项目既有本国产品又有非本国产品参与竞争的，对本国产品的报价给予20%的价格扣除，用扣除后的价格参与评审。</w:t>
      </w:r>
    </w:p>
    <w:p w14:paraId="06F8F32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3.6.3当采购项目或者采购标项中含有多种产品，供应商为该采购项目或者采购标项提供的符合本国产品标准的产品成本之和占该供应商提供的全部产品成本之和的比例达到80%以上时，对该供应商提供的全部产品的总报价给予20%的价格扣除，用扣除后的价格参与评审。</w:t>
      </w:r>
    </w:p>
    <w:p w14:paraId="1154E94B">
      <w:pPr>
        <w:spacing w:line="360" w:lineRule="auto"/>
        <w:ind w:firstLine="480" w:firstLineChars="200"/>
        <w:rPr>
          <w:rFonts w:hint="eastAsia" w:ascii="宋体" w:hAnsi="宋体" w:cs="宋体"/>
          <w:b/>
          <w:color w:val="auto"/>
          <w:sz w:val="24"/>
          <w:highlight w:val="none"/>
        </w:rPr>
      </w:pPr>
      <w:r>
        <w:rPr>
          <w:rFonts w:hint="eastAsia" w:ascii="宋体" w:hAnsi="宋体" w:cs="宋体"/>
          <w:color w:val="auto"/>
          <w:sz w:val="24"/>
          <w:highlight w:val="none"/>
        </w:rPr>
        <w:t>3.6.4评审委员会应当在采购文件中明确对供应商所出具的《关于符合本国产品标准的声明函》的完整性、准确性进行审查，评审中发现《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仍然不符合《国务院办公厅关于在政府采购中实施本国产品标准及相关政策的通知》规定要求的，供应商提供的相关产品视为不符合本国产品标准。</w:t>
      </w:r>
      <w:r>
        <w:rPr>
          <w:rFonts w:hint="eastAsia" w:ascii="宋体" w:hAnsi="宋体" w:cs="宋体"/>
          <w:color w:val="auto"/>
          <w:sz w:val="24"/>
          <w:highlight w:val="none"/>
        </w:rPr>
        <w:cr/>
      </w:r>
      <w:r>
        <w:rPr>
          <w:rFonts w:hint="eastAsia" w:ascii="宋体" w:hAnsi="宋体" w:cs="宋体"/>
          <w:b/>
          <w:color w:val="auto"/>
          <w:sz w:val="24"/>
          <w:highlight w:val="none"/>
        </w:rPr>
        <w:t>4.询问、质疑、投诉、补偿救济</w:t>
      </w:r>
    </w:p>
    <w:p w14:paraId="731AA4A8">
      <w:pPr>
        <w:autoSpaceDE w:val="0"/>
        <w:autoSpaceDN w:val="0"/>
        <w:spacing w:line="360" w:lineRule="auto"/>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4.1在线询问、质疑、投诉</w:t>
      </w:r>
    </w:p>
    <w:p w14:paraId="7E98B705">
      <w:pPr>
        <w:autoSpaceDE w:val="0"/>
        <w:autoSpaceDN w:val="0"/>
        <w:spacing w:line="360" w:lineRule="auto"/>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60C9CE4D">
      <w:pPr>
        <w:autoSpaceDE w:val="0"/>
        <w:autoSpaceDN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4.2供应商询问</w:t>
      </w:r>
    </w:p>
    <w:p w14:paraId="61D65A30">
      <w:pPr>
        <w:autoSpaceDE w:val="0"/>
        <w:autoSpaceDN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66330336">
      <w:pPr>
        <w:autoSpaceDE w:val="0"/>
        <w:autoSpaceDN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4.3供应商质疑</w:t>
      </w:r>
    </w:p>
    <w:p w14:paraId="58CBE40B">
      <w:pPr>
        <w:pStyle w:val="33"/>
        <w:spacing w:line="360" w:lineRule="auto"/>
        <w:ind w:firstLine="480" w:firstLineChars="200"/>
        <w:rPr>
          <w:rFonts w:hAnsi="宋体" w:cs="宋体"/>
          <w:color w:val="auto"/>
          <w:sz w:val="24"/>
          <w:highlight w:val="none"/>
        </w:rPr>
      </w:pPr>
      <w:r>
        <w:rPr>
          <w:rFonts w:hint="eastAsia" w:hAnsi="宋体" w:cs="宋体"/>
          <w:color w:val="auto"/>
          <w:kern w:val="0"/>
          <w:sz w:val="24"/>
          <w:highlight w:val="none"/>
          <w:lang w:val="zh-CN"/>
        </w:rPr>
        <w:t>4.3</w:t>
      </w:r>
      <w:r>
        <w:rPr>
          <w:rFonts w:hint="eastAsia" w:hAnsi="宋体" w:cs="宋体"/>
          <w:color w:val="auto"/>
          <w:sz w:val="24"/>
          <w:highlight w:val="none"/>
        </w:rPr>
        <w:t>.1提出质疑的供应商应当是参与所质疑项目采购活动的供应商。潜在供应商已依法获取其可质疑的招标文件的，可以对该文件提出质疑。</w:t>
      </w:r>
    </w:p>
    <w:p w14:paraId="7C5F1386">
      <w:pPr>
        <w:pStyle w:val="33"/>
        <w:spacing w:line="360" w:lineRule="auto"/>
        <w:ind w:firstLine="480" w:firstLineChars="200"/>
        <w:rPr>
          <w:rFonts w:hAnsi="宋体" w:cs="宋体"/>
          <w:color w:val="auto"/>
          <w:sz w:val="24"/>
          <w:highlight w:val="none"/>
        </w:rPr>
      </w:pPr>
      <w:r>
        <w:rPr>
          <w:rFonts w:hint="eastAsia" w:hAnsi="宋体" w:cs="宋体"/>
          <w:color w:val="auto"/>
          <w:kern w:val="0"/>
          <w:sz w:val="24"/>
          <w:highlight w:val="none"/>
          <w:lang w:val="zh-CN"/>
        </w:rPr>
        <w:t>4.3</w:t>
      </w:r>
      <w:r>
        <w:rPr>
          <w:rFonts w:hint="eastAsia" w:hAnsi="宋体" w:cs="宋体"/>
          <w:color w:val="auto"/>
          <w:sz w:val="24"/>
          <w:highlight w:val="none"/>
        </w:rPr>
        <w:t>.2供应商认为招标文件、采购过程和中标结果使自己的权益受到损害的，可以在知道或者应知其权益受到损害之日起七个工作日内，以书面形式向采购人或者</w:t>
      </w:r>
      <w:r>
        <w:rPr>
          <w:rFonts w:hint="eastAsia" w:hAnsi="宋体" w:cs="宋体"/>
          <w:color w:val="auto"/>
          <w:sz w:val="24"/>
          <w:highlight w:val="none"/>
          <w:lang w:eastAsia="zh-CN"/>
        </w:rPr>
        <w:t>采购代理机构</w:t>
      </w:r>
      <w:r>
        <w:rPr>
          <w:rFonts w:hint="eastAsia" w:hAnsi="宋体" w:cs="宋体"/>
          <w:color w:val="auto"/>
          <w:sz w:val="24"/>
          <w:highlight w:val="none"/>
        </w:rPr>
        <w:t>提出质疑，否则，采购人或者</w:t>
      </w:r>
      <w:r>
        <w:rPr>
          <w:rFonts w:hint="eastAsia" w:hAnsi="宋体" w:cs="宋体"/>
          <w:color w:val="auto"/>
          <w:sz w:val="24"/>
          <w:highlight w:val="none"/>
          <w:lang w:eastAsia="zh-CN"/>
        </w:rPr>
        <w:t>采购代理机构</w:t>
      </w:r>
      <w:r>
        <w:rPr>
          <w:rFonts w:hint="eastAsia" w:hAnsi="宋体" w:cs="宋体"/>
          <w:color w:val="auto"/>
          <w:sz w:val="24"/>
          <w:highlight w:val="none"/>
        </w:rPr>
        <w:t>不予受理：</w:t>
      </w:r>
    </w:p>
    <w:p w14:paraId="40793D61">
      <w:pPr>
        <w:pStyle w:val="5"/>
        <w:spacing w:line="360" w:lineRule="auto"/>
        <w:ind w:left="0" w:leftChars="0" w:firstLine="480" w:firstLineChars="200"/>
        <w:rPr>
          <w:rFonts w:hAnsi="宋体" w:cs="宋体"/>
          <w:snapToGrid/>
          <w:color w:val="auto"/>
          <w:kern w:val="2"/>
          <w:sz w:val="24"/>
          <w:highlight w:val="none"/>
        </w:rPr>
      </w:pPr>
      <w:r>
        <w:rPr>
          <w:rFonts w:hint="eastAsia" w:hAnsi="宋体" w:cs="宋体"/>
          <w:snapToGrid/>
          <w:color w:val="auto"/>
          <w:kern w:val="2"/>
          <w:sz w:val="24"/>
          <w:highlight w:val="none"/>
        </w:rPr>
        <w:t>4.3.2.1对招标文件提出质疑的，质疑期限为供应商获得招标文件之日或者招标文件公告期限届满之日起计算。</w:t>
      </w:r>
    </w:p>
    <w:p w14:paraId="1371F45C">
      <w:pPr>
        <w:pStyle w:val="33"/>
        <w:spacing w:line="360" w:lineRule="auto"/>
        <w:ind w:left="479" w:leftChars="228" w:firstLine="0" w:firstLineChars="0"/>
        <w:rPr>
          <w:rFonts w:hAnsi="宋体" w:cs="宋体"/>
          <w:color w:val="auto"/>
          <w:sz w:val="24"/>
          <w:highlight w:val="none"/>
        </w:rPr>
      </w:pPr>
      <w:r>
        <w:rPr>
          <w:rFonts w:hint="eastAsia" w:hAnsi="宋体" w:cs="宋体"/>
          <w:color w:val="auto"/>
          <w:sz w:val="24"/>
          <w:highlight w:val="none"/>
        </w:rPr>
        <w:t>4.3.2.2对采购过程提出质疑的，质疑期限为各采购程序环节结束之日起计算。4.3.2.3对采购结果提出质疑的，质疑期限自采购结果公告期限届满之日起计算。</w:t>
      </w:r>
    </w:p>
    <w:p w14:paraId="21CBD36C">
      <w:pPr>
        <w:pStyle w:val="33"/>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w:t>
      </w:r>
      <w:r>
        <w:rPr>
          <w:rFonts w:hint="eastAsia" w:hAnsi="宋体" w:cs="宋体"/>
          <w:color w:val="auto"/>
          <w:sz w:val="24"/>
          <w:highlight w:val="none"/>
        </w:rPr>
        <w:t>供应商提出质疑应当提交质疑函和必要的证明材料。质疑函应当包括下列内容：</w:t>
      </w:r>
    </w:p>
    <w:p w14:paraId="220D7881">
      <w:pPr>
        <w:pStyle w:val="33"/>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4.3.3.1供应商的姓名或者名称、地址、邮编、联系人及联系电话；</w:t>
      </w:r>
    </w:p>
    <w:p w14:paraId="59ED5815">
      <w:pPr>
        <w:pStyle w:val="33"/>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4.3.3.2质疑项目的名称、编号；</w:t>
      </w:r>
    </w:p>
    <w:p w14:paraId="3C9B0C58">
      <w:pPr>
        <w:pStyle w:val="33"/>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4.3.3.3具体、明确的质疑事项和与质疑事项相关的请求；</w:t>
      </w:r>
    </w:p>
    <w:p w14:paraId="17A6434F">
      <w:pPr>
        <w:pStyle w:val="33"/>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4.3.3.4事实依据；</w:t>
      </w:r>
    </w:p>
    <w:p w14:paraId="2BDF3154">
      <w:pPr>
        <w:pStyle w:val="33"/>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4.3.3.5必要的法律依据；</w:t>
      </w:r>
    </w:p>
    <w:p w14:paraId="5A5283BB">
      <w:pPr>
        <w:pStyle w:val="33"/>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4.3.3.6提出质疑的日期。</w:t>
      </w:r>
    </w:p>
    <w:p w14:paraId="43E0C8C3">
      <w:pPr>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供应商提交的质疑函需一式三份。供应商为自然人的，应当由本人签字；供应商为法人或者其他组织的，应当由法定代表人、主要负责人，或者其授权代表签字或者盖章，并加盖公章。</w:t>
      </w:r>
    </w:p>
    <w:p w14:paraId="420BA868">
      <w:pPr>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质疑函范本及制作说明详见附件2。</w:t>
      </w:r>
    </w:p>
    <w:p w14:paraId="74B1DEAB">
      <w:pPr>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4.3.4对同一采购程序环节的质疑，供应商须在法定质疑期内一次性提出。</w:t>
      </w:r>
    </w:p>
    <w:p w14:paraId="4E6A1AC4">
      <w:pPr>
        <w:keepNext w:val="0"/>
        <w:keepLines w:val="0"/>
        <w:pageBreakBefore w:val="0"/>
        <w:kinsoku/>
        <w:wordWrap/>
        <w:overflowPunct/>
        <w:topLinePunct w:val="0"/>
        <w:autoSpaceDE/>
        <w:autoSpaceDN/>
        <w:bidi w:val="0"/>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zh-CN"/>
        </w:rPr>
        <w:t>4.3</w:t>
      </w:r>
      <w:r>
        <w:rPr>
          <w:rFonts w:hint="eastAsia" w:asciiTheme="minorEastAsia" w:hAnsiTheme="minorEastAsia" w:eastAsiaTheme="minorEastAsia" w:cstheme="minorEastAsia"/>
          <w:sz w:val="24"/>
          <w:szCs w:val="24"/>
        </w:rPr>
        <w:t>.5采购人或者</w:t>
      </w:r>
      <w:r>
        <w:rPr>
          <w:rFonts w:hint="eastAsia" w:asciiTheme="minorEastAsia" w:hAnsiTheme="minorEastAsia" w:eastAsiaTheme="minorEastAsia" w:cstheme="minorEastAsia"/>
          <w:sz w:val="24"/>
          <w:szCs w:val="24"/>
          <w:lang w:eastAsia="zh-CN"/>
        </w:rPr>
        <w:t>采购代理机构</w:t>
      </w:r>
      <w:r>
        <w:rPr>
          <w:rFonts w:hint="eastAsia" w:asciiTheme="minorEastAsia" w:hAnsiTheme="minorEastAsia" w:eastAsiaTheme="minorEastAsia" w:cstheme="minorEastAsia"/>
          <w:sz w:val="24"/>
          <w:szCs w:val="24"/>
        </w:rPr>
        <w:t>应当在收到供应商的书面质疑后七个工作日内作出答复，并以书面形式通知质疑供应商和其他与质疑处理结果有利害关系的政府采购当事人，但答复的内容不得涉及商业秘密。根据《杭州市财政局关于进一步加强政府采购信息公开优化营商环境的通知》（杭财采监〔2021〕17号）,采购人或者</w:t>
      </w:r>
      <w:r>
        <w:rPr>
          <w:rFonts w:hint="eastAsia" w:asciiTheme="minorEastAsia" w:hAnsiTheme="minorEastAsia" w:eastAsiaTheme="minorEastAsia" w:cstheme="minorEastAsia"/>
          <w:sz w:val="24"/>
          <w:szCs w:val="24"/>
          <w:lang w:eastAsia="zh-CN"/>
        </w:rPr>
        <w:t>采购代理机构</w:t>
      </w:r>
      <w:r>
        <w:rPr>
          <w:rFonts w:hint="eastAsia" w:asciiTheme="minorEastAsia" w:hAnsiTheme="minorEastAsia" w:eastAsiaTheme="minorEastAsia" w:cstheme="minorEastAsia"/>
          <w:sz w:val="24"/>
          <w:szCs w:val="24"/>
        </w:rPr>
        <w:t>在质疑回复后5个工作日内，在浙江政府采购网的“其他公告”栏目公开质疑答复，答复内容应当完整。质疑函作为附件上传。</w:t>
      </w:r>
    </w:p>
    <w:p w14:paraId="26310D99">
      <w:pPr>
        <w:keepNext w:val="0"/>
        <w:keepLines w:val="0"/>
        <w:pageBreakBefore w:val="0"/>
        <w:kinsoku/>
        <w:wordWrap/>
        <w:overflowPunct/>
        <w:topLinePunct w:val="0"/>
        <w:autoSpaceDE/>
        <w:autoSpaceDN/>
        <w:bidi w:val="0"/>
        <w:spacing w:beforeAutospacing="0" w:afterAutospacing="0" w:line="360" w:lineRule="auto"/>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询问、质疑答复责任主体如下：</w:t>
      </w:r>
    </w:p>
    <w:p w14:paraId="67779A30">
      <w:pPr>
        <w:keepNext w:val="0"/>
        <w:keepLines w:val="0"/>
        <w:pageBreakBefore w:val="0"/>
        <w:kinsoku/>
        <w:wordWrap/>
        <w:overflowPunct/>
        <w:topLinePunct w:val="0"/>
        <w:autoSpaceDE/>
        <w:autoSpaceDN/>
        <w:bidi w:val="0"/>
        <w:spacing w:beforeAutospacing="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b/>
          <w:sz w:val="28"/>
          <w:szCs w:val="28"/>
          <w:highlight w:val="none"/>
          <w:lang w:val="en-US" w:eastAsia="zh-CN"/>
        </w:rPr>
        <w:t>询问、</w:t>
      </w:r>
      <w:r>
        <w:rPr>
          <w:rFonts w:hint="eastAsia" w:asciiTheme="minorEastAsia" w:hAnsiTheme="minorEastAsia" w:eastAsiaTheme="minorEastAsia"/>
          <w:b/>
          <w:sz w:val="28"/>
          <w:szCs w:val="28"/>
          <w:highlight w:val="none"/>
        </w:rPr>
        <w:t>质疑答复责任主体一览表</w:t>
      </w:r>
    </w:p>
    <w:tbl>
      <w:tblPr>
        <w:tblStyle w:val="6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6851E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54" w:type="dxa"/>
            <w:gridSpan w:val="2"/>
            <w:vAlign w:val="center"/>
          </w:tcPr>
          <w:p w14:paraId="62CCA6AC">
            <w:pPr>
              <w:pStyle w:val="33"/>
              <w:spacing w:line="360" w:lineRule="auto"/>
              <w:jc w:val="center"/>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lang w:val="en-US" w:eastAsia="zh-CN"/>
              </w:rPr>
              <w:t>询问、</w:t>
            </w:r>
            <w:r>
              <w:rPr>
                <w:rFonts w:hint="eastAsia" w:asciiTheme="minorEastAsia" w:hAnsiTheme="minorEastAsia" w:eastAsiaTheme="minorEastAsia"/>
                <w:b/>
                <w:bCs/>
                <w:sz w:val="24"/>
                <w:highlight w:val="none"/>
              </w:rPr>
              <w:t>质疑内容</w:t>
            </w:r>
          </w:p>
        </w:tc>
        <w:tc>
          <w:tcPr>
            <w:tcW w:w="2232" w:type="dxa"/>
            <w:vAlign w:val="center"/>
          </w:tcPr>
          <w:p w14:paraId="593AC637">
            <w:pPr>
              <w:pStyle w:val="33"/>
              <w:spacing w:line="360" w:lineRule="auto"/>
              <w:jc w:val="center"/>
              <w:rPr>
                <w:rFonts w:hint="eastAsia" w:asciiTheme="minorEastAsia" w:hAnsiTheme="minorEastAsia" w:eastAsiaTheme="minorEastAsia"/>
                <w:b/>
                <w:bCs/>
                <w:sz w:val="24"/>
                <w:highlight w:val="none"/>
              </w:rPr>
            </w:pPr>
            <w:r>
              <w:rPr>
                <w:rFonts w:hint="eastAsia" w:asciiTheme="minorEastAsia" w:hAnsiTheme="minorEastAsia" w:eastAsiaTheme="minorEastAsia"/>
                <w:b/>
                <w:bCs/>
                <w:sz w:val="24"/>
                <w:highlight w:val="none"/>
                <w:lang w:val="en-US" w:eastAsia="zh-CN"/>
              </w:rPr>
              <w:t>询问、</w:t>
            </w:r>
            <w:r>
              <w:rPr>
                <w:rFonts w:hint="eastAsia" w:asciiTheme="minorEastAsia" w:hAnsiTheme="minorEastAsia" w:eastAsiaTheme="minorEastAsia"/>
                <w:b/>
                <w:bCs/>
                <w:sz w:val="24"/>
                <w:highlight w:val="none"/>
              </w:rPr>
              <w:t>质疑答复</w:t>
            </w:r>
          </w:p>
          <w:p w14:paraId="5FF60FE9">
            <w:pPr>
              <w:pStyle w:val="33"/>
              <w:spacing w:line="360" w:lineRule="auto"/>
              <w:jc w:val="center"/>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责任主体</w:t>
            </w:r>
          </w:p>
        </w:tc>
      </w:tr>
      <w:tr w14:paraId="5281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795663D1">
            <w:pPr>
              <w:pStyle w:val="33"/>
              <w:spacing w:line="360" w:lineRule="auto"/>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对采购文件提出</w:t>
            </w:r>
            <w:r>
              <w:rPr>
                <w:rFonts w:hint="eastAsia" w:asciiTheme="minorEastAsia" w:hAnsiTheme="minorEastAsia" w:eastAsiaTheme="minorEastAsia"/>
                <w:sz w:val="24"/>
                <w:highlight w:val="none"/>
                <w:lang w:val="en-US" w:eastAsia="zh-CN"/>
              </w:rPr>
              <w:t>询问、</w:t>
            </w:r>
            <w:r>
              <w:rPr>
                <w:rFonts w:hint="eastAsia" w:asciiTheme="minorEastAsia" w:hAnsiTheme="minorEastAsia" w:eastAsiaTheme="minorEastAsia"/>
                <w:sz w:val="24"/>
                <w:highlight w:val="none"/>
              </w:rPr>
              <w:t>质疑</w:t>
            </w:r>
          </w:p>
        </w:tc>
        <w:tc>
          <w:tcPr>
            <w:tcW w:w="4536" w:type="dxa"/>
            <w:vAlign w:val="center"/>
          </w:tcPr>
          <w:p w14:paraId="5B805E34">
            <w:pPr>
              <w:pStyle w:val="33"/>
              <w:spacing w:line="360" w:lineRule="auto"/>
              <w:jc w:val="left"/>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对采购文件中</w:t>
            </w:r>
            <w:r>
              <w:rPr>
                <w:rFonts w:hint="eastAsia" w:asciiTheme="minorEastAsia" w:hAnsiTheme="minorEastAsia" w:eastAsiaTheme="minorEastAsia"/>
                <w:sz w:val="24"/>
                <w:szCs w:val="21"/>
                <w:highlight w:val="none"/>
              </w:rPr>
              <w:t>“申请人的资格要求”、“采购需求”、“评审办法”、“采购合同的主要条款”、“采购文件前附表内容”、“报价内容”</w:t>
            </w:r>
            <w:r>
              <w:rPr>
                <w:rFonts w:hint="eastAsia" w:asciiTheme="minorEastAsia" w:hAnsiTheme="minorEastAsia" w:eastAsiaTheme="minorEastAsia"/>
                <w:sz w:val="24"/>
                <w:highlight w:val="none"/>
              </w:rPr>
              <w:t>的</w:t>
            </w:r>
            <w:r>
              <w:rPr>
                <w:rFonts w:hint="eastAsia" w:asciiTheme="minorEastAsia" w:hAnsiTheme="minorEastAsia" w:eastAsiaTheme="minorEastAsia"/>
                <w:sz w:val="24"/>
                <w:highlight w:val="none"/>
                <w:lang w:val="en-US" w:eastAsia="zh-CN"/>
              </w:rPr>
              <w:t>询问、</w:t>
            </w:r>
            <w:r>
              <w:rPr>
                <w:rFonts w:hint="eastAsia" w:asciiTheme="minorEastAsia" w:hAnsiTheme="minorEastAsia" w:eastAsiaTheme="minorEastAsia"/>
                <w:sz w:val="24"/>
                <w:highlight w:val="none"/>
              </w:rPr>
              <w:t>质疑</w:t>
            </w:r>
          </w:p>
        </w:tc>
        <w:tc>
          <w:tcPr>
            <w:tcW w:w="2232" w:type="dxa"/>
            <w:vAlign w:val="center"/>
          </w:tcPr>
          <w:p w14:paraId="1B957ECD">
            <w:pPr>
              <w:pStyle w:val="33"/>
              <w:spacing w:line="360" w:lineRule="auto"/>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采购人</w:t>
            </w:r>
          </w:p>
        </w:tc>
      </w:tr>
      <w:tr w14:paraId="1B712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0F35917A">
            <w:pPr>
              <w:pStyle w:val="33"/>
              <w:spacing w:line="360" w:lineRule="auto"/>
              <w:jc w:val="center"/>
              <w:rPr>
                <w:rFonts w:asciiTheme="minorEastAsia" w:hAnsiTheme="minorEastAsia" w:eastAsiaTheme="minorEastAsia"/>
                <w:sz w:val="24"/>
                <w:highlight w:val="none"/>
              </w:rPr>
            </w:pPr>
          </w:p>
        </w:tc>
        <w:tc>
          <w:tcPr>
            <w:tcW w:w="4536" w:type="dxa"/>
            <w:vAlign w:val="center"/>
          </w:tcPr>
          <w:p w14:paraId="4950F81E">
            <w:pPr>
              <w:pStyle w:val="33"/>
              <w:spacing w:line="360" w:lineRule="auto"/>
              <w:jc w:val="left"/>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对采购文件中其他内容提出的</w:t>
            </w:r>
            <w:r>
              <w:rPr>
                <w:rFonts w:hint="eastAsia" w:asciiTheme="minorEastAsia" w:hAnsiTheme="minorEastAsia" w:eastAsiaTheme="minorEastAsia"/>
                <w:sz w:val="24"/>
                <w:highlight w:val="none"/>
                <w:lang w:val="en-US" w:eastAsia="zh-CN"/>
              </w:rPr>
              <w:t>询问、</w:t>
            </w:r>
            <w:r>
              <w:rPr>
                <w:rFonts w:hint="eastAsia" w:asciiTheme="minorEastAsia" w:hAnsiTheme="minorEastAsia" w:eastAsiaTheme="minorEastAsia"/>
                <w:sz w:val="24"/>
                <w:highlight w:val="none"/>
              </w:rPr>
              <w:t>质疑</w:t>
            </w:r>
          </w:p>
        </w:tc>
        <w:tc>
          <w:tcPr>
            <w:tcW w:w="2232" w:type="dxa"/>
            <w:vAlign w:val="center"/>
          </w:tcPr>
          <w:p w14:paraId="1CF7AF50">
            <w:pPr>
              <w:pStyle w:val="33"/>
              <w:spacing w:line="360" w:lineRule="auto"/>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采购机构</w:t>
            </w:r>
          </w:p>
        </w:tc>
      </w:tr>
      <w:tr w14:paraId="1A30E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59B59F4B">
            <w:pPr>
              <w:pStyle w:val="33"/>
              <w:spacing w:line="360" w:lineRule="auto"/>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对采购过程</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lang w:val="en-US" w:eastAsia="zh-CN"/>
              </w:rPr>
              <w:t>采购结果</w:t>
            </w:r>
            <w:r>
              <w:rPr>
                <w:rFonts w:hint="eastAsia" w:asciiTheme="minorEastAsia" w:hAnsiTheme="minorEastAsia" w:eastAsiaTheme="minorEastAsia"/>
                <w:sz w:val="24"/>
                <w:highlight w:val="none"/>
              </w:rPr>
              <w:t>提出</w:t>
            </w:r>
            <w:r>
              <w:rPr>
                <w:rFonts w:hint="eastAsia" w:asciiTheme="minorEastAsia" w:hAnsiTheme="minorEastAsia" w:eastAsiaTheme="minorEastAsia"/>
                <w:sz w:val="24"/>
                <w:highlight w:val="none"/>
                <w:lang w:val="en-US" w:eastAsia="zh-CN"/>
              </w:rPr>
              <w:t>询问、</w:t>
            </w:r>
            <w:r>
              <w:rPr>
                <w:rFonts w:hint="eastAsia" w:asciiTheme="minorEastAsia" w:hAnsiTheme="minorEastAsia" w:eastAsiaTheme="minorEastAsia"/>
                <w:sz w:val="24"/>
                <w:highlight w:val="none"/>
              </w:rPr>
              <w:t>质疑</w:t>
            </w:r>
          </w:p>
        </w:tc>
        <w:tc>
          <w:tcPr>
            <w:tcW w:w="4536" w:type="dxa"/>
            <w:vAlign w:val="center"/>
          </w:tcPr>
          <w:p w14:paraId="6B99C9A9">
            <w:pPr>
              <w:pStyle w:val="33"/>
              <w:spacing w:line="360" w:lineRule="auto"/>
              <w:jc w:val="left"/>
              <w:rPr>
                <w:rFonts w:asciiTheme="minorEastAsia" w:hAnsiTheme="minorEastAsia" w:eastAsiaTheme="minorEastAsia"/>
                <w:sz w:val="24"/>
                <w:highlight w:val="none"/>
              </w:rPr>
            </w:pPr>
            <w:r>
              <w:rPr>
                <w:rFonts w:hint="eastAsia" w:asciiTheme="minorEastAsia" w:hAnsiTheme="minorEastAsia" w:eastAsiaTheme="minorEastAsia"/>
                <w:sz w:val="24"/>
                <w:szCs w:val="21"/>
                <w:highlight w:val="none"/>
              </w:rPr>
              <w:t>对“现场考察、答疑会”、 “甲方负责接收和保存的样品” 、“资格审查”</w:t>
            </w:r>
            <w:r>
              <w:rPr>
                <w:rFonts w:hint="eastAsia" w:asciiTheme="minorEastAsia" w:hAnsiTheme="minorEastAsia" w:eastAsiaTheme="minorEastAsia"/>
                <w:sz w:val="24"/>
                <w:szCs w:val="21"/>
                <w:highlight w:val="none"/>
                <w:lang w:eastAsia="zh-CN"/>
              </w:rPr>
              <w:t>、“</w:t>
            </w:r>
            <w:r>
              <w:rPr>
                <w:rFonts w:hint="eastAsia" w:asciiTheme="minorEastAsia" w:hAnsiTheme="minorEastAsia" w:eastAsiaTheme="minorEastAsia"/>
                <w:sz w:val="24"/>
                <w:szCs w:val="21"/>
                <w:highlight w:val="none"/>
                <w:lang w:val="en-US" w:eastAsia="zh-CN"/>
              </w:rPr>
              <w:t>评审”</w:t>
            </w:r>
            <w:r>
              <w:rPr>
                <w:rFonts w:hint="eastAsia" w:asciiTheme="minorEastAsia" w:hAnsiTheme="minorEastAsia" w:eastAsiaTheme="minorEastAsia"/>
                <w:sz w:val="24"/>
                <w:szCs w:val="21"/>
                <w:highlight w:val="none"/>
              </w:rPr>
              <w:t>等环节的</w:t>
            </w:r>
            <w:r>
              <w:rPr>
                <w:rFonts w:hint="eastAsia" w:asciiTheme="minorEastAsia" w:hAnsiTheme="minorEastAsia" w:eastAsiaTheme="minorEastAsia"/>
                <w:sz w:val="24"/>
                <w:szCs w:val="21"/>
                <w:highlight w:val="none"/>
                <w:lang w:val="en-US" w:eastAsia="zh-CN"/>
              </w:rPr>
              <w:t>询问、</w:t>
            </w:r>
            <w:r>
              <w:rPr>
                <w:rFonts w:hint="eastAsia" w:asciiTheme="minorEastAsia" w:hAnsiTheme="minorEastAsia" w:eastAsiaTheme="minorEastAsia"/>
                <w:sz w:val="24"/>
                <w:szCs w:val="21"/>
                <w:highlight w:val="none"/>
              </w:rPr>
              <w:t>质疑</w:t>
            </w:r>
          </w:p>
        </w:tc>
        <w:tc>
          <w:tcPr>
            <w:tcW w:w="2232" w:type="dxa"/>
            <w:vAlign w:val="center"/>
          </w:tcPr>
          <w:p w14:paraId="1EC598D6">
            <w:pPr>
              <w:pStyle w:val="33"/>
              <w:spacing w:line="360" w:lineRule="auto"/>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采购人</w:t>
            </w:r>
          </w:p>
        </w:tc>
      </w:tr>
      <w:tr w14:paraId="0A046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518" w:type="dxa"/>
            <w:vMerge w:val="continue"/>
            <w:vAlign w:val="center"/>
          </w:tcPr>
          <w:p w14:paraId="4B4B5BB0">
            <w:pPr>
              <w:pStyle w:val="33"/>
              <w:spacing w:line="360" w:lineRule="auto"/>
              <w:jc w:val="center"/>
              <w:rPr>
                <w:rFonts w:asciiTheme="minorEastAsia" w:hAnsiTheme="minorEastAsia" w:eastAsiaTheme="minorEastAsia"/>
                <w:sz w:val="24"/>
                <w:highlight w:val="none"/>
              </w:rPr>
            </w:pPr>
          </w:p>
        </w:tc>
        <w:tc>
          <w:tcPr>
            <w:tcW w:w="4536" w:type="dxa"/>
            <w:vAlign w:val="center"/>
          </w:tcPr>
          <w:p w14:paraId="2BB01BEC">
            <w:pPr>
              <w:pStyle w:val="33"/>
              <w:spacing w:line="360" w:lineRule="auto"/>
              <w:jc w:val="left"/>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对采购过程</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lang w:val="en-US" w:eastAsia="zh-CN"/>
              </w:rPr>
              <w:t>采购结果其他</w:t>
            </w:r>
            <w:r>
              <w:rPr>
                <w:rFonts w:hint="eastAsia" w:asciiTheme="minorEastAsia" w:hAnsiTheme="minorEastAsia" w:eastAsiaTheme="minorEastAsia"/>
                <w:sz w:val="24"/>
                <w:szCs w:val="21"/>
                <w:highlight w:val="none"/>
              </w:rPr>
              <w:t>环节的</w:t>
            </w:r>
            <w:r>
              <w:rPr>
                <w:rFonts w:hint="eastAsia" w:asciiTheme="minorEastAsia" w:hAnsiTheme="minorEastAsia" w:eastAsiaTheme="minorEastAsia"/>
                <w:sz w:val="24"/>
                <w:szCs w:val="21"/>
                <w:highlight w:val="none"/>
                <w:lang w:val="en-US" w:eastAsia="zh-CN"/>
              </w:rPr>
              <w:t>询问、</w:t>
            </w:r>
            <w:r>
              <w:rPr>
                <w:rFonts w:hint="eastAsia" w:asciiTheme="minorEastAsia" w:hAnsiTheme="minorEastAsia" w:eastAsiaTheme="minorEastAsia"/>
                <w:sz w:val="24"/>
                <w:szCs w:val="21"/>
                <w:highlight w:val="none"/>
              </w:rPr>
              <w:t>质疑</w:t>
            </w:r>
          </w:p>
        </w:tc>
        <w:tc>
          <w:tcPr>
            <w:tcW w:w="2232" w:type="dxa"/>
            <w:vAlign w:val="center"/>
          </w:tcPr>
          <w:p w14:paraId="4C967EF9">
            <w:pPr>
              <w:pStyle w:val="33"/>
              <w:spacing w:line="360" w:lineRule="auto"/>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采购机构</w:t>
            </w:r>
          </w:p>
        </w:tc>
      </w:tr>
    </w:tbl>
    <w:p w14:paraId="112D8616">
      <w:pPr>
        <w:bidi w:val="0"/>
        <w:spacing w:line="360" w:lineRule="auto"/>
        <w:rPr>
          <w:rFonts w:hint="eastAsia" w:asciiTheme="minorEastAsia" w:hAnsiTheme="minorEastAsia" w:eastAsiaTheme="minorEastAsia" w:cstheme="minorEastAsia"/>
          <w:sz w:val="24"/>
          <w:szCs w:val="24"/>
        </w:rPr>
      </w:pPr>
    </w:p>
    <w:p w14:paraId="68B8507A">
      <w:pPr>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zh-CN"/>
        </w:rPr>
        <w:t>4.3</w:t>
      </w:r>
      <w:r>
        <w:rPr>
          <w:rFonts w:hint="eastAsia" w:asciiTheme="minorEastAsia" w:hAnsiTheme="minorEastAsia" w:eastAsiaTheme="minorEastAsia" w:cstheme="minorEastAsia"/>
          <w:sz w:val="24"/>
          <w:szCs w:val="24"/>
        </w:rPr>
        <w:t>.6询问或者质疑事项可能影响采购结果的，采购人应当暂停签订合同，已经签订合同的，应当中止履行合同。</w:t>
      </w:r>
    </w:p>
    <w:p w14:paraId="1B923E04">
      <w:pPr>
        <w:bidi w:val="0"/>
        <w:spacing w:line="360" w:lineRule="auto"/>
        <w:ind w:firstLine="480" w:firstLineChars="200"/>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4.4供应商投诉</w:t>
      </w:r>
    </w:p>
    <w:p w14:paraId="64B88CBB">
      <w:pPr>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4.4.1质疑供应商对采购人、</w:t>
      </w:r>
      <w:r>
        <w:rPr>
          <w:rFonts w:hint="eastAsia" w:asciiTheme="minorEastAsia" w:hAnsiTheme="minorEastAsia" w:eastAsiaTheme="minorEastAsia" w:cstheme="minorEastAsia"/>
          <w:sz w:val="24"/>
          <w:szCs w:val="24"/>
          <w:lang w:eastAsia="zh-CN"/>
        </w:rPr>
        <w:t>采购代理机构</w:t>
      </w:r>
      <w:r>
        <w:rPr>
          <w:rFonts w:hint="eastAsia" w:asciiTheme="minorEastAsia" w:hAnsiTheme="minorEastAsia" w:eastAsiaTheme="minorEastAsia" w:cstheme="minorEastAsia"/>
          <w:sz w:val="24"/>
          <w:szCs w:val="24"/>
        </w:rPr>
        <w:t>的答复不满意或者采购人、</w:t>
      </w:r>
      <w:r>
        <w:rPr>
          <w:rFonts w:hint="eastAsia" w:asciiTheme="minorEastAsia" w:hAnsiTheme="minorEastAsia" w:eastAsiaTheme="minorEastAsia" w:cstheme="minorEastAsia"/>
          <w:sz w:val="24"/>
          <w:szCs w:val="24"/>
          <w:lang w:eastAsia="zh-CN"/>
        </w:rPr>
        <w:t>采购代理机构</w:t>
      </w:r>
      <w:r>
        <w:rPr>
          <w:rFonts w:hint="eastAsia" w:asciiTheme="minorEastAsia" w:hAnsiTheme="minorEastAsia" w:eastAsiaTheme="minorEastAsia" w:cstheme="minorEastAsia"/>
          <w:sz w:val="24"/>
          <w:szCs w:val="24"/>
        </w:rPr>
        <w:t>未在规定的时间内作出答复的，可以在答复期满后十五个工作日内向同级政府采购监督管理部门提出投诉。</w:t>
      </w:r>
    </w:p>
    <w:p w14:paraId="0A4C494C">
      <w:pPr>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w:t>
      </w:r>
      <w:r>
        <w:rPr>
          <w:rFonts w:hint="eastAsia" w:asciiTheme="minorEastAsia" w:hAnsiTheme="minorEastAsia" w:eastAsiaTheme="minorEastAsia" w:cstheme="minorEastAsia"/>
          <w:sz w:val="24"/>
          <w:szCs w:val="24"/>
          <w:lang w:val="zh-CN"/>
        </w:rPr>
        <w:t>2</w:t>
      </w:r>
      <w:r>
        <w:rPr>
          <w:rFonts w:hint="eastAsia" w:asciiTheme="minorEastAsia" w:hAnsiTheme="minorEastAsia" w:eastAsiaTheme="minorEastAsia" w:cstheme="minorEastAsia"/>
          <w:sz w:val="24"/>
          <w:szCs w:val="24"/>
        </w:rPr>
        <w:t>供应商投诉的事项不得超出已质疑事项的范围，基于质疑答复内容提出的投诉事项除外。</w:t>
      </w:r>
    </w:p>
    <w:p w14:paraId="75E1FF05">
      <w:pPr>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4.4.3供应商投诉应当有明确的请求和必要的证明材料。</w:t>
      </w:r>
    </w:p>
    <w:p w14:paraId="17324CC1">
      <w:pPr>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4.4.4以联合体形式参加政府采购活动的，其投诉应当由组成联合体的所有供应商共同提出。</w:t>
      </w:r>
    </w:p>
    <w:p w14:paraId="355E1D57">
      <w:pPr>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4.4.5根据政府采购行政裁决省市区三级联动试点工作安排，杭州市本级</w:t>
      </w:r>
      <w:r>
        <w:rPr>
          <w:rFonts w:hint="eastAsia" w:asciiTheme="minorEastAsia" w:hAnsiTheme="minorEastAsia" w:eastAsiaTheme="minorEastAsia" w:cstheme="minorEastAsia"/>
          <w:sz w:val="24"/>
          <w:szCs w:val="24"/>
          <w:lang w:eastAsia="zh-CN"/>
        </w:rPr>
        <w:t>及各区、县（市）</w:t>
      </w:r>
      <w:r>
        <w:rPr>
          <w:rFonts w:hint="eastAsia" w:asciiTheme="minorEastAsia" w:hAnsiTheme="minorEastAsia" w:eastAsiaTheme="minorEastAsia" w:cstheme="minorEastAsia"/>
          <w:sz w:val="24"/>
          <w:szCs w:val="24"/>
        </w:rPr>
        <w:t>政府采购项目投诉材料可寄送至浙江省政府采购行政裁决服务中心（杭州），地址：</w:t>
      </w:r>
      <w:r>
        <w:rPr>
          <w:rFonts w:hint="eastAsia" w:asciiTheme="minorEastAsia" w:hAnsiTheme="minorEastAsia" w:eastAsiaTheme="minorEastAsia" w:cstheme="minorEastAsia"/>
          <w:sz w:val="24"/>
          <w:szCs w:val="24"/>
          <w:lang w:eastAsia="zh-CN"/>
        </w:rPr>
        <w:t>杭州市上城区清泰街549号城建综合大楼11楼</w:t>
      </w:r>
      <w:r>
        <w:rPr>
          <w:rFonts w:hint="eastAsia" w:asciiTheme="minorEastAsia" w:hAnsiTheme="minorEastAsia" w:eastAsiaTheme="minorEastAsia" w:cstheme="minorEastAsia"/>
          <w:sz w:val="24"/>
          <w:szCs w:val="24"/>
        </w:rPr>
        <w:t>（快递仅限ems或顺丰）</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收件人：朱女士，电话：</w:t>
      </w:r>
      <w:r>
        <w:rPr>
          <w:rFonts w:hint="eastAsia" w:asciiTheme="minorEastAsia" w:hAnsiTheme="minorEastAsia" w:eastAsiaTheme="minorEastAsia" w:cstheme="minorEastAsia"/>
          <w:sz w:val="24"/>
          <w:szCs w:val="24"/>
          <w:lang w:val="en-US" w:eastAsia="zh-CN"/>
        </w:rPr>
        <w:t>0571-87800218</w:t>
      </w:r>
    </w:p>
    <w:p w14:paraId="502187F4">
      <w:pPr>
        <w:adjustRightInd w:val="0"/>
        <w:snapToGrid w:val="0"/>
        <w:spacing w:line="360" w:lineRule="auto"/>
        <w:ind w:firstLine="480" w:firstLineChars="200"/>
        <w:rPr>
          <w:rFonts w:hint="eastAsia" w:ascii="宋体" w:hAnsi="宋体" w:cs="仿宋"/>
          <w:color w:val="auto"/>
          <w:sz w:val="24"/>
          <w:highlight w:val="none"/>
        </w:rPr>
      </w:pPr>
      <w:r>
        <w:rPr>
          <w:rFonts w:hint="eastAsia" w:ascii="宋体" w:hAnsi="宋体" w:cs="仿宋"/>
          <w:color w:val="auto"/>
          <w:sz w:val="24"/>
          <w:highlight w:val="none"/>
        </w:rPr>
        <w:t>4.5补偿救济</w:t>
      </w:r>
    </w:p>
    <w:p w14:paraId="0FB59288">
      <w:pPr>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采购人因政策变化、规划调整而不履行政府采购合同的，供应商可依据《杭州市涉企补偿救济实施办法（试行）》向采购人提起补偿申请。</w:t>
      </w:r>
    </w:p>
    <w:p w14:paraId="0E07424E">
      <w:pPr>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投诉书范本及制作说明详见附件3。</w:t>
      </w:r>
    </w:p>
    <w:p w14:paraId="1A46184A">
      <w:pPr>
        <w:bidi w:val="0"/>
      </w:pPr>
    </w:p>
    <w:p w14:paraId="2166FB32">
      <w:pPr>
        <w:adjustRightInd/>
        <w:spacing w:line="360" w:lineRule="auto"/>
        <w:jc w:val="center"/>
        <w:outlineLvl w:val="1"/>
        <w:rPr>
          <w:rFonts w:hint="eastAsia" w:ascii="宋体" w:hAnsi="宋体" w:cs="宋体"/>
          <w:b/>
          <w:color w:val="auto"/>
          <w:sz w:val="32"/>
          <w:szCs w:val="20"/>
          <w:highlight w:val="none"/>
        </w:rPr>
      </w:pPr>
      <w:r>
        <w:rPr>
          <w:rFonts w:hint="eastAsia" w:ascii="宋体" w:hAnsi="宋体" w:cs="宋体"/>
          <w:b/>
          <w:color w:val="auto"/>
          <w:sz w:val="32"/>
          <w:szCs w:val="20"/>
          <w:highlight w:val="none"/>
        </w:rPr>
        <w:t>二、招标文件的构成、澄清、修改</w:t>
      </w:r>
    </w:p>
    <w:p w14:paraId="0E5514A0">
      <w:pPr>
        <w:pStyle w:val="33"/>
        <w:spacing w:line="360" w:lineRule="auto"/>
        <w:rPr>
          <w:rFonts w:hAnsi="宋体" w:cs="宋体"/>
          <w:b/>
          <w:color w:val="auto"/>
          <w:sz w:val="24"/>
          <w:szCs w:val="24"/>
          <w:highlight w:val="none"/>
        </w:rPr>
      </w:pPr>
      <w:r>
        <w:rPr>
          <w:rFonts w:hint="eastAsia" w:hAnsi="宋体" w:cs="宋体"/>
          <w:b/>
          <w:color w:val="auto"/>
          <w:sz w:val="24"/>
          <w:szCs w:val="24"/>
          <w:highlight w:val="none"/>
        </w:rPr>
        <w:t>5</w:t>
      </w:r>
      <w:r>
        <w:rPr>
          <w:rFonts w:hint="eastAsia" w:hAnsi="宋体" w:cs="宋体"/>
          <w:b/>
          <w:color w:val="auto"/>
          <w:sz w:val="24"/>
          <w:szCs w:val="24"/>
          <w:highlight w:val="none"/>
          <w:lang w:val="en-US" w:eastAsia="zh-CN"/>
        </w:rPr>
        <w:t>.</w:t>
      </w:r>
      <w:r>
        <w:rPr>
          <w:rFonts w:hint="eastAsia" w:hAnsi="宋体" w:cs="宋体"/>
          <w:b/>
          <w:color w:val="auto"/>
          <w:sz w:val="24"/>
          <w:szCs w:val="24"/>
          <w:highlight w:val="none"/>
        </w:rPr>
        <w:t>招标文件的构成</w:t>
      </w:r>
    </w:p>
    <w:p w14:paraId="51B231A2">
      <w:pPr>
        <w:pStyle w:val="33"/>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5.1招标文件包括下列文件及附件：</w:t>
      </w:r>
    </w:p>
    <w:p w14:paraId="083535C4">
      <w:pPr>
        <w:pStyle w:val="33"/>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szCs w:val="24"/>
          <w:highlight w:val="none"/>
        </w:rPr>
        <w:t>5.1.1招标公告；</w:t>
      </w:r>
    </w:p>
    <w:p w14:paraId="5FCFBB1D">
      <w:pPr>
        <w:pStyle w:val="33"/>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szCs w:val="24"/>
          <w:highlight w:val="none"/>
        </w:rPr>
        <w:t>5.1.2投标人须知；</w:t>
      </w:r>
    </w:p>
    <w:p w14:paraId="25AFBDBD">
      <w:pPr>
        <w:pStyle w:val="33"/>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szCs w:val="24"/>
          <w:highlight w:val="none"/>
        </w:rPr>
        <w:t>5.1.3采购需求；</w:t>
      </w:r>
    </w:p>
    <w:p w14:paraId="73E70879">
      <w:pPr>
        <w:pStyle w:val="33"/>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szCs w:val="24"/>
          <w:highlight w:val="none"/>
        </w:rPr>
        <w:t>5.1.4评标办法；</w:t>
      </w:r>
    </w:p>
    <w:p w14:paraId="4D84AC2A">
      <w:pPr>
        <w:pStyle w:val="33"/>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szCs w:val="24"/>
          <w:highlight w:val="none"/>
        </w:rPr>
        <w:t>5.1.5拟签订的合同文本；</w:t>
      </w:r>
    </w:p>
    <w:p w14:paraId="3AEB9335">
      <w:pPr>
        <w:pStyle w:val="33"/>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highlight w:val="none"/>
        </w:rPr>
        <w:t>5.1.6</w:t>
      </w:r>
      <w:r>
        <w:rPr>
          <w:rFonts w:hint="eastAsia" w:hAnsi="宋体" w:cs="宋体"/>
          <w:color w:val="auto"/>
          <w:sz w:val="24"/>
          <w:szCs w:val="24"/>
          <w:highlight w:val="none"/>
        </w:rPr>
        <w:t>应提交的有关格式范例。</w:t>
      </w:r>
    </w:p>
    <w:p w14:paraId="7F10486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5.2与本项目有关的</w:t>
      </w:r>
      <w:r>
        <w:rPr>
          <w:rFonts w:hint="eastAsia" w:ascii="宋体" w:hAnsi="宋体" w:cs="宋体"/>
          <w:bCs/>
          <w:color w:val="auto"/>
          <w:sz w:val="24"/>
          <w:highlight w:val="none"/>
        </w:rPr>
        <w:t>澄清或者修改的内容为招标文件的组成部分</w:t>
      </w:r>
      <w:r>
        <w:rPr>
          <w:rFonts w:hint="eastAsia" w:ascii="宋体" w:hAnsi="宋体" w:cs="宋体"/>
          <w:color w:val="auto"/>
          <w:sz w:val="24"/>
          <w:highlight w:val="none"/>
        </w:rPr>
        <w:t>。</w:t>
      </w:r>
    </w:p>
    <w:p w14:paraId="5B99D9F6">
      <w:pPr>
        <w:pStyle w:val="33"/>
        <w:spacing w:line="360" w:lineRule="auto"/>
        <w:rPr>
          <w:rFonts w:hAnsi="宋体" w:cs="宋体"/>
          <w:b/>
          <w:color w:val="auto"/>
          <w:sz w:val="24"/>
          <w:szCs w:val="24"/>
          <w:highlight w:val="none"/>
        </w:rPr>
      </w:pPr>
      <w:r>
        <w:rPr>
          <w:rFonts w:hint="eastAsia" w:hAnsi="宋体" w:cs="宋体"/>
          <w:b/>
          <w:color w:val="auto"/>
          <w:sz w:val="24"/>
          <w:szCs w:val="24"/>
          <w:highlight w:val="none"/>
        </w:rPr>
        <w:t>6.招标文件的澄清、修改</w:t>
      </w:r>
    </w:p>
    <w:p w14:paraId="75DEA356">
      <w:pPr>
        <w:pStyle w:val="132"/>
        <w:snapToGrid w:val="0"/>
        <w:spacing w:before="0"/>
        <w:ind w:firstLine="480"/>
        <w:rPr>
          <w:rFonts w:ascii="宋体" w:hAnsi="宋体" w:cs="宋体"/>
          <w:color w:val="auto"/>
          <w:highlight w:val="none"/>
        </w:rPr>
      </w:pPr>
      <w:r>
        <w:rPr>
          <w:rFonts w:hint="eastAsia" w:ascii="宋体" w:hAnsi="宋体" w:cs="宋体"/>
          <w:color w:val="auto"/>
          <w:highlight w:val="none"/>
        </w:rPr>
        <w:t>6.1已获取招标文件的潜在投标人，若有问题需要澄清，应于投标截止时间前，以书面形式向</w:t>
      </w:r>
      <w:r>
        <w:rPr>
          <w:rFonts w:hint="eastAsia" w:ascii="宋体" w:hAnsi="宋体" w:cs="宋体"/>
          <w:color w:val="auto"/>
          <w:highlight w:val="none"/>
          <w:lang w:eastAsia="zh-CN"/>
        </w:rPr>
        <w:t>采购代理机构</w:t>
      </w:r>
      <w:r>
        <w:rPr>
          <w:rFonts w:hint="eastAsia" w:ascii="宋体" w:hAnsi="宋体" w:cs="宋体"/>
          <w:color w:val="auto"/>
          <w:highlight w:val="none"/>
        </w:rPr>
        <w:t>提出。</w:t>
      </w:r>
    </w:p>
    <w:p w14:paraId="5A29DBC0">
      <w:pPr>
        <w:pStyle w:val="132"/>
        <w:snapToGrid w:val="0"/>
        <w:spacing w:before="0"/>
        <w:ind w:firstLine="480"/>
        <w:rPr>
          <w:rFonts w:ascii="宋体" w:hAnsi="宋体" w:cs="宋体"/>
          <w:color w:val="auto"/>
          <w:highlight w:val="none"/>
        </w:rPr>
      </w:pPr>
      <w:r>
        <w:rPr>
          <w:rFonts w:hint="eastAsia" w:ascii="宋体" w:hAnsi="宋体" w:cs="宋体"/>
          <w:color w:val="auto"/>
          <w:highlight w:val="none"/>
        </w:rPr>
        <w:t>6.2</w:t>
      </w:r>
      <w:r>
        <w:rPr>
          <w:rFonts w:hint="eastAsia" w:ascii="宋体" w:hAnsi="宋体" w:cs="宋体"/>
          <w:color w:val="auto"/>
          <w:highlight w:val="none"/>
          <w:lang w:eastAsia="zh-CN"/>
        </w:rPr>
        <w:t>采购代理机构</w:t>
      </w:r>
      <w:r>
        <w:rPr>
          <w:rFonts w:hint="eastAsia" w:ascii="宋体" w:hAnsi="宋体" w:cs="宋体"/>
          <w:color w:val="auto"/>
          <w:highlight w:val="none"/>
        </w:rPr>
        <w:t>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14:paraId="0D5C1855">
      <w:pPr>
        <w:bidi w:val="0"/>
        <w:rPr>
          <w:rFonts w:hint="eastAsia"/>
          <w:lang w:val="en-US" w:eastAsia="zh-CN"/>
        </w:rPr>
      </w:pPr>
    </w:p>
    <w:p w14:paraId="1A342BB4">
      <w:pPr>
        <w:adjustRightInd/>
        <w:spacing w:line="360" w:lineRule="auto"/>
        <w:jc w:val="center"/>
        <w:outlineLvl w:val="1"/>
        <w:rPr>
          <w:rFonts w:hint="eastAsia" w:ascii="宋体" w:hAnsi="宋体" w:cs="宋体"/>
          <w:b/>
          <w:color w:val="auto"/>
          <w:sz w:val="32"/>
          <w:szCs w:val="20"/>
          <w:highlight w:val="none"/>
        </w:rPr>
      </w:pPr>
      <w:r>
        <w:rPr>
          <w:rFonts w:hint="eastAsia" w:ascii="宋体" w:hAnsi="宋体" w:cs="宋体"/>
          <w:b/>
          <w:color w:val="auto"/>
          <w:sz w:val="32"/>
          <w:szCs w:val="20"/>
          <w:highlight w:val="none"/>
        </w:rPr>
        <w:t>三、投标</w:t>
      </w:r>
    </w:p>
    <w:p w14:paraId="621D0F3C">
      <w:pPr>
        <w:pStyle w:val="33"/>
        <w:spacing w:line="360" w:lineRule="auto"/>
        <w:rPr>
          <w:rFonts w:hAnsi="宋体" w:cs="宋体"/>
          <w:b/>
          <w:color w:val="auto"/>
          <w:sz w:val="24"/>
          <w:szCs w:val="24"/>
          <w:highlight w:val="none"/>
        </w:rPr>
      </w:pPr>
      <w:r>
        <w:rPr>
          <w:rFonts w:hint="eastAsia" w:hAnsi="宋体" w:cs="宋体"/>
          <w:b/>
          <w:color w:val="auto"/>
          <w:sz w:val="24"/>
          <w:szCs w:val="24"/>
          <w:highlight w:val="none"/>
        </w:rPr>
        <w:t>7.招标文件的获取</w:t>
      </w:r>
    </w:p>
    <w:p w14:paraId="10FD1398">
      <w:pPr>
        <w:spacing w:line="360" w:lineRule="auto"/>
        <w:ind w:firstLine="480" w:firstLineChars="200"/>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详见招标公告中获取招标文件的时间期限、地点、方式及招标文件售价。</w:t>
      </w:r>
    </w:p>
    <w:p w14:paraId="76D34019">
      <w:pPr>
        <w:pStyle w:val="33"/>
        <w:spacing w:line="360" w:lineRule="auto"/>
        <w:rPr>
          <w:rFonts w:hAnsi="宋体" w:cs="宋体"/>
          <w:b/>
          <w:color w:val="auto"/>
          <w:sz w:val="24"/>
          <w:szCs w:val="24"/>
          <w:highlight w:val="none"/>
        </w:rPr>
      </w:pPr>
      <w:r>
        <w:rPr>
          <w:rFonts w:hint="eastAsia" w:hAnsi="宋体" w:cs="宋体"/>
          <w:b/>
          <w:color w:val="auto"/>
          <w:sz w:val="24"/>
          <w:szCs w:val="24"/>
          <w:highlight w:val="none"/>
        </w:rPr>
        <w:t>8.开标前答疑会或现场考察</w:t>
      </w:r>
    </w:p>
    <w:p w14:paraId="6B805AC1">
      <w:pPr>
        <w:pStyle w:val="33"/>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采购人组织潜在投标人现场考察或者召开开标前答疑会的，潜在投标人按第二部分投标人须知前附表的规定参加现场考察或者开标前答疑会。</w:t>
      </w:r>
    </w:p>
    <w:p w14:paraId="01457CBE">
      <w:pPr>
        <w:pStyle w:val="33"/>
        <w:spacing w:line="360" w:lineRule="auto"/>
        <w:rPr>
          <w:rFonts w:hAnsi="宋体" w:cs="宋体"/>
          <w:b/>
          <w:color w:val="auto"/>
          <w:szCs w:val="24"/>
          <w:highlight w:val="none"/>
        </w:rPr>
      </w:pPr>
      <w:r>
        <w:rPr>
          <w:rFonts w:hint="eastAsia" w:hAnsi="宋体" w:cs="宋体"/>
          <w:b/>
          <w:color w:val="auto"/>
          <w:kern w:val="28"/>
          <w:sz w:val="24"/>
          <w:szCs w:val="24"/>
          <w:highlight w:val="none"/>
        </w:rPr>
        <w:t>9.投标保证金</w:t>
      </w:r>
    </w:p>
    <w:p w14:paraId="50483C0D">
      <w:pPr>
        <w:pStyle w:val="5"/>
        <w:spacing w:line="360" w:lineRule="auto"/>
        <w:ind w:firstLine="470" w:firstLineChars="196"/>
        <w:rPr>
          <w:rFonts w:hAnsi="宋体" w:cs="宋体"/>
          <w:color w:val="auto"/>
          <w:sz w:val="24"/>
          <w:highlight w:val="none"/>
        </w:rPr>
      </w:pPr>
      <w:r>
        <w:rPr>
          <w:rFonts w:hint="eastAsia" w:hAnsi="宋体" w:cs="宋体"/>
          <w:color w:val="auto"/>
          <w:sz w:val="24"/>
          <w:highlight w:val="none"/>
        </w:rPr>
        <w:t>本项目不需缴纳投标保证金。</w:t>
      </w:r>
    </w:p>
    <w:p w14:paraId="539A06BA">
      <w:pPr>
        <w:pStyle w:val="33"/>
        <w:spacing w:line="360" w:lineRule="auto"/>
        <w:rPr>
          <w:rFonts w:hAnsi="宋体" w:cs="宋体"/>
          <w:b/>
          <w:color w:val="auto"/>
          <w:sz w:val="24"/>
          <w:szCs w:val="24"/>
          <w:highlight w:val="none"/>
        </w:rPr>
      </w:pPr>
      <w:r>
        <w:rPr>
          <w:rFonts w:hint="eastAsia" w:hAnsi="宋体" w:cs="宋体"/>
          <w:b/>
          <w:color w:val="auto"/>
          <w:sz w:val="24"/>
          <w:szCs w:val="24"/>
          <w:highlight w:val="none"/>
        </w:rPr>
        <w:t>10.投标文件的语言</w:t>
      </w:r>
    </w:p>
    <w:p w14:paraId="25990691">
      <w:pPr>
        <w:autoSpaceDE w:val="0"/>
        <w:autoSpaceDN w:val="0"/>
        <w:spacing w:line="36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rPr>
        <w:t>投标文件及投标人与采购有关的来往通知、函件和文件均应使用中文。</w:t>
      </w:r>
    </w:p>
    <w:p w14:paraId="0832DECA">
      <w:pPr>
        <w:pStyle w:val="33"/>
        <w:spacing w:line="360" w:lineRule="auto"/>
        <w:rPr>
          <w:rFonts w:hAnsi="宋体" w:cs="宋体"/>
          <w:b/>
          <w:color w:val="auto"/>
          <w:sz w:val="24"/>
          <w:szCs w:val="24"/>
          <w:highlight w:val="none"/>
        </w:rPr>
      </w:pPr>
      <w:r>
        <w:rPr>
          <w:rFonts w:hint="eastAsia" w:hAnsi="宋体" w:cs="宋体"/>
          <w:b/>
          <w:color w:val="auto"/>
          <w:sz w:val="24"/>
          <w:szCs w:val="24"/>
          <w:highlight w:val="none"/>
        </w:rPr>
        <w:t>11.投标文件的组成</w:t>
      </w:r>
    </w:p>
    <w:p w14:paraId="3DFA326D">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11.1</w:t>
      </w:r>
      <w:r>
        <w:rPr>
          <w:rFonts w:hint="eastAsia" w:ascii="宋体" w:hAnsi="宋体" w:cs="宋体"/>
          <w:b/>
          <w:color w:val="auto"/>
          <w:sz w:val="24"/>
          <w:highlight w:val="none"/>
        </w:rPr>
        <w:t>资格文件</w:t>
      </w:r>
      <w:r>
        <w:rPr>
          <w:rFonts w:hint="eastAsia" w:ascii="宋体" w:hAnsi="宋体" w:cs="宋体"/>
          <w:color w:val="auto"/>
          <w:sz w:val="24"/>
          <w:highlight w:val="none"/>
        </w:rPr>
        <w:t>：</w:t>
      </w:r>
    </w:p>
    <w:p w14:paraId="6972B63E">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11.1.1符合参加政府采购活动应当具备的一般条件的承诺函；</w:t>
      </w:r>
    </w:p>
    <w:p w14:paraId="0A716465">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1.1.2</w:t>
      </w:r>
      <w:bookmarkStart w:id="18" w:name="_Hlk101259339"/>
      <w:r>
        <w:rPr>
          <w:rFonts w:hint="eastAsia" w:ascii="宋体" w:hAnsi="宋体" w:cs="宋体"/>
          <w:snapToGrid w:val="0"/>
          <w:color w:val="auto"/>
          <w:kern w:val="28"/>
          <w:sz w:val="24"/>
          <w:szCs w:val="20"/>
          <w:highlight w:val="none"/>
        </w:rPr>
        <w:t>联合协议</w:t>
      </w:r>
      <w:bookmarkEnd w:id="18"/>
      <w:r>
        <w:rPr>
          <w:rFonts w:hint="eastAsia" w:ascii="宋体" w:hAnsi="宋体" w:cs="宋体"/>
          <w:snapToGrid w:val="0"/>
          <w:color w:val="auto"/>
          <w:kern w:val="28"/>
          <w:sz w:val="24"/>
          <w:szCs w:val="20"/>
          <w:highlight w:val="none"/>
        </w:rPr>
        <w:t>（如果有)；</w:t>
      </w:r>
    </w:p>
    <w:p w14:paraId="0A119ABA">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11.1.</w:t>
      </w:r>
      <w:r>
        <w:rPr>
          <w:rFonts w:ascii="宋体" w:hAnsi="宋体" w:cs="宋体"/>
          <w:color w:val="auto"/>
          <w:sz w:val="24"/>
          <w:highlight w:val="none"/>
        </w:rPr>
        <w:t>3</w:t>
      </w:r>
      <w:r>
        <w:rPr>
          <w:rFonts w:hint="eastAsia" w:ascii="宋体" w:hAnsi="宋体" w:cs="宋体"/>
          <w:color w:val="auto"/>
          <w:sz w:val="24"/>
          <w:highlight w:val="none"/>
        </w:rPr>
        <w:t>落实政府采购政策需满足的资格要求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30C79F6F">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11.1.</w:t>
      </w:r>
      <w:r>
        <w:rPr>
          <w:rFonts w:ascii="宋体" w:hAnsi="宋体" w:cs="宋体"/>
          <w:color w:val="auto"/>
          <w:sz w:val="24"/>
          <w:highlight w:val="none"/>
        </w:rPr>
        <w:t>4</w:t>
      </w:r>
      <w:r>
        <w:rPr>
          <w:rFonts w:hint="eastAsia" w:ascii="宋体" w:hAnsi="宋体" w:cs="宋体"/>
          <w:color w:val="auto"/>
          <w:sz w:val="24"/>
          <w:highlight w:val="none"/>
        </w:rPr>
        <w:t>本项目的特定资格要求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759A1382">
      <w:pPr>
        <w:snapToGrid w:val="0"/>
        <w:spacing w:line="36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11.</w:t>
      </w:r>
      <w:r>
        <w:rPr>
          <w:rFonts w:hint="eastAsia" w:ascii="宋体" w:hAnsi="宋体" w:cs="宋体"/>
          <w:color w:val="auto"/>
          <w:sz w:val="24"/>
          <w:highlight w:val="none"/>
        </w:rPr>
        <w:t>2商务技术</w:t>
      </w:r>
      <w:r>
        <w:rPr>
          <w:rFonts w:hint="eastAsia" w:ascii="宋体" w:hAnsi="宋体" w:cs="宋体"/>
          <w:color w:val="auto"/>
          <w:sz w:val="24"/>
          <w:highlight w:val="none"/>
          <w:lang w:val="zh-CN"/>
        </w:rPr>
        <w:t>文件：</w:t>
      </w:r>
    </w:p>
    <w:p w14:paraId="450B20BC">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11.2.1投标函；</w:t>
      </w:r>
    </w:p>
    <w:p w14:paraId="48D9CFB0">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11.2.2授权委托书或法定代表人（单位负责人、自然人本人）身份证明；</w:t>
      </w:r>
    </w:p>
    <w:p w14:paraId="14057ABE">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49A506C0">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4</w:t>
      </w:r>
      <w:r>
        <w:rPr>
          <w:rFonts w:hint="eastAsia" w:ascii="宋体" w:hAnsi="宋体" w:cs="宋体"/>
          <w:color w:val="auto"/>
          <w:sz w:val="24"/>
          <w:highlight w:val="none"/>
        </w:rPr>
        <w:t>符合性审查资料；</w:t>
      </w:r>
    </w:p>
    <w:p w14:paraId="7608CBD0">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p>
    <w:p w14:paraId="75EC651F">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6</w:t>
      </w:r>
      <w:r>
        <w:rPr>
          <w:rFonts w:hint="eastAsia" w:ascii="宋体" w:hAnsi="宋体" w:cs="宋体"/>
          <w:color w:val="auto"/>
          <w:sz w:val="24"/>
          <w:highlight w:val="none"/>
        </w:rPr>
        <w:t>投标标的清单；</w:t>
      </w:r>
    </w:p>
    <w:p w14:paraId="0D1A73CB">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7</w:t>
      </w:r>
      <w:r>
        <w:rPr>
          <w:rFonts w:hint="eastAsia" w:ascii="宋体" w:hAnsi="宋体" w:cs="宋体"/>
          <w:color w:val="auto"/>
          <w:sz w:val="24"/>
          <w:highlight w:val="none"/>
        </w:rPr>
        <w:t>商务技术偏离表；</w:t>
      </w:r>
    </w:p>
    <w:p w14:paraId="2F9CA334">
      <w:pPr>
        <w:snapToGrid w:val="0"/>
        <w:spacing w:line="360" w:lineRule="auto"/>
        <w:ind w:firstLine="960" w:firstLineChars="400"/>
        <w:rPr>
          <w:rFonts w:ascii="宋体" w:hAnsi="宋体" w:cs="宋体"/>
          <w:color w:val="auto"/>
          <w:sz w:val="24"/>
          <w:highlight w:val="none"/>
          <w:lang w:val="zh-CN"/>
        </w:rPr>
      </w:pPr>
      <w:r>
        <w:rPr>
          <w:rFonts w:hint="eastAsia" w:ascii="宋体" w:hAnsi="宋体" w:cs="宋体"/>
          <w:color w:val="auto"/>
          <w:sz w:val="24"/>
          <w:highlight w:val="none"/>
          <w:lang w:val="zh-CN"/>
        </w:rPr>
        <w:t>11.</w:t>
      </w: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p>
    <w:p w14:paraId="45E8936F">
      <w:pPr>
        <w:snapToGrid w:val="0"/>
        <w:spacing w:line="360" w:lineRule="auto"/>
        <w:ind w:firstLine="480" w:firstLineChars="200"/>
        <w:rPr>
          <w:rFonts w:ascii="宋体" w:hAnsi="宋体" w:cs="宋体"/>
          <w:color w:val="auto"/>
          <w:sz w:val="24"/>
          <w:highlight w:val="none"/>
          <w:u w:val="single"/>
          <w:lang w:val="zh-CN"/>
        </w:rPr>
      </w:pPr>
      <w:r>
        <w:rPr>
          <w:rFonts w:hint="eastAsia" w:ascii="宋体" w:hAnsi="宋体" w:cs="宋体"/>
          <w:color w:val="auto"/>
          <w:kern w:val="0"/>
          <w:sz w:val="24"/>
          <w:highlight w:val="none"/>
          <w:lang w:val="zh-CN"/>
        </w:rPr>
        <w:t>11.</w:t>
      </w:r>
      <w:r>
        <w:rPr>
          <w:rFonts w:hint="eastAsia" w:ascii="宋体" w:hAnsi="宋体" w:cs="宋体"/>
          <w:color w:val="auto"/>
          <w:kern w:val="0"/>
          <w:sz w:val="24"/>
          <w:highlight w:val="none"/>
        </w:rPr>
        <w:t>3</w:t>
      </w:r>
      <w:r>
        <w:rPr>
          <w:rFonts w:hint="eastAsia" w:ascii="宋体" w:hAnsi="宋体" w:cs="宋体"/>
          <w:b/>
          <w:color w:val="auto"/>
          <w:sz w:val="24"/>
          <w:highlight w:val="none"/>
        </w:rPr>
        <w:t>报价文件</w:t>
      </w:r>
    </w:p>
    <w:p w14:paraId="6D654E58">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400"/>
        <w:textAlignment w:val="auto"/>
        <w:rPr>
          <w:rFonts w:hint="eastAsia" w:ascii="宋体" w:hAnsi="宋体" w:cs="宋体"/>
          <w:color w:val="auto"/>
          <w:sz w:val="24"/>
          <w:highlight w:val="none"/>
        </w:rPr>
      </w:pPr>
      <w:r>
        <w:rPr>
          <w:rFonts w:hint="eastAsia" w:ascii="宋体" w:hAnsi="宋体" w:cs="宋体"/>
          <w:color w:val="auto"/>
          <w:sz w:val="24"/>
          <w:highlight w:val="none"/>
        </w:rPr>
        <w:t>11.3.1开标一览表（报价表）；</w:t>
      </w:r>
    </w:p>
    <w:p w14:paraId="65CAC2E4">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400"/>
        <w:textAlignment w:val="auto"/>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rPr>
        <w:t>11.3.2关于符合本国产品标准的声明函或财政部会同有关部门规定的有关证明文件（如果有）；</w:t>
      </w:r>
    </w:p>
    <w:p w14:paraId="18441A90">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400"/>
        <w:textAlignment w:val="auto"/>
        <w:rPr>
          <w:rFonts w:ascii="宋体" w:hAnsi="宋体" w:cs="宋体"/>
          <w:color w:val="auto"/>
          <w:sz w:val="24"/>
          <w:highlight w:val="none"/>
        </w:rPr>
      </w:pPr>
      <w:r>
        <w:rPr>
          <w:rFonts w:hint="eastAsia" w:ascii="宋体" w:hAnsi="宋体" w:eastAsia="宋体" w:cs="宋体"/>
          <w:b w:val="0"/>
          <w:bCs w:val="0"/>
          <w:color w:val="auto"/>
          <w:sz w:val="24"/>
          <w:szCs w:val="24"/>
          <w:highlight w:val="none"/>
          <w:lang w:val="en-US"/>
        </w:rPr>
        <w:t>11.3.</w:t>
      </w:r>
      <w:r>
        <w:rPr>
          <w:rFonts w:hint="eastAsia" w:ascii="宋体" w:hAnsi="宋体" w:cs="宋体"/>
          <w:b w:val="0"/>
          <w:bCs w:val="0"/>
          <w:color w:val="auto"/>
          <w:sz w:val="24"/>
          <w:szCs w:val="24"/>
          <w:highlight w:val="none"/>
          <w:lang w:val="en-US" w:eastAsia="zh-CN"/>
        </w:rPr>
        <w:t>3</w:t>
      </w:r>
      <w:r>
        <w:rPr>
          <w:rFonts w:hint="eastAsia" w:ascii="宋体" w:hAnsi="宋体" w:cs="宋体"/>
          <w:color w:val="auto"/>
          <w:sz w:val="24"/>
          <w:highlight w:val="none"/>
        </w:rPr>
        <w:t>中小企业声明函。</w:t>
      </w:r>
      <w:r>
        <w:rPr>
          <w:rFonts w:hint="eastAsia" w:ascii="宋体" w:hAnsi="宋体" w:cs="宋体"/>
          <w:color w:val="auto"/>
          <w:sz w:val="24"/>
          <w:highlight w:val="none"/>
          <w:lang w:eastAsia="zh-CN"/>
        </w:rPr>
        <w:t>（如果有）</w:t>
      </w:r>
    </w:p>
    <w:p w14:paraId="6D4B5071">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投标文件含有采购人不能接受的附加条件的，投标无效；</w:t>
      </w:r>
    </w:p>
    <w:p w14:paraId="35039438">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投标人提供虚假材料投标的，投标无效。</w:t>
      </w:r>
    </w:p>
    <w:p w14:paraId="57D1DF6C">
      <w:pPr>
        <w:spacing w:line="360" w:lineRule="auto"/>
        <w:ind w:firstLine="480" w:firstLineChars="200"/>
        <w:rPr>
          <w:color w:val="auto"/>
          <w:highlight w:val="none"/>
        </w:rPr>
      </w:pPr>
      <w:r>
        <w:rPr>
          <w:rFonts w:hint="eastAsia"/>
          <w:color w:val="auto"/>
          <w:sz w:val="24"/>
          <w:szCs w:val="24"/>
          <w:highlight w:val="none"/>
          <w:shd w:val="clear" w:color="auto" w:fill="FFFFFF"/>
          <w:lang w:val="en-US" w:eastAsia="zh-CN"/>
        </w:rPr>
        <w:t>投标人应对投标文件中材料的真实性、合法性负责。投标人可事先在公开官网查询、核对相关证书和报告内容，确保投标（响应）文件资料准确无误。</w:t>
      </w:r>
    </w:p>
    <w:p w14:paraId="1CF85B19">
      <w:pPr>
        <w:pStyle w:val="132"/>
        <w:snapToGrid w:val="0"/>
        <w:spacing w:before="0" w:line="360" w:lineRule="auto"/>
        <w:ind w:firstLine="0" w:firstLineChars="0"/>
        <w:outlineLvl w:val="9"/>
        <w:rPr>
          <w:rFonts w:ascii="宋体" w:hAnsi="宋体" w:cs="宋体"/>
          <w:b/>
          <w:color w:val="auto"/>
          <w:szCs w:val="24"/>
          <w:highlight w:val="none"/>
        </w:rPr>
      </w:pPr>
      <w:r>
        <w:rPr>
          <w:rFonts w:hint="eastAsia" w:ascii="宋体" w:hAnsi="宋体" w:cs="宋体"/>
          <w:b/>
          <w:color w:val="auto"/>
          <w:szCs w:val="24"/>
          <w:highlight w:val="none"/>
        </w:rPr>
        <w:t>12</w:t>
      </w:r>
      <w:r>
        <w:rPr>
          <w:rFonts w:hint="eastAsia" w:ascii="宋体" w:hAnsi="宋体" w:cs="宋体"/>
          <w:b/>
          <w:color w:val="auto"/>
          <w:kern w:val="0"/>
          <w:szCs w:val="24"/>
          <w:highlight w:val="none"/>
          <w:lang w:val="zh-CN"/>
        </w:rPr>
        <w:t>.</w:t>
      </w:r>
      <w:r>
        <w:rPr>
          <w:rFonts w:hint="eastAsia" w:ascii="宋体" w:hAnsi="宋体" w:cs="宋体"/>
          <w:b/>
          <w:color w:val="auto"/>
          <w:szCs w:val="24"/>
          <w:highlight w:val="none"/>
        </w:rPr>
        <w:t>投标文件的编制</w:t>
      </w:r>
    </w:p>
    <w:p w14:paraId="590BE5DF">
      <w:pPr>
        <w:spacing w:line="360" w:lineRule="auto"/>
        <w:ind w:firstLine="480" w:firstLineChars="200"/>
        <w:rPr>
          <w:rFonts w:ascii="宋体" w:hAnsi="宋体" w:cs="宋体"/>
          <w:b/>
          <w:color w:val="auto"/>
          <w:sz w:val="24"/>
          <w:highlight w:val="none"/>
        </w:rPr>
      </w:pPr>
      <w:r>
        <w:rPr>
          <w:rFonts w:hint="eastAsia" w:ascii="宋体" w:hAnsi="宋体" w:cs="宋体"/>
          <w:color w:val="auto"/>
          <w:kern w:val="0"/>
          <w:sz w:val="24"/>
          <w:highlight w:val="none"/>
          <w:lang w:val="zh-CN"/>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39BF6852">
      <w:pPr>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12.2投标人进行电子投标应安装客户端软件—“政采云电子交易客户端”，并按照招标文件和电子交易平台的要求编制并加密投标文件。投标人未按规定加密的投标文件，电子交易平台将拒收并提示。</w:t>
      </w:r>
    </w:p>
    <w:p w14:paraId="55861013">
      <w:pPr>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12.3使用“政采云电子交易客户端”需要提前申领CA数字证书，申领流程请自行前往“浙江政府采购网-下载专区-电子交易客户端-CA驱动和申领流程”进行查阅。</w:t>
      </w:r>
    </w:p>
    <w:p w14:paraId="722CDA8E">
      <w:pPr>
        <w:snapToGrid w:val="0"/>
        <w:spacing w:line="360" w:lineRule="auto"/>
        <w:rPr>
          <w:rFonts w:ascii="宋体" w:hAnsi="宋体" w:cs="宋体"/>
          <w:b/>
          <w:color w:val="auto"/>
          <w:sz w:val="24"/>
          <w:highlight w:val="none"/>
        </w:rPr>
      </w:pPr>
      <w:r>
        <w:rPr>
          <w:rFonts w:hint="eastAsia" w:ascii="宋体" w:hAnsi="宋体" w:cs="宋体"/>
          <w:b/>
          <w:color w:val="auto"/>
          <w:sz w:val="24"/>
          <w:highlight w:val="none"/>
        </w:rPr>
        <w:t>13.投标文件的签署、盖章</w:t>
      </w:r>
    </w:p>
    <w:p w14:paraId="649A6BE3">
      <w:pPr>
        <w:pStyle w:val="132"/>
        <w:snapToGrid w:val="0"/>
        <w:spacing w:before="0"/>
        <w:ind w:firstLine="480"/>
        <w:rPr>
          <w:rFonts w:ascii="宋体" w:hAnsi="宋体" w:cs="宋体"/>
          <w:b/>
          <w:color w:val="auto"/>
          <w:highlight w:val="none"/>
        </w:rPr>
      </w:pPr>
      <w:r>
        <w:rPr>
          <w:rFonts w:hint="eastAsia" w:ascii="宋体" w:hAnsi="宋体" w:cs="宋体"/>
          <w:color w:val="auto"/>
          <w:szCs w:val="24"/>
          <w:highlight w:val="none"/>
        </w:rPr>
        <w:t>13.1投标文件按照招标文件第六部分格式要</w:t>
      </w:r>
      <w:r>
        <w:rPr>
          <w:rFonts w:hint="eastAsia" w:ascii="宋体" w:hAnsi="宋体" w:cs="宋体"/>
          <w:color w:val="auto"/>
          <w:highlight w:val="none"/>
        </w:rPr>
        <w:t>求进行签署、盖章。</w:t>
      </w:r>
      <w:r>
        <w:rPr>
          <w:rFonts w:hint="eastAsia" w:ascii="宋体" w:hAnsi="宋体" w:cs="宋体"/>
          <w:b/>
          <w:color w:val="auto"/>
          <w:highlight w:val="none"/>
        </w:rPr>
        <w:t>▲投标人的投标文件未按照招标文件要求签署、盖章的，其投标无效</w:t>
      </w:r>
      <w:r>
        <w:rPr>
          <w:rFonts w:hint="eastAsia" w:ascii="宋体" w:hAnsi="宋体" w:cs="宋体"/>
          <w:color w:val="auto"/>
          <w:szCs w:val="24"/>
          <w:highlight w:val="none"/>
        </w:rPr>
        <w:t>。</w:t>
      </w:r>
    </w:p>
    <w:p w14:paraId="498E7D21">
      <w:pPr>
        <w:pStyle w:val="132"/>
        <w:snapToGrid w:val="0"/>
        <w:spacing w:before="0"/>
        <w:ind w:firstLine="480"/>
        <w:rPr>
          <w:rFonts w:ascii="宋体" w:hAnsi="宋体" w:cs="宋体"/>
          <w:color w:val="auto"/>
          <w:highlight w:val="none"/>
        </w:rPr>
      </w:pPr>
      <w:r>
        <w:rPr>
          <w:rFonts w:hint="eastAsia" w:ascii="宋体" w:hAnsi="宋体" w:cs="宋体"/>
          <w:color w:val="auto"/>
          <w:highlight w:val="none"/>
        </w:rPr>
        <w:t>13.2为确保网上操作合法、有效和安全，投标人应当在投标截止时间前完成在“政府采购云平台”的身份认证，确保在电子投标过程中能够对相关数据电文进行加密和使用电子签名。</w:t>
      </w:r>
    </w:p>
    <w:p w14:paraId="17E00402">
      <w:pPr>
        <w:pStyle w:val="132"/>
        <w:snapToGrid w:val="0"/>
        <w:spacing w:before="0"/>
        <w:ind w:firstLine="480"/>
        <w:rPr>
          <w:rFonts w:ascii="宋体" w:hAnsi="宋体" w:cs="宋体"/>
          <w:color w:val="auto"/>
          <w:szCs w:val="24"/>
          <w:highlight w:val="none"/>
        </w:rPr>
      </w:pPr>
      <w:r>
        <w:rPr>
          <w:rFonts w:hint="eastAsia" w:ascii="宋体" w:hAnsi="宋体" w:cs="宋体"/>
          <w:color w:val="auto"/>
          <w:highlight w:val="none"/>
        </w:rPr>
        <w:t>13.3招标文件对投标文件签署、盖章的要求适用于电子签名。</w:t>
      </w:r>
    </w:p>
    <w:p w14:paraId="77BB714E">
      <w:pPr>
        <w:pStyle w:val="132"/>
        <w:spacing w:before="0" w:line="360" w:lineRule="auto"/>
        <w:ind w:firstLine="0" w:firstLineChars="0"/>
        <w:rPr>
          <w:rFonts w:ascii="宋体" w:hAnsi="宋体" w:cs="宋体"/>
          <w:b/>
          <w:color w:val="auto"/>
          <w:szCs w:val="24"/>
          <w:highlight w:val="none"/>
        </w:rPr>
      </w:pPr>
      <w:r>
        <w:rPr>
          <w:rFonts w:hint="eastAsia" w:ascii="宋体" w:hAnsi="宋体" w:cs="宋体"/>
          <w:b/>
          <w:color w:val="auto"/>
          <w:szCs w:val="24"/>
          <w:highlight w:val="none"/>
        </w:rPr>
        <w:t>14.投标文件的提交、补充、修改、撤回</w:t>
      </w:r>
    </w:p>
    <w:p w14:paraId="15E12D16">
      <w:pPr>
        <w:pStyle w:val="132"/>
        <w:keepNext w:val="0"/>
        <w:keepLines w:val="0"/>
        <w:pageBreakBefore w:val="0"/>
        <w:widowControl w:val="0"/>
        <w:kinsoku/>
        <w:wordWrap/>
        <w:overflowPunct/>
        <w:topLinePunct w:val="0"/>
        <w:autoSpaceDE/>
        <w:autoSpaceDN/>
        <w:bidi w:val="0"/>
        <w:adjustRightInd w:val="0"/>
        <w:snapToGrid/>
        <w:spacing w:before="0" w:line="360" w:lineRule="auto"/>
        <w:ind w:firstLine="480"/>
        <w:textAlignment w:val="auto"/>
        <w:rPr>
          <w:rFonts w:ascii="宋体" w:hAnsi="宋体" w:cs="宋体"/>
          <w:color w:val="auto"/>
          <w:szCs w:val="24"/>
          <w:highlight w:val="none"/>
        </w:rPr>
      </w:pPr>
      <w:r>
        <w:rPr>
          <w:rFonts w:hint="eastAsia" w:ascii="宋体" w:hAnsi="宋体" w:cs="宋体"/>
          <w:color w:val="auto"/>
          <w:szCs w:val="24"/>
          <w:highlight w:val="none"/>
        </w:rPr>
        <w:t>14.1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70790C1E">
      <w:pPr>
        <w:pStyle w:val="132"/>
        <w:spacing w:before="0" w:line="360" w:lineRule="auto"/>
        <w:ind w:firstLine="480"/>
        <w:rPr>
          <w:rFonts w:ascii="宋体" w:hAnsi="宋体" w:cs="宋体"/>
          <w:color w:val="auto"/>
          <w:szCs w:val="24"/>
          <w:highlight w:val="none"/>
        </w:rPr>
      </w:pPr>
      <w:r>
        <w:rPr>
          <w:rFonts w:hint="eastAsia" w:ascii="宋体" w:hAnsi="宋体" w:cs="宋体"/>
          <w:color w:val="auto"/>
          <w:szCs w:val="24"/>
          <w:highlight w:val="none"/>
        </w:rPr>
        <w:t>14.2电子交易平台收到投标文件，将妥善保存并即时向供应商发出确认回执通知。在投标截止时间前，除供应商补充、修改或者撤回投标文件外，任何单位和个人不得解密或提取投标文件。</w:t>
      </w:r>
    </w:p>
    <w:p w14:paraId="69BB6C1E">
      <w:pPr>
        <w:pStyle w:val="132"/>
        <w:spacing w:before="0" w:line="360" w:lineRule="auto"/>
        <w:ind w:firstLine="480"/>
        <w:rPr>
          <w:rFonts w:ascii="宋体" w:hAnsi="宋体" w:cs="宋体"/>
          <w:color w:val="auto"/>
          <w:szCs w:val="24"/>
          <w:highlight w:val="none"/>
        </w:rPr>
      </w:pPr>
      <w:r>
        <w:rPr>
          <w:rFonts w:hint="eastAsia" w:ascii="宋体" w:hAnsi="宋体" w:cs="宋体"/>
          <w:color w:val="auto"/>
          <w:szCs w:val="24"/>
          <w:highlight w:val="none"/>
        </w:rPr>
        <w:t>14.3采购人、</w:t>
      </w:r>
      <w:r>
        <w:rPr>
          <w:rFonts w:hint="eastAsia" w:ascii="宋体" w:hAnsi="宋体" w:cs="宋体"/>
          <w:color w:val="auto"/>
          <w:szCs w:val="24"/>
          <w:highlight w:val="none"/>
          <w:lang w:eastAsia="zh-CN"/>
        </w:rPr>
        <w:t>采购代理机构</w:t>
      </w:r>
      <w:r>
        <w:rPr>
          <w:rFonts w:hint="eastAsia" w:ascii="宋体" w:hAnsi="宋体" w:cs="宋体"/>
          <w:color w:val="auto"/>
          <w:szCs w:val="24"/>
          <w:highlight w:val="none"/>
        </w:rPr>
        <w:t>可以视情况延长投标文件提交的截止时间。在上述情况下，</w:t>
      </w:r>
      <w:r>
        <w:rPr>
          <w:rFonts w:hint="eastAsia" w:ascii="宋体" w:hAnsi="宋体" w:cs="宋体"/>
          <w:color w:val="auto"/>
          <w:szCs w:val="24"/>
          <w:highlight w:val="none"/>
          <w:lang w:eastAsia="zh-CN"/>
        </w:rPr>
        <w:t>采购代理机构</w:t>
      </w:r>
      <w:r>
        <w:rPr>
          <w:rFonts w:hint="eastAsia" w:ascii="宋体" w:hAnsi="宋体" w:cs="宋体"/>
          <w:color w:val="auto"/>
          <w:szCs w:val="24"/>
          <w:highlight w:val="none"/>
        </w:rPr>
        <w:t>与投标人以前在投标截止期方面的全部权利、责任和义务，将适用于延长至新的投标截止期。</w:t>
      </w:r>
    </w:p>
    <w:p w14:paraId="2182CFDF">
      <w:pPr>
        <w:pStyle w:val="33"/>
        <w:spacing w:line="360" w:lineRule="auto"/>
        <w:rPr>
          <w:rFonts w:hAnsi="宋体" w:cs="宋体"/>
          <w:b/>
          <w:color w:val="auto"/>
          <w:sz w:val="24"/>
          <w:szCs w:val="24"/>
          <w:highlight w:val="none"/>
        </w:rPr>
      </w:pPr>
      <w:r>
        <w:rPr>
          <w:rFonts w:hint="eastAsia" w:hAnsi="宋体" w:cs="宋体"/>
          <w:b/>
          <w:color w:val="auto"/>
          <w:sz w:val="24"/>
          <w:szCs w:val="24"/>
          <w:highlight w:val="none"/>
        </w:rPr>
        <w:t>15.备份投标文件</w:t>
      </w:r>
    </w:p>
    <w:p w14:paraId="7CADA3D2">
      <w:pPr>
        <w:pStyle w:val="33"/>
        <w:spacing w:line="360" w:lineRule="auto"/>
        <w:ind w:firstLine="480" w:firstLineChars="200"/>
        <w:rPr>
          <w:rFonts w:hAnsi="宋体" w:cs="宋体"/>
          <w:b/>
          <w:color w:val="auto"/>
          <w:sz w:val="24"/>
          <w:szCs w:val="24"/>
          <w:highlight w:val="none"/>
        </w:rPr>
      </w:pPr>
      <w:r>
        <w:rPr>
          <w:rFonts w:hint="eastAsia" w:hAnsi="宋体" w:cs="宋体"/>
          <w:color w:val="auto"/>
          <w:sz w:val="24"/>
          <w:szCs w:val="24"/>
          <w:highlight w:val="none"/>
          <w:lang w:val="en-US" w:eastAsia="zh-CN"/>
        </w:rPr>
        <w:t>1</w:t>
      </w:r>
      <w:r>
        <w:rPr>
          <w:rFonts w:hint="eastAsia" w:hAnsi="宋体" w:cs="宋体"/>
          <w:color w:val="auto"/>
          <w:sz w:val="24"/>
          <w:szCs w:val="24"/>
          <w:highlight w:val="none"/>
        </w:rPr>
        <w:t>5.1投标人在电子交易平台传输递交投标文件后，还可以在投标截止时间前直接提交或者以邮政快递方式递交备份投标文件1份，</w:t>
      </w:r>
      <w:r>
        <w:rPr>
          <w:rFonts w:hint="eastAsia" w:hAnsi="宋体" w:cs="宋体"/>
          <w:b/>
          <w:color w:val="auto"/>
          <w:sz w:val="24"/>
          <w:szCs w:val="24"/>
          <w:highlight w:val="none"/>
        </w:rPr>
        <w:t>但采购人、</w:t>
      </w:r>
      <w:r>
        <w:rPr>
          <w:rFonts w:hint="eastAsia" w:hAnsi="宋体" w:cs="宋体"/>
          <w:b/>
          <w:color w:val="auto"/>
          <w:sz w:val="24"/>
          <w:szCs w:val="24"/>
          <w:highlight w:val="none"/>
          <w:lang w:eastAsia="zh-CN"/>
        </w:rPr>
        <w:t>采购代理机构</w:t>
      </w:r>
      <w:r>
        <w:rPr>
          <w:rFonts w:hint="eastAsia" w:hAnsi="宋体" w:cs="宋体"/>
          <w:b/>
          <w:color w:val="auto"/>
          <w:sz w:val="24"/>
          <w:szCs w:val="24"/>
          <w:highlight w:val="none"/>
        </w:rPr>
        <w:t>不强制或变相强制投标人提交备份投标文件。</w:t>
      </w:r>
    </w:p>
    <w:p w14:paraId="3F08903A">
      <w:pPr>
        <w:pStyle w:val="33"/>
        <w:spacing w:line="360" w:lineRule="auto"/>
        <w:ind w:firstLine="480" w:firstLineChars="200"/>
        <w:rPr>
          <w:rFonts w:hAnsi="宋体" w:cs="宋体"/>
          <w:b/>
          <w:color w:val="auto"/>
          <w:sz w:val="24"/>
          <w:szCs w:val="24"/>
          <w:highlight w:val="none"/>
        </w:rPr>
      </w:pPr>
      <w:r>
        <w:rPr>
          <w:rFonts w:hint="eastAsia" w:hAnsi="宋体" w:cs="宋体"/>
          <w:color w:val="auto"/>
          <w:sz w:val="24"/>
          <w:szCs w:val="24"/>
          <w:highlight w:val="none"/>
        </w:rPr>
        <w:t>15.2备份投标文件须在“政采云投标客户端”制作生成，并储存在</w:t>
      </w:r>
      <w:r>
        <w:rPr>
          <w:rFonts w:hint="eastAsia" w:hAnsi="宋体" w:cs="宋体"/>
          <w:color w:val="auto"/>
          <w:sz w:val="24"/>
          <w:highlight w:val="none"/>
        </w:rPr>
        <w:t>DVD光盘</w:t>
      </w:r>
      <w:r>
        <w:rPr>
          <w:rFonts w:hint="eastAsia" w:hAnsi="宋体" w:cs="宋体"/>
          <w:color w:val="auto"/>
          <w:sz w:val="24"/>
          <w:highlight w:val="none"/>
          <w:lang w:val="en-US" w:eastAsia="zh-CN"/>
        </w:rPr>
        <w:t>等存储介质</w:t>
      </w:r>
      <w:r>
        <w:rPr>
          <w:rFonts w:hint="eastAsia" w:hAnsi="宋体" w:cs="宋体"/>
          <w:color w:val="auto"/>
          <w:sz w:val="24"/>
          <w:szCs w:val="24"/>
          <w:highlight w:val="none"/>
        </w:rPr>
        <w:t>中。备份投标文件应当密封包装并在包装上加盖公章并注明投标项目名称，投标人名称(联合体投标的，包装物封面需注明联合体投标，并注明联合体成员各方的名称和联合协议中约定的牵头人的名称)。</w:t>
      </w:r>
      <w:r>
        <w:rPr>
          <w:rFonts w:hint="eastAsia" w:hAnsi="宋体" w:cs="宋体"/>
          <w:b/>
          <w:color w:val="auto"/>
          <w:sz w:val="24"/>
          <w:highlight w:val="none"/>
        </w:rPr>
        <w:t>不符合上述制作、</w:t>
      </w:r>
      <w:r>
        <w:rPr>
          <w:rFonts w:hint="eastAsia" w:hAnsi="宋体" w:cs="宋体"/>
          <w:b/>
          <w:color w:val="auto"/>
          <w:sz w:val="24"/>
          <w:szCs w:val="24"/>
          <w:highlight w:val="none"/>
        </w:rPr>
        <w:t>存储、密封规定的备份投标文件将被视为无效或者被拒绝接收。</w:t>
      </w:r>
    </w:p>
    <w:p w14:paraId="770F30E1">
      <w:pPr>
        <w:pStyle w:val="33"/>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15.3直接提交备份投标文件的，投标人应于投标截止时间前在招标公告中载明的开标地点将备份投标文件提交给</w:t>
      </w:r>
      <w:r>
        <w:rPr>
          <w:rFonts w:hint="eastAsia" w:hAnsi="宋体" w:cs="宋体"/>
          <w:color w:val="auto"/>
          <w:sz w:val="24"/>
          <w:szCs w:val="24"/>
          <w:highlight w:val="none"/>
          <w:lang w:eastAsia="zh-CN"/>
        </w:rPr>
        <w:t>采购代理机构</w:t>
      </w:r>
      <w:r>
        <w:rPr>
          <w:rFonts w:hint="eastAsia" w:hAnsi="宋体" w:cs="宋体"/>
          <w:color w:val="auto"/>
          <w:sz w:val="24"/>
          <w:szCs w:val="24"/>
          <w:highlight w:val="none"/>
        </w:rPr>
        <w:t>，</w:t>
      </w:r>
      <w:r>
        <w:rPr>
          <w:rFonts w:hint="eastAsia" w:hAnsi="宋体" w:cs="宋体"/>
          <w:color w:val="auto"/>
          <w:sz w:val="24"/>
          <w:szCs w:val="24"/>
          <w:highlight w:val="none"/>
          <w:lang w:eastAsia="zh-CN"/>
        </w:rPr>
        <w:t>采购代理机构</w:t>
      </w:r>
      <w:r>
        <w:rPr>
          <w:rFonts w:hint="eastAsia" w:hAnsi="宋体" w:cs="宋体"/>
          <w:color w:val="auto"/>
          <w:sz w:val="24"/>
          <w:szCs w:val="24"/>
          <w:highlight w:val="none"/>
        </w:rPr>
        <w:t>将拒绝接受逾期送达的备份投标文件。</w:t>
      </w:r>
    </w:p>
    <w:p w14:paraId="2929A5FE">
      <w:pPr>
        <w:pStyle w:val="33"/>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15.4以邮政快递方式递交备份投标文件的，投标人应先将备份投标文件按要求密封和标记，再进行邮政快递包装后邮寄。备份投标文件须在投标截止时间之前送达</w:t>
      </w:r>
      <w:r>
        <w:rPr>
          <w:rFonts w:hint="eastAsia" w:hAnsi="宋体" w:cs="宋体"/>
          <w:snapToGrid/>
          <w:color w:val="auto"/>
          <w:sz w:val="24"/>
          <w:szCs w:val="24"/>
          <w:highlight w:val="none"/>
        </w:rPr>
        <w:t>招标文件第二部分投标人须知前附表规定的备份投标文件送达地点；</w:t>
      </w:r>
      <w:r>
        <w:rPr>
          <w:rFonts w:hint="eastAsia" w:hAnsi="宋体" w:cs="宋体"/>
          <w:color w:val="auto"/>
          <w:sz w:val="24"/>
          <w:szCs w:val="24"/>
          <w:highlight w:val="none"/>
        </w:rPr>
        <w:t>送达时间以签收人签收时间为准。</w:t>
      </w:r>
      <w:r>
        <w:rPr>
          <w:rFonts w:hint="eastAsia" w:hAnsi="宋体" w:cs="宋体"/>
          <w:color w:val="auto"/>
          <w:sz w:val="24"/>
          <w:szCs w:val="24"/>
          <w:highlight w:val="none"/>
          <w:lang w:eastAsia="zh-CN"/>
        </w:rPr>
        <w:t>采购代理机构</w:t>
      </w:r>
      <w:r>
        <w:rPr>
          <w:rFonts w:hint="eastAsia" w:hAnsi="宋体" w:cs="宋体"/>
          <w:color w:val="auto"/>
          <w:sz w:val="24"/>
          <w:szCs w:val="24"/>
          <w:highlight w:val="none"/>
        </w:rPr>
        <w:t>将拒绝接受逾期送达的备份投标文件。邮寄过程中，电子备份投标文件发生泄露、遗失、损坏或延期送达等情况的，由投标人自行负责。</w:t>
      </w:r>
    </w:p>
    <w:p w14:paraId="4B98E7DA">
      <w:pPr>
        <w:pStyle w:val="33"/>
        <w:spacing w:line="360" w:lineRule="auto"/>
        <w:ind w:firstLine="479" w:firstLineChars="199"/>
        <w:rPr>
          <w:rFonts w:hAnsi="宋体" w:cs="宋体"/>
          <w:b/>
          <w:color w:val="auto"/>
          <w:sz w:val="24"/>
          <w:szCs w:val="24"/>
          <w:highlight w:val="none"/>
        </w:rPr>
      </w:pPr>
      <w:r>
        <w:rPr>
          <w:rFonts w:hint="eastAsia" w:hAnsi="宋体" w:cs="宋体"/>
          <w:b/>
          <w:color w:val="auto"/>
          <w:sz w:val="24"/>
          <w:szCs w:val="24"/>
          <w:highlight w:val="none"/>
        </w:rPr>
        <w:t>15.5</w:t>
      </w:r>
      <w:r>
        <w:rPr>
          <w:rFonts w:hint="eastAsia" w:hAnsi="宋体" w:cs="宋体"/>
          <w:b/>
          <w:color w:val="auto"/>
          <w:w w:val="90"/>
          <w:sz w:val="24"/>
          <w:szCs w:val="24"/>
          <w:highlight w:val="none"/>
        </w:rPr>
        <w:t>投标人仅提交备份投标文件，未在电子交易平台传输递交投标文件的，投标无效。</w:t>
      </w:r>
    </w:p>
    <w:p w14:paraId="1DAC744B">
      <w:pPr>
        <w:pStyle w:val="132"/>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16.投标文件的无效处理</w:t>
      </w:r>
    </w:p>
    <w:p w14:paraId="60AE697D">
      <w:pPr>
        <w:pStyle w:val="25"/>
        <w:spacing w:line="360" w:lineRule="auto"/>
        <w:ind w:firstLine="360" w:firstLineChars="150"/>
        <w:rPr>
          <w:rFonts w:hint="eastAsia" w:eastAsia="宋体" w:cs="宋体"/>
          <w:color w:val="auto"/>
          <w:szCs w:val="21"/>
          <w:highlight w:val="none"/>
          <w:lang w:eastAsia="zh-CN"/>
        </w:rPr>
      </w:pPr>
      <w:r>
        <w:rPr>
          <w:rFonts w:hint="eastAsia" w:cs="宋体"/>
          <w:color w:val="auto"/>
          <w:szCs w:val="21"/>
          <w:highlight w:val="none"/>
        </w:rPr>
        <w:t>有招标文件第四部分</w:t>
      </w:r>
      <w:r>
        <w:rPr>
          <w:rFonts w:cs="宋体"/>
          <w:color w:val="auto"/>
          <w:highlight w:val="none"/>
        </w:rPr>
        <w:t>4.2规定</w:t>
      </w:r>
      <w:r>
        <w:rPr>
          <w:rFonts w:hint="eastAsia" w:cs="宋体"/>
          <w:color w:val="auto"/>
          <w:szCs w:val="21"/>
          <w:highlight w:val="none"/>
        </w:rPr>
        <w:t>的情形之一的，投标无效</w:t>
      </w:r>
      <w:r>
        <w:rPr>
          <w:rFonts w:hint="eastAsia" w:cs="宋体"/>
          <w:color w:val="auto"/>
          <w:szCs w:val="21"/>
          <w:highlight w:val="none"/>
          <w:lang w:eastAsia="zh-CN"/>
        </w:rPr>
        <w:t>。</w:t>
      </w:r>
    </w:p>
    <w:p w14:paraId="7EAFBB96">
      <w:pPr>
        <w:pStyle w:val="132"/>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17.投标有效期</w:t>
      </w:r>
    </w:p>
    <w:p w14:paraId="6196F12D">
      <w:pPr>
        <w:spacing w:line="360" w:lineRule="auto"/>
        <w:ind w:firstLine="480" w:firstLineChars="200"/>
        <w:rPr>
          <w:rFonts w:ascii="宋体" w:hAnsi="宋体" w:cs="宋体"/>
          <w:b/>
          <w:color w:val="auto"/>
          <w:sz w:val="24"/>
          <w:szCs w:val="21"/>
          <w:highlight w:val="none"/>
        </w:rPr>
      </w:pPr>
      <w:r>
        <w:rPr>
          <w:rFonts w:hint="eastAsia" w:ascii="宋体" w:hAnsi="宋体" w:cs="宋体"/>
          <w:color w:val="auto"/>
          <w:sz w:val="24"/>
          <w:szCs w:val="20"/>
          <w:highlight w:val="none"/>
        </w:rPr>
        <w:t>17.1投标有效期为从提交投标文件的截止之日起90天。▲</w:t>
      </w:r>
      <w:r>
        <w:rPr>
          <w:rFonts w:hint="eastAsia" w:ascii="宋体" w:hAnsi="宋体" w:cs="宋体"/>
          <w:b/>
          <w:color w:val="auto"/>
          <w:sz w:val="24"/>
          <w:szCs w:val="20"/>
          <w:highlight w:val="none"/>
        </w:rPr>
        <w:t>投标人的投标文件中承</w:t>
      </w:r>
      <w:r>
        <w:rPr>
          <w:rFonts w:hint="eastAsia" w:ascii="宋体" w:hAnsi="宋体" w:cs="宋体"/>
          <w:b/>
          <w:color w:val="auto"/>
          <w:sz w:val="24"/>
          <w:szCs w:val="21"/>
          <w:highlight w:val="none"/>
        </w:rPr>
        <w:t>诺的投标有效期少于招标文件中载明的投标有效期的，投标无效。</w:t>
      </w:r>
    </w:p>
    <w:p w14:paraId="6BC8744B">
      <w:pPr>
        <w:pStyle w:val="132"/>
        <w:spacing w:before="0"/>
        <w:ind w:firstLine="480"/>
        <w:rPr>
          <w:rFonts w:ascii="宋体" w:hAnsi="宋体" w:cs="宋体"/>
          <w:color w:val="auto"/>
          <w:highlight w:val="none"/>
        </w:rPr>
      </w:pPr>
      <w:r>
        <w:rPr>
          <w:rFonts w:hint="eastAsia" w:ascii="宋体" w:hAnsi="宋体" w:cs="宋体"/>
          <w:color w:val="auto"/>
          <w:highlight w:val="none"/>
        </w:rPr>
        <w:t>17.2投标文件合格投递后，自投标截止日期起，在投标有效期内有效。</w:t>
      </w:r>
    </w:p>
    <w:p w14:paraId="5857D3DB">
      <w:pPr>
        <w:pStyle w:val="132"/>
        <w:spacing w:before="0"/>
        <w:ind w:firstLine="480"/>
        <w:rPr>
          <w:rFonts w:hint="eastAsia" w:ascii="宋体" w:hAnsi="宋体" w:cs="宋体"/>
          <w:color w:val="auto"/>
          <w:highlight w:val="none"/>
        </w:rPr>
      </w:pPr>
      <w:r>
        <w:rPr>
          <w:rFonts w:hint="eastAsia" w:ascii="宋体" w:hAnsi="宋体" w:cs="宋体"/>
          <w:color w:val="auto"/>
          <w:highlight w:val="none"/>
        </w:rPr>
        <w:t>17.3在原定投标有效期满之前，如果出现特殊情况，</w:t>
      </w:r>
      <w:r>
        <w:rPr>
          <w:rFonts w:hint="eastAsia" w:ascii="宋体" w:hAnsi="宋体" w:cs="宋体"/>
          <w:color w:val="auto"/>
          <w:highlight w:val="none"/>
          <w:lang w:eastAsia="zh-CN"/>
        </w:rPr>
        <w:t>采购代理机构</w:t>
      </w:r>
      <w:r>
        <w:rPr>
          <w:rFonts w:hint="eastAsia" w:ascii="宋体" w:hAnsi="宋体" w:cs="宋体"/>
          <w:color w:val="auto"/>
          <w:highlight w:val="none"/>
        </w:rPr>
        <w:t>可以以书面形式通知投标人延长投标有效期。投标人同意延长的，不得要求或被允许修改其投标文件，投标人拒绝延长的，其投标无效。</w:t>
      </w:r>
    </w:p>
    <w:p w14:paraId="677A4123">
      <w:pPr>
        <w:rPr>
          <w:rFonts w:hint="eastAsia" w:ascii="宋体" w:hAnsi="宋体" w:cs="宋体"/>
          <w:color w:val="auto"/>
          <w:highlight w:val="none"/>
        </w:rPr>
      </w:pPr>
      <w:r>
        <w:rPr>
          <w:rFonts w:hint="eastAsia" w:ascii="宋体" w:hAnsi="宋体" w:cs="宋体"/>
          <w:color w:val="auto"/>
          <w:highlight w:val="none"/>
        </w:rPr>
        <w:br w:type="page"/>
      </w:r>
    </w:p>
    <w:p w14:paraId="4BF0E38B">
      <w:pPr>
        <w:adjustRightInd/>
        <w:spacing w:line="360" w:lineRule="auto"/>
        <w:jc w:val="center"/>
        <w:outlineLvl w:val="1"/>
        <w:rPr>
          <w:rFonts w:hint="eastAsia" w:ascii="宋体" w:hAnsi="宋体" w:cs="宋体"/>
          <w:b/>
          <w:color w:val="auto"/>
          <w:sz w:val="32"/>
          <w:szCs w:val="20"/>
          <w:highlight w:val="none"/>
        </w:rPr>
      </w:pPr>
      <w:r>
        <w:rPr>
          <w:rFonts w:hint="eastAsia" w:ascii="宋体" w:hAnsi="宋体" w:cs="宋体"/>
          <w:b/>
          <w:color w:val="auto"/>
          <w:sz w:val="32"/>
          <w:szCs w:val="20"/>
          <w:highlight w:val="none"/>
        </w:rPr>
        <w:t>四、开标、资格审查与信用信息查询</w:t>
      </w:r>
    </w:p>
    <w:p w14:paraId="7087FAF1">
      <w:pPr>
        <w:pStyle w:val="557"/>
        <w:spacing w:before="0" w:line="360" w:lineRule="auto"/>
        <w:ind w:left="0" w:leftChars="0" w:firstLine="0" w:firstLineChars="0"/>
        <w:contextualSpacing/>
        <w:rPr>
          <w:rFonts w:ascii="宋体" w:hAnsi="宋体" w:cs="宋体"/>
          <w:color w:val="auto"/>
          <w:sz w:val="24"/>
          <w:highlight w:val="none"/>
        </w:rPr>
      </w:pPr>
      <w:r>
        <w:rPr>
          <w:rFonts w:hint="eastAsia" w:ascii="宋体" w:hAnsi="宋体" w:cs="宋体"/>
          <w:b/>
          <w:color w:val="auto"/>
          <w:sz w:val="24"/>
          <w:szCs w:val="24"/>
          <w:highlight w:val="none"/>
        </w:rPr>
        <w:t>18.开标</w:t>
      </w:r>
    </w:p>
    <w:p w14:paraId="0D414DCF">
      <w:pPr>
        <w:pStyle w:val="557"/>
        <w:spacing w:before="0" w:line="360" w:lineRule="auto"/>
        <w:ind w:left="0"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18.1</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按照招标文件规定的时间通过电子交易平台组织开标，所有投标人均应当准时在线参加。投标人不足3家的，不得开标。</w:t>
      </w:r>
    </w:p>
    <w:p w14:paraId="15B46488">
      <w:pPr>
        <w:pStyle w:val="557"/>
        <w:spacing w:before="0" w:line="360" w:lineRule="auto"/>
        <w:ind w:left="0" w:leftChars="0"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18.2开标时，电子交易平台按开标时间自动提取所有投标文件。</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依托电子交易平台发起开始解密指令，投标人按照平台提示和招标文件的规定在半小时内完成在线解密。</w:t>
      </w:r>
    </w:p>
    <w:p w14:paraId="1D4A4441">
      <w:pPr>
        <w:pStyle w:val="557"/>
        <w:spacing w:before="0" w:line="360" w:lineRule="auto"/>
        <w:ind w:left="0" w:leftChars="0" w:firstLine="480" w:firstLineChars="200"/>
        <w:contextualSpacing/>
        <w:rPr>
          <w:rFonts w:hint="eastAsia" w:ascii="宋体" w:hAnsi="宋体" w:cs="宋体"/>
          <w:b/>
          <w:color w:val="auto"/>
          <w:sz w:val="24"/>
          <w:highlight w:val="none"/>
        </w:rPr>
      </w:pPr>
      <w:r>
        <w:rPr>
          <w:rFonts w:hint="eastAsia" w:ascii="宋体" w:hAnsi="宋体" w:cs="宋体"/>
          <w:color w:val="auto"/>
          <w:sz w:val="24"/>
          <w:highlight w:val="none"/>
        </w:rPr>
        <w:t>18.3</w:t>
      </w:r>
      <w:r>
        <w:rPr>
          <w:rFonts w:hint="eastAsia" w:ascii="宋体" w:hAnsi="宋体" w:cs="宋体"/>
          <w:b/>
          <w:color w:val="auto"/>
          <w:sz w:val="24"/>
          <w:highlight w:val="none"/>
        </w:rPr>
        <w:t>投标文件未按时解密，投标人提供了备份投标文件的，以备份投标文件作为依据，否则视为投标文件撤回。投标文件已按时解密的，备份投标文件自动失效。</w:t>
      </w:r>
    </w:p>
    <w:p w14:paraId="6A3B272C">
      <w:pPr>
        <w:pStyle w:val="557"/>
        <w:spacing w:before="0" w:line="360" w:lineRule="auto"/>
        <w:ind w:left="0" w:firstLine="482" w:firstLineChars="200"/>
        <w:contextualSpacing/>
        <w:rPr>
          <w:rFonts w:hint="eastAsia" w:ascii="宋体" w:hAnsi="宋体" w:cs="宋体"/>
          <w:b/>
          <w:color w:val="auto"/>
          <w:sz w:val="24"/>
          <w:highlight w:val="none"/>
        </w:rPr>
      </w:pPr>
      <w:r>
        <w:rPr>
          <w:rFonts w:hint="eastAsia" w:ascii="宋体" w:hAnsi="宋体" w:cs="宋体"/>
          <w:b/>
          <w:sz w:val="24"/>
          <w:highlight w:val="none"/>
          <w:lang w:val="en-US" w:eastAsia="zh-CN"/>
        </w:rPr>
        <w:t>18.4开标记录开启后，请将附件10《政府采购活动现场确认声明书》填写完整发送至邮箱：3169291718@qq.com。</w:t>
      </w:r>
    </w:p>
    <w:p w14:paraId="68F09628">
      <w:pPr>
        <w:pStyle w:val="132"/>
        <w:spacing w:before="0"/>
        <w:ind w:left="0" w:leftChars="0" w:firstLine="0" w:firstLineChars="0"/>
        <w:rPr>
          <w:rFonts w:hint="eastAsia" w:ascii="宋体" w:hAnsi="宋体" w:cs="宋体"/>
          <w:b/>
          <w:color w:val="auto"/>
          <w:szCs w:val="24"/>
          <w:highlight w:val="none"/>
        </w:rPr>
      </w:pPr>
      <w:r>
        <w:rPr>
          <w:rFonts w:hint="eastAsia" w:ascii="宋体" w:hAnsi="宋体" w:cs="宋体"/>
          <w:b/>
          <w:color w:val="auto"/>
          <w:szCs w:val="24"/>
          <w:highlight w:val="none"/>
        </w:rPr>
        <w:t>19</w:t>
      </w:r>
      <w:r>
        <w:rPr>
          <w:rFonts w:hint="eastAsia" w:ascii="宋体" w:hAnsi="宋体" w:cs="宋体"/>
          <w:b/>
          <w:color w:val="auto"/>
          <w:szCs w:val="24"/>
          <w:highlight w:val="none"/>
          <w:lang w:val="en-US" w:eastAsia="zh-CN"/>
        </w:rPr>
        <w:t>.</w:t>
      </w:r>
      <w:r>
        <w:rPr>
          <w:rFonts w:hint="eastAsia" w:ascii="宋体" w:hAnsi="宋体" w:cs="宋体"/>
          <w:b/>
          <w:color w:val="auto"/>
          <w:szCs w:val="24"/>
          <w:highlight w:val="none"/>
        </w:rPr>
        <w:t>资格审查</w:t>
      </w:r>
    </w:p>
    <w:p w14:paraId="0C45356C">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19.</w:t>
      </w:r>
      <w:r>
        <w:rPr>
          <w:rFonts w:hint="eastAsia" w:ascii="宋体" w:hAnsi="宋体" w:cs="宋体"/>
          <w:color w:val="auto"/>
          <w:kern w:val="0"/>
          <w:sz w:val="24"/>
          <w:highlight w:val="none"/>
          <w:lang w:val="en-US" w:eastAsia="zh-CN"/>
        </w:rPr>
        <w:t>1</w:t>
      </w:r>
      <w:r>
        <w:rPr>
          <w:rFonts w:hint="eastAsia" w:ascii="宋体" w:hAnsi="宋体" w:cs="宋体"/>
          <w:color w:val="auto"/>
          <w:sz w:val="24"/>
          <w:highlight w:val="none"/>
        </w:rPr>
        <w:t>采购人依据法律法规和招标文件的规定，对投标人的资格进行审查。</w:t>
      </w:r>
    </w:p>
    <w:p w14:paraId="54B7BFAF">
      <w:pPr>
        <w:pStyle w:val="132"/>
        <w:spacing w:before="0" w:line="360" w:lineRule="auto"/>
        <w:ind w:firstLine="480"/>
        <w:rPr>
          <w:rFonts w:ascii="宋体" w:hAnsi="宋体" w:cs="宋体"/>
          <w:color w:val="auto"/>
          <w:highlight w:val="none"/>
        </w:rPr>
      </w:pPr>
      <w:r>
        <w:rPr>
          <w:rFonts w:hint="eastAsia" w:ascii="宋体" w:hAnsi="宋体" w:cs="宋体"/>
          <w:color w:val="auto"/>
          <w:kern w:val="0"/>
          <w:szCs w:val="24"/>
          <w:highlight w:val="none"/>
        </w:rPr>
        <w:t>19.</w:t>
      </w:r>
      <w:r>
        <w:rPr>
          <w:rFonts w:hint="eastAsia" w:ascii="宋体" w:hAnsi="宋体" w:cs="宋体"/>
          <w:color w:val="auto"/>
          <w:kern w:val="0"/>
          <w:szCs w:val="24"/>
          <w:highlight w:val="none"/>
          <w:lang w:val="en-US" w:eastAsia="zh-CN"/>
        </w:rPr>
        <w:t>2</w:t>
      </w:r>
      <w:r>
        <w:rPr>
          <w:rFonts w:hint="eastAsia" w:ascii="宋体" w:hAnsi="宋体" w:cs="宋体"/>
          <w:color w:val="auto"/>
          <w:kern w:val="0"/>
          <w:szCs w:val="24"/>
          <w:highlight w:val="none"/>
        </w:rPr>
        <w:t>投标人未按照招标文件要求提供与</w:t>
      </w:r>
      <w:r>
        <w:rPr>
          <w:rFonts w:hint="eastAsia" w:ascii="宋体" w:hAnsi="宋体" w:cs="宋体"/>
          <w:color w:val="auto"/>
          <w:highlight w:val="none"/>
        </w:rPr>
        <w:t>资格条件相应的</w:t>
      </w:r>
      <w:r>
        <w:rPr>
          <w:rFonts w:hint="eastAsia" w:ascii="宋体" w:hAnsi="宋体" w:cs="宋体"/>
          <w:color w:val="auto"/>
          <w:kern w:val="0"/>
          <w:szCs w:val="24"/>
          <w:highlight w:val="none"/>
        </w:rPr>
        <w:t>有效资格证明材料的，视为</w:t>
      </w:r>
      <w:r>
        <w:rPr>
          <w:rFonts w:hint="eastAsia" w:ascii="宋体" w:hAnsi="宋体" w:cs="宋体"/>
          <w:color w:val="auto"/>
          <w:highlight w:val="none"/>
        </w:rPr>
        <w:t>投标人不具备招标文件中规定的资格要求，其投标无效。</w:t>
      </w:r>
    </w:p>
    <w:p w14:paraId="3E3D159E">
      <w:pPr>
        <w:pStyle w:val="132"/>
        <w:spacing w:before="0" w:line="360" w:lineRule="auto"/>
        <w:ind w:firstLine="480"/>
        <w:rPr>
          <w:rFonts w:ascii="宋体" w:hAnsi="宋体" w:cs="宋体"/>
          <w:color w:val="auto"/>
          <w:highlight w:val="none"/>
        </w:rPr>
      </w:pPr>
      <w:r>
        <w:rPr>
          <w:rFonts w:hint="eastAsia" w:ascii="宋体" w:hAnsi="宋体" w:cs="宋体"/>
          <w:color w:val="auto"/>
          <w:kern w:val="0"/>
          <w:szCs w:val="24"/>
          <w:highlight w:val="none"/>
        </w:rPr>
        <w:t>19.</w:t>
      </w:r>
      <w:r>
        <w:rPr>
          <w:rFonts w:hint="eastAsia" w:ascii="宋体" w:hAnsi="宋体" w:cs="宋体"/>
          <w:color w:val="auto"/>
          <w:highlight w:val="none"/>
          <w:lang w:val="en-US" w:eastAsia="zh-CN"/>
        </w:rPr>
        <w:t>3</w:t>
      </w:r>
      <w:r>
        <w:rPr>
          <w:rFonts w:hint="eastAsia" w:ascii="宋体" w:hAnsi="宋体" w:cs="宋体"/>
          <w:color w:val="auto"/>
          <w:highlight w:val="none"/>
        </w:rPr>
        <w:t>对未通过资格审查的投标人，采购人或</w:t>
      </w:r>
      <w:r>
        <w:rPr>
          <w:rFonts w:hint="eastAsia" w:ascii="宋体" w:hAnsi="宋体" w:cs="宋体"/>
          <w:color w:val="auto"/>
          <w:highlight w:val="none"/>
          <w:lang w:eastAsia="zh-CN"/>
        </w:rPr>
        <w:t>采购代理机构</w:t>
      </w:r>
      <w:r>
        <w:rPr>
          <w:rFonts w:hint="eastAsia" w:ascii="宋体" w:hAnsi="宋体" w:cs="宋体"/>
          <w:color w:val="auto"/>
          <w:highlight w:val="none"/>
        </w:rPr>
        <w:t>告知其未通过的原因。</w:t>
      </w:r>
    </w:p>
    <w:p w14:paraId="36042440">
      <w:pPr>
        <w:pStyle w:val="132"/>
        <w:adjustRightInd w:val="0"/>
        <w:snapToGrid w:val="0"/>
        <w:spacing w:before="0" w:line="360" w:lineRule="auto"/>
        <w:ind w:firstLine="480"/>
        <w:rPr>
          <w:rFonts w:hint="eastAsia" w:ascii="宋体" w:hAnsi="宋体" w:cs="宋体"/>
          <w:color w:val="auto"/>
          <w:highlight w:val="none"/>
        </w:rPr>
      </w:pPr>
      <w:r>
        <w:rPr>
          <w:rFonts w:hint="eastAsia" w:ascii="宋体" w:hAnsi="宋体" w:cs="宋体"/>
          <w:color w:val="auto"/>
          <w:kern w:val="0"/>
          <w:szCs w:val="24"/>
          <w:highlight w:val="none"/>
        </w:rPr>
        <w:t>19.</w:t>
      </w:r>
      <w:r>
        <w:rPr>
          <w:rFonts w:hint="eastAsia" w:ascii="宋体" w:hAnsi="宋体" w:cs="宋体"/>
          <w:color w:val="auto"/>
          <w:highlight w:val="none"/>
          <w:lang w:val="en-US" w:eastAsia="zh-CN"/>
        </w:rPr>
        <w:t>4</w:t>
      </w:r>
      <w:r>
        <w:rPr>
          <w:rFonts w:hint="eastAsia" w:ascii="宋体" w:hAnsi="宋体" w:cs="宋体"/>
          <w:color w:val="auto"/>
          <w:highlight w:val="none"/>
        </w:rPr>
        <w:t>合格投标人不足3家的，不再评标。</w:t>
      </w:r>
    </w:p>
    <w:p w14:paraId="67A746F5">
      <w:pPr>
        <w:pStyle w:val="132"/>
        <w:spacing w:before="0"/>
        <w:ind w:left="0" w:leftChars="0" w:firstLine="0" w:firstLineChars="0"/>
        <w:rPr>
          <w:rFonts w:ascii="宋体" w:hAnsi="宋体" w:cs="宋体"/>
          <w:b/>
          <w:color w:val="auto"/>
          <w:szCs w:val="24"/>
          <w:highlight w:val="none"/>
        </w:rPr>
      </w:pPr>
      <w:r>
        <w:rPr>
          <w:rFonts w:hint="eastAsia" w:ascii="宋体" w:hAnsi="宋体" w:cs="宋体"/>
          <w:b/>
          <w:color w:val="auto"/>
          <w:szCs w:val="24"/>
          <w:highlight w:val="none"/>
        </w:rPr>
        <w:t>20</w:t>
      </w:r>
      <w:r>
        <w:rPr>
          <w:rFonts w:hint="eastAsia" w:ascii="宋体" w:hAnsi="宋体" w:cs="宋体"/>
          <w:b/>
          <w:color w:val="auto"/>
          <w:szCs w:val="24"/>
          <w:highlight w:val="none"/>
          <w:lang w:val="en-US" w:eastAsia="zh-CN"/>
        </w:rPr>
        <w:t>.</w:t>
      </w:r>
      <w:r>
        <w:rPr>
          <w:rFonts w:hint="eastAsia" w:ascii="宋体" w:hAnsi="宋体" w:cs="宋体"/>
          <w:b/>
          <w:color w:val="auto"/>
          <w:szCs w:val="24"/>
          <w:highlight w:val="none"/>
        </w:rPr>
        <w:t>信用信息查询</w:t>
      </w:r>
    </w:p>
    <w:p w14:paraId="5F2C51A2">
      <w:pPr>
        <w:pStyle w:val="132"/>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20.1信用信息查询渠道及截止时间：</w:t>
      </w:r>
      <w:r>
        <w:rPr>
          <w:rFonts w:hint="eastAsia" w:ascii="宋体" w:hAnsi="宋体" w:cs="宋体"/>
          <w:color w:val="auto"/>
          <w:kern w:val="0"/>
          <w:szCs w:val="24"/>
          <w:highlight w:val="none"/>
          <w:lang w:eastAsia="zh-CN"/>
        </w:rPr>
        <w:t>采购代理机构</w:t>
      </w:r>
      <w:r>
        <w:rPr>
          <w:rFonts w:hint="eastAsia" w:ascii="宋体" w:hAnsi="宋体" w:cs="宋体"/>
          <w:color w:val="auto"/>
          <w:kern w:val="0"/>
          <w:szCs w:val="24"/>
          <w:highlight w:val="none"/>
        </w:rPr>
        <w:t>将在资格审查时通过“信用中国”网站(www.creditchina.gov.cn)、中国政府采购网(www.ccgp.gov.cn)渠道查询投标人的信用记录。</w:t>
      </w:r>
    </w:p>
    <w:p w14:paraId="2B939E7A">
      <w:pPr>
        <w:pStyle w:val="132"/>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20.2信用信息查询记录和证据留存的具体方式：现场查询的投标人的信用记录、查询结果经确认后将与采购文件一起存档。</w:t>
      </w:r>
    </w:p>
    <w:p w14:paraId="2BC2C007">
      <w:pPr>
        <w:pStyle w:val="132"/>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20.3信用信息的使用规则：经查询列入失信被执行人名单、重大税收违法案件当事人名单、政府采购严重违法失信行为记录名单的投标人将被拒绝参与政府采购活动。</w:t>
      </w:r>
    </w:p>
    <w:p w14:paraId="40A39404">
      <w:pPr>
        <w:pStyle w:val="132"/>
        <w:spacing w:before="0"/>
        <w:ind w:firstLine="480"/>
        <w:rPr>
          <w:rFonts w:hint="eastAsia" w:ascii="宋体" w:hAnsi="宋体" w:cs="宋体"/>
          <w:color w:val="auto"/>
          <w:highlight w:val="none"/>
        </w:rPr>
      </w:pPr>
      <w:r>
        <w:rPr>
          <w:rFonts w:hint="eastAsia" w:ascii="宋体" w:hAnsi="宋体" w:cs="宋体"/>
          <w:color w:val="auto"/>
          <w:kern w:val="0"/>
          <w:szCs w:val="24"/>
          <w:highlight w:val="none"/>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hint="eastAsia" w:ascii="宋体" w:hAnsi="宋体" w:cs="宋体"/>
          <w:color w:val="auto"/>
          <w:highlight w:val="none"/>
        </w:rPr>
        <w:t>。</w:t>
      </w:r>
    </w:p>
    <w:p w14:paraId="0D204892">
      <w:r>
        <w:rPr>
          <w:rFonts w:hint="eastAsia" w:ascii="宋体" w:hAnsi="宋体" w:cs="宋体"/>
          <w:color w:val="auto"/>
          <w:highlight w:val="none"/>
        </w:rPr>
        <w:br w:type="page"/>
      </w:r>
    </w:p>
    <w:p w14:paraId="751B6747">
      <w:pPr>
        <w:adjustRightInd/>
        <w:spacing w:line="360" w:lineRule="auto"/>
        <w:ind w:firstLine="3845" w:firstLineChars="1197"/>
        <w:outlineLvl w:val="1"/>
        <w:rPr>
          <w:rFonts w:hint="eastAsia" w:ascii="宋体" w:hAnsi="宋体" w:cs="宋体"/>
          <w:b/>
          <w:color w:val="auto"/>
          <w:sz w:val="32"/>
          <w:szCs w:val="20"/>
          <w:highlight w:val="none"/>
        </w:rPr>
      </w:pPr>
      <w:r>
        <w:rPr>
          <w:rFonts w:hint="eastAsia" w:ascii="宋体" w:hAnsi="宋体" w:cs="宋体"/>
          <w:b/>
          <w:color w:val="auto"/>
          <w:sz w:val="32"/>
          <w:szCs w:val="20"/>
          <w:highlight w:val="none"/>
        </w:rPr>
        <w:t>五、评标</w:t>
      </w:r>
    </w:p>
    <w:p w14:paraId="4958DE0E">
      <w:pPr>
        <w:spacing w:line="360" w:lineRule="auto"/>
        <w:rPr>
          <w:rFonts w:ascii="宋体" w:hAnsi="宋体" w:cs="宋体"/>
          <w:b/>
          <w:color w:val="auto"/>
          <w:sz w:val="24"/>
          <w:highlight w:val="none"/>
        </w:rPr>
      </w:pPr>
      <w:bookmarkStart w:id="19" w:name="_Toc91899903"/>
      <w:r>
        <w:rPr>
          <w:rFonts w:hint="eastAsia" w:ascii="宋体" w:hAnsi="宋体" w:cs="宋体"/>
          <w:b/>
          <w:color w:val="auto"/>
          <w:sz w:val="24"/>
          <w:highlight w:val="none"/>
        </w:rPr>
        <w:t>21.</w:t>
      </w:r>
      <w:r>
        <w:rPr>
          <w:rFonts w:hint="eastAsia" w:ascii="宋体" w:hAnsi="宋体" w:cs="宋体"/>
          <w:color w:val="auto"/>
          <w:sz w:val="24"/>
          <w:highlight w:val="none"/>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hint="eastAsia" w:ascii="宋体" w:hAnsi="宋体" w:cs="宋体"/>
          <w:b/>
          <w:color w:val="auto"/>
          <w:sz w:val="24"/>
          <w:highlight w:val="none"/>
        </w:rPr>
        <w:t>详见招标文件第四部分评标办法。</w:t>
      </w:r>
    </w:p>
    <w:p w14:paraId="2DCC8584">
      <w:pPr>
        <w:bidi w:val="0"/>
      </w:pPr>
    </w:p>
    <w:p w14:paraId="09781E01">
      <w:pPr>
        <w:adjustRightInd/>
        <w:spacing w:line="360" w:lineRule="auto"/>
        <w:ind w:firstLine="3845" w:firstLineChars="1197"/>
        <w:outlineLvl w:val="1"/>
        <w:rPr>
          <w:rFonts w:hint="eastAsia" w:ascii="宋体" w:hAnsi="宋体" w:cs="宋体"/>
          <w:b/>
          <w:color w:val="auto"/>
          <w:sz w:val="32"/>
          <w:szCs w:val="20"/>
          <w:highlight w:val="none"/>
        </w:rPr>
      </w:pPr>
      <w:r>
        <w:rPr>
          <w:rFonts w:hint="eastAsia" w:ascii="宋体" w:hAnsi="宋体" w:cs="宋体"/>
          <w:b/>
          <w:color w:val="auto"/>
          <w:sz w:val="32"/>
          <w:szCs w:val="20"/>
          <w:highlight w:val="none"/>
        </w:rPr>
        <w:t>六、定标</w:t>
      </w:r>
    </w:p>
    <w:p w14:paraId="5BB65644">
      <w:pPr>
        <w:pStyle w:val="25"/>
        <w:spacing w:line="360" w:lineRule="auto"/>
        <w:ind w:left="479" w:hanging="479" w:hangingChars="199"/>
        <w:rPr>
          <w:rFonts w:cs="宋体"/>
          <w:b/>
          <w:color w:val="auto"/>
          <w:highlight w:val="none"/>
        </w:rPr>
      </w:pPr>
      <w:r>
        <w:rPr>
          <w:rFonts w:hint="eastAsia" w:cs="宋体"/>
          <w:b/>
          <w:color w:val="auto"/>
          <w:highlight w:val="none"/>
        </w:rPr>
        <w:t>22.确定中标供应商</w:t>
      </w:r>
    </w:p>
    <w:p w14:paraId="5F38A8FE">
      <w:pPr>
        <w:pStyle w:val="132"/>
        <w:snapToGrid w:val="0"/>
        <w:spacing w:before="0"/>
        <w:ind w:firstLine="480"/>
        <w:rPr>
          <w:rFonts w:ascii="宋体" w:hAnsi="宋体" w:cs="宋体"/>
          <w:b/>
          <w:color w:val="auto"/>
          <w:szCs w:val="24"/>
          <w:highlight w:val="none"/>
        </w:rPr>
      </w:pPr>
      <w:r>
        <w:rPr>
          <w:rFonts w:hint="eastAsia" w:ascii="宋体" w:hAnsi="宋体" w:cs="宋体"/>
          <w:color w:val="auto"/>
          <w:szCs w:val="24"/>
          <w:highlight w:val="none"/>
        </w:rPr>
        <w:t>政府采购项目实行全流程电子化，评审报告送交、采购结果确定和结果公告均在线完成。为进一步提升采购结果确定效率，采购代理机构应当依法及时将评审报告在线送交采购人。采购单位应当自收到评审报告之日起2个工作日内在线确定中标或者成交供应商，为提高政府采购效率，</w:t>
      </w:r>
      <w:r>
        <w:rPr>
          <w:rFonts w:hint="eastAsia" w:ascii="宋体" w:hAnsi="宋体" w:cs="宋体"/>
          <w:color w:val="auto"/>
          <w:szCs w:val="24"/>
          <w:highlight w:val="none"/>
          <w:lang w:val="en-US" w:eastAsia="zh-CN"/>
        </w:rPr>
        <w:t>鼓励</w:t>
      </w:r>
      <w:r>
        <w:rPr>
          <w:rFonts w:hint="eastAsia" w:ascii="宋体" w:hAnsi="宋体" w:cs="宋体"/>
          <w:color w:val="auto"/>
          <w:szCs w:val="24"/>
          <w:highlight w:val="none"/>
        </w:rPr>
        <w:t>在收到评审报告当天</w:t>
      </w:r>
      <w:r>
        <w:rPr>
          <w:rFonts w:hint="eastAsia" w:ascii="宋体" w:hAnsi="宋体" w:cs="宋体"/>
          <w:color w:val="auto"/>
          <w:szCs w:val="24"/>
          <w:highlight w:val="none"/>
          <w:lang w:val="en-US" w:eastAsia="zh-CN"/>
        </w:rPr>
        <w:t>在线</w:t>
      </w:r>
      <w:r>
        <w:rPr>
          <w:rFonts w:hint="eastAsia" w:ascii="宋体" w:hAnsi="宋体" w:cs="宋体"/>
          <w:color w:val="auto"/>
          <w:szCs w:val="24"/>
          <w:highlight w:val="none"/>
        </w:rPr>
        <w:t>确定中标或者成交供应商。中标、成交通知书和中标、成交结果公告应当在规定时间内同时发出。</w:t>
      </w:r>
    </w:p>
    <w:p w14:paraId="656A9A5F">
      <w:pPr>
        <w:pStyle w:val="132"/>
        <w:snapToGrid w:val="0"/>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23.中标通知与中标结果公告</w:t>
      </w:r>
    </w:p>
    <w:p w14:paraId="66236296">
      <w:pPr>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23.1自中标人确定之日起2个工作日内，</w:t>
      </w:r>
      <w:r>
        <w:rPr>
          <w:rFonts w:hint="eastAsia" w:asciiTheme="minorEastAsia" w:hAnsiTheme="minorEastAsia" w:eastAsiaTheme="minorEastAsia" w:cstheme="minorEastAsia"/>
          <w:sz w:val="24"/>
          <w:szCs w:val="24"/>
          <w:lang w:eastAsia="zh-CN"/>
        </w:rPr>
        <w:t>采购代理机构</w:t>
      </w:r>
      <w:r>
        <w:rPr>
          <w:rFonts w:hint="eastAsia" w:asciiTheme="minorEastAsia" w:hAnsiTheme="minorEastAsia" w:eastAsiaTheme="minorEastAsia" w:cstheme="minorEastAsia"/>
          <w:sz w:val="24"/>
          <w:szCs w:val="24"/>
        </w:rPr>
        <w:t>通过电子交易平台向中标人发出中标通知书，同时编制发布采购结果公告。</w:t>
      </w:r>
      <w:r>
        <w:rPr>
          <w:rFonts w:hint="eastAsia" w:asciiTheme="minorEastAsia" w:hAnsiTheme="minorEastAsia" w:eastAsiaTheme="minorEastAsia" w:cstheme="minorEastAsia"/>
          <w:sz w:val="24"/>
          <w:szCs w:val="24"/>
          <w:lang w:eastAsia="zh-CN"/>
        </w:rPr>
        <w:t>采购代理机构</w:t>
      </w:r>
      <w:r>
        <w:rPr>
          <w:rFonts w:hint="eastAsia" w:asciiTheme="minorEastAsia" w:hAnsiTheme="minorEastAsia" w:eastAsiaTheme="minorEastAsia" w:cstheme="minorEastAsia"/>
          <w:sz w:val="24"/>
          <w:szCs w:val="24"/>
        </w:rPr>
        <w:t>也可以以纸质形式进行中标通知。</w:t>
      </w:r>
    </w:p>
    <w:p w14:paraId="1F2374BC">
      <w:pPr>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23.2中标结果公告内容包括采购人及其委托的</w:t>
      </w:r>
      <w:r>
        <w:rPr>
          <w:rFonts w:hint="eastAsia" w:asciiTheme="minorEastAsia" w:hAnsiTheme="minorEastAsia" w:eastAsiaTheme="minorEastAsia" w:cstheme="minorEastAsia"/>
          <w:sz w:val="24"/>
          <w:szCs w:val="24"/>
          <w:lang w:eastAsia="zh-CN"/>
        </w:rPr>
        <w:t>采购代理机构</w:t>
      </w:r>
      <w:r>
        <w:rPr>
          <w:rFonts w:hint="eastAsia" w:asciiTheme="minorEastAsia" w:hAnsiTheme="minorEastAsia" w:eastAsiaTheme="minorEastAsia" w:cstheme="minorEastAsia"/>
          <w:sz w:val="24"/>
          <w:szCs w:val="24"/>
        </w:rPr>
        <w:t>的名称、地址、联系方式，项目名称和项目编号，中标人名称、地址和中标金额，主要中标标的的名称、规格型号、数量、单价、服务要求，开标记录、资格审查情况、评审专家抽取规则、符合性审查情况、未中标情况说明、中标公告期限以及评审专家名单、评分汇总及明细。</w:t>
      </w:r>
    </w:p>
    <w:p w14:paraId="02E6CC3E">
      <w:pPr>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23.3公告期限为1个工作日。</w:t>
      </w:r>
    </w:p>
    <w:p w14:paraId="453CC555">
      <w:pPr>
        <w:pStyle w:val="132"/>
        <w:adjustRightInd w:val="0"/>
        <w:snapToGrid w:val="0"/>
        <w:spacing w:before="0"/>
        <w:ind w:firstLine="480" w:firstLineChars="200"/>
        <w:rPr>
          <w:rFonts w:hint="eastAsia" w:ascii="宋体" w:hAnsi="宋体" w:cs="宋体"/>
          <w:bCs/>
          <w:color w:val="auto"/>
          <w:szCs w:val="24"/>
          <w:highlight w:val="none"/>
        </w:rPr>
      </w:pPr>
      <w:r>
        <w:rPr>
          <w:rFonts w:hint="eastAsia" w:ascii="宋体" w:hAnsi="宋体" w:cs="宋体"/>
          <w:b w:val="0"/>
          <w:bCs/>
          <w:color w:val="auto"/>
          <w:szCs w:val="24"/>
          <w:highlight w:val="none"/>
        </w:rPr>
        <w:t>2</w:t>
      </w:r>
      <w:r>
        <w:rPr>
          <w:rFonts w:hint="eastAsia" w:ascii="宋体" w:hAnsi="宋体" w:cs="宋体"/>
          <w:b w:val="0"/>
          <w:bCs/>
          <w:color w:val="auto"/>
          <w:szCs w:val="24"/>
          <w:highlight w:val="none"/>
          <w:lang w:eastAsia="zh-CN"/>
        </w:rPr>
        <w:t>3</w:t>
      </w:r>
      <w:r>
        <w:rPr>
          <w:rFonts w:hint="eastAsia" w:ascii="宋体" w:hAnsi="宋体" w:cs="宋体"/>
          <w:b w:val="0"/>
          <w:bCs/>
          <w:color w:val="auto"/>
          <w:szCs w:val="24"/>
          <w:highlight w:val="none"/>
          <w:lang w:val="en-US" w:eastAsia="zh-CN"/>
        </w:rPr>
        <w:t>.4</w:t>
      </w:r>
      <w:r>
        <w:rPr>
          <w:rFonts w:hint="eastAsia" w:ascii="宋体" w:hAnsi="宋体" w:cs="宋体"/>
          <w:b w:val="0"/>
          <w:bCs/>
          <w:color w:val="auto"/>
          <w:szCs w:val="24"/>
          <w:highlight w:val="none"/>
        </w:rPr>
        <w:t>由于</w:t>
      </w:r>
      <w:r>
        <w:rPr>
          <w:rFonts w:hint="eastAsia" w:ascii="宋体" w:hAnsi="宋体" w:cs="宋体"/>
          <w:bCs/>
          <w:color w:val="auto"/>
          <w:szCs w:val="24"/>
          <w:highlight w:val="none"/>
        </w:rPr>
        <w:t>中标、成交供应商原因导致重新采购的，应当承担支付代理费和专家评审费等费用在内的赔偿责任。</w:t>
      </w:r>
    </w:p>
    <w:p w14:paraId="07C944CD">
      <w:pPr>
        <w:pStyle w:val="132"/>
        <w:adjustRightInd w:val="0"/>
        <w:snapToGrid w:val="0"/>
        <w:spacing w:before="0"/>
        <w:ind w:firstLine="480" w:firstLineChars="200"/>
        <w:rPr>
          <w:rFonts w:hint="eastAsia" w:ascii="宋体" w:hAnsi="宋体" w:cs="宋体"/>
          <w:bCs/>
          <w:color w:val="auto"/>
          <w:szCs w:val="24"/>
          <w:highlight w:val="none"/>
        </w:rPr>
      </w:pPr>
      <w:r>
        <w:rPr>
          <w:rFonts w:hint="eastAsia" w:ascii="宋体" w:hAnsi="宋体" w:cs="宋体"/>
          <w:bCs/>
          <w:color w:val="auto"/>
          <w:szCs w:val="24"/>
          <w:highlight w:val="none"/>
        </w:rPr>
        <w:t>24.投标材料复核。在评审结束后、确认采购结果前，采购人或采购代理机构将通过网站查询、原件核对等方式对中标供应商在投标文件中涉及客观分评审内容的检测报告、认证证书等资料的真实性进行复核。发现供应商提供虚假材料的，应及时书面报告本级财政部门。中标供应商须积极配合做好相关复核工作，不配合相关复核工作的自行承担不利后果。</w:t>
      </w:r>
    </w:p>
    <w:p w14:paraId="378F71B7">
      <w:pPr>
        <w:rPr>
          <w:rFonts w:hint="eastAsia" w:ascii="宋体" w:hAnsi="宋体" w:cs="宋体"/>
          <w:bCs/>
          <w:color w:val="auto"/>
          <w:szCs w:val="24"/>
          <w:highlight w:val="none"/>
        </w:rPr>
      </w:pPr>
      <w:r>
        <w:rPr>
          <w:rFonts w:hint="eastAsia" w:ascii="宋体" w:hAnsi="宋体" w:cs="宋体"/>
          <w:bCs/>
          <w:color w:val="auto"/>
          <w:szCs w:val="24"/>
          <w:highlight w:val="none"/>
        </w:rPr>
        <w:br w:type="page"/>
      </w:r>
    </w:p>
    <w:p w14:paraId="79A28DBD">
      <w:pPr>
        <w:adjustRightInd/>
        <w:spacing w:line="360" w:lineRule="auto"/>
        <w:ind w:firstLine="3845" w:firstLineChars="1197"/>
        <w:outlineLvl w:val="1"/>
        <w:rPr>
          <w:rFonts w:hint="eastAsia" w:ascii="宋体" w:hAnsi="宋体" w:cs="宋体"/>
          <w:b/>
          <w:color w:val="auto"/>
          <w:sz w:val="32"/>
          <w:szCs w:val="20"/>
          <w:highlight w:val="none"/>
        </w:rPr>
      </w:pPr>
      <w:r>
        <w:rPr>
          <w:rFonts w:hint="eastAsia" w:ascii="宋体" w:hAnsi="宋体" w:cs="宋体"/>
          <w:b/>
          <w:color w:val="auto"/>
          <w:sz w:val="32"/>
          <w:szCs w:val="20"/>
          <w:highlight w:val="none"/>
        </w:rPr>
        <w:t>七、合同授予</w:t>
      </w:r>
    </w:p>
    <w:p w14:paraId="4C92881D">
      <w:pPr>
        <w:pStyle w:val="25"/>
        <w:spacing w:line="360" w:lineRule="auto"/>
        <w:ind w:left="479" w:hanging="479" w:hangingChars="199"/>
        <w:rPr>
          <w:rFonts w:cs="宋体"/>
          <w:b/>
          <w:color w:val="auto"/>
          <w:highlight w:val="none"/>
        </w:rPr>
      </w:pPr>
      <w:r>
        <w:rPr>
          <w:rFonts w:hint="eastAsia" w:cs="宋体"/>
          <w:b/>
          <w:color w:val="auto"/>
          <w:highlight w:val="none"/>
        </w:rPr>
        <w:t>2</w:t>
      </w:r>
      <w:r>
        <w:rPr>
          <w:rFonts w:hint="eastAsia" w:cs="宋体"/>
          <w:b/>
          <w:color w:val="auto"/>
          <w:highlight w:val="none"/>
          <w:lang w:val="en-US" w:eastAsia="zh-CN"/>
        </w:rPr>
        <w:t>5</w:t>
      </w:r>
      <w:r>
        <w:rPr>
          <w:rFonts w:hint="eastAsia" w:cs="宋体"/>
          <w:b/>
          <w:color w:val="auto"/>
          <w:highlight w:val="none"/>
        </w:rPr>
        <w:t>.</w:t>
      </w:r>
      <w:r>
        <w:rPr>
          <w:rFonts w:hint="eastAsia" w:cs="宋体"/>
          <w:color w:val="auto"/>
          <w:highlight w:val="none"/>
        </w:rPr>
        <w:t>合同主要条款详见第五部分拟签订的合同文本。</w:t>
      </w:r>
    </w:p>
    <w:p w14:paraId="6A537AEC">
      <w:pPr>
        <w:pStyle w:val="25"/>
        <w:spacing w:line="360" w:lineRule="auto"/>
        <w:ind w:left="479" w:hanging="479" w:hangingChars="199"/>
        <w:rPr>
          <w:rFonts w:cs="宋体"/>
          <w:b/>
          <w:color w:val="auto"/>
          <w:highlight w:val="none"/>
        </w:rPr>
      </w:pPr>
      <w:r>
        <w:rPr>
          <w:rFonts w:hint="eastAsia" w:cs="宋体"/>
          <w:b/>
          <w:color w:val="auto"/>
          <w:highlight w:val="none"/>
        </w:rPr>
        <w:t>2</w:t>
      </w:r>
      <w:r>
        <w:rPr>
          <w:rFonts w:hint="eastAsia" w:cs="宋体"/>
          <w:b/>
          <w:color w:val="auto"/>
          <w:highlight w:val="none"/>
          <w:lang w:val="en-US" w:eastAsia="zh-CN"/>
        </w:rPr>
        <w:t>6</w:t>
      </w:r>
      <w:r>
        <w:rPr>
          <w:rFonts w:hint="eastAsia" w:cs="宋体"/>
          <w:b/>
          <w:color w:val="auto"/>
          <w:highlight w:val="none"/>
        </w:rPr>
        <w:t>.合同的签订</w:t>
      </w:r>
    </w:p>
    <w:p w14:paraId="28F4E346">
      <w:pPr>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1采购人与中标人应当通过电子交易平台在中标通知书发出之日起三十日内，按照招标文件确定的事项签订政府采购合同，并在签订之日起2个工作日内将政府采购合同在浙江政府采购网上公告。鼓励有条件的采购人视情缩减采购合同签订时限，提高采购效率，杜绝“冷、硬、横、推”等不当行为。除不可抗力等特殊情况外，原则上应当在中标通知书发出之日起10个工作日内，与中标供应商按照采购文件确定的事项签订政府采购合同。</w:t>
      </w:r>
    </w:p>
    <w:p w14:paraId="7CCD60BF">
      <w:pPr>
        <w:pStyle w:val="132"/>
        <w:snapToGrid w:val="0"/>
        <w:spacing w:before="0"/>
        <w:ind w:firstLine="480"/>
        <w:rPr>
          <w:rFonts w:ascii="宋体" w:hAnsi="宋体" w:cs="宋体"/>
          <w:color w:val="auto"/>
          <w:kern w:val="0"/>
          <w:highlight w:val="none"/>
        </w:rPr>
      </w:pPr>
      <w:r>
        <w:rPr>
          <w:rFonts w:hint="eastAsia" w:ascii="宋体" w:hAnsi="宋体" w:cs="宋体"/>
          <w:color w:val="auto"/>
          <w:kern w:val="0"/>
          <w:highlight w:val="none"/>
          <w:lang w:val="zh-CN"/>
        </w:rPr>
        <w:t>2</w:t>
      </w:r>
      <w:r>
        <w:rPr>
          <w:rFonts w:hint="eastAsia" w:ascii="宋体" w:hAnsi="宋体" w:cs="宋体"/>
          <w:color w:val="auto"/>
          <w:kern w:val="0"/>
          <w:highlight w:val="none"/>
          <w:lang w:val="en-US" w:eastAsia="zh-CN"/>
        </w:rPr>
        <w:t>6</w:t>
      </w:r>
      <w:r>
        <w:rPr>
          <w:rFonts w:hint="eastAsia" w:ascii="宋体" w:hAnsi="宋体" w:cs="宋体"/>
          <w:color w:val="auto"/>
          <w:kern w:val="0"/>
          <w:highlight w:val="none"/>
          <w:lang w:val="zh-CN"/>
        </w:rPr>
        <w:t>.2中标人按规定的日期、时间、地点，由法定代表人或其授权代表与采购人代表签订合同。如中标人为联合体的，由联合体成员各方法定代表人或其授权代表与采购人代表签订合同。</w:t>
      </w:r>
    </w:p>
    <w:p w14:paraId="010B193A">
      <w:pPr>
        <w:pStyle w:val="132"/>
        <w:snapToGrid w:val="0"/>
        <w:spacing w:before="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6</w:t>
      </w:r>
      <w:r>
        <w:rPr>
          <w:rFonts w:hint="eastAsia" w:ascii="宋体" w:hAnsi="宋体" w:cs="宋体"/>
          <w:color w:val="auto"/>
          <w:highlight w:val="none"/>
        </w:rPr>
        <w:t>.3如签订合同并生效后，供应商无故拒绝或延期，除按照合同条款处理外，列入不良行为记录一次，并给予通报。</w:t>
      </w:r>
    </w:p>
    <w:p w14:paraId="71D1D763">
      <w:pPr>
        <w:pStyle w:val="132"/>
        <w:snapToGrid w:val="0"/>
        <w:spacing w:before="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6</w:t>
      </w:r>
      <w:r>
        <w:rPr>
          <w:rFonts w:hint="eastAsia" w:ascii="宋体" w:hAnsi="宋体" w:cs="宋体"/>
          <w:color w:val="auto"/>
          <w:highlight w:val="none"/>
        </w:rPr>
        <w:t>.4中标供应商拒绝与采购人签订合同的，采购人可以按照评审报告推荐的中标或者成交候选人名单排序，确定下一候选人为中标供应商，也可以重新开展政府采购活动。</w:t>
      </w:r>
    </w:p>
    <w:p w14:paraId="60781F17">
      <w:pPr>
        <w:pStyle w:val="132"/>
        <w:snapToGrid w:val="0"/>
        <w:spacing w:before="0" w:after="12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6</w:t>
      </w:r>
      <w:r>
        <w:rPr>
          <w:rFonts w:hint="eastAsia" w:ascii="宋体" w:hAnsi="宋体" w:cs="宋体"/>
          <w:color w:val="auto"/>
          <w:highlight w:val="none"/>
        </w:rPr>
        <w:t>.5采购合同由采购人与中标供应商根据招标文件、投标文件等内容通过政府采购电子交易平台在线签订，自动备案。</w:t>
      </w:r>
    </w:p>
    <w:p w14:paraId="1360CC5E">
      <w:pPr>
        <w:pStyle w:val="25"/>
        <w:spacing w:line="360" w:lineRule="auto"/>
        <w:ind w:left="479" w:hanging="479" w:hangingChars="199"/>
        <w:rPr>
          <w:rFonts w:cs="宋体"/>
          <w:b/>
          <w:color w:val="auto"/>
          <w:highlight w:val="none"/>
        </w:rPr>
      </w:pPr>
      <w:r>
        <w:rPr>
          <w:rFonts w:hint="eastAsia" w:cs="宋体"/>
          <w:b/>
          <w:color w:val="auto"/>
          <w:highlight w:val="none"/>
        </w:rPr>
        <w:t>2</w:t>
      </w:r>
      <w:r>
        <w:rPr>
          <w:rFonts w:hint="eastAsia" w:cs="宋体"/>
          <w:b/>
          <w:color w:val="auto"/>
          <w:highlight w:val="none"/>
          <w:lang w:val="en-US" w:eastAsia="zh-CN"/>
        </w:rPr>
        <w:t>7</w:t>
      </w:r>
      <w:r>
        <w:rPr>
          <w:rFonts w:hint="eastAsia" w:cs="宋体"/>
          <w:b/>
          <w:color w:val="auto"/>
          <w:highlight w:val="none"/>
        </w:rPr>
        <w:t>.履约保证金</w:t>
      </w:r>
    </w:p>
    <w:p w14:paraId="44739D26">
      <w:pPr>
        <w:tabs>
          <w:tab w:val="left" w:pos="0"/>
        </w:tabs>
        <w:spacing w:line="360" w:lineRule="auto"/>
        <w:ind w:firstLine="482"/>
        <w:rPr>
          <w:rFonts w:ascii="宋体" w:hAnsi="宋体" w:cs="宋体"/>
          <w:color w:val="auto"/>
          <w:sz w:val="24"/>
          <w:highlight w:val="none"/>
        </w:rPr>
      </w:pPr>
      <w:r>
        <w:rPr>
          <w:rFonts w:hint="eastAsia" w:ascii="宋体" w:hAnsi="宋体" w:cs="宋体"/>
          <w:color w:val="auto"/>
          <w:kern w:val="0"/>
          <w:sz w:val="24"/>
          <w:highlight w:val="none"/>
        </w:rPr>
        <w:t>拟签订的合同文本要求中标供应商提交履约保证金的，供应商应当以支票、汇票、本票或者金融机构、担保机构出具的保函等非现金形式提交</w:t>
      </w:r>
      <w:r>
        <w:rPr>
          <w:rFonts w:hint="eastAsia" w:ascii="宋体" w:hAnsi="宋体" w:cs="宋体"/>
          <w:color w:val="auto"/>
          <w:sz w:val="24"/>
          <w:highlight w:val="none"/>
        </w:rPr>
        <w:t>。履约保证金的数额不得超过政府采购合同金额的</w:t>
      </w:r>
      <w:r>
        <w:rPr>
          <w:rFonts w:ascii="宋体" w:hAnsi="宋体" w:cs="宋体"/>
          <w:color w:val="auto"/>
          <w:sz w:val="24"/>
          <w:highlight w:val="none"/>
        </w:rPr>
        <w:t>1</w:t>
      </w:r>
      <w:r>
        <w:rPr>
          <w:rFonts w:hint="eastAsia" w:ascii="宋体" w:hAnsi="宋体" w:cs="宋体"/>
          <w:color w:val="auto"/>
          <w:sz w:val="24"/>
          <w:highlight w:val="none"/>
        </w:rPr>
        <w:t>%，</w:t>
      </w:r>
      <w:r>
        <w:rPr>
          <w:rFonts w:hint="eastAsia" w:ascii="宋体" w:hAnsi="宋体" w:cs="宋体"/>
          <w:color w:val="auto"/>
          <w:kern w:val="2"/>
          <w:sz w:val="24"/>
          <w:highlight w:val="none"/>
        </w:rPr>
        <w:t>鼓励根据项目特点、供应商诚信等因素免收履约保证金或降低缴纳比例。</w:t>
      </w:r>
      <w:r>
        <w:rPr>
          <w:rFonts w:hint="eastAsia" w:ascii="宋体" w:hAnsi="宋体" w:cs="宋体"/>
          <w:color w:val="auto"/>
          <w:sz w:val="24"/>
          <w:highlight w:val="none"/>
        </w:rPr>
        <w:t>鼓励和支持供应商以银行、保险公司出具的保函形式提供履约保证金。采购人不得拒收履约保函，项目验收结束后应及时退还，</w:t>
      </w:r>
      <w:r>
        <w:rPr>
          <w:rFonts w:ascii="宋体" w:hAnsi="宋体" w:cs="宋体"/>
          <w:color w:val="auto"/>
          <w:sz w:val="24"/>
          <w:highlight w:val="none"/>
        </w:rPr>
        <w:t>延迟退还的，应当按照合同约定和法律规定承担相应的赔偿责任</w:t>
      </w:r>
      <w:r>
        <w:rPr>
          <w:rFonts w:hint="eastAsia" w:ascii="宋体" w:hAnsi="宋体" w:cs="宋体"/>
          <w:color w:val="auto"/>
          <w:sz w:val="24"/>
          <w:highlight w:val="none"/>
        </w:rPr>
        <w:t>。</w:t>
      </w:r>
    </w:p>
    <w:p w14:paraId="4EF501FF">
      <w:pPr>
        <w:tabs>
          <w:tab w:val="left" w:pos="432"/>
        </w:tabs>
        <w:spacing w:line="360" w:lineRule="auto"/>
        <w:ind w:left="0" w:firstLine="480" w:firstLineChars="200"/>
        <w:outlineLvl w:val="9"/>
        <w:rPr>
          <w:rFonts w:ascii="宋体" w:hAnsi="宋体" w:eastAsia="宋体" w:cs="宋体"/>
          <w:b w:val="0"/>
          <w:bCs w:val="0"/>
          <w:snapToGrid w:val="0"/>
          <w:color w:val="auto"/>
          <w:kern w:val="28"/>
          <w:sz w:val="24"/>
          <w:highlight w:val="none"/>
        </w:rPr>
      </w:pPr>
      <w:r>
        <w:rPr>
          <w:rFonts w:hint="eastAsia" w:ascii="宋体" w:hAnsi="宋体" w:eastAsia="宋体" w:cs="宋体"/>
          <w:b w:val="0"/>
          <w:bCs w:val="0"/>
          <w:snapToGrid w:val="0"/>
          <w:color w:val="auto"/>
          <w:kern w:val="28"/>
          <w:sz w:val="24"/>
          <w:highlight w:val="none"/>
        </w:rPr>
        <w:t>供应商</w:t>
      </w:r>
      <w:r>
        <w:rPr>
          <w:rFonts w:hint="eastAsia" w:ascii="宋体" w:hAnsi="宋体" w:eastAsia="宋体" w:cs="宋体"/>
          <w:b w:val="0"/>
          <w:bCs w:val="0"/>
          <w:snapToGrid w:val="0"/>
          <w:color w:val="auto"/>
          <w:kern w:val="28"/>
          <w:sz w:val="24"/>
          <w:highlight w:val="none"/>
          <w:lang w:val="en-US"/>
        </w:rPr>
        <w:t>可</w:t>
      </w:r>
      <w:r>
        <w:rPr>
          <w:rFonts w:hint="eastAsia" w:ascii="宋体" w:hAnsi="宋体" w:eastAsia="宋体" w:cs="宋体"/>
          <w:b w:val="0"/>
          <w:bCs w:val="0"/>
          <w:snapToGrid w:val="0"/>
          <w:color w:val="auto"/>
          <w:kern w:val="28"/>
          <w:sz w:val="24"/>
          <w:highlight w:val="none"/>
        </w:rPr>
        <w:t>登录政采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政采云金融专线</w:t>
      </w:r>
      <w:r>
        <w:rPr>
          <w:rFonts w:hint="eastAsia" w:ascii="宋体" w:hAnsi="宋体" w:eastAsia="宋体" w:cs="宋体"/>
          <w:b w:val="0"/>
          <w:bCs w:val="0"/>
          <w:snapToGrid w:val="0"/>
          <w:color w:val="auto"/>
          <w:kern w:val="28"/>
          <w:sz w:val="24"/>
          <w:highlight w:val="none"/>
          <w:lang w:val="en-US" w:eastAsia="zh-CN"/>
        </w:rPr>
        <w:t>95763</w:t>
      </w:r>
      <w:r>
        <w:rPr>
          <w:rFonts w:hint="eastAsia" w:ascii="宋体" w:hAnsi="宋体" w:eastAsia="宋体" w:cs="宋体"/>
          <w:b w:val="0"/>
          <w:bCs w:val="0"/>
          <w:snapToGrid w:val="0"/>
          <w:color w:val="auto"/>
          <w:kern w:val="28"/>
          <w:sz w:val="24"/>
          <w:highlight w:val="none"/>
        </w:rPr>
        <w:t>。</w:t>
      </w:r>
    </w:p>
    <w:p w14:paraId="2789CDCF">
      <w:pPr>
        <w:tabs>
          <w:tab w:val="left" w:pos="432"/>
        </w:tabs>
        <w:spacing w:line="360" w:lineRule="auto"/>
        <w:outlineLvl w:val="9"/>
        <w:rPr>
          <w:color w:val="auto"/>
          <w:highlight w:val="none"/>
        </w:rPr>
      </w:pPr>
      <w:r>
        <w:rPr>
          <w:rFonts w:ascii="宋体" w:hAnsi="宋体" w:eastAsia="宋体" w:cs="Times New Roman"/>
          <w:b/>
          <w:bCs/>
          <w:color w:val="auto"/>
          <w:kern w:val="2"/>
          <w:sz w:val="24"/>
          <w:szCs w:val="32"/>
          <w:highlight w:val="none"/>
          <w:lang w:val="en-US"/>
        </w:rPr>
        <w:t>2</w:t>
      </w:r>
      <w:r>
        <w:rPr>
          <w:rFonts w:hint="eastAsia" w:ascii="宋体" w:hAnsi="宋体" w:cs="Times New Roman"/>
          <w:b/>
          <w:bCs/>
          <w:color w:val="auto"/>
          <w:kern w:val="2"/>
          <w:sz w:val="24"/>
          <w:szCs w:val="32"/>
          <w:highlight w:val="none"/>
          <w:lang w:val="en-US" w:eastAsia="zh-CN"/>
        </w:rPr>
        <w:t>8</w:t>
      </w:r>
      <w:r>
        <w:rPr>
          <w:rFonts w:ascii="宋体" w:hAnsi="宋体" w:eastAsia="宋体" w:cs="Times New Roman"/>
          <w:b/>
          <w:bCs/>
          <w:color w:val="auto"/>
          <w:kern w:val="2"/>
          <w:sz w:val="24"/>
          <w:szCs w:val="32"/>
          <w:highlight w:val="none"/>
          <w:lang w:val="en-US"/>
        </w:rPr>
        <w:t>.预付款</w:t>
      </w:r>
    </w:p>
    <w:p w14:paraId="2CBF7FA1">
      <w:pPr>
        <w:adjustRightInd/>
        <w:spacing w:line="360" w:lineRule="auto"/>
        <w:ind w:firstLine="480" w:firstLineChars="200"/>
        <w:rPr>
          <w:color w:val="auto"/>
          <w:highlight w:val="none"/>
        </w:rPr>
      </w:pPr>
      <w:r>
        <w:rPr>
          <w:rFonts w:hint="eastAsia" w:ascii="宋体" w:hAnsi="宋体" w:cs="Times New Roman"/>
          <w:color w:val="auto"/>
          <w:kern w:val="2"/>
          <w:sz w:val="24"/>
          <w:highlight w:val="none"/>
        </w:rPr>
        <w:t>采购单位应当在政府采购合同中约定预付款，对中小企业合同预付款比例原则上不低于合同金额的</w:t>
      </w:r>
      <w:r>
        <w:rPr>
          <w:rFonts w:ascii="宋体" w:hAnsi="宋体" w:cs="Times New Roman"/>
          <w:color w:val="auto"/>
          <w:kern w:val="2"/>
          <w:sz w:val="24"/>
          <w:highlight w:val="none"/>
        </w:rPr>
        <w:t>40％</w:t>
      </w:r>
      <w:r>
        <w:rPr>
          <w:rFonts w:hint="eastAsia" w:ascii="宋体" w:hAnsi="宋体" w:cs="Times New Roman"/>
          <w:color w:val="auto"/>
          <w:kern w:val="2"/>
          <w:sz w:val="24"/>
          <w:highlight w:val="none"/>
        </w:rPr>
        <w:t>，不高于合同金额的</w:t>
      </w:r>
      <w:r>
        <w:rPr>
          <w:rFonts w:ascii="宋体" w:hAnsi="宋体" w:cs="Times New Roman"/>
          <w:color w:val="auto"/>
          <w:kern w:val="2"/>
          <w:sz w:val="24"/>
          <w:highlight w:val="none"/>
        </w:rPr>
        <w:t>70%；项目分年安排预算的，每年预付款比例</w:t>
      </w:r>
      <w:r>
        <w:rPr>
          <w:rFonts w:hint="eastAsia" w:ascii="宋体" w:hAnsi="宋体"/>
          <w:color w:val="auto"/>
          <w:sz w:val="24"/>
          <w:highlight w:val="none"/>
        </w:rPr>
        <w:t>不低于</w:t>
      </w:r>
      <w:r>
        <w:rPr>
          <w:rFonts w:ascii="宋体" w:hAnsi="宋体" w:cs="Times New Roman"/>
          <w:color w:val="auto"/>
          <w:kern w:val="2"/>
          <w:sz w:val="24"/>
          <w:highlight w:val="none"/>
        </w:rPr>
        <w:t>项目年度计划支付资金额的40％</w:t>
      </w:r>
      <w:r>
        <w:rPr>
          <w:rFonts w:hint="eastAsia" w:ascii="宋体" w:hAnsi="宋体" w:cs="Times New Roman"/>
          <w:color w:val="auto"/>
          <w:kern w:val="2"/>
          <w:sz w:val="24"/>
          <w:highlight w:val="none"/>
        </w:rPr>
        <w:t>，不高于合同金额的</w:t>
      </w:r>
      <w:r>
        <w:rPr>
          <w:rFonts w:ascii="宋体" w:hAnsi="宋体" w:cs="Times New Roman"/>
          <w:color w:val="auto"/>
          <w:kern w:val="2"/>
          <w:sz w:val="24"/>
          <w:highlight w:val="none"/>
        </w:rPr>
        <w:t>70%；采购项目实施以人工投入为主的，</w:t>
      </w:r>
      <w:r>
        <w:rPr>
          <w:rFonts w:hint="eastAsia" w:ascii="宋体" w:hAnsi="宋体" w:cs="Times New Roman"/>
          <w:color w:val="auto"/>
          <w:kern w:val="2"/>
          <w:sz w:val="24"/>
          <w:highlight w:val="none"/>
        </w:rPr>
        <w:t>可适当降低预付款比例，但不得低于</w:t>
      </w:r>
      <w:r>
        <w:rPr>
          <w:rFonts w:ascii="宋体" w:hAnsi="宋体" w:cs="Times New Roman"/>
          <w:color w:val="auto"/>
          <w:kern w:val="2"/>
          <w:sz w:val="24"/>
          <w:highlight w:val="none"/>
        </w:rPr>
        <w:t>20%。对供应商为大型企业的项目或者以人工投入为主且实行按月定期结算支付款项的项目，预付款可低于上述比例或者不约定预付款。在签订合同时，</w:t>
      </w:r>
      <w:r>
        <w:rPr>
          <w:rFonts w:hint="eastAsia" w:ascii="宋体" w:hAnsi="宋体" w:cs="Times New Roman"/>
          <w:color w:val="auto"/>
          <w:kern w:val="2"/>
          <w:sz w:val="24"/>
          <w:highlight w:val="none"/>
        </w:rPr>
        <w:t>供应商</w:t>
      </w:r>
      <w:r>
        <w:rPr>
          <w:rFonts w:ascii="宋体" w:hAnsi="宋体" w:cs="Times New Roman"/>
          <w:color w:val="auto"/>
          <w:kern w:val="2"/>
          <w:sz w:val="24"/>
          <w:highlight w:val="none"/>
        </w:rPr>
        <w:t>明确表示无需预付款或者主动要求降低预付款比例的，</w:t>
      </w:r>
      <w:r>
        <w:rPr>
          <w:rFonts w:hint="eastAsia" w:ascii="宋体" w:hAnsi="宋体" w:cs="Times New Roman"/>
          <w:color w:val="auto"/>
          <w:kern w:val="2"/>
          <w:sz w:val="24"/>
          <w:highlight w:val="none"/>
        </w:rPr>
        <w:t>采购单位</w:t>
      </w:r>
      <w:r>
        <w:rPr>
          <w:rFonts w:ascii="宋体" w:hAnsi="宋体" w:cs="Times New Roman"/>
          <w:color w:val="auto"/>
          <w:kern w:val="2"/>
          <w:sz w:val="24"/>
          <w:highlight w:val="none"/>
        </w:rPr>
        <w:t>可不适用前述规定。</w:t>
      </w:r>
      <w:r>
        <w:rPr>
          <w:rFonts w:hint="eastAsia" w:ascii="宋体" w:hAnsi="宋体" w:cs="Times New Roman"/>
          <w:color w:val="auto"/>
          <w:kern w:val="2"/>
          <w:sz w:val="24"/>
          <w:highlight w:val="none"/>
        </w:rPr>
        <w:t>采购单位</w:t>
      </w:r>
      <w:r>
        <w:rPr>
          <w:rFonts w:ascii="宋体" w:hAnsi="宋体" w:cs="Times New Roman"/>
          <w:color w:val="auto"/>
          <w:kern w:val="2"/>
          <w:sz w:val="24"/>
          <w:highlight w:val="none"/>
        </w:rPr>
        <w:t>根据项目特点、供应商诚信等因素，可以要求</w:t>
      </w:r>
      <w:r>
        <w:rPr>
          <w:rFonts w:hint="eastAsia" w:ascii="宋体" w:hAnsi="宋体" w:cs="Times New Roman"/>
          <w:color w:val="auto"/>
          <w:kern w:val="2"/>
          <w:sz w:val="24"/>
          <w:highlight w:val="none"/>
        </w:rPr>
        <w:t>供应商</w:t>
      </w:r>
      <w:r>
        <w:rPr>
          <w:rFonts w:ascii="宋体" w:hAnsi="宋体" w:cs="Times New Roman"/>
          <w:color w:val="auto"/>
          <w:kern w:val="2"/>
          <w:sz w:val="24"/>
          <w:highlight w:val="none"/>
        </w:rPr>
        <w:t>提交银行、保险公司等金融机构出具的预付款保函或其他担保措施。政府采购预付款应在合同生效以及具备实施条件后5个工作日内支付。</w:t>
      </w:r>
      <w:r>
        <w:rPr>
          <w:rFonts w:hint="eastAsia" w:ascii="宋体" w:hAnsi="宋体" w:cs="Times New Roman"/>
          <w:color w:val="auto"/>
          <w:kern w:val="2"/>
          <w:sz w:val="24"/>
          <w:highlight w:val="none"/>
        </w:rPr>
        <w:t>政府采购工程以及与工程建设有关的货物、服务，采用招标方式采购的，预付款从其相关规定。供应商可登录政采云前台大厅选择金融服务</w:t>
      </w:r>
      <w:r>
        <w:rPr>
          <w:rFonts w:ascii="宋体" w:hAnsi="宋体" w:cs="Times New Roman"/>
          <w:color w:val="auto"/>
          <w:kern w:val="2"/>
          <w:sz w:val="24"/>
          <w:highlight w:val="none"/>
        </w:rPr>
        <w:t xml:space="preserve"> - </w:t>
      </w:r>
      <w:r>
        <w:rPr>
          <w:rFonts w:hint="eastAsia" w:ascii="宋体" w:hAnsi="宋体" w:cs="Times New Roman"/>
          <w:color w:val="auto"/>
          <w:kern w:val="2"/>
          <w:sz w:val="24"/>
          <w:highlight w:val="none"/>
        </w:rPr>
        <w:t>【保函保险服务】出具预付款保函，具体步骤：选择产品—填写供应商信息—选择中标项目—确认信息—等待保险</w:t>
      </w:r>
      <w:r>
        <w:rPr>
          <w:rFonts w:ascii="宋体" w:hAnsi="宋体" w:cs="Times New Roman"/>
          <w:color w:val="auto"/>
          <w:kern w:val="2"/>
          <w:sz w:val="24"/>
          <w:highlight w:val="none"/>
        </w:rPr>
        <w:t>/保函受理—确认保单—支付保费—成功出单。政</w:t>
      </w:r>
      <w:r>
        <w:rPr>
          <w:rFonts w:hint="eastAsia" w:ascii="宋体" w:hAnsi="宋体" w:cs="Times New Roman"/>
          <w:color w:val="auto"/>
          <w:kern w:val="2"/>
          <w:sz w:val="24"/>
          <w:highlight w:val="none"/>
        </w:rPr>
        <w:t>采云金融专线</w:t>
      </w:r>
      <w:r>
        <w:rPr>
          <w:rFonts w:hint="eastAsia" w:ascii="宋体" w:hAnsi="宋体" w:cs="Times New Roman"/>
          <w:color w:val="auto"/>
          <w:kern w:val="2"/>
          <w:sz w:val="24"/>
          <w:highlight w:val="none"/>
          <w:lang w:val="en-US" w:eastAsia="zh-CN"/>
        </w:rPr>
        <w:t>95763</w:t>
      </w:r>
      <w:r>
        <w:rPr>
          <w:rFonts w:ascii="宋体" w:hAnsi="宋体" w:cs="Times New Roman"/>
          <w:color w:val="auto"/>
          <w:kern w:val="2"/>
          <w:sz w:val="24"/>
          <w:highlight w:val="none"/>
        </w:rPr>
        <w:t>。</w:t>
      </w:r>
    </w:p>
    <w:p w14:paraId="4E294928">
      <w:pPr>
        <w:bidi w:val="0"/>
      </w:pPr>
    </w:p>
    <w:p w14:paraId="68B7B705">
      <w:pPr>
        <w:adjustRightInd/>
        <w:spacing w:line="360" w:lineRule="auto"/>
        <w:jc w:val="center"/>
        <w:outlineLvl w:val="1"/>
        <w:rPr>
          <w:rFonts w:hint="eastAsia" w:ascii="宋体" w:hAnsi="宋体" w:cs="宋体"/>
          <w:b/>
          <w:color w:val="auto"/>
          <w:sz w:val="32"/>
          <w:szCs w:val="20"/>
          <w:highlight w:val="none"/>
        </w:rPr>
      </w:pPr>
      <w:r>
        <w:rPr>
          <w:rFonts w:hint="eastAsia" w:ascii="宋体" w:hAnsi="宋体" w:cs="宋体"/>
          <w:b/>
          <w:color w:val="auto"/>
          <w:sz w:val="32"/>
          <w:szCs w:val="20"/>
          <w:highlight w:val="none"/>
        </w:rPr>
        <w:t>八、电子交易活动的中止</w:t>
      </w:r>
    </w:p>
    <w:p w14:paraId="2058F0E9">
      <w:pPr>
        <w:pStyle w:val="132"/>
        <w:snapToGrid w:val="0"/>
        <w:spacing w:before="0"/>
        <w:ind w:firstLine="0" w:firstLineChars="0"/>
        <w:rPr>
          <w:rFonts w:ascii="宋体" w:hAnsi="宋体" w:cs="宋体"/>
          <w:color w:val="auto"/>
          <w:highlight w:val="none"/>
        </w:rPr>
      </w:pPr>
      <w:r>
        <w:rPr>
          <w:rFonts w:ascii="宋体" w:hAnsi="宋体" w:cs="宋体"/>
          <w:b/>
          <w:bCs/>
          <w:color w:val="auto"/>
          <w:kern w:val="2"/>
          <w:sz w:val="24"/>
          <w:szCs w:val="20"/>
          <w:highlight w:val="none"/>
        </w:rPr>
        <w:t>2</w:t>
      </w:r>
      <w:r>
        <w:rPr>
          <w:rFonts w:hint="eastAsia" w:ascii="宋体" w:hAnsi="宋体" w:cs="宋体"/>
          <w:b/>
          <w:bCs/>
          <w:color w:val="auto"/>
          <w:kern w:val="2"/>
          <w:sz w:val="24"/>
          <w:szCs w:val="24"/>
          <w:highlight w:val="none"/>
          <w:lang w:val="en-US" w:eastAsia="zh-CN"/>
        </w:rPr>
        <w:t>9</w:t>
      </w:r>
      <w:r>
        <w:rPr>
          <w:rFonts w:hint="eastAsia" w:ascii="宋体" w:hAnsi="宋体" w:cs="宋体"/>
          <w:b/>
          <w:color w:val="auto"/>
          <w:szCs w:val="24"/>
          <w:highlight w:val="none"/>
        </w:rPr>
        <w:t>.电子交易活动的中止。</w:t>
      </w:r>
      <w:r>
        <w:rPr>
          <w:rFonts w:hint="eastAsia" w:ascii="宋体" w:hAnsi="宋体" w:cs="宋体"/>
          <w:color w:val="auto"/>
          <w:highlight w:val="none"/>
        </w:rPr>
        <w:t>采购过程中出现以下情形，导致电子交易平台无法正常运行，或者无法保证电子交易的公平、公正和安全时，</w:t>
      </w:r>
      <w:r>
        <w:rPr>
          <w:rFonts w:hint="eastAsia" w:ascii="宋体" w:hAnsi="宋体" w:cs="宋体"/>
          <w:color w:val="auto"/>
          <w:highlight w:val="none"/>
          <w:lang w:eastAsia="zh-CN"/>
        </w:rPr>
        <w:t>采购代理机构</w:t>
      </w:r>
      <w:r>
        <w:rPr>
          <w:rFonts w:hint="eastAsia" w:ascii="宋体" w:hAnsi="宋体" w:cs="宋体"/>
          <w:color w:val="auto"/>
          <w:highlight w:val="none"/>
        </w:rPr>
        <w:t>可中止电子交易活动：</w:t>
      </w:r>
    </w:p>
    <w:p w14:paraId="288A682B">
      <w:pPr>
        <w:pStyle w:val="132"/>
        <w:snapToGrid w:val="0"/>
        <w:spacing w:before="0"/>
        <w:ind w:firstLine="480"/>
        <w:rPr>
          <w:rFonts w:ascii="宋体" w:hAnsi="宋体" w:cs="宋体"/>
          <w:color w:val="auto"/>
          <w:highlight w:val="none"/>
        </w:rPr>
      </w:pPr>
      <w:r>
        <w:rPr>
          <w:rFonts w:hint="eastAsia" w:ascii="宋体" w:hAnsi="宋体" w:cs="宋体"/>
          <w:color w:val="auto"/>
          <w:highlight w:val="none"/>
        </w:rPr>
        <w:t xml:space="preserve">28.1电子交易平台发生故障而无法登录访问的； </w:t>
      </w:r>
    </w:p>
    <w:p w14:paraId="5712565A">
      <w:pPr>
        <w:pStyle w:val="132"/>
        <w:snapToGrid w:val="0"/>
        <w:spacing w:before="0"/>
        <w:ind w:firstLine="480"/>
        <w:rPr>
          <w:rFonts w:ascii="宋体" w:hAnsi="宋体" w:cs="宋体"/>
          <w:color w:val="auto"/>
          <w:highlight w:val="none"/>
        </w:rPr>
      </w:pPr>
      <w:r>
        <w:rPr>
          <w:rFonts w:hint="eastAsia" w:ascii="宋体" w:hAnsi="宋体" w:cs="宋体"/>
          <w:color w:val="auto"/>
          <w:highlight w:val="none"/>
        </w:rPr>
        <w:t>28.2电子交易平台应用或数据库出现错误，不能进行正常操作的；</w:t>
      </w:r>
    </w:p>
    <w:p w14:paraId="2E15E80C">
      <w:pPr>
        <w:pStyle w:val="132"/>
        <w:snapToGrid w:val="0"/>
        <w:spacing w:before="0"/>
        <w:ind w:firstLine="480"/>
        <w:rPr>
          <w:rFonts w:ascii="宋体" w:hAnsi="宋体" w:cs="宋体"/>
          <w:color w:val="auto"/>
          <w:highlight w:val="none"/>
        </w:rPr>
      </w:pPr>
      <w:r>
        <w:rPr>
          <w:rFonts w:hint="eastAsia" w:ascii="宋体" w:hAnsi="宋体" w:cs="宋体"/>
          <w:color w:val="auto"/>
          <w:highlight w:val="none"/>
        </w:rPr>
        <w:t>28.3电子交易平台发现严重安全漏洞，有潜在泄密危险的；</w:t>
      </w:r>
    </w:p>
    <w:p w14:paraId="5501B6D6">
      <w:pPr>
        <w:pStyle w:val="132"/>
        <w:snapToGrid w:val="0"/>
        <w:spacing w:before="0"/>
        <w:ind w:firstLine="480"/>
        <w:rPr>
          <w:rFonts w:ascii="宋体" w:hAnsi="宋体" w:cs="宋体"/>
          <w:color w:val="auto"/>
          <w:highlight w:val="none"/>
        </w:rPr>
      </w:pPr>
      <w:r>
        <w:rPr>
          <w:rFonts w:hint="eastAsia" w:ascii="宋体" w:hAnsi="宋体" w:cs="宋体"/>
          <w:color w:val="auto"/>
          <w:highlight w:val="none"/>
        </w:rPr>
        <w:t xml:space="preserve">28.4病毒发作导致不能进行正常操作的； </w:t>
      </w:r>
    </w:p>
    <w:p w14:paraId="7F3AF9E0">
      <w:pPr>
        <w:pStyle w:val="132"/>
        <w:snapToGrid w:val="0"/>
        <w:spacing w:before="0"/>
        <w:ind w:firstLine="480"/>
        <w:rPr>
          <w:rFonts w:ascii="宋体" w:hAnsi="宋体" w:cs="宋体"/>
          <w:color w:val="auto"/>
          <w:highlight w:val="none"/>
        </w:rPr>
      </w:pPr>
      <w:r>
        <w:rPr>
          <w:rFonts w:hint="eastAsia" w:ascii="宋体" w:hAnsi="宋体" w:cs="宋体"/>
          <w:color w:val="auto"/>
          <w:highlight w:val="none"/>
        </w:rPr>
        <w:t>28.5其他无法保证电子交易的公平、公正和安全的情况。</w:t>
      </w:r>
    </w:p>
    <w:p w14:paraId="3446646D">
      <w:pPr>
        <w:pStyle w:val="132"/>
        <w:snapToGrid w:val="0"/>
        <w:spacing w:before="0"/>
        <w:ind w:firstLine="0" w:firstLineChars="0"/>
        <w:rPr>
          <w:rFonts w:ascii="宋体" w:hAnsi="宋体" w:cs="宋体"/>
          <w:color w:val="auto"/>
          <w:highlight w:val="none"/>
        </w:rPr>
      </w:pPr>
      <w:r>
        <w:rPr>
          <w:rFonts w:hint="eastAsia" w:ascii="宋体" w:hAnsi="宋体" w:cs="宋体"/>
          <w:color w:val="auto"/>
          <w:highlight w:val="none"/>
          <w:lang w:val="en-US" w:eastAsia="zh-CN"/>
        </w:rPr>
        <w:t>30</w:t>
      </w:r>
      <w:r>
        <w:rPr>
          <w:rFonts w:hint="eastAsia" w:ascii="宋体" w:hAnsi="宋体" w:cs="宋体"/>
          <w:color w:val="auto"/>
          <w:highlight w:val="none"/>
        </w:rPr>
        <w:t>.出现以上情形，不影响采购公平、公正性的，采购组织机构可以待上述情形消除后继续组织电子交易活动，也可以决定某些环节以纸质形式进行；影响或可能影响采购公平、公正性的，应当重新采购。</w:t>
      </w:r>
    </w:p>
    <w:p w14:paraId="461EE8B7">
      <w:pPr>
        <w:bidi w:val="0"/>
      </w:pPr>
    </w:p>
    <w:p w14:paraId="25424B20">
      <w:pPr>
        <w:adjustRightInd/>
        <w:spacing w:line="360" w:lineRule="auto"/>
        <w:ind w:firstLine="3845" w:firstLineChars="1197"/>
        <w:outlineLvl w:val="1"/>
        <w:rPr>
          <w:rFonts w:hint="eastAsia" w:ascii="宋体" w:hAnsi="宋体" w:cs="宋体"/>
          <w:b/>
          <w:color w:val="auto"/>
          <w:sz w:val="32"/>
          <w:szCs w:val="20"/>
          <w:highlight w:val="none"/>
        </w:rPr>
      </w:pPr>
      <w:r>
        <w:rPr>
          <w:rFonts w:hint="eastAsia" w:ascii="宋体" w:hAnsi="宋体" w:cs="宋体"/>
          <w:b/>
          <w:color w:val="auto"/>
          <w:sz w:val="32"/>
          <w:szCs w:val="20"/>
          <w:highlight w:val="none"/>
        </w:rPr>
        <w:t>九、验收</w:t>
      </w:r>
    </w:p>
    <w:p w14:paraId="68241CC0">
      <w:pPr>
        <w:pStyle w:val="25"/>
        <w:spacing w:line="360" w:lineRule="auto"/>
        <w:ind w:firstLine="0" w:firstLineChars="0"/>
        <w:rPr>
          <w:rFonts w:cs="宋体"/>
          <w:b/>
          <w:color w:val="auto"/>
          <w:highlight w:val="none"/>
        </w:rPr>
      </w:pPr>
      <w:r>
        <w:rPr>
          <w:rFonts w:hint="eastAsia" w:cs="宋体"/>
          <w:b/>
          <w:color w:val="auto"/>
          <w:highlight w:val="none"/>
        </w:rPr>
        <w:t>3</w:t>
      </w:r>
      <w:r>
        <w:rPr>
          <w:rFonts w:hint="eastAsia" w:cs="宋体"/>
          <w:b/>
          <w:color w:val="auto"/>
          <w:highlight w:val="none"/>
          <w:lang w:val="en-US" w:eastAsia="zh-CN"/>
        </w:rPr>
        <w:t>1</w:t>
      </w:r>
      <w:r>
        <w:rPr>
          <w:rFonts w:hint="eastAsia" w:cs="宋体"/>
          <w:b/>
          <w:color w:val="auto"/>
          <w:highlight w:val="none"/>
        </w:rPr>
        <w:t>.验收</w:t>
      </w:r>
    </w:p>
    <w:p w14:paraId="3B953EAF">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3</w:t>
      </w: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rPr>
        <w:t>.1采购人应当根据采购项目的具体情况，自行组织项目验收或者委托采购代理机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6A1CC634">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3</w:t>
      </w: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rPr>
        <w:t>.2采购人可以邀请参加本项目的其他投标人或者第三方机构参与验收。参与验收的投标人或者第三方机构的意见作为验收书的参考资料一并存档。</w:t>
      </w:r>
    </w:p>
    <w:p w14:paraId="73F934DA">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31</w:t>
      </w:r>
      <w:r>
        <w:rPr>
          <w:rFonts w:hint="eastAsia" w:ascii="宋体" w:hAnsi="宋体" w:cs="宋体"/>
          <w:color w:val="auto"/>
          <w:kern w:val="0"/>
          <w:sz w:val="24"/>
          <w:highlight w:val="none"/>
        </w:rPr>
        <w:t>.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6924D68">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31</w:t>
      </w:r>
      <w:r>
        <w:rPr>
          <w:rFonts w:hint="eastAsia" w:ascii="宋体" w:hAnsi="宋体" w:cs="宋体"/>
          <w:color w:val="auto"/>
          <w:kern w:val="0"/>
          <w:sz w:val="24"/>
          <w:highlight w:val="none"/>
        </w:rPr>
        <w:t>.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bookmarkEnd w:id="19"/>
      <w:bookmarkStart w:id="20" w:name="_Hlt74707468"/>
      <w:bookmarkEnd w:id="20"/>
      <w:bookmarkStart w:id="21" w:name="_Hlt74729768"/>
      <w:bookmarkEnd w:id="21"/>
      <w:bookmarkStart w:id="22" w:name="_Hlt74714665"/>
      <w:bookmarkEnd w:id="22"/>
      <w:bookmarkStart w:id="23" w:name="_Hlt68072990"/>
      <w:bookmarkEnd w:id="23"/>
      <w:bookmarkStart w:id="24" w:name="_Hlt68073093"/>
      <w:bookmarkEnd w:id="24"/>
      <w:bookmarkStart w:id="25" w:name="_Hlt68057669"/>
      <w:bookmarkEnd w:id="25"/>
      <w:bookmarkStart w:id="26" w:name="_Hlt75236011"/>
      <w:bookmarkEnd w:id="26"/>
      <w:bookmarkStart w:id="27" w:name="_Hlt68403820"/>
      <w:bookmarkEnd w:id="27"/>
      <w:bookmarkStart w:id="28" w:name="_Hlt74730295"/>
      <w:bookmarkEnd w:id="28"/>
      <w:bookmarkStart w:id="29" w:name="_Hlt75236101"/>
      <w:bookmarkEnd w:id="29"/>
      <w:bookmarkStart w:id="30" w:name="_Hlt75236290"/>
      <w:bookmarkEnd w:id="30"/>
      <w:bookmarkStart w:id="31" w:name="_Hlt68072998"/>
      <w:bookmarkEnd w:id="31"/>
    </w:p>
    <w:p w14:paraId="16A5F0C9">
      <w:pPr>
        <w:tabs>
          <w:tab w:val="left" w:pos="432"/>
        </w:tabs>
        <w:adjustRightInd w:val="0"/>
        <w:snapToGrid w:val="0"/>
        <w:spacing w:line="360" w:lineRule="auto"/>
        <w:ind w:left="0" w:firstLine="480" w:firstLineChars="200"/>
        <w:outlineLvl w:val="9"/>
        <w:rPr>
          <w:rFonts w:ascii="宋体" w:hAnsi="宋体" w:eastAsia="宋体" w:cs="宋体"/>
          <w:b w:val="0"/>
          <w:bCs w:val="0"/>
          <w:color w:val="auto"/>
          <w:kern w:val="0"/>
          <w:sz w:val="24"/>
          <w:szCs w:val="24"/>
          <w:highlight w:val="none"/>
          <w:lang w:val="en-US"/>
        </w:rPr>
      </w:pPr>
      <w:r>
        <w:rPr>
          <w:rFonts w:hint="eastAsia" w:ascii="宋体" w:hAnsi="宋体" w:cs="宋体"/>
          <w:b w:val="0"/>
          <w:bCs w:val="0"/>
          <w:color w:val="auto"/>
          <w:kern w:val="0"/>
          <w:sz w:val="24"/>
          <w:szCs w:val="24"/>
          <w:highlight w:val="none"/>
          <w:lang w:val="en-US" w:eastAsia="zh-CN"/>
        </w:rPr>
        <w:t>31</w:t>
      </w:r>
      <w:r>
        <w:rPr>
          <w:rFonts w:hint="eastAsia" w:ascii="宋体" w:hAnsi="宋体" w:eastAsia="宋体" w:cs="宋体"/>
          <w:b w:val="0"/>
          <w:bCs w:val="0"/>
          <w:color w:val="auto"/>
          <w:kern w:val="0"/>
          <w:sz w:val="24"/>
          <w:szCs w:val="24"/>
          <w:highlight w:val="none"/>
          <w:lang w:val="en-US"/>
        </w:rPr>
        <w:t>.5对于满足合同约定的采购资金支付条件的，供应商可通过政采云平台提起在线支付申请、查询支付结果，路径为政采云-我的工作台-</w:t>
      </w:r>
      <w:r>
        <w:rPr>
          <w:rFonts w:hint="eastAsia" w:ascii="宋体" w:hAnsi="宋体" w:eastAsia="宋体" w:cs="宋体"/>
          <w:b w:val="0"/>
          <w:bCs w:val="0"/>
          <w:color w:val="auto"/>
          <w:kern w:val="0"/>
          <w:sz w:val="24"/>
          <w:szCs w:val="24"/>
          <w:highlight w:val="none"/>
          <w:lang w:val="en-US" w:eastAsia="zh-CN"/>
        </w:rPr>
        <w:t>合同管理</w:t>
      </w:r>
      <w:r>
        <w:rPr>
          <w:rFonts w:hint="eastAsia" w:ascii="宋体" w:hAnsi="宋体" w:eastAsia="宋体" w:cs="宋体"/>
          <w:b w:val="0"/>
          <w:bCs w:val="0"/>
          <w:color w:val="auto"/>
          <w:kern w:val="0"/>
          <w:sz w:val="24"/>
          <w:szCs w:val="24"/>
          <w:highlight w:val="none"/>
          <w:lang w:val="en-US"/>
        </w:rPr>
        <w:t>-支付管理。对于供应商提起在线支付申请的，采购</w:t>
      </w:r>
      <w:r>
        <w:rPr>
          <w:rFonts w:hint="eastAsia" w:ascii="宋体" w:hAnsi="宋体" w:eastAsia="宋体" w:cs="宋体"/>
          <w:b w:val="0"/>
          <w:bCs w:val="0"/>
          <w:color w:val="auto"/>
          <w:kern w:val="0"/>
          <w:sz w:val="24"/>
          <w:szCs w:val="24"/>
          <w:highlight w:val="none"/>
          <w:lang w:val="en-US" w:eastAsia="zh-CN"/>
        </w:rPr>
        <w:t>人</w:t>
      </w:r>
      <w:r>
        <w:rPr>
          <w:rFonts w:hint="eastAsia" w:ascii="宋体" w:hAnsi="宋体" w:eastAsia="宋体" w:cs="宋体"/>
          <w:b w:val="0"/>
          <w:bCs w:val="0"/>
          <w:color w:val="auto"/>
          <w:kern w:val="0"/>
          <w:sz w:val="24"/>
          <w:szCs w:val="24"/>
          <w:highlight w:val="none"/>
          <w:lang w:val="en-US"/>
        </w:rPr>
        <w:t>应当</w:t>
      </w:r>
      <w:r>
        <w:rPr>
          <w:rFonts w:hint="eastAsia" w:ascii="宋体" w:hAnsi="宋体" w:eastAsia="宋体" w:cs="宋体"/>
          <w:b w:val="0"/>
          <w:bCs w:val="0"/>
          <w:color w:val="auto"/>
          <w:kern w:val="0"/>
          <w:sz w:val="24"/>
          <w:szCs w:val="24"/>
          <w:highlight w:val="none"/>
          <w:lang w:val="en-US" w:eastAsia="zh-CN"/>
        </w:rPr>
        <w:t>按规定</w:t>
      </w:r>
      <w:r>
        <w:rPr>
          <w:rFonts w:hint="eastAsia" w:ascii="宋体" w:hAnsi="宋体" w:eastAsia="宋体" w:cs="宋体"/>
          <w:b w:val="0"/>
          <w:bCs w:val="0"/>
          <w:color w:val="auto"/>
          <w:kern w:val="0"/>
          <w:sz w:val="24"/>
          <w:szCs w:val="24"/>
          <w:highlight w:val="none"/>
          <w:lang w:val="en-US"/>
        </w:rPr>
        <w:t>做好审核并完成支付。</w:t>
      </w:r>
    </w:p>
    <w:p w14:paraId="3F87AD7F">
      <w:pPr>
        <w:rPr>
          <w:color w:val="auto"/>
          <w:highlight w:val="none"/>
        </w:rPr>
      </w:pPr>
    </w:p>
    <w:p w14:paraId="0B9F8503">
      <w:pPr>
        <w:rPr>
          <w:color w:val="auto"/>
          <w:highlight w:val="none"/>
        </w:rPr>
      </w:pPr>
      <w:r>
        <w:rPr>
          <w:color w:val="auto"/>
          <w:highlight w:val="none"/>
        </w:rPr>
        <w:br w:type="page"/>
      </w:r>
    </w:p>
    <w:p w14:paraId="4E5B9077">
      <w:pPr>
        <w:spacing w:line="360" w:lineRule="auto"/>
        <w:jc w:val="center"/>
        <w:outlineLvl w:val="0"/>
        <w:rPr>
          <w:rFonts w:ascii="宋体" w:hAnsi="宋体" w:cs="宋体"/>
          <w:b/>
          <w:sz w:val="36"/>
          <w:szCs w:val="36"/>
          <w:highlight w:val="none"/>
          <w:shd w:val="clear" w:color="auto" w:fill="auto"/>
        </w:rPr>
      </w:pPr>
      <w:r>
        <w:rPr>
          <w:rFonts w:hint="eastAsia" w:ascii="宋体" w:hAnsi="宋体" w:cs="宋体"/>
          <w:b/>
          <w:sz w:val="36"/>
          <w:szCs w:val="36"/>
          <w:highlight w:val="none"/>
          <w:shd w:val="clear" w:color="auto" w:fill="auto"/>
        </w:rPr>
        <w:t>第三部分 采购需求</w:t>
      </w:r>
    </w:p>
    <w:p w14:paraId="0E28868C">
      <w:pPr>
        <w:pStyle w:val="23"/>
        <w:rPr>
          <w:rFonts w:hint="eastAsia"/>
          <w:lang w:eastAsia="zh-CN"/>
        </w:rPr>
      </w:pPr>
      <w:r>
        <w:rPr>
          <w:rFonts w:hint="eastAsia"/>
        </w:rPr>
        <w:t>“▲” 系指实质性要求条款</w:t>
      </w:r>
      <w:r>
        <w:rPr>
          <w:rFonts w:hint="eastAsia"/>
          <w:lang w:eastAsia="zh-CN"/>
        </w:rPr>
        <w:t>，不满足或未响应招标文件的实质性要求的，投标无效。</w:t>
      </w:r>
      <w:bookmarkStart w:id="32" w:name="OLE_LINK83"/>
      <w:bookmarkStart w:id="33" w:name="OLE_LINK5"/>
    </w:p>
    <w:p w14:paraId="0F873646">
      <w:pPr>
        <w:keepNext w:val="0"/>
        <w:keepLines w:val="0"/>
        <w:pageBreakBefore w:val="0"/>
        <w:kinsoku/>
        <w:wordWrap/>
        <w:overflowPunct/>
        <w:topLinePunct w:val="0"/>
        <w:autoSpaceDE/>
        <w:autoSpaceDN/>
        <w:bidi w:val="0"/>
        <w:adjustRightInd w:val="0"/>
        <w:spacing w:line="360" w:lineRule="auto"/>
        <w:ind w:firstLine="482" w:firstLineChars="200"/>
        <w:textAlignment w:val="auto"/>
        <w:outlineLvl w:val="9"/>
        <w:rPr>
          <w:rFonts w:ascii="宋体" w:hAnsi="宋体" w:cs="宋体"/>
          <w:b/>
          <w:sz w:val="24"/>
        </w:rPr>
      </w:pPr>
      <w:r>
        <w:rPr>
          <w:rFonts w:hint="eastAsia" w:ascii="宋体" w:hAnsi="宋体" w:cs="宋体"/>
          <w:b/>
          <w:sz w:val="24"/>
        </w:rPr>
        <w:t>一、项目概况</w:t>
      </w:r>
    </w:p>
    <w:p w14:paraId="72F7A945">
      <w:pPr>
        <w:pStyle w:val="5"/>
        <w:keepNext w:val="0"/>
        <w:keepLines w:val="0"/>
        <w:pageBreakBefore w:val="0"/>
        <w:kinsoku/>
        <w:wordWrap/>
        <w:overflowPunct/>
        <w:topLinePunct w:val="0"/>
        <w:autoSpaceDE/>
        <w:autoSpaceDN/>
        <w:bidi w:val="0"/>
        <w:adjustRightInd w:val="0"/>
        <w:spacing w:line="360" w:lineRule="auto"/>
        <w:ind w:firstLine="480" w:firstLineChars="200"/>
        <w:textAlignment w:val="auto"/>
        <w:outlineLvl w:val="9"/>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color w:val="auto"/>
          <w:sz w:val="24"/>
          <w:szCs w:val="24"/>
        </w:rPr>
        <w:t>1、</w:t>
      </w:r>
      <w:bookmarkStart w:id="34" w:name="OLE_LINK94"/>
      <w:r>
        <w:rPr>
          <w:rFonts w:hint="eastAsia" w:asciiTheme="minorEastAsia" w:hAnsiTheme="minorEastAsia" w:eastAsiaTheme="minorEastAsia" w:cstheme="minorEastAsia"/>
          <w:color w:val="auto"/>
          <w:sz w:val="24"/>
          <w:szCs w:val="24"/>
        </w:rPr>
        <w:t>采购内容：</w:t>
      </w:r>
      <w:bookmarkStart w:id="35" w:name="OLE_LINK4"/>
      <w:r>
        <w:rPr>
          <w:rFonts w:hint="eastAsia" w:asciiTheme="minorEastAsia" w:hAnsiTheme="minorEastAsia" w:eastAsiaTheme="minorEastAsia" w:cstheme="minorEastAsia"/>
          <w:color w:val="auto"/>
          <w:sz w:val="24"/>
          <w:szCs w:val="24"/>
        </w:rPr>
        <w:t>符合信息技术创新改造产品要求的便携式</w:t>
      </w:r>
      <w:r>
        <w:rPr>
          <w:rFonts w:asciiTheme="minorEastAsia" w:hAnsiTheme="minorEastAsia" w:eastAsiaTheme="minorEastAsia" w:cstheme="minorEastAsia"/>
          <w:color w:val="auto"/>
          <w:sz w:val="24"/>
          <w:szCs w:val="24"/>
        </w:rPr>
        <w:t>计算机</w:t>
      </w:r>
      <w:r>
        <w:rPr>
          <w:rFonts w:hint="eastAsia" w:asciiTheme="minorEastAsia" w:hAnsiTheme="minorEastAsia" w:eastAsiaTheme="minorEastAsia" w:cstheme="minorEastAsia"/>
          <w:color w:val="auto"/>
          <w:sz w:val="24"/>
          <w:szCs w:val="24"/>
          <w:lang w:val="en-US" w:eastAsia="zh-CN"/>
        </w:rPr>
        <w:t>54</w:t>
      </w:r>
      <w:r>
        <w:rPr>
          <w:rFonts w:hint="eastAsia" w:asciiTheme="minorEastAsia" w:hAnsiTheme="minorEastAsia" w:eastAsiaTheme="minorEastAsia" w:cstheme="minorEastAsia"/>
          <w:color w:val="auto"/>
          <w:sz w:val="24"/>
          <w:szCs w:val="24"/>
        </w:rPr>
        <w:t>台</w:t>
      </w:r>
      <w:r>
        <w:rPr>
          <w:rFonts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rPr>
        <w:t>配</w:t>
      </w:r>
      <w:r>
        <w:rPr>
          <w:rFonts w:hint="eastAsia" w:asciiTheme="minorEastAsia" w:hAnsiTheme="minorEastAsia" w:eastAsiaTheme="minorEastAsia" w:cstheme="minorEastAsia"/>
          <w:sz w:val="24"/>
          <w:szCs w:val="24"/>
        </w:rPr>
        <w:t>套国产化操作系统</w:t>
      </w:r>
      <w:bookmarkEnd w:id="34"/>
      <w:bookmarkEnd w:id="35"/>
      <w:bookmarkStart w:id="36" w:name="OLE_LINK85"/>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bCs/>
          <w:sz w:val="24"/>
          <w:szCs w:val="24"/>
        </w:rPr>
        <w:t>具体包括安装、产品调试、验收与相关的操作培训及不少于3年（含）7×24小时免费设备保修和售后现场技术服务等内容。</w:t>
      </w:r>
    </w:p>
    <w:p w14:paraId="6E6B0C04">
      <w:pPr>
        <w:pStyle w:val="5"/>
        <w:keepNext w:val="0"/>
        <w:keepLines w:val="0"/>
        <w:pageBreakBefore w:val="0"/>
        <w:kinsoku/>
        <w:wordWrap/>
        <w:overflowPunct/>
        <w:topLinePunct w:val="0"/>
        <w:autoSpaceDE/>
        <w:autoSpaceDN/>
        <w:bidi w:val="0"/>
        <w:adjustRightInd w:val="0"/>
        <w:spacing w:line="360" w:lineRule="auto"/>
        <w:ind w:firstLine="480" w:firstLineChars="200"/>
        <w:textAlignment w:val="auto"/>
        <w:outlineLvl w:val="9"/>
        <w:rPr>
          <w:rFonts w:asciiTheme="minorEastAsia" w:hAnsiTheme="minorEastAsia" w:eastAsiaTheme="minorEastAsia" w:cstheme="minorEastAsia"/>
          <w:sz w:val="24"/>
          <w:szCs w:val="24"/>
        </w:rPr>
      </w:pPr>
      <w:bookmarkStart w:id="37" w:name="OLE_LINK19"/>
      <w:r>
        <w:rPr>
          <w:rFonts w:hint="eastAsia" w:asciiTheme="minorEastAsia" w:hAnsiTheme="minorEastAsia" w:eastAsiaTheme="minorEastAsia" w:cstheme="minorEastAsia"/>
          <w:sz w:val="24"/>
          <w:szCs w:val="24"/>
        </w:rPr>
        <w:t>2、本采购项目为交钥匙项目，包括设备费、材料费、安装调试费、运输费、税收、售</w:t>
      </w:r>
      <w:bookmarkEnd w:id="36"/>
      <w:r>
        <w:rPr>
          <w:rFonts w:hint="eastAsia" w:asciiTheme="minorEastAsia" w:hAnsiTheme="minorEastAsia" w:eastAsiaTheme="minorEastAsia" w:cstheme="minorEastAsia"/>
          <w:sz w:val="24"/>
          <w:szCs w:val="24"/>
        </w:rPr>
        <w:t>后服务、采购需求中未提到但在实际采购和</w:t>
      </w:r>
      <w:bookmarkEnd w:id="37"/>
      <w:r>
        <w:rPr>
          <w:rFonts w:hint="eastAsia" w:asciiTheme="minorEastAsia" w:hAnsiTheme="minorEastAsia" w:eastAsiaTheme="minorEastAsia" w:cstheme="minorEastAsia"/>
          <w:sz w:val="24"/>
          <w:szCs w:val="24"/>
        </w:rPr>
        <w:t>安装过程中需要配置的各种设备、材料及其他费用等须由投标人支付的所有费用。</w:t>
      </w:r>
    </w:p>
    <w:p w14:paraId="6CD984BB">
      <w:pPr>
        <w:pStyle w:val="5"/>
        <w:keepNext w:val="0"/>
        <w:keepLines w:val="0"/>
        <w:pageBreakBefore w:val="0"/>
        <w:kinsoku/>
        <w:wordWrap/>
        <w:overflowPunct/>
        <w:topLinePunct w:val="0"/>
        <w:autoSpaceDE/>
        <w:autoSpaceDN/>
        <w:bidi w:val="0"/>
        <w:adjustRightInd w:val="0"/>
        <w:spacing w:line="360" w:lineRule="auto"/>
        <w:ind w:firstLine="482" w:firstLineChars="200"/>
        <w:textAlignment w:val="auto"/>
        <w:outlineLvl w:val="9"/>
        <w:rPr>
          <w:rFonts w:asciiTheme="minorEastAsia" w:hAnsiTheme="minorEastAsia" w:eastAsiaTheme="minorEastAsia" w:cstheme="minorEastAsia"/>
          <w:b/>
          <w:bCs/>
          <w:snapToGrid/>
          <w:color w:val="auto"/>
          <w:kern w:val="2"/>
          <w:sz w:val="24"/>
          <w:szCs w:val="24"/>
          <w:lang w:val="zh-TW"/>
        </w:rPr>
      </w:pPr>
      <w:bookmarkStart w:id="38" w:name="OLE_LINK20"/>
      <w:bookmarkStart w:id="39" w:name="OLE_LINK22"/>
      <w:r>
        <w:rPr>
          <w:rFonts w:hint="eastAsia" w:asciiTheme="minorEastAsia" w:hAnsiTheme="minorEastAsia" w:eastAsiaTheme="minorEastAsia" w:cstheme="minorEastAsia"/>
          <w:b/>
          <w:bCs/>
          <w:snapToGrid/>
          <w:color w:val="auto"/>
          <w:kern w:val="2"/>
          <w:sz w:val="24"/>
          <w:szCs w:val="24"/>
        </w:rPr>
        <w:t>3、</w:t>
      </w:r>
      <w:r>
        <w:rPr>
          <w:rFonts w:hint="eastAsia" w:asciiTheme="minorEastAsia" w:hAnsiTheme="minorEastAsia" w:eastAsiaTheme="minorEastAsia" w:cstheme="minorEastAsia"/>
          <w:b/>
          <w:bCs/>
          <w:snapToGrid/>
          <w:color w:val="auto"/>
          <w:kern w:val="2"/>
          <w:sz w:val="24"/>
          <w:szCs w:val="24"/>
          <w:lang w:val="zh-TW"/>
        </w:rPr>
        <w:t>▲承诺提供3年操作系统</w:t>
      </w:r>
      <w:r>
        <w:rPr>
          <w:rFonts w:hint="eastAsia" w:asciiTheme="minorEastAsia" w:hAnsiTheme="minorEastAsia" w:eastAsiaTheme="minorEastAsia" w:cstheme="minorEastAsia"/>
          <w:b/>
          <w:bCs/>
          <w:snapToGrid/>
          <w:color w:val="auto"/>
          <w:kern w:val="2"/>
          <w:sz w:val="24"/>
          <w:szCs w:val="24"/>
        </w:rPr>
        <w:t>的</w:t>
      </w:r>
      <w:r>
        <w:rPr>
          <w:rFonts w:hint="eastAsia" w:asciiTheme="minorEastAsia" w:hAnsiTheme="minorEastAsia" w:eastAsiaTheme="minorEastAsia" w:cstheme="minorEastAsia"/>
          <w:b/>
          <w:bCs/>
          <w:snapToGrid/>
          <w:color w:val="auto"/>
          <w:kern w:val="2"/>
          <w:sz w:val="24"/>
          <w:szCs w:val="24"/>
          <w:lang w:val="zh-TW"/>
        </w:rPr>
        <w:t>技术支持、运维、升级、软件适配及上门服务（需在商务技术文件中提供相应承诺，否则投标无效</w:t>
      </w:r>
      <w:r>
        <w:rPr>
          <w:rFonts w:hint="eastAsia" w:asciiTheme="minorEastAsia" w:hAnsiTheme="minorEastAsia" w:eastAsiaTheme="minorEastAsia" w:cstheme="minorEastAsia"/>
          <w:b/>
          <w:bCs/>
          <w:snapToGrid/>
          <w:color w:val="auto"/>
          <w:kern w:val="2"/>
          <w:sz w:val="24"/>
          <w:szCs w:val="24"/>
          <w:lang w:val="en-US" w:eastAsia="zh-CN"/>
        </w:rPr>
        <w:t xml:space="preserve"> </w:t>
      </w:r>
      <w:r>
        <w:rPr>
          <w:rFonts w:hint="eastAsia" w:asciiTheme="minorEastAsia" w:hAnsiTheme="minorEastAsia" w:eastAsiaTheme="minorEastAsia" w:cstheme="minorEastAsia"/>
          <w:b/>
          <w:bCs/>
          <w:snapToGrid/>
          <w:color w:val="auto"/>
          <w:kern w:val="2"/>
          <w:sz w:val="24"/>
          <w:szCs w:val="24"/>
          <w:lang w:val="zh-TW"/>
        </w:rPr>
        <w:t>）。</w:t>
      </w:r>
    </w:p>
    <w:p w14:paraId="4B50EE59">
      <w:pPr>
        <w:pStyle w:val="5"/>
        <w:keepNext w:val="0"/>
        <w:keepLines w:val="0"/>
        <w:pageBreakBefore w:val="0"/>
        <w:kinsoku/>
        <w:wordWrap/>
        <w:overflowPunct/>
        <w:topLinePunct w:val="0"/>
        <w:autoSpaceDE/>
        <w:autoSpaceDN/>
        <w:bidi w:val="0"/>
        <w:adjustRightInd w:val="0"/>
        <w:spacing w:line="360" w:lineRule="auto"/>
        <w:ind w:firstLine="482" w:firstLineChars="200"/>
        <w:textAlignment w:val="auto"/>
        <w:outlineLvl w:val="9"/>
        <w:rPr>
          <w:rFonts w:asciiTheme="minorEastAsia" w:hAnsiTheme="minorEastAsia" w:eastAsiaTheme="minorEastAsia" w:cstheme="minorEastAsia"/>
          <w:b/>
          <w:bCs/>
          <w:snapToGrid/>
          <w:color w:val="auto"/>
          <w:kern w:val="2"/>
          <w:sz w:val="24"/>
          <w:szCs w:val="24"/>
          <w:lang w:val="zh-TW"/>
        </w:rPr>
      </w:pPr>
      <w:r>
        <w:rPr>
          <w:rFonts w:hint="eastAsia" w:asciiTheme="minorEastAsia" w:hAnsiTheme="minorEastAsia" w:eastAsiaTheme="minorEastAsia" w:cstheme="minorEastAsia"/>
          <w:b/>
          <w:bCs/>
          <w:snapToGrid/>
          <w:color w:val="auto"/>
          <w:kern w:val="2"/>
          <w:sz w:val="24"/>
          <w:szCs w:val="24"/>
        </w:rPr>
        <w:t>4、</w:t>
      </w:r>
      <w:bookmarkStart w:id="40" w:name="OLE_LINK21"/>
      <w:r>
        <w:rPr>
          <w:rFonts w:hint="eastAsia" w:asciiTheme="minorEastAsia" w:hAnsiTheme="minorEastAsia" w:eastAsiaTheme="minorEastAsia" w:cstheme="minorEastAsia"/>
          <w:b/>
          <w:bCs/>
          <w:color w:val="auto"/>
          <w:sz w:val="24"/>
          <w:szCs w:val="24"/>
        </w:rPr>
        <w:t>▲承诺提供配套正版授权</w:t>
      </w:r>
      <w:bookmarkEnd w:id="40"/>
      <w:r>
        <w:rPr>
          <w:rFonts w:hint="eastAsia" w:asciiTheme="minorEastAsia" w:hAnsiTheme="minorEastAsia" w:eastAsiaTheme="minorEastAsia" w:cstheme="minorEastAsia"/>
          <w:b/>
          <w:bCs/>
          <w:color w:val="auto"/>
          <w:sz w:val="24"/>
          <w:szCs w:val="24"/>
        </w:rPr>
        <w:t>操作系统为永久激活版本，3年内更新至最新版本</w:t>
      </w:r>
      <w:r>
        <w:rPr>
          <w:rFonts w:hint="eastAsia" w:asciiTheme="minorEastAsia" w:hAnsiTheme="minorEastAsia" w:eastAsiaTheme="minorEastAsia" w:cstheme="minorEastAsia"/>
          <w:b/>
          <w:bCs/>
          <w:snapToGrid/>
          <w:color w:val="auto"/>
          <w:kern w:val="2"/>
          <w:sz w:val="24"/>
          <w:szCs w:val="24"/>
          <w:lang w:val="zh-TW"/>
        </w:rPr>
        <w:t>（需在商务技术文件中提供相应承诺，否则投标无效）。</w:t>
      </w:r>
    </w:p>
    <w:bookmarkEnd w:id="38"/>
    <w:bookmarkEnd w:id="39"/>
    <w:p w14:paraId="50BA1464">
      <w:pPr>
        <w:keepNext w:val="0"/>
        <w:keepLines w:val="0"/>
        <w:pageBreakBefore w:val="0"/>
        <w:kinsoku/>
        <w:wordWrap/>
        <w:overflowPunct/>
        <w:topLinePunct w:val="0"/>
        <w:autoSpaceDE/>
        <w:autoSpaceDN/>
        <w:bidi w:val="0"/>
        <w:adjustRightInd w:val="0"/>
        <w:spacing w:line="360" w:lineRule="auto"/>
        <w:ind w:firstLine="482" w:firstLineChars="200"/>
        <w:textAlignment w:val="auto"/>
        <w:outlineLvl w:val="9"/>
        <w:rPr>
          <w:rFonts w:ascii="宋体" w:hAnsi="宋体" w:cs="宋体"/>
          <w:b/>
          <w:sz w:val="24"/>
        </w:rPr>
      </w:pPr>
      <w:r>
        <w:rPr>
          <w:rFonts w:hint="eastAsia" w:ascii="宋体" w:hAnsi="宋体" w:cs="宋体"/>
          <w:b/>
          <w:sz w:val="24"/>
        </w:rPr>
        <w:t>二、参数要求</w:t>
      </w:r>
    </w:p>
    <w:p w14:paraId="6A057375">
      <w:pPr>
        <w:spacing w:line="360" w:lineRule="auto"/>
        <w:ind w:firstLine="480" w:firstLineChars="200"/>
        <w:rPr>
          <w:sz w:val="24"/>
        </w:rPr>
      </w:pPr>
      <w:r>
        <w:rPr>
          <w:rFonts w:hint="eastAsia"/>
          <w:sz w:val="24"/>
        </w:rPr>
        <w:t>（</w:t>
      </w:r>
      <w:r>
        <w:rPr>
          <w:rFonts w:hint="eastAsia"/>
          <w:sz w:val="24"/>
          <w:lang w:val="en-US" w:eastAsia="zh-CN"/>
        </w:rPr>
        <w:t>1</w:t>
      </w:r>
      <w:r>
        <w:rPr>
          <w:rFonts w:hint="eastAsia"/>
          <w:sz w:val="24"/>
        </w:rPr>
        <w:t>）便携式计算机：</w:t>
      </w:r>
      <w:r>
        <w:rPr>
          <w:rFonts w:hint="eastAsia"/>
          <w:sz w:val="24"/>
          <w:lang w:val="en-US" w:eastAsia="zh-CN"/>
        </w:rPr>
        <w:t>54</w:t>
      </w:r>
      <w:r>
        <w:rPr>
          <w:rFonts w:hint="eastAsia"/>
          <w:sz w:val="24"/>
        </w:rPr>
        <w:t>台（含操作系统等）</w:t>
      </w:r>
      <w:r>
        <w:rPr>
          <w:rFonts w:hint="eastAsia" w:ascii="宋体" w:hAnsi="宋体" w:cs="宋体"/>
          <w:b/>
          <w:bCs/>
          <w:kern w:val="0"/>
          <w:sz w:val="24"/>
          <w:lang w:val="zh-CN"/>
        </w:rPr>
        <w:t>需</w:t>
      </w:r>
    </w:p>
    <w:p w14:paraId="4C9D5F7C">
      <w:pPr>
        <w:tabs>
          <w:tab w:val="left" w:pos="0"/>
        </w:tabs>
        <w:spacing w:line="360" w:lineRule="auto"/>
        <w:ind w:firstLine="482" w:firstLineChars="200"/>
        <w:rPr>
          <w:rFonts w:ascii="宋体" w:hAnsi="宋体" w:cs="宋体"/>
          <w:b/>
          <w:bCs/>
          <w:kern w:val="0"/>
          <w:sz w:val="24"/>
          <w:lang w:val="zh-CN"/>
        </w:rPr>
      </w:pPr>
      <w:r>
        <w:rPr>
          <w:rFonts w:hint="eastAsia" w:asciiTheme="minorEastAsia" w:hAnsiTheme="minorEastAsia" w:eastAsiaTheme="minorEastAsia" w:cstheme="minorEastAsia"/>
          <w:b/>
          <w:bCs/>
          <w:sz w:val="24"/>
        </w:rPr>
        <w:t>▲</w:t>
      </w:r>
      <w:r>
        <w:rPr>
          <w:rFonts w:hint="eastAsia" w:ascii="宋体" w:hAnsi="宋体" w:cs="宋体"/>
          <w:b/>
          <w:bCs/>
          <w:kern w:val="0"/>
          <w:sz w:val="24"/>
          <w:lang w:val="zh-CN"/>
        </w:rPr>
        <w:t>投标人</w:t>
      </w:r>
      <w:r>
        <w:rPr>
          <w:rFonts w:hint="eastAsia" w:ascii="宋体" w:hAnsi="宋体" w:cs="宋体"/>
          <w:b/>
          <w:bCs/>
          <w:kern w:val="0"/>
          <w:sz w:val="24"/>
        </w:rPr>
        <w:t>就</w:t>
      </w:r>
      <w:r>
        <w:rPr>
          <w:rFonts w:hint="eastAsia" w:ascii="宋体" w:hAnsi="宋体" w:cs="宋体"/>
          <w:b/>
          <w:bCs/>
          <w:kern w:val="0"/>
          <w:sz w:val="24"/>
          <w:lang w:eastAsia="zh-CN"/>
        </w:rPr>
        <w:t>便携式计算机</w:t>
      </w:r>
      <w:r>
        <w:rPr>
          <w:rFonts w:hint="eastAsia" w:ascii="宋体" w:hAnsi="宋体" w:cs="宋体"/>
          <w:b/>
          <w:bCs/>
          <w:kern w:val="0"/>
          <w:sz w:val="24"/>
        </w:rPr>
        <w:t>提供</w:t>
      </w:r>
      <w:r>
        <w:rPr>
          <w:rFonts w:hint="eastAsia" w:ascii="宋体" w:hAnsi="宋体" w:cs="宋体"/>
          <w:b/>
          <w:bCs/>
          <w:kern w:val="0"/>
          <w:sz w:val="24"/>
          <w:lang w:val="zh-CN"/>
        </w:rPr>
        <w:t>国家确定的认证机构出具的、处于有效期之内的节能产品认证证书，未提供的投标无效。</w:t>
      </w:r>
      <w:bookmarkStart w:id="578" w:name="_GoBack"/>
      <w:bookmarkEnd w:id="578"/>
    </w:p>
    <w:tbl>
      <w:tblPr>
        <w:tblStyle w:val="63"/>
        <w:tblW w:w="92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80"/>
        <w:gridCol w:w="849"/>
        <w:gridCol w:w="2300"/>
        <w:gridCol w:w="5499"/>
      </w:tblGrid>
      <w:tr w14:paraId="275A7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blHeader/>
          <w:jc w:val="center"/>
        </w:trPr>
        <w:tc>
          <w:tcPr>
            <w:tcW w:w="580" w:type="dxa"/>
            <w:tcBorders>
              <w:tl2br w:val="nil"/>
              <w:tr2bl w:val="nil"/>
            </w:tcBorders>
            <w:shd w:val="clear" w:color="auto" w:fill="auto"/>
            <w:noWrap/>
            <w:vAlign w:val="center"/>
          </w:tcPr>
          <w:p w14:paraId="161DAEC4">
            <w:pPr>
              <w:spacing w:line="240" w:lineRule="auto"/>
              <w:jc w:val="center"/>
              <w:rPr>
                <w:b/>
              </w:rPr>
            </w:pPr>
            <w:r>
              <w:rPr>
                <w:rFonts w:hint="eastAsia"/>
                <w:b/>
              </w:rPr>
              <w:t>序号</w:t>
            </w:r>
          </w:p>
        </w:tc>
        <w:tc>
          <w:tcPr>
            <w:tcW w:w="849" w:type="dxa"/>
            <w:tcBorders>
              <w:tl2br w:val="nil"/>
              <w:tr2bl w:val="nil"/>
            </w:tcBorders>
            <w:shd w:val="clear" w:color="auto" w:fill="auto"/>
            <w:vAlign w:val="center"/>
          </w:tcPr>
          <w:p w14:paraId="435E9F66">
            <w:pPr>
              <w:spacing w:line="240" w:lineRule="auto"/>
              <w:jc w:val="center"/>
              <w:rPr>
                <w:rFonts w:hint="eastAsia"/>
                <w:b/>
              </w:rPr>
            </w:pPr>
            <w:r>
              <w:rPr>
                <w:rFonts w:hint="eastAsia"/>
                <w:b/>
              </w:rPr>
              <w:t>一级</w:t>
            </w:r>
          </w:p>
          <w:p w14:paraId="6C2A63BE">
            <w:pPr>
              <w:spacing w:line="240" w:lineRule="auto"/>
              <w:jc w:val="center"/>
              <w:rPr>
                <w:b/>
              </w:rPr>
            </w:pPr>
            <w:r>
              <w:rPr>
                <w:rFonts w:hint="eastAsia"/>
                <w:b/>
              </w:rPr>
              <w:t>指标</w:t>
            </w:r>
          </w:p>
        </w:tc>
        <w:tc>
          <w:tcPr>
            <w:tcW w:w="2300" w:type="dxa"/>
            <w:tcBorders>
              <w:tl2br w:val="nil"/>
              <w:tr2bl w:val="nil"/>
            </w:tcBorders>
            <w:shd w:val="clear" w:color="auto" w:fill="auto"/>
            <w:vAlign w:val="center"/>
          </w:tcPr>
          <w:p w14:paraId="0529CEEF">
            <w:pPr>
              <w:spacing w:line="240" w:lineRule="auto"/>
              <w:jc w:val="center"/>
              <w:rPr>
                <w:b/>
              </w:rPr>
            </w:pPr>
            <w:r>
              <w:rPr>
                <w:rFonts w:hint="eastAsia"/>
                <w:b/>
              </w:rPr>
              <w:t>二级指标</w:t>
            </w:r>
          </w:p>
        </w:tc>
        <w:tc>
          <w:tcPr>
            <w:tcW w:w="5499" w:type="dxa"/>
            <w:tcBorders>
              <w:tl2br w:val="nil"/>
              <w:tr2bl w:val="nil"/>
            </w:tcBorders>
            <w:shd w:val="clear" w:color="auto" w:fill="auto"/>
            <w:vAlign w:val="center"/>
          </w:tcPr>
          <w:p w14:paraId="7278650A">
            <w:pPr>
              <w:spacing w:line="240" w:lineRule="auto"/>
              <w:jc w:val="center"/>
              <w:rPr>
                <w:b/>
              </w:rPr>
            </w:pPr>
            <w:r>
              <w:rPr>
                <w:rFonts w:hint="eastAsia"/>
                <w:b/>
              </w:rPr>
              <w:t>技术参数</w:t>
            </w:r>
          </w:p>
        </w:tc>
      </w:tr>
      <w:tr w14:paraId="45019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2C769454">
            <w:pPr>
              <w:pStyle w:val="258"/>
              <w:numPr>
                <w:ilvl w:val="0"/>
                <w:numId w:val="0"/>
              </w:numPr>
              <w:autoSpaceDE w:val="0"/>
              <w:autoSpaceDN w:val="0"/>
              <w:spacing w:line="240" w:lineRule="auto"/>
              <w:ind w:leftChars="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w:t>
            </w:r>
          </w:p>
        </w:tc>
        <w:tc>
          <w:tcPr>
            <w:tcW w:w="849" w:type="dxa"/>
            <w:tcBorders>
              <w:tl2br w:val="nil"/>
              <w:tr2bl w:val="nil"/>
            </w:tcBorders>
            <w:shd w:val="clear" w:color="auto" w:fill="auto"/>
            <w:vAlign w:val="center"/>
          </w:tcPr>
          <w:p w14:paraId="6240DB3B">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CPU规格</w:t>
            </w:r>
          </w:p>
        </w:tc>
        <w:tc>
          <w:tcPr>
            <w:tcW w:w="2300" w:type="dxa"/>
            <w:tcBorders>
              <w:tl2br w:val="nil"/>
              <w:tr2bl w:val="nil"/>
            </w:tcBorders>
            <w:shd w:val="clear" w:color="auto" w:fill="auto"/>
            <w:vAlign w:val="center"/>
          </w:tcPr>
          <w:p w14:paraId="040348D4">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▲CPU信息</w:t>
            </w:r>
          </w:p>
        </w:tc>
        <w:tc>
          <w:tcPr>
            <w:tcW w:w="5499" w:type="dxa"/>
            <w:tcBorders>
              <w:tl2br w:val="nil"/>
              <w:tr2bl w:val="nil"/>
            </w:tcBorders>
            <w:shd w:val="clear" w:color="auto" w:fill="auto"/>
            <w:vAlign w:val="center"/>
          </w:tcPr>
          <w:p w14:paraId="7297EFDE">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国产ARM处理器，CPU型号麒麟9000C，≥8核12线程，频率≥2.</w:t>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GHz，末级缓存容量≥8MB，支持的内存最高速率≥6400MT/s，热设计功耗≤15W，CPU符合安全可靠测评II级</w:t>
            </w:r>
          </w:p>
        </w:tc>
      </w:tr>
      <w:tr w14:paraId="532AF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214C771F">
            <w:pPr>
              <w:pStyle w:val="258"/>
              <w:numPr>
                <w:ilvl w:val="0"/>
                <w:numId w:val="0"/>
              </w:numPr>
              <w:autoSpaceDE w:val="0"/>
              <w:autoSpaceDN w:val="0"/>
              <w:spacing w:line="240" w:lineRule="auto"/>
              <w:ind w:leftChars="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w:t>
            </w:r>
          </w:p>
        </w:tc>
        <w:tc>
          <w:tcPr>
            <w:tcW w:w="849" w:type="dxa"/>
            <w:vMerge w:val="restart"/>
            <w:tcBorders>
              <w:tl2br w:val="nil"/>
              <w:tr2bl w:val="nil"/>
            </w:tcBorders>
            <w:shd w:val="clear" w:color="auto" w:fill="auto"/>
            <w:noWrap/>
            <w:vAlign w:val="center"/>
          </w:tcPr>
          <w:p w14:paraId="2B2CA93B">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内存规格</w:t>
            </w:r>
          </w:p>
        </w:tc>
        <w:tc>
          <w:tcPr>
            <w:tcW w:w="2300" w:type="dxa"/>
            <w:tcBorders>
              <w:tl2br w:val="nil"/>
              <w:tr2bl w:val="nil"/>
            </w:tcBorders>
            <w:shd w:val="clear" w:color="auto" w:fill="auto"/>
            <w:vAlign w:val="center"/>
          </w:tcPr>
          <w:p w14:paraId="1DBDC8C1">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▲内存配置容量</w:t>
            </w:r>
          </w:p>
        </w:tc>
        <w:tc>
          <w:tcPr>
            <w:tcW w:w="5499" w:type="dxa"/>
            <w:tcBorders>
              <w:tl2br w:val="nil"/>
              <w:tr2bl w:val="nil"/>
            </w:tcBorders>
            <w:shd w:val="clear" w:color="auto" w:fill="auto"/>
            <w:noWrap/>
            <w:vAlign w:val="center"/>
          </w:tcPr>
          <w:p w14:paraId="43CE733E">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≥16GB，内存读写速率≥6400MT/s</w:t>
            </w:r>
          </w:p>
        </w:tc>
      </w:tr>
      <w:tr w14:paraId="4F9A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1625820C">
            <w:pPr>
              <w:pStyle w:val="258"/>
              <w:numPr>
                <w:ilvl w:val="0"/>
                <w:numId w:val="0"/>
              </w:numPr>
              <w:autoSpaceDE w:val="0"/>
              <w:autoSpaceDN w:val="0"/>
              <w:spacing w:line="240" w:lineRule="auto"/>
              <w:ind w:leftChars="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3</w:t>
            </w:r>
          </w:p>
        </w:tc>
        <w:tc>
          <w:tcPr>
            <w:tcW w:w="849" w:type="dxa"/>
            <w:vMerge w:val="continue"/>
            <w:tcBorders>
              <w:tl2br w:val="nil"/>
              <w:tr2bl w:val="nil"/>
            </w:tcBorders>
            <w:shd w:val="clear" w:color="auto" w:fill="auto"/>
            <w:noWrap/>
            <w:vAlign w:val="center"/>
          </w:tcPr>
          <w:p w14:paraId="2B11F92D">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7CAC3221">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内存类型</w:t>
            </w:r>
          </w:p>
        </w:tc>
        <w:tc>
          <w:tcPr>
            <w:tcW w:w="5499" w:type="dxa"/>
            <w:tcBorders>
              <w:tl2br w:val="nil"/>
              <w:tr2bl w:val="nil"/>
            </w:tcBorders>
            <w:shd w:val="clear" w:color="auto" w:fill="auto"/>
            <w:vAlign w:val="center"/>
          </w:tcPr>
          <w:p w14:paraId="1B8C475E">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支持DDR5/LPDDR5/LPDDR5X及以上内存类型</w:t>
            </w:r>
          </w:p>
        </w:tc>
      </w:tr>
      <w:tr w14:paraId="594F7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1" w:hRule="atLeast"/>
          <w:tblHeader/>
          <w:jc w:val="center"/>
        </w:trPr>
        <w:tc>
          <w:tcPr>
            <w:tcW w:w="580" w:type="dxa"/>
            <w:tcBorders>
              <w:tl2br w:val="nil"/>
              <w:tr2bl w:val="nil"/>
            </w:tcBorders>
            <w:shd w:val="clear" w:color="auto" w:fill="auto"/>
            <w:noWrap/>
            <w:vAlign w:val="center"/>
          </w:tcPr>
          <w:p w14:paraId="1B44B5FC">
            <w:pPr>
              <w:pStyle w:val="258"/>
              <w:numPr>
                <w:ilvl w:val="0"/>
                <w:numId w:val="0"/>
              </w:numPr>
              <w:autoSpaceDE w:val="0"/>
              <w:autoSpaceDN w:val="0"/>
              <w:spacing w:line="240" w:lineRule="auto"/>
              <w:ind w:leftChars="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4</w:t>
            </w:r>
          </w:p>
        </w:tc>
        <w:tc>
          <w:tcPr>
            <w:tcW w:w="849" w:type="dxa"/>
            <w:vMerge w:val="continue"/>
            <w:tcBorders>
              <w:tl2br w:val="nil"/>
              <w:tr2bl w:val="nil"/>
            </w:tcBorders>
            <w:shd w:val="clear" w:color="auto" w:fill="auto"/>
            <w:noWrap/>
            <w:vAlign w:val="center"/>
          </w:tcPr>
          <w:p w14:paraId="1DF1ACAA">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240ADEDA">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内存条配置数量（板载内存不涉及）</w:t>
            </w:r>
          </w:p>
        </w:tc>
        <w:tc>
          <w:tcPr>
            <w:tcW w:w="5499" w:type="dxa"/>
            <w:tcBorders>
              <w:tl2br w:val="nil"/>
              <w:tr2bl w:val="nil"/>
            </w:tcBorders>
            <w:shd w:val="clear" w:color="auto" w:fill="auto"/>
            <w:noWrap/>
            <w:vAlign w:val="center"/>
          </w:tcPr>
          <w:p w14:paraId="19349296">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p>
        </w:tc>
      </w:tr>
      <w:tr w14:paraId="4A9C3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37EDF370">
            <w:pPr>
              <w:pStyle w:val="258"/>
              <w:numPr>
                <w:ilvl w:val="0"/>
                <w:numId w:val="0"/>
              </w:numPr>
              <w:autoSpaceDE w:val="0"/>
              <w:autoSpaceDN w:val="0"/>
              <w:spacing w:line="240" w:lineRule="auto"/>
              <w:ind w:leftChars="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5</w:t>
            </w:r>
          </w:p>
        </w:tc>
        <w:tc>
          <w:tcPr>
            <w:tcW w:w="849" w:type="dxa"/>
            <w:vMerge w:val="restart"/>
            <w:tcBorders>
              <w:tl2br w:val="nil"/>
              <w:tr2bl w:val="nil"/>
            </w:tcBorders>
            <w:shd w:val="clear" w:color="auto" w:fill="auto"/>
            <w:noWrap/>
            <w:vAlign w:val="center"/>
          </w:tcPr>
          <w:p w14:paraId="633DB7B5">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主板规格</w:t>
            </w:r>
          </w:p>
        </w:tc>
        <w:tc>
          <w:tcPr>
            <w:tcW w:w="2300" w:type="dxa"/>
            <w:tcBorders>
              <w:tl2br w:val="nil"/>
              <w:tr2bl w:val="nil"/>
            </w:tcBorders>
            <w:shd w:val="clear" w:color="auto" w:fill="auto"/>
            <w:vAlign w:val="center"/>
          </w:tcPr>
          <w:p w14:paraId="38099A32">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主板集成模块</w:t>
            </w:r>
          </w:p>
        </w:tc>
        <w:tc>
          <w:tcPr>
            <w:tcW w:w="5499" w:type="dxa"/>
            <w:tcBorders>
              <w:tl2br w:val="nil"/>
              <w:tr2bl w:val="nil"/>
            </w:tcBorders>
            <w:shd w:val="clear" w:color="auto" w:fill="auto"/>
            <w:vAlign w:val="center"/>
          </w:tcPr>
          <w:p w14:paraId="5BD50BAE">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集成资源扩展模块、计算处理模块、音频扩展模块等，主板的互联拓扑可通过处理器或交换电路实现</w:t>
            </w:r>
          </w:p>
        </w:tc>
      </w:tr>
      <w:tr w14:paraId="0A5D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044025F0">
            <w:pPr>
              <w:pStyle w:val="258"/>
              <w:numPr>
                <w:ilvl w:val="0"/>
                <w:numId w:val="0"/>
              </w:numPr>
              <w:autoSpaceDE w:val="0"/>
              <w:autoSpaceDN w:val="0"/>
              <w:spacing w:line="240" w:lineRule="auto"/>
              <w:ind w:leftChars="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6</w:t>
            </w:r>
          </w:p>
        </w:tc>
        <w:tc>
          <w:tcPr>
            <w:tcW w:w="849" w:type="dxa"/>
            <w:vMerge w:val="continue"/>
            <w:tcBorders>
              <w:tl2br w:val="nil"/>
              <w:tr2bl w:val="nil"/>
            </w:tcBorders>
            <w:shd w:val="clear" w:color="auto" w:fill="auto"/>
            <w:noWrap/>
            <w:vAlign w:val="center"/>
          </w:tcPr>
          <w:p w14:paraId="367F4804">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4C2446E1">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▲主板支持的CPU和内存情况</w:t>
            </w:r>
          </w:p>
        </w:tc>
        <w:tc>
          <w:tcPr>
            <w:tcW w:w="5499" w:type="dxa"/>
            <w:tcBorders>
              <w:tl2br w:val="nil"/>
              <w:tr2bl w:val="nil"/>
            </w:tcBorders>
            <w:shd w:val="clear" w:color="auto" w:fill="auto"/>
            <w:vAlign w:val="center"/>
          </w:tcPr>
          <w:p w14:paraId="7A275588">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（1）支持ARM架构CPU和DDR5及以上内存；</w:t>
            </w:r>
          </w:p>
          <w:p w14:paraId="452EAB2F">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（2）内存型号和数量：最小支持1条DDR5（板载内存不涉及）。</w:t>
            </w:r>
          </w:p>
        </w:tc>
      </w:tr>
      <w:tr w14:paraId="2806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124BE243">
            <w:pPr>
              <w:pStyle w:val="258"/>
              <w:numPr>
                <w:ilvl w:val="0"/>
                <w:numId w:val="0"/>
              </w:numPr>
              <w:autoSpaceDE w:val="0"/>
              <w:autoSpaceDN w:val="0"/>
              <w:spacing w:line="240" w:lineRule="auto"/>
              <w:ind w:leftChars="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w:t>
            </w:r>
          </w:p>
        </w:tc>
        <w:tc>
          <w:tcPr>
            <w:tcW w:w="849" w:type="dxa"/>
            <w:vMerge w:val="continue"/>
            <w:tcBorders>
              <w:tl2br w:val="nil"/>
              <w:tr2bl w:val="nil"/>
            </w:tcBorders>
            <w:shd w:val="clear" w:color="auto" w:fill="auto"/>
            <w:noWrap/>
            <w:vAlign w:val="center"/>
          </w:tcPr>
          <w:p w14:paraId="6B3083E1">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3E1CDBB0">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主板内置PCIe插槽数量</w:t>
            </w:r>
          </w:p>
        </w:tc>
        <w:tc>
          <w:tcPr>
            <w:tcW w:w="5499" w:type="dxa"/>
            <w:tcBorders>
              <w:tl2br w:val="nil"/>
              <w:tr2bl w:val="nil"/>
            </w:tcBorders>
            <w:shd w:val="clear" w:color="auto" w:fill="auto"/>
            <w:vAlign w:val="center"/>
          </w:tcPr>
          <w:p w14:paraId="3929F3FB">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≥0</w:t>
            </w:r>
          </w:p>
        </w:tc>
      </w:tr>
      <w:tr w14:paraId="2B5C3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057F7E41">
            <w:pPr>
              <w:pStyle w:val="258"/>
              <w:numPr>
                <w:ilvl w:val="0"/>
                <w:numId w:val="0"/>
              </w:numPr>
              <w:autoSpaceDE w:val="0"/>
              <w:autoSpaceDN w:val="0"/>
              <w:spacing w:line="240" w:lineRule="auto"/>
              <w:ind w:leftChars="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8</w:t>
            </w:r>
          </w:p>
        </w:tc>
        <w:tc>
          <w:tcPr>
            <w:tcW w:w="849" w:type="dxa"/>
            <w:vMerge w:val="continue"/>
            <w:tcBorders>
              <w:tl2br w:val="nil"/>
              <w:tr2bl w:val="nil"/>
            </w:tcBorders>
            <w:shd w:val="clear" w:color="auto" w:fill="auto"/>
            <w:noWrap/>
            <w:vAlign w:val="center"/>
          </w:tcPr>
          <w:p w14:paraId="453A268E">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3A9DA9D2">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特殊孔位及接口</w:t>
            </w:r>
          </w:p>
        </w:tc>
        <w:tc>
          <w:tcPr>
            <w:tcW w:w="5499" w:type="dxa"/>
            <w:tcBorders>
              <w:tl2br w:val="nil"/>
              <w:tr2bl w:val="nil"/>
            </w:tcBorders>
            <w:shd w:val="clear" w:color="auto" w:fill="auto"/>
            <w:vAlign w:val="center"/>
          </w:tcPr>
          <w:p w14:paraId="4A1C4E5F">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6"/>
                <w:sz w:val="21"/>
              </w:rPr>
              <w:t>主板支持安装多功能导入装置板卡，或预留相应孔位及接口</w:t>
            </w:r>
          </w:p>
        </w:tc>
      </w:tr>
      <w:tr w14:paraId="16E6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12D5FD1E">
            <w:pPr>
              <w:pStyle w:val="258"/>
              <w:numPr>
                <w:ilvl w:val="0"/>
                <w:numId w:val="0"/>
              </w:numPr>
              <w:autoSpaceDE w:val="0"/>
              <w:autoSpaceDN w:val="0"/>
              <w:spacing w:line="240" w:lineRule="auto"/>
              <w:ind w:leftChars="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9</w:t>
            </w:r>
          </w:p>
        </w:tc>
        <w:tc>
          <w:tcPr>
            <w:tcW w:w="849" w:type="dxa"/>
            <w:vMerge w:val="continue"/>
            <w:tcBorders>
              <w:tl2br w:val="nil"/>
              <w:tr2bl w:val="nil"/>
            </w:tcBorders>
            <w:shd w:val="clear" w:color="auto" w:fill="auto"/>
            <w:noWrap/>
            <w:vAlign w:val="center"/>
          </w:tcPr>
          <w:p w14:paraId="781E6C91">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4738F09A">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单内存插槽最大可支持容量（板载内存不涉及）</w:t>
            </w:r>
          </w:p>
        </w:tc>
        <w:tc>
          <w:tcPr>
            <w:tcW w:w="5499" w:type="dxa"/>
            <w:tcBorders>
              <w:tl2br w:val="nil"/>
              <w:tr2bl w:val="nil"/>
            </w:tcBorders>
            <w:shd w:val="clear" w:color="auto" w:fill="auto"/>
            <w:vAlign w:val="center"/>
          </w:tcPr>
          <w:p w14:paraId="62659937">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≥8GB</w:t>
            </w:r>
          </w:p>
        </w:tc>
      </w:tr>
      <w:tr w14:paraId="73D34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5E397B27">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10</w:t>
            </w:r>
          </w:p>
        </w:tc>
        <w:tc>
          <w:tcPr>
            <w:tcW w:w="849" w:type="dxa"/>
            <w:vMerge w:val="continue"/>
            <w:tcBorders>
              <w:tl2br w:val="nil"/>
              <w:tr2bl w:val="nil"/>
            </w:tcBorders>
            <w:shd w:val="clear" w:color="auto" w:fill="auto"/>
            <w:noWrap/>
            <w:vAlign w:val="center"/>
          </w:tcPr>
          <w:p w14:paraId="58A7EDD1">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57084415">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▲内存插槽满配时提供的最高内存总容量</w:t>
            </w:r>
          </w:p>
        </w:tc>
        <w:tc>
          <w:tcPr>
            <w:tcW w:w="5499" w:type="dxa"/>
            <w:tcBorders>
              <w:tl2br w:val="nil"/>
              <w:tr2bl w:val="nil"/>
            </w:tcBorders>
            <w:shd w:val="clear" w:color="auto" w:fill="auto"/>
            <w:noWrap/>
            <w:vAlign w:val="center"/>
          </w:tcPr>
          <w:p w14:paraId="14872023">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≥16GB</w:t>
            </w:r>
          </w:p>
        </w:tc>
      </w:tr>
      <w:tr w14:paraId="5C435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32473F9C">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11</w:t>
            </w:r>
          </w:p>
        </w:tc>
        <w:tc>
          <w:tcPr>
            <w:tcW w:w="849" w:type="dxa"/>
            <w:vMerge w:val="restart"/>
            <w:tcBorders>
              <w:tl2br w:val="nil"/>
              <w:tr2bl w:val="nil"/>
            </w:tcBorders>
            <w:shd w:val="clear" w:color="auto" w:fill="auto"/>
            <w:noWrap/>
            <w:vAlign w:val="center"/>
          </w:tcPr>
          <w:p w14:paraId="34463AA3">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存储设备规格</w:t>
            </w:r>
          </w:p>
        </w:tc>
        <w:tc>
          <w:tcPr>
            <w:tcW w:w="2300" w:type="dxa"/>
            <w:tcBorders>
              <w:tl2br w:val="nil"/>
              <w:tr2bl w:val="nil"/>
            </w:tcBorders>
            <w:shd w:val="clear" w:color="auto" w:fill="auto"/>
            <w:vAlign w:val="center"/>
          </w:tcPr>
          <w:p w14:paraId="21A46FF5">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▲固态盘数量</w:t>
            </w:r>
          </w:p>
        </w:tc>
        <w:tc>
          <w:tcPr>
            <w:tcW w:w="5499" w:type="dxa"/>
            <w:tcBorders>
              <w:tl2br w:val="nil"/>
              <w:tr2bl w:val="nil"/>
            </w:tcBorders>
            <w:shd w:val="clear" w:color="auto" w:fill="auto"/>
            <w:noWrap/>
            <w:vAlign w:val="center"/>
          </w:tcPr>
          <w:p w14:paraId="28296EAF">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≥1个</w:t>
            </w:r>
          </w:p>
        </w:tc>
      </w:tr>
      <w:tr w14:paraId="56003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664E4F54">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12</w:t>
            </w:r>
          </w:p>
        </w:tc>
        <w:tc>
          <w:tcPr>
            <w:tcW w:w="849" w:type="dxa"/>
            <w:vMerge w:val="continue"/>
            <w:tcBorders>
              <w:tl2br w:val="nil"/>
              <w:tr2bl w:val="nil"/>
            </w:tcBorders>
            <w:shd w:val="clear" w:color="auto" w:fill="auto"/>
            <w:noWrap/>
            <w:vAlign w:val="center"/>
          </w:tcPr>
          <w:p w14:paraId="7D457D73">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7BB12901">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▲固态存储容量</w:t>
            </w:r>
          </w:p>
        </w:tc>
        <w:tc>
          <w:tcPr>
            <w:tcW w:w="5499" w:type="dxa"/>
            <w:tcBorders>
              <w:tl2br w:val="nil"/>
              <w:tr2bl w:val="nil"/>
            </w:tcBorders>
            <w:shd w:val="clear" w:color="auto" w:fill="auto"/>
            <w:noWrap/>
            <w:vAlign w:val="center"/>
          </w:tcPr>
          <w:p w14:paraId="73E35A0B">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≥512GB</w:t>
            </w:r>
          </w:p>
        </w:tc>
      </w:tr>
      <w:tr w14:paraId="731DF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2C154515">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13</w:t>
            </w:r>
          </w:p>
        </w:tc>
        <w:tc>
          <w:tcPr>
            <w:tcW w:w="849" w:type="dxa"/>
            <w:vMerge w:val="continue"/>
            <w:tcBorders>
              <w:tl2br w:val="nil"/>
              <w:tr2bl w:val="nil"/>
            </w:tcBorders>
            <w:shd w:val="clear" w:color="auto" w:fill="auto"/>
            <w:noWrap/>
            <w:vAlign w:val="center"/>
          </w:tcPr>
          <w:p w14:paraId="652C7329">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6C4811E7">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固态存储接口协议</w:t>
            </w:r>
          </w:p>
        </w:tc>
        <w:tc>
          <w:tcPr>
            <w:tcW w:w="5499" w:type="dxa"/>
            <w:tcBorders>
              <w:tl2br w:val="nil"/>
              <w:tr2bl w:val="nil"/>
            </w:tcBorders>
            <w:shd w:val="clear" w:color="auto" w:fill="auto"/>
            <w:noWrap/>
            <w:vAlign w:val="center"/>
          </w:tcPr>
          <w:p w14:paraId="56F4D04C">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支持PCIe/NVMe/UFS等类型接口协议</w:t>
            </w:r>
          </w:p>
        </w:tc>
      </w:tr>
      <w:tr w14:paraId="1AFC1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1BE6BB1E">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14</w:t>
            </w:r>
          </w:p>
        </w:tc>
        <w:tc>
          <w:tcPr>
            <w:tcW w:w="849" w:type="dxa"/>
            <w:vMerge w:val="continue"/>
            <w:tcBorders>
              <w:tl2br w:val="nil"/>
              <w:tr2bl w:val="nil"/>
            </w:tcBorders>
            <w:shd w:val="clear" w:color="auto" w:fill="auto"/>
            <w:noWrap/>
            <w:vAlign w:val="center"/>
          </w:tcPr>
          <w:p w14:paraId="797E65BE">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10FC0B56">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固态存储形态</w:t>
            </w:r>
          </w:p>
        </w:tc>
        <w:tc>
          <w:tcPr>
            <w:tcW w:w="5499" w:type="dxa"/>
            <w:tcBorders>
              <w:tl2br w:val="nil"/>
              <w:tr2bl w:val="nil"/>
            </w:tcBorders>
            <w:shd w:val="clear" w:color="auto" w:fill="auto"/>
            <w:noWrap/>
            <w:vAlign w:val="center"/>
          </w:tcPr>
          <w:p w14:paraId="0F142A51">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可采用插卡或板载等形态，插卡形态宜符合M.2 或mSATA 等标准尺寸和接口定义</w:t>
            </w:r>
          </w:p>
        </w:tc>
      </w:tr>
      <w:tr w14:paraId="56F05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0A579CE9">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15</w:t>
            </w:r>
          </w:p>
        </w:tc>
        <w:tc>
          <w:tcPr>
            <w:tcW w:w="849" w:type="dxa"/>
            <w:vMerge w:val="continue"/>
            <w:tcBorders>
              <w:tl2br w:val="nil"/>
              <w:tr2bl w:val="nil"/>
            </w:tcBorders>
            <w:shd w:val="clear" w:color="auto" w:fill="auto"/>
            <w:noWrap/>
            <w:vAlign w:val="center"/>
          </w:tcPr>
          <w:p w14:paraId="7906C2AC">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154E0E1B">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存储设备扩展盘位</w:t>
            </w:r>
          </w:p>
        </w:tc>
        <w:tc>
          <w:tcPr>
            <w:tcW w:w="5499" w:type="dxa"/>
            <w:tcBorders>
              <w:tl2br w:val="nil"/>
              <w:tr2bl w:val="nil"/>
            </w:tcBorders>
            <w:shd w:val="clear" w:color="auto" w:fill="auto"/>
            <w:vAlign w:val="center"/>
          </w:tcPr>
          <w:p w14:paraId="75F253D2">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≥0</w:t>
            </w:r>
          </w:p>
        </w:tc>
      </w:tr>
      <w:tr w14:paraId="176AC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587396E1">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16</w:t>
            </w:r>
          </w:p>
        </w:tc>
        <w:tc>
          <w:tcPr>
            <w:tcW w:w="849" w:type="dxa"/>
            <w:vMerge w:val="continue"/>
            <w:tcBorders>
              <w:tl2br w:val="nil"/>
              <w:tr2bl w:val="nil"/>
            </w:tcBorders>
            <w:shd w:val="clear" w:color="auto" w:fill="auto"/>
            <w:noWrap/>
            <w:vAlign w:val="center"/>
          </w:tcPr>
          <w:p w14:paraId="3CA7BAE1">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743C23D9">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▲存储设备其他参与要求</w:t>
            </w:r>
          </w:p>
        </w:tc>
        <w:tc>
          <w:tcPr>
            <w:tcW w:w="5499" w:type="dxa"/>
            <w:tcBorders>
              <w:tl2br w:val="nil"/>
              <w:tr2bl w:val="nil"/>
            </w:tcBorders>
            <w:shd w:val="clear" w:color="auto" w:fill="auto"/>
            <w:vAlign w:val="center"/>
          </w:tcPr>
          <w:p w14:paraId="4D7812EB">
            <w:pPr>
              <w:spacing w:line="240" w:lineRule="auto"/>
              <w:jc w:val="left"/>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a）固态盘应符合SJ/T 11654 相关规定</w:t>
            </w:r>
            <w:r>
              <w:rPr>
                <w:rFonts w:hint="eastAsia" w:asciiTheme="minorEastAsia" w:hAnsiTheme="minorEastAsia" w:eastAsiaTheme="minorEastAsia" w:cstheme="minorEastAsia"/>
                <w:lang w:eastAsia="zh-CN"/>
              </w:rPr>
              <w:t>；</w:t>
            </w:r>
          </w:p>
          <w:p w14:paraId="6666EEAD">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b）机械硬盘准备时间应不大于30s；侧面固定螺丝孔数量可为4 孔或6孔；工作状态环境温度应满足5℃</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55℃；其它参数应符合GB/T 12628的相关规定</w:t>
            </w:r>
          </w:p>
        </w:tc>
      </w:tr>
      <w:tr w14:paraId="3C61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475473A9">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17</w:t>
            </w:r>
          </w:p>
        </w:tc>
        <w:tc>
          <w:tcPr>
            <w:tcW w:w="849" w:type="dxa"/>
            <w:vMerge w:val="restart"/>
            <w:tcBorders>
              <w:tl2br w:val="nil"/>
              <w:tr2bl w:val="nil"/>
            </w:tcBorders>
            <w:shd w:val="clear" w:color="auto" w:fill="auto"/>
            <w:noWrap/>
            <w:vAlign w:val="center"/>
          </w:tcPr>
          <w:p w14:paraId="794775E0">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显卡规格</w:t>
            </w:r>
          </w:p>
        </w:tc>
        <w:tc>
          <w:tcPr>
            <w:tcW w:w="2300" w:type="dxa"/>
            <w:tcBorders>
              <w:tl2br w:val="nil"/>
              <w:tr2bl w:val="nil"/>
            </w:tcBorders>
            <w:shd w:val="clear" w:color="auto" w:fill="auto"/>
            <w:vAlign w:val="center"/>
          </w:tcPr>
          <w:p w14:paraId="107F2132">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显卡类型</w:t>
            </w:r>
          </w:p>
        </w:tc>
        <w:tc>
          <w:tcPr>
            <w:tcW w:w="5499" w:type="dxa"/>
            <w:tcBorders>
              <w:tl2br w:val="nil"/>
              <w:tr2bl w:val="nil"/>
            </w:tcBorders>
            <w:shd w:val="clear" w:color="auto" w:fill="auto"/>
            <w:vAlign w:val="center"/>
          </w:tcPr>
          <w:p w14:paraId="40896B43">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独立显卡或集成显卡</w:t>
            </w:r>
          </w:p>
        </w:tc>
      </w:tr>
      <w:tr w14:paraId="1400A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6D6CA22C">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18</w:t>
            </w:r>
          </w:p>
        </w:tc>
        <w:tc>
          <w:tcPr>
            <w:tcW w:w="849" w:type="dxa"/>
            <w:vMerge w:val="continue"/>
            <w:tcBorders>
              <w:tl2br w:val="nil"/>
              <w:tr2bl w:val="nil"/>
            </w:tcBorders>
            <w:shd w:val="clear" w:color="auto" w:fill="auto"/>
            <w:noWrap/>
            <w:vAlign w:val="center"/>
          </w:tcPr>
          <w:p w14:paraId="51C6E4A6">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3153610F">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独立显卡显存类型</w:t>
            </w:r>
          </w:p>
        </w:tc>
        <w:tc>
          <w:tcPr>
            <w:tcW w:w="5499" w:type="dxa"/>
            <w:tcBorders>
              <w:tl2br w:val="nil"/>
              <w:tr2bl w:val="nil"/>
            </w:tcBorders>
            <w:shd w:val="clear" w:color="auto" w:fill="auto"/>
            <w:vAlign w:val="center"/>
          </w:tcPr>
          <w:p w14:paraId="01BEF987">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若配置独立显卡，显存类型应为DDR3/DDR4/GDDR5/GDDR6/LPDDR4</w:t>
            </w:r>
          </w:p>
        </w:tc>
      </w:tr>
      <w:tr w14:paraId="1707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750904C6">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19</w:t>
            </w:r>
          </w:p>
        </w:tc>
        <w:tc>
          <w:tcPr>
            <w:tcW w:w="849" w:type="dxa"/>
            <w:vMerge w:val="continue"/>
            <w:tcBorders>
              <w:tl2br w:val="nil"/>
              <w:tr2bl w:val="nil"/>
            </w:tcBorders>
            <w:shd w:val="clear" w:color="auto" w:fill="auto"/>
            <w:noWrap/>
            <w:vAlign w:val="center"/>
          </w:tcPr>
          <w:p w14:paraId="20A1E69A">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2D5CC1D3">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独立显卡显存位宽</w:t>
            </w:r>
          </w:p>
        </w:tc>
        <w:tc>
          <w:tcPr>
            <w:tcW w:w="5499" w:type="dxa"/>
            <w:tcBorders>
              <w:tl2br w:val="nil"/>
              <w:tr2bl w:val="nil"/>
            </w:tcBorders>
            <w:shd w:val="clear" w:color="auto" w:fill="auto"/>
            <w:vAlign w:val="center"/>
          </w:tcPr>
          <w:p w14:paraId="6670C06E">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若配置独立显卡，显存位宽≥32位</w:t>
            </w:r>
          </w:p>
        </w:tc>
      </w:tr>
      <w:tr w14:paraId="2EE6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024B3E4E">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20</w:t>
            </w:r>
          </w:p>
        </w:tc>
        <w:tc>
          <w:tcPr>
            <w:tcW w:w="849" w:type="dxa"/>
            <w:vMerge w:val="continue"/>
            <w:tcBorders>
              <w:tl2br w:val="nil"/>
              <w:tr2bl w:val="nil"/>
            </w:tcBorders>
            <w:shd w:val="clear" w:color="auto" w:fill="auto"/>
            <w:noWrap/>
            <w:vAlign w:val="center"/>
          </w:tcPr>
          <w:p w14:paraId="753FB1D8">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44E1D3A6">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独立显卡显存容量</w:t>
            </w:r>
          </w:p>
        </w:tc>
        <w:tc>
          <w:tcPr>
            <w:tcW w:w="5499" w:type="dxa"/>
            <w:tcBorders>
              <w:tl2br w:val="nil"/>
              <w:tr2bl w:val="nil"/>
            </w:tcBorders>
            <w:shd w:val="clear" w:color="auto" w:fill="auto"/>
            <w:vAlign w:val="center"/>
          </w:tcPr>
          <w:p w14:paraId="052F989E">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若配置独立显卡，显存容量≥512MB</w:t>
            </w:r>
          </w:p>
        </w:tc>
      </w:tr>
      <w:tr w14:paraId="6B40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345BC4E3">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21</w:t>
            </w:r>
          </w:p>
        </w:tc>
        <w:tc>
          <w:tcPr>
            <w:tcW w:w="849" w:type="dxa"/>
            <w:vMerge w:val="continue"/>
            <w:tcBorders>
              <w:tl2br w:val="nil"/>
              <w:tr2bl w:val="nil"/>
            </w:tcBorders>
            <w:shd w:val="clear" w:color="auto" w:fill="auto"/>
            <w:noWrap/>
            <w:vAlign w:val="center"/>
          </w:tcPr>
          <w:p w14:paraId="44DE9CDB">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3005F9DD">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独立显卡接口协议</w:t>
            </w:r>
          </w:p>
        </w:tc>
        <w:tc>
          <w:tcPr>
            <w:tcW w:w="5499" w:type="dxa"/>
            <w:tcBorders>
              <w:tl2br w:val="nil"/>
              <w:tr2bl w:val="nil"/>
            </w:tcBorders>
            <w:shd w:val="clear" w:color="auto" w:fill="auto"/>
            <w:vAlign w:val="center"/>
          </w:tcPr>
          <w:p w14:paraId="276B6083">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支持PCIe协议版本大于等于2.0或HT（HyperTransport）协议版本大于等于3.0的独立显卡接口协议（集成显卡不涉及）</w:t>
            </w:r>
          </w:p>
        </w:tc>
      </w:tr>
      <w:tr w14:paraId="1B7A1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1" w:hRule="atLeast"/>
          <w:tblHeader/>
          <w:jc w:val="center"/>
        </w:trPr>
        <w:tc>
          <w:tcPr>
            <w:tcW w:w="580" w:type="dxa"/>
            <w:tcBorders>
              <w:tl2br w:val="nil"/>
              <w:tr2bl w:val="nil"/>
            </w:tcBorders>
            <w:shd w:val="clear" w:color="auto" w:fill="auto"/>
            <w:noWrap/>
            <w:vAlign w:val="center"/>
          </w:tcPr>
          <w:p w14:paraId="3F5367E9">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22</w:t>
            </w:r>
          </w:p>
        </w:tc>
        <w:tc>
          <w:tcPr>
            <w:tcW w:w="849" w:type="dxa"/>
            <w:vMerge w:val="restart"/>
            <w:tcBorders>
              <w:tl2br w:val="nil"/>
              <w:tr2bl w:val="nil"/>
            </w:tcBorders>
            <w:shd w:val="clear" w:color="auto" w:fill="auto"/>
            <w:noWrap/>
            <w:vAlign w:val="center"/>
          </w:tcPr>
          <w:p w14:paraId="3F600127">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显示设备规格</w:t>
            </w:r>
          </w:p>
        </w:tc>
        <w:tc>
          <w:tcPr>
            <w:tcW w:w="2300" w:type="dxa"/>
            <w:tcBorders>
              <w:tl2br w:val="nil"/>
              <w:tr2bl w:val="nil"/>
            </w:tcBorders>
            <w:shd w:val="clear" w:color="auto" w:fill="auto"/>
            <w:vAlign w:val="center"/>
          </w:tcPr>
          <w:p w14:paraId="0AC6782F">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▲显示屏屏占比</w:t>
            </w:r>
          </w:p>
        </w:tc>
        <w:tc>
          <w:tcPr>
            <w:tcW w:w="5499" w:type="dxa"/>
            <w:tcBorders>
              <w:tl2br w:val="nil"/>
              <w:tr2bl w:val="nil"/>
            </w:tcBorders>
            <w:shd w:val="clear" w:color="auto" w:fill="auto"/>
            <w:vAlign w:val="center"/>
          </w:tcPr>
          <w:p w14:paraId="2F210A27">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≥80%</w:t>
            </w:r>
          </w:p>
        </w:tc>
      </w:tr>
      <w:tr w14:paraId="7579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5C3CC8E5">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23</w:t>
            </w:r>
          </w:p>
        </w:tc>
        <w:tc>
          <w:tcPr>
            <w:tcW w:w="849" w:type="dxa"/>
            <w:vMerge w:val="continue"/>
            <w:tcBorders>
              <w:tl2br w:val="nil"/>
              <w:tr2bl w:val="nil"/>
            </w:tcBorders>
            <w:shd w:val="clear" w:color="auto" w:fill="auto"/>
            <w:noWrap/>
            <w:vAlign w:val="center"/>
          </w:tcPr>
          <w:p w14:paraId="2E1BF9A8">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5EC0D165">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▲显示屏分辨率</w:t>
            </w:r>
          </w:p>
        </w:tc>
        <w:tc>
          <w:tcPr>
            <w:tcW w:w="5499" w:type="dxa"/>
            <w:tcBorders>
              <w:tl2br w:val="nil"/>
              <w:tr2bl w:val="nil"/>
            </w:tcBorders>
            <w:shd w:val="clear" w:color="auto" w:fill="auto"/>
            <w:noWrap/>
            <w:vAlign w:val="center"/>
          </w:tcPr>
          <w:p w14:paraId="4182DA56">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≥1920</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1080</w:t>
            </w:r>
          </w:p>
        </w:tc>
      </w:tr>
      <w:tr w14:paraId="68411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52B4F220">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24</w:t>
            </w:r>
          </w:p>
        </w:tc>
        <w:tc>
          <w:tcPr>
            <w:tcW w:w="849" w:type="dxa"/>
            <w:vMerge w:val="continue"/>
            <w:tcBorders>
              <w:tl2br w:val="nil"/>
              <w:tr2bl w:val="nil"/>
            </w:tcBorders>
            <w:shd w:val="clear" w:color="auto" w:fill="auto"/>
            <w:noWrap/>
            <w:vAlign w:val="center"/>
          </w:tcPr>
          <w:p w14:paraId="70B46328">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3CE3B72D">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显示屏像素密度</w:t>
            </w:r>
          </w:p>
        </w:tc>
        <w:tc>
          <w:tcPr>
            <w:tcW w:w="5499" w:type="dxa"/>
            <w:tcBorders>
              <w:tl2br w:val="nil"/>
              <w:tr2bl w:val="nil"/>
            </w:tcBorders>
            <w:shd w:val="clear" w:color="auto" w:fill="auto"/>
            <w:vAlign w:val="center"/>
          </w:tcPr>
          <w:p w14:paraId="1142CCAF">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≥150像素/英寸</w:t>
            </w:r>
          </w:p>
        </w:tc>
      </w:tr>
      <w:tr w14:paraId="5F6D0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7EA7AFB3">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25</w:t>
            </w:r>
          </w:p>
        </w:tc>
        <w:tc>
          <w:tcPr>
            <w:tcW w:w="849" w:type="dxa"/>
            <w:vMerge w:val="continue"/>
            <w:tcBorders>
              <w:tl2br w:val="nil"/>
              <w:tr2bl w:val="nil"/>
            </w:tcBorders>
            <w:shd w:val="clear" w:color="auto" w:fill="auto"/>
            <w:noWrap/>
            <w:vAlign w:val="center"/>
          </w:tcPr>
          <w:p w14:paraId="122CB1EA">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7B056481">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显示屏可视角度</w:t>
            </w:r>
          </w:p>
        </w:tc>
        <w:tc>
          <w:tcPr>
            <w:tcW w:w="5499" w:type="dxa"/>
            <w:tcBorders>
              <w:tl2br w:val="nil"/>
              <w:tr2bl w:val="nil"/>
            </w:tcBorders>
            <w:shd w:val="clear" w:color="auto" w:fill="auto"/>
            <w:vAlign w:val="center"/>
          </w:tcPr>
          <w:p w14:paraId="363EC12B">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水平≥170°</w:t>
            </w:r>
          </w:p>
        </w:tc>
      </w:tr>
      <w:tr w14:paraId="6584D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191989FA">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26</w:t>
            </w:r>
          </w:p>
        </w:tc>
        <w:tc>
          <w:tcPr>
            <w:tcW w:w="849" w:type="dxa"/>
            <w:vMerge w:val="continue"/>
            <w:tcBorders>
              <w:tl2br w:val="nil"/>
              <w:tr2bl w:val="nil"/>
            </w:tcBorders>
            <w:shd w:val="clear" w:color="auto" w:fill="auto"/>
            <w:noWrap/>
            <w:vAlign w:val="center"/>
          </w:tcPr>
          <w:p w14:paraId="6D92C306">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55FBE4E9">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▲显示屏尺寸</w:t>
            </w:r>
          </w:p>
        </w:tc>
        <w:tc>
          <w:tcPr>
            <w:tcW w:w="5499" w:type="dxa"/>
            <w:tcBorders>
              <w:tl2br w:val="nil"/>
              <w:tr2bl w:val="nil"/>
            </w:tcBorders>
            <w:shd w:val="clear" w:color="auto" w:fill="auto"/>
            <w:noWrap/>
            <w:vAlign w:val="center"/>
          </w:tcPr>
          <w:p w14:paraId="5B368C5B">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≥14英寸</w:t>
            </w:r>
          </w:p>
        </w:tc>
      </w:tr>
      <w:tr w14:paraId="469DC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20F41DF2">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27</w:t>
            </w:r>
          </w:p>
        </w:tc>
        <w:tc>
          <w:tcPr>
            <w:tcW w:w="849" w:type="dxa"/>
            <w:vMerge w:val="continue"/>
            <w:tcBorders>
              <w:tl2br w:val="nil"/>
              <w:tr2bl w:val="nil"/>
            </w:tcBorders>
            <w:shd w:val="clear" w:color="auto" w:fill="auto"/>
            <w:noWrap/>
            <w:vAlign w:val="center"/>
          </w:tcPr>
          <w:p w14:paraId="744DEDD7">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52E0EE55">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▲显示屏屏幕比例</w:t>
            </w:r>
          </w:p>
        </w:tc>
        <w:tc>
          <w:tcPr>
            <w:tcW w:w="5499" w:type="dxa"/>
            <w:tcBorders>
              <w:tl2br w:val="nil"/>
              <w:tr2bl w:val="nil"/>
            </w:tcBorders>
            <w:shd w:val="clear" w:color="auto" w:fill="auto"/>
            <w:noWrap/>
            <w:vAlign w:val="center"/>
          </w:tcPr>
          <w:p w14:paraId="48A40FC6">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16:9/16:10/3:2等</w:t>
            </w:r>
          </w:p>
        </w:tc>
      </w:tr>
      <w:tr w14:paraId="7FDF7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61324488">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28</w:t>
            </w:r>
          </w:p>
        </w:tc>
        <w:tc>
          <w:tcPr>
            <w:tcW w:w="849" w:type="dxa"/>
            <w:vMerge w:val="continue"/>
            <w:tcBorders>
              <w:tl2br w:val="nil"/>
              <w:tr2bl w:val="nil"/>
            </w:tcBorders>
            <w:shd w:val="clear" w:color="auto" w:fill="auto"/>
            <w:noWrap/>
            <w:vAlign w:val="center"/>
          </w:tcPr>
          <w:p w14:paraId="03B1CFFC">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4B6C9616">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▲显示屏防蓝光</w:t>
            </w:r>
          </w:p>
        </w:tc>
        <w:tc>
          <w:tcPr>
            <w:tcW w:w="5499" w:type="dxa"/>
            <w:tcBorders>
              <w:tl2br w:val="nil"/>
              <w:tr2bl w:val="nil"/>
            </w:tcBorders>
            <w:shd w:val="clear" w:color="auto" w:fill="auto"/>
            <w:vAlign w:val="center"/>
          </w:tcPr>
          <w:p w14:paraId="78C9BD89">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支持防蓝光模式，蓝光加权辐射亮度比应≤0.0012W/(·cd·sr)（瓦每坎特拉每球面度）</w:t>
            </w:r>
          </w:p>
        </w:tc>
      </w:tr>
      <w:tr w14:paraId="5D583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5D23A0EE">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29</w:t>
            </w:r>
          </w:p>
        </w:tc>
        <w:tc>
          <w:tcPr>
            <w:tcW w:w="849" w:type="dxa"/>
            <w:vMerge w:val="continue"/>
            <w:tcBorders>
              <w:tl2br w:val="nil"/>
              <w:tr2bl w:val="nil"/>
            </w:tcBorders>
            <w:shd w:val="clear" w:color="auto" w:fill="auto"/>
            <w:noWrap/>
            <w:vAlign w:val="center"/>
          </w:tcPr>
          <w:p w14:paraId="2D1C21BE">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048F202C">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▲显示屏低频闪</w:t>
            </w:r>
          </w:p>
        </w:tc>
        <w:tc>
          <w:tcPr>
            <w:tcW w:w="5499" w:type="dxa"/>
            <w:tcBorders>
              <w:tl2br w:val="nil"/>
              <w:tr2bl w:val="nil"/>
            </w:tcBorders>
            <w:shd w:val="clear" w:color="auto" w:fill="auto"/>
            <w:vAlign w:val="center"/>
          </w:tcPr>
          <w:p w14:paraId="2727F5E7">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显示屏应支持低频闪≤-35dB</w:t>
            </w:r>
          </w:p>
        </w:tc>
      </w:tr>
      <w:tr w14:paraId="759CE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31510DEA">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30</w:t>
            </w:r>
          </w:p>
        </w:tc>
        <w:tc>
          <w:tcPr>
            <w:tcW w:w="849" w:type="dxa"/>
            <w:vMerge w:val="continue"/>
            <w:tcBorders>
              <w:tl2br w:val="nil"/>
              <w:tr2bl w:val="nil"/>
            </w:tcBorders>
            <w:shd w:val="clear" w:color="auto" w:fill="auto"/>
            <w:noWrap/>
            <w:vAlign w:val="center"/>
          </w:tcPr>
          <w:p w14:paraId="2ED328F9">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56B32A81">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▲显示屏防炫目</w:t>
            </w:r>
          </w:p>
        </w:tc>
        <w:tc>
          <w:tcPr>
            <w:tcW w:w="5499" w:type="dxa"/>
            <w:tcBorders>
              <w:tl2br w:val="nil"/>
              <w:tr2bl w:val="nil"/>
            </w:tcBorders>
            <w:shd w:val="clear" w:color="auto" w:fill="auto"/>
            <w:vAlign w:val="center"/>
          </w:tcPr>
          <w:p w14:paraId="155C07D5">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显示器镜面反射率≤10%</w:t>
            </w:r>
          </w:p>
        </w:tc>
      </w:tr>
      <w:tr w14:paraId="450E7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9" w:hRule="atLeast"/>
          <w:tblHeader/>
          <w:jc w:val="center"/>
        </w:trPr>
        <w:tc>
          <w:tcPr>
            <w:tcW w:w="580" w:type="dxa"/>
            <w:tcBorders>
              <w:tl2br w:val="nil"/>
              <w:tr2bl w:val="nil"/>
            </w:tcBorders>
            <w:shd w:val="clear" w:color="auto" w:fill="auto"/>
            <w:noWrap/>
            <w:vAlign w:val="center"/>
          </w:tcPr>
          <w:p w14:paraId="71264C48">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31</w:t>
            </w:r>
          </w:p>
        </w:tc>
        <w:tc>
          <w:tcPr>
            <w:tcW w:w="849" w:type="dxa"/>
            <w:vMerge w:val="restart"/>
            <w:tcBorders>
              <w:tl2br w:val="nil"/>
              <w:tr2bl w:val="nil"/>
            </w:tcBorders>
            <w:shd w:val="clear" w:color="auto" w:fill="auto"/>
            <w:vAlign w:val="center"/>
          </w:tcPr>
          <w:p w14:paraId="31DAAFEC">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外设规格</w:t>
            </w:r>
          </w:p>
        </w:tc>
        <w:tc>
          <w:tcPr>
            <w:tcW w:w="2300" w:type="dxa"/>
            <w:tcBorders>
              <w:tl2br w:val="nil"/>
              <w:tr2bl w:val="nil"/>
            </w:tcBorders>
            <w:shd w:val="clear" w:color="auto" w:fill="auto"/>
            <w:vAlign w:val="center"/>
          </w:tcPr>
          <w:p w14:paraId="0E0A3597">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传声器数量</w:t>
            </w:r>
          </w:p>
        </w:tc>
        <w:tc>
          <w:tcPr>
            <w:tcW w:w="5499" w:type="dxa"/>
            <w:tcBorders>
              <w:tl2br w:val="nil"/>
              <w:tr2bl w:val="nil"/>
            </w:tcBorders>
            <w:shd w:val="clear" w:color="auto" w:fill="auto"/>
            <w:vAlign w:val="center"/>
          </w:tcPr>
          <w:p w14:paraId="2556F38A">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≥1个</w:t>
            </w:r>
          </w:p>
        </w:tc>
      </w:tr>
      <w:tr w14:paraId="2D7EF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475295EF">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32</w:t>
            </w:r>
          </w:p>
        </w:tc>
        <w:tc>
          <w:tcPr>
            <w:tcW w:w="849" w:type="dxa"/>
            <w:vMerge w:val="continue"/>
            <w:tcBorders>
              <w:tl2br w:val="nil"/>
              <w:tr2bl w:val="nil"/>
            </w:tcBorders>
            <w:shd w:val="clear" w:color="auto" w:fill="auto"/>
            <w:vAlign w:val="center"/>
          </w:tcPr>
          <w:p w14:paraId="183ECAC1">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6740C80C">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扬声器数量</w:t>
            </w:r>
          </w:p>
        </w:tc>
        <w:tc>
          <w:tcPr>
            <w:tcW w:w="5499" w:type="dxa"/>
            <w:tcBorders>
              <w:tl2br w:val="nil"/>
              <w:tr2bl w:val="nil"/>
            </w:tcBorders>
            <w:shd w:val="clear" w:color="auto" w:fill="auto"/>
            <w:vAlign w:val="center"/>
          </w:tcPr>
          <w:p w14:paraId="66C15018">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≥1个</w:t>
            </w:r>
          </w:p>
        </w:tc>
      </w:tr>
      <w:tr w14:paraId="5A95D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0147F757">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33</w:t>
            </w:r>
          </w:p>
        </w:tc>
        <w:tc>
          <w:tcPr>
            <w:tcW w:w="849" w:type="dxa"/>
            <w:vMerge w:val="continue"/>
            <w:tcBorders>
              <w:tl2br w:val="nil"/>
              <w:tr2bl w:val="nil"/>
            </w:tcBorders>
            <w:shd w:val="clear" w:color="auto" w:fill="auto"/>
            <w:vAlign w:val="center"/>
          </w:tcPr>
          <w:p w14:paraId="75B975B0">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46F051E8">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▲鼠标数量</w:t>
            </w:r>
          </w:p>
        </w:tc>
        <w:tc>
          <w:tcPr>
            <w:tcW w:w="5499" w:type="dxa"/>
            <w:tcBorders>
              <w:tl2br w:val="nil"/>
              <w:tr2bl w:val="nil"/>
            </w:tcBorders>
            <w:shd w:val="clear" w:color="auto" w:fill="auto"/>
            <w:vAlign w:val="center"/>
          </w:tcPr>
          <w:p w14:paraId="79825878">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≥1个</w:t>
            </w:r>
          </w:p>
        </w:tc>
      </w:tr>
      <w:tr w14:paraId="03AB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38DCBD13">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34</w:t>
            </w:r>
          </w:p>
        </w:tc>
        <w:tc>
          <w:tcPr>
            <w:tcW w:w="849" w:type="dxa"/>
            <w:vMerge w:val="continue"/>
            <w:tcBorders>
              <w:tl2br w:val="nil"/>
              <w:tr2bl w:val="nil"/>
            </w:tcBorders>
            <w:shd w:val="clear" w:color="auto" w:fill="auto"/>
            <w:vAlign w:val="center"/>
          </w:tcPr>
          <w:p w14:paraId="4220AF5B">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6C5B8B95">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键盘数量</w:t>
            </w:r>
          </w:p>
        </w:tc>
        <w:tc>
          <w:tcPr>
            <w:tcW w:w="5499" w:type="dxa"/>
            <w:tcBorders>
              <w:tl2br w:val="nil"/>
              <w:tr2bl w:val="nil"/>
            </w:tcBorders>
            <w:shd w:val="clear" w:color="auto" w:fill="auto"/>
            <w:vAlign w:val="center"/>
          </w:tcPr>
          <w:p w14:paraId="4614F2D1">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≥1个</w:t>
            </w:r>
          </w:p>
        </w:tc>
      </w:tr>
      <w:tr w14:paraId="35F5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0592008C">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35</w:t>
            </w:r>
          </w:p>
        </w:tc>
        <w:tc>
          <w:tcPr>
            <w:tcW w:w="849" w:type="dxa"/>
            <w:vMerge w:val="continue"/>
            <w:tcBorders>
              <w:tl2br w:val="nil"/>
              <w:tr2bl w:val="nil"/>
            </w:tcBorders>
            <w:shd w:val="clear" w:color="auto" w:fill="auto"/>
            <w:vAlign w:val="center"/>
          </w:tcPr>
          <w:p w14:paraId="69FDE509">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541BBCEE">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触控板数量</w:t>
            </w:r>
          </w:p>
        </w:tc>
        <w:tc>
          <w:tcPr>
            <w:tcW w:w="5499" w:type="dxa"/>
            <w:tcBorders>
              <w:tl2br w:val="nil"/>
              <w:tr2bl w:val="nil"/>
            </w:tcBorders>
            <w:shd w:val="clear" w:color="auto" w:fill="auto"/>
            <w:vAlign w:val="center"/>
          </w:tcPr>
          <w:p w14:paraId="384B9EB3">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≥1个</w:t>
            </w:r>
          </w:p>
        </w:tc>
      </w:tr>
      <w:tr w14:paraId="6FAB3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08CB35D0">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36</w:t>
            </w:r>
          </w:p>
        </w:tc>
        <w:tc>
          <w:tcPr>
            <w:tcW w:w="849" w:type="dxa"/>
            <w:vMerge w:val="continue"/>
            <w:tcBorders>
              <w:tl2br w:val="nil"/>
              <w:tr2bl w:val="nil"/>
            </w:tcBorders>
            <w:shd w:val="clear" w:color="auto" w:fill="auto"/>
            <w:vAlign w:val="center"/>
          </w:tcPr>
          <w:p w14:paraId="79174AE3">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41919FB5">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摄像头数量</w:t>
            </w:r>
          </w:p>
        </w:tc>
        <w:tc>
          <w:tcPr>
            <w:tcW w:w="5499" w:type="dxa"/>
            <w:tcBorders>
              <w:tl2br w:val="nil"/>
              <w:tr2bl w:val="nil"/>
            </w:tcBorders>
            <w:shd w:val="clear" w:color="auto" w:fill="auto"/>
            <w:vAlign w:val="center"/>
          </w:tcPr>
          <w:p w14:paraId="1ED8079D">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≥1个</w:t>
            </w:r>
          </w:p>
        </w:tc>
      </w:tr>
      <w:tr w14:paraId="6159E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2426A3FD">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37</w:t>
            </w:r>
          </w:p>
        </w:tc>
        <w:tc>
          <w:tcPr>
            <w:tcW w:w="849" w:type="dxa"/>
            <w:vMerge w:val="continue"/>
            <w:tcBorders>
              <w:tl2br w:val="nil"/>
              <w:tr2bl w:val="nil"/>
            </w:tcBorders>
            <w:shd w:val="clear" w:color="auto" w:fill="auto"/>
            <w:vAlign w:val="center"/>
          </w:tcPr>
          <w:p w14:paraId="24BC9FA6">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201EBEC9">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光驱数量</w:t>
            </w:r>
          </w:p>
        </w:tc>
        <w:tc>
          <w:tcPr>
            <w:tcW w:w="5499" w:type="dxa"/>
            <w:tcBorders>
              <w:tl2br w:val="nil"/>
              <w:tr2bl w:val="nil"/>
            </w:tcBorders>
            <w:shd w:val="clear" w:color="auto" w:fill="auto"/>
            <w:vAlign w:val="center"/>
          </w:tcPr>
          <w:p w14:paraId="29949DB8">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≥0个</w:t>
            </w:r>
          </w:p>
        </w:tc>
      </w:tr>
      <w:tr w14:paraId="045AE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249828F1">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38</w:t>
            </w:r>
          </w:p>
        </w:tc>
        <w:tc>
          <w:tcPr>
            <w:tcW w:w="849" w:type="dxa"/>
            <w:vMerge w:val="continue"/>
            <w:tcBorders>
              <w:tl2br w:val="nil"/>
              <w:tr2bl w:val="nil"/>
            </w:tcBorders>
            <w:shd w:val="clear" w:color="auto" w:fill="auto"/>
            <w:vAlign w:val="center"/>
          </w:tcPr>
          <w:p w14:paraId="339BBE0C">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41B154E9">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▲键盘按键数目</w:t>
            </w:r>
          </w:p>
        </w:tc>
        <w:tc>
          <w:tcPr>
            <w:tcW w:w="5499" w:type="dxa"/>
            <w:tcBorders>
              <w:tl2br w:val="nil"/>
              <w:tr2bl w:val="nil"/>
            </w:tcBorders>
            <w:shd w:val="clear" w:color="auto" w:fill="auto"/>
            <w:vAlign w:val="center"/>
          </w:tcPr>
          <w:p w14:paraId="7D6D6C48">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62 键/84 键/105 键等</w:t>
            </w:r>
          </w:p>
        </w:tc>
      </w:tr>
      <w:tr w14:paraId="73340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68AD574F">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39</w:t>
            </w:r>
          </w:p>
        </w:tc>
        <w:tc>
          <w:tcPr>
            <w:tcW w:w="849" w:type="dxa"/>
            <w:vMerge w:val="continue"/>
            <w:tcBorders>
              <w:tl2br w:val="nil"/>
              <w:tr2bl w:val="nil"/>
            </w:tcBorders>
            <w:shd w:val="clear" w:color="auto" w:fill="auto"/>
            <w:vAlign w:val="center"/>
          </w:tcPr>
          <w:p w14:paraId="2F25FB7E">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3FE86605">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▲摄像头像素</w:t>
            </w:r>
          </w:p>
        </w:tc>
        <w:tc>
          <w:tcPr>
            <w:tcW w:w="5499" w:type="dxa"/>
            <w:tcBorders>
              <w:tl2br w:val="nil"/>
              <w:tr2bl w:val="nil"/>
            </w:tcBorders>
            <w:shd w:val="clear" w:color="auto" w:fill="auto"/>
            <w:vAlign w:val="center"/>
          </w:tcPr>
          <w:p w14:paraId="3594BB27">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≥100万</w:t>
            </w:r>
          </w:p>
        </w:tc>
      </w:tr>
      <w:tr w14:paraId="3F8C0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60F43AB3">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40</w:t>
            </w:r>
          </w:p>
        </w:tc>
        <w:tc>
          <w:tcPr>
            <w:tcW w:w="849" w:type="dxa"/>
            <w:vMerge w:val="continue"/>
            <w:tcBorders>
              <w:tl2br w:val="nil"/>
              <w:tr2bl w:val="nil"/>
            </w:tcBorders>
            <w:shd w:val="clear" w:color="auto" w:fill="auto"/>
            <w:vAlign w:val="center"/>
          </w:tcPr>
          <w:p w14:paraId="00A54B77">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19B79C1C">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摄像头分辨率</w:t>
            </w:r>
          </w:p>
        </w:tc>
        <w:tc>
          <w:tcPr>
            <w:tcW w:w="5499" w:type="dxa"/>
            <w:tcBorders>
              <w:tl2br w:val="nil"/>
              <w:tr2bl w:val="nil"/>
            </w:tcBorders>
            <w:shd w:val="clear" w:color="auto" w:fill="auto"/>
            <w:vAlign w:val="center"/>
          </w:tcPr>
          <w:p w14:paraId="654A666C">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≥1280</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720</w:t>
            </w:r>
          </w:p>
        </w:tc>
      </w:tr>
      <w:tr w14:paraId="20856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281BEF66">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41</w:t>
            </w:r>
          </w:p>
        </w:tc>
        <w:tc>
          <w:tcPr>
            <w:tcW w:w="849" w:type="dxa"/>
            <w:vMerge w:val="continue"/>
            <w:tcBorders>
              <w:tl2br w:val="nil"/>
              <w:tr2bl w:val="nil"/>
            </w:tcBorders>
            <w:shd w:val="clear" w:color="auto" w:fill="auto"/>
            <w:vAlign w:val="center"/>
          </w:tcPr>
          <w:p w14:paraId="083359D9">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78A23B9E">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内置扬声器功率</w:t>
            </w:r>
          </w:p>
        </w:tc>
        <w:tc>
          <w:tcPr>
            <w:tcW w:w="5499" w:type="dxa"/>
            <w:tcBorders>
              <w:tl2br w:val="nil"/>
              <w:tr2bl w:val="nil"/>
            </w:tcBorders>
            <w:shd w:val="clear" w:color="auto" w:fill="auto"/>
            <w:vAlign w:val="center"/>
          </w:tcPr>
          <w:p w14:paraId="04665280">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≥1瓦/个</w:t>
            </w:r>
          </w:p>
        </w:tc>
      </w:tr>
      <w:tr w14:paraId="1B87A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6BB15CC3">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42</w:t>
            </w:r>
          </w:p>
        </w:tc>
        <w:tc>
          <w:tcPr>
            <w:tcW w:w="849" w:type="dxa"/>
            <w:vMerge w:val="continue"/>
            <w:tcBorders>
              <w:tl2br w:val="nil"/>
              <w:tr2bl w:val="nil"/>
            </w:tcBorders>
            <w:shd w:val="clear" w:color="auto" w:fill="auto"/>
            <w:vAlign w:val="center"/>
          </w:tcPr>
          <w:p w14:paraId="2349A15B">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24A540C8">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内置扬声器频率范围</w:t>
            </w:r>
          </w:p>
        </w:tc>
        <w:tc>
          <w:tcPr>
            <w:tcW w:w="5499" w:type="dxa"/>
            <w:tcBorders>
              <w:tl2br w:val="nil"/>
              <w:tr2bl w:val="nil"/>
            </w:tcBorders>
            <w:shd w:val="clear" w:color="auto" w:fill="auto"/>
            <w:vAlign w:val="center"/>
          </w:tcPr>
          <w:p w14:paraId="450CD6C9">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100Hz-20kHz，其中100Hz-200Hz：35dB及以上；200Hz-12kHz：55dB及以上，12kHz-18kHz：35dB及以上</w:t>
            </w:r>
          </w:p>
        </w:tc>
      </w:tr>
      <w:tr w14:paraId="51D2B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45B4C44A">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43</w:t>
            </w:r>
          </w:p>
        </w:tc>
        <w:tc>
          <w:tcPr>
            <w:tcW w:w="849" w:type="dxa"/>
            <w:vMerge w:val="continue"/>
            <w:tcBorders>
              <w:tl2br w:val="nil"/>
              <w:tr2bl w:val="nil"/>
            </w:tcBorders>
            <w:shd w:val="clear" w:color="auto" w:fill="auto"/>
            <w:vAlign w:val="center"/>
          </w:tcPr>
          <w:p w14:paraId="76C5DA85">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0D45FBA4">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内置扬声器总谐波失真</w:t>
            </w:r>
          </w:p>
        </w:tc>
        <w:tc>
          <w:tcPr>
            <w:tcW w:w="5499" w:type="dxa"/>
            <w:tcBorders>
              <w:tl2br w:val="nil"/>
              <w:tr2bl w:val="nil"/>
            </w:tcBorders>
            <w:shd w:val="clear" w:color="auto" w:fill="auto"/>
            <w:vAlign w:val="center"/>
          </w:tcPr>
          <w:p w14:paraId="40489B73">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总谐波失真在300Hz-7kHz频率范围内宜不高于5%</w:t>
            </w:r>
          </w:p>
        </w:tc>
      </w:tr>
      <w:tr w14:paraId="2940E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0EAB83C9">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44</w:t>
            </w:r>
          </w:p>
        </w:tc>
        <w:tc>
          <w:tcPr>
            <w:tcW w:w="849" w:type="dxa"/>
            <w:vMerge w:val="continue"/>
            <w:tcBorders>
              <w:tl2br w:val="nil"/>
              <w:tr2bl w:val="nil"/>
            </w:tcBorders>
            <w:shd w:val="clear" w:color="auto" w:fill="auto"/>
            <w:vAlign w:val="center"/>
          </w:tcPr>
          <w:p w14:paraId="76A667BB">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4A3F75D5">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内置扬声器最大声压级</w:t>
            </w:r>
          </w:p>
        </w:tc>
        <w:tc>
          <w:tcPr>
            <w:tcW w:w="5499" w:type="dxa"/>
            <w:tcBorders>
              <w:tl2br w:val="nil"/>
              <w:tr2bl w:val="nil"/>
            </w:tcBorders>
            <w:shd w:val="clear" w:color="auto" w:fill="auto"/>
            <w:vAlign w:val="center"/>
          </w:tcPr>
          <w:p w14:paraId="2C183215">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最大声压级在粉红噪声播放场景下，工作距离处声压级宜不低于70dB</w:t>
            </w:r>
          </w:p>
        </w:tc>
      </w:tr>
      <w:tr w14:paraId="7321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3A0D7467">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45</w:t>
            </w:r>
          </w:p>
        </w:tc>
        <w:tc>
          <w:tcPr>
            <w:tcW w:w="849" w:type="dxa"/>
            <w:vMerge w:val="continue"/>
            <w:tcBorders>
              <w:tl2br w:val="nil"/>
              <w:tr2bl w:val="nil"/>
            </w:tcBorders>
            <w:shd w:val="clear" w:color="auto" w:fill="auto"/>
            <w:vAlign w:val="center"/>
          </w:tcPr>
          <w:p w14:paraId="5056124F">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6AB83C31">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键盘键程</w:t>
            </w:r>
          </w:p>
        </w:tc>
        <w:tc>
          <w:tcPr>
            <w:tcW w:w="5499" w:type="dxa"/>
            <w:tcBorders>
              <w:tl2br w:val="nil"/>
              <w:tr2bl w:val="nil"/>
            </w:tcBorders>
            <w:shd w:val="clear" w:color="auto" w:fill="auto"/>
            <w:vAlign w:val="center"/>
          </w:tcPr>
          <w:p w14:paraId="54E615AA">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0.9mm</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2.3mm</w:t>
            </w:r>
          </w:p>
        </w:tc>
      </w:tr>
      <w:tr w14:paraId="44DB1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3763629D">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46</w:t>
            </w:r>
          </w:p>
        </w:tc>
        <w:tc>
          <w:tcPr>
            <w:tcW w:w="849" w:type="dxa"/>
            <w:vMerge w:val="continue"/>
            <w:tcBorders>
              <w:tl2br w:val="nil"/>
              <w:tr2bl w:val="nil"/>
            </w:tcBorders>
            <w:shd w:val="clear" w:color="auto" w:fill="auto"/>
            <w:vAlign w:val="center"/>
          </w:tcPr>
          <w:p w14:paraId="06DAE891">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46B62205">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键盘按键压力</w:t>
            </w:r>
          </w:p>
        </w:tc>
        <w:tc>
          <w:tcPr>
            <w:tcW w:w="5499" w:type="dxa"/>
            <w:tcBorders>
              <w:tl2br w:val="nil"/>
              <w:tr2bl w:val="nil"/>
            </w:tcBorders>
            <w:shd w:val="clear" w:color="auto" w:fill="auto"/>
            <w:vAlign w:val="center"/>
          </w:tcPr>
          <w:p w14:paraId="6F5935C8">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按键压力宜在0.3～0.8N之间</w:t>
            </w:r>
          </w:p>
        </w:tc>
      </w:tr>
      <w:tr w14:paraId="35185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1F76D33E">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47</w:t>
            </w:r>
          </w:p>
        </w:tc>
        <w:tc>
          <w:tcPr>
            <w:tcW w:w="849" w:type="dxa"/>
            <w:vMerge w:val="continue"/>
            <w:tcBorders>
              <w:tl2br w:val="nil"/>
              <w:tr2bl w:val="nil"/>
            </w:tcBorders>
            <w:shd w:val="clear" w:color="auto" w:fill="auto"/>
            <w:vAlign w:val="center"/>
          </w:tcPr>
          <w:p w14:paraId="5C3D73E0">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09E979AA">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键盘颜色</w:t>
            </w:r>
          </w:p>
        </w:tc>
        <w:tc>
          <w:tcPr>
            <w:tcW w:w="5499" w:type="dxa"/>
            <w:tcBorders>
              <w:tl2br w:val="nil"/>
              <w:tr2bl w:val="nil"/>
            </w:tcBorders>
            <w:shd w:val="clear" w:color="auto" w:fill="auto"/>
            <w:vAlign w:val="center"/>
          </w:tcPr>
          <w:p w14:paraId="15369BD4">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黑色/银色/白色等商务色系</w:t>
            </w:r>
          </w:p>
        </w:tc>
      </w:tr>
      <w:tr w14:paraId="0E91F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70D7AC9B">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48</w:t>
            </w:r>
          </w:p>
        </w:tc>
        <w:tc>
          <w:tcPr>
            <w:tcW w:w="849" w:type="dxa"/>
            <w:vMerge w:val="continue"/>
            <w:tcBorders>
              <w:tl2br w:val="nil"/>
              <w:tr2bl w:val="nil"/>
            </w:tcBorders>
            <w:shd w:val="clear" w:color="auto" w:fill="auto"/>
            <w:vAlign w:val="center"/>
          </w:tcPr>
          <w:p w14:paraId="1306CCCD">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65B5B94F">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鼠标连接方式</w:t>
            </w:r>
          </w:p>
        </w:tc>
        <w:tc>
          <w:tcPr>
            <w:tcW w:w="5499" w:type="dxa"/>
            <w:tcBorders>
              <w:tl2br w:val="nil"/>
              <w:tr2bl w:val="nil"/>
            </w:tcBorders>
            <w:shd w:val="clear" w:color="auto" w:fill="auto"/>
            <w:vAlign w:val="center"/>
          </w:tcPr>
          <w:p w14:paraId="70FD6004">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有线或无线</w:t>
            </w:r>
          </w:p>
        </w:tc>
      </w:tr>
      <w:tr w14:paraId="174EE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blHeader/>
          <w:jc w:val="center"/>
        </w:trPr>
        <w:tc>
          <w:tcPr>
            <w:tcW w:w="580" w:type="dxa"/>
            <w:tcBorders>
              <w:tl2br w:val="nil"/>
              <w:tr2bl w:val="nil"/>
            </w:tcBorders>
            <w:shd w:val="clear" w:color="auto" w:fill="auto"/>
            <w:noWrap/>
            <w:vAlign w:val="center"/>
          </w:tcPr>
          <w:p w14:paraId="5D398AE1">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49</w:t>
            </w:r>
          </w:p>
        </w:tc>
        <w:tc>
          <w:tcPr>
            <w:tcW w:w="849" w:type="dxa"/>
            <w:vMerge w:val="continue"/>
            <w:tcBorders>
              <w:tl2br w:val="nil"/>
              <w:tr2bl w:val="nil"/>
            </w:tcBorders>
            <w:shd w:val="clear" w:color="auto" w:fill="auto"/>
            <w:vAlign w:val="center"/>
          </w:tcPr>
          <w:p w14:paraId="4EA7AA62">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28AB38D7">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有线鼠标连接线</w:t>
            </w:r>
          </w:p>
        </w:tc>
        <w:tc>
          <w:tcPr>
            <w:tcW w:w="5499" w:type="dxa"/>
            <w:tcBorders>
              <w:tl2br w:val="nil"/>
              <w:tr2bl w:val="nil"/>
            </w:tcBorders>
            <w:shd w:val="clear" w:color="auto" w:fill="auto"/>
            <w:vAlign w:val="center"/>
          </w:tcPr>
          <w:p w14:paraId="1FDDEA47">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≥1.5米</w:t>
            </w:r>
          </w:p>
        </w:tc>
      </w:tr>
      <w:tr w14:paraId="61D09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06D1D4C6">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50</w:t>
            </w:r>
          </w:p>
        </w:tc>
        <w:tc>
          <w:tcPr>
            <w:tcW w:w="849" w:type="dxa"/>
            <w:vMerge w:val="continue"/>
            <w:tcBorders>
              <w:tl2br w:val="nil"/>
              <w:tr2bl w:val="nil"/>
            </w:tcBorders>
            <w:shd w:val="clear" w:color="auto" w:fill="auto"/>
            <w:vAlign w:val="center"/>
          </w:tcPr>
          <w:p w14:paraId="344E87A5">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4F9E636C">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鼠标DPI分辨率</w:t>
            </w:r>
          </w:p>
        </w:tc>
        <w:tc>
          <w:tcPr>
            <w:tcW w:w="5499" w:type="dxa"/>
            <w:tcBorders>
              <w:tl2br w:val="nil"/>
              <w:tr2bl w:val="nil"/>
            </w:tcBorders>
            <w:shd w:val="clear" w:color="auto" w:fill="auto"/>
            <w:vAlign w:val="center"/>
          </w:tcPr>
          <w:p w14:paraId="7BA22D19">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800</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1600</w:t>
            </w:r>
          </w:p>
        </w:tc>
      </w:tr>
      <w:tr w14:paraId="4030A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50586177">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51</w:t>
            </w:r>
          </w:p>
        </w:tc>
        <w:tc>
          <w:tcPr>
            <w:tcW w:w="849" w:type="dxa"/>
            <w:vMerge w:val="continue"/>
            <w:tcBorders>
              <w:tl2br w:val="nil"/>
              <w:tr2bl w:val="nil"/>
            </w:tcBorders>
            <w:shd w:val="clear" w:color="auto" w:fill="auto"/>
            <w:vAlign w:val="center"/>
          </w:tcPr>
          <w:p w14:paraId="702F5FD3">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7E84F25D">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鼠标颜色</w:t>
            </w:r>
          </w:p>
        </w:tc>
        <w:tc>
          <w:tcPr>
            <w:tcW w:w="5499" w:type="dxa"/>
            <w:tcBorders>
              <w:tl2br w:val="nil"/>
              <w:tr2bl w:val="nil"/>
            </w:tcBorders>
            <w:shd w:val="clear" w:color="auto" w:fill="auto"/>
            <w:vAlign w:val="center"/>
          </w:tcPr>
          <w:p w14:paraId="66FF53F1">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黑色/银色/白色等商务色系</w:t>
            </w:r>
          </w:p>
        </w:tc>
      </w:tr>
      <w:tr w14:paraId="08670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6E5589B5">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52</w:t>
            </w:r>
          </w:p>
        </w:tc>
        <w:tc>
          <w:tcPr>
            <w:tcW w:w="849" w:type="dxa"/>
            <w:vMerge w:val="continue"/>
            <w:tcBorders>
              <w:tl2br w:val="nil"/>
              <w:tr2bl w:val="nil"/>
            </w:tcBorders>
            <w:shd w:val="clear" w:color="auto" w:fill="auto"/>
            <w:vAlign w:val="center"/>
          </w:tcPr>
          <w:p w14:paraId="023B1050">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7F26CF7D">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鼠标其他要求</w:t>
            </w:r>
          </w:p>
        </w:tc>
        <w:tc>
          <w:tcPr>
            <w:tcW w:w="5499" w:type="dxa"/>
            <w:tcBorders>
              <w:tl2br w:val="nil"/>
              <w:tr2bl w:val="nil"/>
            </w:tcBorders>
            <w:shd w:val="clear" w:color="auto" w:fill="auto"/>
            <w:vAlign w:val="center"/>
          </w:tcPr>
          <w:p w14:paraId="6898887B">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其它参数应符合GB/T26245的相关规定</w:t>
            </w:r>
          </w:p>
        </w:tc>
      </w:tr>
      <w:tr w14:paraId="0FA66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2B42379D">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53</w:t>
            </w:r>
          </w:p>
        </w:tc>
        <w:tc>
          <w:tcPr>
            <w:tcW w:w="849" w:type="dxa"/>
            <w:vMerge w:val="continue"/>
            <w:tcBorders>
              <w:tl2br w:val="nil"/>
              <w:tr2bl w:val="nil"/>
            </w:tcBorders>
            <w:shd w:val="clear" w:color="auto" w:fill="auto"/>
            <w:vAlign w:val="center"/>
          </w:tcPr>
          <w:p w14:paraId="02BAA1E5">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72994D4D">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触控板尺寸</w:t>
            </w:r>
          </w:p>
        </w:tc>
        <w:tc>
          <w:tcPr>
            <w:tcW w:w="5499" w:type="dxa"/>
            <w:tcBorders>
              <w:tl2br w:val="nil"/>
              <w:tr2bl w:val="nil"/>
            </w:tcBorders>
            <w:shd w:val="clear" w:color="auto" w:fill="auto"/>
            <w:vAlign w:val="center"/>
          </w:tcPr>
          <w:p w14:paraId="501D93BA">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≥70mm×50mm</w:t>
            </w:r>
          </w:p>
        </w:tc>
      </w:tr>
      <w:tr w14:paraId="0E4F1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792289B5">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54</w:t>
            </w:r>
          </w:p>
        </w:tc>
        <w:tc>
          <w:tcPr>
            <w:tcW w:w="849" w:type="dxa"/>
            <w:vMerge w:val="continue"/>
            <w:tcBorders>
              <w:tl2br w:val="nil"/>
              <w:tr2bl w:val="nil"/>
            </w:tcBorders>
            <w:shd w:val="clear" w:color="auto" w:fill="auto"/>
            <w:vAlign w:val="center"/>
          </w:tcPr>
          <w:p w14:paraId="59B7AA80">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18C546C5">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触控板材质</w:t>
            </w:r>
          </w:p>
        </w:tc>
        <w:tc>
          <w:tcPr>
            <w:tcW w:w="5499" w:type="dxa"/>
            <w:tcBorders>
              <w:tl2br w:val="nil"/>
              <w:tr2bl w:val="nil"/>
            </w:tcBorders>
            <w:shd w:val="clear" w:color="auto" w:fill="auto"/>
            <w:vAlign w:val="center"/>
          </w:tcPr>
          <w:p w14:paraId="2C6DD74F">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采用麦拉片或玻璃等材质</w:t>
            </w:r>
          </w:p>
        </w:tc>
      </w:tr>
      <w:tr w14:paraId="3EEE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37D76E66">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55</w:t>
            </w:r>
          </w:p>
        </w:tc>
        <w:tc>
          <w:tcPr>
            <w:tcW w:w="849" w:type="dxa"/>
            <w:vMerge w:val="continue"/>
            <w:tcBorders>
              <w:tl2br w:val="nil"/>
              <w:tr2bl w:val="nil"/>
            </w:tcBorders>
            <w:shd w:val="clear" w:color="auto" w:fill="auto"/>
            <w:vAlign w:val="center"/>
          </w:tcPr>
          <w:p w14:paraId="4590B066">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763CD55E">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光驱规格</w:t>
            </w:r>
          </w:p>
        </w:tc>
        <w:tc>
          <w:tcPr>
            <w:tcW w:w="5499" w:type="dxa"/>
            <w:tcBorders>
              <w:tl2br w:val="nil"/>
              <w:tr2bl w:val="nil"/>
            </w:tcBorders>
            <w:shd w:val="clear" w:color="auto" w:fill="auto"/>
            <w:noWrap/>
            <w:vAlign w:val="center"/>
          </w:tcPr>
          <w:p w14:paraId="1AACBA02">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此指标不做要求</w:t>
            </w:r>
          </w:p>
        </w:tc>
      </w:tr>
      <w:tr w14:paraId="1A267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1BA4F725">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56</w:t>
            </w:r>
          </w:p>
        </w:tc>
        <w:tc>
          <w:tcPr>
            <w:tcW w:w="849" w:type="dxa"/>
            <w:vMerge w:val="restart"/>
            <w:tcBorders>
              <w:tl2br w:val="nil"/>
              <w:tr2bl w:val="nil"/>
            </w:tcBorders>
            <w:shd w:val="clear" w:color="auto" w:fill="auto"/>
            <w:noWrap/>
            <w:vAlign w:val="center"/>
          </w:tcPr>
          <w:p w14:paraId="57F0BD33">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网络设备规格</w:t>
            </w:r>
          </w:p>
        </w:tc>
        <w:tc>
          <w:tcPr>
            <w:tcW w:w="2300" w:type="dxa"/>
            <w:tcBorders>
              <w:tl2br w:val="nil"/>
              <w:tr2bl w:val="nil"/>
            </w:tcBorders>
            <w:shd w:val="clear" w:color="auto" w:fill="auto"/>
            <w:vAlign w:val="center"/>
          </w:tcPr>
          <w:p w14:paraId="5660C0AC">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▲有线网卡数量</w:t>
            </w:r>
          </w:p>
        </w:tc>
        <w:tc>
          <w:tcPr>
            <w:tcW w:w="5499" w:type="dxa"/>
            <w:tcBorders>
              <w:tl2br w:val="nil"/>
              <w:tr2bl w:val="nil"/>
            </w:tcBorders>
            <w:shd w:val="clear" w:color="auto" w:fill="auto"/>
            <w:vAlign w:val="center"/>
          </w:tcPr>
          <w:p w14:paraId="58914B6B">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≥1（可通过扩展坞支持）</w:t>
            </w:r>
          </w:p>
        </w:tc>
      </w:tr>
      <w:tr w14:paraId="05593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14345BE0">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57</w:t>
            </w:r>
          </w:p>
        </w:tc>
        <w:tc>
          <w:tcPr>
            <w:tcW w:w="849" w:type="dxa"/>
            <w:vMerge w:val="continue"/>
            <w:tcBorders>
              <w:tl2br w:val="nil"/>
              <w:tr2bl w:val="nil"/>
            </w:tcBorders>
            <w:shd w:val="clear" w:color="auto" w:fill="auto"/>
            <w:noWrap/>
            <w:vAlign w:val="center"/>
          </w:tcPr>
          <w:p w14:paraId="3B619461">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0FFF20F5">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无线网卡及天线数量</w:t>
            </w:r>
          </w:p>
        </w:tc>
        <w:tc>
          <w:tcPr>
            <w:tcW w:w="5499" w:type="dxa"/>
            <w:tcBorders>
              <w:tl2br w:val="nil"/>
              <w:tr2bl w:val="nil"/>
            </w:tcBorders>
            <w:shd w:val="clear" w:color="auto" w:fill="auto"/>
            <w:vAlign w:val="center"/>
          </w:tcPr>
          <w:p w14:paraId="1EC9BFAB">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p>
        </w:tc>
      </w:tr>
      <w:tr w14:paraId="2B83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0D10117A">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58</w:t>
            </w:r>
          </w:p>
        </w:tc>
        <w:tc>
          <w:tcPr>
            <w:tcW w:w="849" w:type="dxa"/>
            <w:vMerge w:val="continue"/>
            <w:tcBorders>
              <w:tl2br w:val="nil"/>
              <w:tr2bl w:val="nil"/>
            </w:tcBorders>
            <w:shd w:val="clear" w:color="auto" w:fill="auto"/>
            <w:noWrap/>
            <w:vAlign w:val="center"/>
          </w:tcPr>
          <w:p w14:paraId="31AFB394">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088ABAB6">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单无线网卡天线数量</w:t>
            </w:r>
          </w:p>
        </w:tc>
        <w:tc>
          <w:tcPr>
            <w:tcW w:w="5499" w:type="dxa"/>
            <w:tcBorders>
              <w:tl2br w:val="nil"/>
              <w:tr2bl w:val="nil"/>
            </w:tcBorders>
            <w:shd w:val="clear" w:color="auto" w:fill="auto"/>
            <w:vAlign w:val="center"/>
          </w:tcPr>
          <w:p w14:paraId="2959C2D3">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≥0</w:t>
            </w:r>
          </w:p>
        </w:tc>
      </w:tr>
      <w:tr w14:paraId="0F9CF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611021E0">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59</w:t>
            </w:r>
          </w:p>
        </w:tc>
        <w:tc>
          <w:tcPr>
            <w:tcW w:w="849" w:type="dxa"/>
            <w:vMerge w:val="restart"/>
            <w:tcBorders>
              <w:tl2br w:val="nil"/>
              <w:tr2bl w:val="nil"/>
            </w:tcBorders>
            <w:shd w:val="clear" w:color="auto" w:fill="auto"/>
            <w:noWrap/>
            <w:vAlign w:val="center"/>
          </w:tcPr>
          <w:p w14:paraId="52234A5F">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外部接口规格</w:t>
            </w:r>
          </w:p>
        </w:tc>
        <w:tc>
          <w:tcPr>
            <w:tcW w:w="2300" w:type="dxa"/>
            <w:tcBorders>
              <w:tl2br w:val="nil"/>
              <w:tr2bl w:val="nil"/>
            </w:tcBorders>
            <w:shd w:val="clear" w:color="auto" w:fill="auto"/>
            <w:vAlign w:val="center"/>
          </w:tcPr>
          <w:p w14:paraId="5DF9FF89">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▲USB接口数量</w:t>
            </w:r>
          </w:p>
        </w:tc>
        <w:tc>
          <w:tcPr>
            <w:tcW w:w="5499" w:type="dxa"/>
            <w:tcBorders>
              <w:tl2br w:val="nil"/>
              <w:tr2bl w:val="nil"/>
            </w:tcBorders>
            <w:shd w:val="clear" w:color="auto" w:fill="auto"/>
            <w:vAlign w:val="center"/>
          </w:tcPr>
          <w:p w14:paraId="2BB6EACB">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USB 接口数量应不少于3 个，至少包含1 个USB3.0 及以上标准接口（可通过拓展坞实现）</w:t>
            </w:r>
          </w:p>
        </w:tc>
      </w:tr>
      <w:tr w14:paraId="00DF4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2F0C7E49">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60</w:t>
            </w:r>
          </w:p>
        </w:tc>
        <w:tc>
          <w:tcPr>
            <w:tcW w:w="849" w:type="dxa"/>
            <w:vMerge w:val="continue"/>
            <w:tcBorders>
              <w:tl2br w:val="nil"/>
              <w:tr2bl w:val="nil"/>
            </w:tcBorders>
            <w:shd w:val="clear" w:color="auto" w:fill="auto"/>
            <w:noWrap/>
            <w:vAlign w:val="center"/>
          </w:tcPr>
          <w:p w14:paraId="492F2693">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30DAD183">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▲视频接口数量</w:t>
            </w:r>
          </w:p>
        </w:tc>
        <w:tc>
          <w:tcPr>
            <w:tcW w:w="5499" w:type="dxa"/>
            <w:tcBorders>
              <w:tl2br w:val="nil"/>
              <w:tr2bl w:val="nil"/>
            </w:tcBorders>
            <w:shd w:val="clear" w:color="auto" w:fill="auto"/>
            <w:vAlign w:val="center"/>
          </w:tcPr>
          <w:p w14:paraId="1277D249">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p>
        </w:tc>
      </w:tr>
      <w:tr w14:paraId="09CA1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17A3EBF6">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61</w:t>
            </w:r>
          </w:p>
        </w:tc>
        <w:tc>
          <w:tcPr>
            <w:tcW w:w="849" w:type="dxa"/>
            <w:vMerge w:val="continue"/>
            <w:tcBorders>
              <w:tl2br w:val="nil"/>
              <w:tr2bl w:val="nil"/>
            </w:tcBorders>
            <w:shd w:val="clear" w:color="auto" w:fill="auto"/>
            <w:noWrap/>
            <w:vAlign w:val="center"/>
          </w:tcPr>
          <w:p w14:paraId="7816A406">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64C67920">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▲输入充电接口数量</w:t>
            </w:r>
          </w:p>
        </w:tc>
        <w:tc>
          <w:tcPr>
            <w:tcW w:w="5499" w:type="dxa"/>
            <w:tcBorders>
              <w:tl2br w:val="nil"/>
              <w:tr2bl w:val="nil"/>
            </w:tcBorders>
            <w:shd w:val="clear" w:color="auto" w:fill="auto"/>
            <w:vAlign w:val="center"/>
          </w:tcPr>
          <w:p w14:paraId="3F167A47">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p>
        </w:tc>
      </w:tr>
      <w:tr w14:paraId="37DE7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716711B7">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62</w:t>
            </w:r>
          </w:p>
        </w:tc>
        <w:tc>
          <w:tcPr>
            <w:tcW w:w="849" w:type="dxa"/>
            <w:vMerge w:val="continue"/>
            <w:tcBorders>
              <w:tl2br w:val="nil"/>
              <w:tr2bl w:val="nil"/>
            </w:tcBorders>
            <w:shd w:val="clear" w:color="auto" w:fill="auto"/>
            <w:noWrap/>
            <w:vAlign w:val="center"/>
          </w:tcPr>
          <w:p w14:paraId="25DA548A">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3009C0F0">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▲音频接口数量</w:t>
            </w:r>
          </w:p>
        </w:tc>
        <w:tc>
          <w:tcPr>
            <w:tcW w:w="5499" w:type="dxa"/>
            <w:tcBorders>
              <w:tl2br w:val="nil"/>
              <w:tr2bl w:val="nil"/>
            </w:tcBorders>
            <w:shd w:val="clear" w:color="auto" w:fill="auto"/>
            <w:vAlign w:val="center"/>
          </w:tcPr>
          <w:p w14:paraId="7AC19F80">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p>
        </w:tc>
      </w:tr>
      <w:tr w14:paraId="07154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0D4D9C70">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63</w:t>
            </w:r>
          </w:p>
        </w:tc>
        <w:tc>
          <w:tcPr>
            <w:tcW w:w="849" w:type="dxa"/>
            <w:vMerge w:val="continue"/>
            <w:tcBorders>
              <w:tl2br w:val="nil"/>
              <w:tr2bl w:val="nil"/>
            </w:tcBorders>
            <w:shd w:val="clear" w:color="auto" w:fill="auto"/>
            <w:noWrap/>
            <w:vAlign w:val="center"/>
          </w:tcPr>
          <w:p w14:paraId="0D5FD927">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4B198B00">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存储卡接口数量</w:t>
            </w:r>
          </w:p>
        </w:tc>
        <w:tc>
          <w:tcPr>
            <w:tcW w:w="5499" w:type="dxa"/>
            <w:tcBorders>
              <w:tl2br w:val="nil"/>
              <w:tr2bl w:val="nil"/>
            </w:tcBorders>
            <w:shd w:val="clear" w:color="auto" w:fill="auto"/>
            <w:vAlign w:val="center"/>
          </w:tcPr>
          <w:p w14:paraId="636994FE">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≥0</w:t>
            </w:r>
          </w:p>
        </w:tc>
      </w:tr>
      <w:tr w14:paraId="4C51D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121211F7">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64</w:t>
            </w:r>
          </w:p>
        </w:tc>
        <w:tc>
          <w:tcPr>
            <w:tcW w:w="849" w:type="dxa"/>
            <w:vMerge w:val="restart"/>
            <w:tcBorders>
              <w:tl2br w:val="nil"/>
              <w:tr2bl w:val="nil"/>
            </w:tcBorders>
            <w:shd w:val="clear" w:color="auto" w:fill="auto"/>
            <w:noWrap/>
            <w:vAlign w:val="center"/>
          </w:tcPr>
          <w:p w14:paraId="2D53B9F9">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电池规格</w:t>
            </w:r>
          </w:p>
        </w:tc>
        <w:tc>
          <w:tcPr>
            <w:tcW w:w="2300" w:type="dxa"/>
            <w:tcBorders>
              <w:tl2br w:val="nil"/>
              <w:tr2bl w:val="nil"/>
            </w:tcBorders>
            <w:shd w:val="clear" w:color="auto" w:fill="auto"/>
            <w:vAlign w:val="center"/>
          </w:tcPr>
          <w:p w14:paraId="0DFBC655">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▲电池额定能量</w:t>
            </w:r>
          </w:p>
        </w:tc>
        <w:tc>
          <w:tcPr>
            <w:tcW w:w="5499" w:type="dxa"/>
            <w:tcBorders>
              <w:tl2br w:val="nil"/>
              <w:tr2bl w:val="nil"/>
            </w:tcBorders>
            <w:shd w:val="clear" w:color="auto" w:fill="auto"/>
            <w:vAlign w:val="center"/>
          </w:tcPr>
          <w:p w14:paraId="276DC7B3">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≥50Wh</w:t>
            </w:r>
          </w:p>
        </w:tc>
      </w:tr>
      <w:tr w14:paraId="4D67F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55962B80">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65</w:t>
            </w:r>
          </w:p>
        </w:tc>
        <w:tc>
          <w:tcPr>
            <w:tcW w:w="849" w:type="dxa"/>
            <w:vMerge w:val="continue"/>
            <w:tcBorders>
              <w:tl2br w:val="nil"/>
              <w:tr2bl w:val="nil"/>
            </w:tcBorders>
            <w:shd w:val="clear" w:color="auto" w:fill="auto"/>
            <w:noWrap/>
            <w:vAlign w:val="center"/>
          </w:tcPr>
          <w:p w14:paraId="0A661846">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31A51071">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▲电池充放电次数</w:t>
            </w:r>
          </w:p>
        </w:tc>
        <w:tc>
          <w:tcPr>
            <w:tcW w:w="5499" w:type="dxa"/>
            <w:tcBorders>
              <w:tl2br w:val="nil"/>
              <w:tr2bl w:val="nil"/>
            </w:tcBorders>
            <w:shd w:val="clear" w:color="auto" w:fill="auto"/>
            <w:vAlign w:val="center"/>
          </w:tcPr>
          <w:p w14:paraId="50964B04">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≥500次（常温下500次充放电后电池容量应不低于原始容量的80%）</w:t>
            </w:r>
          </w:p>
        </w:tc>
      </w:tr>
      <w:tr w14:paraId="5518F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539AE475">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66</w:t>
            </w:r>
          </w:p>
        </w:tc>
        <w:tc>
          <w:tcPr>
            <w:tcW w:w="849" w:type="dxa"/>
            <w:vMerge w:val="continue"/>
            <w:tcBorders>
              <w:tl2br w:val="nil"/>
              <w:tr2bl w:val="nil"/>
            </w:tcBorders>
            <w:shd w:val="clear" w:color="auto" w:fill="auto"/>
            <w:noWrap/>
            <w:vAlign w:val="center"/>
          </w:tcPr>
          <w:p w14:paraId="5472A489">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3D8CA1A8">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快速充电功能</w:t>
            </w:r>
          </w:p>
        </w:tc>
        <w:tc>
          <w:tcPr>
            <w:tcW w:w="5499" w:type="dxa"/>
            <w:tcBorders>
              <w:tl2br w:val="nil"/>
              <w:tr2bl w:val="nil"/>
            </w:tcBorders>
            <w:shd w:val="clear" w:color="auto" w:fill="auto"/>
            <w:vAlign w:val="center"/>
          </w:tcPr>
          <w:p w14:paraId="48B1E159">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支持快速充电功能，如UFCS、USBPD</w:t>
            </w:r>
          </w:p>
        </w:tc>
      </w:tr>
      <w:tr w14:paraId="0628A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434EA2B1">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67</w:t>
            </w:r>
          </w:p>
        </w:tc>
        <w:tc>
          <w:tcPr>
            <w:tcW w:w="849" w:type="dxa"/>
            <w:vMerge w:val="continue"/>
            <w:tcBorders>
              <w:tl2br w:val="nil"/>
              <w:tr2bl w:val="nil"/>
            </w:tcBorders>
            <w:shd w:val="clear" w:color="auto" w:fill="auto"/>
            <w:noWrap/>
            <w:vAlign w:val="center"/>
          </w:tcPr>
          <w:p w14:paraId="0F9444FE">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5EAF7569">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电池安全要求</w:t>
            </w:r>
          </w:p>
        </w:tc>
        <w:tc>
          <w:tcPr>
            <w:tcW w:w="5499" w:type="dxa"/>
            <w:tcBorders>
              <w:tl2br w:val="nil"/>
              <w:tr2bl w:val="nil"/>
            </w:tcBorders>
            <w:shd w:val="clear" w:color="auto" w:fill="auto"/>
            <w:vAlign w:val="center"/>
          </w:tcPr>
          <w:p w14:paraId="035EB9FC">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符合GB31241的规定</w:t>
            </w:r>
          </w:p>
        </w:tc>
      </w:tr>
      <w:tr w14:paraId="7C3BC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0EF2B536">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68</w:t>
            </w:r>
          </w:p>
        </w:tc>
        <w:tc>
          <w:tcPr>
            <w:tcW w:w="849" w:type="dxa"/>
            <w:vMerge w:val="continue"/>
            <w:tcBorders>
              <w:tl2br w:val="nil"/>
              <w:tr2bl w:val="nil"/>
            </w:tcBorders>
            <w:shd w:val="clear" w:color="auto" w:fill="auto"/>
            <w:noWrap/>
            <w:vAlign w:val="center"/>
          </w:tcPr>
          <w:p w14:paraId="38AF544A">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73AB47A6">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电池电芯材质</w:t>
            </w:r>
          </w:p>
        </w:tc>
        <w:tc>
          <w:tcPr>
            <w:tcW w:w="5499" w:type="dxa"/>
            <w:tcBorders>
              <w:tl2br w:val="nil"/>
              <w:tr2bl w:val="nil"/>
            </w:tcBorders>
            <w:shd w:val="clear" w:color="auto" w:fill="auto"/>
            <w:noWrap/>
            <w:vAlign w:val="center"/>
          </w:tcPr>
          <w:p w14:paraId="7669E6AA">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供应商给出电池电芯材料信息</w:t>
            </w:r>
          </w:p>
        </w:tc>
      </w:tr>
      <w:tr w14:paraId="213BF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3B08EAB9">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69</w:t>
            </w:r>
          </w:p>
        </w:tc>
        <w:tc>
          <w:tcPr>
            <w:tcW w:w="849" w:type="dxa"/>
            <w:vMerge w:val="restart"/>
            <w:tcBorders>
              <w:tl2br w:val="nil"/>
              <w:tr2bl w:val="nil"/>
            </w:tcBorders>
            <w:shd w:val="clear" w:color="auto" w:fill="auto"/>
            <w:noWrap/>
            <w:vAlign w:val="center"/>
          </w:tcPr>
          <w:p w14:paraId="1361FE32">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整机基础规格</w:t>
            </w:r>
          </w:p>
        </w:tc>
        <w:tc>
          <w:tcPr>
            <w:tcW w:w="2300" w:type="dxa"/>
            <w:tcBorders>
              <w:tl2br w:val="nil"/>
              <w:tr2bl w:val="nil"/>
            </w:tcBorders>
            <w:shd w:val="clear" w:color="auto" w:fill="auto"/>
            <w:vAlign w:val="center"/>
          </w:tcPr>
          <w:p w14:paraId="6B72C208">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整机外观</w:t>
            </w:r>
          </w:p>
        </w:tc>
        <w:tc>
          <w:tcPr>
            <w:tcW w:w="5499" w:type="dxa"/>
            <w:tcBorders>
              <w:tl2br w:val="nil"/>
              <w:tr2bl w:val="nil"/>
            </w:tcBorders>
            <w:shd w:val="clear" w:color="auto" w:fill="auto"/>
            <w:vAlign w:val="center"/>
          </w:tcPr>
          <w:p w14:paraId="59924F41">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a)产品表面不应有凹痕、划伤、裂缝、变形和污染等。表面涂层均匀，不应起泡、龟裂、脱落和磨损，金属零部件无锈蚀及其它机械损伤；</w:t>
            </w:r>
          </w:p>
          <w:p w14:paraId="35EA33BE">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b)产品表面说明功能的文字、符号、标志，应清晰、端正、牢固；</w:t>
            </w:r>
          </w:p>
          <w:p w14:paraId="4F935B9B">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c)宜在产品显著位置提供运行状态指示功能，并由生产厂商提供详细参数</w:t>
            </w:r>
          </w:p>
        </w:tc>
      </w:tr>
      <w:tr w14:paraId="3E91A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5156DE5F">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70</w:t>
            </w:r>
          </w:p>
        </w:tc>
        <w:tc>
          <w:tcPr>
            <w:tcW w:w="849" w:type="dxa"/>
            <w:vMerge w:val="continue"/>
            <w:tcBorders>
              <w:tl2br w:val="nil"/>
              <w:tr2bl w:val="nil"/>
            </w:tcBorders>
            <w:shd w:val="clear" w:color="auto" w:fill="auto"/>
            <w:noWrap/>
            <w:vAlign w:val="center"/>
          </w:tcPr>
          <w:p w14:paraId="404CE899">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3E864459">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整机结构</w:t>
            </w:r>
          </w:p>
        </w:tc>
        <w:tc>
          <w:tcPr>
            <w:tcW w:w="5499" w:type="dxa"/>
            <w:tcBorders>
              <w:tl2br w:val="nil"/>
              <w:tr2bl w:val="nil"/>
            </w:tcBorders>
            <w:shd w:val="clear" w:color="auto" w:fill="auto"/>
            <w:vAlign w:val="center"/>
          </w:tcPr>
          <w:p w14:paraId="1E6DAACD">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a)产品应符合GB/T4208的相关规定；</w:t>
            </w:r>
          </w:p>
          <w:p w14:paraId="4D589E01">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b)产品内部结构应符合通用部件的安装需要；</w:t>
            </w:r>
          </w:p>
          <w:p w14:paraId="07A9AE27">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c)所有输入输出接口应符合相关国家或行业标准；</w:t>
            </w:r>
          </w:p>
          <w:p w14:paraId="6EC352AA">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d)产品零部件应紧固无松动，可插拔部件应可靠连接，开关、按钮和其它控制部件应灵活可靠，布局应方便使用；</w:t>
            </w:r>
          </w:p>
          <w:p w14:paraId="582F2E36">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e)所有I/O连接器及需插接线缆的部位应预留用户操作空间，方便插拔解锁与插拔线缆；</w:t>
            </w:r>
          </w:p>
          <w:p w14:paraId="2FC17126">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f)可插拔板卡插槽部位应预留安装、拆卸或更换板卡空间；</w:t>
            </w:r>
          </w:p>
          <w:p w14:paraId="585928C4">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g)拆装可能接触到的金属剪口或金属尖角部位应做防划伤处理，以保证安全；</w:t>
            </w:r>
          </w:p>
          <w:p w14:paraId="0B0A9534">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h)整机内部走线应规整，固线结构和位置要合理可靠并做防割线处理，需便于理线和插拔操作，走线应不影响系统各主要部件组装和拆卸；</w:t>
            </w:r>
          </w:p>
          <w:p w14:paraId="31322A9D">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i)如需通过孔走线，过线孔应做防割线处理；</w:t>
            </w:r>
          </w:p>
          <w:p w14:paraId="1EDC2C83">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j)各插头位置和插拔方向应合理，应做到插拔无障碍设计，具备防呆设计，有效避免误操作；</w:t>
            </w:r>
          </w:p>
          <w:p w14:paraId="2DE19F6C">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k)各主要部件拆装无障碍，使用常规工具拆装，无特殊拆装工具需求；</w:t>
            </w:r>
          </w:p>
          <w:p w14:paraId="37D487C7">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l)各主要部件拆装步骤要少，各自拆装需避免相互干扰；</w:t>
            </w:r>
          </w:p>
          <w:p w14:paraId="7C2D8024">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m)对于整机或零部件外表面为高亮面的，应粘贴保护膜，保护膜需粘贴牢固，运输、组装等过程不易脱落，撕下无残留；</w:t>
            </w:r>
          </w:p>
          <w:p w14:paraId="30015D91">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n)显示屏的开合机械寿命应能承受至少15000次的显示屏开合，显示屏机械转轴的扭力应保持初始状态下扭力的75%以上；</w:t>
            </w:r>
          </w:p>
          <w:p w14:paraId="72CDBCAB">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o)其它要求应符合GB/T9813.2的相关规定</w:t>
            </w:r>
          </w:p>
        </w:tc>
      </w:tr>
      <w:tr w14:paraId="322B7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3F9D1952">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71</w:t>
            </w:r>
          </w:p>
        </w:tc>
        <w:tc>
          <w:tcPr>
            <w:tcW w:w="849" w:type="dxa"/>
            <w:vMerge w:val="continue"/>
            <w:tcBorders>
              <w:tl2br w:val="nil"/>
              <w:tr2bl w:val="nil"/>
            </w:tcBorders>
            <w:shd w:val="clear" w:color="auto" w:fill="auto"/>
            <w:noWrap/>
            <w:vAlign w:val="center"/>
          </w:tcPr>
          <w:p w14:paraId="410121F0">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33A23AE3">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▲整机噪音</w:t>
            </w:r>
          </w:p>
        </w:tc>
        <w:tc>
          <w:tcPr>
            <w:tcW w:w="5499" w:type="dxa"/>
            <w:tcBorders>
              <w:tl2br w:val="nil"/>
              <w:tr2bl w:val="nil"/>
            </w:tcBorders>
            <w:shd w:val="clear" w:color="auto" w:fill="auto"/>
            <w:vAlign w:val="center"/>
          </w:tcPr>
          <w:p w14:paraId="04538CF9">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25摄氏度环温条件：</w:t>
            </w:r>
          </w:p>
          <w:p w14:paraId="55DC83D2">
            <w:pPr>
              <w:spacing w:line="240" w:lineRule="auto"/>
              <w:jc w:val="left"/>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空闲小于等于38dBA</w:t>
            </w:r>
            <w:r>
              <w:rPr>
                <w:rFonts w:hint="eastAsia" w:asciiTheme="minorEastAsia" w:hAnsiTheme="minorEastAsia" w:eastAsiaTheme="minorEastAsia" w:cstheme="minorEastAsia"/>
                <w:lang w:eastAsia="zh-CN"/>
              </w:rPr>
              <w:t>；</w:t>
            </w:r>
          </w:p>
          <w:p w14:paraId="461FE94A">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满载小于等于45dBA</w:t>
            </w:r>
          </w:p>
        </w:tc>
      </w:tr>
      <w:tr w14:paraId="005B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59FED7EB">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72</w:t>
            </w:r>
          </w:p>
        </w:tc>
        <w:tc>
          <w:tcPr>
            <w:tcW w:w="849" w:type="dxa"/>
            <w:vMerge w:val="continue"/>
            <w:tcBorders>
              <w:tl2br w:val="nil"/>
              <w:tr2bl w:val="nil"/>
            </w:tcBorders>
            <w:shd w:val="clear" w:color="auto" w:fill="auto"/>
            <w:noWrap/>
            <w:vAlign w:val="center"/>
          </w:tcPr>
          <w:p w14:paraId="7E3CF766">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7E15EBA0">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整机散热</w:t>
            </w:r>
          </w:p>
        </w:tc>
        <w:tc>
          <w:tcPr>
            <w:tcW w:w="5499" w:type="dxa"/>
            <w:tcBorders>
              <w:tl2br w:val="nil"/>
              <w:tr2bl w:val="nil"/>
            </w:tcBorders>
            <w:shd w:val="clear" w:color="auto" w:fill="auto"/>
            <w:vAlign w:val="center"/>
          </w:tcPr>
          <w:p w14:paraId="24AD08BB">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产品在环境温度25℃且运行在满载的状态下，可触及面温度范围内应不高于45℃，各表面温度应符合以下要求：</w:t>
            </w:r>
          </w:p>
          <w:p w14:paraId="2653CCB1">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a)键帽温度不高于38℃；</w:t>
            </w:r>
          </w:p>
          <w:p w14:paraId="36EA473D">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b)键盘间隙温度不高于40℃；</w:t>
            </w:r>
          </w:p>
          <w:p w14:paraId="2A07CCD6">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c)掌托温度不高于38℃；</w:t>
            </w:r>
          </w:p>
          <w:p w14:paraId="1EEF5405">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d)触控板温度不高于38℃；</w:t>
            </w:r>
          </w:p>
          <w:p w14:paraId="2AA691CC">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e)底壳温度不高于45℃</w:t>
            </w:r>
          </w:p>
        </w:tc>
      </w:tr>
      <w:tr w14:paraId="203CD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7E7975A9">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73</w:t>
            </w:r>
          </w:p>
        </w:tc>
        <w:tc>
          <w:tcPr>
            <w:tcW w:w="849" w:type="dxa"/>
            <w:vMerge w:val="continue"/>
            <w:tcBorders>
              <w:tl2br w:val="nil"/>
              <w:tr2bl w:val="nil"/>
            </w:tcBorders>
            <w:shd w:val="clear" w:color="auto" w:fill="auto"/>
            <w:noWrap/>
            <w:vAlign w:val="center"/>
          </w:tcPr>
          <w:p w14:paraId="6E2C2B5F">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7799B243">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整机能效限定值</w:t>
            </w:r>
          </w:p>
        </w:tc>
        <w:tc>
          <w:tcPr>
            <w:tcW w:w="5499" w:type="dxa"/>
            <w:tcBorders>
              <w:tl2br w:val="nil"/>
              <w:tr2bl w:val="nil"/>
            </w:tcBorders>
            <w:shd w:val="clear" w:color="auto" w:fill="auto"/>
            <w:vAlign w:val="center"/>
          </w:tcPr>
          <w:p w14:paraId="08ACBF4D">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产品能效限定值应达到GB28380-2012标准中能效等级2级及以上</w:t>
            </w:r>
          </w:p>
        </w:tc>
      </w:tr>
      <w:tr w14:paraId="3E64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1C579209">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74</w:t>
            </w:r>
          </w:p>
        </w:tc>
        <w:tc>
          <w:tcPr>
            <w:tcW w:w="849" w:type="dxa"/>
            <w:vMerge w:val="continue"/>
            <w:tcBorders>
              <w:tl2br w:val="nil"/>
              <w:tr2bl w:val="nil"/>
            </w:tcBorders>
            <w:shd w:val="clear" w:color="auto" w:fill="auto"/>
            <w:noWrap/>
            <w:vAlign w:val="center"/>
          </w:tcPr>
          <w:p w14:paraId="685C4D64">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675DA652">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整机重量</w:t>
            </w:r>
          </w:p>
        </w:tc>
        <w:tc>
          <w:tcPr>
            <w:tcW w:w="5499" w:type="dxa"/>
            <w:tcBorders>
              <w:tl2br w:val="nil"/>
              <w:tr2bl w:val="nil"/>
            </w:tcBorders>
            <w:shd w:val="clear" w:color="auto" w:fill="auto"/>
            <w:vAlign w:val="center"/>
          </w:tcPr>
          <w:p w14:paraId="208B104F">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≤2.2kg</w:t>
            </w:r>
          </w:p>
        </w:tc>
      </w:tr>
      <w:tr w14:paraId="58AA7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67E24C2A">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75</w:t>
            </w:r>
          </w:p>
        </w:tc>
        <w:tc>
          <w:tcPr>
            <w:tcW w:w="849" w:type="dxa"/>
            <w:vMerge w:val="continue"/>
            <w:tcBorders>
              <w:tl2br w:val="nil"/>
              <w:tr2bl w:val="nil"/>
            </w:tcBorders>
            <w:shd w:val="clear" w:color="auto" w:fill="auto"/>
            <w:noWrap/>
            <w:vAlign w:val="center"/>
          </w:tcPr>
          <w:p w14:paraId="6978410D">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6B185DD1">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整机厚度</w:t>
            </w:r>
          </w:p>
        </w:tc>
        <w:tc>
          <w:tcPr>
            <w:tcW w:w="5499" w:type="dxa"/>
            <w:tcBorders>
              <w:tl2br w:val="nil"/>
              <w:tr2bl w:val="nil"/>
            </w:tcBorders>
            <w:shd w:val="clear" w:color="auto" w:fill="auto"/>
            <w:vAlign w:val="center"/>
          </w:tcPr>
          <w:p w14:paraId="3456FF46">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≤22mm（不含脚垫）</w:t>
            </w:r>
          </w:p>
        </w:tc>
      </w:tr>
      <w:tr w14:paraId="66D6B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1E4A3B18">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76</w:t>
            </w:r>
          </w:p>
        </w:tc>
        <w:tc>
          <w:tcPr>
            <w:tcW w:w="849" w:type="dxa"/>
            <w:vMerge w:val="continue"/>
            <w:tcBorders>
              <w:tl2br w:val="nil"/>
              <w:tr2bl w:val="nil"/>
            </w:tcBorders>
            <w:shd w:val="clear" w:color="auto" w:fill="auto"/>
            <w:noWrap/>
            <w:vAlign w:val="center"/>
          </w:tcPr>
          <w:p w14:paraId="4B268BFA">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3EF30E63">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机身材质</w:t>
            </w:r>
          </w:p>
        </w:tc>
        <w:tc>
          <w:tcPr>
            <w:tcW w:w="5499" w:type="dxa"/>
            <w:tcBorders>
              <w:tl2br w:val="nil"/>
              <w:tr2bl w:val="nil"/>
            </w:tcBorders>
            <w:shd w:val="clear" w:color="auto" w:fill="auto"/>
            <w:noWrap/>
            <w:vAlign w:val="center"/>
          </w:tcPr>
          <w:p w14:paraId="3EBBB6FE">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塑料/金属等</w:t>
            </w:r>
          </w:p>
        </w:tc>
      </w:tr>
      <w:tr w14:paraId="1F926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0EF5A21B">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77</w:t>
            </w:r>
          </w:p>
        </w:tc>
        <w:tc>
          <w:tcPr>
            <w:tcW w:w="849" w:type="dxa"/>
            <w:vMerge w:val="continue"/>
            <w:tcBorders>
              <w:tl2br w:val="nil"/>
              <w:tr2bl w:val="nil"/>
            </w:tcBorders>
            <w:shd w:val="clear" w:color="auto" w:fill="auto"/>
            <w:noWrap/>
            <w:vAlign w:val="center"/>
          </w:tcPr>
          <w:p w14:paraId="5CF13D7D">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6BA2FAAB">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机身颜色</w:t>
            </w:r>
          </w:p>
        </w:tc>
        <w:tc>
          <w:tcPr>
            <w:tcW w:w="5499" w:type="dxa"/>
            <w:tcBorders>
              <w:tl2br w:val="nil"/>
              <w:tr2bl w:val="nil"/>
            </w:tcBorders>
            <w:shd w:val="clear" w:color="auto" w:fill="auto"/>
            <w:vAlign w:val="center"/>
          </w:tcPr>
          <w:p w14:paraId="427B9256">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灰色/黑色等商务色系</w:t>
            </w:r>
          </w:p>
        </w:tc>
      </w:tr>
      <w:tr w14:paraId="59BBD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tblHeader/>
          <w:jc w:val="center"/>
        </w:trPr>
        <w:tc>
          <w:tcPr>
            <w:tcW w:w="580" w:type="dxa"/>
            <w:tcBorders>
              <w:tl2br w:val="nil"/>
              <w:tr2bl w:val="nil"/>
            </w:tcBorders>
            <w:shd w:val="clear" w:color="auto" w:fill="auto"/>
            <w:noWrap/>
            <w:vAlign w:val="center"/>
          </w:tcPr>
          <w:p w14:paraId="7F973471">
            <w:pPr>
              <w:pStyle w:val="258"/>
              <w:numPr>
                <w:ilvl w:val="0"/>
                <w:numId w:val="0"/>
              </w:numPr>
              <w:autoSpaceDE w:val="0"/>
              <w:autoSpaceDN w:val="0"/>
              <w:spacing w:line="240" w:lineRule="auto"/>
              <w:ind w:leftChars="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78</w:t>
            </w:r>
          </w:p>
        </w:tc>
        <w:tc>
          <w:tcPr>
            <w:tcW w:w="849" w:type="dxa"/>
            <w:vMerge w:val="continue"/>
            <w:tcBorders>
              <w:tl2br w:val="nil"/>
              <w:tr2bl w:val="nil"/>
            </w:tcBorders>
            <w:shd w:val="clear" w:color="auto" w:fill="auto"/>
            <w:noWrap/>
            <w:vAlign w:val="center"/>
          </w:tcPr>
          <w:p w14:paraId="3FE4660A">
            <w:pPr>
              <w:spacing w:line="240" w:lineRule="auto"/>
              <w:jc w:val="center"/>
              <w:rPr>
                <w:rFonts w:hint="eastAsia" w:asciiTheme="minorEastAsia" w:hAnsiTheme="minorEastAsia" w:eastAsiaTheme="minorEastAsia" w:cstheme="minorEastAsia"/>
              </w:rPr>
            </w:pPr>
          </w:p>
        </w:tc>
        <w:tc>
          <w:tcPr>
            <w:tcW w:w="2300" w:type="dxa"/>
            <w:tcBorders>
              <w:tl2br w:val="nil"/>
              <w:tr2bl w:val="nil"/>
            </w:tcBorders>
            <w:shd w:val="clear" w:color="auto" w:fill="auto"/>
            <w:vAlign w:val="center"/>
          </w:tcPr>
          <w:p w14:paraId="72E8D556">
            <w:pPr>
              <w:spacing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▲预装操作系统</w:t>
            </w:r>
          </w:p>
        </w:tc>
        <w:tc>
          <w:tcPr>
            <w:tcW w:w="5499" w:type="dxa"/>
            <w:tcBorders>
              <w:tl2br w:val="nil"/>
              <w:tr2bl w:val="nil"/>
            </w:tcBorders>
            <w:shd w:val="clear" w:color="auto" w:fill="auto"/>
            <w:vAlign w:val="center"/>
          </w:tcPr>
          <w:p w14:paraId="0AA4F062">
            <w:pPr>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预装正版国产系统（统信UOS、麒麟KOS等操作系统），并提供3年技术服务，数量：</w:t>
            </w:r>
            <w:r>
              <w:rPr>
                <w:rFonts w:hint="eastAsia" w:asciiTheme="minorEastAsia" w:hAnsiTheme="minorEastAsia" w:eastAsiaTheme="minorEastAsia" w:cstheme="minorEastAsia"/>
                <w:lang w:val="en-US" w:eastAsia="zh-CN"/>
              </w:rPr>
              <w:t>54</w:t>
            </w:r>
            <w:r>
              <w:rPr>
                <w:rFonts w:hint="eastAsia" w:asciiTheme="minorEastAsia" w:hAnsiTheme="minorEastAsia" w:eastAsiaTheme="minorEastAsia" w:cstheme="minorEastAsia"/>
              </w:rPr>
              <w:t>套。</w:t>
            </w:r>
          </w:p>
        </w:tc>
      </w:tr>
    </w:tbl>
    <w:p w14:paraId="378D4BD5">
      <w:pPr>
        <w:bidi w:val="0"/>
        <w:rPr>
          <w:rFonts w:hint="eastAsia"/>
        </w:rPr>
      </w:pPr>
    </w:p>
    <w:p w14:paraId="5AD83F04">
      <w:pPr>
        <w:keepNext w:val="0"/>
        <w:keepLines w:val="0"/>
        <w:pageBreakBefore w:val="0"/>
        <w:kinsoku/>
        <w:wordWrap/>
        <w:overflowPunct/>
        <w:topLinePunct w:val="0"/>
        <w:autoSpaceDE/>
        <w:autoSpaceDN/>
        <w:bidi w:val="0"/>
        <w:spacing w:line="360" w:lineRule="auto"/>
        <w:ind w:firstLine="482" w:firstLineChars="200"/>
        <w:jc w:val="both"/>
        <w:textAlignment w:val="auto"/>
        <w:outlineLvl w:val="9"/>
        <w:rPr>
          <w:rFonts w:ascii="宋体" w:hAnsi="宋体" w:cs="宋体"/>
          <w:b/>
          <w:sz w:val="24"/>
        </w:rPr>
      </w:pPr>
      <w:r>
        <w:rPr>
          <w:rFonts w:hint="eastAsia" w:ascii="宋体" w:hAnsi="宋体" w:cs="宋体"/>
          <w:b/>
          <w:sz w:val="24"/>
        </w:rPr>
        <w:t>三、部署要求</w:t>
      </w:r>
    </w:p>
    <w:p w14:paraId="410690F9">
      <w:pPr>
        <w:pStyle w:val="80"/>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标供应商为项目建设提供团队、基础软硬件、总体方案和全面服务保障，对项目建设提供技术把控、总体集成、项目实施管理等工作，配合进行应用软件的安装部署、测试上线工作等，通过对项目的整体组织、技术进行规划，满足建设要求，通过对整个工程进行管理，协助各方资源，统筹安排各分项目实施计划及制定技术方案，解决各分项目间的无缝衔接问题。通过控制总工期，控制工程质量，实现工程验收。</w:t>
      </w:r>
    </w:p>
    <w:p w14:paraId="0F2DD6BD">
      <w:pPr>
        <w:pStyle w:val="80"/>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实施内容清单中货物供货、安装调试、系统集成、培训、质保期内的售后服务、旧电脑设备按采购单位要求把旧设备存放至指定地点等。投标报价包括货物、搬运、安装、调试、集成、售后服务费、培训费、有关部门的验收费、政策性文件规定及合同包含的所有风险、责任等各项全部费用，采购需求清单中未提到，但在实际项目实施过程中需要配置的配件等各种费用，均计入投标报价中，不得额外收费。</w:t>
      </w:r>
    </w:p>
    <w:p w14:paraId="797C4FA8">
      <w:pPr>
        <w:pStyle w:val="80"/>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项目实施期间，供应商需指派专职项目经理负责各实施主体单位项目的建设管理工作，并派驻主要项目组成员（含项目经理、实施工程师等）驻各实施主体单位现场实施。各系统集成商按各实施主体单位要求，统筹信息技术创新改造终端的运维，提供符合条件运维服务。</w:t>
      </w:r>
    </w:p>
    <w:p w14:paraId="42AFF52A">
      <w:pPr>
        <w:pStyle w:val="80"/>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3.项目实施期间，接受</w:t>
      </w:r>
      <w:r>
        <w:rPr>
          <w:rFonts w:hint="eastAsia" w:asciiTheme="minorEastAsia" w:hAnsiTheme="minorEastAsia" w:eastAsiaTheme="minorEastAsia" w:cstheme="minorEastAsia"/>
          <w:sz w:val="24"/>
          <w:szCs w:val="24"/>
          <w:lang w:val="en-US" w:eastAsia="zh-CN"/>
        </w:rPr>
        <w:t>采购单位</w:t>
      </w:r>
      <w:r>
        <w:rPr>
          <w:rFonts w:hint="eastAsia" w:asciiTheme="minorEastAsia" w:hAnsiTheme="minorEastAsia" w:eastAsiaTheme="minorEastAsia" w:cstheme="minorEastAsia"/>
          <w:sz w:val="24"/>
          <w:szCs w:val="24"/>
        </w:rPr>
        <w:t>的统一指导和工作安排，落实有关工作任务和要求。</w:t>
      </w:r>
    </w:p>
    <w:p w14:paraId="18B8C639">
      <w:pPr>
        <w:pStyle w:val="80"/>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hint="eastAsia"/>
        </w:rPr>
      </w:pPr>
      <w:r>
        <w:rPr>
          <w:rFonts w:hint="eastAsia" w:asciiTheme="minorEastAsia" w:hAnsiTheme="minorEastAsia" w:eastAsiaTheme="minorEastAsia" w:cstheme="minorEastAsia"/>
          <w:sz w:val="24"/>
          <w:szCs w:val="24"/>
        </w:rPr>
        <w:t>4.项目实施期间，如出现人员不到位、进度不到位、目标任务未完成等情况而被投诉，或者发生泄密等违规行为，将视情节严重程度对各供应商进行违约处罚。</w:t>
      </w:r>
    </w:p>
    <w:p w14:paraId="053393C1">
      <w:pPr>
        <w:keepNext w:val="0"/>
        <w:keepLines w:val="0"/>
        <w:pageBreakBefore w:val="0"/>
        <w:kinsoku/>
        <w:wordWrap/>
        <w:overflowPunct/>
        <w:topLinePunct w:val="0"/>
        <w:autoSpaceDE/>
        <w:autoSpaceDN/>
        <w:bidi w:val="0"/>
        <w:spacing w:line="360" w:lineRule="auto"/>
        <w:ind w:firstLine="482" w:firstLineChars="200"/>
        <w:jc w:val="both"/>
        <w:textAlignment w:val="auto"/>
        <w:outlineLvl w:val="9"/>
        <w:rPr>
          <w:rFonts w:ascii="宋体" w:hAnsi="宋体" w:cs="宋体"/>
          <w:b/>
          <w:sz w:val="24"/>
        </w:rPr>
      </w:pPr>
      <w:r>
        <w:rPr>
          <w:rFonts w:hint="eastAsia" w:ascii="宋体" w:hAnsi="宋体" w:cs="宋体"/>
          <w:b/>
          <w:sz w:val="24"/>
        </w:rPr>
        <w:t>四、其他要求</w:t>
      </w:r>
    </w:p>
    <w:p w14:paraId="763648B0">
      <w:pPr>
        <w:pStyle w:val="80"/>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rPr>
        <w:t>.</w:t>
      </w:r>
      <w:r>
        <w:rPr>
          <w:rFonts w:hint="eastAsia" w:asciiTheme="minorEastAsia" w:hAnsiTheme="minorEastAsia" w:eastAsiaTheme="minorEastAsia" w:cstheme="minorEastAsia"/>
          <w:sz w:val="24"/>
          <w:szCs w:val="24"/>
        </w:rPr>
        <w:t>免费质保期至少</w:t>
      </w:r>
      <w:r>
        <w:rPr>
          <w:rFonts w:hint="eastAsia" w:asciiTheme="minorEastAsia" w:hAnsiTheme="minorEastAsia" w:eastAsiaTheme="minorEastAsia" w:cstheme="minorEastAsia"/>
          <w:sz w:val="24"/>
          <w:szCs w:val="24"/>
          <w:lang w:val="en-US"/>
        </w:rPr>
        <w:t>3</w:t>
      </w:r>
      <w:r>
        <w:rPr>
          <w:rFonts w:hint="eastAsia" w:asciiTheme="minorEastAsia" w:hAnsiTheme="minorEastAsia" w:eastAsiaTheme="minorEastAsia" w:cstheme="minorEastAsia"/>
          <w:sz w:val="24"/>
          <w:szCs w:val="24"/>
        </w:rPr>
        <w:t>年。</w:t>
      </w:r>
    </w:p>
    <w:p w14:paraId="79C0E9C1">
      <w:pPr>
        <w:pStyle w:val="5"/>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b/>
          <w:bCs/>
          <w:snapToGrid/>
          <w:color w:val="auto"/>
          <w:kern w:val="2"/>
          <w:sz w:val="24"/>
          <w:szCs w:val="24"/>
          <w:lang w:val="zh-TW"/>
        </w:rPr>
      </w:pPr>
      <w:r>
        <w:rPr>
          <w:rFonts w:hint="eastAsia" w:asciiTheme="minorEastAsia" w:hAnsiTheme="minorEastAsia" w:eastAsiaTheme="minorEastAsia" w:cstheme="minorEastAsia"/>
          <w:sz w:val="24"/>
          <w:szCs w:val="24"/>
        </w:rPr>
        <w:t>2.供应商承诺：在投标设备质保期内提供7×24</w:t>
      </w:r>
      <w:r>
        <w:rPr>
          <w:rFonts w:hint="eastAsia" w:asciiTheme="minorEastAsia" w:hAnsiTheme="minorEastAsia" w:eastAsiaTheme="minorEastAsia" w:cstheme="minorEastAsia"/>
          <w:sz w:val="24"/>
          <w:szCs w:val="24"/>
          <w:lang w:val="en-US" w:eastAsia="zh-CN"/>
        </w:rPr>
        <w:t>小时</w:t>
      </w:r>
      <w:r>
        <w:rPr>
          <w:rFonts w:hint="eastAsia" w:asciiTheme="minorEastAsia" w:hAnsiTheme="minorEastAsia" w:eastAsiaTheme="minorEastAsia" w:cstheme="minorEastAsia"/>
          <w:sz w:val="24"/>
          <w:szCs w:val="24"/>
        </w:rPr>
        <w:t>服务，1小时内到现场。</w:t>
      </w:r>
    </w:p>
    <w:p w14:paraId="13D6C22B">
      <w:pPr>
        <w:pStyle w:val="80"/>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rPr>
        <w:t>3.</w:t>
      </w:r>
      <w:r>
        <w:rPr>
          <w:rFonts w:hint="eastAsia" w:asciiTheme="minorEastAsia" w:hAnsiTheme="minorEastAsia" w:eastAsiaTheme="minorEastAsia" w:cstheme="minorEastAsia"/>
          <w:sz w:val="24"/>
          <w:szCs w:val="24"/>
        </w:rPr>
        <w:t>保修条件：符合国家质量监督检验检疫总局、信息产业部第24号令《微型计算机商品修理更换退货责任规定》和其它相关规定。</w:t>
      </w:r>
    </w:p>
    <w:p w14:paraId="046F5A58">
      <w:pPr>
        <w:pStyle w:val="80"/>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rPr>
        <w:t>4.</w:t>
      </w:r>
      <w:r>
        <w:rPr>
          <w:rFonts w:hint="eastAsia" w:asciiTheme="minorEastAsia" w:hAnsiTheme="minorEastAsia" w:eastAsiaTheme="minorEastAsia" w:cstheme="minorEastAsia"/>
          <w:sz w:val="24"/>
          <w:szCs w:val="24"/>
        </w:rPr>
        <w:t>供货时间：在合同生效后</w:t>
      </w:r>
      <w:r>
        <w:rPr>
          <w:rFonts w:hint="eastAsia" w:asciiTheme="minorEastAsia" w:hAnsiTheme="minorEastAsia" w:eastAsiaTheme="minorEastAsia" w:cstheme="minorEastAsia"/>
          <w:sz w:val="24"/>
          <w:szCs w:val="24"/>
          <w:lang w:val="en-US"/>
        </w:rPr>
        <w:t>30</w:t>
      </w:r>
      <w:r>
        <w:rPr>
          <w:rFonts w:hint="eastAsia" w:asciiTheme="minorEastAsia" w:hAnsiTheme="minorEastAsia" w:eastAsiaTheme="minorEastAsia" w:cstheme="minorEastAsia"/>
          <w:sz w:val="24"/>
          <w:szCs w:val="24"/>
        </w:rPr>
        <w:t>天内，供应商需将所供产品（出厂原包装）按合同清单所列的采购单位、地址以及货物品种、数量等，运至指定地点拆箱，并负责安装、调试，由采购单位负责验收。</w:t>
      </w:r>
    </w:p>
    <w:p w14:paraId="5D950F6D">
      <w:pPr>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sz w:val="24"/>
        </w:rPr>
      </w:pPr>
      <w:bookmarkStart w:id="41" w:name="OLE_LINK89"/>
      <w:bookmarkStart w:id="42" w:name="OLE_LINK90"/>
      <w:r>
        <w:rPr>
          <w:rFonts w:hint="eastAsia" w:asciiTheme="minorEastAsia" w:hAnsiTheme="minorEastAsia" w:eastAsiaTheme="minorEastAsia" w:cstheme="minorEastAsia"/>
          <w:sz w:val="24"/>
        </w:rPr>
        <w:t>供货地点：临安区范围内（实际情况按采购单位需求进行供货）。</w:t>
      </w:r>
    </w:p>
    <w:p w14:paraId="26BA67CE">
      <w:pPr>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5.安装调试：</w:t>
      </w:r>
    </w:p>
    <w:bookmarkEnd w:id="41"/>
    <w:p w14:paraId="75392875">
      <w:pPr>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为确保安装调试工作安全有序的进行，要求中标人在货物运抵安装现场前3天内，向采购人提供一份详细的安装、调试验收计划和所采用的标准及方法，现场负责人、工程师和参与安装人员的名单，此计划和采用的标准一旦被采购人确认就不得随意更改，否则中标人应承担相应责任。</w:t>
      </w:r>
    </w:p>
    <w:p w14:paraId="7599A635">
      <w:pPr>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b/>
          <w:bCs/>
          <w:sz w:val="24"/>
        </w:rPr>
      </w:pPr>
      <w:r>
        <w:rPr>
          <w:rFonts w:hint="eastAsia" w:asciiTheme="minorEastAsia" w:hAnsiTheme="minorEastAsia" w:eastAsiaTheme="minorEastAsia" w:cstheme="minorEastAsia"/>
          <w:sz w:val="24"/>
        </w:rPr>
        <w:t>（2）设备的安装必须符合有关标准和规范。安装过程中使用人将对设备的安装质量进行监督，安装过程中安全责任由中标人承担。</w:t>
      </w:r>
    </w:p>
    <w:bookmarkEnd w:id="42"/>
    <w:p w14:paraId="11516A15">
      <w:pPr>
        <w:pStyle w:val="80"/>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rPr>
        <w:t>6</w:t>
      </w:r>
      <w:r>
        <w:rPr>
          <w:rFonts w:hint="eastAsia" w:asciiTheme="minorEastAsia" w:hAnsiTheme="minorEastAsia" w:eastAsiaTheme="minorEastAsia" w:cstheme="minorEastAsia"/>
          <w:sz w:val="24"/>
          <w:szCs w:val="24"/>
        </w:rPr>
        <w:t>.验收条件：开</w:t>
      </w:r>
      <w:bookmarkStart w:id="43" w:name="OLE_LINK25"/>
      <w:r>
        <w:rPr>
          <w:rFonts w:hint="eastAsia" w:asciiTheme="minorEastAsia" w:hAnsiTheme="minorEastAsia" w:eastAsiaTheme="minorEastAsia" w:cstheme="minorEastAsia"/>
          <w:sz w:val="24"/>
          <w:szCs w:val="24"/>
        </w:rPr>
        <w:t>箱验收：清点产品装</w:t>
      </w:r>
      <w:bookmarkEnd w:id="43"/>
      <w:r>
        <w:rPr>
          <w:rFonts w:hint="eastAsia" w:asciiTheme="minorEastAsia" w:hAnsiTheme="minorEastAsia" w:eastAsiaTheme="minorEastAsia" w:cstheme="minorEastAsia"/>
          <w:sz w:val="24"/>
          <w:szCs w:val="24"/>
        </w:rPr>
        <w:t>箱内容符合装箱单所列并符合招标文件要求和承诺书承诺；开机验收：产品应通电开机后进行所规定时间的试验运行后方可验收。</w:t>
      </w:r>
    </w:p>
    <w:p w14:paraId="26374F0D">
      <w:pPr>
        <w:pStyle w:val="80"/>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rPr>
        <w:t>7</w:t>
      </w:r>
      <w:r>
        <w:rPr>
          <w:rFonts w:hint="eastAsia" w:asciiTheme="minorEastAsia" w:hAnsiTheme="minorEastAsia" w:eastAsiaTheme="minorEastAsia" w:cstheme="minorEastAsia"/>
          <w:sz w:val="24"/>
          <w:szCs w:val="24"/>
        </w:rPr>
        <w:t>.投标人的主机和所有配件、附件，必须保证产品的序列号、产品型号统一对应、描述一致。产品安装调试完毕后，能在其功能范围内保障用户的系统安全、稳定运行。</w:t>
      </w:r>
      <w:r>
        <w:rPr>
          <w:rFonts w:hint="eastAsia" w:asciiTheme="minorEastAsia" w:hAnsiTheme="minorEastAsia" w:eastAsiaTheme="minorEastAsia" w:cstheme="minorEastAsia"/>
          <w:spacing w:val="-6"/>
          <w:sz w:val="24"/>
          <w:szCs w:val="24"/>
        </w:rPr>
        <w:t>软件产品是原厂产品包或原厂家提供许可证协议的正版软件，并符合采购单位的采购要求。</w:t>
      </w:r>
    </w:p>
    <w:p w14:paraId="12C49C7F">
      <w:pPr>
        <w:keepNext w:val="0"/>
        <w:keepLines w:val="0"/>
        <w:pageBreakBefore w:val="0"/>
        <w:kinsoku/>
        <w:wordWrap/>
        <w:overflowPunct/>
        <w:topLinePunct w:val="0"/>
        <w:autoSpaceDE/>
        <w:autoSpaceDN/>
        <w:bidi w:val="0"/>
        <w:spacing w:line="360" w:lineRule="auto"/>
        <w:ind w:firstLine="482" w:firstLineChars="200"/>
        <w:jc w:val="both"/>
        <w:textAlignment w:val="auto"/>
        <w:outlineLvl w:val="9"/>
        <w:rPr>
          <w:rFonts w:ascii="宋体" w:hAnsi="宋体" w:cs="宋体"/>
          <w:b/>
          <w:sz w:val="24"/>
        </w:rPr>
      </w:pPr>
      <w:bookmarkStart w:id="44" w:name="OLE_LINK7"/>
      <w:r>
        <w:rPr>
          <w:rFonts w:hint="eastAsia" w:ascii="宋体" w:hAnsi="宋体" w:cs="宋体"/>
          <w:b/>
          <w:sz w:val="24"/>
        </w:rPr>
        <w:t>五、服务要求</w:t>
      </w:r>
    </w:p>
    <w:bookmarkEnd w:id="44"/>
    <w:p w14:paraId="0218BEB5">
      <w:pPr>
        <w:pStyle w:val="80"/>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rPr>
        <w:t>.</w:t>
      </w:r>
      <w:r>
        <w:rPr>
          <w:rFonts w:hint="eastAsia" w:asciiTheme="minorEastAsia" w:hAnsiTheme="minorEastAsia" w:eastAsiaTheme="minorEastAsia" w:cstheme="minorEastAsia"/>
          <w:sz w:val="24"/>
          <w:szCs w:val="24"/>
        </w:rPr>
        <w:t>质量保证</w:t>
      </w:r>
    </w:p>
    <w:p w14:paraId="7E33A163">
      <w:pPr>
        <w:pStyle w:val="80"/>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（1）投标货物必须是经国家“3C”认证的符合国家技术规范和质量标准的合格产品，满足采购单位的使用需求，并具有可靠的售后服务体系，质量可靠、使用安全；</w:t>
      </w:r>
    </w:p>
    <w:p w14:paraId="030E623B">
      <w:pPr>
        <w:pStyle w:val="80"/>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（2）投标人保证其提供的货物中所有预装和为本项目安装的软件均为具有合法版权或使用权的正版软件且无质量瑕疵；</w:t>
      </w:r>
    </w:p>
    <w:p w14:paraId="09F75213">
      <w:pPr>
        <w:pStyle w:val="80"/>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（3）在质保期内，如遇软件产品升级、改版，应免费提供更新、升级服务。</w:t>
      </w:r>
    </w:p>
    <w:p w14:paraId="5FFDDF8C">
      <w:pPr>
        <w:pStyle w:val="80"/>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rPr>
        <w:t>.</w:t>
      </w:r>
      <w:r>
        <w:rPr>
          <w:rFonts w:hint="eastAsia" w:asciiTheme="minorEastAsia" w:hAnsiTheme="minorEastAsia" w:eastAsiaTheme="minorEastAsia" w:cstheme="minorEastAsia"/>
          <w:sz w:val="24"/>
          <w:szCs w:val="24"/>
        </w:rPr>
        <w:t>要求投标人提供不低于标准服务，即与投标设备制造厂商对外公众网站上公布的有效服务标准相一致（投标人不得另行制作网页）。在标准服务基础上，投标人还应达到以下标准：</w:t>
      </w:r>
    </w:p>
    <w:p w14:paraId="51C7CB09">
      <w:pPr>
        <w:pStyle w:val="80"/>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（1）投标设备的品质和服务由供应商对采购单位负责；</w:t>
      </w:r>
    </w:p>
    <w:p w14:paraId="2E56E637">
      <w:pPr>
        <w:pStyle w:val="80"/>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（2）投标人应明确说明此次投标的服务策略，提供此次投标设备的服务计划（售后服务内容、等级、相关服务指标、售后服务组织机构及人员安排情况及其联络信息）；</w:t>
      </w:r>
    </w:p>
    <w:p w14:paraId="0D76E81E">
      <w:pPr>
        <w:pStyle w:val="80"/>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（3）在质保期内除提供设备标准现场保修和技术支持服务外，还应保证相关配套设备及配件等设备3年的服务承诺及备品、备件支持，以满足最终用户硬件故障、升级的要求；</w:t>
      </w:r>
    </w:p>
    <w:p w14:paraId="3EA78992">
      <w:pPr>
        <w:pStyle w:val="80"/>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（4）在投标设备质保期内，供应商应提供7×24小时的免费现场技术服务，对故障在</w:t>
      </w:r>
      <w:r>
        <w:rPr>
          <w:rFonts w:hint="eastAsia" w:asciiTheme="minorEastAsia" w:hAnsiTheme="minorEastAsia" w:eastAsiaTheme="minorEastAsia" w:cstheme="minorEastAsia"/>
          <w:sz w:val="24"/>
          <w:szCs w:val="24"/>
          <w:lang w:val="en-US"/>
        </w:rPr>
        <w:t>30分钟</w:t>
      </w:r>
      <w:r>
        <w:rPr>
          <w:rFonts w:hint="eastAsia" w:asciiTheme="minorEastAsia" w:hAnsiTheme="minorEastAsia" w:eastAsiaTheme="minorEastAsia" w:cstheme="minorEastAsia"/>
          <w:sz w:val="24"/>
          <w:szCs w:val="24"/>
        </w:rPr>
        <w:t>内响应，</w:t>
      </w:r>
      <w:r>
        <w:rPr>
          <w:rFonts w:hint="eastAsia" w:asciiTheme="minorEastAsia" w:hAnsiTheme="minorEastAsia" w:eastAsiaTheme="minorEastAsia" w:cstheme="minorEastAsia"/>
          <w:sz w:val="24"/>
          <w:szCs w:val="24"/>
          <w:lang w:eastAsia="zh-TW"/>
        </w:rPr>
        <w:t>1</w:t>
      </w:r>
      <w:r>
        <w:rPr>
          <w:rFonts w:hint="eastAsia" w:asciiTheme="minorEastAsia" w:hAnsiTheme="minorEastAsia" w:eastAsiaTheme="minorEastAsia" w:cstheme="minorEastAsia"/>
          <w:sz w:val="24"/>
          <w:szCs w:val="24"/>
        </w:rPr>
        <w:t>小时以内到现场，</w:t>
      </w:r>
      <w:r>
        <w:rPr>
          <w:rFonts w:hint="eastAsia" w:asciiTheme="minorEastAsia" w:hAnsiTheme="minorEastAsia" w:eastAsiaTheme="minorEastAsia" w:cstheme="minorEastAsia"/>
          <w:sz w:val="24"/>
          <w:szCs w:val="24"/>
          <w:lang w:eastAsia="zh-TW"/>
        </w:rPr>
        <w:t>2</w:t>
      </w:r>
      <w:r>
        <w:rPr>
          <w:rFonts w:hint="eastAsia" w:asciiTheme="minorEastAsia" w:hAnsiTheme="minorEastAsia" w:eastAsiaTheme="minorEastAsia" w:cstheme="minorEastAsia"/>
          <w:sz w:val="24"/>
          <w:szCs w:val="24"/>
        </w:rPr>
        <w:t xml:space="preserve">小时以内解决问题；不能解决问题的，必须提供备机，以保证采购单位的正常使用。如果逾期未作出响应，则由于故障所造成的全部损失由供应商承担； </w:t>
      </w:r>
    </w:p>
    <w:p w14:paraId="08726696">
      <w:pPr>
        <w:pStyle w:val="80"/>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（5）当投标货物发生非人为因素严重故障时，供应商应当免费在七日内将补充或者更换的货物运抵发生故障的货物所在地，由此产生的一切相关费用由供应商负担；</w:t>
      </w:r>
    </w:p>
    <w:p w14:paraId="6C2F4BF1">
      <w:pPr>
        <w:pStyle w:val="80"/>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（6）质保期内所有因更换或修理设备或部件而导致设备停止运行的时间应从其质保期内扣除；</w:t>
      </w:r>
    </w:p>
    <w:p w14:paraId="41D342D2">
      <w:pPr>
        <w:pStyle w:val="80"/>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（7）供应商在质保期内安装的任何零配件，必须是其投标设备制造厂商原产的或是经其认可的；</w:t>
      </w:r>
    </w:p>
    <w:p w14:paraId="09FCF7BF">
      <w:pPr>
        <w:pStyle w:val="80"/>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（8）所有的替代零配件必须是新的未使用和未经修复的，除非最终用户提供书面许可，否则不可使用此范围外的其他（非新的）配件；</w:t>
      </w:r>
    </w:p>
    <w:p w14:paraId="389620EB">
      <w:pPr>
        <w:pStyle w:val="80"/>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（9）供应商必须为维修和技术支持所未能解决的问题和故障提供正式的升级方案；</w:t>
      </w:r>
    </w:p>
    <w:p w14:paraId="2EB53051">
      <w:pPr>
        <w:pStyle w:val="80"/>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（10）在质保期内，供应商有责任解决所提供的投标设备和软件系统的任何问题，在质保期满后，当需要时，供应商仍须对因投标设备本身的固有缺陷和瑕疵承担相应责任。</w:t>
      </w:r>
    </w:p>
    <w:p w14:paraId="7B21CBE1">
      <w:pPr>
        <w:pStyle w:val="80"/>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rPr>
        <w:t>.</w:t>
      </w:r>
      <w:r>
        <w:rPr>
          <w:rFonts w:hint="eastAsia" w:asciiTheme="minorEastAsia" w:hAnsiTheme="minorEastAsia" w:eastAsiaTheme="minorEastAsia" w:cstheme="minorEastAsia"/>
          <w:sz w:val="24"/>
          <w:szCs w:val="24"/>
        </w:rPr>
        <w:t>对设备服务要求的有效响应将被视为投标人对其所投标设备的服务承诺，如果中标，须将服务承诺列入合同的设备服务条款。</w:t>
      </w:r>
    </w:p>
    <w:p w14:paraId="6CEBEE48">
      <w:pPr>
        <w:keepNext w:val="0"/>
        <w:keepLines w:val="0"/>
        <w:pageBreakBefore w:val="0"/>
        <w:kinsoku/>
        <w:wordWrap/>
        <w:overflowPunct/>
        <w:topLinePunct w:val="0"/>
        <w:autoSpaceDE/>
        <w:autoSpaceDN/>
        <w:bidi w:val="0"/>
        <w:spacing w:line="360" w:lineRule="auto"/>
        <w:ind w:firstLine="482" w:firstLineChars="200"/>
        <w:jc w:val="both"/>
        <w:textAlignment w:val="auto"/>
        <w:outlineLvl w:val="9"/>
        <w:rPr>
          <w:rFonts w:ascii="宋体" w:hAnsi="宋体" w:cs="宋体"/>
          <w:b/>
          <w:sz w:val="24"/>
        </w:rPr>
      </w:pPr>
      <w:r>
        <w:rPr>
          <w:rFonts w:hint="eastAsia" w:ascii="宋体" w:hAnsi="宋体" w:cs="宋体"/>
          <w:b/>
          <w:sz w:val="24"/>
        </w:rPr>
        <w:t>六、支付方式</w:t>
      </w:r>
    </w:p>
    <w:p w14:paraId="1993C623">
      <w:pPr>
        <w:pStyle w:val="80"/>
        <w:keepNext w:val="0"/>
        <w:keepLines w:val="0"/>
        <w:pageBreakBefore w:val="0"/>
        <w:kinsoku/>
        <w:wordWrap/>
        <w:overflowPunct/>
        <w:topLinePunct w:val="0"/>
        <w:autoSpaceDE/>
        <w:autoSpaceDN/>
        <w:bidi w:val="0"/>
        <w:spacing w:line="360" w:lineRule="auto"/>
        <w:ind w:firstLine="480" w:firstLineChars="200"/>
        <w:jc w:val="both"/>
        <w:textAlignment w:val="auto"/>
        <w:outlineLvl w:val="9"/>
        <w:rPr>
          <w:rFonts w:asciiTheme="minorEastAsia" w:hAnsiTheme="minorEastAsia" w:eastAsiaTheme="minorEastAsia" w:cstheme="minorEastAsia"/>
          <w:sz w:val="24"/>
          <w:szCs w:val="24"/>
          <w:highlight w:val="none"/>
        </w:rPr>
        <w:sectPr>
          <w:headerReference r:id="rId4" w:type="first"/>
          <w:footerReference r:id="rId7" w:type="first"/>
          <w:headerReference r:id="rId3" w:type="default"/>
          <w:footerReference r:id="rId5" w:type="default"/>
          <w:footerReference r:id="rId6" w:type="even"/>
          <w:pgSz w:w="11906" w:h="16838"/>
          <w:pgMar w:top="680" w:right="1418" w:bottom="468" w:left="1418" w:header="624" w:footer="992" w:gutter="0"/>
          <w:pgBorders>
            <w:top w:val="none" w:sz="0" w:space="0"/>
            <w:left w:val="none" w:sz="0" w:space="0"/>
            <w:bottom w:val="none" w:sz="0" w:space="0"/>
            <w:right w:val="none" w:sz="0" w:space="0"/>
          </w:pgBorders>
          <w:pgNumType w:fmt="decimal" w:start="1"/>
          <w:cols w:space="720" w:num="1"/>
          <w:titlePg/>
          <w:docGrid w:linePitch="312" w:charSpace="0"/>
        </w:sectPr>
      </w:pPr>
      <w:r>
        <w:rPr>
          <w:rFonts w:hint="eastAsia" w:asciiTheme="minorEastAsia" w:hAnsiTheme="minorEastAsia" w:eastAsiaTheme="minorEastAsia" w:cstheme="minorEastAsia"/>
          <w:sz w:val="24"/>
          <w:szCs w:val="24"/>
          <w:highlight w:val="none"/>
        </w:rPr>
        <w:t>满足支付条件后5个工作日内支付合同总金额40%预付款，项目验收完毕后支付合同总金额的60%。在签订合同时，供应商明确表示无需预付款或者主动要求降低预付款比例的，采购单位可不适用前述规定。</w:t>
      </w:r>
    </w:p>
    <w:p w14:paraId="7B70C821">
      <w:pPr>
        <w:pStyle w:val="24"/>
      </w:pPr>
    </w:p>
    <w:bookmarkEnd w:id="14"/>
    <w:bookmarkEnd w:id="15"/>
    <w:bookmarkEnd w:id="32"/>
    <w:bookmarkEnd w:id="33"/>
    <w:p w14:paraId="6B3C566F">
      <w:pPr>
        <w:jc w:val="center"/>
        <w:outlineLvl w:val="0"/>
        <w:rPr>
          <w:rFonts w:ascii="宋体" w:hAnsi="宋体" w:cs="宋体"/>
          <w:b/>
          <w:color w:val="auto"/>
          <w:sz w:val="36"/>
          <w:szCs w:val="36"/>
          <w:highlight w:val="none"/>
        </w:rPr>
      </w:pPr>
      <w:bookmarkStart w:id="45" w:name="第四部分"/>
      <w:r>
        <w:rPr>
          <w:rFonts w:hint="eastAsia" w:ascii="宋体" w:hAnsi="宋体" w:cs="宋体"/>
          <w:b/>
          <w:color w:val="auto"/>
          <w:sz w:val="36"/>
          <w:szCs w:val="36"/>
          <w:highlight w:val="none"/>
        </w:rPr>
        <w:t xml:space="preserve">第四部分 </w:t>
      </w:r>
      <w:bookmarkStart w:id="46" w:name="_Toc184308081"/>
      <w:bookmarkEnd w:id="46"/>
      <w:bookmarkStart w:id="47" w:name="_Toc184312118"/>
      <w:bookmarkEnd w:id="47"/>
      <w:bookmarkStart w:id="48" w:name="_Toc184314456"/>
      <w:bookmarkEnd w:id="48"/>
      <w:bookmarkStart w:id="49" w:name="_Toc184310314"/>
      <w:bookmarkEnd w:id="49"/>
      <w:bookmarkStart w:id="50" w:name="_Toc184310317"/>
      <w:bookmarkEnd w:id="50"/>
      <w:bookmarkStart w:id="51" w:name="_Toc184313264"/>
      <w:bookmarkEnd w:id="51"/>
      <w:bookmarkStart w:id="52" w:name="_Toc184312077"/>
      <w:bookmarkEnd w:id="52"/>
      <w:bookmarkStart w:id="53" w:name="_Toc184308082"/>
      <w:bookmarkEnd w:id="53"/>
      <w:bookmarkStart w:id="54" w:name="_Toc184312069"/>
      <w:bookmarkEnd w:id="54"/>
      <w:bookmarkStart w:id="55" w:name="_Toc184314458"/>
      <w:bookmarkEnd w:id="55"/>
      <w:bookmarkStart w:id="56" w:name="_Toc184308083"/>
      <w:bookmarkEnd w:id="56"/>
      <w:bookmarkStart w:id="57" w:name="_Toc184312115"/>
      <w:bookmarkEnd w:id="57"/>
      <w:bookmarkStart w:id="58" w:name="_Toc184308063"/>
      <w:bookmarkEnd w:id="58"/>
      <w:bookmarkStart w:id="59" w:name="_Toc184308067"/>
      <w:bookmarkEnd w:id="59"/>
      <w:bookmarkStart w:id="60" w:name="_Toc184308044"/>
      <w:bookmarkEnd w:id="60"/>
      <w:bookmarkStart w:id="61" w:name="_Toc184313263"/>
      <w:bookmarkEnd w:id="61"/>
      <w:bookmarkStart w:id="62" w:name="_Toc184312071"/>
      <w:bookmarkEnd w:id="62"/>
      <w:bookmarkStart w:id="63" w:name="_Toc184310274"/>
      <w:bookmarkEnd w:id="63"/>
      <w:bookmarkStart w:id="64" w:name="_Toc184314422"/>
      <w:bookmarkEnd w:id="64"/>
      <w:bookmarkStart w:id="65" w:name="_Toc184314410"/>
      <w:bookmarkEnd w:id="65"/>
      <w:bookmarkStart w:id="66" w:name="_Toc184308058"/>
      <w:bookmarkEnd w:id="66"/>
      <w:bookmarkStart w:id="67" w:name="_Toc184314450"/>
      <w:bookmarkEnd w:id="67"/>
      <w:bookmarkStart w:id="68" w:name="_Toc184312120"/>
      <w:bookmarkEnd w:id="68"/>
      <w:bookmarkStart w:id="69" w:name="_Toc184314475"/>
      <w:bookmarkEnd w:id="69"/>
      <w:bookmarkStart w:id="70" w:name="_Toc184313253"/>
      <w:bookmarkEnd w:id="70"/>
      <w:bookmarkStart w:id="71" w:name="_Toc184308089"/>
      <w:bookmarkEnd w:id="71"/>
      <w:bookmarkStart w:id="72" w:name="_Toc184310293"/>
      <w:bookmarkEnd w:id="72"/>
      <w:bookmarkStart w:id="73" w:name="_Toc184313290"/>
      <w:bookmarkEnd w:id="73"/>
      <w:bookmarkStart w:id="74" w:name="_Toc184314463"/>
      <w:bookmarkEnd w:id="74"/>
      <w:bookmarkStart w:id="75" w:name="_Toc184308052"/>
      <w:bookmarkEnd w:id="75"/>
      <w:bookmarkStart w:id="76" w:name="_Toc184314439"/>
      <w:bookmarkEnd w:id="76"/>
      <w:bookmarkStart w:id="77" w:name="_Toc184313278"/>
      <w:bookmarkEnd w:id="77"/>
      <w:bookmarkStart w:id="78" w:name="_Toc184313252"/>
      <w:bookmarkEnd w:id="78"/>
      <w:bookmarkStart w:id="79" w:name="_Toc184313260"/>
      <w:bookmarkEnd w:id="79"/>
      <w:bookmarkStart w:id="80" w:name="_Toc184313266"/>
      <w:bookmarkEnd w:id="80"/>
      <w:bookmarkStart w:id="81" w:name="_Toc184313262"/>
      <w:bookmarkEnd w:id="81"/>
      <w:bookmarkStart w:id="82" w:name="_Toc184313239"/>
      <w:bookmarkEnd w:id="82"/>
      <w:bookmarkStart w:id="83" w:name="_Toc184314442"/>
      <w:bookmarkEnd w:id="83"/>
      <w:bookmarkStart w:id="84" w:name="_Toc184314466"/>
      <w:bookmarkEnd w:id="84"/>
      <w:bookmarkStart w:id="85" w:name="_Toc184310282"/>
      <w:bookmarkEnd w:id="85"/>
      <w:bookmarkStart w:id="86" w:name="_Toc184310322"/>
      <w:bookmarkEnd w:id="86"/>
      <w:bookmarkStart w:id="87" w:name="_Toc184313310"/>
      <w:bookmarkEnd w:id="87"/>
      <w:bookmarkStart w:id="88" w:name="_Toc184314420"/>
      <w:bookmarkEnd w:id="88"/>
      <w:bookmarkStart w:id="89" w:name="_Toc184308073"/>
      <w:bookmarkEnd w:id="89"/>
      <w:bookmarkStart w:id="90" w:name="_Toc184312121"/>
      <w:bookmarkEnd w:id="90"/>
      <w:bookmarkStart w:id="91" w:name="_Toc184314467"/>
      <w:bookmarkEnd w:id="91"/>
      <w:bookmarkStart w:id="92" w:name="_Toc184308077"/>
      <w:bookmarkEnd w:id="92"/>
      <w:bookmarkStart w:id="93" w:name="_Toc184312073"/>
      <w:bookmarkEnd w:id="93"/>
      <w:bookmarkStart w:id="94" w:name="_Toc184312128"/>
      <w:bookmarkEnd w:id="94"/>
      <w:bookmarkStart w:id="95" w:name="_Toc184310340"/>
      <w:bookmarkEnd w:id="95"/>
      <w:bookmarkStart w:id="96" w:name="_Toc184312082"/>
      <w:bookmarkEnd w:id="96"/>
      <w:bookmarkStart w:id="97" w:name="_Toc184313248"/>
      <w:bookmarkEnd w:id="97"/>
      <w:bookmarkStart w:id="98" w:name="_Toc184308049"/>
      <w:bookmarkEnd w:id="98"/>
      <w:bookmarkStart w:id="99" w:name="_Toc184312114"/>
      <w:bookmarkEnd w:id="99"/>
      <w:bookmarkStart w:id="100" w:name="_Toc184313296"/>
      <w:bookmarkEnd w:id="100"/>
      <w:bookmarkStart w:id="101" w:name="_Toc184312134"/>
      <w:bookmarkEnd w:id="101"/>
      <w:bookmarkStart w:id="102" w:name="_Toc184310318"/>
      <w:bookmarkEnd w:id="102"/>
      <w:bookmarkStart w:id="103" w:name="_Toc184314468"/>
      <w:bookmarkEnd w:id="103"/>
      <w:bookmarkStart w:id="104" w:name="_Toc184313283"/>
      <w:bookmarkEnd w:id="104"/>
      <w:bookmarkStart w:id="105" w:name="_Toc184310307"/>
      <w:bookmarkEnd w:id="105"/>
      <w:bookmarkStart w:id="106" w:name="_Toc184310327"/>
      <w:bookmarkEnd w:id="106"/>
      <w:bookmarkStart w:id="107" w:name="_Toc184314480"/>
      <w:bookmarkEnd w:id="107"/>
      <w:bookmarkStart w:id="108" w:name="_Toc184314437"/>
      <w:bookmarkEnd w:id="108"/>
      <w:bookmarkStart w:id="109" w:name="_Toc184314433"/>
      <w:bookmarkEnd w:id="109"/>
      <w:bookmarkStart w:id="110" w:name="_Toc184313306"/>
      <w:bookmarkEnd w:id="110"/>
      <w:bookmarkStart w:id="111" w:name="_Toc184314453"/>
      <w:bookmarkEnd w:id="111"/>
      <w:bookmarkStart w:id="112" w:name="_Toc184310338"/>
      <w:bookmarkEnd w:id="112"/>
      <w:bookmarkStart w:id="113" w:name="_Toc184310283"/>
      <w:bookmarkEnd w:id="113"/>
      <w:bookmarkStart w:id="114" w:name="_Toc184313274"/>
      <w:bookmarkEnd w:id="114"/>
      <w:bookmarkStart w:id="115" w:name="_Toc184310309"/>
      <w:bookmarkEnd w:id="115"/>
      <w:bookmarkStart w:id="116" w:name="_Toc184308093"/>
      <w:bookmarkEnd w:id="116"/>
      <w:bookmarkStart w:id="117" w:name="_Toc184312136"/>
      <w:bookmarkEnd w:id="117"/>
      <w:bookmarkStart w:id="118" w:name="_Toc184312123"/>
      <w:bookmarkEnd w:id="118"/>
      <w:bookmarkStart w:id="119" w:name="_Toc184312107"/>
      <w:bookmarkEnd w:id="119"/>
      <w:bookmarkStart w:id="120" w:name="_Toc184308070"/>
      <w:bookmarkEnd w:id="120"/>
      <w:bookmarkStart w:id="121" w:name="_Toc184313255"/>
      <w:bookmarkEnd w:id="121"/>
      <w:bookmarkStart w:id="122" w:name="_Toc184310312"/>
      <w:bookmarkEnd w:id="122"/>
      <w:bookmarkStart w:id="123" w:name="_Toc184308039"/>
      <w:bookmarkEnd w:id="123"/>
      <w:bookmarkStart w:id="124" w:name="_Toc184312111"/>
      <w:bookmarkEnd w:id="124"/>
      <w:bookmarkStart w:id="125" w:name="_Toc184313270"/>
      <w:bookmarkEnd w:id="125"/>
      <w:bookmarkStart w:id="126" w:name="_Toc184310285"/>
      <w:bookmarkEnd w:id="126"/>
      <w:bookmarkStart w:id="127" w:name="_Toc184310301"/>
      <w:bookmarkEnd w:id="127"/>
      <w:bookmarkStart w:id="128" w:name="_Toc184314482"/>
      <w:bookmarkEnd w:id="128"/>
      <w:bookmarkStart w:id="129" w:name="_Toc184312098"/>
      <w:bookmarkEnd w:id="129"/>
      <w:bookmarkStart w:id="130" w:name="_Toc184308095"/>
      <w:bookmarkEnd w:id="130"/>
      <w:bookmarkStart w:id="131" w:name="_Toc184313240"/>
      <w:bookmarkEnd w:id="131"/>
      <w:bookmarkStart w:id="132" w:name="_Toc184312131"/>
      <w:bookmarkEnd w:id="132"/>
      <w:bookmarkStart w:id="133" w:name="_Toc184314441"/>
      <w:bookmarkEnd w:id="133"/>
      <w:bookmarkStart w:id="134" w:name="_Toc184310330"/>
      <w:bookmarkEnd w:id="134"/>
      <w:bookmarkStart w:id="135" w:name="_Toc184310279"/>
      <w:bookmarkEnd w:id="135"/>
      <w:bookmarkStart w:id="136" w:name="_Toc184314423"/>
      <w:bookmarkEnd w:id="136"/>
      <w:bookmarkStart w:id="137" w:name="_Toc184314447"/>
      <w:bookmarkEnd w:id="137"/>
      <w:bookmarkStart w:id="138" w:name="_Toc184313303"/>
      <w:bookmarkEnd w:id="138"/>
      <w:bookmarkStart w:id="139" w:name="_Toc184313295"/>
      <w:bookmarkEnd w:id="139"/>
      <w:bookmarkStart w:id="140" w:name="_Toc184310334"/>
      <w:bookmarkEnd w:id="140"/>
      <w:bookmarkStart w:id="141" w:name="_Toc184313287"/>
      <w:bookmarkEnd w:id="141"/>
      <w:bookmarkStart w:id="142" w:name="_Toc184312117"/>
      <w:bookmarkEnd w:id="142"/>
      <w:bookmarkStart w:id="143" w:name="_Toc184313282"/>
      <w:bookmarkEnd w:id="143"/>
      <w:bookmarkStart w:id="144" w:name="_Toc184312116"/>
      <w:bookmarkEnd w:id="144"/>
      <w:bookmarkStart w:id="145" w:name="_Toc184308050"/>
      <w:bookmarkEnd w:id="145"/>
      <w:bookmarkStart w:id="146" w:name="_Toc184308047"/>
      <w:bookmarkEnd w:id="146"/>
      <w:bookmarkStart w:id="147" w:name="_Toc184312093"/>
      <w:bookmarkEnd w:id="147"/>
      <w:bookmarkStart w:id="148" w:name="_Toc184313284"/>
      <w:bookmarkEnd w:id="148"/>
      <w:bookmarkStart w:id="149" w:name="_Toc184313281"/>
      <w:bookmarkEnd w:id="149"/>
      <w:bookmarkStart w:id="150" w:name="_Toc184310292"/>
      <w:bookmarkEnd w:id="150"/>
      <w:bookmarkStart w:id="151" w:name="_Toc184314415"/>
      <w:bookmarkEnd w:id="151"/>
      <w:bookmarkStart w:id="152" w:name="_Toc184308100"/>
      <w:bookmarkEnd w:id="152"/>
      <w:bookmarkStart w:id="153" w:name="_Toc184310289"/>
      <w:bookmarkEnd w:id="153"/>
      <w:bookmarkStart w:id="154" w:name="_Toc184310344"/>
      <w:bookmarkEnd w:id="154"/>
      <w:bookmarkStart w:id="155" w:name="_Toc184310295"/>
      <w:bookmarkEnd w:id="155"/>
      <w:bookmarkStart w:id="156" w:name="_Toc184310313"/>
      <w:bookmarkEnd w:id="156"/>
      <w:bookmarkStart w:id="157" w:name="_Toc184310337"/>
      <w:bookmarkEnd w:id="157"/>
      <w:bookmarkStart w:id="158" w:name="_Toc184314451"/>
      <w:bookmarkEnd w:id="158"/>
      <w:bookmarkStart w:id="159" w:name="_Toc184313251"/>
      <w:bookmarkEnd w:id="159"/>
      <w:bookmarkStart w:id="160" w:name="_Toc184314464"/>
      <w:bookmarkEnd w:id="160"/>
      <w:bookmarkStart w:id="161" w:name="_Toc184314460"/>
      <w:bookmarkEnd w:id="161"/>
      <w:bookmarkStart w:id="162" w:name="_Toc184312076"/>
      <w:bookmarkEnd w:id="162"/>
      <w:bookmarkStart w:id="163" w:name="_Toc184313273"/>
      <w:bookmarkEnd w:id="163"/>
      <w:bookmarkStart w:id="164" w:name="_Toc184313243"/>
      <w:bookmarkEnd w:id="164"/>
      <w:bookmarkStart w:id="165" w:name="_Toc184314424"/>
      <w:bookmarkEnd w:id="165"/>
      <w:bookmarkStart w:id="166" w:name="_Toc184310316"/>
      <w:bookmarkEnd w:id="166"/>
      <w:bookmarkStart w:id="167" w:name="_Toc184313291"/>
      <w:bookmarkEnd w:id="167"/>
      <w:bookmarkStart w:id="168" w:name="_Toc184314429"/>
      <w:bookmarkEnd w:id="168"/>
      <w:bookmarkStart w:id="169" w:name="_Toc184314478"/>
      <w:bookmarkEnd w:id="169"/>
      <w:bookmarkStart w:id="170" w:name="_Toc184313276"/>
      <w:bookmarkEnd w:id="170"/>
      <w:bookmarkStart w:id="171" w:name="_Toc184313277"/>
      <w:bookmarkEnd w:id="171"/>
      <w:bookmarkStart w:id="172" w:name="_Toc184314473"/>
      <w:bookmarkEnd w:id="172"/>
      <w:bookmarkStart w:id="173" w:name="_Toc184308098"/>
      <w:bookmarkEnd w:id="173"/>
      <w:bookmarkStart w:id="174" w:name="_Toc184312094"/>
      <w:bookmarkEnd w:id="174"/>
      <w:bookmarkStart w:id="175" w:name="_Toc184308079"/>
      <w:bookmarkEnd w:id="175"/>
      <w:bookmarkStart w:id="176" w:name="_Toc184314412"/>
      <w:bookmarkEnd w:id="176"/>
      <w:bookmarkStart w:id="177" w:name="_Toc184312090"/>
      <w:bookmarkEnd w:id="177"/>
      <w:bookmarkStart w:id="178" w:name="_Toc184312085"/>
      <w:bookmarkEnd w:id="178"/>
      <w:bookmarkStart w:id="179" w:name="_Toc184313254"/>
      <w:bookmarkEnd w:id="179"/>
      <w:bookmarkStart w:id="180" w:name="_Toc184314417"/>
      <w:bookmarkEnd w:id="180"/>
      <w:bookmarkStart w:id="181" w:name="_Toc184313256"/>
      <w:bookmarkEnd w:id="181"/>
      <w:bookmarkStart w:id="182" w:name="_Toc184313272"/>
      <w:bookmarkEnd w:id="182"/>
      <w:bookmarkStart w:id="183" w:name="_Toc184310296"/>
      <w:bookmarkEnd w:id="183"/>
      <w:bookmarkStart w:id="184" w:name="_Toc184310319"/>
      <w:bookmarkEnd w:id="184"/>
      <w:bookmarkStart w:id="185" w:name="_Toc184313304"/>
      <w:bookmarkEnd w:id="185"/>
      <w:bookmarkStart w:id="186" w:name="_Toc184308057"/>
      <w:bookmarkEnd w:id="186"/>
      <w:bookmarkStart w:id="187" w:name="_Toc184308068"/>
      <w:bookmarkEnd w:id="187"/>
      <w:bookmarkStart w:id="188" w:name="_Toc184313298"/>
      <w:bookmarkEnd w:id="188"/>
      <w:bookmarkStart w:id="189" w:name="_Toc184308043"/>
      <w:bookmarkEnd w:id="189"/>
      <w:bookmarkStart w:id="190" w:name="_Toc184308080"/>
      <w:bookmarkEnd w:id="190"/>
      <w:bookmarkStart w:id="191" w:name="_Toc184314440"/>
      <w:bookmarkEnd w:id="191"/>
      <w:bookmarkStart w:id="192" w:name="_Toc184312083"/>
      <w:bookmarkEnd w:id="192"/>
      <w:bookmarkStart w:id="193" w:name="_Toc184308040"/>
      <w:bookmarkEnd w:id="193"/>
      <w:bookmarkStart w:id="194" w:name="_Toc184308106"/>
      <w:bookmarkEnd w:id="194"/>
      <w:bookmarkStart w:id="195" w:name="_Toc184313268"/>
      <w:bookmarkEnd w:id="195"/>
      <w:bookmarkStart w:id="196" w:name="_Toc184310308"/>
      <w:bookmarkEnd w:id="196"/>
      <w:bookmarkStart w:id="197" w:name="_Toc184313302"/>
      <w:bookmarkEnd w:id="197"/>
      <w:bookmarkStart w:id="198" w:name="_Toc184308099"/>
      <w:bookmarkEnd w:id="198"/>
      <w:bookmarkStart w:id="199" w:name="_Toc184308038"/>
      <w:bookmarkEnd w:id="199"/>
      <w:bookmarkStart w:id="200" w:name="_Toc184308072"/>
      <w:bookmarkEnd w:id="200"/>
      <w:bookmarkStart w:id="201" w:name="_Toc184308074"/>
      <w:bookmarkEnd w:id="201"/>
      <w:bookmarkStart w:id="202" w:name="_Toc184308053"/>
      <w:bookmarkEnd w:id="202"/>
      <w:bookmarkStart w:id="203" w:name="_Toc184314479"/>
      <w:bookmarkEnd w:id="203"/>
      <w:bookmarkStart w:id="204" w:name="_Toc184312105"/>
      <w:bookmarkEnd w:id="204"/>
      <w:bookmarkStart w:id="205" w:name="_Toc184314459"/>
      <w:bookmarkEnd w:id="205"/>
      <w:bookmarkStart w:id="206" w:name="_Toc184313293"/>
      <w:bookmarkEnd w:id="206"/>
      <w:bookmarkStart w:id="207" w:name="_Toc184308091"/>
      <w:bookmarkEnd w:id="207"/>
      <w:bookmarkStart w:id="208" w:name="_Toc184312088"/>
      <w:bookmarkEnd w:id="208"/>
      <w:bookmarkStart w:id="209" w:name="_Toc184308084"/>
      <w:bookmarkEnd w:id="209"/>
      <w:bookmarkStart w:id="210" w:name="_Toc184308071"/>
      <w:bookmarkEnd w:id="210"/>
      <w:bookmarkStart w:id="211" w:name="_Toc184314481"/>
      <w:bookmarkEnd w:id="211"/>
      <w:bookmarkStart w:id="212" w:name="_Toc184314421"/>
      <w:bookmarkEnd w:id="212"/>
      <w:bookmarkStart w:id="213" w:name="_Toc184308055"/>
      <w:bookmarkEnd w:id="213"/>
      <w:bookmarkStart w:id="214" w:name="_Toc184310342"/>
      <w:bookmarkEnd w:id="214"/>
      <w:bookmarkStart w:id="215" w:name="_Toc184308062"/>
      <w:bookmarkEnd w:id="215"/>
      <w:bookmarkStart w:id="216" w:name="_Toc184312079"/>
      <w:bookmarkEnd w:id="216"/>
      <w:bookmarkStart w:id="217" w:name="_Toc184314474"/>
      <w:bookmarkEnd w:id="217"/>
      <w:bookmarkStart w:id="218" w:name="_Toc184308102"/>
      <w:bookmarkEnd w:id="218"/>
      <w:bookmarkStart w:id="219" w:name="_Toc184314471"/>
      <w:bookmarkEnd w:id="219"/>
      <w:bookmarkStart w:id="220" w:name="_Toc184313249"/>
      <w:bookmarkEnd w:id="220"/>
      <w:bookmarkStart w:id="221" w:name="_Toc184314462"/>
      <w:bookmarkEnd w:id="221"/>
      <w:bookmarkStart w:id="222" w:name="_Toc184312112"/>
      <w:bookmarkEnd w:id="222"/>
      <w:bookmarkStart w:id="223" w:name="_Toc184314477"/>
      <w:bookmarkEnd w:id="223"/>
      <w:bookmarkStart w:id="224" w:name="_Toc184312070"/>
      <w:bookmarkEnd w:id="224"/>
      <w:bookmarkStart w:id="225" w:name="_Toc184312135"/>
      <w:bookmarkEnd w:id="225"/>
      <w:bookmarkStart w:id="226" w:name="_Toc184312132"/>
      <w:bookmarkEnd w:id="226"/>
      <w:bookmarkStart w:id="227" w:name="_Toc184310299"/>
      <w:bookmarkEnd w:id="227"/>
      <w:bookmarkStart w:id="228" w:name="_Toc184308048"/>
      <w:bookmarkEnd w:id="228"/>
      <w:bookmarkStart w:id="229" w:name="_Toc184314476"/>
      <w:bookmarkEnd w:id="229"/>
      <w:bookmarkStart w:id="230" w:name="_Toc184313261"/>
      <w:bookmarkEnd w:id="230"/>
      <w:bookmarkStart w:id="231" w:name="_Toc184314419"/>
      <w:bookmarkEnd w:id="231"/>
      <w:bookmarkStart w:id="232" w:name="_Toc184312096"/>
      <w:bookmarkEnd w:id="232"/>
      <w:bookmarkStart w:id="233" w:name="_Toc184312099"/>
      <w:bookmarkEnd w:id="233"/>
      <w:bookmarkStart w:id="234" w:name="_Toc184308090"/>
      <w:bookmarkEnd w:id="234"/>
      <w:bookmarkStart w:id="235" w:name="_Toc184314449"/>
      <w:bookmarkEnd w:id="235"/>
      <w:bookmarkStart w:id="236" w:name="_Toc184310273"/>
      <w:bookmarkEnd w:id="236"/>
      <w:bookmarkStart w:id="237" w:name="_Toc184310341"/>
      <w:bookmarkEnd w:id="237"/>
      <w:bookmarkStart w:id="238" w:name="_Toc184310275"/>
      <w:bookmarkEnd w:id="238"/>
      <w:bookmarkStart w:id="239" w:name="_Toc184313247"/>
      <w:bookmarkEnd w:id="239"/>
      <w:bookmarkStart w:id="240" w:name="_Toc184312072"/>
      <w:bookmarkEnd w:id="240"/>
      <w:bookmarkStart w:id="241" w:name="_Toc184314414"/>
      <w:bookmarkEnd w:id="241"/>
      <w:bookmarkStart w:id="242" w:name="_Toc184314431"/>
      <w:bookmarkEnd w:id="242"/>
      <w:bookmarkStart w:id="243" w:name="_Toc184308078"/>
      <w:bookmarkEnd w:id="243"/>
      <w:bookmarkStart w:id="244" w:name="_Toc184310321"/>
      <w:bookmarkEnd w:id="244"/>
      <w:bookmarkStart w:id="245" w:name="_Toc184308076"/>
      <w:bookmarkEnd w:id="245"/>
      <w:bookmarkStart w:id="246" w:name="_Toc184312078"/>
      <w:bookmarkEnd w:id="246"/>
      <w:bookmarkStart w:id="247" w:name="_Toc184308092"/>
      <w:bookmarkEnd w:id="247"/>
      <w:bookmarkStart w:id="248" w:name="_Toc184312068"/>
      <w:bookmarkEnd w:id="248"/>
      <w:bookmarkStart w:id="249" w:name="_Toc184312133"/>
      <w:bookmarkEnd w:id="249"/>
      <w:bookmarkStart w:id="250" w:name="_Toc184308056"/>
      <w:bookmarkEnd w:id="250"/>
      <w:bookmarkStart w:id="251" w:name="_Toc184310329"/>
      <w:bookmarkEnd w:id="251"/>
      <w:bookmarkStart w:id="252" w:name="_Toc184313301"/>
      <w:bookmarkEnd w:id="252"/>
      <w:bookmarkStart w:id="253" w:name="_Toc184310332"/>
      <w:bookmarkEnd w:id="253"/>
      <w:bookmarkStart w:id="254" w:name="_Toc184312106"/>
      <w:bookmarkEnd w:id="254"/>
      <w:bookmarkStart w:id="255" w:name="_Toc184314418"/>
      <w:bookmarkEnd w:id="255"/>
      <w:bookmarkStart w:id="256" w:name="_Toc184310286"/>
      <w:bookmarkEnd w:id="256"/>
      <w:bookmarkStart w:id="257" w:name="_Toc184308061"/>
      <w:bookmarkEnd w:id="257"/>
      <w:bookmarkStart w:id="258" w:name="_Toc184312091"/>
      <w:bookmarkEnd w:id="258"/>
      <w:bookmarkStart w:id="259" w:name="_Toc184308104"/>
      <w:bookmarkEnd w:id="259"/>
      <w:bookmarkStart w:id="260" w:name="_Toc184313297"/>
      <w:bookmarkEnd w:id="260"/>
      <w:bookmarkStart w:id="261" w:name="_Toc184308065"/>
      <w:bookmarkEnd w:id="261"/>
      <w:bookmarkStart w:id="262" w:name="_Toc184313279"/>
      <w:bookmarkEnd w:id="262"/>
      <w:bookmarkStart w:id="263" w:name="_Toc184308097"/>
      <w:bookmarkEnd w:id="263"/>
      <w:bookmarkStart w:id="264" w:name="_Toc184310302"/>
      <w:bookmarkEnd w:id="264"/>
      <w:bookmarkStart w:id="265" w:name="_Toc184314445"/>
      <w:bookmarkEnd w:id="265"/>
      <w:bookmarkStart w:id="266" w:name="_Toc184314461"/>
      <w:bookmarkEnd w:id="266"/>
      <w:bookmarkStart w:id="267" w:name="_Toc184310310"/>
      <w:bookmarkEnd w:id="267"/>
      <w:bookmarkStart w:id="268" w:name="_Toc184314454"/>
      <w:bookmarkEnd w:id="268"/>
      <w:bookmarkStart w:id="269" w:name="_Toc184312104"/>
      <w:bookmarkEnd w:id="269"/>
      <w:bookmarkStart w:id="270" w:name="_Toc184314436"/>
      <w:bookmarkEnd w:id="270"/>
      <w:bookmarkStart w:id="271" w:name="_Toc184313257"/>
      <w:bookmarkEnd w:id="271"/>
      <w:bookmarkStart w:id="272" w:name="_Toc184313258"/>
      <w:bookmarkEnd w:id="272"/>
      <w:bookmarkStart w:id="273" w:name="_Toc184314416"/>
      <w:bookmarkEnd w:id="273"/>
      <w:bookmarkStart w:id="274" w:name="_Toc184313271"/>
      <w:bookmarkEnd w:id="274"/>
      <w:bookmarkStart w:id="275" w:name="_Toc184308107"/>
      <w:bookmarkEnd w:id="275"/>
      <w:bookmarkStart w:id="276" w:name="_Toc184308094"/>
      <w:bookmarkEnd w:id="276"/>
      <w:bookmarkStart w:id="277" w:name="_Toc184308096"/>
      <w:bookmarkEnd w:id="277"/>
      <w:bookmarkStart w:id="278" w:name="_Toc184314425"/>
      <w:bookmarkEnd w:id="278"/>
      <w:bookmarkStart w:id="279" w:name="_Toc184314428"/>
      <w:bookmarkEnd w:id="279"/>
      <w:bookmarkStart w:id="280" w:name="_Toc184308103"/>
      <w:bookmarkEnd w:id="280"/>
      <w:bookmarkStart w:id="281" w:name="_Toc184310288"/>
      <w:bookmarkEnd w:id="281"/>
      <w:bookmarkStart w:id="282" w:name="_Toc184308075"/>
      <w:bookmarkEnd w:id="282"/>
      <w:bookmarkStart w:id="283" w:name="_Toc184310294"/>
      <w:bookmarkEnd w:id="283"/>
      <w:bookmarkStart w:id="284" w:name="_Toc184310304"/>
      <w:bookmarkEnd w:id="284"/>
      <w:bookmarkStart w:id="285" w:name="_Toc184310276"/>
      <w:bookmarkEnd w:id="285"/>
      <w:bookmarkStart w:id="286" w:name="_Toc184313286"/>
      <w:bookmarkEnd w:id="286"/>
      <w:bookmarkStart w:id="287" w:name="_Toc184314457"/>
      <w:bookmarkEnd w:id="287"/>
      <w:bookmarkStart w:id="288" w:name="_Toc184313289"/>
      <w:bookmarkEnd w:id="288"/>
      <w:bookmarkStart w:id="289" w:name="_Toc184314465"/>
      <w:bookmarkEnd w:id="289"/>
      <w:bookmarkStart w:id="290" w:name="_Toc184314455"/>
      <w:bookmarkEnd w:id="290"/>
      <w:bookmarkStart w:id="291" w:name="_Toc184308105"/>
      <w:bookmarkEnd w:id="291"/>
      <w:bookmarkStart w:id="292" w:name="_Toc184310297"/>
      <w:bookmarkEnd w:id="292"/>
      <w:bookmarkStart w:id="293" w:name="_Toc184312125"/>
      <w:bookmarkEnd w:id="293"/>
      <w:bookmarkStart w:id="294" w:name="_Toc184312103"/>
      <w:bookmarkEnd w:id="294"/>
      <w:bookmarkStart w:id="295" w:name="_Toc184312109"/>
      <w:bookmarkEnd w:id="295"/>
      <w:bookmarkStart w:id="296" w:name="_Toc184312137"/>
      <w:bookmarkEnd w:id="296"/>
      <w:bookmarkStart w:id="297" w:name="_Toc184310280"/>
      <w:bookmarkEnd w:id="297"/>
      <w:bookmarkStart w:id="298" w:name="_Toc184312097"/>
      <w:bookmarkEnd w:id="298"/>
      <w:bookmarkStart w:id="299" w:name="_Toc184312108"/>
      <w:bookmarkEnd w:id="299"/>
      <w:bookmarkStart w:id="300" w:name="_Toc184312087"/>
      <w:bookmarkEnd w:id="300"/>
      <w:bookmarkStart w:id="301" w:name="_Toc184310315"/>
      <w:bookmarkEnd w:id="301"/>
      <w:bookmarkStart w:id="302" w:name="_Toc184314452"/>
      <w:bookmarkEnd w:id="302"/>
      <w:bookmarkStart w:id="303" w:name="_Toc184308064"/>
      <w:bookmarkEnd w:id="303"/>
      <w:bookmarkStart w:id="304" w:name="_Toc184308088"/>
      <w:bookmarkEnd w:id="304"/>
      <w:bookmarkStart w:id="305" w:name="_Toc184310328"/>
      <w:bookmarkEnd w:id="305"/>
      <w:bookmarkStart w:id="306" w:name="_Toc184308086"/>
      <w:bookmarkEnd w:id="306"/>
      <w:bookmarkStart w:id="307" w:name="_Toc184310343"/>
      <w:bookmarkEnd w:id="307"/>
      <w:bookmarkStart w:id="308" w:name="_Toc184314430"/>
      <w:bookmarkEnd w:id="308"/>
      <w:bookmarkStart w:id="309" w:name="_Toc184314448"/>
      <w:bookmarkEnd w:id="309"/>
      <w:bookmarkStart w:id="310" w:name="_Toc184313267"/>
      <w:bookmarkEnd w:id="310"/>
      <w:bookmarkStart w:id="311" w:name="_Toc184313242"/>
      <w:bookmarkEnd w:id="311"/>
      <w:bookmarkStart w:id="312" w:name="_Toc184308066"/>
      <w:bookmarkEnd w:id="312"/>
      <w:bookmarkStart w:id="313" w:name="_Toc184312113"/>
      <w:bookmarkEnd w:id="313"/>
      <w:bookmarkStart w:id="314" w:name="_Toc184313238"/>
      <w:bookmarkEnd w:id="314"/>
      <w:bookmarkStart w:id="315" w:name="_Toc184310323"/>
      <w:bookmarkEnd w:id="315"/>
      <w:bookmarkStart w:id="316" w:name="_Toc184313280"/>
      <w:bookmarkEnd w:id="316"/>
      <w:bookmarkStart w:id="317" w:name="_Toc184308087"/>
      <w:bookmarkEnd w:id="317"/>
      <w:bookmarkStart w:id="318" w:name="_Toc184310324"/>
      <w:bookmarkEnd w:id="318"/>
      <w:bookmarkStart w:id="319" w:name="_Toc184310281"/>
      <w:bookmarkEnd w:id="319"/>
      <w:bookmarkStart w:id="320" w:name="_Toc184308085"/>
      <w:bookmarkEnd w:id="320"/>
      <w:bookmarkStart w:id="321" w:name="_Toc184308101"/>
      <w:bookmarkEnd w:id="321"/>
      <w:bookmarkStart w:id="322" w:name="_Toc184308046"/>
      <w:bookmarkEnd w:id="322"/>
      <w:bookmarkStart w:id="323" w:name="_Toc184313285"/>
      <w:bookmarkEnd w:id="323"/>
      <w:bookmarkStart w:id="324" w:name="_Toc184313275"/>
      <w:bookmarkEnd w:id="324"/>
      <w:bookmarkStart w:id="325" w:name="_Toc184310287"/>
      <w:bookmarkEnd w:id="325"/>
      <w:bookmarkStart w:id="326" w:name="_Toc184308059"/>
      <w:bookmarkEnd w:id="326"/>
      <w:bookmarkStart w:id="327" w:name="_Toc184312127"/>
      <w:bookmarkEnd w:id="327"/>
      <w:bookmarkStart w:id="328" w:name="_Toc184310335"/>
      <w:bookmarkEnd w:id="328"/>
      <w:bookmarkStart w:id="329" w:name="_Toc184313292"/>
      <w:bookmarkEnd w:id="329"/>
      <w:bookmarkStart w:id="330" w:name="_Toc184308042"/>
      <w:bookmarkEnd w:id="330"/>
      <w:bookmarkStart w:id="331" w:name="_Toc184313244"/>
      <w:bookmarkEnd w:id="331"/>
      <w:bookmarkStart w:id="332" w:name="_Toc184308060"/>
      <w:bookmarkEnd w:id="332"/>
      <w:bookmarkStart w:id="333" w:name="_Toc184314427"/>
      <w:bookmarkEnd w:id="333"/>
      <w:bookmarkStart w:id="334" w:name="_Toc184308054"/>
      <w:bookmarkEnd w:id="334"/>
      <w:bookmarkStart w:id="335" w:name="_Toc184312122"/>
      <w:bookmarkEnd w:id="335"/>
      <w:bookmarkStart w:id="336" w:name="_Toc184313294"/>
      <w:bookmarkEnd w:id="336"/>
      <w:bookmarkStart w:id="337" w:name="_Toc184314469"/>
      <w:bookmarkEnd w:id="337"/>
      <w:bookmarkStart w:id="338" w:name="_Toc184313241"/>
      <w:bookmarkEnd w:id="338"/>
      <w:bookmarkStart w:id="339" w:name="_Toc184308041"/>
      <w:bookmarkEnd w:id="339"/>
      <w:bookmarkStart w:id="340" w:name="_Toc184313299"/>
      <w:bookmarkEnd w:id="340"/>
      <w:bookmarkStart w:id="341" w:name="_Toc184313300"/>
      <w:bookmarkEnd w:id="341"/>
      <w:bookmarkStart w:id="342" w:name="_Toc184312110"/>
      <w:bookmarkEnd w:id="342"/>
      <w:bookmarkStart w:id="343" w:name="_Toc184313245"/>
      <w:bookmarkEnd w:id="343"/>
      <w:bookmarkStart w:id="344" w:name="_Toc184312084"/>
      <w:bookmarkEnd w:id="344"/>
      <w:bookmarkStart w:id="345" w:name="_Toc184310306"/>
      <w:bookmarkEnd w:id="345"/>
      <w:bookmarkStart w:id="346" w:name="_Toc184313259"/>
      <w:bookmarkEnd w:id="346"/>
      <w:bookmarkStart w:id="347" w:name="_Toc184314413"/>
      <w:bookmarkEnd w:id="347"/>
      <w:bookmarkStart w:id="348" w:name="_Toc184310303"/>
      <w:bookmarkEnd w:id="348"/>
      <w:bookmarkStart w:id="349" w:name="_Toc184308108"/>
      <w:bookmarkEnd w:id="349"/>
      <w:bookmarkStart w:id="350" w:name="_Toc184312101"/>
      <w:bookmarkEnd w:id="350"/>
      <w:bookmarkStart w:id="351" w:name="_Toc184308051"/>
      <w:bookmarkEnd w:id="351"/>
      <w:bookmarkStart w:id="352" w:name="_Toc184310339"/>
      <w:bookmarkEnd w:id="352"/>
      <w:bookmarkStart w:id="353" w:name="_Toc184312129"/>
      <w:bookmarkEnd w:id="353"/>
      <w:bookmarkStart w:id="354" w:name="_Toc184312089"/>
      <w:bookmarkEnd w:id="354"/>
      <w:bookmarkStart w:id="355" w:name="_Toc184312102"/>
      <w:bookmarkEnd w:id="355"/>
      <w:bookmarkStart w:id="356" w:name="_Toc184313309"/>
      <w:bookmarkEnd w:id="356"/>
      <w:bookmarkStart w:id="357" w:name="_Toc184310291"/>
      <w:bookmarkEnd w:id="357"/>
      <w:bookmarkStart w:id="358" w:name="_Toc184312080"/>
      <w:bookmarkEnd w:id="358"/>
      <w:bookmarkStart w:id="359" w:name="_Toc184310278"/>
      <w:bookmarkEnd w:id="359"/>
      <w:bookmarkStart w:id="360" w:name="_Toc184312130"/>
      <w:bookmarkEnd w:id="360"/>
      <w:bookmarkStart w:id="361" w:name="_Toc184308069"/>
      <w:bookmarkEnd w:id="361"/>
      <w:bookmarkStart w:id="362" w:name="_Toc184308037"/>
      <w:bookmarkEnd w:id="362"/>
      <w:bookmarkStart w:id="363" w:name="_Toc184314446"/>
      <w:bookmarkEnd w:id="363"/>
      <w:bookmarkStart w:id="364" w:name="_Toc184312139"/>
      <w:bookmarkEnd w:id="364"/>
      <w:bookmarkStart w:id="365" w:name="_Toc184313305"/>
      <w:bookmarkEnd w:id="365"/>
      <w:bookmarkStart w:id="366" w:name="_Toc184308036"/>
      <w:bookmarkEnd w:id="366"/>
      <w:bookmarkStart w:id="367" w:name="_Toc184310305"/>
      <w:bookmarkEnd w:id="367"/>
      <w:bookmarkStart w:id="368" w:name="_Toc184314438"/>
      <w:bookmarkEnd w:id="368"/>
      <w:bookmarkStart w:id="369" w:name="_Toc184310325"/>
      <w:bookmarkEnd w:id="369"/>
      <w:bookmarkStart w:id="370" w:name="_Toc184314434"/>
      <w:bookmarkEnd w:id="370"/>
      <w:bookmarkStart w:id="371" w:name="_Toc184312074"/>
      <w:bookmarkEnd w:id="371"/>
      <w:bookmarkStart w:id="372" w:name="_Toc184313307"/>
      <w:bookmarkEnd w:id="372"/>
      <w:bookmarkStart w:id="373" w:name="_Toc184313308"/>
      <w:bookmarkEnd w:id="373"/>
      <w:bookmarkStart w:id="374" w:name="_Toc184312081"/>
      <w:bookmarkEnd w:id="374"/>
      <w:bookmarkStart w:id="375" w:name="_Toc184310277"/>
      <w:bookmarkEnd w:id="375"/>
      <w:bookmarkStart w:id="376" w:name="_Toc184310272"/>
      <w:bookmarkEnd w:id="376"/>
      <w:bookmarkStart w:id="377" w:name="_Toc184314435"/>
      <w:bookmarkEnd w:id="377"/>
      <w:bookmarkStart w:id="378" w:name="_Toc184313250"/>
      <w:bookmarkEnd w:id="378"/>
      <w:bookmarkStart w:id="379" w:name="_Toc184314472"/>
      <w:bookmarkEnd w:id="379"/>
      <w:bookmarkStart w:id="380" w:name="_Toc184310284"/>
      <w:bookmarkEnd w:id="380"/>
      <w:bookmarkStart w:id="381" w:name="_Toc184313269"/>
      <w:bookmarkEnd w:id="381"/>
      <w:bookmarkStart w:id="382" w:name="_Toc184313288"/>
      <w:bookmarkEnd w:id="382"/>
      <w:bookmarkStart w:id="383" w:name="_Toc184312126"/>
      <w:bookmarkEnd w:id="383"/>
      <w:bookmarkStart w:id="384" w:name="_Toc184314426"/>
      <w:bookmarkEnd w:id="384"/>
      <w:bookmarkStart w:id="385" w:name="_Toc184310331"/>
      <w:bookmarkEnd w:id="385"/>
      <w:bookmarkStart w:id="386" w:name="_Toc184310300"/>
      <w:bookmarkEnd w:id="386"/>
      <w:bookmarkStart w:id="387" w:name="_Toc184312086"/>
      <w:bookmarkEnd w:id="387"/>
      <w:bookmarkStart w:id="388" w:name="_Toc184312095"/>
      <w:bookmarkEnd w:id="388"/>
      <w:bookmarkStart w:id="389" w:name="_Toc184308045"/>
      <w:bookmarkEnd w:id="389"/>
      <w:bookmarkStart w:id="390" w:name="_Toc184312067"/>
      <w:bookmarkEnd w:id="390"/>
      <w:bookmarkStart w:id="391" w:name="_Toc184314443"/>
      <w:bookmarkEnd w:id="391"/>
      <w:bookmarkStart w:id="392" w:name="_Toc184313246"/>
      <w:bookmarkEnd w:id="392"/>
      <w:bookmarkStart w:id="393" w:name="_Toc184312100"/>
      <w:bookmarkEnd w:id="393"/>
      <w:bookmarkStart w:id="394" w:name="_Toc184314432"/>
      <w:bookmarkEnd w:id="394"/>
      <w:bookmarkStart w:id="395" w:name="_Toc184312138"/>
      <w:bookmarkEnd w:id="395"/>
      <w:bookmarkStart w:id="396" w:name="_Toc184310298"/>
      <w:bookmarkEnd w:id="396"/>
      <w:bookmarkStart w:id="397" w:name="_Toc184314470"/>
      <w:bookmarkEnd w:id="397"/>
      <w:bookmarkStart w:id="398" w:name="_Toc184312119"/>
      <w:bookmarkEnd w:id="398"/>
      <w:bookmarkStart w:id="399" w:name="_Toc184314411"/>
      <w:bookmarkEnd w:id="399"/>
      <w:bookmarkStart w:id="400" w:name="_Toc184310336"/>
      <w:bookmarkEnd w:id="400"/>
      <w:bookmarkStart w:id="401" w:name="_Toc184313265"/>
      <w:bookmarkEnd w:id="401"/>
      <w:bookmarkStart w:id="402" w:name="_Toc184312092"/>
      <w:bookmarkEnd w:id="402"/>
      <w:bookmarkStart w:id="403" w:name="_Toc184310311"/>
      <w:bookmarkEnd w:id="403"/>
      <w:bookmarkStart w:id="404" w:name="_Toc184310333"/>
      <w:bookmarkEnd w:id="404"/>
      <w:bookmarkStart w:id="405" w:name="_Toc184312075"/>
      <w:bookmarkEnd w:id="405"/>
      <w:bookmarkStart w:id="406" w:name="_Toc184310320"/>
      <w:bookmarkEnd w:id="406"/>
      <w:bookmarkStart w:id="407" w:name="_Toc184310290"/>
      <w:bookmarkEnd w:id="407"/>
      <w:bookmarkStart w:id="408" w:name="_Toc184312124"/>
      <w:bookmarkEnd w:id="408"/>
      <w:bookmarkStart w:id="409" w:name="_Toc184314444"/>
      <w:bookmarkEnd w:id="409"/>
      <w:bookmarkStart w:id="410" w:name="_Toc184310326"/>
      <w:bookmarkEnd w:id="410"/>
      <w:r>
        <w:rPr>
          <w:rFonts w:hint="eastAsia" w:ascii="宋体" w:hAnsi="宋体" w:cs="宋体"/>
          <w:b/>
          <w:color w:val="auto"/>
          <w:sz w:val="36"/>
          <w:szCs w:val="36"/>
          <w:highlight w:val="none"/>
        </w:rPr>
        <w:t>评标办法</w:t>
      </w:r>
    </w:p>
    <w:p w14:paraId="102F5F51">
      <w:pPr>
        <w:bidi w:val="0"/>
        <w:rPr>
          <w:rFonts w:hint="eastAsia"/>
        </w:rPr>
      </w:pPr>
    </w:p>
    <w:p w14:paraId="52F9E126">
      <w:pPr>
        <w:snapToGrid w:val="0"/>
        <w:spacing w:line="360" w:lineRule="auto"/>
        <w:jc w:val="center"/>
        <w:outlineLvl w:val="1"/>
        <w:rPr>
          <w:rFonts w:ascii="宋体" w:hAnsi="宋体" w:cs="宋体"/>
          <w:b/>
          <w:color w:val="auto"/>
          <w:sz w:val="32"/>
          <w:szCs w:val="20"/>
          <w:highlight w:val="none"/>
        </w:rPr>
      </w:pPr>
      <w:r>
        <w:rPr>
          <w:rFonts w:hint="eastAsia" w:ascii="宋体" w:hAnsi="宋体" w:cs="宋体"/>
          <w:b/>
          <w:color w:val="auto"/>
          <w:sz w:val="32"/>
          <w:szCs w:val="20"/>
          <w:highlight w:val="none"/>
        </w:rPr>
        <w:t>评标办法前附表</w:t>
      </w:r>
    </w:p>
    <w:tbl>
      <w:tblPr>
        <w:tblStyle w:val="6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5256"/>
        <w:gridCol w:w="890"/>
        <w:gridCol w:w="1040"/>
        <w:gridCol w:w="1341"/>
      </w:tblGrid>
      <w:tr w14:paraId="6AE7A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atLeast"/>
        </w:trPr>
        <w:tc>
          <w:tcPr>
            <w:tcW w:w="407" w:type="pct"/>
            <w:vAlign w:val="center"/>
          </w:tcPr>
          <w:p w14:paraId="6AFEBBEE">
            <w:pPr>
              <w:snapToGrid w:val="0"/>
              <w:spacing w:line="360" w:lineRule="auto"/>
              <w:jc w:val="center"/>
              <w:rPr>
                <w:rFonts w:cs="仿宋_GB2312" w:asciiTheme="minorEastAsia" w:hAnsiTheme="minorEastAsia" w:eastAsiaTheme="minorEastAsia"/>
                <w:sz w:val="24"/>
                <w:highlight w:val="none"/>
              </w:rPr>
            </w:pPr>
            <w:r>
              <w:rPr>
                <w:rFonts w:hint="eastAsia" w:cs="仿宋_GB2312" w:asciiTheme="minorEastAsia" w:hAnsiTheme="minorEastAsia" w:eastAsiaTheme="minorEastAsia"/>
                <w:sz w:val="24"/>
                <w:highlight w:val="none"/>
              </w:rPr>
              <w:t>序号</w:t>
            </w:r>
          </w:p>
        </w:tc>
        <w:tc>
          <w:tcPr>
            <w:tcW w:w="2830" w:type="pct"/>
            <w:vAlign w:val="center"/>
          </w:tcPr>
          <w:p w14:paraId="40B72125">
            <w:pPr>
              <w:snapToGrid w:val="0"/>
              <w:spacing w:line="360" w:lineRule="auto"/>
              <w:jc w:val="center"/>
              <w:rPr>
                <w:rFonts w:cs="仿宋_GB2312" w:asciiTheme="minorEastAsia" w:hAnsiTheme="minorEastAsia" w:eastAsiaTheme="minorEastAsia"/>
                <w:sz w:val="24"/>
                <w:highlight w:val="none"/>
              </w:rPr>
            </w:pPr>
            <w:r>
              <w:rPr>
                <w:rFonts w:hint="eastAsia" w:cs="仿宋_GB2312" w:asciiTheme="minorEastAsia" w:hAnsiTheme="minorEastAsia" w:eastAsiaTheme="minorEastAsia"/>
                <w:sz w:val="24"/>
                <w:highlight w:val="none"/>
              </w:rPr>
              <w:t>评标标准</w:t>
            </w:r>
          </w:p>
        </w:tc>
        <w:tc>
          <w:tcPr>
            <w:tcW w:w="479" w:type="pct"/>
            <w:vAlign w:val="center"/>
          </w:tcPr>
          <w:p w14:paraId="18199406">
            <w:pPr>
              <w:snapToGrid w:val="0"/>
              <w:spacing w:line="360" w:lineRule="auto"/>
              <w:jc w:val="center"/>
              <w:rPr>
                <w:rFonts w:cs="仿宋_GB2312" w:asciiTheme="minorEastAsia" w:hAnsiTheme="minorEastAsia" w:eastAsiaTheme="minorEastAsia"/>
                <w:sz w:val="24"/>
                <w:highlight w:val="none"/>
              </w:rPr>
            </w:pPr>
            <w:r>
              <w:rPr>
                <w:rFonts w:hint="eastAsia" w:cs="仿宋_GB2312" w:asciiTheme="minorEastAsia" w:hAnsiTheme="minorEastAsia" w:eastAsiaTheme="minorEastAsia"/>
                <w:sz w:val="24"/>
                <w:highlight w:val="none"/>
              </w:rPr>
              <w:t>权重</w:t>
            </w:r>
          </w:p>
        </w:tc>
        <w:tc>
          <w:tcPr>
            <w:tcW w:w="560" w:type="pct"/>
            <w:vAlign w:val="center"/>
          </w:tcPr>
          <w:p w14:paraId="633B5491">
            <w:pPr>
              <w:snapToGrid w:val="0"/>
              <w:spacing w:line="360" w:lineRule="auto"/>
              <w:jc w:val="center"/>
              <w:rPr>
                <w:rFonts w:cs="仿宋_GB2312" w:asciiTheme="minorEastAsia" w:hAnsiTheme="minorEastAsia" w:eastAsiaTheme="minorEastAsia"/>
                <w:bCs/>
                <w:sz w:val="24"/>
                <w:highlight w:val="none"/>
              </w:rPr>
            </w:pPr>
            <w:r>
              <w:rPr>
                <w:rFonts w:hint="eastAsia" w:cs="仿宋_GB2312" w:asciiTheme="minorEastAsia" w:hAnsiTheme="minorEastAsia" w:eastAsiaTheme="minorEastAsia"/>
                <w:bCs/>
                <w:sz w:val="24"/>
                <w:highlight w:val="none"/>
              </w:rPr>
              <w:t>主观分/客观分属性</w:t>
            </w:r>
          </w:p>
        </w:tc>
        <w:tc>
          <w:tcPr>
            <w:tcW w:w="722" w:type="pct"/>
          </w:tcPr>
          <w:p w14:paraId="1E900A80">
            <w:pPr>
              <w:snapToGrid w:val="0"/>
              <w:spacing w:line="360" w:lineRule="auto"/>
              <w:jc w:val="center"/>
              <w:rPr>
                <w:rFonts w:cs="仿宋_GB2312" w:asciiTheme="minorEastAsia" w:hAnsiTheme="minorEastAsia" w:eastAsiaTheme="minorEastAsia"/>
                <w:sz w:val="24"/>
                <w:highlight w:val="none"/>
              </w:rPr>
            </w:pPr>
            <w:r>
              <w:rPr>
                <w:rFonts w:hint="eastAsia" w:cs="仿宋_GB2312" w:asciiTheme="minorEastAsia" w:hAnsiTheme="minorEastAsia" w:eastAsiaTheme="minorEastAsia"/>
                <w:bCs/>
                <w:sz w:val="24"/>
                <w:highlight w:val="none"/>
              </w:rPr>
              <w:t>投标文件中评标标准相应的商务技术资料目录*</w:t>
            </w:r>
          </w:p>
        </w:tc>
      </w:tr>
      <w:tr w14:paraId="4DFC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Align w:val="center"/>
          </w:tcPr>
          <w:p w14:paraId="28077B1C">
            <w:pPr>
              <w:keepNext w:val="0"/>
              <w:keepLines w:val="0"/>
              <w:widowControl/>
              <w:suppressLineNumbers w:val="0"/>
              <w:jc w:val="center"/>
              <w:textAlignment w:val="center"/>
              <w:rPr>
                <w:rFonts w:cs="仿宋_GB2312" w:asciiTheme="minorEastAsia" w:hAnsiTheme="minorEastAsia" w:eastAsiaTheme="minorEastAsia"/>
                <w:sz w:val="24"/>
                <w:highlight w:val="none"/>
              </w:rPr>
            </w:pPr>
            <w:r>
              <w:rPr>
                <w:rFonts w:hint="eastAsia" w:ascii="宋体" w:hAnsi="宋体" w:eastAsia="宋体" w:cs="宋体"/>
                <w:i w:val="0"/>
                <w:iCs w:val="0"/>
                <w:color w:val="000000"/>
                <w:kern w:val="0"/>
                <w:sz w:val="24"/>
                <w:szCs w:val="24"/>
                <w:u w:val="none"/>
                <w:lang w:val="en-US" w:eastAsia="zh-CN" w:bidi="ar"/>
              </w:rPr>
              <w:t>1</w:t>
            </w:r>
          </w:p>
        </w:tc>
        <w:tc>
          <w:tcPr>
            <w:tcW w:w="2830" w:type="pct"/>
            <w:vAlign w:val="center"/>
          </w:tcPr>
          <w:p w14:paraId="68CBBDAB">
            <w:pPr>
              <w:pStyle w:val="258"/>
              <w:ind w:firstLine="0" w:firstLineChars="0"/>
              <w:rPr>
                <w:rFonts w:hint="eastAsia" w:asciiTheme="minorEastAsia" w:hAnsiTheme="minorEastAsia" w:eastAsiaTheme="minorEastAsia" w:cstheme="minorEastAsia"/>
                <w:kern w:val="2"/>
                <w:sz w:val="24"/>
                <w:szCs w:val="24"/>
                <w:highlight w:val="none"/>
                <w:lang w:val="en-US" w:eastAsia="zh-CN" w:bidi="ar-SA"/>
              </w:rPr>
            </w:pPr>
            <w:bookmarkStart w:id="411" w:name="OLE_LINK18"/>
            <w:r>
              <w:rPr>
                <w:rFonts w:hint="eastAsia" w:asciiTheme="minorEastAsia" w:hAnsiTheme="minorEastAsia" w:eastAsiaTheme="minorEastAsia" w:cstheme="minorEastAsia"/>
                <w:kern w:val="2"/>
                <w:sz w:val="24"/>
                <w:szCs w:val="24"/>
                <w:highlight w:val="none"/>
                <w:lang w:val="en-US" w:eastAsia="zh-CN" w:bidi="ar-SA"/>
              </w:rPr>
              <w:t>投标人具有①ISO9001质量管理体系认证证书、②ISO20000信息技术服务管理体系认证证书、③ISO27001信息安全管理体系认证证书、④ISO14001环境管理体系认证证书。</w:t>
            </w:r>
          </w:p>
          <w:p w14:paraId="6931C875">
            <w:pPr>
              <w:pStyle w:val="258"/>
              <w:ind w:firstLine="0" w:firstLineChars="0"/>
              <w:rPr>
                <w:rFonts w:asciiTheme="minorEastAsia" w:hAnsiTheme="minorEastAsia" w:eastAsiaTheme="minorEastAsia" w:cstheme="minorEastAsia"/>
                <w:b/>
                <w:bCs/>
                <w:kern w:val="0"/>
                <w:highlight w:val="none"/>
              </w:rPr>
            </w:pPr>
            <w:r>
              <w:rPr>
                <w:rFonts w:hint="eastAsia" w:asciiTheme="minorEastAsia" w:hAnsiTheme="minorEastAsia" w:eastAsiaTheme="minorEastAsia" w:cstheme="minorEastAsia"/>
                <w:kern w:val="2"/>
                <w:sz w:val="24"/>
                <w:szCs w:val="24"/>
                <w:highlight w:val="none"/>
                <w:lang w:val="en-US" w:eastAsia="zh-CN" w:bidi="ar-SA"/>
              </w:rPr>
              <w:t>以上需提供有效期内的证书扫描件或清晰复印件，每有一个得1分，否则不得分，共4分。</w:t>
            </w:r>
            <w:bookmarkEnd w:id="411"/>
          </w:p>
        </w:tc>
        <w:tc>
          <w:tcPr>
            <w:tcW w:w="479" w:type="pct"/>
            <w:vAlign w:val="center"/>
          </w:tcPr>
          <w:p w14:paraId="2426CC14">
            <w:pPr>
              <w:widowControl/>
              <w:spacing w:line="360" w:lineRule="auto"/>
              <w:jc w:val="center"/>
              <w:textAlignment w:val="center"/>
              <w:rPr>
                <w:rFonts w:hint="eastAsia" w:asciiTheme="minorEastAsia" w:hAnsiTheme="minorEastAsia" w:eastAsiaTheme="minorEastAsia" w:cstheme="minorEastAsia"/>
                <w:b/>
                <w:bCs/>
                <w:kern w:val="0"/>
                <w:sz w:val="24"/>
                <w:highlight w:val="none"/>
                <w:lang w:eastAsia="zh-CN"/>
              </w:rPr>
            </w:pPr>
            <w:r>
              <w:rPr>
                <w:rFonts w:hint="eastAsia" w:asciiTheme="minorEastAsia" w:hAnsiTheme="minorEastAsia" w:eastAsiaTheme="minorEastAsia" w:cstheme="minorEastAsia"/>
                <w:kern w:val="0"/>
                <w:sz w:val="24"/>
                <w:highlight w:val="none"/>
                <w:lang w:val="en-US" w:eastAsia="zh-CN"/>
              </w:rPr>
              <w:t>4</w:t>
            </w:r>
          </w:p>
        </w:tc>
        <w:tc>
          <w:tcPr>
            <w:tcW w:w="560" w:type="pct"/>
            <w:vAlign w:val="center"/>
          </w:tcPr>
          <w:p w14:paraId="0E55EAEC">
            <w:pPr>
              <w:widowControl/>
              <w:spacing w:line="360" w:lineRule="auto"/>
              <w:jc w:val="center"/>
              <w:textAlignment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bCs/>
                <w:sz w:val="24"/>
                <w:highlight w:val="none"/>
              </w:rPr>
              <w:t>客观分</w:t>
            </w:r>
          </w:p>
        </w:tc>
        <w:tc>
          <w:tcPr>
            <w:tcW w:w="722" w:type="pct"/>
            <w:vAlign w:val="center"/>
          </w:tcPr>
          <w:p w14:paraId="783FA83C">
            <w:pPr>
              <w:snapToGrid w:val="0"/>
              <w:spacing w:line="360" w:lineRule="auto"/>
              <w:jc w:val="center"/>
              <w:rPr>
                <w:rFonts w:cs="仿宋_GB2312" w:asciiTheme="minorEastAsia" w:hAnsiTheme="minorEastAsia" w:eastAsiaTheme="minorEastAsia"/>
                <w:sz w:val="24"/>
                <w:highlight w:val="none"/>
              </w:rPr>
            </w:pPr>
            <w:r>
              <w:rPr>
                <w:rFonts w:hint="eastAsia" w:cs="仿宋_GB2312" w:asciiTheme="minorEastAsia" w:hAnsiTheme="minorEastAsia" w:eastAsiaTheme="minorEastAsia"/>
                <w:sz w:val="24"/>
                <w:highlight w:val="none"/>
              </w:rPr>
              <w:t>投标人资信</w:t>
            </w:r>
          </w:p>
        </w:tc>
      </w:tr>
      <w:tr w14:paraId="629F8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407" w:type="pct"/>
            <w:vAlign w:val="center"/>
          </w:tcPr>
          <w:p w14:paraId="4431E439">
            <w:pPr>
              <w:keepNext w:val="0"/>
              <w:keepLines w:val="0"/>
              <w:widowControl/>
              <w:suppressLineNumbers w:val="0"/>
              <w:jc w:val="center"/>
              <w:textAlignment w:val="center"/>
              <w:rPr>
                <w:rFonts w:cs="仿宋_GB2312" w:asciiTheme="minorEastAsia" w:hAnsiTheme="minorEastAsia" w:eastAsiaTheme="minorEastAsia"/>
                <w:sz w:val="24"/>
                <w:highlight w:val="none"/>
              </w:rPr>
            </w:pPr>
            <w:r>
              <w:rPr>
                <w:rFonts w:hint="eastAsia" w:ascii="宋体" w:hAnsi="宋体" w:eastAsia="宋体" w:cs="宋体"/>
                <w:i w:val="0"/>
                <w:iCs w:val="0"/>
                <w:color w:val="000000"/>
                <w:kern w:val="0"/>
                <w:sz w:val="24"/>
                <w:szCs w:val="24"/>
                <w:u w:val="none"/>
                <w:lang w:val="en-US" w:eastAsia="zh-CN" w:bidi="ar"/>
              </w:rPr>
              <w:t>2</w:t>
            </w:r>
          </w:p>
        </w:tc>
        <w:tc>
          <w:tcPr>
            <w:tcW w:w="2830" w:type="pct"/>
            <w:vAlign w:val="center"/>
          </w:tcPr>
          <w:p w14:paraId="62B9560F">
            <w:pPr>
              <w:spacing w:line="360" w:lineRule="auto"/>
              <w:rPr>
                <w:rFonts w:asciiTheme="minorEastAsia" w:hAnsiTheme="minorEastAsia" w:eastAsiaTheme="minorEastAsia" w:cstheme="minorEastAsia"/>
                <w:sz w:val="24"/>
                <w:highlight w:val="none"/>
              </w:rPr>
            </w:pPr>
            <w:bookmarkStart w:id="412" w:name="OLE_LINK2"/>
            <w:r>
              <w:rPr>
                <w:rFonts w:hint="eastAsia" w:asciiTheme="minorEastAsia" w:hAnsiTheme="minorEastAsia" w:eastAsiaTheme="minorEastAsia" w:cstheme="minorEastAsia"/>
                <w:sz w:val="24"/>
                <w:highlight w:val="none"/>
              </w:rPr>
              <w:t>投标人</w:t>
            </w:r>
            <w:r>
              <w:rPr>
                <w:rFonts w:hint="eastAsia" w:asciiTheme="minorEastAsia" w:hAnsiTheme="minorEastAsia" w:eastAsiaTheme="minorEastAsia" w:cstheme="minorEastAsia"/>
                <w:sz w:val="24"/>
                <w:highlight w:val="none"/>
                <w:lang w:val="en-US" w:eastAsia="zh-CN"/>
              </w:rPr>
              <w:t>自</w:t>
            </w:r>
            <w:r>
              <w:rPr>
                <w:rFonts w:hint="eastAsia" w:asciiTheme="minorEastAsia" w:hAnsiTheme="minorEastAsia" w:eastAsiaTheme="minorEastAsia" w:cstheme="minorEastAsia"/>
                <w:sz w:val="24"/>
                <w:highlight w:val="none"/>
              </w:rPr>
              <w:t>2021年1月1日起至开标时间止（以合同签订时间为准）</w:t>
            </w:r>
            <w:r>
              <w:rPr>
                <w:rFonts w:hint="eastAsia" w:asciiTheme="minorEastAsia" w:hAnsiTheme="minorEastAsia" w:eastAsiaTheme="minorEastAsia" w:cstheme="minorEastAsia"/>
                <w:sz w:val="24"/>
                <w:highlight w:val="none"/>
                <w:lang w:val="en-US" w:eastAsia="zh-CN"/>
              </w:rPr>
              <w:t>承接过</w:t>
            </w:r>
            <w:r>
              <w:rPr>
                <w:rFonts w:hint="eastAsia" w:asciiTheme="minorEastAsia" w:hAnsiTheme="minorEastAsia" w:eastAsiaTheme="minorEastAsia" w:cstheme="minorEastAsia"/>
                <w:sz w:val="24"/>
                <w:highlight w:val="none"/>
              </w:rPr>
              <w:t>同类案例（台式计算机</w:t>
            </w:r>
            <w:r>
              <w:rPr>
                <w:rFonts w:hint="eastAsia" w:asciiTheme="minorEastAsia" w:hAnsiTheme="minorEastAsia" w:eastAsiaTheme="minorEastAsia" w:cstheme="minorEastAsia"/>
                <w:sz w:val="24"/>
                <w:highlight w:val="none"/>
                <w:lang w:eastAsia="zh-CN"/>
              </w:rPr>
              <w:t>或便携式计算机</w:t>
            </w:r>
            <w:r>
              <w:rPr>
                <w:rFonts w:hint="eastAsia" w:asciiTheme="minorEastAsia" w:hAnsiTheme="minorEastAsia" w:eastAsiaTheme="minorEastAsia" w:cstheme="minorEastAsia"/>
                <w:sz w:val="24"/>
                <w:highlight w:val="none"/>
              </w:rPr>
              <w:t>），每个案例</w:t>
            </w:r>
            <w:bookmarkStart w:id="413" w:name="OLE_LINK1"/>
            <w:r>
              <w:rPr>
                <w:rFonts w:hint="eastAsia" w:asciiTheme="minorEastAsia" w:hAnsiTheme="minorEastAsia" w:eastAsiaTheme="minorEastAsia" w:cstheme="minorEastAsia"/>
                <w:sz w:val="24"/>
                <w:highlight w:val="none"/>
              </w:rPr>
              <w:t>需提供合同以及验收报告（验收报告必</w:t>
            </w:r>
            <w:r>
              <w:rPr>
                <w:rFonts w:hint="eastAsia" w:asciiTheme="minorEastAsia" w:hAnsiTheme="minorEastAsia" w:eastAsiaTheme="minorEastAsia" w:cstheme="minorEastAsia"/>
                <w:spacing w:val="-6"/>
                <w:sz w:val="24"/>
                <w:highlight w:val="none"/>
              </w:rPr>
              <w:t>须用户单位盖章），每个案例得</w:t>
            </w:r>
            <w:r>
              <w:rPr>
                <w:rFonts w:hint="eastAsia" w:asciiTheme="minorEastAsia" w:hAnsiTheme="minorEastAsia" w:eastAsiaTheme="minorEastAsia" w:cstheme="minorEastAsia"/>
                <w:spacing w:val="-6"/>
                <w:sz w:val="24"/>
                <w:highlight w:val="none"/>
                <w:lang w:val="en-US" w:eastAsia="zh-CN"/>
              </w:rPr>
              <w:t>1</w:t>
            </w:r>
            <w:r>
              <w:rPr>
                <w:rFonts w:hint="eastAsia" w:asciiTheme="minorEastAsia" w:hAnsiTheme="minorEastAsia" w:eastAsiaTheme="minorEastAsia" w:cstheme="minorEastAsia"/>
                <w:spacing w:val="-6"/>
                <w:sz w:val="24"/>
                <w:highlight w:val="none"/>
              </w:rPr>
              <w:t>分，最高得3分。</w:t>
            </w:r>
            <w:bookmarkEnd w:id="412"/>
            <w:bookmarkEnd w:id="413"/>
          </w:p>
        </w:tc>
        <w:tc>
          <w:tcPr>
            <w:tcW w:w="479" w:type="pct"/>
            <w:vAlign w:val="center"/>
          </w:tcPr>
          <w:p w14:paraId="121B2AF4">
            <w:pPr>
              <w:spacing w:line="360" w:lineRule="auto"/>
              <w:jc w:val="center"/>
              <w:rPr>
                <w:rFonts w:hint="eastAsia" w:asciiTheme="minorEastAsia" w:hAnsiTheme="minorEastAsia" w:eastAsiaTheme="minorEastAsia" w:cstheme="minorEastAsia"/>
                <w:bCs/>
                <w:sz w:val="24"/>
                <w:highlight w:val="none"/>
                <w:lang w:eastAsia="zh-CN"/>
              </w:rPr>
            </w:pPr>
            <w:r>
              <w:rPr>
                <w:rFonts w:hint="eastAsia" w:asciiTheme="minorEastAsia" w:hAnsiTheme="minorEastAsia" w:eastAsiaTheme="minorEastAsia" w:cstheme="minorEastAsia"/>
                <w:bCs/>
                <w:sz w:val="24"/>
                <w:highlight w:val="none"/>
                <w:lang w:val="en-US" w:eastAsia="zh-CN"/>
              </w:rPr>
              <w:t>3</w:t>
            </w:r>
          </w:p>
        </w:tc>
        <w:tc>
          <w:tcPr>
            <w:tcW w:w="560" w:type="pct"/>
            <w:vAlign w:val="center"/>
          </w:tcPr>
          <w:p w14:paraId="2C86FB29">
            <w:pPr>
              <w:spacing w:line="360" w:lineRule="auto"/>
              <w:jc w:val="center"/>
              <w:rPr>
                <w:rFonts w:asciiTheme="minorEastAsia" w:hAnsiTheme="minorEastAsia" w:eastAsiaTheme="minorEastAsia" w:cstheme="minorEastAsia"/>
                <w:bCs/>
                <w:sz w:val="24"/>
                <w:highlight w:val="none"/>
              </w:rPr>
            </w:pPr>
            <w:r>
              <w:rPr>
                <w:rFonts w:hint="eastAsia" w:asciiTheme="minorEastAsia" w:hAnsiTheme="minorEastAsia" w:eastAsiaTheme="minorEastAsia" w:cstheme="minorEastAsia"/>
                <w:bCs/>
                <w:sz w:val="24"/>
                <w:highlight w:val="none"/>
              </w:rPr>
              <w:t>客观分</w:t>
            </w:r>
          </w:p>
        </w:tc>
        <w:tc>
          <w:tcPr>
            <w:tcW w:w="722" w:type="pct"/>
            <w:vAlign w:val="center"/>
          </w:tcPr>
          <w:p w14:paraId="423411CD">
            <w:pPr>
              <w:snapToGrid w:val="0"/>
              <w:spacing w:line="360" w:lineRule="auto"/>
              <w:jc w:val="center"/>
              <w:rPr>
                <w:rFonts w:cs="仿宋_GB2312" w:asciiTheme="minorEastAsia" w:hAnsiTheme="minorEastAsia" w:eastAsiaTheme="minorEastAsia"/>
                <w:sz w:val="24"/>
                <w:highlight w:val="none"/>
              </w:rPr>
            </w:pPr>
            <w:r>
              <w:rPr>
                <w:rFonts w:hint="eastAsia" w:cs="仿宋_GB2312" w:asciiTheme="minorEastAsia" w:hAnsiTheme="minorEastAsia" w:eastAsiaTheme="minorEastAsia"/>
                <w:sz w:val="24"/>
                <w:highlight w:val="none"/>
              </w:rPr>
              <w:t>类似项目情况</w:t>
            </w:r>
          </w:p>
        </w:tc>
      </w:tr>
      <w:tr w14:paraId="37A7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Align w:val="center"/>
          </w:tcPr>
          <w:p w14:paraId="0BB5A51E">
            <w:pPr>
              <w:keepNext w:val="0"/>
              <w:keepLines w:val="0"/>
              <w:widowControl/>
              <w:suppressLineNumbers w:val="0"/>
              <w:jc w:val="center"/>
              <w:textAlignment w:val="center"/>
              <w:rPr>
                <w:rFonts w:cs="仿宋_GB2312" w:asciiTheme="minorEastAsia" w:hAnsiTheme="minorEastAsia" w:eastAsiaTheme="minorEastAsia"/>
                <w:sz w:val="24"/>
                <w:highlight w:val="none"/>
              </w:rPr>
            </w:pPr>
            <w:r>
              <w:rPr>
                <w:rFonts w:hint="eastAsia" w:ascii="宋体" w:hAnsi="宋体" w:eastAsia="宋体" w:cs="宋体"/>
                <w:i w:val="0"/>
                <w:iCs w:val="0"/>
                <w:color w:val="000000"/>
                <w:kern w:val="0"/>
                <w:sz w:val="24"/>
                <w:szCs w:val="24"/>
                <w:u w:val="none"/>
                <w:lang w:val="en-US" w:eastAsia="zh-CN" w:bidi="ar"/>
              </w:rPr>
              <w:t>3</w:t>
            </w:r>
          </w:p>
        </w:tc>
        <w:tc>
          <w:tcPr>
            <w:tcW w:w="2830" w:type="pct"/>
            <w:vAlign w:val="center"/>
          </w:tcPr>
          <w:p w14:paraId="3B20D992">
            <w:pPr>
              <w:spacing w:line="360" w:lineRule="auto"/>
              <w:rPr>
                <w:rFonts w:asciiTheme="minorEastAsia" w:hAnsiTheme="minorEastAsia" w:eastAsiaTheme="minorEastAsia" w:cstheme="minorEastAsia"/>
                <w:sz w:val="24"/>
                <w:highlight w:val="none"/>
              </w:rPr>
            </w:pPr>
            <w:bookmarkStart w:id="414" w:name="OLE_LINK6"/>
            <w:r>
              <w:rPr>
                <w:rFonts w:hint="eastAsia" w:asciiTheme="minorEastAsia" w:hAnsiTheme="minorEastAsia" w:eastAsiaTheme="minorEastAsia" w:cstheme="minorEastAsia"/>
                <w:sz w:val="24"/>
                <w:highlight w:val="none"/>
              </w:rPr>
              <w:t>投标产品的技术指标的吻合程度和偏差情况（包括所投标产品的规格型号、详细配置、主要技术参数、随机软件、证明材料、产品售后等），满足采购文件技术指标的得基准分</w:t>
            </w:r>
            <w:r>
              <w:rPr>
                <w:rFonts w:hint="eastAsia" w:asciiTheme="minorEastAsia" w:hAnsiTheme="minorEastAsia" w:eastAsiaTheme="minorEastAsia" w:cstheme="minorEastAsia"/>
                <w:sz w:val="24"/>
                <w:highlight w:val="none"/>
                <w:lang w:val="en-US" w:eastAsia="zh-CN"/>
              </w:rPr>
              <w:t>30</w:t>
            </w:r>
            <w:r>
              <w:rPr>
                <w:rFonts w:hint="eastAsia" w:asciiTheme="minorEastAsia" w:hAnsiTheme="minorEastAsia" w:eastAsiaTheme="minorEastAsia" w:cstheme="minorEastAsia"/>
                <w:sz w:val="24"/>
                <w:highlight w:val="none"/>
              </w:rPr>
              <w:t>分，带“▲”为实际业务需要，不得出现负偏离，否则做无效标处理，对其他参数或功能要求负偏离或未响应的每项扣</w:t>
            </w:r>
            <w:r>
              <w:rPr>
                <w:rFonts w:hint="eastAsia" w:asciiTheme="minorEastAsia" w:hAnsiTheme="minorEastAsia" w:eastAsiaTheme="minorEastAsia" w:cstheme="minorEastAsia"/>
                <w:sz w:val="24"/>
                <w:highlight w:val="none"/>
                <w:lang w:val="en-US" w:eastAsia="zh-CN"/>
              </w:rPr>
              <w:t>1</w:t>
            </w:r>
            <w:r>
              <w:rPr>
                <w:rFonts w:hint="eastAsia" w:asciiTheme="minorEastAsia" w:hAnsiTheme="minorEastAsia" w:eastAsiaTheme="minorEastAsia" w:cstheme="minorEastAsia"/>
                <w:sz w:val="24"/>
                <w:highlight w:val="none"/>
              </w:rPr>
              <w:t>分。共</w:t>
            </w:r>
            <w:r>
              <w:rPr>
                <w:rFonts w:hint="eastAsia" w:asciiTheme="minorEastAsia" w:hAnsiTheme="minorEastAsia" w:eastAsiaTheme="minorEastAsia" w:cstheme="minorEastAsia"/>
                <w:sz w:val="24"/>
                <w:highlight w:val="none"/>
                <w:lang w:val="en-US" w:eastAsia="zh-CN"/>
              </w:rPr>
              <w:t>30</w:t>
            </w:r>
            <w:r>
              <w:rPr>
                <w:rFonts w:hint="eastAsia" w:asciiTheme="minorEastAsia" w:hAnsiTheme="minorEastAsia" w:eastAsiaTheme="minorEastAsia" w:cstheme="minorEastAsia"/>
                <w:sz w:val="24"/>
                <w:highlight w:val="none"/>
              </w:rPr>
              <w:t>分。</w:t>
            </w:r>
          </w:p>
          <w:p w14:paraId="28DBD07C">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注：</w:t>
            </w:r>
            <w:r>
              <w:rPr>
                <w:rFonts w:hint="eastAsia" w:asciiTheme="minorEastAsia" w:hAnsiTheme="minorEastAsia" w:eastAsiaTheme="minorEastAsia" w:cstheme="minorEastAsia"/>
                <w:sz w:val="24"/>
                <w:highlight w:val="none"/>
                <w:lang w:eastAsia="zh-CN"/>
              </w:rPr>
              <w:t>若</w:t>
            </w:r>
            <w:r>
              <w:rPr>
                <w:rFonts w:hint="eastAsia" w:asciiTheme="minorEastAsia" w:hAnsiTheme="minorEastAsia" w:eastAsiaTheme="minorEastAsia" w:cstheme="minorEastAsia"/>
                <w:sz w:val="24"/>
                <w:highlight w:val="none"/>
              </w:rPr>
              <w:t>要求提供测试报告复印件、证书复印件等证明材料而未提供视作一项负偏离。</w:t>
            </w:r>
            <w:bookmarkEnd w:id="414"/>
          </w:p>
        </w:tc>
        <w:tc>
          <w:tcPr>
            <w:tcW w:w="479" w:type="pct"/>
            <w:vAlign w:val="center"/>
          </w:tcPr>
          <w:p w14:paraId="2ED99DEB">
            <w:pPr>
              <w:spacing w:line="360" w:lineRule="auto"/>
              <w:jc w:val="center"/>
              <w:rPr>
                <w:rFonts w:hint="default" w:asciiTheme="minorEastAsia" w:hAnsiTheme="minorEastAsia" w:eastAsiaTheme="minorEastAsia" w:cstheme="minorEastAsia"/>
                <w:sz w:val="32"/>
                <w:szCs w:val="32"/>
                <w:highlight w:val="none"/>
                <w:lang w:val="en-US" w:eastAsia="zh-CN"/>
              </w:rPr>
            </w:pPr>
            <w:r>
              <w:rPr>
                <w:rFonts w:hint="eastAsia" w:asciiTheme="minorEastAsia" w:hAnsiTheme="minorEastAsia" w:eastAsiaTheme="minorEastAsia" w:cstheme="minorEastAsia"/>
                <w:sz w:val="24"/>
                <w:highlight w:val="none"/>
                <w:lang w:val="en-US" w:eastAsia="zh-CN"/>
              </w:rPr>
              <w:t>30</w:t>
            </w:r>
          </w:p>
        </w:tc>
        <w:tc>
          <w:tcPr>
            <w:tcW w:w="560" w:type="pct"/>
            <w:vAlign w:val="center"/>
          </w:tcPr>
          <w:p w14:paraId="485F1B9F">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bCs/>
                <w:sz w:val="24"/>
                <w:highlight w:val="none"/>
              </w:rPr>
              <w:t>客观分</w:t>
            </w:r>
          </w:p>
        </w:tc>
        <w:tc>
          <w:tcPr>
            <w:tcW w:w="722" w:type="pct"/>
            <w:vAlign w:val="center"/>
          </w:tcPr>
          <w:p w14:paraId="7094C616">
            <w:pPr>
              <w:snapToGrid w:val="0"/>
              <w:spacing w:line="360" w:lineRule="auto"/>
              <w:jc w:val="center"/>
              <w:rPr>
                <w:rFonts w:cs="仿宋_GB2312" w:asciiTheme="minorEastAsia" w:hAnsiTheme="minorEastAsia" w:eastAsiaTheme="minorEastAsia"/>
                <w:sz w:val="24"/>
                <w:highlight w:val="none"/>
              </w:rPr>
            </w:pPr>
            <w:r>
              <w:rPr>
                <w:rFonts w:hint="eastAsia" w:cs="仿宋_GB2312" w:asciiTheme="minorEastAsia" w:hAnsiTheme="minorEastAsia" w:eastAsiaTheme="minorEastAsia"/>
                <w:sz w:val="24"/>
                <w:highlight w:val="none"/>
              </w:rPr>
              <w:t>投标产品情况</w:t>
            </w:r>
          </w:p>
        </w:tc>
      </w:tr>
      <w:tr w14:paraId="01293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Align w:val="center"/>
          </w:tcPr>
          <w:p w14:paraId="10F26689">
            <w:pPr>
              <w:keepNext w:val="0"/>
              <w:keepLines w:val="0"/>
              <w:widowControl/>
              <w:suppressLineNumbers w:val="0"/>
              <w:jc w:val="center"/>
              <w:textAlignment w:val="center"/>
              <w:rPr>
                <w:rFonts w:cs="仿宋_GB2312" w:asciiTheme="minorEastAsia" w:hAnsiTheme="minorEastAsia" w:eastAsiaTheme="minorEastAsia"/>
                <w:sz w:val="24"/>
                <w:highlight w:val="none"/>
              </w:rPr>
            </w:pPr>
            <w:r>
              <w:rPr>
                <w:rFonts w:hint="eastAsia" w:ascii="宋体" w:hAnsi="宋体" w:eastAsia="宋体" w:cs="宋体"/>
                <w:i w:val="0"/>
                <w:iCs w:val="0"/>
                <w:color w:val="000000"/>
                <w:kern w:val="0"/>
                <w:sz w:val="24"/>
                <w:szCs w:val="24"/>
                <w:u w:val="none"/>
                <w:lang w:val="en-US" w:eastAsia="zh-CN" w:bidi="ar"/>
              </w:rPr>
              <w:t>4</w:t>
            </w:r>
          </w:p>
        </w:tc>
        <w:tc>
          <w:tcPr>
            <w:tcW w:w="2830" w:type="pct"/>
            <w:vAlign w:val="center"/>
          </w:tcPr>
          <w:p w14:paraId="741DCDE5">
            <w:pPr>
              <w:spacing w:line="360" w:lineRule="auto"/>
              <w:rPr>
                <w:rFonts w:asciiTheme="minorEastAsia" w:hAnsiTheme="minorEastAsia" w:eastAsiaTheme="minorEastAsia" w:cstheme="minorEastAsia"/>
                <w:sz w:val="24"/>
                <w:highlight w:val="none"/>
              </w:rPr>
            </w:pPr>
            <w:bookmarkStart w:id="415" w:name="OLE_LINK8"/>
            <w:r>
              <w:rPr>
                <w:rFonts w:hint="eastAsia" w:asciiTheme="minorEastAsia" w:hAnsiTheme="minorEastAsia" w:eastAsiaTheme="minorEastAsia" w:cstheme="minorEastAsia"/>
                <w:b w:val="0"/>
                <w:bCs w:val="0"/>
                <w:color w:val="auto"/>
                <w:kern w:val="2"/>
                <w:sz w:val="24"/>
                <w:szCs w:val="24"/>
                <w:highlight w:val="none"/>
                <w:lang w:val="en-US" w:eastAsia="zh-CN" w:bidi="ar-SA"/>
              </w:rPr>
              <w:t>品控管理方案。投标人对产品品质有管理管控过程。交货前，需对交货前产品进行安检以满足本项目要求。方案内容完整、满足采购需求视为符合，全部符合得5分，基本符合得3分，部分符合得1分，不符合或未提供不得分。共5分。</w:t>
            </w:r>
            <w:bookmarkEnd w:id="415"/>
          </w:p>
        </w:tc>
        <w:tc>
          <w:tcPr>
            <w:tcW w:w="479" w:type="pct"/>
            <w:vAlign w:val="center"/>
          </w:tcPr>
          <w:p w14:paraId="63523F98">
            <w:pPr>
              <w:spacing w:line="360" w:lineRule="auto"/>
              <w:jc w:val="center"/>
              <w:rPr>
                <w:rFonts w:hint="eastAsia" w:asciiTheme="minorEastAsia" w:hAnsiTheme="minorEastAsia" w:eastAsiaTheme="minorEastAsia" w:cstheme="minorEastAsia"/>
                <w:sz w:val="24"/>
                <w:highlight w:val="none"/>
                <w:lang w:eastAsia="zh"/>
              </w:rPr>
            </w:pPr>
            <w:r>
              <w:rPr>
                <w:rFonts w:hint="eastAsia" w:asciiTheme="minorEastAsia" w:hAnsiTheme="minorEastAsia" w:eastAsiaTheme="minorEastAsia" w:cstheme="minorEastAsia"/>
                <w:sz w:val="24"/>
                <w:highlight w:val="none"/>
                <w:lang w:eastAsia="zh"/>
              </w:rPr>
              <w:t>5</w:t>
            </w:r>
          </w:p>
        </w:tc>
        <w:tc>
          <w:tcPr>
            <w:tcW w:w="560" w:type="pct"/>
            <w:vAlign w:val="center"/>
          </w:tcPr>
          <w:p w14:paraId="58D6780A">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主观分</w:t>
            </w:r>
          </w:p>
        </w:tc>
        <w:tc>
          <w:tcPr>
            <w:tcW w:w="722" w:type="pct"/>
            <w:vAlign w:val="center"/>
          </w:tcPr>
          <w:p w14:paraId="348337DF">
            <w:pPr>
              <w:snapToGrid w:val="0"/>
              <w:spacing w:line="360" w:lineRule="auto"/>
              <w:jc w:val="center"/>
              <w:rPr>
                <w:rFonts w:cs="仿宋_GB2312" w:asciiTheme="minorEastAsia" w:hAnsiTheme="minorEastAsia" w:eastAsiaTheme="minorEastAsia"/>
                <w:sz w:val="24"/>
                <w:highlight w:val="none"/>
              </w:rPr>
            </w:pPr>
            <w:r>
              <w:rPr>
                <w:rFonts w:hint="eastAsia" w:asciiTheme="minorEastAsia" w:hAnsiTheme="minorEastAsia" w:eastAsiaTheme="minorEastAsia" w:cstheme="minorEastAsia"/>
                <w:color w:val="auto"/>
                <w:kern w:val="2"/>
                <w:sz w:val="24"/>
                <w:szCs w:val="24"/>
                <w:highlight w:val="none"/>
                <w:lang w:val="en-US" w:eastAsia="zh-CN" w:bidi="ar-SA"/>
              </w:rPr>
              <w:t>品控管理方案</w:t>
            </w:r>
          </w:p>
        </w:tc>
      </w:tr>
      <w:tr w14:paraId="1CEB1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Align w:val="center"/>
          </w:tcPr>
          <w:p w14:paraId="01D50004">
            <w:pPr>
              <w:keepNext w:val="0"/>
              <w:keepLines w:val="0"/>
              <w:widowControl/>
              <w:suppressLineNumbers w:val="0"/>
              <w:jc w:val="center"/>
              <w:textAlignment w:val="center"/>
              <w:rPr>
                <w:rFonts w:cs="仿宋_GB2312" w:asciiTheme="minorEastAsia" w:hAnsiTheme="minorEastAsia" w:eastAsiaTheme="minorEastAsia"/>
                <w:sz w:val="24"/>
                <w:highlight w:val="none"/>
              </w:rPr>
            </w:pPr>
            <w:r>
              <w:rPr>
                <w:rFonts w:hint="eastAsia" w:ascii="宋体" w:hAnsi="宋体" w:eastAsia="宋体" w:cs="宋体"/>
                <w:i w:val="0"/>
                <w:iCs w:val="0"/>
                <w:color w:val="000000"/>
                <w:kern w:val="0"/>
                <w:sz w:val="24"/>
                <w:szCs w:val="24"/>
                <w:u w:val="none"/>
                <w:lang w:val="en-US" w:eastAsia="zh-CN" w:bidi="ar"/>
              </w:rPr>
              <w:t>5</w:t>
            </w:r>
          </w:p>
        </w:tc>
        <w:tc>
          <w:tcPr>
            <w:tcW w:w="2830" w:type="pct"/>
            <w:vAlign w:val="center"/>
          </w:tcPr>
          <w:p w14:paraId="14247062">
            <w:pPr>
              <w:widowControl/>
              <w:spacing w:line="360" w:lineRule="auto"/>
              <w:textAlignment w:val="center"/>
              <w:rPr>
                <w:rFonts w:asciiTheme="minorEastAsia" w:hAnsiTheme="minorEastAsia" w:eastAsiaTheme="minorEastAsia" w:cstheme="minorEastAsia"/>
                <w:sz w:val="24"/>
                <w:highlight w:val="none"/>
              </w:rPr>
            </w:pPr>
            <w:bookmarkStart w:id="416" w:name="OLE_LINK9"/>
            <w:r>
              <w:rPr>
                <w:rFonts w:hint="eastAsia" w:asciiTheme="minorEastAsia" w:hAnsiTheme="minorEastAsia" w:eastAsiaTheme="minorEastAsia" w:cstheme="minorEastAsia"/>
                <w:sz w:val="24"/>
                <w:highlight w:val="none"/>
              </w:rPr>
              <w:t>项目实施方案。投标人提出合理的项目整体实施方案，包括项目交付工期</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送货安装时间、人员安排、设备调试等情况</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方案完整、合理、满足采购需求，组织机构健全，项目实施职责明确，能按照项目分解节点的视为符合要求，全部符合得</w:t>
            </w:r>
            <w:r>
              <w:rPr>
                <w:rFonts w:hint="eastAsia" w:asciiTheme="minorEastAsia" w:hAnsiTheme="minorEastAsia" w:eastAsiaTheme="minorEastAsia" w:cstheme="minorEastAsia"/>
                <w:sz w:val="24"/>
                <w:highlight w:val="none"/>
                <w:lang w:val="en-US" w:eastAsia="zh-CN"/>
              </w:rPr>
              <w:t>5</w:t>
            </w:r>
            <w:r>
              <w:rPr>
                <w:rFonts w:hint="eastAsia" w:asciiTheme="minorEastAsia" w:hAnsiTheme="minorEastAsia" w:eastAsiaTheme="minorEastAsia" w:cstheme="minorEastAsia"/>
                <w:sz w:val="24"/>
                <w:highlight w:val="none"/>
              </w:rPr>
              <w:t>分，基本符合得3分，部分符合得1分，不符合或未提供不得分。共</w:t>
            </w:r>
            <w:r>
              <w:rPr>
                <w:rFonts w:hint="eastAsia" w:asciiTheme="minorEastAsia" w:hAnsiTheme="minorEastAsia" w:eastAsiaTheme="minorEastAsia" w:cstheme="minorEastAsia"/>
                <w:sz w:val="24"/>
                <w:highlight w:val="none"/>
                <w:lang w:val="en-US" w:eastAsia="zh-CN"/>
              </w:rPr>
              <w:t>5</w:t>
            </w:r>
            <w:r>
              <w:rPr>
                <w:rFonts w:hint="eastAsia" w:asciiTheme="minorEastAsia" w:hAnsiTheme="minorEastAsia" w:eastAsiaTheme="minorEastAsia" w:cstheme="minorEastAsia"/>
                <w:sz w:val="24"/>
                <w:highlight w:val="none"/>
              </w:rPr>
              <w:t>分。</w:t>
            </w:r>
            <w:bookmarkEnd w:id="416"/>
          </w:p>
        </w:tc>
        <w:tc>
          <w:tcPr>
            <w:tcW w:w="479" w:type="pct"/>
            <w:vAlign w:val="center"/>
          </w:tcPr>
          <w:p w14:paraId="3696FB76">
            <w:pPr>
              <w:spacing w:line="360" w:lineRule="auto"/>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val="en-US" w:eastAsia="zh-CN"/>
              </w:rPr>
              <w:t>5</w:t>
            </w:r>
          </w:p>
        </w:tc>
        <w:tc>
          <w:tcPr>
            <w:tcW w:w="560" w:type="pct"/>
            <w:vAlign w:val="center"/>
          </w:tcPr>
          <w:p w14:paraId="486E2E4F">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主观分</w:t>
            </w:r>
          </w:p>
        </w:tc>
        <w:tc>
          <w:tcPr>
            <w:tcW w:w="722" w:type="pct"/>
            <w:vAlign w:val="center"/>
          </w:tcPr>
          <w:p w14:paraId="45A026E3">
            <w:pPr>
              <w:snapToGrid w:val="0"/>
              <w:spacing w:line="360" w:lineRule="auto"/>
              <w:jc w:val="center"/>
              <w:rPr>
                <w:rFonts w:cs="仿宋_GB2312" w:asciiTheme="minorEastAsia" w:hAnsiTheme="minorEastAsia" w:eastAsiaTheme="minorEastAsia"/>
                <w:sz w:val="24"/>
                <w:highlight w:val="none"/>
              </w:rPr>
            </w:pPr>
            <w:r>
              <w:rPr>
                <w:rFonts w:hint="eastAsia" w:ascii="宋体" w:hAnsi="宋体" w:cs="仿宋"/>
                <w:kern w:val="0"/>
                <w:sz w:val="24"/>
                <w:highlight w:val="none"/>
                <w:lang w:bidi="ar"/>
              </w:rPr>
              <w:t>项目实施方案</w:t>
            </w:r>
          </w:p>
        </w:tc>
      </w:tr>
      <w:tr w14:paraId="4A06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Align w:val="center"/>
          </w:tcPr>
          <w:p w14:paraId="668B7E61">
            <w:pPr>
              <w:keepNext w:val="0"/>
              <w:keepLines w:val="0"/>
              <w:widowControl/>
              <w:suppressLineNumbers w:val="0"/>
              <w:jc w:val="center"/>
              <w:textAlignment w:val="center"/>
              <w:rPr>
                <w:rFonts w:cs="仿宋_GB2312" w:asciiTheme="minorEastAsia" w:hAnsiTheme="minorEastAsia" w:eastAsiaTheme="minorEastAsia"/>
                <w:sz w:val="24"/>
                <w:highlight w:val="none"/>
              </w:rPr>
            </w:pPr>
            <w:r>
              <w:rPr>
                <w:rFonts w:hint="eastAsia" w:ascii="宋体" w:hAnsi="宋体" w:cs="宋体"/>
                <w:i w:val="0"/>
                <w:iCs w:val="0"/>
                <w:color w:val="000000"/>
                <w:kern w:val="0"/>
                <w:sz w:val="24"/>
                <w:szCs w:val="24"/>
                <w:u w:val="none"/>
                <w:lang w:val="en-US" w:eastAsia="zh-CN" w:bidi="ar"/>
              </w:rPr>
              <w:t>6</w:t>
            </w:r>
          </w:p>
        </w:tc>
        <w:tc>
          <w:tcPr>
            <w:tcW w:w="2830" w:type="pct"/>
            <w:vAlign w:val="center"/>
          </w:tcPr>
          <w:p w14:paraId="5372C334">
            <w:pPr>
              <w:widowControl/>
              <w:spacing w:line="360" w:lineRule="auto"/>
              <w:textAlignment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项目团队情况（投标人满足以下要求）：</w:t>
            </w:r>
          </w:p>
          <w:p w14:paraId="67B40C0F">
            <w:pPr>
              <w:widowControl/>
              <w:spacing w:line="360" w:lineRule="auto"/>
              <w:textAlignment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（1）项目负责人要求具有：提供人社部门颁发的系统</w:t>
            </w:r>
            <w:r>
              <w:rPr>
                <w:rFonts w:hint="eastAsia" w:asciiTheme="minorEastAsia" w:hAnsiTheme="minorEastAsia" w:eastAsiaTheme="minorEastAsia" w:cstheme="minorEastAsia"/>
                <w:sz w:val="24"/>
                <w:highlight w:val="none"/>
                <w:lang w:val="en-US" w:eastAsia="zh-CN"/>
              </w:rPr>
              <w:t>集成</w:t>
            </w:r>
            <w:r>
              <w:rPr>
                <w:rFonts w:hint="eastAsia" w:asciiTheme="minorEastAsia" w:hAnsiTheme="minorEastAsia" w:eastAsiaTheme="minorEastAsia" w:cstheme="minorEastAsia"/>
                <w:sz w:val="24"/>
                <w:highlight w:val="none"/>
              </w:rPr>
              <w:t>项目管理</w:t>
            </w:r>
            <w:r>
              <w:rPr>
                <w:rFonts w:hint="eastAsia" w:asciiTheme="minorEastAsia" w:hAnsiTheme="minorEastAsia" w:eastAsiaTheme="minorEastAsia" w:cstheme="minorEastAsia"/>
                <w:sz w:val="24"/>
                <w:highlight w:val="none"/>
                <w:lang w:val="en-US" w:eastAsia="zh-CN"/>
              </w:rPr>
              <w:t>工程</w:t>
            </w:r>
            <w:r>
              <w:rPr>
                <w:rFonts w:hint="eastAsia" w:asciiTheme="minorEastAsia" w:hAnsiTheme="minorEastAsia" w:eastAsiaTheme="minorEastAsia" w:cstheme="minorEastAsia"/>
                <w:sz w:val="24"/>
                <w:highlight w:val="none"/>
              </w:rPr>
              <w:t>师证书的得</w:t>
            </w:r>
            <w:r>
              <w:rPr>
                <w:rFonts w:hint="eastAsia" w:asciiTheme="minorEastAsia" w:hAnsiTheme="minorEastAsia" w:eastAsiaTheme="minorEastAsia" w:cstheme="minorEastAsia"/>
                <w:sz w:val="24"/>
                <w:highlight w:val="none"/>
                <w:lang w:val="en-US" w:eastAsia="zh-CN"/>
              </w:rPr>
              <w:t>2</w:t>
            </w:r>
            <w:r>
              <w:rPr>
                <w:rFonts w:hint="eastAsia" w:asciiTheme="minorEastAsia" w:hAnsiTheme="minorEastAsia" w:eastAsiaTheme="minorEastAsia" w:cstheme="minorEastAsia"/>
                <w:sz w:val="24"/>
                <w:highlight w:val="none"/>
              </w:rPr>
              <w:t>分，否则不得分。</w:t>
            </w:r>
          </w:p>
          <w:p w14:paraId="011B3048">
            <w:pPr>
              <w:widowControl/>
              <w:spacing w:line="360" w:lineRule="auto"/>
              <w:textAlignment w:val="center"/>
              <w:rPr>
                <w:rFonts w:hint="eastAsia" w:asciiTheme="minorEastAsia" w:hAnsiTheme="minorEastAsia" w:eastAsiaTheme="minorEastAsia" w:cstheme="minorEastAsia"/>
                <w:sz w:val="24"/>
                <w:highlight w:val="yellow"/>
                <w:lang w:eastAsia="zh-CN"/>
              </w:rPr>
            </w:pPr>
            <w:r>
              <w:rPr>
                <w:rFonts w:hint="eastAsia" w:asciiTheme="minorEastAsia" w:hAnsiTheme="minorEastAsia" w:eastAsiaTheme="minorEastAsia" w:cstheme="minorEastAsia"/>
                <w:sz w:val="24"/>
                <w:highlight w:val="none"/>
              </w:rPr>
              <w:t>（2）专业技术人员4名及以上（不含项目负责人），专业技术人员具备信息化相关的中级</w:t>
            </w:r>
            <w:r>
              <w:rPr>
                <w:rFonts w:hint="eastAsia" w:asciiTheme="minorEastAsia" w:hAnsiTheme="minorEastAsia" w:eastAsiaTheme="minorEastAsia" w:cstheme="minorEastAsia"/>
                <w:sz w:val="24"/>
                <w:highlight w:val="none"/>
                <w:lang w:eastAsia="zh"/>
              </w:rPr>
              <w:t>及以上</w:t>
            </w:r>
            <w:r>
              <w:rPr>
                <w:rFonts w:hint="eastAsia" w:asciiTheme="minorEastAsia" w:hAnsiTheme="minorEastAsia" w:eastAsiaTheme="minorEastAsia" w:cstheme="minorEastAsia"/>
                <w:sz w:val="24"/>
                <w:highlight w:val="none"/>
              </w:rPr>
              <w:t>证书的每人得</w:t>
            </w:r>
            <w:r>
              <w:rPr>
                <w:rFonts w:hint="eastAsia" w:asciiTheme="minorEastAsia" w:hAnsiTheme="minorEastAsia" w:eastAsiaTheme="minorEastAsia" w:cstheme="minorEastAsia"/>
                <w:sz w:val="24"/>
                <w:highlight w:val="none"/>
                <w:lang w:val="en-US" w:eastAsia="zh-CN"/>
              </w:rPr>
              <w:t>0.5</w:t>
            </w:r>
            <w:r>
              <w:rPr>
                <w:rFonts w:hint="eastAsia" w:asciiTheme="minorEastAsia" w:hAnsiTheme="minorEastAsia" w:eastAsiaTheme="minorEastAsia" w:cstheme="minorEastAsia"/>
                <w:sz w:val="24"/>
                <w:highlight w:val="none"/>
              </w:rPr>
              <w:t>分，最多得</w:t>
            </w:r>
            <w:r>
              <w:rPr>
                <w:rFonts w:hint="eastAsia" w:asciiTheme="minorEastAsia" w:hAnsiTheme="minorEastAsia" w:eastAsiaTheme="minorEastAsia" w:cstheme="minorEastAsia"/>
                <w:sz w:val="24"/>
                <w:highlight w:val="none"/>
                <w:lang w:val="en-US" w:eastAsia="zh-CN"/>
              </w:rPr>
              <w:t>2</w:t>
            </w:r>
            <w:r>
              <w:rPr>
                <w:rFonts w:hint="eastAsia" w:asciiTheme="minorEastAsia" w:hAnsiTheme="minorEastAsia" w:eastAsiaTheme="minorEastAsia" w:cstheme="minorEastAsia"/>
                <w:sz w:val="24"/>
                <w:highlight w:val="none"/>
              </w:rPr>
              <w:t>分</w:t>
            </w:r>
            <w:r>
              <w:rPr>
                <w:rFonts w:hint="eastAsia" w:asciiTheme="minorEastAsia" w:hAnsiTheme="minorEastAsia" w:eastAsiaTheme="minorEastAsia" w:cstheme="minorEastAsia"/>
                <w:sz w:val="24"/>
                <w:highlight w:val="none"/>
                <w:lang w:eastAsia="zh"/>
              </w:rPr>
              <w:t>；</w:t>
            </w:r>
          </w:p>
          <w:p w14:paraId="27112C19">
            <w:pPr>
              <w:widowControl/>
              <w:spacing w:line="360" w:lineRule="auto"/>
              <w:textAlignment w:val="center"/>
              <w:rPr>
                <w:rFonts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4"/>
                <w:highlight w:val="none"/>
              </w:rPr>
              <w:t>以上人员一人不得兼任多个岗位，且均须同时提供投标截止时间近3个月内任意一个月的社保缴纳证明及相关证书，否则不得分。</w:t>
            </w:r>
          </w:p>
        </w:tc>
        <w:tc>
          <w:tcPr>
            <w:tcW w:w="479" w:type="pct"/>
            <w:vAlign w:val="center"/>
          </w:tcPr>
          <w:p w14:paraId="4A4B99A5">
            <w:pPr>
              <w:spacing w:line="360" w:lineRule="auto"/>
              <w:jc w:val="center"/>
              <w:rPr>
                <w:highlight w:val="none"/>
                <w:lang w:val="en-US"/>
              </w:rPr>
            </w:pPr>
            <w:r>
              <w:rPr>
                <w:rFonts w:hint="eastAsia" w:asciiTheme="minorEastAsia" w:hAnsiTheme="minorEastAsia" w:eastAsiaTheme="minorEastAsia" w:cstheme="minorEastAsia"/>
                <w:sz w:val="24"/>
                <w:szCs w:val="24"/>
                <w:highlight w:val="none"/>
                <w:lang w:val="en-US" w:eastAsia="zh-CN"/>
              </w:rPr>
              <w:t>4</w:t>
            </w:r>
          </w:p>
        </w:tc>
        <w:tc>
          <w:tcPr>
            <w:tcW w:w="560" w:type="pct"/>
            <w:vAlign w:val="center"/>
          </w:tcPr>
          <w:p w14:paraId="63EFFF28">
            <w:pPr>
              <w:spacing w:line="360" w:lineRule="auto"/>
              <w:jc w:val="center"/>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客观分</w:t>
            </w:r>
          </w:p>
        </w:tc>
        <w:tc>
          <w:tcPr>
            <w:tcW w:w="722" w:type="pct"/>
            <w:vAlign w:val="center"/>
          </w:tcPr>
          <w:p w14:paraId="2365519B">
            <w:pPr>
              <w:spacing w:line="360" w:lineRule="auto"/>
              <w:jc w:val="center"/>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项目组成员情况</w:t>
            </w:r>
          </w:p>
        </w:tc>
      </w:tr>
      <w:tr w14:paraId="23D2B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Align w:val="center"/>
          </w:tcPr>
          <w:p w14:paraId="6A13DA19">
            <w:pPr>
              <w:keepNext w:val="0"/>
              <w:keepLines w:val="0"/>
              <w:widowControl/>
              <w:suppressLineNumbers w:val="0"/>
              <w:jc w:val="center"/>
              <w:textAlignment w:val="center"/>
              <w:rPr>
                <w:rFonts w:cs="仿宋_GB2312" w:asciiTheme="minorEastAsia" w:hAnsiTheme="minorEastAsia" w:eastAsiaTheme="minorEastAsia"/>
                <w:sz w:val="24"/>
                <w:highlight w:val="none"/>
              </w:rPr>
            </w:pPr>
            <w:r>
              <w:rPr>
                <w:rFonts w:hint="eastAsia" w:ascii="宋体" w:hAnsi="宋体" w:cs="宋体"/>
                <w:i w:val="0"/>
                <w:iCs w:val="0"/>
                <w:color w:val="000000"/>
                <w:kern w:val="0"/>
                <w:sz w:val="24"/>
                <w:szCs w:val="24"/>
                <w:u w:val="none"/>
                <w:lang w:val="en-US" w:eastAsia="zh-CN" w:bidi="ar"/>
              </w:rPr>
              <w:t>7</w:t>
            </w:r>
          </w:p>
        </w:tc>
        <w:tc>
          <w:tcPr>
            <w:tcW w:w="2830" w:type="pct"/>
            <w:vAlign w:val="center"/>
          </w:tcPr>
          <w:p w14:paraId="5767DDF2">
            <w:pPr>
              <w:widowControl/>
              <w:spacing w:line="360" w:lineRule="auto"/>
              <w:textAlignment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投标人承诺：①提供产品至少3年维保及上门服务；提供售后服务专线7</w:t>
            </w:r>
            <w:r>
              <w:rPr>
                <w:rFonts w:hint="default" w:asciiTheme="minorEastAsia" w:hAnsiTheme="minorEastAsia" w:eastAsiaTheme="minorEastAsia" w:cstheme="minorEastAsia"/>
                <w:sz w:val="24"/>
                <w:highlight w:val="none"/>
              </w:rPr>
              <w:t>×</w:t>
            </w:r>
            <w:r>
              <w:rPr>
                <w:rFonts w:hint="eastAsia" w:asciiTheme="minorEastAsia" w:hAnsiTheme="minorEastAsia" w:eastAsiaTheme="minorEastAsia" w:cstheme="minorEastAsia"/>
                <w:sz w:val="24"/>
                <w:highlight w:val="none"/>
              </w:rPr>
              <w:t>24小时在线服务；问题报修后并承诺在报修时间起30分钟内响应，1小时内到达故障现场，2小时完成设备的维修或更换；②质保服务周期内显示器出现产品质量问题后采用换新服务方式。投标人提供7</w:t>
            </w:r>
            <w:r>
              <w:rPr>
                <w:rFonts w:hint="default" w:asciiTheme="minorEastAsia" w:hAnsiTheme="minorEastAsia" w:eastAsiaTheme="minorEastAsia" w:cstheme="minorEastAsia"/>
                <w:sz w:val="24"/>
                <w:highlight w:val="none"/>
              </w:rPr>
              <w:t>×</w:t>
            </w:r>
            <w:r>
              <w:rPr>
                <w:rFonts w:hint="eastAsia" w:asciiTheme="minorEastAsia" w:hAnsiTheme="minorEastAsia" w:eastAsiaTheme="minorEastAsia" w:cstheme="minorEastAsia"/>
                <w:sz w:val="24"/>
                <w:highlight w:val="none"/>
              </w:rPr>
              <w:t>24小时上门服务；质保期内如产品出现故障而按照约定更换的，质保期重新计算；③投标人须按采购人要求负责做好系统安装及旧电脑数据迁移工作；</w:t>
            </w:r>
          </w:p>
          <w:p w14:paraId="6131DA61">
            <w:pPr>
              <w:widowControl/>
              <w:spacing w:line="360" w:lineRule="auto"/>
              <w:textAlignment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提供承诺并符合要求的，每一项得1分</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未提供不得分，共</w:t>
            </w:r>
            <w:r>
              <w:rPr>
                <w:rFonts w:hint="eastAsia" w:asciiTheme="minorEastAsia" w:hAnsiTheme="minorEastAsia" w:eastAsiaTheme="minorEastAsia" w:cstheme="minorEastAsia"/>
                <w:sz w:val="24"/>
                <w:highlight w:val="none"/>
                <w:lang w:val="en-US" w:eastAsia="zh-CN"/>
              </w:rPr>
              <w:t>3</w:t>
            </w:r>
            <w:r>
              <w:rPr>
                <w:rFonts w:hint="eastAsia" w:asciiTheme="minorEastAsia" w:hAnsiTheme="minorEastAsia" w:eastAsiaTheme="minorEastAsia" w:cstheme="minorEastAsia"/>
                <w:sz w:val="24"/>
                <w:highlight w:val="none"/>
              </w:rPr>
              <w:t>分。</w:t>
            </w:r>
          </w:p>
        </w:tc>
        <w:tc>
          <w:tcPr>
            <w:tcW w:w="479" w:type="pct"/>
            <w:vAlign w:val="center"/>
          </w:tcPr>
          <w:p w14:paraId="10394333">
            <w:pPr>
              <w:spacing w:line="360" w:lineRule="auto"/>
              <w:jc w:val="center"/>
              <w:rPr>
                <w:rFonts w:hint="default"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3</w:t>
            </w:r>
          </w:p>
        </w:tc>
        <w:tc>
          <w:tcPr>
            <w:tcW w:w="560" w:type="pct"/>
            <w:vAlign w:val="center"/>
          </w:tcPr>
          <w:p w14:paraId="1ACAD184">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客观分</w:t>
            </w:r>
          </w:p>
        </w:tc>
        <w:tc>
          <w:tcPr>
            <w:tcW w:w="722" w:type="pct"/>
            <w:vAlign w:val="center"/>
          </w:tcPr>
          <w:p w14:paraId="12603542">
            <w:pPr>
              <w:snapToGrid w:val="0"/>
              <w:spacing w:line="360" w:lineRule="auto"/>
              <w:jc w:val="center"/>
              <w:rPr>
                <w:rFonts w:hint="eastAsia" w:ascii="宋体" w:hAnsi="宋体" w:cs="仿宋"/>
                <w:sz w:val="24"/>
                <w:highlight w:val="none"/>
              </w:rPr>
            </w:pPr>
            <w:r>
              <w:rPr>
                <w:rFonts w:hint="eastAsia" w:ascii="宋体" w:hAnsi="宋体" w:cs="仿宋"/>
                <w:sz w:val="24"/>
                <w:highlight w:val="none"/>
              </w:rPr>
              <w:t>售后服务</w:t>
            </w:r>
          </w:p>
          <w:p w14:paraId="06763669">
            <w:pPr>
              <w:snapToGrid w:val="0"/>
              <w:spacing w:line="360" w:lineRule="auto"/>
              <w:jc w:val="center"/>
              <w:rPr>
                <w:rFonts w:ascii="宋体" w:hAnsi="宋体" w:cs="仿宋"/>
                <w:sz w:val="24"/>
                <w:highlight w:val="none"/>
              </w:rPr>
            </w:pPr>
          </w:p>
        </w:tc>
      </w:tr>
      <w:tr w14:paraId="73315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Align w:val="center"/>
          </w:tcPr>
          <w:p w14:paraId="718762E0">
            <w:pPr>
              <w:keepNext w:val="0"/>
              <w:keepLines w:val="0"/>
              <w:widowControl/>
              <w:suppressLineNumbers w:val="0"/>
              <w:jc w:val="center"/>
              <w:textAlignment w:val="center"/>
              <w:rPr>
                <w:rFonts w:hint="eastAsia" w:cs="仿宋_GB2312" w:asciiTheme="minorEastAsia" w:hAnsiTheme="minorEastAsia" w:eastAsiaTheme="minorEastAsia"/>
                <w:sz w:val="24"/>
                <w:highlight w:val="none"/>
                <w:lang w:eastAsia="zh-CN"/>
              </w:rPr>
            </w:pPr>
            <w:r>
              <w:rPr>
                <w:rFonts w:hint="eastAsia" w:ascii="宋体" w:hAnsi="宋体" w:cs="宋体"/>
                <w:i w:val="0"/>
                <w:iCs w:val="0"/>
                <w:color w:val="000000"/>
                <w:kern w:val="0"/>
                <w:sz w:val="24"/>
                <w:szCs w:val="24"/>
                <w:u w:val="none"/>
                <w:lang w:val="en-US" w:eastAsia="zh-CN" w:bidi="ar"/>
              </w:rPr>
              <w:t>8</w:t>
            </w:r>
          </w:p>
        </w:tc>
        <w:tc>
          <w:tcPr>
            <w:tcW w:w="2830" w:type="pct"/>
            <w:vAlign w:val="center"/>
          </w:tcPr>
          <w:p w14:paraId="18B66B90">
            <w:pPr>
              <w:spacing w:line="360" w:lineRule="auto"/>
              <w:rPr>
                <w:rFonts w:asciiTheme="minorEastAsia" w:hAnsiTheme="minorEastAsia" w:eastAsiaTheme="minorEastAsia" w:cstheme="minorEastAsia"/>
                <w:sz w:val="24"/>
                <w:highlight w:val="none"/>
              </w:rPr>
            </w:pPr>
            <w:bookmarkStart w:id="417" w:name="OLE_LINK16"/>
            <w:r>
              <w:rPr>
                <w:rFonts w:hint="eastAsia" w:asciiTheme="minorEastAsia" w:hAnsiTheme="minorEastAsia" w:eastAsiaTheme="minorEastAsia" w:cstheme="minorEastAsia"/>
                <w:sz w:val="24"/>
                <w:highlight w:val="none"/>
              </w:rPr>
              <w:t>投标人根据采购需求制定相关操作培训方案，培训方案包括：培训内容、培训计划、培训管理、培训质量控制等；根据培训方案内容进行评分，方案科学合理，利于实际操作，能有效达到培训目的的视为符合，全部符合得</w:t>
            </w:r>
            <w:r>
              <w:rPr>
                <w:rFonts w:hint="eastAsia" w:asciiTheme="minorEastAsia" w:hAnsiTheme="minorEastAsia" w:eastAsiaTheme="minorEastAsia" w:cstheme="minorEastAsia"/>
                <w:sz w:val="24"/>
                <w:highlight w:val="none"/>
                <w:lang w:val="en-US" w:eastAsia="zh-CN"/>
              </w:rPr>
              <w:t>3</w:t>
            </w:r>
            <w:r>
              <w:rPr>
                <w:rFonts w:hint="eastAsia" w:asciiTheme="minorEastAsia" w:hAnsiTheme="minorEastAsia" w:eastAsiaTheme="minorEastAsia" w:cstheme="minorEastAsia"/>
                <w:sz w:val="24"/>
                <w:highlight w:val="none"/>
              </w:rPr>
              <w:t>分，基本符合得</w:t>
            </w:r>
            <w:r>
              <w:rPr>
                <w:rFonts w:hint="eastAsia" w:asciiTheme="minorEastAsia" w:hAnsiTheme="minorEastAsia" w:eastAsiaTheme="minorEastAsia" w:cstheme="minorEastAsia"/>
                <w:sz w:val="24"/>
                <w:highlight w:val="none"/>
                <w:lang w:val="en-US" w:eastAsia="zh-CN"/>
              </w:rPr>
              <w:t>2</w:t>
            </w:r>
            <w:r>
              <w:rPr>
                <w:rFonts w:hint="eastAsia" w:asciiTheme="minorEastAsia" w:hAnsiTheme="minorEastAsia" w:eastAsiaTheme="minorEastAsia" w:cstheme="minorEastAsia"/>
                <w:sz w:val="24"/>
                <w:highlight w:val="none"/>
              </w:rPr>
              <w:t>分，部分符合得</w:t>
            </w:r>
            <w:r>
              <w:rPr>
                <w:rFonts w:hint="eastAsia" w:asciiTheme="minorEastAsia" w:hAnsiTheme="minorEastAsia" w:eastAsiaTheme="minorEastAsia" w:cstheme="minorEastAsia"/>
                <w:sz w:val="24"/>
                <w:highlight w:val="none"/>
                <w:lang w:val="en-US" w:eastAsia="zh-CN"/>
              </w:rPr>
              <w:t>1</w:t>
            </w:r>
            <w:r>
              <w:rPr>
                <w:rFonts w:hint="eastAsia" w:asciiTheme="minorEastAsia" w:hAnsiTheme="minorEastAsia" w:eastAsiaTheme="minorEastAsia" w:cstheme="minorEastAsia"/>
                <w:sz w:val="24"/>
                <w:highlight w:val="none"/>
              </w:rPr>
              <w:t>分，方案未提供或不合理的不得分，共</w:t>
            </w:r>
            <w:r>
              <w:rPr>
                <w:rFonts w:hint="eastAsia" w:asciiTheme="minorEastAsia" w:hAnsiTheme="minorEastAsia" w:eastAsiaTheme="minorEastAsia" w:cstheme="minorEastAsia"/>
                <w:sz w:val="24"/>
                <w:highlight w:val="none"/>
                <w:lang w:val="en-US" w:eastAsia="zh-CN"/>
              </w:rPr>
              <w:t>3</w:t>
            </w:r>
            <w:r>
              <w:rPr>
                <w:rFonts w:hint="eastAsia" w:asciiTheme="minorEastAsia" w:hAnsiTheme="minorEastAsia" w:eastAsiaTheme="minorEastAsia" w:cstheme="minorEastAsia"/>
                <w:sz w:val="24"/>
                <w:highlight w:val="none"/>
              </w:rPr>
              <w:t>分。</w:t>
            </w:r>
            <w:bookmarkEnd w:id="417"/>
          </w:p>
        </w:tc>
        <w:tc>
          <w:tcPr>
            <w:tcW w:w="479" w:type="pct"/>
            <w:vAlign w:val="center"/>
          </w:tcPr>
          <w:p w14:paraId="6996168B">
            <w:pPr>
              <w:spacing w:line="360" w:lineRule="auto"/>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val="en-US" w:eastAsia="zh-CN"/>
              </w:rPr>
              <w:t>3</w:t>
            </w:r>
          </w:p>
        </w:tc>
        <w:tc>
          <w:tcPr>
            <w:tcW w:w="560" w:type="pct"/>
            <w:vAlign w:val="center"/>
          </w:tcPr>
          <w:p w14:paraId="15D992F7">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主观分</w:t>
            </w:r>
          </w:p>
        </w:tc>
        <w:tc>
          <w:tcPr>
            <w:tcW w:w="722" w:type="pct"/>
            <w:vAlign w:val="center"/>
          </w:tcPr>
          <w:p w14:paraId="731834CC">
            <w:pPr>
              <w:snapToGrid w:val="0"/>
              <w:spacing w:line="360" w:lineRule="auto"/>
              <w:jc w:val="center"/>
              <w:rPr>
                <w:rFonts w:ascii="宋体" w:hAnsi="宋体" w:cs="仿宋"/>
                <w:sz w:val="24"/>
                <w:highlight w:val="none"/>
              </w:rPr>
            </w:pPr>
            <w:r>
              <w:rPr>
                <w:rFonts w:hint="eastAsia" w:asciiTheme="minorEastAsia" w:hAnsiTheme="minorEastAsia" w:eastAsiaTheme="minorEastAsia" w:cstheme="minorEastAsia"/>
                <w:sz w:val="24"/>
                <w:highlight w:val="none"/>
              </w:rPr>
              <w:t>技术培训方案</w:t>
            </w:r>
          </w:p>
        </w:tc>
      </w:tr>
      <w:tr w14:paraId="5A9F3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Align w:val="center"/>
          </w:tcPr>
          <w:p w14:paraId="33A4F1F5">
            <w:pPr>
              <w:keepNext w:val="0"/>
              <w:keepLines w:val="0"/>
              <w:widowControl/>
              <w:suppressLineNumbers w:val="0"/>
              <w:jc w:val="center"/>
              <w:textAlignment w:val="center"/>
              <w:rPr>
                <w:rFonts w:hint="eastAsia" w:cs="仿宋_GB2312" w:asciiTheme="minorEastAsia" w:hAnsiTheme="minorEastAsia" w:eastAsiaTheme="minorEastAsia"/>
                <w:sz w:val="24"/>
                <w:highlight w:val="none"/>
                <w:lang w:eastAsia="zh-CN"/>
              </w:rPr>
            </w:pPr>
            <w:r>
              <w:rPr>
                <w:rFonts w:hint="eastAsia" w:ascii="宋体" w:hAnsi="宋体" w:cs="宋体"/>
                <w:i w:val="0"/>
                <w:iCs w:val="0"/>
                <w:color w:val="000000"/>
                <w:kern w:val="0"/>
                <w:sz w:val="24"/>
                <w:szCs w:val="24"/>
                <w:u w:val="none"/>
                <w:lang w:val="en-US" w:eastAsia="zh-CN" w:bidi="ar"/>
              </w:rPr>
              <w:t>9</w:t>
            </w:r>
          </w:p>
        </w:tc>
        <w:tc>
          <w:tcPr>
            <w:tcW w:w="2830" w:type="pct"/>
            <w:vAlign w:val="center"/>
          </w:tcPr>
          <w:p w14:paraId="4D60DA39">
            <w:pPr>
              <w:spacing w:line="360" w:lineRule="auto"/>
              <w:rPr>
                <w:rFonts w:asciiTheme="minorEastAsia" w:hAnsiTheme="minorEastAsia" w:eastAsiaTheme="minorEastAsia" w:cstheme="minorEastAsia"/>
                <w:sz w:val="24"/>
                <w:highlight w:val="none"/>
              </w:rPr>
            </w:pPr>
            <w:bookmarkStart w:id="418" w:name="OLE_LINK17"/>
            <w:r>
              <w:rPr>
                <w:rFonts w:hint="eastAsia" w:asciiTheme="minorEastAsia" w:hAnsiTheme="minorEastAsia" w:eastAsiaTheme="minorEastAsia" w:cstheme="minorEastAsia"/>
                <w:sz w:val="24"/>
                <w:highlight w:val="none"/>
                <w:lang w:val="en-US" w:eastAsia="zh-CN"/>
              </w:rPr>
              <w:t>信息技术创新改造</w:t>
            </w:r>
            <w:r>
              <w:rPr>
                <w:rFonts w:hint="eastAsia" w:asciiTheme="minorEastAsia" w:hAnsiTheme="minorEastAsia" w:eastAsiaTheme="minorEastAsia" w:cstheme="minorEastAsia"/>
                <w:sz w:val="24"/>
                <w:highlight w:val="none"/>
              </w:rPr>
              <w:t>适配测试工作方案。投标人具备</w:t>
            </w:r>
            <w:r>
              <w:rPr>
                <w:rFonts w:hint="eastAsia" w:asciiTheme="minorEastAsia" w:hAnsiTheme="minorEastAsia" w:eastAsiaTheme="minorEastAsia" w:cstheme="minorEastAsia"/>
                <w:sz w:val="24"/>
                <w:highlight w:val="none"/>
                <w:lang w:eastAsia="zh-CN"/>
              </w:rPr>
              <w:t>信息技术创新改造</w:t>
            </w:r>
            <w:r>
              <w:rPr>
                <w:rFonts w:hint="eastAsia" w:asciiTheme="minorEastAsia" w:hAnsiTheme="minorEastAsia" w:eastAsiaTheme="minorEastAsia" w:cstheme="minorEastAsia"/>
                <w:sz w:val="24"/>
                <w:highlight w:val="none"/>
              </w:rPr>
              <w:t>适配能力，能够配合采购人完成必要的适配测试工作，提供适配测试工作方案，包括场地、人员等，方案内容详细完整、科学合理，满足采购需求视为符合，全部符合得</w:t>
            </w:r>
            <w:r>
              <w:rPr>
                <w:rFonts w:hint="eastAsia" w:asciiTheme="minorEastAsia" w:hAnsiTheme="minorEastAsia" w:eastAsiaTheme="minorEastAsia" w:cstheme="minorEastAsia"/>
                <w:sz w:val="24"/>
                <w:highlight w:val="none"/>
                <w:lang w:val="en-US" w:eastAsia="zh-CN"/>
              </w:rPr>
              <w:t>3</w:t>
            </w:r>
            <w:r>
              <w:rPr>
                <w:rFonts w:hint="eastAsia" w:asciiTheme="minorEastAsia" w:hAnsiTheme="minorEastAsia" w:eastAsiaTheme="minorEastAsia" w:cstheme="minorEastAsia"/>
                <w:sz w:val="24"/>
                <w:highlight w:val="none"/>
              </w:rPr>
              <w:t>分，基本符合得</w:t>
            </w:r>
            <w:r>
              <w:rPr>
                <w:rFonts w:hint="eastAsia" w:asciiTheme="minorEastAsia" w:hAnsiTheme="minorEastAsia" w:eastAsiaTheme="minorEastAsia" w:cstheme="minorEastAsia"/>
                <w:sz w:val="24"/>
                <w:highlight w:val="none"/>
                <w:lang w:val="en-US" w:eastAsia="zh-CN"/>
              </w:rPr>
              <w:t>2</w:t>
            </w:r>
            <w:r>
              <w:rPr>
                <w:rFonts w:hint="eastAsia" w:asciiTheme="minorEastAsia" w:hAnsiTheme="minorEastAsia" w:eastAsiaTheme="minorEastAsia" w:cstheme="minorEastAsia"/>
                <w:sz w:val="24"/>
                <w:highlight w:val="none"/>
              </w:rPr>
              <w:t>分，部分符合得</w:t>
            </w:r>
            <w:r>
              <w:rPr>
                <w:rFonts w:hint="eastAsia" w:asciiTheme="minorEastAsia" w:hAnsiTheme="minorEastAsia" w:eastAsiaTheme="minorEastAsia" w:cstheme="minorEastAsia"/>
                <w:sz w:val="24"/>
                <w:highlight w:val="none"/>
                <w:lang w:val="en-US" w:eastAsia="zh-CN"/>
              </w:rPr>
              <w:t>1</w:t>
            </w:r>
            <w:r>
              <w:rPr>
                <w:rFonts w:hint="eastAsia" w:asciiTheme="minorEastAsia" w:hAnsiTheme="minorEastAsia" w:eastAsiaTheme="minorEastAsia" w:cstheme="minorEastAsia"/>
                <w:sz w:val="24"/>
                <w:highlight w:val="none"/>
              </w:rPr>
              <w:t>分，不符合或未提供不得分。共</w:t>
            </w:r>
            <w:r>
              <w:rPr>
                <w:rFonts w:hint="eastAsia" w:asciiTheme="minorEastAsia" w:hAnsiTheme="minorEastAsia" w:eastAsiaTheme="minorEastAsia" w:cstheme="minorEastAsia"/>
                <w:sz w:val="24"/>
                <w:highlight w:val="none"/>
                <w:lang w:val="en-US" w:eastAsia="zh-CN"/>
              </w:rPr>
              <w:t>3</w:t>
            </w:r>
            <w:r>
              <w:rPr>
                <w:rFonts w:hint="eastAsia" w:asciiTheme="minorEastAsia" w:hAnsiTheme="minorEastAsia" w:eastAsiaTheme="minorEastAsia" w:cstheme="minorEastAsia"/>
                <w:sz w:val="24"/>
                <w:highlight w:val="none"/>
              </w:rPr>
              <w:t>分。</w:t>
            </w:r>
            <w:bookmarkEnd w:id="418"/>
          </w:p>
        </w:tc>
        <w:tc>
          <w:tcPr>
            <w:tcW w:w="479" w:type="pct"/>
            <w:vAlign w:val="center"/>
          </w:tcPr>
          <w:p w14:paraId="5B7462A9">
            <w:pPr>
              <w:spacing w:line="360" w:lineRule="auto"/>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val="en-US" w:eastAsia="zh-CN"/>
              </w:rPr>
              <w:t>3</w:t>
            </w:r>
          </w:p>
        </w:tc>
        <w:tc>
          <w:tcPr>
            <w:tcW w:w="560" w:type="pct"/>
            <w:vAlign w:val="center"/>
          </w:tcPr>
          <w:p w14:paraId="053F5830">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主观分</w:t>
            </w:r>
          </w:p>
        </w:tc>
        <w:tc>
          <w:tcPr>
            <w:tcW w:w="722" w:type="pct"/>
            <w:vAlign w:val="center"/>
          </w:tcPr>
          <w:p w14:paraId="0582FD28">
            <w:pPr>
              <w:snapToGrid w:val="0"/>
              <w:spacing w:line="360" w:lineRule="auto"/>
              <w:jc w:val="center"/>
              <w:rPr>
                <w:rFonts w:cs="仿宋_GB2312" w:asciiTheme="minorEastAsia" w:hAnsiTheme="minorEastAsia" w:eastAsiaTheme="minorEastAsia"/>
                <w:sz w:val="24"/>
                <w:highlight w:val="none"/>
              </w:rPr>
            </w:pPr>
            <w:r>
              <w:rPr>
                <w:rFonts w:hint="eastAsia" w:asciiTheme="minorEastAsia" w:hAnsiTheme="minorEastAsia" w:eastAsiaTheme="minorEastAsia" w:cstheme="minorEastAsia"/>
                <w:sz w:val="24"/>
                <w:highlight w:val="none"/>
              </w:rPr>
              <w:t>适配测试工作方案</w:t>
            </w:r>
          </w:p>
        </w:tc>
      </w:tr>
      <w:tr w14:paraId="22173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Align w:val="center"/>
          </w:tcPr>
          <w:p w14:paraId="7C83B08E">
            <w:pPr>
              <w:keepNext w:val="0"/>
              <w:keepLines w:val="0"/>
              <w:widowControl/>
              <w:suppressLineNumbers w:val="0"/>
              <w:jc w:val="center"/>
              <w:textAlignment w:val="center"/>
              <w:rPr>
                <w:rFonts w:hint="default" w:cs="仿宋_GB2312" w:asciiTheme="minorEastAsia" w:hAnsiTheme="minorEastAsia" w:eastAsiaTheme="minorEastAsia"/>
                <w:sz w:val="24"/>
                <w:highlight w:val="none"/>
                <w:lang w:val="en-US" w:eastAsia="zh-CN"/>
              </w:rPr>
            </w:pPr>
            <w:r>
              <w:rPr>
                <w:rFonts w:hint="eastAsia" w:ascii="宋体" w:hAnsi="宋体" w:cs="宋体"/>
                <w:i w:val="0"/>
                <w:iCs w:val="0"/>
                <w:color w:val="000000"/>
                <w:kern w:val="0"/>
                <w:sz w:val="24"/>
                <w:szCs w:val="24"/>
                <w:u w:val="none"/>
                <w:lang w:val="en-US" w:eastAsia="zh-CN" w:bidi="ar"/>
              </w:rPr>
              <w:t>10</w:t>
            </w:r>
          </w:p>
        </w:tc>
        <w:tc>
          <w:tcPr>
            <w:tcW w:w="2830" w:type="pct"/>
          </w:tcPr>
          <w:p w14:paraId="33EEDCC6">
            <w:pPr>
              <w:keepNext w:val="0"/>
              <w:keepLines w:val="0"/>
              <w:pageBreakBefore w:val="0"/>
              <w:kinsoku/>
              <w:wordWrap/>
              <w:overflowPunct/>
              <w:topLinePunct w:val="0"/>
              <w:autoSpaceDE/>
              <w:autoSpaceDN/>
              <w:bidi w:val="0"/>
              <w:snapToGrid/>
              <w:spacing w:line="360" w:lineRule="auto"/>
              <w:jc w:val="both"/>
              <w:textAlignment w:val="auto"/>
              <w:outlineLvl w:val="9"/>
              <w:rPr>
                <w:rFonts w:cs="仿宋_GB2312" w:asciiTheme="minorEastAsia" w:hAnsiTheme="minorEastAsia" w:eastAsiaTheme="minorEastAsia"/>
                <w:sz w:val="24"/>
                <w:highlight w:val="none"/>
              </w:rPr>
            </w:pPr>
            <w:r>
              <w:rPr>
                <w:rFonts w:hint="eastAsia" w:cs="仿宋_GB2312" w:asciiTheme="minorEastAsia" w:hAnsiTheme="minorEastAsia" w:eastAsiaTheme="minorEastAsia"/>
                <w:sz w:val="24"/>
                <w:highlight w:val="none"/>
              </w:rPr>
              <w:t>有效投标报价的最低价作为评标基准价，其最低报价为满分；按［投标报价得分</w:t>
            </w:r>
            <w:r>
              <w:rPr>
                <w:rFonts w:cs="仿宋_GB2312" w:asciiTheme="minorEastAsia" w:hAnsiTheme="minorEastAsia" w:eastAsiaTheme="minorEastAsia"/>
                <w:sz w:val="24"/>
                <w:highlight w:val="none"/>
              </w:rPr>
              <w:t>=（评标基准价/投标报价）*</w:t>
            </w:r>
            <w:r>
              <w:rPr>
                <w:rFonts w:hint="eastAsia" w:cs="仿宋_GB2312" w:asciiTheme="minorEastAsia" w:hAnsiTheme="minorEastAsia" w:eastAsiaTheme="minorEastAsia"/>
                <w:sz w:val="24"/>
                <w:highlight w:val="none"/>
                <w:lang w:val="en-US" w:eastAsia="zh-CN"/>
              </w:rPr>
              <w:t>4</w:t>
            </w:r>
            <w:r>
              <w:rPr>
                <w:rFonts w:hint="eastAsia" w:cs="仿宋_GB2312" w:asciiTheme="minorEastAsia" w:hAnsiTheme="minorEastAsia" w:eastAsiaTheme="minorEastAsia"/>
                <w:sz w:val="24"/>
                <w:highlight w:val="none"/>
              </w:rPr>
              <w:t>0</w:t>
            </w:r>
            <w:r>
              <w:rPr>
                <w:rFonts w:cs="仿宋_GB2312" w:asciiTheme="minorEastAsia" w:hAnsiTheme="minorEastAsia" w:eastAsiaTheme="minorEastAsia"/>
                <w:sz w:val="24"/>
                <w:highlight w:val="none"/>
              </w:rPr>
              <w:t>］的计算公式计算。</w:t>
            </w:r>
          </w:p>
          <w:p w14:paraId="02DD5B52">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jc w:val="both"/>
              <w:textAlignment w:val="auto"/>
              <w:outlineLvl w:val="9"/>
              <w:rPr>
                <w:rFonts w:cs="仿宋_GB2312" w:asciiTheme="minorEastAsia" w:hAnsiTheme="minorEastAsia" w:eastAsiaTheme="minorEastAsia"/>
                <w:sz w:val="24"/>
                <w:highlight w:val="none"/>
              </w:rPr>
            </w:pPr>
            <w:r>
              <w:rPr>
                <w:rFonts w:cs="仿宋_GB2312" w:asciiTheme="minorEastAsia" w:hAnsiTheme="minorEastAsia" w:eastAsiaTheme="minorEastAsia"/>
                <w:sz w:val="24"/>
                <w:highlight w:val="none"/>
              </w:rPr>
              <w:t>评标过程中，不得去掉报价中的最高报价和最低报价。</w:t>
            </w:r>
          </w:p>
          <w:p w14:paraId="1415D853">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jc w:val="both"/>
              <w:textAlignment w:val="auto"/>
              <w:outlineLvl w:val="9"/>
              <w:rPr>
                <w:rFonts w:cs="仿宋_GB2312" w:asciiTheme="minorEastAsia" w:hAnsiTheme="minorEastAsia" w:eastAsiaTheme="minorEastAsia"/>
                <w:sz w:val="24"/>
                <w:highlight w:val="none"/>
              </w:rPr>
            </w:pPr>
            <w:r>
              <w:rPr>
                <w:rFonts w:hint="eastAsia" w:cs="仿宋_GB2312" w:asciiTheme="minorEastAsia" w:hAnsiTheme="minorEastAsia" w:eastAsiaTheme="minorEastAsia"/>
                <w:sz w:val="24"/>
                <w:highlight w:val="none"/>
              </w:rPr>
              <w:t>本项目既有本国产品又有非本国产品参与竞争的，对本国产品的报价给予20%的价格扣除，用扣除后的价格参与评审。当采购项目或者采购标项中含有多种产品，供应商为该采购项目或者采购标项提供的符合本国产品标准的产品成本之和占该供应商提供的全部产品成本之和的比例达到80%以上时，对该供应商提供的全部产品的总报价给予20%的价格扣除，用扣除后的价格参与评审。</w:t>
            </w:r>
          </w:p>
          <w:p w14:paraId="4A656A70">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jc w:val="both"/>
              <w:textAlignment w:val="auto"/>
              <w:outlineLvl w:val="9"/>
              <w:rPr>
                <w:rFonts w:asciiTheme="minorEastAsia" w:hAnsiTheme="minorEastAsia" w:eastAsiaTheme="minorEastAsia"/>
                <w:sz w:val="24"/>
                <w:highlight w:val="none"/>
              </w:rPr>
            </w:pPr>
            <w:r>
              <w:rPr>
                <w:rFonts w:hint="eastAsia" w:cs="仿宋_GB2312" w:asciiTheme="minorEastAsia" w:hAnsiTheme="minorEastAsia" w:eastAsiaTheme="minorEastAsia"/>
                <w:sz w:val="24"/>
                <w:highlight w:val="none"/>
              </w:rPr>
              <w:t>对于未预留份额专门面向中小企业的政府采购货物项目，以及预留份额政府采购货物项目中的非预留部分标项，对小型和微型企业的投标报价给予</w:t>
            </w:r>
            <w:r>
              <w:rPr>
                <w:rFonts w:hint="eastAsia" w:cs="仿宋_GB2312" w:asciiTheme="minorEastAsia" w:hAnsiTheme="minorEastAsia" w:eastAsiaTheme="minorEastAsia"/>
                <w:b/>
                <w:bCs/>
                <w:sz w:val="24"/>
                <w:highlight w:val="none"/>
              </w:rPr>
              <w:t>10%</w:t>
            </w:r>
            <w:r>
              <w:rPr>
                <w:rFonts w:hint="eastAsia" w:cs="仿宋_GB2312" w:asciiTheme="minorEastAsia" w:hAnsiTheme="minorEastAsia" w:eastAsiaTheme="minorEastAsia"/>
                <w:sz w:val="24"/>
                <w:highlight w:val="none"/>
              </w:rPr>
              <w:t>的扣除，用扣除后的价格参与评审。接受大中型企业与小微企业组成联合体或者允许大中型企业向一家或者多家小微企业分包的政府采购货物项目，对于联合协议或者分包意向协议约定小微企业的合同份额占到合同总金额</w:t>
            </w:r>
            <w:r>
              <w:rPr>
                <w:rFonts w:hint="eastAsia" w:cs="仿宋_GB2312" w:asciiTheme="minorEastAsia" w:hAnsiTheme="minorEastAsia" w:eastAsiaTheme="minorEastAsia"/>
                <w:sz w:val="24"/>
                <w:highlight w:val="none"/>
                <w:lang w:val="en-US" w:eastAsia="zh-CN"/>
              </w:rPr>
              <w:t>30</w:t>
            </w:r>
            <w:r>
              <w:rPr>
                <w:rFonts w:hint="eastAsia" w:cs="仿宋_GB2312" w:asciiTheme="minorEastAsia" w:hAnsiTheme="minorEastAsia" w:eastAsiaTheme="minorEastAsia"/>
                <w:sz w:val="24"/>
                <w:highlight w:val="none"/>
              </w:rPr>
              <w:t>%以上的，对联合体或者大中型企业的报价给予</w:t>
            </w:r>
            <w:r>
              <w:rPr>
                <w:rFonts w:hint="eastAsia" w:cs="仿宋_GB2312" w:asciiTheme="minorEastAsia" w:hAnsiTheme="minorEastAsia" w:eastAsiaTheme="minorEastAsia"/>
                <w:b/>
                <w:bCs/>
                <w:sz w:val="24"/>
                <w:highlight w:val="none"/>
              </w:rPr>
              <w:t>4%</w:t>
            </w:r>
            <w:r>
              <w:rPr>
                <w:rFonts w:hint="eastAsia" w:cs="仿宋_GB2312" w:asciiTheme="minorEastAsia" w:hAnsiTheme="minorEastAsia" w:eastAsiaTheme="minorEastAsia"/>
                <w:sz w:val="24"/>
                <w:highlight w:val="none"/>
              </w:rPr>
              <w:t>的扣除，用扣除后的价格参加评审。</w:t>
            </w:r>
          </w:p>
        </w:tc>
        <w:tc>
          <w:tcPr>
            <w:tcW w:w="479" w:type="pct"/>
            <w:vAlign w:val="center"/>
          </w:tcPr>
          <w:p w14:paraId="01E78155">
            <w:pPr>
              <w:spacing w:line="360" w:lineRule="auto"/>
              <w:jc w:val="center"/>
              <w:outlineLvl w:val="0"/>
              <w:rPr>
                <w:rFonts w:cs="仿宋_GB2312" w:asciiTheme="minorEastAsia" w:hAnsiTheme="minorEastAsia" w:eastAsiaTheme="minorEastAsia"/>
                <w:sz w:val="24"/>
                <w:highlight w:val="none"/>
              </w:rPr>
            </w:pPr>
            <w:r>
              <w:rPr>
                <w:rFonts w:hint="eastAsia" w:cs="仿宋_GB2312" w:asciiTheme="minorEastAsia" w:hAnsiTheme="minorEastAsia" w:eastAsiaTheme="minorEastAsia"/>
                <w:sz w:val="24"/>
                <w:highlight w:val="none"/>
                <w:lang w:val="en-US" w:eastAsia="zh-CN"/>
              </w:rPr>
              <w:t>4</w:t>
            </w:r>
            <w:r>
              <w:rPr>
                <w:rFonts w:hint="eastAsia" w:cs="仿宋_GB2312" w:asciiTheme="minorEastAsia" w:hAnsiTheme="minorEastAsia" w:eastAsiaTheme="minorEastAsia"/>
                <w:sz w:val="24"/>
                <w:highlight w:val="none"/>
              </w:rPr>
              <w:t>0</w:t>
            </w:r>
          </w:p>
        </w:tc>
        <w:tc>
          <w:tcPr>
            <w:tcW w:w="560" w:type="pct"/>
            <w:vAlign w:val="center"/>
          </w:tcPr>
          <w:p w14:paraId="5A878433">
            <w:pPr>
              <w:spacing w:line="360" w:lineRule="auto"/>
              <w:jc w:val="center"/>
              <w:outlineLvl w:val="0"/>
              <w:rPr>
                <w:rFonts w:cs="仿宋_GB2312" w:asciiTheme="minorEastAsia" w:hAnsiTheme="minorEastAsia" w:eastAsiaTheme="minorEastAsia"/>
                <w:sz w:val="24"/>
                <w:highlight w:val="none"/>
              </w:rPr>
            </w:pPr>
            <w:r>
              <w:rPr>
                <w:rFonts w:hint="eastAsia" w:asciiTheme="minorEastAsia" w:hAnsiTheme="minorEastAsia" w:eastAsiaTheme="minorEastAsia" w:cstheme="minorEastAsia"/>
                <w:bCs/>
                <w:sz w:val="24"/>
                <w:highlight w:val="none"/>
              </w:rPr>
              <w:t>客观分</w:t>
            </w:r>
          </w:p>
        </w:tc>
        <w:tc>
          <w:tcPr>
            <w:tcW w:w="722" w:type="pct"/>
            <w:vAlign w:val="center"/>
          </w:tcPr>
          <w:p w14:paraId="3448B5C7">
            <w:pPr>
              <w:spacing w:line="360" w:lineRule="auto"/>
              <w:jc w:val="center"/>
              <w:outlineLvl w:val="0"/>
              <w:rPr>
                <w:rFonts w:cs="仿宋_GB2312" w:asciiTheme="minorEastAsia" w:hAnsiTheme="minorEastAsia" w:eastAsiaTheme="minorEastAsia"/>
                <w:sz w:val="24"/>
                <w:highlight w:val="none"/>
              </w:rPr>
            </w:pPr>
            <w:r>
              <w:rPr>
                <w:rFonts w:cs="仿宋_GB2312" w:asciiTheme="minorEastAsia" w:hAnsiTheme="minorEastAsia" w:eastAsiaTheme="minorEastAsia"/>
                <w:sz w:val="24"/>
                <w:highlight w:val="none"/>
              </w:rPr>
              <w:t>/</w:t>
            </w:r>
          </w:p>
        </w:tc>
      </w:tr>
    </w:tbl>
    <w:p w14:paraId="708FB2BB">
      <w:pPr>
        <w:snapToGrid w:val="0"/>
        <w:spacing w:line="360" w:lineRule="auto"/>
        <w:rPr>
          <w:rFonts w:ascii="宋体" w:hAnsi="宋体" w:cs="宋体"/>
          <w:b/>
          <w:color w:val="auto"/>
          <w:sz w:val="24"/>
          <w:highlight w:val="none"/>
        </w:rPr>
      </w:pPr>
      <w:r>
        <w:rPr>
          <w:rFonts w:hint="eastAsia" w:ascii="宋体" w:hAnsi="宋体" w:cs="宋体"/>
          <w:b/>
          <w:bCs/>
          <w:color w:val="auto"/>
          <w:sz w:val="20"/>
          <w:szCs w:val="20"/>
          <w:highlight w:val="none"/>
          <w:shd w:val="clear" w:color="auto" w:fill="FFFFFF"/>
        </w:rPr>
        <w:t>*</w:t>
      </w:r>
      <w:r>
        <w:rPr>
          <w:rFonts w:hint="eastAsia" w:ascii="宋体" w:hAnsi="宋体" w:cs="宋体"/>
          <w:b/>
          <w:color w:val="auto"/>
          <w:sz w:val="24"/>
          <w:highlight w:val="none"/>
        </w:rPr>
        <w:t>备注：</w:t>
      </w:r>
      <w:r>
        <w:rPr>
          <w:rFonts w:hint="eastAsia" w:ascii="宋体" w:hAnsi="宋体" w:cs="宋体"/>
          <w:color w:val="auto"/>
          <w:sz w:val="24"/>
          <w:highlight w:val="none"/>
        </w:rPr>
        <w:t>投标人编制投标文件（商务技术文件部分）时，建议按此目录（序号和内容）提供评标标准相应的商务技术资料。 </w:t>
      </w:r>
    </w:p>
    <w:p w14:paraId="1564ED59">
      <w:pPr>
        <w:snapToGrid w:val="0"/>
        <w:spacing w:line="360" w:lineRule="auto"/>
        <w:jc w:val="both"/>
        <w:outlineLvl w:val="1"/>
        <w:rPr>
          <w:rFonts w:hint="eastAsia" w:ascii="宋体" w:hAnsi="宋体" w:cs="宋体"/>
          <w:b/>
          <w:color w:val="auto"/>
          <w:sz w:val="32"/>
          <w:szCs w:val="20"/>
          <w:highlight w:val="none"/>
        </w:rPr>
      </w:pPr>
      <w:r>
        <w:rPr>
          <w:rFonts w:hint="eastAsia" w:ascii="宋体" w:hAnsi="宋体" w:cs="宋体"/>
          <w:b/>
          <w:color w:val="auto"/>
          <w:sz w:val="32"/>
          <w:szCs w:val="20"/>
          <w:highlight w:val="none"/>
        </w:rPr>
        <w:t>一、评标方法</w:t>
      </w:r>
    </w:p>
    <w:p w14:paraId="337A76EF">
      <w:pPr>
        <w:adjustRightInd/>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1.本项目采用综合评分法。</w:t>
      </w:r>
      <w:r>
        <w:rPr>
          <w:rFonts w:hint="eastAsia" w:ascii="宋体" w:hAnsi="宋体" w:cs="宋体"/>
          <w:color w:val="auto"/>
          <w:kern w:val="0"/>
          <w:sz w:val="24"/>
          <w:highlight w:val="none"/>
        </w:rPr>
        <w:t>综合评分法，是指投标文件满足招标文件全部实质性要求，且按照评审因素的量化指标评审得分最高的投标人为中标候选人的评标方法。</w:t>
      </w:r>
    </w:p>
    <w:p w14:paraId="5C33C303">
      <w:pPr>
        <w:snapToGrid w:val="0"/>
        <w:spacing w:line="360" w:lineRule="auto"/>
        <w:jc w:val="both"/>
        <w:outlineLvl w:val="1"/>
        <w:rPr>
          <w:rFonts w:hint="eastAsia" w:ascii="宋体" w:hAnsi="宋体" w:cs="宋体"/>
          <w:b/>
          <w:color w:val="auto"/>
          <w:sz w:val="32"/>
          <w:szCs w:val="20"/>
          <w:highlight w:val="none"/>
        </w:rPr>
      </w:pPr>
      <w:r>
        <w:rPr>
          <w:rFonts w:hint="eastAsia" w:ascii="宋体" w:hAnsi="宋体" w:cs="宋体"/>
          <w:b/>
          <w:color w:val="auto"/>
          <w:sz w:val="32"/>
          <w:szCs w:val="20"/>
          <w:highlight w:val="none"/>
        </w:rPr>
        <w:t>二、评标标准</w:t>
      </w:r>
    </w:p>
    <w:p w14:paraId="106B50CF">
      <w:pPr>
        <w:spacing w:line="360" w:lineRule="auto"/>
        <w:ind w:firstLine="472" w:firstLineChars="196"/>
        <w:rPr>
          <w:rFonts w:ascii="宋体" w:hAnsi="宋体" w:cs="宋体"/>
          <w:b/>
          <w:color w:val="auto"/>
          <w:sz w:val="24"/>
          <w:highlight w:val="none"/>
        </w:rPr>
      </w:pPr>
      <w:r>
        <w:rPr>
          <w:rFonts w:hint="eastAsia" w:ascii="宋体" w:hAnsi="宋体" w:cs="宋体"/>
          <w:b/>
          <w:color w:val="auto"/>
          <w:sz w:val="24"/>
          <w:highlight w:val="none"/>
        </w:rPr>
        <w:t>2.评标标准：</w:t>
      </w:r>
      <w:r>
        <w:rPr>
          <w:rFonts w:hint="eastAsia" w:ascii="宋体" w:hAnsi="宋体" w:cs="宋体"/>
          <w:color w:val="auto"/>
          <w:kern w:val="0"/>
          <w:sz w:val="24"/>
          <w:highlight w:val="none"/>
        </w:rPr>
        <w:t>见评标办法前附表。</w:t>
      </w:r>
    </w:p>
    <w:p w14:paraId="7B1E6EC0">
      <w:pPr>
        <w:snapToGrid w:val="0"/>
        <w:spacing w:line="360" w:lineRule="auto"/>
        <w:jc w:val="both"/>
        <w:outlineLvl w:val="1"/>
        <w:rPr>
          <w:rFonts w:hint="eastAsia" w:ascii="宋体" w:hAnsi="宋体" w:cs="宋体"/>
          <w:b/>
          <w:color w:val="auto"/>
          <w:sz w:val="32"/>
          <w:szCs w:val="20"/>
          <w:highlight w:val="none"/>
        </w:rPr>
      </w:pPr>
      <w:r>
        <w:rPr>
          <w:rFonts w:hint="eastAsia" w:ascii="宋体" w:hAnsi="宋体" w:cs="宋体"/>
          <w:b/>
          <w:color w:val="auto"/>
          <w:sz w:val="32"/>
          <w:szCs w:val="20"/>
          <w:highlight w:val="none"/>
        </w:rPr>
        <w:t>三、评标程序</w:t>
      </w:r>
    </w:p>
    <w:p w14:paraId="15429DAB">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3.1符合性审查。</w:t>
      </w:r>
      <w:r>
        <w:rPr>
          <w:rFonts w:hint="eastAsia" w:ascii="宋体" w:hAnsi="宋体" w:cs="宋体"/>
          <w:color w:val="auto"/>
          <w:kern w:val="0"/>
          <w:sz w:val="24"/>
          <w:highlight w:val="none"/>
        </w:rPr>
        <w:t>评标委员会应当对符合资格的投标人的投标文件进行符合性审查，以确定其是否满足招标文件的实质性要求。不满足招标文件的实质性要求的，投标无效。</w:t>
      </w:r>
    </w:p>
    <w:p w14:paraId="346A5562">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3.2比较与评价。</w:t>
      </w:r>
      <w:r>
        <w:rPr>
          <w:rFonts w:hint="eastAsia" w:ascii="宋体" w:hAnsi="宋体" w:cs="宋体"/>
          <w:color w:val="auto"/>
          <w:kern w:val="0"/>
          <w:sz w:val="24"/>
          <w:highlight w:val="none"/>
        </w:rPr>
        <w:t>评标委员会应当按照招标文件中规定的评标方法和标准，对符合性审查合格的投标文件进行商务和技术评估，综合比较与评价。</w:t>
      </w:r>
    </w:p>
    <w:p w14:paraId="05B95B3A">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3.3汇总商务技术得分。</w:t>
      </w:r>
      <w:r>
        <w:rPr>
          <w:rFonts w:hint="eastAsia" w:ascii="宋体" w:hAnsi="宋体" w:cs="宋体"/>
          <w:color w:val="auto"/>
          <w:kern w:val="0"/>
          <w:sz w:val="24"/>
          <w:highlight w:val="none"/>
        </w:rPr>
        <w:t>评标委员会各成员应当独立对每个投标人的商务和技术文件进行评价，并汇总商务技术得分情况。</w:t>
      </w:r>
    </w:p>
    <w:p w14:paraId="6DC257E8">
      <w:pPr>
        <w:spacing w:line="360" w:lineRule="auto"/>
        <w:ind w:firstLine="472" w:firstLineChars="196"/>
        <w:rPr>
          <w:rFonts w:ascii="宋体" w:hAnsi="宋体" w:cs="宋体"/>
          <w:b/>
          <w:color w:val="auto"/>
          <w:kern w:val="0"/>
          <w:sz w:val="24"/>
          <w:highlight w:val="none"/>
        </w:rPr>
      </w:pPr>
      <w:r>
        <w:rPr>
          <w:rFonts w:hint="eastAsia" w:ascii="宋体" w:hAnsi="宋体" w:cs="宋体"/>
          <w:b/>
          <w:color w:val="auto"/>
          <w:kern w:val="0"/>
          <w:sz w:val="24"/>
          <w:highlight w:val="none"/>
        </w:rPr>
        <w:t>3.4报价评审。</w:t>
      </w:r>
    </w:p>
    <w:p w14:paraId="44922109">
      <w:pPr>
        <w:pStyle w:val="132"/>
        <w:spacing w:before="0"/>
        <w:ind w:firstLine="508" w:firstLineChars="212"/>
        <w:rPr>
          <w:rFonts w:ascii="宋体" w:hAnsi="宋体" w:cs="宋体"/>
          <w:color w:val="auto"/>
          <w:kern w:val="0"/>
          <w:highlight w:val="none"/>
        </w:rPr>
      </w:pPr>
      <w:r>
        <w:rPr>
          <w:rFonts w:hint="eastAsia" w:ascii="宋体" w:hAnsi="宋体" w:cs="宋体"/>
          <w:color w:val="auto"/>
          <w:kern w:val="0"/>
          <w:highlight w:val="none"/>
        </w:rPr>
        <w:t>3.4.1投标文件报价出现前后不一致的，按照下列规定修正：</w:t>
      </w:r>
    </w:p>
    <w:p w14:paraId="196323F2">
      <w:pPr>
        <w:pStyle w:val="132"/>
        <w:spacing w:before="0"/>
        <w:ind w:firstLine="480"/>
        <w:rPr>
          <w:rFonts w:hint="eastAsia" w:ascii="宋体" w:hAnsi="宋体" w:eastAsia="宋体" w:cs="宋体"/>
          <w:color w:val="auto"/>
          <w:kern w:val="0"/>
          <w:szCs w:val="24"/>
          <w:highlight w:val="none"/>
          <w:lang w:eastAsia="zh-CN"/>
        </w:rPr>
      </w:pPr>
      <w:r>
        <w:rPr>
          <w:rFonts w:hint="eastAsia" w:ascii="宋体" w:hAnsi="宋体" w:cs="宋体"/>
          <w:color w:val="auto"/>
          <w:kern w:val="0"/>
          <w:szCs w:val="24"/>
          <w:highlight w:val="none"/>
        </w:rPr>
        <w:t>3.4.1.1投标文件中开标一览表(报价表)内容与投标文件中相应内容不一致的，以开标一览表(报价表)为准</w:t>
      </w:r>
      <w:r>
        <w:rPr>
          <w:rFonts w:hint="eastAsia" w:ascii="宋体" w:hAnsi="宋体" w:cs="宋体"/>
          <w:color w:val="auto"/>
          <w:kern w:val="0"/>
          <w:szCs w:val="24"/>
          <w:highlight w:val="none"/>
          <w:lang w:eastAsia="zh-CN"/>
        </w:rPr>
        <w:t>；</w:t>
      </w:r>
    </w:p>
    <w:p w14:paraId="4AD9EF84">
      <w:pPr>
        <w:pStyle w:val="132"/>
        <w:spacing w:before="0"/>
        <w:ind w:firstLine="480"/>
        <w:rPr>
          <w:rFonts w:hint="eastAsia" w:ascii="宋体" w:hAnsi="宋体" w:eastAsia="宋体" w:cs="宋体"/>
          <w:color w:val="auto"/>
          <w:kern w:val="0"/>
          <w:szCs w:val="24"/>
          <w:highlight w:val="none"/>
          <w:lang w:eastAsia="zh-CN"/>
        </w:rPr>
      </w:pPr>
      <w:r>
        <w:rPr>
          <w:rFonts w:hint="eastAsia" w:ascii="宋体" w:hAnsi="宋体" w:cs="宋体"/>
          <w:color w:val="auto"/>
          <w:kern w:val="0"/>
          <w:szCs w:val="24"/>
          <w:highlight w:val="none"/>
        </w:rPr>
        <w:t>3.4.1.2大写金额和小写金额不一致的，以大写金额为准</w:t>
      </w:r>
      <w:r>
        <w:rPr>
          <w:rFonts w:hint="eastAsia" w:ascii="宋体" w:hAnsi="宋体" w:cs="宋体"/>
          <w:color w:val="auto"/>
          <w:kern w:val="0"/>
          <w:szCs w:val="24"/>
          <w:highlight w:val="none"/>
          <w:lang w:eastAsia="zh-CN"/>
        </w:rPr>
        <w:t>；</w:t>
      </w:r>
    </w:p>
    <w:p w14:paraId="652D15C8">
      <w:pPr>
        <w:pStyle w:val="132"/>
        <w:spacing w:before="0"/>
        <w:ind w:firstLine="480"/>
        <w:rPr>
          <w:rFonts w:hint="eastAsia" w:ascii="宋体" w:hAnsi="宋体" w:eastAsia="宋体" w:cs="宋体"/>
          <w:color w:val="auto"/>
          <w:kern w:val="0"/>
          <w:szCs w:val="24"/>
          <w:highlight w:val="none"/>
          <w:lang w:eastAsia="zh-CN"/>
        </w:rPr>
      </w:pPr>
      <w:r>
        <w:rPr>
          <w:rFonts w:hint="eastAsia" w:ascii="宋体" w:hAnsi="宋体" w:cs="宋体"/>
          <w:color w:val="auto"/>
          <w:kern w:val="0"/>
          <w:szCs w:val="24"/>
          <w:highlight w:val="none"/>
        </w:rPr>
        <w:t>3.4.1.3单价金额小数点或者百分比有明显错位的，以开标一览表的总价为准，并修改单价</w:t>
      </w:r>
      <w:r>
        <w:rPr>
          <w:rFonts w:hint="eastAsia" w:ascii="宋体" w:hAnsi="宋体" w:cs="宋体"/>
          <w:color w:val="auto"/>
          <w:kern w:val="0"/>
          <w:szCs w:val="24"/>
          <w:highlight w:val="none"/>
          <w:lang w:eastAsia="zh-CN"/>
        </w:rPr>
        <w:t>；</w:t>
      </w:r>
    </w:p>
    <w:p w14:paraId="2AA4EBE8">
      <w:pPr>
        <w:pStyle w:val="132"/>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3.4.1.4总价金额与按单价汇总金额不一致的，以单价金额计算结果为准。</w:t>
      </w:r>
    </w:p>
    <w:p w14:paraId="5FD4FCC6">
      <w:pPr>
        <w:pStyle w:val="132"/>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3.4.1.5同时出现两种以上不一致的，按照3.4.1规定的顺序修正。修正后的报价按照财政部第87号令 《政府采购货物和服务招标投标管理办法》第五十一条第二款的规定经投标人确认后产生约束力。</w:t>
      </w:r>
    </w:p>
    <w:p w14:paraId="468FD689">
      <w:pPr>
        <w:pStyle w:val="132"/>
        <w:spacing w:before="0"/>
        <w:ind w:firstLine="480"/>
        <w:rPr>
          <w:rFonts w:hint="eastAsia" w:ascii="宋体" w:hAnsi="宋体" w:cs="宋体"/>
          <w:color w:val="auto"/>
          <w:kern w:val="0"/>
          <w:sz w:val="24"/>
          <w:highlight w:val="none"/>
        </w:rPr>
      </w:pPr>
      <w:r>
        <w:rPr>
          <w:rFonts w:hint="eastAsia" w:ascii="宋体" w:hAnsi="宋体" w:cs="宋体"/>
          <w:color w:val="auto"/>
          <w:kern w:val="0"/>
          <w:sz w:val="24"/>
          <w:highlight w:val="none"/>
        </w:rPr>
        <w:t>3.4.2政府采购评审中出现招标文件第二部分投标人须知《前附表》“报价要求”第（2）条所列情形之一的，评审委员会应当启动异常低价投标（响应）审查程序。</w:t>
      </w:r>
    </w:p>
    <w:p w14:paraId="092705D9">
      <w:pPr>
        <w:pStyle w:val="132"/>
        <w:spacing w:before="0"/>
        <w:ind w:firstLine="480"/>
        <w:rPr>
          <w:rFonts w:hint="eastAsia" w:ascii="宋体" w:hAnsi="宋体" w:cs="宋体"/>
          <w:color w:val="auto"/>
          <w:kern w:val="0"/>
          <w:sz w:val="24"/>
          <w:highlight w:val="none"/>
        </w:rPr>
      </w:pPr>
      <w:r>
        <w:rPr>
          <w:rFonts w:hint="eastAsia" w:ascii="宋体" w:hAnsi="宋体" w:cs="宋体"/>
          <w:color w:val="auto"/>
          <w:kern w:val="0"/>
          <w:sz w:val="24"/>
          <w:highlight w:val="none"/>
        </w:rPr>
        <w:t>评审委员会启动异常低价投标（响应）审查后，属于招标文件第二部分投标人须知《前附表》“报价要求”第（2）条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C08D1B7">
      <w:pPr>
        <w:pStyle w:val="132"/>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w:t>
      </w:r>
      <w:r>
        <w:rPr>
          <w:rFonts w:hint="eastAsia" w:ascii="宋体" w:hAnsi="宋体" w:cs="宋体"/>
          <w:color w:val="auto"/>
          <w:kern w:val="0"/>
          <w:szCs w:val="24"/>
          <w:highlight w:val="none"/>
          <w:lang w:val="en-US" w:eastAsia="zh-CN"/>
        </w:rPr>
        <w:t>3</w:t>
      </w:r>
      <w:r>
        <w:rPr>
          <w:rFonts w:hint="eastAsia" w:ascii="宋体" w:hAnsi="宋体" w:cs="宋体"/>
          <w:color w:val="auto"/>
          <w:kern w:val="0"/>
          <w:szCs w:val="24"/>
          <w:highlight w:val="none"/>
        </w:rPr>
        <w:t>对于未预留份额专门面向中小企业的政府采购货物项目，以及预留份额政府采购货物项目中的非预留部分标项，对小型和微型企业的投标报价给予10%-</w:t>
      </w:r>
      <w:r>
        <w:rPr>
          <w:rFonts w:ascii="宋体" w:hAnsi="宋体" w:cs="宋体"/>
          <w:color w:val="auto"/>
          <w:kern w:val="0"/>
          <w:szCs w:val="24"/>
          <w:highlight w:val="none"/>
        </w:rPr>
        <w:t>20</w:t>
      </w:r>
      <w:r>
        <w:rPr>
          <w:rFonts w:hint="eastAsia" w:ascii="宋体" w:hAnsi="宋体" w:cs="宋体"/>
          <w:color w:val="auto"/>
          <w:kern w:val="0"/>
          <w:szCs w:val="24"/>
          <w:highlight w:val="none"/>
        </w:rPr>
        <w:t>%的扣除，用扣除后的价格参与评审。接受大中型企业与小微企业组成联合体或者允许大中型企业向一家或者多家小微企业分包的政府采购货物项目，对于联合协议或者分包意向协议约定小微企业的合同份额占到合同总金额30%以上的，对联合体或者大中型企业的报价给予4%-</w:t>
      </w:r>
      <w:r>
        <w:rPr>
          <w:rFonts w:ascii="宋体" w:hAnsi="宋体" w:cs="宋体"/>
          <w:color w:val="auto"/>
          <w:kern w:val="0"/>
          <w:szCs w:val="24"/>
          <w:highlight w:val="none"/>
        </w:rPr>
        <w:t>6</w:t>
      </w:r>
      <w:r>
        <w:rPr>
          <w:rFonts w:hint="eastAsia" w:ascii="宋体" w:hAnsi="宋体" w:cs="宋体"/>
          <w:color w:val="auto"/>
          <w:kern w:val="0"/>
          <w:szCs w:val="24"/>
          <w:highlight w:val="none"/>
        </w:rPr>
        <w:t>%的扣除，用扣除后的价格参加评审。组成联合体或者接受分包的小微企业与联合体内其他企业、分包企业之间存在直接控股、管理关系的，不享受价格扣除优惠政策。</w:t>
      </w:r>
    </w:p>
    <w:p w14:paraId="66D863DF">
      <w:pPr>
        <w:spacing w:line="360" w:lineRule="auto"/>
        <w:ind w:firstLine="480" w:firstLineChars="200"/>
        <w:rPr>
          <w:rFonts w:hint="eastAsia" w:ascii="宋体" w:hAnsi="宋体" w:cs="宋体"/>
          <w:b w:val="0"/>
          <w:bCs/>
          <w:color w:val="auto"/>
          <w:kern w:val="0"/>
          <w:sz w:val="24"/>
          <w:highlight w:val="none"/>
        </w:rPr>
      </w:pPr>
      <w:r>
        <w:rPr>
          <w:rFonts w:hint="eastAsia" w:ascii="宋体" w:hAnsi="宋体" w:cs="宋体"/>
          <w:b w:val="0"/>
          <w:bCs/>
          <w:color w:val="auto"/>
          <w:kern w:val="0"/>
          <w:sz w:val="24"/>
          <w:highlight w:val="none"/>
        </w:rPr>
        <w:t>3.4.4本项目既有本国产品又有非本国产品参与竞争的，对本国产品的报价给予20%的价格扣除，用扣除后的价格参与评审。当采购项目或者采购标项中含有多种产品，供应商为该采购项目或者采购标项提供的符合本国产品标准的产品成本之和占该供应商提供的全部产品成本之和的比例达到80%以上时，对该供应商提供的全部产品的总报价给予20%的价格扣除，用扣除后的价格参与评审。</w:t>
      </w:r>
    </w:p>
    <w:p w14:paraId="036070F3">
      <w:pPr>
        <w:spacing w:line="360" w:lineRule="auto"/>
        <w:ind w:firstLine="482" w:firstLineChars="200"/>
        <w:rPr>
          <w:rFonts w:ascii="宋体" w:hAnsi="宋体" w:cs="宋体"/>
          <w:color w:val="auto"/>
          <w:kern w:val="0"/>
          <w:sz w:val="24"/>
          <w:highlight w:val="none"/>
        </w:rPr>
      </w:pPr>
      <w:r>
        <w:rPr>
          <w:rFonts w:hint="eastAsia" w:ascii="宋体" w:hAnsi="宋体" w:cs="宋体"/>
          <w:b/>
          <w:color w:val="auto"/>
          <w:kern w:val="0"/>
          <w:sz w:val="24"/>
          <w:highlight w:val="none"/>
        </w:rPr>
        <w:t>3.5排序与推荐。</w:t>
      </w:r>
      <w:r>
        <w:rPr>
          <w:rFonts w:hint="eastAsia" w:ascii="宋体" w:hAnsi="宋体" w:cs="宋体"/>
          <w:color w:val="auto"/>
          <w:kern w:val="0"/>
          <w:sz w:val="24"/>
          <w:highlight w:val="none"/>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0136C882">
      <w:pPr>
        <w:spacing w:line="360" w:lineRule="auto"/>
        <w:ind w:firstLine="480" w:firstLineChars="200"/>
        <w:rPr>
          <w:rFonts w:ascii="宋体" w:hAnsi="宋体" w:cs="宋体"/>
          <w:b/>
          <w:color w:val="auto"/>
          <w:kern w:val="0"/>
          <w:sz w:val="24"/>
          <w:highlight w:val="none"/>
        </w:rPr>
      </w:pPr>
      <w:r>
        <w:rPr>
          <w:rFonts w:hint="eastAsia" w:ascii="宋体" w:hAnsi="宋体" w:cs="宋体"/>
          <w:color w:val="auto"/>
          <w:kern w:val="0"/>
          <w:sz w:val="24"/>
          <w:highlight w:val="none"/>
        </w:rPr>
        <w:t>多家投标人提供相同品牌产品（单一产品采购项目中的该产品或者非单一产品采购项目的核心产品）且通过资格审查、符合性审查的不同投标人参加同一合同项下投标的，按一家投标人计算，评审后得分最高的同品牌投标人获得中标人推荐资格；评审得分相同的，采取随机抽取方式确定，其他同品牌投标人不作为中标候选人。</w:t>
      </w:r>
    </w:p>
    <w:p w14:paraId="43F05F96">
      <w:pPr>
        <w:spacing w:line="360" w:lineRule="auto"/>
        <w:ind w:firstLine="472" w:firstLineChars="196"/>
        <w:rPr>
          <w:rFonts w:hint="eastAsia"/>
        </w:rPr>
      </w:pPr>
      <w:r>
        <w:rPr>
          <w:rFonts w:hint="eastAsia" w:ascii="宋体" w:hAnsi="宋体" w:cs="宋体"/>
          <w:b/>
          <w:color w:val="auto"/>
          <w:kern w:val="0"/>
          <w:sz w:val="24"/>
          <w:highlight w:val="none"/>
        </w:rPr>
        <w:t>3.6编写评标报告。</w:t>
      </w:r>
      <w:r>
        <w:rPr>
          <w:rFonts w:hint="eastAsia" w:ascii="宋体" w:hAnsi="宋体" w:cs="宋体"/>
          <w:color w:val="auto"/>
          <w:kern w:val="0"/>
          <w:sz w:val="24"/>
          <w:highlight w:val="none"/>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14:paraId="5B6E2AA2">
      <w:pPr>
        <w:spacing w:line="360" w:lineRule="auto"/>
        <w:jc w:val="both"/>
        <w:rPr>
          <w:rFonts w:hint="eastAsia" w:ascii="宋体" w:hAnsi="宋体" w:cs="宋体"/>
          <w:b/>
          <w:color w:val="auto"/>
          <w:sz w:val="32"/>
          <w:szCs w:val="20"/>
          <w:highlight w:val="none"/>
        </w:rPr>
      </w:pPr>
      <w:r>
        <w:rPr>
          <w:rFonts w:hint="eastAsia" w:ascii="宋体" w:hAnsi="宋体" w:cs="宋体"/>
          <w:b/>
          <w:color w:val="auto"/>
          <w:sz w:val="32"/>
          <w:szCs w:val="20"/>
          <w:highlight w:val="none"/>
        </w:rPr>
        <w:t>四、评标中的其他事项</w:t>
      </w:r>
    </w:p>
    <w:p w14:paraId="2279DF35">
      <w:pPr>
        <w:pStyle w:val="132"/>
        <w:spacing w:before="0"/>
        <w:ind w:firstLine="472" w:firstLineChars="196"/>
        <w:rPr>
          <w:rFonts w:ascii="宋体" w:hAnsi="宋体" w:cs="宋体"/>
          <w:color w:val="auto"/>
          <w:kern w:val="0"/>
          <w:szCs w:val="24"/>
          <w:highlight w:val="none"/>
        </w:rPr>
      </w:pPr>
      <w:r>
        <w:rPr>
          <w:rFonts w:hint="eastAsia" w:ascii="宋体" w:hAnsi="宋体" w:cs="宋体"/>
          <w:b/>
          <w:color w:val="auto"/>
          <w:kern w:val="0"/>
          <w:szCs w:val="24"/>
          <w:highlight w:val="none"/>
        </w:rPr>
        <w:t>4.1投标人澄清、说明或者补正。</w:t>
      </w:r>
      <w:r>
        <w:rPr>
          <w:rFonts w:hint="eastAsia" w:ascii="宋体" w:hAnsi="宋体" w:cs="宋体"/>
          <w:color w:val="auto"/>
          <w:kern w:val="0"/>
          <w:szCs w:val="24"/>
          <w:highlight w:val="none"/>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14:paraId="463E0ED0">
      <w:pPr>
        <w:pStyle w:val="25"/>
        <w:spacing w:line="360" w:lineRule="auto"/>
        <w:ind w:left="954" w:leftChars="226" w:hanging="479" w:firstLineChars="0"/>
        <w:rPr>
          <w:rFonts w:cs="宋体"/>
          <w:color w:val="auto"/>
          <w:szCs w:val="21"/>
          <w:highlight w:val="none"/>
        </w:rPr>
      </w:pPr>
      <w:r>
        <w:rPr>
          <w:rFonts w:hint="eastAsia" w:cs="宋体"/>
          <w:b/>
          <w:color w:val="auto"/>
          <w:kern w:val="0"/>
          <w:highlight w:val="none"/>
        </w:rPr>
        <w:t>4.2投标无效。</w:t>
      </w:r>
      <w:r>
        <w:rPr>
          <w:rFonts w:hint="eastAsia" w:cs="宋体"/>
          <w:color w:val="auto"/>
          <w:szCs w:val="21"/>
          <w:highlight w:val="none"/>
        </w:rPr>
        <w:t>有下列情形之一的，投标无效：</w:t>
      </w:r>
    </w:p>
    <w:p w14:paraId="0CA9D9A0">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4.2.1投标人不具备招标文件中规定的资格要求的（投标人未提供有效的资格文件的，视为投标人不具备招标文件中规定的资格要求）；</w:t>
      </w:r>
    </w:p>
    <w:p w14:paraId="26115300">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4.2.2投标文件未按照招标文件要求签署、盖章的；</w:t>
      </w:r>
    </w:p>
    <w:p w14:paraId="2BFC9385">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4.2.3采购人拟采购的产品属于政府强制采购的节能产品品目清单范围的，投标人相应的投标产品未获得国家确定的认证机构出具的、处于有效期之内的节能产品认证证书的；</w:t>
      </w:r>
    </w:p>
    <w:p w14:paraId="36D92B79">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4.2.4投标文件含有采购人不能接受的附加条件的；</w:t>
      </w:r>
    </w:p>
    <w:p w14:paraId="00D2C703">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4.2.5投标文件中承诺的投标有效期少于招标文件中载明的投标有效期的；</w:t>
      </w:r>
    </w:p>
    <w:p w14:paraId="4EFF0DED">
      <w:pPr>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4.2.6投标文件出现不是唯一的、有选择性投标报价的</w:t>
      </w:r>
      <w:r>
        <w:rPr>
          <w:rFonts w:hint="eastAsia" w:ascii="宋体" w:hAnsi="宋体" w:cs="宋体"/>
          <w:color w:val="auto"/>
          <w:kern w:val="0"/>
          <w:sz w:val="24"/>
          <w:highlight w:val="none"/>
          <w:lang w:eastAsia="zh-CN"/>
        </w:rPr>
        <w:t>；</w:t>
      </w:r>
    </w:p>
    <w:p w14:paraId="3A15AFAF">
      <w:pPr>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4.2.7投标报价超过招标文件中规定的预算金额或者最高限价的</w:t>
      </w:r>
      <w:r>
        <w:rPr>
          <w:rFonts w:hint="eastAsia" w:ascii="宋体" w:hAnsi="宋体" w:cs="宋体"/>
          <w:color w:val="auto"/>
          <w:kern w:val="0"/>
          <w:sz w:val="24"/>
          <w:highlight w:val="none"/>
          <w:lang w:eastAsia="zh-CN"/>
        </w:rPr>
        <w:t>；</w:t>
      </w:r>
    </w:p>
    <w:p w14:paraId="2ACA845C">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w:t>
      </w:r>
      <w:r>
        <w:rPr>
          <w:rFonts w:hint="eastAsia" w:ascii="宋体" w:hAnsi="宋体" w:cs="宋体"/>
          <w:color w:val="auto"/>
          <w:kern w:val="0"/>
          <w:sz w:val="24"/>
          <w:highlight w:val="none"/>
          <w:lang w:val="en-US" w:eastAsia="zh-CN"/>
        </w:rPr>
        <w:t>8</w:t>
      </w:r>
      <w:r>
        <w:rPr>
          <w:rFonts w:hint="eastAsia" w:ascii="宋体" w:hAnsi="宋体" w:cs="宋体"/>
          <w:color w:val="auto"/>
          <w:kern w:val="0"/>
          <w:sz w:val="24"/>
          <w:highlight w:val="none"/>
        </w:rPr>
        <w:t>投标人对根据修正原则修正后的报价不确认的；</w:t>
      </w:r>
    </w:p>
    <w:p w14:paraId="651B6A4B">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4.2.9</w:t>
      </w:r>
      <w:r>
        <w:rPr>
          <w:rFonts w:hint="eastAsia" w:ascii="宋体" w:hAnsi="宋体" w:cs="宋体"/>
          <w:color w:val="auto"/>
          <w:kern w:val="0"/>
          <w:sz w:val="24"/>
          <w:highlight w:val="none"/>
        </w:rPr>
        <w:t>评审委员会启动异常低价投标（响应）审查后，投标（响应）供应商不能提供书面说明、证明材料，或者提供的书面说明、证明材料不能证明其报价合理性的；</w:t>
      </w:r>
    </w:p>
    <w:p w14:paraId="13DCE4F3">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4.2.</w:t>
      </w:r>
      <w:r>
        <w:rPr>
          <w:rFonts w:hint="eastAsia" w:ascii="宋体" w:hAnsi="宋体" w:cs="宋体"/>
          <w:color w:val="auto"/>
          <w:kern w:val="0"/>
          <w:sz w:val="24"/>
          <w:highlight w:val="none"/>
          <w:lang w:val="en-US" w:eastAsia="zh-CN"/>
        </w:rPr>
        <w:t>10</w:t>
      </w:r>
      <w:r>
        <w:rPr>
          <w:rFonts w:hint="eastAsia" w:ascii="宋体" w:hAnsi="宋体" w:cs="宋体"/>
          <w:color w:val="auto"/>
          <w:kern w:val="0"/>
          <w:sz w:val="24"/>
          <w:highlight w:val="none"/>
        </w:rPr>
        <w:t>投标人提供虚假材料投标的；</w:t>
      </w:r>
    </w:p>
    <w:p w14:paraId="01F7E135">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4.2.1</w:t>
      </w: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rPr>
        <w:t>投标人有恶意串通、妨碍其他投标人的竞争行为、损害采购人或者其他投标人的合法权益情形的；</w:t>
      </w:r>
    </w:p>
    <w:p w14:paraId="6FFC87CD">
      <w:pPr>
        <w:spacing w:line="360" w:lineRule="auto"/>
        <w:ind w:firstLine="480" w:firstLineChars="2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4.2.1</w:t>
      </w:r>
      <w:r>
        <w:rPr>
          <w:rFonts w:hint="eastAsia" w:ascii="宋体" w:hAnsi="宋体" w:cs="宋体"/>
          <w:color w:val="auto"/>
          <w:kern w:val="0"/>
          <w:sz w:val="24"/>
          <w:highlight w:val="none"/>
          <w:lang w:val="en-US" w:eastAsia="zh-CN"/>
        </w:rPr>
        <w:t>2</w:t>
      </w:r>
      <w:r>
        <w:rPr>
          <w:rFonts w:hint="eastAsia" w:ascii="宋体" w:hAnsi="宋体" w:eastAsia="宋体" w:cs="宋体"/>
          <w:color w:val="auto"/>
          <w:kern w:val="0"/>
          <w:sz w:val="24"/>
          <w:highlight w:val="none"/>
          <w:lang w:val="en-US" w:eastAsia="zh-CN"/>
        </w:rPr>
        <w:t>参与同一个采购包（标段）的供应商存在下列情形之一且无法合理解释的，其投标文件无效：（1）不同供应商的电子投标文件上传计算机的IP地址、网卡MAC地址或硬盘序列号等硬件信息相同的；（2）上传的电子投标文件若出现使用本项目其他投标供应商的数字证书加密的，或者加盖本项目其他投标供应商的电子印章的；（3）不同供应商的投标文件的内容存在3处（含）以上错误一致的；（4）不同供应商联系人为同一人或不同联系人的联系电话一致的。</w:t>
      </w:r>
    </w:p>
    <w:p w14:paraId="5B5ECF27">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w:t>
      </w:r>
      <w:r>
        <w:rPr>
          <w:rFonts w:hint="eastAsia" w:ascii="宋体" w:hAnsi="宋体" w:cs="宋体"/>
          <w:color w:val="auto"/>
          <w:kern w:val="0"/>
          <w:sz w:val="24"/>
          <w:highlight w:val="none"/>
          <w:lang w:val="en-US" w:eastAsia="zh-CN"/>
        </w:rPr>
        <w:t>3</w:t>
      </w:r>
      <w:r>
        <w:rPr>
          <w:rFonts w:hint="eastAsia" w:ascii="宋体" w:hAnsi="宋体" w:cs="宋体"/>
          <w:color w:val="auto"/>
          <w:kern w:val="0"/>
          <w:sz w:val="24"/>
          <w:highlight w:val="none"/>
        </w:rPr>
        <w:t>投标人仅提交备份投标文件，未在电子交易平台传输递交投标文件的，投标无效；</w:t>
      </w:r>
    </w:p>
    <w:p w14:paraId="312DFF69">
      <w:pPr>
        <w:spacing w:line="360" w:lineRule="auto"/>
        <w:ind w:firstLine="480" w:firstLineChars="200"/>
        <w:rPr>
          <w:rFonts w:hint="eastAsia" w:ascii="宋体" w:hAnsi="宋体" w:cs="宋体"/>
          <w:kern w:val="0"/>
          <w:sz w:val="24"/>
          <w:highlight w:val="none"/>
        </w:rPr>
      </w:pPr>
      <w:r>
        <w:rPr>
          <w:rFonts w:hint="eastAsia" w:ascii="宋体" w:hAnsi="宋体" w:eastAsia="宋体" w:cs="宋体"/>
          <w:b w:val="0"/>
          <w:bCs w:val="0"/>
          <w:color w:val="auto"/>
          <w:kern w:val="0"/>
          <w:sz w:val="24"/>
          <w:szCs w:val="24"/>
          <w:highlight w:val="none"/>
          <w:lang w:val="en-US"/>
        </w:rPr>
        <w:t>4.2.1</w:t>
      </w:r>
      <w:r>
        <w:rPr>
          <w:rFonts w:hint="eastAsia" w:ascii="宋体" w:hAnsi="宋体" w:cs="宋体"/>
          <w:b w:val="0"/>
          <w:bCs w:val="0"/>
          <w:color w:val="auto"/>
          <w:kern w:val="0"/>
          <w:sz w:val="24"/>
          <w:szCs w:val="24"/>
          <w:highlight w:val="none"/>
          <w:lang w:val="en-US" w:eastAsia="zh-CN"/>
        </w:rPr>
        <w:t>4</w:t>
      </w:r>
      <w:r>
        <w:rPr>
          <w:rFonts w:hint="eastAsia" w:ascii="宋体" w:hAnsi="宋体" w:cs="宋体"/>
          <w:kern w:val="0"/>
          <w:sz w:val="24"/>
          <w:highlight w:val="none"/>
        </w:rPr>
        <w:t>投标人未提供样品或提供的样品不满足采购需求实质性条件的，投标无效；</w:t>
      </w:r>
    </w:p>
    <w:p w14:paraId="3FDC2839">
      <w:pPr>
        <w:spacing w:line="360" w:lineRule="auto"/>
        <w:ind w:firstLine="480" w:firstLineChars="200"/>
        <w:rPr>
          <w:rFonts w:ascii="宋体" w:hAnsi="宋体" w:eastAsia="宋体" w:cs="宋体"/>
          <w:b w:val="0"/>
          <w:bCs w:val="0"/>
          <w:color w:val="auto"/>
          <w:kern w:val="0"/>
          <w:sz w:val="24"/>
          <w:szCs w:val="24"/>
          <w:highlight w:val="none"/>
          <w:lang w:val="en-US"/>
        </w:rPr>
      </w:pPr>
      <w:r>
        <w:rPr>
          <w:rFonts w:hint="eastAsia" w:ascii="宋体" w:hAnsi="宋体" w:cs="宋体"/>
          <w:b w:val="0"/>
          <w:bCs w:val="0"/>
          <w:color w:val="auto"/>
          <w:kern w:val="0"/>
          <w:sz w:val="24"/>
          <w:szCs w:val="24"/>
          <w:highlight w:val="none"/>
          <w:lang w:val="en-US" w:eastAsia="zh-CN"/>
        </w:rPr>
        <w:t>4.2.15</w:t>
      </w:r>
      <w:r>
        <w:rPr>
          <w:rFonts w:hint="eastAsia" w:ascii="宋体" w:hAnsi="宋体" w:eastAsia="宋体" w:cs="宋体"/>
          <w:b w:val="0"/>
          <w:bCs w:val="0"/>
          <w:color w:val="auto"/>
          <w:kern w:val="0"/>
          <w:sz w:val="24"/>
          <w:szCs w:val="24"/>
          <w:highlight w:val="none"/>
          <w:lang w:val="en-US"/>
        </w:rPr>
        <w:t>投标文件不满足招标文件的其它实质性要求的；</w:t>
      </w:r>
    </w:p>
    <w:p w14:paraId="32531FF4">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法律、法规、规章（适用本市的）及省级以上规范性文件（适用本市的）规定的其他无效情形。</w:t>
      </w:r>
    </w:p>
    <w:p w14:paraId="3D967350">
      <w:pPr>
        <w:pStyle w:val="25"/>
        <w:snapToGrid w:val="0"/>
        <w:spacing w:line="360" w:lineRule="auto"/>
        <w:ind w:firstLine="472" w:firstLineChars="196"/>
        <w:rPr>
          <w:rFonts w:cs="宋体"/>
          <w:color w:val="auto"/>
          <w:highlight w:val="none"/>
        </w:rPr>
      </w:pPr>
      <w:r>
        <w:rPr>
          <w:rFonts w:hint="eastAsia" w:cs="宋体"/>
          <w:b/>
          <w:color w:val="auto"/>
          <w:highlight w:val="none"/>
        </w:rPr>
        <w:t>5.废标。</w:t>
      </w:r>
      <w:r>
        <w:rPr>
          <w:rFonts w:hint="eastAsia" w:cs="宋体"/>
          <w:color w:val="auto"/>
          <w:highlight w:val="none"/>
        </w:rPr>
        <w:t>根据《中华人民共和国政府采购法》第三十六条之规定，在采购中，出现下列情形之一的，应予废标：</w:t>
      </w:r>
    </w:p>
    <w:p w14:paraId="5F5FCFF0">
      <w:pPr>
        <w:pStyle w:val="25"/>
        <w:snapToGrid w:val="0"/>
        <w:spacing w:line="360" w:lineRule="auto"/>
        <w:rPr>
          <w:rFonts w:cs="宋体"/>
          <w:color w:val="auto"/>
          <w:highlight w:val="none"/>
        </w:rPr>
      </w:pPr>
      <w:r>
        <w:rPr>
          <w:rFonts w:hint="eastAsia" w:cs="宋体"/>
          <w:color w:val="auto"/>
          <w:highlight w:val="none"/>
        </w:rPr>
        <w:t>5.1符合专业条件的供应商或者对招标文件作实质响应的供应商不足3家的；</w:t>
      </w:r>
    </w:p>
    <w:p w14:paraId="2B3FD922">
      <w:pPr>
        <w:pStyle w:val="25"/>
        <w:snapToGrid w:val="0"/>
        <w:spacing w:line="360" w:lineRule="auto"/>
        <w:rPr>
          <w:rFonts w:cs="宋体"/>
          <w:color w:val="auto"/>
          <w:highlight w:val="none"/>
        </w:rPr>
      </w:pPr>
      <w:r>
        <w:rPr>
          <w:rFonts w:hint="eastAsia" w:cs="宋体"/>
          <w:color w:val="auto"/>
          <w:highlight w:val="none"/>
        </w:rPr>
        <w:t>5.2出现影响采购公正的违法、违规行为的；</w:t>
      </w:r>
    </w:p>
    <w:p w14:paraId="1B72DA74">
      <w:pPr>
        <w:pStyle w:val="25"/>
        <w:snapToGrid w:val="0"/>
        <w:spacing w:line="360" w:lineRule="auto"/>
        <w:rPr>
          <w:rFonts w:cs="宋体"/>
          <w:color w:val="auto"/>
          <w:highlight w:val="none"/>
        </w:rPr>
      </w:pPr>
      <w:r>
        <w:rPr>
          <w:rFonts w:hint="eastAsia" w:cs="宋体"/>
          <w:color w:val="auto"/>
          <w:highlight w:val="none"/>
        </w:rPr>
        <w:t>5.3投标人的报价均超过了采购预算，采购人不能支付的；</w:t>
      </w:r>
    </w:p>
    <w:p w14:paraId="7E52F519">
      <w:pPr>
        <w:pStyle w:val="25"/>
        <w:snapToGrid w:val="0"/>
        <w:spacing w:line="360" w:lineRule="auto"/>
        <w:rPr>
          <w:rFonts w:cs="宋体"/>
          <w:color w:val="auto"/>
          <w:highlight w:val="none"/>
        </w:rPr>
      </w:pPr>
      <w:r>
        <w:rPr>
          <w:rFonts w:hint="eastAsia" w:cs="宋体"/>
          <w:color w:val="auto"/>
          <w:highlight w:val="none"/>
        </w:rPr>
        <w:t>5.4因重大变故，采购任务取消的。</w:t>
      </w:r>
    </w:p>
    <w:p w14:paraId="3A04B9FF">
      <w:pPr>
        <w:pStyle w:val="25"/>
        <w:snapToGrid w:val="0"/>
        <w:spacing w:line="360" w:lineRule="auto"/>
        <w:rPr>
          <w:rFonts w:cs="宋体"/>
          <w:color w:val="auto"/>
          <w:highlight w:val="none"/>
        </w:rPr>
      </w:pPr>
      <w:r>
        <w:rPr>
          <w:rFonts w:hint="eastAsia" w:cs="宋体"/>
          <w:color w:val="auto"/>
          <w:highlight w:val="none"/>
        </w:rPr>
        <w:t>废标后，</w:t>
      </w:r>
      <w:r>
        <w:rPr>
          <w:rFonts w:hint="eastAsia" w:cs="宋体"/>
          <w:color w:val="auto"/>
          <w:highlight w:val="none"/>
          <w:lang w:eastAsia="zh-CN"/>
        </w:rPr>
        <w:t>采购代理机构</w:t>
      </w:r>
      <w:r>
        <w:rPr>
          <w:rFonts w:hint="eastAsia" w:cs="宋体"/>
          <w:color w:val="auto"/>
          <w:highlight w:val="none"/>
        </w:rPr>
        <w:t>应当将废标理由通知所有投标人。</w:t>
      </w:r>
    </w:p>
    <w:p w14:paraId="182A3C26">
      <w:pPr>
        <w:pStyle w:val="25"/>
        <w:snapToGrid w:val="0"/>
        <w:spacing w:line="360" w:lineRule="auto"/>
        <w:ind w:left="0" w:leftChars="0" w:firstLine="482" w:firstLineChars="200"/>
        <w:rPr>
          <w:rFonts w:cs="宋体"/>
          <w:color w:val="auto"/>
          <w:highlight w:val="none"/>
        </w:rPr>
      </w:pPr>
      <w:r>
        <w:rPr>
          <w:rFonts w:hint="eastAsia" w:cs="宋体"/>
          <w:b/>
          <w:color w:val="auto"/>
          <w:highlight w:val="none"/>
        </w:rPr>
        <w:t>6.修改招标文件，重新组织采购活动。</w:t>
      </w:r>
      <w:r>
        <w:rPr>
          <w:rFonts w:hint="eastAsia" w:cs="宋体"/>
          <w:color w:val="auto"/>
          <w:highlight w:val="none"/>
        </w:rPr>
        <w:t>评标委员会发现招标文件存在歧义、重大缺陷导致评标工作无法进行，或者招标文件内容违反国家有关强制性规定的，将停止评标工作，并与采购人、</w:t>
      </w:r>
      <w:r>
        <w:rPr>
          <w:rFonts w:hint="eastAsia" w:cs="宋体"/>
          <w:color w:val="auto"/>
          <w:highlight w:val="none"/>
          <w:lang w:eastAsia="zh-CN"/>
        </w:rPr>
        <w:t>采购代理机构</w:t>
      </w:r>
      <w:r>
        <w:rPr>
          <w:rFonts w:hint="eastAsia" w:cs="宋体"/>
          <w:color w:val="auto"/>
          <w:highlight w:val="none"/>
        </w:rPr>
        <w:t>沟通并作书面记录。采购人、</w:t>
      </w:r>
      <w:r>
        <w:rPr>
          <w:rFonts w:hint="eastAsia" w:cs="宋体"/>
          <w:color w:val="auto"/>
          <w:highlight w:val="none"/>
          <w:lang w:eastAsia="zh-CN"/>
        </w:rPr>
        <w:t>采购代理机构</w:t>
      </w:r>
      <w:r>
        <w:rPr>
          <w:rFonts w:hint="eastAsia" w:cs="宋体"/>
          <w:color w:val="auto"/>
          <w:highlight w:val="none"/>
        </w:rPr>
        <w:t>确认后，将修改招标文件，重新组织采购活动。</w:t>
      </w:r>
    </w:p>
    <w:p w14:paraId="2FF31C11">
      <w:pPr>
        <w:pStyle w:val="25"/>
        <w:snapToGrid w:val="0"/>
        <w:spacing w:line="360" w:lineRule="auto"/>
        <w:ind w:firstLine="482"/>
        <w:rPr>
          <w:rFonts w:cs="宋体"/>
          <w:color w:val="auto"/>
          <w:highlight w:val="none"/>
        </w:rPr>
      </w:pPr>
      <w:r>
        <w:rPr>
          <w:rFonts w:hint="eastAsia" w:cs="宋体"/>
          <w:b/>
          <w:color w:val="auto"/>
          <w:kern w:val="0"/>
          <w:highlight w:val="none"/>
        </w:rPr>
        <w:t>7.重新开展采购。</w:t>
      </w:r>
      <w:r>
        <w:rPr>
          <w:rFonts w:hint="eastAsia" w:cs="宋体"/>
          <w:color w:val="auto"/>
          <w:highlight w:val="none"/>
        </w:rPr>
        <w:t>有政府采购法第七十一条、第七十二条规定的违法行为之一，影响或者可能影响中标结果的，依照下列规定处理：</w:t>
      </w:r>
    </w:p>
    <w:p w14:paraId="40351DC9">
      <w:pPr>
        <w:pStyle w:val="25"/>
        <w:snapToGrid w:val="0"/>
        <w:spacing w:line="360" w:lineRule="auto"/>
        <w:rPr>
          <w:rFonts w:cs="宋体"/>
          <w:color w:val="auto"/>
          <w:highlight w:val="none"/>
        </w:rPr>
      </w:pPr>
      <w:r>
        <w:rPr>
          <w:rFonts w:hint="eastAsia" w:cs="宋体"/>
          <w:color w:val="auto"/>
          <w:highlight w:val="none"/>
        </w:rPr>
        <w:t>7.1未确定中标供应商的，终止本次政府采购活动，重新开展政府采购活动。</w:t>
      </w:r>
    </w:p>
    <w:p w14:paraId="52C3014D">
      <w:pPr>
        <w:pStyle w:val="25"/>
        <w:snapToGrid w:val="0"/>
        <w:spacing w:line="360" w:lineRule="auto"/>
        <w:rPr>
          <w:rFonts w:cs="宋体"/>
          <w:color w:val="auto"/>
          <w:highlight w:val="none"/>
        </w:rPr>
      </w:pPr>
      <w:r>
        <w:rPr>
          <w:rFonts w:hint="eastAsia" w:cs="宋体"/>
          <w:color w:val="auto"/>
          <w:highlight w:val="none"/>
        </w:rPr>
        <w:t>7.2已确定中标供应商但尚未签订政府采购合同的，中标结果无效，从合格的中标候选人中另行确定中标供应商；没有合格的中标候选人的，重新开展政府采购活动。</w:t>
      </w:r>
    </w:p>
    <w:p w14:paraId="55BF5488">
      <w:pPr>
        <w:pStyle w:val="25"/>
        <w:snapToGrid w:val="0"/>
        <w:spacing w:line="360" w:lineRule="auto"/>
        <w:rPr>
          <w:rFonts w:cs="宋体"/>
          <w:color w:val="auto"/>
          <w:highlight w:val="none"/>
        </w:rPr>
      </w:pPr>
      <w:r>
        <w:rPr>
          <w:rFonts w:hint="eastAsia" w:cs="宋体"/>
          <w:color w:val="auto"/>
          <w:highlight w:val="none"/>
        </w:rPr>
        <w:t>7.3政府采购合同已签订但尚未履行的，撤销合同，从合格的中标候选人中另行确定中标供应商；没有合格的中标候选人的，重新开展政府采购活动。</w:t>
      </w:r>
    </w:p>
    <w:p w14:paraId="2D8455D3">
      <w:pPr>
        <w:pStyle w:val="25"/>
        <w:snapToGrid w:val="0"/>
        <w:spacing w:line="360" w:lineRule="auto"/>
        <w:rPr>
          <w:rFonts w:cs="宋体"/>
          <w:color w:val="auto"/>
          <w:highlight w:val="none"/>
        </w:rPr>
      </w:pPr>
      <w:r>
        <w:rPr>
          <w:rFonts w:hint="eastAsia" w:cs="宋体"/>
          <w:color w:val="auto"/>
          <w:highlight w:val="none"/>
        </w:rPr>
        <w:t>7.4政府采购合同已经履行，给采购人、供应商造成损失的，由责任人承担赔偿责任。</w:t>
      </w:r>
    </w:p>
    <w:p w14:paraId="71BB0586">
      <w:pPr>
        <w:pStyle w:val="25"/>
        <w:snapToGrid w:val="0"/>
        <w:spacing w:line="360" w:lineRule="auto"/>
      </w:pPr>
      <w:r>
        <w:rPr>
          <w:rFonts w:hint="eastAsia" w:cs="宋体"/>
          <w:color w:val="auto"/>
          <w:highlight w:val="none"/>
        </w:rPr>
        <w:t>7.5政府采购当事人有其他违反政府采购法或者政府采购法实施条例等法律法规规定的行为，经改正后仍然影响或者可能影响中标结果或者依法被认定为中标无效的，依照7.1-7.4规定处理。</w:t>
      </w:r>
      <w:bookmarkEnd w:id="45"/>
      <w:bookmarkStart w:id="419" w:name="第五部分"/>
      <w:bookmarkStart w:id="420" w:name="_Toc86217003"/>
    </w:p>
    <w:p w14:paraId="6B9C916C">
      <w:pPr>
        <w:rPr>
          <w:rFonts w:ascii="宋体" w:hAnsi="宋体" w:cs="宋体"/>
          <w:b/>
          <w:color w:val="auto"/>
          <w:sz w:val="36"/>
          <w:szCs w:val="36"/>
          <w:highlight w:val="none"/>
        </w:rPr>
      </w:pPr>
      <w:r>
        <w:rPr>
          <w:rFonts w:ascii="宋体" w:hAnsi="宋体" w:cs="宋体"/>
          <w:b/>
          <w:color w:val="auto"/>
          <w:sz w:val="36"/>
          <w:szCs w:val="36"/>
          <w:highlight w:val="none"/>
        </w:rPr>
        <w:br w:type="page"/>
      </w:r>
    </w:p>
    <w:p w14:paraId="3AE8CAE7">
      <w:pPr>
        <w:spacing w:line="360" w:lineRule="auto"/>
        <w:jc w:val="center"/>
        <w:outlineLvl w:val="0"/>
        <w:rPr>
          <w:rFonts w:ascii="宋体" w:hAnsi="宋体" w:cs="宋体"/>
          <w:b/>
          <w:color w:val="auto"/>
          <w:sz w:val="36"/>
          <w:szCs w:val="36"/>
          <w:highlight w:val="none"/>
        </w:rPr>
      </w:pPr>
      <w:bookmarkStart w:id="421" w:name="OLE_LINK23"/>
      <w:r>
        <w:rPr>
          <w:rFonts w:hint="eastAsia" w:ascii="宋体" w:hAnsi="宋体" w:cs="宋体"/>
          <w:b/>
          <w:color w:val="auto"/>
          <w:sz w:val="36"/>
          <w:szCs w:val="36"/>
          <w:highlight w:val="none"/>
        </w:rPr>
        <w:t>第五部分 拟签订的合同文本</w:t>
      </w:r>
    </w:p>
    <w:p w14:paraId="7210627C">
      <w:pPr>
        <w:rPr>
          <w:rFonts w:ascii="宋体" w:hAnsi="宋体" w:cs="宋体"/>
          <w:sz w:val="24"/>
          <w:u w:val="single"/>
          <w:shd w:val="clear" w:color="auto" w:fill="auto"/>
        </w:rPr>
      </w:pPr>
      <w:r>
        <w:rPr>
          <w:rFonts w:hint="eastAsia" w:ascii="宋体" w:hAnsi="宋体" w:cs="宋体"/>
          <w:sz w:val="24"/>
          <w:shd w:val="clear" w:color="auto" w:fill="auto"/>
        </w:rPr>
        <w:t>合同编号：</w:t>
      </w:r>
      <w:r>
        <w:rPr>
          <w:rFonts w:hint="eastAsia" w:ascii="宋体" w:hAnsi="宋体" w:cs="宋体"/>
          <w:sz w:val="24"/>
          <w:u w:val="single"/>
          <w:shd w:val="clear" w:color="auto" w:fill="auto"/>
        </w:rPr>
        <w:t xml:space="preserve">           </w:t>
      </w:r>
    </w:p>
    <w:p w14:paraId="4E5CB6F9">
      <w:pPr>
        <w:spacing w:line="480" w:lineRule="auto"/>
        <w:jc w:val="center"/>
        <w:rPr>
          <w:rFonts w:ascii="宋体" w:hAnsi="宋体" w:cs="宋体"/>
          <w:b/>
          <w:sz w:val="28"/>
          <w:szCs w:val="28"/>
          <w:shd w:val="clear" w:color="auto" w:fill="auto"/>
        </w:rPr>
      </w:pPr>
    </w:p>
    <w:p w14:paraId="428B0D04">
      <w:pPr>
        <w:spacing w:line="480" w:lineRule="auto"/>
        <w:jc w:val="center"/>
        <w:rPr>
          <w:rFonts w:ascii="宋体" w:hAnsi="宋体" w:cs="宋体"/>
          <w:b/>
          <w:sz w:val="24"/>
          <w:shd w:val="clear" w:color="auto" w:fill="auto"/>
        </w:rPr>
      </w:pPr>
    </w:p>
    <w:p w14:paraId="768E2B85">
      <w:pPr>
        <w:spacing w:line="480" w:lineRule="auto"/>
        <w:jc w:val="center"/>
        <w:rPr>
          <w:rFonts w:ascii="宋体" w:hAnsi="宋体" w:cs="宋体"/>
          <w:b/>
          <w:sz w:val="24"/>
          <w:shd w:val="clear" w:color="auto" w:fill="auto"/>
        </w:rPr>
      </w:pPr>
    </w:p>
    <w:p w14:paraId="7384E2B8">
      <w:pPr>
        <w:spacing w:line="480" w:lineRule="auto"/>
        <w:jc w:val="center"/>
        <w:rPr>
          <w:rFonts w:ascii="宋体" w:hAnsi="宋体" w:cs="宋体"/>
          <w:b/>
          <w:sz w:val="36"/>
          <w:szCs w:val="36"/>
          <w:shd w:val="clear" w:color="auto" w:fill="auto"/>
        </w:rPr>
      </w:pPr>
      <w:r>
        <w:rPr>
          <w:rFonts w:hint="eastAsia" w:ascii="宋体" w:hAnsi="宋体" w:cs="宋体"/>
          <w:b/>
          <w:sz w:val="36"/>
          <w:szCs w:val="36"/>
          <w:shd w:val="clear" w:color="auto" w:fill="auto"/>
        </w:rPr>
        <w:t>政府采购合同参考范本</w:t>
      </w:r>
    </w:p>
    <w:p w14:paraId="219E7088">
      <w:pPr>
        <w:spacing w:line="480" w:lineRule="auto"/>
        <w:jc w:val="center"/>
        <w:rPr>
          <w:rFonts w:ascii="宋体" w:hAnsi="宋体" w:cs="宋体"/>
          <w:b/>
          <w:sz w:val="36"/>
          <w:szCs w:val="36"/>
          <w:shd w:val="clear" w:color="auto" w:fill="auto"/>
        </w:rPr>
      </w:pPr>
      <w:r>
        <w:rPr>
          <w:rFonts w:hint="eastAsia" w:ascii="宋体" w:hAnsi="宋体" w:cs="宋体"/>
          <w:b/>
          <w:sz w:val="36"/>
          <w:szCs w:val="36"/>
          <w:shd w:val="clear" w:color="auto" w:fill="auto"/>
        </w:rPr>
        <w:t>（货物类）</w:t>
      </w:r>
    </w:p>
    <w:p w14:paraId="46FE0EAD">
      <w:pPr>
        <w:pStyle w:val="702"/>
        <w:rPr>
          <w:rFonts w:ascii="宋体" w:hAnsi="宋体" w:cs="宋体"/>
          <w:szCs w:val="24"/>
          <w:shd w:val="clear" w:color="auto" w:fill="auto"/>
        </w:rPr>
      </w:pPr>
    </w:p>
    <w:p w14:paraId="1333B786">
      <w:pPr>
        <w:pStyle w:val="702"/>
        <w:ind w:left="0" w:leftChars="0" w:firstLine="0" w:firstLineChars="0"/>
        <w:jc w:val="both"/>
        <w:rPr>
          <w:rFonts w:ascii="宋体" w:hAnsi="宋体" w:cs="宋体"/>
          <w:szCs w:val="24"/>
          <w:shd w:val="clear" w:color="auto" w:fill="auto"/>
        </w:rPr>
      </w:pPr>
    </w:p>
    <w:p w14:paraId="1D8AECF8">
      <w:pPr>
        <w:pStyle w:val="702"/>
        <w:ind w:left="0" w:leftChars="0" w:firstLine="0" w:firstLineChars="0"/>
        <w:jc w:val="center"/>
        <w:outlineLvl w:val="1"/>
        <w:rPr>
          <w:rFonts w:ascii="宋体" w:hAnsi="宋体" w:cs="宋体"/>
          <w:b/>
          <w:szCs w:val="24"/>
          <w:shd w:val="clear" w:color="auto" w:fill="auto"/>
        </w:rPr>
      </w:pPr>
      <w:r>
        <w:rPr>
          <w:rFonts w:hint="eastAsia" w:ascii="宋体" w:hAnsi="宋体" w:cs="宋体"/>
          <w:b/>
          <w:szCs w:val="24"/>
          <w:shd w:val="clear" w:color="auto" w:fill="auto"/>
        </w:rPr>
        <w:t>第一部分 合同书</w:t>
      </w:r>
    </w:p>
    <w:p w14:paraId="0B275DAF">
      <w:pPr>
        <w:pStyle w:val="702"/>
        <w:rPr>
          <w:rFonts w:ascii="宋体" w:hAnsi="宋体" w:cs="宋体"/>
          <w:szCs w:val="24"/>
          <w:shd w:val="clear" w:color="auto" w:fill="auto"/>
        </w:rPr>
      </w:pPr>
    </w:p>
    <w:p w14:paraId="19A96028">
      <w:pPr>
        <w:pStyle w:val="702"/>
        <w:rPr>
          <w:rFonts w:ascii="宋体" w:hAnsi="宋体" w:cs="宋体"/>
          <w:szCs w:val="24"/>
          <w:shd w:val="clear" w:color="auto" w:fill="auto"/>
        </w:rPr>
      </w:pPr>
    </w:p>
    <w:p w14:paraId="239C722B">
      <w:pPr>
        <w:spacing w:before="120" w:line="22" w:lineRule="atLeast"/>
        <w:rPr>
          <w:rFonts w:ascii="宋体" w:hAnsi="宋体" w:cs="宋体"/>
          <w:sz w:val="24"/>
          <w:shd w:val="clear" w:color="auto" w:fill="auto"/>
        </w:rPr>
      </w:pPr>
    </w:p>
    <w:p w14:paraId="092452CC">
      <w:pPr>
        <w:spacing w:before="120" w:line="22" w:lineRule="atLeast"/>
        <w:ind w:left="960"/>
        <w:rPr>
          <w:rFonts w:ascii="宋体" w:hAnsi="宋体" w:cs="宋体"/>
          <w:sz w:val="24"/>
          <w:shd w:val="clear" w:color="auto" w:fill="auto"/>
        </w:rPr>
      </w:pPr>
      <w:r>
        <w:rPr>
          <w:rFonts w:hint="eastAsia" w:ascii="宋体" w:hAnsi="宋体" w:cs="宋体"/>
          <w:sz w:val="24"/>
          <w:shd w:val="clear" w:color="auto" w:fill="auto"/>
        </w:rPr>
        <w:t>项目名称：</w:t>
      </w:r>
      <w:r>
        <w:rPr>
          <w:rFonts w:hint="eastAsia" w:ascii="宋体" w:hAnsi="宋体" w:cs="宋体"/>
          <w:sz w:val="24"/>
          <w:u w:val="single"/>
          <w:shd w:val="clear" w:color="auto" w:fill="auto"/>
        </w:rPr>
        <w:t xml:space="preserve">                                   </w:t>
      </w:r>
    </w:p>
    <w:p w14:paraId="4AEBE8D5">
      <w:pPr>
        <w:pStyle w:val="599"/>
        <w:spacing w:before="120" w:line="22" w:lineRule="atLeast"/>
        <w:rPr>
          <w:rFonts w:ascii="宋体" w:hAnsi="宋体" w:eastAsia="宋体" w:cs="宋体"/>
          <w:szCs w:val="24"/>
          <w:shd w:val="clear" w:color="auto" w:fill="auto"/>
        </w:rPr>
      </w:pPr>
    </w:p>
    <w:p w14:paraId="1EA265DB">
      <w:pPr>
        <w:pStyle w:val="599"/>
        <w:spacing w:before="120" w:line="22" w:lineRule="atLeast"/>
        <w:rPr>
          <w:rFonts w:ascii="宋体" w:hAnsi="宋体" w:eastAsia="宋体" w:cs="宋体"/>
          <w:szCs w:val="24"/>
          <w:shd w:val="clear" w:color="auto" w:fill="auto"/>
        </w:rPr>
      </w:pPr>
    </w:p>
    <w:p w14:paraId="6C8AA757">
      <w:pPr>
        <w:rPr>
          <w:rFonts w:ascii="宋体" w:hAnsi="宋体" w:cs="宋体"/>
          <w:sz w:val="24"/>
          <w:shd w:val="clear" w:color="auto" w:fill="auto"/>
        </w:rPr>
      </w:pPr>
    </w:p>
    <w:p w14:paraId="219BA2D6">
      <w:pPr>
        <w:spacing w:before="120" w:line="22" w:lineRule="atLeast"/>
        <w:ind w:left="960"/>
        <w:rPr>
          <w:rFonts w:ascii="宋体" w:hAnsi="宋体" w:cs="宋体"/>
          <w:sz w:val="24"/>
          <w:u w:val="single"/>
          <w:shd w:val="clear" w:color="auto" w:fill="auto"/>
        </w:rPr>
      </w:pPr>
      <w:r>
        <w:rPr>
          <w:rFonts w:hint="eastAsia" w:ascii="宋体" w:hAnsi="宋体" w:cs="宋体"/>
          <w:sz w:val="24"/>
          <w:shd w:val="clear" w:color="auto" w:fill="auto"/>
        </w:rPr>
        <w:t>甲方：</w:t>
      </w:r>
      <w:r>
        <w:rPr>
          <w:rFonts w:hint="eastAsia" w:ascii="宋体" w:hAnsi="宋体" w:cs="宋体"/>
          <w:sz w:val="24"/>
          <w:u w:val="single"/>
          <w:shd w:val="clear" w:color="auto" w:fill="auto"/>
        </w:rPr>
        <w:t xml:space="preserve">                                       </w:t>
      </w:r>
    </w:p>
    <w:p w14:paraId="6C3B51D2">
      <w:pPr>
        <w:spacing w:before="120" w:line="22" w:lineRule="atLeast"/>
        <w:rPr>
          <w:rFonts w:ascii="宋体" w:hAnsi="宋体" w:cs="宋体"/>
          <w:sz w:val="24"/>
          <w:shd w:val="clear" w:color="auto" w:fill="auto"/>
        </w:rPr>
      </w:pPr>
    </w:p>
    <w:p w14:paraId="731A10E2">
      <w:pPr>
        <w:spacing w:before="120" w:line="22" w:lineRule="atLeast"/>
        <w:ind w:left="960"/>
        <w:rPr>
          <w:rFonts w:ascii="宋体" w:hAnsi="宋体" w:cs="宋体"/>
          <w:sz w:val="24"/>
          <w:u w:val="single"/>
          <w:shd w:val="clear" w:color="auto" w:fill="auto"/>
        </w:rPr>
      </w:pPr>
      <w:r>
        <w:rPr>
          <w:rFonts w:hint="eastAsia" w:ascii="宋体" w:hAnsi="宋体" w:cs="宋体"/>
          <w:sz w:val="24"/>
          <w:shd w:val="clear" w:color="auto" w:fill="auto"/>
        </w:rPr>
        <w:t>乙方：</w:t>
      </w:r>
      <w:r>
        <w:rPr>
          <w:rFonts w:hint="eastAsia" w:ascii="宋体" w:hAnsi="宋体" w:cs="宋体"/>
          <w:sz w:val="24"/>
          <w:u w:val="single"/>
          <w:shd w:val="clear" w:color="auto" w:fill="auto"/>
        </w:rPr>
        <w:t xml:space="preserve">                                       </w:t>
      </w:r>
    </w:p>
    <w:p w14:paraId="6773248E">
      <w:pPr>
        <w:spacing w:before="120" w:line="22" w:lineRule="atLeast"/>
        <w:rPr>
          <w:rFonts w:ascii="宋体" w:hAnsi="宋体" w:cs="宋体"/>
          <w:sz w:val="24"/>
          <w:shd w:val="clear" w:color="auto" w:fill="auto"/>
        </w:rPr>
      </w:pPr>
    </w:p>
    <w:p w14:paraId="7A4EA23A">
      <w:pPr>
        <w:spacing w:before="120" w:line="22" w:lineRule="atLeast"/>
        <w:ind w:firstLine="960" w:firstLineChars="400"/>
        <w:rPr>
          <w:rFonts w:ascii="宋体" w:hAnsi="宋体" w:cs="宋体"/>
          <w:sz w:val="24"/>
          <w:u w:val="single"/>
          <w:shd w:val="clear" w:color="auto" w:fill="auto"/>
        </w:rPr>
      </w:pPr>
      <w:r>
        <w:rPr>
          <w:rFonts w:hint="eastAsia" w:ascii="宋体" w:hAnsi="宋体" w:cs="宋体"/>
          <w:sz w:val="24"/>
          <w:shd w:val="clear" w:color="auto" w:fill="auto"/>
        </w:rPr>
        <w:t>签订地：</w:t>
      </w:r>
      <w:r>
        <w:rPr>
          <w:rFonts w:hint="eastAsia" w:ascii="宋体" w:hAnsi="宋体" w:cs="宋体"/>
          <w:sz w:val="24"/>
          <w:u w:val="single"/>
          <w:shd w:val="clear" w:color="auto" w:fill="auto"/>
        </w:rPr>
        <w:t xml:space="preserve">                                     </w:t>
      </w:r>
    </w:p>
    <w:p w14:paraId="7AB4AB3E">
      <w:pPr>
        <w:spacing w:before="120" w:line="22" w:lineRule="atLeast"/>
        <w:rPr>
          <w:rFonts w:ascii="宋体" w:hAnsi="宋体" w:cs="宋体"/>
          <w:sz w:val="24"/>
          <w:shd w:val="clear" w:color="auto" w:fill="auto"/>
        </w:rPr>
      </w:pPr>
    </w:p>
    <w:p w14:paraId="058E1F13">
      <w:pPr>
        <w:spacing w:before="120" w:line="22" w:lineRule="atLeast"/>
        <w:ind w:firstLine="960" w:firstLineChars="400"/>
        <w:rPr>
          <w:rFonts w:ascii="宋体" w:hAnsi="宋体" w:cs="宋体"/>
          <w:sz w:val="24"/>
          <w:u w:val="single"/>
          <w:shd w:val="clear" w:color="auto" w:fill="auto"/>
        </w:rPr>
      </w:pPr>
      <w:r>
        <w:rPr>
          <w:rFonts w:hint="eastAsia" w:ascii="宋体" w:hAnsi="宋体" w:cs="宋体"/>
          <w:sz w:val="24"/>
          <w:shd w:val="clear" w:color="auto" w:fill="auto"/>
        </w:rPr>
        <w:t>签订日期：</w:t>
      </w:r>
      <w:r>
        <w:rPr>
          <w:rFonts w:hint="eastAsia" w:ascii="宋体" w:hAnsi="宋体" w:cs="宋体"/>
          <w:sz w:val="24"/>
          <w:u w:val="single"/>
          <w:shd w:val="clear" w:color="auto" w:fill="auto"/>
        </w:rPr>
        <w:t xml:space="preserve">               </w:t>
      </w:r>
      <w:r>
        <w:rPr>
          <w:rFonts w:hint="eastAsia" w:ascii="宋体" w:hAnsi="宋体" w:cs="宋体"/>
          <w:sz w:val="24"/>
          <w:shd w:val="clear" w:color="auto" w:fill="auto"/>
        </w:rPr>
        <w:t>年</w:t>
      </w:r>
      <w:r>
        <w:rPr>
          <w:rFonts w:hint="eastAsia" w:ascii="宋体" w:hAnsi="宋体" w:cs="宋体"/>
          <w:sz w:val="24"/>
          <w:u w:val="single"/>
          <w:shd w:val="clear" w:color="auto" w:fill="auto"/>
        </w:rPr>
        <w:t xml:space="preserve">       </w:t>
      </w:r>
      <w:r>
        <w:rPr>
          <w:rFonts w:hint="eastAsia" w:ascii="宋体" w:hAnsi="宋体" w:cs="宋体"/>
          <w:sz w:val="24"/>
          <w:shd w:val="clear" w:color="auto" w:fill="auto"/>
        </w:rPr>
        <w:t>月</w:t>
      </w:r>
      <w:r>
        <w:rPr>
          <w:rFonts w:hint="eastAsia" w:ascii="宋体" w:hAnsi="宋体" w:cs="宋体"/>
          <w:sz w:val="24"/>
          <w:u w:val="single"/>
          <w:shd w:val="clear" w:color="auto" w:fill="auto"/>
        </w:rPr>
        <w:t xml:space="preserve">       </w:t>
      </w:r>
      <w:r>
        <w:rPr>
          <w:rFonts w:hint="eastAsia" w:ascii="宋体" w:hAnsi="宋体" w:cs="宋体"/>
          <w:sz w:val="24"/>
          <w:shd w:val="clear" w:color="auto" w:fill="auto"/>
        </w:rPr>
        <w:t>日</w:t>
      </w:r>
    </w:p>
    <w:p w14:paraId="63B1A5DA">
      <w:pPr>
        <w:widowControl/>
        <w:jc w:val="left"/>
        <w:rPr>
          <w:rFonts w:ascii="宋体" w:hAnsi="宋体" w:cs="宋体"/>
          <w:kern w:val="0"/>
          <w:sz w:val="24"/>
          <w:shd w:val="clear" w:color="auto" w:fill="auto"/>
        </w:rPr>
        <w:sectPr>
          <w:headerReference r:id="rId8" w:type="default"/>
          <w:footerReference r:id="rId9" w:type="default"/>
          <w:pgSz w:w="11907" w:h="16840"/>
          <w:pgMar w:top="680" w:right="1417" w:bottom="471" w:left="1417" w:header="851" w:footer="851" w:gutter="0"/>
          <w:pgBorders>
            <w:top w:val="none" w:sz="0" w:space="0"/>
            <w:left w:val="none" w:sz="0" w:space="0"/>
            <w:bottom w:val="none" w:sz="0" w:space="0"/>
            <w:right w:val="none" w:sz="0" w:space="0"/>
          </w:pgBorders>
          <w:pgNumType w:fmt="decimal"/>
          <w:cols w:space="720" w:num="1"/>
        </w:sectPr>
      </w:pPr>
    </w:p>
    <w:p w14:paraId="0B5B590A">
      <w:pPr>
        <w:spacing w:line="560" w:lineRule="exact"/>
        <w:ind w:firstLine="480" w:firstLineChars="200"/>
        <w:rPr>
          <w:rFonts w:ascii="宋体" w:hAnsi="宋体" w:cs="宋体"/>
          <w:sz w:val="24"/>
          <w:shd w:val="clear" w:color="auto" w:fill="auto"/>
        </w:rPr>
      </w:pPr>
      <w:r>
        <w:rPr>
          <w:rFonts w:hint="eastAsia" w:ascii="宋体" w:hAnsi="宋体" w:cs="宋体"/>
          <w:sz w:val="24"/>
          <w:u w:val="single"/>
          <w:shd w:val="clear" w:color="auto" w:fill="auto"/>
          <w:lang w:val="zh-CN"/>
        </w:rPr>
        <w:t xml:space="preserve">        </w:t>
      </w:r>
      <w:r>
        <w:rPr>
          <w:rFonts w:hint="eastAsia" w:ascii="宋体" w:hAnsi="宋体" w:cs="宋体"/>
          <w:sz w:val="24"/>
          <w:shd w:val="clear" w:color="auto" w:fill="auto"/>
          <w:lang w:val="zh-CN"/>
        </w:rPr>
        <w:t>年</w:t>
      </w:r>
      <w:r>
        <w:rPr>
          <w:rFonts w:hint="eastAsia" w:ascii="宋体" w:hAnsi="宋体" w:cs="宋体"/>
          <w:sz w:val="24"/>
          <w:u w:val="single"/>
          <w:shd w:val="clear" w:color="auto" w:fill="auto"/>
          <w:lang w:val="zh-CN"/>
        </w:rPr>
        <w:t xml:space="preserve">    </w:t>
      </w:r>
      <w:r>
        <w:rPr>
          <w:rFonts w:hint="eastAsia" w:ascii="宋体" w:hAnsi="宋体" w:cs="宋体"/>
          <w:sz w:val="24"/>
          <w:shd w:val="clear" w:color="auto" w:fill="auto"/>
          <w:lang w:val="zh-CN"/>
        </w:rPr>
        <w:t>月</w:t>
      </w:r>
      <w:r>
        <w:rPr>
          <w:rFonts w:hint="eastAsia" w:ascii="宋体" w:hAnsi="宋体" w:cs="宋体"/>
          <w:sz w:val="24"/>
          <w:u w:val="single"/>
          <w:shd w:val="clear" w:color="auto" w:fill="auto"/>
          <w:lang w:val="zh-CN"/>
        </w:rPr>
        <w:t xml:space="preserve">  </w:t>
      </w:r>
      <w:r>
        <w:rPr>
          <w:rFonts w:hint="eastAsia" w:ascii="宋体" w:hAnsi="宋体" w:cs="宋体"/>
          <w:color w:val="auto"/>
          <w:sz w:val="24"/>
          <w:u w:val="single"/>
          <w:shd w:val="clear" w:color="auto" w:fill="auto"/>
          <w:lang w:val="zh-CN"/>
        </w:rPr>
        <w:t xml:space="preserve">  </w:t>
      </w:r>
      <w:r>
        <w:rPr>
          <w:rFonts w:hint="eastAsia" w:ascii="宋体" w:hAnsi="宋体" w:cs="宋体"/>
          <w:color w:val="auto"/>
          <w:sz w:val="24"/>
          <w:shd w:val="clear" w:color="auto" w:fill="auto"/>
          <w:lang w:val="zh-CN"/>
        </w:rPr>
        <w:t>日</w:t>
      </w:r>
      <w:r>
        <w:rPr>
          <w:rFonts w:hint="eastAsia" w:ascii="宋体" w:hAnsi="宋体" w:cs="宋体"/>
          <w:color w:val="auto"/>
          <w:sz w:val="24"/>
          <w:shd w:val="clear" w:color="auto" w:fill="auto"/>
        </w:rPr>
        <w:t>，</w:t>
      </w:r>
      <w:r>
        <w:rPr>
          <w:rFonts w:hint="eastAsia" w:ascii="宋体" w:hAnsi="宋体" w:cs="宋体"/>
          <w:color w:val="auto"/>
          <w:sz w:val="24"/>
          <w:u w:val="single"/>
          <w:shd w:val="clear" w:color="auto" w:fill="auto"/>
        </w:rPr>
        <w:t xml:space="preserve">   （采购人）   </w:t>
      </w:r>
      <w:r>
        <w:rPr>
          <w:rFonts w:hint="eastAsia" w:ascii="宋体" w:hAnsi="宋体" w:cs="宋体"/>
          <w:color w:val="auto"/>
          <w:sz w:val="24"/>
          <w:shd w:val="clear" w:color="auto" w:fill="auto"/>
        </w:rPr>
        <w:t>以</w:t>
      </w:r>
      <w:r>
        <w:rPr>
          <w:rFonts w:hint="eastAsia" w:ascii="宋体" w:hAnsi="宋体" w:cs="宋体"/>
          <w:color w:val="auto"/>
          <w:sz w:val="24"/>
          <w:u w:val="single"/>
          <w:shd w:val="clear" w:color="auto" w:fill="auto"/>
        </w:rPr>
        <w:t xml:space="preserve">   （政府采购方式）  </w:t>
      </w:r>
      <w:r>
        <w:rPr>
          <w:rFonts w:hint="eastAsia" w:ascii="宋体" w:hAnsi="宋体" w:cs="宋体"/>
          <w:color w:val="auto"/>
          <w:sz w:val="24"/>
          <w:shd w:val="clear" w:color="auto" w:fill="auto"/>
        </w:rPr>
        <w:t>对</w:t>
      </w:r>
      <w:r>
        <w:rPr>
          <w:rFonts w:hint="eastAsia" w:ascii="宋体" w:hAnsi="宋体" w:cs="宋体"/>
          <w:color w:val="auto"/>
          <w:sz w:val="24"/>
          <w:u w:val="single"/>
          <w:shd w:val="clear" w:color="auto" w:fill="auto"/>
        </w:rPr>
        <w:t xml:space="preserve">   （项目名称、编号）   </w:t>
      </w:r>
      <w:r>
        <w:rPr>
          <w:rFonts w:hint="eastAsia" w:ascii="宋体" w:hAnsi="宋体" w:cs="宋体"/>
          <w:color w:val="auto"/>
          <w:sz w:val="24"/>
          <w:shd w:val="clear" w:color="auto" w:fill="auto"/>
        </w:rPr>
        <w:t>项目进行了采购。经</w:t>
      </w:r>
      <w:r>
        <w:rPr>
          <w:rFonts w:hint="eastAsia" w:ascii="宋体" w:hAnsi="宋体" w:cs="宋体"/>
          <w:color w:val="auto"/>
          <w:sz w:val="24"/>
          <w:u w:val="single"/>
          <w:shd w:val="clear" w:color="auto" w:fill="auto"/>
        </w:rPr>
        <w:t xml:space="preserve">   （相关评定主体名称）   </w:t>
      </w:r>
      <w:r>
        <w:rPr>
          <w:rFonts w:hint="eastAsia" w:ascii="宋体" w:hAnsi="宋体" w:cs="宋体"/>
          <w:color w:val="auto"/>
          <w:sz w:val="24"/>
          <w:shd w:val="clear" w:color="auto" w:fill="auto"/>
        </w:rPr>
        <w:t>评定，</w:t>
      </w:r>
      <w:r>
        <w:rPr>
          <w:rFonts w:hint="eastAsia" w:ascii="宋体" w:hAnsi="宋体" w:cs="宋体"/>
          <w:color w:val="auto"/>
          <w:sz w:val="24"/>
          <w:u w:val="single"/>
          <w:shd w:val="clear" w:color="auto" w:fill="auto"/>
        </w:rPr>
        <w:t xml:space="preserve">   （中标或者成交供应商名称）</w:t>
      </w:r>
      <w:r>
        <w:rPr>
          <w:rFonts w:hint="eastAsia" w:ascii="宋体" w:hAnsi="宋体" w:cs="宋体"/>
          <w:color w:val="auto"/>
          <w:sz w:val="24"/>
          <w:shd w:val="clear" w:color="auto" w:fill="auto"/>
        </w:rPr>
        <w:t>为该项目</w:t>
      </w:r>
      <w:r>
        <w:rPr>
          <w:rFonts w:hint="eastAsia" w:ascii="宋体" w:hAnsi="宋体" w:cs="宋体"/>
          <w:sz w:val="24"/>
          <w:shd w:val="clear" w:color="auto" w:fill="auto"/>
        </w:rPr>
        <w:t>中标或者成交供应商。现于中标或者成交通知书发出之日起10个工作日内，按照采购文件等确定的事项签订本合同。</w:t>
      </w:r>
    </w:p>
    <w:p w14:paraId="0F6868EF">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lang w:val="zh-CN"/>
        </w:rPr>
        <w:t>根据《中华人民共和国民法典》《中华人民共和国政府采购法》等相关法律法规之规定，按照平等、自愿、公平、诚实信用和绿色的原则，经</w:t>
      </w:r>
      <w:r>
        <w:rPr>
          <w:rFonts w:hint="eastAsia" w:ascii="宋体" w:hAnsi="宋体" w:cs="宋体"/>
          <w:sz w:val="24"/>
          <w:u w:val="single"/>
          <w:shd w:val="clear" w:color="auto" w:fill="auto"/>
        </w:rPr>
        <w:t xml:space="preserve">   （采购人）   </w:t>
      </w:r>
      <w:r>
        <w:rPr>
          <w:rFonts w:hint="eastAsia" w:ascii="宋体" w:hAnsi="宋体" w:cs="宋体"/>
          <w:sz w:val="24"/>
          <w:shd w:val="clear" w:color="auto" w:fill="auto"/>
          <w:lang w:val="zh-CN"/>
        </w:rPr>
        <w:t>(以下简称：甲方)和</w:t>
      </w:r>
      <w:r>
        <w:rPr>
          <w:rFonts w:hint="eastAsia" w:ascii="宋体" w:hAnsi="宋体" w:cs="宋体"/>
          <w:sz w:val="24"/>
          <w:u w:val="single"/>
          <w:shd w:val="clear" w:color="auto" w:fill="auto"/>
        </w:rPr>
        <w:t xml:space="preserve">   （中标或者成交供应商名称）   </w:t>
      </w:r>
      <w:r>
        <w:rPr>
          <w:rFonts w:hint="eastAsia" w:ascii="宋体" w:hAnsi="宋体" w:cs="宋体"/>
          <w:sz w:val="24"/>
          <w:shd w:val="clear" w:color="auto" w:fill="auto"/>
          <w:lang w:val="zh-CN"/>
        </w:rPr>
        <w:t>(以下简称：乙方)协商一致，约定以下合同</w:t>
      </w:r>
      <w:r>
        <w:rPr>
          <w:rFonts w:hint="eastAsia" w:ascii="宋体" w:hAnsi="宋体" w:cs="宋体"/>
          <w:sz w:val="24"/>
          <w:shd w:val="clear" w:color="auto" w:fill="auto"/>
        </w:rPr>
        <w:t>条款，以兹共同遵守、全面履行。</w:t>
      </w:r>
    </w:p>
    <w:p w14:paraId="0F525CF8">
      <w:pPr>
        <w:spacing w:line="560" w:lineRule="exact"/>
        <w:ind w:firstLine="482" w:firstLineChars="200"/>
        <w:outlineLvl w:val="2"/>
        <w:rPr>
          <w:rFonts w:ascii="宋体" w:hAnsi="宋体" w:cs="宋体"/>
          <w:b/>
          <w:sz w:val="24"/>
          <w:shd w:val="clear" w:color="auto" w:fill="auto"/>
        </w:rPr>
      </w:pPr>
      <w:bookmarkStart w:id="422" w:name="_Toc2232"/>
      <w:bookmarkStart w:id="423" w:name="_Toc24059"/>
      <w:bookmarkStart w:id="424" w:name="_Toc3029"/>
      <w:r>
        <w:rPr>
          <w:rFonts w:hint="eastAsia" w:ascii="宋体" w:hAnsi="宋体" w:cs="宋体"/>
          <w:b/>
          <w:sz w:val="24"/>
          <w:shd w:val="clear" w:color="auto" w:fill="auto"/>
        </w:rPr>
        <w:t>1.1合同组成部分</w:t>
      </w:r>
      <w:bookmarkEnd w:id="422"/>
      <w:bookmarkEnd w:id="423"/>
      <w:bookmarkEnd w:id="424"/>
    </w:p>
    <w:p w14:paraId="3C09B624">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65672272">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1.1.1本合同及其补充合同、变更协议；</w:t>
      </w:r>
    </w:p>
    <w:p w14:paraId="0FD6B23E">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1.1.2中标或者成交通知书；</w:t>
      </w:r>
    </w:p>
    <w:p w14:paraId="1C19DCC7">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1.1.3投标或者响应文件（含澄清或者说明文件）；</w:t>
      </w:r>
    </w:p>
    <w:p w14:paraId="3769E527">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1.1.4采购文件（含澄清或者修改文件）；</w:t>
      </w:r>
    </w:p>
    <w:p w14:paraId="447E88E2">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1.1.5其他相关采购文件。</w:t>
      </w:r>
    </w:p>
    <w:p w14:paraId="0C565AE5">
      <w:pPr>
        <w:spacing w:line="560" w:lineRule="exact"/>
        <w:ind w:firstLine="482" w:firstLineChars="200"/>
        <w:outlineLvl w:val="2"/>
        <w:rPr>
          <w:rFonts w:hint="eastAsia" w:ascii="宋体" w:hAnsi="宋体" w:cs="宋体"/>
          <w:b/>
          <w:sz w:val="24"/>
          <w:shd w:val="clear" w:color="auto" w:fill="auto"/>
        </w:rPr>
      </w:pPr>
      <w:bookmarkStart w:id="425" w:name="_Toc21295"/>
      <w:bookmarkStart w:id="426" w:name="_Toc27126"/>
      <w:bookmarkStart w:id="427" w:name="_Toc24300"/>
      <w:r>
        <w:rPr>
          <w:rFonts w:hint="eastAsia" w:ascii="宋体" w:hAnsi="宋体" w:cs="宋体"/>
          <w:b/>
          <w:sz w:val="24"/>
          <w:shd w:val="clear" w:color="auto" w:fill="auto"/>
        </w:rPr>
        <w:t>1.2货物</w:t>
      </w:r>
      <w:bookmarkEnd w:id="425"/>
      <w:bookmarkEnd w:id="426"/>
      <w:bookmarkEnd w:id="427"/>
    </w:p>
    <w:p w14:paraId="291D3057">
      <w:pPr>
        <w:spacing w:line="560" w:lineRule="exact"/>
        <w:ind w:firstLine="480" w:firstLineChars="200"/>
        <w:rPr>
          <w:rFonts w:ascii="宋体" w:hAnsi="宋体" w:cs="宋体"/>
          <w:sz w:val="24"/>
          <w:u w:val="single"/>
          <w:shd w:val="clear" w:color="auto" w:fill="auto"/>
        </w:rPr>
      </w:pPr>
      <w:r>
        <w:rPr>
          <w:rFonts w:hint="eastAsia" w:ascii="宋体" w:hAnsi="宋体" w:cs="宋体"/>
          <w:sz w:val="24"/>
          <w:shd w:val="clear" w:color="auto" w:fill="auto"/>
        </w:rPr>
        <w:t>1.2.1货物名称、品牌、规格型号、花色：</w:t>
      </w:r>
      <w:r>
        <w:rPr>
          <w:rFonts w:hint="eastAsia" w:ascii="宋体" w:hAnsi="宋体" w:cs="宋体"/>
          <w:sz w:val="24"/>
          <w:u w:val="single"/>
          <w:shd w:val="clear" w:color="auto" w:fill="auto"/>
        </w:rPr>
        <w:t xml:space="preserve">                             </w:t>
      </w:r>
      <w:r>
        <w:rPr>
          <w:rFonts w:hint="eastAsia" w:ascii="宋体" w:hAnsi="宋体" w:cs="宋体"/>
          <w:sz w:val="24"/>
          <w:shd w:val="clear" w:color="auto" w:fill="auto"/>
        </w:rPr>
        <w:t>；</w:t>
      </w:r>
    </w:p>
    <w:p w14:paraId="385CB82F">
      <w:pPr>
        <w:spacing w:line="560" w:lineRule="exact"/>
        <w:ind w:firstLine="480" w:firstLineChars="200"/>
        <w:rPr>
          <w:rFonts w:ascii="宋体" w:hAnsi="宋体" w:cs="宋体"/>
          <w:sz w:val="24"/>
          <w:u w:val="single"/>
          <w:shd w:val="clear" w:color="auto" w:fill="auto"/>
        </w:rPr>
      </w:pPr>
      <w:r>
        <w:rPr>
          <w:rFonts w:hint="eastAsia" w:ascii="宋体" w:hAnsi="宋体" w:cs="宋体"/>
          <w:sz w:val="24"/>
          <w:shd w:val="clear" w:color="auto" w:fill="auto"/>
        </w:rPr>
        <w:t>1.2.2货物数量：</w:t>
      </w:r>
      <w:r>
        <w:rPr>
          <w:rFonts w:hint="eastAsia" w:ascii="宋体" w:hAnsi="宋体" w:cs="宋体"/>
          <w:sz w:val="24"/>
          <w:u w:val="single"/>
          <w:shd w:val="clear" w:color="auto" w:fill="auto"/>
        </w:rPr>
        <w:t xml:space="preserve">                                                </w:t>
      </w:r>
      <w:r>
        <w:rPr>
          <w:rFonts w:hint="eastAsia" w:ascii="宋体" w:hAnsi="宋体" w:cs="宋体"/>
          <w:sz w:val="24"/>
          <w:shd w:val="clear" w:color="auto" w:fill="auto"/>
        </w:rPr>
        <w:t>；</w:t>
      </w:r>
    </w:p>
    <w:p w14:paraId="2D95D8B1">
      <w:pPr>
        <w:spacing w:line="560" w:lineRule="exact"/>
        <w:ind w:firstLine="480" w:firstLineChars="200"/>
        <w:rPr>
          <w:rFonts w:ascii="宋体" w:hAnsi="宋体" w:cs="宋体"/>
          <w:sz w:val="24"/>
          <w:u w:val="single"/>
          <w:shd w:val="clear" w:color="auto" w:fill="auto"/>
        </w:rPr>
      </w:pPr>
      <w:r>
        <w:rPr>
          <w:rFonts w:hint="eastAsia" w:ascii="宋体" w:hAnsi="宋体" w:cs="宋体"/>
          <w:sz w:val="24"/>
          <w:shd w:val="clear" w:color="auto" w:fill="auto"/>
        </w:rPr>
        <w:t>1.2.3货物质量：</w:t>
      </w:r>
      <w:r>
        <w:rPr>
          <w:rFonts w:hint="eastAsia" w:ascii="宋体" w:hAnsi="宋体" w:cs="宋体"/>
          <w:sz w:val="24"/>
          <w:u w:val="single"/>
          <w:shd w:val="clear" w:color="auto" w:fill="auto"/>
        </w:rPr>
        <w:t>　　　　　　　　　                      　      ；</w:t>
      </w:r>
    </w:p>
    <w:p w14:paraId="3C7FC6E6">
      <w:pPr>
        <w:spacing w:line="560" w:lineRule="exact"/>
        <w:ind w:firstLine="482" w:firstLineChars="200"/>
        <w:outlineLvl w:val="2"/>
        <w:rPr>
          <w:rFonts w:hint="eastAsia" w:ascii="宋体" w:hAnsi="宋体" w:cs="宋体"/>
          <w:b/>
          <w:sz w:val="24"/>
          <w:shd w:val="clear" w:color="auto" w:fill="auto"/>
        </w:rPr>
      </w:pPr>
      <w:bookmarkStart w:id="428" w:name="_Toc23292"/>
      <w:bookmarkStart w:id="429" w:name="_Toc21631"/>
      <w:bookmarkStart w:id="430" w:name="_Toc21551"/>
      <w:r>
        <w:rPr>
          <w:rFonts w:hint="eastAsia" w:ascii="宋体" w:hAnsi="宋体" w:cs="宋体"/>
          <w:b/>
          <w:sz w:val="24"/>
          <w:shd w:val="clear" w:color="auto" w:fill="auto"/>
        </w:rPr>
        <w:t>1.3价款</w:t>
      </w:r>
      <w:bookmarkEnd w:id="428"/>
      <w:bookmarkEnd w:id="429"/>
      <w:bookmarkEnd w:id="430"/>
    </w:p>
    <w:p w14:paraId="5B5C42FB">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本合同总价（含税）为：￥</w:t>
      </w:r>
      <w:r>
        <w:rPr>
          <w:rFonts w:hint="eastAsia" w:ascii="宋体" w:hAnsi="宋体" w:cs="宋体"/>
          <w:sz w:val="24"/>
          <w:u w:val="single"/>
          <w:shd w:val="clear" w:color="auto" w:fill="auto"/>
        </w:rPr>
        <w:t xml:space="preserve">           </w:t>
      </w:r>
      <w:r>
        <w:rPr>
          <w:rFonts w:hint="eastAsia" w:ascii="宋体" w:hAnsi="宋体" w:cs="宋体"/>
          <w:sz w:val="24"/>
          <w:shd w:val="clear" w:color="auto" w:fill="auto"/>
        </w:rPr>
        <w:t>元（大写：</w:t>
      </w:r>
      <w:r>
        <w:rPr>
          <w:rFonts w:hint="eastAsia" w:ascii="宋体" w:hAnsi="宋体" w:cs="宋体"/>
          <w:sz w:val="24"/>
          <w:u w:val="single"/>
          <w:shd w:val="clear" w:color="auto" w:fill="auto"/>
        </w:rPr>
        <w:t xml:space="preserve">                 </w:t>
      </w:r>
      <w:r>
        <w:rPr>
          <w:rFonts w:hint="eastAsia" w:ascii="宋体" w:hAnsi="宋体" w:cs="宋体"/>
          <w:sz w:val="24"/>
          <w:shd w:val="clear" w:color="auto" w:fill="auto"/>
        </w:rPr>
        <w:t>元人民币）。</w:t>
      </w:r>
    </w:p>
    <w:p w14:paraId="390DE6E7">
      <w:pPr>
        <w:spacing w:line="560" w:lineRule="exact"/>
        <w:ind w:firstLine="480" w:firstLineChars="200"/>
        <w:rPr>
          <w:rFonts w:ascii="宋体" w:hAnsi="宋体" w:cs="宋体"/>
          <w:sz w:val="24"/>
          <w:u w:val="single"/>
          <w:shd w:val="clear" w:color="auto" w:fill="auto"/>
        </w:rPr>
      </w:pPr>
      <w:r>
        <w:rPr>
          <w:rFonts w:hint="eastAsia" w:ascii="宋体" w:hAnsi="宋体" w:cs="宋体"/>
          <w:sz w:val="24"/>
          <w:shd w:val="clear" w:color="auto" w:fill="auto"/>
        </w:rPr>
        <w:t>分项价格：</w:t>
      </w:r>
    </w:p>
    <w:tbl>
      <w:tblPr>
        <w:tblStyle w:val="6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6"/>
        <w:gridCol w:w="4415"/>
        <w:gridCol w:w="3311"/>
      </w:tblGrid>
      <w:tr w14:paraId="24821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38" w:type="pct"/>
            <w:tcBorders>
              <w:top w:val="single" w:color="auto" w:sz="4" w:space="0"/>
              <w:left w:val="single" w:color="auto" w:sz="4" w:space="0"/>
              <w:bottom w:val="single" w:color="auto" w:sz="4" w:space="0"/>
              <w:right w:val="single" w:color="auto" w:sz="4" w:space="0"/>
            </w:tcBorders>
            <w:vAlign w:val="center"/>
          </w:tcPr>
          <w:p w14:paraId="2F979F3D">
            <w:pPr>
              <w:pStyle w:val="320"/>
              <w:spacing w:line="240" w:lineRule="auto"/>
              <w:jc w:val="center"/>
              <w:rPr>
                <w:rFonts w:hAnsi="宋体" w:cs="宋体"/>
                <w:sz w:val="24"/>
                <w:szCs w:val="24"/>
                <w:shd w:val="clear" w:color="auto" w:fill="auto"/>
              </w:rPr>
            </w:pPr>
            <w:r>
              <w:rPr>
                <w:rFonts w:hint="eastAsia" w:hAnsi="宋体" w:cs="宋体"/>
                <w:sz w:val="24"/>
                <w:szCs w:val="24"/>
                <w:shd w:val="clear" w:color="auto" w:fill="auto"/>
              </w:rPr>
              <w:t>序号</w:t>
            </w:r>
          </w:p>
        </w:tc>
        <w:tc>
          <w:tcPr>
            <w:tcW w:w="2378" w:type="pct"/>
            <w:tcBorders>
              <w:top w:val="single" w:color="auto" w:sz="4" w:space="0"/>
              <w:left w:val="single" w:color="auto" w:sz="4" w:space="0"/>
              <w:bottom w:val="single" w:color="auto" w:sz="4" w:space="0"/>
              <w:right w:val="single" w:color="auto" w:sz="4" w:space="0"/>
            </w:tcBorders>
            <w:vAlign w:val="center"/>
          </w:tcPr>
          <w:p w14:paraId="0FF4CEB1">
            <w:pPr>
              <w:pStyle w:val="320"/>
              <w:spacing w:line="240" w:lineRule="auto"/>
              <w:ind w:firstLine="200"/>
              <w:jc w:val="center"/>
              <w:rPr>
                <w:rFonts w:hAnsi="宋体" w:cs="宋体"/>
                <w:sz w:val="24"/>
                <w:szCs w:val="24"/>
                <w:shd w:val="clear" w:color="auto" w:fill="auto"/>
              </w:rPr>
            </w:pPr>
            <w:r>
              <w:rPr>
                <w:rFonts w:hint="eastAsia" w:hAnsi="宋体" w:cs="宋体"/>
                <w:sz w:val="24"/>
                <w:szCs w:val="24"/>
                <w:shd w:val="clear" w:color="auto" w:fill="auto"/>
              </w:rPr>
              <w:t>分项名称</w:t>
            </w:r>
          </w:p>
        </w:tc>
        <w:tc>
          <w:tcPr>
            <w:tcW w:w="1783" w:type="pct"/>
            <w:tcBorders>
              <w:top w:val="single" w:color="auto" w:sz="4" w:space="0"/>
              <w:left w:val="single" w:color="auto" w:sz="4" w:space="0"/>
              <w:bottom w:val="single" w:color="auto" w:sz="4" w:space="0"/>
              <w:right w:val="single" w:color="auto" w:sz="4" w:space="0"/>
            </w:tcBorders>
            <w:vAlign w:val="center"/>
          </w:tcPr>
          <w:p w14:paraId="7648FCDE">
            <w:pPr>
              <w:pStyle w:val="320"/>
              <w:spacing w:line="240" w:lineRule="auto"/>
              <w:jc w:val="center"/>
              <w:rPr>
                <w:rFonts w:hAnsi="宋体" w:cs="宋体"/>
                <w:sz w:val="24"/>
                <w:szCs w:val="24"/>
                <w:shd w:val="clear" w:color="auto" w:fill="auto"/>
              </w:rPr>
            </w:pPr>
            <w:r>
              <w:rPr>
                <w:rFonts w:hint="eastAsia" w:hAnsi="宋体" w:cs="宋体"/>
                <w:sz w:val="24"/>
                <w:szCs w:val="24"/>
                <w:shd w:val="clear" w:color="auto" w:fill="auto"/>
              </w:rPr>
              <w:t>分项价格</w:t>
            </w:r>
          </w:p>
        </w:tc>
      </w:tr>
      <w:tr w14:paraId="6AEB3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38" w:type="pct"/>
            <w:tcBorders>
              <w:top w:val="single" w:color="auto" w:sz="4" w:space="0"/>
              <w:left w:val="single" w:color="auto" w:sz="4" w:space="0"/>
              <w:bottom w:val="single" w:color="auto" w:sz="4" w:space="0"/>
              <w:right w:val="single" w:color="auto" w:sz="4" w:space="0"/>
            </w:tcBorders>
            <w:vAlign w:val="center"/>
          </w:tcPr>
          <w:p w14:paraId="4BCFB5BC">
            <w:pPr>
              <w:pStyle w:val="320"/>
              <w:spacing w:line="240" w:lineRule="auto"/>
              <w:ind w:firstLine="200"/>
              <w:jc w:val="center"/>
              <w:rPr>
                <w:rFonts w:hAnsi="宋体" w:cs="宋体"/>
                <w:sz w:val="24"/>
                <w:szCs w:val="24"/>
                <w:shd w:val="clear" w:color="auto" w:fill="auto"/>
              </w:rPr>
            </w:pPr>
          </w:p>
        </w:tc>
        <w:tc>
          <w:tcPr>
            <w:tcW w:w="2378" w:type="pct"/>
            <w:tcBorders>
              <w:top w:val="single" w:color="auto" w:sz="4" w:space="0"/>
              <w:left w:val="single" w:color="auto" w:sz="4" w:space="0"/>
              <w:bottom w:val="single" w:color="auto" w:sz="4" w:space="0"/>
              <w:right w:val="single" w:color="auto" w:sz="4" w:space="0"/>
            </w:tcBorders>
            <w:vAlign w:val="center"/>
          </w:tcPr>
          <w:p w14:paraId="203CE000">
            <w:pPr>
              <w:pStyle w:val="320"/>
              <w:spacing w:line="240" w:lineRule="auto"/>
              <w:ind w:firstLine="200"/>
              <w:jc w:val="center"/>
              <w:rPr>
                <w:rFonts w:hAnsi="宋体" w:cs="宋体"/>
                <w:sz w:val="24"/>
                <w:szCs w:val="24"/>
                <w:shd w:val="clear" w:color="auto" w:fill="auto"/>
              </w:rPr>
            </w:pPr>
          </w:p>
        </w:tc>
        <w:tc>
          <w:tcPr>
            <w:tcW w:w="1783" w:type="pct"/>
            <w:tcBorders>
              <w:top w:val="single" w:color="auto" w:sz="4" w:space="0"/>
              <w:left w:val="single" w:color="auto" w:sz="4" w:space="0"/>
              <w:bottom w:val="single" w:color="auto" w:sz="4" w:space="0"/>
              <w:right w:val="single" w:color="auto" w:sz="4" w:space="0"/>
            </w:tcBorders>
            <w:vAlign w:val="center"/>
          </w:tcPr>
          <w:p w14:paraId="1D57BB3E">
            <w:pPr>
              <w:pStyle w:val="320"/>
              <w:spacing w:line="240" w:lineRule="auto"/>
              <w:ind w:firstLine="200"/>
              <w:jc w:val="center"/>
              <w:rPr>
                <w:rFonts w:hAnsi="宋体" w:cs="宋体"/>
                <w:sz w:val="24"/>
                <w:szCs w:val="24"/>
                <w:shd w:val="clear" w:color="auto" w:fill="auto"/>
              </w:rPr>
            </w:pPr>
          </w:p>
        </w:tc>
      </w:tr>
      <w:tr w14:paraId="0ECD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38" w:type="pct"/>
            <w:tcBorders>
              <w:top w:val="single" w:color="auto" w:sz="4" w:space="0"/>
              <w:left w:val="single" w:color="auto" w:sz="4" w:space="0"/>
              <w:bottom w:val="single" w:color="auto" w:sz="4" w:space="0"/>
              <w:right w:val="single" w:color="auto" w:sz="4" w:space="0"/>
            </w:tcBorders>
            <w:vAlign w:val="center"/>
          </w:tcPr>
          <w:p w14:paraId="115E5CBD">
            <w:pPr>
              <w:pStyle w:val="320"/>
              <w:spacing w:line="240" w:lineRule="auto"/>
              <w:ind w:firstLine="200"/>
              <w:jc w:val="center"/>
              <w:rPr>
                <w:rFonts w:hAnsi="宋体" w:cs="宋体"/>
                <w:sz w:val="24"/>
                <w:szCs w:val="24"/>
                <w:shd w:val="clear" w:color="auto" w:fill="auto"/>
              </w:rPr>
            </w:pPr>
          </w:p>
        </w:tc>
        <w:tc>
          <w:tcPr>
            <w:tcW w:w="2378" w:type="pct"/>
            <w:tcBorders>
              <w:top w:val="single" w:color="auto" w:sz="4" w:space="0"/>
              <w:left w:val="single" w:color="auto" w:sz="4" w:space="0"/>
              <w:bottom w:val="single" w:color="auto" w:sz="4" w:space="0"/>
              <w:right w:val="single" w:color="auto" w:sz="4" w:space="0"/>
            </w:tcBorders>
            <w:vAlign w:val="center"/>
          </w:tcPr>
          <w:p w14:paraId="778798C6">
            <w:pPr>
              <w:pStyle w:val="320"/>
              <w:spacing w:line="240" w:lineRule="auto"/>
              <w:ind w:firstLine="200"/>
              <w:jc w:val="center"/>
              <w:rPr>
                <w:rFonts w:hAnsi="宋体" w:cs="宋体"/>
                <w:sz w:val="24"/>
                <w:szCs w:val="24"/>
                <w:shd w:val="clear" w:color="auto" w:fill="auto"/>
              </w:rPr>
            </w:pPr>
          </w:p>
        </w:tc>
        <w:tc>
          <w:tcPr>
            <w:tcW w:w="1783" w:type="pct"/>
            <w:tcBorders>
              <w:top w:val="single" w:color="auto" w:sz="4" w:space="0"/>
              <w:left w:val="single" w:color="auto" w:sz="4" w:space="0"/>
              <w:bottom w:val="single" w:color="auto" w:sz="4" w:space="0"/>
              <w:right w:val="single" w:color="auto" w:sz="4" w:space="0"/>
            </w:tcBorders>
            <w:vAlign w:val="center"/>
          </w:tcPr>
          <w:p w14:paraId="6DA7F49D">
            <w:pPr>
              <w:pStyle w:val="320"/>
              <w:spacing w:line="240" w:lineRule="auto"/>
              <w:ind w:firstLine="200"/>
              <w:jc w:val="center"/>
              <w:rPr>
                <w:rFonts w:hAnsi="宋体" w:cs="宋体"/>
                <w:sz w:val="24"/>
                <w:szCs w:val="24"/>
                <w:shd w:val="clear" w:color="auto" w:fill="auto"/>
              </w:rPr>
            </w:pPr>
          </w:p>
        </w:tc>
      </w:tr>
      <w:tr w14:paraId="37DE5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38" w:type="pct"/>
            <w:tcBorders>
              <w:top w:val="single" w:color="auto" w:sz="4" w:space="0"/>
              <w:left w:val="single" w:color="auto" w:sz="4" w:space="0"/>
              <w:bottom w:val="single" w:color="auto" w:sz="4" w:space="0"/>
              <w:right w:val="single" w:color="auto" w:sz="4" w:space="0"/>
            </w:tcBorders>
            <w:vAlign w:val="center"/>
          </w:tcPr>
          <w:p w14:paraId="1C823518">
            <w:pPr>
              <w:pStyle w:val="320"/>
              <w:spacing w:line="240" w:lineRule="auto"/>
              <w:ind w:firstLine="200"/>
              <w:jc w:val="center"/>
              <w:rPr>
                <w:rFonts w:hAnsi="宋体" w:cs="宋体"/>
                <w:sz w:val="24"/>
                <w:szCs w:val="24"/>
                <w:shd w:val="clear" w:color="auto" w:fill="auto"/>
              </w:rPr>
            </w:pPr>
          </w:p>
        </w:tc>
        <w:tc>
          <w:tcPr>
            <w:tcW w:w="2378" w:type="pct"/>
            <w:tcBorders>
              <w:top w:val="single" w:color="auto" w:sz="4" w:space="0"/>
              <w:left w:val="single" w:color="auto" w:sz="4" w:space="0"/>
              <w:bottom w:val="single" w:color="auto" w:sz="4" w:space="0"/>
              <w:right w:val="single" w:color="auto" w:sz="4" w:space="0"/>
            </w:tcBorders>
            <w:vAlign w:val="center"/>
          </w:tcPr>
          <w:p w14:paraId="0EE4BF7A">
            <w:pPr>
              <w:pStyle w:val="320"/>
              <w:spacing w:line="240" w:lineRule="auto"/>
              <w:ind w:firstLine="200"/>
              <w:jc w:val="center"/>
              <w:rPr>
                <w:rFonts w:hAnsi="宋体" w:cs="宋体"/>
                <w:sz w:val="24"/>
                <w:szCs w:val="24"/>
                <w:shd w:val="clear" w:color="auto" w:fill="auto"/>
              </w:rPr>
            </w:pPr>
          </w:p>
        </w:tc>
        <w:tc>
          <w:tcPr>
            <w:tcW w:w="1783" w:type="pct"/>
            <w:tcBorders>
              <w:top w:val="single" w:color="auto" w:sz="4" w:space="0"/>
              <w:left w:val="single" w:color="auto" w:sz="4" w:space="0"/>
              <w:bottom w:val="single" w:color="auto" w:sz="4" w:space="0"/>
              <w:right w:val="single" w:color="auto" w:sz="4" w:space="0"/>
            </w:tcBorders>
            <w:vAlign w:val="center"/>
          </w:tcPr>
          <w:p w14:paraId="155454DF">
            <w:pPr>
              <w:pStyle w:val="320"/>
              <w:spacing w:line="240" w:lineRule="auto"/>
              <w:ind w:firstLine="200"/>
              <w:jc w:val="center"/>
              <w:rPr>
                <w:rFonts w:hAnsi="宋体" w:cs="宋体"/>
                <w:sz w:val="24"/>
                <w:szCs w:val="24"/>
                <w:shd w:val="clear" w:color="auto" w:fill="auto"/>
              </w:rPr>
            </w:pPr>
          </w:p>
        </w:tc>
      </w:tr>
      <w:tr w14:paraId="29D6E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38" w:type="pct"/>
            <w:tcBorders>
              <w:top w:val="single" w:color="auto" w:sz="4" w:space="0"/>
              <w:left w:val="single" w:color="auto" w:sz="4" w:space="0"/>
              <w:bottom w:val="single" w:color="auto" w:sz="4" w:space="0"/>
              <w:right w:val="single" w:color="auto" w:sz="4" w:space="0"/>
            </w:tcBorders>
            <w:vAlign w:val="center"/>
          </w:tcPr>
          <w:p w14:paraId="65510876">
            <w:pPr>
              <w:pStyle w:val="320"/>
              <w:spacing w:line="240" w:lineRule="auto"/>
              <w:ind w:firstLine="200"/>
              <w:jc w:val="center"/>
              <w:rPr>
                <w:rFonts w:hAnsi="宋体" w:cs="宋体"/>
                <w:sz w:val="24"/>
                <w:szCs w:val="24"/>
                <w:shd w:val="clear" w:color="auto" w:fill="auto"/>
              </w:rPr>
            </w:pPr>
          </w:p>
        </w:tc>
        <w:tc>
          <w:tcPr>
            <w:tcW w:w="2378" w:type="pct"/>
            <w:tcBorders>
              <w:top w:val="single" w:color="auto" w:sz="4" w:space="0"/>
              <w:left w:val="single" w:color="auto" w:sz="4" w:space="0"/>
              <w:bottom w:val="single" w:color="auto" w:sz="4" w:space="0"/>
              <w:right w:val="single" w:color="auto" w:sz="4" w:space="0"/>
            </w:tcBorders>
            <w:vAlign w:val="center"/>
          </w:tcPr>
          <w:p w14:paraId="115437EA">
            <w:pPr>
              <w:pStyle w:val="320"/>
              <w:spacing w:line="240" w:lineRule="auto"/>
              <w:ind w:firstLine="200"/>
              <w:jc w:val="center"/>
              <w:rPr>
                <w:rFonts w:hAnsi="宋体" w:cs="宋体"/>
                <w:sz w:val="24"/>
                <w:szCs w:val="24"/>
                <w:shd w:val="clear" w:color="auto" w:fill="auto"/>
              </w:rPr>
            </w:pPr>
          </w:p>
        </w:tc>
        <w:tc>
          <w:tcPr>
            <w:tcW w:w="1783" w:type="pct"/>
            <w:tcBorders>
              <w:top w:val="single" w:color="auto" w:sz="4" w:space="0"/>
              <w:left w:val="single" w:color="auto" w:sz="4" w:space="0"/>
              <w:bottom w:val="single" w:color="auto" w:sz="4" w:space="0"/>
              <w:right w:val="single" w:color="auto" w:sz="4" w:space="0"/>
            </w:tcBorders>
            <w:vAlign w:val="center"/>
          </w:tcPr>
          <w:p w14:paraId="58E2774C">
            <w:pPr>
              <w:pStyle w:val="320"/>
              <w:spacing w:line="240" w:lineRule="auto"/>
              <w:ind w:firstLine="200"/>
              <w:jc w:val="center"/>
              <w:rPr>
                <w:rFonts w:hAnsi="宋体" w:cs="宋体"/>
                <w:sz w:val="24"/>
                <w:szCs w:val="24"/>
                <w:shd w:val="clear" w:color="auto" w:fill="auto"/>
              </w:rPr>
            </w:pPr>
          </w:p>
        </w:tc>
      </w:tr>
      <w:tr w14:paraId="417E9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16" w:type="pct"/>
            <w:gridSpan w:val="2"/>
            <w:tcBorders>
              <w:top w:val="single" w:color="auto" w:sz="4" w:space="0"/>
              <w:left w:val="single" w:color="auto" w:sz="4" w:space="0"/>
              <w:bottom w:val="single" w:color="auto" w:sz="4" w:space="0"/>
              <w:right w:val="single" w:color="auto" w:sz="4" w:space="0"/>
            </w:tcBorders>
            <w:vAlign w:val="center"/>
          </w:tcPr>
          <w:p w14:paraId="5D98E146">
            <w:pPr>
              <w:pStyle w:val="320"/>
              <w:spacing w:line="240" w:lineRule="auto"/>
              <w:ind w:firstLine="200"/>
              <w:jc w:val="center"/>
              <w:rPr>
                <w:rFonts w:hAnsi="宋体" w:cs="宋体"/>
                <w:sz w:val="24"/>
                <w:szCs w:val="24"/>
                <w:shd w:val="clear" w:color="auto" w:fill="auto"/>
              </w:rPr>
            </w:pPr>
            <w:r>
              <w:rPr>
                <w:rFonts w:hint="eastAsia" w:hAnsi="宋体" w:cs="宋体"/>
                <w:sz w:val="24"/>
                <w:szCs w:val="24"/>
                <w:shd w:val="clear" w:color="auto" w:fill="auto"/>
              </w:rPr>
              <w:t>总价</w:t>
            </w:r>
          </w:p>
        </w:tc>
        <w:tc>
          <w:tcPr>
            <w:tcW w:w="1783" w:type="pct"/>
            <w:tcBorders>
              <w:top w:val="single" w:color="auto" w:sz="4" w:space="0"/>
              <w:left w:val="single" w:color="auto" w:sz="4" w:space="0"/>
              <w:bottom w:val="single" w:color="auto" w:sz="4" w:space="0"/>
              <w:right w:val="single" w:color="auto" w:sz="4" w:space="0"/>
            </w:tcBorders>
            <w:vAlign w:val="center"/>
          </w:tcPr>
          <w:p w14:paraId="3B20EF9F">
            <w:pPr>
              <w:pStyle w:val="320"/>
              <w:spacing w:line="240" w:lineRule="auto"/>
              <w:ind w:firstLine="200"/>
              <w:jc w:val="center"/>
              <w:rPr>
                <w:rFonts w:hAnsi="宋体" w:cs="宋体"/>
                <w:sz w:val="24"/>
                <w:szCs w:val="24"/>
                <w:shd w:val="clear" w:color="auto" w:fill="auto"/>
              </w:rPr>
            </w:pPr>
          </w:p>
        </w:tc>
      </w:tr>
    </w:tbl>
    <w:p w14:paraId="294FFEEB">
      <w:pPr>
        <w:bidi w:val="0"/>
        <w:rPr>
          <w:rFonts w:hint="eastAsia"/>
        </w:rPr>
      </w:pPr>
      <w:bookmarkStart w:id="431" w:name="_Toc22618"/>
      <w:bookmarkStart w:id="432" w:name="_Toc1814"/>
      <w:bookmarkStart w:id="433" w:name="_Toc10340"/>
    </w:p>
    <w:p w14:paraId="3E8330E6">
      <w:pPr>
        <w:spacing w:line="480" w:lineRule="auto"/>
        <w:ind w:firstLine="482" w:firstLineChars="200"/>
        <w:outlineLvl w:val="2"/>
        <w:rPr>
          <w:rFonts w:hint="eastAsia" w:ascii="宋体" w:hAnsi="宋体" w:cs="宋体"/>
          <w:b/>
          <w:sz w:val="24"/>
          <w:shd w:val="clear" w:color="auto" w:fill="auto"/>
        </w:rPr>
      </w:pPr>
      <w:r>
        <w:rPr>
          <w:rFonts w:hint="eastAsia" w:ascii="宋体" w:hAnsi="宋体" w:cs="宋体"/>
          <w:b/>
          <w:sz w:val="24"/>
          <w:shd w:val="clear" w:color="auto" w:fill="auto"/>
        </w:rPr>
        <w:t>1.4履约保证金</w:t>
      </w:r>
    </w:p>
    <w:p w14:paraId="0E97E354">
      <w:pPr>
        <w:pStyle w:val="960"/>
        <w:spacing w:before="0" w:beforeAutospacing="0" w:after="0" w:afterAutospacing="0" w:line="480" w:lineRule="auto"/>
        <w:ind w:firstLine="480"/>
        <w:rPr>
          <w:highlight w:val="none"/>
          <w:shd w:val="clear" w:color="auto" w:fill="auto"/>
        </w:rPr>
      </w:pPr>
      <w:r>
        <w:rPr>
          <w:rFonts w:hint="eastAsia"/>
          <w:highlight w:val="none"/>
          <w:shd w:val="clear" w:color="auto" w:fill="auto"/>
        </w:rPr>
        <w:t>乙方</w:t>
      </w:r>
      <w:r>
        <w:rPr>
          <w:rFonts w:hint="eastAsia"/>
          <w:highlight w:val="none"/>
          <w:u w:val="single"/>
          <w:shd w:val="clear" w:color="auto" w:fill="auto"/>
        </w:rPr>
        <w:t xml:space="preserve">  </w:t>
      </w:r>
      <w:r>
        <w:rPr>
          <w:rFonts w:hint="eastAsia"/>
          <w:highlight w:val="none"/>
          <w:shd w:val="clear" w:color="auto" w:fill="auto"/>
        </w:rPr>
        <w:t>否</w:t>
      </w:r>
      <w:r>
        <w:rPr>
          <w:rFonts w:hint="eastAsia"/>
          <w:highlight w:val="none"/>
          <w:u w:val="single"/>
          <w:shd w:val="clear" w:color="auto" w:fill="auto"/>
        </w:rPr>
        <w:t xml:space="preserve"> </w:t>
      </w:r>
      <w:r>
        <w:rPr>
          <w:rFonts w:hint="eastAsia"/>
          <w:highlight w:val="none"/>
          <w:shd w:val="clear" w:color="auto" w:fill="auto"/>
        </w:rPr>
        <w:t>（是</w:t>
      </w:r>
      <w:r>
        <w:rPr>
          <w:rFonts w:hint="eastAsia" w:ascii="仿宋" w:hAnsi="仿宋" w:eastAsia="仿宋" w:cs="仿宋"/>
          <w:highlight w:val="none"/>
          <w:shd w:val="clear" w:color="auto" w:fill="auto"/>
        </w:rPr>
        <w:t>/</w:t>
      </w:r>
      <w:r>
        <w:rPr>
          <w:rFonts w:hint="eastAsia"/>
          <w:highlight w:val="none"/>
          <w:shd w:val="clear" w:color="auto" w:fill="auto"/>
        </w:rPr>
        <w:t>否）需要支付履约保证金。若需要支付履约保证金的，则：</w:t>
      </w:r>
    </w:p>
    <w:p w14:paraId="70371160">
      <w:pPr>
        <w:spacing w:line="480" w:lineRule="auto"/>
        <w:ind w:firstLine="480" w:firstLineChars="200"/>
        <w:outlineLvl w:val="9"/>
        <w:rPr>
          <w:rFonts w:ascii="宋体" w:hAnsi="宋体" w:cs="宋体"/>
          <w:kern w:val="0"/>
          <w:sz w:val="24"/>
          <w:highlight w:val="none"/>
          <w:shd w:val="clear" w:color="auto" w:fill="auto"/>
        </w:rPr>
      </w:pPr>
      <w:r>
        <w:rPr>
          <w:rFonts w:hint="eastAsia" w:ascii="宋体" w:hAnsi="宋体" w:cs="宋体"/>
          <w:kern w:val="0"/>
          <w:sz w:val="24"/>
          <w:highlight w:val="none"/>
          <w:shd w:val="clear" w:color="auto" w:fill="auto"/>
        </w:rPr>
        <w:t>1.4.1履约保证金的比例为合同金额的</w:t>
      </w:r>
      <w:r>
        <w:rPr>
          <w:rFonts w:hint="eastAsia" w:ascii="宋体" w:hAnsi="宋体" w:cs="宋体"/>
          <w:kern w:val="0"/>
          <w:sz w:val="24"/>
          <w:highlight w:val="none"/>
          <w:u w:val="single"/>
          <w:shd w:val="clear" w:color="auto" w:fill="auto"/>
        </w:rPr>
        <w:t xml:space="preserve">  </w:t>
      </w:r>
      <w:r>
        <w:rPr>
          <w:rFonts w:hint="eastAsia" w:ascii="宋体" w:hAnsi="宋体" w:cs="宋体"/>
          <w:kern w:val="0"/>
          <w:sz w:val="24"/>
          <w:highlight w:val="none"/>
          <w:u w:val="single"/>
          <w:shd w:val="clear" w:color="auto" w:fill="auto"/>
          <w:lang w:val="en-US" w:eastAsia="zh-CN"/>
        </w:rPr>
        <w:t>/</w:t>
      </w:r>
      <w:r>
        <w:rPr>
          <w:rFonts w:hint="eastAsia" w:ascii="宋体" w:hAnsi="宋体" w:cs="宋体"/>
          <w:kern w:val="0"/>
          <w:sz w:val="24"/>
          <w:highlight w:val="none"/>
          <w:u w:val="single"/>
          <w:shd w:val="clear" w:color="auto" w:fill="auto"/>
        </w:rPr>
        <w:t xml:space="preserve">  </w:t>
      </w:r>
      <w:r>
        <w:rPr>
          <w:rFonts w:hint="eastAsia" w:ascii="宋体" w:hAnsi="宋体" w:cs="宋体"/>
          <w:kern w:val="0"/>
          <w:sz w:val="24"/>
          <w:highlight w:val="none"/>
          <w:shd w:val="clear" w:color="auto" w:fill="auto"/>
        </w:rPr>
        <w:t>%；</w:t>
      </w:r>
    </w:p>
    <w:p w14:paraId="07703C8F">
      <w:pPr>
        <w:spacing w:line="480" w:lineRule="auto"/>
        <w:ind w:firstLine="480" w:firstLineChars="200"/>
        <w:outlineLvl w:val="9"/>
        <w:rPr>
          <w:rFonts w:ascii="宋体" w:hAnsi="宋体" w:cs="宋体"/>
          <w:kern w:val="0"/>
          <w:sz w:val="24"/>
          <w:shd w:val="clear" w:color="auto" w:fill="auto"/>
        </w:rPr>
      </w:pPr>
      <w:r>
        <w:rPr>
          <w:rFonts w:hint="eastAsia" w:ascii="宋体" w:hAnsi="宋体" w:cs="宋体"/>
          <w:kern w:val="0"/>
          <w:sz w:val="24"/>
          <w:highlight w:val="none"/>
          <w:shd w:val="clear" w:color="auto" w:fill="auto"/>
        </w:rPr>
        <w:t>1.4.2履约保证金支付方式详见</w:t>
      </w:r>
      <w:r>
        <w:rPr>
          <w:rFonts w:hint="eastAsia" w:ascii="宋体" w:hAnsi="宋体" w:cs="宋体"/>
          <w:kern w:val="0"/>
          <w:sz w:val="24"/>
          <w:highlight w:val="none"/>
          <w:u w:val="single"/>
          <w:shd w:val="clear" w:color="auto" w:fill="auto"/>
        </w:rPr>
        <w:t xml:space="preserve">    </w:t>
      </w:r>
      <w:r>
        <w:rPr>
          <w:rFonts w:hint="eastAsia" w:ascii="宋体" w:hAnsi="宋体" w:cs="宋体"/>
          <w:b/>
          <w:i/>
          <w:sz w:val="24"/>
          <w:highlight w:val="none"/>
          <w:u w:val="single"/>
          <w:shd w:val="clear" w:color="auto" w:fill="auto"/>
        </w:rPr>
        <w:t>合同专用条款</w:t>
      </w:r>
      <w:r>
        <w:rPr>
          <w:rFonts w:hint="eastAsia" w:ascii="宋体" w:hAnsi="宋体" w:cs="宋体"/>
          <w:kern w:val="0"/>
          <w:sz w:val="24"/>
          <w:highlight w:val="none"/>
          <w:u w:val="single"/>
          <w:shd w:val="clear" w:color="auto" w:fill="auto"/>
        </w:rPr>
        <w:t xml:space="preserve"> </w:t>
      </w:r>
      <w:r>
        <w:rPr>
          <w:rFonts w:hint="eastAsia" w:ascii="宋体" w:hAnsi="宋体" w:cs="宋体"/>
          <w:kern w:val="0"/>
          <w:sz w:val="24"/>
          <w:u w:val="single"/>
          <w:shd w:val="clear" w:color="auto" w:fill="auto"/>
        </w:rPr>
        <w:t xml:space="preserve">          </w:t>
      </w:r>
      <w:r>
        <w:rPr>
          <w:rFonts w:hint="eastAsia" w:ascii="宋体" w:hAnsi="宋体" w:cs="宋体"/>
          <w:kern w:val="0"/>
          <w:sz w:val="24"/>
          <w:shd w:val="clear" w:color="auto" w:fill="auto"/>
        </w:rPr>
        <w:t>；</w:t>
      </w:r>
    </w:p>
    <w:p w14:paraId="57124D62">
      <w:pPr>
        <w:tabs>
          <w:tab w:val="left" w:pos="0"/>
        </w:tabs>
        <w:spacing w:line="480" w:lineRule="auto"/>
        <w:ind w:left="0" w:firstLine="480" w:firstLineChars="200"/>
        <w:outlineLvl w:val="9"/>
        <w:rPr>
          <w:rFonts w:eastAsia="宋体"/>
          <w:shd w:val="clear" w:color="auto" w:fill="auto"/>
          <w:lang w:val="en-US"/>
        </w:rPr>
      </w:pPr>
      <w:r>
        <w:rPr>
          <w:rFonts w:hint="eastAsia" w:ascii="宋体" w:hAnsi="宋体" w:eastAsia="宋体" w:cs="宋体"/>
          <w:b w:val="0"/>
          <w:bCs w:val="0"/>
          <w:kern w:val="0"/>
          <w:sz w:val="24"/>
          <w:szCs w:val="24"/>
          <w:shd w:val="clear" w:color="auto" w:fill="auto"/>
          <w:lang w:val="en-US"/>
        </w:rPr>
        <w:t>1.4.3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6C4E13C7">
      <w:pPr>
        <w:spacing w:line="480" w:lineRule="auto"/>
        <w:ind w:firstLine="480" w:firstLineChars="200"/>
        <w:outlineLvl w:val="9"/>
        <w:rPr>
          <w:shd w:val="clear" w:color="auto" w:fill="auto"/>
        </w:rPr>
      </w:pPr>
      <w:r>
        <w:rPr>
          <w:rFonts w:hint="eastAsia" w:ascii="宋体" w:hAnsi="宋体" w:cs="宋体"/>
          <w:kern w:val="0"/>
          <w:sz w:val="24"/>
          <w:shd w:val="clear" w:color="auto" w:fill="auto"/>
        </w:rPr>
        <w:t>1.4.4甲方在项目验收结束后及时退还履约保证金。甲方在项目通过验收之日起</w:t>
      </w:r>
      <w:r>
        <w:rPr>
          <w:rFonts w:hint="eastAsia" w:ascii="宋体" w:hAnsi="宋体" w:cs="宋体"/>
          <w:kern w:val="0"/>
          <w:sz w:val="24"/>
          <w:u w:val="single"/>
          <w:shd w:val="clear" w:color="auto" w:fill="auto"/>
        </w:rPr>
        <w:t xml:space="preserve">       </w:t>
      </w:r>
      <w:r>
        <w:rPr>
          <w:rFonts w:hint="eastAsia" w:ascii="宋体" w:hAnsi="宋体" w:cs="宋体"/>
          <w:kern w:val="0"/>
          <w:sz w:val="24"/>
          <w:shd w:val="clear" w:color="auto" w:fill="auto"/>
        </w:rPr>
        <w:t>个工作日内将履约保证金无息退还乙方，逾期退还的，乙方可要求甲方支付违约金，违约金按每迟延退还一日的应退还而未退还金额的</w:t>
      </w:r>
      <w:r>
        <w:rPr>
          <w:rFonts w:hint="eastAsia" w:ascii="宋体" w:hAnsi="宋体" w:cs="宋体"/>
          <w:kern w:val="0"/>
          <w:sz w:val="24"/>
          <w:u w:val="single"/>
          <w:shd w:val="clear" w:color="auto" w:fill="auto"/>
        </w:rPr>
        <w:t xml:space="preserve">  0.05（可根据情况修改）</w:t>
      </w:r>
      <w:r>
        <w:rPr>
          <w:rFonts w:hint="eastAsia" w:ascii="宋体" w:hAnsi="宋体" w:cs="宋体"/>
          <w:sz w:val="24"/>
          <w:u w:val="single"/>
          <w:shd w:val="clear" w:color="auto" w:fill="auto"/>
        </w:rPr>
        <w:t xml:space="preserve"> </w:t>
      </w:r>
      <w:r>
        <w:rPr>
          <w:rFonts w:hint="eastAsia" w:ascii="宋体" w:hAnsi="宋体" w:cs="宋体"/>
          <w:kern w:val="0"/>
          <w:sz w:val="24"/>
          <w:u w:val="single"/>
          <w:shd w:val="clear" w:color="auto" w:fill="auto"/>
        </w:rPr>
        <w:t xml:space="preserve">  </w:t>
      </w:r>
      <w:r>
        <w:rPr>
          <w:rFonts w:hint="eastAsia" w:ascii="宋体" w:hAnsi="宋体" w:cs="宋体"/>
          <w:kern w:val="0"/>
          <w:sz w:val="24"/>
          <w:shd w:val="clear" w:color="auto" w:fill="auto"/>
        </w:rPr>
        <w:t>%计算，最高限额为本合同履约保证金的</w:t>
      </w:r>
      <w:r>
        <w:rPr>
          <w:rFonts w:hint="eastAsia" w:ascii="宋体" w:hAnsi="宋体" w:cs="宋体"/>
          <w:kern w:val="0"/>
          <w:sz w:val="24"/>
          <w:u w:val="single"/>
          <w:shd w:val="clear" w:color="auto" w:fill="auto"/>
        </w:rPr>
        <w:t xml:space="preserve">  20  </w:t>
      </w:r>
      <w:r>
        <w:rPr>
          <w:rFonts w:hint="eastAsia" w:ascii="宋体" w:hAnsi="宋体" w:cs="宋体"/>
          <w:kern w:val="0"/>
          <w:sz w:val="24"/>
          <w:shd w:val="clear" w:color="auto" w:fill="auto"/>
        </w:rPr>
        <w:t xml:space="preserve"> %。</w:t>
      </w:r>
    </w:p>
    <w:p w14:paraId="6424F564">
      <w:pPr>
        <w:spacing w:line="480" w:lineRule="auto"/>
        <w:ind w:firstLine="482" w:firstLineChars="200"/>
        <w:outlineLvl w:val="2"/>
        <w:rPr>
          <w:rFonts w:hint="eastAsia" w:ascii="宋体" w:hAnsi="宋体" w:cs="宋体"/>
          <w:b/>
          <w:sz w:val="24"/>
          <w:shd w:val="clear" w:color="auto" w:fill="auto"/>
        </w:rPr>
      </w:pPr>
      <w:r>
        <w:rPr>
          <w:rFonts w:hint="eastAsia" w:ascii="宋体" w:hAnsi="宋体" w:cs="宋体"/>
          <w:b/>
          <w:sz w:val="24"/>
          <w:shd w:val="clear" w:color="auto" w:fill="auto"/>
        </w:rPr>
        <w:t>1.5</w:t>
      </w:r>
      <w:bookmarkEnd w:id="431"/>
      <w:bookmarkEnd w:id="432"/>
      <w:bookmarkEnd w:id="433"/>
      <w:r>
        <w:rPr>
          <w:rFonts w:hint="eastAsia" w:ascii="宋体" w:hAnsi="宋体" w:cs="宋体"/>
          <w:b/>
          <w:sz w:val="24"/>
          <w:shd w:val="clear" w:color="auto" w:fill="auto"/>
        </w:rPr>
        <w:t>预付款</w:t>
      </w:r>
    </w:p>
    <w:p w14:paraId="0FC9024A">
      <w:pPr>
        <w:pStyle w:val="960"/>
        <w:spacing w:before="0" w:beforeAutospacing="0" w:after="0" w:afterAutospacing="0" w:line="480" w:lineRule="auto"/>
        <w:ind w:firstLine="480"/>
        <w:rPr>
          <w:shd w:val="clear" w:color="auto" w:fill="auto"/>
        </w:rPr>
      </w:pPr>
      <w:r>
        <w:rPr>
          <w:rFonts w:hint="eastAsia"/>
          <w:shd w:val="clear" w:color="auto" w:fill="auto"/>
        </w:rPr>
        <w:t>甲方</w:t>
      </w:r>
      <w:r>
        <w:rPr>
          <w:rFonts w:hint="eastAsia"/>
          <w:u w:val="single"/>
          <w:shd w:val="clear" w:color="auto" w:fill="auto"/>
        </w:rPr>
        <w:t xml:space="preserve"> </w:t>
      </w:r>
      <w:r>
        <w:rPr>
          <w:rFonts w:hint="eastAsia"/>
          <w:u w:val="single"/>
          <w:shd w:val="clear" w:color="auto" w:fill="auto"/>
          <w:lang w:eastAsia="zh-CN"/>
        </w:rPr>
        <w:t>是</w:t>
      </w:r>
      <w:r>
        <w:rPr>
          <w:rFonts w:hint="eastAsia"/>
          <w:shd w:val="clear" w:color="auto" w:fill="auto"/>
        </w:rPr>
        <w:t>（是</w:t>
      </w:r>
      <w:r>
        <w:rPr>
          <w:rFonts w:hint="eastAsia" w:ascii="仿宋" w:hAnsi="仿宋" w:eastAsia="仿宋" w:cs="仿宋"/>
          <w:shd w:val="clear" w:color="auto" w:fill="auto"/>
        </w:rPr>
        <w:t>/</w:t>
      </w:r>
      <w:r>
        <w:rPr>
          <w:rFonts w:hint="eastAsia"/>
          <w:shd w:val="clear" w:color="auto" w:fill="auto"/>
        </w:rPr>
        <w:t>否）需要支付预付款。若需要支付预付款的，则：</w:t>
      </w:r>
    </w:p>
    <w:p w14:paraId="73D55111">
      <w:pPr>
        <w:spacing w:line="480" w:lineRule="auto"/>
        <w:ind w:firstLine="480" w:firstLineChars="200"/>
        <w:rPr>
          <w:rFonts w:ascii="宋体" w:hAnsi="宋体" w:cs="宋体"/>
          <w:kern w:val="0"/>
          <w:sz w:val="24"/>
          <w:shd w:val="clear" w:color="auto" w:fill="auto"/>
        </w:rPr>
      </w:pPr>
      <w:r>
        <w:rPr>
          <w:rFonts w:hint="eastAsia" w:ascii="宋体" w:hAnsi="宋体" w:cs="宋体"/>
          <w:kern w:val="0"/>
          <w:sz w:val="24"/>
          <w:shd w:val="clear" w:color="auto" w:fill="auto"/>
        </w:rPr>
        <w:t>1.5.1预付款比例、支付方式、时间详见</w:t>
      </w:r>
      <w:r>
        <w:rPr>
          <w:rFonts w:hint="eastAsia" w:ascii="宋体" w:hAnsi="宋体" w:cs="宋体"/>
          <w:kern w:val="0"/>
          <w:sz w:val="24"/>
          <w:u w:val="single"/>
          <w:shd w:val="clear" w:color="auto" w:fill="auto"/>
        </w:rPr>
        <w:t xml:space="preserve">    </w:t>
      </w:r>
      <w:r>
        <w:rPr>
          <w:rFonts w:hint="eastAsia" w:ascii="宋体" w:hAnsi="宋体" w:cs="宋体"/>
          <w:b/>
          <w:i/>
          <w:sz w:val="24"/>
          <w:u w:val="single"/>
          <w:shd w:val="clear" w:color="auto" w:fill="auto"/>
        </w:rPr>
        <w:t>合同专用条款</w:t>
      </w:r>
      <w:r>
        <w:rPr>
          <w:rFonts w:hint="eastAsia" w:ascii="宋体" w:hAnsi="宋体" w:cs="宋体"/>
          <w:kern w:val="0"/>
          <w:sz w:val="24"/>
          <w:u w:val="single"/>
          <w:shd w:val="clear" w:color="auto" w:fill="auto"/>
        </w:rPr>
        <w:t xml:space="preserve">           </w:t>
      </w:r>
      <w:r>
        <w:rPr>
          <w:rFonts w:hint="eastAsia" w:ascii="宋体" w:hAnsi="宋体" w:cs="宋体"/>
          <w:kern w:val="0"/>
          <w:sz w:val="24"/>
          <w:shd w:val="clear" w:color="auto" w:fill="auto"/>
        </w:rPr>
        <w:t>；</w:t>
      </w:r>
    </w:p>
    <w:p w14:paraId="141B1CE4">
      <w:pPr>
        <w:pStyle w:val="960"/>
        <w:spacing w:before="0" w:beforeAutospacing="0" w:after="0" w:afterAutospacing="0" w:line="480" w:lineRule="auto"/>
        <w:ind w:firstLine="480"/>
        <w:rPr>
          <w:shd w:val="clear" w:color="auto" w:fill="auto"/>
        </w:rPr>
      </w:pPr>
      <w:r>
        <w:rPr>
          <w:rFonts w:hint="eastAsia"/>
          <w:shd w:val="clear" w:color="auto" w:fill="auto"/>
        </w:rPr>
        <w:t>1.5.2预付款的扣回方式详见</w:t>
      </w:r>
      <w:r>
        <w:rPr>
          <w:rFonts w:hint="eastAsia"/>
          <w:u w:val="single"/>
          <w:shd w:val="clear" w:color="auto" w:fill="auto"/>
        </w:rPr>
        <w:t xml:space="preserve">    </w:t>
      </w:r>
      <w:r>
        <w:rPr>
          <w:rFonts w:hint="eastAsia"/>
          <w:b/>
          <w:i/>
          <w:u w:val="single"/>
          <w:shd w:val="clear" w:color="auto" w:fill="auto"/>
        </w:rPr>
        <w:t>合同专用条款</w:t>
      </w:r>
      <w:r>
        <w:rPr>
          <w:rFonts w:hint="eastAsia"/>
          <w:u w:val="single"/>
          <w:shd w:val="clear" w:color="auto" w:fill="auto"/>
        </w:rPr>
        <w:t xml:space="preserve">           </w:t>
      </w:r>
      <w:r>
        <w:rPr>
          <w:rFonts w:hint="eastAsia"/>
          <w:shd w:val="clear" w:color="auto" w:fill="auto"/>
        </w:rPr>
        <w:t>；</w:t>
      </w:r>
    </w:p>
    <w:p w14:paraId="1BCE78A3">
      <w:pPr>
        <w:pStyle w:val="960"/>
        <w:spacing w:before="0" w:beforeAutospacing="0" w:after="0" w:afterAutospacing="0" w:line="480" w:lineRule="auto"/>
        <w:ind w:firstLine="480"/>
        <w:rPr>
          <w:u w:val="single"/>
          <w:shd w:val="clear" w:color="auto" w:fill="auto"/>
        </w:rPr>
      </w:pPr>
      <w:r>
        <w:rPr>
          <w:rFonts w:hint="eastAsia"/>
          <w:shd w:val="clear" w:color="auto" w:fill="auto"/>
        </w:rPr>
        <w:t>1.5.3预付款的担保措施详见</w:t>
      </w:r>
      <w:r>
        <w:rPr>
          <w:rFonts w:hint="eastAsia"/>
          <w:u w:val="single"/>
          <w:shd w:val="clear" w:color="auto" w:fill="auto"/>
        </w:rPr>
        <w:t xml:space="preserve">    </w:t>
      </w:r>
      <w:r>
        <w:rPr>
          <w:rFonts w:hint="eastAsia"/>
          <w:b/>
          <w:i/>
          <w:u w:val="single"/>
          <w:shd w:val="clear" w:color="auto" w:fill="auto"/>
        </w:rPr>
        <w:t>合同专用条款</w:t>
      </w:r>
      <w:r>
        <w:rPr>
          <w:rFonts w:hint="eastAsia"/>
          <w:u w:val="single"/>
          <w:shd w:val="clear" w:color="auto" w:fill="auto"/>
        </w:rPr>
        <w:t xml:space="preserve">          </w:t>
      </w:r>
      <w:r>
        <w:rPr>
          <w:rFonts w:hint="eastAsia"/>
          <w:shd w:val="clear" w:color="auto" w:fill="auto"/>
        </w:rPr>
        <w:t>。</w:t>
      </w:r>
    </w:p>
    <w:p w14:paraId="38A8AE63">
      <w:pPr>
        <w:spacing w:line="480" w:lineRule="auto"/>
        <w:ind w:firstLine="482" w:firstLineChars="200"/>
        <w:outlineLvl w:val="2"/>
        <w:rPr>
          <w:rFonts w:hint="eastAsia" w:ascii="宋体" w:hAnsi="宋体" w:cs="宋体"/>
          <w:b/>
          <w:sz w:val="24"/>
          <w:shd w:val="clear" w:color="auto" w:fill="auto"/>
        </w:rPr>
      </w:pPr>
      <w:r>
        <w:rPr>
          <w:rFonts w:hint="eastAsia" w:ascii="宋体" w:hAnsi="宋体" w:cs="宋体"/>
          <w:b/>
          <w:sz w:val="24"/>
          <w:shd w:val="clear" w:color="auto" w:fill="auto"/>
        </w:rPr>
        <w:t>1.6资金支付</w:t>
      </w:r>
    </w:p>
    <w:p w14:paraId="1E6F02E5">
      <w:pPr>
        <w:pStyle w:val="960"/>
        <w:spacing w:before="0" w:beforeAutospacing="0" w:after="0" w:afterAutospacing="0" w:line="480" w:lineRule="auto"/>
        <w:ind w:firstLine="480"/>
        <w:rPr>
          <w:shd w:val="clear" w:color="auto" w:fill="auto"/>
        </w:rPr>
      </w:pPr>
      <w:r>
        <w:rPr>
          <w:rFonts w:hint="eastAsia"/>
          <w:shd w:val="clear" w:color="auto" w:fill="auto"/>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6DE16C85">
      <w:pPr>
        <w:spacing w:line="480" w:lineRule="auto"/>
        <w:ind w:firstLine="480" w:firstLineChars="200"/>
        <w:outlineLvl w:val="9"/>
        <w:rPr>
          <w:rFonts w:ascii="宋体" w:hAnsi="宋体" w:cs="宋体"/>
          <w:sz w:val="24"/>
          <w:shd w:val="clear" w:color="auto" w:fill="auto"/>
        </w:rPr>
      </w:pPr>
      <w:r>
        <w:rPr>
          <w:rFonts w:hint="eastAsia" w:ascii="宋体" w:hAnsi="宋体" w:cs="宋体"/>
          <w:sz w:val="24"/>
          <w:shd w:val="clear" w:color="auto" w:fill="auto"/>
        </w:rPr>
        <w:t>1.6.2资金支付的方式、时间和条件详见</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w:t>
      </w:r>
    </w:p>
    <w:p w14:paraId="1E5CF85E">
      <w:pPr>
        <w:spacing w:line="480" w:lineRule="auto"/>
        <w:ind w:firstLine="482" w:firstLineChars="200"/>
        <w:outlineLvl w:val="2"/>
        <w:rPr>
          <w:rFonts w:hint="eastAsia" w:ascii="宋体" w:hAnsi="宋体" w:cs="宋体"/>
          <w:b/>
          <w:sz w:val="24"/>
          <w:shd w:val="clear" w:color="auto" w:fill="auto"/>
        </w:rPr>
      </w:pPr>
      <w:bookmarkStart w:id="434" w:name="_Toc19304"/>
      <w:bookmarkStart w:id="435" w:name="_Toc2846"/>
      <w:bookmarkStart w:id="436" w:name="_Toc32071"/>
      <w:r>
        <w:rPr>
          <w:rFonts w:hint="eastAsia" w:ascii="宋体" w:hAnsi="宋体" w:cs="宋体"/>
          <w:b/>
          <w:sz w:val="24"/>
          <w:shd w:val="clear" w:color="auto" w:fill="auto"/>
        </w:rPr>
        <w:t>1.7货物交付期限、地点和方式</w:t>
      </w:r>
      <w:bookmarkEnd w:id="434"/>
      <w:bookmarkEnd w:id="435"/>
      <w:bookmarkEnd w:id="436"/>
    </w:p>
    <w:p w14:paraId="40CD7BAC">
      <w:pPr>
        <w:spacing w:line="480" w:lineRule="auto"/>
        <w:ind w:firstLine="480" w:firstLineChars="200"/>
        <w:rPr>
          <w:rFonts w:ascii="宋体" w:hAnsi="宋体" w:cs="宋体"/>
          <w:sz w:val="24"/>
          <w:u w:val="single"/>
          <w:shd w:val="clear" w:color="auto" w:fill="auto"/>
        </w:rPr>
      </w:pPr>
      <w:r>
        <w:rPr>
          <w:rFonts w:hint="eastAsia" w:ascii="宋体" w:hAnsi="宋体" w:cs="宋体"/>
          <w:sz w:val="24"/>
          <w:shd w:val="clear" w:color="auto" w:fill="auto"/>
        </w:rPr>
        <w:t>1.7.1交付期限：详见</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w:t>
      </w:r>
    </w:p>
    <w:p w14:paraId="6FBE2DC1">
      <w:pPr>
        <w:spacing w:line="480" w:lineRule="auto"/>
        <w:ind w:firstLine="480" w:firstLineChars="200"/>
        <w:rPr>
          <w:rFonts w:ascii="宋体" w:hAnsi="宋体" w:cs="宋体"/>
          <w:sz w:val="24"/>
          <w:shd w:val="clear" w:color="auto" w:fill="auto"/>
        </w:rPr>
      </w:pPr>
      <w:r>
        <w:rPr>
          <w:rFonts w:hint="eastAsia" w:ascii="宋体" w:hAnsi="宋体" w:cs="宋体"/>
          <w:sz w:val="24"/>
          <w:shd w:val="clear" w:color="auto" w:fill="auto"/>
        </w:rPr>
        <w:t>1.7.2交付地点：</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w:t>
      </w:r>
    </w:p>
    <w:p w14:paraId="4A17FFAC">
      <w:pPr>
        <w:spacing w:line="480" w:lineRule="auto"/>
        <w:ind w:firstLine="480" w:firstLineChars="200"/>
        <w:rPr>
          <w:rFonts w:ascii="宋体" w:hAnsi="宋体" w:cs="宋体"/>
          <w:sz w:val="24"/>
          <w:shd w:val="clear" w:color="auto" w:fill="auto"/>
        </w:rPr>
      </w:pPr>
      <w:r>
        <w:rPr>
          <w:rFonts w:hint="eastAsia" w:ascii="宋体" w:hAnsi="宋体" w:cs="宋体"/>
          <w:sz w:val="24"/>
          <w:shd w:val="clear" w:color="auto" w:fill="auto"/>
        </w:rPr>
        <w:t>1.7.3交付方式：</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w:t>
      </w:r>
    </w:p>
    <w:p w14:paraId="152D57DD">
      <w:pPr>
        <w:spacing w:line="480" w:lineRule="auto"/>
        <w:ind w:firstLine="482" w:firstLineChars="200"/>
        <w:outlineLvl w:val="2"/>
        <w:rPr>
          <w:rFonts w:hint="eastAsia" w:ascii="宋体" w:hAnsi="宋体" w:cs="宋体"/>
          <w:b/>
          <w:sz w:val="24"/>
          <w:shd w:val="clear" w:color="auto" w:fill="auto"/>
        </w:rPr>
      </w:pPr>
      <w:bookmarkStart w:id="437" w:name="_Toc27250"/>
      <w:bookmarkStart w:id="438" w:name="_Toc19554"/>
      <w:bookmarkStart w:id="439" w:name="_Toc21423"/>
      <w:r>
        <w:rPr>
          <w:rFonts w:hint="eastAsia" w:ascii="宋体" w:hAnsi="宋体" w:cs="宋体"/>
          <w:b/>
          <w:sz w:val="24"/>
          <w:shd w:val="clear" w:color="auto" w:fill="auto"/>
        </w:rPr>
        <w:t>1.8违约责任</w:t>
      </w:r>
      <w:bookmarkEnd w:id="437"/>
      <w:bookmarkEnd w:id="438"/>
      <w:bookmarkEnd w:id="439"/>
    </w:p>
    <w:p w14:paraId="2EBFFFCB">
      <w:pPr>
        <w:spacing w:line="480" w:lineRule="auto"/>
        <w:ind w:firstLine="480" w:firstLineChars="200"/>
        <w:rPr>
          <w:rFonts w:ascii="宋体" w:hAnsi="宋体" w:cs="宋体"/>
          <w:sz w:val="24"/>
          <w:shd w:val="clear" w:color="auto" w:fill="auto"/>
        </w:rPr>
      </w:pPr>
      <w:r>
        <w:rPr>
          <w:rFonts w:hint="eastAsia" w:ascii="宋体" w:hAnsi="宋体" w:cs="宋体"/>
          <w:sz w:val="24"/>
          <w:shd w:val="clear" w:color="auto" w:fill="auto"/>
        </w:rPr>
        <w:t>1.8.1除不可抗力外，如果乙方没有按照本合同约定的期限、地点和方式交付货物，那么甲方可要求乙方支付违约金，违约金按每迟延交付货物一日的应交付而未交付货物价格的</w:t>
      </w:r>
      <w:r>
        <w:rPr>
          <w:rFonts w:hint="eastAsia" w:ascii="宋体" w:hAnsi="宋体" w:cs="宋体"/>
          <w:sz w:val="24"/>
          <w:u w:val="single"/>
          <w:shd w:val="clear" w:color="auto" w:fill="auto"/>
        </w:rPr>
        <w:t xml:space="preserve">  0.05</w:t>
      </w:r>
      <w:r>
        <w:rPr>
          <w:rFonts w:hint="eastAsia" w:ascii="宋体" w:hAnsi="宋体" w:cs="宋体"/>
          <w:kern w:val="0"/>
          <w:sz w:val="24"/>
          <w:u w:val="single"/>
          <w:shd w:val="clear" w:color="auto" w:fill="auto"/>
        </w:rPr>
        <w:t>（可根据情况修改）</w:t>
      </w:r>
      <w:r>
        <w:rPr>
          <w:rFonts w:hint="eastAsia" w:ascii="宋体" w:hAnsi="宋体" w:cs="宋体"/>
          <w:sz w:val="24"/>
          <w:u w:val="single"/>
          <w:shd w:val="clear" w:color="auto" w:fill="auto"/>
        </w:rPr>
        <w:t xml:space="preserve">    </w:t>
      </w:r>
      <w:r>
        <w:rPr>
          <w:rFonts w:hint="eastAsia" w:ascii="宋体" w:hAnsi="宋体" w:cs="宋体"/>
          <w:sz w:val="24"/>
          <w:shd w:val="clear" w:color="auto" w:fill="auto"/>
        </w:rPr>
        <w:t>%计算，最高限额为本合同总价的</w:t>
      </w:r>
      <w:r>
        <w:rPr>
          <w:rFonts w:hint="eastAsia" w:ascii="宋体" w:hAnsi="宋体" w:cs="宋体"/>
          <w:sz w:val="24"/>
          <w:u w:val="single"/>
          <w:shd w:val="clear" w:color="auto" w:fill="auto"/>
        </w:rPr>
        <w:t xml:space="preserve"> 20   </w:t>
      </w:r>
      <w:r>
        <w:rPr>
          <w:rFonts w:hint="eastAsia" w:ascii="宋体" w:hAnsi="宋体" w:cs="宋体"/>
          <w:sz w:val="24"/>
          <w:shd w:val="clear" w:color="auto" w:fill="auto"/>
        </w:rPr>
        <w:t>%；迟延交付货物的违约金计算数额达到前述最高限额之日起，甲方有权在要求乙方支付违约金的同时，书面通知乙方解除本合同；</w:t>
      </w:r>
    </w:p>
    <w:p w14:paraId="1CBDEEB3">
      <w:pPr>
        <w:spacing w:line="480" w:lineRule="auto"/>
        <w:ind w:firstLine="480" w:firstLineChars="200"/>
        <w:rPr>
          <w:rFonts w:ascii="宋体" w:hAnsi="宋体" w:cs="宋体"/>
          <w:sz w:val="24"/>
          <w:shd w:val="clear" w:color="auto" w:fill="auto"/>
        </w:rPr>
      </w:pPr>
      <w:r>
        <w:rPr>
          <w:rFonts w:hint="eastAsia" w:ascii="宋体" w:hAnsi="宋体" w:cs="宋体"/>
          <w:sz w:val="24"/>
          <w:shd w:val="clear" w:color="auto" w:fill="auto"/>
        </w:rPr>
        <w:t>1.8.2除不可抗力外，如果甲方没有按照本合同约定的付款方式付款，那么乙方可要求甲方支付违约金，违约金按每迟延付款一日的应付而未付款的</w:t>
      </w:r>
      <w:r>
        <w:rPr>
          <w:rFonts w:hint="eastAsia" w:ascii="宋体" w:hAnsi="宋体" w:cs="宋体"/>
          <w:sz w:val="24"/>
          <w:u w:val="single"/>
          <w:shd w:val="clear" w:color="auto" w:fill="auto"/>
        </w:rPr>
        <w:t xml:space="preserve"> 0.05</w:t>
      </w:r>
      <w:r>
        <w:rPr>
          <w:rFonts w:hint="eastAsia" w:ascii="宋体" w:hAnsi="宋体" w:cs="宋体"/>
          <w:kern w:val="0"/>
          <w:sz w:val="24"/>
          <w:u w:val="single"/>
          <w:shd w:val="clear" w:color="auto" w:fill="auto"/>
        </w:rPr>
        <w:t>（可根据情况修改）</w:t>
      </w:r>
      <w:r>
        <w:rPr>
          <w:rFonts w:hint="eastAsia" w:ascii="宋体" w:hAnsi="宋体" w:cs="宋体"/>
          <w:sz w:val="24"/>
          <w:u w:val="single"/>
          <w:shd w:val="clear" w:color="auto" w:fill="auto"/>
        </w:rPr>
        <w:t xml:space="preserve">      </w:t>
      </w:r>
      <w:r>
        <w:rPr>
          <w:rFonts w:hint="eastAsia" w:ascii="宋体" w:hAnsi="宋体" w:cs="宋体"/>
          <w:sz w:val="24"/>
          <w:shd w:val="clear" w:color="auto" w:fill="auto"/>
        </w:rPr>
        <w:t>%计算，最高限额为本合同总价的</w:t>
      </w:r>
      <w:r>
        <w:rPr>
          <w:rFonts w:hint="eastAsia" w:ascii="宋体" w:hAnsi="宋体" w:cs="宋体"/>
          <w:sz w:val="24"/>
          <w:u w:val="single"/>
          <w:shd w:val="clear" w:color="auto" w:fill="auto"/>
        </w:rPr>
        <w:t xml:space="preserve">   20   </w:t>
      </w:r>
      <w:r>
        <w:rPr>
          <w:rFonts w:hint="eastAsia" w:ascii="宋体" w:hAnsi="宋体" w:cs="宋体"/>
          <w:sz w:val="24"/>
          <w:shd w:val="clear" w:color="auto" w:fill="auto"/>
        </w:rPr>
        <w:t>%；迟延付款的违约金计算数额达到前述最高限额之日起，乙方有权在要求甲方支付违约金的同时，书面通知甲方解除本合同；</w:t>
      </w:r>
    </w:p>
    <w:p w14:paraId="47449AC6">
      <w:pPr>
        <w:spacing w:line="480" w:lineRule="auto"/>
        <w:ind w:firstLine="480" w:firstLineChars="200"/>
        <w:rPr>
          <w:rFonts w:ascii="宋体" w:hAnsi="宋体" w:cs="宋体"/>
          <w:sz w:val="24"/>
          <w:shd w:val="clear" w:color="auto" w:fill="auto"/>
        </w:rPr>
      </w:pPr>
      <w:r>
        <w:rPr>
          <w:rFonts w:hint="eastAsia" w:ascii="宋体" w:hAnsi="宋体" w:cs="宋体"/>
          <w:sz w:val="24"/>
          <w:shd w:val="clear" w:color="auto" w:fill="auto"/>
        </w:rPr>
        <w:t>1.8.3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33D59693">
      <w:pPr>
        <w:spacing w:line="480" w:lineRule="auto"/>
        <w:ind w:firstLine="480" w:firstLineChars="200"/>
        <w:rPr>
          <w:rFonts w:ascii="宋体" w:hAnsi="宋体" w:cs="宋体"/>
          <w:sz w:val="24"/>
          <w:shd w:val="clear" w:color="auto" w:fill="auto"/>
        </w:rPr>
      </w:pPr>
      <w:r>
        <w:rPr>
          <w:rFonts w:hint="eastAsia" w:ascii="宋体" w:hAnsi="宋体" w:cs="宋体"/>
          <w:sz w:val="24"/>
          <w:shd w:val="clear" w:color="auto" w:fill="auto"/>
        </w:rPr>
        <w:t>1.8.4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4D6F9166">
      <w:pPr>
        <w:spacing w:line="480" w:lineRule="auto"/>
        <w:ind w:firstLine="480" w:firstLineChars="200"/>
        <w:rPr>
          <w:rFonts w:ascii="宋体" w:hAnsi="宋体" w:cs="宋体"/>
          <w:sz w:val="24"/>
          <w:shd w:val="clear" w:color="auto" w:fill="auto"/>
        </w:rPr>
      </w:pPr>
      <w:r>
        <w:rPr>
          <w:rFonts w:hint="eastAsia" w:ascii="宋体" w:hAnsi="宋体" w:cs="宋体"/>
          <w:sz w:val="24"/>
          <w:shd w:val="clear" w:color="auto" w:fill="auto"/>
        </w:rPr>
        <w:t>1.8.5如果出现政府采购监督管理部门在处理投诉事项期间，书面通知甲方暂停采购活动的情形，或者询问或质疑事项可能影响中标或者成交结果的，导致甲方中止履行合同的情形，均不视为甲方违约。</w:t>
      </w:r>
    </w:p>
    <w:p w14:paraId="7A462F7D">
      <w:pPr>
        <w:spacing w:line="480" w:lineRule="auto"/>
        <w:ind w:left="-420" w:leftChars="-200" w:right="-420" w:rightChars="-200" w:firstLine="960" w:firstLineChars="400"/>
        <w:rPr>
          <w:rFonts w:ascii="宋体" w:hAnsi="宋体" w:cs="宋体"/>
          <w:shd w:val="clear" w:color="auto" w:fill="auto"/>
        </w:rPr>
      </w:pPr>
      <w:r>
        <w:rPr>
          <w:rFonts w:hint="eastAsia" w:ascii="宋体" w:hAnsi="宋体" w:cs="宋体"/>
          <w:sz w:val="24"/>
          <w:shd w:val="clear" w:color="auto" w:fill="auto"/>
        </w:rPr>
        <w:t>1.8.6违约责任</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另有约定的，从其约定。</w:t>
      </w:r>
    </w:p>
    <w:p w14:paraId="1C426F6C">
      <w:pPr>
        <w:spacing w:line="480" w:lineRule="auto"/>
        <w:ind w:firstLine="482" w:firstLineChars="200"/>
        <w:outlineLvl w:val="2"/>
        <w:rPr>
          <w:rFonts w:hint="eastAsia" w:ascii="宋体" w:hAnsi="宋体" w:cs="宋体"/>
          <w:b/>
          <w:sz w:val="24"/>
          <w:shd w:val="clear" w:color="auto" w:fill="auto"/>
        </w:rPr>
      </w:pPr>
      <w:bookmarkStart w:id="440" w:name="_Toc16021"/>
      <w:bookmarkStart w:id="441" w:name="_Toc28375"/>
      <w:bookmarkStart w:id="442" w:name="_Toc15583"/>
      <w:r>
        <w:rPr>
          <w:rFonts w:hint="eastAsia" w:ascii="宋体" w:hAnsi="宋体" w:cs="宋体"/>
          <w:b/>
          <w:sz w:val="24"/>
          <w:shd w:val="clear" w:color="auto" w:fill="auto"/>
        </w:rPr>
        <w:t>1.9合同争议的解决</w:t>
      </w:r>
      <w:bookmarkEnd w:id="440"/>
      <w:bookmarkEnd w:id="441"/>
      <w:bookmarkEnd w:id="442"/>
    </w:p>
    <w:p w14:paraId="7F65F425">
      <w:pPr>
        <w:spacing w:line="480" w:lineRule="auto"/>
        <w:ind w:right="-420" w:rightChars="-200" w:firstLine="480" w:firstLineChars="200"/>
        <w:rPr>
          <w:rFonts w:ascii="宋体" w:hAnsi="宋体" w:cs="宋体"/>
          <w:sz w:val="24"/>
          <w:shd w:val="clear" w:color="auto" w:fill="auto"/>
        </w:rPr>
      </w:pPr>
      <w:r>
        <w:rPr>
          <w:rFonts w:hint="eastAsia" w:ascii="宋体" w:hAnsi="宋体" w:cs="宋体"/>
          <w:sz w:val="24"/>
          <w:shd w:val="clear" w:color="auto" w:fill="auto"/>
        </w:rPr>
        <w:t>本合同履行过程中发生的任何争议，双方当事人均可通过和解或者调解解决；不愿和解、调解或者和解、调解不成的，可以选择以下第</w:t>
      </w:r>
      <w:r>
        <w:rPr>
          <w:rFonts w:hint="eastAsia" w:ascii="宋体" w:hAnsi="宋体" w:cs="宋体"/>
          <w:b/>
          <w:i/>
          <w:sz w:val="24"/>
          <w:u w:val="single"/>
          <w:shd w:val="clear" w:color="auto" w:fill="auto"/>
        </w:rPr>
        <w:t xml:space="preserve">      </w:t>
      </w:r>
      <w:r>
        <w:rPr>
          <w:rFonts w:hint="eastAsia" w:ascii="宋体" w:hAnsi="宋体" w:cs="宋体"/>
          <w:sz w:val="24"/>
          <w:shd w:val="clear" w:color="auto" w:fill="auto"/>
        </w:rPr>
        <w:t>条款规定的方式解决：</w:t>
      </w:r>
    </w:p>
    <w:p w14:paraId="22DE3169">
      <w:pPr>
        <w:spacing w:line="480" w:lineRule="auto"/>
        <w:ind w:left="-420" w:leftChars="-200" w:right="-420" w:rightChars="-200" w:firstLine="840" w:firstLineChars="350"/>
        <w:rPr>
          <w:rFonts w:ascii="宋体" w:hAnsi="宋体" w:cs="宋体"/>
          <w:sz w:val="24"/>
          <w:shd w:val="clear" w:color="auto" w:fill="auto"/>
        </w:rPr>
      </w:pPr>
      <w:r>
        <w:rPr>
          <w:rFonts w:hint="eastAsia" w:ascii="宋体" w:hAnsi="宋体" w:cs="宋体"/>
          <w:sz w:val="24"/>
          <w:shd w:val="clear" w:color="auto" w:fill="auto"/>
        </w:rPr>
        <w:t>1.9.1将争议提交</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仲裁委员会依申请仲裁时其现行有效的仲裁规则裁决；</w:t>
      </w:r>
    </w:p>
    <w:p w14:paraId="2A3FB96A">
      <w:pPr>
        <w:spacing w:line="480" w:lineRule="auto"/>
        <w:ind w:left="-420" w:leftChars="-200" w:right="-420" w:rightChars="-200" w:firstLine="840" w:firstLineChars="350"/>
        <w:rPr>
          <w:rFonts w:ascii="宋体" w:hAnsi="宋体" w:cs="宋体"/>
          <w:sz w:val="24"/>
          <w:shd w:val="clear" w:color="auto" w:fill="auto"/>
        </w:rPr>
      </w:pPr>
      <w:r>
        <w:rPr>
          <w:rFonts w:hint="eastAsia" w:ascii="宋体" w:hAnsi="宋体" w:cs="宋体"/>
          <w:sz w:val="24"/>
          <w:shd w:val="clear" w:color="auto" w:fill="auto"/>
        </w:rPr>
        <w:t>1.9.2向</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人民法院起诉。</w:t>
      </w:r>
    </w:p>
    <w:p w14:paraId="3F959597">
      <w:pPr>
        <w:spacing w:line="480" w:lineRule="auto"/>
        <w:ind w:firstLine="482" w:firstLineChars="200"/>
        <w:outlineLvl w:val="2"/>
        <w:rPr>
          <w:rFonts w:hint="eastAsia" w:ascii="宋体" w:hAnsi="宋体" w:cs="宋体"/>
          <w:b/>
          <w:sz w:val="24"/>
          <w:shd w:val="clear" w:color="auto" w:fill="auto"/>
        </w:rPr>
      </w:pPr>
      <w:bookmarkStart w:id="443" w:name="_Toc11173"/>
      <w:bookmarkStart w:id="444" w:name="_Toc7245"/>
      <w:bookmarkStart w:id="445" w:name="_Toc15322"/>
      <w:r>
        <w:rPr>
          <w:rFonts w:hint="eastAsia" w:ascii="宋体" w:hAnsi="宋体" w:cs="宋体"/>
          <w:b/>
          <w:sz w:val="24"/>
          <w:shd w:val="clear" w:color="auto" w:fill="auto"/>
        </w:rPr>
        <w:t>2.0合同生效</w:t>
      </w:r>
      <w:bookmarkEnd w:id="443"/>
      <w:bookmarkEnd w:id="444"/>
      <w:bookmarkEnd w:id="445"/>
    </w:p>
    <w:p w14:paraId="53C95216">
      <w:pPr>
        <w:spacing w:line="480" w:lineRule="auto"/>
        <w:ind w:firstLine="480" w:firstLineChars="200"/>
        <w:rPr>
          <w:rFonts w:ascii="宋体" w:hAnsi="宋体" w:cs="宋体"/>
          <w:b/>
          <w:sz w:val="24"/>
          <w:shd w:val="clear" w:color="auto" w:fill="auto"/>
        </w:rPr>
      </w:pPr>
      <w:r>
        <w:rPr>
          <w:rFonts w:hint="eastAsia" w:ascii="宋体" w:hAnsi="宋体" w:cs="宋体"/>
          <w:sz w:val="24"/>
          <w:shd w:val="clear" w:color="auto" w:fill="auto"/>
        </w:rPr>
        <w:t>本合同自双方当事人盖章签字时生效。</w:t>
      </w:r>
    </w:p>
    <w:p w14:paraId="1F67867E">
      <w:pPr>
        <w:autoSpaceDE w:val="0"/>
        <w:autoSpaceDN w:val="0"/>
        <w:spacing w:line="560" w:lineRule="exact"/>
        <w:rPr>
          <w:rFonts w:ascii="宋体" w:hAnsi="宋体" w:cs="宋体"/>
          <w:sz w:val="24"/>
          <w:shd w:val="clear" w:color="auto" w:fill="auto"/>
          <w:lang w:val="zh-CN"/>
        </w:rPr>
      </w:pPr>
    </w:p>
    <w:p w14:paraId="3E31AE3A">
      <w:pPr>
        <w:autoSpaceDE w:val="0"/>
        <w:autoSpaceDN w:val="0"/>
        <w:spacing w:line="560" w:lineRule="exact"/>
        <w:rPr>
          <w:rFonts w:ascii="宋体" w:hAnsi="宋体" w:cs="宋体"/>
          <w:sz w:val="24"/>
          <w:shd w:val="clear" w:color="auto" w:fill="auto"/>
          <w:lang w:val="zh-CN"/>
        </w:rPr>
      </w:pPr>
      <w:r>
        <w:rPr>
          <w:rFonts w:hint="eastAsia" w:ascii="宋体" w:hAnsi="宋体" w:cs="宋体"/>
          <w:b/>
          <w:sz w:val="24"/>
          <w:shd w:val="clear" w:color="auto" w:fill="auto"/>
          <w:lang w:val="zh-CN"/>
        </w:rPr>
        <w:t>甲方</w:t>
      </w:r>
      <w:r>
        <w:rPr>
          <w:rFonts w:hint="eastAsia" w:ascii="宋体" w:hAnsi="宋体" w:cs="宋体"/>
          <w:sz w:val="24"/>
          <w:shd w:val="clear" w:color="auto" w:fill="auto"/>
          <w:lang w:val="zh-CN"/>
        </w:rPr>
        <w:t>：</w:t>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b/>
          <w:sz w:val="24"/>
          <w:shd w:val="clear" w:color="auto" w:fill="auto"/>
          <w:lang w:val="zh-CN"/>
        </w:rPr>
        <w:t>乙方</w:t>
      </w:r>
      <w:r>
        <w:rPr>
          <w:rFonts w:hint="eastAsia" w:ascii="宋体" w:hAnsi="宋体" w:cs="宋体"/>
          <w:sz w:val="24"/>
          <w:shd w:val="clear" w:color="auto" w:fill="auto"/>
          <w:lang w:val="zh-CN"/>
        </w:rPr>
        <w:t>：</w:t>
      </w:r>
    </w:p>
    <w:p w14:paraId="4306B9FF">
      <w:pPr>
        <w:autoSpaceDE w:val="0"/>
        <w:autoSpaceDN w:val="0"/>
        <w:spacing w:line="560" w:lineRule="exact"/>
        <w:rPr>
          <w:rFonts w:ascii="宋体" w:hAnsi="宋体" w:cs="宋体"/>
          <w:sz w:val="24"/>
          <w:shd w:val="clear" w:color="auto" w:fill="auto"/>
          <w:lang w:val="zh-CN"/>
        </w:rPr>
      </w:pPr>
      <w:r>
        <w:rPr>
          <w:rFonts w:hint="eastAsia" w:ascii="宋体" w:hAnsi="宋体" w:cs="宋体"/>
          <w:sz w:val="24"/>
          <w:shd w:val="clear" w:color="auto" w:fill="auto"/>
          <w:lang w:val="zh-CN"/>
        </w:rPr>
        <w:t>统一社会信用代码：</w:t>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zh-CN"/>
        </w:rPr>
        <w:t>统一社会信用代码或身份证号码：</w:t>
      </w:r>
    </w:p>
    <w:p w14:paraId="678FC804">
      <w:pPr>
        <w:autoSpaceDE w:val="0"/>
        <w:autoSpaceDN w:val="0"/>
        <w:spacing w:line="560" w:lineRule="exact"/>
        <w:rPr>
          <w:rFonts w:ascii="宋体" w:hAnsi="宋体" w:cs="宋体"/>
          <w:sz w:val="24"/>
          <w:shd w:val="clear" w:color="auto" w:fill="auto"/>
          <w:lang w:val="zh-CN"/>
        </w:rPr>
      </w:pPr>
    </w:p>
    <w:p w14:paraId="7B346010">
      <w:pPr>
        <w:autoSpaceDE w:val="0"/>
        <w:autoSpaceDN w:val="0"/>
        <w:spacing w:line="560" w:lineRule="exact"/>
        <w:rPr>
          <w:rFonts w:ascii="宋体" w:hAnsi="宋体" w:cs="宋体"/>
          <w:sz w:val="24"/>
          <w:shd w:val="clear" w:color="auto" w:fill="auto"/>
          <w:lang w:val="zh-CN"/>
        </w:rPr>
      </w:pPr>
      <w:r>
        <w:rPr>
          <w:rFonts w:hint="eastAsia" w:ascii="宋体" w:hAnsi="宋体" w:cs="宋体"/>
          <w:sz w:val="24"/>
          <w:shd w:val="clear" w:color="auto" w:fill="auto"/>
          <w:lang w:val="zh-CN"/>
        </w:rPr>
        <w:t>住所：</w:t>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zh-CN"/>
        </w:rPr>
        <w:t>住所：</w:t>
      </w:r>
    </w:p>
    <w:p w14:paraId="2F5DBB0B">
      <w:pPr>
        <w:autoSpaceDE w:val="0"/>
        <w:autoSpaceDN w:val="0"/>
        <w:spacing w:line="560" w:lineRule="exact"/>
        <w:rPr>
          <w:rFonts w:ascii="宋体" w:hAnsi="宋体" w:cs="宋体"/>
          <w:sz w:val="24"/>
          <w:shd w:val="clear" w:color="auto" w:fill="auto"/>
          <w:lang w:val="zh-CN"/>
        </w:rPr>
      </w:pPr>
      <w:r>
        <w:rPr>
          <w:rFonts w:hint="eastAsia" w:ascii="宋体" w:hAnsi="宋体" w:cs="宋体"/>
          <w:sz w:val="24"/>
          <w:shd w:val="clear" w:color="auto" w:fill="auto"/>
          <w:lang w:val="zh-CN"/>
        </w:rPr>
        <w:t>法定代表人或</w:t>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zh-CN"/>
        </w:rPr>
        <w:t>法定代表人</w:t>
      </w:r>
    </w:p>
    <w:p w14:paraId="14DCFE09">
      <w:pPr>
        <w:autoSpaceDE w:val="0"/>
        <w:autoSpaceDN w:val="0"/>
        <w:spacing w:line="560" w:lineRule="exact"/>
        <w:rPr>
          <w:rFonts w:ascii="宋体" w:hAnsi="宋体" w:cs="宋体"/>
          <w:sz w:val="24"/>
          <w:shd w:val="clear" w:color="auto" w:fill="auto"/>
          <w:lang w:val="zh-CN"/>
        </w:rPr>
      </w:pPr>
      <w:r>
        <w:rPr>
          <w:rFonts w:hint="eastAsia" w:ascii="宋体" w:hAnsi="宋体" w:cs="宋体"/>
          <w:sz w:val="24"/>
          <w:shd w:val="clear" w:color="auto" w:fill="auto"/>
          <w:lang w:val="zh-CN"/>
        </w:rPr>
        <w:t>授权代表（签字）：</w:t>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zh-CN"/>
        </w:rPr>
        <w:t xml:space="preserve">或授权代表（签字）： </w:t>
      </w:r>
    </w:p>
    <w:p w14:paraId="6CD7D89A">
      <w:pPr>
        <w:autoSpaceDE w:val="0"/>
        <w:autoSpaceDN w:val="0"/>
        <w:spacing w:line="560" w:lineRule="exact"/>
        <w:rPr>
          <w:rFonts w:ascii="宋体" w:hAnsi="宋体" w:cs="宋体"/>
          <w:sz w:val="24"/>
          <w:shd w:val="clear" w:color="auto" w:fill="auto"/>
          <w:lang w:val="zh-CN"/>
        </w:rPr>
      </w:pPr>
      <w:r>
        <w:rPr>
          <w:rFonts w:hint="eastAsia" w:ascii="宋体" w:hAnsi="宋体" w:cs="宋体"/>
          <w:sz w:val="24"/>
          <w:shd w:val="clear" w:color="auto" w:fill="auto"/>
          <w:lang w:val="zh-CN"/>
        </w:rPr>
        <w:t>联系人：</w:t>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zh-CN"/>
        </w:rPr>
        <w:t>联系人：</w:t>
      </w:r>
    </w:p>
    <w:p w14:paraId="332A33A0">
      <w:pPr>
        <w:autoSpaceDE w:val="0"/>
        <w:autoSpaceDN w:val="0"/>
        <w:spacing w:line="560" w:lineRule="exact"/>
        <w:rPr>
          <w:rFonts w:ascii="宋体" w:hAnsi="宋体" w:cs="宋体"/>
          <w:sz w:val="24"/>
          <w:shd w:val="clear" w:color="auto" w:fill="auto"/>
          <w:lang w:val="zh-CN"/>
        </w:rPr>
      </w:pPr>
      <w:r>
        <w:rPr>
          <w:rFonts w:hint="eastAsia" w:ascii="宋体" w:hAnsi="宋体" w:cs="宋体"/>
          <w:sz w:val="24"/>
          <w:shd w:val="clear" w:color="auto" w:fill="auto"/>
          <w:lang w:val="zh-CN"/>
        </w:rPr>
        <w:t>约定送达地址：</w:t>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zh-CN"/>
        </w:rPr>
        <w:t>约定送达地址：</w:t>
      </w:r>
    </w:p>
    <w:p w14:paraId="14DD0526">
      <w:pPr>
        <w:autoSpaceDE w:val="0"/>
        <w:autoSpaceDN w:val="0"/>
        <w:spacing w:line="560" w:lineRule="exact"/>
        <w:rPr>
          <w:rFonts w:ascii="宋体" w:hAnsi="宋体" w:cs="宋体"/>
          <w:sz w:val="24"/>
          <w:shd w:val="clear" w:color="auto" w:fill="auto"/>
          <w:lang w:val="zh-CN"/>
        </w:rPr>
      </w:pPr>
      <w:r>
        <w:rPr>
          <w:rFonts w:hint="eastAsia" w:ascii="宋体" w:hAnsi="宋体" w:cs="宋体"/>
          <w:sz w:val="24"/>
          <w:shd w:val="clear" w:color="auto" w:fill="auto"/>
          <w:lang w:val="zh-CN"/>
        </w:rPr>
        <w:t>邮政编码：</w:t>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zh-CN"/>
        </w:rPr>
        <w:t>邮政编码：</w:t>
      </w:r>
    </w:p>
    <w:p w14:paraId="42BE2F89">
      <w:pPr>
        <w:autoSpaceDE w:val="0"/>
        <w:autoSpaceDN w:val="0"/>
        <w:spacing w:line="560" w:lineRule="exact"/>
        <w:rPr>
          <w:rFonts w:ascii="宋体" w:hAnsi="宋体" w:cs="宋体"/>
          <w:sz w:val="24"/>
          <w:shd w:val="clear" w:color="auto" w:fill="auto"/>
          <w:lang w:val="zh-CN"/>
        </w:rPr>
      </w:pPr>
      <w:r>
        <w:rPr>
          <w:rFonts w:hint="eastAsia" w:ascii="宋体" w:hAnsi="宋体" w:cs="宋体"/>
          <w:sz w:val="24"/>
          <w:shd w:val="clear" w:color="auto" w:fill="auto"/>
          <w:lang w:val="zh-CN"/>
        </w:rPr>
        <w:t>电话：</w:t>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zh-CN"/>
        </w:rPr>
        <w:t xml:space="preserve">电话： </w:t>
      </w:r>
    </w:p>
    <w:p w14:paraId="1D38689B">
      <w:pPr>
        <w:autoSpaceDE w:val="0"/>
        <w:autoSpaceDN w:val="0"/>
        <w:spacing w:line="560" w:lineRule="exact"/>
        <w:rPr>
          <w:rFonts w:ascii="宋体" w:hAnsi="宋体" w:cs="宋体"/>
          <w:sz w:val="24"/>
          <w:shd w:val="clear" w:color="auto" w:fill="auto"/>
          <w:lang w:val="zh-CN"/>
        </w:rPr>
      </w:pPr>
      <w:r>
        <w:rPr>
          <w:rFonts w:hint="eastAsia" w:ascii="宋体" w:hAnsi="宋体" w:cs="宋体"/>
          <w:sz w:val="24"/>
          <w:shd w:val="clear" w:color="auto" w:fill="auto"/>
          <w:lang w:val="zh-CN"/>
        </w:rPr>
        <w:t>传真：</w:t>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zh-CN"/>
        </w:rPr>
        <w:t>传真：</w:t>
      </w:r>
    </w:p>
    <w:p w14:paraId="5111BC8D">
      <w:pPr>
        <w:autoSpaceDE w:val="0"/>
        <w:autoSpaceDN w:val="0"/>
        <w:spacing w:line="560" w:lineRule="exact"/>
        <w:rPr>
          <w:rFonts w:ascii="宋体" w:hAnsi="宋体" w:cs="宋体"/>
          <w:sz w:val="24"/>
          <w:shd w:val="clear" w:color="auto" w:fill="auto"/>
        </w:rPr>
      </w:pPr>
      <w:r>
        <w:rPr>
          <w:rFonts w:hint="eastAsia" w:ascii="宋体" w:hAnsi="宋体" w:cs="宋体"/>
          <w:sz w:val="24"/>
          <w:shd w:val="clear" w:color="auto" w:fill="auto"/>
          <w:lang w:val="zh-CN"/>
        </w:rPr>
        <w:t>电子邮箱：</w:t>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zh-CN"/>
        </w:rPr>
        <w:t>电子邮箱：</w:t>
      </w:r>
    </w:p>
    <w:p w14:paraId="11422BDD">
      <w:pPr>
        <w:autoSpaceDE w:val="0"/>
        <w:autoSpaceDN w:val="0"/>
        <w:spacing w:line="560" w:lineRule="exact"/>
        <w:rPr>
          <w:rFonts w:ascii="宋体" w:hAnsi="宋体" w:cs="宋体"/>
          <w:sz w:val="24"/>
          <w:shd w:val="clear" w:color="auto" w:fill="auto"/>
        </w:rPr>
      </w:pPr>
      <w:r>
        <w:rPr>
          <w:rFonts w:hint="eastAsia" w:ascii="宋体" w:hAnsi="宋体" w:cs="宋体"/>
          <w:sz w:val="24"/>
          <w:shd w:val="clear" w:color="auto" w:fill="auto"/>
        </w:rPr>
        <w:t>开户银行：</w:t>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rPr>
        <w:t>开户银行：</w:t>
      </w:r>
    </w:p>
    <w:p w14:paraId="5233A281">
      <w:pPr>
        <w:autoSpaceDE w:val="0"/>
        <w:autoSpaceDN w:val="0"/>
        <w:spacing w:line="560" w:lineRule="exact"/>
        <w:rPr>
          <w:rFonts w:ascii="宋体" w:hAnsi="宋体" w:cs="宋体"/>
          <w:sz w:val="24"/>
          <w:shd w:val="clear" w:color="auto" w:fill="auto"/>
        </w:rPr>
      </w:pPr>
      <w:r>
        <w:rPr>
          <w:rFonts w:hint="eastAsia" w:ascii="宋体" w:hAnsi="宋体" w:cs="宋体"/>
          <w:sz w:val="24"/>
          <w:shd w:val="clear" w:color="auto" w:fill="auto"/>
        </w:rPr>
        <w:t>开户名称：</w:t>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rPr>
        <w:t xml:space="preserve">开户名称： </w:t>
      </w:r>
    </w:p>
    <w:p w14:paraId="57327506">
      <w:pPr>
        <w:autoSpaceDE w:val="0"/>
        <w:autoSpaceDN w:val="0"/>
        <w:spacing w:line="560" w:lineRule="exact"/>
        <w:rPr>
          <w:rFonts w:ascii="宋体" w:hAnsi="宋体" w:cs="宋体"/>
          <w:sz w:val="24"/>
          <w:shd w:val="clear" w:color="auto" w:fill="auto"/>
        </w:rPr>
      </w:pPr>
      <w:r>
        <w:rPr>
          <w:rFonts w:hint="eastAsia" w:ascii="宋体" w:hAnsi="宋体" w:cs="宋体"/>
          <w:sz w:val="24"/>
          <w:shd w:val="clear" w:color="auto" w:fill="auto"/>
        </w:rPr>
        <w:t>开户账号：</w:t>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rPr>
        <w:t>开户账号：</w:t>
      </w:r>
    </w:p>
    <w:p w14:paraId="7B70D589">
      <w:pPr>
        <w:bidi w:val="0"/>
      </w:pPr>
    </w:p>
    <w:p w14:paraId="062F460F">
      <w:pPr>
        <w:bidi w:val="0"/>
      </w:pPr>
    </w:p>
    <w:p w14:paraId="6FA39E79">
      <w:pPr>
        <w:bidi w:val="0"/>
      </w:pPr>
    </w:p>
    <w:p w14:paraId="5CB29333">
      <w:pPr>
        <w:bidi w:val="0"/>
      </w:pPr>
    </w:p>
    <w:p w14:paraId="59071EAA">
      <w:r>
        <w:rPr>
          <w:rFonts w:ascii="宋体" w:hAnsi="宋体" w:cs="宋体"/>
          <w:sz w:val="24"/>
          <w:shd w:val="clear" w:color="auto" w:fill="auto"/>
        </w:rPr>
        <w:br w:type="page"/>
      </w:r>
    </w:p>
    <w:p w14:paraId="0C209946">
      <w:pPr>
        <w:pStyle w:val="702"/>
        <w:ind w:left="0" w:leftChars="0" w:firstLine="0" w:firstLineChars="0"/>
        <w:jc w:val="center"/>
        <w:outlineLvl w:val="1"/>
        <w:rPr>
          <w:rFonts w:hint="eastAsia" w:ascii="宋体" w:hAnsi="宋体" w:cs="宋体"/>
          <w:b/>
          <w:szCs w:val="24"/>
          <w:shd w:val="clear" w:color="auto" w:fill="auto"/>
        </w:rPr>
      </w:pPr>
      <w:r>
        <w:rPr>
          <w:rFonts w:hint="eastAsia" w:ascii="宋体" w:hAnsi="宋体" w:cs="宋体"/>
          <w:b/>
          <w:szCs w:val="24"/>
          <w:shd w:val="clear" w:color="auto" w:fill="auto"/>
        </w:rPr>
        <w:t>第二部分 合同一般条款</w:t>
      </w:r>
    </w:p>
    <w:p w14:paraId="1BFA158F">
      <w:pPr>
        <w:spacing w:line="560" w:lineRule="exact"/>
        <w:ind w:firstLine="482" w:firstLineChars="200"/>
        <w:outlineLvl w:val="2"/>
        <w:rPr>
          <w:rFonts w:hint="eastAsia" w:ascii="宋体" w:hAnsi="宋体" w:cs="宋体"/>
          <w:b/>
          <w:sz w:val="24"/>
          <w:shd w:val="clear" w:color="auto" w:fill="auto"/>
        </w:rPr>
      </w:pPr>
      <w:bookmarkStart w:id="446" w:name="_Toc19614"/>
      <w:bookmarkStart w:id="447" w:name="_Ref467379109"/>
      <w:bookmarkStart w:id="448" w:name="_Ref467379214"/>
      <w:bookmarkStart w:id="449" w:name="_Toc487900349"/>
      <w:bookmarkStart w:id="450" w:name="_Ref467378499"/>
      <w:bookmarkStart w:id="451" w:name="_Ref467378463"/>
      <w:bookmarkStart w:id="452" w:name="_Toc28763"/>
      <w:bookmarkStart w:id="453" w:name="_Ref467379205"/>
      <w:bookmarkStart w:id="454" w:name="_Ref467379094"/>
      <w:bookmarkStart w:id="455" w:name="_Toc16917"/>
      <w:bookmarkStart w:id="456" w:name="_Ref467378404"/>
      <w:bookmarkStart w:id="457" w:name="_Ref467379101"/>
      <w:bookmarkStart w:id="458" w:name="_Toc279701240"/>
      <w:bookmarkStart w:id="459" w:name="_Toc259093669"/>
      <w:bookmarkStart w:id="460" w:name="_Ref467379225"/>
      <w:bookmarkStart w:id="461" w:name="_Ref467379195"/>
      <w:r>
        <w:rPr>
          <w:rFonts w:hint="eastAsia" w:ascii="宋体" w:hAnsi="宋体" w:cs="宋体"/>
          <w:b/>
          <w:sz w:val="24"/>
          <w:shd w:val="clear" w:color="auto" w:fill="auto"/>
        </w:rPr>
        <w:t>2.1定义</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14:paraId="72E92087">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本合同中的下列词语应按以下内容进行解释：</w:t>
      </w:r>
    </w:p>
    <w:p w14:paraId="1563A756">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2.1.1“合同”系指采购人和中标或成交供应商签订的载明双方当事人所达成的协议，并包括所有的附件、附录和构成合同的其他文件。</w:t>
      </w:r>
    </w:p>
    <w:p w14:paraId="38FF280E">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2.1.2“合同价”系指根据合同约定，中标或成交供应商在完全履行合同义务后，采购人应支付给中标或成交供应商的价格。</w:t>
      </w:r>
    </w:p>
    <w:p w14:paraId="00D4A096">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2.1.3“货物”系指中标或成交供应商根据合同约定应向采购人交付的一切各种形态和种类的物品，包括原材料、燃料、设备、机械、仪表、备件、计算机软件、产品等，并包括工具、手册等其他相关资料。</w:t>
      </w:r>
    </w:p>
    <w:p w14:paraId="0E1F73F3">
      <w:pPr>
        <w:spacing w:line="560" w:lineRule="exact"/>
        <w:ind w:firstLine="480" w:firstLineChars="200"/>
        <w:rPr>
          <w:rFonts w:ascii="宋体" w:hAnsi="宋体" w:cs="宋体"/>
          <w:sz w:val="24"/>
          <w:shd w:val="clear" w:color="auto" w:fill="auto"/>
        </w:rPr>
      </w:pPr>
      <w:bookmarkStart w:id="462" w:name="_Ref467378840"/>
      <w:r>
        <w:rPr>
          <w:rFonts w:hint="eastAsia" w:ascii="宋体" w:hAnsi="宋体" w:cs="宋体"/>
          <w:sz w:val="24"/>
          <w:shd w:val="clear" w:color="auto" w:fill="auto"/>
        </w:rPr>
        <w:t>2.1.4“甲方”系指与中标或成交供应商签署合同的采购人</w:t>
      </w:r>
      <w:bookmarkEnd w:id="462"/>
      <w:r>
        <w:rPr>
          <w:rFonts w:hint="eastAsia" w:ascii="宋体" w:hAnsi="宋体" w:cs="宋体"/>
          <w:sz w:val="24"/>
          <w:shd w:val="clear" w:color="auto" w:fill="auto"/>
        </w:rPr>
        <w:t>；采购人委托采购代理机构代表其与乙方签订合同的，采购人的授权委托书作为合同附件。</w:t>
      </w:r>
    </w:p>
    <w:p w14:paraId="09051A83">
      <w:pPr>
        <w:spacing w:line="560" w:lineRule="exact"/>
        <w:ind w:firstLine="480" w:firstLineChars="200"/>
        <w:rPr>
          <w:rFonts w:ascii="宋体" w:hAnsi="宋体" w:cs="宋体"/>
          <w:sz w:val="24"/>
          <w:shd w:val="clear" w:color="auto" w:fill="auto"/>
        </w:rPr>
      </w:pPr>
      <w:bookmarkStart w:id="463" w:name="_Ref467379400"/>
      <w:r>
        <w:rPr>
          <w:rFonts w:hint="eastAsia" w:ascii="宋体" w:hAnsi="宋体" w:cs="宋体"/>
          <w:sz w:val="24"/>
          <w:shd w:val="clear" w:color="auto" w:fill="auto"/>
        </w:rPr>
        <w:t>2.1.5“乙方”系指根据合同约定交付货物的中标或成交供应商</w:t>
      </w:r>
      <w:bookmarkEnd w:id="463"/>
      <w:r>
        <w:rPr>
          <w:rFonts w:hint="eastAsia" w:ascii="宋体" w:hAnsi="宋体" w:cs="宋体"/>
          <w:sz w:val="24"/>
          <w:shd w:val="clear" w:color="auto" w:fill="auto"/>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7A8B1271">
      <w:pPr>
        <w:spacing w:line="560" w:lineRule="exact"/>
        <w:ind w:firstLine="480" w:firstLineChars="200"/>
        <w:rPr>
          <w:rFonts w:ascii="宋体" w:hAnsi="宋体" w:cs="宋体"/>
          <w:sz w:val="24"/>
          <w:shd w:val="clear" w:color="auto" w:fill="auto"/>
        </w:rPr>
      </w:pPr>
      <w:bookmarkStart w:id="464" w:name="_Ref467379436"/>
      <w:r>
        <w:rPr>
          <w:rFonts w:hint="eastAsia" w:ascii="宋体" w:hAnsi="宋体" w:cs="宋体"/>
          <w:sz w:val="24"/>
          <w:shd w:val="clear" w:color="auto" w:fill="auto"/>
        </w:rPr>
        <w:t>2.1.6“现场”系指合同约定货物将要运至或者安装的地点。</w:t>
      </w:r>
      <w:bookmarkEnd w:id="464"/>
    </w:p>
    <w:p w14:paraId="64208F62">
      <w:pPr>
        <w:spacing w:line="560" w:lineRule="exact"/>
        <w:ind w:firstLine="482" w:firstLineChars="200"/>
        <w:outlineLvl w:val="2"/>
        <w:rPr>
          <w:rFonts w:hint="eastAsia" w:ascii="宋体" w:hAnsi="宋体" w:cs="宋体"/>
          <w:b/>
          <w:sz w:val="24"/>
          <w:shd w:val="clear" w:color="auto" w:fill="auto"/>
        </w:rPr>
      </w:pPr>
      <w:bookmarkStart w:id="465" w:name="_Toc13336"/>
      <w:bookmarkStart w:id="466" w:name="_Toc279701241"/>
      <w:bookmarkStart w:id="467" w:name="_Toc32504"/>
      <w:bookmarkStart w:id="468" w:name="_Toc487900350"/>
      <w:bookmarkStart w:id="469" w:name="_Toc259093670"/>
      <w:bookmarkStart w:id="470" w:name="_Toc27635"/>
      <w:r>
        <w:rPr>
          <w:rFonts w:hint="eastAsia" w:ascii="宋体" w:hAnsi="宋体" w:cs="宋体"/>
          <w:b/>
          <w:sz w:val="24"/>
          <w:shd w:val="clear" w:color="auto" w:fill="auto"/>
        </w:rPr>
        <w:t>2.2技术规范</w:t>
      </w:r>
      <w:bookmarkEnd w:id="465"/>
      <w:bookmarkEnd w:id="466"/>
      <w:bookmarkEnd w:id="467"/>
      <w:bookmarkEnd w:id="468"/>
      <w:bookmarkEnd w:id="469"/>
      <w:bookmarkEnd w:id="470"/>
    </w:p>
    <w:p w14:paraId="43B8B86C">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6E8D9F8B">
      <w:pPr>
        <w:spacing w:line="560" w:lineRule="exact"/>
        <w:ind w:firstLine="482" w:firstLineChars="200"/>
        <w:outlineLvl w:val="2"/>
        <w:rPr>
          <w:rFonts w:hint="eastAsia" w:ascii="宋体" w:hAnsi="宋体" w:cs="宋体"/>
          <w:b/>
          <w:sz w:val="24"/>
          <w:shd w:val="clear" w:color="auto" w:fill="auto"/>
        </w:rPr>
      </w:pPr>
      <w:bookmarkStart w:id="471" w:name="_Toc279701242"/>
      <w:bookmarkStart w:id="472" w:name="_Toc487900351"/>
      <w:bookmarkStart w:id="473" w:name="_Toc259093671"/>
      <w:bookmarkStart w:id="474" w:name="_Toc27853"/>
      <w:bookmarkStart w:id="475" w:name="_Toc9829"/>
      <w:bookmarkStart w:id="476" w:name="_Toc31634"/>
      <w:r>
        <w:rPr>
          <w:rFonts w:hint="eastAsia" w:ascii="宋体" w:hAnsi="宋体" w:cs="宋体"/>
          <w:b/>
          <w:sz w:val="24"/>
          <w:shd w:val="clear" w:color="auto" w:fill="auto"/>
        </w:rPr>
        <w:t>2.3知识产权</w:t>
      </w:r>
      <w:bookmarkEnd w:id="471"/>
      <w:bookmarkEnd w:id="472"/>
      <w:bookmarkEnd w:id="473"/>
      <w:bookmarkEnd w:id="474"/>
      <w:bookmarkEnd w:id="475"/>
      <w:bookmarkEnd w:id="476"/>
    </w:p>
    <w:p w14:paraId="3F2A2249">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2.3.1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shd w:val="clear" w:color="auto" w:fill="auto"/>
        </w:rPr>
        <w:t>乙方还应及时澄清相关信息，使甲方声誉免受损害，甲方保留追责的权利。</w:t>
      </w:r>
    </w:p>
    <w:p w14:paraId="2FDD4FED">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2.3.2具有知识产权的计算机软件等货物的知识产权归属，详见</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w:t>
      </w:r>
    </w:p>
    <w:p w14:paraId="5052EE5E">
      <w:pPr>
        <w:spacing w:line="560" w:lineRule="exact"/>
        <w:ind w:firstLine="482" w:firstLineChars="200"/>
        <w:outlineLvl w:val="2"/>
        <w:rPr>
          <w:rFonts w:hint="eastAsia" w:ascii="宋体" w:hAnsi="宋体" w:cs="宋体"/>
          <w:b/>
          <w:sz w:val="24"/>
          <w:shd w:val="clear" w:color="auto" w:fill="auto"/>
        </w:rPr>
      </w:pPr>
      <w:bookmarkStart w:id="477" w:name="_Toc4194"/>
      <w:bookmarkStart w:id="478" w:name="_Toc29149"/>
      <w:bookmarkStart w:id="479" w:name="_Toc11932"/>
      <w:r>
        <w:rPr>
          <w:rFonts w:hint="eastAsia" w:ascii="宋体" w:hAnsi="宋体" w:cs="宋体"/>
          <w:b/>
          <w:sz w:val="24"/>
          <w:shd w:val="clear" w:color="auto" w:fill="auto"/>
        </w:rPr>
        <w:t>2.4包装和装运</w:t>
      </w:r>
      <w:bookmarkEnd w:id="477"/>
      <w:bookmarkEnd w:id="478"/>
      <w:bookmarkEnd w:id="479"/>
    </w:p>
    <w:p w14:paraId="0EC336C3">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2.4.1除</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2BDB607C">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 xml:space="preserve">2.4.2乙方提供产品及相关快递服务的具体包装要求应符合《商品包装政府采购需求标准（试行）》《快递包装政府采购需求标准（试行）》，并作为履约验收的内容，必要时甲方可以要求乙方在履约验收环节出具检测报告。 </w:t>
      </w:r>
    </w:p>
    <w:p w14:paraId="07E96232">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2.4.3装运货物的要求和通知，详见</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w:t>
      </w:r>
    </w:p>
    <w:p w14:paraId="21B850AB">
      <w:pPr>
        <w:spacing w:line="560" w:lineRule="exact"/>
        <w:ind w:firstLine="482" w:firstLineChars="200"/>
        <w:outlineLvl w:val="2"/>
        <w:rPr>
          <w:rFonts w:hint="eastAsia" w:ascii="宋体" w:hAnsi="宋体" w:cs="宋体"/>
          <w:b/>
          <w:sz w:val="24"/>
          <w:shd w:val="clear" w:color="auto" w:fill="auto"/>
        </w:rPr>
      </w:pPr>
      <w:bookmarkStart w:id="480" w:name="_Ref467378541"/>
      <w:bookmarkStart w:id="481" w:name="_Ref467379542"/>
      <w:bookmarkStart w:id="482" w:name="_Ref467379536"/>
      <w:bookmarkStart w:id="483" w:name="_Ref467378591"/>
      <w:bookmarkStart w:id="484" w:name="_Toc259093674"/>
      <w:bookmarkStart w:id="485" w:name="_Ref467379527"/>
      <w:bookmarkStart w:id="486" w:name="_Toc487900354"/>
      <w:bookmarkStart w:id="487" w:name="_Toc279701245"/>
      <w:bookmarkStart w:id="488" w:name="_Toc26182"/>
      <w:bookmarkStart w:id="489" w:name="_Toc30272"/>
      <w:bookmarkStart w:id="490" w:name="_Toc19074"/>
      <w:r>
        <w:rPr>
          <w:rFonts w:hint="eastAsia" w:ascii="宋体" w:hAnsi="宋体" w:cs="宋体"/>
          <w:b/>
          <w:sz w:val="24"/>
          <w:shd w:val="clear" w:color="auto" w:fill="auto"/>
        </w:rPr>
        <w:t>2.</w:t>
      </w:r>
      <w:bookmarkEnd w:id="480"/>
      <w:bookmarkEnd w:id="481"/>
      <w:bookmarkEnd w:id="482"/>
      <w:bookmarkEnd w:id="483"/>
      <w:bookmarkEnd w:id="484"/>
      <w:bookmarkEnd w:id="485"/>
      <w:bookmarkEnd w:id="486"/>
      <w:bookmarkEnd w:id="487"/>
      <w:r>
        <w:rPr>
          <w:rFonts w:hint="eastAsia" w:ascii="宋体" w:hAnsi="宋体" w:cs="宋体"/>
          <w:b/>
          <w:sz w:val="24"/>
          <w:shd w:val="clear" w:color="auto" w:fill="auto"/>
        </w:rPr>
        <w:t>5履约检查和问题反馈</w:t>
      </w:r>
      <w:bookmarkEnd w:id="488"/>
      <w:bookmarkEnd w:id="489"/>
      <w:bookmarkEnd w:id="490"/>
    </w:p>
    <w:p w14:paraId="7ED6689E">
      <w:pPr>
        <w:spacing w:line="560" w:lineRule="exact"/>
        <w:ind w:firstLine="480" w:firstLineChars="200"/>
        <w:rPr>
          <w:rFonts w:ascii="宋体" w:hAnsi="宋体" w:cs="宋体"/>
          <w:sz w:val="24"/>
          <w:shd w:val="clear" w:color="auto" w:fill="auto"/>
        </w:rPr>
      </w:pPr>
      <w:bookmarkStart w:id="491" w:name="_Ref467379657"/>
      <w:r>
        <w:rPr>
          <w:rFonts w:hint="eastAsia" w:ascii="宋体" w:hAnsi="宋体" w:cs="宋体"/>
          <w:sz w:val="24"/>
          <w:shd w:val="clear" w:color="auto" w:fill="auto"/>
        </w:rPr>
        <w:t>2.5.1</w:t>
      </w:r>
      <w:bookmarkEnd w:id="491"/>
      <w:bookmarkStart w:id="492" w:name="_Toc186431854"/>
      <w:bookmarkStart w:id="493" w:name="_Toc259093676"/>
      <w:bookmarkStart w:id="494" w:name="_Ref467379807"/>
      <w:bookmarkStart w:id="495" w:name="_Ref467379793"/>
      <w:bookmarkStart w:id="496" w:name="_Toc487900357"/>
      <w:bookmarkStart w:id="497" w:name="_Toc279701247"/>
      <w:r>
        <w:rPr>
          <w:rFonts w:hint="eastAsia" w:ascii="宋体" w:hAnsi="宋体" w:cs="宋体"/>
          <w:sz w:val="24"/>
          <w:shd w:val="clear" w:color="auto" w:fill="auto"/>
        </w:rPr>
        <w:t>甲方有权在其认为必要时，对乙方是否能够按照合同约定交付货物进行履约检查，以确保乙方所交付的货物能够依约满足甲方之项目需求，但不得因履约检查妨碍乙方的正常工作，乙方应予积极配合；</w:t>
      </w:r>
    </w:p>
    <w:p w14:paraId="6810B987">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2.5.2合同履行期间，甲方有权将履行过程中出现的问题反馈给乙方，双方当事人应以书面形式约定需要完善和改进的内容</w:t>
      </w:r>
      <w:bookmarkEnd w:id="492"/>
      <w:bookmarkStart w:id="498" w:name="_Toc186431855"/>
      <w:r>
        <w:rPr>
          <w:rFonts w:hint="eastAsia" w:ascii="宋体" w:hAnsi="宋体" w:cs="宋体"/>
          <w:sz w:val="24"/>
          <w:shd w:val="clear" w:color="auto" w:fill="auto"/>
        </w:rPr>
        <w:t>。</w:t>
      </w:r>
    </w:p>
    <w:bookmarkEnd w:id="493"/>
    <w:bookmarkEnd w:id="494"/>
    <w:bookmarkEnd w:id="495"/>
    <w:bookmarkEnd w:id="496"/>
    <w:bookmarkEnd w:id="497"/>
    <w:bookmarkEnd w:id="498"/>
    <w:p w14:paraId="1D2AA5DF">
      <w:pPr>
        <w:spacing w:line="560" w:lineRule="exact"/>
        <w:ind w:firstLine="482" w:firstLineChars="200"/>
        <w:outlineLvl w:val="2"/>
        <w:rPr>
          <w:rFonts w:hint="eastAsia" w:ascii="宋体" w:hAnsi="宋体" w:cs="宋体"/>
          <w:b/>
          <w:sz w:val="24"/>
          <w:shd w:val="clear" w:color="auto" w:fill="auto"/>
        </w:rPr>
      </w:pPr>
      <w:bookmarkStart w:id="499" w:name="_Toc279701248"/>
      <w:bookmarkStart w:id="500" w:name="_Ref467379923"/>
      <w:bookmarkStart w:id="501" w:name="_Ref467379852"/>
      <w:bookmarkStart w:id="502" w:name="_Ref467379863"/>
      <w:bookmarkStart w:id="503" w:name="_Toc487900358"/>
      <w:bookmarkStart w:id="504" w:name="_Toc259093677"/>
      <w:bookmarkStart w:id="505" w:name="_Toc774"/>
      <w:bookmarkStart w:id="506" w:name="_Toc16110"/>
      <w:bookmarkStart w:id="507" w:name="_Toc3225"/>
      <w:r>
        <w:rPr>
          <w:rFonts w:hint="eastAsia" w:ascii="宋体" w:hAnsi="宋体" w:cs="宋体"/>
          <w:b/>
          <w:sz w:val="24"/>
          <w:shd w:val="clear" w:color="auto" w:fill="auto"/>
        </w:rPr>
        <w:t>2.6技术资料</w:t>
      </w:r>
      <w:bookmarkEnd w:id="499"/>
      <w:bookmarkEnd w:id="500"/>
      <w:bookmarkEnd w:id="501"/>
      <w:bookmarkEnd w:id="502"/>
      <w:bookmarkEnd w:id="503"/>
      <w:bookmarkEnd w:id="504"/>
      <w:r>
        <w:rPr>
          <w:rFonts w:hint="eastAsia" w:ascii="宋体" w:hAnsi="宋体" w:cs="宋体"/>
          <w:b/>
          <w:sz w:val="24"/>
          <w:shd w:val="clear" w:color="auto" w:fill="auto"/>
        </w:rPr>
        <w:t>和保密义务</w:t>
      </w:r>
      <w:bookmarkEnd w:id="505"/>
      <w:bookmarkEnd w:id="506"/>
      <w:bookmarkEnd w:id="507"/>
    </w:p>
    <w:p w14:paraId="602FE5D8">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2.6.1乙方有权依据合同约定和项目需要，向甲方了解有关情况，调阅有关资料等，甲方应予积极配合；</w:t>
      </w:r>
    </w:p>
    <w:p w14:paraId="53FB2B54">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2.6.2乙方有义务妥善保管和保护由甲方提供的前款信息和资料等；</w:t>
      </w:r>
    </w:p>
    <w:p w14:paraId="7E71A9B9">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2.6.3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3E109068">
      <w:pPr>
        <w:spacing w:line="560" w:lineRule="exact"/>
        <w:ind w:firstLine="482" w:firstLineChars="200"/>
        <w:outlineLvl w:val="2"/>
        <w:rPr>
          <w:rFonts w:hint="eastAsia" w:ascii="宋体" w:hAnsi="宋体" w:cs="宋体"/>
          <w:b/>
          <w:sz w:val="24"/>
          <w:shd w:val="clear" w:color="auto" w:fill="auto"/>
        </w:rPr>
      </w:pPr>
      <w:bookmarkStart w:id="508" w:name="_Toc7860"/>
      <w:r>
        <w:rPr>
          <w:rFonts w:hint="eastAsia" w:ascii="宋体" w:hAnsi="宋体" w:cs="宋体"/>
          <w:b/>
          <w:sz w:val="24"/>
          <w:shd w:val="clear" w:color="auto" w:fill="auto"/>
        </w:rPr>
        <w:t>2.7质量保证</w:t>
      </w:r>
      <w:bookmarkEnd w:id="508"/>
    </w:p>
    <w:p w14:paraId="7B0F5FA9">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2.7.1乙方应建立和完善履行合同的内部质量保证体系，并提供相关内部规章制度给甲方，以便甲方进行监督检查；</w:t>
      </w:r>
    </w:p>
    <w:p w14:paraId="189EF1E8">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2.7.2乙方应保证履行合同的人员数量和素质、软件和硬件设备的配置、场地、环境和设施等满足全面履行合同的要求，并应接受甲方的监督检查。</w:t>
      </w:r>
    </w:p>
    <w:p w14:paraId="0E1E9564">
      <w:pPr>
        <w:spacing w:line="560" w:lineRule="exact"/>
        <w:ind w:firstLine="482" w:firstLineChars="200"/>
        <w:outlineLvl w:val="2"/>
        <w:rPr>
          <w:rFonts w:hint="eastAsia" w:ascii="宋体" w:hAnsi="宋体" w:cs="宋体"/>
          <w:b/>
          <w:sz w:val="24"/>
          <w:shd w:val="clear" w:color="auto" w:fill="auto"/>
        </w:rPr>
      </w:pPr>
      <w:bookmarkStart w:id="509" w:name="_Toc17244"/>
      <w:bookmarkStart w:id="510" w:name="_Toc279701252"/>
      <w:bookmarkStart w:id="511" w:name="_Toc487900362"/>
      <w:bookmarkStart w:id="512" w:name="_Toc259093681"/>
      <w:r>
        <w:rPr>
          <w:rFonts w:hint="eastAsia" w:ascii="宋体" w:hAnsi="宋体" w:cs="宋体"/>
          <w:b/>
          <w:sz w:val="24"/>
          <w:shd w:val="clear" w:color="auto" w:fill="auto"/>
        </w:rPr>
        <w:t>2.8货物的风险负担</w:t>
      </w:r>
      <w:bookmarkEnd w:id="509"/>
    </w:p>
    <w:p w14:paraId="4E3876F3">
      <w:pPr>
        <w:spacing w:line="560" w:lineRule="exact"/>
        <w:ind w:firstLine="480" w:firstLineChars="200"/>
        <w:rPr>
          <w:rFonts w:ascii="宋体" w:hAnsi="宋体" w:cs="宋体"/>
          <w:b/>
          <w:sz w:val="24"/>
          <w:shd w:val="clear" w:color="auto" w:fill="auto"/>
        </w:rPr>
      </w:pPr>
      <w:r>
        <w:rPr>
          <w:rFonts w:hint="eastAsia" w:ascii="宋体" w:hAnsi="宋体" w:cs="宋体"/>
          <w:sz w:val="24"/>
          <w:shd w:val="clear" w:color="auto" w:fill="auto"/>
        </w:rPr>
        <w:t>货物或者在途货物或者交付给第一承运人后的货物毁损、灭失的风险负担详见</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w:t>
      </w:r>
    </w:p>
    <w:p w14:paraId="69530181">
      <w:pPr>
        <w:spacing w:line="560" w:lineRule="exact"/>
        <w:ind w:firstLine="482" w:firstLineChars="200"/>
        <w:outlineLvl w:val="2"/>
        <w:rPr>
          <w:rFonts w:hint="eastAsia" w:ascii="宋体" w:hAnsi="宋体" w:cs="宋体"/>
          <w:b/>
          <w:sz w:val="24"/>
          <w:shd w:val="clear" w:color="auto" w:fill="auto"/>
        </w:rPr>
      </w:pPr>
      <w:bookmarkStart w:id="513" w:name="_Toc14055"/>
      <w:r>
        <w:rPr>
          <w:rFonts w:hint="eastAsia" w:ascii="宋体" w:hAnsi="宋体" w:cs="宋体"/>
          <w:b/>
          <w:sz w:val="24"/>
          <w:shd w:val="clear" w:color="auto" w:fill="auto"/>
        </w:rPr>
        <w:t>2.9延迟交货</w:t>
      </w:r>
      <w:bookmarkEnd w:id="510"/>
      <w:bookmarkEnd w:id="511"/>
      <w:bookmarkEnd w:id="512"/>
      <w:bookmarkEnd w:id="513"/>
    </w:p>
    <w:p w14:paraId="4706CDF2">
      <w:pPr>
        <w:spacing w:line="560" w:lineRule="exact"/>
        <w:ind w:firstLine="480" w:firstLineChars="200"/>
        <w:rPr>
          <w:rFonts w:ascii="宋体" w:hAnsi="宋体" w:cs="宋体"/>
          <w:sz w:val="24"/>
          <w:shd w:val="clear" w:color="auto" w:fill="auto"/>
        </w:rPr>
      </w:pPr>
      <w:r>
        <w:rPr>
          <w:rFonts w:hint="eastAsia" w:ascii="宋体" w:hAnsi="宋体"/>
          <w:sz w:val="24"/>
          <w:shd w:val="clear" w:color="auto" w:fill="auto"/>
        </w:rPr>
        <w:t>甲乙双方签订合同后，乙方应按照合同约定履行合同义务，除不可抗力外，乙方不得延迟交货。</w:t>
      </w:r>
      <w:r>
        <w:rPr>
          <w:rFonts w:hint="eastAsia" w:ascii="宋体" w:hAnsi="宋体" w:cs="宋体"/>
          <w:sz w:val="24"/>
          <w:shd w:val="clear" w:color="auto" w:fill="auto"/>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17101F81">
      <w:pPr>
        <w:spacing w:line="560" w:lineRule="exact"/>
        <w:ind w:firstLine="482" w:firstLineChars="200"/>
        <w:outlineLvl w:val="2"/>
        <w:rPr>
          <w:rFonts w:hint="eastAsia" w:ascii="宋体" w:hAnsi="宋体" w:cs="宋体"/>
          <w:b/>
          <w:sz w:val="24"/>
          <w:shd w:val="clear" w:color="auto" w:fill="auto"/>
        </w:rPr>
      </w:pPr>
      <w:bookmarkStart w:id="514" w:name="_Toc7502"/>
      <w:bookmarkStart w:id="515" w:name="_Toc259093683"/>
      <w:bookmarkStart w:id="516" w:name="_Ref467378121"/>
      <w:bookmarkStart w:id="517" w:name="_Toc279701254"/>
      <w:bookmarkStart w:id="518" w:name="_Toc487900364"/>
      <w:r>
        <w:rPr>
          <w:rFonts w:hint="eastAsia" w:ascii="宋体" w:hAnsi="宋体" w:cs="宋体"/>
          <w:b/>
          <w:sz w:val="24"/>
          <w:shd w:val="clear" w:color="auto" w:fill="auto"/>
        </w:rPr>
        <w:t>2.10合同变更</w:t>
      </w:r>
      <w:bookmarkEnd w:id="514"/>
    </w:p>
    <w:p w14:paraId="281B8349">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合同继续履行将损害国家利益和社会公共利益的，双方当事人应当以书面形式变更合同。有过错的一方应当承担赔偿责任，双方当事人都有过错的，各自承担相应的责任。</w:t>
      </w:r>
      <w:bookmarkStart w:id="519" w:name="_Toc487900369"/>
      <w:bookmarkStart w:id="520" w:name="_Toc259093688"/>
      <w:bookmarkStart w:id="521" w:name="_Toc279701259"/>
    </w:p>
    <w:p w14:paraId="0297A060">
      <w:pPr>
        <w:spacing w:line="560" w:lineRule="exact"/>
        <w:ind w:firstLine="482" w:firstLineChars="200"/>
        <w:outlineLvl w:val="2"/>
        <w:rPr>
          <w:rFonts w:hint="eastAsia" w:ascii="宋体" w:hAnsi="宋体" w:cs="宋体"/>
          <w:b/>
          <w:sz w:val="24"/>
          <w:shd w:val="clear" w:color="auto" w:fill="auto"/>
        </w:rPr>
      </w:pPr>
      <w:bookmarkStart w:id="522" w:name="_Toc15237"/>
      <w:bookmarkStart w:id="523" w:name="_Toc10366"/>
      <w:bookmarkStart w:id="524" w:name="_Toc22955"/>
      <w:r>
        <w:rPr>
          <w:rFonts w:hint="eastAsia" w:ascii="宋体" w:hAnsi="宋体" w:cs="宋体"/>
          <w:b/>
          <w:sz w:val="24"/>
          <w:shd w:val="clear" w:color="auto" w:fill="auto"/>
        </w:rPr>
        <w:t>2.11合同转让</w:t>
      </w:r>
      <w:bookmarkEnd w:id="519"/>
      <w:bookmarkEnd w:id="520"/>
      <w:bookmarkEnd w:id="521"/>
      <w:r>
        <w:rPr>
          <w:rFonts w:hint="eastAsia" w:ascii="宋体" w:hAnsi="宋体" w:cs="宋体"/>
          <w:b/>
          <w:sz w:val="24"/>
          <w:shd w:val="clear" w:color="auto" w:fill="auto"/>
        </w:rPr>
        <w:t>和分包</w:t>
      </w:r>
      <w:bookmarkEnd w:id="522"/>
      <w:bookmarkEnd w:id="523"/>
      <w:bookmarkEnd w:id="524"/>
    </w:p>
    <w:p w14:paraId="7D248D5B">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2.11.1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50B445A8">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2.11.2乙方采取分包方式履行合同的，甲方可直接向分包供应商支付款项。</w:t>
      </w:r>
    </w:p>
    <w:p w14:paraId="1340AD93">
      <w:pPr>
        <w:spacing w:line="560" w:lineRule="exact"/>
        <w:ind w:firstLine="482" w:firstLineChars="200"/>
        <w:outlineLvl w:val="2"/>
        <w:rPr>
          <w:rFonts w:hint="eastAsia" w:ascii="宋体" w:hAnsi="宋体" w:cs="宋体"/>
          <w:b/>
          <w:sz w:val="24"/>
          <w:shd w:val="clear" w:color="auto" w:fill="auto"/>
        </w:rPr>
      </w:pPr>
      <w:bookmarkStart w:id="525" w:name="_Toc13566"/>
      <w:bookmarkStart w:id="526" w:name="_Toc14066"/>
      <w:bookmarkStart w:id="527" w:name="_Toc16508"/>
      <w:r>
        <w:rPr>
          <w:rFonts w:hint="eastAsia" w:ascii="宋体" w:hAnsi="宋体" w:cs="宋体"/>
          <w:b/>
          <w:sz w:val="24"/>
          <w:shd w:val="clear" w:color="auto" w:fill="auto"/>
        </w:rPr>
        <w:t>2.12不可抗力</w:t>
      </w:r>
      <w:bookmarkEnd w:id="525"/>
      <w:bookmarkEnd w:id="526"/>
      <w:bookmarkEnd w:id="527"/>
    </w:p>
    <w:p w14:paraId="7942CFD5">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2.12.1如果任何一方遭遇法律规定的不可抗力，致使合同履行受阻时，履行合同的期限应予延长，延长的期限应相当于不可抗力所影响的时间；</w:t>
      </w:r>
    </w:p>
    <w:p w14:paraId="3CDA3DB9">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2.12.2因不可抗力致使不能实现合同目的的，当事人可以解除合同；</w:t>
      </w:r>
    </w:p>
    <w:p w14:paraId="5C38F1BD">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2.12.3因不可抗力致使合同有变更必要的，双方当事人应在</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约定时间内以书面形式变更合同；</w:t>
      </w:r>
    </w:p>
    <w:p w14:paraId="140EC985">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2.12.4受不可抗力影响的一方在不可抗力发生后，应在</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约定时间内以书面形式通知对方当事人，并在</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约定时间内，将有关部门出具的证明文件送达对方当事人。</w:t>
      </w:r>
    </w:p>
    <w:p w14:paraId="0E416F76">
      <w:pPr>
        <w:spacing w:line="560" w:lineRule="exact"/>
        <w:ind w:firstLine="482" w:firstLineChars="200"/>
        <w:outlineLvl w:val="2"/>
        <w:rPr>
          <w:rFonts w:hint="eastAsia" w:ascii="宋体" w:hAnsi="宋体" w:cs="宋体"/>
          <w:b/>
          <w:sz w:val="24"/>
          <w:shd w:val="clear" w:color="auto" w:fill="auto"/>
        </w:rPr>
      </w:pPr>
      <w:bookmarkStart w:id="528" w:name="_Toc487900365"/>
      <w:bookmarkStart w:id="529" w:name="_Toc259093684"/>
      <w:bookmarkStart w:id="530" w:name="_Toc30676"/>
      <w:bookmarkStart w:id="531" w:name="_Toc279701255"/>
      <w:bookmarkStart w:id="532" w:name="_Toc689"/>
      <w:bookmarkStart w:id="533" w:name="_Toc6969"/>
      <w:r>
        <w:rPr>
          <w:rFonts w:hint="eastAsia" w:ascii="宋体" w:hAnsi="宋体" w:cs="宋体"/>
          <w:b/>
          <w:sz w:val="24"/>
          <w:shd w:val="clear" w:color="auto" w:fill="auto"/>
        </w:rPr>
        <w:t>2.13税费</w:t>
      </w:r>
      <w:bookmarkEnd w:id="528"/>
      <w:bookmarkEnd w:id="529"/>
      <w:bookmarkEnd w:id="530"/>
      <w:bookmarkEnd w:id="531"/>
      <w:bookmarkEnd w:id="532"/>
      <w:bookmarkEnd w:id="533"/>
    </w:p>
    <w:p w14:paraId="38088E1B">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与合同有关的一切税费，均按照中华人民共和国法律的相关规定。</w:t>
      </w:r>
    </w:p>
    <w:p w14:paraId="0C79B28F">
      <w:pPr>
        <w:spacing w:line="560" w:lineRule="exact"/>
        <w:ind w:firstLine="482" w:firstLineChars="200"/>
        <w:outlineLvl w:val="2"/>
        <w:rPr>
          <w:rFonts w:hint="eastAsia" w:ascii="宋体" w:hAnsi="宋体" w:cs="宋体"/>
          <w:b/>
          <w:sz w:val="24"/>
          <w:shd w:val="clear" w:color="auto" w:fill="auto"/>
        </w:rPr>
      </w:pPr>
      <w:bookmarkStart w:id="534" w:name="_Toc487900368"/>
      <w:bookmarkStart w:id="535" w:name="_Toc8298"/>
      <w:bookmarkStart w:id="536" w:name="_Toc279701258"/>
      <w:bookmarkStart w:id="537" w:name="_Toc16959"/>
      <w:bookmarkStart w:id="538" w:name="_Toc259093687"/>
      <w:bookmarkStart w:id="539" w:name="_Toc7102"/>
      <w:r>
        <w:rPr>
          <w:rFonts w:hint="eastAsia" w:ascii="宋体" w:hAnsi="宋体" w:cs="宋体"/>
          <w:b/>
          <w:sz w:val="24"/>
          <w:shd w:val="clear" w:color="auto" w:fill="auto"/>
        </w:rPr>
        <w:t>2.14乙方破产</w:t>
      </w:r>
      <w:bookmarkEnd w:id="534"/>
      <w:bookmarkEnd w:id="535"/>
      <w:bookmarkEnd w:id="536"/>
      <w:bookmarkEnd w:id="537"/>
      <w:bookmarkEnd w:id="538"/>
      <w:bookmarkEnd w:id="539"/>
    </w:p>
    <w:p w14:paraId="2C9A58BA">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21B1D1AE">
      <w:pPr>
        <w:spacing w:line="560" w:lineRule="exact"/>
        <w:ind w:firstLine="482" w:firstLineChars="200"/>
        <w:outlineLvl w:val="2"/>
        <w:rPr>
          <w:rFonts w:hint="eastAsia" w:ascii="宋体" w:hAnsi="宋体" w:cs="宋体"/>
          <w:b/>
          <w:sz w:val="24"/>
          <w:shd w:val="clear" w:color="auto" w:fill="auto"/>
        </w:rPr>
      </w:pPr>
      <w:bookmarkStart w:id="540" w:name="_Toc29333"/>
      <w:bookmarkStart w:id="541" w:name="_Toc15387"/>
      <w:bookmarkStart w:id="542" w:name="_Toc6134"/>
      <w:r>
        <w:rPr>
          <w:rFonts w:hint="eastAsia" w:ascii="宋体" w:hAnsi="宋体" w:cs="宋体"/>
          <w:b/>
          <w:sz w:val="24"/>
          <w:shd w:val="clear" w:color="auto" w:fill="auto"/>
        </w:rPr>
        <w:t>2.15合同中止、终止</w:t>
      </w:r>
      <w:bookmarkEnd w:id="540"/>
      <w:bookmarkEnd w:id="541"/>
      <w:bookmarkEnd w:id="542"/>
    </w:p>
    <w:p w14:paraId="67C796E8">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2.15.1双方当事人不得擅自中止或者终止合同；</w:t>
      </w:r>
    </w:p>
    <w:p w14:paraId="3DCA9CCA">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2.15.2合同继续履行将损害国家利益和社会公共利益的，双方当事人应当中止或者终止合同。有过错的一方应当承担赔偿责任，双方当事人都有过错的，各自承担相应的责任。</w:t>
      </w:r>
    </w:p>
    <w:p w14:paraId="033AEB5F">
      <w:pPr>
        <w:spacing w:line="560" w:lineRule="exact"/>
        <w:ind w:firstLine="482" w:firstLineChars="200"/>
        <w:outlineLvl w:val="2"/>
        <w:rPr>
          <w:rFonts w:hint="eastAsia" w:ascii="宋体" w:hAnsi="宋体" w:cs="宋体"/>
          <w:b/>
          <w:sz w:val="24"/>
          <w:shd w:val="clear" w:color="auto" w:fill="auto"/>
        </w:rPr>
      </w:pPr>
      <w:bookmarkStart w:id="543" w:name="_Toc1125"/>
      <w:bookmarkStart w:id="544" w:name="_Toc6596"/>
      <w:bookmarkStart w:id="545" w:name="_Toc14563"/>
      <w:r>
        <w:rPr>
          <w:rFonts w:hint="eastAsia" w:ascii="宋体" w:hAnsi="宋体" w:cs="宋体"/>
          <w:b/>
          <w:sz w:val="24"/>
          <w:shd w:val="clear" w:color="auto" w:fill="auto"/>
        </w:rPr>
        <w:t>2.16检验和验收</w:t>
      </w:r>
      <w:bookmarkEnd w:id="543"/>
      <w:bookmarkEnd w:id="544"/>
      <w:bookmarkEnd w:id="545"/>
    </w:p>
    <w:p w14:paraId="74FF46CC">
      <w:pPr>
        <w:tabs>
          <w:tab w:val="left" w:pos="360"/>
          <w:tab w:val="left" w:pos="540"/>
          <w:tab w:val="left" w:pos="1080"/>
        </w:tabs>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2.16.1货物交付前，乙方应对货物的质量、数量等方面进行详细、全面的检验，并向甲方出具证明货物符合合同约定的文件；货物交付时，甲方在</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约定时间内组织验收，并可依法邀请相关方参加，验收应出具验收书。</w:t>
      </w:r>
    </w:p>
    <w:p w14:paraId="4C0BED4C">
      <w:pPr>
        <w:tabs>
          <w:tab w:val="left" w:pos="360"/>
          <w:tab w:val="left" w:pos="540"/>
          <w:tab w:val="left" w:pos="1080"/>
        </w:tabs>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2.16.2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62089B3E">
      <w:pPr>
        <w:tabs>
          <w:tab w:val="left" w:pos="360"/>
          <w:tab w:val="left" w:pos="540"/>
          <w:tab w:val="left" w:pos="1080"/>
        </w:tabs>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2.16.3</w:t>
      </w:r>
      <w:r>
        <w:rPr>
          <w:rFonts w:hint="eastAsia" w:ascii="宋体" w:hAnsi="宋体" w:cs="宋体"/>
          <w:w w:val="95"/>
          <w:sz w:val="24"/>
          <w:shd w:val="clear" w:color="auto" w:fill="auto"/>
        </w:rPr>
        <w:t>检验和验收标准、程序等具体内容以及前述验收书的效力详见</w:t>
      </w:r>
      <w:r>
        <w:rPr>
          <w:rFonts w:hint="eastAsia" w:ascii="宋体" w:hAnsi="宋体" w:cs="宋体"/>
          <w:b/>
          <w:i/>
          <w:w w:val="95"/>
          <w:sz w:val="24"/>
          <w:u w:val="single"/>
          <w:shd w:val="clear" w:color="auto" w:fill="auto"/>
        </w:rPr>
        <w:t>合同专用条款</w:t>
      </w:r>
      <w:r>
        <w:rPr>
          <w:rFonts w:hint="eastAsia" w:ascii="宋体" w:hAnsi="宋体" w:cs="宋体"/>
          <w:i/>
          <w:w w:val="95"/>
          <w:sz w:val="24"/>
          <w:shd w:val="clear" w:color="auto" w:fill="auto"/>
        </w:rPr>
        <w:t>。</w:t>
      </w:r>
    </w:p>
    <w:bookmarkEnd w:id="515"/>
    <w:bookmarkEnd w:id="516"/>
    <w:bookmarkEnd w:id="517"/>
    <w:bookmarkEnd w:id="518"/>
    <w:p w14:paraId="55018947">
      <w:pPr>
        <w:spacing w:line="560" w:lineRule="exact"/>
        <w:ind w:firstLine="482" w:firstLineChars="200"/>
        <w:outlineLvl w:val="2"/>
        <w:rPr>
          <w:rFonts w:hint="eastAsia" w:ascii="宋体" w:hAnsi="宋体" w:cs="宋体"/>
          <w:b/>
          <w:sz w:val="24"/>
          <w:shd w:val="clear" w:color="auto" w:fill="auto"/>
        </w:rPr>
      </w:pPr>
      <w:bookmarkStart w:id="546" w:name="_Toc487900371"/>
      <w:bookmarkStart w:id="547" w:name="_Toc279701261"/>
      <w:bookmarkStart w:id="548" w:name="_Toc259093690"/>
      <w:bookmarkStart w:id="549" w:name="_Toc11284"/>
      <w:bookmarkStart w:id="550" w:name="_Toc25182"/>
      <w:bookmarkStart w:id="551" w:name="_Toc19604"/>
      <w:r>
        <w:rPr>
          <w:rFonts w:hint="eastAsia" w:ascii="宋体" w:hAnsi="宋体" w:cs="宋体"/>
          <w:b/>
          <w:sz w:val="24"/>
          <w:shd w:val="clear" w:color="auto" w:fill="auto"/>
        </w:rPr>
        <w:t>2.17通知</w:t>
      </w:r>
      <w:bookmarkEnd w:id="546"/>
      <w:bookmarkEnd w:id="547"/>
      <w:bookmarkEnd w:id="548"/>
      <w:r>
        <w:rPr>
          <w:rFonts w:hint="eastAsia" w:ascii="宋体" w:hAnsi="宋体" w:cs="宋体"/>
          <w:b/>
          <w:sz w:val="24"/>
          <w:shd w:val="clear" w:color="auto" w:fill="auto"/>
        </w:rPr>
        <w:t>和送达</w:t>
      </w:r>
      <w:bookmarkEnd w:id="549"/>
      <w:bookmarkEnd w:id="550"/>
      <w:bookmarkEnd w:id="551"/>
    </w:p>
    <w:p w14:paraId="10DA536F">
      <w:pPr>
        <w:spacing w:line="560" w:lineRule="exact"/>
        <w:ind w:firstLine="480" w:firstLineChars="200"/>
        <w:rPr>
          <w:rFonts w:ascii="宋体" w:hAnsi="宋体" w:cs="宋体"/>
          <w:sz w:val="24"/>
          <w:shd w:val="clear" w:color="auto" w:fill="auto"/>
        </w:rPr>
      </w:pPr>
      <w:bookmarkStart w:id="552" w:name="_Toc3135"/>
      <w:bookmarkStart w:id="553" w:name="_Toc6698"/>
      <w:bookmarkStart w:id="554" w:name="_Toc259093691"/>
      <w:bookmarkStart w:id="555" w:name="_Toc487900372"/>
      <w:bookmarkStart w:id="556" w:name="_Toc279701262"/>
      <w:r>
        <w:rPr>
          <w:rFonts w:hint="eastAsia" w:ascii="宋体" w:hAnsi="宋体" w:cs="宋体"/>
          <w:sz w:val="24"/>
          <w:shd w:val="clear" w:color="auto" w:fill="auto"/>
        </w:rPr>
        <w:t xml:space="preserve">2.17.1任何一方因履行合同而以合同第一部分尾部所列明的传真或电子邮件 </w:t>
      </w:r>
      <w:r>
        <w:rPr>
          <w:rFonts w:hint="eastAsia" w:ascii="宋体" w:hAnsi="宋体" w:cs="宋体"/>
          <w:sz w:val="24"/>
          <w:u w:val="single"/>
          <w:shd w:val="clear" w:color="auto" w:fill="auto"/>
        </w:rPr>
        <w:t xml:space="preserve">       </w:t>
      </w:r>
      <w:r>
        <w:rPr>
          <w:rFonts w:hint="eastAsia" w:ascii="宋体" w:hAnsi="宋体" w:cs="宋体"/>
          <w:sz w:val="24"/>
          <w:shd w:val="clear" w:color="auto" w:fill="auto"/>
        </w:rPr>
        <w:t>发出的所有通知、文件、材料，均视为已向对方当事人送达；任何一方变更上述送达方式或者地址的，应于</w:t>
      </w:r>
      <w:r>
        <w:rPr>
          <w:rFonts w:hint="eastAsia" w:ascii="宋体" w:hAnsi="宋体" w:cs="宋体"/>
          <w:sz w:val="24"/>
          <w:u w:val="single"/>
          <w:shd w:val="clear" w:color="auto" w:fill="auto"/>
        </w:rPr>
        <w:t>3</w:t>
      </w:r>
      <w:r>
        <w:rPr>
          <w:rFonts w:hint="eastAsia" w:ascii="宋体" w:hAnsi="宋体" w:cs="宋体"/>
          <w:sz w:val="24"/>
          <w:shd w:val="clear" w:color="auto" w:fill="auto"/>
        </w:rPr>
        <w:t>个工作日内书面通知对方当事人，在对方当事人收到有关变更通知之前，变更前的约定送达方式或者地址仍视为有效。</w:t>
      </w:r>
      <w:bookmarkEnd w:id="552"/>
      <w:bookmarkEnd w:id="553"/>
    </w:p>
    <w:p w14:paraId="39E78FD1">
      <w:pPr>
        <w:spacing w:line="560" w:lineRule="exact"/>
        <w:ind w:firstLine="480" w:firstLineChars="200"/>
        <w:rPr>
          <w:rFonts w:ascii="宋体" w:hAnsi="宋体" w:cs="宋体"/>
          <w:sz w:val="24"/>
          <w:shd w:val="clear" w:color="auto" w:fill="auto"/>
        </w:rPr>
      </w:pPr>
      <w:bookmarkStart w:id="557" w:name="_Toc23128"/>
      <w:bookmarkStart w:id="558" w:name="_Toc23294"/>
      <w:r>
        <w:rPr>
          <w:rFonts w:hint="eastAsia" w:ascii="宋体" w:hAnsi="宋体" w:cs="宋体"/>
          <w:sz w:val="24"/>
          <w:shd w:val="clear" w:color="auto" w:fill="auto"/>
        </w:rPr>
        <w:t>2.17.2以当面交付方式送达的，交付之时视为送达；以电子邮件方式送达的，发出电子邮件之时视为送达；以传真方式送达的，发出传真之时视为送达；以邮寄方式送达的，邮件挂号寄出或者交邮之日之次日视为送达。</w:t>
      </w:r>
      <w:bookmarkEnd w:id="557"/>
      <w:bookmarkEnd w:id="558"/>
    </w:p>
    <w:p w14:paraId="0521D68E">
      <w:pPr>
        <w:spacing w:line="560" w:lineRule="exact"/>
        <w:ind w:firstLine="482" w:firstLineChars="200"/>
        <w:outlineLvl w:val="2"/>
        <w:rPr>
          <w:rFonts w:hint="eastAsia" w:ascii="宋体" w:hAnsi="宋体" w:cs="宋体"/>
          <w:b/>
          <w:sz w:val="24"/>
          <w:shd w:val="clear" w:color="auto" w:fill="auto"/>
        </w:rPr>
      </w:pPr>
      <w:bookmarkStart w:id="559" w:name="_Toc30599"/>
      <w:bookmarkStart w:id="560" w:name="_Toc4355"/>
      <w:bookmarkStart w:id="561" w:name="_Toc18540"/>
      <w:r>
        <w:rPr>
          <w:rFonts w:hint="eastAsia" w:ascii="宋体" w:hAnsi="宋体" w:cs="宋体"/>
          <w:b/>
          <w:sz w:val="24"/>
          <w:shd w:val="clear" w:color="auto" w:fill="auto"/>
        </w:rPr>
        <w:t>2.18计量单位</w:t>
      </w:r>
      <w:bookmarkEnd w:id="554"/>
      <w:bookmarkEnd w:id="555"/>
      <w:bookmarkEnd w:id="556"/>
      <w:bookmarkEnd w:id="559"/>
      <w:bookmarkEnd w:id="560"/>
      <w:bookmarkEnd w:id="561"/>
    </w:p>
    <w:p w14:paraId="4E4B1752">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除技术规范中另有规定外,合同的计量单位均使用国家法定计量单位。</w:t>
      </w:r>
    </w:p>
    <w:p w14:paraId="0770FA5F">
      <w:pPr>
        <w:spacing w:line="560" w:lineRule="exact"/>
        <w:ind w:firstLine="482" w:firstLineChars="200"/>
        <w:outlineLvl w:val="2"/>
        <w:rPr>
          <w:rFonts w:hint="eastAsia" w:ascii="宋体" w:hAnsi="宋体" w:cs="宋体"/>
          <w:b/>
          <w:sz w:val="24"/>
          <w:shd w:val="clear" w:color="auto" w:fill="auto"/>
        </w:rPr>
      </w:pPr>
      <w:bookmarkStart w:id="562" w:name="_Toc18567"/>
      <w:bookmarkStart w:id="563" w:name="_Toc12773"/>
      <w:bookmarkStart w:id="564" w:name="_Toc259093692"/>
      <w:bookmarkStart w:id="565" w:name="_Toc279701263"/>
      <w:bookmarkStart w:id="566" w:name="_Toc487900373"/>
      <w:bookmarkStart w:id="567" w:name="_Toc10330"/>
      <w:r>
        <w:rPr>
          <w:rFonts w:hint="eastAsia" w:ascii="宋体" w:hAnsi="宋体" w:cs="宋体"/>
          <w:b/>
          <w:sz w:val="24"/>
          <w:shd w:val="clear" w:color="auto" w:fill="auto"/>
        </w:rPr>
        <w:t>2.19合同使用的文字和适用的法律</w:t>
      </w:r>
      <w:bookmarkEnd w:id="562"/>
      <w:bookmarkEnd w:id="563"/>
      <w:bookmarkEnd w:id="564"/>
      <w:bookmarkEnd w:id="565"/>
      <w:bookmarkEnd w:id="566"/>
      <w:bookmarkEnd w:id="567"/>
    </w:p>
    <w:p w14:paraId="0AF634D4">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2.19.1合同使用汉语书就、变更和解释；</w:t>
      </w:r>
    </w:p>
    <w:p w14:paraId="75C67035">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2.19.2合同适用中华人民共和国法律。</w:t>
      </w:r>
    </w:p>
    <w:p w14:paraId="25F3D307">
      <w:pPr>
        <w:spacing w:line="560" w:lineRule="exact"/>
        <w:ind w:firstLine="482" w:firstLineChars="200"/>
        <w:outlineLvl w:val="2"/>
        <w:rPr>
          <w:rFonts w:hint="eastAsia" w:ascii="宋体" w:hAnsi="宋体" w:cs="宋体"/>
          <w:b/>
          <w:sz w:val="24"/>
          <w:shd w:val="clear" w:color="auto" w:fill="auto"/>
        </w:rPr>
      </w:pPr>
      <w:bookmarkStart w:id="568" w:name="_Toc6885"/>
      <w:bookmarkStart w:id="569" w:name="_Toc19890"/>
      <w:bookmarkStart w:id="570" w:name="_Toc14001"/>
      <w:r>
        <w:rPr>
          <w:rFonts w:hint="eastAsia" w:ascii="宋体" w:hAnsi="宋体" w:cs="宋体"/>
          <w:b/>
          <w:sz w:val="24"/>
          <w:shd w:val="clear" w:color="auto" w:fill="auto"/>
        </w:rPr>
        <w:t>2.20合同份数</w:t>
      </w:r>
      <w:bookmarkEnd w:id="568"/>
      <w:bookmarkEnd w:id="569"/>
      <w:bookmarkEnd w:id="570"/>
    </w:p>
    <w:p w14:paraId="70BB6C94">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合同份数按</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规定，每份均具有同等法律效力。</w:t>
      </w:r>
    </w:p>
    <w:p w14:paraId="65DB3802">
      <w:pPr>
        <w:pStyle w:val="702"/>
        <w:ind w:left="0" w:leftChars="0" w:firstLine="0" w:firstLineChars="0"/>
        <w:jc w:val="center"/>
        <w:outlineLvl w:val="1"/>
        <w:rPr>
          <w:rFonts w:hint="eastAsia" w:ascii="宋体" w:hAnsi="宋体" w:cs="宋体"/>
          <w:b/>
          <w:szCs w:val="24"/>
          <w:shd w:val="clear" w:color="auto" w:fill="auto"/>
        </w:rPr>
      </w:pPr>
      <w:r>
        <w:rPr>
          <w:rFonts w:hint="eastAsia" w:ascii="宋体" w:hAnsi="宋体" w:cs="宋体"/>
          <w:kern w:val="0"/>
          <w:shd w:val="clear" w:color="auto" w:fill="auto"/>
        </w:rPr>
        <w:br w:type="page"/>
      </w:r>
      <w:r>
        <w:rPr>
          <w:rFonts w:hint="eastAsia" w:ascii="宋体" w:hAnsi="宋体" w:cs="宋体"/>
          <w:b/>
          <w:szCs w:val="24"/>
          <w:shd w:val="clear" w:color="auto" w:fill="auto"/>
        </w:rPr>
        <w:t>第三部分  合同专用条款</w:t>
      </w:r>
    </w:p>
    <w:p w14:paraId="7E125E0F">
      <w:pPr>
        <w:spacing w:line="560" w:lineRule="exact"/>
        <w:ind w:left="-420" w:leftChars="-200" w:right="-420" w:rightChars="-200" w:firstLine="480" w:firstLineChars="200"/>
        <w:rPr>
          <w:rFonts w:ascii="宋体" w:hAnsi="宋体" w:cs="宋体"/>
          <w:shd w:val="clear" w:color="auto" w:fill="auto"/>
        </w:rPr>
      </w:pPr>
      <w:r>
        <w:rPr>
          <w:rFonts w:hint="eastAsia" w:ascii="宋体" w:hAnsi="宋体" w:cs="宋体"/>
          <w:sz w:val="24"/>
          <w:shd w:val="clear" w:color="auto" w:fill="auto"/>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3"/>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893"/>
        <w:gridCol w:w="8233"/>
      </w:tblGrid>
      <w:tr w14:paraId="36FFF0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489" w:type="pct"/>
            <w:tcBorders>
              <w:left w:val="single" w:color="auto" w:sz="4" w:space="0"/>
            </w:tcBorders>
            <w:vAlign w:val="center"/>
          </w:tcPr>
          <w:p w14:paraId="2AFE0A5A">
            <w:pPr>
              <w:spacing w:line="240" w:lineRule="auto"/>
              <w:jc w:val="center"/>
              <w:rPr>
                <w:rFonts w:ascii="宋体" w:hAnsi="宋体" w:cs="宋体"/>
                <w:b/>
                <w:sz w:val="24"/>
                <w:highlight w:val="none"/>
                <w:shd w:val="clear" w:color="auto" w:fill="auto"/>
              </w:rPr>
            </w:pPr>
            <w:r>
              <w:rPr>
                <w:rFonts w:hint="eastAsia" w:ascii="宋体" w:hAnsi="宋体" w:cs="宋体"/>
                <w:b/>
                <w:sz w:val="24"/>
                <w:highlight w:val="none"/>
                <w:shd w:val="clear" w:color="auto" w:fill="auto"/>
              </w:rPr>
              <w:t>条款号</w:t>
            </w:r>
          </w:p>
        </w:tc>
        <w:tc>
          <w:tcPr>
            <w:tcW w:w="4510" w:type="pct"/>
            <w:vAlign w:val="center"/>
          </w:tcPr>
          <w:p w14:paraId="3DA70007">
            <w:pPr>
              <w:spacing w:line="240" w:lineRule="auto"/>
              <w:jc w:val="center"/>
              <w:rPr>
                <w:rFonts w:ascii="宋体" w:hAnsi="宋体" w:cs="宋体"/>
                <w:b/>
                <w:sz w:val="24"/>
                <w:highlight w:val="none"/>
                <w:shd w:val="clear" w:color="auto" w:fill="auto"/>
              </w:rPr>
            </w:pPr>
            <w:r>
              <w:rPr>
                <w:rFonts w:hint="eastAsia" w:ascii="宋体" w:hAnsi="宋体" w:cs="宋体"/>
                <w:b/>
                <w:sz w:val="24"/>
                <w:highlight w:val="none"/>
                <w:shd w:val="clear" w:color="auto" w:fill="auto"/>
              </w:rPr>
              <w:t>约定内容</w:t>
            </w:r>
          </w:p>
        </w:tc>
      </w:tr>
      <w:tr w14:paraId="692DE9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6430281C">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1.4.2</w:t>
            </w:r>
          </w:p>
        </w:tc>
        <w:tc>
          <w:tcPr>
            <w:tcW w:w="4510" w:type="pct"/>
            <w:vAlign w:val="center"/>
          </w:tcPr>
          <w:p w14:paraId="5C946032">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合同签订后7个工作日内以支票、汇票、本票或者金融机构、担保机构出具的保函等非现金形式，提交履约保证金；鼓励和支持乙方以银行、保险公司出具的保函形式提供履约保证，乙方以银行、保险公司出具保函形式提交履约保证金的，甲方不得拒收</w:t>
            </w:r>
            <w:r>
              <w:rPr>
                <w:rFonts w:hint="eastAsia" w:ascii="宋体" w:hAnsi="宋体" w:cs="宋体"/>
                <w:sz w:val="24"/>
                <w:highlight w:val="none"/>
                <w:shd w:val="clear" w:color="auto" w:fill="auto"/>
                <w:lang w:eastAsia="zh-CN"/>
              </w:rPr>
              <w:t>。</w:t>
            </w:r>
          </w:p>
        </w:tc>
      </w:tr>
      <w:tr w14:paraId="069305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2EE31902">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1.5.1</w:t>
            </w:r>
          </w:p>
        </w:tc>
        <w:tc>
          <w:tcPr>
            <w:tcW w:w="4510" w:type="pct"/>
            <w:vAlign w:val="center"/>
          </w:tcPr>
          <w:p w14:paraId="5F36AFDA">
            <w:pPr>
              <w:spacing w:line="360" w:lineRule="auto"/>
              <w:rPr>
                <w:rFonts w:ascii="宋体" w:hAnsi="宋体" w:eastAsia="宋体" w:cs="宋体"/>
                <w:kern w:val="2"/>
                <w:sz w:val="24"/>
                <w:szCs w:val="24"/>
                <w:highlight w:val="none"/>
                <w:shd w:val="clear" w:color="auto" w:fill="auto"/>
                <w:lang w:val="en-US" w:eastAsia="zh-CN" w:bidi="ar-SA"/>
              </w:rPr>
            </w:pPr>
            <w:r>
              <w:rPr>
                <w:rFonts w:hint="eastAsia" w:asciiTheme="minorEastAsia" w:hAnsiTheme="minorEastAsia" w:eastAsiaTheme="minorEastAsia" w:cstheme="minorEastAsia"/>
                <w:sz w:val="24"/>
                <w:highlight w:val="none"/>
              </w:rPr>
              <w:t>满足支付条件后5个工作日内支付合同总金额40%预付款，项目验收完毕后支付合同总金额的60%。在签订合同时，供应商明确表示无需预付款或者主动要求降低预付款比例的，采购单位可不适用前述规定。</w:t>
            </w:r>
          </w:p>
        </w:tc>
      </w:tr>
      <w:tr w14:paraId="66BEB3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6F7C6D99">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 xml:space="preserve">1.5.2 </w:t>
            </w:r>
          </w:p>
        </w:tc>
        <w:tc>
          <w:tcPr>
            <w:tcW w:w="4510" w:type="pct"/>
            <w:vAlign w:val="center"/>
          </w:tcPr>
          <w:p w14:paraId="56B2E2CD">
            <w:pPr>
              <w:spacing w:line="360" w:lineRule="auto"/>
              <w:rPr>
                <w:rFonts w:hint="eastAsia" w:ascii="宋体" w:hAnsi="宋体" w:eastAsia="宋体" w:cs="宋体"/>
                <w:kern w:val="2"/>
                <w:sz w:val="24"/>
                <w:szCs w:val="24"/>
                <w:highlight w:val="none"/>
                <w:shd w:val="clear" w:color="auto" w:fill="auto"/>
                <w:lang w:val="en-US" w:eastAsia="zh-CN" w:bidi="ar-SA"/>
              </w:rPr>
            </w:pPr>
            <w:r>
              <w:rPr>
                <w:rFonts w:hint="eastAsia" w:ascii="宋体" w:hAnsi="宋体" w:cs="宋体"/>
                <w:sz w:val="24"/>
                <w:highlight w:val="none"/>
                <w:shd w:val="clear" w:color="auto" w:fill="auto"/>
                <w:lang w:val="en-US" w:eastAsia="zh-CN"/>
              </w:rPr>
              <w:t>/</w:t>
            </w:r>
          </w:p>
        </w:tc>
      </w:tr>
      <w:tr w14:paraId="1054A6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741D8043">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1.5.3</w:t>
            </w:r>
          </w:p>
        </w:tc>
        <w:tc>
          <w:tcPr>
            <w:tcW w:w="4510" w:type="pct"/>
            <w:vAlign w:val="center"/>
          </w:tcPr>
          <w:p w14:paraId="4DE46B3F">
            <w:pPr>
              <w:spacing w:line="360" w:lineRule="auto"/>
              <w:rPr>
                <w:rFonts w:hint="default" w:ascii="宋体" w:hAnsi="宋体" w:eastAsia="宋体" w:cs="宋体"/>
                <w:kern w:val="2"/>
                <w:sz w:val="24"/>
                <w:szCs w:val="24"/>
                <w:highlight w:val="none"/>
                <w:shd w:val="clear" w:color="auto" w:fill="auto"/>
                <w:lang w:val="en-US" w:eastAsia="zh-CN" w:bidi="ar-SA"/>
              </w:rPr>
            </w:pPr>
            <w:r>
              <w:rPr>
                <w:rFonts w:hint="eastAsia" w:ascii="宋体" w:hAnsi="宋体" w:cs="宋体"/>
                <w:sz w:val="24"/>
                <w:highlight w:val="none"/>
                <w:shd w:val="clear" w:color="auto" w:fill="auto"/>
                <w:lang w:val="en-US" w:eastAsia="zh-CN"/>
              </w:rPr>
              <w:t>/</w:t>
            </w:r>
          </w:p>
        </w:tc>
      </w:tr>
      <w:tr w14:paraId="5BD20C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3E35CE42">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1.6.2</w:t>
            </w:r>
          </w:p>
        </w:tc>
        <w:tc>
          <w:tcPr>
            <w:tcW w:w="4510" w:type="pct"/>
            <w:vAlign w:val="center"/>
          </w:tcPr>
          <w:p w14:paraId="3AF72FA2">
            <w:pPr>
              <w:pageBreakBefore w:val="0"/>
              <w:widowControl w:val="0"/>
              <w:kinsoku/>
              <w:wordWrap/>
              <w:overflowPunct/>
              <w:topLinePunct w:val="0"/>
              <w:bidi w:val="0"/>
              <w:snapToGrid/>
              <w:spacing w:line="360" w:lineRule="auto"/>
              <w:jc w:val="both"/>
              <w:textAlignment w:val="auto"/>
              <w:outlineLvl w:val="9"/>
              <w:rPr>
                <w:rFonts w:ascii="宋体" w:hAnsi="宋体" w:cs="宋体"/>
                <w:sz w:val="24"/>
                <w:highlight w:val="none"/>
                <w:shd w:val="clear" w:color="auto" w:fill="auto"/>
              </w:rPr>
            </w:pPr>
            <w:r>
              <w:rPr>
                <w:rFonts w:hint="eastAsia" w:asciiTheme="minorEastAsia" w:hAnsiTheme="minorEastAsia" w:eastAsiaTheme="minorEastAsia" w:cstheme="minorEastAsia"/>
                <w:sz w:val="24"/>
                <w:highlight w:val="none"/>
              </w:rPr>
              <w:t>满足支付条件后5个工作日内支付合同总金额40%预付款，项目验收完毕后支付合同总金额的60%。在签订合同时，供应商明确表示无需预付款或者主动要求降低预付款比例的，采购单位可不适用前述规定。</w:t>
            </w:r>
          </w:p>
        </w:tc>
      </w:tr>
      <w:tr w14:paraId="6563AE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0C650C53">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1.7.1</w:t>
            </w:r>
          </w:p>
        </w:tc>
        <w:tc>
          <w:tcPr>
            <w:tcW w:w="4510" w:type="pct"/>
            <w:vAlign w:val="center"/>
          </w:tcPr>
          <w:p w14:paraId="157A2769">
            <w:pPr>
              <w:spacing w:line="360" w:lineRule="auto"/>
              <w:rPr>
                <w:rFonts w:ascii="宋体" w:hAnsi="宋体" w:eastAsia="宋体" w:cs="宋体"/>
                <w:kern w:val="2"/>
                <w:sz w:val="24"/>
                <w:szCs w:val="24"/>
                <w:highlight w:val="none"/>
                <w:shd w:val="clear" w:color="auto" w:fill="auto"/>
                <w:lang w:val="en-US" w:eastAsia="zh-CN" w:bidi="ar-SA"/>
              </w:rPr>
            </w:pPr>
            <w:r>
              <w:rPr>
                <w:rFonts w:hint="eastAsia" w:ascii="宋体" w:hAnsi="宋体" w:cs="宋体"/>
                <w:sz w:val="24"/>
                <w:highlight w:val="none"/>
                <w:lang w:val="en-US" w:eastAsia="zh-CN"/>
              </w:rPr>
              <w:t>在合同生效后30天内，供应商需将所供产品（出厂原包装）按合同清单所列的采购单位、地址以及货物品种、数量等，运至指定地点拆箱，并负责安装、调试，由采购单位负责验收。</w:t>
            </w:r>
          </w:p>
        </w:tc>
      </w:tr>
      <w:tr w14:paraId="1D32D7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58EA9BAC">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1.7.2</w:t>
            </w:r>
          </w:p>
        </w:tc>
        <w:tc>
          <w:tcPr>
            <w:tcW w:w="4510" w:type="pct"/>
            <w:vAlign w:val="center"/>
          </w:tcPr>
          <w:p w14:paraId="23D1144A">
            <w:pPr>
              <w:spacing w:line="360" w:lineRule="auto"/>
              <w:rPr>
                <w:rFonts w:ascii="宋体" w:hAnsi="宋体" w:cs="宋体" w:eastAsiaTheme="minorEastAsia"/>
                <w:kern w:val="2"/>
                <w:sz w:val="24"/>
                <w:szCs w:val="24"/>
                <w:highlight w:val="none"/>
                <w:shd w:val="clear" w:color="auto" w:fill="auto"/>
                <w:lang w:val="en-US" w:eastAsia="zh-CN" w:bidi="ar-SA"/>
              </w:rPr>
            </w:pPr>
            <w:r>
              <w:rPr>
                <w:rFonts w:hint="eastAsia" w:ascii="宋体" w:hAnsi="宋体" w:cs="宋体"/>
                <w:sz w:val="24"/>
                <w:highlight w:val="none"/>
                <w:shd w:val="clear" w:color="auto" w:fill="auto"/>
                <w:lang w:bidi="ar"/>
              </w:rPr>
              <w:t>招标人指定地点。</w:t>
            </w:r>
          </w:p>
        </w:tc>
      </w:tr>
      <w:tr w14:paraId="41DF2B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05AD1F58">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1.7.3</w:t>
            </w:r>
          </w:p>
        </w:tc>
        <w:tc>
          <w:tcPr>
            <w:tcW w:w="4510" w:type="pct"/>
            <w:vAlign w:val="center"/>
          </w:tcPr>
          <w:p w14:paraId="7AACC073">
            <w:pPr>
              <w:spacing w:line="360" w:lineRule="auto"/>
              <w:rPr>
                <w:rFonts w:ascii="宋体" w:hAnsi="宋体" w:cs="宋体" w:eastAsiaTheme="minorEastAsia"/>
                <w:kern w:val="2"/>
                <w:sz w:val="24"/>
                <w:szCs w:val="24"/>
                <w:highlight w:val="none"/>
                <w:shd w:val="clear" w:color="auto" w:fill="auto"/>
                <w:lang w:val="en-US" w:eastAsia="zh-CN" w:bidi="ar-SA"/>
              </w:rPr>
            </w:pPr>
            <w:r>
              <w:rPr>
                <w:rFonts w:hint="eastAsia" w:ascii="宋体" w:hAnsi="宋体" w:cs="宋体"/>
                <w:sz w:val="24"/>
                <w:highlight w:val="none"/>
                <w:shd w:val="clear" w:color="auto" w:fill="auto"/>
                <w:lang w:eastAsia="zh-CN" w:bidi="ar"/>
              </w:rPr>
              <w:t>现场交付</w:t>
            </w:r>
            <w:r>
              <w:rPr>
                <w:rFonts w:hint="eastAsia" w:ascii="宋体" w:hAnsi="宋体" w:cs="宋体"/>
                <w:sz w:val="24"/>
                <w:highlight w:val="none"/>
                <w:shd w:val="clear" w:color="auto" w:fill="auto"/>
                <w:lang w:bidi="ar"/>
              </w:rPr>
              <w:t>。</w:t>
            </w:r>
          </w:p>
        </w:tc>
      </w:tr>
      <w:tr w14:paraId="6E5ABA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3EE9E9FC">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1.8.6</w:t>
            </w:r>
          </w:p>
        </w:tc>
        <w:tc>
          <w:tcPr>
            <w:tcW w:w="4510" w:type="pct"/>
            <w:vAlign w:val="center"/>
          </w:tcPr>
          <w:p w14:paraId="11085E9A">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如产品质量未达到投标承诺技术要求及品牌、型号的；采购人将退货处理，乙方承担项目总额20%的违约金。</w:t>
            </w:r>
          </w:p>
        </w:tc>
      </w:tr>
      <w:tr w14:paraId="11DE1C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4019D0D2">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1.9</w:t>
            </w:r>
          </w:p>
        </w:tc>
        <w:tc>
          <w:tcPr>
            <w:tcW w:w="4510" w:type="pct"/>
            <w:vAlign w:val="center"/>
          </w:tcPr>
          <w:p w14:paraId="20132C73">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lang w:bidi="ar"/>
              </w:rPr>
              <w:t>1.</w:t>
            </w:r>
            <w:r>
              <w:rPr>
                <w:rFonts w:hint="eastAsia" w:ascii="宋体" w:hAnsi="宋体" w:cs="宋体"/>
                <w:sz w:val="24"/>
                <w:highlight w:val="none"/>
                <w:shd w:val="clear" w:color="auto" w:fill="auto"/>
                <w:lang w:val="en-US" w:eastAsia="zh-CN" w:bidi="ar"/>
              </w:rPr>
              <w:t>9</w:t>
            </w:r>
            <w:r>
              <w:rPr>
                <w:rFonts w:hint="eastAsia" w:ascii="宋体" w:hAnsi="宋体" w:cs="宋体"/>
                <w:sz w:val="24"/>
                <w:highlight w:val="none"/>
                <w:shd w:val="clear" w:color="auto" w:fill="auto"/>
                <w:lang w:bidi="ar"/>
              </w:rPr>
              <w:t>.2(诉讼)</w:t>
            </w:r>
          </w:p>
        </w:tc>
      </w:tr>
      <w:tr w14:paraId="140AF4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16366855">
            <w:pPr>
              <w:spacing w:line="360" w:lineRule="auto"/>
              <w:rPr>
                <w:rFonts w:hint="eastAsia" w:ascii="宋体" w:hAnsi="宋体" w:cs="宋体"/>
                <w:sz w:val="24"/>
                <w:highlight w:val="none"/>
                <w:shd w:val="clear" w:color="auto" w:fill="auto"/>
              </w:rPr>
            </w:pPr>
            <w:r>
              <w:rPr>
                <w:rFonts w:hint="eastAsia" w:ascii="宋体" w:hAnsi="宋体" w:cs="宋体"/>
                <w:sz w:val="24"/>
                <w:highlight w:val="none"/>
                <w:shd w:val="clear" w:color="auto" w:fill="auto"/>
                <w:lang w:val="en-US" w:eastAsia="zh-CN"/>
              </w:rPr>
              <w:t>1.9.1</w:t>
            </w:r>
          </w:p>
        </w:tc>
        <w:tc>
          <w:tcPr>
            <w:tcW w:w="4510" w:type="pct"/>
            <w:vAlign w:val="center"/>
          </w:tcPr>
          <w:p w14:paraId="1A0C8EDE">
            <w:pPr>
              <w:spacing w:line="360" w:lineRule="auto"/>
              <w:ind w:left="-420" w:leftChars="-200" w:right="-420" w:rightChars="-200" w:firstLine="480" w:firstLineChars="200"/>
              <w:rPr>
                <w:rFonts w:ascii="宋体" w:hAnsi="宋体" w:cs="宋体"/>
                <w:sz w:val="24"/>
                <w:highlight w:val="none"/>
                <w:shd w:val="clear" w:color="auto" w:fill="auto"/>
              </w:rPr>
            </w:pPr>
            <w:r>
              <w:rPr>
                <w:rFonts w:hint="eastAsia" w:ascii="宋体" w:hAnsi="宋体" w:cs="宋体"/>
                <w:sz w:val="24"/>
                <w:highlight w:val="none"/>
                <w:shd w:val="clear" w:color="auto" w:fill="auto"/>
                <w:lang w:val="en-US" w:eastAsia="zh-CN" w:bidi="ar"/>
              </w:rPr>
              <w:t>/</w:t>
            </w:r>
          </w:p>
        </w:tc>
      </w:tr>
      <w:tr w14:paraId="0FB900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0250BB30">
            <w:pPr>
              <w:spacing w:line="360" w:lineRule="auto"/>
              <w:rPr>
                <w:rFonts w:hint="eastAsia" w:ascii="宋体" w:hAnsi="宋体" w:cs="宋体"/>
                <w:sz w:val="24"/>
                <w:highlight w:val="none"/>
                <w:shd w:val="clear" w:color="auto" w:fill="auto"/>
              </w:rPr>
            </w:pPr>
            <w:r>
              <w:rPr>
                <w:rFonts w:hint="eastAsia" w:ascii="宋体" w:hAnsi="宋体" w:cs="宋体"/>
                <w:sz w:val="24"/>
                <w:highlight w:val="none"/>
                <w:shd w:val="clear" w:color="auto" w:fill="auto"/>
                <w:lang w:val="en-US" w:eastAsia="zh-CN"/>
              </w:rPr>
              <w:t>1.9.2</w:t>
            </w:r>
          </w:p>
        </w:tc>
        <w:tc>
          <w:tcPr>
            <w:tcW w:w="4510" w:type="pct"/>
            <w:vAlign w:val="center"/>
          </w:tcPr>
          <w:p w14:paraId="74B612CE">
            <w:pPr>
              <w:spacing w:line="360" w:lineRule="auto"/>
              <w:ind w:left="-420" w:leftChars="-200" w:right="-420" w:rightChars="-200" w:firstLine="480" w:firstLineChars="200"/>
              <w:rPr>
                <w:rFonts w:ascii="宋体" w:hAnsi="宋体" w:cs="宋体"/>
                <w:sz w:val="24"/>
                <w:highlight w:val="none"/>
                <w:shd w:val="clear" w:color="auto" w:fill="auto"/>
              </w:rPr>
            </w:pPr>
            <w:r>
              <w:rPr>
                <w:rFonts w:hint="eastAsia" w:ascii="宋体" w:hAnsi="宋体" w:cs="宋体"/>
                <w:sz w:val="24"/>
                <w:highlight w:val="none"/>
                <w:shd w:val="clear" w:color="auto" w:fill="auto"/>
                <w:lang w:bidi="ar"/>
              </w:rPr>
              <w:t>项目所在地的人民法院</w:t>
            </w:r>
          </w:p>
        </w:tc>
      </w:tr>
      <w:tr w14:paraId="2F642E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042ACACF">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2.3.2</w:t>
            </w:r>
          </w:p>
        </w:tc>
        <w:tc>
          <w:tcPr>
            <w:tcW w:w="4510" w:type="pct"/>
            <w:vAlign w:val="center"/>
          </w:tcPr>
          <w:p w14:paraId="2E127F0E">
            <w:pPr>
              <w:spacing w:line="360" w:lineRule="auto"/>
              <w:ind w:left="-420" w:leftChars="-200" w:right="-420" w:rightChars="-200" w:firstLine="480" w:firstLineChars="200"/>
              <w:rPr>
                <w:rFonts w:ascii="宋体" w:hAnsi="宋体" w:cs="宋体"/>
                <w:sz w:val="24"/>
                <w:highlight w:val="none"/>
                <w:shd w:val="clear" w:color="auto" w:fill="auto"/>
              </w:rPr>
            </w:pPr>
            <w:r>
              <w:rPr>
                <w:rFonts w:hint="eastAsia" w:ascii="宋体" w:hAnsi="宋体" w:cs="宋体"/>
                <w:sz w:val="24"/>
                <w:highlight w:val="none"/>
                <w:shd w:val="clear" w:color="auto" w:fill="auto"/>
                <w:lang w:bidi="ar"/>
              </w:rPr>
              <w:t>归乙方所有，但针对本项目，甲方有无限使用权。</w:t>
            </w:r>
          </w:p>
        </w:tc>
      </w:tr>
      <w:tr w14:paraId="21214F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4E39F385">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2.4.1</w:t>
            </w:r>
          </w:p>
        </w:tc>
        <w:tc>
          <w:tcPr>
            <w:tcW w:w="4510" w:type="pct"/>
            <w:vAlign w:val="center"/>
          </w:tcPr>
          <w:p w14:paraId="7BEBB50F">
            <w:pPr>
              <w:spacing w:line="360" w:lineRule="auto"/>
              <w:ind w:left="-420" w:leftChars="-200" w:right="-420" w:rightChars="-200" w:firstLine="480" w:firstLineChars="200"/>
              <w:rPr>
                <w:rFonts w:ascii="宋体" w:hAnsi="宋体" w:cs="宋体"/>
                <w:sz w:val="24"/>
                <w:highlight w:val="none"/>
                <w:shd w:val="clear" w:color="auto" w:fill="auto"/>
              </w:rPr>
            </w:pPr>
            <w:r>
              <w:rPr>
                <w:rFonts w:hint="eastAsia" w:ascii="宋体" w:hAnsi="宋体" w:cs="宋体"/>
                <w:sz w:val="24"/>
                <w:highlight w:val="none"/>
                <w:shd w:val="clear" w:color="auto" w:fill="auto"/>
                <w:lang w:bidi="ar"/>
              </w:rPr>
              <w:t>按行业及通用条款要求。</w:t>
            </w:r>
          </w:p>
        </w:tc>
      </w:tr>
      <w:tr w14:paraId="74C0CE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20B8FF16">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2.4.3</w:t>
            </w:r>
          </w:p>
        </w:tc>
        <w:tc>
          <w:tcPr>
            <w:tcW w:w="4510" w:type="pct"/>
            <w:vAlign w:val="center"/>
          </w:tcPr>
          <w:p w14:paraId="4EF78A02">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lang w:bidi="ar"/>
              </w:rPr>
              <w:t>装运货物的要求和通知，乙方应提前7天通知甲方并协调设备的卸货及安装事宜。</w:t>
            </w:r>
          </w:p>
        </w:tc>
      </w:tr>
      <w:tr w14:paraId="1596B1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tcPr>
          <w:p w14:paraId="5046C192">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 xml:space="preserve">2.8 </w:t>
            </w:r>
          </w:p>
        </w:tc>
        <w:tc>
          <w:tcPr>
            <w:tcW w:w="4510" w:type="pct"/>
            <w:vAlign w:val="top"/>
          </w:tcPr>
          <w:p w14:paraId="0C7639A8">
            <w:pPr>
              <w:spacing w:line="360" w:lineRule="auto"/>
              <w:rPr>
                <w:rFonts w:hint="eastAsia" w:ascii="宋体" w:hAnsi="宋体" w:cs="宋体"/>
                <w:sz w:val="24"/>
                <w:highlight w:val="none"/>
                <w:shd w:val="clear" w:color="auto" w:fill="auto"/>
                <w:lang w:val="en-US" w:eastAsia="zh-CN" w:bidi="ar"/>
              </w:rPr>
            </w:pPr>
            <w:r>
              <w:rPr>
                <w:rFonts w:hint="eastAsia" w:ascii="宋体" w:hAnsi="宋体" w:cs="宋体"/>
                <w:sz w:val="24"/>
                <w:highlight w:val="none"/>
                <w:shd w:val="clear" w:color="auto" w:fill="auto"/>
                <w:lang w:bidi="ar"/>
              </w:rPr>
              <w:t>货物或者在途货物或者交付给第一承运人后的货物毁损、灭失的风险负担均由乙方负责，并承担延期交货的违约责任。</w:t>
            </w:r>
          </w:p>
        </w:tc>
      </w:tr>
      <w:tr w14:paraId="68C7FE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33022338">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2.12.3</w:t>
            </w:r>
          </w:p>
        </w:tc>
        <w:tc>
          <w:tcPr>
            <w:tcW w:w="4510" w:type="pct"/>
            <w:vAlign w:val="center"/>
          </w:tcPr>
          <w:p w14:paraId="19AAB2B8">
            <w:pPr>
              <w:spacing w:line="360" w:lineRule="auto"/>
              <w:rPr>
                <w:rFonts w:hint="eastAsia" w:ascii="宋体" w:hAnsi="宋体" w:cs="宋体"/>
                <w:sz w:val="24"/>
                <w:highlight w:val="none"/>
                <w:shd w:val="clear" w:color="auto" w:fill="auto"/>
                <w:lang w:val="en-US" w:eastAsia="zh-CN" w:bidi="ar"/>
              </w:rPr>
            </w:pPr>
            <w:r>
              <w:rPr>
                <w:rFonts w:hint="eastAsia" w:ascii="宋体" w:hAnsi="宋体" w:cs="宋体"/>
                <w:sz w:val="24"/>
                <w:highlight w:val="none"/>
                <w:shd w:val="clear" w:color="auto" w:fill="auto"/>
                <w:lang w:bidi="ar"/>
              </w:rPr>
              <w:t>不可抗力时间发生后7天内以书面形式变更合同。</w:t>
            </w:r>
          </w:p>
        </w:tc>
      </w:tr>
      <w:tr w14:paraId="1E0D49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36985E61">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2.12.4</w:t>
            </w:r>
          </w:p>
        </w:tc>
        <w:tc>
          <w:tcPr>
            <w:tcW w:w="4510" w:type="pct"/>
            <w:vAlign w:val="center"/>
          </w:tcPr>
          <w:p w14:paraId="253E34DA">
            <w:pPr>
              <w:spacing w:line="360" w:lineRule="auto"/>
              <w:rPr>
                <w:rFonts w:hint="eastAsia" w:ascii="宋体" w:hAnsi="宋体" w:cs="宋体"/>
                <w:sz w:val="24"/>
                <w:highlight w:val="none"/>
                <w:shd w:val="clear" w:color="auto" w:fill="auto"/>
                <w:lang w:val="en-US" w:eastAsia="zh-CN" w:bidi="ar"/>
              </w:rPr>
            </w:pPr>
            <w:r>
              <w:rPr>
                <w:rFonts w:hint="eastAsia" w:ascii="宋体" w:hAnsi="宋体" w:cs="宋体"/>
                <w:sz w:val="24"/>
                <w:highlight w:val="none"/>
                <w:shd w:val="clear" w:color="auto" w:fill="auto"/>
                <w:lang w:bidi="ar"/>
              </w:rPr>
              <w:t>受不可抗力影响的一方在不可抗力发生后，应在1个工作日内以书面形式通知对方当事人，并在3个工作日内，将有关部门出具的证明文件送达对方当事人。</w:t>
            </w:r>
          </w:p>
        </w:tc>
      </w:tr>
      <w:tr w14:paraId="19A734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07B612ED">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2.16.1</w:t>
            </w:r>
          </w:p>
        </w:tc>
        <w:tc>
          <w:tcPr>
            <w:tcW w:w="4510" w:type="pct"/>
            <w:vAlign w:val="center"/>
          </w:tcPr>
          <w:p w14:paraId="7E397713">
            <w:pPr>
              <w:spacing w:line="360" w:lineRule="auto"/>
              <w:rPr>
                <w:rFonts w:ascii="宋体" w:hAnsi="宋体" w:cs="宋体" w:eastAsiaTheme="minorEastAsia"/>
                <w:kern w:val="2"/>
                <w:sz w:val="24"/>
                <w:szCs w:val="24"/>
                <w:highlight w:val="none"/>
                <w:shd w:val="clear" w:color="auto" w:fill="auto"/>
                <w:lang w:val="en-US" w:eastAsia="zh-CN" w:bidi="ar-SA"/>
              </w:rPr>
            </w:pPr>
            <w:r>
              <w:rPr>
                <w:rFonts w:hint="eastAsia" w:ascii="宋体" w:hAnsi="宋体" w:cs="宋体"/>
                <w:sz w:val="24"/>
                <w:highlight w:val="none"/>
                <w:shd w:val="clear" w:color="auto" w:fill="auto"/>
                <w:lang w:bidi="ar"/>
              </w:rPr>
              <w:t>提交申请后30天内。</w:t>
            </w:r>
          </w:p>
        </w:tc>
      </w:tr>
      <w:tr w14:paraId="788349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89" w:type="pct"/>
            <w:tcBorders>
              <w:left w:val="single" w:color="auto" w:sz="4" w:space="0"/>
            </w:tcBorders>
            <w:vAlign w:val="center"/>
          </w:tcPr>
          <w:p w14:paraId="42BC3D54">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2.16.3</w:t>
            </w:r>
          </w:p>
        </w:tc>
        <w:tc>
          <w:tcPr>
            <w:tcW w:w="4510" w:type="pct"/>
            <w:vAlign w:val="center"/>
          </w:tcPr>
          <w:p w14:paraId="78ED6B17">
            <w:pPr>
              <w:spacing w:line="360" w:lineRule="auto"/>
              <w:rPr>
                <w:rFonts w:ascii="宋体" w:hAnsi="宋体" w:cs="宋体" w:eastAsiaTheme="minorEastAsia"/>
                <w:kern w:val="2"/>
                <w:sz w:val="24"/>
                <w:szCs w:val="24"/>
                <w:highlight w:val="none"/>
                <w:shd w:val="clear" w:color="auto" w:fill="auto"/>
                <w:lang w:val="en-US" w:eastAsia="zh-CN" w:bidi="ar-SA"/>
              </w:rPr>
            </w:pPr>
            <w:r>
              <w:rPr>
                <w:rFonts w:hint="eastAsia" w:ascii="宋体" w:hAnsi="宋体" w:cs="宋体"/>
                <w:sz w:val="24"/>
                <w:highlight w:val="none"/>
                <w:shd w:val="clear" w:color="auto" w:fill="auto"/>
                <w:lang w:bidi="ar"/>
              </w:rPr>
              <w:t>检验和验收标准，以及前述验收文件的有效性以招标采购需求为准。</w:t>
            </w:r>
          </w:p>
        </w:tc>
      </w:tr>
      <w:tr w14:paraId="410CE7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89" w:type="pct"/>
            <w:tcBorders>
              <w:left w:val="single" w:color="auto" w:sz="4" w:space="0"/>
            </w:tcBorders>
            <w:vAlign w:val="center"/>
          </w:tcPr>
          <w:p w14:paraId="2066266E">
            <w:pPr>
              <w:spacing w:line="360" w:lineRule="auto"/>
              <w:ind w:left="-420" w:leftChars="-200" w:right="-420" w:rightChars="-200" w:firstLine="480" w:firstLineChars="200"/>
              <w:outlineLvl w:val="0"/>
              <w:rPr>
                <w:rFonts w:ascii="宋体" w:hAnsi="宋体" w:cs="宋体"/>
                <w:sz w:val="24"/>
                <w:highlight w:val="none"/>
                <w:shd w:val="clear" w:color="auto" w:fill="auto"/>
              </w:rPr>
            </w:pPr>
            <w:r>
              <w:rPr>
                <w:rFonts w:hint="eastAsia" w:ascii="宋体" w:hAnsi="宋体" w:cs="宋体"/>
                <w:sz w:val="24"/>
                <w:highlight w:val="none"/>
                <w:shd w:val="clear" w:color="auto" w:fill="auto"/>
              </w:rPr>
              <w:t xml:space="preserve">2.20 </w:t>
            </w:r>
          </w:p>
        </w:tc>
        <w:tc>
          <w:tcPr>
            <w:tcW w:w="4510" w:type="pct"/>
            <w:vAlign w:val="center"/>
          </w:tcPr>
          <w:p w14:paraId="3DFDA06B">
            <w:pPr>
              <w:spacing w:line="360" w:lineRule="auto"/>
              <w:rPr>
                <w:rFonts w:ascii="宋体" w:hAnsi="宋体" w:eastAsia="宋体" w:cs="宋体"/>
                <w:kern w:val="2"/>
                <w:sz w:val="24"/>
                <w:szCs w:val="24"/>
                <w:highlight w:val="none"/>
                <w:shd w:val="clear" w:color="auto" w:fill="auto"/>
                <w:lang w:val="en-US" w:eastAsia="zh-CN" w:bidi="ar-SA"/>
              </w:rPr>
            </w:pPr>
            <w:r>
              <w:rPr>
                <w:rFonts w:hint="eastAsia" w:cs="仿宋" w:asciiTheme="minorEastAsia" w:hAnsiTheme="minorEastAsia"/>
                <w:color w:val="auto"/>
                <w:sz w:val="24"/>
                <w:highlight w:val="none"/>
                <w:shd w:val="clear" w:color="auto" w:fill="auto"/>
              </w:rPr>
              <w:t>本合同一式六份，双方各执三份。</w:t>
            </w:r>
          </w:p>
        </w:tc>
      </w:tr>
      <w:bookmarkEnd w:id="421"/>
    </w:tbl>
    <w:p w14:paraId="5EAA7275">
      <w:pPr>
        <w:spacing w:line="360" w:lineRule="auto"/>
        <w:ind w:left="-420" w:leftChars="-200" w:right="-420" w:rightChars="-200" w:firstLine="480" w:firstLineChars="200"/>
        <w:rPr>
          <w:rFonts w:ascii="宋体" w:hAnsi="宋体" w:cs="宋体"/>
          <w:sz w:val="24"/>
          <w:shd w:val="clear" w:color="auto" w:fill="auto"/>
        </w:rPr>
      </w:pPr>
    </w:p>
    <w:p w14:paraId="39FFE1D7">
      <w:pPr>
        <w:spacing w:line="360" w:lineRule="auto"/>
        <w:ind w:left="-420" w:leftChars="-200" w:right="-420" w:rightChars="-200"/>
        <w:rPr>
          <w:rFonts w:ascii="宋体" w:hAnsi="宋体" w:cs="宋体"/>
          <w:sz w:val="24"/>
          <w:shd w:val="clear" w:color="auto" w:fill="auto"/>
        </w:rPr>
      </w:pPr>
    </w:p>
    <w:p w14:paraId="4BF23E57">
      <w:pPr>
        <w:spacing w:line="480" w:lineRule="auto"/>
        <w:jc w:val="center"/>
        <w:rPr>
          <w:rFonts w:ascii="宋体" w:hAnsi="宋体" w:cs="宋体"/>
          <w:b/>
          <w:color w:val="auto"/>
          <w:sz w:val="28"/>
          <w:szCs w:val="28"/>
          <w:highlight w:val="none"/>
        </w:rPr>
      </w:pPr>
    </w:p>
    <w:p w14:paraId="03A71B8C">
      <w:pPr>
        <w:spacing w:line="480" w:lineRule="auto"/>
        <w:jc w:val="center"/>
        <w:rPr>
          <w:rFonts w:ascii="宋体" w:hAnsi="宋体" w:cs="宋体"/>
          <w:b/>
          <w:color w:val="auto"/>
          <w:sz w:val="28"/>
          <w:szCs w:val="28"/>
          <w:highlight w:val="none"/>
        </w:rPr>
      </w:pPr>
    </w:p>
    <w:p w14:paraId="4022B182">
      <w:pPr>
        <w:spacing w:line="480" w:lineRule="auto"/>
        <w:jc w:val="center"/>
        <w:rPr>
          <w:rFonts w:ascii="宋体" w:hAnsi="宋体" w:cs="宋体"/>
          <w:b/>
          <w:color w:val="auto"/>
          <w:sz w:val="28"/>
          <w:szCs w:val="28"/>
          <w:highlight w:val="none"/>
        </w:rPr>
      </w:pPr>
    </w:p>
    <w:p w14:paraId="6D3B6440">
      <w:pPr>
        <w:spacing w:line="480" w:lineRule="auto"/>
        <w:jc w:val="center"/>
        <w:rPr>
          <w:rFonts w:ascii="宋体" w:hAnsi="宋体" w:cs="宋体"/>
          <w:b/>
          <w:color w:val="auto"/>
          <w:sz w:val="28"/>
          <w:szCs w:val="28"/>
          <w:highlight w:val="none"/>
        </w:rPr>
      </w:pPr>
    </w:p>
    <w:p w14:paraId="182B534F">
      <w:pPr>
        <w:spacing w:line="480" w:lineRule="auto"/>
        <w:jc w:val="center"/>
        <w:rPr>
          <w:rFonts w:ascii="宋体" w:hAnsi="宋体" w:cs="宋体"/>
          <w:b/>
          <w:color w:val="auto"/>
          <w:sz w:val="28"/>
          <w:szCs w:val="28"/>
          <w:highlight w:val="none"/>
        </w:rPr>
      </w:pPr>
    </w:p>
    <w:p w14:paraId="3E740FBD">
      <w:pPr>
        <w:spacing w:line="480" w:lineRule="auto"/>
        <w:jc w:val="center"/>
        <w:rPr>
          <w:rFonts w:ascii="宋体" w:hAnsi="宋体" w:cs="宋体"/>
          <w:b/>
          <w:color w:val="auto"/>
          <w:sz w:val="28"/>
          <w:szCs w:val="28"/>
          <w:highlight w:val="none"/>
        </w:rPr>
      </w:pPr>
    </w:p>
    <w:p w14:paraId="10F59F14">
      <w:pPr>
        <w:spacing w:line="480" w:lineRule="auto"/>
        <w:jc w:val="center"/>
        <w:rPr>
          <w:rFonts w:ascii="宋体" w:hAnsi="宋体" w:cs="宋体"/>
          <w:b/>
          <w:color w:val="auto"/>
          <w:sz w:val="28"/>
          <w:szCs w:val="28"/>
          <w:highlight w:val="none"/>
        </w:rPr>
      </w:pPr>
    </w:p>
    <w:p w14:paraId="61D841FB">
      <w:pPr>
        <w:spacing w:line="480" w:lineRule="auto"/>
        <w:jc w:val="center"/>
        <w:rPr>
          <w:rFonts w:ascii="宋体" w:hAnsi="宋体" w:cs="宋体"/>
          <w:b/>
          <w:color w:val="auto"/>
          <w:sz w:val="28"/>
          <w:szCs w:val="28"/>
          <w:highlight w:val="none"/>
        </w:rPr>
      </w:pPr>
    </w:p>
    <w:p w14:paraId="31691F6B">
      <w:pPr>
        <w:spacing w:line="480" w:lineRule="auto"/>
        <w:jc w:val="center"/>
        <w:rPr>
          <w:rFonts w:ascii="宋体" w:hAnsi="宋体" w:cs="宋体"/>
          <w:b/>
          <w:color w:val="auto"/>
          <w:sz w:val="28"/>
          <w:szCs w:val="28"/>
          <w:highlight w:val="none"/>
        </w:rPr>
      </w:pPr>
    </w:p>
    <w:p w14:paraId="4A1B5F62">
      <w:pPr>
        <w:spacing w:line="480" w:lineRule="auto"/>
        <w:jc w:val="center"/>
        <w:rPr>
          <w:rFonts w:ascii="宋体" w:hAnsi="宋体" w:cs="宋体"/>
          <w:b/>
          <w:color w:val="auto"/>
          <w:sz w:val="28"/>
          <w:szCs w:val="28"/>
          <w:highlight w:val="none"/>
        </w:rPr>
      </w:pPr>
    </w:p>
    <w:p w14:paraId="4860419D">
      <w:pPr>
        <w:spacing w:line="480" w:lineRule="auto"/>
        <w:jc w:val="both"/>
        <w:rPr>
          <w:rFonts w:ascii="宋体" w:hAnsi="宋体" w:cs="宋体"/>
          <w:b/>
          <w:color w:val="auto"/>
          <w:sz w:val="28"/>
          <w:szCs w:val="28"/>
          <w:highlight w:val="none"/>
        </w:rPr>
      </w:pPr>
    </w:p>
    <w:p w14:paraId="29EAB73D">
      <w:pPr>
        <w:spacing w:line="360" w:lineRule="auto"/>
        <w:jc w:val="center"/>
        <w:outlineLvl w:val="0"/>
        <w:rPr>
          <w:rFonts w:ascii="宋体" w:hAnsi="宋体" w:cs="宋体"/>
          <w:b/>
          <w:color w:val="auto"/>
          <w:sz w:val="36"/>
          <w:szCs w:val="20"/>
          <w:highlight w:val="none"/>
        </w:rPr>
      </w:pPr>
      <w:r>
        <w:rPr>
          <w:rFonts w:hint="eastAsia" w:ascii="宋体" w:hAnsi="宋体" w:cs="宋体"/>
          <w:b/>
          <w:color w:val="auto"/>
          <w:sz w:val="36"/>
          <w:szCs w:val="20"/>
          <w:highlight w:val="none"/>
        </w:rPr>
        <w:t>第六部分</w:t>
      </w:r>
      <w:bookmarkEnd w:id="419"/>
      <w:r>
        <w:rPr>
          <w:rFonts w:hint="eastAsia" w:ascii="宋体" w:hAnsi="宋体" w:cs="宋体"/>
          <w:b/>
          <w:color w:val="auto"/>
          <w:sz w:val="36"/>
          <w:szCs w:val="20"/>
          <w:highlight w:val="none"/>
        </w:rPr>
        <w:t xml:space="preserve"> </w:t>
      </w:r>
      <w:bookmarkEnd w:id="420"/>
      <w:r>
        <w:rPr>
          <w:rFonts w:hint="eastAsia" w:ascii="宋体" w:hAnsi="宋体" w:cs="宋体"/>
          <w:b/>
          <w:color w:val="auto"/>
          <w:sz w:val="36"/>
          <w:szCs w:val="20"/>
          <w:highlight w:val="none"/>
        </w:rPr>
        <w:t>应提交的有关格式范例</w:t>
      </w:r>
    </w:p>
    <w:p w14:paraId="017ACC75">
      <w:pPr>
        <w:bidi w:val="0"/>
      </w:pPr>
    </w:p>
    <w:p w14:paraId="58548445">
      <w:pPr>
        <w:spacing w:line="360" w:lineRule="auto"/>
        <w:jc w:val="center"/>
        <w:outlineLvl w:val="1"/>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资格文件部分</w:t>
      </w:r>
    </w:p>
    <w:p w14:paraId="64F5E048">
      <w:pPr>
        <w:spacing w:line="360" w:lineRule="auto"/>
        <w:jc w:val="center"/>
        <w:outlineLvl w:val="9"/>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目录</w:t>
      </w:r>
    </w:p>
    <w:p w14:paraId="77B55927">
      <w:pPr>
        <w:bidi w:val="0"/>
      </w:pPr>
    </w:p>
    <w:p w14:paraId="65515D1A">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（1）符合参加政府采购活动应当具备的一般条件的承诺函……………（页码）</w:t>
      </w:r>
    </w:p>
    <w:p w14:paraId="625F07D8">
      <w:pPr>
        <w:snapToGrid w:val="0"/>
        <w:spacing w:line="360" w:lineRule="auto"/>
        <w:rPr>
          <w:rFonts w:ascii="宋体" w:hAnsi="宋体" w:cs="宋体"/>
          <w:color w:val="auto"/>
          <w:sz w:val="24"/>
          <w:highlight w:val="none"/>
        </w:rPr>
      </w:pPr>
      <w:r>
        <w:rPr>
          <w:rFonts w:hint="eastAsia" w:ascii="宋体" w:hAnsi="宋体" w:cs="宋体"/>
          <w:snapToGrid w:val="0"/>
          <w:color w:val="auto"/>
          <w:kern w:val="28"/>
          <w:sz w:val="24"/>
          <w:szCs w:val="20"/>
          <w:highlight w:val="none"/>
        </w:rPr>
        <w:t>（2）联合协议</w:t>
      </w:r>
      <w:r>
        <w:rPr>
          <w:rFonts w:hint="eastAsia" w:ascii="宋体" w:hAnsi="宋体" w:cs="宋体"/>
          <w:color w:val="auto"/>
          <w:sz w:val="24"/>
          <w:highlight w:val="none"/>
        </w:rPr>
        <w:t>………………………………………………………………（页码）</w:t>
      </w:r>
    </w:p>
    <w:p w14:paraId="68D039BF">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）落实政府采购政策需满足的资格要求………………………………（页码）</w:t>
      </w:r>
    </w:p>
    <w:p w14:paraId="1938D3C5">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4</w:t>
      </w:r>
      <w:r>
        <w:rPr>
          <w:rFonts w:hint="eastAsia" w:ascii="宋体" w:hAnsi="宋体" w:cs="宋体"/>
          <w:color w:val="auto"/>
          <w:sz w:val="24"/>
          <w:highlight w:val="none"/>
        </w:rPr>
        <w:t>）本项目的特定资格要求………………………………………………（页码）</w:t>
      </w:r>
    </w:p>
    <w:p w14:paraId="66FE12A5">
      <w:pPr>
        <w:snapToGrid w:val="0"/>
        <w:spacing w:line="360" w:lineRule="auto"/>
        <w:ind w:firstLine="480" w:firstLineChars="200"/>
        <w:rPr>
          <w:rFonts w:ascii="宋体" w:hAnsi="宋体" w:cs="宋体"/>
          <w:color w:val="auto"/>
          <w:sz w:val="24"/>
          <w:highlight w:val="none"/>
        </w:rPr>
      </w:pPr>
    </w:p>
    <w:p w14:paraId="750E12BC">
      <w:pPr>
        <w:spacing w:line="360" w:lineRule="auto"/>
        <w:ind w:firstLine="480" w:firstLineChars="200"/>
        <w:rPr>
          <w:rFonts w:ascii="宋体" w:hAnsi="宋体" w:cs="宋体"/>
          <w:color w:val="auto"/>
          <w:sz w:val="24"/>
          <w:highlight w:val="none"/>
        </w:rPr>
      </w:pPr>
    </w:p>
    <w:p w14:paraId="13AAB886">
      <w:pPr>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color w:val="auto"/>
          <w:kern w:val="0"/>
          <w:sz w:val="24"/>
          <w:highlight w:val="none"/>
        </w:rPr>
        <w:br w:type="page"/>
      </w:r>
      <w:r>
        <w:rPr>
          <w:rFonts w:hint="eastAsia" w:ascii="宋体" w:hAnsi="宋体" w:cs="宋体"/>
          <w:b/>
          <w:color w:val="auto"/>
          <w:kern w:val="0"/>
          <w:sz w:val="32"/>
          <w:szCs w:val="32"/>
          <w:highlight w:val="none"/>
        </w:rPr>
        <w:t>一、符合参加政府采购活动应当具备的一般条件的承诺函</w:t>
      </w:r>
    </w:p>
    <w:p w14:paraId="60954601">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（采购人）、（采购代理机构）：</w:t>
      </w:r>
    </w:p>
    <w:p w14:paraId="6C46D4A4">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我方参与（项目名称）【招标编号：（采购编号）】政府采购活动，郑重承诺：</w:t>
      </w:r>
    </w:p>
    <w:p w14:paraId="37B65702">
      <w:pPr>
        <w:snapToGrid w:val="0"/>
        <w:spacing w:line="360" w:lineRule="auto"/>
        <w:ind w:firstLine="360" w:firstLineChars="150"/>
        <w:rPr>
          <w:rFonts w:ascii="宋体" w:hAnsi="宋体" w:cs="宋体"/>
          <w:color w:val="auto"/>
          <w:sz w:val="24"/>
          <w:highlight w:val="none"/>
        </w:rPr>
      </w:pPr>
      <w:r>
        <w:rPr>
          <w:rFonts w:hint="eastAsia" w:ascii="宋体" w:hAnsi="宋体" w:cs="宋体"/>
          <w:color w:val="auto"/>
          <w:sz w:val="24"/>
          <w:highlight w:val="none"/>
        </w:rPr>
        <w:t>（一）具备《中华人民共和国政府采购法》第二十二条第一款规定的条件：</w:t>
      </w:r>
    </w:p>
    <w:p w14:paraId="5B7C9485">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092AE89A">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2、具有良好的商业信誉和健全的财务会计制度； </w:t>
      </w:r>
    </w:p>
    <w:p w14:paraId="3CF8D4EB">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064BF96F">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3A6A8F96">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0DF23E62">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6、具有法律、行政法规规定的其他条件。</w:t>
      </w:r>
    </w:p>
    <w:p w14:paraId="08F9A682">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（二）未被信用中国（www.creditchina.gov.cn)、中国政府采购网（www.ccgp.gov.cn）列入失信被执行人、重大税收违法案件当事人名单、政府采购严重违法失信行为记录名单。</w:t>
      </w:r>
    </w:p>
    <w:p w14:paraId="032BFCE3">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（三）不存在以下情况：</w:t>
      </w:r>
    </w:p>
    <w:p w14:paraId="2CB24815">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1、单位负责人为同一人或者存在直接控股、管理关系的不同供应商参加同一合同项下的政府采购活动的；</w:t>
      </w:r>
    </w:p>
    <w:p w14:paraId="060CEEFF">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2、为采购项目提供整体设计、规范编制或者项目管理、监理、检测等服务后再参加该采购项目的其他采购活动的。</w:t>
      </w:r>
    </w:p>
    <w:p w14:paraId="0905A3B9">
      <w:pPr>
        <w:snapToGrid w:val="0"/>
        <w:spacing w:line="360" w:lineRule="auto"/>
        <w:ind w:firstLine="5520" w:firstLineChars="23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投标人名称(电子签名)：</w:t>
      </w:r>
    </w:p>
    <w:p w14:paraId="33339CD4">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val="zh-CN"/>
        </w:rPr>
        <w:t xml:space="preserve">                        </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51CCA646">
      <w:pPr>
        <w:snapToGrid w:val="0"/>
        <w:spacing w:line="360" w:lineRule="auto"/>
        <w:ind w:right="480"/>
        <w:jc w:val="center"/>
        <w:rPr>
          <w:rFonts w:ascii="宋体" w:hAnsi="宋体" w:cs="宋体"/>
          <w:b/>
          <w:color w:val="auto"/>
          <w:kern w:val="0"/>
          <w:sz w:val="32"/>
          <w:szCs w:val="32"/>
          <w:highlight w:val="none"/>
        </w:rPr>
      </w:pPr>
    </w:p>
    <w:p w14:paraId="55A74528">
      <w:pPr>
        <w:snapToGrid w:val="0"/>
        <w:spacing w:line="360" w:lineRule="auto"/>
        <w:ind w:right="480" w:firstLine="559" w:firstLineChars="233"/>
        <w:jc w:val="left"/>
        <w:rPr>
          <w:rFonts w:hint="eastAsia" w:ascii="宋体" w:hAnsi="宋体" w:cs="宋体"/>
          <w:b/>
          <w:color w:val="auto"/>
          <w:kern w:val="0"/>
          <w:sz w:val="32"/>
          <w:szCs w:val="32"/>
          <w:highlight w:val="none"/>
        </w:rPr>
      </w:pPr>
      <w:r>
        <w:rPr>
          <w:rFonts w:hint="eastAsia" w:cs="仿宋_GB2312" w:asciiTheme="minorEastAsia" w:hAnsiTheme="minorEastAsia" w:eastAsiaTheme="minorEastAsia"/>
          <w:sz w:val="24"/>
          <w:highlight w:val="none"/>
        </w:rPr>
        <w:t>注：根据《</w:t>
      </w:r>
      <w:r>
        <w:rPr>
          <w:rFonts w:cs="仿宋_GB2312" w:asciiTheme="minorEastAsia" w:hAnsiTheme="minorEastAsia" w:eastAsiaTheme="minorEastAsia"/>
          <w:sz w:val="24"/>
          <w:highlight w:val="none"/>
        </w:rPr>
        <w:t>关于规范政府采购供应商资格设定及资格审查的通知</w:t>
      </w:r>
      <w:r>
        <w:rPr>
          <w:rFonts w:hint="eastAsia" w:cs="仿宋_GB2312" w:asciiTheme="minorEastAsia" w:hAnsiTheme="minorEastAsia" w:eastAsiaTheme="minorEastAsia"/>
          <w:sz w:val="24"/>
          <w:highlight w:val="none"/>
        </w:rPr>
        <w:t>》（</w:t>
      </w:r>
      <w:r>
        <w:rPr>
          <w:rFonts w:cs="仿宋_GB2312" w:asciiTheme="minorEastAsia" w:hAnsiTheme="minorEastAsia" w:eastAsiaTheme="minorEastAsia"/>
          <w:sz w:val="24"/>
          <w:highlight w:val="none"/>
        </w:rPr>
        <w:t>浙财采监[2013]24号</w:t>
      </w:r>
      <w:r>
        <w:rPr>
          <w:rFonts w:hint="eastAsia" w:cs="仿宋_GB2312" w:asciiTheme="minorEastAsia" w:hAnsiTheme="minorEastAsia" w:eastAsiaTheme="minorEastAsia"/>
          <w:sz w:val="24"/>
          <w:highlight w:val="none"/>
        </w:rPr>
        <w:t>）的相关规定，金融、保险、通讯等特定行业的全国性企业所设立的区域性分支机构，以及个体工商户、个人独资企业、合伙企业，参与政府采购活动，如果已经依法办理了工商、税务和社保登记手续，</w:t>
      </w:r>
      <w:r>
        <w:rPr>
          <w:rFonts w:hint="eastAsia" w:cs="仿宋_GB2312" w:asciiTheme="minorEastAsia" w:hAnsiTheme="minorEastAsia" w:eastAsiaTheme="minorEastAsia"/>
          <w:b/>
          <w:sz w:val="24"/>
          <w:highlight w:val="none"/>
          <w:u w:val="single"/>
        </w:rPr>
        <w:t>除提供上述《符合参加政府采购活动应当具备的一般条件的承诺函》外，还需提供下列材料：总公司（总机构）的授权书或提供房产权证或其他有效财产证明材料，证明其具备实际承担责任的能力和法定的缔结合同能力，可以独立参加政府采购活动，由单位负责人签署相关文件材料。</w:t>
      </w:r>
    </w:p>
    <w:p w14:paraId="00ED0679">
      <w:pPr>
        <w:widowControl/>
        <w:spacing w:line="360" w:lineRule="auto"/>
        <w:ind w:firstLine="643" w:firstLineChars="20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二、联合协议（如果有）</w:t>
      </w:r>
    </w:p>
    <w:p w14:paraId="24BBC7B1">
      <w:pPr>
        <w:widowControl/>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[以联合体形式投标的，提供联合协议（附件5）；本项目不接受联合体投标或者投标人不以联合体形式投标的，则不需要提供]</w:t>
      </w:r>
    </w:p>
    <w:p w14:paraId="6EBE2511">
      <w:pPr>
        <w:snapToGrid w:val="0"/>
        <w:spacing w:line="360" w:lineRule="auto"/>
        <w:ind w:right="480"/>
        <w:jc w:val="center"/>
        <w:rPr>
          <w:rFonts w:ascii="宋体" w:hAnsi="宋体" w:cs="宋体"/>
          <w:b/>
          <w:color w:val="auto"/>
          <w:kern w:val="0"/>
          <w:sz w:val="32"/>
          <w:szCs w:val="32"/>
          <w:highlight w:val="none"/>
        </w:rPr>
      </w:pPr>
    </w:p>
    <w:p w14:paraId="72A99DD7">
      <w:pPr>
        <w:snapToGrid w:val="0"/>
        <w:spacing w:line="360" w:lineRule="auto"/>
        <w:ind w:right="480"/>
        <w:jc w:val="center"/>
        <w:rPr>
          <w:rFonts w:ascii="宋体" w:hAnsi="宋体" w:cs="宋体"/>
          <w:b/>
          <w:color w:val="auto"/>
          <w:kern w:val="0"/>
          <w:sz w:val="32"/>
          <w:szCs w:val="32"/>
          <w:highlight w:val="none"/>
        </w:rPr>
      </w:pPr>
    </w:p>
    <w:p w14:paraId="06DF1CF6">
      <w:pPr>
        <w:snapToGrid w:val="0"/>
        <w:spacing w:line="360" w:lineRule="auto"/>
        <w:ind w:right="480"/>
        <w:jc w:val="center"/>
        <w:rPr>
          <w:rFonts w:hint="eastAsia" w:ascii="宋体" w:hAnsi="宋体" w:eastAsia="宋体" w:cs="宋体"/>
          <w:b/>
          <w:color w:val="auto"/>
          <w:kern w:val="0"/>
          <w:sz w:val="32"/>
          <w:szCs w:val="32"/>
          <w:highlight w:val="none"/>
          <w:lang w:eastAsia="zh-CN"/>
        </w:rPr>
      </w:pPr>
      <w:r>
        <w:rPr>
          <w:rFonts w:hint="eastAsia" w:ascii="宋体" w:hAnsi="宋体" w:cs="宋体"/>
          <w:b/>
          <w:color w:val="auto"/>
          <w:kern w:val="0"/>
          <w:sz w:val="32"/>
          <w:szCs w:val="32"/>
          <w:highlight w:val="none"/>
        </w:rPr>
        <w:t>三、落实政府采购政策需满足的资格要求</w:t>
      </w:r>
      <w:r>
        <w:rPr>
          <w:rFonts w:hint="eastAsia" w:ascii="宋体" w:hAnsi="宋体" w:cs="宋体"/>
          <w:b/>
          <w:color w:val="auto"/>
          <w:kern w:val="0"/>
          <w:sz w:val="32"/>
          <w:szCs w:val="32"/>
          <w:highlight w:val="none"/>
          <w:lang w:eastAsia="zh-CN"/>
        </w:rPr>
        <w:t>（如果有）</w:t>
      </w:r>
    </w:p>
    <w:p w14:paraId="23FB6C10">
      <w:pPr>
        <w:spacing w:line="360" w:lineRule="auto"/>
        <w:rPr>
          <w:rFonts w:ascii="宋体" w:hAnsi="宋体" w:cs="宋体"/>
          <w:color w:val="auto"/>
          <w:sz w:val="24"/>
          <w:highlight w:val="none"/>
        </w:rPr>
      </w:pPr>
      <w:r>
        <w:rPr>
          <w:rFonts w:hint="eastAsia" w:ascii="宋体" w:hAnsi="宋体" w:cs="宋体"/>
          <w:color w:val="auto"/>
          <w:sz w:val="24"/>
          <w:highlight w:val="none"/>
        </w:rPr>
        <w:t>（根据招标公告落实政府采购政策需满足的资格要求选择提供相应的材料；未要求的，无需提供）</w:t>
      </w:r>
    </w:p>
    <w:p w14:paraId="6109D5D1">
      <w:pPr>
        <w:snapToGrid w:val="0"/>
        <w:spacing w:before="50" w:after="50" w:line="360" w:lineRule="auto"/>
        <w:ind w:firstLine="472" w:firstLineChars="196"/>
        <w:jc w:val="left"/>
        <w:rPr>
          <w:rFonts w:ascii="宋体" w:hAnsi="宋体" w:cs="宋体"/>
          <w:color w:val="auto"/>
          <w:sz w:val="24"/>
          <w:highlight w:val="none"/>
        </w:rPr>
      </w:pPr>
      <w:r>
        <w:rPr>
          <w:rFonts w:hint="eastAsia" w:ascii="宋体" w:hAnsi="宋体" w:cs="宋体"/>
          <w:b/>
          <w:color w:val="auto"/>
          <w:sz w:val="24"/>
          <w:highlight w:val="none"/>
        </w:rPr>
        <w:t>A</w:t>
      </w:r>
      <w:r>
        <w:rPr>
          <w:rFonts w:hint="eastAsia" w:ascii="宋体" w:hAnsi="宋体" w:cs="宋体"/>
          <w:color w:val="auto"/>
          <w:sz w:val="24"/>
          <w:highlight w:val="none"/>
        </w:rPr>
        <w:t>.专门面向中小企业，货物全部由符合政策要求的中小企业（或小微企业）制造的，提供相应的中小企业声明函（附件</w:t>
      </w:r>
      <w:r>
        <w:rPr>
          <w:rFonts w:ascii="宋体" w:hAnsi="宋体" w:cs="宋体"/>
          <w:color w:val="auto"/>
          <w:sz w:val="24"/>
          <w:highlight w:val="none"/>
        </w:rPr>
        <w:t>7</w:t>
      </w:r>
      <w:r>
        <w:rPr>
          <w:rFonts w:hint="eastAsia" w:ascii="宋体" w:hAnsi="宋体" w:cs="宋体"/>
          <w:color w:val="auto"/>
          <w:sz w:val="24"/>
          <w:highlight w:val="none"/>
        </w:rPr>
        <w:t xml:space="preserve">）。 </w:t>
      </w:r>
    </w:p>
    <w:p w14:paraId="77AAD36A">
      <w:pPr>
        <w:widowControl/>
        <w:spacing w:line="360" w:lineRule="auto"/>
        <w:ind w:firstLine="480"/>
        <w:jc w:val="left"/>
        <w:rPr>
          <w:rFonts w:ascii="宋体" w:hAnsi="宋体" w:cs="宋体"/>
          <w:color w:val="auto"/>
          <w:sz w:val="24"/>
          <w:highlight w:val="none"/>
        </w:rPr>
      </w:pPr>
    </w:p>
    <w:p w14:paraId="6AFE6D02">
      <w:pPr>
        <w:widowControl/>
        <w:spacing w:line="360" w:lineRule="auto"/>
        <w:ind w:firstLine="472" w:firstLineChars="196"/>
        <w:jc w:val="left"/>
        <w:rPr>
          <w:rFonts w:ascii="宋体" w:hAnsi="宋体" w:cs="宋体"/>
          <w:color w:val="auto"/>
          <w:sz w:val="24"/>
          <w:highlight w:val="none"/>
        </w:rPr>
      </w:pPr>
      <w:r>
        <w:rPr>
          <w:rFonts w:hint="eastAsia" w:ascii="宋体" w:hAnsi="宋体" w:cs="宋体"/>
          <w:b/>
          <w:color w:val="auto"/>
          <w:sz w:val="24"/>
          <w:highlight w:val="none"/>
        </w:rPr>
        <w:t>B.</w:t>
      </w:r>
      <w:r>
        <w:rPr>
          <w:rFonts w:hint="eastAsia" w:ascii="宋体" w:hAnsi="宋体" w:cs="宋体"/>
          <w:color w:val="auto"/>
          <w:sz w:val="24"/>
          <w:highlight w:val="none"/>
        </w:rPr>
        <w:t>要求以联合体形式参加的，提供联合协议（附件</w:t>
      </w:r>
      <w:r>
        <w:rPr>
          <w:rFonts w:ascii="宋体" w:hAnsi="宋体" w:cs="宋体"/>
          <w:color w:val="auto"/>
          <w:sz w:val="24"/>
          <w:highlight w:val="none"/>
        </w:rPr>
        <w:t>5</w:t>
      </w:r>
      <w:r>
        <w:rPr>
          <w:rFonts w:hint="eastAsia" w:ascii="宋体" w:hAnsi="宋体" w:cs="宋体"/>
          <w:color w:val="auto"/>
          <w:sz w:val="24"/>
          <w:highlight w:val="none"/>
        </w:rPr>
        <w:t>）和中小企业声明函（附件</w:t>
      </w:r>
      <w:r>
        <w:rPr>
          <w:rFonts w:ascii="宋体" w:hAnsi="宋体" w:cs="宋体"/>
          <w:color w:val="auto"/>
          <w:sz w:val="24"/>
          <w:highlight w:val="none"/>
        </w:rPr>
        <w:t>7</w:t>
      </w:r>
      <w:r>
        <w:rPr>
          <w:rFonts w:hint="eastAsia" w:ascii="宋体" w:hAnsi="宋体" w:cs="宋体"/>
          <w:color w:val="auto"/>
          <w:sz w:val="24"/>
          <w:highlight w:val="none"/>
        </w:rPr>
        <w:t>），联合协议中中小企业合同金额应当达到招标公告载明的比例；如果供应商本身提供所有标的均由中小企业制造的，</w:t>
      </w:r>
      <w:r>
        <w:rPr>
          <w:rFonts w:hint="eastAsia" w:ascii="宋体" w:hAnsi="宋体" w:cs="宋体"/>
          <w:color w:val="auto"/>
          <w:spacing w:val="8"/>
          <w:kern w:val="0"/>
          <w:sz w:val="24"/>
          <w:highlight w:val="none"/>
        </w:rPr>
        <w:t>并相应达到了前述比例要求，</w:t>
      </w:r>
      <w:r>
        <w:rPr>
          <w:rFonts w:hint="eastAsia" w:ascii="宋体" w:hAnsi="宋体" w:cs="宋体"/>
          <w:color w:val="auto"/>
          <w:sz w:val="24"/>
          <w:highlight w:val="none"/>
        </w:rPr>
        <w:t>视同符合了资格条件，无需再与其他中小企业组成联合体参加政府采购活动，无需提供联合协议。</w:t>
      </w:r>
    </w:p>
    <w:p w14:paraId="70D11847">
      <w:pPr>
        <w:snapToGrid w:val="0"/>
        <w:spacing w:before="50" w:after="50" w:line="360" w:lineRule="auto"/>
        <w:jc w:val="center"/>
        <w:rPr>
          <w:rFonts w:ascii="宋体" w:hAnsi="宋体" w:cs="宋体"/>
          <w:color w:val="auto"/>
          <w:sz w:val="24"/>
          <w:highlight w:val="none"/>
        </w:rPr>
      </w:pPr>
      <w:r>
        <w:rPr>
          <w:rFonts w:hint="eastAsia" w:ascii="宋体" w:hAnsi="宋体" w:cs="宋体"/>
          <w:b/>
          <w:color w:val="auto"/>
          <w:sz w:val="24"/>
          <w:highlight w:val="none"/>
        </w:rPr>
        <w:t xml:space="preserve">    </w:t>
      </w:r>
    </w:p>
    <w:p w14:paraId="4A3E0763">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C、</w:t>
      </w:r>
      <w:r>
        <w:rPr>
          <w:rFonts w:hint="eastAsia" w:ascii="宋体" w:hAnsi="宋体" w:cs="宋体"/>
          <w:color w:val="auto"/>
          <w:sz w:val="24"/>
          <w:highlight w:val="none"/>
        </w:rPr>
        <w:t>要求合同分包的，提供分包意向协议（附件6）和中小企业声明函（附件</w:t>
      </w:r>
      <w:r>
        <w:rPr>
          <w:rFonts w:ascii="宋体" w:hAnsi="宋体" w:cs="宋体"/>
          <w:color w:val="auto"/>
          <w:sz w:val="24"/>
          <w:highlight w:val="none"/>
        </w:rPr>
        <w:t>7</w:t>
      </w:r>
      <w:r>
        <w:rPr>
          <w:rFonts w:hint="eastAsia" w:ascii="宋体" w:hAnsi="宋体" w:cs="宋体"/>
          <w:color w:val="auto"/>
          <w:sz w:val="24"/>
          <w:highlight w:val="none"/>
        </w:rPr>
        <w:t>），分包意向协议中中小企业合同金额应当达到招标公告载明的比例；如果供应商本身提供所有标的均由中小企业制造的，</w:t>
      </w:r>
      <w:r>
        <w:rPr>
          <w:rFonts w:hint="eastAsia" w:ascii="宋体" w:hAnsi="宋体" w:cs="宋体"/>
          <w:color w:val="auto"/>
          <w:spacing w:val="8"/>
          <w:kern w:val="0"/>
          <w:sz w:val="24"/>
          <w:highlight w:val="none"/>
        </w:rPr>
        <w:t>并相应达到了前述比例要求，</w:t>
      </w:r>
      <w:r>
        <w:rPr>
          <w:rFonts w:hint="eastAsia" w:ascii="宋体" w:hAnsi="宋体" w:cs="宋体"/>
          <w:color w:val="auto"/>
          <w:sz w:val="24"/>
          <w:highlight w:val="none"/>
        </w:rPr>
        <w:t>视同符合了资格条件，无需再向中小企业分包，无需提供分包意向协议。</w:t>
      </w:r>
    </w:p>
    <w:p w14:paraId="2531EBB1">
      <w:pPr>
        <w:widowControl/>
        <w:spacing w:line="360" w:lineRule="auto"/>
        <w:ind w:left="150"/>
        <w:jc w:val="center"/>
        <w:rPr>
          <w:rFonts w:ascii="宋体" w:hAnsi="宋体" w:cs="宋体"/>
          <w:b/>
          <w:color w:val="auto"/>
          <w:kern w:val="0"/>
          <w:sz w:val="32"/>
          <w:szCs w:val="32"/>
          <w:highlight w:val="none"/>
        </w:rPr>
      </w:pPr>
    </w:p>
    <w:p w14:paraId="283E4B93">
      <w:pPr>
        <w:widowControl/>
        <w:spacing w:line="360" w:lineRule="auto"/>
        <w:ind w:left="150"/>
        <w:jc w:val="center"/>
        <w:rPr>
          <w:rFonts w:hint="eastAsia" w:ascii="宋体" w:hAnsi="宋体" w:eastAsia="宋体" w:cs="宋体"/>
          <w:b/>
          <w:color w:val="auto"/>
          <w:kern w:val="0"/>
          <w:sz w:val="32"/>
          <w:szCs w:val="32"/>
          <w:highlight w:val="none"/>
          <w:lang w:eastAsia="zh-CN"/>
        </w:rPr>
      </w:pPr>
      <w:r>
        <w:rPr>
          <w:rFonts w:hint="eastAsia" w:ascii="宋体" w:hAnsi="宋体" w:cs="宋体"/>
          <w:b/>
          <w:color w:val="auto"/>
          <w:kern w:val="0"/>
          <w:sz w:val="32"/>
          <w:szCs w:val="32"/>
          <w:highlight w:val="none"/>
        </w:rPr>
        <w:t>四、本项目的特定资格要求</w:t>
      </w:r>
      <w:r>
        <w:rPr>
          <w:rFonts w:hint="eastAsia" w:ascii="宋体" w:hAnsi="宋体" w:cs="宋体"/>
          <w:b/>
          <w:color w:val="auto"/>
          <w:kern w:val="0"/>
          <w:sz w:val="32"/>
          <w:szCs w:val="32"/>
          <w:highlight w:val="none"/>
          <w:lang w:eastAsia="zh-CN"/>
        </w:rPr>
        <w:t>（如果有）</w:t>
      </w:r>
    </w:p>
    <w:p w14:paraId="3CE5658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（根据招标公告本项目的特定资格要求提供相应的材料；未要求的，无需提供）</w:t>
      </w:r>
    </w:p>
    <w:p w14:paraId="110A533F">
      <w:pPr>
        <w:rPr>
          <w:rFonts w:ascii="宋体" w:hAnsi="宋体" w:cs="宋体"/>
          <w:color w:val="auto"/>
          <w:highlight w:val="none"/>
        </w:rPr>
      </w:pPr>
    </w:p>
    <w:p w14:paraId="1B731455">
      <w:pPr>
        <w:widowControl/>
        <w:adjustRightInd/>
        <w:jc w:val="left"/>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14:paraId="370397B5">
      <w:pPr>
        <w:spacing w:line="360" w:lineRule="auto"/>
        <w:ind w:right="420"/>
        <w:jc w:val="center"/>
        <w:outlineLvl w:val="1"/>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商务技术文件部分</w:t>
      </w:r>
    </w:p>
    <w:p w14:paraId="55E0C368">
      <w:pPr>
        <w:spacing w:line="360" w:lineRule="auto"/>
        <w:jc w:val="center"/>
        <w:outlineLvl w:val="9"/>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目录</w:t>
      </w:r>
    </w:p>
    <w:p w14:paraId="332E681C">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rPr>
        <w:t>（1）投标函</w:t>
      </w:r>
      <w:r>
        <w:rPr>
          <w:rFonts w:hint="eastAsia" w:ascii="宋体" w:hAnsi="宋体" w:cs="宋体"/>
          <w:color w:val="auto"/>
          <w:highlight w:val="none"/>
        </w:rPr>
        <w:t>…………………………………………………………………………………（页码）</w:t>
      </w:r>
      <w:r>
        <w:rPr>
          <w:rFonts w:hint="eastAsia" w:ascii="宋体" w:hAnsi="宋体" w:cs="宋体"/>
          <w:color w:val="auto"/>
          <w:sz w:val="24"/>
          <w:highlight w:val="none"/>
        </w:rPr>
        <w:t>（2）授权委托书或法定代表人（单位负责人、自然人本人）身份证明</w:t>
      </w:r>
      <w:r>
        <w:rPr>
          <w:rFonts w:hint="eastAsia" w:ascii="宋体" w:hAnsi="宋体" w:cs="宋体"/>
          <w:color w:val="auto"/>
          <w:highlight w:val="none"/>
        </w:rPr>
        <w:t>………（页码）</w:t>
      </w:r>
    </w:p>
    <w:p w14:paraId="21E30B55">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color w:val="auto"/>
          <w:highlight w:val="none"/>
        </w:rPr>
        <w:t>…………………………………………………………………………（页码）</w:t>
      </w:r>
    </w:p>
    <w:p w14:paraId="454931EE">
      <w:pPr>
        <w:snapToGrid w:val="0"/>
        <w:spacing w:line="360" w:lineRule="auto"/>
        <w:ind w:firstLine="480" w:firstLineChars="200"/>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4</w:t>
      </w:r>
      <w:r>
        <w:rPr>
          <w:rFonts w:hint="eastAsia" w:ascii="宋体" w:hAnsi="宋体" w:cs="宋体"/>
          <w:color w:val="auto"/>
          <w:sz w:val="24"/>
          <w:highlight w:val="none"/>
        </w:rPr>
        <w:t>）符合性审查资料</w:t>
      </w:r>
      <w:r>
        <w:rPr>
          <w:rFonts w:hint="eastAsia" w:ascii="宋体" w:hAnsi="宋体" w:cs="宋体"/>
          <w:color w:val="auto"/>
          <w:highlight w:val="none"/>
        </w:rPr>
        <w:t>………………………………………………………………………（页码）</w:t>
      </w:r>
    </w:p>
    <w:p w14:paraId="167A245D">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……………（页码）</w:t>
      </w:r>
      <w:r>
        <w:rPr>
          <w:rFonts w:hint="eastAsia" w:ascii="宋体" w:hAnsi="宋体" w:cs="宋体"/>
          <w:color w:val="auto"/>
          <w:sz w:val="24"/>
          <w:highlight w:val="none"/>
        </w:rPr>
        <w:t>（</w:t>
      </w:r>
      <w:r>
        <w:rPr>
          <w:rFonts w:ascii="宋体" w:hAnsi="宋体" w:cs="宋体"/>
          <w:color w:val="auto"/>
          <w:sz w:val="24"/>
          <w:highlight w:val="none"/>
        </w:rPr>
        <w:t>6</w:t>
      </w:r>
      <w:r>
        <w:rPr>
          <w:rFonts w:hint="eastAsia" w:ascii="宋体" w:hAnsi="宋体" w:cs="宋体"/>
          <w:color w:val="auto"/>
          <w:sz w:val="24"/>
          <w:highlight w:val="none"/>
        </w:rPr>
        <w:t>）投标标的清单</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highlight w:val="none"/>
          <w:lang w:val="en-US" w:eastAsia="zh-CN"/>
        </w:rPr>
        <w:t xml:space="preserve">  </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……………（页码）</w:t>
      </w:r>
      <w:r>
        <w:rPr>
          <w:rFonts w:hint="eastAsia" w:ascii="宋体" w:hAnsi="宋体" w:cs="宋体"/>
          <w:color w:val="auto"/>
          <w:sz w:val="24"/>
          <w:highlight w:val="none"/>
        </w:rPr>
        <w:t>（</w:t>
      </w:r>
      <w:r>
        <w:rPr>
          <w:rFonts w:ascii="宋体" w:hAnsi="宋体" w:cs="宋体"/>
          <w:color w:val="auto"/>
          <w:sz w:val="24"/>
          <w:highlight w:val="none"/>
        </w:rPr>
        <w:t>7</w:t>
      </w:r>
      <w:r>
        <w:rPr>
          <w:rFonts w:hint="eastAsia" w:ascii="宋体" w:hAnsi="宋体" w:cs="宋体"/>
          <w:color w:val="auto"/>
          <w:sz w:val="24"/>
          <w:highlight w:val="none"/>
        </w:rPr>
        <w:t>）商务技术偏离表</w:t>
      </w:r>
      <w:r>
        <w:rPr>
          <w:rFonts w:hint="eastAsia" w:ascii="宋体" w:hAnsi="宋体" w:cs="宋体"/>
          <w:color w:val="auto"/>
          <w:highlight w:val="none"/>
        </w:rPr>
        <w:t>………………………………………………………………………（页码）</w:t>
      </w:r>
    </w:p>
    <w:p w14:paraId="2FA80985">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r>
        <w:rPr>
          <w:rFonts w:hint="eastAsia" w:ascii="宋体" w:hAnsi="宋体" w:cs="宋体"/>
          <w:color w:val="auto"/>
          <w:highlight w:val="none"/>
        </w:rPr>
        <w:t>…………………………………………………（页码）</w:t>
      </w:r>
    </w:p>
    <w:p w14:paraId="052D6BC5">
      <w:pPr>
        <w:snapToGrid w:val="0"/>
        <w:spacing w:line="360" w:lineRule="auto"/>
        <w:jc w:val="center"/>
        <w:rPr>
          <w:rFonts w:ascii="宋体" w:hAnsi="宋体" w:cs="宋体"/>
          <w:b/>
          <w:color w:val="auto"/>
          <w:kern w:val="0"/>
          <w:sz w:val="32"/>
          <w:szCs w:val="32"/>
          <w:highlight w:val="none"/>
          <w:lang w:val="zh-CN"/>
        </w:rPr>
      </w:pPr>
    </w:p>
    <w:p w14:paraId="1D84B6D3">
      <w:pPr>
        <w:snapToGrid w:val="0"/>
        <w:spacing w:line="360" w:lineRule="auto"/>
        <w:jc w:val="center"/>
        <w:rPr>
          <w:rFonts w:ascii="宋体" w:hAnsi="宋体" w:cs="宋体"/>
          <w:b/>
          <w:color w:val="auto"/>
          <w:kern w:val="0"/>
          <w:sz w:val="32"/>
          <w:szCs w:val="32"/>
          <w:highlight w:val="none"/>
          <w:lang w:val="zh-CN"/>
        </w:rPr>
      </w:pPr>
    </w:p>
    <w:p w14:paraId="0CEC0213">
      <w:pPr>
        <w:snapToGrid w:val="0"/>
        <w:spacing w:line="360" w:lineRule="auto"/>
        <w:jc w:val="center"/>
        <w:rPr>
          <w:rFonts w:ascii="宋体" w:hAnsi="宋体" w:cs="宋体"/>
          <w:b/>
          <w:color w:val="auto"/>
          <w:kern w:val="0"/>
          <w:sz w:val="32"/>
          <w:szCs w:val="32"/>
          <w:highlight w:val="none"/>
          <w:lang w:val="zh-CN"/>
        </w:rPr>
      </w:pPr>
    </w:p>
    <w:p w14:paraId="11BD7100">
      <w:pPr>
        <w:snapToGrid w:val="0"/>
        <w:spacing w:line="360" w:lineRule="auto"/>
        <w:jc w:val="center"/>
        <w:rPr>
          <w:rFonts w:ascii="宋体" w:hAnsi="宋体" w:cs="宋体"/>
          <w:b/>
          <w:color w:val="auto"/>
          <w:kern w:val="0"/>
          <w:sz w:val="32"/>
          <w:szCs w:val="32"/>
          <w:highlight w:val="none"/>
          <w:lang w:val="zh-CN"/>
        </w:rPr>
      </w:pPr>
    </w:p>
    <w:p w14:paraId="4A12604B">
      <w:r>
        <w:rPr>
          <w:rFonts w:ascii="宋体" w:hAnsi="宋体" w:cs="宋体"/>
          <w:b/>
          <w:color w:val="auto"/>
          <w:kern w:val="0"/>
          <w:sz w:val="32"/>
          <w:szCs w:val="32"/>
          <w:highlight w:val="none"/>
          <w:lang w:val="zh-CN"/>
        </w:rPr>
        <w:br w:type="page"/>
      </w:r>
    </w:p>
    <w:p w14:paraId="790F2E11">
      <w:pPr>
        <w:snapToGrid w:val="0"/>
        <w:spacing w:line="360" w:lineRule="auto"/>
        <w:jc w:val="center"/>
        <w:outlineLvl w:val="2"/>
        <w:rPr>
          <w:rFonts w:ascii="宋体" w:hAnsi="宋体" w:cs="宋体"/>
          <w:b/>
          <w:color w:val="auto"/>
          <w:sz w:val="32"/>
          <w:szCs w:val="32"/>
          <w:highlight w:val="none"/>
        </w:rPr>
      </w:pPr>
      <w:r>
        <w:rPr>
          <w:rFonts w:hint="eastAsia" w:ascii="宋体" w:hAnsi="宋体" w:cs="宋体"/>
          <w:b/>
          <w:color w:val="auto"/>
          <w:kern w:val="0"/>
          <w:sz w:val="32"/>
          <w:szCs w:val="32"/>
          <w:highlight w:val="none"/>
        </w:rPr>
        <w:t>一、投标</w:t>
      </w:r>
      <w:r>
        <w:rPr>
          <w:rFonts w:hint="eastAsia" w:ascii="宋体" w:hAnsi="宋体" w:cs="宋体"/>
          <w:b/>
          <w:color w:val="auto"/>
          <w:sz w:val="32"/>
          <w:szCs w:val="32"/>
          <w:highlight w:val="none"/>
        </w:rPr>
        <w:t>函</w:t>
      </w:r>
    </w:p>
    <w:p w14:paraId="747BD30B">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（采购人）、</w:t>
      </w:r>
      <w:r>
        <w:rPr>
          <w:rFonts w:hint="eastAsia" w:ascii="宋体" w:hAnsi="宋体" w:cs="宋体"/>
          <w:color w:val="auto"/>
          <w:sz w:val="24"/>
          <w:lang w:eastAsia="zh-CN"/>
        </w:rPr>
        <w:t>杭州市公共资源交易中心临安分中心</w:t>
      </w:r>
      <w:r>
        <w:rPr>
          <w:rFonts w:hint="eastAsia" w:ascii="宋体" w:hAnsi="宋体" w:cs="宋体"/>
          <w:color w:val="auto"/>
          <w:sz w:val="24"/>
          <w:highlight w:val="none"/>
        </w:rPr>
        <w:t>：</w:t>
      </w:r>
    </w:p>
    <w:p w14:paraId="3D783872">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我方参加你方组织的（项目名称）【招标编号：（采购编号）】招标的有关活动，并对此项目进行投标。为此：</w:t>
      </w:r>
    </w:p>
    <w:p w14:paraId="3CDD47FA">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1、我方承诺投标有效期从提交投标文件的截止之日起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天（不少于90天）</w:t>
      </w:r>
      <w:r>
        <w:rPr>
          <w:rFonts w:hint="eastAsia" w:ascii="宋体" w:hAnsi="宋体" w:cs="宋体"/>
          <w:color w:val="auto"/>
          <w:highlight w:val="none"/>
        </w:rPr>
        <w:t>，</w:t>
      </w:r>
      <w:r>
        <w:rPr>
          <w:rFonts w:hint="eastAsia" w:ascii="宋体" w:hAnsi="宋体" w:cs="宋体"/>
          <w:color w:val="auto"/>
          <w:sz w:val="24"/>
          <w:highlight w:val="none"/>
        </w:rPr>
        <w:t>本投标文件在投标有效期满之前均具有约束力。</w:t>
      </w:r>
    </w:p>
    <w:p w14:paraId="4C7F2C02">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2、我方的投标文件包括以下内容：</w:t>
      </w:r>
    </w:p>
    <w:p w14:paraId="281C0137">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2.1资格文件：</w:t>
      </w:r>
    </w:p>
    <w:p w14:paraId="259DBCA3">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2.1.1承诺函；</w:t>
      </w:r>
    </w:p>
    <w:p w14:paraId="4476C8D6">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2.1.2</w:t>
      </w:r>
      <w:r>
        <w:rPr>
          <w:rFonts w:hint="eastAsia" w:ascii="宋体" w:hAnsi="宋体" w:cs="宋体"/>
          <w:snapToGrid w:val="0"/>
          <w:color w:val="auto"/>
          <w:kern w:val="28"/>
          <w:sz w:val="24"/>
          <w:szCs w:val="20"/>
          <w:highlight w:val="none"/>
        </w:rPr>
        <w:t>联合协议（如果有)；</w:t>
      </w:r>
    </w:p>
    <w:p w14:paraId="224A410E">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.1.3</w:t>
      </w:r>
      <w:r>
        <w:rPr>
          <w:rFonts w:hint="eastAsia" w:ascii="宋体" w:hAnsi="宋体" w:cs="宋体"/>
          <w:color w:val="auto"/>
          <w:sz w:val="24"/>
          <w:highlight w:val="none"/>
        </w:rPr>
        <w:t>落实政府采购政策需满足的资格要求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1D3C6DD7">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w:t>
      </w:r>
      <w:r>
        <w:rPr>
          <w:rFonts w:ascii="宋体" w:hAnsi="宋体" w:cs="宋体"/>
          <w:color w:val="auto"/>
          <w:sz w:val="24"/>
          <w:highlight w:val="none"/>
        </w:rPr>
        <w:t>4</w:t>
      </w:r>
      <w:r>
        <w:rPr>
          <w:rFonts w:hint="eastAsia" w:ascii="宋体" w:hAnsi="宋体" w:cs="宋体"/>
          <w:color w:val="auto"/>
          <w:sz w:val="24"/>
          <w:highlight w:val="none"/>
        </w:rPr>
        <w:t>本项目的特定资格要求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7833DC86">
      <w:pPr>
        <w:snapToGrid w:val="0"/>
        <w:spacing w:line="360" w:lineRule="auto"/>
        <w:ind w:left="210" w:leftChars="100" w:firstLine="480" w:firstLineChars="200"/>
        <w:rPr>
          <w:rFonts w:ascii="宋体" w:hAnsi="宋体" w:cs="宋体"/>
          <w:color w:val="auto"/>
          <w:sz w:val="24"/>
          <w:highlight w:val="none"/>
          <w:lang w:val="zh-CN"/>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2</w:t>
      </w:r>
      <w:r>
        <w:rPr>
          <w:rFonts w:hint="eastAsia" w:ascii="宋体" w:hAnsi="宋体" w:cs="宋体"/>
          <w:color w:val="auto"/>
          <w:sz w:val="24"/>
          <w:highlight w:val="none"/>
          <w:lang w:val="zh-CN"/>
        </w:rPr>
        <w:t xml:space="preserve"> </w:t>
      </w:r>
      <w:r>
        <w:rPr>
          <w:rFonts w:hint="eastAsia" w:ascii="宋体" w:hAnsi="宋体" w:cs="宋体"/>
          <w:color w:val="auto"/>
          <w:sz w:val="24"/>
          <w:highlight w:val="none"/>
        </w:rPr>
        <w:t>商务技术</w:t>
      </w:r>
      <w:r>
        <w:rPr>
          <w:rFonts w:hint="eastAsia" w:ascii="宋体" w:hAnsi="宋体" w:cs="宋体"/>
          <w:color w:val="auto"/>
          <w:sz w:val="24"/>
          <w:highlight w:val="none"/>
          <w:lang w:val="zh-CN"/>
        </w:rPr>
        <w:t>文件：</w:t>
      </w:r>
    </w:p>
    <w:p w14:paraId="42059D53">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2.2.1投标函；</w:t>
      </w:r>
      <w:r>
        <w:rPr>
          <w:rFonts w:hint="eastAsia" w:ascii="宋体" w:hAnsi="宋体" w:cs="宋体"/>
          <w:color w:val="auto"/>
          <w:sz w:val="24"/>
          <w:highlight w:val="none"/>
          <w:lang w:val="zh-CN"/>
        </w:rPr>
        <w:t xml:space="preserve"> </w:t>
      </w:r>
    </w:p>
    <w:p w14:paraId="5EC2C014">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2.2.2授权委托书或法定代表人（单位负责人）身份证明；</w:t>
      </w:r>
    </w:p>
    <w:p w14:paraId="50886D4A">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2BD874CC">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4</w:t>
      </w:r>
      <w:r>
        <w:rPr>
          <w:rFonts w:hint="eastAsia" w:ascii="宋体" w:hAnsi="宋体" w:cs="宋体"/>
          <w:color w:val="auto"/>
          <w:sz w:val="24"/>
          <w:highlight w:val="none"/>
        </w:rPr>
        <w:t>符合性审查资料；</w:t>
      </w:r>
    </w:p>
    <w:p w14:paraId="539BEF15">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p>
    <w:p w14:paraId="30F55F66">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6</w:t>
      </w:r>
      <w:r>
        <w:rPr>
          <w:rFonts w:hint="eastAsia" w:ascii="宋体" w:hAnsi="宋体" w:cs="宋体"/>
          <w:color w:val="auto"/>
          <w:sz w:val="24"/>
          <w:highlight w:val="none"/>
        </w:rPr>
        <w:t>投标标的清单；</w:t>
      </w:r>
    </w:p>
    <w:p w14:paraId="67C34791">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7</w:t>
      </w:r>
      <w:r>
        <w:rPr>
          <w:rFonts w:hint="eastAsia" w:ascii="宋体" w:hAnsi="宋体" w:cs="宋体"/>
          <w:color w:val="auto"/>
          <w:sz w:val="24"/>
          <w:highlight w:val="none"/>
        </w:rPr>
        <w:t>商务技术偏离表；</w:t>
      </w:r>
    </w:p>
    <w:p w14:paraId="7703ABFB">
      <w:pPr>
        <w:snapToGrid w:val="0"/>
        <w:spacing w:line="360" w:lineRule="auto"/>
        <w:ind w:left="420" w:leftChars="200" w:firstLine="480" w:firstLineChars="200"/>
        <w:rPr>
          <w:rFonts w:ascii="宋体" w:hAnsi="宋体" w:cs="宋体"/>
          <w:color w:val="auto"/>
          <w:sz w:val="24"/>
          <w:highlight w:val="none"/>
          <w:lang w:val="zh-CN"/>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p>
    <w:p w14:paraId="75B2B66A">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3报价文件</w:t>
      </w:r>
    </w:p>
    <w:p w14:paraId="1B82B89C">
      <w:pPr>
        <w:snapToGrid w:val="0"/>
        <w:spacing w:line="360" w:lineRule="auto"/>
        <w:ind w:left="420" w:leftChars="200" w:firstLine="480" w:firstLineChars="200"/>
        <w:rPr>
          <w:rFonts w:hint="eastAsia" w:ascii="宋体" w:hAnsi="宋体" w:cs="宋体"/>
          <w:color w:val="auto"/>
          <w:sz w:val="24"/>
          <w:highlight w:val="none"/>
        </w:rPr>
      </w:pPr>
      <w:r>
        <w:rPr>
          <w:rFonts w:hint="eastAsia" w:ascii="宋体" w:hAnsi="宋体" w:cs="宋体"/>
          <w:color w:val="auto"/>
          <w:sz w:val="24"/>
          <w:highlight w:val="none"/>
        </w:rPr>
        <w:t>2.3.1开标一览表（报价表）；</w:t>
      </w:r>
    </w:p>
    <w:p w14:paraId="6B537E20">
      <w:pPr>
        <w:snapToGrid w:val="0"/>
        <w:spacing w:line="360" w:lineRule="auto"/>
        <w:ind w:left="420" w:leftChars="200" w:firstLine="480" w:firstLineChars="200"/>
        <w:rPr>
          <w:rFonts w:hint="eastAsia" w:ascii="宋体" w:hAnsi="宋体" w:cs="宋体"/>
          <w:color w:val="auto"/>
          <w:sz w:val="24"/>
          <w:highlight w:val="none"/>
        </w:rPr>
      </w:pPr>
      <w:r>
        <w:rPr>
          <w:rFonts w:hint="eastAsia" w:ascii="宋体" w:hAnsi="宋体" w:cs="宋体"/>
          <w:color w:val="auto"/>
          <w:sz w:val="24"/>
          <w:highlight w:val="none"/>
        </w:rPr>
        <w:t>2.3.2关于符合本国产品标准的声明函或财政部会同有关部门规定的有关证明文件（如果有）；</w:t>
      </w:r>
    </w:p>
    <w:p w14:paraId="3D1C531F">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2.3.</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中小企业声明函（如果有）。</w:t>
      </w:r>
    </w:p>
    <w:p w14:paraId="5A287B78">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w:t>
      </w:r>
      <w:r>
        <w:rPr>
          <w:rFonts w:hint="eastAsia" w:ascii="宋体" w:hAnsi="宋体" w:cs="宋体"/>
          <w:color w:val="auto"/>
          <w:sz w:val="24"/>
          <w:highlight w:val="none"/>
          <w:lang w:eastAsia="zh-CN"/>
        </w:rPr>
        <w:t>我方承诺除商务技术偏离表列出的偏离外，我方响应招标文件的全部要求。对投标文件中材料的真实性、合法性负责，积极配合采购人、采购代理机构复核投标文件中的资料。</w:t>
      </w:r>
    </w:p>
    <w:p w14:paraId="68007B0C">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4、如我方中标，我方承诺：</w:t>
      </w:r>
    </w:p>
    <w:p w14:paraId="3787A4F8">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4.1在收到中标通知书后，在中标通知书规定的期限内与你方签订合同； </w:t>
      </w:r>
    </w:p>
    <w:p w14:paraId="663B15DD">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4.2在签订合同时不向你方提出附加条件； </w:t>
      </w:r>
    </w:p>
    <w:p w14:paraId="613EFD57">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4.3按照招标文件要求提交履约保证金； </w:t>
      </w:r>
    </w:p>
    <w:p w14:paraId="297EE1C5">
      <w:pPr>
        <w:snapToGrid w:val="0"/>
        <w:spacing w:line="360" w:lineRule="auto"/>
        <w:ind w:left="210" w:leftChars="100"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4.4在合同约定的期限内完成合同规定的全部义务。 </w:t>
      </w:r>
    </w:p>
    <w:p w14:paraId="335C7DFC">
      <w:pPr>
        <w:snapToGrid w:val="0"/>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5、对通过政采云平台开展的质疑、投诉等活动，我方承诺并接受平台以电子送达的方式送达相关文书。我方认可电子送达与邮寄送达具有同等法律效力，以文书到达政采云平台日期为送达日期，本公司保证政采云平台账号真实有效。</w:t>
      </w:r>
    </w:p>
    <w:p w14:paraId="7D519812">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、其他补充说明: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A90E953">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投标人名称（电子签名）：                          </w:t>
      </w:r>
    </w:p>
    <w:p w14:paraId="7ED4BFB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5D223791">
      <w:pPr>
        <w:snapToGrid w:val="0"/>
        <w:spacing w:line="360" w:lineRule="auto"/>
        <w:ind w:left="420" w:leftChars="200" w:firstLine="4200" w:firstLineChars="1750"/>
        <w:rPr>
          <w:rFonts w:ascii="宋体" w:hAnsi="宋体" w:cs="宋体"/>
          <w:color w:val="auto"/>
          <w:kern w:val="0"/>
          <w:sz w:val="24"/>
          <w:highlight w:val="none"/>
          <w:u w:val="single"/>
        </w:rPr>
      </w:pPr>
    </w:p>
    <w:p w14:paraId="1A7389C0">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3B9604C3">
      <w:pPr>
        <w:snapToGrid w:val="0"/>
        <w:spacing w:line="360" w:lineRule="auto"/>
        <w:jc w:val="center"/>
        <w:rPr>
          <w:rFonts w:ascii="宋体" w:hAnsi="宋体" w:cs="宋体"/>
          <w:b/>
          <w:color w:val="auto"/>
          <w:kern w:val="0"/>
          <w:sz w:val="32"/>
          <w:szCs w:val="32"/>
          <w:highlight w:val="none"/>
        </w:rPr>
      </w:pPr>
    </w:p>
    <w:p w14:paraId="647C31AC">
      <w:pPr>
        <w:snapToGrid w:val="0"/>
        <w:spacing w:line="360" w:lineRule="auto"/>
        <w:rPr>
          <w:rFonts w:ascii="宋体" w:hAnsi="宋体" w:cs="宋体"/>
          <w:color w:val="auto"/>
          <w:sz w:val="24"/>
          <w:highlight w:val="none"/>
        </w:rPr>
      </w:pPr>
    </w:p>
    <w:p w14:paraId="3CC81E85">
      <w:pPr>
        <w:jc w:val="center"/>
        <w:rPr>
          <w:rFonts w:ascii="宋体" w:hAnsi="宋体" w:cs="宋体"/>
          <w:b/>
          <w:color w:val="auto"/>
          <w:kern w:val="0"/>
          <w:sz w:val="32"/>
          <w:szCs w:val="32"/>
          <w:highlight w:val="none"/>
        </w:rPr>
      </w:pPr>
    </w:p>
    <w:p w14:paraId="28C9099F">
      <w:pPr>
        <w:jc w:val="center"/>
        <w:rPr>
          <w:rFonts w:ascii="宋体" w:hAnsi="宋体" w:cs="宋体"/>
          <w:b/>
          <w:color w:val="auto"/>
          <w:kern w:val="0"/>
          <w:sz w:val="32"/>
          <w:szCs w:val="32"/>
          <w:highlight w:val="none"/>
        </w:rPr>
      </w:pPr>
    </w:p>
    <w:p w14:paraId="53D40722">
      <w:pPr>
        <w:jc w:val="center"/>
        <w:rPr>
          <w:rFonts w:ascii="宋体" w:hAnsi="宋体" w:cs="宋体"/>
          <w:b/>
          <w:color w:val="auto"/>
          <w:kern w:val="0"/>
          <w:sz w:val="32"/>
          <w:szCs w:val="32"/>
          <w:highlight w:val="none"/>
        </w:rPr>
      </w:pPr>
    </w:p>
    <w:p w14:paraId="702D6A22">
      <w:pPr>
        <w:jc w:val="center"/>
        <w:rPr>
          <w:rFonts w:ascii="宋体" w:hAnsi="宋体" w:cs="宋体"/>
          <w:b/>
          <w:color w:val="auto"/>
          <w:kern w:val="0"/>
          <w:sz w:val="32"/>
          <w:szCs w:val="32"/>
          <w:highlight w:val="none"/>
        </w:rPr>
      </w:pPr>
    </w:p>
    <w:p w14:paraId="03606626">
      <w:pPr>
        <w:jc w:val="center"/>
        <w:rPr>
          <w:rFonts w:ascii="宋体" w:hAnsi="宋体" w:cs="宋体"/>
          <w:b/>
          <w:color w:val="auto"/>
          <w:kern w:val="0"/>
          <w:sz w:val="32"/>
          <w:szCs w:val="32"/>
          <w:highlight w:val="none"/>
        </w:rPr>
      </w:pPr>
    </w:p>
    <w:p w14:paraId="5A269BC7">
      <w:pPr>
        <w:jc w:val="center"/>
        <w:rPr>
          <w:rFonts w:ascii="宋体" w:hAnsi="宋体" w:cs="宋体"/>
          <w:b/>
          <w:color w:val="auto"/>
          <w:kern w:val="0"/>
          <w:sz w:val="32"/>
          <w:szCs w:val="32"/>
          <w:highlight w:val="none"/>
        </w:rPr>
      </w:pPr>
    </w:p>
    <w:p w14:paraId="23652CF4">
      <w:pPr>
        <w:jc w:val="center"/>
        <w:rPr>
          <w:rFonts w:ascii="宋体" w:hAnsi="宋体" w:cs="宋体"/>
          <w:b/>
          <w:color w:val="auto"/>
          <w:kern w:val="0"/>
          <w:sz w:val="32"/>
          <w:szCs w:val="32"/>
          <w:highlight w:val="none"/>
        </w:rPr>
      </w:pPr>
    </w:p>
    <w:p w14:paraId="31AF3301">
      <w:pPr>
        <w:jc w:val="center"/>
        <w:rPr>
          <w:rFonts w:ascii="宋体" w:hAnsi="宋体" w:cs="宋体"/>
          <w:b/>
          <w:color w:val="auto"/>
          <w:kern w:val="0"/>
          <w:sz w:val="32"/>
          <w:szCs w:val="32"/>
          <w:highlight w:val="none"/>
        </w:rPr>
      </w:pPr>
    </w:p>
    <w:p w14:paraId="007191EC">
      <w:pPr>
        <w:jc w:val="center"/>
        <w:rPr>
          <w:rFonts w:ascii="宋体" w:hAnsi="宋体" w:cs="宋体"/>
          <w:b/>
          <w:color w:val="auto"/>
          <w:kern w:val="0"/>
          <w:sz w:val="32"/>
          <w:szCs w:val="32"/>
          <w:highlight w:val="none"/>
        </w:rPr>
      </w:pPr>
    </w:p>
    <w:p w14:paraId="52CACE0F">
      <w:pPr>
        <w:jc w:val="center"/>
        <w:rPr>
          <w:rFonts w:ascii="宋体" w:hAnsi="宋体" w:cs="宋体"/>
          <w:b/>
          <w:color w:val="auto"/>
          <w:kern w:val="0"/>
          <w:sz w:val="32"/>
          <w:szCs w:val="32"/>
          <w:highlight w:val="none"/>
        </w:rPr>
      </w:pPr>
    </w:p>
    <w:p w14:paraId="6D72C4F9">
      <w:pPr>
        <w:jc w:val="center"/>
        <w:rPr>
          <w:rFonts w:ascii="宋体" w:hAnsi="宋体" w:cs="宋体"/>
          <w:b/>
          <w:color w:val="auto"/>
          <w:kern w:val="0"/>
          <w:sz w:val="32"/>
          <w:szCs w:val="32"/>
          <w:highlight w:val="none"/>
        </w:rPr>
      </w:pPr>
    </w:p>
    <w:p w14:paraId="61889F1C">
      <w:pPr>
        <w:jc w:val="center"/>
        <w:rPr>
          <w:rFonts w:hint="eastAsia" w:ascii="宋体" w:hAnsi="宋体" w:cs="宋体"/>
          <w:b/>
          <w:color w:val="auto"/>
          <w:kern w:val="0"/>
          <w:sz w:val="32"/>
          <w:szCs w:val="32"/>
          <w:highlight w:val="none"/>
          <w:lang w:val="zh-CN"/>
        </w:rPr>
      </w:pPr>
    </w:p>
    <w:p w14:paraId="3F5A1B21">
      <w:pPr>
        <w:jc w:val="center"/>
        <w:rPr>
          <w:rFonts w:hint="eastAsia" w:ascii="宋体" w:hAnsi="宋体" w:cs="宋体"/>
          <w:b/>
          <w:color w:val="auto"/>
          <w:kern w:val="0"/>
          <w:sz w:val="32"/>
          <w:szCs w:val="32"/>
          <w:highlight w:val="none"/>
          <w:lang w:val="zh-CN"/>
        </w:rPr>
      </w:pPr>
    </w:p>
    <w:p w14:paraId="4030EF22">
      <w:pPr>
        <w:jc w:val="center"/>
        <w:rPr>
          <w:rFonts w:hint="eastAsia" w:ascii="宋体" w:hAnsi="宋体" w:cs="宋体"/>
          <w:b/>
          <w:color w:val="auto"/>
          <w:kern w:val="0"/>
          <w:sz w:val="32"/>
          <w:szCs w:val="32"/>
          <w:highlight w:val="none"/>
          <w:lang w:val="zh-CN"/>
        </w:rPr>
      </w:pPr>
    </w:p>
    <w:p w14:paraId="02769F8A">
      <w:pPr>
        <w:jc w:val="center"/>
        <w:rPr>
          <w:rFonts w:hint="eastAsia" w:ascii="宋体" w:hAnsi="宋体" w:cs="宋体"/>
          <w:b/>
          <w:color w:val="auto"/>
          <w:kern w:val="0"/>
          <w:sz w:val="32"/>
          <w:szCs w:val="32"/>
          <w:highlight w:val="none"/>
          <w:lang w:val="zh-CN"/>
        </w:rPr>
      </w:pPr>
    </w:p>
    <w:p w14:paraId="5AEB29C4">
      <w:pPr>
        <w:jc w:val="center"/>
        <w:rPr>
          <w:rFonts w:hint="eastAsia" w:ascii="宋体" w:hAnsi="宋体" w:cs="宋体"/>
          <w:b/>
          <w:color w:val="auto"/>
          <w:kern w:val="0"/>
          <w:sz w:val="32"/>
          <w:szCs w:val="32"/>
          <w:highlight w:val="none"/>
          <w:lang w:val="zh-CN"/>
        </w:rPr>
      </w:pPr>
    </w:p>
    <w:p w14:paraId="4F33219C">
      <w:pPr>
        <w:jc w:val="both"/>
        <w:rPr>
          <w:rFonts w:hint="eastAsia" w:ascii="宋体" w:hAnsi="宋体" w:cs="宋体"/>
          <w:b/>
          <w:color w:val="auto"/>
          <w:kern w:val="0"/>
          <w:sz w:val="32"/>
          <w:szCs w:val="32"/>
          <w:highlight w:val="none"/>
          <w:lang w:val="zh-CN"/>
        </w:rPr>
      </w:pPr>
    </w:p>
    <w:p w14:paraId="33AA9B59">
      <w:pPr>
        <w:bidi w:val="0"/>
        <w:rPr>
          <w:rFonts w:hint="eastAsia"/>
          <w:lang w:val="zh-CN"/>
        </w:rPr>
      </w:pPr>
    </w:p>
    <w:p w14:paraId="1D4CBEDC">
      <w:pPr>
        <w:snapToGrid w:val="0"/>
        <w:spacing w:line="360" w:lineRule="auto"/>
        <w:jc w:val="center"/>
        <w:outlineLvl w:val="2"/>
        <w:rPr>
          <w:rFonts w:hint="eastAsia" w:ascii="宋体" w:hAnsi="宋体" w:cs="宋体"/>
          <w:b/>
          <w:color w:val="auto"/>
          <w:kern w:val="0"/>
          <w:sz w:val="32"/>
          <w:szCs w:val="32"/>
          <w:highlight w:val="none"/>
          <w:lang w:val="zh-CN"/>
        </w:rPr>
      </w:pPr>
      <w:r>
        <w:rPr>
          <w:rFonts w:hint="eastAsia" w:ascii="宋体" w:hAnsi="宋体" w:cs="宋体"/>
          <w:b/>
          <w:color w:val="auto"/>
          <w:kern w:val="0"/>
          <w:sz w:val="32"/>
          <w:szCs w:val="32"/>
          <w:highlight w:val="none"/>
          <w:lang w:val="zh-CN"/>
        </w:rPr>
        <w:t>二、</w:t>
      </w:r>
      <w:r>
        <w:rPr>
          <w:rFonts w:hint="eastAsia" w:ascii="宋体" w:hAnsi="宋体" w:cs="宋体"/>
          <w:b/>
          <w:color w:val="auto"/>
          <w:w w:val="90"/>
          <w:kern w:val="0"/>
          <w:sz w:val="32"/>
          <w:szCs w:val="32"/>
          <w:highlight w:val="none"/>
          <w:lang w:val="zh-CN"/>
        </w:rPr>
        <w:t>授权委托书或法定代表人（单位负责人、自然人本人）身份证明</w:t>
      </w:r>
    </w:p>
    <w:p w14:paraId="190A5AB6">
      <w:pPr>
        <w:bidi w:val="0"/>
        <w:rPr>
          <w:rFonts w:hint="eastAsia"/>
          <w:lang w:val="zh-CN"/>
        </w:rPr>
      </w:pPr>
    </w:p>
    <w:p w14:paraId="18D6ACF4">
      <w:pPr>
        <w:snapToGrid w:val="0"/>
        <w:spacing w:line="360" w:lineRule="auto"/>
        <w:jc w:val="center"/>
        <w:rPr>
          <w:rFonts w:ascii="宋体" w:hAnsi="宋体" w:cs="宋体"/>
          <w:color w:val="auto"/>
          <w:highlight w:val="none"/>
        </w:rPr>
      </w:pPr>
      <w:r>
        <w:rPr>
          <w:rFonts w:hint="eastAsia" w:ascii="宋体" w:hAnsi="宋体" w:cs="宋体"/>
          <w:b/>
          <w:color w:val="auto"/>
          <w:kern w:val="0"/>
          <w:sz w:val="32"/>
          <w:szCs w:val="32"/>
          <w:highlight w:val="none"/>
          <w:lang w:val="zh-CN"/>
        </w:rPr>
        <w:t>授权委托书（适用于非联合体投标）</w:t>
      </w:r>
    </w:p>
    <w:p w14:paraId="6A311EA8">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w:t>
      </w:r>
      <w:r>
        <w:rPr>
          <w:rFonts w:hint="eastAsia" w:ascii="宋体" w:hAnsi="宋体" w:cs="宋体"/>
          <w:color w:val="auto"/>
          <w:sz w:val="24"/>
          <w:lang w:eastAsia="zh-CN"/>
        </w:rPr>
        <w:t>杭州市公共资源交易中心临安分中心</w:t>
      </w:r>
      <w:r>
        <w:rPr>
          <w:rFonts w:hint="eastAsia" w:ascii="宋体" w:hAnsi="宋体" w:cs="宋体"/>
          <w:color w:val="auto"/>
          <w:kern w:val="0"/>
          <w:sz w:val="24"/>
          <w:highlight w:val="none"/>
          <w:lang w:val="zh-CN"/>
        </w:rPr>
        <w:t>：</w:t>
      </w:r>
    </w:p>
    <w:p w14:paraId="4E3D1043">
      <w:pP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none"/>
          <w:lang w:val="en-US" w:eastAsia="zh-CN"/>
        </w:rPr>
        <w:t>，所在单位：</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rPr>
        <w:t>（项目名称）【招标编号：（采购编号）】</w:t>
      </w:r>
      <w:r>
        <w:rPr>
          <w:rFonts w:hint="eastAsia" w:ascii="宋体" w:hAnsi="宋体" w:cs="宋体"/>
          <w:color w:val="auto"/>
          <w:kern w:val="0"/>
          <w:sz w:val="24"/>
          <w:highlight w:val="none"/>
          <w:lang w:val="zh-CN"/>
        </w:rPr>
        <w:t>政府采购投标的一切事项，其法律后果由我方承担。</w:t>
      </w:r>
    </w:p>
    <w:p w14:paraId="2A184746">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14:paraId="6B73AAE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14:paraId="4855622F">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val="zh-CN"/>
        </w:rPr>
        <w:t xml:space="preserve">                                                 投标人名称(电子签名)：</w:t>
      </w:r>
    </w:p>
    <w:p w14:paraId="4A201ECA">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签发日期：  年  月   日</w:t>
      </w:r>
    </w:p>
    <w:p w14:paraId="6BB9E586">
      <w:pPr>
        <w:snapToGrid w:val="0"/>
        <w:spacing w:line="360" w:lineRule="auto"/>
        <w:rPr>
          <w:rFonts w:ascii="宋体" w:hAnsi="宋体" w:cs="宋体"/>
          <w:color w:val="auto"/>
          <w:sz w:val="24"/>
          <w:highlight w:val="none"/>
        </w:rPr>
      </w:pPr>
    </w:p>
    <w:p w14:paraId="28313BE8">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ascii="宋体" w:hAnsi="宋体" w:cs="宋体"/>
          <w:b/>
          <w:color w:val="auto"/>
          <w:kern w:val="0"/>
          <w:sz w:val="32"/>
          <w:szCs w:val="32"/>
          <w:highlight w:val="none"/>
        </w:rPr>
      </w:pPr>
      <w:r>
        <w:rPr>
          <w:rFonts w:hint="eastAsia" w:ascii="宋体" w:hAnsi="宋体" w:cs="宋体"/>
          <w:b/>
          <w:color w:val="auto"/>
          <w:kern w:val="0"/>
          <w:sz w:val="32"/>
          <w:szCs w:val="32"/>
          <w:highlight w:val="none"/>
          <w:lang w:val="zh-CN"/>
        </w:rPr>
        <w:t>授权委托书（适用于联合体投标）</w:t>
      </w:r>
    </w:p>
    <w:p w14:paraId="24D4A788">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w:t>
      </w:r>
      <w:r>
        <w:rPr>
          <w:rFonts w:hint="eastAsia" w:ascii="宋体" w:hAnsi="宋体" w:cs="宋体"/>
          <w:color w:val="auto"/>
          <w:sz w:val="24"/>
          <w:lang w:eastAsia="zh-CN"/>
        </w:rPr>
        <w:t>杭州市公共资源交易中心临安分中心</w:t>
      </w:r>
      <w:r>
        <w:rPr>
          <w:rFonts w:hint="eastAsia" w:ascii="宋体" w:hAnsi="宋体" w:cs="宋体"/>
          <w:color w:val="auto"/>
          <w:kern w:val="0"/>
          <w:sz w:val="24"/>
          <w:highlight w:val="none"/>
          <w:lang w:val="zh-CN"/>
        </w:rPr>
        <w:t>：</w:t>
      </w:r>
    </w:p>
    <w:p w14:paraId="66AE8739">
      <w:pP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none"/>
          <w:lang w:val="en-US" w:eastAsia="zh-CN"/>
        </w:rPr>
        <w:t>，所在单位：</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rPr>
        <w:t>（项目名称）【招标编号：（采购编号）】</w:t>
      </w:r>
      <w:r>
        <w:rPr>
          <w:rFonts w:hint="eastAsia" w:ascii="宋体" w:hAnsi="宋体" w:cs="宋体"/>
          <w:color w:val="auto"/>
          <w:kern w:val="0"/>
          <w:sz w:val="24"/>
          <w:highlight w:val="none"/>
          <w:lang w:val="zh-CN"/>
        </w:rPr>
        <w:t>政府采购投标的一切事项，其法律后果由我方承担。</w:t>
      </w:r>
    </w:p>
    <w:p w14:paraId="68F9B50C">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14:paraId="49DE4C26">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14:paraId="1A3FD6FA">
      <w:pPr>
        <w:jc w:val="both"/>
        <w:rPr>
          <w:rFonts w:ascii="宋体" w:hAnsi="宋体" w:cs="宋体"/>
          <w:b/>
          <w:color w:val="auto"/>
          <w:kern w:val="0"/>
          <w:sz w:val="32"/>
          <w:szCs w:val="32"/>
          <w:highlight w:val="none"/>
        </w:rPr>
      </w:pPr>
    </w:p>
    <w:p w14:paraId="4C1D8D81">
      <w:pPr>
        <w:rPr>
          <w:rFonts w:ascii="宋体" w:hAnsi="宋体" w:cs="宋体"/>
          <w:color w:val="auto"/>
          <w:highlight w:val="none"/>
        </w:rPr>
      </w:pPr>
    </w:p>
    <w:p w14:paraId="6A3172DC">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联合体成员名称(电子签名/公章)：</w:t>
      </w:r>
    </w:p>
    <w:p w14:paraId="5B835D46">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联合体成员名称(电子签名/公章)：</w:t>
      </w:r>
    </w:p>
    <w:p w14:paraId="65FFCB5A">
      <w:pPr>
        <w:snapToGrid w:val="0"/>
        <w:spacing w:line="360" w:lineRule="auto"/>
        <w:ind w:firstLine="5760" w:firstLineChars="2400"/>
        <w:rPr>
          <w:rFonts w:ascii="宋体" w:hAnsi="宋体" w:cs="宋体"/>
          <w:color w:val="auto"/>
          <w:highlight w:val="none"/>
        </w:rPr>
      </w:pPr>
      <w:r>
        <w:rPr>
          <w:rFonts w:hint="eastAsia" w:ascii="宋体" w:hAnsi="宋体" w:cs="宋体"/>
          <w:color w:val="auto"/>
          <w:kern w:val="0"/>
          <w:sz w:val="24"/>
          <w:highlight w:val="none"/>
          <w:lang w:val="zh-CN"/>
        </w:rPr>
        <w:t>……</w:t>
      </w:r>
    </w:p>
    <w:p w14:paraId="70E4C8DC">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14:paraId="2DD52D50">
      <w:pPr>
        <w:tabs>
          <w:tab w:val="left" w:pos="432"/>
        </w:tabs>
        <w:spacing w:line="360" w:lineRule="auto"/>
        <w:outlineLvl w:val="9"/>
        <w:rPr>
          <w:rFonts w:hint="eastAsia" w:asciiTheme="minorEastAsia" w:hAnsiTheme="minorEastAsia" w:eastAsiaTheme="minorEastAsia" w:cstheme="minorEastAsia"/>
          <w:b w:val="0"/>
          <w:bCs w:val="0"/>
          <w:kern w:val="0"/>
          <w:sz w:val="24"/>
          <w:highlight w:val="none"/>
          <w:lang w:val="zh-CN"/>
        </w:rPr>
      </w:pPr>
      <w:r>
        <w:rPr>
          <w:rFonts w:hint="eastAsia" w:asciiTheme="minorEastAsia" w:hAnsiTheme="minorEastAsia" w:eastAsiaTheme="minorEastAsia" w:cstheme="minorEastAsia"/>
          <w:b w:val="0"/>
          <w:bCs w:val="0"/>
          <w:kern w:val="0"/>
          <w:sz w:val="24"/>
          <w:highlight w:val="none"/>
          <w:lang w:val="zh-CN"/>
        </w:rPr>
        <w:t>注：▲供应商委派不在本单位缴纳社保的人员作为授权代表（代理人）的，应当在投标（响应）文件中，说明具体原因、授权代表缴纳社保的单位，并附列该授权代表缴纳社保清单。</w:t>
      </w:r>
    </w:p>
    <w:p w14:paraId="77E2D5AF">
      <w:pPr>
        <w:rPr>
          <w:rFonts w:hint="eastAsia"/>
          <w:lang w:val="zh-CN"/>
        </w:rPr>
      </w:pPr>
      <w:r>
        <w:rPr>
          <w:rFonts w:hint="eastAsia" w:asciiTheme="minorEastAsia" w:hAnsiTheme="minorEastAsia" w:eastAsiaTheme="minorEastAsia" w:cstheme="minorEastAsia"/>
          <w:b w:val="0"/>
          <w:bCs w:val="0"/>
          <w:kern w:val="0"/>
          <w:sz w:val="24"/>
          <w:highlight w:val="none"/>
          <w:lang w:val="zh-CN"/>
        </w:rPr>
        <w:br w:type="page"/>
      </w:r>
    </w:p>
    <w:p w14:paraId="5DA68F82">
      <w:pPr>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kern w:val="0"/>
          <w:sz w:val="32"/>
          <w:szCs w:val="32"/>
          <w:highlight w:val="none"/>
          <w:lang w:val="zh-CN"/>
        </w:rPr>
        <w:t>法定代表人、单位负责人或自然人本人</w:t>
      </w:r>
      <w:r>
        <w:rPr>
          <w:rFonts w:hint="eastAsia" w:ascii="宋体" w:hAnsi="宋体" w:cs="宋体"/>
          <w:b/>
          <w:color w:val="auto"/>
          <w:sz w:val="30"/>
          <w:szCs w:val="30"/>
          <w:highlight w:val="none"/>
        </w:rPr>
        <w:t>的身份证明（适用于法定代表人、单位负责人或者自然人本人代表投标人参加投标）</w:t>
      </w:r>
    </w:p>
    <w:p w14:paraId="157C318D">
      <w:pPr>
        <w:pStyle w:val="150"/>
        <w:spacing w:line="360" w:lineRule="auto"/>
        <w:rPr>
          <w:rFonts w:hAnsi="宋体" w:cs="宋体"/>
          <w:bCs/>
          <w:color w:val="auto"/>
          <w:sz w:val="24"/>
          <w:highlight w:val="none"/>
        </w:rPr>
      </w:pPr>
      <w:r>
        <w:rPr>
          <w:rFonts w:hint="eastAsia" w:hAnsi="宋体" w:cs="宋体"/>
          <w:bCs/>
          <w:color w:val="auto"/>
          <w:sz w:val="24"/>
          <w:highlight w:val="none"/>
        </w:rPr>
        <w:t>身份证件扫描件：</w:t>
      </w:r>
    </w:p>
    <w:tbl>
      <w:tblPr>
        <w:tblStyle w:val="63"/>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36B95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5819D7B4">
            <w:pPr>
              <w:pStyle w:val="150"/>
              <w:adjustRightInd w:val="0"/>
              <w:spacing w:line="360" w:lineRule="auto"/>
              <w:rPr>
                <w:rFonts w:hAnsi="宋体" w:cs="宋体"/>
                <w:bCs/>
                <w:color w:val="auto"/>
                <w:sz w:val="24"/>
                <w:highlight w:val="none"/>
              </w:rPr>
            </w:pPr>
            <w:r>
              <w:rPr>
                <w:rFonts w:hint="eastAsia" w:hAnsi="宋体" w:cs="宋体"/>
                <w:bCs/>
                <w:color w:val="auto"/>
                <w:sz w:val="24"/>
                <w:highlight w:val="none"/>
              </w:rPr>
              <w:t>正面：                                 反面：</w:t>
            </w:r>
          </w:p>
          <w:p w14:paraId="1EEB898D">
            <w:pPr>
              <w:pStyle w:val="150"/>
              <w:adjustRightInd w:val="0"/>
              <w:spacing w:line="360" w:lineRule="auto"/>
              <w:rPr>
                <w:rFonts w:hAnsi="宋体" w:cs="宋体"/>
                <w:bCs/>
                <w:color w:val="auto"/>
                <w:sz w:val="24"/>
                <w:highlight w:val="none"/>
              </w:rPr>
            </w:pPr>
          </w:p>
        </w:tc>
      </w:tr>
    </w:tbl>
    <w:p w14:paraId="24E27548">
      <w:pPr>
        <w:snapToGrid w:val="0"/>
        <w:spacing w:line="360" w:lineRule="auto"/>
        <w:ind w:firstLine="576"/>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1358741A">
      <w:pPr>
        <w:snapToGrid w:val="0"/>
        <w:spacing w:line="360" w:lineRule="auto"/>
        <w:ind w:firstLine="576"/>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投标人名称(电子签名)：                              </w:t>
      </w:r>
    </w:p>
    <w:p w14:paraId="0EC5DB42">
      <w:pPr>
        <w:spacing w:line="360" w:lineRule="auto"/>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14:paraId="735A4FDB">
      <w:pPr>
        <w:jc w:val="center"/>
        <w:rPr>
          <w:rFonts w:ascii="宋体" w:hAnsi="宋体" w:cs="宋体"/>
          <w:b/>
          <w:color w:val="auto"/>
          <w:kern w:val="0"/>
          <w:sz w:val="32"/>
          <w:szCs w:val="32"/>
          <w:highlight w:val="none"/>
        </w:rPr>
      </w:pPr>
    </w:p>
    <w:p w14:paraId="493B763D">
      <w:pPr>
        <w:jc w:val="center"/>
        <w:rPr>
          <w:rFonts w:ascii="宋体" w:hAnsi="宋体" w:cs="宋体"/>
          <w:b/>
          <w:color w:val="auto"/>
          <w:kern w:val="0"/>
          <w:sz w:val="32"/>
          <w:szCs w:val="32"/>
          <w:highlight w:val="none"/>
        </w:rPr>
      </w:pPr>
    </w:p>
    <w:p w14:paraId="455D7B94">
      <w:pPr>
        <w:jc w:val="center"/>
        <w:rPr>
          <w:rFonts w:ascii="宋体" w:hAnsi="宋体" w:cs="宋体"/>
          <w:b/>
          <w:color w:val="auto"/>
          <w:kern w:val="0"/>
          <w:sz w:val="32"/>
          <w:szCs w:val="32"/>
          <w:highlight w:val="none"/>
        </w:rPr>
      </w:pPr>
    </w:p>
    <w:p w14:paraId="1B4A56FC">
      <w:pPr>
        <w:jc w:val="center"/>
        <w:rPr>
          <w:rFonts w:ascii="宋体" w:hAnsi="宋体" w:cs="宋体"/>
          <w:b/>
          <w:color w:val="auto"/>
          <w:kern w:val="0"/>
          <w:sz w:val="32"/>
          <w:szCs w:val="32"/>
          <w:highlight w:val="none"/>
        </w:rPr>
      </w:pPr>
    </w:p>
    <w:p w14:paraId="547D1CCC">
      <w:pPr>
        <w:jc w:val="center"/>
        <w:rPr>
          <w:rFonts w:ascii="宋体" w:hAnsi="宋体" w:cs="宋体"/>
          <w:b/>
          <w:color w:val="auto"/>
          <w:kern w:val="0"/>
          <w:sz w:val="32"/>
          <w:szCs w:val="32"/>
          <w:highlight w:val="none"/>
        </w:rPr>
      </w:pPr>
    </w:p>
    <w:p w14:paraId="14085E53">
      <w:pPr>
        <w:jc w:val="center"/>
        <w:rPr>
          <w:rFonts w:ascii="宋体" w:hAnsi="宋体" w:cs="宋体"/>
          <w:b/>
          <w:color w:val="auto"/>
          <w:kern w:val="0"/>
          <w:sz w:val="32"/>
          <w:szCs w:val="32"/>
          <w:highlight w:val="none"/>
        </w:rPr>
      </w:pPr>
    </w:p>
    <w:p w14:paraId="4FB07F1A">
      <w:pPr>
        <w:jc w:val="both"/>
        <w:rPr>
          <w:rFonts w:ascii="宋体" w:hAnsi="宋体" w:cs="宋体"/>
          <w:b/>
          <w:color w:val="auto"/>
          <w:kern w:val="0"/>
          <w:sz w:val="32"/>
          <w:szCs w:val="32"/>
          <w:highlight w:val="none"/>
        </w:rPr>
      </w:pPr>
    </w:p>
    <w:p w14:paraId="7FB299C0">
      <w:pPr>
        <w:jc w:val="center"/>
        <w:rPr>
          <w:rFonts w:ascii="宋体" w:hAnsi="宋体" w:cs="宋体"/>
          <w:b/>
          <w:color w:val="auto"/>
          <w:kern w:val="0"/>
          <w:sz w:val="32"/>
          <w:szCs w:val="32"/>
          <w:highlight w:val="none"/>
        </w:rPr>
      </w:pPr>
    </w:p>
    <w:p w14:paraId="45CE95DC">
      <w:pPr>
        <w:jc w:val="center"/>
        <w:rPr>
          <w:rFonts w:ascii="宋体" w:hAnsi="宋体" w:cs="宋体"/>
          <w:b/>
          <w:color w:val="auto"/>
          <w:kern w:val="0"/>
          <w:sz w:val="32"/>
          <w:szCs w:val="32"/>
          <w:highlight w:val="none"/>
        </w:rPr>
      </w:pPr>
    </w:p>
    <w:p w14:paraId="647BE5B1">
      <w:pPr>
        <w:snapToGrid w:val="0"/>
        <w:spacing w:line="360" w:lineRule="auto"/>
        <w:ind w:right="480"/>
        <w:rPr>
          <w:rFonts w:ascii="宋体" w:hAnsi="宋体" w:cs="宋体"/>
          <w:b/>
          <w:color w:val="auto"/>
          <w:kern w:val="0"/>
          <w:sz w:val="32"/>
          <w:szCs w:val="32"/>
          <w:highlight w:val="none"/>
        </w:rPr>
        <w:sectPr>
          <w:headerReference r:id="rId11" w:type="first"/>
          <w:footerReference r:id="rId13" w:type="first"/>
          <w:headerReference r:id="rId10" w:type="default"/>
          <w:footerReference r:id="rId12" w:type="default"/>
          <w:pgSz w:w="11906" w:h="16838"/>
          <w:pgMar w:top="1276" w:right="1418" w:bottom="1247" w:left="1418" w:header="851" w:footer="992" w:gutter="0"/>
          <w:pgBorders>
            <w:top w:val="none" w:sz="0" w:space="0"/>
            <w:left w:val="none" w:sz="0" w:space="0"/>
            <w:bottom w:val="none" w:sz="0" w:space="0"/>
            <w:right w:val="none" w:sz="0" w:space="0"/>
          </w:pgBorders>
          <w:pgNumType w:fmt="decimal"/>
          <w:cols w:space="720" w:num="1"/>
          <w:titlePg/>
          <w:docGrid w:linePitch="312" w:charSpace="0"/>
        </w:sectPr>
      </w:pPr>
    </w:p>
    <w:p w14:paraId="25E3DFF1">
      <w:pPr>
        <w:snapToGrid w:val="0"/>
        <w:spacing w:line="360" w:lineRule="auto"/>
        <w:jc w:val="center"/>
        <w:outlineLvl w:val="2"/>
        <w:rPr>
          <w:rFonts w:hint="eastAsia" w:ascii="宋体" w:hAnsi="宋体" w:cs="宋体"/>
          <w:b/>
          <w:color w:val="auto"/>
          <w:kern w:val="0"/>
          <w:sz w:val="32"/>
          <w:szCs w:val="32"/>
          <w:highlight w:val="none"/>
        </w:rPr>
      </w:pPr>
      <w:r>
        <w:rPr>
          <w:rFonts w:hint="eastAsia" w:ascii="宋体" w:hAnsi="宋体" w:cs="宋体"/>
          <w:b/>
          <w:color w:val="auto"/>
          <w:kern w:val="0"/>
          <w:sz w:val="32"/>
          <w:szCs w:val="32"/>
          <w:highlight w:val="none"/>
        </w:rPr>
        <w:t>三、分包意向协议（如果有）</w:t>
      </w:r>
    </w:p>
    <w:p w14:paraId="35034682">
      <w:pPr>
        <w:widowControl/>
        <w:spacing w:line="360" w:lineRule="auto"/>
        <w:ind w:firstLine="120" w:firstLineChars="50"/>
        <w:jc w:val="left"/>
        <w:rPr>
          <w:rFonts w:ascii="宋体" w:hAnsi="宋体" w:cs="宋体"/>
          <w:color w:val="auto"/>
          <w:sz w:val="24"/>
          <w:highlight w:val="none"/>
        </w:rPr>
      </w:pPr>
      <w:bookmarkStart w:id="571" w:name="_Hlk101169080"/>
      <w:r>
        <w:rPr>
          <w:rFonts w:hint="eastAsia" w:ascii="宋体" w:hAnsi="宋体" w:cs="宋体"/>
          <w:color w:val="auto"/>
          <w:sz w:val="24"/>
          <w:highlight w:val="none"/>
        </w:rPr>
        <w:t>[</w:t>
      </w:r>
      <w:r>
        <w:rPr>
          <w:rFonts w:hint="eastAsia" w:ascii="宋体" w:hAnsi="宋体" w:cs="宋体"/>
          <w:b/>
          <w:color w:val="auto"/>
          <w:sz w:val="24"/>
          <w:highlight w:val="none"/>
        </w:rPr>
        <w:t>中标后以分包方式履行合同的，提供分包意向协议(附件6</w:t>
      </w:r>
      <w:r>
        <w:rPr>
          <w:rFonts w:ascii="宋体" w:hAnsi="宋体" w:cs="宋体"/>
          <w:b/>
          <w:color w:val="auto"/>
          <w:sz w:val="24"/>
          <w:highlight w:val="none"/>
        </w:rPr>
        <w:t>)</w:t>
      </w:r>
      <w:r>
        <w:rPr>
          <w:rFonts w:hint="eastAsia" w:ascii="宋体" w:hAnsi="宋体" w:cs="宋体"/>
          <w:b/>
          <w:color w:val="auto"/>
          <w:sz w:val="24"/>
          <w:highlight w:val="none"/>
        </w:rPr>
        <w:t>；采购人不同意分包或者投标人中标后不以分包方式履行合同的，则不需要提供。</w:t>
      </w:r>
      <w:r>
        <w:rPr>
          <w:rFonts w:hint="eastAsia" w:ascii="宋体" w:hAnsi="宋体" w:cs="宋体"/>
          <w:color w:val="auto"/>
          <w:sz w:val="24"/>
          <w:highlight w:val="none"/>
        </w:rPr>
        <w:t>]</w:t>
      </w:r>
    </w:p>
    <w:bookmarkEnd w:id="571"/>
    <w:p w14:paraId="4F6CDCD7">
      <w:pPr>
        <w:bidi w:val="0"/>
      </w:pPr>
    </w:p>
    <w:p w14:paraId="169D5138">
      <w:pPr>
        <w:bidi w:val="0"/>
      </w:pPr>
    </w:p>
    <w:p w14:paraId="58E4E8B9">
      <w:pPr>
        <w:bidi w:val="0"/>
        <w:rPr>
          <w:lang w:val="en-US"/>
        </w:rPr>
      </w:pPr>
    </w:p>
    <w:p w14:paraId="6217195C">
      <w:pPr>
        <w:bidi w:val="0"/>
      </w:pPr>
    </w:p>
    <w:p w14:paraId="695816D5">
      <w:pPr>
        <w:bidi w:val="0"/>
        <w:rPr>
          <w:lang w:val="en-US"/>
        </w:rPr>
      </w:pPr>
    </w:p>
    <w:p w14:paraId="61C9986D">
      <w:pPr>
        <w:pStyle w:val="23"/>
        <w:rPr>
          <w:lang w:val="en-US"/>
        </w:rPr>
      </w:pPr>
    </w:p>
    <w:p w14:paraId="6D84C29E">
      <w:pPr>
        <w:jc w:val="both"/>
        <w:rPr>
          <w:rFonts w:ascii="宋体" w:hAnsi="宋体" w:cs="宋体"/>
          <w:b/>
          <w:color w:val="auto"/>
          <w:kern w:val="0"/>
          <w:sz w:val="32"/>
          <w:szCs w:val="32"/>
          <w:highlight w:val="none"/>
        </w:rPr>
      </w:pPr>
    </w:p>
    <w:p w14:paraId="6E7802FB">
      <w:pPr>
        <w:pStyle w:val="23"/>
      </w:pPr>
    </w:p>
    <w:p w14:paraId="5BD44999">
      <w:pPr>
        <w:snapToGrid w:val="0"/>
        <w:spacing w:line="360" w:lineRule="auto"/>
        <w:jc w:val="center"/>
        <w:outlineLvl w:val="2"/>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四、符合性审查资料</w:t>
      </w:r>
    </w:p>
    <w:tbl>
      <w:tblPr>
        <w:tblStyle w:val="63"/>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2551"/>
        <w:gridCol w:w="1418"/>
      </w:tblGrid>
      <w:tr w14:paraId="021AB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28F199CA">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4991" w:type="dxa"/>
            <w:vAlign w:val="center"/>
          </w:tcPr>
          <w:p w14:paraId="147159B1">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实质性要求</w:t>
            </w:r>
          </w:p>
        </w:tc>
        <w:tc>
          <w:tcPr>
            <w:tcW w:w="2551" w:type="dxa"/>
            <w:vAlign w:val="center"/>
          </w:tcPr>
          <w:p w14:paraId="7313E9A8">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需要提供的符合性审查资料</w:t>
            </w:r>
          </w:p>
        </w:tc>
        <w:tc>
          <w:tcPr>
            <w:tcW w:w="1418" w:type="dxa"/>
            <w:vAlign w:val="center"/>
          </w:tcPr>
          <w:p w14:paraId="04A89ECC">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投标文件中的</w:t>
            </w:r>
          </w:p>
          <w:p w14:paraId="0521F995">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页码位置</w:t>
            </w:r>
          </w:p>
        </w:tc>
      </w:tr>
      <w:tr w14:paraId="1140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2B7CC93C">
            <w:pPr>
              <w:jc w:val="center"/>
              <w:rPr>
                <w:rFonts w:ascii="宋体" w:hAnsi="宋体" w:cs="宋体"/>
                <w:color w:val="auto"/>
                <w:sz w:val="24"/>
                <w:highlight w:val="none"/>
              </w:rPr>
            </w:pPr>
            <w:r>
              <w:rPr>
                <w:rFonts w:hint="eastAsia" w:ascii="宋体" w:hAnsi="宋体" w:cs="宋体"/>
                <w:color w:val="auto"/>
                <w:sz w:val="24"/>
                <w:highlight w:val="none"/>
              </w:rPr>
              <w:t>1</w:t>
            </w:r>
          </w:p>
        </w:tc>
        <w:tc>
          <w:tcPr>
            <w:tcW w:w="4991" w:type="dxa"/>
          </w:tcPr>
          <w:p w14:paraId="55D52712">
            <w:pPr>
              <w:spacing w:line="360" w:lineRule="auto"/>
              <w:rPr>
                <w:rFonts w:ascii="宋体" w:hAnsi="宋体" w:cs="宋体"/>
                <w:color w:val="auto"/>
                <w:sz w:val="24"/>
                <w:highlight w:val="none"/>
              </w:rPr>
            </w:pPr>
            <w:r>
              <w:rPr>
                <w:rFonts w:hint="eastAsia" w:ascii="宋体" w:hAnsi="宋体" w:cs="宋体"/>
                <w:color w:val="auto"/>
                <w:sz w:val="24"/>
                <w:highlight w:val="none"/>
              </w:rPr>
              <w:t>投标文件按照招标文件要求签署、盖章。</w:t>
            </w:r>
          </w:p>
        </w:tc>
        <w:tc>
          <w:tcPr>
            <w:tcW w:w="2551" w:type="dxa"/>
            <w:vAlign w:val="center"/>
          </w:tcPr>
          <w:p w14:paraId="2105DF5C">
            <w:pPr>
              <w:rPr>
                <w:rFonts w:ascii="宋体" w:hAnsi="宋体" w:cs="宋体"/>
                <w:color w:val="auto"/>
                <w:sz w:val="24"/>
                <w:highlight w:val="none"/>
              </w:rPr>
            </w:pPr>
            <w:r>
              <w:rPr>
                <w:rFonts w:hint="eastAsia" w:ascii="宋体" w:hAnsi="宋体" w:cs="宋体"/>
                <w:color w:val="auto"/>
                <w:sz w:val="24"/>
                <w:highlight w:val="none"/>
              </w:rPr>
              <w:t>需要使用电子签名或者签字盖章的投标文件的组成部分</w:t>
            </w:r>
          </w:p>
        </w:tc>
        <w:tc>
          <w:tcPr>
            <w:tcW w:w="1418" w:type="dxa"/>
            <w:vAlign w:val="center"/>
          </w:tcPr>
          <w:p w14:paraId="36F903EE">
            <w:pPr>
              <w:jc w:val="both"/>
              <w:rPr>
                <w:rFonts w:ascii="宋体" w:hAnsi="宋体" w:cs="宋体"/>
                <w:color w:val="auto"/>
                <w:sz w:val="24"/>
                <w:highlight w:val="none"/>
              </w:rPr>
            </w:pPr>
            <w:r>
              <w:rPr>
                <w:rFonts w:hint="eastAsia" w:ascii="宋体" w:hAnsi="宋体" w:cs="宋体"/>
                <w:color w:val="auto"/>
                <w:sz w:val="24"/>
                <w:highlight w:val="none"/>
              </w:rPr>
              <w:t>见投标文件</w:t>
            </w:r>
          </w:p>
          <w:p w14:paraId="31717959">
            <w:pPr>
              <w:jc w:val="both"/>
              <w:rPr>
                <w:rFonts w:ascii="宋体" w:hAnsi="宋体" w:cs="宋体"/>
                <w:color w:val="auto"/>
                <w:highlight w:val="none"/>
              </w:rPr>
            </w:pPr>
            <w:r>
              <w:rPr>
                <w:rFonts w:hint="eastAsia" w:ascii="宋体" w:hAnsi="宋体" w:cs="宋体"/>
                <w:color w:val="auto"/>
                <w:sz w:val="24"/>
                <w:highlight w:val="none"/>
              </w:rPr>
              <w:t>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页</w:t>
            </w:r>
          </w:p>
        </w:tc>
      </w:tr>
      <w:tr w14:paraId="13E25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7016CA66">
            <w:pPr>
              <w:jc w:val="center"/>
              <w:rPr>
                <w:rFonts w:ascii="宋体" w:hAnsi="宋体" w:cs="宋体"/>
                <w:color w:val="auto"/>
                <w:sz w:val="24"/>
                <w:highlight w:val="none"/>
              </w:rPr>
            </w:pPr>
            <w:r>
              <w:rPr>
                <w:rFonts w:hint="eastAsia" w:ascii="宋体" w:hAnsi="宋体" w:cs="宋体"/>
                <w:color w:val="auto"/>
                <w:sz w:val="24"/>
                <w:highlight w:val="none"/>
              </w:rPr>
              <w:t>2</w:t>
            </w:r>
          </w:p>
        </w:tc>
        <w:tc>
          <w:tcPr>
            <w:tcW w:w="4991" w:type="dxa"/>
          </w:tcPr>
          <w:p w14:paraId="784EC1E7">
            <w:pPr>
              <w:spacing w:line="360" w:lineRule="auto"/>
              <w:rPr>
                <w:rFonts w:ascii="宋体" w:hAnsi="宋体" w:cs="宋体"/>
                <w:color w:val="auto"/>
                <w:sz w:val="24"/>
                <w:highlight w:val="none"/>
              </w:rPr>
            </w:pPr>
            <w:r>
              <w:rPr>
                <w:rFonts w:hint="eastAsia" w:ascii="宋体" w:hAnsi="宋体" w:cs="宋体"/>
                <w:color w:val="auto"/>
                <w:sz w:val="24"/>
                <w:highlight w:val="none"/>
              </w:rPr>
              <w:t>投标文件中承诺的投标有效期不少于招标文件中载明的投标有效期。</w:t>
            </w:r>
          </w:p>
        </w:tc>
        <w:tc>
          <w:tcPr>
            <w:tcW w:w="2551" w:type="dxa"/>
            <w:vAlign w:val="center"/>
          </w:tcPr>
          <w:p w14:paraId="6F9C1A10">
            <w:pPr>
              <w:rPr>
                <w:rFonts w:ascii="宋体" w:hAnsi="宋体" w:cs="宋体"/>
                <w:color w:val="auto"/>
                <w:sz w:val="24"/>
                <w:highlight w:val="none"/>
              </w:rPr>
            </w:pPr>
            <w:r>
              <w:rPr>
                <w:rFonts w:hint="eastAsia" w:ascii="宋体" w:hAnsi="宋体" w:cs="宋体"/>
                <w:color w:val="auto"/>
                <w:sz w:val="24"/>
                <w:highlight w:val="none"/>
              </w:rPr>
              <w:t>投标函</w:t>
            </w:r>
          </w:p>
        </w:tc>
        <w:tc>
          <w:tcPr>
            <w:tcW w:w="1418" w:type="dxa"/>
            <w:vAlign w:val="center"/>
          </w:tcPr>
          <w:p w14:paraId="24E74495">
            <w:pPr>
              <w:jc w:val="both"/>
              <w:rPr>
                <w:rFonts w:ascii="宋体" w:hAnsi="宋体" w:cs="宋体"/>
                <w:color w:val="auto"/>
                <w:highlight w:val="none"/>
              </w:rPr>
            </w:pPr>
            <w:r>
              <w:rPr>
                <w:rFonts w:hint="eastAsia" w:ascii="宋体" w:hAnsi="宋体" w:cs="宋体"/>
                <w:color w:val="auto"/>
                <w:sz w:val="24"/>
                <w:highlight w:val="none"/>
              </w:rPr>
              <w:t>见投标文件第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页</w:t>
            </w:r>
          </w:p>
        </w:tc>
      </w:tr>
      <w:tr w14:paraId="37E1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6D4E119F">
            <w:pPr>
              <w:jc w:val="center"/>
              <w:rPr>
                <w:rFonts w:ascii="宋体" w:hAnsi="宋体" w:cs="宋体"/>
                <w:color w:val="auto"/>
                <w:sz w:val="24"/>
                <w:highlight w:val="none"/>
              </w:rPr>
            </w:pPr>
            <w:r>
              <w:rPr>
                <w:rFonts w:hint="eastAsia" w:ascii="宋体" w:hAnsi="宋体" w:cs="宋体"/>
                <w:b w:val="0"/>
                <w:bCs w:val="0"/>
                <w:color w:val="auto"/>
                <w:sz w:val="24"/>
                <w:highlight w:val="none"/>
                <w:lang w:val="en-US" w:eastAsia="zh-CN"/>
              </w:rPr>
              <w:t>3</w:t>
            </w:r>
          </w:p>
        </w:tc>
        <w:tc>
          <w:tcPr>
            <w:tcW w:w="4991" w:type="dxa"/>
            <w:vAlign w:val="top"/>
          </w:tcPr>
          <w:p w14:paraId="00D94965">
            <w:pPr>
              <w:spacing w:line="360" w:lineRule="auto"/>
              <w:rPr>
                <w:rFonts w:ascii="宋体" w:hAnsi="宋体" w:cs="宋体"/>
                <w:color w:val="auto"/>
                <w:sz w:val="24"/>
                <w:highlight w:val="none"/>
              </w:rPr>
            </w:pPr>
            <w:r>
              <w:rPr>
                <w:rFonts w:hint="eastAsia" w:ascii="宋体" w:hAnsi="宋体" w:cs="宋体"/>
                <w:b w:val="0"/>
                <w:bCs w:val="0"/>
                <w:snapToGrid w:val="0"/>
                <w:color w:val="auto"/>
                <w:sz w:val="24"/>
                <w:highlight w:val="none"/>
                <w:lang w:val="en-US" w:eastAsia="zh-CN"/>
              </w:rPr>
              <w:t>其他实质性要求1：</w:t>
            </w:r>
          </w:p>
        </w:tc>
        <w:tc>
          <w:tcPr>
            <w:tcW w:w="2551" w:type="dxa"/>
            <w:vMerge w:val="restart"/>
            <w:vAlign w:val="center"/>
          </w:tcPr>
          <w:p w14:paraId="33C7C947">
            <w:pPr>
              <w:rPr>
                <w:rFonts w:ascii="宋体" w:hAnsi="宋体" w:cs="宋体"/>
                <w:color w:val="auto"/>
                <w:sz w:val="24"/>
                <w:highlight w:val="none"/>
              </w:rPr>
            </w:pPr>
            <w:r>
              <w:rPr>
                <w:rFonts w:hint="eastAsia" w:ascii="宋体" w:hAnsi="宋体" w:cs="宋体"/>
                <w:b w:val="0"/>
                <w:bCs w:val="0"/>
                <w:color w:val="auto"/>
                <w:kern w:val="0"/>
                <w:sz w:val="24"/>
                <w:highlight w:val="none"/>
              </w:rPr>
              <w:t>招标文件其它实质性要求相应的材料（“▲” 系指实质性要求条款，招标文件无其它实质性要求的，无需提供）</w:t>
            </w:r>
          </w:p>
        </w:tc>
        <w:tc>
          <w:tcPr>
            <w:tcW w:w="1418" w:type="dxa"/>
            <w:vAlign w:val="center"/>
          </w:tcPr>
          <w:p w14:paraId="37928865">
            <w:pPr>
              <w:jc w:val="both"/>
              <w:rPr>
                <w:rFonts w:ascii="宋体" w:hAnsi="宋体" w:cs="宋体"/>
                <w:color w:val="auto"/>
                <w:highlight w:val="none"/>
              </w:rPr>
            </w:pPr>
            <w:r>
              <w:rPr>
                <w:rFonts w:hint="eastAsia" w:ascii="宋体" w:hAnsi="宋体" w:cs="宋体"/>
                <w:b w:val="0"/>
                <w:bCs w:val="0"/>
                <w:color w:val="auto"/>
                <w:sz w:val="24"/>
                <w:highlight w:val="none"/>
              </w:rPr>
              <w:t>见投标文件第</w:t>
            </w:r>
            <w:r>
              <w:rPr>
                <w:rFonts w:hint="eastAsia" w:ascii="宋体" w:hAnsi="宋体" w:cs="宋体"/>
                <w:b w:val="0"/>
                <w:bCs w:val="0"/>
                <w:color w:val="auto"/>
                <w:sz w:val="24"/>
                <w:highlight w:val="none"/>
                <w:u w:val="single"/>
              </w:rPr>
              <w:t xml:space="preserve">  </w:t>
            </w:r>
            <w:r>
              <w:rPr>
                <w:rFonts w:hint="eastAsia" w:ascii="宋体" w:hAnsi="宋体" w:cs="宋体"/>
                <w:b w:val="0"/>
                <w:bCs w:val="0"/>
                <w:color w:val="auto"/>
                <w:sz w:val="24"/>
                <w:highlight w:val="none"/>
              </w:rPr>
              <w:t>页</w:t>
            </w:r>
          </w:p>
        </w:tc>
      </w:tr>
      <w:tr w14:paraId="3B4E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4B7416CC">
            <w:pPr>
              <w:jc w:val="center"/>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4</w:t>
            </w:r>
          </w:p>
        </w:tc>
        <w:tc>
          <w:tcPr>
            <w:tcW w:w="4991" w:type="dxa"/>
            <w:vAlign w:val="top"/>
          </w:tcPr>
          <w:p w14:paraId="56F2FA68">
            <w:pPr>
              <w:spacing w:line="360" w:lineRule="auto"/>
              <w:rPr>
                <w:rFonts w:ascii="宋体" w:hAnsi="宋体" w:cs="宋体"/>
                <w:color w:val="auto"/>
                <w:sz w:val="24"/>
                <w:highlight w:val="none"/>
              </w:rPr>
            </w:pPr>
            <w:r>
              <w:rPr>
                <w:rFonts w:hint="eastAsia" w:ascii="宋体" w:hAnsi="宋体" w:cs="宋体"/>
                <w:b w:val="0"/>
                <w:bCs w:val="0"/>
                <w:snapToGrid w:val="0"/>
                <w:color w:val="auto"/>
                <w:sz w:val="24"/>
                <w:highlight w:val="none"/>
                <w:lang w:val="en-US" w:eastAsia="zh-CN"/>
              </w:rPr>
              <w:t>其他实质性要求2：</w:t>
            </w:r>
          </w:p>
        </w:tc>
        <w:tc>
          <w:tcPr>
            <w:tcW w:w="2551" w:type="dxa"/>
            <w:vMerge w:val="continue"/>
            <w:vAlign w:val="center"/>
          </w:tcPr>
          <w:p w14:paraId="5556F124">
            <w:pPr>
              <w:rPr>
                <w:rFonts w:hint="eastAsia" w:ascii="宋体" w:hAnsi="宋体" w:cs="宋体"/>
                <w:b w:val="0"/>
                <w:bCs w:val="0"/>
                <w:color w:val="auto"/>
                <w:sz w:val="24"/>
                <w:highlight w:val="none"/>
                <w:lang w:val="en-US" w:eastAsia="zh-CN"/>
              </w:rPr>
            </w:pPr>
          </w:p>
        </w:tc>
        <w:tc>
          <w:tcPr>
            <w:tcW w:w="1418" w:type="dxa"/>
            <w:vAlign w:val="center"/>
          </w:tcPr>
          <w:p w14:paraId="40F72901">
            <w:pPr>
              <w:jc w:val="both"/>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rPr>
              <w:t>见投标文件第</w:t>
            </w:r>
            <w:r>
              <w:rPr>
                <w:rFonts w:hint="eastAsia" w:ascii="宋体" w:hAnsi="宋体" w:cs="宋体"/>
                <w:b w:val="0"/>
                <w:bCs w:val="0"/>
                <w:color w:val="auto"/>
                <w:sz w:val="24"/>
                <w:highlight w:val="none"/>
                <w:u w:val="single"/>
              </w:rPr>
              <w:t xml:space="preserve">  </w:t>
            </w:r>
            <w:r>
              <w:rPr>
                <w:rFonts w:hint="eastAsia" w:ascii="宋体" w:hAnsi="宋体" w:cs="宋体"/>
                <w:b w:val="0"/>
                <w:bCs w:val="0"/>
                <w:color w:val="auto"/>
                <w:sz w:val="24"/>
                <w:highlight w:val="none"/>
              </w:rPr>
              <w:t>页</w:t>
            </w:r>
          </w:p>
        </w:tc>
      </w:tr>
      <w:tr w14:paraId="71F35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5BE685B3">
            <w:pPr>
              <w:jc w:val="center"/>
              <w:rPr>
                <w:rFonts w:hint="eastAsia" w:ascii="宋体" w:hAnsi="宋体" w:cs="宋体"/>
                <w:b w:val="0"/>
                <w:bCs w:val="0"/>
                <w:color w:val="auto"/>
                <w:sz w:val="24"/>
                <w:highlight w:val="none"/>
                <w:lang w:val="en-US" w:eastAsia="zh-CN"/>
              </w:rPr>
            </w:pPr>
            <w:r>
              <w:rPr>
                <w:rFonts w:hint="eastAsia" w:ascii="宋体" w:hAnsi="宋体" w:cs="宋体"/>
                <w:color w:val="auto"/>
                <w:kern w:val="0"/>
                <w:sz w:val="24"/>
                <w:highlight w:val="none"/>
              </w:rPr>
              <w:t>……</w:t>
            </w:r>
          </w:p>
        </w:tc>
        <w:tc>
          <w:tcPr>
            <w:tcW w:w="4991" w:type="dxa"/>
            <w:vAlign w:val="top"/>
          </w:tcPr>
          <w:p w14:paraId="196BD38A">
            <w:pPr>
              <w:spacing w:line="360" w:lineRule="auto"/>
              <w:rPr>
                <w:rFonts w:ascii="宋体" w:hAnsi="宋体" w:cs="宋体"/>
                <w:color w:val="auto"/>
                <w:sz w:val="24"/>
                <w:highlight w:val="none"/>
              </w:rPr>
            </w:pPr>
            <w:r>
              <w:rPr>
                <w:rFonts w:hint="eastAsia" w:ascii="宋体" w:hAnsi="宋体" w:cs="宋体"/>
                <w:b w:val="0"/>
                <w:bCs w:val="0"/>
                <w:snapToGrid w:val="0"/>
                <w:color w:val="auto"/>
                <w:sz w:val="24"/>
                <w:highlight w:val="none"/>
                <w:lang w:val="en-US" w:eastAsia="zh-CN"/>
              </w:rPr>
              <w:t>其他实质性要求</w:t>
            </w:r>
            <w:r>
              <w:rPr>
                <w:rFonts w:hint="eastAsia" w:ascii="宋体" w:hAnsi="宋体" w:cs="宋体"/>
                <w:color w:val="auto"/>
                <w:kern w:val="0"/>
                <w:sz w:val="24"/>
                <w:highlight w:val="none"/>
              </w:rPr>
              <w:t>……</w:t>
            </w:r>
            <w:r>
              <w:rPr>
                <w:rFonts w:hint="eastAsia" w:ascii="宋体" w:hAnsi="宋体" w:cs="宋体"/>
                <w:b w:val="0"/>
                <w:bCs w:val="0"/>
                <w:snapToGrid w:val="0"/>
                <w:color w:val="auto"/>
                <w:sz w:val="24"/>
                <w:highlight w:val="none"/>
                <w:lang w:val="en-US" w:eastAsia="zh-CN"/>
              </w:rPr>
              <w:t>：</w:t>
            </w:r>
          </w:p>
        </w:tc>
        <w:tc>
          <w:tcPr>
            <w:tcW w:w="2551" w:type="dxa"/>
            <w:vMerge w:val="continue"/>
            <w:vAlign w:val="center"/>
          </w:tcPr>
          <w:p w14:paraId="1329BBD6">
            <w:pPr>
              <w:rPr>
                <w:rFonts w:hint="eastAsia" w:ascii="宋体" w:hAnsi="宋体" w:cs="宋体"/>
                <w:b w:val="0"/>
                <w:bCs w:val="0"/>
                <w:color w:val="auto"/>
                <w:sz w:val="24"/>
                <w:highlight w:val="none"/>
                <w:lang w:val="en-US" w:eastAsia="zh-CN"/>
              </w:rPr>
            </w:pPr>
          </w:p>
        </w:tc>
        <w:tc>
          <w:tcPr>
            <w:tcW w:w="1418" w:type="dxa"/>
            <w:vAlign w:val="center"/>
          </w:tcPr>
          <w:p w14:paraId="406D4279">
            <w:pPr>
              <w:jc w:val="both"/>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rPr>
              <w:t>见投标文件第</w:t>
            </w:r>
            <w:r>
              <w:rPr>
                <w:rFonts w:hint="eastAsia" w:ascii="宋体" w:hAnsi="宋体" w:cs="宋体"/>
                <w:b w:val="0"/>
                <w:bCs w:val="0"/>
                <w:color w:val="auto"/>
                <w:sz w:val="24"/>
                <w:highlight w:val="none"/>
                <w:u w:val="single"/>
              </w:rPr>
              <w:t xml:space="preserve">  </w:t>
            </w:r>
            <w:r>
              <w:rPr>
                <w:rFonts w:hint="eastAsia" w:ascii="宋体" w:hAnsi="宋体" w:cs="宋体"/>
                <w:b w:val="0"/>
                <w:bCs w:val="0"/>
                <w:color w:val="auto"/>
                <w:sz w:val="24"/>
                <w:highlight w:val="none"/>
              </w:rPr>
              <w:t>页</w:t>
            </w:r>
          </w:p>
        </w:tc>
      </w:tr>
    </w:tbl>
    <w:p w14:paraId="1498BC02">
      <w:pPr>
        <w:spacing w:line="360" w:lineRule="auto"/>
        <w:ind w:right="420"/>
        <w:rPr>
          <w:rFonts w:hint="eastAsia" w:ascii="宋体" w:hAnsi="宋体" w:cs="宋体"/>
          <w:color w:val="auto"/>
          <w:sz w:val="24"/>
          <w:highlight w:val="none"/>
        </w:rPr>
      </w:pPr>
      <w:r>
        <w:rPr>
          <w:rFonts w:hint="eastAsia" w:ascii="宋体" w:hAnsi="宋体" w:cs="宋体"/>
          <w:color w:val="auto"/>
          <w:sz w:val="24"/>
          <w:highlight w:val="none"/>
        </w:rPr>
        <w:t>注：</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按本格式和要求提供。</w:t>
      </w:r>
    </w:p>
    <w:p w14:paraId="58ADA9B7">
      <w:pPr>
        <w:spacing w:line="360" w:lineRule="auto"/>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招标文件中实质性要求必须明确响应。</w:t>
      </w:r>
    </w:p>
    <w:p w14:paraId="4A0E0467">
      <w:pPr>
        <w:pStyle w:val="82"/>
        <w:rPr>
          <w:color w:val="auto"/>
          <w:highlight w:val="none"/>
        </w:rPr>
      </w:pPr>
    </w:p>
    <w:p w14:paraId="1FD9656C">
      <w:pPr>
        <w:jc w:val="center"/>
        <w:rPr>
          <w:rFonts w:ascii="宋体" w:hAnsi="宋体" w:cs="宋体"/>
          <w:b/>
          <w:color w:val="auto"/>
          <w:kern w:val="0"/>
          <w:sz w:val="32"/>
          <w:szCs w:val="32"/>
          <w:highlight w:val="none"/>
        </w:rPr>
      </w:pPr>
    </w:p>
    <w:p w14:paraId="7F577296">
      <w:pPr>
        <w:jc w:val="center"/>
        <w:rPr>
          <w:rFonts w:hint="eastAsia" w:ascii="宋体" w:hAnsi="宋体" w:cs="宋体"/>
          <w:b/>
          <w:color w:val="auto"/>
          <w:kern w:val="0"/>
          <w:sz w:val="32"/>
          <w:szCs w:val="32"/>
          <w:highlight w:val="none"/>
        </w:rPr>
      </w:pPr>
    </w:p>
    <w:p w14:paraId="461988A4">
      <w:pPr>
        <w:rPr>
          <w:rFonts w:hint="eastAsia" w:ascii="宋体" w:hAnsi="宋体" w:cs="宋体"/>
          <w:b/>
          <w:color w:val="auto"/>
          <w:kern w:val="0"/>
          <w:sz w:val="32"/>
          <w:szCs w:val="32"/>
          <w:highlight w:val="none"/>
        </w:rPr>
      </w:pPr>
      <w:r>
        <w:rPr>
          <w:rFonts w:hint="eastAsia" w:ascii="宋体" w:hAnsi="宋体" w:cs="宋体"/>
          <w:b/>
          <w:color w:val="auto"/>
          <w:kern w:val="0"/>
          <w:sz w:val="32"/>
          <w:szCs w:val="32"/>
          <w:highlight w:val="none"/>
        </w:rPr>
        <w:br w:type="page"/>
      </w:r>
    </w:p>
    <w:p w14:paraId="284967FA">
      <w:pPr>
        <w:snapToGrid w:val="0"/>
        <w:spacing w:line="360" w:lineRule="auto"/>
        <w:jc w:val="center"/>
        <w:outlineLvl w:val="2"/>
        <w:rPr>
          <w:rFonts w:hint="eastAsia" w:ascii="宋体" w:hAnsi="宋体" w:cs="宋体"/>
          <w:b/>
          <w:color w:val="auto"/>
          <w:kern w:val="0"/>
          <w:sz w:val="32"/>
          <w:szCs w:val="32"/>
          <w:highlight w:val="none"/>
        </w:rPr>
      </w:pPr>
      <w:r>
        <w:rPr>
          <w:rFonts w:hint="eastAsia" w:ascii="宋体" w:hAnsi="宋体" w:cs="宋体"/>
          <w:b/>
          <w:color w:val="auto"/>
          <w:kern w:val="0"/>
          <w:sz w:val="32"/>
          <w:szCs w:val="32"/>
          <w:highlight w:val="none"/>
        </w:rPr>
        <w:t>五、评标标准相应的商务技术资料</w:t>
      </w:r>
    </w:p>
    <w:p w14:paraId="78E370DE">
      <w:pPr>
        <w:snapToGrid w:val="0"/>
        <w:spacing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（按招标文件第四部分评标办法前附表中“投标文件中评标标准相应的商务技术资料目录”提供资料。）</w:t>
      </w:r>
    </w:p>
    <w:tbl>
      <w:tblPr>
        <w:tblStyle w:val="64"/>
        <w:tblW w:w="92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5465"/>
        <w:gridCol w:w="3046"/>
      </w:tblGrid>
      <w:tr w14:paraId="3B68B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Align w:val="center"/>
          </w:tcPr>
          <w:p w14:paraId="614D70BE">
            <w:pPr>
              <w:snapToGrid w:val="0"/>
              <w:spacing w:line="360" w:lineRule="auto"/>
              <w:jc w:val="center"/>
              <w:rPr>
                <w:rFonts w:hint="eastAsia" w:cs="仿宋_GB2312" w:asciiTheme="minorEastAsia" w:hAnsiTheme="minorEastAsia" w:eastAsiaTheme="minorEastAsia"/>
                <w:b w:val="0"/>
                <w:bCs/>
                <w:color w:val="auto"/>
                <w:sz w:val="24"/>
                <w:highlight w:val="none"/>
                <w:lang w:val="en-US" w:eastAsia="zh-CN"/>
              </w:rPr>
            </w:pPr>
            <w:r>
              <w:rPr>
                <w:rFonts w:hint="eastAsia" w:cs="仿宋_GB2312" w:asciiTheme="minorEastAsia" w:hAnsiTheme="minorEastAsia" w:eastAsiaTheme="minorEastAsia"/>
                <w:b w:val="0"/>
                <w:bCs/>
                <w:color w:val="auto"/>
                <w:sz w:val="24"/>
                <w:highlight w:val="none"/>
                <w:lang w:val="en-US" w:eastAsia="zh-CN"/>
              </w:rPr>
              <w:t>序号</w:t>
            </w:r>
          </w:p>
        </w:tc>
        <w:tc>
          <w:tcPr>
            <w:tcW w:w="5465" w:type="dxa"/>
            <w:vAlign w:val="center"/>
          </w:tcPr>
          <w:p w14:paraId="56BCB8E3">
            <w:pPr>
              <w:snapToGrid w:val="0"/>
              <w:spacing w:line="360" w:lineRule="auto"/>
              <w:jc w:val="center"/>
              <w:rPr>
                <w:rFonts w:hint="eastAsia" w:ascii="宋体" w:hAnsi="宋体" w:cs="宋体"/>
                <w:b w:val="0"/>
                <w:bCs/>
                <w:color w:val="auto"/>
                <w:sz w:val="24"/>
                <w:highlight w:val="none"/>
                <w:vertAlign w:val="baseline"/>
              </w:rPr>
            </w:pPr>
            <w:r>
              <w:rPr>
                <w:rFonts w:hint="eastAsia" w:cs="仿宋_GB2312" w:asciiTheme="minorEastAsia" w:hAnsiTheme="minorEastAsia" w:eastAsiaTheme="minorEastAsia"/>
                <w:b w:val="0"/>
                <w:bCs/>
                <w:color w:val="auto"/>
                <w:sz w:val="24"/>
                <w:highlight w:val="none"/>
              </w:rPr>
              <w:t>投标文件中评标标准相应的商务技术资料目录*</w:t>
            </w:r>
          </w:p>
        </w:tc>
        <w:tc>
          <w:tcPr>
            <w:tcW w:w="3046" w:type="dxa"/>
            <w:vAlign w:val="center"/>
          </w:tcPr>
          <w:p w14:paraId="0887A8EA">
            <w:pPr>
              <w:snapToGrid w:val="0"/>
              <w:spacing w:line="240" w:lineRule="atLeast"/>
              <w:jc w:val="center"/>
              <w:rPr>
                <w:rFonts w:hint="default"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rPr>
              <w:t>投标文件中的页码位置</w:t>
            </w:r>
          </w:p>
        </w:tc>
      </w:tr>
      <w:tr w14:paraId="368B0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Align w:val="center"/>
          </w:tcPr>
          <w:p w14:paraId="22E3441F">
            <w:pPr>
              <w:snapToGrid w:val="0"/>
              <w:spacing w:line="360" w:lineRule="auto"/>
              <w:jc w:val="center"/>
              <w:rPr>
                <w:rFonts w:hint="eastAsia"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vertAlign w:val="baseline"/>
                <w:lang w:val="en-US" w:eastAsia="zh-CN"/>
              </w:rPr>
              <w:t>1</w:t>
            </w:r>
          </w:p>
        </w:tc>
        <w:tc>
          <w:tcPr>
            <w:tcW w:w="5465" w:type="dxa"/>
            <w:vAlign w:val="center"/>
          </w:tcPr>
          <w:p w14:paraId="7519234F">
            <w:pPr>
              <w:snapToGrid w:val="0"/>
              <w:spacing w:line="360" w:lineRule="auto"/>
              <w:jc w:val="center"/>
              <w:rPr>
                <w:rFonts w:hint="eastAsia"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vertAlign w:val="baseline"/>
                <w:lang w:val="en-US" w:eastAsia="zh-CN"/>
              </w:rPr>
              <w:t>XXX（预先填写）</w:t>
            </w:r>
          </w:p>
        </w:tc>
        <w:tc>
          <w:tcPr>
            <w:tcW w:w="3046" w:type="dxa"/>
            <w:vAlign w:val="center"/>
          </w:tcPr>
          <w:p w14:paraId="3F2DBE0D">
            <w:pPr>
              <w:snapToGrid/>
              <w:spacing w:line="240" w:lineRule="auto"/>
              <w:jc w:val="center"/>
              <w:rPr>
                <w:rFonts w:hint="eastAsia" w:ascii="宋体" w:hAnsi="宋体" w:cs="宋体"/>
                <w:b w:val="0"/>
                <w:bCs/>
                <w:color w:val="auto"/>
                <w:sz w:val="24"/>
                <w:highlight w:val="none"/>
                <w:vertAlign w:val="baseline"/>
              </w:rPr>
            </w:pPr>
            <w:r>
              <w:rPr>
                <w:rFonts w:hint="eastAsia" w:ascii="宋体" w:hAnsi="宋体" w:cs="宋体"/>
                <w:b w:val="0"/>
                <w:bCs/>
                <w:color w:val="auto"/>
                <w:sz w:val="24"/>
                <w:highlight w:val="none"/>
              </w:rPr>
              <w:t>见投标文件第</w:t>
            </w:r>
            <w:r>
              <w:rPr>
                <w:rFonts w:hint="eastAsia" w:ascii="宋体" w:hAnsi="宋体" w:cs="宋体"/>
                <w:b w:val="0"/>
                <w:bCs/>
                <w:color w:val="auto"/>
                <w:sz w:val="24"/>
                <w:highlight w:val="none"/>
                <w:u w:val="single"/>
              </w:rPr>
              <w:t xml:space="preserve">  </w:t>
            </w:r>
            <w:r>
              <w:rPr>
                <w:rFonts w:hint="eastAsia" w:ascii="宋体" w:hAnsi="宋体" w:cs="宋体"/>
                <w:b w:val="0"/>
                <w:bCs/>
                <w:color w:val="auto"/>
                <w:sz w:val="24"/>
                <w:highlight w:val="none"/>
              </w:rPr>
              <w:t>页</w:t>
            </w:r>
          </w:p>
        </w:tc>
      </w:tr>
      <w:tr w14:paraId="09887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Align w:val="center"/>
          </w:tcPr>
          <w:p w14:paraId="58437244">
            <w:pPr>
              <w:snapToGrid w:val="0"/>
              <w:spacing w:line="360" w:lineRule="auto"/>
              <w:jc w:val="center"/>
              <w:rPr>
                <w:rFonts w:hint="eastAsia"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vertAlign w:val="baseline"/>
                <w:lang w:val="en-US" w:eastAsia="zh-CN"/>
              </w:rPr>
              <w:t>2</w:t>
            </w:r>
          </w:p>
        </w:tc>
        <w:tc>
          <w:tcPr>
            <w:tcW w:w="5465" w:type="dxa"/>
            <w:vAlign w:val="center"/>
          </w:tcPr>
          <w:p w14:paraId="7A33EA6F">
            <w:pPr>
              <w:snapToGrid w:val="0"/>
              <w:spacing w:line="360" w:lineRule="auto"/>
              <w:jc w:val="center"/>
              <w:rPr>
                <w:rFonts w:hint="eastAsia"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vertAlign w:val="baseline"/>
                <w:lang w:val="en-US" w:eastAsia="zh-CN"/>
              </w:rPr>
              <w:t>XXX</w:t>
            </w:r>
          </w:p>
        </w:tc>
        <w:tc>
          <w:tcPr>
            <w:tcW w:w="3046" w:type="dxa"/>
            <w:vAlign w:val="center"/>
          </w:tcPr>
          <w:p w14:paraId="0B543E2D">
            <w:pPr>
              <w:snapToGrid/>
              <w:spacing w:line="240" w:lineRule="auto"/>
              <w:jc w:val="center"/>
              <w:rPr>
                <w:rFonts w:hint="eastAsia" w:ascii="宋体" w:hAnsi="宋体" w:cs="宋体"/>
                <w:b w:val="0"/>
                <w:bCs/>
                <w:color w:val="auto"/>
                <w:sz w:val="24"/>
                <w:highlight w:val="none"/>
                <w:vertAlign w:val="baseline"/>
              </w:rPr>
            </w:pPr>
            <w:r>
              <w:rPr>
                <w:rFonts w:hint="eastAsia" w:ascii="宋体" w:hAnsi="宋体" w:cs="宋体"/>
                <w:b w:val="0"/>
                <w:bCs/>
                <w:color w:val="auto"/>
                <w:sz w:val="24"/>
                <w:highlight w:val="none"/>
              </w:rPr>
              <w:t>见投标文件第</w:t>
            </w:r>
            <w:r>
              <w:rPr>
                <w:rFonts w:hint="eastAsia" w:ascii="宋体" w:hAnsi="宋体" w:cs="宋体"/>
                <w:b w:val="0"/>
                <w:bCs/>
                <w:color w:val="auto"/>
                <w:sz w:val="24"/>
                <w:highlight w:val="none"/>
                <w:u w:val="single"/>
              </w:rPr>
              <w:t xml:space="preserve">  </w:t>
            </w:r>
            <w:r>
              <w:rPr>
                <w:rFonts w:hint="eastAsia" w:ascii="宋体" w:hAnsi="宋体" w:cs="宋体"/>
                <w:b w:val="0"/>
                <w:bCs/>
                <w:color w:val="auto"/>
                <w:sz w:val="24"/>
                <w:highlight w:val="none"/>
              </w:rPr>
              <w:t>页</w:t>
            </w:r>
          </w:p>
        </w:tc>
      </w:tr>
      <w:tr w14:paraId="2F02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Align w:val="center"/>
          </w:tcPr>
          <w:p w14:paraId="41731FD1">
            <w:pPr>
              <w:snapToGrid w:val="0"/>
              <w:spacing w:line="360" w:lineRule="auto"/>
              <w:jc w:val="center"/>
              <w:rPr>
                <w:rFonts w:hint="default" w:ascii="宋体" w:hAnsi="宋体" w:cs="宋体"/>
                <w:b w:val="0"/>
                <w:bCs/>
                <w:color w:val="auto"/>
                <w:sz w:val="24"/>
                <w:highlight w:val="none"/>
                <w:vertAlign w:val="baseline"/>
                <w:lang w:val="en-US" w:eastAsia="zh-CN"/>
              </w:rPr>
            </w:pPr>
            <w:r>
              <w:rPr>
                <w:rFonts w:hint="eastAsia" w:ascii="宋体" w:hAnsi="宋体" w:cs="宋体"/>
                <w:color w:val="auto"/>
                <w:kern w:val="0"/>
                <w:sz w:val="24"/>
                <w:highlight w:val="none"/>
              </w:rPr>
              <w:t>……</w:t>
            </w:r>
          </w:p>
        </w:tc>
        <w:tc>
          <w:tcPr>
            <w:tcW w:w="5465" w:type="dxa"/>
            <w:vAlign w:val="center"/>
          </w:tcPr>
          <w:p w14:paraId="0EA7ADBE">
            <w:pPr>
              <w:snapToGrid w:val="0"/>
              <w:spacing w:line="360" w:lineRule="auto"/>
              <w:jc w:val="center"/>
              <w:rPr>
                <w:rFonts w:hint="eastAsia" w:ascii="宋体" w:hAnsi="宋体" w:cs="宋体"/>
                <w:b w:val="0"/>
                <w:bCs/>
                <w:color w:val="auto"/>
                <w:sz w:val="24"/>
                <w:highlight w:val="none"/>
                <w:vertAlign w:val="baseline"/>
              </w:rPr>
            </w:pPr>
          </w:p>
        </w:tc>
        <w:tc>
          <w:tcPr>
            <w:tcW w:w="3046" w:type="dxa"/>
            <w:vAlign w:val="center"/>
          </w:tcPr>
          <w:p w14:paraId="7CE0BA25">
            <w:pPr>
              <w:snapToGrid/>
              <w:spacing w:line="240" w:lineRule="auto"/>
              <w:jc w:val="center"/>
              <w:rPr>
                <w:rFonts w:hint="eastAsia" w:ascii="宋体" w:hAnsi="宋体" w:cs="宋体"/>
                <w:b w:val="0"/>
                <w:bCs/>
                <w:color w:val="auto"/>
                <w:sz w:val="24"/>
                <w:highlight w:val="none"/>
              </w:rPr>
            </w:pPr>
            <w:r>
              <w:rPr>
                <w:rFonts w:hint="eastAsia" w:ascii="宋体" w:hAnsi="宋体" w:cs="宋体"/>
                <w:b w:val="0"/>
                <w:bCs/>
                <w:color w:val="auto"/>
                <w:sz w:val="24"/>
                <w:highlight w:val="none"/>
              </w:rPr>
              <w:t>见投标文件第</w:t>
            </w:r>
            <w:r>
              <w:rPr>
                <w:rFonts w:hint="eastAsia" w:ascii="宋体" w:hAnsi="宋体" w:cs="宋体"/>
                <w:b w:val="0"/>
                <w:bCs/>
                <w:color w:val="auto"/>
                <w:sz w:val="24"/>
                <w:highlight w:val="none"/>
                <w:u w:val="single"/>
              </w:rPr>
              <w:t xml:space="preserve">  </w:t>
            </w:r>
            <w:r>
              <w:rPr>
                <w:rFonts w:hint="eastAsia" w:ascii="宋体" w:hAnsi="宋体" w:cs="宋体"/>
                <w:b w:val="0"/>
                <w:bCs/>
                <w:color w:val="auto"/>
                <w:sz w:val="24"/>
                <w:highlight w:val="none"/>
              </w:rPr>
              <w:t>页</w:t>
            </w:r>
          </w:p>
        </w:tc>
      </w:tr>
    </w:tbl>
    <w:p w14:paraId="2C8B50EF">
      <w:pPr>
        <w:pStyle w:val="82"/>
        <w:rPr>
          <w:color w:val="auto"/>
          <w:highlight w:val="none"/>
        </w:rPr>
      </w:pPr>
    </w:p>
    <w:p w14:paraId="0908D0A7">
      <w:pPr>
        <w:jc w:val="center"/>
        <w:rPr>
          <w:rFonts w:ascii="宋体" w:hAnsi="宋体" w:cs="宋体"/>
          <w:b/>
          <w:color w:val="auto"/>
          <w:kern w:val="0"/>
          <w:sz w:val="32"/>
          <w:szCs w:val="32"/>
          <w:highlight w:val="none"/>
        </w:rPr>
      </w:pPr>
    </w:p>
    <w:p w14:paraId="2E40DA54">
      <w:pPr>
        <w:jc w:val="center"/>
        <w:rPr>
          <w:rFonts w:ascii="宋体" w:hAnsi="宋体" w:cs="宋体"/>
          <w:b/>
          <w:color w:val="auto"/>
          <w:kern w:val="0"/>
          <w:sz w:val="32"/>
          <w:szCs w:val="32"/>
          <w:highlight w:val="none"/>
        </w:rPr>
      </w:pPr>
    </w:p>
    <w:p w14:paraId="64B76971">
      <w:pPr>
        <w:jc w:val="center"/>
        <w:rPr>
          <w:rFonts w:ascii="宋体" w:hAnsi="宋体" w:cs="宋体"/>
          <w:b/>
          <w:color w:val="auto"/>
          <w:kern w:val="0"/>
          <w:sz w:val="32"/>
          <w:szCs w:val="32"/>
          <w:highlight w:val="none"/>
        </w:rPr>
      </w:pPr>
    </w:p>
    <w:p w14:paraId="448F6BF2">
      <w:pPr>
        <w:snapToGrid w:val="0"/>
        <w:spacing w:line="360" w:lineRule="auto"/>
        <w:jc w:val="center"/>
        <w:outlineLvl w:val="2"/>
        <w:rPr>
          <w:rFonts w:hint="eastAsia" w:ascii="宋体" w:hAnsi="宋体" w:cs="宋体"/>
          <w:b/>
          <w:color w:val="auto"/>
          <w:kern w:val="0"/>
          <w:sz w:val="32"/>
          <w:szCs w:val="32"/>
          <w:highlight w:val="none"/>
        </w:rPr>
      </w:pPr>
      <w:r>
        <w:rPr>
          <w:rFonts w:hint="eastAsia" w:ascii="宋体" w:hAnsi="宋体" w:cs="宋体"/>
          <w:b/>
          <w:color w:val="auto"/>
          <w:kern w:val="0"/>
          <w:sz w:val="32"/>
          <w:szCs w:val="32"/>
          <w:highlight w:val="none"/>
        </w:rPr>
        <w:t>六、投标标的清单</w:t>
      </w:r>
    </w:p>
    <w:tbl>
      <w:tblPr>
        <w:tblStyle w:val="6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914"/>
        <w:gridCol w:w="1972"/>
        <w:gridCol w:w="1569"/>
        <w:gridCol w:w="1324"/>
        <w:gridCol w:w="1740"/>
      </w:tblGrid>
      <w:tr w14:paraId="55B81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410" w:type="pct"/>
            <w:tcBorders>
              <w:top w:val="single" w:color="auto" w:sz="4" w:space="0"/>
              <w:left w:val="single" w:color="auto" w:sz="4" w:space="0"/>
              <w:bottom w:val="single" w:color="auto" w:sz="4" w:space="0"/>
              <w:right w:val="single" w:color="auto" w:sz="4" w:space="0"/>
            </w:tcBorders>
            <w:vAlign w:val="center"/>
          </w:tcPr>
          <w:p w14:paraId="5A9052CE">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031" w:type="pct"/>
            <w:tcBorders>
              <w:top w:val="single" w:color="auto" w:sz="4" w:space="0"/>
              <w:left w:val="single" w:color="auto" w:sz="4" w:space="0"/>
              <w:bottom w:val="single" w:color="auto" w:sz="4" w:space="0"/>
              <w:right w:val="single" w:color="auto" w:sz="4" w:space="0"/>
            </w:tcBorders>
            <w:vAlign w:val="center"/>
          </w:tcPr>
          <w:p w14:paraId="492B0412">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名称</w:t>
            </w:r>
          </w:p>
        </w:tc>
        <w:tc>
          <w:tcPr>
            <w:tcW w:w="1062" w:type="pct"/>
            <w:tcBorders>
              <w:top w:val="single" w:color="auto" w:sz="4" w:space="0"/>
              <w:left w:val="single" w:color="auto" w:sz="4" w:space="0"/>
              <w:bottom w:val="single" w:color="auto" w:sz="4" w:space="0"/>
              <w:right w:val="single" w:color="auto" w:sz="4" w:space="0"/>
            </w:tcBorders>
            <w:vAlign w:val="center"/>
          </w:tcPr>
          <w:p w14:paraId="5F1E4993">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品牌（如果有）</w:t>
            </w:r>
          </w:p>
        </w:tc>
        <w:tc>
          <w:tcPr>
            <w:tcW w:w="845" w:type="pct"/>
            <w:tcBorders>
              <w:top w:val="single" w:color="auto" w:sz="4" w:space="0"/>
              <w:left w:val="single" w:color="auto" w:sz="4" w:space="0"/>
              <w:bottom w:val="single" w:color="auto" w:sz="4" w:space="0"/>
              <w:right w:val="single" w:color="auto" w:sz="4" w:space="0"/>
            </w:tcBorders>
            <w:vAlign w:val="center"/>
          </w:tcPr>
          <w:p w14:paraId="186BE237">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规格型号</w:t>
            </w:r>
          </w:p>
        </w:tc>
        <w:tc>
          <w:tcPr>
            <w:tcW w:w="713" w:type="pct"/>
            <w:tcBorders>
              <w:top w:val="single" w:color="auto" w:sz="4" w:space="0"/>
              <w:left w:val="single" w:color="auto" w:sz="4" w:space="0"/>
              <w:bottom w:val="single" w:color="auto" w:sz="4" w:space="0"/>
              <w:right w:val="single" w:color="auto" w:sz="4" w:space="0"/>
            </w:tcBorders>
            <w:vAlign w:val="center"/>
          </w:tcPr>
          <w:p w14:paraId="439559BD">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数量</w:t>
            </w:r>
          </w:p>
        </w:tc>
        <w:tc>
          <w:tcPr>
            <w:tcW w:w="937" w:type="pct"/>
            <w:tcBorders>
              <w:top w:val="single" w:color="auto" w:sz="4" w:space="0"/>
              <w:left w:val="single" w:color="auto" w:sz="4" w:space="0"/>
              <w:bottom w:val="single" w:color="auto" w:sz="4" w:space="0"/>
              <w:right w:val="single" w:color="auto" w:sz="4" w:space="0"/>
            </w:tcBorders>
            <w:vAlign w:val="center"/>
          </w:tcPr>
          <w:p w14:paraId="7E4FA57B">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备注</w:t>
            </w:r>
          </w:p>
        </w:tc>
      </w:tr>
      <w:tr w14:paraId="541B5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tcBorders>
              <w:top w:val="single" w:color="auto" w:sz="4" w:space="0"/>
              <w:left w:val="single" w:color="auto" w:sz="4" w:space="0"/>
              <w:bottom w:val="single" w:color="auto" w:sz="4" w:space="0"/>
              <w:right w:val="single" w:color="auto" w:sz="4" w:space="0"/>
            </w:tcBorders>
            <w:vAlign w:val="center"/>
          </w:tcPr>
          <w:p w14:paraId="729AFAA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031" w:type="pct"/>
            <w:tcBorders>
              <w:top w:val="single" w:color="auto" w:sz="4" w:space="0"/>
              <w:left w:val="single" w:color="auto" w:sz="4" w:space="0"/>
              <w:bottom w:val="single" w:color="auto" w:sz="4" w:space="0"/>
              <w:right w:val="single" w:color="auto" w:sz="4" w:space="0"/>
            </w:tcBorders>
            <w:vAlign w:val="center"/>
          </w:tcPr>
          <w:p w14:paraId="7D415FC1">
            <w:pPr>
              <w:snapToGrid w:val="0"/>
              <w:spacing w:line="360" w:lineRule="auto"/>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XXX（预先填写）</w:t>
            </w:r>
          </w:p>
        </w:tc>
        <w:tc>
          <w:tcPr>
            <w:tcW w:w="1062" w:type="pct"/>
            <w:tcBorders>
              <w:top w:val="single" w:color="auto" w:sz="4" w:space="0"/>
              <w:left w:val="single" w:color="auto" w:sz="4" w:space="0"/>
              <w:bottom w:val="single" w:color="auto" w:sz="4" w:space="0"/>
              <w:right w:val="single" w:color="auto" w:sz="4" w:space="0"/>
            </w:tcBorders>
            <w:vAlign w:val="center"/>
          </w:tcPr>
          <w:p w14:paraId="27187CC8">
            <w:pPr>
              <w:snapToGrid w:val="0"/>
              <w:spacing w:line="360" w:lineRule="auto"/>
              <w:jc w:val="center"/>
              <w:rPr>
                <w:rFonts w:ascii="宋体" w:hAnsi="宋体" w:cs="宋体"/>
                <w:color w:val="auto"/>
                <w:sz w:val="24"/>
                <w:highlight w:val="none"/>
              </w:rPr>
            </w:pPr>
          </w:p>
        </w:tc>
        <w:tc>
          <w:tcPr>
            <w:tcW w:w="845" w:type="pct"/>
            <w:tcBorders>
              <w:top w:val="single" w:color="auto" w:sz="4" w:space="0"/>
              <w:left w:val="single" w:color="auto" w:sz="4" w:space="0"/>
              <w:bottom w:val="single" w:color="auto" w:sz="4" w:space="0"/>
              <w:right w:val="single" w:color="auto" w:sz="4" w:space="0"/>
            </w:tcBorders>
            <w:vAlign w:val="center"/>
          </w:tcPr>
          <w:p w14:paraId="537A2695">
            <w:pPr>
              <w:snapToGrid w:val="0"/>
              <w:spacing w:line="360" w:lineRule="auto"/>
              <w:jc w:val="center"/>
              <w:rPr>
                <w:rFonts w:ascii="宋体" w:hAnsi="宋体" w:cs="宋体"/>
                <w:color w:val="auto"/>
                <w:sz w:val="24"/>
                <w:highlight w:val="none"/>
              </w:rPr>
            </w:pPr>
          </w:p>
        </w:tc>
        <w:tc>
          <w:tcPr>
            <w:tcW w:w="713" w:type="pct"/>
            <w:tcBorders>
              <w:top w:val="single" w:color="auto" w:sz="4" w:space="0"/>
              <w:left w:val="single" w:color="auto" w:sz="4" w:space="0"/>
              <w:bottom w:val="single" w:color="auto" w:sz="4" w:space="0"/>
              <w:right w:val="single" w:color="auto" w:sz="4" w:space="0"/>
            </w:tcBorders>
            <w:vAlign w:val="center"/>
          </w:tcPr>
          <w:p w14:paraId="01AACF0B">
            <w:pPr>
              <w:spacing w:line="360" w:lineRule="auto"/>
              <w:jc w:val="center"/>
              <w:rPr>
                <w:rFonts w:ascii="宋体" w:hAnsi="宋体" w:cs="宋体"/>
                <w:color w:val="auto"/>
                <w:sz w:val="24"/>
                <w:highlight w:val="none"/>
              </w:rPr>
            </w:pPr>
          </w:p>
        </w:tc>
        <w:tc>
          <w:tcPr>
            <w:tcW w:w="937" w:type="pct"/>
            <w:tcBorders>
              <w:top w:val="single" w:color="auto" w:sz="4" w:space="0"/>
              <w:left w:val="single" w:color="auto" w:sz="4" w:space="0"/>
              <w:bottom w:val="single" w:color="auto" w:sz="4" w:space="0"/>
              <w:right w:val="single" w:color="auto" w:sz="4" w:space="0"/>
            </w:tcBorders>
            <w:vAlign w:val="center"/>
          </w:tcPr>
          <w:p w14:paraId="46812A6E">
            <w:pPr>
              <w:spacing w:line="360" w:lineRule="auto"/>
              <w:jc w:val="center"/>
              <w:rPr>
                <w:rFonts w:ascii="宋体" w:hAnsi="宋体" w:cs="宋体"/>
                <w:color w:val="auto"/>
                <w:sz w:val="24"/>
                <w:highlight w:val="none"/>
              </w:rPr>
            </w:pPr>
          </w:p>
        </w:tc>
      </w:tr>
      <w:tr w14:paraId="2E901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410" w:type="pct"/>
            <w:tcBorders>
              <w:top w:val="single" w:color="auto" w:sz="4" w:space="0"/>
              <w:left w:val="single" w:color="auto" w:sz="4" w:space="0"/>
              <w:bottom w:val="single" w:color="auto" w:sz="4" w:space="0"/>
              <w:right w:val="single" w:color="auto" w:sz="4" w:space="0"/>
            </w:tcBorders>
            <w:vAlign w:val="center"/>
          </w:tcPr>
          <w:p w14:paraId="244C986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031" w:type="pct"/>
            <w:tcBorders>
              <w:top w:val="single" w:color="auto" w:sz="4" w:space="0"/>
              <w:left w:val="single" w:color="auto" w:sz="4" w:space="0"/>
              <w:bottom w:val="single" w:color="auto" w:sz="4" w:space="0"/>
              <w:right w:val="single" w:color="auto" w:sz="4" w:space="0"/>
            </w:tcBorders>
            <w:vAlign w:val="center"/>
          </w:tcPr>
          <w:p w14:paraId="4738FFA4">
            <w:pPr>
              <w:snapToGrid w:val="0"/>
              <w:spacing w:line="360" w:lineRule="auto"/>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XXX</w:t>
            </w:r>
          </w:p>
        </w:tc>
        <w:tc>
          <w:tcPr>
            <w:tcW w:w="1062" w:type="pct"/>
            <w:tcBorders>
              <w:top w:val="single" w:color="auto" w:sz="4" w:space="0"/>
              <w:left w:val="single" w:color="auto" w:sz="4" w:space="0"/>
              <w:bottom w:val="single" w:color="auto" w:sz="4" w:space="0"/>
              <w:right w:val="single" w:color="auto" w:sz="4" w:space="0"/>
            </w:tcBorders>
            <w:vAlign w:val="center"/>
          </w:tcPr>
          <w:p w14:paraId="09843470">
            <w:pPr>
              <w:snapToGrid w:val="0"/>
              <w:spacing w:line="360" w:lineRule="auto"/>
              <w:jc w:val="center"/>
              <w:rPr>
                <w:rFonts w:ascii="宋体" w:hAnsi="宋体" w:cs="宋体"/>
                <w:color w:val="auto"/>
                <w:sz w:val="24"/>
                <w:highlight w:val="none"/>
              </w:rPr>
            </w:pPr>
          </w:p>
        </w:tc>
        <w:tc>
          <w:tcPr>
            <w:tcW w:w="845" w:type="pct"/>
            <w:tcBorders>
              <w:top w:val="single" w:color="auto" w:sz="4" w:space="0"/>
              <w:left w:val="single" w:color="auto" w:sz="4" w:space="0"/>
              <w:bottom w:val="single" w:color="auto" w:sz="4" w:space="0"/>
              <w:right w:val="single" w:color="auto" w:sz="4" w:space="0"/>
            </w:tcBorders>
            <w:vAlign w:val="center"/>
          </w:tcPr>
          <w:p w14:paraId="67E3C612">
            <w:pPr>
              <w:snapToGrid w:val="0"/>
              <w:spacing w:line="360" w:lineRule="auto"/>
              <w:jc w:val="center"/>
              <w:rPr>
                <w:rFonts w:ascii="宋体" w:hAnsi="宋体" w:cs="宋体"/>
                <w:color w:val="auto"/>
                <w:sz w:val="24"/>
                <w:highlight w:val="none"/>
              </w:rPr>
            </w:pPr>
          </w:p>
        </w:tc>
        <w:tc>
          <w:tcPr>
            <w:tcW w:w="713" w:type="pct"/>
            <w:tcBorders>
              <w:top w:val="single" w:color="auto" w:sz="4" w:space="0"/>
              <w:left w:val="single" w:color="auto" w:sz="4" w:space="0"/>
              <w:bottom w:val="single" w:color="auto" w:sz="4" w:space="0"/>
              <w:right w:val="single" w:color="auto" w:sz="4" w:space="0"/>
            </w:tcBorders>
            <w:vAlign w:val="center"/>
          </w:tcPr>
          <w:p w14:paraId="1F2A98B3">
            <w:pPr>
              <w:spacing w:line="360" w:lineRule="auto"/>
              <w:jc w:val="center"/>
              <w:rPr>
                <w:rFonts w:ascii="宋体" w:hAnsi="宋体" w:cs="宋体"/>
                <w:color w:val="auto"/>
                <w:sz w:val="24"/>
                <w:highlight w:val="none"/>
              </w:rPr>
            </w:pPr>
          </w:p>
        </w:tc>
        <w:tc>
          <w:tcPr>
            <w:tcW w:w="937" w:type="pct"/>
            <w:tcBorders>
              <w:top w:val="single" w:color="auto" w:sz="4" w:space="0"/>
              <w:left w:val="single" w:color="auto" w:sz="4" w:space="0"/>
              <w:bottom w:val="single" w:color="auto" w:sz="4" w:space="0"/>
              <w:right w:val="single" w:color="auto" w:sz="4" w:space="0"/>
            </w:tcBorders>
            <w:vAlign w:val="center"/>
          </w:tcPr>
          <w:p w14:paraId="1C9E76A4">
            <w:pPr>
              <w:spacing w:line="360" w:lineRule="auto"/>
              <w:jc w:val="center"/>
              <w:rPr>
                <w:rFonts w:ascii="宋体" w:hAnsi="宋体" w:cs="宋体"/>
                <w:color w:val="auto"/>
                <w:sz w:val="24"/>
                <w:highlight w:val="none"/>
              </w:rPr>
            </w:pPr>
          </w:p>
        </w:tc>
      </w:tr>
      <w:tr w14:paraId="120CC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410" w:type="pct"/>
            <w:tcBorders>
              <w:top w:val="single" w:color="auto" w:sz="4" w:space="0"/>
              <w:left w:val="single" w:color="auto" w:sz="4" w:space="0"/>
              <w:bottom w:val="single" w:color="auto" w:sz="4" w:space="0"/>
              <w:right w:val="single" w:color="auto" w:sz="4" w:space="0"/>
            </w:tcBorders>
            <w:vAlign w:val="center"/>
          </w:tcPr>
          <w:p w14:paraId="5C12DA4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031" w:type="pct"/>
            <w:tcBorders>
              <w:top w:val="single" w:color="auto" w:sz="4" w:space="0"/>
              <w:left w:val="single" w:color="auto" w:sz="4" w:space="0"/>
              <w:bottom w:val="single" w:color="auto" w:sz="4" w:space="0"/>
              <w:right w:val="single" w:color="auto" w:sz="4" w:space="0"/>
            </w:tcBorders>
            <w:vAlign w:val="center"/>
          </w:tcPr>
          <w:p w14:paraId="4774419B">
            <w:pPr>
              <w:snapToGrid w:val="0"/>
              <w:spacing w:line="360" w:lineRule="auto"/>
              <w:jc w:val="center"/>
              <w:rPr>
                <w:rFonts w:ascii="宋体" w:hAnsi="宋体" w:cs="宋体"/>
                <w:color w:val="auto"/>
                <w:sz w:val="24"/>
                <w:highlight w:val="none"/>
              </w:rPr>
            </w:pPr>
          </w:p>
        </w:tc>
        <w:tc>
          <w:tcPr>
            <w:tcW w:w="1062" w:type="pct"/>
            <w:tcBorders>
              <w:top w:val="single" w:color="auto" w:sz="4" w:space="0"/>
              <w:left w:val="single" w:color="auto" w:sz="4" w:space="0"/>
              <w:bottom w:val="single" w:color="auto" w:sz="4" w:space="0"/>
              <w:right w:val="single" w:color="auto" w:sz="4" w:space="0"/>
            </w:tcBorders>
            <w:vAlign w:val="center"/>
          </w:tcPr>
          <w:p w14:paraId="7A479792">
            <w:pPr>
              <w:snapToGrid w:val="0"/>
              <w:spacing w:line="360" w:lineRule="auto"/>
              <w:jc w:val="center"/>
              <w:rPr>
                <w:rFonts w:ascii="宋体" w:hAnsi="宋体" w:cs="宋体"/>
                <w:color w:val="auto"/>
                <w:sz w:val="24"/>
                <w:highlight w:val="none"/>
              </w:rPr>
            </w:pPr>
          </w:p>
        </w:tc>
        <w:tc>
          <w:tcPr>
            <w:tcW w:w="845" w:type="pct"/>
            <w:tcBorders>
              <w:top w:val="single" w:color="auto" w:sz="4" w:space="0"/>
              <w:left w:val="single" w:color="auto" w:sz="4" w:space="0"/>
              <w:bottom w:val="single" w:color="auto" w:sz="4" w:space="0"/>
              <w:right w:val="single" w:color="auto" w:sz="4" w:space="0"/>
            </w:tcBorders>
            <w:vAlign w:val="center"/>
          </w:tcPr>
          <w:p w14:paraId="01BEC399">
            <w:pPr>
              <w:snapToGrid w:val="0"/>
              <w:spacing w:line="360" w:lineRule="auto"/>
              <w:jc w:val="center"/>
              <w:rPr>
                <w:rFonts w:ascii="宋体" w:hAnsi="宋体" w:cs="宋体"/>
                <w:color w:val="auto"/>
                <w:sz w:val="24"/>
                <w:highlight w:val="none"/>
              </w:rPr>
            </w:pPr>
          </w:p>
        </w:tc>
        <w:tc>
          <w:tcPr>
            <w:tcW w:w="713" w:type="pct"/>
            <w:tcBorders>
              <w:top w:val="single" w:color="auto" w:sz="4" w:space="0"/>
              <w:left w:val="single" w:color="auto" w:sz="4" w:space="0"/>
              <w:bottom w:val="single" w:color="auto" w:sz="4" w:space="0"/>
              <w:right w:val="single" w:color="auto" w:sz="4" w:space="0"/>
            </w:tcBorders>
            <w:vAlign w:val="center"/>
          </w:tcPr>
          <w:p w14:paraId="3CBAFD73">
            <w:pPr>
              <w:spacing w:line="360" w:lineRule="auto"/>
              <w:jc w:val="center"/>
              <w:rPr>
                <w:rFonts w:ascii="宋体" w:hAnsi="宋体" w:cs="宋体"/>
                <w:color w:val="auto"/>
                <w:sz w:val="24"/>
                <w:highlight w:val="none"/>
              </w:rPr>
            </w:pPr>
          </w:p>
        </w:tc>
        <w:tc>
          <w:tcPr>
            <w:tcW w:w="937" w:type="pct"/>
            <w:tcBorders>
              <w:top w:val="single" w:color="auto" w:sz="4" w:space="0"/>
              <w:left w:val="single" w:color="auto" w:sz="4" w:space="0"/>
              <w:bottom w:val="single" w:color="auto" w:sz="4" w:space="0"/>
              <w:right w:val="single" w:color="auto" w:sz="4" w:space="0"/>
            </w:tcBorders>
            <w:vAlign w:val="center"/>
          </w:tcPr>
          <w:p w14:paraId="6C05034A">
            <w:pPr>
              <w:spacing w:line="360" w:lineRule="auto"/>
              <w:jc w:val="center"/>
              <w:rPr>
                <w:rFonts w:ascii="宋体" w:hAnsi="宋体" w:cs="宋体"/>
                <w:color w:val="auto"/>
                <w:sz w:val="24"/>
                <w:highlight w:val="none"/>
              </w:rPr>
            </w:pPr>
          </w:p>
        </w:tc>
      </w:tr>
    </w:tbl>
    <w:p w14:paraId="46493360">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65AA66AD">
      <w:pPr>
        <w:jc w:val="center"/>
        <w:rPr>
          <w:rFonts w:ascii="宋体" w:hAnsi="宋体" w:cs="宋体"/>
          <w:b/>
          <w:color w:val="auto"/>
          <w:kern w:val="0"/>
          <w:sz w:val="32"/>
          <w:szCs w:val="32"/>
          <w:highlight w:val="none"/>
        </w:rPr>
      </w:pPr>
    </w:p>
    <w:p w14:paraId="0B400A47">
      <w:pPr>
        <w:jc w:val="center"/>
        <w:rPr>
          <w:rFonts w:ascii="宋体" w:hAnsi="宋体" w:cs="宋体"/>
          <w:b/>
          <w:color w:val="auto"/>
          <w:kern w:val="0"/>
          <w:sz w:val="32"/>
          <w:szCs w:val="32"/>
          <w:highlight w:val="none"/>
        </w:rPr>
      </w:pPr>
    </w:p>
    <w:p w14:paraId="587323D4">
      <w:pPr>
        <w:rPr>
          <w:rFonts w:hint="eastAsia" w:ascii="宋体" w:hAnsi="宋体" w:cs="宋体"/>
          <w:b/>
          <w:color w:val="auto"/>
          <w:kern w:val="0"/>
          <w:sz w:val="32"/>
          <w:szCs w:val="32"/>
          <w:highlight w:val="none"/>
        </w:rPr>
      </w:pPr>
      <w:r>
        <w:rPr>
          <w:rFonts w:hint="eastAsia" w:ascii="宋体" w:hAnsi="宋体" w:cs="宋体"/>
          <w:b/>
          <w:color w:val="auto"/>
          <w:kern w:val="0"/>
          <w:sz w:val="32"/>
          <w:szCs w:val="32"/>
          <w:highlight w:val="none"/>
        </w:rPr>
        <w:br w:type="page"/>
      </w:r>
    </w:p>
    <w:p w14:paraId="4653E607">
      <w:pPr>
        <w:snapToGrid w:val="0"/>
        <w:spacing w:line="360" w:lineRule="auto"/>
        <w:jc w:val="center"/>
        <w:outlineLvl w:val="2"/>
        <w:rPr>
          <w:rFonts w:hint="eastAsia" w:ascii="宋体" w:hAnsi="宋体" w:cs="宋体"/>
          <w:b/>
          <w:color w:val="auto"/>
          <w:kern w:val="0"/>
          <w:sz w:val="32"/>
          <w:szCs w:val="32"/>
          <w:highlight w:val="none"/>
        </w:rPr>
      </w:pPr>
      <w:r>
        <w:rPr>
          <w:rFonts w:hint="eastAsia" w:ascii="宋体" w:hAnsi="宋体" w:cs="宋体"/>
          <w:b/>
          <w:color w:val="auto"/>
          <w:kern w:val="0"/>
          <w:sz w:val="32"/>
          <w:szCs w:val="32"/>
          <w:highlight w:val="none"/>
        </w:rPr>
        <w:t>七、商务技术偏离表</w:t>
      </w:r>
    </w:p>
    <w:tbl>
      <w:tblPr>
        <w:tblStyle w:val="6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3497"/>
        <w:gridCol w:w="3497"/>
        <w:gridCol w:w="1437"/>
      </w:tblGrid>
      <w:tr w14:paraId="6FB3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tcPr>
          <w:p w14:paraId="7DA7EE1B">
            <w:pPr>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1883" w:type="pct"/>
          </w:tcPr>
          <w:p w14:paraId="36BF183A">
            <w:pPr>
              <w:jc w:val="center"/>
              <w:rPr>
                <w:rFonts w:ascii="宋体" w:hAnsi="宋体" w:cs="宋体"/>
                <w:b/>
                <w:bCs/>
                <w:color w:val="auto"/>
                <w:sz w:val="24"/>
                <w:highlight w:val="none"/>
              </w:rPr>
            </w:pPr>
            <w:r>
              <w:rPr>
                <w:rFonts w:hint="eastAsia" w:ascii="宋体" w:hAnsi="宋体" w:cs="宋体"/>
                <w:b/>
                <w:bCs/>
                <w:color w:val="auto"/>
                <w:sz w:val="24"/>
                <w:highlight w:val="none"/>
              </w:rPr>
              <w:t>招标文件章节及具体内容</w:t>
            </w:r>
          </w:p>
        </w:tc>
        <w:tc>
          <w:tcPr>
            <w:tcW w:w="1883" w:type="pct"/>
          </w:tcPr>
          <w:p w14:paraId="6789EC38">
            <w:pPr>
              <w:jc w:val="center"/>
              <w:rPr>
                <w:rFonts w:ascii="宋体" w:hAnsi="宋体" w:cs="宋体"/>
                <w:b/>
                <w:bCs/>
                <w:color w:val="auto"/>
                <w:sz w:val="24"/>
                <w:highlight w:val="none"/>
              </w:rPr>
            </w:pPr>
            <w:r>
              <w:rPr>
                <w:rFonts w:hint="eastAsia" w:ascii="宋体" w:hAnsi="宋体" w:cs="宋体"/>
                <w:b/>
                <w:bCs/>
                <w:color w:val="auto"/>
                <w:sz w:val="24"/>
                <w:highlight w:val="none"/>
              </w:rPr>
              <w:t>投标文件章节及具体内容</w:t>
            </w:r>
          </w:p>
        </w:tc>
        <w:tc>
          <w:tcPr>
            <w:tcW w:w="774" w:type="pct"/>
          </w:tcPr>
          <w:p w14:paraId="05670A20">
            <w:pPr>
              <w:jc w:val="center"/>
              <w:rPr>
                <w:rFonts w:ascii="宋体" w:hAnsi="宋体" w:cs="宋体"/>
                <w:b/>
                <w:bCs/>
                <w:color w:val="auto"/>
                <w:sz w:val="24"/>
                <w:highlight w:val="none"/>
              </w:rPr>
            </w:pPr>
            <w:r>
              <w:rPr>
                <w:rFonts w:hint="eastAsia" w:ascii="宋体" w:hAnsi="宋体" w:cs="宋体"/>
                <w:b/>
                <w:bCs/>
                <w:color w:val="auto"/>
                <w:sz w:val="24"/>
                <w:highlight w:val="none"/>
              </w:rPr>
              <w:t>偏离说明</w:t>
            </w:r>
          </w:p>
        </w:tc>
      </w:tr>
      <w:tr w14:paraId="25B1B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tcPr>
          <w:p w14:paraId="76A9F804">
            <w:pPr>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1883" w:type="pct"/>
          </w:tcPr>
          <w:p w14:paraId="6AC4B4E1">
            <w:pPr>
              <w:jc w:val="center"/>
              <w:rPr>
                <w:rFonts w:ascii="宋体" w:hAnsi="宋体" w:cs="宋体"/>
                <w:b/>
                <w:color w:val="auto"/>
                <w:kern w:val="0"/>
                <w:sz w:val="32"/>
                <w:szCs w:val="32"/>
                <w:highlight w:val="none"/>
              </w:rPr>
            </w:pPr>
          </w:p>
        </w:tc>
        <w:tc>
          <w:tcPr>
            <w:tcW w:w="1883" w:type="pct"/>
          </w:tcPr>
          <w:p w14:paraId="3552CE81">
            <w:pPr>
              <w:jc w:val="center"/>
              <w:rPr>
                <w:rFonts w:ascii="宋体" w:hAnsi="宋体" w:cs="宋体"/>
                <w:b/>
                <w:color w:val="auto"/>
                <w:kern w:val="0"/>
                <w:sz w:val="32"/>
                <w:szCs w:val="32"/>
                <w:highlight w:val="none"/>
              </w:rPr>
            </w:pPr>
          </w:p>
        </w:tc>
        <w:tc>
          <w:tcPr>
            <w:tcW w:w="774" w:type="pct"/>
          </w:tcPr>
          <w:p w14:paraId="5A0CDD8C">
            <w:pPr>
              <w:jc w:val="center"/>
              <w:rPr>
                <w:rFonts w:ascii="宋体" w:hAnsi="宋体" w:cs="宋体"/>
                <w:b/>
                <w:color w:val="auto"/>
                <w:kern w:val="0"/>
                <w:sz w:val="32"/>
                <w:szCs w:val="32"/>
                <w:highlight w:val="none"/>
              </w:rPr>
            </w:pPr>
          </w:p>
        </w:tc>
      </w:tr>
      <w:tr w14:paraId="7CE4B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tcPr>
          <w:p w14:paraId="6D95F820">
            <w:pPr>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1883" w:type="pct"/>
          </w:tcPr>
          <w:p w14:paraId="713A996F">
            <w:pPr>
              <w:jc w:val="center"/>
              <w:rPr>
                <w:rFonts w:ascii="宋体" w:hAnsi="宋体" w:cs="宋体"/>
                <w:b/>
                <w:color w:val="auto"/>
                <w:kern w:val="0"/>
                <w:sz w:val="32"/>
                <w:szCs w:val="32"/>
                <w:highlight w:val="none"/>
              </w:rPr>
            </w:pPr>
          </w:p>
        </w:tc>
        <w:tc>
          <w:tcPr>
            <w:tcW w:w="1883" w:type="pct"/>
          </w:tcPr>
          <w:p w14:paraId="19C75078">
            <w:pPr>
              <w:jc w:val="center"/>
              <w:rPr>
                <w:rFonts w:ascii="宋体" w:hAnsi="宋体" w:cs="宋体"/>
                <w:b/>
                <w:color w:val="auto"/>
                <w:kern w:val="0"/>
                <w:sz w:val="32"/>
                <w:szCs w:val="32"/>
                <w:highlight w:val="none"/>
              </w:rPr>
            </w:pPr>
          </w:p>
        </w:tc>
        <w:tc>
          <w:tcPr>
            <w:tcW w:w="774" w:type="pct"/>
          </w:tcPr>
          <w:p w14:paraId="60164AF2">
            <w:pPr>
              <w:jc w:val="center"/>
              <w:rPr>
                <w:rFonts w:ascii="宋体" w:hAnsi="宋体" w:cs="宋体"/>
                <w:b/>
                <w:color w:val="auto"/>
                <w:kern w:val="0"/>
                <w:sz w:val="32"/>
                <w:szCs w:val="32"/>
                <w:highlight w:val="none"/>
              </w:rPr>
            </w:pPr>
          </w:p>
        </w:tc>
      </w:tr>
      <w:tr w14:paraId="20D3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tcPr>
          <w:p w14:paraId="36AB31EB">
            <w:pPr>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1883" w:type="pct"/>
          </w:tcPr>
          <w:p w14:paraId="7495BCEF">
            <w:pPr>
              <w:jc w:val="center"/>
              <w:rPr>
                <w:rFonts w:ascii="宋体" w:hAnsi="宋体" w:cs="宋体"/>
                <w:b/>
                <w:color w:val="auto"/>
                <w:kern w:val="0"/>
                <w:sz w:val="32"/>
                <w:szCs w:val="32"/>
                <w:highlight w:val="none"/>
              </w:rPr>
            </w:pPr>
          </w:p>
        </w:tc>
        <w:tc>
          <w:tcPr>
            <w:tcW w:w="1883" w:type="pct"/>
          </w:tcPr>
          <w:p w14:paraId="41B7ABA0">
            <w:pPr>
              <w:jc w:val="center"/>
              <w:rPr>
                <w:rFonts w:ascii="宋体" w:hAnsi="宋体" w:cs="宋体"/>
                <w:b/>
                <w:color w:val="auto"/>
                <w:kern w:val="0"/>
                <w:sz w:val="32"/>
                <w:szCs w:val="32"/>
                <w:highlight w:val="none"/>
              </w:rPr>
            </w:pPr>
          </w:p>
        </w:tc>
        <w:tc>
          <w:tcPr>
            <w:tcW w:w="774" w:type="pct"/>
          </w:tcPr>
          <w:p w14:paraId="55891B21">
            <w:pPr>
              <w:jc w:val="center"/>
              <w:rPr>
                <w:rFonts w:ascii="宋体" w:hAnsi="宋体" w:cs="宋体"/>
                <w:b/>
                <w:color w:val="auto"/>
                <w:kern w:val="0"/>
                <w:sz w:val="32"/>
                <w:szCs w:val="32"/>
                <w:highlight w:val="none"/>
              </w:rPr>
            </w:pPr>
          </w:p>
        </w:tc>
      </w:tr>
    </w:tbl>
    <w:p w14:paraId="7929367C">
      <w:pPr>
        <w:jc w:val="left"/>
        <w:rPr>
          <w:rFonts w:ascii="宋体" w:hAnsi="宋体" w:cs="宋体"/>
          <w:color w:val="auto"/>
          <w:kern w:val="0"/>
          <w:sz w:val="24"/>
          <w:highlight w:val="none"/>
        </w:rPr>
      </w:pPr>
      <w:r>
        <w:rPr>
          <w:rFonts w:hint="eastAsia" w:ascii="宋体" w:hAnsi="宋体" w:cs="宋体"/>
          <w:color w:val="auto"/>
          <w:kern w:val="0"/>
          <w:sz w:val="24"/>
          <w:highlight w:val="none"/>
        </w:rPr>
        <w:t>投标人保证：除商务技术偏离表列出的偏离外，投标人响应招标文件的全部要求</w:t>
      </w:r>
    </w:p>
    <w:p w14:paraId="30EB0E9B">
      <w:pPr>
        <w:jc w:val="center"/>
        <w:rPr>
          <w:rFonts w:ascii="宋体" w:hAnsi="宋体" w:cs="宋体"/>
          <w:b/>
          <w:color w:val="auto"/>
          <w:kern w:val="0"/>
          <w:sz w:val="32"/>
          <w:szCs w:val="32"/>
          <w:highlight w:val="none"/>
        </w:rPr>
      </w:pPr>
    </w:p>
    <w:p w14:paraId="78CCAC03">
      <w:pPr>
        <w:spacing w:line="360" w:lineRule="auto"/>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按本格式和要求提供。</w:t>
      </w:r>
    </w:p>
    <w:p w14:paraId="0814746B">
      <w:pPr>
        <w:spacing w:line="360" w:lineRule="auto"/>
        <w:ind w:right="42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2.本表格所反映的偏离情况与“符合性审查资料”、“评标标准相应的商务技术资料”不一致的，以“符合性审查资料”、“评标标准相应的商务技术资料”为准。</w:t>
      </w:r>
    </w:p>
    <w:p w14:paraId="2566F530">
      <w:pPr>
        <w:spacing w:line="360" w:lineRule="auto"/>
        <w:ind w:right="42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3.投标人须保证：除商务技术偏离表列出的偏离外，投标人响应招标文件的全部非实质性要求。</w:t>
      </w:r>
    </w:p>
    <w:p w14:paraId="7E330C5B">
      <w:pPr>
        <w:pStyle w:val="82"/>
        <w:rPr>
          <w:rFonts w:hint="eastAsia" w:eastAsia="华文楷体"/>
          <w:color w:val="auto"/>
          <w:highlight w:val="none"/>
          <w:lang w:val="en-US" w:eastAsia="zh-CN"/>
        </w:rPr>
      </w:pPr>
    </w:p>
    <w:p w14:paraId="4A789C7E">
      <w:pPr>
        <w:ind w:firstLine="1911" w:firstLineChars="595"/>
        <w:rPr>
          <w:rFonts w:ascii="宋体" w:hAnsi="宋体" w:cs="宋体"/>
          <w:b/>
          <w:bCs/>
          <w:color w:val="auto"/>
          <w:sz w:val="32"/>
          <w:szCs w:val="32"/>
          <w:highlight w:val="none"/>
        </w:rPr>
      </w:pPr>
    </w:p>
    <w:p w14:paraId="4773425E">
      <w:pPr>
        <w:ind w:firstLine="1911" w:firstLineChars="595"/>
        <w:rPr>
          <w:rFonts w:ascii="宋体" w:hAnsi="宋体" w:cs="宋体"/>
          <w:b/>
          <w:bCs/>
          <w:color w:val="auto"/>
          <w:sz w:val="32"/>
          <w:szCs w:val="32"/>
          <w:highlight w:val="none"/>
        </w:rPr>
      </w:pPr>
    </w:p>
    <w:p w14:paraId="42BBD74F">
      <w:pPr>
        <w:ind w:firstLine="1911" w:firstLineChars="595"/>
        <w:rPr>
          <w:rFonts w:ascii="宋体" w:hAnsi="宋体" w:cs="宋体"/>
          <w:b/>
          <w:bCs/>
          <w:color w:val="auto"/>
          <w:sz w:val="32"/>
          <w:szCs w:val="32"/>
          <w:highlight w:val="none"/>
        </w:rPr>
      </w:pPr>
    </w:p>
    <w:p w14:paraId="583845C7">
      <w:pPr>
        <w:ind w:firstLine="1911" w:firstLineChars="595"/>
        <w:rPr>
          <w:rFonts w:ascii="宋体" w:hAnsi="宋体" w:cs="宋体"/>
          <w:b/>
          <w:bCs/>
          <w:color w:val="auto"/>
          <w:sz w:val="32"/>
          <w:szCs w:val="32"/>
          <w:highlight w:val="none"/>
        </w:rPr>
      </w:pPr>
    </w:p>
    <w:p w14:paraId="07166D8C">
      <w:pPr>
        <w:ind w:firstLine="1911" w:firstLineChars="595"/>
        <w:rPr>
          <w:rFonts w:ascii="宋体" w:hAnsi="宋体" w:cs="宋体"/>
          <w:b/>
          <w:bCs/>
          <w:color w:val="auto"/>
          <w:sz w:val="32"/>
          <w:szCs w:val="32"/>
          <w:highlight w:val="none"/>
        </w:rPr>
      </w:pPr>
    </w:p>
    <w:p w14:paraId="791D7DFF">
      <w:pPr>
        <w:widowControl/>
        <w:adjustRightInd/>
        <w:jc w:val="left"/>
        <w:rPr>
          <w:rFonts w:ascii="宋体" w:hAnsi="宋体" w:cs="宋体"/>
          <w:b/>
          <w:bCs/>
          <w:color w:val="auto"/>
          <w:sz w:val="32"/>
          <w:szCs w:val="32"/>
          <w:highlight w:val="none"/>
        </w:rPr>
      </w:pPr>
      <w:r>
        <w:rPr>
          <w:rFonts w:ascii="宋体" w:hAnsi="宋体" w:cs="宋体"/>
          <w:b/>
          <w:bCs/>
          <w:color w:val="auto"/>
          <w:sz w:val="32"/>
          <w:szCs w:val="32"/>
          <w:highlight w:val="none"/>
        </w:rPr>
        <w:br w:type="page"/>
      </w:r>
    </w:p>
    <w:p w14:paraId="70AF0FB1">
      <w:pPr>
        <w:snapToGrid w:val="0"/>
        <w:spacing w:line="360" w:lineRule="auto"/>
        <w:jc w:val="center"/>
        <w:outlineLvl w:val="2"/>
        <w:rPr>
          <w:rFonts w:hint="eastAsia" w:ascii="宋体" w:hAnsi="宋体" w:cs="宋体"/>
          <w:b/>
          <w:color w:val="auto"/>
          <w:kern w:val="0"/>
          <w:sz w:val="32"/>
          <w:szCs w:val="32"/>
          <w:highlight w:val="none"/>
        </w:rPr>
      </w:pPr>
      <w:r>
        <w:rPr>
          <w:rFonts w:hint="eastAsia" w:ascii="宋体" w:hAnsi="宋体" w:cs="宋体"/>
          <w:b/>
          <w:color w:val="auto"/>
          <w:kern w:val="0"/>
          <w:sz w:val="32"/>
          <w:szCs w:val="32"/>
          <w:highlight w:val="none"/>
        </w:rPr>
        <w:t>八、</w:t>
      </w:r>
      <w:r>
        <w:rPr>
          <w:rFonts w:hint="eastAsia" w:ascii="宋体" w:hAnsi="宋体" w:cs="宋体"/>
          <w:b/>
          <w:color w:val="auto"/>
          <w:kern w:val="0"/>
          <w:sz w:val="32"/>
          <w:szCs w:val="32"/>
          <w:highlight w:val="none"/>
          <w:lang w:val="zh-CN"/>
        </w:rPr>
        <w:t>政府采购供应商廉洁自律承诺书</w:t>
      </w:r>
    </w:p>
    <w:p w14:paraId="160A07E8">
      <w:pPr>
        <w:snapToGrid w:val="0"/>
        <w:spacing w:line="360" w:lineRule="auto"/>
        <w:rPr>
          <w:rFonts w:ascii="宋体" w:hAnsi="宋体" w:cs="宋体"/>
          <w:color w:val="auto"/>
          <w:sz w:val="24"/>
          <w:highlight w:val="none"/>
        </w:rPr>
      </w:pPr>
    </w:p>
    <w:p w14:paraId="08DB3905">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w:t>
      </w:r>
      <w:r>
        <w:rPr>
          <w:rFonts w:hint="eastAsia" w:ascii="宋体" w:hAnsi="宋体" w:cs="宋体"/>
          <w:color w:val="auto"/>
          <w:sz w:val="24"/>
          <w:lang w:eastAsia="zh-CN"/>
        </w:rPr>
        <w:t>杭州市公共资源交易中心临安分中心</w:t>
      </w:r>
      <w:r>
        <w:rPr>
          <w:rFonts w:hint="eastAsia" w:ascii="宋体" w:hAnsi="宋体" w:cs="宋体"/>
          <w:color w:val="auto"/>
          <w:kern w:val="0"/>
          <w:sz w:val="24"/>
          <w:highlight w:val="none"/>
          <w:lang w:val="zh-CN"/>
        </w:rPr>
        <w:t>：</w:t>
      </w:r>
    </w:p>
    <w:p w14:paraId="1FCA10D0">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我单位响应你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项目招标要求参加投标。在这次投标过程中和中标后，我们将严格遵守国家法律法规要求，并郑重承诺：</w:t>
      </w:r>
    </w:p>
    <w:p w14:paraId="7D79DD05">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一、不向项目有关人员及部门赠送礼金礼物、有价证券、回扣以及中介费、介绍费、咨询费等好处费； </w:t>
      </w:r>
    </w:p>
    <w:p w14:paraId="0D1AB8DB">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二、不为项目有关人员及部门报销应由你方单位或个人支付的费用； </w:t>
      </w:r>
    </w:p>
    <w:p w14:paraId="6CF9C943">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三、不向项目有关人员及部门提供有可能影响公正的宴请和健身娱乐等活动； </w:t>
      </w:r>
    </w:p>
    <w:p w14:paraId="48F855D6">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四、不为项目有关人员及部门出国（境）、旅游等提供方便；</w:t>
      </w:r>
    </w:p>
    <w:p w14:paraId="7C3A387A">
      <w:pPr>
        <w:autoSpaceDE w:val="0"/>
        <w:autoSpaceDN w:val="0"/>
        <w:spacing w:line="360" w:lineRule="auto"/>
        <w:ind w:left="481" w:leftChars="229"/>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五、不为项目有关人员个人装修住房、婚丧嫁娶、配偶子女工作安排等提供</w:t>
      </w:r>
    </w:p>
    <w:p w14:paraId="177E3B20">
      <w:pPr>
        <w:autoSpaceDE w:val="0"/>
        <w:autoSpaceDN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好处；</w:t>
      </w:r>
    </w:p>
    <w:p w14:paraId="5E7DC016">
      <w:pPr>
        <w:autoSpaceDE w:val="0"/>
        <w:autoSpaceDN w:val="0"/>
        <w:spacing w:line="360" w:lineRule="auto"/>
        <w:ind w:left="481" w:leftChars="229"/>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六、严格遵守《</w:t>
      </w:r>
      <w:r>
        <w:rPr>
          <w:rFonts w:hint="eastAsia" w:ascii="宋体" w:hAnsi="宋体" w:cs="宋体"/>
          <w:color w:val="auto"/>
          <w:sz w:val="24"/>
          <w:highlight w:val="none"/>
          <w:lang w:val="zh-CN"/>
        </w:rPr>
        <w:t>中华人民共和国</w:t>
      </w:r>
      <w:r>
        <w:rPr>
          <w:rFonts w:hint="eastAsia" w:ascii="宋体" w:hAnsi="宋体" w:cs="宋体"/>
          <w:color w:val="auto"/>
          <w:kern w:val="0"/>
          <w:sz w:val="24"/>
          <w:highlight w:val="none"/>
          <w:lang w:val="zh-CN"/>
        </w:rPr>
        <w:t>政府采购法》《</w:t>
      </w:r>
      <w:r>
        <w:rPr>
          <w:rFonts w:hint="eastAsia" w:ascii="宋体" w:hAnsi="宋体" w:cs="宋体"/>
          <w:color w:val="auto"/>
          <w:sz w:val="24"/>
          <w:highlight w:val="none"/>
          <w:lang w:val="zh-CN"/>
        </w:rPr>
        <w:t>中华人民共和国</w:t>
      </w:r>
      <w:r>
        <w:rPr>
          <w:rFonts w:hint="eastAsia" w:ascii="宋体" w:hAnsi="宋体" w:cs="宋体"/>
          <w:color w:val="auto"/>
          <w:kern w:val="0"/>
          <w:sz w:val="24"/>
          <w:highlight w:val="none"/>
          <w:lang w:val="zh-CN"/>
        </w:rPr>
        <w:t>招标投标</w:t>
      </w:r>
    </w:p>
    <w:p w14:paraId="102D9B6A">
      <w:pPr>
        <w:autoSpaceDE w:val="0"/>
        <w:autoSpaceDN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法》</w:t>
      </w:r>
      <w:r>
        <w:rPr>
          <w:rFonts w:hint="eastAsia" w:ascii="宋体" w:hAnsi="宋体" w:cs="宋体"/>
          <w:color w:val="auto"/>
          <w:sz w:val="24"/>
          <w:highlight w:val="none"/>
          <w:lang w:val="zh-CN"/>
        </w:rPr>
        <w:t>《中华人民共和国民法典》</w:t>
      </w:r>
      <w:r>
        <w:rPr>
          <w:rFonts w:hint="eastAsia" w:ascii="宋体" w:hAnsi="宋体" w:cs="宋体"/>
          <w:color w:val="auto"/>
          <w:kern w:val="0"/>
          <w:sz w:val="24"/>
          <w:highlight w:val="none"/>
          <w:lang w:val="zh-CN"/>
        </w:rPr>
        <w:t xml:space="preserve">等法律法规，诚实守信，合法经营，坚决抵制各种违法违纪行为。 </w:t>
      </w:r>
    </w:p>
    <w:p w14:paraId="041E20E0">
      <w:pPr>
        <w:autoSpaceDE w:val="0"/>
        <w:autoSpaceDN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如违反上述承诺，你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有权立即取消我单位投标、中标或在建项目的建设资格，有权拒绝我单位在一定时期内进入你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进行项目建设或其他经营活动，并通报市财政局。由此引起的相应损失均由我单位承担。</w:t>
      </w:r>
    </w:p>
    <w:p w14:paraId="61CEFB2C">
      <w:pPr>
        <w:autoSpaceDE w:val="0"/>
        <w:autoSpaceDN w:val="0"/>
        <w:spacing w:line="360" w:lineRule="auto"/>
        <w:ind w:left="2"/>
        <w:jc w:val="left"/>
        <w:rPr>
          <w:rFonts w:ascii="宋体" w:hAnsi="宋体" w:cs="宋体"/>
          <w:color w:val="auto"/>
          <w:kern w:val="0"/>
          <w:sz w:val="24"/>
          <w:highlight w:val="none"/>
          <w:lang w:val="zh-CN"/>
        </w:rPr>
      </w:pPr>
    </w:p>
    <w:p w14:paraId="06CB9E28">
      <w:pPr>
        <w:autoSpaceDE w:val="0"/>
        <w:autoSpaceDN w:val="0"/>
        <w:spacing w:line="360" w:lineRule="auto"/>
        <w:ind w:left="2"/>
        <w:jc w:val="left"/>
        <w:rPr>
          <w:rFonts w:ascii="宋体" w:hAnsi="宋体" w:cs="宋体"/>
          <w:color w:val="auto"/>
          <w:kern w:val="0"/>
          <w:sz w:val="24"/>
          <w:highlight w:val="none"/>
          <w:lang w:val="zh-CN"/>
        </w:rPr>
      </w:pPr>
    </w:p>
    <w:p w14:paraId="59981030">
      <w:pPr>
        <w:autoSpaceDE w:val="0"/>
        <w:autoSpaceDN w:val="0"/>
        <w:spacing w:line="360" w:lineRule="auto"/>
        <w:ind w:left="2"/>
        <w:jc w:val="left"/>
        <w:rPr>
          <w:rFonts w:ascii="宋体" w:hAnsi="宋体" w:cs="宋体"/>
          <w:color w:val="auto"/>
          <w:kern w:val="0"/>
          <w:sz w:val="24"/>
          <w:highlight w:val="none"/>
          <w:lang w:val="zh-CN"/>
        </w:rPr>
      </w:pPr>
    </w:p>
    <w:p w14:paraId="124124E9">
      <w:pPr>
        <w:autoSpaceDE w:val="0"/>
        <w:autoSpaceDN w:val="0"/>
        <w:spacing w:line="360" w:lineRule="auto"/>
        <w:ind w:left="2" w:leftChars="1" w:right="1120" w:firstLine="4560" w:firstLineChars="19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投标人名称（</w:t>
      </w:r>
      <w:r>
        <w:rPr>
          <w:rFonts w:hint="eastAsia" w:ascii="宋体" w:hAnsi="宋体" w:cs="宋体"/>
          <w:color w:val="auto"/>
          <w:sz w:val="24"/>
          <w:highlight w:val="none"/>
        </w:rPr>
        <w:t>电子签名</w:t>
      </w:r>
      <w:r>
        <w:rPr>
          <w:rFonts w:hint="eastAsia" w:ascii="宋体" w:hAnsi="宋体" w:cs="宋体"/>
          <w:color w:val="auto"/>
          <w:kern w:val="0"/>
          <w:sz w:val="24"/>
          <w:highlight w:val="none"/>
          <w:lang w:val="zh-CN"/>
        </w:rPr>
        <w:t xml:space="preserve">）：                                                                                                                                                                                                               </w:t>
      </w:r>
    </w:p>
    <w:p w14:paraId="33DD385A">
      <w:pPr>
        <w:spacing w:line="360" w:lineRule="auto"/>
        <w:ind w:left="4620" w:leftChars="2200"/>
        <w:rPr>
          <w:rFonts w:ascii="宋体" w:hAnsi="宋体" w:cs="宋体"/>
          <w:color w:val="auto"/>
          <w:sz w:val="24"/>
          <w:highlight w:val="none"/>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 xml:space="preserve">   年   月   日</w:t>
      </w:r>
    </w:p>
    <w:p w14:paraId="221B6934">
      <w:pPr>
        <w:spacing w:line="360" w:lineRule="auto"/>
        <w:jc w:val="center"/>
        <w:rPr>
          <w:rFonts w:ascii="宋体" w:hAnsi="宋体" w:cs="宋体"/>
          <w:b/>
          <w:bCs/>
          <w:color w:val="auto"/>
          <w:sz w:val="24"/>
          <w:highlight w:val="none"/>
        </w:rPr>
      </w:pPr>
    </w:p>
    <w:p w14:paraId="4DAF7FD3">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1C5F0FB3">
      <w:pPr>
        <w:spacing w:line="360" w:lineRule="auto"/>
        <w:jc w:val="center"/>
        <w:rPr>
          <w:rFonts w:ascii="宋体" w:hAnsi="宋体" w:cs="宋体"/>
          <w:b/>
          <w:bCs/>
          <w:color w:val="auto"/>
          <w:sz w:val="24"/>
          <w:highlight w:val="none"/>
        </w:rPr>
        <w:sectPr>
          <w:headerReference r:id="rId15" w:type="first"/>
          <w:footerReference r:id="rId17" w:type="first"/>
          <w:headerReference r:id="rId14" w:type="defaul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pgNumType w:fmt="decimal"/>
          <w:cols w:space="720" w:num="1"/>
          <w:titlePg/>
          <w:docGrid w:linePitch="312" w:charSpace="0"/>
        </w:sectPr>
      </w:pPr>
    </w:p>
    <w:p w14:paraId="340E2136">
      <w:pPr>
        <w:bidi w:val="0"/>
        <w:rPr>
          <w:rFonts w:hint="eastAsia"/>
        </w:rPr>
      </w:pPr>
    </w:p>
    <w:p w14:paraId="7188FA7E">
      <w:pPr>
        <w:spacing w:line="360" w:lineRule="auto"/>
        <w:jc w:val="center"/>
        <w:outlineLvl w:val="1"/>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报价文件部分</w:t>
      </w:r>
    </w:p>
    <w:p w14:paraId="290E917C">
      <w:pPr>
        <w:spacing w:line="360" w:lineRule="auto"/>
        <w:jc w:val="center"/>
        <w:outlineLvl w:val="9"/>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目录</w:t>
      </w:r>
    </w:p>
    <w:p w14:paraId="19DA1F43">
      <w:pPr>
        <w:bidi w:val="0"/>
      </w:pPr>
    </w:p>
    <w:p w14:paraId="70A019C2">
      <w:pPr>
        <w:pStyle w:val="23"/>
      </w:pPr>
    </w:p>
    <w:p w14:paraId="4F6A21D9">
      <w:pPr>
        <w:numPr>
          <w:ilvl w:val="0"/>
          <w:numId w:val="1"/>
        </w:num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开标一览表（报价表）………………………………………………………（页码）</w:t>
      </w:r>
    </w:p>
    <w:p w14:paraId="49295980">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（2）关于符合本国产品标准的声明函或财政部会同有关部门规定的有关证明文件………………………………………………………………………………………（页码）</w:t>
      </w:r>
    </w:p>
    <w:p w14:paraId="3FBD8020">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szCs w:val="24"/>
          <w:highlight w:val="none"/>
          <w:lang w:val="en-US" w:eastAsia="zh-CN"/>
        </w:rPr>
        <w:t>3</w:t>
      </w:r>
      <w:r>
        <w:rPr>
          <w:rFonts w:hint="eastAsia" w:ascii="宋体" w:hAnsi="宋体" w:cs="宋体"/>
          <w:color w:val="auto"/>
          <w:sz w:val="24"/>
          <w:highlight w:val="none"/>
        </w:rPr>
        <w:t>）中小企业声明函………………………………………………………………（页码）</w:t>
      </w:r>
    </w:p>
    <w:p w14:paraId="2F9567F0">
      <w:pPr>
        <w:pStyle w:val="693"/>
        <w:keepNext w:val="0"/>
        <w:pageBreakBefore w:val="0"/>
        <w:tabs>
          <w:tab w:val="clear" w:pos="720"/>
        </w:tabs>
        <w:snapToGrid w:val="0"/>
        <w:spacing w:before="120" w:after="120"/>
        <w:jc w:val="both"/>
        <w:outlineLvl w:val="9"/>
        <w:rPr>
          <w:rFonts w:hint="eastAsia" w:ascii="宋体" w:hAnsi="宋体" w:eastAsia="宋体" w:cs="宋体"/>
          <w:color w:val="auto"/>
          <w:kern w:val="2"/>
          <w:sz w:val="32"/>
          <w:szCs w:val="32"/>
          <w:highlight w:val="none"/>
        </w:rPr>
        <w:sectPr>
          <w:headerReference r:id="rId19" w:type="first"/>
          <w:footerReference r:id="rId21" w:type="first"/>
          <w:headerReference r:id="rId18" w:type="default"/>
          <w:footerReference r:id="rId20" w:type="default"/>
          <w:pgSz w:w="11906" w:h="16838"/>
          <w:pgMar w:top="1247" w:right="1418" w:bottom="1276" w:left="1418" w:header="851" w:footer="992" w:gutter="0"/>
          <w:pgBorders>
            <w:top w:val="none" w:sz="0" w:space="0"/>
            <w:left w:val="none" w:sz="0" w:space="0"/>
            <w:bottom w:val="none" w:sz="0" w:space="0"/>
            <w:right w:val="none" w:sz="0" w:space="0"/>
          </w:pgBorders>
          <w:pgNumType w:fmt="decimal"/>
          <w:cols w:space="720" w:num="1"/>
          <w:titlePg/>
          <w:docGrid w:linePitch="312" w:charSpace="0"/>
        </w:sectPr>
      </w:pPr>
    </w:p>
    <w:p w14:paraId="015FD5F9">
      <w:pPr>
        <w:pStyle w:val="693"/>
        <w:keepNext w:val="0"/>
        <w:pageBreakBefore w:val="0"/>
        <w:tabs>
          <w:tab w:val="clear" w:pos="720"/>
        </w:tabs>
        <w:snapToGrid w:val="0"/>
        <w:spacing w:before="120" w:after="120"/>
        <w:jc w:val="center"/>
        <w:outlineLvl w:val="2"/>
        <w:rPr>
          <w:rFonts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eastAsia="zh-CN"/>
        </w:rPr>
        <w:t>一</w:t>
      </w:r>
      <w:r>
        <w:rPr>
          <w:rFonts w:hint="eastAsia" w:ascii="宋体" w:hAnsi="宋体" w:eastAsia="宋体" w:cs="宋体"/>
          <w:color w:val="auto"/>
          <w:kern w:val="2"/>
          <w:sz w:val="32"/>
          <w:szCs w:val="32"/>
          <w:highlight w:val="none"/>
        </w:rPr>
        <w:t>、开标一览表（报价表）</w:t>
      </w:r>
    </w:p>
    <w:p w14:paraId="20D8F6FC">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w:t>
      </w:r>
      <w:r>
        <w:rPr>
          <w:rFonts w:hint="eastAsia" w:ascii="宋体" w:hAnsi="宋体" w:cs="宋体"/>
          <w:color w:val="auto"/>
          <w:sz w:val="24"/>
          <w:lang w:val="en-US" w:eastAsia="zh-CN"/>
        </w:rPr>
        <w:t>杭州市公共资源交易中心临安分中心</w:t>
      </w:r>
      <w:r>
        <w:rPr>
          <w:rFonts w:hint="eastAsia" w:ascii="宋体" w:hAnsi="宋体" w:cs="宋体"/>
          <w:color w:val="auto"/>
          <w:kern w:val="0"/>
          <w:sz w:val="24"/>
          <w:highlight w:val="none"/>
          <w:lang w:val="zh-CN"/>
        </w:rPr>
        <w:t>：</w:t>
      </w:r>
    </w:p>
    <w:p w14:paraId="35FCD8AC">
      <w:pPr>
        <w:snapToGrid w:val="0"/>
        <w:spacing w:line="360" w:lineRule="auto"/>
        <w:ind w:firstLine="482"/>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宋体" w:hAnsi="宋体" w:cs="宋体"/>
          <w:color w:val="auto"/>
          <w:sz w:val="24"/>
          <w:highlight w:val="none"/>
        </w:rPr>
        <w:t>（项目名称）</w:t>
      </w:r>
      <w:r>
        <w:rPr>
          <w:rFonts w:hint="eastAsia" w:ascii="宋体" w:hAnsi="宋体" w:cs="宋体"/>
          <w:color w:val="auto"/>
          <w:kern w:val="0"/>
          <w:sz w:val="24"/>
          <w:highlight w:val="none"/>
          <w:lang w:val="zh-CN"/>
        </w:rPr>
        <w:t>【招标编号：</w:t>
      </w:r>
      <w:r>
        <w:rPr>
          <w:rFonts w:hint="eastAsia" w:ascii="宋体" w:hAnsi="宋体" w:cs="宋体"/>
          <w:color w:val="auto"/>
          <w:sz w:val="24"/>
          <w:highlight w:val="none"/>
        </w:rPr>
        <w:t>（采购编号）】的实施</w:t>
      </w:r>
      <w:r>
        <w:rPr>
          <w:rFonts w:hint="eastAsia" w:ascii="宋体" w:hAnsi="宋体" w:cs="宋体"/>
          <w:color w:val="auto"/>
          <w:kern w:val="0"/>
          <w:sz w:val="24"/>
          <w:highlight w:val="none"/>
          <w:lang w:val="zh-CN"/>
        </w:rPr>
        <w:t>。</w:t>
      </w:r>
    </w:p>
    <w:p w14:paraId="753626BB">
      <w:pPr>
        <w:spacing w:line="360" w:lineRule="auto"/>
        <w:jc w:val="center"/>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开标一览表（报价表）(单位均为人民币元)</w:t>
      </w:r>
    </w:p>
    <w:tbl>
      <w:tblPr>
        <w:tblStyle w:val="63"/>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1847"/>
        <w:gridCol w:w="1698"/>
        <w:gridCol w:w="1548"/>
        <w:gridCol w:w="1286"/>
        <w:gridCol w:w="1286"/>
        <w:gridCol w:w="827"/>
        <w:gridCol w:w="1786"/>
        <w:gridCol w:w="3603"/>
      </w:tblGrid>
      <w:tr w14:paraId="180CD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218" w:type="pct"/>
            <w:vAlign w:val="center"/>
          </w:tcPr>
          <w:p w14:paraId="7EA97C39">
            <w:pPr>
              <w:spacing w:line="240" w:lineRule="auto"/>
              <w:jc w:val="center"/>
              <w:rPr>
                <w:rFonts w:ascii="宋体" w:hAnsi="宋体" w:cs="宋体"/>
                <w:b/>
                <w:sz w:val="24"/>
                <w:shd w:val="clear" w:color="auto" w:fill="auto"/>
              </w:rPr>
            </w:pPr>
            <w:r>
              <w:rPr>
                <w:rFonts w:hint="eastAsia" w:ascii="宋体" w:hAnsi="宋体" w:cs="宋体"/>
                <w:b/>
                <w:sz w:val="24"/>
                <w:shd w:val="clear" w:color="auto" w:fill="auto"/>
              </w:rPr>
              <w:t>序号</w:t>
            </w:r>
          </w:p>
        </w:tc>
        <w:tc>
          <w:tcPr>
            <w:tcW w:w="636" w:type="pct"/>
            <w:vAlign w:val="center"/>
          </w:tcPr>
          <w:p w14:paraId="3DA44E50">
            <w:pPr>
              <w:spacing w:line="240" w:lineRule="auto"/>
              <w:jc w:val="center"/>
              <w:rPr>
                <w:rFonts w:ascii="宋体" w:hAnsi="宋体" w:cs="宋体"/>
                <w:b/>
                <w:sz w:val="24"/>
                <w:shd w:val="clear" w:color="auto" w:fill="auto"/>
              </w:rPr>
            </w:pPr>
            <w:r>
              <w:rPr>
                <w:rFonts w:hint="eastAsia" w:ascii="宋体" w:hAnsi="宋体" w:cs="宋体"/>
                <w:b/>
                <w:sz w:val="24"/>
                <w:shd w:val="clear" w:color="auto" w:fill="auto"/>
              </w:rPr>
              <w:t>名称</w:t>
            </w:r>
          </w:p>
        </w:tc>
        <w:tc>
          <w:tcPr>
            <w:tcW w:w="585" w:type="pct"/>
            <w:vAlign w:val="center"/>
          </w:tcPr>
          <w:p w14:paraId="6F0FD9F7">
            <w:pPr>
              <w:spacing w:line="240" w:lineRule="auto"/>
              <w:jc w:val="center"/>
              <w:rPr>
                <w:rFonts w:ascii="宋体" w:hAnsi="宋体" w:cs="宋体"/>
                <w:b/>
                <w:sz w:val="24"/>
                <w:shd w:val="clear" w:color="auto" w:fill="auto"/>
              </w:rPr>
            </w:pPr>
            <w:r>
              <w:rPr>
                <w:rFonts w:hint="eastAsia" w:ascii="宋体" w:hAnsi="宋体" w:cs="宋体"/>
                <w:b/>
                <w:sz w:val="24"/>
                <w:shd w:val="clear" w:color="auto" w:fill="auto"/>
              </w:rPr>
              <w:t>品牌（如果有）</w:t>
            </w:r>
          </w:p>
        </w:tc>
        <w:tc>
          <w:tcPr>
            <w:tcW w:w="532" w:type="pct"/>
            <w:vAlign w:val="center"/>
          </w:tcPr>
          <w:p w14:paraId="28707247">
            <w:pPr>
              <w:spacing w:line="240" w:lineRule="auto"/>
              <w:jc w:val="center"/>
              <w:rPr>
                <w:rFonts w:ascii="宋体" w:hAnsi="宋体" w:cs="宋体"/>
                <w:b/>
                <w:sz w:val="24"/>
                <w:shd w:val="clear" w:color="auto" w:fill="auto"/>
              </w:rPr>
            </w:pPr>
            <w:r>
              <w:rPr>
                <w:rFonts w:hint="eastAsia" w:ascii="宋体" w:hAnsi="宋体" w:cs="宋体"/>
                <w:b/>
                <w:sz w:val="24"/>
                <w:shd w:val="clear" w:color="auto" w:fill="auto"/>
              </w:rPr>
              <w:t>规格型号</w:t>
            </w:r>
          </w:p>
        </w:tc>
        <w:tc>
          <w:tcPr>
            <w:tcW w:w="443" w:type="pct"/>
            <w:vAlign w:val="center"/>
          </w:tcPr>
          <w:p w14:paraId="4F5500ED">
            <w:pPr>
              <w:spacing w:line="240" w:lineRule="auto"/>
              <w:jc w:val="center"/>
              <w:rPr>
                <w:rFonts w:ascii="宋体" w:hAnsi="宋体" w:cs="宋体"/>
                <w:b/>
                <w:sz w:val="24"/>
                <w:shd w:val="clear" w:color="auto" w:fill="auto"/>
              </w:rPr>
            </w:pPr>
            <w:r>
              <w:rPr>
                <w:rFonts w:hint="eastAsia" w:ascii="宋体" w:hAnsi="宋体" w:cs="宋体"/>
                <w:b/>
                <w:sz w:val="24"/>
                <w:shd w:val="clear" w:color="auto" w:fill="auto"/>
              </w:rPr>
              <w:t>数量</w:t>
            </w:r>
          </w:p>
        </w:tc>
        <w:tc>
          <w:tcPr>
            <w:tcW w:w="443" w:type="pct"/>
            <w:vAlign w:val="center"/>
          </w:tcPr>
          <w:p w14:paraId="5B8BC797">
            <w:pPr>
              <w:spacing w:line="240" w:lineRule="auto"/>
              <w:jc w:val="center"/>
              <w:rPr>
                <w:rFonts w:hint="eastAsia" w:ascii="宋体" w:hAnsi="宋体" w:cs="宋体"/>
                <w:b/>
                <w:sz w:val="24"/>
                <w:shd w:val="clear" w:color="auto" w:fill="auto"/>
                <w:lang w:eastAsia="zh-CN"/>
              </w:rPr>
            </w:pPr>
            <w:r>
              <w:rPr>
                <w:rFonts w:hint="eastAsia" w:ascii="宋体" w:hAnsi="宋体" w:cs="宋体"/>
                <w:b/>
                <w:sz w:val="24"/>
                <w:shd w:val="clear" w:color="auto" w:fill="auto"/>
                <w:lang w:eastAsia="zh-CN"/>
              </w:rPr>
              <w:t>上限单价</w:t>
            </w:r>
          </w:p>
        </w:tc>
        <w:tc>
          <w:tcPr>
            <w:tcW w:w="285" w:type="pct"/>
            <w:vAlign w:val="center"/>
          </w:tcPr>
          <w:p w14:paraId="6AF555DC">
            <w:pPr>
              <w:spacing w:line="240" w:lineRule="auto"/>
              <w:jc w:val="center"/>
              <w:rPr>
                <w:rFonts w:hint="eastAsia" w:ascii="宋体" w:hAnsi="宋体" w:cs="宋体"/>
                <w:b/>
                <w:sz w:val="24"/>
                <w:shd w:val="clear" w:color="auto" w:fill="auto"/>
                <w:lang w:eastAsia="zh-CN"/>
              </w:rPr>
            </w:pPr>
            <w:r>
              <w:rPr>
                <w:rFonts w:hint="eastAsia" w:ascii="宋体" w:hAnsi="宋体" w:cs="宋体"/>
                <w:b/>
                <w:sz w:val="24"/>
                <w:shd w:val="clear" w:color="auto" w:fill="auto"/>
                <w:lang w:eastAsia="zh-CN"/>
              </w:rPr>
              <w:t>单价</w:t>
            </w:r>
          </w:p>
        </w:tc>
        <w:tc>
          <w:tcPr>
            <w:tcW w:w="615" w:type="pct"/>
            <w:vAlign w:val="center"/>
          </w:tcPr>
          <w:p w14:paraId="55275807">
            <w:pPr>
              <w:spacing w:line="240" w:lineRule="auto"/>
              <w:jc w:val="center"/>
              <w:rPr>
                <w:rFonts w:hint="eastAsia" w:ascii="宋体" w:hAnsi="宋体" w:eastAsia="宋体" w:cs="宋体"/>
                <w:b/>
                <w:sz w:val="24"/>
                <w:shd w:val="clear" w:color="auto" w:fill="auto"/>
                <w:lang w:eastAsia="zh-CN"/>
              </w:rPr>
            </w:pPr>
            <w:r>
              <w:rPr>
                <w:rFonts w:hint="eastAsia" w:ascii="宋体" w:hAnsi="宋体" w:cs="宋体"/>
                <w:b/>
                <w:sz w:val="24"/>
                <w:shd w:val="clear" w:color="auto" w:fill="auto"/>
                <w:lang w:eastAsia="zh-CN"/>
              </w:rPr>
              <w:t>合计</w:t>
            </w:r>
          </w:p>
        </w:tc>
        <w:tc>
          <w:tcPr>
            <w:tcW w:w="1240" w:type="pct"/>
            <w:vAlign w:val="center"/>
          </w:tcPr>
          <w:p w14:paraId="0B6ACB12">
            <w:pPr>
              <w:spacing w:line="240" w:lineRule="auto"/>
              <w:jc w:val="center"/>
              <w:rPr>
                <w:rFonts w:ascii="宋体" w:hAnsi="宋体" w:cs="宋体"/>
                <w:b/>
                <w:sz w:val="24"/>
                <w:highlight w:val="none"/>
                <w:shd w:val="clear" w:color="auto" w:fill="auto"/>
              </w:rPr>
            </w:pPr>
            <w:r>
              <w:rPr>
                <w:rFonts w:hint="eastAsia" w:ascii="宋体" w:hAnsi="宋体" w:cs="宋体"/>
                <w:b/>
                <w:sz w:val="24"/>
                <w:highlight w:val="none"/>
                <w:shd w:val="clear" w:color="auto" w:fill="auto"/>
              </w:rPr>
              <w:t>备注（如果有）</w:t>
            </w:r>
          </w:p>
        </w:tc>
      </w:tr>
      <w:tr w14:paraId="6039F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18" w:type="pct"/>
            <w:vAlign w:val="center"/>
          </w:tcPr>
          <w:p w14:paraId="0E3FE479">
            <w:pPr>
              <w:tabs>
                <w:tab w:val="left" w:pos="0"/>
              </w:tabs>
              <w:spacing w:line="240" w:lineRule="auto"/>
              <w:jc w:val="center"/>
              <w:rPr>
                <w:rFonts w:hint="eastAsia" w:ascii="宋体" w:hAnsi="宋体" w:eastAsia="宋体" w:cs="宋体"/>
                <w:kern w:val="0"/>
                <w:sz w:val="24"/>
                <w:shd w:val="clear" w:color="auto" w:fill="auto"/>
                <w:lang w:val="en-US" w:eastAsia="zh-CN"/>
              </w:rPr>
            </w:pPr>
            <w:r>
              <w:rPr>
                <w:rFonts w:hint="eastAsia" w:ascii="宋体" w:hAnsi="宋体" w:eastAsia="宋体" w:cs="宋体"/>
                <w:kern w:val="0"/>
                <w:sz w:val="24"/>
                <w:shd w:val="clear" w:color="auto" w:fill="auto"/>
                <w:lang w:val="en-US" w:eastAsia="zh-CN"/>
              </w:rPr>
              <w:t>1</w:t>
            </w:r>
          </w:p>
        </w:tc>
        <w:tc>
          <w:tcPr>
            <w:tcW w:w="636" w:type="pct"/>
            <w:vAlign w:val="center"/>
          </w:tcPr>
          <w:p w14:paraId="57FCC25E">
            <w:pPr>
              <w:tabs>
                <w:tab w:val="left" w:pos="0"/>
              </w:tabs>
              <w:spacing w:line="240" w:lineRule="auto"/>
              <w:jc w:val="center"/>
              <w:rPr>
                <w:rFonts w:hint="eastAsia" w:ascii="宋体" w:hAnsi="宋体" w:eastAsia="宋体" w:cs="宋体"/>
                <w:kern w:val="0"/>
                <w:sz w:val="24"/>
                <w:shd w:val="clear" w:color="auto" w:fill="auto"/>
                <w:lang w:val="en-US" w:eastAsia="zh-CN"/>
              </w:rPr>
            </w:pPr>
            <w:r>
              <w:rPr>
                <w:rFonts w:hint="eastAsia" w:ascii="宋体" w:hAnsi="宋体" w:cs="宋体"/>
                <w:kern w:val="0"/>
                <w:sz w:val="24"/>
                <w:shd w:val="clear" w:color="auto" w:fill="auto"/>
                <w:lang w:val="en-US" w:eastAsia="zh-CN"/>
              </w:rPr>
              <w:t>便携式计算机</w:t>
            </w:r>
          </w:p>
        </w:tc>
        <w:tc>
          <w:tcPr>
            <w:tcW w:w="585" w:type="pct"/>
            <w:vAlign w:val="center"/>
          </w:tcPr>
          <w:p w14:paraId="12B647B2">
            <w:pPr>
              <w:snapToGrid w:val="0"/>
              <w:spacing w:line="240" w:lineRule="auto"/>
              <w:jc w:val="center"/>
              <w:rPr>
                <w:rFonts w:ascii="宋体" w:hAnsi="宋体" w:cs="宋体"/>
                <w:color w:val="0000FF"/>
                <w:sz w:val="24"/>
                <w:shd w:val="clear" w:color="auto" w:fill="auto"/>
              </w:rPr>
            </w:pPr>
          </w:p>
        </w:tc>
        <w:tc>
          <w:tcPr>
            <w:tcW w:w="532" w:type="pct"/>
            <w:vAlign w:val="center"/>
          </w:tcPr>
          <w:p w14:paraId="49C17CD2">
            <w:pPr>
              <w:snapToGrid w:val="0"/>
              <w:spacing w:line="240" w:lineRule="auto"/>
              <w:jc w:val="center"/>
              <w:rPr>
                <w:rFonts w:ascii="宋体" w:hAnsi="宋体" w:cs="宋体"/>
                <w:color w:val="0000FF"/>
                <w:sz w:val="24"/>
                <w:shd w:val="clear" w:color="auto" w:fill="auto"/>
              </w:rPr>
            </w:pPr>
          </w:p>
        </w:tc>
        <w:tc>
          <w:tcPr>
            <w:tcW w:w="443" w:type="pct"/>
            <w:vAlign w:val="center"/>
          </w:tcPr>
          <w:p w14:paraId="44A62229">
            <w:pPr>
              <w:tabs>
                <w:tab w:val="left" w:pos="0"/>
              </w:tabs>
              <w:spacing w:line="240" w:lineRule="auto"/>
              <w:jc w:val="center"/>
              <w:rPr>
                <w:rFonts w:hint="default" w:ascii="宋体" w:hAnsi="宋体" w:eastAsia="宋体" w:cs="宋体"/>
                <w:kern w:val="0"/>
                <w:sz w:val="24"/>
                <w:szCs w:val="24"/>
                <w:shd w:val="clear" w:color="auto" w:fill="auto"/>
                <w:lang w:val="en-US" w:eastAsia="zh-CN" w:bidi="ar-SA"/>
              </w:rPr>
            </w:pPr>
            <w:r>
              <w:rPr>
                <w:rFonts w:hint="eastAsia" w:ascii="宋体" w:hAnsi="宋体" w:cs="宋体"/>
                <w:kern w:val="0"/>
                <w:sz w:val="24"/>
                <w:shd w:val="clear" w:color="auto" w:fill="auto"/>
                <w:lang w:val="en-US" w:eastAsia="zh-CN"/>
              </w:rPr>
              <w:t>54</w:t>
            </w:r>
            <w:r>
              <w:rPr>
                <w:rFonts w:hint="eastAsia" w:ascii="宋体" w:hAnsi="宋体" w:eastAsia="宋体" w:cs="宋体"/>
                <w:kern w:val="0"/>
                <w:sz w:val="24"/>
                <w:shd w:val="clear" w:color="auto" w:fill="auto"/>
                <w:lang w:val="en-US" w:eastAsia="zh-CN"/>
              </w:rPr>
              <w:t>套</w:t>
            </w:r>
          </w:p>
        </w:tc>
        <w:tc>
          <w:tcPr>
            <w:tcW w:w="443" w:type="pct"/>
            <w:vAlign w:val="center"/>
          </w:tcPr>
          <w:p w14:paraId="0A3AFF20">
            <w:pPr>
              <w:tabs>
                <w:tab w:val="left" w:pos="0"/>
              </w:tabs>
              <w:spacing w:line="240" w:lineRule="auto"/>
              <w:jc w:val="center"/>
              <w:rPr>
                <w:rFonts w:hint="default" w:ascii="宋体" w:hAnsi="宋体" w:eastAsia="宋体" w:cs="宋体"/>
                <w:b/>
                <w:bCs/>
                <w:kern w:val="0"/>
                <w:sz w:val="24"/>
                <w:shd w:val="clear" w:color="auto" w:fill="auto"/>
                <w:lang w:val="en-US" w:eastAsia="zh-CN"/>
              </w:rPr>
            </w:pPr>
            <w:r>
              <w:rPr>
                <w:rFonts w:hint="eastAsia" w:ascii="宋体" w:hAnsi="宋体" w:cs="宋体"/>
                <w:b/>
                <w:bCs/>
                <w:kern w:val="0"/>
                <w:sz w:val="24"/>
                <w:shd w:val="clear" w:color="auto" w:fill="auto"/>
                <w:lang w:val="en-US" w:eastAsia="zh-CN"/>
              </w:rPr>
              <w:t>7000</w:t>
            </w:r>
          </w:p>
        </w:tc>
        <w:tc>
          <w:tcPr>
            <w:tcW w:w="285" w:type="pct"/>
            <w:vAlign w:val="center"/>
          </w:tcPr>
          <w:p w14:paraId="6EDA582A">
            <w:pPr>
              <w:tabs>
                <w:tab w:val="left" w:pos="0"/>
              </w:tabs>
              <w:spacing w:line="240" w:lineRule="auto"/>
              <w:jc w:val="center"/>
              <w:rPr>
                <w:rFonts w:hint="eastAsia" w:ascii="宋体" w:hAnsi="宋体" w:eastAsia="宋体" w:cs="宋体"/>
                <w:kern w:val="0"/>
                <w:sz w:val="24"/>
                <w:shd w:val="clear" w:color="auto" w:fill="auto"/>
                <w:lang w:val="en-US" w:eastAsia="zh-CN"/>
              </w:rPr>
            </w:pPr>
          </w:p>
        </w:tc>
        <w:tc>
          <w:tcPr>
            <w:tcW w:w="615" w:type="pct"/>
            <w:vAlign w:val="center"/>
          </w:tcPr>
          <w:p w14:paraId="2438CD60">
            <w:pPr>
              <w:tabs>
                <w:tab w:val="left" w:pos="0"/>
              </w:tabs>
              <w:spacing w:line="240" w:lineRule="auto"/>
              <w:jc w:val="center"/>
              <w:rPr>
                <w:rFonts w:hint="default" w:ascii="宋体" w:hAnsi="宋体" w:eastAsia="宋体" w:cs="宋体"/>
                <w:b/>
                <w:bCs/>
                <w:kern w:val="0"/>
                <w:sz w:val="24"/>
                <w:szCs w:val="24"/>
                <w:highlight w:val="none"/>
                <w:shd w:val="clear" w:color="auto" w:fill="auto"/>
                <w:lang w:val="en-US" w:eastAsia="zh-CN" w:bidi="ar-SA"/>
              </w:rPr>
            </w:pPr>
          </w:p>
        </w:tc>
        <w:tc>
          <w:tcPr>
            <w:tcW w:w="1240" w:type="pct"/>
            <w:vAlign w:val="center"/>
          </w:tcPr>
          <w:p w14:paraId="458267D8">
            <w:pPr>
              <w:spacing w:line="240" w:lineRule="auto"/>
              <w:jc w:val="center"/>
              <w:rPr>
                <w:rFonts w:hint="default" w:ascii="宋体" w:hAnsi="宋体" w:eastAsia="宋体" w:cs="宋体"/>
                <w:color w:val="0000FF"/>
                <w:sz w:val="24"/>
                <w:highlight w:val="none"/>
                <w:shd w:val="clear" w:color="auto" w:fill="auto"/>
                <w:lang w:val="en-US" w:eastAsia="zh-CN"/>
              </w:rPr>
            </w:pPr>
          </w:p>
        </w:tc>
      </w:tr>
      <w:tr w14:paraId="07F1F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18" w:type="pct"/>
            <w:vAlign w:val="center"/>
          </w:tcPr>
          <w:p w14:paraId="311BE538">
            <w:pPr>
              <w:tabs>
                <w:tab w:val="left" w:pos="0"/>
              </w:tabs>
              <w:spacing w:line="240" w:lineRule="auto"/>
              <w:jc w:val="center"/>
              <w:rPr>
                <w:rFonts w:hint="default" w:ascii="宋体" w:hAnsi="宋体" w:eastAsia="宋体" w:cs="宋体"/>
                <w:kern w:val="0"/>
                <w:sz w:val="24"/>
                <w:shd w:val="clear" w:color="auto" w:fill="auto"/>
                <w:lang w:val="en-US" w:eastAsia="zh-CN"/>
              </w:rPr>
            </w:pPr>
          </w:p>
        </w:tc>
        <w:tc>
          <w:tcPr>
            <w:tcW w:w="636" w:type="pct"/>
            <w:vAlign w:val="center"/>
          </w:tcPr>
          <w:p w14:paraId="6381AA87">
            <w:pPr>
              <w:tabs>
                <w:tab w:val="left" w:pos="0"/>
              </w:tabs>
              <w:spacing w:line="240" w:lineRule="auto"/>
              <w:jc w:val="center"/>
              <w:rPr>
                <w:rFonts w:hint="default" w:ascii="宋体" w:hAnsi="宋体" w:eastAsia="宋体" w:cs="宋体"/>
                <w:kern w:val="0"/>
                <w:sz w:val="24"/>
                <w:shd w:val="clear" w:color="auto" w:fill="auto"/>
                <w:lang w:val="en-US" w:eastAsia="zh-CN"/>
              </w:rPr>
            </w:pPr>
          </w:p>
        </w:tc>
        <w:tc>
          <w:tcPr>
            <w:tcW w:w="585" w:type="pct"/>
            <w:vAlign w:val="center"/>
          </w:tcPr>
          <w:p w14:paraId="56774EEE">
            <w:pPr>
              <w:snapToGrid w:val="0"/>
              <w:spacing w:line="240" w:lineRule="auto"/>
              <w:jc w:val="center"/>
              <w:rPr>
                <w:rFonts w:ascii="宋体" w:hAnsi="宋体" w:cs="宋体"/>
                <w:color w:val="0000FF"/>
                <w:sz w:val="24"/>
                <w:shd w:val="clear" w:color="auto" w:fill="auto"/>
              </w:rPr>
            </w:pPr>
          </w:p>
        </w:tc>
        <w:tc>
          <w:tcPr>
            <w:tcW w:w="532" w:type="pct"/>
            <w:vAlign w:val="center"/>
          </w:tcPr>
          <w:p w14:paraId="3D162F6B">
            <w:pPr>
              <w:snapToGrid w:val="0"/>
              <w:spacing w:line="240" w:lineRule="auto"/>
              <w:jc w:val="center"/>
              <w:rPr>
                <w:rFonts w:ascii="宋体" w:hAnsi="宋体" w:cs="宋体"/>
                <w:color w:val="0000FF"/>
                <w:sz w:val="24"/>
                <w:shd w:val="clear" w:color="auto" w:fill="auto"/>
              </w:rPr>
            </w:pPr>
          </w:p>
        </w:tc>
        <w:tc>
          <w:tcPr>
            <w:tcW w:w="443" w:type="pct"/>
            <w:vAlign w:val="center"/>
          </w:tcPr>
          <w:p w14:paraId="35C3CCDC">
            <w:pPr>
              <w:tabs>
                <w:tab w:val="left" w:pos="0"/>
              </w:tabs>
              <w:spacing w:line="240" w:lineRule="auto"/>
              <w:jc w:val="center"/>
              <w:rPr>
                <w:rFonts w:hint="default" w:ascii="宋体" w:hAnsi="宋体" w:cs="宋体"/>
                <w:kern w:val="0"/>
                <w:sz w:val="24"/>
                <w:shd w:val="clear" w:color="auto" w:fill="auto"/>
                <w:lang w:val="en-US" w:eastAsia="zh-CN"/>
              </w:rPr>
            </w:pPr>
          </w:p>
        </w:tc>
        <w:tc>
          <w:tcPr>
            <w:tcW w:w="443" w:type="pct"/>
            <w:vAlign w:val="center"/>
          </w:tcPr>
          <w:p w14:paraId="249BB297">
            <w:pPr>
              <w:tabs>
                <w:tab w:val="left" w:pos="0"/>
              </w:tabs>
              <w:spacing w:line="240" w:lineRule="auto"/>
              <w:jc w:val="center"/>
              <w:rPr>
                <w:rFonts w:hint="eastAsia" w:ascii="宋体" w:hAnsi="宋体" w:eastAsia="宋体" w:cs="宋体"/>
                <w:b/>
                <w:bCs/>
                <w:kern w:val="0"/>
                <w:sz w:val="24"/>
                <w:shd w:val="clear" w:color="auto" w:fill="auto"/>
                <w:lang w:val="en-US" w:eastAsia="zh-CN"/>
              </w:rPr>
            </w:pPr>
          </w:p>
        </w:tc>
        <w:tc>
          <w:tcPr>
            <w:tcW w:w="285" w:type="pct"/>
            <w:vAlign w:val="center"/>
          </w:tcPr>
          <w:p w14:paraId="0DC803A7">
            <w:pPr>
              <w:tabs>
                <w:tab w:val="left" w:pos="0"/>
              </w:tabs>
              <w:spacing w:line="240" w:lineRule="auto"/>
              <w:jc w:val="center"/>
              <w:rPr>
                <w:rFonts w:hint="eastAsia" w:ascii="宋体" w:hAnsi="宋体" w:eastAsia="宋体" w:cs="宋体"/>
                <w:kern w:val="0"/>
                <w:sz w:val="24"/>
                <w:shd w:val="clear" w:color="auto" w:fill="auto"/>
                <w:lang w:val="en-US" w:eastAsia="zh-CN"/>
              </w:rPr>
            </w:pPr>
          </w:p>
        </w:tc>
        <w:tc>
          <w:tcPr>
            <w:tcW w:w="615" w:type="pct"/>
            <w:vAlign w:val="center"/>
          </w:tcPr>
          <w:p w14:paraId="6B55B9CC">
            <w:pPr>
              <w:tabs>
                <w:tab w:val="left" w:pos="0"/>
              </w:tabs>
              <w:spacing w:line="240" w:lineRule="auto"/>
              <w:jc w:val="center"/>
              <w:rPr>
                <w:rFonts w:hint="default" w:ascii="宋体" w:hAnsi="宋体" w:eastAsia="宋体" w:cs="宋体"/>
                <w:b/>
                <w:bCs/>
                <w:kern w:val="0"/>
                <w:sz w:val="24"/>
                <w:szCs w:val="24"/>
                <w:highlight w:val="none"/>
                <w:shd w:val="clear" w:color="auto" w:fill="auto"/>
                <w:lang w:val="en-US" w:eastAsia="zh-CN" w:bidi="ar-SA"/>
              </w:rPr>
            </w:pPr>
          </w:p>
        </w:tc>
        <w:tc>
          <w:tcPr>
            <w:tcW w:w="1240" w:type="pct"/>
            <w:vAlign w:val="center"/>
          </w:tcPr>
          <w:p w14:paraId="391FC53D">
            <w:pPr>
              <w:spacing w:line="240" w:lineRule="auto"/>
              <w:jc w:val="center"/>
              <w:rPr>
                <w:rFonts w:hint="default" w:ascii="宋体" w:hAnsi="宋体" w:eastAsia="宋体" w:cs="宋体"/>
                <w:color w:val="0000FF"/>
                <w:sz w:val="24"/>
                <w:highlight w:val="none"/>
                <w:shd w:val="clear" w:color="auto" w:fill="auto"/>
                <w:lang w:val="en-US" w:eastAsia="zh-CN"/>
              </w:rPr>
            </w:pPr>
          </w:p>
        </w:tc>
      </w:tr>
      <w:tr w14:paraId="562D0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18" w:type="pct"/>
            <w:vAlign w:val="center"/>
          </w:tcPr>
          <w:p w14:paraId="49A02895">
            <w:pPr>
              <w:tabs>
                <w:tab w:val="left" w:pos="0"/>
              </w:tabs>
              <w:spacing w:line="240" w:lineRule="auto"/>
              <w:jc w:val="center"/>
              <w:rPr>
                <w:rFonts w:hint="eastAsia" w:ascii="宋体" w:hAnsi="宋体" w:cs="宋体"/>
                <w:kern w:val="0"/>
                <w:sz w:val="24"/>
                <w:shd w:val="clear" w:color="auto" w:fill="auto"/>
                <w:lang w:val="en-US" w:eastAsia="zh-CN"/>
              </w:rPr>
            </w:pPr>
          </w:p>
        </w:tc>
        <w:tc>
          <w:tcPr>
            <w:tcW w:w="636" w:type="pct"/>
            <w:vAlign w:val="center"/>
          </w:tcPr>
          <w:p w14:paraId="28CAC594">
            <w:pPr>
              <w:tabs>
                <w:tab w:val="left" w:pos="0"/>
              </w:tabs>
              <w:spacing w:line="240" w:lineRule="auto"/>
              <w:jc w:val="center"/>
              <w:rPr>
                <w:rFonts w:hint="eastAsia" w:ascii="宋体" w:hAnsi="宋体" w:cs="宋体"/>
                <w:kern w:val="0"/>
                <w:sz w:val="24"/>
                <w:shd w:val="clear" w:color="auto" w:fill="auto"/>
                <w:lang w:val="en-US" w:eastAsia="zh-CN"/>
              </w:rPr>
            </w:pPr>
            <w:r>
              <w:rPr>
                <w:rFonts w:hint="eastAsia" w:ascii="宋体" w:hAnsi="宋体" w:cs="宋体"/>
                <w:kern w:val="0"/>
                <w:sz w:val="24"/>
                <w:shd w:val="clear" w:color="auto" w:fill="auto"/>
                <w:lang w:val="en-US" w:eastAsia="zh-CN"/>
              </w:rPr>
              <w:t>……</w:t>
            </w:r>
          </w:p>
        </w:tc>
        <w:tc>
          <w:tcPr>
            <w:tcW w:w="585" w:type="pct"/>
            <w:vAlign w:val="center"/>
          </w:tcPr>
          <w:p w14:paraId="59655A3D">
            <w:pPr>
              <w:snapToGrid w:val="0"/>
              <w:spacing w:line="240" w:lineRule="auto"/>
              <w:jc w:val="center"/>
              <w:rPr>
                <w:rFonts w:ascii="宋体" w:hAnsi="宋体" w:cs="宋体"/>
                <w:color w:val="0000FF"/>
                <w:sz w:val="24"/>
                <w:shd w:val="clear" w:color="auto" w:fill="auto"/>
              </w:rPr>
            </w:pPr>
          </w:p>
        </w:tc>
        <w:tc>
          <w:tcPr>
            <w:tcW w:w="532" w:type="pct"/>
            <w:vAlign w:val="center"/>
          </w:tcPr>
          <w:p w14:paraId="0E2EB92B">
            <w:pPr>
              <w:snapToGrid w:val="0"/>
              <w:spacing w:line="240" w:lineRule="auto"/>
              <w:jc w:val="center"/>
              <w:rPr>
                <w:rFonts w:ascii="宋体" w:hAnsi="宋体" w:cs="宋体"/>
                <w:color w:val="0000FF"/>
                <w:sz w:val="24"/>
                <w:shd w:val="clear" w:color="auto" w:fill="auto"/>
              </w:rPr>
            </w:pPr>
          </w:p>
        </w:tc>
        <w:tc>
          <w:tcPr>
            <w:tcW w:w="443" w:type="pct"/>
            <w:vAlign w:val="center"/>
          </w:tcPr>
          <w:p w14:paraId="0D57CFA9">
            <w:pPr>
              <w:tabs>
                <w:tab w:val="left" w:pos="0"/>
              </w:tabs>
              <w:spacing w:line="240" w:lineRule="auto"/>
              <w:jc w:val="center"/>
              <w:rPr>
                <w:rFonts w:hint="eastAsia" w:ascii="宋体" w:hAnsi="宋体" w:cs="宋体"/>
                <w:kern w:val="0"/>
                <w:sz w:val="24"/>
                <w:shd w:val="clear" w:color="auto" w:fill="auto"/>
                <w:lang w:val="en-US" w:eastAsia="zh-CN"/>
              </w:rPr>
            </w:pPr>
          </w:p>
        </w:tc>
        <w:tc>
          <w:tcPr>
            <w:tcW w:w="443" w:type="pct"/>
            <w:vAlign w:val="center"/>
          </w:tcPr>
          <w:p w14:paraId="0F9A71EB">
            <w:pPr>
              <w:tabs>
                <w:tab w:val="left" w:pos="0"/>
              </w:tabs>
              <w:spacing w:line="240" w:lineRule="auto"/>
              <w:jc w:val="center"/>
              <w:rPr>
                <w:rFonts w:hint="eastAsia" w:ascii="宋体" w:hAnsi="宋体" w:cs="宋体"/>
                <w:kern w:val="0"/>
                <w:sz w:val="24"/>
                <w:shd w:val="clear" w:color="auto" w:fill="auto"/>
                <w:lang w:val="en-US" w:eastAsia="zh-CN"/>
              </w:rPr>
            </w:pPr>
          </w:p>
        </w:tc>
        <w:tc>
          <w:tcPr>
            <w:tcW w:w="285" w:type="pct"/>
            <w:vAlign w:val="center"/>
          </w:tcPr>
          <w:p w14:paraId="722C5F69">
            <w:pPr>
              <w:tabs>
                <w:tab w:val="left" w:pos="0"/>
              </w:tabs>
              <w:spacing w:line="240" w:lineRule="auto"/>
              <w:jc w:val="center"/>
              <w:rPr>
                <w:rFonts w:hint="eastAsia" w:ascii="宋体" w:hAnsi="宋体" w:eastAsia="宋体" w:cs="宋体"/>
                <w:kern w:val="0"/>
                <w:sz w:val="24"/>
                <w:shd w:val="clear" w:color="auto" w:fill="auto"/>
                <w:lang w:val="en-US" w:eastAsia="zh-CN"/>
              </w:rPr>
            </w:pPr>
          </w:p>
        </w:tc>
        <w:tc>
          <w:tcPr>
            <w:tcW w:w="615" w:type="pct"/>
            <w:vAlign w:val="center"/>
          </w:tcPr>
          <w:p w14:paraId="788F19F2">
            <w:pPr>
              <w:tabs>
                <w:tab w:val="left" w:pos="0"/>
              </w:tabs>
              <w:spacing w:line="240" w:lineRule="auto"/>
              <w:jc w:val="center"/>
              <w:rPr>
                <w:rFonts w:hint="default" w:ascii="宋体" w:hAnsi="宋体" w:eastAsia="宋体" w:cs="宋体"/>
                <w:b/>
                <w:bCs/>
                <w:kern w:val="0"/>
                <w:sz w:val="24"/>
                <w:szCs w:val="24"/>
                <w:highlight w:val="none"/>
                <w:shd w:val="clear" w:color="auto" w:fill="auto"/>
                <w:lang w:val="en-US" w:eastAsia="zh-CN" w:bidi="ar-SA"/>
              </w:rPr>
            </w:pPr>
          </w:p>
        </w:tc>
        <w:tc>
          <w:tcPr>
            <w:tcW w:w="1240" w:type="pct"/>
            <w:vAlign w:val="center"/>
          </w:tcPr>
          <w:p w14:paraId="74B15280">
            <w:pPr>
              <w:spacing w:line="240" w:lineRule="auto"/>
              <w:jc w:val="center"/>
              <w:rPr>
                <w:rFonts w:hint="default" w:ascii="宋体" w:hAnsi="宋体" w:eastAsia="宋体" w:cs="宋体"/>
                <w:color w:val="0000FF"/>
                <w:sz w:val="24"/>
                <w:highlight w:val="none"/>
                <w:shd w:val="clear" w:color="auto" w:fill="auto"/>
                <w:lang w:val="en-US" w:eastAsia="zh-CN"/>
              </w:rPr>
            </w:pPr>
          </w:p>
        </w:tc>
      </w:tr>
      <w:tr w14:paraId="6BA30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972" w:type="pct"/>
            <w:gridSpan w:val="4"/>
            <w:vAlign w:val="center"/>
          </w:tcPr>
          <w:p w14:paraId="441BDC84">
            <w:pPr>
              <w:spacing w:line="240" w:lineRule="auto"/>
              <w:jc w:val="center"/>
              <w:rPr>
                <w:rFonts w:ascii="宋体" w:hAnsi="宋体" w:cs="宋体"/>
                <w:b/>
                <w:sz w:val="24"/>
                <w:shd w:val="clear" w:color="auto" w:fill="auto"/>
              </w:rPr>
            </w:pPr>
            <w:r>
              <w:rPr>
                <w:rFonts w:hint="eastAsia" w:ascii="宋体" w:hAnsi="宋体" w:cs="宋体"/>
                <w:b/>
                <w:sz w:val="24"/>
                <w:shd w:val="clear" w:color="auto" w:fill="auto"/>
              </w:rPr>
              <w:t>投标报价（小写）</w:t>
            </w:r>
          </w:p>
        </w:tc>
        <w:tc>
          <w:tcPr>
            <w:tcW w:w="3027" w:type="pct"/>
            <w:gridSpan w:val="5"/>
            <w:vAlign w:val="center"/>
          </w:tcPr>
          <w:p w14:paraId="31C49B17">
            <w:pPr>
              <w:spacing w:line="240" w:lineRule="auto"/>
              <w:jc w:val="center"/>
              <w:rPr>
                <w:rFonts w:ascii="宋体" w:hAnsi="宋体" w:cs="宋体"/>
                <w:sz w:val="24"/>
                <w:shd w:val="clear" w:color="auto" w:fill="auto"/>
              </w:rPr>
            </w:pPr>
          </w:p>
        </w:tc>
      </w:tr>
      <w:tr w14:paraId="2224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972" w:type="pct"/>
            <w:gridSpan w:val="4"/>
            <w:vAlign w:val="center"/>
          </w:tcPr>
          <w:p w14:paraId="31D7B03D">
            <w:pPr>
              <w:spacing w:line="240" w:lineRule="auto"/>
              <w:jc w:val="center"/>
              <w:rPr>
                <w:rFonts w:ascii="宋体" w:hAnsi="宋体" w:cs="宋体"/>
                <w:b/>
                <w:sz w:val="24"/>
                <w:shd w:val="clear" w:color="auto" w:fill="auto"/>
              </w:rPr>
            </w:pPr>
            <w:r>
              <w:rPr>
                <w:rFonts w:hint="eastAsia" w:ascii="宋体" w:hAnsi="宋体" w:cs="宋体"/>
                <w:b/>
                <w:sz w:val="24"/>
                <w:shd w:val="clear" w:color="auto" w:fill="auto"/>
              </w:rPr>
              <w:t>投标报价（大写）</w:t>
            </w:r>
          </w:p>
        </w:tc>
        <w:tc>
          <w:tcPr>
            <w:tcW w:w="3027" w:type="pct"/>
            <w:gridSpan w:val="5"/>
            <w:vAlign w:val="center"/>
          </w:tcPr>
          <w:p w14:paraId="49ECC0D7">
            <w:pPr>
              <w:spacing w:line="240" w:lineRule="auto"/>
              <w:jc w:val="center"/>
              <w:rPr>
                <w:rFonts w:ascii="宋体" w:hAnsi="宋体" w:cs="宋体"/>
                <w:sz w:val="24"/>
                <w:shd w:val="clear" w:color="auto" w:fill="auto"/>
              </w:rPr>
            </w:pPr>
          </w:p>
        </w:tc>
      </w:tr>
    </w:tbl>
    <w:p w14:paraId="0A59C26D">
      <w:pPr>
        <w:snapToGrid w:val="0"/>
        <w:spacing w:line="360" w:lineRule="auto"/>
        <w:ind w:left="480"/>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注：</w:t>
      </w:r>
    </w:p>
    <w:p w14:paraId="5532FA69">
      <w:pPr>
        <w:spacing w:line="360" w:lineRule="auto"/>
        <w:ind w:left="-2" w:leftChars="-1"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1、投标人需按本表格式填写</w:t>
      </w:r>
      <w:r>
        <w:rPr>
          <w:rFonts w:hint="eastAsia" w:ascii="宋体" w:hAnsi="宋体" w:cs="宋体"/>
          <w:b/>
          <w:color w:val="auto"/>
          <w:kern w:val="0"/>
          <w:sz w:val="24"/>
          <w:highlight w:val="none"/>
          <w:lang w:val="zh-CN"/>
        </w:rPr>
        <w:t>，</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投标文件含有采购人不能接受的附加条件，投标无效</w:t>
      </w:r>
      <w:r>
        <w:rPr>
          <w:rFonts w:hint="eastAsia" w:ascii="宋体" w:hAnsi="宋体" w:cs="宋体"/>
          <w:color w:val="auto"/>
          <w:kern w:val="0"/>
          <w:sz w:val="24"/>
          <w:highlight w:val="none"/>
          <w:lang w:val="zh-CN"/>
        </w:rPr>
        <w:t>。</w:t>
      </w:r>
    </w:p>
    <w:p w14:paraId="4A3D7248">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zh-CN"/>
        </w:rPr>
        <w:t>2、有关本项目实施所涉及的一切费用均计入报价。</w:t>
      </w:r>
      <w:r>
        <w:rPr>
          <w:rFonts w:hint="eastAsia" w:ascii="宋体" w:hAnsi="宋体" w:cs="宋体"/>
          <w:color w:val="auto"/>
          <w:kern w:val="0"/>
          <w:sz w:val="24"/>
          <w:highlight w:val="none"/>
          <w:lang w:val="en-US" w:eastAsia="zh-CN"/>
        </w:rPr>
        <w:t>采购人不得向供应商索要或者接受供应商给予的赠品、回扣或者与采购无关的其他商品、服务；如供应商承诺提供赠品、回扣、采购预算中本身不包含的其他商品或服务，视作无效承诺，不得因无效承诺对供应商实行差别待遇或者歧视待遇，也不得将其作为中标（成交）条件或者合同</w:t>
      </w:r>
      <w:r>
        <w:rPr>
          <w:rFonts w:hint="eastAsia" w:ascii="宋体" w:hAnsi="宋体" w:eastAsia="宋体" w:cs="宋体"/>
          <w:color w:val="auto"/>
          <w:kern w:val="0"/>
          <w:sz w:val="24"/>
          <w:highlight w:val="none"/>
          <w:lang w:val="en-US" w:eastAsia="zh-CN"/>
        </w:rPr>
        <w:t>签订条件；</w:t>
      </w:r>
      <w:r>
        <w:rPr>
          <w:rFonts w:hint="eastAsia" w:ascii="宋体" w:hAnsi="宋体" w:eastAsia="宋体" w:cs="宋体"/>
          <w:color w:val="auto"/>
          <w:spacing w:val="0"/>
          <w:kern w:val="0"/>
          <w:sz w:val="24"/>
          <w:szCs w:val="24"/>
          <w:highlight w:val="none"/>
        </w:rPr>
        <w:t>总价</w:t>
      </w:r>
      <w:r>
        <w:rPr>
          <w:rFonts w:hint="eastAsia" w:ascii="宋体" w:hAnsi="宋体" w:eastAsia="宋体" w:cs="宋体"/>
          <w:color w:val="auto"/>
          <w:spacing w:val="0"/>
          <w:kern w:val="0"/>
          <w:sz w:val="24"/>
          <w:szCs w:val="24"/>
          <w:highlight w:val="none"/>
          <w:lang w:eastAsia="zh-CN"/>
        </w:rPr>
        <w:t>不为零</w:t>
      </w:r>
      <w:r>
        <w:rPr>
          <w:rFonts w:hint="eastAsia" w:ascii="宋体" w:hAnsi="宋体" w:eastAsia="宋体" w:cs="宋体"/>
          <w:color w:val="auto"/>
          <w:spacing w:val="0"/>
          <w:kern w:val="0"/>
          <w:sz w:val="24"/>
          <w:szCs w:val="24"/>
          <w:highlight w:val="none"/>
        </w:rPr>
        <w:t>，</w:t>
      </w:r>
      <w:r>
        <w:rPr>
          <w:rFonts w:hint="eastAsia" w:ascii="宋体" w:hAnsi="宋体" w:eastAsia="宋体" w:cs="宋体"/>
          <w:color w:val="auto"/>
          <w:spacing w:val="0"/>
          <w:kern w:val="0"/>
          <w:sz w:val="24"/>
          <w:szCs w:val="24"/>
          <w:highlight w:val="none"/>
          <w:lang w:eastAsia="zh-CN"/>
        </w:rPr>
        <w:t>部分</w:t>
      </w:r>
      <w:r>
        <w:rPr>
          <w:rFonts w:hint="eastAsia" w:ascii="宋体" w:hAnsi="宋体" w:eastAsia="宋体" w:cs="宋体"/>
          <w:color w:val="auto"/>
          <w:spacing w:val="0"/>
          <w:kern w:val="0"/>
          <w:sz w:val="24"/>
          <w:szCs w:val="24"/>
          <w:highlight w:val="none"/>
        </w:rPr>
        <w:t>产品、服务单价为零的，视作已包含在总价中</w:t>
      </w:r>
      <w:r>
        <w:rPr>
          <w:rFonts w:hint="eastAsia" w:ascii="宋体" w:hAnsi="宋体" w:eastAsia="宋体" w:cs="宋体"/>
          <w:color w:val="auto"/>
          <w:spacing w:val="0"/>
          <w:kern w:val="0"/>
          <w:sz w:val="24"/>
          <w:szCs w:val="24"/>
          <w:highlight w:val="none"/>
          <w:lang w:eastAsia="zh-CN"/>
        </w:rPr>
        <w:t>。</w:t>
      </w:r>
      <w:r>
        <w:rPr>
          <w:rFonts w:hint="eastAsia" w:ascii="宋体" w:hAnsi="宋体" w:cs="宋体"/>
          <w:b/>
          <w:color w:val="auto"/>
          <w:kern w:val="0"/>
          <w:sz w:val="24"/>
          <w:highlight w:val="none"/>
          <w:lang w:val="zh-CN"/>
        </w:rPr>
        <w:t>采购内容未包含在《开标一览表（报价表）》名称栏中，投标人不能作出合理解释的，</w:t>
      </w:r>
      <w:r>
        <w:rPr>
          <w:rFonts w:hint="eastAsia" w:ascii="宋体" w:hAnsi="宋体" w:cs="宋体"/>
          <w:b/>
          <w:color w:val="auto"/>
          <w:kern w:val="0"/>
          <w:sz w:val="24"/>
          <w:highlight w:val="none"/>
        </w:rPr>
        <w:t>视为</w:t>
      </w:r>
      <w:r>
        <w:rPr>
          <w:rFonts w:hint="eastAsia" w:ascii="宋体" w:hAnsi="宋体" w:cs="宋体"/>
          <w:b/>
          <w:color w:val="auto"/>
          <w:sz w:val="24"/>
          <w:highlight w:val="none"/>
        </w:rPr>
        <w:t>投标文件含有采购人不能接受的附加条件的，投标无效。</w:t>
      </w:r>
    </w:p>
    <w:p w14:paraId="799C0B5F">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3、特别提示：采购代理机构将对项目名称和项目编号，中标供应商名称、地址和中标金额，主要中标标的名称、品牌（如果有）、规格型号、数量、单价等予以公示。</w:t>
      </w:r>
    </w:p>
    <w:p w14:paraId="67184AF2">
      <w:pPr>
        <w:snapToGrid w:val="0"/>
        <w:spacing w:line="360" w:lineRule="auto"/>
        <w:ind w:firstLine="480" w:firstLineChars="200"/>
        <w:jc w:val="left"/>
        <w:rPr>
          <w:rFonts w:ascii="宋体" w:hAnsi="宋体" w:cs="宋体"/>
          <w:color w:val="auto"/>
          <w:kern w:val="0"/>
          <w:sz w:val="24"/>
          <w:highlight w:val="none"/>
          <w:lang w:val="zh-CN"/>
        </w:rPr>
      </w:pPr>
      <w:r>
        <w:rPr>
          <w:rFonts w:ascii="宋体" w:hAnsi="宋体" w:cs="宋体"/>
          <w:color w:val="auto"/>
          <w:kern w:val="0"/>
          <w:sz w:val="24"/>
          <w:szCs w:val="22"/>
          <w:highlight w:val="none"/>
          <w:lang w:val="zh-CN"/>
        </w:rPr>
        <w:t>4</w:t>
      </w:r>
      <w:r>
        <w:rPr>
          <w:rFonts w:hint="eastAsia" w:ascii="宋体" w:hAnsi="宋体" w:cs="宋体"/>
          <w:color w:val="auto"/>
          <w:kern w:val="0"/>
          <w:sz w:val="24"/>
          <w:szCs w:val="22"/>
          <w:highlight w:val="none"/>
          <w:lang w:val="zh-CN"/>
        </w:rPr>
        <w:t>、</w:t>
      </w:r>
      <w:r>
        <w:rPr>
          <w:rFonts w:hint="eastAsia" w:ascii="宋体" w:hAnsi="宋体" w:cs="宋体"/>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7BF9D6BC">
      <w:pPr>
        <w:spacing w:line="360" w:lineRule="auto"/>
        <w:ind w:firstLine="482" w:firstLineChars="200"/>
        <w:rPr>
          <w:rFonts w:ascii="宋体" w:hAnsi="宋体" w:eastAsia="宋体" w:cs="宋体"/>
          <w:color w:val="auto"/>
          <w:kern w:val="2"/>
          <w:sz w:val="32"/>
          <w:szCs w:val="32"/>
          <w:highlight w:val="none"/>
        </w:rPr>
        <w:sectPr>
          <w:pgSz w:w="16838" w:h="11906" w:orient="landscape"/>
          <w:pgMar w:top="1418" w:right="1247" w:bottom="1418" w:left="1276" w:header="851" w:footer="992" w:gutter="0"/>
          <w:pgBorders>
            <w:top w:val="none" w:sz="0" w:space="0"/>
            <w:left w:val="none" w:sz="0" w:space="0"/>
            <w:bottom w:val="none" w:sz="0" w:space="0"/>
            <w:right w:val="none" w:sz="0" w:space="0"/>
          </w:pgBorders>
          <w:pgNumType w:fmt="decimal"/>
          <w:cols w:space="720" w:num="1"/>
          <w:titlePg/>
          <w:docGrid w:linePitch="312" w:charSpace="0"/>
        </w:sectPr>
      </w:pPr>
      <w:r>
        <w:rPr>
          <w:rFonts w:hint="eastAsia" w:ascii="宋体" w:hAnsi="宋体" w:cs="宋体"/>
          <w:b/>
          <w:sz w:val="24"/>
          <w:highlight w:val="none"/>
        </w:rPr>
        <w:t>5、特别说明：供应商报价低于项目预算50%的，应当在报价文件中详细阐述不影响产品质量或者诚信履约的具体原因</w:t>
      </w:r>
    </w:p>
    <w:p w14:paraId="13F9266F">
      <w:pPr>
        <w:bidi w:val="0"/>
        <w:rPr>
          <w:rFonts w:hint="eastAsia"/>
          <w:lang w:val="en-US" w:eastAsia="zh-CN"/>
        </w:rPr>
      </w:pPr>
    </w:p>
    <w:p w14:paraId="637FD46E">
      <w:pPr>
        <w:pStyle w:val="693"/>
        <w:keepNext w:val="0"/>
        <w:pageBreakBefore w:val="0"/>
        <w:tabs>
          <w:tab w:val="clear" w:pos="720"/>
        </w:tabs>
        <w:snapToGrid w:val="0"/>
        <w:spacing w:before="120" w:after="120"/>
        <w:jc w:val="center"/>
        <w:outlineLvl w:val="2"/>
        <w:rPr>
          <w:rFonts w:hint="default" w:ascii="宋体" w:hAnsi="宋体" w:eastAsia="宋体" w:cs="宋体"/>
          <w:color w:val="auto"/>
          <w:kern w:val="2"/>
          <w:sz w:val="32"/>
          <w:szCs w:val="32"/>
          <w:highlight w:val="none"/>
          <w:lang w:val="en-US" w:eastAsia="zh-CN"/>
        </w:rPr>
      </w:pPr>
      <w:r>
        <w:rPr>
          <w:rFonts w:hint="eastAsia" w:ascii="宋体" w:hAnsi="宋体" w:eastAsia="宋体" w:cs="宋体"/>
          <w:color w:val="auto"/>
          <w:kern w:val="2"/>
          <w:sz w:val="32"/>
          <w:szCs w:val="32"/>
          <w:highlight w:val="none"/>
          <w:lang w:val="en-US" w:eastAsia="zh-CN"/>
        </w:rPr>
        <w:t>二、关于符合本国产品标准的声明函或财政部会同有关部门规定的有关证明文件（如果有）</w:t>
      </w:r>
    </w:p>
    <w:p w14:paraId="0DBFFABC">
      <w:pPr>
        <w:widowControl/>
        <w:spacing w:line="360" w:lineRule="auto"/>
        <w:ind w:firstLine="120" w:firstLineChars="50"/>
        <w:jc w:val="left"/>
        <w:rPr>
          <w:rFonts w:hint="eastAsia" w:ascii="宋体" w:hAnsi="宋体" w:cs="宋体"/>
          <w:b/>
          <w:color w:val="auto"/>
          <w:sz w:val="24"/>
          <w:highlight w:val="none"/>
        </w:rPr>
      </w:pPr>
      <w:r>
        <w:rPr>
          <w:rFonts w:hint="eastAsia" w:ascii="宋体" w:hAnsi="宋体" w:cs="宋体"/>
          <w:b/>
          <w:color w:val="auto"/>
          <w:sz w:val="24"/>
          <w:highlight w:val="none"/>
        </w:rPr>
        <w:t>[符合《</w:t>
      </w:r>
      <w:r>
        <w:rPr>
          <w:rFonts w:hint="eastAsia" w:ascii="宋体" w:hAnsi="宋体" w:cs="宋体"/>
          <w:b/>
          <w:color w:val="auto"/>
          <w:sz w:val="24"/>
          <w:highlight w:val="none"/>
          <w:lang w:val="en-US" w:eastAsia="zh-CN"/>
        </w:rPr>
        <w:t>国务院办公厅关于在政府采购中实施本国产品标准及相关政策的通知</w:t>
      </w:r>
      <w:r>
        <w:rPr>
          <w:rFonts w:hint="eastAsia" w:ascii="宋体" w:hAnsi="宋体" w:cs="宋体"/>
          <w:b/>
          <w:color w:val="auto"/>
          <w:sz w:val="24"/>
          <w:highlight w:val="none"/>
        </w:rPr>
        <w:t>》规定的</w:t>
      </w:r>
      <w:r>
        <w:rPr>
          <w:rFonts w:hint="eastAsia" w:ascii="宋体" w:hAnsi="宋体" w:cs="宋体"/>
          <w:b/>
          <w:color w:val="auto"/>
          <w:sz w:val="24"/>
          <w:highlight w:val="none"/>
          <w:lang w:val="en-US" w:eastAsia="zh-CN"/>
        </w:rPr>
        <w:t>本国产品</w:t>
      </w:r>
      <w:r>
        <w:rPr>
          <w:rFonts w:hint="eastAsia" w:ascii="宋体" w:hAnsi="宋体" w:cs="宋体"/>
          <w:b/>
          <w:color w:val="auto"/>
          <w:sz w:val="24"/>
          <w:highlight w:val="none"/>
        </w:rPr>
        <w:t>拟享受价格扣除政策的，需提供</w:t>
      </w:r>
      <w:r>
        <w:rPr>
          <w:rFonts w:hint="eastAsia" w:ascii="宋体" w:hAnsi="宋体" w:eastAsia="宋体" w:cs="宋体"/>
          <w:b/>
          <w:color w:val="auto"/>
          <w:kern w:val="2"/>
          <w:sz w:val="24"/>
          <w:szCs w:val="24"/>
          <w:highlight w:val="none"/>
          <w:lang w:val="en-US" w:eastAsia="zh-CN"/>
        </w:rPr>
        <w:t>关于符合本国产品标准的声明函</w:t>
      </w:r>
      <w:r>
        <w:rPr>
          <w:rFonts w:hint="eastAsia" w:ascii="宋体" w:hAnsi="宋体" w:cs="宋体"/>
          <w:b/>
          <w:color w:val="auto"/>
          <w:sz w:val="24"/>
          <w:highlight w:val="none"/>
        </w:rPr>
        <w:t>（附件</w:t>
      </w:r>
      <w:r>
        <w:rPr>
          <w:rFonts w:hint="eastAsia" w:ascii="宋体" w:hAnsi="宋体" w:cs="宋体"/>
          <w:b/>
          <w:color w:val="auto"/>
          <w:sz w:val="24"/>
          <w:highlight w:val="none"/>
          <w:lang w:val="en-US" w:eastAsia="zh-CN"/>
        </w:rPr>
        <w:t>9</w:t>
      </w:r>
      <w:r>
        <w:rPr>
          <w:rFonts w:hint="eastAsia" w:ascii="宋体" w:hAnsi="宋体" w:cs="宋体"/>
          <w:b/>
          <w:color w:val="auto"/>
          <w:sz w:val="24"/>
          <w:highlight w:val="none"/>
        </w:rPr>
        <w:t>）</w:t>
      </w:r>
      <w:r>
        <w:rPr>
          <w:rFonts w:hint="eastAsia" w:ascii="宋体" w:hAnsi="宋体" w:cs="宋体"/>
          <w:b/>
          <w:color w:val="auto"/>
          <w:sz w:val="24"/>
          <w:highlight w:val="none"/>
          <w:lang w:val="en-US" w:eastAsia="zh-CN"/>
        </w:rPr>
        <w:t>或财政部会同有关部门规定的有关证明文件</w:t>
      </w:r>
      <w:r>
        <w:rPr>
          <w:rFonts w:hint="eastAsia" w:ascii="宋体" w:hAnsi="宋体" w:cs="宋体"/>
          <w:b/>
          <w:color w:val="auto"/>
          <w:sz w:val="24"/>
          <w:highlight w:val="none"/>
        </w:rPr>
        <w:t>。]</w:t>
      </w:r>
    </w:p>
    <w:p w14:paraId="10D55DDB">
      <w:pPr>
        <w:widowControl/>
        <w:spacing w:line="360" w:lineRule="auto"/>
        <w:ind w:firstLine="0" w:firstLineChars="0"/>
        <w:jc w:val="left"/>
        <w:rPr>
          <w:rFonts w:hint="eastAsia" w:ascii="宋体" w:hAnsi="宋体" w:cs="宋体"/>
          <w:b/>
          <w:color w:val="auto"/>
          <w:sz w:val="24"/>
          <w:highlight w:val="none"/>
          <w:u w:val="single"/>
        </w:rPr>
      </w:pPr>
      <w:r>
        <w:rPr>
          <w:rFonts w:hint="eastAsia" w:ascii="宋体" w:hAnsi="宋体" w:cs="宋体"/>
          <w:b/>
          <w:color w:val="auto"/>
          <w:sz w:val="24"/>
          <w:highlight w:val="none"/>
          <w:u w:val="single"/>
          <w:lang w:val="en-US" w:eastAsia="zh-CN"/>
        </w:rPr>
        <w:t>注：投标人未提供</w:t>
      </w:r>
      <w:r>
        <w:rPr>
          <w:rFonts w:hint="eastAsia" w:ascii="宋体" w:hAnsi="宋体" w:eastAsia="宋体" w:cs="宋体"/>
          <w:b/>
          <w:color w:val="auto"/>
          <w:kern w:val="2"/>
          <w:sz w:val="24"/>
          <w:szCs w:val="24"/>
          <w:highlight w:val="none"/>
          <w:u w:val="single"/>
          <w:lang w:val="en-US" w:eastAsia="zh-CN"/>
        </w:rPr>
        <w:t>关于符合本国产品标准的声明函</w:t>
      </w:r>
      <w:r>
        <w:rPr>
          <w:rFonts w:hint="eastAsia" w:ascii="宋体" w:hAnsi="宋体" w:cs="宋体"/>
          <w:b/>
          <w:color w:val="auto"/>
          <w:kern w:val="2"/>
          <w:sz w:val="24"/>
          <w:szCs w:val="24"/>
          <w:highlight w:val="none"/>
          <w:u w:val="single"/>
          <w:lang w:val="en-US" w:eastAsia="zh-CN"/>
        </w:rPr>
        <w:t>（</w:t>
      </w:r>
      <w:r>
        <w:rPr>
          <w:rFonts w:hint="eastAsia" w:ascii="宋体" w:hAnsi="宋体" w:cs="宋体"/>
          <w:b/>
          <w:color w:val="auto"/>
          <w:sz w:val="24"/>
          <w:highlight w:val="none"/>
          <w:lang w:val="en-US" w:eastAsia="zh-CN"/>
        </w:rPr>
        <w:t>或财政部会同有关部门规定的有关证明文件</w:t>
      </w:r>
      <w:r>
        <w:rPr>
          <w:rFonts w:hint="eastAsia" w:ascii="宋体" w:hAnsi="宋体" w:cs="宋体"/>
          <w:b/>
          <w:color w:val="auto"/>
          <w:kern w:val="2"/>
          <w:sz w:val="24"/>
          <w:szCs w:val="24"/>
          <w:highlight w:val="none"/>
          <w:u w:val="single"/>
          <w:lang w:val="en-US" w:eastAsia="zh-CN"/>
        </w:rPr>
        <w:t>）</w:t>
      </w:r>
      <w:r>
        <w:rPr>
          <w:rFonts w:hint="eastAsia" w:ascii="宋体" w:hAnsi="宋体" w:cs="宋体"/>
          <w:b/>
          <w:color w:val="auto"/>
          <w:sz w:val="24"/>
          <w:highlight w:val="none"/>
          <w:u w:val="single"/>
          <w:lang w:val="en-US" w:eastAsia="zh-CN"/>
        </w:rPr>
        <w:t>或提供的</w:t>
      </w:r>
      <w:r>
        <w:rPr>
          <w:rFonts w:hint="eastAsia" w:ascii="宋体" w:hAnsi="宋体" w:eastAsia="宋体" w:cs="宋体"/>
          <w:b/>
          <w:color w:val="auto"/>
          <w:kern w:val="2"/>
          <w:sz w:val="24"/>
          <w:szCs w:val="24"/>
          <w:highlight w:val="none"/>
          <w:u w:val="single"/>
          <w:lang w:val="en-US" w:eastAsia="zh-CN"/>
        </w:rPr>
        <w:t>关于符合本国产品标准的声明函</w:t>
      </w:r>
      <w:r>
        <w:rPr>
          <w:rFonts w:hint="eastAsia" w:ascii="宋体" w:hAnsi="宋体" w:cs="宋体"/>
          <w:b/>
          <w:color w:val="auto"/>
          <w:kern w:val="2"/>
          <w:sz w:val="24"/>
          <w:szCs w:val="24"/>
          <w:highlight w:val="none"/>
          <w:u w:val="single"/>
          <w:lang w:val="en-US" w:eastAsia="zh-CN"/>
        </w:rPr>
        <w:t>（</w:t>
      </w:r>
      <w:r>
        <w:rPr>
          <w:rFonts w:hint="eastAsia" w:ascii="宋体" w:hAnsi="宋体" w:cs="宋体"/>
          <w:b/>
          <w:color w:val="auto"/>
          <w:sz w:val="24"/>
          <w:highlight w:val="none"/>
          <w:lang w:val="en-US" w:eastAsia="zh-CN"/>
        </w:rPr>
        <w:t>或财政部会同有关部门规定的有关证明文件</w:t>
      </w:r>
      <w:r>
        <w:rPr>
          <w:rFonts w:hint="eastAsia" w:ascii="宋体" w:hAnsi="宋体" w:cs="宋体"/>
          <w:b/>
          <w:color w:val="auto"/>
          <w:kern w:val="2"/>
          <w:sz w:val="24"/>
          <w:szCs w:val="24"/>
          <w:highlight w:val="none"/>
          <w:u w:val="single"/>
          <w:lang w:val="en-US" w:eastAsia="zh-CN"/>
        </w:rPr>
        <w:t>）不符合要求的，</w:t>
      </w:r>
      <w:r>
        <w:rPr>
          <w:rFonts w:hint="eastAsia" w:ascii="宋体" w:hAnsi="宋体" w:cs="宋体"/>
          <w:b/>
          <w:color w:val="auto"/>
          <w:sz w:val="24"/>
          <w:highlight w:val="none"/>
          <w:u w:val="single"/>
          <w:lang w:val="en-US" w:eastAsia="zh-CN"/>
        </w:rPr>
        <w:t>不享受该价格扣除政策</w:t>
      </w:r>
      <w:r>
        <w:rPr>
          <w:rFonts w:hint="eastAsia" w:ascii="宋体" w:hAnsi="宋体" w:cs="宋体"/>
          <w:b/>
          <w:color w:val="auto"/>
          <w:sz w:val="24"/>
          <w:highlight w:val="none"/>
          <w:u w:val="single"/>
        </w:rPr>
        <w:t>。</w:t>
      </w:r>
    </w:p>
    <w:p w14:paraId="4B5AF7EC">
      <w:pPr>
        <w:pStyle w:val="693"/>
        <w:keepNext w:val="0"/>
        <w:keepLines w:val="0"/>
        <w:pageBreakBefore w:val="0"/>
        <w:widowControl w:val="0"/>
        <w:tabs>
          <w:tab w:val="clear" w:pos="720"/>
        </w:tabs>
        <w:kinsoku/>
        <w:wordWrap/>
        <w:overflowPunct/>
        <w:topLinePunct w:val="0"/>
        <w:autoSpaceDE/>
        <w:autoSpaceDN/>
        <w:bidi w:val="0"/>
        <w:adjustRightInd w:val="0"/>
        <w:snapToGrid w:val="0"/>
        <w:spacing w:before="120" w:after="120"/>
        <w:ind w:firstLine="641"/>
        <w:textAlignment w:val="auto"/>
        <w:outlineLvl w:val="9"/>
        <w:rPr>
          <w:rFonts w:hint="eastAsia" w:ascii="宋体" w:hAnsi="宋体" w:eastAsia="宋体" w:cs="宋体"/>
          <w:color w:val="auto"/>
          <w:kern w:val="2"/>
          <w:sz w:val="32"/>
          <w:szCs w:val="32"/>
          <w:highlight w:val="none"/>
          <w:lang w:val="en-US" w:eastAsia="zh-CN"/>
        </w:rPr>
      </w:pPr>
    </w:p>
    <w:p w14:paraId="53181DE9">
      <w:pPr>
        <w:pStyle w:val="693"/>
        <w:keepNext w:val="0"/>
        <w:keepLines w:val="0"/>
        <w:pageBreakBefore w:val="0"/>
        <w:widowControl w:val="0"/>
        <w:tabs>
          <w:tab w:val="clear" w:pos="720"/>
        </w:tabs>
        <w:kinsoku/>
        <w:wordWrap/>
        <w:overflowPunct/>
        <w:topLinePunct w:val="0"/>
        <w:autoSpaceDE/>
        <w:autoSpaceDN/>
        <w:bidi w:val="0"/>
        <w:adjustRightInd w:val="0"/>
        <w:snapToGrid w:val="0"/>
        <w:spacing w:before="120" w:after="120"/>
        <w:ind w:firstLine="641"/>
        <w:textAlignment w:val="auto"/>
        <w:outlineLvl w:val="9"/>
        <w:rPr>
          <w:rFonts w:hint="eastAsia" w:ascii="宋体" w:hAnsi="宋体" w:eastAsia="宋体" w:cs="宋体"/>
          <w:color w:val="auto"/>
          <w:kern w:val="2"/>
          <w:sz w:val="32"/>
          <w:szCs w:val="32"/>
          <w:highlight w:val="none"/>
          <w:lang w:val="en-US" w:eastAsia="zh-CN"/>
        </w:rPr>
      </w:pPr>
    </w:p>
    <w:p w14:paraId="7D73C956">
      <w:pPr>
        <w:pStyle w:val="693"/>
        <w:keepNext w:val="0"/>
        <w:keepLines w:val="0"/>
        <w:pageBreakBefore w:val="0"/>
        <w:widowControl w:val="0"/>
        <w:tabs>
          <w:tab w:val="clear" w:pos="720"/>
        </w:tabs>
        <w:kinsoku/>
        <w:wordWrap/>
        <w:overflowPunct/>
        <w:topLinePunct w:val="0"/>
        <w:autoSpaceDE/>
        <w:autoSpaceDN/>
        <w:bidi w:val="0"/>
        <w:adjustRightInd w:val="0"/>
        <w:snapToGrid w:val="0"/>
        <w:spacing w:before="120" w:after="120"/>
        <w:jc w:val="both"/>
        <w:textAlignment w:val="auto"/>
        <w:outlineLvl w:val="9"/>
        <w:rPr>
          <w:rFonts w:hint="eastAsia" w:ascii="宋体" w:hAnsi="宋体" w:eastAsia="宋体" w:cs="宋体"/>
          <w:color w:val="auto"/>
          <w:kern w:val="2"/>
          <w:sz w:val="32"/>
          <w:szCs w:val="32"/>
          <w:highlight w:val="none"/>
          <w:lang w:val="en-US" w:eastAsia="zh-CN"/>
        </w:rPr>
      </w:pPr>
    </w:p>
    <w:p w14:paraId="70446606">
      <w:pPr>
        <w:pStyle w:val="693"/>
        <w:keepNext w:val="0"/>
        <w:pageBreakBefore w:val="0"/>
        <w:tabs>
          <w:tab w:val="clear" w:pos="720"/>
        </w:tabs>
        <w:snapToGrid w:val="0"/>
        <w:spacing w:before="120" w:after="120"/>
        <w:ind w:firstLine="643"/>
        <w:outlineLvl w:val="2"/>
        <w:rPr>
          <w:rFonts w:ascii="宋体" w:hAnsi="宋体" w:eastAsia="宋体" w:cs="宋体"/>
          <w:color w:val="auto"/>
          <w:sz w:val="32"/>
          <w:szCs w:val="32"/>
          <w:highlight w:val="none"/>
        </w:rPr>
      </w:pPr>
      <w:r>
        <w:rPr>
          <w:rFonts w:hint="eastAsia" w:ascii="宋体" w:hAnsi="宋体" w:eastAsia="宋体" w:cs="宋体"/>
          <w:color w:val="auto"/>
          <w:kern w:val="2"/>
          <w:sz w:val="32"/>
          <w:szCs w:val="32"/>
          <w:highlight w:val="none"/>
          <w:lang w:val="en-US" w:eastAsia="zh-CN"/>
        </w:rPr>
        <w:t>三</w:t>
      </w:r>
      <w:r>
        <w:rPr>
          <w:rFonts w:hint="eastAsia" w:ascii="宋体" w:hAnsi="宋体" w:eastAsia="宋体" w:cs="宋体"/>
          <w:color w:val="auto"/>
          <w:kern w:val="2"/>
          <w:sz w:val="32"/>
          <w:szCs w:val="32"/>
          <w:highlight w:val="none"/>
        </w:rPr>
        <w:t>、</w:t>
      </w:r>
      <w:r>
        <w:rPr>
          <w:rFonts w:hint="eastAsia" w:ascii="宋体" w:hAnsi="宋体" w:eastAsia="宋体" w:cs="宋体"/>
          <w:color w:val="auto"/>
          <w:sz w:val="32"/>
          <w:szCs w:val="32"/>
          <w:highlight w:val="none"/>
        </w:rPr>
        <w:t>中小企业声明函</w:t>
      </w:r>
      <w:bookmarkStart w:id="572" w:name="_Hlk101259491"/>
      <w:r>
        <w:rPr>
          <w:rFonts w:hint="eastAsia" w:ascii="宋体" w:hAnsi="宋体" w:eastAsia="宋体" w:cs="宋体"/>
          <w:color w:val="auto"/>
          <w:sz w:val="32"/>
          <w:szCs w:val="32"/>
          <w:highlight w:val="none"/>
        </w:rPr>
        <w:t>（如果有）</w:t>
      </w:r>
      <w:bookmarkEnd w:id="572"/>
    </w:p>
    <w:p w14:paraId="0BC20387">
      <w:pPr>
        <w:widowControl/>
        <w:spacing w:line="360" w:lineRule="auto"/>
        <w:ind w:firstLine="120" w:firstLineChars="50"/>
        <w:jc w:val="left"/>
        <w:rPr>
          <w:rFonts w:ascii="宋体" w:hAnsi="宋体" w:cs="宋体"/>
          <w:b/>
          <w:color w:val="auto"/>
          <w:sz w:val="24"/>
          <w:highlight w:val="none"/>
        </w:rPr>
      </w:pPr>
      <w:r>
        <w:rPr>
          <w:rFonts w:hint="eastAsia" w:ascii="宋体" w:hAnsi="宋体" w:cs="宋体"/>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ascii="宋体" w:hAnsi="宋体" w:cs="宋体"/>
          <w:b/>
          <w:color w:val="auto"/>
          <w:sz w:val="24"/>
          <w:highlight w:val="none"/>
        </w:rPr>
        <w:t>7</w:t>
      </w:r>
      <w:r>
        <w:rPr>
          <w:rFonts w:hint="eastAsia" w:ascii="宋体" w:hAnsi="宋体" w:cs="宋体"/>
          <w:b/>
          <w:color w:val="auto"/>
          <w:sz w:val="24"/>
          <w:highlight w:val="none"/>
        </w:rPr>
        <w:t>）。]</w:t>
      </w:r>
    </w:p>
    <w:p w14:paraId="3A35330C">
      <w:pPr>
        <w:pStyle w:val="693"/>
        <w:keepNext w:val="0"/>
        <w:pageBreakBefore w:val="0"/>
        <w:tabs>
          <w:tab w:val="clear" w:pos="720"/>
        </w:tabs>
        <w:snapToGrid w:val="0"/>
        <w:spacing w:before="120" w:after="120"/>
        <w:ind w:firstLine="643"/>
        <w:outlineLvl w:val="9"/>
        <w:rPr>
          <w:rFonts w:ascii="宋体" w:hAnsi="宋体" w:eastAsia="宋体" w:cs="宋体"/>
          <w:b w:val="0"/>
          <w:color w:val="auto"/>
          <w:sz w:val="32"/>
          <w:szCs w:val="32"/>
          <w:highlight w:val="none"/>
        </w:rPr>
      </w:pPr>
    </w:p>
    <w:p w14:paraId="2E86CCAE">
      <w:pPr>
        <w:spacing w:line="360" w:lineRule="auto"/>
        <w:ind w:right="420" w:firstLine="3614" w:firstLineChars="1000"/>
        <w:rPr>
          <w:rFonts w:ascii="宋体" w:hAnsi="宋体" w:cs="宋体"/>
          <w:b/>
          <w:color w:val="auto"/>
          <w:kern w:val="0"/>
          <w:sz w:val="36"/>
          <w:szCs w:val="36"/>
          <w:highlight w:val="none"/>
        </w:rPr>
      </w:pPr>
    </w:p>
    <w:p w14:paraId="100A4A9F">
      <w:pPr>
        <w:spacing w:line="360" w:lineRule="auto"/>
        <w:ind w:right="420" w:firstLine="3614" w:firstLineChars="1000"/>
        <w:rPr>
          <w:rFonts w:ascii="宋体" w:hAnsi="宋体" w:cs="宋体"/>
          <w:b/>
          <w:color w:val="auto"/>
          <w:kern w:val="0"/>
          <w:sz w:val="36"/>
          <w:szCs w:val="36"/>
          <w:highlight w:val="none"/>
        </w:rPr>
      </w:pPr>
    </w:p>
    <w:p w14:paraId="0D9A57EC">
      <w:pPr>
        <w:spacing w:line="360" w:lineRule="auto"/>
        <w:ind w:right="420" w:firstLine="3614" w:firstLineChars="1000"/>
        <w:rPr>
          <w:rFonts w:ascii="宋体" w:hAnsi="宋体" w:cs="宋体"/>
          <w:b/>
          <w:color w:val="auto"/>
          <w:kern w:val="0"/>
          <w:sz w:val="36"/>
          <w:szCs w:val="36"/>
          <w:highlight w:val="none"/>
        </w:rPr>
      </w:pPr>
    </w:p>
    <w:p w14:paraId="0ABA8080">
      <w:pPr>
        <w:spacing w:line="360" w:lineRule="auto"/>
        <w:ind w:right="420" w:firstLine="3614" w:firstLineChars="1000"/>
        <w:rPr>
          <w:rFonts w:ascii="宋体" w:hAnsi="宋体" w:cs="宋体"/>
          <w:b/>
          <w:color w:val="auto"/>
          <w:kern w:val="0"/>
          <w:sz w:val="36"/>
          <w:szCs w:val="36"/>
          <w:highlight w:val="none"/>
        </w:rPr>
      </w:pPr>
    </w:p>
    <w:p w14:paraId="2934CE73">
      <w:pPr>
        <w:spacing w:line="360" w:lineRule="auto"/>
        <w:ind w:right="420" w:firstLine="3614" w:firstLineChars="1000"/>
        <w:rPr>
          <w:rFonts w:ascii="宋体" w:hAnsi="宋体" w:cs="宋体"/>
          <w:b/>
          <w:color w:val="auto"/>
          <w:kern w:val="0"/>
          <w:sz w:val="36"/>
          <w:szCs w:val="36"/>
          <w:highlight w:val="none"/>
        </w:rPr>
      </w:pPr>
    </w:p>
    <w:p w14:paraId="0392ECE6">
      <w:pPr>
        <w:spacing w:line="360" w:lineRule="auto"/>
        <w:ind w:right="420"/>
        <w:rPr>
          <w:rFonts w:ascii="宋体" w:hAnsi="宋体" w:cs="宋体"/>
          <w:b/>
          <w:color w:val="auto"/>
          <w:kern w:val="0"/>
          <w:sz w:val="36"/>
          <w:szCs w:val="36"/>
          <w:highlight w:val="none"/>
        </w:rPr>
      </w:pPr>
    </w:p>
    <w:p w14:paraId="43450441">
      <w:pPr>
        <w:pStyle w:val="2"/>
        <w:keepNext w:val="0"/>
        <w:keepLines w:val="0"/>
        <w:pageBreakBefore/>
        <w:widowControl/>
        <w:spacing w:before="100" w:beforeAutospacing="1" w:after="100" w:afterAutospacing="1" w:line="360" w:lineRule="auto"/>
        <w:ind w:left="1290" w:firstLine="3092" w:firstLineChars="700"/>
        <w:rPr>
          <w:rFonts w:ascii="宋体" w:hAnsi="宋体" w:cs="宋体"/>
          <w:color w:val="auto"/>
          <w:highlight w:val="none"/>
        </w:rPr>
      </w:pPr>
      <w:bookmarkStart w:id="573" w:name="_Toc465665161"/>
      <w:r>
        <w:rPr>
          <w:rFonts w:hint="eastAsia" w:ascii="宋体" w:hAnsi="宋体" w:cs="宋体"/>
          <w:color w:val="auto"/>
          <w:highlight w:val="none"/>
        </w:rPr>
        <w:t>附件</w:t>
      </w:r>
      <w:bookmarkEnd w:id="573"/>
    </w:p>
    <w:p w14:paraId="6653F81C">
      <w:pPr>
        <w:spacing w:line="360" w:lineRule="auto"/>
        <w:outlineLvl w:val="1"/>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附件1：</w:t>
      </w:r>
    </w:p>
    <w:p w14:paraId="652CB561">
      <w:pPr>
        <w:spacing w:line="360" w:lineRule="auto"/>
        <w:jc w:val="center"/>
        <w:rPr>
          <w:rFonts w:ascii="宋体" w:hAnsi="宋体" w:cs="宋体"/>
          <w:b/>
          <w:color w:val="auto"/>
          <w:spacing w:val="6"/>
          <w:sz w:val="32"/>
          <w:szCs w:val="32"/>
          <w:highlight w:val="none"/>
        </w:rPr>
      </w:pPr>
      <w:bookmarkStart w:id="574" w:name="OLE_LINK13"/>
      <w:bookmarkStart w:id="575" w:name="OLE_LINK14"/>
      <w:r>
        <w:rPr>
          <w:rFonts w:hint="eastAsia" w:ascii="宋体" w:hAnsi="宋体" w:cs="宋体"/>
          <w:b/>
          <w:color w:val="auto"/>
          <w:spacing w:val="6"/>
          <w:sz w:val="32"/>
          <w:szCs w:val="32"/>
          <w:highlight w:val="none"/>
        </w:rPr>
        <w:t>残疾人福利性单位声明函</w:t>
      </w:r>
    </w:p>
    <w:bookmarkEnd w:id="574"/>
    <w:bookmarkEnd w:id="575"/>
    <w:p w14:paraId="712BB1BA">
      <w:pPr>
        <w:spacing w:line="360" w:lineRule="auto"/>
        <w:rPr>
          <w:rFonts w:ascii="宋体" w:hAnsi="宋体" w:cs="宋体"/>
          <w:b/>
          <w:color w:val="auto"/>
          <w:spacing w:val="6"/>
          <w:sz w:val="30"/>
          <w:szCs w:val="30"/>
          <w:highlight w:val="none"/>
        </w:rPr>
      </w:pPr>
    </w:p>
    <w:p w14:paraId="3A0428C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 141号）的规定，本单位为符合条件的残疾人福利性单位，且本单位参加_</w:t>
      </w:r>
      <w:r>
        <w:rPr>
          <w:rFonts w:hint="eastAsia" w:ascii="宋体" w:hAnsi="宋体" w:cs="宋体"/>
          <w:color w:val="auto"/>
          <w:sz w:val="24"/>
          <w:highlight w:val="none"/>
          <w:u w:val="single"/>
        </w:rPr>
        <w:t>（采购人）</w:t>
      </w:r>
      <w:r>
        <w:rPr>
          <w:rFonts w:hint="eastAsia" w:ascii="宋体" w:hAnsi="宋体" w:cs="宋体"/>
          <w:color w:val="auto"/>
          <w:sz w:val="24"/>
          <w:highlight w:val="none"/>
        </w:rPr>
        <w:t>_单位的_</w:t>
      </w:r>
      <w:r>
        <w:rPr>
          <w:rFonts w:hint="eastAsia" w:ascii="宋体" w:hAnsi="宋体" w:cs="宋体"/>
          <w:color w:val="auto"/>
          <w:sz w:val="24"/>
          <w:highlight w:val="none"/>
          <w:u w:val="single"/>
        </w:rPr>
        <w:t>（项目名称）</w:t>
      </w:r>
      <w:r>
        <w:rPr>
          <w:rFonts w:hint="eastAsia" w:ascii="宋体" w:hAnsi="宋体" w:cs="宋体"/>
          <w:color w:val="auto"/>
          <w:sz w:val="24"/>
          <w:highlight w:val="none"/>
        </w:rPr>
        <w:t>__项目采购活动提供本单位制造的货物（由本单位承担工程/提供服务），或者提供其他残疾人福利性单位制造的货物（不包括使用非残疾人福利性单位注册商标的货物）。</w:t>
      </w:r>
    </w:p>
    <w:p w14:paraId="698B9FB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32ACEB5B">
      <w:pPr>
        <w:spacing w:line="360" w:lineRule="auto"/>
        <w:ind w:firstLine="480" w:firstLineChars="200"/>
        <w:rPr>
          <w:rFonts w:ascii="宋体" w:hAnsi="宋体" w:cs="宋体"/>
          <w:color w:val="auto"/>
          <w:sz w:val="24"/>
          <w:highlight w:val="none"/>
        </w:rPr>
      </w:pPr>
    </w:p>
    <w:p w14:paraId="2599774D">
      <w:pPr>
        <w:spacing w:line="360" w:lineRule="auto"/>
        <w:ind w:firstLine="480" w:firstLineChars="200"/>
        <w:rPr>
          <w:rFonts w:ascii="宋体" w:hAnsi="宋体" w:cs="宋体"/>
          <w:color w:val="auto"/>
          <w:sz w:val="24"/>
          <w:highlight w:val="none"/>
        </w:rPr>
      </w:pPr>
    </w:p>
    <w:p w14:paraId="5AA6ADEB">
      <w:pPr>
        <w:tabs>
          <w:tab w:val="left" w:pos="4860"/>
        </w:tabs>
        <w:spacing w:line="360" w:lineRule="auto"/>
        <w:ind w:right="1560" w:firstLine="480" w:firstLineChars="200"/>
        <w:jc w:val="center"/>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lang w:val="zh-CN"/>
        </w:rPr>
        <w:t>投标人名称（电子签名）</w:t>
      </w:r>
      <w:r>
        <w:rPr>
          <w:rFonts w:hint="eastAsia" w:ascii="宋体" w:hAnsi="宋体" w:cs="宋体"/>
          <w:color w:val="auto"/>
          <w:sz w:val="24"/>
          <w:highlight w:val="none"/>
        </w:rPr>
        <w:t>：</w:t>
      </w:r>
    </w:p>
    <w:p w14:paraId="349D9D06">
      <w:pPr>
        <w:tabs>
          <w:tab w:val="left" w:pos="4860"/>
        </w:tabs>
        <w:spacing w:line="360" w:lineRule="auto"/>
        <w:ind w:right="1560" w:firstLine="480" w:firstLineChars="200"/>
        <w:jc w:val="center"/>
        <w:rPr>
          <w:rFonts w:ascii="宋体" w:hAnsi="宋体" w:cs="宋体"/>
          <w:color w:val="auto"/>
          <w:sz w:val="24"/>
          <w:highlight w:val="none"/>
        </w:rPr>
      </w:pPr>
      <w:r>
        <w:rPr>
          <w:rFonts w:hint="eastAsia" w:ascii="宋体" w:hAnsi="宋体" w:cs="宋体"/>
          <w:color w:val="auto"/>
          <w:sz w:val="24"/>
          <w:highlight w:val="none"/>
        </w:rPr>
        <w:t xml:space="preserve">       日  期：</w:t>
      </w:r>
    </w:p>
    <w:p w14:paraId="0B4E3AAE">
      <w:pPr>
        <w:spacing w:line="360" w:lineRule="auto"/>
        <w:ind w:firstLine="480" w:firstLineChars="200"/>
        <w:rPr>
          <w:rFonts w:ascii="宋体" w:hAnsi="宋体" w:cs="宋体"/>
          <w:color w:val="auto"/>
          <w:sz w:val="24"/>
          <w:highlight w:val="none"/>
        </w:rPr>
      </w:pPr>
    </w:p>
    <w:p w14:paraId="3DE0310D">
      <w:pPr>
        <w:spacing w:line="360" w:lineRule="auto"/>
        <w:ind w:firstLine="420" w:firstLineChars="200"/>
        <w:rPr>
          <w:rFonts w:ascii="宋体" w:hAnsi="宋体" w:cs="宋体"/>
          <w:color w:val="auto"/>
          <w:highlight w:val="none"/>
        </w:rPr>
      </w:pPr>
    </w:p>
    <w:p w14:paraId="00CAC4FA">
      <w:pPr>
        <w:spacing w:line="360" w:lineRule="auto"/>
        <w:ind w:firstLine="420" w:firstLineChars="200"/>
        <w:rPr>
          <w:rFonts w:ascii="宋体" w:hAnsi="宋体" w:cs="宋体"/>
          <w:color w:val="auto"/>
          <w:highlight w:val="none"/>
        </w:rPr>
      </w:pPr>
    </w:p>
    <w:p w14:paraId="0BB5DEC8">
      <w:pPr>
        <w:spacing w:line="360" w:lineRule="auto"/>
        <w:ind w:firstLine="420" w:firstLineChars="200"/>
        <w:rPr>
          <w:rFonts w:ascii="宋体" w:hAnsi="宋体" w:cs="宋体"/>
          <w:color w:val="auto"/>
          <w:highlight w:val="none"/>
        </w:rPr>
      </w:pPr>
    </w:p>
    <w:p w14:paraId="4282E7AA">
      <w:pPr>
        <w:spacing w:line="360" w:lineRule="auto"/>
        <w:ind w:firstLine="420" w:firstLineChars="200"/>
        <w:rPr>
          <w:rFonts w:ascii="宋体" w:hAnsi="宋体" w:cs="宋体"/>
          <w:color w:val="auto"/>
          <w:highlight w:val="none"/>
        </w:rPr>
      </w:pPr>
    </w:p>
    <w:p w14:paraId="3E34C3F4">
      <w:pPr>
        <w:spacing w:line="360" w:lineRule="auto"/>
        <w:rPr>
          <w:rFonts w:ascii="宋体" w:hAnsi="宋体" w:cs="宋体"/>
          <w:b/>
          <w:color w:val="auto"/>
          <w:sz w:val="24"/>
          <w:highlight w:val="none"/>
        </w:rPr>
      </w:pPr>
    </w:p>
    <w:p w14:paraId="51831086">
      <w:pPr>
        <w:spacing w:line="360" w:lineRule="auto"/>
        <w:rPr>
          <w:rFonts w:ascii="宋体" w:hAnsi="宋体" w:cs="宋体"/>
          <w:b/>
          <w:color w:val="auto"/>
          <w:sz w:val="24"/>
          <w:highlight w:val="none"/>
        </w:rPr>
      </w:pPr>
    </w:p>
    <w:p w14:paraId="29008D1C">
      <w:pPr>
        <w:spacing w:line="360" w:lineRule="auto"/>
        <w:rPr>
          <w:rFonts w:ascii="宋体" w:hAnsi="宋体" w:cs="宋体"/>
          <w:b/>
          <w:color w:val="auto"/>
          <w:sz w:val="24"/>
          <w:highlight w:val="none"/>
        </w:rPr>
      </w:pPr>
    </w:p>
    <w:p w14:paraId="21464C81">
      <w:pPr>
        <w:spacing w:line="360" w:lineRule="auto"/>
        <w:rPr>
          <w:rFonts w:ascii="宋体" w:hAnsi="宋体" w:cs="宋体"/>
          <w:b/>
          <w:color w:val="auto"/>
          <w:sz w:val="24"/>
          <w:highlight w:val="none"/>
        </w:rPr>
      </w:pPr>
    </w:p>
    <w:p w14:paraId="004D1891">
      <w:pPr>
        <w:spacing w:line="360" w:lineRule="auto"/>
        <w:rPr>
          <w:rFonts w:ascii="宋体" w:hAnsi="宋体" w:cs="宋体"/>
          <w:b/>
          <w:color w:val="auto"/>
          <w:sz w:val="24"/>
          <w:highlight w:val="none"/>
        </w:rPr>
      </w:pPr>
    </w:p>
    <w:p w14:paraId="01FF8C51">
      <w:pPr>
        <w:spacing w:line="360" w:lineRule="auto"/>
        <w:rPr>
          <w:rFonts w:ascii="宋体" w:hAnsi="宋体" w:cs="宋体"/>
          <w:b/>
          <w:color w:val="auto"/>
          <w:sz w:val="24"/>
          <w:highlight w:val="none"/>
        </w:rPr>
      </w:pPr>
    </w:p>
    <w:p w14:paraId="307051DF">
      <w:pPr>
        <w:rPr>
          <w:rFonts w:ascii="宋体" w:hAnsi="宋体" w:cs="宋体"/>
          <w:b/>
          <w:color w:val="auto"/>
          <w:sz w:val="24"/>
          <w:highlight w:val="none"/>
        </w:rPr>
      </w:pPr>
      <w:r>
        <w:rPr>
          <w:rFonts w:ascii="宋体" w:hAnsi="宋体" w:cs="宋体"/>
          <w:b/>
          <w:color w:val="auto"/>
          <w:sz w:val="24"/>
          <w:highlight w:val="none"/>
        </w:rPr>
        <w:br w:type="page"/>
      </w:r>
    </w:p>
    <w:p w14:paraId="67F90FD5">
      <w:pPr>
        <w:spacing w:line="360" w:lineRule="auto"/>
        <w:rPr>
          <w:rFonts w:ascii="宋体" w:hAnsi="宋体" w:cs="宋体"/>
          <w:b/>
          <w:color w:val="auto"/>
          <w:sz w:val="24"/>
          <w:highlight w:val="none"/>
        </w:rPr>
      </w:pPr>
    </w:p>
    <w:p w14:paraId="4F550167">
      <w:pPr>
        <w:spacing w:line="360" w:lineRule="auto"/>
        <w:jc w:val="left"/>
        <w:outlineLvl w:val="1"/>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附件2：质疑函范本及制作说明</w:t>
      </w:r>
    </w:p>
    <w:p w14:paraId="738F034C">
      <w:pPr>
        <w:spacing w:line="360" w:lineRule="auto"/>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质疑函范本</w:t>
      </w:r>
    </w:p>
    <w:p w14:paraId="3E0957B3">
      <w:pPr>
        <w:snapToGrid w:val="0"/>
        <w:spacing w:before="240" w:beforeLines="100" w:line="360" w:lineRule="auto"/>
        <w:rPr>
          <w:rFonts w:ascii="宋体" w:hAnsi="宋体" w:cs="宋体"/>
          <w:bCs/>
          <w:color w:val="auto"/>
          <w:sz w:val="24"/>
          <w:highlight w:val="none"/>
        </w:rPr>
      </w:pPr>
      <w:r>
        <w:rPr>
          <w:rFonts w:hint="eastAsia" w:ascii="宋体" w:hAnsi="宋体" w:cs="宋体"/>
          <w:bCs/>
          <w:color w:val="auto"/>
          <w:sz w:val="24"/>
          <w:highlight w:val="none"/>
        </w:rPr>
        <w:t>一、质疑供应商基本信息</w:t>
      </w:r>
    </w:p>
    <w:p w14:paraId="22FF7157">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14:paraId="71AB3590">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408A59C7">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204ACEEE">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14:paraId="6C79F60A">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0883DAD4">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2AB682CB">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二、质疑项目基本情况</w:t>
      </w:r>
    </w:p>
    <w:p w14:paraId="4D82F93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14:paraId="6A051E37">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77D7FCFE">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14:paraId="021D85A4">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采购文件获取日期：</w:t>
      </w:r>
      <w:r>
        <w:rPr>
          <w:rFonts w:hint="eastAsia" w:ascii="宋体" w:hAnsi="宋体" w:cs="宋体"/>
          <w:color w:val="auto"/>
          <w:sz w:val="24"/>
          <w:highlight w:val="none"/>
          <w:u w:val="dotted"/>
        </w:rPr>
        <w:t xml:space="preserve">                                           </w:t>
      </w:r>
    </w:p>
    <w:p w14:paraId="13E8BC43">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三、质疑事项具体内容</w:t>
      </w:r>
    </w:p>
    <w:p w14:paraId="4C556E3E">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14:paraId="7D32A8C9">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33E4BDD7">
      <w:pPr>
        <w:snapToGrid w:val="0"/>
        <w:spacing w:line="360" w:lineRule="auto"/>
        <w:rPr>
          <w:rFonts w:ascii="宋体" w:hAnsi="宋体" w:cs="宋体"/>
          <w:color w:val="auto"/>
          <w:sz w:val="24"/>
          <w:highlight w:val="none"/>
        </w:rPr>
      </w:pPr>
      <w:r>
        <w:rPr>
          <w:rFonts w:hint="eastAsia" w:ascii="宋体" w:hAnsi="宋体" w:cs="宋体"/>
          <w:color w:val="auto"/>
          <w:sz w:val="24"/>
          <w:highlight w:val="none"/>
          <w:u w:val="dotted"/>
        </w:rPr>
        <w:t xml:space="preserve">                                                       </w:t>
      </w:r>
    </w:p>
    <w:p w14:paraId="5ADFDFE0">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5CC066E6">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45F3CB19">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质疑事项2</w:t>
      </w:r>
    </w:p>
    <w:p w14:paraId="3E3FC63D">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p>
    <w:p w14:paraId="67400C9B">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四、与质疑事项相关的质疑请求</w:t>
      </w:r>
    </w:p>
    <w:p w14:paraId="23B24FA8">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14:paraId="7736D2DD">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6B5F8D0A">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5988EDD3">
      <w:pPr>
        <w:spacing w:line="360" w:lineRule="auto"/>
        <w:rPr>
          <w:rFonts w:ascii="宋体" w:hAnsi="宋体" w:cs="宋体"/>
          <w:b/>
          <w:color w:val="auto"/>
          <w:sz w:val="24"/>
          <w:highlight w:val="none"/>
        </w:rPr>
      </w:pPr>
      <w:r>
        <w:rPr>
          <w:rFonts w:hint="eastAsia" w:ascii="宋体" w:hAnsi="宋体" w:cs="宋体"/>
          <w:b/>
          <w:color w:val="auto"/>
          <w:sz w:val="24"/>
          <w:highlight w:val="none"/>
        </w:rPr>
        <w:t>质疑函制作说明：</w:t>
      </w:r>
    </w:p>
    <w:p w14:paraId="0B507213">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1.供应商提出质疑时，应提交质疑函和必要的证明材料。</w:t>
      </w:r>
    </w:p>
    <w:p w14:paraId="669CDACE">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2.质疑供应商若委托代理人进行质疑的，质疑函应按要求列明“授权代表”的有关内容，并在附件中提交由质疑</w:t>
      </w:r>
      <w:r>
        <w:rPr>
          <w:rFonts w:hint="eastAsia" w:ascii="宋体" w:hAnsi="宋体" w:cs="宋体"/>
          <w:color w:val="auto"/>
          <w:kern w:val="0"/>
          <w:sz w:val="24"/>
          <w:highlight w:val="none"/>
        </w:rPr>
        <w:t>供应商签署的授权委托书。授权委托书应载明代理人的姓名或者名称、代理事项、具体权限、期限和相关事项。</w:t>
      </w:r>
    </w:p>
    <w:p w14:paraId="5B002706">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3.质疑供应商若对项目的某一分包进行质疑，质疑函中应列明具体分包号。</w:t>
      </w:r>
    </w:p>
    <w:p w14:paraId="71BDCC92">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4.质疑函的质疑事项应具体、明确，并有必要的事实依据和法律依据。</w:t>
      </w:r>
    </w:p>
    <w:p w14:paraId="263E6338">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5.质疑函的质疑请求应与质疑事项相关。</w:t>
      </w:r>
    </w:p>
    <w:p w14:paraId="67C004E0">
      <w:pPr>
        <w:widowControl/>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70EDE34C">
      <w:pPr>
        <w:rPr>
          <w:rFonts w:hint="eastAsia" w:ascii="宋体" w:hAnsi="宋体" w:cs="宋体"/>
          <w:b/>
          <w:color w:val="auto"/>
          <w:spacing w:val="6"/>
          <w:sz w:val="32"/>
          <w:szCs w:val="32"/>
          <w:highlight w:val="none"/>
        </w:rPr>
      </w:pPr>
      <w:r>
        <w:rPr>
          <w:rFonts w:hint="eastAsia" w:ascii="宋体" w:hAnsi="宋体" w:cs="宋体"/>
          <w:color w:val="auto"/>
          <w:sz w:val="24"/>
          <w:highlight w:val="none"/>
        </w:rPr>
        <w:br w:type="page"/>
      </w:r>
    </w:p>
    <w:p w14:paraId="0862485C">
      <w:pPr>
        <w:spacing w:line="360" w:lineRule="auto"/>
        <w:jc w:val="left"/>
        <w:outlineLvl w:val="1"/>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附件3：投诉书范本及制作说明</w:t>
      </w:r>
    </w:p>
    <w:p w14:paraId="27F3A50A">
      <w:pPr>
        <w:spacing w:line="360" w:lineRule="auto"/>
        <w:jc w:val="center"/>
        <w:rPr>
          <w:rFonts w:ascii="宋体" w:hAnsi="宋体" w:cs="宋体"/>
          <w:b/>
          <w:color w:val="auto"/>
          <w:sz w:val="24"/>
          <w:highlight w:val="none"/>
        </w:rPr>
      </w:pPr>
    </w:p>
    <w:p w14:paraId="520ED537">
      <w:pPr>
        <w:spacing w:line="360" w:lineRule="auto"/>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投诉书范本</w:t>
      </w:r>
    </w:p>
    <w:p w14:paraId="30BE70B3">
      <w:pPr>
        <w:spacing w:line="360" w:lineRule="auto"/>
        <w:rPr>
          <w:rFonts w:ascii="宋体" w:hAnsi="宋体" w:cs="宋体"/>
          <w:color w:val="auto"/>
          <w:sz w:val="24"/>
          <w:highlight w:val="none"/>
        </w:rPr>
      </w:pPr>
      <w:r>
        <w:rPr>
          <w:rFonts w:hint="eastAsia" w:ascii="宋体" w:hAnsi="宋体" w:cs="宋体"/>
          <w:color w:val="auto"/>
          <w:sz w:val="24"/>
          <w:highlight w:val="none"/>
        </w:rPr>
        <w:t>一、投诉相关主体基本情况</w:t>
      </w:r>
    </w:p>
    <w:p w14:paraId="2F5AC96C">
      <w:pPr>
        <w:spacing w:line="360" w:lineRule="auto"/>
        <w:rPr>
          <w:rFonts w:ascii="宋体" w:hAnsi="宋体" w:cs="宋体"/>
          <w:color w:val="auto"/>
          <w:sz w:val="24"/>
          <w:highlight w:val="none"/>
          <w:u w:val="dotted"/>
        </w:rPr>
      </w:pPr>
      <w:r>
        <w:rPr>
          <w:rFonts w:hint="eastAsia" w:ascii="宋体" w:hAnsi="宋体" w:cs="宋体"/>
          <w:color w:val="auto"/>
          <w:sz w:val="24"/>
          <w:highlight w:val="none"/>
        </w:rPr>
        <w:t>投诉人：</w:t>
      </w:r>
      <w:r>
        <w:rPr>
          <w:rFonts w:hint="eastAsia" w:ascii="宋体" w:hAnsi="宋体" w:cs="宋体"/>
          <w:color w:val="auto"/>
          <w:sz w:val="24"/>
          <w:highlight w:val="none"/>
          <w:u w:val="dotted"/>
        </w:rPr>
        <w:t xml:space="preserve">                                               </w:t>
      </w:r>
    </w:p>
    <w:p w14:paraId="48C855F8">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5761CE1A">
      <w:pPr>
        <w:tabs>
          <w:tab w:val="left" w:pos="6510"/>
        </w:tabs>
        <w:spacing w:line="360" w:lineRule="auto"/>
        <w:jc w:val="left"/>
        <w:rPr>
          <w:rFonts w:ascii="宋体" w:hAnsi="宋体" w:cs="宋体"/>
          <w:color w:val="auto"/>
          <w:sz w:val="24"/>
          <w:highlight w:val="none"/>
        </w:rPr>
      </w:pPr>
      <w:r>
        <w:rPr>
          <w:rFonts w:hint="eastAsia" w:ascii="宋体" w:hAnsi="宋体" w:cs="宋体"/>
          <w:color w:val="auto"/>
          <w:sz w:val="24"/>
          <w:highlight w:val="none"/>
        </w:rPr>
        <w:t>法定代表人/主要负责人：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42210856">
      <w:pPr>
        <w:tabs>
          <w:tab w:val="left" w:pos="6510"/>
        </w:tabs>
        <w:spacing w:line="360" w:lineRule="auto"/>
        <w:rPr>
          <w:rFonts w:ascii="宋体" w:hAnsi="宋体" w:cs="宋体"/>
          <w:color w:val="auto"/>
          <w:sz w:val="24"/>
          <w:highlight w:val="none"/>
          <w:u w:val="dotted"/>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34946B85">
      <w:pPr>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69364601">
      <w:pPr>
        <w:spacing w:line="360" w:lineRule="auto"/>
        <w:rPr>
          <w:rFonts w:ascii="宋体" w:hAnsi="宋体" w:cs="宋体"/>
          <w:color w:val="auto"/>
          <w:sz w:val="24"/>
          <w:highlight w:val="none"/>
          <w:u w:val="dotted"/>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dotted"/>
        </w:rPr>
        <w:t xml:space="preserve">                   </w:t>
      </w:r>
    </w:p>
    <w:p w14:paraId="636E7B1E">
      <w:pPr>
        <w:spacing w:line="360" w:lineRule="auto"/>
        <w:rPr>
          <w:rFonts w:ascii="宋体" w:hAnsi="宋体" w:cs="宋体"/>
          <w:color w:val="auto"/>
          <w:sz w:val="24"/>
          <w:highlight w:val="none"/>
          <w:u w:val="single"/>
        </w:rPr>
      </w:pPr>
      <w:r>
        <w:rPr>
          <w:rFonts w:hint="eastAsia" w:ascii="宋体" w:hAnsi="宋体" w:cs="宋体"/>
          <w:color w:val="auto"/>
          <w:sz w:val="24"/>
          <w:highlight w:val="none"/>
        </w:rPr>
        <w:t>被投诉人1：</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6B1AE77F">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2CC1391A">
      <w:pPr>
        <w:spacing w:line="360" w:lineRule="auto"/>
        <w:rPr>
          <w:rFonts w:ascii="宋体" w:hAnsi="宋体" w:cs="宋体"/>
          <w:color w:val="auto"/>
          <w:sz w:val="24"/>
          <w:highlight w:val="none"/>
          <w:u w:val="singl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1424AE6D">
      <w:pPr>
        <w:spacing w:line="360" w:lineRule="auto"/>
        <w:rPr>
          <w:rFonts w:ascii="宋体" w:hAnsi="宋体" w:cs="宋体"/>
          <w:color w:val="auto"/>
          <w:sz w:val="24"/>
          <w:highlight w:val="none"/>
        </w:rPr>
      </w:pPr>
      <w:r>
        <w:rPr>
          <w:rFonts w:hint="eastAsia" w:ascii="宋体" w:hAnsi="宋体" w:cs="宋体"/>
          <w:color w:val="auto"/>
          <w:sz w:val="24"/>
          <w:highlight w:val="none"/>
        </w:rPr>
        <w:t>被投诉人2</w:t>
      </w:r>
    </w:p>
    <w:p w14:paraId="5AAF6990">
      <w:pPr>
        <w:spacing w:line="360" w:lineRule="auto"/>
        <w:rPr>
          <w:rFonts w:ascii="宋体" w:hAnsi="宋体" w:cs="宋体"/>
          <w:color w:val="auto"/>
          <w:sz w:val="24"/>
          <w:highlight w:val="none"/>
          <w:u w:val="dotted"/>
        </w:rPr>
      </w:pPr>
      <w:r>
        <w:rPr>
          <w:rFonts w:hint="eastAsia" w:ascii="宋体" w:hAnsi="宋体" w:cs="宋体"/>
          <w:color w:val="auto"/>
          <w:sz w:val="24"/>
          <w:highlight w:val="none"/>
        </w:rPr>
        <w:t>……</w:t>
      </w:r>
    </w:p>
    <w:p w14:paraId="0D57F12A">
      <w:pPr>
        <w:spacing w:line="360" w:lineRule="auto"/>
        <w:rPr>
          <w:rFonts w:ascii="宋体" w:hAnsi="宋体" w:cs="宋体"/>
          <w:color w:val="auto"/>
          <w:sz w:val="24"/>
          <w:highlight w:val="none"/>
          <w:u w:val="single"/>
        </w:rPr>
      </w:pPr>
      <w:r>
        <w:rPr>
          <w:rFonts w:hint="eastAsia" w:ascii="宋体" w:hAnsi="宋体" w:cs="宋体"/>
          <w:color w:val="auto"/>
          <w:sz w:val="24"/>
          <w:highlight w:val="none"/>
        </w:rPr>
        <w:t>相关供应商：</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75049ADF">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2A75D378">
      <w:pPr>
        <w:spacing w:line="360" w:lineRule="auto"/>
        <w:rPr>
          <w:rFonts w:ascii="宋体" w:hAnsi="宋体" w:cs="宋体"/>
          <w:color w:val="auto"/>
          <w:sz w:val="24"/>
          <w:highlight w:val="none"/>
          <w:u w:val="singl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10DF467B">
      <w:pPr>
        <w:spacing w:line="360" w:lineRule="auto"/>
        <w:rPr>
          <w:rFonts w:ascii="宋体" w:hAnsi="宋体" w:cs="宋体"/>
          <w:color w:val="auto"/>
          <w:sz w:val="24"/>
          <w:highlight w:val="none"/>
        </w:rPr>
      </w:pPr>
      <w:r>
        <w:rPr>
          <w:rFonts w:hint="eastAsia" w:ascii="宋体" w:hAnsi="宋体" w:cs="宋体"/>
          <w:color w:val="auto"/>
          <w:sz w:val="24"/>
          <w:highlight w:val="none"/>
        </w:rPr>
        <w:t>二、投诉项目基本情况</w:t>
      </w:r>
    </w:p>
    <w:p w14:paraId="2DED42CC">
      <w:pPr>
        <w:spacing w:line="360" w:lineRule="auto"/>
        <w:rPr>
          <w:rFonts w:ascii="宋体" w:hAnsi="宋体" w:cs="宋体"/>
          <w:color w:val="auto"/>
          <w:sz w:val="24"/>
          <w:highlight w:val="none"/>
          <w:u w:val="dotted"/>
        </w:rPr>
      </w:pPr>
      <w:r>
        <w:rPr>
          <w:rFonts w:hint="eastAsia" w:ascii="宋体" w:hAnsi="宋体" w:cs="宋体"/>
          <w:color w:val="auto"/>
          <w:sz w:val="24"/>
          <w:highlight w:val="none"/>
        </w:rPr>
        <w:t>采购项目名称：</w:t>
      </w:r>
      <w:r>
        <w:rPr>
          <w:rFonts w:hint="eastAsia" w:ascii="宋体" w:hAnsi="宋体" w:cs="宋体"/>
          <w:color w:val="auto"/>
          <w:sz w:val="24"/>
          <w:highlight w:val="none"/>
          <w:u w:val="dotted"/>
        </w:rPr>
        <w:t xml:space="preserve">                                        </w:t>
      </w:r>
    </w:p>
    <w:p w14:paraId="14C646B2">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676B3C20">
      <w:pPr>
        <w:spacing w:line="360" w:lineRule="auto"/>
        <w:rPr>
          <w:rFonts w:ascii="宋体" w:hAnsi="宋体" w:cs="宋体"/>
          <w:color w:val="auto"/>
          <w:sz w:val="24"/>
          <w:highlight w:val="none"/>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7B5CBE91">
      <w:pPr>
        <w:spacing w:line="360" w:lineRule="auto"/>
        <w:rPr>
          <w:rFonts w:ascii="宋体" w:hAnsi="宋体" w:cs="宋体"/>
          <w:color w:val="auto"/>
          <w:sz w:val="24"/>
          <w:highlight w:val="none"/>
          <w:u w:val="single"/>
        </w:rPr>
      </w:pPr>
      <w:r>
        <w:rPr>
          <w:rFonts w:hint="eastAsia" w:ascii="宋体" w:hAnsi="宋体" w:cs="宋体"/>
          <w:color w:val="auto"/>
          <w:sz w:val="24"/>
          <w:highlight w:val="none"/>
        </w:rPr>
        <w:t>代理机构名称：</w:t>
      </w:r>
      <w:r>
        <w:rPr>
          <w:rFonts w:hint="eastAsia" w:ascii="宋体" w:hAnsi="宋体" w:cs="宋体"/>
          <w:color w:val="auto"/>
          <w:sz w:val="24"/>
          <w:highlight w:val="none"/>
          <w:u w:val="dotted"/>
        </w:rPr>
        <w:t xml:space="preserve">                                         </w:t>
      </w:r>
    </w:p>
    <w:p w14:paraId="66B2AD3F">
      <w:pPr>
        <w:spacing w:line="360" w:lineRule="auto"/>
        <w:rPr>
          <w:rFonts w:ascii="宋体" w:hAnsi="宋体" w:cs="宋体"/>
          <w:color w:val="auto"/>
          <w:sz w:val="24"/>
          <w:highlight w:val="none"/>
          <w:u w:val="dotted"/>
        </w:rPr>
      </w:pPr>
      <w:r>
        <w:rPr>
          <w:rFonts w:hint="eastAsia" w:ascii="宋体" w:hAnsi="宋体" w:cs="宋体"/>
          <w:color w:val="auto"/>
          <w:sz w:val="24"/>
          <w:highlight w:val="none"/>
        </w:rPr>
        <w:t>采购文件公告:</w:t>
      </w:r>
      <w:r>
        <w:rPr>
          <w:rFonts w:hint="eastAsia" w:ascii="宋体" w:hAnsi="宋体" w:cs="宋体"/>
          <w:color w:val="auto"/>
          <w:sz w:val="24"/>
          <w:highlight w:val="none"/>
          <w:u w:val="dotted"/>
        </w:rPr>
        <w:t xml:space="preserve">是/否 </w:t>
      </w:r>
      <w:r>
        <w:rPr>
          <w:rFonts w:hint="eastAsia" w:ascii="宋体" w:hAnsi="宋体" w:cs="宋体"/>
          <w:color w:val="auto"/>
          <w:sz w:val="24"/>
          <w:highlight w:val="none"/>
        </w:rPr>
        <w:t>公告期限：</w:t>
      </w:r>
      <w:r>
        <w:rPr>
          <w:rFonts w:hint="eastAsia" w:ascii="宋体" w:hAnsi="宋体" w:cs="宋体"/>
          <w:color w:val="auto"/>
          <w:sz w:val="24"/>
          <w:highlight w:val="none"/>
          <w:u w:val="dotted"/>
        </w:rPr>
        <w:t xml:space="preserve">                                 </w:t>
      </w:r>
    </w:p>
    <w:p w14:paraId="3F80971C">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采购结果公告:</w:t>
      </w:r>
      <w:r>
        <w:rPr>
          <w:rFonts w:hint="eastAsia" w:ascii="宋体" w:hAnsi="宋体" w:cs="宋体"/>
          <w:color w:val="auto"/>
          <w:sz w:val="24"/>
          <w:highlight w:val="none"/>
          <w:u w:val="dotted"/>
        </w:rPr>
        <w:t xml:space="preserve">是/否 </w:t>
      </w:r>
      <w:r>
        <w:rPr>
          <w:rFonts w:hint="eastAsia" w:ascii="宋体" w:hAnsi="宋体" w:cs="宋体"/>
          <w:color w:val="auto"/>
          <w:sz w:val="24"/>
          <w:highlight w:val="none"/>
        </w:rPr>
        <w:t>公告期限：</w:t>
      </w:r>
      <w:r>
        <w:rPr>
          <w:rFonts w:hint="eastAsia" w:ascii="宋体" w:hAnsi="宋体" w:cs="宋体"/>
          <w:color w:val="auto"/>
          <w:sz w:val="24"/>
          <w:highlight w:val="none"/>
          <w:u w:val="dotted"/>
        </w:rPr>
        <w:t xml:space="preserve">                        </w:t>
      </w:r>
    </w:p>
    <w:p w14:paraId="34478913">
      <w:pPr>
        <w:spacing w:line="360" w:lineRule="auto"/>
        <w:rPr>
          <w:rFonts w:ascii="宋体" w:hAnsi="宋体" w:cs="宋体"/>
          <w:color w:val="auto"/>
          <w:sz w:val="24"/>
          <w:highlight w:val="none"/>
        </w:rPr>
      </w:pPr>
      <w:r>
        <w:rPr>
          <w:rFonts w:hint="eastAsia" w:ascii="宋体" w:hAnsi="宋体" w:cs="宋体"/>
          <w:color w:val="auto"/>
          <w:sz w:val="24"/>
          <w:highlight w:val="none"/>
        </w:rPr>
        <w:t>三、质疑基本情况</w:t>
      </w:r>
    </w:p>
    <w:p w14:paraId="7049DA86">
      <w:pPr>
        <w:spacing w:line="360" w:lineRule="auto"/>
        <w:ind w:firstLine="480" w:firstLineChars="200"/>
        <w:rPr>
          <w:rFonts w:ascii="宋体" w:hAnsi="宋体" w:cs="宋体"/>
          <w:color w:val="auto"/>
          <w:sz w:val="24"/>
          <w:highlight w:val="none"/>
          <w:u w:val="dotted"/>
        </w:rPr>
      </w:pPr>
      <w:r>
        <w:rPr>
          <w:rFonts w:hint="eastAsia" w:ascii="宋体" w:hAnsi="宋体" w:cs="宋体"/>
          <w:color w:val="auto"/>
          <w:sz w:val="24"/>
          <w:highlight w:val="none"/>
        </w:rPr>
        <w:t>投诉人于</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日,向</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提出质疑，质疑事项为：</w:t>
      </w:r>
      <w:r>
        <w:rPr>
          <w:rFonts w:hint="eastAsia" w:ascii="宋体" w:hAnsi="宋体" w:cs="宋体"/>
          <w:color w:val="auto"/>
          <w:sz w:val="24"/>
          <w:highlight w:val="none"/>
          <w:u w:val="dotted"/>
        </w:rPr>
        <w:t xml:space="preserve">                                </w:t>
      </w:r>
    </w:p>
    <w:p w14:paraId="484EB1B0">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0B1DCAE6">
      <w:pPr>
        <w:spacing w:line="360" w:lineRule="auto"/>
        <w:ind w:firstLine="360" w:firstLineChars="150"/>
        <w:rPr>
          <w:rFonts w:ascii="宋体" w:hAnsi="宋体" w:cs="宋体"/>
          <w:color w:val="auto"/>
          <w:sz w:val="24"/>
          <w:highlight w:val="none"/>
        </w:rPr>
      </w:pPr>
      <w:r>
        <w:rPr>
          <w:rFonts w:hint="eastAsia" w:ascii="宋体" w:hAnsi="宋体" w:cs="宋体"/>
          <w:color w:val="auto"/>
          <w:sz w:val="24"/>
          <w:highlight w:val="none"/>
          <w:u w:val="dotted"/>
        </w:rPr>
        <w:t>采购人/代理机构</w:t>
      </w:r>
      <w:r>
        <w:rPr>
          <w:rFonts w:hint="eastAsia" w:ascii="宋体" w:hAnsi="宋体" w:cs="宋体"/>
          <w:color w:val="auto"/>
          <w:sz w:val="24"/>
          <w:highlight w:val="none"/>
        </w:rPr>
        <w:t>于</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日,就质疑事项作出了答复/没有在法定期限内作出答复。</w:t>
      </w:r>
    </w:p>
    <w:p w14:paraId="3E85D02F">
      <w:pPr>
        <w:spacing w:line="360" w:lineRule="auto"/>
        <w:rPr>
          <w:rFonts w:ascii="宋体" w:hAnsi="宋体" w:cs="宋体"/>
          <w:color w:val="auto"/>
          <w:sz w:val="24"/>
          <w:highlight w:val="none"/>
        </w:rPr>
      </w:pPr>
      <w:r>
        <w:rPr>
          <w:rFonts w:hint="eastAsia" w:ascii="宋体" w:hAnsi="宋体" w:cs="宋体"/>
          <w:color w:val="auto"/>
          <w:sz w:val="24"/>
          <w:highlight w:val="none"/>
        </w:rPr>
        <w:t>四、投诉事项具体内容</w:t>
      </w:r>
    </w:p>
    <w:p w14:paraId="1F240906">
      <w:pPr>
        <w:spacing w:line="360" w:lineRule="auto"/>
        <w:rPr>
          <w:rFonts w:ascii="宋体" w:hAnsi="宋体" w:cs="宋体"/>
          <w:color w:val="auto"/>
          <w:sz w:val="24"/>
          <w:highlight w:val="none"/>
          <w:u w:val="single"/>
        </w:rPr>
      </w:pPr>
      <w:r>
        <w:rPr>
          <w:rFonts w:hint="eastAsia" w:ascii="宋体" w:hAnsi="宋体" w:cs="宋体"/>
          <w:color w:val="auto"/>
          <w:sz w:val="24"/>
          <w:highlight w:val="none"/>
        </w:rPr>
        <w:t>投诉事项 1：</w:t>
      </w:r>
      <w:r>
        <w:rPr>
          <w:rFonts w:hint="eastAsia" w:ascii="宋体" w:hAnsi="宋体" w:cs="宋体"/>
          <w:color w:val="auto"/>
          <w:sz w:val="24"/>
          <w:highlight w:val="none"/>
          <w:u w:val="dotted"/>
        </w:rPr>
        <w:t xml:space="preserve">                                       </w:t>
      </w:r>
    </w:p>
    <w:p w14:paraId="33C644B0">
      <w:pPr>
        <w:spacing w:line="360" w:lineRule="auto"/>
        <w:rPr>
          <w:rFonts w:ascii="宋体" w:hAnsi="宋体" w:cs="宋体"/>
          <w:color w:val="auto"/>
          <w:sz w:val="24"/>
          <w:highlight w:val="none"/>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2486470A">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783B8FA0">
      <w:pPr>
        <w:spacing w:line="360" w:lineRule="auto"/>
        <w:rPr>
          <w:rFonts w:ascii="宋体" w:hAnsi="宋体" w:cs="宋体"/>
          <w:color w:val="auto"/>
          <w:sz w:val="24"/>
          <w:highlight w:val="none"/>
          <w:u w:val="single"/>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439AD442">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6F8D113C">
      <w:pPr>
        <w:spacing w:line="360" w:lineRule="auto"/>
        <w:rPr>
          <w:rFonts w:ascii="宋体" w:hAnsi="宋体" w:cs="宋体"/>
          <w:color w:val="auto"/>
          <w:sz w:val="24"/>
          <w:highlight w:val="none"/>
        </w:rPr>
      </w:pPr>
      <w:r>
        <w:rPr>
          <w:rFonts w:hint="eastAsia" w:ascii="宋体" w:hAnsi="宋体" w:cs="宋体"/>
          <w:color w:val="auto"/>
          <w:sz w:val="24"/>
          <w:highlight w:val="none"/>
        </w:rPr>
        <w:t>投诉事项2</w:t>
      </w:r>
    </w:p>
    <w:p w14:paraId="7403E4CC">
      <w:pPr>
        <w:spacing w:line="360" w:lineRule="auto"/>
        <w:rPr>
          <w:rFonts w:ascii="宋体" w:hAnsi="宋体" w:cs="宋体"/>
          <w:color w:val="auto"/>
          <w:sz w:val="24"/>
          <w:highlight w:val="none"/>
          <w:u w:val="dotted"/>
        </w:rPr>
      </w:pPr>
      <w:r>
        <w:rPr>
          <w:rFonts w:hint="eastAsia" w:ascii="宋体" w:hAnsi="宋体" w:cs="宋体"/>
          <w:color w:val="auto"/>
          <w:sz w:val="24"/>
          <w:highlight w:val="none"/>
        </w:rPr>
        <w:t>……</w:t>
      </w:r>
    </w:p>
    <w:p w14:paraId="3A3C0637">
      <w:pPr>
        <w:spacing w:line="360" w:lineRule="auto"/>
        <w:rPr>
          <w:rFonts w:ascii="宋体" w:hAnsi="宋体" w:cs="宋体"/>
          <w:color w:val="auto"/>
          <w:sz w:val="24"/>
          <w:highlight w:val="none"/>
        </w:rPr>
      </w:pPr>
      <w:r>
        <w:rPr>
          <w:rFonts w:hint="eastAsia" w:ascii="宋体" w:hAnsi="宋体" w:cs="宋体"/>
          <w:color w:val="auto"/>
          <w:sz w:val="24"/>
          <w:highlight w:val="none"/>
        </w:rPr>
        <w:t>五、与投诉事项相关的投诉请求</w:t>
      </w:r>
    </w:p>
    <w:p w14:paraId="66129978">
      <w:pPr>
        <w:spacing w:line="360" w:lineRule="auto"/>
        <w:rPr>
          <w:rFonts w:ascii="宋体" w:hAnsi="宋体" w:cs="宋体"/>
          <w:color w:val="auto"/>
          <w:sz w:val="24"/>
          <w:highlight w:val="none"/>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71D23F9B">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5346C77B">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408EB751">
      <w:pPr>
        <w:spacing w:line="360" w:lineRule="auto"/>
        <w:rPr>
          <w:rFonts w:ascii="宋体" w:hAnsi="宋体" w:cs="宋体"/>
          <w:b/>
          <w:color w:val="auto"/>
          <w:sz w:val="24"/>
          <w:highlight w:val="none"/>
        </w:rPr>
      </w:pPr>
      <w:r>
        <w:rPr>
          <w:rFonts w:hint="eastAsia" w:ascii="宋体" w:hAnsi="宋体" w:cs="宋体"/>
          <w:b/>
          <w:color w:val="auto"/>
          <w:sz w:val="24"/>
          <w:highlight w:val="none"/>
        </w:rPr>
        <w:t>投诉书制作说明：</w:t>
      </w:r>
    </w:p>
    <w:p w14:paraId="1EF89F89">
      <w:pPr>
        <w:widowControl/>
        <w:spacing w:line="360" w:lineRule="auto"/>
        <w:ind w:firstLine="480" w:firstLineChars="200"/>
        <w:rPr>
          <w:rFonts w:ascii="宋体" w:hAnsi="宋体" w:cs="宋体"/>
          <w:color w:val="auto"/>
          <w:kern w:val="0"/>
          <w:sz w:val="24"/>
          <w:highlight w:val="none"/>
        </w:rPr>
      </w:pPr>
      <w:r>
        <w:rPr>
          <w:rFonts w:hint="eastAsia" w:ascii="宋体" w:hAnsi="宋体" w:cs="宋体"/>
          <w:color w:val="auto"/>
          <w:sz w:val="24"/>
          <w:highlight w:val="none"/>
        </w:rPr>
        <w:t>1.投诉人提起投诉时，应当提交投诉书和必要的证明材料，并按照被投诉人和与投诉事项有关的供应商数量提供投诉书副本。</w:t>
      </w:r>
    </w:p>
    <w:p w14:paraId="584C8F36">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sz w:val="24"/>
          <w:highlight w:val="none"/>
        </w:rPr>
        <w:t>2.投诉人若委托代理人进行投诉的，投诉书应按照要求列明“授权代表”的有关内容，并在附件中提交由</w:t>
      </w:r>
      <w:r>
        <w:rPr>
          <w:rFonts w:hint="eastAsia" w:ascii="宋体" w:hAnsi="宋体" w:cs="宋体"/>
          <w:color w:val="auto"/>
          <w:kern w:val="0"/>
          <w:sz w:val="24"/>
          <w:highlight w:val="none"/>
        </w:rPr>
        <w:t>投诉人签署的授权委托书。授权委托书应当载明代理人的姓名或者名称、代理事项、具体权限、期限和相关事项。</w:t>
      </w:r>
    </w:p>
    <w:p w14:paraId="232924EF">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3.投诉人若对项目的某一分包进行投诉，投诉书应列明具体分包号。</w:t>
      </w:r>
    </w:p>
    <w:p w14:paraId="4CEB6F01">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4.投诉书应简要列明质疑事项，质疑函、质疑答复等作为附件材料提供。</w:t>
      </w:r>
    </w:p>
    <w:p w14:paraId="621E4EF8">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5.投诉书的投诉事项应具体、明确，并有必要的事实依据和法律依据。</w:t>
      </w:r>
    </w:p>
    <w:p w14:paraId="2644CB78">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6.投诉书的投诉请求应与投诉事项相关。</w:t>
      </w:r>
    </w:p>
    <w:p w14:paraId="4008D3A3">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sz w:val="24"/>
          <w:highlight w:val="none"/>
        </w:rPr>
        <w:t>7.投诉人为自然人的，投诉书应当由本人签字；投诉人为法人或者其他组织的，投诉书应当由法定代表人、主要负责人，或者其授权代表签字或者盖章，并加盖公章。</w:t>
      </w:r>
    </w:p>
    <w:p w14:paraId="3569DF32">
      <w:pPr>
        <w:autoSpaceDE w:val="0"/>
        <w:autoSpaceDN w:val="0"/>
        <w:jc w:val="center"/>
        <w:rPr>
          <w:rFonts w:hint="eastAsia" w:ascii="宋体" w:hAnsi="宋体" w:cs="宋体"/>
          <w:b/>
          <w:color w:val="auto"/>
          <w:spacing w:val="6"/>
          <w:sz w:val="32"/>
          <w:szCs w:val="32"/>
          <w:highlight w:val="none"/>
        </w:rPr>
      </w:pPr>
    </w:p>
    <w:p w14:paraId="3FBE0101">
      <w:pPr>
        <w:autoSpaceDE w:val="0"/>
        <w:autoSpaceDN w:val="0"/>
        <w:jc w:val="center"/>
        <w:rPr>
          <w:rFonts w:hint="eastAsia" w:ascii="宋体" w:hAnsi="宋体" w:cs="宋体"/>
          <w:b/>
          <w:color w:val="auto"/>
          <w:spacing w:val="6"/>
          <w:sz w:val="32"/>
          <w:szCs w:val="32"/>
          <w:highlight w:val="none"/>
        </w:rPr>
      </w:pPr>
    </w:p>
    <w:p w14:paraId="67AA34DA">
      <w:pPr>
        <w:rPr>
          <w:rFonts w:hint="eastAsia" w:ascii="宋体" w:hAnsi="宋体" w:cs="宋体"/>
          <w:b/>
          <w:color w:val="auto"/>
          <w:spacing w:val="6"/>
          <w:sz w:val="32"/>
          <w:szCs w:val="32"/>
          <w:highlight w:val="none"/>
        </w:rPr>
      </w:pPr>
      <w:r>
        <w:rPr>
          <w:rFonts w:hint="eastAsia" w:ascii="宋体" w:hAnsi="宋体" w:cs="宋体"/>
          <w:b/>
          <w:color w:val="auto"/>
          <w:spacing w:val="6"/>
          <w:sz w:val="32"/>
          <w:szCs w:val="32"/>
          <w:highlight w:val="none"/>
        </w:rPr>
        <w:br w:type="page"/>
      </w:r>
    </w:p>
    <w:p w14:paraId="247F26E3">
      <w:pPr>
        <w:autoSpaceDE w:val="0"/>
        <w:autoSpaceDN w:val="0"/>
        <w:spacing w:line="360" w:lineRule="auto"/>
        <w:jc w:val="center"/>
        <w:outlineLvl w:val="1"/>
        <w:rPr>
          <w:rFonts w:ascii="宋体" w:hAnsi="宋体" w:cs="宋体"/>
          <w:b/>
          <w:bCs/>
          <w:color w:val="auto"/>
          <w:sz w:val="32"/>
          <w:szCs w:val="32"/>
          <w:highlight w:val="none"/>
        </w:rPr>
      </w:pPr>
      <w:r>
        <w:rPr>
          <w:rFonts w:hint="eastAsia" w:ascii="宋体" w:hAnsi="宋体" w:cs="宋体"/>
          <w:b/>
          <w:color w:val="auto"/>
          <w:spacing w:val="6"/>
          <w:sz w:val="32"/>
          <w:szCs w:val="32"/>
          <w:highlight w:val="none"/>
        </w:rPr>
        <w:t>附件4：</w:t>
      </w:r>
      <w:r>
        <w:rPr>
          <w:rFonts w:hint="eastAsia" w:ascii="宋体" w:hAnsi="宋体" w:cs="宋体"/>
          <w:b/>
          <w:bCs/>
          <w:color w:val="auto"/>
          <w:sz w:val="32"/>
          <w:szCs w:val="32"/>
          <w:highlight w:val="none"/>
        </w:rPr>
        <w:t>业务专用章使用说明函</w:t>
      </w:r>
    </w:p>
    <w:p w14:paraId="7194C0EC">
      <w:pPr>
        <w:spacing w:line="360" w:lineRule="auto"/>
        <w:rPr>
          <w:rFonts w:ascii="宋体" w:hAnsi="宋体" w:cs="宋体"/>
          <w:color w:val="auto"/>
          <w:sz w:val="24"/>
          <w:highlight w:val="none"/>
          <w:u w:val="single"/>
        </w:rPr>
      </w:pPr>
    </w:p>
    <w:p w14:paraId="2172088E">
      <w:pPr>
        <w:spacing w:line="360" w:lineRule="auto"/>
        <w:rPr>
          <w:rFonts w:ascii="宋体" w:hAnsi="宋体" w:cs="宋体"/>
          <w:color w:val="auto"/>
          <w:sz w:val="24"/>
          <w:highlight w:val="none"/>
        </w:rPr>
      </w:pPr>
      <w:r>
        <w:rPr>
          <w:rFonts w:hint="eastAsia" w:ascii="宋体" w:hAnsi="宋体" w:cs="宋体"/>
          <w:color w:val="auto"/>
          <w:sz w:val="24"/>
          <w:highlight w:val="none"/>
          <w:u w:val="single"/>
        </w:rPr>
        <w:t>（采购人）、（采购代理机构）：</w:t>
      </w:r>
    </w:p>
    <w:p w14:paraId="09D504EE">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lang w:val="zh-CN"/>
        </w:rPr>
        <w:t>我方</w:t>
      </w:r>
      <w:r>
        <w:rPr>
          <w:rFonts w:hint="eastAsia" w:ascii="宋体" w:hAnsi="宋体" w:cs="宋体"/>
          <w:color w:val="auto"/>
          <w:kern w:val="0"/>
          <w:sz w:val="24"/>
          <w:highlight w:val="none"/>
          <w:u w:val="single"/>
          <w:lang w:val="zh-CN"/>
        </w:rPr>
        <w:t xml:space="preserve">                         </w:t>
      </w:r>
      <w:r>
        <w:rPr>
          <w:rFonts w:hint="eastAsia" w:ascii="宋体" w:hAnsi="宋体" w:cs="宋体"/>
          <w:color w:val="auto"/>
          <w:sz w:val="24"/>
          <w:highlight w:val="none"/>
        </w:rPr>
        <w:t>(投标人全称)是中华人民共和国依法登记注册的合法企业，</w:t>
      </w:r>
      <w:r>
        <w:rPr>
          <w:rFonts w:hint="eastAsia" w:ascii="宋体" w:hAnsi="宋体" w:cs="宋体"/>
          <w:bCs/>
          <w:color w:val="auto"/>
          <w:sz w:val="24"/>
          <w:highlight w:val="none"/>
        </w:rPr>
        <w:t>在参加</w:t>
      </w:r>
      <w:r>
        <w:rPr>
          <w:rFonts w:hint="eastAsia" w:ascii="宋体" w:hAnsi="宋体" w:cs="宋体"/>
          <w:color w:val="auto"/>
          <w:sz w:val="24"/>
          <w:highlight w:val="none"/>
        </w:rPr>
        <w:t>你方组织的（项目名称）【招标编号：（采购编号）】</w:t>
      </w:r>
      <w:r>
        <w:rPr>
          <w:rFonts w:hint="eastAsia" w:ascii="宋体" w:hAnsi="宋体" w:cs="宋体"/>
          <w:bCs/>
          <w:color w:val="auto"/>
          <w:sz w:val="24"/>
          <w:highlight w:val="none"/>
        </w:rPr>
        <w:t>投标活动中作如下说明：</w:t>
      </w:r>
      <w:r>
        <w:rPr>
          <w:rFonts w:hint="eastAsia" w:ascii="宋体" w:hAnsi="宋体" w:cs="宋体"/>
          <w:color w:val="auto"/>
          <w:sz w:val="24"/>
          <w:highlight w:val="none"/>
        </w:rPr>
        <w:t xml:space="preserve">我方所使用的“XX专用章”与法定名称章具有同等的法律效力，对使用“XX专用章”的行为予以完全承认，并愿意承担相应责任。   </w:t>
      </w:r>
    </w:p>
    <w:p w14:paraId="7244712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特此说明。</w:t>
      </w:r>
    </w:p>
    <w:p w14:paraId="518E889D">
      <w:pPr>
        <w:spacing w:line="360" w:lineRule="auto"/>
        <w:ind w:firstLine="494"/>
        <w:rPr>
          <w:rFonts w:ascii="宋体" w:hAnsi="宋体" w:cs="宋体"/>
          <w:color w:val="auto"/>
          <w:sz w:val="24"/>
          <w:highlight w:val="none"/>
        </w:rPr>
      </w:pPr>
    </w:p>
    <w:p w14:paraId="3229EAE3">
      <w:pPr>
        <w:spacing w:line="360" w:lineRule="auto"/>
        <w:ind w:firstLine="494"/>
        <w:rPr>
          <w:rFonts w:ascii="宋体" w:hAnsi="宋体" w:cs="宋体"/>
          <w:color w:val="auto"/>
          <w:sz w:val="24"/>
          <w:highlight w:val="none"/>
        </w:rPr>
      </w:pPr>
    </w:p>
    <w:p w14:paraId="5627849F">
      <w:pPr>
        <w:spacing w:line="360" w:lineRule="auto"/>
        <w:ind w:firstLine="494"/>
        <w:rPr>
          <w:rFonts w:ascii="宋体" w:hAnsi="宋体" w:cs="宋体"/>
          <w:color w:val="auto"/>
          <w:sz w:val="24"/>
          <w:highlight w:val="none"/>
        </w:rPr>
      </w:pPr>
    </w:p>
    <w:p w14:paraId="40F3037B">
      <w:pPr>
        <w:spacing w:line="360" w:lineRule="auto"/>
        <w:ind w:right="480" w:firstLine="4080" w:firstLineChars="1700"/>
        <w:rPr>
          <w:rFonts w:ascii="宋体" w:hAnsi="宋体" w:cs="宋体"/>
          <w:color w:val="auto"/>
          <w:sz w:val="24"/>
          <w:highlight w:val="none"/>
        </w:rPr>
      </w:pPr>
      <w:r>
        <w:rPr>
          <w:rFonts w:hint="eastAsia" w:ascii="宋体" w:hAnsi="宋体" w:cs="宋体"/>
          <w:color w:val="auto"/>
          <w:sz w:val="24"/>
          <w:highlight w:val="none"/>
        </w:rPr>
        <w:t>投标单位（法定名称章）：</w:t>
      </w:r>
    </w:p>
    <w:p w14:paraId="0A0B7343">
      <w:pPr>
        <w:ind w:right="1440" w:firstLine="494"/>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4E6436A0">
      <w:pPr>
        <w:rPr>
          <w:rFonts w:ascii="宋体" w:hAnsi="宋体" w:cs="宋体"/>
          <w:color w:val="auto"/>
          <w:sz w:val="24"/>
          <w:highlight w:val="none"/>
        </w:rPr>
      </w:pPr>
      <w:r>
        <w:rPr>
          <w:rFonts w:hint="eastAsia" w:ascii="宋体" w:hAnsi="宋体" w:cs="宋体"/>
          <w:b/>
          <w:bCs/>
          <w:color w:val="auto"/>
          <w:sz w:val="24"/>
          <w:highlight w:val="none"/>
        </w:rPr>
        <w:t>附：</w:t>
      </w:r>
    </w:p>
    <w:p w14:paraId="371CFCEC">
      <w:pPr>
        <w:spacing w:line="360" w:lineRule="auto"/>
        <w:rPr>
          <w:rFonts w:ascii="宋体" w:hAnsi="宋体" w:cs="宋体"/>
          <w:bCs/>
          <w:color w:val="auto"/>
          <w:sz w:val="24"/>
          <w:highlight w:val="none"/>
        </w:rPr>
      </w:pPr>
      <w:r>
        <w:rPr>
          <w:rFonts w:hint="eastAsia" w:ascii="宋体" w:hAnsi="宋体" w:cs="宋体"/>
          <w:b/>
          <w:bCs/>
          <w:color w:val="auto"/>
          <w:sz w:val="24"/>
          <w:highlight w:val="none"/>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5" r="9525" b="9525"/>
                <wp:wrapNone/>
                <wp:docPr id="3" name="Rectangle 17"/>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1kA8/2AAAAAoBAAAPAAAAAAAAAAEAIAAAACIAAABkcnMvZG93bnJldi54bWxQSwECFAAU&#10;AAAACACHTuJA4teYCSoCAAB0BAAADgAAAAAAAAABACAAAAAnAQAAZHJzL2Uyb0RvYy54bWxQSwUG&#10;AAAAAAYABgBZAQAAwwUAAAAA&#10;">
                <v:fill on="t" focussize="0,0"/>
                <v:stroke color="#000000" miterlimit="2" joinstyle="miter"/>
                <v:imagedata o:title=""/>
                <o:lock v:ext="edit" aspectratio="f"/>
              </v:rect>
            </w:pict>
          </mc:Fallback>
        </mc:AlternateContent>
      </w:r>
      <w:r>
        <w:rPr>
          <w:rFonts w:hint="eastAsia" w:ascii="宋体" w:hAnsi="宋体" w:cs="宋体"/>
          <w:b/>
          <w:bCs/>
          <w:color w:val="auto"/>
          <w:sz w:val="24"/>
          <w:highlight w:val="none"/>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5" r="10160" b="9525"/>
                <wp:wrapNone/>
                <wp:docPr id="4" name="Rectangle 16"/>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ZjEem2AAAAAoBAAAPAAAAAAAAAAEAIAAAACIAAABkcnMvZG93bnJldi54bWxQSwECFAAU&#10;AAAACACHTuJAd4J9RCoCAAB0BAAADgAAAAAAAAABACAAAAAnAQAAZHJzL2Uyb0RvYy54bWxQSwUG&#10;AAAAAAYABgBZAQAAwwUAAAAA&#10;">
                <v:fill on="t" focussize="0,0"/>
                <v:stroke color="#000000" miterlimit="2" joinstyle="miter"/>
                <v:imagedata o:title=""/>
                <o:lock v:ext="edit" aspectratio="f"/>
              </v:rect>
            </w:pict>
          </mc:Fallback>
        </mc:AlternateContent>
      </w:r>
      <w:r>
        <w:rPr>
          <w:rFonts w:hint="eastAsia" w:ascii="宋体" w:hAnsi="宋体" w:cs="宋体"/>
          <w:color w:val="auto"/>
          <w:sz w:val="24"/>
          <w:highlight w:val="none"/>
        </w:rPr>
        <w:t>投标单位法定名称章（印模）                投标单位“XX专用章”（印模）</w:t>
      </w:r>
    </w:p>
    <w:p w14:paraId="1E4CACE9">
      <w:pPr>
        <w:autoSpaceDE w:val="0"/>
        <w:autoSpaceDN w:val="0"/>
        <w:jc w:val="center"/>
        <w:rPr>
          <w:rFonts w:ascii="宋体" w:hAnsi="宋体" w:cs="宋体"/>
          <w:b/>
          <w:color w:val="auto"/>
          <w:spacing w:val="6"/>
          <w:sz w:val="32"/>
          <w:szCs w:val="32"/>
          <w:highlight w:val="none"/>
        </w:rPr>
      </w:pPr>
    </w:p>
    <w:p w14:paraId="4535A986">
      <w:pPr>
        <w:autoSpaceDE w:val="0"/>
        <w:autoSpaceDN w:val="0"/>
        <w:jc w:val="center"/>
        <w:rPr>
          <w:rFonts w:ascii="宋体" w:hAnsi="宋体" w:cs="宋体"/>
          <w:b/>
          <w:color w:val="auto"/>
          <w:spacing w:val="6"/>
          <w:sz w:val="32"/>
          <w:szCs w:val="32"/>
          <w:highlight w:val="none"/>
        </w:rPr>
      </w:pPr>
    </w:p>
    <w:p w14:paraId="3D4756CC">
      <w:pPr>
        <w:autoSpaceDE w:val="0"/>
        <w:autoSpaceDN w:val="0"/>
        <w:jc w:val="center"/>
        <w:rPr>
          <w:rFonts w:ascii="宋体" w:hAnsi="宋体" w:cs="宋体"/>
          <w:b/>
          <w:color w:val="auto"/>
          <w:spacing w:val="6"/>
          <w:sz w:val="32"/>
          <w:szCs w:val="32"/>
          <w:highlight w:val="none"/>
        </w:rPr>
      </w:pPr>
    </w:p>
    <w:p w14:paraId="666EEFC2">
      <w:pPr>
        <w:autoSpaceDE w:val="0"/>
        <w:autoSpaceDN w:val="0"/>
        <w:jc w:val="center"/>
        <w:rPr>
          <w:rFonts w:ascii="宋体" w:hAnsi="宋体" w:cs="宋体"/>
          <w:b/>
          <w:color w:val="auto"/>
          <w:spacing w:val="6"/>
          <w:sz w:val="32"/>
          <w:szCs w:val="32"/>
          <w:highlight w:val="none"/>
        </w:rPr>
      </w:pPr>
    </w:p>
    <w:p w14:paraId="5FBE2D50">
      <w:pPr>
        <w:autoSpaceDE w:val="0"/>
        <w:autoSpaceDN w:val="0"/>
        <w:jc w:val="center"/>
        <w:rPr>
          <w:rFonts w:ascii="宋体" w:hAnsi="宋体" w:cs="宋体"/>
          <w:b/>
          <w:color w:val="auto"/>
          <w:spacing w:val="6"/>
          <w:sz w:val="32"/>
          <w:szCs w:val="32"/>
          <w:highlight w:val="none"/>
        </w:rPr>
      </w:pPr>
    </w:p>
    <w:p w14:paraId="1A82D663">
      <w:pPr>
        <w:autoSpaceDE w:val="0"/>
        <w:autoSpaceDN w:val="0"/>
        <w:jc w:val="center"/>
        <w:rPr>
          <w:rFonts w:ascii="宋体" w:hAnsi="宋体" w:cs="宋体"/>
          <w:b/>
          <w:color w:val="auto"/>
          <w:spacing w:val="6"/>
          <w:sz w:val="32"/>
          <w:szCs w:val="32"/>
          <w:highlight w:val="none"/>
        </w:rPr>
      </w:pPr>
    </w:p>
    <w:p w14:paraId="0600574F">
      <w:pPr>
        <w:autoSpaceDE w:val="0"/>
        <w:autoSpaceDN w:val="0"/>
        <w:jc w:val="center"/>
        <w:rPr>
          <w:rFonts w:ascii="宋体" w:hAnsi="宋体" w:cs="宋体"/>
          <w:b/>
          <w:color w:val="auto"/>
          <w:spacing w:val="6"/>
          <w:sz w:val="32"/>
          <w:szCs w:val="32"/>
          <w:highlight w:val="none"/>
        </w:rPr>
      </w:pPr>
    </w:p>
    <w:p w14:paraId="2704723D">
      <w:pPr>
        <w:autoSpaceDE w:val="0"/>
        <w:autoSpaceDN w:val="0"/>
        <w:jc w:val="center"/>
        <w:rPr>
          <w:rFonts w:ascii="宋体" w:hAnsi="宋体" w:cs="宋体"/>
          <w:b/>
          <w:color w:val="auto"/>
          <w:spacing w:val="6"/>
          <w:sz w:val="32"/>
          <w:szCs w:val="32"/>
          <w:highlight w:val="none"/>
        </w:rPr>
      </w:pPr>
    </w:p>
    <w:p w14:paraId="09BAE47B">
      <w:pPr>
        <w:autoSpaceDE w:val="0"/>
        <w:autoSpaceDN w:val="0"/>
        <w:jc w:val="center"/>
        <w:rPr>
          <w:rFonts w:ascii="宋体" w:hAnsi="宋体" w:cs="宋体"/>
          <w:b/>
          <w:color w:val="auto"/>
          <w:spacing w:val="6"/>
          <w:sz w:val="32"/>
          <w:szCs w:val="32"/>
          <w:highlight w:val="none"/>
        </w:rPr>
      </w:pPr>
    </w:p>
    <w:p w14:paraId="40996377">
      <w:pPr>
        <w:autoSpaceDE w:val="0"/>
        <w:autoSpaceDN w:val="0"/>
        <w:jc w:val="center"/>
        <w:rPr>
          <w:rFonts w:ascii="宋体" w:hAnsi="宋体" w:cs="宋体"/>
          <w:b/>
          <w:color w:val="auto"/>
          <w:spacing w:val="6"/>
          <w:sz w:val="32"/>
          <w:szCs w:val="32"/>
          <w:highlight w:val="none"/>
        </w:rPr>
      </w:pPr>
    </w:p>
    <w:p w14:paraId="3D502953">
      <w:pPr>
        <w:autoSpaceDE w:val="0"/>
        <w:autoSpaceDN w:val="0"/>
        <w:jc w:val="center"/>
        <w:rPr>
          <w:rFonts w:ascii="宋体" w:hAnsi="宋体" w:cs="宋体"/>
          <w:b/>
          <w:color w:val="auto"/>
          <w:spacing w:val="6"/>
          <w:sz w:val="32"/>
          <w:szCs w:val="32"/>
          <w:highlight w:val="none"/>
        </w:rPr>
      </w:pPr>
    </w:p>
    <w:p w14:paraId="2D26620E">
      <w:pPr>
        <w:autoSpaceDE w:val="0"/>
        <w:autoSpaceDN w:val="0"/>
        <w:jc w:val="center"/>
        <w:rPr>
          <w:rFonts w:ascii="宋体" w:hAnsi="宋体" w:cs="宋体"/>
          <w:b/>
          <w:color w:val="auto"/>
          <w:spacing w:val="6"/>
          <w:sz w:val="32"/>
          <w:szCs w:val="32"/>
          <w:highlight w:val="none"/>
        </w:rPr>
      </w:pPr>
    </w:p>
    <w:p w14:paraId="16903E2E">
      <w:pPr>
        <w:autoSpaceDE w:val="0"/>
        <w:autoSpaceDN w:val="0"/>
        <w:jc w:val="center"/>
        <w:rPr>
          <w:rFonts w:ascii="宋体" w:hAnsi="宋体" w:cs="宋体"/>
          <w:b/>
          <w:color w:val="auto"/>
          <w:spacing w:val="6"/>
          <w:sz w:val="32"/>
          <w:szCs w:val="32"/>
          <w:highlight w:val="none"/>
        </w:rPr>
      </w:pPr>
    </w:p>
    <w:p w14:paraId="20B9BC3B">
      <w:pPr>
        <w:autoSpaceDE w:val="0"/>
        <w:autoSpaceDN w:val="0"/>
        <w:jc w:val="center"/>
        <w:rPr>
          <w:rFonts w:ascii="宋体" w:hAnsi="宋体" w:cs="宋体"/>
          <w:b/>
          <w:color w:val="auto"/>
          <w:spacing w:val="6"/>
          <w:sz w:val="32"/>
          <w:szCs w:val="32"/>
          <w:highlight w:val="none"/>
        </w:rPr>
      </w:pPr>
    </w:p>
    <w:p w14:paraId="29CD42B8">
      <w:pPr>
        <w:rPr>
          <w:rFonts w:hint="eastAsia" w:ascii="宋体" w:hAnsi="宋体" w:cs="宋体"/>
          <w:b/>
          <w:color w:val="auto"/>
          <w:kern w:val="0"/>
          <w:sz w:val="32"/>
          <w:szCs w:val="32"/>
          <w:highlight w:val="none"/>
        </w:rPr>
      </w:pPr>
      <w:r>
        <w:rPr>
          <w:rFonts w:hint="eastAsia" w:ascii="宋体" w:hAnsi="宋体" w:cs="宋体"/>
          <w:b/>
          <w:color w:val="auto"/>
          <w:kern w:val="0"/>
          <w:sz w:val="32"/>
          <w:szCs w:val="32"/>
          <w:highlight w:val="none"/>
        </w:rPr>
        <w:br w:type="page"/>
      </w:r>
    </w:p>
    <w:p w14:paraId="46C3E2FD">
      <w:pPr>
        <w:snapToGrid w:val="0"/>
        <w:spacing w:line="360" w:lineRule="auto"/>
        <w:jc w:val="center"/>
        <w:outlineLvl w:val="1"/>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w:t>
      </w:r>
      <w:r>
        <w:rPr>
          <w:rFonts w:ascii="宋体" w:hAnsi="宋体" w:cs="宋体"/>
          <w:b/>
          <w:color w:val="auto"/>
          <w:kern w:val="0"/>
          <w:sz w:val="32"/>
          <w:szCs w:val="32"/>
          <w:highlight w:val="none"/>
        </w:rPr>
        <w:t>5</w:t>
      </w:r>
      <w:r>
        <w:rPr>
          <w:rFonts w:hint="eastAsia" w:ascii="宋体" w:hAnsi="宋体" w:cs="宋体"/>
          <w:b/>
          <w:color w:val="auto"/>
          <w:kern w:val="0"/>
          <w:sz w:val="32"/>
          <w:szCs w:val="32"/>
          <w:highlight w:val="none"/>
        </w:rPr>
        <w:t>：联合协议</w:t>
      </w:r>
    </w:p>
    <w:p w14:paraId="753E6051">
      <w:pPr>
        <w:widowControl/>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（以联合体形式投标的，提供联合协议；本项目不接受联合体投标或者投标人不以联合体形式投标的，则不需要提供）</w:t>
      </w:r>
    </w:p>
    <w:p w14:paraId="65FECF2E">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（联合体所有成员名称）</w:t>
      </w:r>
      <w:r>
        <w:rPr>
          <w:rFonts w:hint="eastAsia" w:ascii="宋体" w:hAnsi="宋体" w:cs="宋体"/>
          <w:color w:val="auto"/>
          <w:kern w:val="0"/>
          <w:sz w:val="24"/>
          <w:highlight w:val="none"/>
        </w:rPr>
        <w:t>自愿</w:t>
      </w:r>
      <w:r>
        <w:rPr>
          <w:rFonts w:hint="eastAsia" w:ascii="宋体" w:hAnsi="宋体" w:cs="宋体"/>
          <w:color w:val="auto"/>
          <w:kern w:val="0"/>
          <w:sz w:val="24"/>
          <w:highlight w:val="none"/>
          <w:lang w:val="zh-CN"/>
        </w:rPr>
        <w:t>组成一个联合体，以一个投标人的身份</w:t>
      </w:r>
      <w:r>
        <w:rPr>
          <w:rFonts w:hint="eastAsia" w:ascii="宋体" w:hAnsi="宋体" w:cs="宋体"/>
          <w:color w:val="auto"/>
          <w:kern w:val="0"/>
          <w:sz w:val="24"/>
          <w:highlight w:val="none"/>
        </w:rPr>
        <w:t>参加</w:t>
      </w:r>
      <w:r>
        <w:rPr>
          <w:rFonts w:hint="eastAsia" w:ascii="宋体" w:hAnsi="宋体" w:cs="宋体"/>
          <w:color w:val="auto"/>
          <w:sz w:val="24"/>
          <w:highlight w:val="none"/>
        </w:rPr>
        <w:t>（项目名称）【招标编号：（采购编号）】</w:t>
      </w:r>
      <w:r>
        <w:rPr>
          <w:rFonts w:hint="eastAsia" w:ascii="宋体" w:hAnsi="宋体" w:cs="宋体"/>
          <w:color w:val="auto"/>
          <w:kern w:val="0"/>
          <w:sz w:val="24"/>
          <w:highlight w:val="none"/>
          <w:lang w:val="zh-CN"/>
        </w:rPr>
        <w:t xml:space="preserve">投标。 </w:t>
      </w:r>
    </w:p>
    <w:p w14:paraId="29A9689E">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一、各方一致决定，</w:t>
      </w:r>
      <w:r>
        <w:rPr>
          <w:rFonts w:hint="eastAsia" w:ascii="宋体" w:hAnsi="宋体" w:cs="宋体"/>
          <w:color w:val="auto"/>
          <w:kern w:val="0"/>
          <w:sz w:val="24"/>
          <w:highlight w:val="none"/>
          <w:u w:val="single"/>
        </w:rPr>
        <w:t>（某联合体成员名称）</w:t>
      </w:r>
      <w:r>
        <w:rPr>
          <w:rFonts w:hint="eastAsia" w:ascii="宋体" w:hAnsi="宋体" w:cs="宋体"/>
          <w:color w:val="auto"/>
          <w:kern w:val="0"/>
          <w:sz w:val="24"/>
          <w:highlight w:val="none"/>
        </w:rPr>
        <w:t>为联合体</w:t>
      </w:r>
      <w:r>
        <w:rPr>
          <w:rFonts w:hint="eastAsia" w:ascii="宋体" w:hAnsi="宋体" w:cs="宋体"/>
          <w:color w:val="auto"/>
          <w:kern w:val="0"/>
          <w:sz w:val="24"/>
          <w:highlight w:val="none"/>
          <w:lang w:val="zh-CN"/>
        </w:rPr>
        <w:t>牵头人</w:t>
      </w:r>
      <w:r>
        <w:rPr>
          <w:rFonts w:hint="eastAsia" w:ascii="宋体" w:hAnsi="宋体" w:cs="宋体"/>
          <w:color w:val="auto"/>
          <w:sz w:val="24"/>
          <w:highlight w:val="none"/>
        </w:rPr>
        <w:t>，代表所有联合体成员负责投标和合同实施阶段的主办、协调工作</w:t>
      </w:r>
      <w:r>
        <w:rPr>
          <w:rFonts w:hint="eastAsia" w:ascii="宋体" w:hAnsi="宋体" w:cs="宋体"/>
          <w:color w:val="auto"/>
          <w:kern w:val="0"/>
          <w:sz w:val="24"/>
          <w:highlight w:val="none"/>
          <w:lang w:val="zh-CN"/>
        </w:rPr>
        <w:t>。</w:t>
      </w:r>
    </w:p>
    <w:p w14:paraId="06B77933">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二、</w:t>
      </w:r>
      <w:r>
        <w:rPr>
          <w:rFonts w:hint="eastAsia" w:ascii="宋体" w:hAnsi="宋体" w:cs="宋体"/>
          <w:color w:val="auto"/>
          <w:sz w:val="24"/>
          <w:highlight w:val="none"/>
        </w:rPr>
        <w:t>所有联合体成员各方签署授权书，授权书载明的</w:t>
      </w:r>
      <w:r>
        <w:rPr>
          <w:rFonts w:hint="eastAsia" w:ascii="宋体" w:hAnsi="宋体" w:cs="宋体"/>
          <w:color w:val="auto"/>
          <w:kern w:val="0"/>
          <w:sz w:val="24"/>
          <w:highlight w:val="none"/>
          <w:lang w:val="zh-CN"/>
        </w:rPr>
        <w:t>授权代表根据招标文件规定及投标内容而对采购人、采购代理机构所作的任何合法承诺，包括书面澄清及响应等均对联合投标各方产生约束力。</w:t>
      </w:r>
    </w:p>
    <w:p w14:paraId="23E02F9A">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三、本次联合投标中，分工如下：</w:t>
      </w:r>
    </w:p>
    <w:p w14:paraId="1AC3B17A">
      <w:pPr>
        <w:snapToGrid w:val="0"/>
        <w:spacing w:line="360" w:lineRule="auto"/>
        <w:ind w:firstLine="576"/>
        <w:rPr>
          <w:rFonts w:ascii="宋体" w:hAnsi="宋体" w:cs="宋体"/>
          <w:color w:val="auto"/>
          <w:kern w:val="0"/>
          <w:sz w:val="24"/>
          <w:highlight w:val="none"/>
          <w:lang w:val="zh-CN"/>
        </w:rPr>
      </w:pPr>
      <w:bookmarkStart w:id="576" w:name="_Hlk101134295"/>
      <w:r>
        <w:rPr>
          <w:rFonts w:hint="eastAsia" w:ascii="宋体" w:hAnsi="宋体" w:cs="宋体"/>
          <w:color w:val="auto"/>
          <w:kern w:val="0"/>
          <w:sz w:val="24"/>
          <w:highlight w:val="none"/>
          <w:u w:val="single"/>
        </w:rPr>
        <w:t>（联合体成员1）</w:t>
      </w:r>
      <w:r>
        <w:rPr>
          <w:rFonts w:hint="eastAsia" w:ascii="宋体" w:hAnsi="宋体" w:cs="宋体"/>
          <w:color w:val="auto"/>
          <w:kern w:val="0"/>
          <w:sz w:val="24"/>
          <w:highlight w:val="none"/>
          <w:lang w:val="zh-CN"/>
        </w:rPr>
        <w:t>承担的工作和义务为：</w:t>
      </w: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w:t>
      </w:r>
    </w:p>
    <w:p w14:paraId="77F5E140">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（联合体成员</w:t>
      </w:r>
      <w:r>
        <w:rPr>
          <w:rFonts w:ascii="宋体" w:hAnsi="宋体" w:cs="宋体"/>
          <w:color w:val="auto"/>
          <w:kern w:val="0"/>
          <w:sz w:val="24"/>
          <w:highlight w:val="none"/>
          <w:u w:val="single"/>
        </w:rPr>
        <w:t>2</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lang w:val="zh-CN"/>
        </w:rPr>
        <w:t>承担的工作和义务为：</w:t>
      </w: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w:t>
      </w:r>
    </w:p>
    <w:p w14:paraId="41306C56">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w:t>
      </w:r>
    </w:p>
    <w:bookmarkEnd w:id="576"/>
    <w:p w14:paraId="65B09180">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四、联合体成员中小企业合同份额。（根据项目具体情况二选一填写）</w:t>
      </w:r>
    </w:p>
    <w:p w14:paraId="1403FA1D">
      <w:pPr>
        <w:snapToGrid w:val="0"/>
        <w:spacing w:line="360" w:lineRule="auto"/>
        <w:ind w:firstLine="576"/>
        <w:rPr>
          <w:rFonts w:ascii="宋体" w:hAnsi="宋体" w:cs="宋体"/>
          <w:b/>
          <w:color w:val="auto"/>
          <w:kern w:val="0"/>
          <w:sz w:val="24"/>
          <w:highlight w:val="none"/>
          <w:lang w:val="zh-CN"/>
        </w:rPr>
      </w:pPr>
      <w:sdt>
        <w:sdtPr>
          <w:rPr>
            <w:rFonts w:hint="eastAsia" w:ascii="宋体" w:hAnsi="宋体" w:cs="宋体"/>
            <w:color w:val="auto"/>
            <w:kern w:val="0"/>
            <w:sz w:val="24"/>
            <w:highlight w:val="none"/>
            <w:shd w:val="clear" w:color="auto" w:fill="auto"/>
          </w:rPr>
          <w:id w:val="131541968"/>
          <w14:checkbox>
            <w14:checked w14:val="0"/>
            <w14:checkedState w14:val="00FE" w14:font="Wingdings"/>
            <w14:uncheckedState w14:val="2610" w14:font="MS Gothic"/>
          </w14:checkbox>
        </w:sdtPr>
        <w:sdtEndPr>
          <w:rPr>
            <w:rFonts w:hint="eastAsia" w:ascii="宋体" w:hAnsi="宋体" w:cs="宋体"/>
            <w:color w:val="auto"/>
            <w:kern w:val="0"/>
            <w:sz w:val="24"/>
            <w:highlight w:val="none"/>
            <w:shd w:val="clear" w:color="auto" w:fill="auto"/>
          </w:rPr>
        </w:sdtEndPr>
        <w:sdtContent>
          <w:r>
            <w:rPr>
              <w:rFonts w:hint="eastAsia" w:ascii="MS Gothic" w:hAnsi="MS Gothic" w:eastAsia="MS Gothic" w:cs="宋体"/>
              <w:color w:val="auto"/>
              <w:kern w:val="0"/>
              <w:sz w:val="24"/>
              <w:szCs w:val="24"/>
              <w:highlight w:val="none"/>
              <w:shd w:val="clear" w:color="auto" w:fill="auto"/>
              <w:lang w:val="en-US" w:eastAsia="zh-CN" w:bidi="ar-SA"/>
            </w:rPr>
            <w:t>☐</w:t>
          </w:r>
        </w:sdtContent>
      </w:sdt>
      <w:r>
        <w:rPr>
          <w:rFonts w:hint="eastAsia" w:ascii="宋体" w:hAnsi="宋体" w:cs="宋体"/>
          <w:color w:val="auto"/>
          <w:kern w:val="0"/>
          <w:sz w:val="24"/>
          <w:highlight w:val="none"/>
          <w:u w:val="single"/>
        </w:rPr>
        <w:t>（联合体成员</w:t>
      </w:r>
      <w:r>
        <w:rPr>
          <w:rFonts w:ascii="宋体" w:hAnsi="宋体" w:cs="宋体"/>
          <w:color w:val="auto"/>
          <w:kern w:val="0"/>
          <w:sz w:val="24"/>
          <w:highlight w:val="none"/>
          <w:u w:val="single"/>
        </w:rPr>
        <w:t>X,</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rPr>
        <w:t>提供的全部货物由小微企业制造，其合同份额占到合同总金额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宋体" w:hAnsi="宋体" w:cs="宋体"/>
          <w:b/>
          <w:color w:val="auto"/>
          <w:sz w:val="24"/>
          <w:highlight w:val="none"/>
        </w:rPr>
        <w:t>拟享受以上价格扣除政策的，填写有关内容。</w:t>
      </w:r>
      <w:r>
        <w:rPr>
          <w:rFonts w:hint="eastAsia" w:ascii="宋体" w:hAnsi="宋体" w:cs="宋体"/>
          <w:b/>
          <w:color w:val="auto"/>
          <w:kern w:val="0"/>
          <w:sz w:val="24"/>
          <w:highlight w:val="none"/>
          <w:lang w:val="zh-CN"/>
        </w:rPr>
        <w:t>）</w:t>
      </w:r>
    </w:p>
    <w:p w14:paraId="572186DA">
      <w:pPr>
        <w:snapToGrid w:val="0"/>
        <w:spacing w:line="360" w:lineRule="auto"/>
        <w:ind w:firstLine="576"/>
        <w:rPr>
          <w:rFonts w:ascii="宋体" w:hAnsi="宋体" w:cs="宋体"/>
          <w:color w:val="auto"/>
          <w:kern w:val="0"/>
          <w:sz w:val="24"/>
          <w:highlight w:val="none"/>
          <w:lang w:val="zh-CN"/>
        </w:rPr>
      </w:pPr>
      <w:sdt>
        <w:sdtPr>
          <w:rPr>
            <w:rFonts w:hint="eastAsia" w:ascii="宋体" w:hAnsi="宋体" w:cs="宋体"/>
            <w:color w:val="auto"/>
            <w:kern w:val="0"/>
            <w:sz w:val="24"/>
            <w:highlight w:val="none"/>
            <w:shd w:val="clear" w:color="auto" w:fill="auto"/>
          </w:rPr>
          <w:id w:val="412236895"/>
          <w14:checkbox>
            <w14:checked w14:val="0"/>
            <w14:checkedState w14:val="00FE" w14:font="Wingdings"/>
            <w14:uncheckedState w14:val="2610" w14:font="MS Gothic"/>
          </w14:checkbox>
        </w:sdtPr>
        <w:sdtEndPr>
          <w:rPr>
            <w:rFonts w:hint="eastAsia" w:ascii="宋体" w:hAnsi="宋体" w:cs="宋体"/>
            <w:color w:val="auto"/>
            <w:kern w:val="0"/>
            <w:sz w:val="24"/>
            <w:highlight w:val="none"/>
            <w:shd w:val="clear" w:color="auto" w:fill="auto"/>
          </w:rPr>
        </w:sdtEndPr>
        <w:sdtContent>
          <w:r>
            <w:rPr>
              <w:rFonts w:hint="eastAsia" w:ascii="MS Gothic" w:hAnsi="MS Gothic" w:eastAsia="MS Gothic" w:cs="宋体"/>
              <w:color w:val="auto"/>
              <w:kern w:val="0"/>
              <w:sz w:val="24"/>
              <w:szCs w:val="24"/>
              <w:highlight w:val="none"/>
              <w:shd w:val="clear" w:color="auto" w:fill="auto"/>
              <w:lang w:val="en-US" w:eastAsia="zh-CN" w:bidi="ar-SA"/>
            </w:rPr>
            <w:t>☐</w:t>
          </w:r>
        </w:sdtContent>
      </w:sdt>
      <w:r>
        <w:rPr>
          <w:rFonts w:hint="eastAsia" w:ascii="宋体" w:hAnsi="宋体" w:cs="宋体"/>
          <w:color w:val="auto"/>
          <w:sz w:val="24"/>
          <w:highlight w:val="none"/>
        </w:rPr>
        <w:t>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%，其中小微企业合同金额达到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w:t>
      </w:r>
      <w:r>
        <w:rPr>
          <w:rFonts w:hint="eastAsia" w:ascii="宋体" w:hAnsi="宋体" w:cs="宋体"/>
          <w:b/>
          <w:bCs/>
          <w:color w:val="auto"/>
          <w:kern w:val="0"/>
          <w:sz w:val="24"/>
          <w:highlight w:val="none"/>
          <w:lang w:val="zh-CN"/>
        </w:rPr>
        <w:t>（</w:t>
      </w:r>
      <w:r>
        <w:rPr>
          <w:rFonts w:hint="eastAsia" w:ascii="宋体" w:hAnsi="宋体" w:cs="宋体"/>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宋体" w:hAnsi="宋体" w:cs="宋体"/>
          <w:b/>
          <w:bCs/>
          <w:color w:val="auto"/>
          <w:kern w:val="0"/>
          <w:sz w:val="24"/>
          <w:highlight w:val="none"/>
          <w:lang w:val="zh-CN"/>
        </w:rPr>
        <w:t>）</w:t>
      </w:r>
    </w:p>
    <w:p w14:paraId="62FC0B32">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五、如果中标，</w:t>
      </w:r>
      <w:r>
        <w:rPr>
          <w:rFonts w:hint="eastAsia" w:ascii="宋体" w:hAnsi="宋体" w:cs="宋体"/>
          <w:color w:val="auto"/>
          <w:sz w:val="24"/>
          <w:highlight w:val="none"/>
        </w:rPr>
        <w:t>联合体各成员方共同与采购人签订合同，并就采购合同约定的事项对采购人承担连带责任。</w:t>
      </w:r>
    </w:p>
    <w:p w14:paraId="2996512C">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六、有关本次联合投标的其他事宜：</w:t>
      </w:r>
    </w:p>
    <w:p w14:paraId="40A8EED5">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1、联合体各方不再单独参加或者与其他供应商另外组成联合体参加同一合同项下的政府采购活动。</w:t>
      </w:r>
    </w:p>
    <w:p w14:paraId="64E3ECD3">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2、联合体中有同类资质的各方按照联合体分工承担相同工作的，按照资质等级较低的供应商确定资质等级。</w:t>
      </w:r>
    </w:p>
    <w:p w14:paraId="0943E604">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3、本协议提交采购人、采购代理机构后，联合体各方不得以任何形式对上述内容进行修改或撤销。</w:t>
      </w:r>
    </w:p>
    <w:p w14:paraId="12B163AF">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联合体成员名称(电子签名/公章)：</w:t>
      </w:r>
    </w:p>
    <w:p w14:paraId="35B2C07A">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联合体成员名称(电子签名/公章)：</w:t>
      </w:r>
    </w:p>
    <w:p w14:paraId="7FE55D77">
      <w:pPr>
        <w:snapToGrid w:val="0"/>
        <w:spacing w:line="360" w:lineRule="auto"/>
        <w:ind w:right="960"/>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5C8A41FE">
      <w:pPr>
        <w:snapToGrid w:val="0"/>
        <w:spacing w:line="360" w:lineRule="auto"/>
        <w:jc w:val="righ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2AE1FD29">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5342EF21">
      <w:pPr>
        <w:autoSpaceDE w:val="0"/>
        <w:autoSpaceDN w:val="0"/>
        <w:jc w:val="center"/>
        <w:rPr>
          <w:rFonts w:ascii="宋体" w:hAnsi="宋体" w:cs="宋体"/>
          <w:b/>
          <w:color w:val="auto"/>
          <w:spacing w:val="6"/>
          <w:sz w:val="32"/>
          <w:szCs w:val="32"/>
          <w:highlight w:val="none"/>
        </w:rPr>
      </w:pPr>
    </w:p>
    <w:p w14:paraId="63A8983F">
      <w:pPr>
        <w:autoSpaceDE w:val="0"/>
        <w:autoSpaceDN w:val="0"/>
        <w:jc w:val="center"/>
        <w:rPr>
          <w:rFonts w:ascii="宋体" w:hAnsi="宋体" w:cs="宋体"/>
          <w:b/>
          <w:color w:val="auto"/>
          <w:spacing w:val="6"/>
          <w:sz w:val="32"/>
          <w:szCs w:val="32"/>
          <w:highlight w:val="none"/>
        </w:rPr>
      </w:pPr>
    </w:p>
    <w:p w14:paraId="7D5B8BCD">
      <w:pPr>
        <w:autoSpaceDE w:val="0"/>
        <w:autoSpaceDN w:val="0"/>
        <w:jc w:val="center"/>
        <w:rPr>
          <w:rFonts w:ascii="宋体" w:hAnsi="宋体" w:cs="宋体"/>
          <w:b/>
          <w:color w:val="auto"/>
          <w:spacing w:val="6"/>
          <w:sz w:val="32"/>
          <w:szCs w:val="32"/>
          <w:highlight w:val="none"/>
        </w:rPr>
      </w:pPr>
    </w:p>
    <w:p w14:paraId="03F0B383">
      <w:pPr>
        <w:autoSpaceDE w:val="0"/>
        <w:autoSpaceDN w:val="0"/>
        <w:jc w:val="center"/>
        <w:rPr>
          <w:rFonts w:ascii="宋体" w:hAnsi="宋体" w:cs="宋体"/>
          <w:b/>
          <w:color w:val="auto"/>
          <w:spacing w:val="6"/>
          <w:sz w:val="32"/>
          <w:szCs w:val="32"/>
          <w:highlight w:val="none"/>
        </w:rPr>
      </w:pPr>
    </w:p>
    <w:p w14:paraId="2DDFA8CB">
      <w:pPr>
        <w:autoSpaceDE w:val="0"/>
        <w:autoSpaceDN w:val="0"/>
        <w:jc w:val="center"/>
        <w:rPr>
          <w:rFonts w:ascii="宋体" w:hAnsi="宋体" w:cs="宋体"/>
          <w:b/>
          <w:color w:val="auto"/>
          <w:spacing w:val="6"/>
          <w:sz w:val="32"/>
          <w:szCs w:val="32"/>
          <w:highlight w:val="none"/>
        </w:rPr>
      </w:pPr>
    </w:p>
    <w:p w14:paraId="44D5C5AE">
      <w:pPr>
        <w:bidi w:val="0"/>
      </w:pPr>
    </w:p>
    <w:p w14:paraId="07D87675">
      <w:pPr>
        <w:bidi w:val="0"/>
      </w:pPr>
    </w:p>
    <w:p w14:paraId="582C7FF2">
      <w:pPr>
        <w:bidi w:val="0"/>
      </w:pPr>
    </w:p>
    <w:p w14:paraId="38429C53">
      <w:pPr>
        <w:bidi w:val="0"/>
      </w:pPr>
    </w:p>
    <w:p w14:paraId="1C750D41">
      <w:pPr>
        <w:bidi w:val="0"/>
      </w:pPr>
    </w:p>
    <w:p w14:paraId="58A30E98">
      <w:pPr>
        <w:bidi w:val="0"/>
      </w:pPr>
    </w:p>
    <w:p w14:paraId="3EBDCDFC">
      <w:pPr>
        <w:bidi w:val="0"/>
      </w:pPr>
    </w:p>
    <w:p w14:paraId="7C4D983F">
      <w:pPr>
        <w:bidi w:val="0"/>
      </w:pPr>
    </w:p>
    <w:p w14:paraId="487D40E0">
      <w:pPr>
        <w:bidi w:val="0"/>
      </w:pPr>
    </w:p>
    <w:p w14:paraId="0E857BAA">
      <w:pPr>
        <w:bidi w:val="0"/>
      </w:pPr>
    </w:p>
    <w:p w14:paraId="5FC6BC0A">
      <w:pPr>
        <w:bidi w:val="0"/>
      </w:pPr>
    </w:p>
    <w:p w14:paraId="24F8239E">
      <w:pPr>
        <w:bidi w:val="0"/>
      </w:pPr>
    </w:p>
    <w:p w14:paraId="6E1D5075">
      <w:pPr>
        <w:bidi w:val="0"/>
      </w:pPr>
    </w:p>
    <w:p w14:paraId="05006E7E">
      <w:pPr>
        <w:bidi w:val="0"/>
      </w:pPr>
    </w:p>
    <w:p w14:paraId="7840FBBA">
      <w:pPr>
        <w:bidi w:val="0"/>
        <w:rPr>
          <w:rFonts w:hint="eastAsia"/>
        </w:rPr>
      </w:pPr>
    </w:p>
    <w:p w14:paraId="460F3D1F">
      <w:pPr>
        <w:bidi w:val="0"/>
        <w:rPr>
          <w:rFonts w:hint="eastAsia"/>
        </w:rPr>
      </w:pPr>
    </w:p>
    <w:p w14:paraId="58AAAFE5">
      <w:pPr>
        <w:bidi w:val="0"/>
        <w:rPr>
          <w:rFonts w:hint="eastAsia"/>
        </w:rPr>
      </w:pPr>
    </w:p>
    <w:p w14:paraId="1F4666C1">
      <w:pPr>
        <w:rPr>
          <w:rFonts w:hint="eastAsia" w:ascii="宋体" w:hAnsi="宋体" w:cs="宋体"/>
          <w:b/>
          <w:color w:val="auto"/>
          <w:kern w:val="0"/>
          <w:sz w:val="32"/>
          <w:szCs w:val="32"/>
          <w:highlight w:val="none"/>
        </w:rPr>
      </w:pPr>
      <w:r>
        <w:rPr>
          <w:rFonts w:hint="eastAsia" w:ascii="宋体" w:hAnsi="宋体" w:cs="宋体"/>
          <w:b/>
          <w:color w:val="auto"/>
          <w:kern w:val="0"/>
          <w:sz w:val="32"/>
          <w:szCs w:val="32"/>
          <w:highlight w:val="none"/>
        </w:rPr>
        <w:br w:type="page"/>
      </w:r>
    </w:p>
    <w:p w14:paraId="59F24683">
      <w:pPr>
        <w:snapToGrid w:val="0"/>
        <w:spacing w:line="360" w:lineRule="auto"/>
        <w:jc w:val="center"/>
        <w:outlineLvl w:val="1"/>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w:t>
      </w:r>
      <w:r>
        <w:rPr>
          <w:rFonts w:ascii="宋体" w:hAnsi="宋体" w:cs="宋体"/>
          <w:b/>
          <w:color w:val="auto"/>
          <w:kern w:val="0"/>
          <w:sz w:val="32"/>
          <w:szCs w:val="32"/>
          <w:highlight w:val="none"/>
        </w:rPr>
        <w:t>6</w:t>
      </w:r>
      <w:r>
        <w:rPr>
          <w:rFonts w:hint="eastAsia" w:ascii="宋体" w:hAnsi="宋体" w:cs="宋体"/>
          <w:b/>
          <w:color w:val="auto"/>
          <w:kern w:val="0"/>
          <w:sz w:val="32"/>
          <w:szCs w:val="32"/>
          <w:highlight w:val="none"/>
        </w:rPr>
        <w:t>：分包意向协议</w:t>
      </w:r>
    </w:p>
    <w:p w14:paraId="0A2E5D99">
      <w:pPr>
        <w:widowControl/>
        <w:spacing w:line="360" w:lineRule="auto"/>
        <w:ind w:firstLine="120" w:firstLineChars="50"/>
        <w:jc w:val="left"/>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b/>
          <w:color w:val="auto"/>
          <w:sz w:val="24"/>
          <w:highlight w:val="none"/>
        </w:rPr>
        <w:t>中标后以分包方式履行合同的，提供分包意向协议；采购人不同意分包或者投标人中标后不以分包方式履行合同的，则不需要提供。</w:t>
      </w:r>
      <w:r>
        <w:rPr>
          <w:rFonts w:hint="eastAsia" w:ascii="宋体" w:hAnsi="宋体" w:cs="宋体"/>
          <w:color w:val="auto"/>
          <w:sz w:val="24"/>
          <w:highlight w:val="none"/>
        </w:rPr>
        <w:t>）</w:t>
      </w:r>
    </w:p>
    <w:p w14:paraId="4706A66A">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lang w:val="zh-CN"/>
        </w:rPr>
        <w:t>若成为</w:t>
      </w:r>
      <w:r>
        <w:rPr>
          <w:rFonts w:hint="eastAsia" w:ascii="宋体" w:hAnsi="宋体" w:cs="宋体"/>
          <w:color w:val="auto"/>
          <w:sz w:val="24"/>
          <w:highlight w:val="none"/>
        </w:rPr>
        <w:t>（项目名称）【招标编号：（采购编号）】</w:t>
      </w:r>
      <w:r>
        <w:rPr>
          <w:rFonts w:hint="eastAsia" w:ascii="宋体" w:hAnsi="宋体" w:cs="宋体"/>
          <w:color w:val="auto"/>
          <w:kern w:val="0"/>
          <w:sz w:val="24"/>
          <w:highlight w:val="none"/>
          <w:lang w:val="zh-CN"/>
        </w:rPr>
        <w:t>的中标供应商，将依法采取分包方式履行合同。</w:t>
      </w: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rPr>
        <w:t>与</w:t>
      </w:r>
      <w:r>
        <w:rPr>
          <w:rFonts w:hint="eastAsia" w:ascii="宋体" w:hAnsi="宋体" w:cs="宋体"/>
          <w:color w:val="auto"/>
          <w:kern w:val="0"/>
          <w:sz w:val="24"/>
          <w:highlight w:val="none"/>
          <w:u w:val="single"/>
        </w:rPr>
        <w:t>（所有分包供应商名称）</w:t>
      </w:r>
      <w:r>
        <w:rPr>
          <w:rFonts w:hint="eastAsia" w:ascii="宋体" w:hAnsi="宋体" w:cs="宋体"/>
          <w:color w:val="auto"/>
          <w:kern w:val="0"/>
          <w:sz w:val="24"/>
          <w:highlight w:val="none"/>
        </w:rPr>
        <w:t>达成分包意向协议</w:t>
      </w:r>
      <w:r>
        <w:rPr>
          <w:rFonts w:hint="eastAsia" w:ascii="宋体" w:hAnsi="宋体" w:cs="宋体"/>
          <w:color w:val="auto"/>
          <w:kern w:val="0"/>
          <w:sz w:val="24"/>
          <w:highlight w:val="none"/>
          <w:lang w:val="zh-CN"/>
        </w:rPr>
        <w:t>。</w:t>
      </w:r>
    </w:p>
    <w:p w14:paraId="097AA6DA">
      <w:pPr>
        <w:snapToGrid w:val="0"/>
        <w:spacing w:line="360" w:lineRule="auto"/>
        <w:ind w:firstLine="576"/>
        <w:rPr>
          <w:rFonts w:ascii="宋体" w:hAnsi="宋体" w:cs="宋体"/>
          <w:b/>
          <w:bCs/>
          <w:i w:val="0"/>
          <w:iCs w:val="0"/>
          <w:color w:val="auto"/>
          <w:kern w:val="0"/>
          <w:sz w:val="24"/>
          <w:highlight w:val="none"/>
          <w:lang w:val="zh-CN"/>
        </w:rPr>
      </w:pPr>
      <w:r>
        <w:rPr>
          <w:rFonts w:hint="eastAsia" w:ascii="宋体" w:hAnsi="宋体" w:cs="宋体"/>
          <w:kern w:val="0"/>
          <w:sz w:val="24"/>
          <w:highlight w:val="none"/>
          <w:lang w:val="zh-CN"/>
        </w:rPr>
        <w:t>一、</w:t>
      </w:r>
      <w:r>
        <w:rPr>
          <w:rFonts w:hint="eastAsia" w:ascii="宋体" w:hAnsi="宋体" w:cs="宋体"/>
          <w:kern w:val="0"/>
          <w:sz w:val="24"/>
          <w:highlight w:val="none"/>
          <w:u w:val="single"/>
          <w:lang w:val="zh-CN"/>
        </w:rPr>
        <w:t>（投标人名称）</w:t>
      </w:r>
      <w:r>
        <w:rPr>
          <w:rFonts w:hint="eastAsia" w:ascii="宋体" w:hAnsi="宋体" w:cs="宋体"/>
          <w:kern w:val="0"/>
          <w:sz w:val="24"/>
          <w:highlight w:val="none"/>
          <w:u w:val="none"/>
          <w:lang w:val="zh-CN"/>
        </w:rPr>
        <w:t>将工作</w:t>
      </w:r>
      <w:r>
        <w:rPr>
          <w:rFonts w:hint="eastAsia" w:ascii="宋体" w:hAnsi="宋体" w:cs="宋体"/>
          <w:kern w:val="0"/>
          <w:sz w:val="24"/>
          <w:highlight w:val="none"/>
          <w:lang w:val="zh-CN"/>
        </w:rPr>
        <w:t>分包如下：</w:t>
      </w:r>
      <w:r>
        <w:rPr>
          <w:rFonts w:hint="eastAsia" w:ascii="宋体" w:hAnsi="宋体" w:cs="宋体"/>
          <w:b/>
          <w:bCs/>
          <w:i w:val="0"/>
          <w:iCs w:val="0"/>
          <w:color w:val="auto"/>
          <w:kern w:val="0"/>
          <w:sz w:val="24"/>
          <w:szCs w:val="24"/>
          <w:highlight w:val="none"/>
          <w:lang w:val="zh-CN"/>
        </w:rPr>
        <w:t>（注：投标人只能将招标文件第二部分中“前附表”的“分包”规定的工作进行分包）</w:t>
      </w:r>
    </w:p>
    <w:p w14:paraId="059C52E0">
      <w:pPr>
        <w:snapToGrid w:val="0"/>
        <w:spacing w:line="360" w:lineRule="auto"/>
        <w:ind w:firstLine="576"/>
        <w:rPr>
          <w:rFonts w:hint="eastAsia" w:ascii="宋体" w:hAnsi="宋体" w:eastAsia="宋体" w:cs="宋体"/>
          <w:kern w:val="0"/>
          <w:sz w:val="24"/>
          <w:highlight w:val="none"/>
          <w:lang w:val="zh-CN" w:eastAsia="zh-CN"/>
        </w:rPr>
      </w:pPr>
      <w:r>
        <w:rPr>
          <w:rFonts w:hint="eastAsia" w:ascii="宋体" w:hAnsi="宋体" w:cs="宋体"/>
          <w:kern w:val="0"/>
          <w:sz w:val="24"/>
          <w:highlight w:val="none"/>
          <w:lang w:val="zh-CN"/>
        </w:rPr>
        <w:t>将</w:t>
      </w:r>
      <w:r>
        <w:rPr>
          <w:rFonts w:hint="eastAsia" w:ascii="宋体" w:hAnsi="宋体" w:cs="宋体"/>
          <w:highlight w:val="none"/>
          <w:u w:val="single"/>
        </w:rPr>
        <w:t xml:space="preserve">  </w:t>
      </w:r>
      <w:r>
        <w:rPr>
          <w:rFonts w:ascii="宋体" w:hAnsi="宋体" w:cs="宋体"/>
          <w:kern w:val="0"/>
          <w:sz w:val="24"/>
          <w:highlight w:val="none"/>
          <w:u w:val="single"/>
        </w:rPr>
        <w:t xml:space="preserve"> XX工作内容   </w:t>
      </w:r>
      <w:r>
        <w:rPr>
          <w:rFonts w:hint="eastAsia" w:ascii="宋体" w:hAnsi="宋体" w:cs="宋体"/>
          <w:sz w:val="24"/>
          <w:highlight w:val="none"/>
        </w:rPr>
        <w:t>分包给</w:t>
      </w:r>
      <w:r>
        <w:rPr>
          <w:rFonts w:hint="eastAsia" w:ascii="宋体" w:hAnsi="宋体" w:cs="宋体"/>
          <w:kern w:val="0"/>
          <w:sz w:val="24"/>
          <w:highlight w:val="none"/>
          <w:u w:val="single"/>
        </w:rPr>
        <w:t>（分包供应商1名称）</w:t>
      </w:r>
      <w:r>
        <w:rPr>
          <w:rFonts w:hint="eastAsia" w:ascii="宋体" w:hAnsi="宋体" w:cs="宋体"/>
          <w:kern w:val="0"/>
          <w:sz w:val="24"/>
          <w:highlight w:val="none"/>
          <w:u w:val="single"/>
          <w:lang w:eastAsia="zh-CN"/>
        </w:rPr>
        <w:t>；</w:t>
      </w:r>
    </w:p>
    <w:p w14:paraId="1C0AA957">
      <w:pPr>
        <w:snapToGrid w:val="0"/>
        <w:spacing w:line="360" w:lineRule="auto"/>
        <w:ind w:firstLine="576"/>
        <w:rPr>
          <w:rFonts w:hint="eastAsia" w:ascii="宋体" w:hAnsi="宋体" w:cs="宋体"/>
          <w:kern w:val="0"/>
          <w:sz w:val="24"/>
          <w:highlight w:val="none"/>
          <w:u w:val="single"/>
        </w:rPr>
      </w:pPr>
      <w:r>
        <w:rPr>
          <w:rFonts w:hint="eastAsia" w:ascii="宋体" w:hAnsi="宋体" w:cs="宋体"/>
          <w:kern w:val="0"/>
          <w:sz w:val="24"/>
          <w:highlight w:val="none"/>
          <w:lang w:val="zh-CN"/>
        </w:rPr>
        <w:t>将</w:t>
      </w:r>
      <w:r>
        <w:rPr>
          <w:rFonts w:hint="eastAsia" w:ascii="宋体" w:hAnsi="宋体" w:cs="宋体"/>
          <w:highlight w:val="none"/>
          <w:u w:val="single"/>
        </w:rPr>
        <w:t xml:space="preserve">  </w:t>
      </w:r>
      <w:r>
        <w:rPr>
          <w:rFonts w:ascii="宋体" w:hAnsi="宋体" w:cs="宋体"/>
          <w:kern w:val="0"/>
          <w:sz w:val="24"/>
          <w:highlight w:val="none"/>
          <w:u w:val="single"/>
        </w:rPr>
        <w:t xml:space="preserve"> XX工作内容   </w:t>
      </w:r>
      <w:r>
        <w:rPr>
          <w:rFonts w:hint="eastAsia" w:ascii="宋体" w:hAnsi="宋体" w:cs="宋体"/>
          <w:sz w:val="24"/>
          <w:highlight w:val="none"/>
        </w:rPr>
        <w:t>分包给</w:t>
      </w:r>
      <w:r>
        <w:rPr>
          <w:rFonts w:hint="eastAsia" w:ascii="宋体" w:hAnsi="宋体" w:cs="宋体"/>
          <w:kern w:val="0"/>
          <w:sz w:val="24"/>
          <w:highlight w:val="none"/>
          <w:u w:val="single"/>
        </w:rPr>
        <w:t>（分包供应商</w:t>
      </w:r>
      <w:r>
        <w:rPr>
          <w:rFonts w:hint="eastAsia" w:ascii="宋体" w:hAnsi="宋体" w:cs="宋体"/>
          <w:kern w:val="0"/>
          <w:sz w:val="24"/>
          <w:highlight w:val="none"/>
          <w:u w:val="single"/>
          <w:lang w:val="en-US" w:eastAsia="zh-CN"/>
        </w:rPr>
        <w:t>2</w:t>
      </w:r>
      <w:r>
        <w:rPr>
          <w:rFonts w:hint="eastAsia" w:ascii="宋体" w:hAnsi="宋体" w:cs="宋体"/>
          <w:kern w:val="0"/>
          <w:sz w:val="24"/>
          <w:highlight w:val="none"/>
          <w:u w:val="single"/>
        </w:rPr>
        <w:t>名称）</w:t>
      </w:r>
      <w:r>
        <w:rPr>
          <w:rFonts w:hint="eastAsia" w:ascii="宋体" w:hAnsi="宋体" w:cs="宋体"/>
          <w:kern w:val="0"/>
          <w:sz w:val="24"/>
          <w:highlight w:val="none"/>
          <w:u w:val="single"/>
          <w:lang w:eastAsia="zh-CN"/>
        </w:rPr>
        <w:t>；</w:t>
      </w:r>
    </w:p>
    <w:p w14:paraId="039275DF">
      <w:pPr>
        <w:keepNext/>
        <w:keepLines/>
        <w:pageBreakBefore w:val="0"/>
        <w:widowControl w:val="0"/>
        <w:tabs>
          <w:tab w:val="left" w:pos="432"/>
        </w:tabs>
        <w:kinsoku/>
        <w:wordWrap/>
        <w:overflowPunct/>
        <w:topLinePunct w:val="0"/>
        <w:autoSpaceDE/>
        <w:autoSpaceDN/>
        <w:bidi w:val="0"/>
        <w:adjustRightInd/>
        <w:snapToGrid/>
        <w:spacing w:line="360" w:lineRule="auto"/>
        <w:ind w:left="664" w:leftChars="316" w:firstLine="228" w:firstLineChars="95"/>
        <w:textAlignment w:val="auto"/>
        <w:outlineLvl w:val="9"/>
        <w:rPr>
          <w:rFonts w:ascii="宋体" w:hAnsi="宋体" w:eastAsia="宋体" w:cs="宋体"/>
          <w:kern w:val="0"/>
          <w:sz w:val="24"/>
          <w:szCs w:val="24"/>
          <w:highlight w:val="none"/>
        </w:rPr>
      </w:pPr>
      <w:r>
        <w:rPr>
          <w:rFonts w:hint="eastAsia" w:ascii="宋体" w:hAnsi="宋体" w:eastAsia="宋体" w:cs="宋体"/>
          <w:kern w:val="0"/>
          <w:sz w:val="24"/>
          <w:szCs w:val="24"/>
          <w:highlight w:val="none"/>
        </w:rPr>
        <w:t>……</w:t>
      </w:r>
    </w:p>
    <w:p w14:paraId="22DE74C1">
      <w:pPr>
        <w:keepNext/>
        <w:keepLines/>
        <w:pageBreakBefore w:val="0"/>
        <w:widowControl w:val="0"/>
        <w:tabs>
          <w:tab w:val="left" w:pos="432"/>
        </w:tabs>
        <w:kinsoku/>
        <w:wordWrap/>
        <w:overflowPunct/>
        <w:topLinePunct w:val="0"/>
        <w:autoSpaceDE/>
        <w:autoSpaceDN/>
        <w:bidi w:val="0"/>
        <w:adjustRightInd/>
        <w:snapToGrid/>
        <w:spacing w:line="360" w:lineRule="auto"/>
        <w:ind w:left="664" w:leftChars="316" w:firstLine="228" w:firstLineChars="95"/>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highlight w:val="none"/>
          <w:u w:val="none"/>
          <w:lang w:eastAsia="zh-CN"/>
        </w:rPr>
        <w:t>以上分包供应商</w:t>
      </w:r>
      <w:r>
        <w:rPr>
          <w:rFonts w:hint="eastAsia" w:ascii="宋体" w:hAnsi="宋体" w:eastAsia="宋体" w:cs="宋体"/>
          <w:color w:val="auto"/>
          <w:kern w:val="0"/>
          <w:sz w:val="24"/>
          <w:highlight w:val="none"/>
          <w:u w:val="none"/>
          <w:lang w:val="zh-CN"/>
        </w:rPr>
        <w:t>具备所承</w:t>
      </w:r>
      <w:r>
        <w:rPr>
          <w:rFonts w:hint="eastAsia" w:ascii="宋体" w:hAnsi="宋体" w:eastAsia="宋体" w:cs="宋体"/>
          <w:color w:val="auto"/>
          <w:kern w:val="0"/>
          <w:sz w:val="24"/>
          <w:highlight w:val="none"/>
          <w:u w:val="none"/>
        </w:rPr>
        <w:t>担</w:t>
      </w:r>
      <w:r>
        <w:rPr>
          <w:rFonts w:hint="eastAsia" w:ascii="宋体" w:hAnsi="宋体" w:eastAsia="宋体" w:cs="宋体"/>
          <w:color w:val="auto"/>
          <w:kern w:val="0"/>
          <w:sz w:val="24"/>
          <w:highlight w:val="none"/>
          <w:u w:val="none"/>
          <w:lang w:val="zh-CN"/>
        </w:rPr>
        <w:t>分包工作内容相应的资质条件且不得再次分包。</w:t>
      </w:r>
    </w:p>
    <w:p w14:paraId="48A04EB5">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二、分包供应商中小企业合同份额（</w:t>
      </w:r>
      <w:r>
        <w:rPr>
          <w:rFonts w:hint="eastAsia" w:ascii="宋体" w:hAnsi="宋体" w:cs="宋体"/>
          <w:color w:val="auto"/>
          <w:kern w:val="0"/>
          <w:sz w:val="24"/>
          <w:highlight w:val="none"/>
          <w:lang w:val="en-US" w:eastAsia="zh-CN"/>
        </w:rPr>
        <w:t>根据项目具体情况二选一填写）</w:t>
      </w:r>
    </w:p>
    <w:p w14:paraId="01849A7D">
      <w:pPr>
        <w:snapToGrid w:val="0"/>
        <w:spacing w:line="360" w:lineRule="auto"/>
        <w:ind w:firstLine="576"/>
        <w:rPr>
          <w:rFonts w:ascii="宋体" w:hAnsi="宋体" w:cs="宋体"/>
          <w:b/>
          <w:color w:val="auto"/>
          <w:kern w:val="0"/>
          <w:sz w:val="24"/>
          <w:highlight w:val="none"/>
          <w:lang w:val="zh-CN"/>
        </w:rPr>
      </w:pPr>
      <w:sdt>
        <w:sdtPr>
          <w:rPr>
            <w:rFonts w:hint="eastAsia" w:ascii="宋体" w:hAnsi="宋体" w:cs="宋体"/>
            <w:color w:val="auto"/>
            <w:kern w:val="0"/>
            <w:sz w:val="24"/>
            <w:highlight w:val="none"/>
            <w:shd w:val="clear" w:color="auto" w:fill="auto"/>
          </w:rPr>
          <w:id w:val="161509231"/>
          <w14:checkbox>
            <w14:checked w14:val="0"/>
            <w14:checkedState w14:val="00FE" w14:font="Wingdings"/>
            <w14:uncheckedState w14:val="2610" w14:font="MS Gothic"/>
          </w14:checkbox>
        </w:sdtPr>
        <w:sdtEndPr>
          <w:rPr>
            <w:rFonts w:hint="eastAsia" w:ascii="宋体" w:hAnsi="宋体" w:cs="宋体"/>
            <w:color w:val="auto"/>
            <w:kern w:val="0"/>
            <w:sz w:val="24"/>
            <w:highlight w:val="none"/>
            <w:shd w:val="clear" w:color="auto" w:fill="auto"/>
          </w:rPr>
        </w:sdtEndPr>
        <w:sdtContent>
          <w:r>
            <w:rPr>
              <w:rFonts w:hint="eastAsia" w:ascii="MS Gothic" w:hAnsi="MS Gothic" w:eastAsia="MS Gothic" w:cs="宋体"/>
              <w:color w:val="auto"/>
              <w:kern w:val="0"/>
              <w:sz w:val="24"/>
              <w:szCs w:val="24"/>
              <w:highlight w:val="none"/>
              <w:shd w:val="clear" w:color="auto" w:fill="auto"/>
              <w:lang w:val="en-US" w:eastAsia="zh-CN" w:bidi="ar-SA"/>
            </w:rPr>
            <w:t>☐</w:t>
          </w:r>
        </w:sdtContent>
      </w:sdt>
      <w:r>
        <w:rPr>
          <w:rFonts w:hint="eastAsia" w:ascii="宋体" w:hAnsi="宋体" w:cs="宋体"/>
          <w:color w:val="auto"/>
          <w:kern w:val="0"/>
          <w:sz w:val="24"/>
          <w:highlight w:val="none"/>
          <w:u w:val="single"/>
        </w:rPr>
        <w:t>（分包供应商X</w:t>
      </w:r>
      <w:r>
        <w:rPr>
          <w:rFonts w:ascii="宋体" w:hAnsi="宋体" w:cs="宋体"/>
          <w:color w:val="auto"/>
          <w:kern w:val="0"/>
          <w:sz w:val="24"/>
          <w:highlight w:val="none"/>
          <w:u w:val="single"/>
        </w:rPr>
        <w:t>,</w:t>
      </w:r>
      <w:r>
        <w:rPr>
          <w:rFonts w:hint="eastAsia" w:ascii="宋体" w:hAnsi="宋体" w:cs="宋体"/>
          <w:color w:val="auto"/>
          <w:kern w:val="0"/>
          <w:sz w:val="24"/>
          <w:highlight w:val="none"/>
          <w:u w:val="single"/>
        </w:rPr>
        <w:t>……）提供的货物全部由小微企业制造，</w:t>
      </w:r>
      <w:r>
        <w:rPr>
          <w:rFonts w:hint="eastAsia" w:ascii="宋体" w:hAnsi="宋体" w:cs="宋体"/>
          <w:color w:val="auto"/>
          <w:kern w:val="0"/>
          <w:sz w:val="24"/>
          <w:highlight w:val="none"/>
        </w:rPr>
        <w:t>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highlight w:val="none"/>
        </w:rPr>
        <w:t>。</w:t>
      </w:r>
      <w:r>
        <w:rPr>
          <w:rFonts w:hint="eastAsia" w:ascii="宋体" w:hAnsi="宋体" w:cs="宋体"/>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宋体" w:hAnsi="宋体" w:cs="宋体"/>
          <w:b/>
          <w:color w:val="auto"/>
          <w:sz w:val="24"/>
          <w:highlight w:val="none"/>
        </w:rPr>
        <w:t>拟享受以上价格扣除政策的，填写有关内容。</w:t>
      </w:r>
      <w:r>
        <w:rPr>
          <w:rFonts w:hint="eastAsia" w:ascii="宋体" w:hAnsi="宋体" w:cs="宋体"/>
          <w:b/>
          <w:color w:val="auto"/>
          <w:kern w:val="0"/>
          <w:sz w:val="24"/>
          <w:highlight w:val="none"/>
          <w:lang w:val="zh-CN"/>
        </w:rPr>
        <w:t>）</w:t>
      </w:r>
    </w:p>
    <w:p w14:paraId="3E8E12E6">
      <w:pPr>
        <w:spacing w:line="360" w:lineRule="auto"/>
        <w:ind w:firstLine="480" w:firstLineChars="200"/>
        <w:rPr>
          <w:rFonts w:ascii="宋体" w:hAnsi="宋体" w:cs="宋体"/>
          <w:b/>
          <w:bCs/>
          <w:color w:val="auto"/>
          <w:kern w:val="0"/>
          <w:sz w:val="24"/>
          <w:highlight w:val="none"/>
          <w:lang w:val="zh-CN"/>
        </w:rPr>
      </w:pPr>
      <w:bookmarkStart w:id="577" w:name="_Hlk101133173"/>
      <w:sdt>
        <w:sdtPr>
          <w:rPr>
            <w:rFonts w:hint="eastAsia" w:ascii="宋体" w:hAnsi="宋体" w:cs="宋体"/>
            <w:color w:val="auto"/>
            <w:kern w:val="0"/>
            <w:sz w:val="24"/>
            <w:highlight w:val="none"/>
            <w:shd w:val="clear" w:color="auto" w:fill="auto"/>
          </w:rPr>
          <w:id w:val="506600367"/>
          <w14:checkbox>
            <w14:checked w14:val="0"/>
            <w14:checkedState w14:val="00FE" w14:font="Wingdings"/>
            <w14:uncheckedState w14:val="2610" w14:font="MS Gothic"/>
          </w14:checkbox>
        </w:sdtPr>
        <w:sdtEndPr>
          <w:rPr>
            <w:rFonts w:hint="eastAsia" w:ascii="宋体" w:hAnsi="宋体" w:cs="宋体"/>
            <w:color w:val="auto"/>
            <w:kern w:val="0"/>
            <w:sz w:val="24"/>
            <w:highlight w:val="none"/>
            <w:shd w:val="clear" w:color="auto" w:fill="auto"/>
          </w:rPr>
        </w:sdtEndPr>
        <w:sdtContent>
          <w:r>
            <w:rPr>
              <w:rFonts w:hint="eastAsia" w:ascii="MS Gothic" w:hAnsi="MS Gothic" w:eastAsia="MS Gothic" w:cs="宋体"/>
              <w:color w:val="auto"/>
              <w:kern w:val="0"/>
              <w:sz w:val="24"/>
              <w:szCs w:val="24"/>
              <w:highlight w:val="none"/>
              <w:shd w:val="clear" w:color="auto" w:fill="auto"/>
              <w:lang w:val="en-US" w:eastAsia="zh-CN" w:bidi="ar-SA"/>
            </w:rPr>
            <w:t>☐</w:t>
          </w:r>
        </w:sdtContent>
      </w:sdt>
      <w:r>
        <w:rPr>
          <w:rFonts w:hint="eastAsia" w:ascii="宋体" w:hAnsi="宋体" w:cs="宋体"/>
          <w:color w:val="auto"/>
          <w:sz w:val="24"/>
          <w:highlight w:val="none"/>
        </w:rPr>
        <w:t>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%，其中小微企业合同金额达到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w:t>
      </w:r>
      <w:r>
        <w:rPr>
          <w:rFonts w:hint="eastAsia" w:ascii="宋体" w:hAnsi="宋体" w:cs="宋体"/>
          <w:b/>
          <w:bCs/>
          <w:color w:val="auto"/>
          <w:kern w:val="0"/>
          <w:sz w:val="24"/>
          <w:highlight w:val="none"/>
          <w:lang w:val="zh-CN"/>
        </w:rPr>
        <w:t>（</w:t>
      </w:r>
      <w:r>
        <w:rPr>
          <w:rFonts w:hint="eastAsia" w:ascii="宋体" w:hAnsi="宋体" w:cs="宋体"/>
          <w:b/>
          <w:bCs/>
          <w:color w:val="auto"/>
          <w:sz w:val="24"/>
          <w:highlight w:val="none"/>
        </w:rPr>
        <w:t>要求合同分包形式参加的项目或采购包，供应商按招标文件第一部分招标公告申请人的资格要求中规定的</w:t>
      </w:r>
      <w:r>
        <w:rPr>
          <w:rFonts w:hint="eastAsia" w:ascii="宋体" w:hAnsi="宋体" w:cs="宋体"/>
          <w:b/>
          <w:color w:val="auto"/>
          <w:kern w:val="0"/>
          <w:sz w:val="24"/>
          <w:highlight w:val="none"/>
          <w:lang w:val="zh-CN"/>
        </w:rPr>
        <w:t>分包意向协议</w:t>
      </w:r>
      <w:r>
        <w:rPr>
          <w:rFonts w:hint="eastAsia" w:ascii="宋体" w:hAnsi="宋体" w:cs="宋体"/>
          <w:b/>
          <w:bCs/>
          <w:color w:val="auto"/>
          <w:sz w:val="24"/>
          <w:highlight w:val="none"/>
        </w:rPr>
        <w:t>中中小企业、小微企业合同金额应当达到的比例要求填写。</w:t>
      </w:r>
      <w:r>
        <w:rPr>
          <w:rFonts w:hint="eastAsia" w:ascii="宋体" w:hAnsi="宋体" w:cs="宋体"/>
          <w:b/>
          <w:bCs/>
          <w:color w:val="auto"/>
          <w:kern w:val="0"/>
          <w:sz w:val="24"/>
          <w:highlight w:val="none"/>
          <w:lang w:val="zh-CN"/>
        </w:rPr>
        <w:t>）</w:t>
      </w:r>
      <w:bookmarkEnd w:id="577"/>
    </w:p>
    <w:p w14:paraId="0353B02F">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三、分包工作履行期限、地点、方式</w:t>
      </w:r>
    </w:p>
    <w:p w14:paraId="1265565B">
      <w:pPr>
        <w:snapToGrid w:val="0"/>
        <w:spacing w:line="360" w:lineRule="auto"/>
        <w:ind w:firstLine="576"/>
        <w:rPr>
          <w:rFonts w:ascii="宋体" w:hAnsi="宋体" w:cs="宋体"/>
          <w:color w:val="auto"/>
          <w:highlight w:val="none"/>
          <w:u w:val="single"/>
        </w:rPr>
      </w:pPr>
      <w:r>
        <w:rPr>
          <w:rFonts w:hint="eastAsia" w:ascii="宋体" w:hAnsi="宋体" w:cs="宋体"/>
          <w:color w:val="auto"/>
          <w:highlight w:val="none"/>
          <w:u w:val="single"/>
        </w:rPr>
        <w:t xml:space="preserve">                                                                                  </w:t>
      </w:r>
    </w:p>
    <w:p w14:paraId="68AFB999">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四、质量</w:t>
      </w:r>
    </w:p>
    <w:p w14:paraId="69FDF895">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67CA7A1E">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五、价款或者报酬</w:t>
      </w:r>
    </w:p>
    <w:p w14:paraId="46387BE4">
      <w:pPr>
        <w:snapToGrid w:val="0"/>
        <w:spacing w:line="360" w:lineRule="auto"/>
        <w:ind w:left="573" w:leftChars="273"/>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235F9CDD">
      <w:pPr>
        <w:snapToGrid w:val="0"/>
        <w:spacing w:line="360" w:lineRule="auto"/>
        <w:ind w:left="573" w:leftChars="273"/>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六、违约责任</w:t>
      </w:r>
    </w:p>
    <w:p w14:paraId="2B55D109">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21868ABB">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七、争议解决的办法</w:t>
      </w:r>
    </w:p>
    <w:p w14:paraId="77387778">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5DABB203">
      <w:pPr>
        <w:snapToGrid w:val="0"/>
        <w:spacing w:line="360" w:lineRule="auto"/>
        <w:ind w:left="5758" w:leftChars="342" w:hanging="5040" w:hanging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投标人名称(电子签名)：</w:t>
      </w:r>
    </w:p>
    <w:p w14:paraId="78474D5C">
      <w:pPr>
        <w:snapToGrid w:val="0"/>
        <w:spacing w:line="360" w:lineRule="auto"/>
        <w:jc w:val="righ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分包供应商名称(电子签名/公章)：</w:t>
      </w:r>
    </w:p>
    <w:p w14:paraId="5E66BB1E">
      <w:pPr>
        <w:snapToGrid w:val="0"/>
        <w:spacing w:line="360" w:lineRule="auto"/>
        <w:ind w:firstLine="5760" w:firstLineChars="2400"/>
        <w:rPr>
          <w:rFonts w:ascii="宋体" w:hAnsi="宋体" w:cs="宋体"/>
          <w:color w:val="auto"/>
          <w:highlight w:val="none"/>
        </w:rPr>
      </w:pPr>
      <w:r>
        <w:rPr>
          <w:rFonts w:hint="eastAsia" w:ascii="宋体" w:hAnsi="宋体" w:cs="宋体"/>
          <w:color w:val="auto"/>
          <w:kern w:val="0"/>
          <w:sz w:val="24"/>
          <w:highlight w:val="none"/>
          <w:lang w:val="zh-CN"/>
        </w:rPr>
        <w:t>……</w:t>
      </w:r>
    </w:p>
    <w:p w14:paraId="2257619C">
      <w:pPr>
        <w:spacing w:line="360" w:lineRule="auto"/>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14:paraId="22C51DD4">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4DF2054F">
      <w:pPr>
        <w:autoSpaceDE w:val="0"/>
        <w:autoSpaceDN w:val="0"/>
        <w:jc w:val="center"/>
        <w:rPr>
          <w:rFonts w:ascii="宋体" w:hAnsi="宋体" w:cs="宋体"/>
          <w:b/>
          <w:color w:val="auto"/>
          <w:spacing w:val="6"/>
          <w:sz w:val="32"/>
          <w:szCs w:val="32"/>
          <w:highlight w:val="none"/>
        </w:rPr>
      </w:pPr>
    </w:p>
    <w:p w14:paraId="4800985F">
      <w:pPr>
        <w:autoSpaceDE w:val="0"/>
        <w:autoSpaceDN w:val="0"/>
        <w:jc w:val="center"/>
        <w:rPr>
          <w:rFonts w:ascii="宋体" w:hAnsi="宋体" w:cs="宋体"/>
          <w:b/>
          <w:color w:val="auto"/>
          <w:spacing w:val="6"/>
          <w:sz w:val="32"/>
          <w:szCs w:val="32"/>
          <w:highlight w:val="none"/>
        </w:rPr>
      </w:pPr>
    </w:p>
    <w:p w14:paraId="02F5ED88">
      <w:pPr>
        <w:autoSpaceDE w:val="0"/>
        <w:autoSpaceDN w:val="0"/>
        <w:jc w:val="center"/>
        <w:rPr>
          <w:rFonts w:ascii="宋体" w:hAnsi="宋体" w:cs="宋体"/>
          <w:b/>
          <w:color w:val="auto"/>
          <w:spacing w:val="6"/>
          <w:sz w:val="32"/>
          <w:szCs w:val="32"/>
          <w:highlight w:val="none"/>
        </w:rPr>
      </w:pPr>
    </w:p>
    <w:p w14:paraId="2C66ADD7">
      <w:pPr>
        <w:autoSpaceDE w:val="0"/>
        <w:autoSpaceDN w:val="0"/>
        <w:jc w:val="center"/>
        <w:rPr>
          <w:rFonts w:ascii="宋体" w:hAnsi="宋体" w:cs="宋体"/>
          <w:b/>
          <w:color w:val="auto"/>
          <w:spacing w:val="6"/>
          <w:sz w:val="32"/>
          <w:szCs w:val="32"/>
          <w:highlight w:val="none"/>
        </w:rPr>
      </w:pPr>
    </w:p>
    <w:p w14:paraId="4B9A91BE">
      <w:pPr>
        <w:autoSpaceDE w:val="0"/>
        <w:autoSpaceDN w:val="0"/>
        <w:jc w:val="center"/>
        <w:rPr>
          <w:rFonts w:ascii="宋体" w:hAnsi="宋体" w:cs="宋体"/>
          <w:b/>
          <w:color w:val="auto"/>
          <w:spacing w:val="6"/>
          <w:sz w:val="32"/>
          <w:szCs w:val="32"/>
          <w:highlight w:val="none"/>
        </w:rPr>
      </w:pPr>
    </w:p>
    <w:p w14:paraId="69BF0859">
      <w:pPr>
        <w:autoSpaceDE w:val="0"/>
        <w:autoSpaceDN w:val="0"/>
        <w:jc w:val="center"/>
        <w:rPr>
          <w:rFonts w:ascii="宋体" w:hAnsi="宋体" w:cs="宋体"/>
          <w:b/>
          <w:color w:val="auto"/>
          <w:spacing w:val="6"/>
          <w:sz w:val="32"/>
          <w:szCs w:val="32"/>
          <w:highlight w:val="none"/>
        </w:rPr>
      </w:pPr>
    </w:p>
    <w:p w14:paraId="431CD671">
      <w:pPr>
        <w:autoSpaceDE w:val="0"/>
        <w:autoSpaceDN w:val="0"/>
        <w:jc w:val="center"/>
        <w:rPr>
          <w:rFonts w:ascii="宋体" w:hAnsi="宋体" w:cs="宋体"/>
          <w:b/>
          <w:color w:val="auto"/>
          <w:spacing w:val="6"/>
          <w:sz w:val="32"/>
          <w:szCs w:val="32"/>
          <w:highlight w:val="none"/>
        </w:rPr>
      </w:pPr>
    </w:p>
    <w:p w14:paraId="40E51719">
      <w:pPr>
        <w:autoSpaceDE w:val="0"/>
        <w:autoSpaceDN w:val="0"/>
        <w:jc w:val="center"/>
        <w:rPr>
          <w:rFonts w:ascii="宋体" w:hAnsi="宋体" w:cs="宋体"/>
          <w:b/>
          <w:color w:val="auto"/>
          <w:spacing w:val="6"/>
          <w:sz w:val="32"/>
          <w:szCs w:val="32"/>
          <w:highlight w:val="none"/>
        </w:rPr>
      </w:pPr>
    </w:p>
    <w:p w14:paraId="0FA99DE7">
      <w:pPr>
        <w:autoSpaceDE w:val="0"/>
        <w:autoSpaceDN w:val="0"/>
        <w:jc w:val="center"/>
        <w:rPr>
          <w:rFonts w:ascii="宋体" w:hAnsi="宋体" w:cs="宋体"/>
          <w:b/>
          <w:color w:val="auto"/>
          <w:spacing w:val="6"/>
          <w:sz w:val="32"/>
          <w:szCs w:val="32"/>
          <w:highlight w:val="none"/>
        </w:rPr>
      </w:pPr>
    </w:p>
    <w:p w14:paraId="40B351C1">
      <w:pPr>
        <w:autoSpaceDE w:val="0"/>
        <w:autoSpaceDN w:val="0"/>
        <w:jc w:val="center"/>
        <w:rPr>
          <w:rFonts w:ascii="宋体" w:hAnsi="宋体" w:cs="宋体"/>
          <w:b/>
          <w:color w:val="auto"/>
          <w:spacing w:val="6"/>
          <w:sz w:val="32"/>
          <w:szCs w:val="32"/>
          <w:highlight w:val="none"/>
        </w:rPr>
      </w:pPr>
    </w:p>
    <w:p w14:paraId="5D6DB325">
      <w:pPr>
        <w:autoSpaceDE w:val="0"/>
        <w:autoSpaceDN w:val="0"/>
        <w:jc w:val="center"/>
        <w:rPr>
          <w:rFonts w:ascii="宋体" w:hAnsi="宋体" w:cs="宋体"/>
          <w:b/>
          <w:color w:val="auto"/>
          <w:spacing w:val="6"/>
          <w:sz w:val="32"/>
          <w:szCs w:val="32"/>
          <w:highlight w:val="none"/>
        </w:rPr>
      </w:pPr>
    </w:p>
    <w:p w14:paraId="330A5478">
      <w:pPr>
        <w:autoSpaceDE w:val="0"/>
        <w:autoSpaceDN w:val="0"/>
        <w:jc w:val="center"/>
        <w:rPr>
          <w:rFonts w:ascii="宋体" w:hAnsi="宋体" w:cs="宋体"/>
          <w:b/>
          <w:color w:val="auto"/>
          <w:spacing w:val="6"/>
          <w:sz w:val="32"/>
          <w:szCs w:val="32"/>
          <w:highlight w:val="none"/>
        </w:rPr>
      </w:pPr>
    </w:p>
    <w:p w14:paraId="5D474CE6">
      <w:pPr>
        <w:autoSpaceDE w:val="0"/>
        <w:autoSpaceDN w:val="0"/>
        <w:jc w:val="center"/>
        <w:rPr>
          <w:rFonts w:ascii="宋体" w:hAnsi="宋体" w:cs="宋体"/>
          <w:b/>
          <w:color w:val="auto"/>
          <w:spacing w:val="6"/>
          <w:sz w:val="32"/>
          <w:szCs w:val="32"/>
          <w:highlight w:val="none"/>
        </w:rPr>
      </w:pPr>
    </w:p>
    <w:p w14:paraId="3B878565">
      <w:pPr>
        <w:autoSpaceDE w:val="0"/>
        <w:autoSpaceDN w:val="0"/>
        <w:jc w:val="center"/>
        <w:rPr>
          <w:rFonts w:ascii="宋体" w:hAnsi="宋体" w:cs="宋体"/>
          <w:b/>
          <w:color w:val="auto"/>
          <w:spacing w:val="6"/>
          <w:sz w:val="32"/>
          <w:szCs w:val="32"/>
          <w:highlight w:val="none"/>
        </w:rPr>
      </w:pPr>
    </w:p>
    <w:p w14:paraId="34B0C52A">
      <w:pPr>
        <w:autoSpaceDE w:val="0"/>
        <w:autoSpaceDN w:val="0"/>
        <w:jc w:val="center"/>
        <w:rPr>
          <w:rFonts w:ascii="宋体" w:hAnsi="宋体" w:cs="宋体"/>
          <w:b/>
          <w:color w:val="auto"/>
          <w:spacing w:val="6"/>
          <w:sz w:val="32"/>
          <w:szCs w:val="32"/>
          <w:highlight w:val="none"/>
        </w:rPr>
      </w:pPr>
    </w:p>
    <w:p w14:paraId="30ED4CD8">
      <w:pPr>
        <w:autoSpaceDE w:val="0"/>
        <w:autoSpaceDN w:val="0"/>
        <w:jc w:val="center"/>
        <w:rPr>
          <w:rFonts w:ascii="宋体" w:hAnsi="宋体" w:cs="宋体"/>
          <w:b/>
          <w:color w:val="auto"/>
          <w:spacing w:val="6"/>
          <w:sz w:val="32"/>
          <w:szCs w:val="32"/>
          <w:highlight w:val="none"/>
        </w:rPr>
      </w:pPr>
    </w:p>
    <w:p w14:paraId="6FCE9061">
      <w:pPr>
        <w:autoSpaceDE w:val="0"/>
        <w:autoSpaceDN w:val="0"/>
        <w:jc w:val="center"/>
        <w:rPr>
          <w:rFonts w:ascii="宋体" w:hAnsi="宋体" w:cs="宋体"/>
          <w:b/>
          <w:color w:val="auto"/>
          <w:spacing w:val="6"/>
          <w:sz w:val="32"/>
          <w:szCs w:val="32"/>
          <w:highlight w:val="none"/>
        </w:rPr>
      </w:pPr>
    </w:p>
    <w:p w14:paraId="155B63C6">
      <w:pPr>
        <w:autoSpaceDE w:val="0"/>
        <w:autoSpaceDN w:val="0"/>
        <w:jc w:val="center"/>
        <w:rPr>
          <w:rFonts w:ascii="宋体" w:hAnsi="宋体" w:cs="宋体"/>
          <w:b/>
          <w:color w:val="auto"/>
          <w:spacing w:val="6"/>
          <w:sz w:val="32"/>
          <w:szCs w:val="32"/>
          <w:highlight w:val="none"/>
        </w:rPr>
      </w:pPr>
    </w:p>
    <w:p w14:paraId="11AE05B2">
      <w:pPr>
        <w:autoSpaceDE w:val="0"/>
        <w:autoSpaceDN w:val="0"/>
        <w:jc w:val="center"/>
        <w:rPr>
          <w:rFonts w:ascii="宋体" w:hAnsi="宋体" w:cs="宋体"/>
          <w:b/>
          <w:color w:val="auto"/>
          <w:spacing w:val="6"/>
          <w:sz w:val="32"/>
          <w:szCs w:val="32"/>
          <w:highlight w:val="none"/>
        </w:rPr>
      </w:pPr>
    </w:p>
    <w:p w14:paraId="14901486">
      <w:pPr>
        <w:autoSpaceDE w:val="0"/>
        <w:autoSpaceDN w:val="0"/>
        <w:jc w:val="center"/>
        <w:rPr>
          <w:rFonts w:ascii="宋体" w:hAnsi="宋体" w:cs="宋体"/>
          <w:b/>
          <w:color w:val="auto"/>
          <w:spacing w:val="6"/>
          <w:sz w:val="32"/>
          <w:szCs w:val="32"/>
          <w:highlight w:val="none"/>
        </w:rPr>
      </w:pPr>
    </w:p>
    <w:p w14:paraId="753B23E0">
      <w:pPr>
        <w:autoSpaceDE w:val="0"/>
        <w:autoSpaceDN w:val="0"/>
        <w:jc w:val="center"/>
        <w:rPr>
          <w:rFonts w:ascii="宋体" w:hAnsi="宋体" w:cs="宋体"/>
          <w:b/>
          <w:color w:val="auto"/>
          <w:spacing w:val="6"/>
          <w:sz w:val="32"/>
          <w:szCs w:val="32"/>
          <w:highlight w:val="none"/>
        </w:rPr>
      </w:pPr>
    </w:p>
    <w:p w14:paraId="5EC71EEF">
      <w:pPr>
        <w:autoSpaceDE w:val="0"/>
        <w:autoSpaceDN w:val="0"/>
        <w:jc w:val="center"/>
        <w:rPr>
          <w:rFonts w:ascii="宋体" w:hAnsi="宋体" w:cs="宋体"/>
          <w:b/>
          <w:color w:val="auto"/>
          <w:spacing w:val="6"/>
          <w:sz w:val="32"/>
          <w:szCs w:val="32"/>
          <w:highlight w:val="none"/>
        </w:rPr>
      </w:pPr>
    </w:p>
    <w:p w14:paraId="21343D46">
      <w:pPr>
        <w:autoSpaceDE w:val="0"/>
        <w:autoSpaceDN w:val="0"/>
        <w:jc w:val="center"/>
        <w:rPr>
          <w:rFonts w:ascii="宋体" w:hAnsi="宋体" w:cs="宋体"/>
          <w:b/>
          <w:color w:val="auto"/>
          <w:spacing w:val="6"/>
          <w:sz w:val="32"/>
          <w:szCs w:val="32"/>
          <w:highlight w:val="none"/>
        </w:rPr>
      </w:pPr>
    </w:p>
    <w:p w14:paraId="39EC76B2">
      <w:pPr>
        <w:rPr>
          <w:rFonts w:ascii="宋体" w:hAnsi="宋体" w:cs="宋体"/>
          <w:b/>
          <w:color w:val="auto"/>
          <w:spacing w:val="6"/>
          <w:sz w:val="32"/>
          <w:szCs w:val="32"/>
          <w:highlight w:val="none"/>
        </w:rPr>
      </w:pPr>
      <w:r>
        <w:rPr>
          <w:rFonts w:ascii="宋体" w:hAnsi="宋体" w:cs="宋体"/>
          <w:b/>
          <w:color w:val="auto"/>
          <w:spacing w:val="6"/>
          <w:sz w:val="32"/>
          <w:szCs w:val="32"/>
          <w:highlight w:val="none"/>
        </w:rPr>
        <w:br w:type="page"/>
      </w:r>
    </w:p>
    <w:p w14:paraId="572B3B27">
      <w:pPr>
        <w:snapToGrid w:val="0"/>
        <w:spacing w:line="360" w:lineRule="auto"/>
        <w:outlineLvl w:val="1"/>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w:t>
      </w:r>
      <w:r>
        <w:rPr>
          <w:rFonts w:ascii="宋体" w:hAnsi="宋体" w:cs="宋体"/>
          <w:b/>
          <w:color w:val="auto"/>
          <w:kern w:val="0"/>
          <w:sz w:val="32"/>
          <w:szCs w:val="32"/>
          <w:highlight w:val="none"/>
        </w:rPr>
        <w:t>7</w:t>
      </w:r>
      <w:r>
        <w:rPr>
          <w:rFonts w:hint="eastAsia" w:ascii="宋体" w:hAnsi="宋体" w:cs="宋体"/>
          <w:b/>
          <w:color w:val="auto"/>
          <w:kern w:val="0"/>
          <w:sz w:val="32"/>
          <w:szCs w:val="32"/>
          <w:highlight w:val="none"/>
        </w:rPr>
        <w:t>：中小企业声明函</w:t>
      </w:r>
    </w:p>
    <w:p w14:paraId="4E4D254C">
      <w:pPr>
        <w:spacing w:line="360" w:lineRule="auto"/>
        <w:jc w:val="center"/>
        <w:rPr>
          <w:rFonts w:ascii="宋体" w:hAnsi="宋体" w:cs="宋体"/>
          <w:color w:val="auto"/>
          <w:sz w:val="24"/>
          <w:highlight w:val="none"/>
          <w:u w:val="single"/>
        </w:rPr>
      </w:pPr>
    </w:p>
    <w:p w14:paraId="7BB2C972">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中小企业声明函（货物）</w:t>
      </w:r>
    </w:p>
    <w:p w14:paraId="59655A2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本公司（联合体）郑重声明，根据《政府采购促进中小企业发展管理办法》（财库﹝2020﹞46 号）的规定，本公司（联合体）参加 </w:t>
      </w:r>
      <w:r>
        <w:rPr>
          <w:rFonts w:hint="eastAsia" w:ascii="宋体" w:hAnsi="宋体" w:cs="宋体"/>
          <w:color w:val="auto"/>
          <w:sz w:val="24"/>
          <w:highlight w:val="none"/>
          <w:u w:val="single"/>
        </w:rPr>
        <w:t xml:space="preserve">（采购人） </w:t>
      </w:r>
      <w:r>
        <w:rPr>
          <w:rFonts w:hint="eastAsia" w:ascii="宋体" w:hAnsi="宋体" w:cs="宋体"/>
          <w:color w:val="auto"/>
          <w:sz w:val="24"/>
          <w:highlight w:val="none"/>
        </w:rPr>
        <w:t xml:space="preserve">的 </w:t>
      </w:r>
      <w:r>
        <w:rPr>
          <w:rFonts w:hint="eastAsia" w:ascii="宋体" w:hAnsi="宋体" w:cs="宋体"/>
          <w:color w:val="auto"/>
          <w:sz w:val="24"/>
          <w:highlight w:val="none"/>
          <w:u w:val="single"/>
        </w:rPr>
        <w:t>（项目名称）</w:t>
      </w:r>
      <w:r>
        <w:rPr>
          <w:rFonts w:hint="eastAsia" w:ascii="宋体" w:hAnsi="宋体" w:cs="宋体"/>
          <w:color w:val="auto"/>
          <w:sz w:val="24"/>
          <w:highlight w:val="none"/>
        </w:rPr>
        <w:t xml:space="preserve"> 采购活动，提供的货物全部由符合政策要求的中小企业制造。相关企业（含联合体中的中小企业、签订分包意向协议的中小企业）的具体情况如下：</w:t>
      </w:r>
    </w:p>
    <w:p w14:paraId="37C6293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highlight w:val="none"/>
        </w:rPr>
        <w:t xml:space="preserve"> </w:t>
      </w:r>
      <w:r>
        <w:rPr>
          <w:rFonts w:hint="eastAsia" w:ascii="宋体" w:hAnsi="宋体" w:cs="宋体"/>
          <w:color w:val="auto"/>
          <w:sz w:val="24"/>
          <w:highlight w:val="none"/>
          <w:u w:val="single"/>
        </w:rPr>
        <w:t>（标的名称）</w:t>
      </w:r>
      <w:r>
        <w:rPr>
          <w:rFonts w:hint="eastAsia" w:ascii="宋体" w:hAnsi="宋体" w:cs="宋体"/>
          <w:color w:val="auto"/>
          <w:sz w:val="24"/>
          <w:highlight w:val="none"/>
        </w:rPr>
        <w:t xml:space="preserve"> ，属于 </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 ；制造商为</w:t>
      </w:r>
      <w:r>
        <w:rPr>
          <w:rFonts w:hint="eastAsia" w:ascii="宋体" w:hAnsi="宋体" w:cs="宋体"/>
          <w:color w:val="auto"/>
          <w:sz w:val="24"/>
          <w:highlight w:val="none"/>
          <w:u w:val="single"/>
        </w:rPr>
        <w:t xml:space="preserve"> （企业名称）</w:t>
      </w:r>
      <w:r>
        <w:rPr>
          <w:rFonts w:hint="eastAsia" w:ascii="宋体" w:hAnsi="宋体" w:cs="宋体"/>
          <w:color w:val="auto"/>
          <w:sz w:val="24"/>
          <w:highlight w:val="none"/>
        </w:rPr>
        <w:t xml:space="preserve"> ，从业人员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 xml:space="preserve"> （中型企业、小型企业、微型企业）</w:t>
      </w:r>
      <w:r>
        <w:rPr>
          <w:rFonts w:hint="eastAsia" w:ascii="宋体" w:hAnsi="宋体" w:cs="宋体"/>
          <w:color w:val="auto"/>
          <w:sz w:val="24"/>
          <w:highlight w:val="none"/>
        </w:rPr>
        <w:t xml:space="preserve"> ；</w:t>
      </w:r>
    </w:p>
    <w:p w14:paraId="612675A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highlight w:val="none"/>
        </w:rPr>
        <w:t xml:space="preserve"> </w:t>
      </w:r>
      <w:r>
        <w:rPr>
          <w:rFonts w:hint="eastAsia" w:ascii="宋体" w:hAnsi="宋体" w:cs="宋体"/>
          <w:color w:val="auto"/>
          <w:sz w:val="24"/>
          <w:highlight w:val="none"/>
          <w:u w:val="single"/>
        </w:rPr>
        <w:t>（标的名称）</w:t>
      </w:r>
      <w:r>
        <w:rPr>
          <w:rFonts w:hint="eastAsia" w:ascii="宋体" w:hAnsi="宋体" w:cs="宋体"/>
          <w:color w:val="auto"/>
          <w:sz w:val="24"/>
          <w:highlight w:val="none"/>
        </w:rPr>
        <w:t xml:space="preserve"> ，属于 </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 ；制造商为</w:t>
      </w:r>
      <w:r>
        <w:rPr>
          <w:rFonts w:hint="eastAsia" w:ascii="宋体" w:hAnsi="宋体" w:cs="宋体"/>
          <w:color w:val="auto"/>
          <w:sz w:val="24"/>
          <w:highlight w:val="none"/>
          <w:u w:val="single"/>
        </w:rPr>
        <w:t xml:space="preserve"> （企业名称）</w:t>
      </w:r>
      <w:r>
        <w:rPr>
          <w:rFonts w:hint="eastAsia" w:ascii="宋体" w:hAnsi="宋体" w:cs="宋体"/>
          <w:color w:val="auto"/>
          <w:sz w:val="24"/>
          <w:highlight w:val="none"/>
        </w:rPr>
        <w:t xml:space="preserve"> ，从业人员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 xml:space="preserve"> （中型企业、小型企业、微型企业）</w:t>
      </w:r>
      <w:r>
        <w:rPr>
          <w:rFonts w:hint="eastAsia" w:ascii="宋体" w:hAnsi="宋体" w:cs="宋体"/>
          <w:color w:val="auto"/>
          <w:sz w:val="24"/>
          <w:highlight w:val="none"/>
        </w:rPr>
        <w:t xml:space="preserve"> ；</w:t>
      </w:r>
    </w:p>
    <w:p w14:paraId="78BD60D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w:t>
      </w:r>
    </w:p>
    <w:p w14:paraId="42F94C8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35D4C61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33229812">
      <w:pPr>
        <w:snapToGrid w:val="0"/>
        <w:spacing w:line="360" w:lineRule="auto"/>
        <w:ind w:firstLine="5160" w:firstLineChars="215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投标人名称(电子签名)：</w:t>
      </w:r>
    </w:p>
    <w:p w14:paraId="79118351">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E443809">
      <w:pPr>
        <w:spacing w:line="360" w:lineRule="auto"/>
        <w:ind w:right="420"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rPr>
        <w:t>注：</w:t>
      </w:r>
      <w:r>
        <w:rPr>
          <w:rFonts w:hint="eastAsia" w:ascii="宋体" w:hAnsi="宋体" w:cs="宋体"/>
          <w:color w:val="auto"/>
          <w:sz w:val="24"/>
          <w:highlight w:val="none"/>
          <w:lang w:eastAsia="zh-CN"/>
        </w:rPr>
        <w:t>①</w:t>
      </w:r>
      <w:r>
        <w:rPr>
          <w:rFonts w:hint="eastAsia" w:ascii="宋体" w:hAnsi="宋体" w:cs="宋体"/>
          <w:color w:val="auto"/>
          <w:sz w:val="24"/>
          <w:highlight w:val="none"/>
        </w:rPr>
        <w:t>从业人员、营业收入、资产总额填报上一年度数据，无上一年度数据的新成立企业可不填报</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eastAsia="zh-CN"/>
        </w:rPr>
        <w:t>②</w:t>
      </w:r>
      <w:r>
        <w:rPr>
          <w:rFonts w:hint="eastAsia" w:ascii="宋体" w:hAnsi="宋体" w:eastAsia="宋体" w:cs="宋体"/>
          <w:color w:val="auto"/>
          <w:sz w:val="24"/>
          <w:highlight w:val="none"/>
        </w:rPr>
        <w:t>《中小企业声明函》中“标的名称”、“采购文件中明确的所属行业”依据招标文件第二部分投标人须知前附表中“采购标的及其对应的中小企业划分标准所属行业”的指引，逐一填写，不得缺漏。</w:t>
      </w:r>
    </w:p>
    <w:p w14:paraId="4BE9225F">
      <w:pPr>
        <w:spacing w:line="360" w:lineRule="auto"/>
        <w:jc w:val="center"/>
        <w:rPr>
          <w:rFonts w:ascii="宋体" w:hAnsi="宋体" w:cs="宋体"/>
          <w:b/>
          <w:color w:val="auto"/>
          <w:sz w:val="32"/>
          <w:szCs w:val="32"/>
          <w:highlight w:val="none"/>
        </w:rPr>
      </w:pPr>
    </w:p>
    <w:p w14:paraId="7BEB8FF0">
      <w:pPr>
        <w:spacing w:line="360" w:lineRule="auto"/>
        <w:jc w:val="center"/>
        <w:rPr>
          <w:rFonts w:ascii="宋体" w:hAnsi="宋体" w:cs="宋体"/>
          <w:b/>
          <w:color w:val="auto"/>
          <w:sz w:val="32"/>
          <w:szCs w:val="32"/>
          <w:highlight w:val="none"/>
        </w:rPr>
      </w:pPr>
    </w:p>
    <w:p w14:paraId="7E1848DE">
      <w:pPr>
        <w:spacing w:line="360" w:lineRule="auto"/>
        <w:jc w:val="center"/>
        <w:rPr>
          <w:rFonts w:ascii="宋体" w:hAnsi="宋体" w:cs="宋体"/>
          <w:b/>
          <w:color w:val="auto"/>
          <w:sz w:val="32"/>
          <w:szCs w:val="32"/>
          <w:highlight w:val="none"/>
        </w:rPr>
      </w:pPr>
    </w:p>
    <w:p w14:paraId="1942DD49">
      <w:pPr>
        <w:spacing w:line="360" w:lineRule="auto"/>
        <w:jc w:val="center"/>
        <w:rPr>
          <w:rFonts w:ascii="宋体" w:hAnsi="宋体" w:cs="宋体"/>
          <w:b/>
          <w:color w:val="auto"/>
          <w:sz w:val="32"/>
          <w:szCs w:val="32"/>
          <w:highlight w:val="none"/>
        </w:rPr>
      </w:pPr>
    </w:p>
    <w:p w14:paraId="1901FCAD">
      <w:pPr>
        <w:spacing w:line="360" w:lineRule="auto"/>
        <w:jc w:val="center"/>
        <w:rPr>
          <w:rFonts w:ascii="宋体" w:hAnsi="宋体" w:cs="宋体"/>
          <w:b/>
          <w:color w:val="auto"/>
          <w:sz w:val="32"/>
          <w:szCs w:val="32"/>
          <w:highlight w:val="none"/>
        </w:rPr>
      </w:pPr>
    </w:p>
    <w:p w14:paraId="7142F0D4">
      <w:pPr>
        <w:pStyle w:val="25"/>
        <w:spacing w:line="360" w:lineRule="auto"/>
        <w:ind w:left="0" w:leftChars="0" w:firstLine="0" w:firstLineChars="0"/>
        <w:outlineLvl w:val="1"/>
        <w:rPr>
          <w:rFonts w:hint="eastAsia" w:cs="仿宋_GB2312" w:asciiTheme="minorEastAsia" w:hAnsiTheme="minorEastAsia" w:eastAsiaTheme="minorEastAsia"/>
          <w:b/>
          <w:color w:val="auto"/>
          <w:kern w:val="2"/>
          <w:sz w:val="32"/>
          <w:szCs w:val="32"/>
          <w:highlight w:val="none"/>
          <w:lang w:val="en-US" w:eastAsia="zh-CN" w:bidi="ar-SA"/>
        </w:rPr>
      </w:pPr>
      <w:r>
        <w:rPr>
          <w:rFonts w:hint="eastAsia" w:cs="仿宋_GB2312" w:asciiTheme="minorEastAsia" w:hAnsiTheme="minorEastAsia" w:eastAsiaTheme="minorEastAsia"/>
          <w:b/>
          <w:color w:val="auto"/>
          <w:kern w:val="2"/>
          <w:sz w:val="32"/>
          <w:szCs w:val="32"/>
          <w:highlight w:val="none"/>
          <w:lang w:val="en-US" w:eastAsia="zh-CN" w:bidi="ar-SA"/>
        </w:rPr>
        <w:t>附件8：中小企业划型标准</w:t>
      </w:r>
    </w:p>
    <w:p w14:paraId="33FECC2B">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各行业划型标准为：</w:t>
      </w:r>
    </w:p>
    <w:p w14:paraId="5BBF5AA2">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（一）农、林、牧、渔业。营业收入20000万元以下的为中小微型企业。其中，营业收入500万元及以上的为中型企业，营业收入50万元及以上的为小型企业，营业收入50万元以下的为微型企业。</w:t>
      </w:r>
    </w:p>
    <w:p w14:paraId="32D2D5B8">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E22E40">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05AE23AD">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6401AF65">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21718087">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0AC8010E">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71D61CC4">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02936671">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7CEB3E7">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8AFFFAA">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6CA3F50D">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391538C0">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5C37CCB">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033CF56D">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3034F99E">
      <w:pPr>
        <w:spacing w:line="360" w:lineRule="auto"/>
        <w:rPr>
          <w:rFonts w:hint="eastAsia"/>
          <w:color w:val="auto"/>
          <w:highlight w:val="none"/>
          <w:lang w:val="en-US" w:eastAsia="zh-CN"/>
        </w:rPr>
      </w:pPr>
      <w:r>
        <w:rPr>
          <w:rFonts w:hint="eastAsia" w:ascii="宋体" w:hAnsi="宋体" w:eastAsia="宋体" w:cs="宋体"/>
          <w:color w:val="auto"/>
          <w:kern w:val="0"/>
          <w:sz w:val="24"/>
          <w:szCs w:val="24"/>
          <w:highlight w:val="none"/>
        </w:rPr>
        <w:t>　　（十六）其他未列明行业。从业人员300人以下的为中小微型企业。其中，从业人员100人及以上的为中型企业；从业人员10人及以上的为小型企业；从业人员10人以下的为微型企业。</w:t>
      </w:r>
    </w:p>
    <w:p w14:paraId="595CB7B2">
      <w:pPr>
        <w:pStyle w:val="23"/>
        <w:jc w:val="both"/>
        <w:rPr>
          <w:rFonts w:hint="eastAsia" w:asciiTheme="minorEastAsia" w:hAnsiTheme="minorEastAsia" w:eastAsiaTheme="minorEastAsia" w:cstheme="minorEastAsia"/>
          <w:b/>
          <w:sz w:val="32"/>
          <w:szCs w:val="32"/>
        </w:rPr>
      </w:pPr>
    </w:p>
    <w:p w14:paraId="517BCA0B">
      <w:pPr>
        <w:pStyle w:val="23"/>
        <w:jc w:val="both"/>
        <w:rPr>
          <w:rFonts w:hint="eastAsia" w:asciiTheme="minorEastAsia" w:hAnsiTheme="minorEastAsia" w:eastAsiaTheme="minorEastAsia" w:cstheme="minorEastAsia"/>
          <w:b/>
          <w:sz w:val="32"/>
          <w:szCs w:val="32"/>
        </w:rPr>
      </w:pPr>
    </w:p>
    <w:p w14:paraId="412BA169">
      <w:pPr>
        <w:pStyle w:val="23"/>
        <w:jc w:val="both"/>
        <w:rPr>
          <w:rFonts w:hint="eastAsia" w:asciiTheme="minorEastAsia" w:hAnsiTheme="minorEastAsia" w:eastAsiaTheme="minorEastAsia" w:cstheme="minorEastAsia"/>
          <w:b/>
          <w:sz w:val="32"/>
          <w:szCs w:val="32"/>
        </w:rPr>
      </w:pPr>
    </w:p>
    <w:p w14:paraId="1F46C713">
      <w:pPr>
        <w:pStyle w:val="23"/>
        <w:jc w:val="both"/>
        <w:rPr>
          <w:rFonts w:hint="eastAsia" w:asciiTheme="minorEastAsia" w:hAnsiTheme="minorEastAsia" w:eastAsiaTheme="minorEastAsia" w:cstheme="minorEastAsia"/>
          <w:b/>
          <w:sz w:val="32"/>
          <w:szCs w:val="32"/>
        </w:rPr>
      </w:pPr>
    </w:p>
    <w:p w14:paraId="66FCC3F9">
      <w:pPr>
        <w:pStyle w:val="23"/>
        <w:jc w:val="both"/>
        <w:rPr>
          <w:rFonts w:hint="eastAsia" w:asciiTheme="minorEastAsia" w:hAnsiTheme="minorEastAsia" w:eastAsiaTheme="minorEastAsia" w:cstheme="minorEastAsia"/>
          <w:b/>
          <w:sz w:val="32"/>
          <w:szCs w:val="32"/>
        </w:rPr>
      </w:pPr>
    </w:p>
    <w:p w14:paraId="006098E1">
      <w:pPr>
        <w:pStyle w:val="23"/>
        <w:jc w:val="both"/>
        <w:rPr>
          <w:rFonts w:hint="eastAsia" w:asciiTheme="minorEastAsia" w:hAnsiTheme="minorEastAsia" w:eastAsiaTheme="minorEastAsia" w:cstheme="minorEastAsia"/>
          <w:b/>
          <w:sz w:val="32"/>
          <w:szCs w:val="32"/>
        </w:rPr>
      </w:pPr>
    </w:p>
    <w:p w14:paraId="0EDF8886">
      <w:pPr>
        <w:pStyle w:val="23"/>
        <w:jc w:val="both"/>
        <w:rPr>
          <w:rFonts w:hint="eastAsia" w:asciiTheme="minorEastAsia" w:hAnsiTheme="minorEastAsia" w:eastAsiaTheme="minorEastAsia" w:cstheme="minorEastAsia"/>
          <w:b/>
          <w:sz w:val="32"/>
          <w:szCs w:val="32"/>
        </w:rPr>
      </w:pPr>
    </w:p>
    <w:p w14:paraId="7E78F059">
      <w:pPr>
        <w:pStyle w:val="23"/>
        <w:jc w:val="both"/>
        <w:rPr>
          <w:rFonts w:hint="eastAsia" w:asciiTheme="minorEastAsia" w:hAnsiTheme="minorEastAsia" w:eastAsiaTheme="minorEastAsia" w:cstheme="minorEastAsia"/>
          <w:b/>
          <w:sz w:val="32"/>
          <w:szCs w:val="32"/>
        </w:rPr>
      </w:pPr>
    </w:p>
    <w:p w14:paraId="08997A06">
      <w:pPr>
        <w:pStyle w:val="23"/>
        <w:jc w:val="both"/>
        <w:rPr>
          <w:rFonts w:hint="eastAsia" w:asciiTheme="minorEastAsia" w:hAnsiTheme="minorEastAsia" w:eastAsiaTheme="minorEastAsia" w:cstheme="minorEastAsia"/>
          <w:b/>
          <w:sz w:val="32"/>
          <w:szCs w:val="32"/>
        </w:rPr>
      </w:pPr>
    </w:p>
    <w:p w14:paraId="1010D841">
      <w:pPr>
        <w:pStyle w:val="23"/>
        <w:jc w:val="both"/>
        <w:rPr>
          <w:rFonts w:hint="eastAsia" w:asciiTheme="minorEastAsia" w:hAnsiTheme="minorEastAsia" w:eastAsiaTheme="minorEastAsia" w:cstheme="minorEastAsia"/>
          <w:b/>
          <w:sz w:val="32"/>
          <w:szCs w:val="32"/>
        </w:rPr>
      </w:pPr>
    </w:p>
    <w:p w14:paraId="7A69BC04">
      <w:pPr>
        <w:pStyle w:val="23"/>
        <w:jc w:val="both"/>
        <w:rPr>
          <w:rFonts w:hint="eastAsia" w:asciiTheme="minorEastAsia" w:hAnsiTheme="minorEastAsia" w:eastAsiaTheme="minorEastAsia" w:cstheme="minorEastAsia"/>
          <w:b/>
          <w:sz w:val="32"/>
          <w:szCs w:val="32"/>
        </w:rPr>
      </w:pPr>
    </w:p>
    <w:p w14:paraId="6FC325C5">
      <w:pPr>
        <w:pStyle w:val="23"/>
        <w:jc w:val="both"/>
        <w:rPr>
          <w:rFonts w:hint="eastAsia" w:asciiTheme="minorEastAsia" w:hAnsiTheme="minorEastAsia" w:eastAsiaTheme="minorEastAsia" w:cstheme="minorEastAsia"/>
          <w:b/>
          <w:sz w:val="32"/>
          <w:szCs w:val="32"/>
        </w:rPr>
      </w:pPr>
    </w:p>
    <w:p w14:paraId="2782CBC5">
      <w:pPr>
        <w:pStyle w:val="23"/>
        <w:jc w:val="both"/>
        <w:rPr>
          <w:rFonts w:hint="eastAsia" w:asciiTheme="minorEastAsia" w:hAnsiTheme="minorEastAsia" w:eastAsiaTheme="minorEastAsia" w:cstheme="minorEastAsia"/>
          <w:b/>
          <w:sz w:val="32"/>
          <w:szCs w:val="32"/>
        </w:rPr>
      </w:pPr>
    </w:p>
    <w:p w14:paraId="34BA22C7">
      <w:pPr>
        <w:pStyle w:val="23"/>
        <w:jc w:val="both"/>
        <w:rPr>
          <w:rFonts w:hint="eastAsia" w:asciiTheme="minorEastAsia" w:hAnsiTheme="minorEastAsia" w:eastAsiaTheme="minorEastAsia" w:cstheme="minorEastAsia"/>
          <w:b/>
          <w:sz w:val="32"/>
          <w:szCs w:val="32"/>
        </w:rPr>
      </w:pPr>
    </w:p>
    <w:p w14:paraId="0B21BDC6">
      <w:pPr>
        <w:pStyle w:val="23"/>
        <w:jc w:val="both"/>
        <w:rPr>
          <w:rFonts w:hint="eastAsia" w:asciiTheme="minorEastAsia" w:hAnsiTheme="minorEastAsia" w:eastAsiaTheme="minorEastAsia" w:cstheme="minorEastAsia"/>
          <w:b/>
          <w:sz w:val="32"/>
          <w:szCs w:val="32"/>
        </w:rPr>
        <w:sectPr>
          <w:headerReference r:id="rId23" w:type="first"/>
          <w:footerReference r:id="rId26" w:type="first"/>
          <w:headerReference r:id="rId22" w:type="default"/>
          <w:footerReference r:id="rId24" w:type="default"/>
          <w:footerReference r:id="rId25" w:type="even"/>
          <w:pgSz w:w="11906" w:h="16838"/>
          <w:pgMar w:top="1276" w:right="1418" w:bottom="1247" w:left="1418" w:header="851" w:footer="992" w:gutter="0"/>
          <w:pgBorders>
            <w:top w:val="none" w:sz="0" w:space="0"/>
            <w:left w:val="none" w:sz="0" w:space="0"/>
            <w:bottom w:val="none" w:sz="0" w:space="0"/>
            <w:right w:val="none" w:sz="0" w:space="0"/>
          </w:pgBorders>
          <w:pgNumType w:fmt="decimal"/>
          <w:cols w:space="720" w:num="1"/>
          <w:titlePg/>
          <w:docGrid w:linePitch="312" w:charSpace="0"/>
        </w:sectPr>
      </w:pPr>
    </w:p>
    <w:p w14:paraId="29B5C92A">
      <w:pPr>
        <w:pStyle w:val="25"/>
        <w:spacing w:line="360" w:lineRule="auto"/>
        <w:ind w:left="0" w:leftChars="0" w:firstLine="0" w:firstLineChars="0"/>
        <w:outlineLvl w:val="1"/>
        <w:rPr>
          <w:rFonts w:hint="eastAsia" w:cs="仿宋_GB2312" w:asciiTheme="minorEastAsia" w:hAnsiTheme="minorEastAsia" w:eastAsiaTheme="minorEastAsia"/>
          <w:b/>
          <w:color w:val="auto"/>
          <w:kern w:val="2"/>
          <w:sz w:val="32"/>
          <w:szCs w:val="32"/>
          <w:highlight w:val="none"/>
          <w:lang w:val="en-US" w:eastAsia="zh-CN" w:bidi="ar-SA"/>
        </w:rPr>
      </w:pPr>
      <w:r>
        <w:rPr>
          <w:rFonts w:hint="eastAsia" w:cs="仿宋_GB2312" w:asciiTheme="minorEastAsia" w:hAnsiTheme="minorEastAsia" w:eastAsiaTheme="minorEastAsia"/>
          <w:b/>
          <w:color w:val="auto"/>
          <w:kern w:val="2"/>
          <w:sz w:val="32"/>
          <w:szCs w:val="32"/>
          <w:highlight w:val="none"/>
          <w:lang w:val="zh-CN" w:eastAsia="zh-CN" w:bidi="ar-SA"/>
        </w:rPr>
        <w:t>附件</w:t>
      </w:r>
      <w:r>
        <w:rPr>
          <w:rFonts w:hint="eastAsia" w:cs="仿宋_GB2312" w:asciiTheme="minorEastAsia" w:hAnsiTheme="minorEastAsia" w:eastAsiaTheme="minorEastAsia"/>
          <w:b/>
          <w:color w:val="auto"/>
          <w:kern w:val="2"/>
          <w:sz w:val="32"/>
          <w:szCs w:val="32"/>
          <w:highlight w:val="none"/>
          <w:lang w:val="en-US" w:eastAsia="zh-CN" w:bidi="ar-SA"/>
        </w:rPr>
        <w:t>9：</w:t>
      </w:r>
    </w:p>
    <w:p w14:paraId="0312A23B">
      <w:pPr>
        <w:snapToGrid w:val="0"/>
        <w:spacing w:before="0" w:line="360" w:lineRule="auto"/>
        <w:ind w:left="0" w:right="0" w:firstLine="643" w:firstLineChars="200"/>
        <w:jc w:val="center"/>
        <w:rPr>
          <w:rFonts w:hint="eastAsia" w:ascii="宋体" w:hAnsi="宋体" w:cs="宋体"/>
          <w:color w:val="auto"/>
          <w:spacing w:val="0"/>
          <w:kern w:val="0"/>
          <w:sz w:val="24"/>
          <w:szCs w:val="24"/>
          <w:highlight w:val="none"/>
          <w:lang w:val="en-US" w:eastAsia="zh-CN"/>
        </w:rPr>
      </w:pPr>
      <w:r>
        <w:rPr>
          <w:rFonts w:hint="eastAsia" w:ascii="宋体" w:hAnsi="宋体" w:eastAsia="宋体" w:cs="宋体"/>
          <w:b/>
          <w:color w:val="auto"/>
          <w:spacing w:val="0"/>
          <w:sz w:val="32"/>
          <w:szCs w:val="32"/>
          <w:highlight w:val="none"/>
          <w:lang w:val="zh-CN"/>
        </w:rPr>
        <w:t>关于符合本国产品标准的声明函</w:t>
      </w:r>
    </w:p>
    <w:p w14:paraId="4DB1B4B7">
      <w:pPr>
        <w:snapToGrid w:val="0"/>
        <w:spacing w:before="0" w:line="360" w:lineRule="auto"/>
        <w:ind w:left="0" w:right="0"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cs="宋体"/>
          <w:color w:val="auto"/>
          <w:spacing w:val="0"/>
          <w:kern w:val="0"/>
          <w:sz w:val="24"/>
          <w:szCs w:val="24"/>
          <w:highlight w:val="none"/>
          <w:lang w:val="en-US" w:eastAsia="zh-CN"/>
        </w:rPr>
        <w:t>一、</w:t>
      </w:r>
      <w:r>
        <w:rPr>
          <w:rFonts w:hint="eastAsia" w:ascii="宋体" w:hAnsi="宋体" w:eastAsia="宋体" w:cs="宋体"/>
          <w:color w:val="auto"/>
          <w:spacing w:val="0"/>
          <w:kern w:val="0"/>
          <w:sz w:val="24"/>
          <w:szCs w:val="24"/>
          <w:highlight w:val="none"/>
          <w:lang w:val="zh-CN"/>
        </w:rPr>
        <w:t>本公司（单位）郑重声明，根据《国务院办公厅关于在政府采购中实施本国产品标准及相关政策的通知》（国办发〔2025〕34号）的规定，本公司（单位）提供的以下产品属于本国产品。具体情况如下：</w:t>
      </w:r>
    </w:p>
    <w:p w14:paraId="6E078BB4">
      <w:pPr>
        <w:snapToGrid w:val="0"/>
        <w:spacing w:before="0" w:line="360" w:lineRule="auto"/>
        <w:ind w:left="0" w:right="0"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spacing w:val="0"/>
          <w:kern w:val="0"/>
          <w:sz w:val="24"/>
          <w:szCs w:val="24"/>
          <w:highlight w:val="none"/>
          <w:lang w:val="zh-CN"/>
        </w:rPr>
        <w:t>1.</w:t>
      </w:r>
      <w:r>
        <w:rPr>
          <w:rFonts w:hint="eastAsia" w:ascii="宋体" w:hAnsi="宋体" w:eastAsia="宋体" w:cs="宋体"/>
          <w:color w:val="auto"/>
          <w:spacing w:val="0"/>
          <w:kern w:val="0"/>
          <w:sz w:val="24"/>
          <w:szCs w:val="24"/>
          <w:highlight w:val="none"/>
          <w:u w:val="single"/>
          <w:lang w:val="zh-CN"/>
        </w:rPr>
        <w:t>（产品名称1）</w:t>
      </w:r>
      <w:r>
        <w:rPr>
          <w:rFonts w:hint="eastAsia" w:ascii="宋体" w:hAnsi="宋体" w:cs="宋体"/>
          <w:color w:val="auto"/>
          <w:spacing w:val="0"/>
          <w:kern w:val="0"/>
          <w:sz w:val="24"/>
          <w:szCs w:val="24"/>
          <w:highlight w:val="none"/>
          <w:vertAlign w:val="superscript"/>
          <w:lang w:val="zh-CN"/>
        </w:rPr>
        <w:t>【</w:t>
      </w:r>
      <w:r>
        <w:rPr>
          <w:rFonts w:hint="eastAsia" w:ascii="宋体" w:hAnsi="宋体" w:cs="宋体"/>
          <w:color w:val="auto"/>
          <w:spacing w:val="0"/>
          <w:kern w:val="0"/>
          <w:sz w:val="24"/>
          <w:szCs w:val="24"/>
          <w:highlight w:val="none"/>
          <w:vertAlign w:val="superscript"/>
          <w:lang w:val="en-US" w:eastAsia="zh-CN"/>
        </w:rPr>
        <w:t>1</w:t>
      </w:r>
      <w:r>
        <w:rPr>
          <w:rFonts w:hint="eastAsia" w:ascii="宋体" w:hAnsi="宋体" w:cs="宋体"/>
          <w:color w:val="auto"/>
          <w:spacing w:val="0"/>
          <w:kern w:val="0"/>
          <w:sz w:val="24"/>
          <w:szCs w:val="24"/>
          <w:highlight w:val="none"/>
          <w:vertAlign w:val="superscript"/>
          <w:lang w:val="zh-CN"/>
        </w:rPr>
        <w:t>】</w:t>
      </w:r>
      <w:r>
        <w:rPr>
          <w:rFonts w:hint="eastAsia" w:ascii="宋体" w:hAnsi="宋体" w:eastAsia="宋体" w:cs="宋体"/>
          <w:color w:val="auto"/>
          <w:spacing w:val="0"/>
          <w:kern w:val="0"/>
          <w:sz w:val="24"/>
          <w:szCs w:val="24"/>
          <w:highlight w:val="none"/>
          <w:lang w:val="zh-CN"/>
        </w:rPr>
        <w:t>，生产厂为</w:t>
      </w:r>
      <w:r>
        <w:rPr>
          <w:rFonts w:hint="eastAsia" w:ascii="宋体" w:hAnsi="宋体" w:eastAsia="宋体" w:cs="宋体"/>
          <w:color w:val="auto"/>
          <w:spacing w:val="0"/>
          <w:kern w:val="0"/>
          <w:sz w:val="24"/>
          <w:szCs w:val="24"/>
          <w:highlight w:val="none"/>
          <w:u w:val="single"/>
          <w:lang w:val="zh-CN"/>
        </w:rPr>
        <w:t>（厂名）</w:t>
      </w:r>
      <w:r>
        <w:rPr>
          <w:rFonts w:hint="eastAsia" w:ascii="宋体" w:hAnsi="宋体" w:cs="宋体"/>
          <w:color w:val="auto"/>
          <w:spacing w:val="0"/>
          <w:kern w:val="0"/>
          <w:sz w:val="24"/>
          <w:szCs w:val="24"/>
          <w:highlight w:val="none"/>
          <w:vertAlign w:val="superscript"/>
          <w:lang w:val="zh-CN"/>
        </w:rPr>
        <w:t>【</w:t>
      </w:r>
      <w:r>
        <w:rPr>
          <w:rFonts w:hint="eastAsia" w:ascii="宋体" w:hAnsi="宋体" w:cs="宋体"/>
          <w:color w:val="auto"/>
          <w:spacing w:val="0"/>
          <w:kern w:val="0"/>
          <w:sz w:val="24"/>
          <w:szCs w:val="24"/>
          <w:highlight w:val="none"/>
          <w:vertAlign w:val="superscript"/>
          <w:lang w:val="en-US" w:eastAsia="zh-CN"/>
        </w:rPr>
        <w:t>2</w:t>
      </w:r>
      <w:r>
        <w:rPr>
          <w:rFonts w:hint="eastAsia" w:ascii="宋体" w:hAnsi="宋体" w:cs="宋体"/>
          <w:color w:val="auto"/>
          <w:spacing w:val="0"/>
          <w:kern w:val="0"/>
          <w:sz w:val="24"/>
          <w:szCs w:val="24"/>
          <w:highlight w:val="none"/>
          <w:vertAlign w:val="superscript"/>
          <w:lang w:val="zh-CN"/>
        </w:rPr>
        <w:t>】</w:t>
      </w:r>
      <w:r>
        <w:rPr>
          <w:rFonts w:hint="eastAsia" w:ascii="宋体" w:hAnsi="宋体" w:eastAsia="宋体" w:cs="宋体"/>
          <w:color w:val="auto"/>
          <w:spacing w:val="0"/>
          <w:kern w:val="0"/>
          <w:sz w:val="24"/>
          <w:szCs w:val="24"/>
          <w:highlight w:val="none"/>
          <w:lang w:val="zh-CN"/>
        </w:rPr>
        <w:t>，厂址为</w:t>
      </w:r>
      <w:r>
        <w:rPr>
          <w:rFonts w:hint="eastAsia" w:ascii="宋体" w:hAnsi="宋体" w:eastAsia="宋体" w:cs="宋体"/>
          <w:color w:val="auto"/>
          <w:spacing w:val="0"/>
          <w:kern w:val="0"/>
          <w:sz w:val="24"/>
          <w:szCs w:val="24"/>
          <w:highlight w:val="none"/>
          <w:u w:val="single"/>
          <w:lang w:val="zh-CN"/>
        </w:rPr>
        <w:t>（生产厂址）</w:t>
      </w:r>
      <w:r>
        <w:rPr>
          <w:rFonts w:hint="eastAsia" w:ascii="宋体" w:hAnsi="宋体" w:eastAsia="宋体" w:cs="宋体"/>
          <w:color w:val="auto"/>
          <w:spacing w:val="0"/>
          <w:kern w:val="0"/>
          <w:sz w:val="24"/>
          <w:szCs w:val="24"/>
          <w:highlight w:val="none"/>
          <w:lang w:val="zh-CN"/>
        </w:rPr>
        <w:t>。</w:t>
      </w:r>
    </w:p>
    <w:p w14:paraId="1D7DAB40">
      <w:pPr>
        <w:snapToGrid w:val="0"/>
        <w:spacing w:before="0" w:line="360" w:lineRule="auto"/>
        <w:ind w:left="0" w:right="0"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cs="宋体"/>
          <w:color w:val="auto"/>
          <w:spacing w:val="0"/>
          <w:kern w:val="0"/>
          <w:sz w:val="24"/>
          <w:szCs w:val="24"/>
          <w:highlight w:val="none"/>
          <w:lang w:val="en-US" w:eastAsia="zh-CN"/>
        </w:rPr>
        <w:t>2</w:t>
      </w:r>
      <w:r>
        <w:rPr>
          <w:rFonts w:hint="eastAsia" w:ascii="宋体" w:hAnsi="宋体" w:eastAsia="宋体" w:cs="宋体"/>
          <w:color w:val="auto"/>
          <w:spacing w:val="0"/>
          <w:kern w:val="0"/>
          <w:sz w:val="24"/>
          <w:szCs w:val="24"/>
          <w:highlight w:val="none"/>
          <w:lang w:val="zh-CN"/>
        </w:rPr>
        <w:t>.</w:t>
      </w:r>
      <w:r>
        <w:rPr>
          <w:rFonts w:hint="eastAsia" w:ascii="宋体" w:hAnsi="宋体" w:eastAsia="宋体" w:cs="宋体"/>
          <w:color w:val="auto"/>
          <w:spacing w:val="0"/>
          <w:kern w:val="0"/>
          <w:sz w:val="24"/>
          <w:szCs w:val="24"/>
          <w:highlight w:val="none"/>
          <w:u w:val="single"/>
          <w:lang w:val="zh-CN"/>
        </w:rPr>
        <w:t>（产品名称</w:t>
      </w:r>
      <w:r>
        <w:rPr>
          <w:rFonts w:hint="eastAsia" w:ascii="宋体" w:hAnsi="宋体" w:cs="宋体"/>
          <w:color w:val="auto"/>
          <w:spacing w:val="0"/>
          <w:kern w:val="0"/>
          <w:sz w:val="24"/>
          <w:szCs w:val="24"/>
          <w:highlight w:val="none"/>
          <w:u w:val="single"/>
          <w:lang w:val="en-US" w:eastAsia="zh-CN"/>
        </w:rPr>
        <w:t>2</w:t>
      </w:r>
      <w:r>
        <w:rPr>
          <w:rFonts w:hint="eastAsia" w:ascii="宋体" w:hAnsi="宋体" w:eastAsia="宋体" w:cs="宋体"/>
          <w:color w:val="auto"/>
          <w:spacing w:val="0"/>
          <w:kern w:val="0"/>
          <w:sz w:val="24"/>
          <w:szCs w:val="24"/>
          <w:highlight w:val="none"/>
          <w:u w:val="single"/>
          <w:lang w:val="zh-CN"/>
        </w:rPr>
        <w:t>）</w:t>
      </w:r>
      <w:r>
        <w:rPr>
          <w:rFonts w:hint="eastAsia" w:ascii="宋体" w:hAnsi="宋体" w:cs="宋体"/>
          <w:color w:val="auto"/>
          <w:spacing w:val="0"/>
          <w:kern w:val="0"/>
          <w:sz w:val="24"/>
          <w:szCs w:val="24"/>
          <w:highlight w:val="none"/>
          <w:vertAlign w:val="superscript"/>
          <w:lang w:val="zh-CN"/>
        </w:rPr>
        <w:t>【</w:t>
      </w:r>
      <w:r>
        <w:rPr>
          <w:rFonts w:hint="eastAsia" w:ascii="宋体" w:hAnsi="宋体" w:cs="宋体"/>
          <w:color w:val="auto"/>
          <w:spacing w:val="0"/>
          <w:kern w:val="0"/>
          <w:sz w:val="24"/>
          <w:szCs w:val="24"/>
          <w:highlight w:val="none"/>
          <w:vertAlign w:val="superscript"/>
          <w:lang w:val="en-US" w:eastAsia="zh-CN"/>
        </w:rPr>
        <w:t>1</w:t>
      </w:r>
      <w:r>
        <w:rPr>
          <w:rFonts w:hint="eastAsia" w:ascii="宋体" w:hAnsi="宋体" w:cs="宋体"/>
          <w:color w:val="auto"/>
          <w:spacing w:val="0"/>
          <w:kern w:val="0"/>
          <w:sz w:val="24"/>
          <w:szCs w:val="24"/>
          <w:highlight w:val="none"/>
          <w:vertAlign w:val="superscript"/>
          <w:lang w:val="zh-CN"/>
        </w:rPr>
        <w:t>】</w:t>
      </w:r>
      <w:r>
        <w:rPr>
          <w:rFonts w:hint="eastAsia" w:ascii="宋体" w:hAnsi="宋体" w:eastAsia="宋体" w:cs="宋体"/>
          <w:color w:val="auto"/>
          <w:spacing w:val="0"/>
          <w:kern w:val="0"/>
          <w:sz w:val="24"/>
          <w:szCs w:val="24"/>
          <w:highlight w:val="none"/>
          <w:lang w:val="zh-CN"/>
        </w:rPr>
        <w:t>，生产厂为</w:t>
      </w:r>
      <w:r>
        <w:rPr>
          <w:rFonts w:hint="eastAsia" w:ascii="宋体" w:hAnsi="宋体" w:eastAsia="宋体" w:cs="宋体"/>
          <w:color w:val="auto"/>
          <w:spacing w:val="0"/>
          <w:kern w:val="0"/>
          <w:sz w:val="24"/>
          <w:szCs w:val="24"/>
          <w:highlight w:val="none"/>
          <w:u w:val="single"/>
          <w:lang w:val="zh-CN"/>
        </w:rPr>
        <w:t>（厂名）</w:t>
      </w:r>
      <w:r>
        <w:rPr>
          <w:rFonts w:hint="eastAsia" w:ascii="宋体" w:hAnsi="宋体" w:cs="宋体"/>
          <w:color w:val="auto"/>
          <w:spacing w:val="0"/>
          <w:kern w:val="0"/>
          <w:sz w:val="24"/>
          <w:szCs w:val="24"/>
          <w:highlight w:val="none"/>
          <w:vertAlign w:val="superscript"/>
          <w:lang w:val="zh-CN"/>
        </w:rPr>
        <w:t>【</w:t>
      </w:r>
      <w:r>
        <w:rPr>
          <w:rFonts w:hint="eastAsia" w:ascii="宋体" w:hAnsi="宋体" w:cs="宋体"/>
          <w:color w:val="auto"/>
          <w:spacing w:val="0"/>
          <w:kern w:val="0"/>
          <w:sz w:val="24"/>
          <w:szCs w:val="24"/>
          <w:highlight w:val="none"/>
          <w:vertAlign w:val="superscript"/>
          <w:lang w:val="en-US" w:eastAsia="zh-CN"/>
        </w:rPr>
        <w:t>2</w:t>
      </w:r>
      <w:r>
        <w:rPr>
          <w:rFonts w:hint="eastAsia" w:ascii="宋体" w:hAnsi="宋体" w:cs="宋体"/>
          <w:color w:val="auto"/>
          <w:spacing w:val="0"/>
          <w:kern w:val="0"/>
          <w:sz w:val="24"/>
          <w:szCs w:val="24"/>
          <w:highlight w:val="none"/>
          <w:vertAlign w:val="superscript"/>
          <w:lang w:val="zh-CN"/>
        </w:rPr>
        <w:t>】</w:t>
      </w:r>
      <w:r>
        <w:rPr>
          <w:rFonts w:hint="eastAsia" w:ascii="宋体" w:hAnsi="宋体" w:eastAsia="宋体" w:cs="宋体"/>
          <w:color w:val="auto"/>
          <w:spacing w:val="0"/>
          <w:kern w:val="0"/>
          <w:sz w:val="24"/>
          <w:szCs w:val="24"/>
          <w:highlight w:val="none"/>
          <w:lang w:val="zh-CN"/>
        </w:rPr>
        <w:t>，厂址为</w:t>
      </w:r>
      <w:r>
        <w:rPr>
          <w:rFonts w:hint="eastAsia" w:ascii="宋体" w:hAnsi="宋体" w:eastAsia="宋体" w:cs="宋体"/>
          <w:color w:val="auto"/>
          <w:spacing w:val="0"/>
          <w:kern w:val="0"/>
          <w:sz w:val="24"/>
          <w:szCs w:val="24"/>
          <w:highlight w:val="none"/>
          <w:u w:val="single"/>
          <w:lang w:val="zh-CN"/>
        </w:rPr>
        <w:t>（生产厂址）</w:t>
      </w:r>
      <w:r>
        <w:rPr>
          <w:rFonts w:hint="eastAsia" w:ascii="宋体" w:hAnsi="宋体" w:eastAsia="宋体" w:cs="宋体"/>
          <w:color w:val="auto"/>
          <w:spacing w:val="0"/>
          <w:kern w:val="0"/>
          <w:sz w:val="24"/>
          <w:szCs w:val="24"/>
          <w:highlight w:val="none"/>
          <w:lang w:val="zh-CN"/>
        </w:rPr>
        <w:t>。</w:t>
      </w:r>
    </w:p>
    <w:p w14:paraId="43EDBA9A">
      <w:pPr>
        <w:snapToGrid w:val="0"/>
        <w:spacing w:before="0" w:line="360" w:lineRule="auto"/>
        <w:ind w:left="0" w:firstLine="480" w:firstLineChars="200"/>
        <w:rPr>
          <w:rFonts w:hint="eastAsia" w:ascii="宋体" w:hAnsi="宋体" w:eastAsia="宋体" w:cs="宋体"/>
          <w:color w:val="auto"/>
          <w:kern w:val="0"/>
          <w:sz w:val="24"/>
          <w:szCs w:val="24"/>
          <w:highlight w:val="none"/>
          <w:lang w:val="zh-CN"/>
        </w:rPr>
      </w:pPr>
      <w:r>
        <w:rPr>
          <w:rFonts w:hint="eastAsia" w:ascii="宋体" w:hAnsi="宋体" w:eastAsia="宋体" w:cs="宋体"/>
          <w:color w:val="auto"/>
          <w:spacing w:val="0"/>
          <w:kern w:val="0"/>
          <w:position w:val="0"/>
          <w:sz w:val="24"/>
          <w:szCs w:val="24"/>
          <w:highlight w:val="none"/>
          <w:lang w:val="zh-CN"/>
        </w:rPr>
        <w:t>……</w:t>
      </w:r>
    </w:p>
    <w:p w14:paraId="06EFB81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color w:val="auto"/>
          <w:sz w:val="32"/>
          <w:szCs w:val="32"/>
          <w:highlight w:val="none"/>
          <w:lang w:val="en-US" w:eastAsia="zh-CN"/>
        </w:rPr>
      </w:pPr>
      <w:r>
        <w:rPr>
          <w:rFonts w:hint="eastAsia" w:ascii="宋体" w:hAnsi="宋体" w:eastAsia="宋体" w:cs="宋体"/>
          <w:b/>
          <w:bCs/>
          <w:color w:val="auto"/>
          <w:sz w:val="24"/>
          <w:szCs w:val="24"/>
          <w:highlight w:val="none"/>
          <w:lang w:val="en-US" w:eastAsia="zh-CN"/>
        </w:rPr>
        <w:t>二、关于符合本国产品标准的成本占比情况：</w:t>
      </w:r>
    </w:p>
    <w:p w14:paraId="5292D14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color w:val="auto"/>
          <w:sz w:val="32"/>
          <w:szCs w:val="32"/>
          <w:highlight w:val="none"/>
          <w:lang w:val="en-US" w:eastAsia="zh-CN"/>
        </w:rPr>
      </w:pPr>
    </w:p>
    <w:tbl>
      <w:tblPr>
        <w:tblStyle w:val="64"/>
        <w:tblW w:w="8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8"/>
        <w:gridCol w:w="2092"/>
      </w:tblGrid>
      <w:tr w14:paraId="3C7F9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6208" w:type="dxa"/>
            <w:vAlign w:val="center"/>
          </w:tcPr>
          <w:p w14:paraId="0BA472B4">
            <w:pPr>
              <w:widowControl w:val="0"/>
              <w:ind w:firstLine="0" w:firstLineChars="0"/>
              <w:jc w:val="center"/>
              <w:rPr>
                <w:rFonts w:hint="default" w:ascii="宋体" w:hAnsi="宋体" w:eastAsia="宋体" w:cs="宋体"/>
                <w:b/>
                <w:bCs/>
                <w:i w:val="0"/>
                <w:iCs w:val="0"/>
                <w:caps w:val="0"/>
                <w:color w:val="auto"/>
                <w:spacing w:val="0"/>
                <w:sz w:val="24"/>
                <w:szCs w:val="24"/>
                <w:highlight w:val="none"/>
                <w:u w:val="none"/>
                <w:shd w:val="clear" w:fill="FFFFFF"/>
                <w:vertAlign w:val="baseline"/>
                <w:lang w:val="en-US" w:eastAsia="zh-CN"/>
              </w:rPr>
            </w:pPr>
            <w:r>
              <w:rPr>
                <w:rFonts w:hint="eastAsia" w:ascii="宋体" w:hAnsi="宋体" w:eastAsia="宋体" w:cs="宋体"/>
                <w:b/>
                <w:bCs/>
                <w:i w:val="0"/>
                <w:iCs w:val="0"/>
                <w:caps w:val="0"/>
                <w:color w:val="auto"/>
                <w:spacing w:val="0"/>
                <w:sz w:val="24"/>
                <w:szCs w:val="24"/>
                <w:highlight w:val="none"/>
                <w:u w:val="none"/>
                <w:shd w:val="clear" w:fill="FFFFFF"/>
                <w:vertAlign w:val="baseline"/>
                <w:lang w:val="en-US" w:eastAsia="zh-CN"/>
              </w:rPr>
              <w:t>计算公式</w:t>
            </w:r>
          </w:p>
        </w:tc>
        <w:tc>
          <w:tcPr>
            <w:tcW w:w="2092" w:type="dxa"/>
            <w:vAlign w:val="center"/>
          </w:tcPr>
          <w:p w14:paraId="5FCADEDE">
            <w:pPr>
              <w:widowControl w:val="0"/>
              <w:ind w:firstLine="0" w:firstLineChars="0"/>
              <w:jc w:val="center"/>
              <w:rPr>
                <w:rFonts w:hint="default" w:ascii="宋体" w:hAnsi="宋体" w:eastAsia="宋体" w:cs="宋体"/>
                <w:b/>
                <w:bCs/>
                <w:i w:val="0"/>
                <w:iCs w:val="0"/>
                <w:caps w:val="0"/>
                <w:color w:val="auto"/>
                <w:spacing w:val="0"/>
                <w:sz w:val="24"/>
                <w:szCs w:val="24"/>
                <w:highlight w:val="none"/>
                <w:u w:val="none"/>
                <w:shd w:val="clear" w:fill="FFFFFF"/>
                <w:vertAlign w:val="baseline"/>
                <w:lang w:val="en-US" w:eastAsia="zh-CN"/>
              </w:rPr>
            </w:pPr>
            <w:r>
              <w:rPr>
                <w:rFonts w:hint="eastAsia" w:ascii="宋体" w:hAnsi="宋体" w:eastAsia="宋体" w:cs="宋体"/>
                <w:b/>
                <w:bCs/>
                <w:i w:val="0"/>
                <w:iCs w:val="0"/>
                <w:caps w:val="0"/>
                <w:color w:val="auto"/>
                <w:spacing w:val="0"/>
                <w:sz w:val="24"/>
                <w:szCs w:val="24"/>
                <w:highlight w:val="none"/>
                <w:u w:val="none"/>
                <w:shd w:val="clear" w:fill="FFFFFF"/>
                <w:vertAlign w:val="baseline"/>
                <w:lang w:val="en-US" w:eastAsia="zh-CN"/>
              </w:rPr>
              <w:t>占比情况</w:t>
            </w:r>
          </w:p>
        </w:tc>
      </w:tr>
      <w:tr w14:paraId="583F5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8" w:type="dxa"/>
            <w:vAlign w:val="center"/>
          </w:tcPr>
          <w:p w14:paraId="68202DBD">
            <w:pPr>
              <w:widowControl w:val="0"/>
              <w:ind w:firstLine="0" w:firstLineChars="0"/>
              <w:jc w:val="center"/>
              <w:rPr>
                <w:rFonts w:hint="eastAsia" w:ascii="宋体" w:hAnsi="宋体" w:eastAsia="宋体" w:cs="宋体"/>
                <w:i w:val="0"/>
                <w:iCs w:val="0"/>
                <w:caps w:val="0"/>
                <w:color w:val="auto"/>
                <w:spacing w:val="0"/>
                <w:sz w:val="24"/>
                <w:szCs w:val="24"/>
                <w:highlight w:val="none"/>
                <w:u w:val="none"/>
                <w:shd w:val="clear" w:fill="FFFFFF"/>
                <w:vertAlign w:val="baseline"/>
                <w:lang w:val="en-US" w:eastAsia="zh-CN"/>
              </w:rPr>
            </w:pPr>
          </w:p>
          <w:p w14:paraId="1A112627">
            <w:pPr>
              <w:widowControl w:val="0"/>
              <w:ind w:firstLine="0" w:firstLineChars="0"/>
              <w:jc w:val="center"/>
              <w:rPr>
                <w:rFonts w:hint="eastAsia" w:ascii="宋体" w:hAnsi="宋体" w:eastAsia="宋体" w:cs="宋体"/>
                <w:i w:val="0"/>
                <w:iCs w:val="0"/>
                <w:caps w:val="0"/>
                <w:color w:val="auto"/>
                <w:spacing w:val="4"/>
                <w:sz w:val="24"/>
                <w:szCs w:val="24"/>
                <w:highlight w:val="none"/>
                <w:bdr w:val="single" w:color="auto" w:sz="2" w:space="0"/>
                <w:shd w:val="clear" w:fill="FFFFFF"/>
              </w:rPr>
            </w:pPr>
            <m:oMathPara>
              <m:oMath>
                <m:r>
                  <m:rPr>
                    <m:sty m:val="p"/>
                  </m:rPr>
                  <w:rPr>
                    <w:rFonts w:hint="eastAsia" w:ascii="Cambria Math" w:hAnsi="Cambria Math" w:eastAsia="宋体" w:cs="宋体"/>
                    <w:color w:val="auto"/>
                    <w:sz w:val="24"/>
                    <w:szCs w:val="24"/>
                    <w:highlight w:val="none"/>
                  </w:rPr>
                  <m:t>比例</m:t>
                </m:r>
                <m:r>
                  <m:rPr/>
                  <w:rPr>
                    <w:rFonts w:hint="eastAsia" w:ascii="Cambria Math" w:hAnsi="Cambria Math" w:eastAsia="宋体" w:cs="宋体"/>
                    <w:color w:val="auto"/>
                    <w:sz w:val="24"/>
                    <w:szCs w:val="24"/>
                    <w:highlight w:val="none"/>
                  </w:rPr>
                  <m:t>=</m:t>
                </m:r>
                <m:f>
                  <m:fPr>
                    <m:ctrlPr>
                      <w:rPr>
                        <w:rFonts w:hint="eastAsia" w:ascii="Cambria Math" w:hAnsi="Cambria Math" w:eastAsia="宋体" w:cs="宋体"/>
                        <w:i/>
                        <w:color w:val="auto"/>
                        <w:sz w:val="24"/>
                        <w:szCs w:val="24"/>
                        <w:highlight w:val="none"/>
                      </w:rPr>
                    </m:ctrlPr>
                  </m:fPr>
                  <m:num>
                    <m:r>
                      <m:rPr>
                        <m:sty m:val="p"/>
                      </m:rPr>
                      <w:rPr>
                        <w:rFonts w:hint="eastAsia" w:ascii="Cambria Math" w:hAnsi="Cambria Math" w:eastAsia="宋体" w:cs="宋体"/>
                        <w:color w:val="auto"/>
                        <w:sz w:val="24"/>
                        <w:szCs w:val="24"/>
                        <w:highlight w:val="none"/>
                      </w:rPr>
                      <m:t>符合本国产品标准的投标产品成本之和</m:t>
                    </m:r>
                    <m:ctrlPr>
                      <w:rPr>
                        <w:rFonts w:hint="eastAsia" w:ascii="Cambria Math" w:hAnsi="Cambria Math" w:eastAsia="宋体" w:cs="宋体"/>
                        <w:color w:val="auto"/>
                        <w:sz w:val="24"/>
                        <w:szCs w:val="24"/>
                        <w:highlight w:val="none"/>
                      </w:rPr>
                    </m:ctrlPr>
                  </m:num>
                  <m:den>
                    <m:r>
                      <m:rPr>
                        <m:sty m:val="p"/>
                      </m:rPr>
                      <w:rPr>
                        <w:rFonts w:hint="eastAsia" w:ascii="Cambria Math" w:hAnsi="Cambria Math" w:eastAsia="宋体" w:cs="宋体"/>
                        <w:color w:val="auto"/>
                        <w:sz w:val="24"/>
                        <w:szCs w:val="24"/>
                        <w:highlight w:val="none"/>
                      </w:rPr>
                      <m:t>提供的全部产品成本之和</m:t>
                    </m:r>
                    <m:ctrlPr>
                      <w:rPr>
                        <w:rFonts w:hint="eastAsia" w:ascii="Cambria Math" w:hAnsi="Cambria Math" w:eastAsia="宋体" w:cs="宋体"/>
                        <w:color w:val="auto"/>
                        <w:sz w:val="24"/>
                        <w:szCs w:val="24"/>
                        <w:highlight w:val="none"/>
                      </w:rPr>
                    </m:ctrlPr>
                  </m:den>
                </m:f>
                <m:r>
                  <m:rPr>
                    <m:sty m:val="p"/>
                  </m:rPr>
                  <w:rPr>
                    <w:rFonts w:hint="eastAsia" w:ascii="Cambria Math" w:hAnsi="Cambria Math" w:eastAsia="宋体" w:cs="宋体"/>
                    <w:color w:val="auto"/>
                    <w:sz w:val="24"/>
                    <w:szCs w:val="24"/>
                    <w:highlight w:val="none"/>
                  </w:rPr>
                  <m:t>×</m:t>
                </m:r>
                <m:r>
                  <m:rPr/>
                  <w:rPr>
                    <w:rFonts w:hint="eastAsia" w:ascii="Cambria Math" w:hAnsi="Cambria Math" w:eastAsia="宋体" w:cs="宋体"/>
                    <w:color w:val="auto"/>
                    <w:sz w:val="24"/>
                    <w:szCs w:val="24"/>
                    <w:highlight w:val="none"/>
                  </w:rPr>
                  <m:t>100%</m:t>
                </m:r>
              </m:oMath>
            </m:oMathPara>
          </w:p>
          <w:p w14:paraId="3FDE7254">
            <w:pPr>
              <w:widowControl w:val="0"/>
              <w:ind w:firstLine="0" w:firstLineChars="0"/>
              <w:jc w:val="center"/>
              <w:rPr>
                <w:rFonts w:hint="eastAsia" w:ascii="宋体" w:hAnsi="宋体" w:eastAsia="宋体" w:cs="宋体"/>
                <w:i w:val="0"/>
                <w:iCs w:val="0"/>
                <w:caps w:val="0"/>
                <w:color w:val="auto"/>
                <w:spacing w:val="4"/>
                <w:sz w:val="24"/>
                <w:szCs w:val="24"/>
                <w:highlight w:val="none"/>
                <w:bdr w:val="single" w:color="auto" w:sz="2" w:space="0"/>
                <w:shd w:val="clear" w:fill="FFFFFF"/>
                <w:lang w:val="en-US" w:eastAsia="zh-CN"/>
              </w:rPr>
            </w:pPr>
          </w:p>
          <w:p w14:paraId="7D3CA51C">
            <w:pPr>
              <w:widowControl w:val="0"/>
              <w:ind w:firstLine="0" w:firstLineChars="0"/>
              <w:jc w:val="center"/>
              <w:rPr>
                <w:rFonts w:hint="eastAsia" w:ascii="宋体" w:hAnsi="宋体" w:eastAsia="宋体" w:cs="宋体"/>
                <w:i w:val="0"/>
                <w:iCs w:val="0"/>
                <w:caps w:val="0"/>
                <w:color w:val="auto"/>
                <w:spacing w:val="0"/>
                <w:sz w:val="24"/>
                <w:szCs w:val="24"/>
                <w:highlight w:val="none"/>
                <w:u w:val="none"/>
                <w:shd w:val="clear" w:fill="FFFFFF"/>
                <w:vertAlign w:val="baseline"/>
                <w:lang w:val="en-US" w:eastAsia="zh-CN"/>
              </w:rPr>
            </w:pPr>
          </w:p>
        </w:tc>
        <w:tc>
          <w:tcPr>
            <w:tcW w:w="2092" w:type="dxa"/>
            <w:vAlign w:val="center"/>
          </w:tcPr>
          <w:p w14:paraId="2F11018C">
            <w:pPr>
              <w:widowControl w:val="0"/>
              <w:ind w:firstLine="0" w:firstLineChars="0"/>
              <w:jc w:val="center"/>
              <w:rPr>
                <w:rFonts w:hint="eastAsia" w:ascii="宋体" w:hAnsi="宋体" w:eastAsia="宋体" w:cs="宋体"/>
                <w:i w:val="0"/>
                <w:iCs w:val="0"/>
                <w:caps w:val="0"/>
                <w:color w:val="auto"/>
                <w:spacing w:val="0"/>
                <w:sz w:val="24"/>
                <w:szCs w:val="24"/>
                <w:highlight w:val="none"/>
                <w:u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u w:val="single"/>
                <w:shd w:val="clear" w:fill="FFFFFF"/>
                <w:vertAlign w:val="baseline"/>
                <w:lang w:val="en-US" w:eastAsia="zh-CN"/>
              </w:rPr>
              <w:t xml:space="preserve">       </w:t>
            </w:r>
            <w:r>
              <w:rPr>
                <w:rFonts w:hint="eastAsia" w:ascii="宋体" w:hAnsi="宋体" w:eastAsia="宋体" w:cs="宋体"/>
                <w:i w:val="0"/>
                <w:iCs w:val="0"/>
                <w:caps w:val="0"/>
                <w:color w:val="auto"/>
                <w:spacing w:val="0"/>
                <w:sz w:val="24"/>
                <w:szCs w:val="24"/>
                <w:highlight w:val="none"/>
                <w:u w:val="none"/>
                <w:shd w:val="clear" w:fill="FFFFFF"/>
                <w:vertAlign w:val="baseline"/>
                <w:lang w:val="en-US" w:eastAsia="zh-CN"/>
              </w:rPr>
              <w:t>%</w:t>
            </w:r>
          </w:p>
        </w:tc>
      </w:tr>
    </w:tbl>
    <w:p w14:paraId="3EB60AE4">
      <w:pPr>
        <w:snapToGrid w:val="0"/>
        <w:spacing w:before="0" w:line="360" w:lineRule="auto"/>
        <w:ind w:left="0" w:right="0" w:firstLine="480" w:firstLineChars="200"/>
        <w:jc w:val="left"/>
        <w:rPr>
          <w:rFonts w:hint="eastAsia" w:ascii="宋体" w:hAnsi="宋体" w:eastAsia="宋体" w:cs="宋体"/>
          <w:color w:val="auto"/>
          <w:kern w:val="0"/>
          <w:sz w:val="24"/>
          <w:szCs w:val="24"/>
          <w:highlight w:val="none"/>
          <w:lang w:val="zh-CN"/>
        </w:rPr>
      </w:pPr>
    </w:p>
    <w:p w14:paraId="54BF6C76">
      <w:pPr>
        <w:snapToGrid w:val="0"/>
        <w:spacing w:before="0" w:line="360" w:lineRule="auto"/>
        <w:ind w:left="0" w:right="0" w:firstLine="0"/>
        <w:rPr>
          <w:rFonts w:hint="eastAsia" w:ascii="宋体" w:hAnsi="宋体" w:eastAsia="宋体" w:cs="宋体"/>
          <w:color w:val="auto"/>
          <w:spacing w:val="0"/>
          <w:kern w:val="0"/>
          <w:sz w:val="24"/>
          <w:szCs w:val="24"/>
          <w:highlight w:val="none"/>
          <w:lang w:val="zh-CN"/>
        </w:rPr>
      </w:pPr>
    </w:p>
    <w:p w14:paraId="350C4AF0">
      <w:pPr>
        <w:snapToGrid w:val="0"/>
        <w:spacing w:before="0" w:line="360" w:lineRule="auto"/>
        <w:ind w:left="0" w:right="0" w:firstLine="0"/>
        <w:rPr>
          <w:rFonts w:hint="eastAsia" w:ascii="宋体" w:hAnsi="宋体" w:eastAsia="宋体" w:cs="宋体"/>
          <w:color w:val="auto"/>
          <w:spacing w:val="0"/>
          <w:kern w:val="0"/>
          <w:sz w:val="24"/>
          <w:szCs w:val="24"/>
          <w:highlight w:val="none"/>
          <w:lang w:val="zh-CN"/>
        </w:rPr>
      </w:pPr>
      <w:r>
        <w:rPr>
          <w:rFonts w:hint="eastAsia" w:ascii="宋体" w:hAnsi="宋体" w:eastAsia="宋体" w:cs="宋体"/>
          <w:color w:val="auto"/>
          <w:spacing w:val="0"/>
          <w:kern w:val="0"/>
          <w:sz w:val="24"/>
          <w:szCs w:val="24"/>
          <w:highlight w:val="none"/>
          <w:lang w:val="zh-CN"/>
        </w:rPr>
        <w:t>本公司（单位）对上述声明内容的真实性负责。如有虚假，愿承担相应法律责任。</w:t>
      </w:r>
    </w:p>
    <w:p w14:paraId="35E1AAF2">
      <w:pPr>
        <w:snapToGrid w:val="0"/>
        <w:spacing w:before="0" w:line="360" w:lineRule="auto"/>
        <w:ind w:left="0" w:right="0" w:firstLine="0"/>
        <w:rPr>
          <w:rFonts w:hint="eastAsia" w:ascii="宋体" w:hAnsi="宋体" w:eastAsia="宋体" w:cs="宋体"/>
          <w:color w:val="auto"/>
          <w:kern w:val="0"/>
          <w:sz w:val="24"/>
          <w:szCs w:val="24"/>
          <w:highlight w:val="none"/>
          <w:lang w:val="zh-CN"/>
        </w:rPr>
      </w:pPr>
    </w:p>
    <w:p w14:paraId="5871C591">
      <w:pPr>
        <w:snapToGrid w:val="0"/>
        <w:spacing w:before="0" w:line="360" w:lineRule="auto"/>
        <w:ind w:left="0"/>
        <w:jc w:val="right"/>
        <w:rPr>
          <w:rFonts w:hint="eastAsia" w:ascii="宋体" w:hAnsi="宋体" w:eastAsia="宋体" w:cs="宋体"/>
          <w:color w:val="auto"/>
          <w:kern w:val="0"/>
          <w:sz w:val="24"/>
          <w:szCs w:val="24"/>
          <w:highlight w:val="none"/>
          <w:lang w:val="zh-CN"/>
        </w:rPr>
      </w:pPr>
      <w:r>
        <w:rPr>
          <w:rFonts w:hint="eastAsia" w:ascii="宋体" w:hAnsi="宋体" w:eastAsia="宋体" w:cs="宋体"/>
          <w:color w:val="auto"/>
          <w:spacing w:val="0"/>
          <w:kern w:val="0"/>
          <w:sz w:val="24"/>
          <w:szCs w:val="24"/>
          <w:highlight w:val="none"/>
          <w:lang w:val="en-US" w:eastAsia="zh-CN"/>
        </w:rPr>
        <w:t xml:space="preserve">                     </w:t>
      </w:r>
      <w:r>
        <w:rPr>
          <w:rFonts w:hint="eastAsia" w:ascii="宋体" w:hAnsi="宋体" w:eastAsia="宋体" w:cs="宋体"/>
          <w:color w:val="auto"/>
          <w:spacing w:val="0"/>
          <w:kern w:val="0"/>
          <w:sz w:val="24"/>
          <w:szCs w:val="24"/>
          <w:highlight w:val="none"/>
          <w:lang w:val="zh-CN"/>
        </w:rPr>
        <w:t>公司（单位）名称（盖章</w:t>
      </w:r>
      <w:r>
        <w:rPr>
          <w:rFonts w:hint="eastAsia" w:ascii="宋体" w:hAnsi="宋体" w:eastAsia="宋体" w:cs="宋体"/>
          <w:color w:val="auto"/>
          <w:kern w:val="0"/>
          <w:sz w:val="24"/>
          <w:szCs w:val="24"/>
          <w:highlight w:val="none"/>
          <w:lang w:val="zh-CN"/>
        </w:rPr>
        <w:t>）：</w:t>
      </w:r>
    </w:p>
    <w:p w14:paraId="5B7A3CDE">
      <w:pPr>
        <w:snapToGrid w:val="0"/>
        <w:spacing w:before="0" w:line="360" w:lineRule="auto"/>
        <w:ind w:left="0"/>
        <w:jc w:val="righ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drawing>
          <wp:anchor distT="0" distB="0" distL="0" distR="0" simplePos="0" relativeHeight="251661312" behindDoc="0" locked="0" layoutInCell="1" allowOverlap="1">
            <wp:simplePos x="0" y="0"/>
            <wp:positionH relativeFrom="column">
              <wp:posOffset>1256665</wp:posOffset>
            </wp:positionH>
            <wp:positionV relativeFrom="paragraph">
              <wp:posOffset>473075</wp:posOffset>
            </wp:positionV>
            <wp:extent cx="1066165" cy="635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28"/>
                    <a:stretch>
                      <a:fillRect/>
                    </a:stretch>
                  </pic:blipFill>
                  <pic:spPr>
                    <a:xfrm>
                      <a:off x="0" y="0"/>
                      <a:ext cx="1066417" cy="6350"/>
                    </a:xfrm>
                    <a:prstGeom prst="rect">
                      <a:avLst/>
                    </a:prstGeom>
                  </pic:spPr>
                </pic:pic>
              </a:graphicData>
            </a:graphic>
          </wp:anchor>
        </w:drawing>
      </w:r>
      <w:r>
        <w:rPr>
          <w:rFonts w:hint="eastAsia" w:ascii="宋体" w:hAnsi="宋体" w:eastAsia="宋体" w:cs="宋体"/>
          <w:color w:val="auto"/>
          <w:spacing w:val="0"/>
          <w:kern w:val="0"/>
          <w:sz w:val="24"/>
          <w:szCs w:val="24"/>
          <w:highlight w:val="none"/>
          <w:lang w:val="zh-CN"/>
        </w:rPr>
        <w:t>日期：       年    月     日</w:t>
      </w:r>
    </w:p>
    <w:p w14:paraId="5E25DE7B">
      <w:pPr>
        <w:snapToGrid w:val="0"/>
        <w:spacing w:before="0" w:line="360" w:lineRule="auto"/>
        <w:ind w:left="0"/>
        <w:rPr>
          <w:rFonts w:hint="eastAsia" w:ascii="宋体" w:hAnsi="宋体" w:eastAsia="宋体" w:cs="宋体"/>
          <w:color w:val="auto"/>
          <w:spacing w:val="0"/>
          <w:kern w:val="0"/>
          <w:sz w:val="24"/>
          <w:szCs w:val="24"/>
          <w:highlight w:val="none"/>
          <w:lang w:val="zh-CN"/>
        </w:rPr>
      </w:pPr>
    </w:p>
    <w:p w14:paraId="2C915732">
      <w:pPr>
        <w:snapToGrid w:val="0"/>
        <w:spacing w:before="0" w:line="360" w:lineRule="auto"/>
        <w:ind w:left="0"/>
        <w:rPr>
          <w:rFonts w:hint="eastAsia" w:ascii="宋体" w:hAnsi="宋体" w:eastAsia="宋体" w:cs="宋体"/>
          <w:color w:val="auto"/>
          <w:spacing w:val="0"/>
          <w:kern w:val="0"/>
          <w:sz w:val="24"/>
          <w:szCs w:val="24"/>
          <w:highlight w:val="none"/>
          <w:lang w:val="zh-CN"/>
        </w:rPr>
      </w:pPr>
    </w:p>
    <w:p w14:paraId="118B17C8">
      <w:pPr>
        <w:snapToGrid w:val="0"/>
        <w:spacing w:before="0" w:line="360" w:lineRule="auto"/>
        <w:ind w:left="0"/>
        <w:rPr>
          <w:rFonts w:hint="eastAsia" w:ascii="宋体" w:hAnsi="宋体" w:eastAsia="宋体" w:cs="宋体"/>
          <w:color w:val="auto"/>
          <w:kern w:val="0"/>
          <w:sz w:val="24"/>
          <w:szCs w:val="24"/>
          <w:highlight w:val="none"/>
          <w:lang w:val="zh-CN"/>
        </w:rPr>
      </w:pPr>
      <w:r>
        <w:rPr>
          <w:rFonts w:hint="eastAsia" w:ascii="宋体" w:hAnsi="宋体" w:cs="宋体"/>
          <w:color w:val="auto"/>
          <w:spacing w:val="0"/>
          <w:kern w:val="0"/>
          <w:sz w:val="24"/>
          <w:szCs w:val="24"/>
          <w:highlight w:val="none"/>
          <w:lang w:val="zh-CN"/>
        </w:rPr>
        <w:t>【</w:t>
      </w:r>
      <w:r>
        <w:rPr>
          <w:rFonts w:hint="eastAsia" w:ascii="宋体" w:hAnsi="宋体" w:cs="宋体"/>
          <w:color w:val="auto"/>
          <w:spacing w:val="0"/>
          <w:kern w:val="0"/>
          <w:sz w:val="24"/>
          <w:szCs w:val="24"/>
          <w:highlight w:val="none"/>
          <w:lang w:val="en-US" w:eastAsia="zh-CN"/>
        </w:rPr>
        <w:t>1</w:t>
      </w:r>
      <w:r>
        <w:rPr>
          <w:rFonts w:hint="eastAsia" w:ascii="宋体" w:hAnsi="宋体" w:cs="宋体"/>
          <w:color w:val="auto"/>
          <w:spacing w:val="0"/>
          <w:kern w:val="0"/>
          <w:sz w:val="24"/>
          <w:szCs w:val="24"/>
          <w:highlight w:val="none"/>
          <w:lang w:val="zh-CN"/>
        </w:rPr>
        <w:t>】</w:t>
      </w:r>
      <w:r>
        <w:rPr>
          <w:rFonts w:hint="eastAsia" w:ascii="宋体" w:hAnsi="宋体" w:eastAsia="宋体" w:cs="宋体"/>
          <w:color w:val="auto"/>
          <w:spacing w:val="0"/>
          <w:kern w:val="0"/>
          <w:sz w:val="24"/>
          <w:szCs w:val="24"/>
          <w:highlight w:val="none"/>
          <w:lang w:val="zh-CN"/>
        </w:rPr>
        <w:t>.产品如有型号，</w:t>
      </w:r>
      <w:r>
        <w:rPr>
          <w:rFonts w:hint="eastAsia" w:ascii="宋体" w:hAnsi="宋体" w:eastAsia="宋体" w:cs="宋体"/>
          <w:color w:val="auto"/>
          <w:spacing w:val="0"/>
          <w:kern w:val="0"/>
          <w:sz w:val="24"/>
          <w:szCs w:val="24"/>
          <w:highlight w:val="none"/>
          <w:u w:val="none"/>
          <w:lang w:val="zh-CN"/>
        </w:rPr>
        <w:t>请在“产品名称”</w:t>
      </w:r>
      <w:r>
        <w:rPr>
          <w:rFonts w:hint="eastAsia" w:ascii="宋体" w:hAnsi="宋体" w:eastAsia="宋体" w:cs="宋体"/>
          <w:color w:val="auto"/>
          <w:spacing w:val="0"/>
          <w:kern w:val="0"/>
          <w:sz w:val="24"/>
          <w:szCs w:val="24"/>
          <w:highlight w:val="none"/>
          <w:lang w:val="zh-CN"/>
        </w:rPr>
        <w:t>栏一并填写。</w:t>
      </w:r>
    </w:p>
    <w:p w14:paraId="1EBDF26D">
      <w:pPr>
        <w:snapToGrid w:val="0"/>
        <w:spacing w:before="0" w:line="360" w:lineRule="auto"/>
        <w:ind w:left="0"/>
        <w:rPr>
          <w:rFonts w:hint="eastAsia"/>
        </w:rPr>
        <w:sectPr>
          <w:pgSz w:w="11906" w:h="16838"/>
          <w:pgMar w:top="1276" w:right="1418" w:bottom="1247" w:left="1418" w:header="851" w:footer="992" w:gutter="0"/>
          <w:pgBorders>
            <w:top w:val="none" w:sz="0" w:space="0"/>
            <w:left w:val="none" w:sz="0" w:space="0"/>
            <w:bottom w:val="none" w:sz="0" w:space="0"/>
            <w:right w:val="none" w:sz="0" w:space="0"/>
          </w:pgBorders>
          <w:pgNumType w:fmt="decimal"/>
          <w:cols w:space="720" w:num="1"/>
          <w:titlePg/>
          <w:docGrid w:linePitch="312" w:charSpace="0"/>
        </w:sectPr>
      </w:pPr>
      <w:r>
        <w:rPr>
          <w:rFonts w:hint="eastAsia" w:ascii="宋体" w:hAnsi="宋体" w:cs="宋体"/>
          <w:color w:val="auto"/>
          <w:spacing w:val="0"/>
          <w:kern w:val="0"/>
          <w:sz w:val="24"/>
          <w:szCs w:val="24"/>
          <w:highlight w:val="none"/>
          <w:lang w:val="zh-CN"/>
        </w:rPr>
        <w:t>【</w:t>
      </w:r>
      <w:r>
        <w:rPr>
          <w:rFonts w:hint="eastAsia" w:ascii="宋体" w:hAnsi="宋体" w:cs="宋体"/>
          <w:color w:val="auto"/>
          <w:spacing w:val="0"/>
          <w:kern w:val="0"/>
          <w:sz w:val="24"/>
          <w:szCs w:val="24"/>
          <w:highlight w:val="none"/>
          <w:lang w:val="en-US" w:eastAsia="zh-CN"/>
        </w:rPr>
        <w:t>2</w:t>
      </w:r>
      <w:r>
        <w:rPr>
          <w:rFonts w:hint="eastAsia" w:ascii="宋体" w:hAnsi="宋体" w:cs="宋体"/>
          <w:color w:val="auto"/>
          <w:spacing w:val="0"/>
          <w:kern w:val="0"/>
          <w:sz w:val="24"/>
          <w:szCs w:val="24"/>
          <w:highlight w:val="none"/>
          <w:lang w:val="zh-CN"/>
        </w:rPr>
        <w:t>】</w:t>
      </w:r>
      <w:r>
        <w:rPr>
          <w:rFonts w:hint="eastAsia" w:ascii="宋体" w:hAnsi="宋体" w:eastAsia="宋体" w:cs="宋体"/>
          <w:color w:val="auto"/>
          <w:spacing w:val="0"/>
          <w:kern w:val="0"/>
          <w:sz w:val="24"/>
          <w:szCs w:val="24"/>
          <w:highlight w:val="none"/>
          <w:lang w:val="zh-CN"/>
        </w:rPr>
        <w:t>.生产厂名与厂址应与生产厂营业执照载明的相关信息保持一致</w:t>
      </w:r>
    </w:p>
    <w:p w14:paraId="0F7CCB31">
      <w:pPr>
        <w:pStyle w:val="23"/>
        <w:jc w:val="both"/>
        <w:outlineLvl w:val="1"/>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sz w:val="32"/>
          <w:szCs w:val="32"/>
        </w:rPr>
        <w:t>附件</w:t>
      </w:r>
      <w:r>
        <w:rPr>
          <w:rFonts w:hint="eastAsia" w:asciiTheme="minorEastAsia" w:hAnsiTheme="minorEastAsia" w:eastAsiaTheme="minorEastAsia" w:cstheme="minorEastAsia"/>
          <w:b/>
          <w:sz w:val="32"/>
          <w:szCs w:val="32"/>
          <w:lang w:val="en-US" w:eastAsia="zh-CN"/>
        </w:rPr>
        <w:t>10：</w:t>
      </w:r>
      <w:r>
        <w:rPr>
          <w:rFonts w:hint="eastAsia" w:asciiTheme="minorEastAsia" w:hAnsiTheme="minorEastAsia" w:eastAsiaTheme="minorEastAsia" w:cstheme="minorEastAsia"/>
          <w:b/>
          <w:bCs/>
          <w:sz w:val="32"/>
          <w:szCs w:val="32"/>
          <w:lang w:val="en-US" w:eastAsia="zh-CN"/>
        </w:rPr>
        <w:t>（开标记录开启后，请将此附件填写完整发送至邮箱： 3169291718@qq.com）</w:t>
      </w:r>
    </w:p>
    <w:p w14:paraId="669D4342">
      <w:pPr>
        <w:pStyle w:val="23"/>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政府采购活动现场确认声明书</w:t>
      </w:r>
    </w:p>
    <w:p w14:paraId="79B3A4FE">
      <w:pPr>
        <w:pStyle w:val="23"/>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杭州市公共资源交易中心临安分中心</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 xml:space="preserve"> </w:t>
      </w:r>
    </w:p>
    <w:p w14:paraId="3C7AF4F1">
      <w:pPr>
        <w:pStyle w:val="23"/>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本人 ____________（授权代表姓名），经由______________________________（单位） ____________ （法定代表人姓名）合法授权参加</w:t>
      </w: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（编号：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）政府采购活动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经与本单位法人代表（负责人）联系确认，现就有关公平竞争事项郑重声明如下</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 xml:space="preserve"> </w:t>
      </w:r>
    </w:p>
    <w:p w14:paraId="09C92356">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一、</w:t>
      </w:r>
      <w:r>
        <w:rPr>
          <w:rFonts w:hint="eastAsia" w:asciiTheme="minorEastAsia" w:hAnsiTheme="minorEastAsia" w:eastAsiaTheme="minorEastAsia" w:cstheme="minorEastAsia"/>
          <w:sz w:val="24"/>
          <w:szCs w:val="24"/>
        </w:rPr>
        <w:t>本单位与采购人之间</w:t>
      </w:r>
      <w:r>
        <w:rPr>
          <w:rFonts w:hint="eastAsia"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rPr>
        <w:sym w:font="Wingdings 2" w:char="00A3"/>
      </w:r>
      <w:r>
        <w:rPr>
          <w:rFonts w:hint="eastAsia" w:asciiTheme="minorEastAsia" w:hAnsiTheme="minorEastAsia" w:eastAsiaTheme="minorEastAsia" w:cstheme="minorEastAsia"/>
          <w:sz w:val="24"/>
          <w:szCs w:val="24"/>
        </w:rPr>
        <w:t>不存在利害关系</w:t>
      </w:r>
      <w:r>
        <w:rPr>
          <w:rFonts w:hint="eastAsia"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rPr>
        <w:sym w:font="Wingdings 2" w:char="00A3"/>
      </w:r>
      <w:r>
        <w:rPr>
          <w:rFonts w:hint="eastAsia" w:asciiTheme="minorEastAsia" w:hAnsiTheme="minorEastAsia" w:eastAsiaTheme="minorEastAsia" w:cstheme="minorEastAsia"/>
          <w:sz w:val="24"/>
          <w:szCs w:val="24"/>
        </w:rPr>
        <w:t>存在下列利害关系</w:t>
      </w:r>
      <w:r>
        <w:rPr>
          <w:rFonts w:hint="eastAsia" w:asciiTheme="minorEastAsia" w:hAnsiTheme="minorEastAsia" w:eastAsiaTheme="minorEastAsia" w:cstheme="minorEastAsia"/>
          <w:sz w:val="24"/>
          <w:szCs w:val="24"/>
          <w:lang w:eastAsia="zh-CN"/>
        </w:rPr>
        <w:t>：</w:t>
      </w:r>
    </w:p>
    <w:p w14:paraId="58D8DDB7">
      <w:pPr>
        <w:pStyle w:val="23"/>
        <w:keepNext w:val="0"/>
        <w:keepLines w:val="0"/>
        <w:pageBreakBefore w:val="0"/>
        <w:widowControl w:val="0"/>
        <w:numPr>
          <w:ilvl w:val="0"/>
          <w:numId w:val="2"/>
        </w:numPr>
        <w:kinsoku/>
        <w:wordWrap/>
        <w:overflowPunct/>
        <w:topLinePunct w:val="0"/>
        <w:autoSpaceDE w:val="0"/>
        <w:autoSpaceDN w:val="0"/>
        <w:bidi w:val="0"/>
        <w:adjustRightInd w:val="0"/>
        <w:snapToGrid/>
        <w:spacing w:line="400" w:lineRule="exact"/>
        <w:ind w:left="12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投资关系</w:t>
      </w:r>
      <w:r>
        <w:rPr>
          <w:rFonts w:hint="eastAsia"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rPr>
        <w:t>B．行政隶属关系</w:t>
      </w:r>
      <w:r>
        <w:rPr>
          <w:rFonts w:hint="eastAsia"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rPr>
        <w:t>C．业务指导关系</w:t>
      </w:r>
    </w:p>
    <w:p w14:paraId="482FDB1D">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ind w:left="120" w:left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D．其他可能影响采购公正的利害关系（如有，请如实说明）。</w:t>
      </w:r>
    </w:p>
    <w:p w14:paraId="6702B625">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二、现己清楚知道参加本项目采购活动的其他所有供应商名称，本单位</w:t>
      </w:r>
    </w:p>
    <w:p w14:paraId="307E0D25">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sym w:font="Wingdings 2" w:char="00A3"/>
      </w:r>
      <w:r>
        <w:rPr>
          <w:rFonts w:hint="eastAsia" w:asciiTheme="minorEastAsia" w:hAnsiTheme="minorEastAsia" w:eastAsiaTheme="minorEastAsia" w:cstheme="minorEastAsia"/>
          <w:sz w:val="24"/>
          <w:szCs w:val="24"/>
        </w:rPr>
        <w:t>与其他所有供应商之间均不存在利害关系</w:t>
      </w:r>
    </w:p>
    <w:p w14:paraId="543ED7CD">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sym w:font="Wingdings 2" w:char="00A3"/>
      </w:r>
      <w:r>
        <w:rPr>
          <w:rFonts w:hint="eastAsia" w:asciiTheme="minorEastAsia" w:hAnsiTheme="minorEastAsia" w:eastAsiaTheme="minorEastAsia" w:cstheme="minorEastAsia"/>
          <w:sz w:val="24"/>
          <w:szCs w:val="24"/>
        </w:rPr>
        <w:t>与______________（供应商名称）之间存在下列利害关系</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 xml:space="preserve"> </w:t>
      </w:r>
    </w:p>
    <w:p w14:paraId="13B479A4">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A．法定代表人或负责人或实际控制人是同一人 </w:t>
      </w:r>
    </w:p>
    <w:p w14:paraId="619A2811">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B．法定代表人或负责人或实际控制人是夫妻关系 </w:t>
      </w:r>
    </w:p>
    <w:p w14:paraId="5A18E1A9">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C．法定代表人或负责人或实际控制人是直系血亲关系 </w:t>
      </w:r>
    </w:p>
    <w:p w14:paraId="25019114">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D．法定代表人或负责人或实际控制人存在三代以内旁系血亲关系 </w:t>
      </w:r>
    </w:p>
    <w:p w14:paraId="0559EDDE">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E．法定代表人或负责人或实际控制人存在近姻亲关系 </w:t>
      </w:r>
    </w:p>
    <w:p w14:paraId="2DB1D523">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F．法定代表人或负责人或实际控制人存在股份控制或实际控制关系 </w:t>
      </w:r>
    </w:p>
    <w:p w14:paraId="3953B64F">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G．存在共同直接或间接投资设立子公司、联营企业和合营企业情况 </w:t>
      </w:r>
    </w:p>
    <w:p w14:paraId="03E33C5B">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H．存在分级代理或代销关系、同一生产制造商关系、管理关系、重要业务（占主营业务收入 50 ％以上）或重要财务 往来关系（如融资）等其他实质性控制关系</w:t>
      </w:r>
    </w:p>
    <w:p w14:paraId="1E8BA4AB">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I．其他利害关系情况 ___________________________。</w:t>
      </w:r>
      <w:r>
        <w:rPr>
          <w:rFonts w:hint="eastAsia" w:asciiTheme="minorEastAsia" w:hAnsiTheme="minorEastAsia" w:eastAsiaTheme="minorEastAsia" w:cstheme="minorEastAsia"/>
          <w:sz w:val="24"/>
          <w:szCs w:val="24"/>
          <w:lang w:eastAsia="zh-CN"/>
        </w:rPr>
        <w:t>（如未填写，视同“无”）</w:t>
      </w:r>
      <w:r>
        <w:rPr>
          <w:rFonts w:hint="eastAsia" w:asciiTheme="minorEastAsia" w:hAnsiTheme="minorEastAsia" w:eastAsiaTheme="minorEastAsia" w:cstheme="minorEastAsia"/>
          <w:sz w:val="24"/>
          <w:szCs w:val="24"/>
        </w:rPr>
        <w:t xml:space="preserve"> </w:t>
      </w:r>
    </w:p>
    <w:p w14:paraId="2D74BCCD">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三、现己清楚知道并严格遵守政府采购法律法规。</w:t>
      </w:r>
    </w:p>
    <w:p w14:paraId="2DE47F5F">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四、我发现 ____________________供应商之间存在或可能存在上述第二条第 ____________项利害关系。</w:t>
      </w:r>
      <w:r>
        <w:rPr>
          <w:rFonts w:hint="eastAsia" w:asciiTheme="minorEastAsia" w:hAnsiTheme="minorEastAsia" w:eastAsiaTheme="minorEastAsia" w:cstheme="minorEastAsia"/>
          <w:sz w:val="24"/>
          <w:szCs w:val="24"/>
          <w:lang w:eastAsia="zh-CN"/>
        </w:rPr>
        <w:t>（如未填写，视同“无”）</w:t>
      </w:r>
    </w:p>
    <w:p w14:paraId="1BD4FFAF">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ind w:firstLine="5760" w:firstLineChars="24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w:t>
      </w:r>
      <w:r>
        <w:rPr>
          <w:rFonts w:hint="eastAsia" w:asciiTheme="minorEastAsia" w:hAnsiTheme="minorEastAsia" w:eastAsiaTheme="minorEastAsia" w:cstheme="minorEastAsia"/>
          <w:kern w:val="0"/>
          <w:sz w:val="24"/>
          <w:lang w:val="zh-CN"/>
        </w:rPr>
        <w:t>名称（签章）：</w:t>
      </w:r>
    </w:p>
    <w:p w14:paraId="789FD44A">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ind w:firstLine="5760" w:firstLineChars="24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供应商代表</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签名</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 xml:space="preserve"> </w:t>
      </w:r>
    </w:p>
    <w:p w14:paraId="7D4E7E52">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ind w:firstLine="5760" w:firstLineChars="2400"/>
        <w:textAlignment w:val="auto"/>
        <w:rPr>
          <w:rFonts w:ascii="宋体" w:hAnsi="宋体" w:cs="宋体"/>
          <w:b/>
          <w:sz w:val="32"/>
          <w:szCs w:val="32"/>
        </w:rPr>
      </w:pP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日</w:t>
      </w:r>
    </w:p>
    <w:p w14:paraId="47C84CEE">
      <w:pPr>
        <w:spacing w:line="360" w:lineRule="auto"/>
        <w:jc w:val="center"/>
        <w:rPr>
          <w:rFonts w:ascii="宋体" w:hAnsi="宋体" w:cs="宋体"/>
          <w:b/>
          <w:color w:val="auto"/>
          <w:sz w:val="32"/>
          <w:szCs w:val="32"/>
          <w:highlight w:val="none"/>
        </w:rPr>
      </w:pPr>
    </w:p>
    <w:p w14:paraId="46E56280">
      <w:pPr>
        <w:spacing w:line="360" w:lineRule="auto"/>
        <w:rPr>
          <w:rFonts w:ascii="宋体" w:hAnsi="宋体" w:cs="宋体"/>
          <w:bCs/>
          <w:color w:val="auto"/>
          <w:sz w:val="24"/>
          <w:highlight w:val="none"/>
        </w:rPr>
      </w:pPr>
    </w:p>
    <w:sectPr>
      <w:pgSz w:w="11906" w:h="16838"/>
      <w:pgMar w:top="1276" w:right="1418" w:bottom="1247" w:left="1418" w:header="851" w:footer="992"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Futura Bk">
    <w:altName w:val="国标宋体-超大字符集"/>
    <w:panose1 w:val="00000000000000000000"/>
    <w:charset w:val="00"/>
    <w:family w:val="swiss"/>
    <w:pitch w:val="default"/>
    <w:sig w:usb0="00000000" w:usb1="00000000" w:usb2="00000000" w:usb3="00000000" w:csb0="00000011" w:csb1="00000000"/>
  </w:font>
  <w:font w:name="国标宋体-超大字符集">
    <w:panose1 w:val="03000509000000000000"/>
    <w:charset w:val="86"/>
    <w:family w:val="auto"/>
    <w:pitch w:val="default"/>
    <w:sig w:usb0="00000001" w:usb1="08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Lohit Devanagari"/>
    <w:panose1 w:val="020B0500000000000000"/>
    <w:charset w:val="00"/>
    <w:family w:val="swiss"/>
    <w:pitch w:val="default"/>
    <w:sig w:usb0="00000000" w:usb1="00000000" w:usb2="00000000" w:usb3="00000000" w:csb0="00000001" w:csb1="00000000"/>
  </w:font>
  <w:font w:name="Lohit Devanagari">
    <w:panose1 w:val="020B0600000000000000"/>
    <w:charset w:val="00"/>
    <w:family w:val="auto"/>
    <w:pitch w:val="default"/>
    <w:sig w:usb0="80008023" w:usb1="00002042" w:usb2="00000000" w:usb3="00000000" w:csb0="00000001" w:csb1="00000000"/>
  </w:font>
  <w:font w:name="Lucida Sans">
    <w:altName w:val="Noto Naskh Arabic"/>
    <w:panose1 w:val="020B0602030504020204"/>
    <w:charset w:val="00"/>
    <w:family w:val="swiss"/>
    <w:pitch w:val="default"/>
    <w:sig w:usb0="00000000" w:usb1="00000000" w:usb2="00000000" w:usb3="00000000" w:csb0="20000001" w:csb1="00000000"/>
  </w:font>
  <w:font w:name="Noto Naskh Arabic">
    <w:panose1 w:val="020B0502040504020204"/>
    <w:charset w:val="00"/>
    <w:family w:val="auto"/>
    <w:pitch w:val="default"/>
    <w:sig w:usb0="80002003" w:usb1="80002000" w:usb2="00000008" w:usb3="00000000" w:csb0="00000041" w:csb1="0008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华文中宋"/>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altName w:val="Times New Roman"/>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DejaVu Sans"/>
    <w:panose1 w:val="020B0604020202020204"/>
    <w:charset w:val="00"/>
    <w:family w:val="swiss"/>
    <w:pitch w:val="default"/>
    <w:sig w:usb0="00000000"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 w:name="Cumberland">
    <w:altName w:val="华文中宋"/>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国标宋体-超大字符集"/>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DejaVu Sans"/>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 w:name="Century Gothic">
    <w:altName w:val="Noto Naskh Arabic"/>
    <w:panose1 w:val="020B0502020202020204"/>
    <w:charset w:val="00"/>
    <w:family w:val="swiss"/>
    <w:pitch w:val="default"/>
    <w:sig w:usb0="00000000" w:usb1="00000000" w:usb2="00000000" w:usb3="00000000" w:csb0="2000009F" w:csb1="DFD70000"/>
  </w:font>
  <w:font w:name="Aldine401 BT">
    <w:altName w:val="国标宋体-超大字符集"/>
    <w:panose1 w:val="00000000000000000000"/>
    <w:charset w:val="00"/>
    <w:family w:val="roman"/>
    <w:pitch w:val="default"/>
    <w:sig w:usb0="00000000" w:usb1="00000000" w:usb2="00000000" w:usb3="00000000" w:csb0="00000011" w:csb1="00000000"/>
  </w:font>
  <w:font w:name=".PingFang SC">
    <w:altName w:val="华文中宋"/>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8000012" w:usb3="00000000" w:csb0="4002009F" w:csb1="DFD70000"/>
  </w:font>
  <w:font w:name="MS Mincho">
    <w:altName w:val="MS Gothic"/>
    <w:panose1 w:val="02020609040205080304"/>
    <w:charset w:val="80"/>
    <w:family w:val="roman"/>
    <w:pitch w:val="default"/>
    <w:sig w:usb0="00000000" w:usb1="00000000" w:usb2="00000012" w:usb3="00000000" w:csb0="4002009F" w:csb1="DFD70000"/>
  </w:font>
  <w:font w:name="Cambria Math">
    <w:panose1 w:val="02040503050406030204"/>
    <w:charset w:val="00"/>
    <w:family w:val="auto"/>
    <w:pitch w:val="default"/>
    <w:sig w:usb0="E00006FF" w:usb1="420024FF" w:usb2="02000000" w:usb3="00000000" w:csb0="2000019F" w:csb1="00000000"/>
  </w:font>
  <w:font w:name="Wingdings 2">
    <w:altName w:val="国标宋体-超大字符集"/>
    <w:panose1 w:val="05020102010507070707"/>
    <w:charset w:val="00"/>
    <w:family w:val="auto"/>
    <w:pitch w:val="default"/>
    <w:sig w:usb0="00000000" w:usb1="00000000" w:usb2="00000000" w:usb3="00000000" w:csb0="80000000" w:csb1="00000000"/>
  </w:font>
  <w:font w:name="Impact">
    <w:panose1 w:val="020B0806030902050204"/>
    <w:charset w:val="00"/>
    <w:family w:val="auto"/>
    <w:pitch w:val="default"/>
    <w:sig w:usb0="00000287" w:usb1="00000000" w:usb2="00000000" w:usb3="00000000" w:csb0="2000009F" w:csb1="DFD70000"/>
  </w:font>
  <w:font w:name="Microsoft YaHei">
    <w:panose1 w:val="020B0503020204020204"/>
    <w:charset w:val="86"/>
    <w:family w:val="auto"/>
    <w:pitch w:val="default"/>
    <w:sig w:usb0="80000287" w:usb1="2A0F3C52" w:usb2="00000016" w:usb3="00000000" w:csb0="0004001F"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B1347">
    <w:pPr>
      <w:pStyle w:val="40"/>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582065">
                          <w:pPr>
                            <w:pStyle w:val="4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582065">
                    <w:pPr>
                      <w:pStyle w:val="4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E1795">
    <w:pPr>
      <w:pStyle w:val="40"/>
      <w:jc w:val="center"/>
      <w:rPr>
        <w:rFonts w:ascii="仿宋_GB2312" w:eastAsia="仿宋_GB2312"/>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9755E">
                          <w:pPr>
                            <w:pStyle w:val="40"/>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AB9755E">
                    <w:pPr>
                      <w:pStyle w:val="40"/>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4B4E1127">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8250B">
    <w:pPr>
      <w:pStyle w:val="40"/>
      <w:jc w:val="center"/>
      <w:rPr>
        <w:rFonts w:ascii="仿宋_GB2312" w:eastAsia="仿宋_GB2312"/>
        <w:szCs w:val="24"/>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D58E39">
                          <w:pPr>
                            <w:pStyle w:val="40"/>
                          </w:pPr>
                          <w:r>
                            <w:t xml:space="preserve">第 </w:t>
                          </w:r>
                          <w:r>
                            <w:fldChar w:fldCharType="begin"/>
                          </w:r>
                          <w:r>
                            <w:instrText xml:space="preserve"> PAGE  \* MERGEFORMAT </w:instrText>
                          </w:r>
                          <w:r>
                            <w:fldChar w:fldCharType="separate"/>
                          </w:r>
                          <w:r>
                            <w:t>73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76D58E39">
                    <w:pPr>
                      <w:pStyle w:val="40"/>
                    </w:pPr>
                    <w:r>
                      <w:t xml:space="preserve">第 </w:t>
                    </w:r>
                    <w:r>
                      <w:fldChar w:fldCharType="begin"/>
                    </w:r>
                    <w:r>
                      <w:instrText xml:space="preserve"> PAGE  \* MERGEFORMAT </w:instrText>
                    </w:r>
                    <w:r>
                      <w:fldChar w:fldCharType="separate"/>
                    </w:r>
                    <w:r>
                      <w:t>73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2DFED">
    <w:pPr>
      <w:pStyle w:val="40"/>
      <w:framePr w:wrap="around" w:vAnchor="text" w:hAnchor="margin" w:xAlign="right" w:y="1"/>
      <w:rPr>
        <w:rStyle w:val="73"/>
      </w:rPr>
    </w:pPr>
    <w:r>
      <w:fldChar w:fldCharType="begin"/>
    </w:r>
    <w:r>
      <w:rPr>
        <w:rStyle w:val="73"/>
      </w:rPr>
      <w:instrText xml:space="preserve">PAGE  </w:instrText>
    </w:r>
    <w:r>
      <w:fldChar w:fldCharType="end"/>
    </w:r>
  </w:p>
  <w:p w14:paraId="3BD07A4B">
    <w:pPr>
      <w:pStyle w:val="40"/>
      <w:ind w:right="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99630">
    <w:pPr>
      <w:pStyle w:val="40"/>
      <w:jc w:val="center"/>
      <w:rPr>
        <w:rFonts w:ascii="仿宋_GB2312" w:eastAsia="仿宋_GB2312"/>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B251CB">
                          <w:pPr>
                            <w:pStyle w:val="40"/>
                          </w:pPr>
                          <w:r>
                            <w:t xml:space="preserve">第 </w:t>
                          </w:r>
                          <w:r>
                            <w:fldChar w:fldCharType="begin"/>
                          </w:r>
                          <w:r>
                            <w:instrText xml:space="preserve"> PAGE  \* MERGEFORMAT </w:instrText>
                          </w:r>
                          <w:r>
                            <w:fldChar w:fldCharType="separate"/>
                          </w:r>
                          <w:r>
                            <w:t>72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75B251CB">
                    <w:pPr>
                      <w:pStyle w:val="40"/>
                    </w:pPr>
                    <w:r>
                      <w:t xml:space="preserve">第 </w:t>
                    </w:r>
                    <w:r>
                      <w:fldChar w:fldCharType="begin"/>
                    </w:r>
                    <w:r>
                      <w:instrText xml:space="preserve"> PAGE  \* MERGEFORMAT </w:instrText>
                    </w:r>
                    <w:r>
                      <w:fldChar w:fldCharType="separate"/>
                    </w:r>
                    <w:r>
                      <w:t>72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06739">
    <w:pPr>
      <w:pStyle w:val="40"/>
      <w:framePr w:wrap="around" w:vAnchor="text" w:hAnchor="margin" w:xAlign="right" w:y="1"/>
      <w:rPr>
        <w:rStyle w:val="73"/>
      </w:rPr>
    </w:pPr>
    <w:r>
      <w:fldChar w:fldCharType="begin"/>
    </w:r>
    <w:r>
      <w:rPr>
        <w:rStyle w:val="73"/>
      </w:rPr>
      <w:instrText xml:space="preserve">PAGE  </w:instrText>
    </w:r>
    <w:r>
      <w:fldChar w:fldCharType="end"/>
    </w:r>
  </w:p>
  <w:p w14:paraId="5BA8C0A9">
    <w:pPr>
      <w:pStyle w:val="4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2B0D9">
    <w:pPr>
      <w:pStyle w:val="40"/>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C91273">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8C91273">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3E861">
    <w:pPr>
      <w:pStyle w:val="40"/>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569903">
                          <w:pPr>
                            <w:pStyle w:val="40"/>
                          </w:pPr>
                          <w:r>
                            <w:t xml:space="preserve">第 </w:t>
                          </w:r>
                          <w:r>
                            <w:fldChar w:fldCharType="begin"/>
                          </w:r>
                          <w:r>
                            <w:instrText xml:space="preserve"> PAGE  \* MERGEFORMAT </w:instrText>
                          </w:r>
                          <w:r>
                            <w:fldChar w:fldCharType="separate"/>
                          </w:r>
                          <w:r>
                            <w:t>36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D569903">
                    <w:pPr>
                      <w:pStyle w:val="40"/>
                    </w:pPr>
                    <w:r>
                      <w:t xml:space="preserve">第 </w:t>
                    </w:r>
                    <w:r>
                      <w:fldChar w:fldCharType="begin"/>
                    </w:r>
                    <w:r>
                      <w:instrText xml:space="preserve"> PAGE  \* MERGEFORMAT </w:instrText>
                    </w:r>
                    <w:r>
                      <w:fldChar w:fldCharType="separate"/>
                    </w:r>
                    <w:r>
                      <w:t>36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43E91">
    <w:pPr>
      <w:pStyle w:val="40"/>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2A271A">
                          <w:pPr>
                            <w:pStyle w:val="40"/>
                          </w:pPr>
                          <w:r>
                            <w:t xml:space="preserve">第 </w:t>
                          </w:r>
                          <w:r>
                            <w:fldChar w:fldCharType="begin"/>
                          </w:r>
                          <w:r>
                            <w:instrText xml:space="preserve"> PAGE  \* MERGEFORMAT </w:instrText>
                          </w:r>
                          <w:r>
                            <w:fldChar w:fldCharType="separate"/>
                          </w:r>
                          <w:r>
                            <w:t>46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02A271A">
                    <w:pPr>
                      <w:pStyle w:val="40"/>
                    </w:pPr>
                    <w:r>
                      <w:t xml:space="preserve">第 </w:t>
                    </w:r>
                    <w:r>
                      <w:fldChar w:fldCharType="begin"/>
                    </w:r>
                    <w:r>
                      <w:instrText xml:space="preserve"> PAGE  \* MERGEFORMAT </w:instrText>
                    </w:r>
                    <w:r>
                      <w:fldChar w:fldCharType="separate"/>
                    </w:r>
                    <w:r>
                      <w:t>46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244A60EB">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20A14">
    <w:pPr>
      <w:pStyle w:val="40"/>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0388C6">
                          <w:pPr>
                            <w:pStyle w:val="40"/>
                          </w:pPr>
                          <w:r>
                            <w:t xml:space="preserve">第 </w:t>
                          </w:r>
                          <w:r>
                            <w:fldChar w:fldCharType="begin"/>
                          </w:r>
                          <w:r>
                            <w:instrText xml:space="preserve"> PAGE  \* MERGEFORMAT </w:instrText>
                          </w:r>
                          <w:r>
                            <w:fldChar w:fldCharType="separate"/>
                          </w:r>
                          <w:r>
                            <w:t>45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70388C6">
                    <w:pPr>
                      <w:pStyle w:val="40"/>
                    </w:pPr>
                    <w:r>
                      <w:t xml:space="preserve">第 </w:t>
                    </w:r>
                    <w:r>
                      <w:fldChar w:fldCharType="begin"/>
                    </w:r>
                    <w:r>
                      <w:instrText xml:space="preserve"> PAGE  \* MERGEFORMAT </w:instrText>
                    </w:r>
                    <w:r>
                      <w:fldChar w:fldCharType="separate"/>
                    </w:r>
                    <w:r>
                      <w:t>45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1DE3832C">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6A44A">
    <w:pPr>
      <w:pStyle w:val="40"/>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39C4A9">
                          <w:pPr>
                            <w:pStyle w:val="40"/>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239C4A9">
                    <w:pPr>
                      <w:pStyle w:val="40"/>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0D02CA70">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32711">
    <w:pPr>
      <w:pStyle w:val="40"/>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F24569">
                          <w:pPr>
                            <w:pStyle w:val="40"/>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0F24569">
                    <w:pPr>
                      <w:pStyle w:val="40"/>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76D18836">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12CC4">
    <w:pPr>
      <w:pStyle w:val="40"/>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7BC43D">
                          <w:pPr>
                            <w:pStyle w:val="40"/>
                          </w:pPr>
                          <w:r>
                            <w:t xml:space="preserve">第 </w:t>
                          </w:r>
                          <w:r>
                            <w:fldChar w:fldCharType="begin"/>
                          </w:r>
                          <w:r>
                            <w:instrText xml:space="preserve"> PAGE  \* MERGEFORMAT </w:instrText>
                          </w:r>
                          <w:r>
                            <w:fldChar w:fldCharType="separate"/>
                          </w:r>
                          <w:r>
                            <w:t>71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17BC43D">
                    <w:pPr>
                      <w:pStyle w:val="40"/>
                    </w:pPr>
                    <w:r>
                      <w:t xml:space="preserve">第 </w:t>
                    </w:r>
                    <w:r>
                      <w:fldChar w:fldCharType="begin"/>
                    </w:r>
                    <w:r>
                      <w:instrText xml:space="preserve"> PAGE  \* MERGEFORMAT </w:instrText>
                    </w:r>
                    <w:r>
                      <w:fldChar w:fldCharType="separate"/>
                    </w:r>
                    <w:r>
                      <w:t>71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532307E7">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B6C6B">
    <w:pPr>
      <w:pStyle w:val="59"/>
      <w:keepNext w:val="0"/>
      <w:keepLines w:val="0"/>
      <w:pageBreakBefore w:val="0"/>
      <w:widowControl/>
      <w:pBdr>
        <w:bottom w:val="single" w:color="auto" w:sz="4" w:space="0"/>
      </w:pBdr>
      <w:tabs>
        <w:tab w:val="center" w:pos="4535"/>
        <w:tab w:val="right" w:pos="9070"/>
      </w:tabs>
      <w:kinsoku/>
      <w:wordWrap/>
      <w:overflowPunct w:val="0"/>
      <w:topLinePunct w:val="0"/>
      <w:bidi w:val="0"/>
      <w:adjustRightInd w:val="0"/>
      <w:snapToGrid/>
      <w:spacing w:after="0" w:afterLines="50"/>
      <w:ind w:firstLine="241" w:firstLineChars="100"/>
      <w:jc w:val="right"/>
      <w:textAlignment w:val="baseline"/>
      <w:rPr>
        <w:rFonts w:ascii="Times New Roman" w:hAnsi="Times New Roman" w:eastAsia="宋体" w:cs="Times New Roman"/>
        <w:b w:val="0"/>
        <w:kern w:val="2"/>
        <w:sz w:val="18"/>
        <w:szCs w:val="18"/>
        <w:lang w:val="en-US" w:eastAsia="zh-CN" w:bidi="ar-SA"/>
      </w:rPr>
    </w:pPr>
    <w:r>
      <w:t></w:t>
    </w:r>
    <w:r>
      <w:rPr>
        <w:rFonts w:ascii="Times New Roman" w:hAnsi="Times New Roman" w:eastAsia="宋体" w:cs="Times New Roman"/>
        <w:b w:val="0"/>
        <w:kern w:val="2"/>
        <w:sz w:val="18"/>
        <w:szCs w:val="18"/>
        <w:lang w:val="en-US" w:eastAsia="zh-CN" w:bidi="ar-SA"/>
      </w:rPr>
      <w:t>杭州市政府采购公开招标文件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D830B">
    <w:pPr>
      <w:pStyle w:val="41"/>
      <w:jc w:val="right"/>
      <w:rPr>
        <w:rFonts w:ascii="仿宋_GB2312" w:eastAsia="仿宋_GB2312"/>
        <w:b/>
        <w:i/>
        <w:iCs/>
        <w:u w:val="single"/>
      </w:rPr>
    </w:pPr>
    <w:r>
      <w:t>杭州市政府采购公开招标文件</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EAEEF">
    <w:pPr>
      <w:pStyle w:val="41"/>
      <w:jc w:val="right"/>
    </w:pPr>
    <w:r>
      <w:t>杭州市政府采购公开招标文件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5C1B4">
    <w:pPr>
      <w:pStyle w:val="41"/>
      <w:pBdr>
        <w:bottom w:val="single" w:color="auto" w:sz="6" w:space="0"/>
      </w:pBdr>
      <w:tabs>
        <w:tab w:val="center" w:pos="4535"/>
        <w:tab w:val="right" w:pos="9070"/>
        <w:tab w:val="clear" w:pos="4153"/>
        <w:tab w:val="clear" w:pos="8306"/>
      </w:tabs>
      <w:jc w:val="right"/>
    </w:pPr>
    <w:r>
      <w:t></w:t>
    </w:r>
    <w:r>
      <w:rPr>
        <w:rFonts w:hint="eastAsia"/>
      </w:rPr>
      <w:t xml:space="preserve">             </w:t>
    </w:r>
    <w:r>
      <w:t>杭州市政府采购公开招标文件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04B93">
    <w:pPr>
      <w:pStyle w:val="41"/>
      <w:pBdr>
        <w:bottom w:val="single" w:color="auto" w:sz="6" w:space="4"/>
      </w:pBdr>
      <w:jc w:val="right"/>
    </w:pPr>
    <w:r>
      <w:t>杭州市政府采购公开招标文件</w:t>
    </w:r>
  </w:p>
  <w:p w14:paraId="5D1CB8CF">
    <w:pPr>
      <w:pStyle w:val="59"/>
      <w:tabs>
        <w:tab w:val="center" w:pos="4535"/>
        <w:tab w:val="right" w:pos="9070"/>
      </w:tabs>
      <w:ind w:firstLine="180" w:firstLineChars="100"/>
      <w:jc w:val="both"/>
      <w:rPr>
        <w:rFonts w:ascii="仿宋_GB2312" w:eastAsia="仿宋_GB2312"/>
        <w:b w:val="0"/>
        <w:i/>
        <w:sz w:val="18"/>
        <w:u w:val="single"/>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B497A">
    <w:pPr>
      <w:pStyle w:val="41"/>
      <w:jc w:val="right"/>
    </w:pPr>
    <w:r>
      <w:t>杭州市政府采购公开招标文件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4FE10">
    <w:pPr>
      <w:pStyle w:val="41"/>
    </w:pPr>
    <w:r>
      <w:t></w:t>
    </w:r>
    <w:r>
      <w:rPr>
        <w:rFonts w:hint="eastAsia"/>
      </w:rPr>
      <w:t xml:space="preserve">         </w:t>
    </w:r>
  </w:p>
  <w:p w14:paraId="6100DD40">
    <w:pPr>
      <w:pStyle w:val="41"/>
    </w:pPr>
    <w:r>
      <w:rPr>
        <w:rFonts w:hint="eastAsia"/>
      </w:rPr>
      <w:t xml:space="preserve">                                                                  </w:t>
    </w:r>
    <w:r>
      <w:t>杭州市政府采购公开招标文件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935B5">
    <w:pPr>
      <w:pStyle w:val="41"/>
      <w:jc w:val="right"/>
      <w:rPr>
        <w:rFonts w:ascii="仿宋_GB2312" w:eastAsia="仿宋_GB2312"/>
        <w:b/>
        <w:i/>
        <w:u w:val="single"/>
      </w:rPr>
    </w:pPr>
    <w:r>
      <w:t>杭州市政府采购公开招标文件</w:t>
    </w:r>
  </w:p>
  <w:p w14:paraId="6296A913">
    <w:pPr>
      <w:rPr>
        <w:rFonts w:ascii="仿宋_GB2312" w:eastAsia="仿宋_GB2312"/>
        <w:b/>
        <w:i/>
        <w:sz w:val="18"/>
        <w:u w:val="single"/>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E0161">
    <w:pPr>
      <w:pStyle w:val="41"/>
      <w:keepNext w:val="0"/>
      <w:keepLines w:val="0"/>
      <w:pageBreakBefore w:val="0"/>
      <w:widowControl w:val="0"/>
      <w:kinsoku/>
      <w:wordWrap/>
      <w:overflowPunct/>
      <w:topLinePunct w:val="0"/>
      <w:bidi w:val="0"/>
      <w:adjustRightInd w:val="0"/>
      <w:snapToGrid w:val="0"/>
      <w:spacing w:after="0" w:afterLines="50"/>
      <w:jc w:val="right"/>
      <w:textAlignment w:val="auto"/>
    </w:pPr>
    <w:r>
      <w:t></w:t>
    </w:r>
    <w:r>
      <w:rPr>
        <w:rFonts w:hint="eastAsia"/>
      </w:rPr>
      <w:t xml:space="preserve">                                                                    </w:t>
    </w:r>
    <w:r>
      <w:t>杭州市政府采购公开招标文件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7627E">
    <w:pPr>
      <w:pStyle w:val="41"/>
      <w:jc w:val="right"/>
      <w:rPr>
        <w:rFonts w:ascii="仿宋_GB2312" w:eastAsia="仿宋_GB2312"/>
        <w:b/>
        <w:i/>
        <w:u w:val="single"/>
      </w:rPr>
    </w:pPr>
    <w:r>
      <w:t>杭州市政府采购公开招标文件</w:t>
    </w:r>
  </w:p>
  <w:p w14:paraId="3805AD0C">
    <w:pPr>
      <w:rPr>
        <w:rFonts w:ascii="仿宋_GB2312" w:eastAsia="仿宋_GB2312"/>
        <w:b/>
        <w:i/>
        <w:sz w:val="18"/>
        <w:u w:val="single"/>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E0BA7">
    <w:pPr>
      <w:pStyle w:val="41"/>
      <w:jc w:val="right"/>
    </w:pPr>
    <w:r>
      <w:t>杭州市政府采购公开招标文件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13A496"/>
    <w:multiLevelType w:val="singleLevel"/>
    <w:tmpl w:val="CF13A496"/>
    <w:lvl w:ilvl="0" w:tentative="0">
      <w:start w:val="1"/>
      <w:numFmt w:val="decimal"/>
      <w:suff w:val="nothing"/>
      <w:lvlText w:val="（%1）"/>
      <w:lvlJc w:val="left"/>
    </w:lvl>
  </w:abstractNum>
  <w:abstractNum w:abstractNumId="1">
    <w:nsid w:val="0A060BBE"/>
    <w:multiLevelType w:val="singleLevel"/>
    <w:tmpl w:val="0A060BBE"/>
    <w:lvl w:ilvl="0" w:tentative="0">
      <w:start w:val="1"/>
      <w:numFmt w:val="upperLetter"/>
      <w:suff w:val="nothing"/>
      <w:lvlText w:val="%1．"/>
      <w:lvlJc w:val="left"/>
      <w:pPr>
        <w:ind w:left="120" w:leftChars="0" w:firstLine="0" w:firstLineChars="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5ZDAyNWU2ZGM4MTk2MjhkYjBkZjBkZDcyMjI2M2YifQ=="/>
  </w:docVars>
  <w:rsids>
    <w:rsidRoot w:val="00172A27"/>
    <w:rsid w:val="00000451"/>
    <w:rsid w:val="0000108B"/>
    <w:rsid w:val="0000133D"/>
    <w:rsid w:val="00001509"/>
    <w:rsid w:val="000032B2"/>
    <w:rsid w:val="0000363B"/>
    <w:rsid w:val="000058BD"/>
    <w:rsid w:val="00006109"/>
    <w:rsid w:val="00006150"/>
    <w:rsid w:val="000063E8"/>
    <w:rsid w:val="00006725"/>
    <w:rsid w:val="0000675E"/>
    <w:rsid w:val="00007CAA"/>
    <w:rsid w:val="00010FE9"/>
    <w:rsid w:val="0001122F"/>
    <w:rsid w:val="00011A4B"/>
    <w:rsid w:val="00012251"/>
    <w:rsid w:val="0001337C"/>
    <w:rsid w:val="000138C4"/>
    <w:rsid w:val="00013C1F"/>
    <w:rsid w:val="00013F31"/>
    <w:rsid w:val="000140D8"/>
    <w:rsid w:val="00014530"/>
    <w:rsid w:val="00014BBC"/>
    <w:rsid w:val="000150EE"/>
    <w:rsid w:val="000168D8"/>
    <w:rsid w:val="000170C8"/>
    <w:rsid w:val="000173F4"/>
    <w:rsid w:val="00020287"/>
    <w:rsid w:val="000202A2"/>
    <w:rsid w:val="000202FE"/>
    <w:rsid w:val="00020B5F"/>
    <w:rsid w:val="000211BC"/>
    <w:rsid w:val="0002207B"/>
    <w:rsid w:val="000232FD"/>
    <w:rsid w:val="00023323"/>
    <w:rsid w:val="000233E4"/>
    <w:rsid w:val="00023495"/>
    <w:rsid w:val="00023777"/>
    <w:rsid w:val="00024130"/>
    <w:rsid w:val="00024584"/>
    <w:rsid w:val="00024962"/>
    <w:rsid w:val="000249AA"/>
    <w:rsid w:val="00025350"/>
    <w:rsid w:val="000253E5"/>
    <w:rsid w:val="00025776"/>
    <w:rsid w:val="00026EAC"/>
    <w:rsid w:val="000270F2"/>
    <w:rsid w:val="00027540"/>
    <w:rsid w:val="00030572"/>
    <w:rsid w:val="00030A97"/>
    <w:rsid w:val="00030CB3"/>
    <w:rsid w:val="0003206A"/>
    <w:rsid w:val="000326A7"/>
    <w:rsid w:val="00032EA0"/>
    <w:rsid w:val="000331B0"/>
    <w:rsid w:val="0003353E"/>
    <w:rsid w:val="000336D4"/>
    <w:rsid w:val="00034FA7"/>
    <w:rsid w:val="0003533D"/>
    <w:rsid w:val="000357E4"/>
    <w:rsid w:val="00035ACA"/>
    <w:rsid w:val="00036C29"/>
    <w:rsid w:val="00037B93"/>
    <w:rsid w:val="00040447"/>
    <w:rsid w:val="00040494"/>
    <w:rsid w:val="00040B70"/>
    <w:rsid w:val="00042441"/>
    <w:rsid w:val="00042533"/>
    <w:rsid w:val="00042DBB"/>
    <w:rsid w:val="00042E65"/>
    <w:rsid w:val="0004347C"/>
    <w:rsid w:val="00043907"/>
    <w:rsid w:val="00044F48"/>
    <w:rsid w:val="00047354"/>
    <w:rsid w:val="00050072"/>
    <w:rsid w:val="00050656"/>
    <w:rsid w:val="00050A19"/>
    <w:rsid w:val="000511B6"/>
    <w:rsid w:val="00051B00"/>
    <w:rsid w:val="00051C72"/>
    <w:rsid w:val="00052192"/>
    <w:rsid w:val="0005238F"/>
    <w:rsid w:val="00052787"/>
    <w:rsid w:val="00052BB8"/>
    <w:rsid w:val="00052F10"/>
    <w:rsid w:val="0005417A"/>
    <w:rsid w:val="00054D39"/>
    <w:rsid w:val="0005501B"/>
    <w:rsid w:val="000550F5"/>
    <w:rsid w:val="00055337"/>
    <w:rsid w:val="000554C7"/>
    <w:rsid w:val="000559B0"/>
    <w:rsid w:val="00056145"/>
    <w:rsid w:val="00056402"/>
    <w:rsid w:val="00056791"/>
    <w:rsid w:val="00056868"/>
    <w:rsid w:val="00056876"/>
    <w:rsid w:val="000568DF"/>
    <w:rsid w:val="000578A3"/>
    <w:rsid w:val="00057D4C"/>
    <w:rsid w:val="00060C48"/>
    <w:rsid w:val="00061A3C"/>
    <w:rsid w:val="00061C48"/>
    <w:rsid w:val="00064278"/>
    <w:rsid w:val="000646CA"/>
    <w:rsid w:val="000665C4"/>
    <w:rsid w:val="00067821"/>
    <w:rsid w:val="0006785E"/>
    <w:rsid w:val="00067F92"/>
    <w:rsid w:val="00067FA7"/>
    <w:rsid w:val="0007038E"/>
    <w:rsid w:val="0007077C"/>
    <w:rsid w:val="00070825"/>
    <w:rsid w:val="00071CD8"/>
    <w:rsid w:val="00071DB2"/>
    <w:rsid w:val="00072AED"/>
    <w:rsid w:val="00072B56"/>
    <w:rsid w:val="00072D2B"/>
    <w:rsid w:val="00072D51"/>
    <w:rsid w:val="000730B1"/>
    <w:rsid w:val="00073860"/>
    <w:rsid w:val="000738EA"/>
    <w:rsid w:val="00074078"/>
    <w:rsid w:val="00075B15"/>
    <w:rsid w:val="00075D0E"/>
    <w:rsid w:val="00075F6A"/>
    <w:rsid w:val="00076159"/>
    <w:rsid w:val="0007616C"/>
    <w:rsid w:val="000763B5"/>
    <w:rsid w:val="000763F3"/>
    <w:rsid w:val="000766D2"/>
    <w:rsid w:val="00076801"/>
    <w:rsid w:val="00077577"/>
    <w:rsid w:val="00077607"/>
    <w:rsid w:val="00077756"/>
    <w:rsid w:val="00077B7F"/>
    <w:rsid w:val="000808C1"/>
    <w:rsid w:val="00080970"/>
    <w:rsid w:val="00081671"/>
    <w:rsid w:val="00082AD4"/>
    <w:rsid w:val="00083E07"/>
    <w:rsid w:val="00084D27"/>
    <w:rsid w:val="00084ED6"/>
    <w:rsid w:val="0008580E"/>
    <w:rsid w:val="00085A0E"/>
    <w:rsid w:val="00085C4F"/>
    <w:rsid w:val="00086EFD"/>
    <w:rsid w:val="00086F8A"/>
    <w:rsid w:val="00087031"/>
    <w:rsid w:val="00090243"/>
    <w:rsid w:val="000904F6"/>
    <w:rsid w:val="00090918"/>
    <w:rsid w:val="00090ED8"/>
    <w:rsid w:val="00090F9F"/>
    <w:rsid w:val="0009145F"/>
    <w:rsid w:val="0009184E"/>
    <w:rsid w:val="00091B4E"/>
    <w:rsid w:val="000923DB"/>
    <w:rsid w:val="00092467"/>
    <w:rsid w:val="00092FE9"/>
    <w:rsid w:val="000936BF"/>
    <w:rsid w:val="0009382F"/>
    <w:rsid w:val="00093A30"/>
    <w:rsid w:val="00094342"/>
    <w:rsid w:val="000945BA"/>
    <w:rsid w:val="00095954"/>
    <w:rsid w:val="000960BA"/>
    <w:rsid w:val="0009662A"/>
    <w:rsid w:val="0009690D"/>
    <w:rsid w:val="00096DFF"/>
    <w:rsid w:val="000A0729"/>
    <w:rsid w:val="000A0E69"/>
    <w:rsid w:val="000A1A52"/>
    <w:rsid w:val="000A1F98"/>
    <w:rsid w:val="000A3D58"/>
    <w:rsid w:val="000A3FE3"/>
    <w:rsid w:val="000A47B0"/>
    <w:rsid w:val="000A4851"/>
    <w:rsid w:val="000A49BB"/>
    <w:rsid w:val="000A4F22"/>
    <w:rsid w:val="000A5674"/>
    <w:rsid w:val="000A5A46"/>
    <w:rsid w:val="000A7299"/>
    <w:rsid w:val="000A752E"/>
    <w:rsid w:val="000B0E04"/>
    <w:rsid w:val="000B268D"/>
    <w:rsid w:val="000B291B"/>
    <w:rsid w:val="000B41D6"/>
    <w:rsid w:val="000B456C"/>
    <w:rsid w:val="000B45B9"/>
    <w:rsid w:val="000B47CE"/>
    <w:rsid w:val="000B4B56"/>
    <w:rsid w:val="000B4C62"/>
    <w:rsid w:val="000B541D"/>
    <w:rsid w:val="000B54C1"/>
    <w:rsid w:val="000B5553"/>
    <w:rsid w:val="000B5FE8"/>
    <w:rsid w:val="000B666E"/>
    <w:rsid w:val="000C0A43"/>
    <w:rsid w:val="000C0CB1"/>
    <w:rsid w:val="000C1411"/>
    <w:rsid w:val="000C1A69"/>
    <w:rsid w:val="000C1ADE"/>
    <w:rsid w:val="000C1C38"/>
    <w:rsid w:val="000C21DC"/>
    <w:rsid w:val="000C2264"/>
    <w:rsid w:val="000C256B"/>
    <w:rsid w:val="000C3970"/>
    <w:rsid w:val="000C3B1A"/>
    <w:rsid w:val="000C4727"/>
    <w:rsid w:val="000C47AE"/>
    <w:rsid w:val="000C51AD"/>
    <w:rsid w:val="000C5374"/>
    <w:rsid w:val="000C5EC0"/>
    <w:rsid w:val="000C6162"/>
    <w:rsid w:val="000C64CC"/>
    <w:rsid w:val="000C6688"/>
    <w:rsid w:val="000C692E"/>
    <w:rsid w:val="000C6B28"/>
    <w:rsid w:val="000C725C"/>
    <w:rsid w:val="000C7BEB"/>
    <w:rsid w:val="000D0124"/>
    <w:rsid w:val="000D11E5"/>
    <w:rsid w:val="000D19E8"/>
    <w:rsid w:val="000D1FA1"/>
    <w:rsid w:val="000D2834"/>
    <w:rsid w:val="000D2CAC"/>
    <w:rsid w:val="000D34C8"/>
    <w:rsid w:val="000D34FD"/>
    <w:rsid w:val="000D3BE5"/>
    <w:rsid w:val="000D3C37"/>
    <w:rsid w:val="000D453A"/>
    <w:rsid w:val="000D4AFA"/>
    <w:rsid w:val="000D5EA6"/>
    <w:rsid w:val="000D5F00"/>
    <w:rsid w:val="000D6C9F"/>
    <w:rsid w:val="000D6E3B"/>
    <w:rsid w:val="000D6F30"/>
    <w:rsid w:val="000D74E4"/>
    <w:rsid w:val="000D7C9D"/>
    <w:rsid w:val="000D7CE0"/>
    <w:rsid w:val="000E2785"/>
    <w:rsid w:val="000E27BB"/>
    <w:rsid w:val="000E3153"/>
    <w:rsid w:val="000E3484"/>
    <w:rsid w:val="000E386F"/>
    <w:rsid w:val="000E4051"/>
    <w:rsid w:val="000E4139"/>
    <w:rsid w:val="000E4765"/>
    <w:rsid w:val="000E5B7E"/>
    <w:rsid w:val="000E5FF9"/>
    <w:rsid w:val="000E6AE1"/>
    <w:rsid w:val="000E7142"/>
    <w:rsid w:val="000E7632"/>
    <w:rsid w:val="000E7737"/>
    <w:rsid w:val="000E7739"/>
    <w:rsid w:val="000E77EE"/>
    <w:rsid w:val="000F1604"/>
    <w:rsid w:val="000F287A"/>
    <w:rsid w:val="000F2940"/>
    <w:rsid w:val="000F2AB3"/>
    <w:rsid w:val="000F3D08"/>
    <w:rsid w:val="000F4495"/>
    <w:rsid w:val="000F4A05"/>
    <w:rsid w:val="000F4AA8"/>
    <w:rsid w:val="000F4AEA"/>
    <w:rsid w:val="000F4E67"/>
    <w:rsid w:val="000F505B"/>
    <w:rsid w:val="000F5677"/>
    <w:rsid w:val="000F5DDB"/>
    <w:rsid w:val="000F628E"/>
    <w:rsid w:val="000F68A0"/>
    <w:rsid w:val="000F6CC2"/>
    <w:rsid w:val="000F729C"/>
    <w:rsid w:val="000F7D4B"/>
    <w:rsid w:val="0010118C"/>
    <w:rsid w:val="0010125E"/>
    <w:rsid w:val="001015F8"/>
    <w:rsid w:val="00101967"/>
    <w:rsid w:val="00103251"/>
    <w:rsid w:val="00103509"/>
    <w:rsid w:val="0010393D"/>
    <w:rsid w:val="00103EBD"/>
    <w:rsid w:val="00104699"/>
    <w:rsid w:val="00104E5B"/>
    <w:rsid w:val="00104EEC"/>
    <w:rsid w:val="001050DC"/>
    <w:rsid w:val="00105482"/>
    <w:rsid w:val="001056A5"/>
    <w:rsid w:val="00105BA9"/>
    <w:rsid w:val="00105FE1"/>
    <w:rsid w:val="00106AAA"/>
    <w:rsid w:val="00106E0E"/>
    <w:rsid w:val="001078A5"/>
    <w:rsid w:val="00107BBD"/>
    <w:rsid w:val="00107BC7"/>
    <w:rsid w:val="00110033"/>
    <w:rsid w:val="001102B5"/>
    <w:rsid w:val="00111C7D"/>
    <w:rsid w:val="00112038"/>
    <w:rsid w:val="001127FF"/>
    <w:rsid w:val="00112B0B"/>
    <w:rsid w:val="00112EB5"/>
    <w:rsid w:val="0011383E"/>
    <w:rsid w:val="00113EE3"/>
    <w:rsid w:val="00114847"/>
    <w:rsid w:val="0011585B"/>
    <w:rsid w:val="00115B1A"/>
    <w:rsid w:val="001160FF"/>
    <w:rsid w:val="001164F4"/>
    <w:rsid w:val="001168F8"/>
    <w:rsid w:val="001176FF"/>
    <w:rsid w:val="0012153F"/>
    <w:rsid w:val="0012159D"/>
    <w:rsid w:val="00121804"/>
    <w:rsid w:val="00121EC9"/>
    <w:rsid w:val="0012208F"/>
    <w:rsid w:val="001224FE"/>
    <w:rsid w:val="001231D3"/>
    <w:rsid w:val="001232A7"/>
    <w:rsid w:val="00123F7C"/>
    <w:rsid w:val="0012419E"/>
    <w:rsid w:val="0012432A"/>
    <w:rsid w:val="001248EF"/>
    <w:rsid w:val="00124AC0"/>
    <w:rsid w:val="00124FC4"/>
    <w:rsid w:val="001253AB"/>
    <w:rsid w:val="0012574C"/>
    <w:rsid w:val="001259B8"/>
    <w:rsid w:val="001264B9"/>
    <w:rsid w:val="0012693E"/>
    <w:rsid w:val="00126A3A"/>
    <w:rsid w:val="00127060"/>
    <w:rsid w:val="0012716F"/>
    <w:rsid w:val="00127B83"/>
    <w:rsid w:val="00131C2D"/>
    <w:rsid w:val="0013202C"/>
    <w:rsid w:val="00132704"/>
    <w:rsid w:val="00132CBF"/>
    <w:rsid w:val="00133707"/>
    <w:rsid w:val="00133742"/>
    <w:rsid w:val="00133B70"/>
    <w:rsid w:val="00133E97"/>
    <w:rsid w:val="001350F7"/>
    <w:rsid w:val="00135769"/>
    <w:rsid w:val="00135BE9"/>
    <w:rsid w:val="00135E5C"/>
    <w:rsid w:val="00136762"/>
    <w:rsid w:val="00136E33"/>
    <w:rsid w:val="0013773D"/>
    <w:rsid w:val="0014042F"/>
    <w:rsid w:val="00140575"/>
    <w:rsid w:val="00140693"/>
    <w:rsid w:val="00140D7A"/>
    <w:rsid w:val="00141D28"/>
    <w:rsid w:val="00141DFE"/>
    <w:rsid w:val="00142185"/>
    <w:rsid w:val="001422E2"/>
    <w:rsid w:val="001433BC"/>
    <w:rsid w:val="00143872"/>
    <w:rsid w:val="00143A85"/>
    <w:rsid w:val="00144649"/>
    <w:rsid w:val="00145022"/>
    <w:rsid w:val="00145662"/>
    <w:rsid w:val="00145C6D"/>
    <w:rsid w:val="001460FC"/>
    <w:rsid w:val="00146151"/>
    <w:rsid w:val="00146326"/>
    <w:rsid w:val="00147032"/>
    <w:rsid w:val="00147EA7"/>
    <w:rsid w:val="00151820"/>
    <w:rsid w:val="00151B2F"/>
    <w:rsid w:val="001524DC"/>
    <w:rsid w:val="001525E5"/>
    <w:rsid w:val="00153859"/>
    <w:rsid w:val="00153915"/>
    <w:rsid w:val="001539F0"/>
    <w:rsid w:val="00154BBA"/>
    <w:rsid w:val="00155B95"/>
    <w:rsid w:val="00156853"/>
    <w:rsid w:val="00157432"/>
    <w:rsid w:val="00161185"/>
    <w:rsid w:val="001620BA"/>
    <w:rsid w:val="001623AC"/>
    <w:rsid w:val="00162BAA"/>
    <w:rsid w:val="00163C40"/>
    <w:rsid w:val="0016488B"/>
    <w:rsid w:val="00165758"/>
    <w:rsid w:val="00165A65"/>
    <w:rsid w:val="00166317"/>
    <w:rsid w:val="00167055"/>
    <w:rsid w:val="00167478"/>
    <w:rsid w:val="00167594"/>
    <w:rsid w:val="001702BE"/>
    <w:rsid w:val="001704B3"/>
    <w:rsid w:val="0017059C"/>
    <w:rsid w:val="0017105C"/>
    <w:rsid w:val="001715AF"/>
    <w:rsid w:val="00171622"/>
    <w:rsid w:val="001716BB"/>
    <w:rsid w:val="00171785"/>
    <w:rsid w:val="00171AB5"/>
    <w:rsid w:val="0017204F"/>
    <w:rsid w:val="001721CF"/>
    <w:rsid w:val="001728FD"/>
    <w:rsid w:val="00172A27"/>
    <w:rsid w:val="00172F02"/>
    <w:rsid w:val="00172F2D"/>
    <w:rsid w:val="00173631"/>
    <w:rsid w:val="0017372D"/>
    <w:rsid w:val="00173826"/>
    <w:rsid w:val="00173C58"/>
    <w:rsid w:val="00173E59"/>
    <w:rsid w:val="001741DC"/>
    <w:rsid w:val="00174C4F"/>
    <w:rsid w:val="00174F57"/>
    <w:rsid w:val="00175078"/>
    <w:rsid w:val="001755DC"/>
    <w:rsid w:val="001763D8"/>
    <w:rsid w:val="00176AA6"/>
    <w:rsid w:val="00177063"/>
    <w:rsid w:val="00180A47"/>
    <w:rsid w:val="001827B7"/>
    <w:rsid w:val="001827EF"/>
    <w:rsid w:val="00182982"/>
    <w:rsid w:val="001829BC"/>
    <w:rsid w:val="00182D68"/>
    <w:rsid w:val="00183031"/>
    <w:rsid w:val="00183468"/>
    <w:rsid w:val="0018397E"/>
    <w:rsid w:val="00184466"/>
    <w:rsid w:val="00184DBF"/>
    <w:rsid w:val="001852A8"/>
    <w:rsid w:val="001856EF"/>
    <w:rsid w:val="0018620A"/>
    <w:rsid w:val="00186EB0"/>
    <w:rsid w:val="00187121"/>
    <w:rsid w:val="00187243"/>
    <w:rsid w:val="00187C29"/>
    <w:rsid w:val="00190782"/>
    <w:rsid w:val="00190942"/>
    <w:rsid w:val="001909A7"/>
    <w:rsid w:val="001909C3"/>
    <w:rsid w:val="00191459"/>
    <w:rsid w:val="00191603"/>
    <w:rsid w:val="0019173E"/>
    <w:rsid w:val="0019174E"/>
    <w:rsid w:val="0019196B"/>
    <w:rsid w:val="001923D5"/>
    <w:rsid w:val="00192991"/>
    <w:rsid w:val="00193470"/>
    <w:rsid w:val="00193B94"/>
    <w:rsid w:val="001940A7"/>
    <w:rsid w:val="00194BB1"/>
    <w:rsid w:val="00194BC6"/>
    <w:rsid w:val="00195070"/>
    <w:rsid w:val="00195245"/>
    <w:rsid w:val="0019526D"/>
    <w:rsid w:val="0019553F"/>
    <w:rsid w:val="001956BE"/>
    <w:rsid w:val="0019602C"/>
    <w:rsid w:val="001969F2"/>
    <w:rsid w:val="00196CD6"/>
    <w:rsid w:val="0019756A"/>
    <w:rsid w:val="001A06B5"/>
    <w:rsid w:val="001A07F8"/>
    <w:rsid w:val="001A0A23"/>
    <w:rsid w:val="001A0C98"/>
    <w:rsid w:val="001A128B"/>
    <w:rsid w:val="001A1475"/>
    <w:rsid w:val="001A1F0E"/>
    <w:rsid w:val="001A3335"/>
    <w:rsid w:val="001A473A"/>
    <w:rsid w:val="001A4977"/>
    <w:rsid w:val="001A4ED9"/>
    <w:rsid w:val="001A5785"/>
    <w:rsid w:val="001A5FD7"/>
    <w:rsid w:val="001A66A6"/>
    <w:rsid w:val="001A6BAF"/>
    <w:rsid w:val="001A6BBB"/>
    <w:rsid w:val="001A79A2"/>
    <w:rsid w:val="001A7FA5"/>
    <w:rsid w:val="001B06A6"/>
    <w:rsid w:val="001B13BF"/>
    <w:rsid w:val="001B16F5"/>
    <w:rsid w:val="001B1C1F"/>
    <w:rsid w:val="001B219B"/>
    <w:rsid w:val="001B2703"/>
    <w:rsid w:val="001B3DCD"/>
    <w:rsid w:val="001B45B9"/>
    <w:rsid w:val="001B46B2"/>
    <w:rsid w:val="001B4725"/>
    <w:rsid w:val="001B48B2"/>
    <w:rsid w:val="001B49DA"/>
    <w:rsid w:val="001B4CA8"/>
    <w:rsid w:val="001B572D"/>
    <w:rsid w:val="001B576E"/>
    <w:rsid w:val="001B5B10"/>
    <w:rsid w:val="001B6025"/>
    <w:rsid w:val="001B6D58"/>
    <w:rsid w:val="001B6FA7"/>
    <w:rsid w:val="001B7A15"/>
    <w:rsid w:val="001B7B69"/>
    <w:rsid w:val="001B7DC1"/>
    <w:rsid w:val="001C08DB"/>
    <w:rsid w:val="001C10BD"/>
    <w:rsid w:val="001C1F01"/>
    <w:rsid w:val="001C2092"/>
    <w:rsid w:val="001C232F"/>
    <w:rsid w:val="001C2544"/>
    <w:rsid w:val="001C2A17"/>
    <w:rsid w:val="001C31F5"/>
    <w:rsid w:val="001C6047"/>
    <w:rsid w:val="001C6698"/>
    <w:rsid w:val="001C6C5B"/>
    <w:rsid w:val="001C7399"/>
    <w:rsid w:val="001C7CE0"/>
    <w:rsid w:val="001D005B"/>
    <w:rsid w:val="001D0947"/>
    <w:rsid w:val="001D16F5"/>
    <w:rsid w:val="001D1970"/>
    <w:rsid w:val="001D1D55"/>
    <w:rsid w:val="001D21EF"/>
    <w:rsid w:val="001D29A4"/>
    <w:rsid w:val="001D2B73"/>
    <w:rsid w:val="001D3136"/>
    <w:rsid w:val="001D330D"/>
    <w:rsid w:val="001D4AB6"/>
    <w:rsid w:val="001D4AD3"/>
    <w:rsid w:val="001D5281"/>
    <w:rsid w:val="001E17E3"/>
    <w:rsid w:val="001E2052"/>
    <w:rsid w:val="001E2492"/>
    <w:rsid w:val="001E257C"/>
    <w:rsid w:val="001E286C"/>
    <w:rsid w:val="001E2F34"/>
    <w:rsid w:val="001E35EE"/>
    <w:rsid w:val="001E4B2C"/>
    <w:rsid w:val="001E507F"/>
    <w:rsid w:val="001E56C2"/>
    <w:rsid w:val="001E59FB"/>
    <w:rsid w:val="001E7F81"/>
    <w:rsid w:val="001F0FD1"/>
    <w:rsid w:val="001F1526"/>
    <w:rsid w:val="001F19D1"/>
    <w:rsid w:val="001F1CB9"/>
    <w:rsid w:val="001F1F18"/>
    <w:rsid w:val="001F2F92"/>
    <w:rsid w:val="001F41F3"/>
    <w:rsid w:val="001F5DA1"/>
    <w:rsid w:val="001F612E"/>
    <w:rsid w:val="001F6A92"/>
    <w:rsid w:val="001F77E8"/>
    <w:rsid w:val="0020022C"/>
    <w:rsid w:val="00201A0C"/>
    <w:rsid w:val="00201B0F"/>
    <w:rsid w:val="0020255A"/>
    <w:rsid w:val="00202800"/>
    <w:rsid w:val="00202D33"/>
    <w:rsid w:val="00202E58"/>
    <w:rsid w:val="00202F99"/>
    <w:rsid w:val="00203C85"/>
    <w:rsid w:val="0020449A"/>
    <w:rsid w:val="00204E9B"/>
    <w:rsid w:val="00205298"/>
    <w:rsid w:val="002055C0"/>
    <w:rsid w:val="0020569E"/>
    <w:rsid w:val="00206698"/>
    <w:rsid w:val="00206736"/>
    <w:rsid w:val="00206C88"/>
    <w:rsid w:val="00210B9C"/>
    <w:rsid w:val="00211185"/>
    <w:rsid w:val="00211A94"/>
    <w:rsid w:val="002126F2"/>
    <w:rsid w:val="00213478"/>
    <w:rsid w:val="00214028"/>
    <w:rsid w:val="002141C3"/>
    <w:rsid w:val="002141DC"/>
    <w:rsid w:val="0021440C"/>
    <w:rsid w:val="00214479"/>
    <w:rsid w:val="002144F3"/>
    <w:rsid w:val="002146C3"/>
    <w:rsid w:val="00215334"/>
    <w:rsid w:val="00215514"/>
    <w:rsid w:val="00215A2A"/>
    <w:rsid w:val="00215A3F"/>
    <w:rsid w:val="00215D21"/>
    <w:rsid w:val="0021636B"/>
    <w:rsid w:val="00216387"/>
    <w:rsid w:val="00216E7B"/>
    <w:rsid w:val="00217E1F"/>
    <w:rsid w:val="00220274"/>
    <w:rsid w:val="002204BC"/>
    <w:rsid w:val="00220F7B"/>
    <w:rsid w:val="002213CE"/>
    <w:rsid w:val="00221AF7"/>
    <w:rsid w:val="00222494"/>
    <w:rsid w:val="00222775"/>
    <w:rsid w:val="00222A31"/>
    <w:rsid w:val="00222CF6"/>
    <w:rsid w:val="00224037"/>
    <w:rsid w:val="002244E4"/>
    <w:rsid w:val="00224D2A"/>
    <w:rsid w:val="00224D8D"/>
    <w:rsid w:val="0022555A"/>
    <w:rsid w:val="00227214"/>
    <w:rsid w:val="00227DDC"/>
    <w:rsid w:val="0023079F"/>
    <w:rsid w:val="00231135"/>
    <w:rsid w:val="00231B0B"/>
    <w:rsid w:val="00231D18"/>
    <w:rsid w:val="00232555"/>
    <w:rsid w:val="00233538"/>
    <w:rsid w:val="00234248"/>
    <w:rsid w:val="0023449F"/>
    <w:rsid w:val="002344F5"/>
    <w:rsid w:val="0023454D"/>
    <w:rsid w:val="00234679"/>
    <w:rsid w:val="002359FC"/>
    <w:rsid w:val="002361C8"/>
    <w:rsid w:val="00236690"/>
    <w:rsid w:val="0023669D"/>
    <w:rsid w:val="00237EAE"/>
    <w:rsid w:val="00237FA2"/>
    <w:rsid w:val="002403D5"/>
    <w:rsid w:val="00240C1F"/>
    <w:rsid w:val="00240F55"/>
    <w:rsid w:val="00240F67"/>
    <w:rsid w:val="00241144"/>
    <w:rsid w:val="00242510"/>
    <w:rsid w:val="00242F79"/>
    <w:rsid w:val="0024415B"/>
    <w:rsid w:val="00245565"/>
    <w:rsid w:val="002458C1"/>
    <w:rsid w:val="00245E62"/>
    <w:rsid w:val="002460D0"/>
    <w:rsid w:val="00246357"/>
    <w:rsid w:val="00247422"/>
    <w:rsid w:val="00247BA2"/>
    <w:rsid w:val="00250870"/>
    <w:rsid w:val="0025151C"/>
    <w:rsid w:val="0025184F"/>
    <w:rsid w:val="00251967"/>
    <w:rsid w:val="002527CC"/>
    <w:rsid w:val="00252F48"/>
    <w:rsid w:val="002530C0"/>
    <w:rsid w:val="00253586"/>
    <w:rsid w:val="002537FC"/>
    <w:rsid w:val="002542F8"/>
    <w:rsid w:val="002543EF"/>
    <w:rsid w:val="00254F2A"/>
    <w:rsid w:val="00255784"/>
    <w:rsid w:val="00255A29"/>
    <w:rsid w:val="0025631F"/>
    <w:rsid w:val="00256986"/>
    <w:rsid w:val="00256D61"/>
    <w:rsid w:val="00256E23"/>
    <w:rsid w:val="00257246"/>
    <w:rsid w:val="00257438"/>
    <w:rsid w:val="0026119C"/>
    <w:rsid w:val="00261AFE"/>
    <w:rsid w:val="0026212A"/>
    <w:rsid w:val="002621D7"/>
    <w:rsid w:val="00262996"/>
    <w:rsid w:val="00263044"/>
    <w:rsid w:val="00263759"/>
    <w:rsid w:val="002638BD"/>
    <w:rsid w:val="0026470B"/>
    <w:rsid w:val="0026486D"/>
    <w:rsid w:val="00264C4B"/>
    <w:rsid w:val="00264ED0"/>
    <w:rsid w:val="00265346"/>
    <w:rsid w:val="00266045"/>
    <w:rsid w:val="002660C3"/>
    <w:rsid w:val="00266C21"/>
    <w:rsid w:val="00266DE1"/>
    <w:rsid w:val="00267A92"/>
    <w:rsid w:val="00267E43"/>
    <w:rsid w:val="00270282"/>
    <w:rsid w:val="00270780"/>
    <w:rsid w:val="00270CF6"/>
    <w:rsid w:val="00271097"/>
    <w:rsid w:val="00271C53"/>
    <w:rsid w:val="0027244F"/>
    <w:rsid w:val="00273052"/>
    <w:rsid w:val="002739CE"/>
    <w:rsid w:val="00273C5F"/>
    <w:rsid w:val="002741D4"/>
    <w:rsid w:val="002743AC"/>
    <w:rsid w:val="0027499D"/>
    <w:rsid w:val="002751CA"/>
    <w:rsid w:val="0027544D"/>
    <w:rsid w:val="00277196"/>
    <w:rsid w:val="002775ED"/>
    <w:rsid w:val="002778AB"/>
    <w:rsid w:val="002802A5"/>
    <w:rsid w:val="00280CFB"/>
    <w:rsid w:val="00280D24"/>
    <w:rsid w:val="002815C4"/>
    <w:rsid w:val="00281BCB"/>
    <w:rsid w:val="00281C76"/>
    <w:rsid w:val="0028316D"/>
    <w:rsid w:val="00283296"/>
    <w:rsid w:val="0028583E"/>
    <w:rsid w:val="00285853"/>
    <w:rsid w:val="00285B1A"/>
    <w:rsid w:val="00285FF3"/>
    <w:rsid w:val="002866EC"/>
    <w:rsid w:val="002867C6"/>
    <w:rsid w:val="0028744E"/>
    <w:rsid w:val="002876D2"/>
    <w:rsid w:val="00287936"/>
    <w:rsid w:val="00287BB7"/>
    <w:rsid w:val="002903C5"/>
    <w:rsid w:val="0029041B"/>
    <w:rsid w:val="00290A99"/>
    <w:rsid w:val="00290EAF"/>
    <w:rsid w:val="0029159A"/>
    <w:rsid w:val="00291CF1"/>
    <w:rsid w:val="00292AA1"/>
    <w:rsid w:val="00294012"/>
    <w:rsid w:val="002945B0"/>
    <w:rsid w:val="0029499D"/>
    <w:rsid w:val="00294A13"/>
    <w:rsid w:val="00294B10"/>
    <w:rsid w:val="00294DF9"/>
    <w:rsid w:val="00295073"/>
    <w:rsid w:val="00295468"/>
    <w:rsid w:val="00296C32"/>
    <w:rsid w:val="002977CE"/>
    <w:rsid w:val="00297AF5"/>
    <w:rsid w:val="002A02D6"/>
    <w:rsid w:val="002A07C4"/>
    <w:rsid w:val="002A0921"/>
    <w:rsid w:val="002A0CB3"/>
    <w:rsid w:val="002A1887"/>
    <w:rsid w:val="002A2001"/>
    <w:rsid w:val="002A28BA"/>
    <w:rsid w:val="002A4060"/>
    <w:rsid w:val="002A4868"/>
    <w:rsid w:val="002A4A05"/>
    <w:rsid w:val="002A4EB3"/>
    <w:rsid w:val="002A51D9"/>
    <w:rsid w:val="002A525A"/>
    <w:rsid w:val="002A5801"/>
    <w:rsid w:val="002A5968"/>
    <w:rsid w:val="002A5CAB"/>
    <w:rsid w:val="002A5D40"/>
    <w:rsid w:val="002A622E"/>
    <w:rsid w:val="002A6424"/>
    <w:rsid w:val="002A64E7"/>
    <w:rsid w:val="002A7748"/>
    <w:rsid w:val="002A7ED3"/>
    <w:rsid w:val="002A7FB1"/>
    <w:rsid w:val="002A7FC9"/>
    <w:rsid w:val="002B139C"/>
    <w:rsid w:val="002B1881"/>
    <w:rsid w:val="002B1F61"/>
    <w:rsid w:val="002B2070"/>
    <w:rsid w:val="002B2906"/>
    <w:rsid w:val="002B2C66"/>
    <w:rsid w:val="002B34E3"/>
    <w:rsid w:val="002B51B6"/>
    <w:rsid w:val="002B5AEE"/>
    <w:rsid w:val="002B6177"/>
    <w:rsid w:val="002B650C"/>
    <w:rsid w:val="002B68E6"/>
    <w:rsid w:val="002B6985"/>
    <w:rsid w:val="002B6D7A"/>
    <w:rsid w:val="002C02BA"/>
    <w:rsid w:val="002C0301"/>
    <w:rsid w:val="002C0326"/>
    <w:rsid w:val="002C0A9F"/>
    <w:rsid w:val="002C1AB3"/>
    <w:rsid w:val="002C1BB7"/>
    <w:rsid w:val="002C1FB3"/>
    <w:rsid w:val="002C2665"/>
    <w:rsid w:val="002C28E1"/>
    <w:rsid w:val="002C327D"/>
    <w:rsid w:val="002C3635"/>
    <w:rsid w:val="002C3890"/>
    <w:rsid w:val="002C3AD9"/>
    <w:rsid w:val="002C4286"/>
    <w:rsid w:val="002C43FC"/>
    <w:rsid w:val="002C45C3"/>
    <w:rsid w:val="002C483B"/>
    <w:rsid w:val="002C4DFE"/>
    <w:rsid w:val="002C519E"/>
    <w:rsid w:val="002C5D5E"/>
    <w:rsid w:val="002C6116"/>
    <w:rsid w:val="002C643D"/>
    <w:rsid w:val="002C645F"/>
    <w:rsid w:val="002C66B8"/>
    <w:rsid w:val="002C70E7"/>
    <w:rsid w:val="002D0C27"/>
    <w:rsid w:val="002D0E88"/>
    <w:rsid w:val="002D0EA7"/>
    <w:rsid w:val="002D0F31"/>
    <w:rsid w:val="002D1593"/>
    <w:rsid w:val="002D1A1E"/>
    <w:rsid w:val="002D22A6"/>
    <w:rsid w:val="002D26AF"/>
    <w:rsid w:val="002D2819"/>
    <w:rsid w:val="002D2CD6"/>
    <w:rsid w:val="002D2F81"/>
    <w:rsid w:val="002D38A3"/>
    <w:rsid w:val="002D3BA3"/>
    <w:rsid w:val="002D43EE"/>
    <w:rsid w:val="002D4892"/>
    <w:rsid w:val="002D4D06"/>
    <w:rsid w:val="002D4DDE"/>
    <w:rsid w:val="002D4EE7"/>
    <w:rsid w:val="002D4EED"/>
    <w:rsid w:val="002D5AAD"/>
    <w:rsid w:val="002D5DA3"/>
    <w:rsid w:val="002D6097"/>
    <w:rsid w:val="002D65AD"/>
    <w:rsid w:val="002D6782"/>
    <w:rsid w:val="002D74A4"/>
    <w:rsid w:val="002D7DB2"/>
    <w:rsid w:val="002D7DBD"/>
    <w:rsid w:val="002D7EA8"/>
    <w:rsid w:val="002E00E1"/>
    <w:rsid w:val="002E0102"/>
    <w:rsid w:val="002E03AE"/>
    <w:rsid w:val="002E0542"/>
    <w:rsid w:val="002E05F2"/>
    <w:rsid w:val="002E0E87"/>
    <w:rsid w:val="002E12FA"/>
    <w:rsid w:val="002E13CF"/>
    <w:rsid w:val="002E201C"/>
    <w:rsid w:val="002E22CA"/>
    <w:rsid w:val="002E236F"/>
    <w:rsid w:val="002E37C5"/>
    <w:rsid w:val="002E3956"/>
    <w:rsid w:val="002E3C08"/>
    <w:rsid w:val="002E3CF2"/>
    <w:rsid w:val="002E469E"/>
    <w:rsid w:val="002E4C01"/>
    <w:rsid w:val="002E4D50"/>
    <w:rsid w:val="002E55FF"/>
    <w:rsid w:val="002E587E"/>
    <w:rsid w:val="002E672A"/>
    <w:rsid w:val="002E6853"/>
    <w:rsid w:val="002E7EC1"/>
    <w:rsid w:val="002E7EE5"/>
    <w:rsid w:val="002F0323"/>
    <w:rsid w:val="002F0DFB"/>
    <w:rsid w:val="002F134F"/>
    <w:rsid w:val="002F1D0B"/>
    <w:rsid w:val="002F1E1D"/>
    <w:rsid w:val="002F1F02"/>
    <w:rsid w:val="002F27E5"/>
    <w:rsid w:val="002F2D81"/>
    <w:rsid w:val="002F2F66"/>
    <w:rsid w:val="002F39D4"/>
    <w:rsid w:val="002F4BA9"/>
    <w:rsid w:val="002F541B"/>
    <w:rsid w:val="002F5BFE"/>
    <w:rsid w:val="002F5DA5"/>
    <w:rsid w:val="002F5E17"/>
    <w:rsid w:val="002F647C"/>
    <w:rsid w:val="002F6C6B"/>
    <w:rsid w:val="002F6CB0"/>
    <w:rsid w:val="002F6EFF"/>
    <w:rsid w:val="002F7DF0"/>
    <w:rsid w:val="002F7FAF"/>
    <w:rsid w:val="00300573"/>
    <w:rsid w:val="003018A6"/>
    <w:rsid w:val="003025FE"/>
    <w:rsid w:val="00302A27"/>
    <w:rsid w:val="00303AB6"/>
    <w:rsid w:val="00304640"/>
    <w:rsid w:val="00304AC1"/>
    <w:rsid w:val="00305090"/>
    <w:rsid w:val="00305454"/>
    <w:rsid w:val="00305B9F"/>
    <w:rsid w:val="00305E21"/>
    <w:rsid w:val="003066C6"/>
    <w:rsid w:val="003066FA"/>
    <w:rsid w:val="00306AD6"/>
    <w:rsid w:val="003077F4"/>
    <w:rsid w:val="00307DC7"/>
    <w:rsid w:val="00307FF2"/>
    <w:rsid w:val="00310EDB"/>
    <w:rsid w:val="00311C51"/>
    <w:rsid w:val="00311D56"/>
    <w:rsid w:val="00312016"/>
    <w:rsid w:val="00312340"/>
    <w:rsid w:val="00312DFC"/>
    <w:rsid w:val="0031318C"/>
    <w:rsid w:val="00313C9D"/>
    <w:rsid w:val="0031430C"/>
    <w:rsid w:val="00314919"/>
    <w:rsid w:val="00314C5A"/>
    <w:rsid w:val="0031531A"/>
    <w:rsid w:val="00315394"/>
    <w:rsid w:val="00315D77"/>
    <w:rsid w:val="00315D8E"/>
    <w:rsid w:val="00316002"/>
    <w:rsid w:val="00316CDE"/>
    <w:rsid w:val="00316E94"/>
    <w:rsid w:val="0031752D"/>
    <w:rsid w:val="00317709"/>
    <w:rsid w:val="00320688"/>
    <w:rsid w:val="00320B75"/>
    <w:rsid w:val="00321DB7"/>
    <w:rsid w:val="00321E7A"/>
    <w:rsid w:val="0032226D"/>
    <w:rsid w:val="003235E6"/>
    <w:rsid w:val="00324038"/>
    <w:rsid w:val="00324951"/>
    <w:rsid w:val="003249F6"/>
    <w:rsid w:val="00324B2F"/>
    <w:rsid w:val="00325FCC"/>
    <w:rsid w:val="00326106"/>
    <w:rsid w:val="00326805"/>
    <w:rsid w:val="003269B7"/>
    <w:rsid w:val="00326C0E"/>
    <w:rsid w:val="003272A3"/>
    <w:rsid w:val="003272E4"/>
    <w:rsid w:val="00327B71"/>
    <w:rsid w:val="00331461"/>
    <w:rsid w:val="003316A8"/>
    <w:rsid w:val="00331C80"/>
    <w:rsid w:val="00331CC9"/>
    <w:rsid w:val="003320D7"/>
    <w:rsid w:val="00332265"/>
    <w:rsid w:val="00332862"/>
    <w:rsid w:val="00332D52"/>
    <w:rsid w:val="00333337"/>
    <w:rsid w:val="00333A28"/>
    <w:rsid w:val="00333B6C"/>
    <w:rsid w:val="00334927"/>
    <w:rsid w:val="003360AD"/>
    <w:rsid w:val="0033631D"/>
    <w:rsid w:val="003369C7"/>
    <w:rsid w:val="003373A6"/>
    <w:rsid w:val="00337409"/>
    <w:rsid w:val="00337E18"/>
    <w:rsid w:val="003405AF"/>
    <w:rsid w:val="0034088F"/>
    <w:rsid w:val="00340B3E"/>
    <w:rsid w:val="00340E1A"/>
    <w:rsid w:val="003413D2"/>
    <w:rsid w:val="00341525"/>
    <w:rsid w:val="0034257E"/>
    <w:rsid w:val="003429A1"/>
    <w:rsid w:val="003429FC"/>
    <w:rsid w:val="00343079"/>
    <w:rsid w:val="00343127"/>
    <w:rsid w:val="00343320"/>
    <w:rsid w:val="00344066"/>
    <w:rsid w:val="00344BBF"/>
    <w:rsid w:val="0034509B"/>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CD"/>
    <w:rsid w:val="00351A3A"/>
    <w:rsid w:val="0035455F"/>
    <w:rsid w:val="00355D75"/>
    <w:rsid w:val="00355D8F"/>
    <w:rsid w:val="00356A73"/>
    <w:rsid w:val="00356FF0"/>
    <w:rsid w:val="003577EF"/>
    <w:rsid w:val="00357A3A"/>
    <w:rsid w:val="00357A60"/>
    <w:rsid w:val="00360304"/>
    <w:rsid w:val="00360A78"/>
    <w:rsid w:val="00361750"/>
    <w:rsid w:val="00363894"/>
    <w:rsid w:val="00363B2A"/>
    <w:rsid w:val="00363BF1"/>
    <w:rsid w:val="00366779"/>
    <w:rsid w:val="003668E5"/>
    <w:rsid w:val="003669C8"/>
    <w:rsid w:val="00366CEB"/>
    <w:rsid w:val="003672B3"/>
    <w:rsid w:val="003676DF"/>
    <w:rsid w:val="00367783"/>
    <w:rsid w:val="00367898"/>
    <w:rsid w:val="003679D3"/>
    <w:rsid w:val="00367A87"/>
    <w:rsid w:val="00367EE7"/>
    <w:rsid w:val="003703BB"/>
    <w:rsid w:val="003705EA"/>
    <w:rsid w:val="00370A56"/>
    <w:rsid w:val="00371213"/>
    <w:rsid w:val="00372842"/>
    <w:rsid w:val="003729A5"/>
    <w:rsid w:val="00372C89"/>
    <w:rsid w:val="00372E9A"/>
    <w:rsid w:val="003735B9"/>
    <w:rsid w:val="00373634"/>
    <w:rsid w:val="00374677"/>
    <w:rsid w:val="0037510C"/>
    <w:rsid w:val="00375850"/>
    <w:rsid w:val="0037632F"/>
    <w:rsid w:val="00377B26"/>
    <w:rsid w:val="00381014"/>
    <w:rsid w:val="00381604"/>
    <w:rsid w:val="00381C68"/>
    <w:rsid w:val="00381F60"/>
    <w:rsid w:val="00383204"/>
    <w:rsid w:val="00383AB0"/>
    <w:rsid w:val="003847BB"/>
    <w:rsid w:val="00384814"/>
    <w:rsid w:val="00384C0A"/>
    <w:rsid w:val="00385B16"/>
    <w:rsid w:val="00385B96"/>
    <w:rsid w:val="003860BC"/>
    <w:rsid w:val="0038637D"/>
    <w:rsid w:val="003868F6"/>
    <w:rsid w:val="003869DC"/>
    <w:rsid w:val="00386C07"/>
    <w:rsid w:val="00386F58"/>
    <w:rsid w:val="0038700D"/>
    <w:rsid w:val="003879CE"/>
    <w:rsid w:val="00387B88"/>
    <w:rsid w:val="00390B8F"/>
    <w:rsid w:val="00390C0D"/>
    <w:rsid w:val="00391447"/>
    <w:rsid w:val="003919D9"/>
    <w:rsid w:val="00391BDD"/>
    <w:rsid w:val="003922DE"/>
    <w:rsid w:val="00392E35"/>
    <w:rsid w:val="00393247"/>
    <w:rsid w:val="00393551"/>
    <w:rsid w:val="00393816"/>
    <w:rsid w:val="00393FCD"/>
    <w:rsid w:val="003944EA"/>
    <w:rsid w:val="00394639"/>
    <w:rsid w:val="00394DF6"/>
    <w:rsid w:val="00394EC6"/>
    <w:rsid w:val="00395A02"/>
    <w:rsid w:val="00395CD9"/>
    <w:rsid w:val="003962E6"/>
    <w:rsid w:val="00396831"/>
    <w:rsid w:val="003971A1"/>
    <w:rsid w:val="003A0F6B"/>
    <w:rsid w:val="003A12B6"/>
    <w:rsid w:val="003A1804"/>
    <w:rsid w:val="003A1C44"/>
    <w:rsid w:val="003A20D5"/>
    <w:rsid w:val="003A24CC"/>
    <w:rsid w:val="003A2512"/>
    <w:rsid w:val="003A2A53"/>
    <w:rsid w:val="003A2EE8"/>
    <w:rsid w:val="003A373C"/>
    <w:rsid w:val="003A5378"/>
    <w:rsid w:val="003A553C"/>
    <w:rsid w:val="003A56DF"/>
    <w:rsid w:val="003A6008"/>
    <w:rsid w:val="003A703F"/>
    <w:rsid w:val="003A7E2B"/>
    <w:rsid w:val="003A7E40"/>
    <w:rsid w:val="003B0336"/>
    <w:rsid w:val="003B0A3A"/>
    <w:rsid w:val="003B0A6B"/>
    <w:rsid w:val="003B0D79"/>
    <w:rsid w:val="003B2930"/>
    <w:rsid w:val="003B31A7"/>
    <w:rsid w:val="003B4587"/>
    <w:rsid w:val="003B4B51"/>
    <w:rsid w:val="003B4FE1"/>
    <w:rsid w:val="003B514E"/>
    <w:rsid w:val="003B5531"/>
    <w:rsid w:val="003B636A"/>
    <w:rsid w:val="003B69CE"/>
    <w:rsid w:val="003B7403"/>
    <w:rsid w:val="003C011C"/>
    <w:rsid w:val="003C0E32"/>
    <w:rsid w:val="003C11D7"/>
    <w:rsid w:val="003C16CB"/>
    <w:rsid w:val="003C1B97"/>
    <w:rsid w:val="003C247B"/>
    <w:rsid w:val="003C3292"/>
    <w:rsid w:val="003C3C1E"/>
    <w:rsid w:val="003C3D88"/>
    <w:rsid w:val="003C4134"/>
    <w:rsid w:val="003C435B"/>
    <w:rsid w:val="003C4EBE"/>
    <w:rsid w:val="003C62EC"/>
    <w:rsid w:val="003C685A"/>
    <w:rsid w:val="003C6E9C"/>
    <w:rsid w:val="003C746F"/>
    <w:rsid w:val="003C7570"/>
    <w:rsid w:val="003C76E6"/>
    <w:rsid w:val="003C7E59"/>
    <w:rsid w:val="003C7F12"/>
    <w:rsid w:val="003D03D6"/>
    <w:rsid w:val="003D075D"/>
    <w:rsid w:val="003D0EE2"/>
    <w:rsid w:val="003D1283"/>
    <w:rsid w:val="003D14C8"/>
    <w:rsid w:val="003D1517"/>
    <w:rsid w:val="003D16C5"/>
    <w:rsid w:val="003D1CA9"/>
    <w:rsid w:val="003D2DA0"/>
    <w:rsid w:val="003D34C3"/>
    <w:rsid w:val="003D3D83"/>
    <w:rsid w:val="003D4685"/>
    <w:rsid w:val="003D4A41"/>
    <w:rsid w:val="003D4CDF"/>
    <w:rsid w:val="003D514A"/>
    <w:rsid w:val="003D5ADB"/>
    <w:rsid w:val="003D6448"/>
    <w:rsid w:val="003D646C"/>
    <w:rsid w:val="003D663E"/>
    <w:rsid w:val="003D664B"/>
    <w:rsid w:val="003D6793"/>
    <w:rsid w:val="003D6B03"/>
    <w:rsid w:val="003D75D8"/>
    <w:rsid w:val="003E006E"/>
    <w:rsid w:val="003E0947"/>
    <w:rsid w:val="003E0E96"/>
    <w:rsid w:val="003E20F7"/>
    <w:rsid w:val="003E336A"/>
    <w:rsid w:val="003E3E2F"/>
    <w:rsid w:val="003E4048"/>
    <w:rsid w:val="003E4CE5"/>
    <w:rsid w:val="003E604C"/>
    <w:rsid w:val="003E60DA"/>
    <w:rsid w:val="003E6E00"/>
    <w:rsid w:val="003E7111"/>
    <w:rsid w:val="003E7940"/>
    <w:rsid w:val="003F01BD"/>
    <w:rsid w:val="003F0486"/>
    <w:rsid w:val="003F048E"/>
    <w:rsid w:val="003F09FA"/>
    <w:rsid w:val="003F0AFF"/>
    <w:rsid w:val="003F1AA2"/>
    <w:rsid w:val="003F26DC"/>
    <w:rsid w:val="003F42FF"/>
    <w:rsid w:val="003F4B48"/>
    <w:rsid w:val="003F4DDC"/>
    <w:rsid w:val="003F56B8"/>
    <w:rsid w:val="003F57CB"/>
    <w:rsid w:val="003F5F1A"/>
    <w:rsid w:val="003F6327"/>
    <w:rsid w:val="003F7425"/>
    <w:rsid w:val="003F765B"/>
    <w:rsid w:val="003F7CB8"/>
    <w:rsid w:val="00400CB4"/>
    <w:rsid w:val="00401386"/>
    <w:rsid w:val="004013E6"/>
    <w:rsid w:val="00401E31"/>
    <w:rsid w:val="00402BBA"/>
    <w:rsid w:val="004035D0"/>
    <w:rsid w:val="0040361D"/>
    <w:rsid w:val="00403795"/>
    <w:rsid w:val="004041FB"/>
    <w:rsid w:val="0040443E"/>
    <w:rsid w:val="004056B6"/>
    <w:rsid w:val="00405764"/>
    <w:rsid w:val="00406745"/>
    <w:rsid w:val="0040674B"/>
    <w:rsid w:val="00406B32"/>
    <w:rsid w:val="004074FA"/>
    <w:rsid w:val="00407A56"/>
    <w:rsid w:val="00407FCC"/>
    <w:rsid w:val="0041035A"/>
    <w:rsid w:val="00410E76"/>
    <w:rsid w:val="004112D1"/>
    <w:rsid w:val="004113C9"/>
    <w:rsid w:val="00411D1E"/>
    <w:rsid w:val="00411DF2"/>
    <w:rsid w:val="004120DF"/>
    <w:rsid w:val="004126B5"/>
    <w:rsid w:val="00413FEE"/>
    <w:rsid w:val="00414909"/>
    <w:rsid w:val="00415034"/>
    <w:rsid w:val="00415B1A"/>
    <w:rsid w:val="00415DFD"/>
    <w:rsid w:val="00416208"/>
    <w:rsid w:val="0041690F"/>
    <w:rsid w:val="004169D3"/>
    <w:rsid w:val="00416C2B"/>
    <w:rsid w:val="00416D41"/>
    <w:rsid w:val="00416E70"/>
    <w:rsid w:val="00417264"/>
    <w:rsid w:val="004210C0"/>
    <w:rsid w:val="004211DD"/>
    <w:rsid w:val="00421762"/>
    <w:rsid w:val="00421D4B"/>
    <w:rsid w:val="00421ED8"/>
    <w:rsid w:val="00422907"/>
    <w:rsid w:val="00423125"/>
    <w:rsid w:val="00423309"/>
    <w:rsid w:val="004233AD"/>
    <w:rsid w:val="00424446"/>
    <w:rsid w:val="00424867"/>
    <w:rsid w:val="00425341"/>
    <w:rsid w:val="004255FE"/>
    <w:rsid w:val="00425674"/>
    <w:rsid w:val="00425A82"/>
    <w:rsid w:val="00425C60"/>
    <w:rsid w:val="00426B2C"/>
    <w:rsid w:val="00427FA8"/>
    <w:rsid w:val="0043009D"/>
    <w:rsid w:val="0043026B"/>
    <w:rsid w:val="00430299"/>
    <w:rsid w:val="004306D4"/>
    <w:rsid w:val="00431A2A"/>
    <w:rsid w:val="00432ECA"/>
    <w:rsid w:val="0043554E"/>
    <w:rsid w:val="004355D4"/>
    <w:rsid w:val="004357B1"/>
    <w:rsid w:val="00435821"/>
    <w:rsid w:val="0043583E"/>
    <w:rsid w:val="00436CCE"/>
    <w:rsid w:val="00436EAD"/>
    <w:rsid w:val="00437439"/>
    <w:rsid w:val="004375E1"/>
    <w:rsid w:val="00437A2F"/>
    <w:rsid w:val="00440262"/>
    <w:rsid w:val="004406BF"/>
    <w:rsid w:val="00440814"/>
    <w:rsid w:val="0044105D"/>
    <w:rsid w:val="00441424"/>
    <w:rsid w:val="00442731"/>
    <w:rsid w:val="00442C12"/>
    <w:rsid w:val="004434DF"/>
    <w:rsid w:val="0044354B"/>
    <w:rsid w:val="0044493E"/>
    <w:rsid w:val="00444A1F"/>
    <w:rsid w:val="00444FC6"/>
    <w:rsid w:val="00445874"/>
    <w:rsid w:val="00445C38"/>
    <w:rsid w:val="0044686B"/>
    <w:rsid w:val="004475F7"/>
    <w:rsid w:val="0045057B"/>
    <w:rsid w:val="0045069B"/>
    <w:rsid w:val="00450B22"/>
    <w:rsid w:val="00451709"/>
    <w:rsid w:val="004518FA"/>
    <w:rsid w:val="00451A02"/>
    <w:rsid w:val="0045277C"/>
    <w:rsid w:val="00453507"/>
    <w:rsid w:val="00453592"/>
    <w:rsid w:val="004543AB"/>
    <w:rsid w:val="004545EC"/>
    <w:rsid w:val="00455967"/>
    <w:rsid w:val="00455F71"/>
    <w:rsid w:val="00456272"/>
    <w:rsid w:val="0045679C"/>
    <w:rsid w:val="004570EF"/>
    <w:rsid w:val="00457517"/>
    <w:rsid w:val="00457CF7"/>
    <w:rsid w:val="00457D37"/>
    <w:rsid w:val="00457D7B"/>
    <w:rsid w:val="0046028A"/>
    <w:rsid w:val="00460E3A"/>
    <w:rsid w:val="00460E68"/>
    <w:rsid w:val="004614BC"/>
    <w:rsid w:val="004619A5"/>
    <w:rsid w:val="00461F80"/>
    <w:rsid w:val="0046240D"/>
    <w:rsid w:val="00462898"/>
    <w:rsid w:val="00462D84"/>
    <w:rsid w:val="00463208"/>
    <w:rsid w:val="00463576"/>
    <w:rsid w:val="004636D6"/>
    <w:rsid w:val="0046399D"/>
    <w:rsid w:val="00463D23"/>
    <w:rsid w:val="00463EA4"/>
    <w:rsid w:val="00465A21"/>
    <w:rsid w:val="00465DE5"/>
    <w:rsid w:val="00466978"/>
    <w:rsid w:val="00466ABA"/>
    <w:rsid w:val="004672E3"/>
    <w:rsid w:val="0046775D"/>
    <w:rsid w:val="00467823"/>
    <w:rsid w:val="00467FA0"/>
    <w:rsid w:val="004705FA"/>
    <w:rsid w:val="004708AC"/>
    <w:rsid w:val="00470B42"/>
    <w:rsid w:val="00471387"/>
    <w:rsid w:val="0047146C"/>
    <w:rsid w:val="0047149F"/>
    <w:rsid w:val="00471963"/>
    <w:rsid w:val="004724B8"/>
    <w:rsid w:val="004728FB"/>
    <w:rsid w:val="004729AD"/>
    <w:rsid w:val="00472CA7"/>
    <w:rsid w:val="00472CEC"/>
    <w:rsid w:val="00473308"/>
    <w:rsid w:val="0047377C"/>
    <w:rsid w:val="00473DD1"/>
    <w:rsid w:val="0047471E"/>
    <w:rsid w:val="004749DA"/>
    <w:rsid w:val="00474DEF"/>
    <w:rsid w:val="00475729"/>
    <w:rsid w:val="004758E7"/>
    <w:rsid w:val="00475BAB"/>
    <w:rsid w:val="004764C6"/>
    <w:rsid w:val="00476AC1"/>
    <w:rsid w:val="00476F97"/>
    <w:rsid w:val="00477247"/>
    <w:rsid w:val="004776BB"/>
    <w:rsid w:val="004776FB"/>
    <w:rsid w:val="0048055E"/>
    <w:rsid w:val="00480C2B"/>
    <w:rsid w:val="00480DC5"/>
    <w:rsid w:val="00480FD9"/>
    <w:rsid w:val="0048131D"/>
    <w:rsid w:val="00481D0B"/>
    <w:rsid w:val="004824A9"/>
    <w:rsid w:val="00483091"/>
    <w:rsid w:val="00483140"/>
    <w:rsid w:val="00483984"/>
    <w:rsid w:val="00483BC7"/>
    <w:rsid w:val="00483CF0"/>
    <w:rsid w:val="00484D4D"/>
    <w:rsid w:val="00486516"/>
    <w:rsid w:val="0048664F"/>
    <w:rsid w:val="004868AD"/>
    <w:rsid w:val="00486D00"/>
    <w:rsid w:val="00487FE1"/>
    <w:rsid w:val="00490707"/>
    <w:rsid w:val="00490815"/>
    <w:rsid w:val="0049117E"/>
    <w:rsid w:val="00492503"/>
    <w:rsid w:val="004925C8"/>
    <w:rsid w:val="00492AF9"/>
    <w:rsid w:val="00492B76"/>
    <w:rsid w:val="0049333E"/>
    <w:rsid w:val="0049418F"/>
    <w:rsid w:val="00494E90"/>
    <w:rsid w:val="0049570D"/>
    <w:rsid w:val="00495C48"/>
    <w:rsid w:val="00495DC6"/>
    <w:rsid w:val="00496CCE"/>
    <w:rsid w:val="004978C1"/>
    <w:rsid w:val="00497AAD"/>
    <w:rsid w:val="00497BD7"/>
    <w:rsid w:val="00497D1A"/>
    <w:rsid w:val="004A00C9"/>
    <w:rsid w:val="004A03D0"/>
    <w:rsid w:val="004A1049"/>
    <w:rsid w:val="004A1AFA"/>
    <w:rsid w:val="004A1EA7"/>
    <w:rsid w:val="004A26F5"/>
    <w:rsid w:val="004A2EF8"/>
    <w:rsid w:val="004A3A21"/>
    <w:rsid w:val="004A407A"/>
    <w:rsid w:val="004A4E3B"/>
    <w:rsid w:val="004A6110"/>
    <w:rsid w:val="004A61B8"/>
    <w:rsid w:val="004A6415"/>
    <w:rsid w:val="004A64F9"/>
    <w:rsid w:val="004A65F4"/>
    <w:rsid w:val="004A6D2C"/>
    <w:rsid w:val="004B026C"/>
    <w:rsid w:val="004B0271"/>
    <w:rsid w:val="004B0BE8"/>
    <w:rsid w:val="004B0E4A"/>
    <w:rsid w:val="004B18F4"/>
    <w:rsid w:val="004B1A98"/>
    <w:rsid w:val="004B2463"/>
    <w:rsid w:val="004B2E9D"/>
    <w:rsid w:val="004B305F"/>
    <w:rsid w:val="004B34C4"/>
    <w:rsid w:val="004B34E8"/>
    <w:rsid w:val="004B3981"/>
    <w:rsid w:val="004B3A03"/>
    <w:rsid w:val="004B419F"/>
    <w:rsid w:val="004B4EA9"/>
    <w:rsid w:val="004B5C96"/>
    <w:rsid w:val="004B6124"/>
    <w:rsid w:val="004B6E50"/>
    <w:rsid w:val="004B728F"/>
    <w:rsid w:val="004B7317"/>
    <w:rsid w:val="004B75B2"/>
    <w:rsid w:val="004B75C6"/>
    <w:rsid w:val="004C02C5"/>
    <w:rsid w:val="004C0BF0"/>
    <w:rsid w:val="004C0D40"/>
    <w:rsid w:val="004C0D94"/>
    <w:rsid w:val="004C114F"/>
    <w:rsid w:val="004C11A9"/>
    <w:rsid w:val="004C27CF"/>
    <w:rsid w:val="004C2CA7"/>
    <w:rsid w:val="004C3592"/>
    <w:rsid w:val="004C45C8"/>
    <w:rsid w:val="004C4F8F"/>
    <w:rsid w:val="004C5F4B"/>
    <w:rsid w:val="004C612E"/>
    <w:rsid w:val="004C61B8"/>
    <w:rsid w:val="004C69FE"/>
    <w:rsid w:val="004C6C0A"/>
    <w:rsid w:val="004C6C6D"/>
    <w:rsid w:val="004C77FF"/>
    <w:rsid w:val="004C7A0B"/>
    <w:rsid w:val="004C7DB0"/>
    <w:rsid w:val="004C7FFC"/>
    <w:rsid w:val="004D0223"/>
    <w:rsid w:val="004D0C4C"/>
    <w:rsid w:val="004D16A3"/>
    <w:rsid w:val="004D1934"/>
    <w:rsid w:val="004D1E41"/>
    <w:rsid w:val="004D2326"/>
    <w:rsid w:val="004D2E11"/>
    <w:rsid w:val="004D3108"/>
    <w:rsid w:val="004D329C"/>
    <w:rsid w:val="004D34D1"/>
    <w:rsid w:val="004D4523"/>
    <w:rsid w:val="004D4990"/>
    <w:rsid w:val="004D4B05"/>
    <w:rsid w:val="004D51D6"/>
    <w:rsid w:val="004D6BF2"/>
    <w:rsid w:val="004D6F29"/>
    <w:rsid w:val="004D7BF5"/>
    <w:rsid w:val="004D7F9C"/>
    <w:rsid w:val="004E03F4"/>
    <w:rsid w:val="004E068F"/>
    <w:rsid w:val="004E0860"/>
    <w:rsid w:val="004E09CF"/>
    <w:rsid w:val="004E0B75"/>
    <w:rsid w:val="004E0C29"/>
    <w:rsid w:val="004E0DC4"/>
    <w:rsid w:val="004E109C"/>
    <w:rsid w:val="004E1D6F"/>
    <w:rsid w:val="004E1DF3"/>
    <w:rsid w:val="004E2393"/>
    <w:rsid w:val="004E289D"/>
    <w:rsid w:val="004E3117"/>
    <w:rsid w:val="004E3A2A"/>
    <w:rsid w:val="004E3AB1"/>
    <w:rsid w:val="004E4003"/>
    <w:rsid w:val="004E428D"/>
    <w:rsid w:val="004E4626"/>
    <w:rsid w:val="004E4984"/>
    <w:rsid w:val="004E5101"/>
    <w:rsid w:val="004E5380"/>
    <w:rsid w:val="004E6746"/>
    <w:rsid w:val="004E6CAC"/>
    <w:rsid w:val="004E6F69"/>
    <w:rsid w:val="004E75C1"/>
    <w:rsid w:val="004E777F"/>
    <w:rsid w:val="004F07F2"/>
    <w:rsid w:val="004F07F9"/>
    <w:rsid w:val="004F0A50"/>
    <w:rsid w:val="004F0D1F"/>
    <w:rsid w:val="004F0E82"/>
    <w:rsid w:val="004F1523"/>
    <w:rsid w:val="004F1847"/>
    <w:rsid w:val="004F1CE1"/>
    <w:rsid w:val="004F1F9E"/>
    <w:rsid w:val="004F2CB6"/>
    <w:rsid w:val="004F2E6E"/>
    <w:rsid w:val="004F3015"/>
    <w:rsid w:val="004F313F"/>
    <w:rsid w:val="004F34E2"/>
    <w:rsid w:val="004F367F"/>
    <w:rsid w:val="004F3EEF"/>
    <w:rsid w:val="004F43A7"/>
    <w:rsid w:val="004F447B"/>
    <w:rsid w:val="004F497C"/>
    <w:rsid w:val="004F4FAC"/>
    <w:rsid w:val="004F4FE8"/>
    <w:rsid w:val="004F531B"/>
    <w:rsid w:val="004F560C"/>
    <w:rsid w:val="004F5DBB"/>
    <w:rsid w:val="004F60B4"/>
    <w:rsid w:val="004F61A3"/>
    <w:rsid w:val="004F6874"/>
    <w:rsid w:val="004F7922"/>
    <w:rsid w:val="004F7A1F"/>
    <w:rsid w:val="004F7B47"/>
    <w:rsid w:val="0050079C"/>
    <w:rsid w:val="0050106A"/>
    <w:rsid w:val="005010BC"/>
    <w:rsid w:val="00501848"/>
    <w:rsid w:val="00502B31"/>
    <w:rsid w:val="0050434C"/>
    <w:rsid w:val="0050537D"/>
    <w:rsid w:val="00505861"/>
    <w:rsid w:val="0050591C"/>
    <w:rsid w:val="005059BD"/>
    <w:rsid w:val="005060AE"/>
    <w:rsid w:val="0050790B"/>
    <w:rsid w:val="00507FDF"/>
    <w:rsid w:val="0051037C"/>
    <w:rsid w:val="0051050F"/>
    <w:rsid w:val="0051058B"/>
    <w:rsid w:val="00510DDC"/>
    <w:rsid w:val="00511166"/>
    <w:rsid w:val="00511A7A"/>
    <w:rsid w:val="00512217"/>
    <w:rsid w:val="00512459"/>
    <w:rsid w:val="005131A2"/>
    <w:rsid w:val="005137E4"/>
    <w:rsid w:val="00513BB9"/>
    <w:rsid w:val="0051440E"/>
    <w:rsid w:val="00514480"/>
    <w:rsid w:val="005148CD"/>
    <w:rsid w:val="00515180"/>
    <w:rsid w:val="00515973"/>
    <w:rsid w:val="00516069"/>
    <w:rsid w:val="00517AC8"/>
    <w:rsid w:val="00517C3E"/>
    <w:rsid w:val="005207D8"/>
    <w:rsid w:val="0052091D"/>
    <w:rsid w:val="005212F4"/>
    <w:rsid w:val="00521908"/>
    <w:rsid w:val="005224BC"/>
    <w:rsid w:val="00522928"/>
    <w:rsid w:val="00522FF1"/>
    <w:rsid w:val="00523946"/>
    <w:rsid w:val="0052397A"/>
    <w:rsid w:val="005256D6"/>
    <w:rsid w:val="00525AD8"/>
    <w:rsid w:val="00526429"/>
    <w:rsid w:val="005266C1"/>
    <w:rsid w:val="005267F4"/>
    <w:rsid w:val="005269D3"/>
    <w:rsid w:val="00527317"/>
    <w:rsid w:val="00527ED6"/>
    <w:rsid w:val="0053024F"/>
    <w:rsid w:val="00531064"/>
    <w:rsid w:val="005312CB"/>
    <w:rsid w:val="005313B2"/>
    <w:rsid w:val="00531911"/>
    <w:rsid w:val="00531E92"/>
    <w:rsid w:val="005324D7"/>
    <w:rsid w:val="005326F0"/>
    <w:rsid w:val="00532764"/>
    <w:rsid w:val="00532AA5"/>
    <w:rsid w:val="00532C5F"/>
    <w:rsid w:val="00533233"/>
    <w:rsid w:val="005335A2"/>
    <w:rsid w:val="00533D13"/>
    <w:rsid w:val="00533DEC"/>
    <w:rsid w:val="00534026"/>
    <w:rsid w:val="00534D55"/>
    <w:rsid w:val="00535B53"/>
    <w:rsid w:val="00536B03"/>
    <w:rsid w:val="00537456"/>
    <w:rsid w:val="0053790C"/>
    <w:rsid w:val="00537B3D"/>
    <w:rsid w:val="00540401"/>
    <w:rsid w:val="005405B2"/>
    <w:rsid w:val="0054076A"/>
    <w:rsid w:val="00540D47"/>
    <w:rsid w:val="00540EE7"/>
    <w:rsid w:val="00541A22"/>
    <w:rsid w:val="00541EAD"/>
    <w:rsid w:val="005424C2"/>
    <w:rsid w:val="005426B2"/>
    <w:rsid w:val="00543519"/>
    <w:rsid w:val="00543640"/>
    <w:rsid w:val="00544019"/>
    <w:rsid w:val="005444C6"/>
    <w:rsid w:val="00544BF9"/>
    <w:rsid w:val="00544F05"/>
    <w:rsid w:val="00544FCC"/>
    <w:rsid w:val="005454B8"/>
    <w:rsid w:val="00545ACB"/>
    <w:rsid w:val="00545DB9"/>
    <w:rsid w:val="005462ED"/>
    <w:rsid w:val="00546585"/>
    <w:rsid w:val="0054680A"/>
    <w:rsid w:val="00546A91"/>
    <w:rsid w:val="00546BF8"/>
    <w:rsid w:val="00547BA2"/>
    <w:rsid w:val="00550AC5"/>
    <w:rsid w:val="00550B7E"/>
    <w:rsid w:val="00551052"/>
    <w:rsid w:val="005524ED"/>
    <w:rsid w:val="00553F0C"/>
    <w:rsid w:val="00553F91"/>
    <w:rsid w:val="00554007"/>
    <w:rsid w:val="00554C03"/>
    <w:rsid w:val="00554C58"/>
    <w:rsid w:val="00554D5D"/>
    <w:rsid w:val="005550F9"/>
    <w:rsid w:val="00556338"/>
    <w:rsid w:val="00556441"/>
    <w:rsid w:val="00557031"/>
    <w:rsid w:val="00557F87"/>
    <w:rsid w:val="00560FCB"/>
    <w:rsid w:val="00561001"/>
    <w:rsid w:val="0056111C"/>
    <w:rsid w:val="00561140"/>
    <w:rsid w:val="00561412"/>
    <w:rsid w:val="00561903"/>
    <w:rsid w:val="00561A9B"/>
    <w:rsid w:val="00561E54"/>
    <w:rsid w:val="00561F73"/>
    <w:rsid w:val="005621F7"/>
    <w:rsid w:val="0056278F"/>
    <w:rsid w:val="00562FB1"/>
    <w:rsid w:val="00563068"/>
    <w:rsid w:val="0056376A"/>
    <w:rsid w:val="00563B3C"/>
    <w:rsid w:val="0056419C"/>
    <w:rsid w:val="00564DA7"/>
    <w:rsid w:val="00565204"/>
    <w:rsid w:val="00565473"/>
    <w:rsid w:val="00565DAC"/>
    <w:rsid w:val="00565F0D"/>
    <w:rsid w:val="005662DC"/>
    <w:rsid w:val="00566329"/>
    <w:rsid w:val="005668B9"/>
    <w:rsid w:val="00566E39"/>
    <w:rsid w:val="0056704E"/>
    <w:rsid w:val="00567623"/>
    <w:rsid w:val="005701C2"/>
    <w:rsid w:val="00570763"/>
    <w:rsid w:val="0057200B"/>
    <w:rsid w:val="00572297"/>
    <w:rsid w:val="0057345D"/>
    <w:rsid w:val="0057347D"/>
    <w:rsid w:val="00573560"/>
    <w:rsid w:val="00574E7B"/>
    <w:rsid w:val="00574F36"/>
    <w:rsid w:val="00576B5C"/>
    <w:rsid w:val="005770CC"/>
    <w:rsid w:val="005802F9"/>
    <w:rsid w:val="005806D5"/>
    <w:rsid w:val="00580DFC"/>
    <w:rsid w:val="0058134C"/>
    <w:rsid w:val="005815CD"/>
    <w:rsid w:val="005827A7"/>
    <w:rsid w:val="00583D43"/>
    <w:rsid w:val="005846C3"/>
    <w:rsid w:val="00584F04"/>
    <w:rsid w:val="0058544C"/>
    <w:rsid w:val="00585623"/>
    <w:rsid w:val="005857F7"/>
    <w:rsid w:val="005865E9"/>
    <w:rsid w:val="005868FD"/>
    <w:rsid w:val="0058769F"/>
    <w:rsid w:val="00587D7B"/>
    <w:rsid w:val="005904DB"/>
    <w:rsid w:val="005905ED"/>
    <w:rsid w:val="00590D11"/>
    <w:rsid w:val="00591BA6"/>
    <w:rsid w:val="00592825"/>
    <w:rsid w:val="00594437"/>
    <w:rsid w:val="00594B70"/>
    <w:rsid w:val="00596CFA"/>
    <w:rsid w:val="00596EC6"/>
    <w:rsid w:val="005975CE"/>
    <w:rsid w:val="005A0088"/>
    <w:rsid w:val="005A04F6"/>
    <w:rsid w:val="005A14F0"/>
    <w:rsid w:val="005A1861"/>
    <w:rsid w:val="005A1A31"/>
    <w:rsid w:val="005A361D"/>
    <w:rsid w:val="005A36C2"/>
    <w:rsid w:val="005A3719"/>
    <w:rsid w:val="005A3DD7"/>
    <w:rsid w:val="005A40FA"/>
    <w:rsid w:val="005A4C20"/>
    <w:rsid w:val="005A4F48"/>
    <w:rsid w:val="005A54F1"/>
    <w:rsid w:val="005A57B8"/>
    <w:rsid w:val="005A5DDE"/>
    <w:rsid w:val="005A64A8"/>
    <w:rsid w:val="005A65C5"/>
    <w:rsid w:val="005A6875"/>
    <w:rsid w:val="005A7016"/>
    <w:rsid w:val="005A7703"/>
    <w:rsid w:val="005A7A32"/>
    <w:rsid w:val="005A7F85"/>
    <w:rsid w:val="005B00DD"/>
    <w:rsid w:val="005B03B1"/>
    <w:rsid w:val="005B07D5"/>
    <w:rsid w:val="005B1A8A"/>
    <w:rsid w:val="005B1AAB"/>
    <w:rsid w:val="005B2578"/>
    <w:rsid w:val="005B2930"/>
    <w:rsid w:val="005B2B87"/>
    <w:rsid w:val="005B2FAA"/>
    <w:rsid w:val="005B33C8"/>
    <w:rsid w:val="005B387B"/>
    <w:rsid w:val="005B3B01"/>
    <w:rsid w:val="005B4333"/>
    <w:rsid w:val="005B48BE"/>
    <w:rsid w:val="005B58F7"/>
    <w:rsid w:val="005B5981"/>
    <w:rsid w:val="005B5994"/>
    <w:rsid w:val="005B6474"/>
    <w:rsid w:val="005B666D"/>
    <w:rsid w:val="005B667A"/>
    <w:rsid w:val="005B6865"/>
    <w:rsid w:val="005B7840"/>
    <w:rsid w:val="005C039B"/>
    <w:rsid w:val="005C059F"/>
    <w:rsid w:val="005C07CE"/>
    <w:rsid w:val="005C0B8F"/>
    <w:rsid w:val="005C194E"/>
    <w:rsid w:val="005C1C83"/>
    <w:rsid w:val="005C1DB1"/>
    <w:rsid w:val="005C226F"/>
    <w:rsid w:val="005C2294"/>
    <w:rsid w:val="005C2E48"/>
    <w:rsid w:val="005C3344"/>
    <w:rsid w:val="005C4E4D"/>
    <w:rsid w:val="005C58F2"/>
    <w:rsid w:val="005C5A97"/>
    <w:rsid w:val="005C5F77"/>
    <w:rsid w:val="005C6AAB"/>
    <w:rsid w:val="005C6D5D"/>
    <w:rsid w:val="005C6FD0"/>
    <w:rsid w:val="005D01C3"/>
    <w:rsid w:val="005D05FF"/>
    <w:rsid w:val="005D0FB4"/>
    <w:rsid w:val="005D1176"/>
    <w:rsid w:val="005D1747"/>
    <w:rsid w:val="005D266D"/>
    <w:rsid w:val="005D306D"/>
    <w:rsid w:val="005D3327"/>
    <w:rsid w:val="005D4854"/>
    <w:rsid w:val="005D5BCF"/>
    <w:rsid w:val="005D5CA3"/>
    <w:rsid w:val="005D65BF"/>
    <w:rsid w:val="005D6D84"/>
    <w:rsid w:val="005D70A1"/>
    <w:rsid w:val="005D79F2"/>
    <w:rsid w:val="005D7CB1"/>
    <w:rsid w:val="005D7F57"/>
    <w:rsid w:val="005E0067"/>
    <w:rsid w:val="005E0141"/>
    <w:rsid w:val="005E09CA"/>
    <w:rsid w:val="005E1AB4"/>
    <w:rsid w:val="005E1F81"/>
    <w:rsid w:val="005E255B"/>
    <w:rsid w:val="005E2CF7"/>
    <w:rsid w:val="005E37FD"/>
    <w:rsid w:val="005E4543"/>
    <w:rsid w:val="005E4A1C"/>
    <w:rsid w:val="005E56C9"/>
    <w:rsid w:val="005E5CF7"/>
    <w:rsid w:val="005E5FF0"/>
    <w:rsid w:val="005E642A"/>
    <w:rsid w:val="005E65A7"/>
    <w:rsid w:val="005E721E"/>
    <w:rsid w:val="005F0857"/>
    <w:rsid w:val="005F1470"/>
    <w:rsid w:val="005F15A9"/>
    <w:rsid w:val="005F2807"/>
    <w:rsid w:val="005F2CD5"/>
    <w:rsid w:val="005F3382"/>
    <w:rsid w:val="005F3720"/>
    <w:rsid w:val="005F4F00"/>
    <w:rsid w:val="005F5506"/>
    <w:rsid w:val="005F5A0D"/>
    <w:rsid w:val="005F60DF"/>
    <w:rsid w:val="005F615B"/>
    <w:rsid w:val="005F61DF"/>
    <w:rsid w:val="005F680A"/>
    <w:rsid w:val="005F6880"/>
    <w:rsid w:val="005F6B3E"/>
    <w:rsid w:val="005F6ED2"/>
    <w:rsid w:val="005F745B"/>
    <w:rsid w:val="005F77F8"/>
    <w:rsid w:val="005F7CA8"/>
    <w:rsid w:val="00600DE1"/>
    <w:rsid w:val="00601506"/>
    <w:rsid w:val="00601596"/>
    <w:rsid w:val="00601C92"/>
    <w:rsid w:val="00601F66"/>
    <w:rsid w:val="00602764"/>
    <w:rsid w:val="00602B29"/>
    <w:rsid w:val="00602DAD"/>
    <w:rsid w:val="00603373"/>
    <w:rsid w:val="006036D0"/>
    <w:rsid w:val="00603B1C"/>
    <w:rsid w:val="006042CD"/>
    <w:rsid w:val="00605217"/>
    <w:rsid w:val="006054A5"/>
    <w:rsid w:val="006059E4"/>
    <w:rsid w:val="00605D60"/>
    <w:rsid w:val="006062A0"/>
    <w:rsid w:val="00607015"/>
    <w:rsid w:val="0061098D"/>
    <w:rsid w:val="00610B78"/>
    <w:rsid w:val="006115EF"/>
    <w:rsid w:val="00611B59"/>
    <w:rsid w:val="00611FBA"/>
    <w:rsid w:val="00612098"/>
    <w:rsid w:val="0061272A"/>
    <w:rsid w:val="0061299E"/>
    <w:rsid w:val="006130D0"/>
    <w:rsid w:val="0061355D"/>
    <w:rsid w:val="006139F7"/>
    <w:rsid w:val="00613AA2"/>
    <w:rsid w:val="00614906"/>
    <w:rsid w:val="0061517F"/>
    <w:rsid w:val="00615276"/>
    <w:rsid w:val="006155F1"/>
    <w:rsid w:val="00615846"/>
    <w:rsid w:val="006160F0"/>
    <w:rsid w:val="0061618F"/>
    <w:rsid w:val="0061624B"/>
    <w:rsid w:val="006166AD"/>
    <w:rsid w:val="00616C1E"/>
    <w:rsid w:val="00617EFC"/>
    <w:rsid w:val="00620055"/>
    <w:rsid w:val="00620336"/>
    <w:rsid w:val="006204B3"/>
    <w:rsid w:val="006204C2"/>
    <w:rsid w:val="006212D3"/>
    <w:rsid w:val="00621639"/>
    <w:rsid w:val="00622B22"/>
    <w:rsid w:val="00622F67"/>
    <w:rsid w:val="00623571"/>
    <w:rsid w:val="00623A5E"/>
    <w:rsid w:val="00625008"/>
    <w:rsid w:val="0062548B"/>
    <w:rsid w:val="006257A3"/>
    <w:rsid w:val="00626710"/>
    <w:rsid w:val="00626930"/>
    <w:rsid w:val="00626AD3"/>
    <w:rsid w:val="00626BAC"/>
    <w:rsid w:val="006271C3"/>
    <w:rsid w:val="00627B14"/>
    <w:rsid w:val="0063001E"/>
    <w:rsid w:val="00630023"/>
    <w:rsid w:val="006308EE"/>
    <w:rsid w:val="00630C70"/>
    <w:rsid w:val="00630D67"/>
    <w:rsid w:val="00631005"/>
    <w:rsid w:val="00631C79"/>
    <w:rsid w:val="00632727"/>
    <w:rsid w:val="0063283D"/>
    <w:rsid w:val="00633769"/>
    <w:rsid w:val="00633FE3"/>
    <w:rsid w:val="00634276"/>
    <w:rsid w:val="00634570"/>
    <w:rsid w:val="0063487C"/>
    <w:rsid w:val="00635B73"/>
    <w:rsid w:val="00635BB7"/>
    <w:rsid w:val="00636CC7"/>
    <w:rsid w:val="00637F27"/>
    <w:rsid w:val="006405EC"/>
    <w:rsid w:val="00640A4D"/>
    <w:rsid w:val="00640EBD"/>
    <w:rsid w:val="006418F2"/>
    <w:rsid w:val="00641A84"/>
    <w:rsid w:val="00641B05"/>
    <w:rsid w:val="00641DA1"/>
    <w:rsid w:val="00641E5B"/>
    <w:rsid w:val="00642C69"/>
    <w:rsid w:val="0064330A"/>
    <w:rsid w:val="00643F89"/>
    <w:rsid w:val="00644334"/>
    <w:rsid w:val="0064487C"/>
    <w:rsid w:val="00644BED"/>
    <w:rsid w:val="00644E2E"/>
    <w:rsid w:val="00645A3A"/>
    <w:rsid w:val="00645B87"/>
    <w:rsid w:val="00645CB4"/>
    <w:rsid w:val="00646084"/>
    <w:rsid w:val="006468ED"/>
    <w:rsid w:val="006472CD"/>
    <w:rsid w:val="00647664"/>
    <w:rsid w:val="006506AA"/>
    <w:rsid w:val="00650D19"/>
    <w:rsid w:val="00652CF5"/>
    <w:rsid w:val="0065343E"/>
    <w:rsid w:val="00653446"/>
    <w:rsid w:val="00653672"/>
    <w:rsid w:val="006536BB"/>
    <w:rsid w:val="0065398F"/>
    <w:rsid w:val="00653C7C"/>
    <w:rsid w:val="00654252"/>
    <w:rsid w:val="006543B7"/>
    <w:rsid w:val="00654EA5"/>
    <w:rsid w:val="0065587E"/>
    <w:rsid w:val="006558CD"/>
    <w:rsid w:val="00655C26"/>
    <w:rsid w:val="0065637A"/>
    <w:rsid w:val="00656998"/>
    <w:rsid w:val="00656E4D"/>
    <w:rsid w:val="006576BA"/>
    <w:rsid w:val="006600BF"/>
    <w:rsid w:val="00660AF7"/>
    <w:rsid w:val="00660D3E"/>
    <w:rsid w:val="00661691"/>
    <w:rsid w:val="00662D3D"/>
    <w:rsid w:val="00662F1F"/>
    <w:rsid w:val="00663D15"/>
    <w:rsid w:val="00665030"/>
    <w:rsid w:val="00665670"/>
    <w:rsid w:val="006659EA"/>
    <w:rsid w:val="006661E8"/>
    <w:rsid w:val="00666424"/>
    <w:rsid w:val="0066676C"/>
    <w:rsid w:val="006673B9"/>
    <w:rsid w:val="0066790C"/>
    <w:rsid w:val="00667FF0"/>
    <w:rsid w:val="00670C7C"/>
    <w:rsid w:val="00671480"/>
    <w:rsid w:val="006717E7"/>
    <w:rsid w:val="00671FD5"/>
    <w:rsid w:val="006720BC"/>
    <w:rsid w:val="00672906"/>
    <w:rsid w:val="00672C73"/>
    <w:rsid w:val="00673B64"/>
    <w:rsid w:val="006746F6"/>
    <w:rsid w:val="006753AC"/>
    <w:rsid w:val="00675430"/>
    <w:rsid w:val="006755F0"/>
    <w:rsid w:val="00675749"/>
    <w:rsid w:val="006759FE"/>
    <w:rsid w:val="00677382"/>
    <w:rsid w:val="0067772D"/>
    <w:rsid w:val="00677991"/>
    <w:rsid w:val="00677AD2"/>
    <w:rsid w:val="00680326"/>
    <w:rsid w:val="00680714"/>
    <w:rsid w:val="0068071D"/>
    <w:rsid w:val="00680C6B"/>
    <w:rsid w:val="006811F3"/>
    <w:rsid w:val="00681240"/>
    <w:rsid w:val="00683068"/>
    <w:rsid w:val="00683DAD"/>
    <w:rsid w:val="00683F81"/>
    <w:rsid w:val="00684592"/>
    <w:rsid w:val="00684963"/>
    <w:rsid w:val="00685033"/>
    <w:rsid w:val="0068517F"/>
    <w:rsid w:val="00685D65"/>
    <w:rsid w:val="00685FC8"/>
    <w:rsid w:val="00686E80"/>
    <w:rsid w:val="0068790B"/>
    <w:rsid w:val="00687AF2"/>
    <w:rsid w:val="006901AC"/>
    <w:rsid w:val="00690C8D"/>
    <w:rsid w:val="00691890"/>
    <w:rsid w:val="00691AAD"/>
    <w:rsid w:val="00691CD1"/>
    <w:rsid w:val="00692416"/>
    <w:rsid w:val="00692AFF"/>
    <w:rsid w:val="00692D2D"/>
    <w:rsid w:val="00693B73"/>
    <w:rsid w:val="006945A1"/>
    <w:rsid w:val="00694A53"/>
    <w:rsid w:val="006952DE"/>
    <w:rsid w:val="00695985"/>
    <w:rsid w:val="00695C78"/>
    <w:rsid w:val="00695E6C"/>
    <w:rsid w:val="00695EAC"/>
    <w:rsid w:val="00696C79"/>
    <w:rsid w:val="00697068"/>
    <w:rsid w:val="006977DE"/>
    <w:rsid w:val="00697D5F"/>
    <w:rsid w:val="006A035B"/>
    <w:rsid w:val="006A0582"/>
    <w:rsid w:val="006A060C"/>
    <w:rsid w:val="006A06F8"/>
    <w:rsid w:val="006A071C"/>
    <w:rsid w:val="006A0DC7"/>
    <w:rsid w:val="006A150D"/>
    <w:rsid w:val="006A1B00"/>
    <w:rsid w:val="006A2766"/>
    <w:rsid w:val="006A39D0"/>
    <w:rsid w:val="006A3E91"/>
    <w:rsid w:val="006A430B"/>
    <w:rsid w:val="006A4321"/>
    <w:rsid w:val="006A4E20"/>
    <w:rsid w:val="006A4F11"/>
    <w:rsid w:val="006A563C"/>
    <w:rsid w:val="006A5A6F"/>
    <w:rsid w:val="006A5F7E"/>
    <w:rsid w:val="006A6786"/>
    <w:rsid w:val="006A7C29"/>
    <w:rsid w:val="006B0580"/>
    <w:rsid w:val="006B0DA2"/>
    <w:rsid w:val="006B0F70"/>
    <w:rsid w:val="006B1486"/>
    <w:rsid w:val="006B169F"/>
    <w:rsid w:val="006B1BEB"/>
    <w:rsid w:val="006B1D06"/>
    <w:rsid w:val="006B2506"/>
    <w:rsid w:val="006B2823"/>
    <w:rsid w:val="006B29DC"/>
    <w:rsid w:val="006B2F60"/>
    <w:rsid w:val="006B33DB"/>
    <w:rsid w:val="006B33DD"/>
    <w:rsid w:val="006B3669"/>
    <w:rsid w:val="006B36E5"/>
    <w:rsid w:val="006B3D00"/>
    <w:rsid w:val="006B4CF8"/>
    <w:rsid w:val="006B506B"/>
    <w:rsid w:val="006B54E8"/>
    <w:rsid w:val="006B5FBC"/>
    <w:rsid w:val="006B6ED2"/>
    <w:rsid w:val="006B79A8"/>
    <w:rsid w:val="006B7F74"/>
    <w:rsid w:val="006C0230"/>
    <w:rsid w:val="006C05BE"/>
    <w:rsid w:val="006C05C7"/>
    <w:rsid w:val="006C25AB"/>
    <w:rsid w:val="006C2DA6"/>
    <w:rsid w:val="006C3581"/>
    <w:rsid w:val="006C39A0"/>
    <w:rsid w:val="006C3EFE"/>
    <w:rsid w:val="006C46C7"/>
    <w:rsid w:val="006C4767"/>
    <w:rsid w:val="006C4A1A"/>
    <w:rsid w:val="006C4D02"/>
    <w:rsid w:val="006C53A4"/>
    <w:rsid w:val="006C54DF"/>
    <w:rsid w:val="006C5D5D"/>
    <w:rsid w:val="006C627E"/>
    <w:rsid w:val="006C6303"/>
    <w:rsid w:val="006C6A51"/>
    <w:rsid w:val="006C6EBD"/>
    <w:rsid w:val="006C7E04"/>
    <w:rsid w:val="006C7F79"/>
    <w:rsid w:val="006D0004"/>
    <w:rsid w:val="006D015F"/>
    <w:rsid w:val="006D060E"/>
    <w:rsid w:val="006D0681"/>
    <w:rsid w:val="006D0A80"/>
    <w:rsid w:val="006D0AE8"/>
    <w:rsid w:val="006D135C"/>
    <w:rsid w:val="006D2F72"/>
    <w:rsid w:val="006D43C1"/>
    <w:rsid w:val="006D5442"/>
    <w:rsid w:val="006D6E4E"/>
    <w:rsid w:val="006D7A7B"/>
    <w:rsid w:val="006D7A8E"/>
    <w:rsid w:val="006D7C59"/>
    <w:rsid w:val="006E00E3"/>
    <w:rsid w:val="006E045C"/>
    <w:rsid w:val="006E0569"/>
    <w:rsid w:val="006E065E"/>
    <w:rsid w:val="006E0849"/>
    <w:rsid w:val="006E11D6"/>
    <w:rsid w:val="006E17AC"/>
    <w:rsid w:val="006E189B"/>
    <w:rsid w:val="006E20D9"/>
    <w:rsid w:val="006E27DC"/>
    <w:rsid w:val="006E2902"/>
    <w:rsid w:val="006E2F9D"/>
    <w:rsid w:val="006E37C6"/>
    <w:rsid w:val="006E3CF3"/>
    <w:rsid w:val="006E41ED"/>
    <w:rsid w:val="006E4667"/>
    <w:rsid w:val="006E46B7"/>
    <w:rsid w:val="006E475A"/>
    <w:rsid w:val="006E486D"/>
    <w:rsid w:val="006E4880"/>
    <w:rsid w:val="006E48BB"/>
    <w:rsid w:val="006E727B"/>
    <w:rsid w:val="006E76C8"/>
    <w:rsid w:val="006E7A92"/>
    <w:rsid w:val="006F01FF"/>
    <w:rsid w:val="006F0CB2"/>
    <w:rsid w:val="006F1DE9"/>
    <w:rsid w:val="006F2046"/>
    <w:rsid w:val="006F2F59"/>
    <w:rsid w:val="006F311E"/>
    <w:rsid w:val="006F3442"/>
    <w:rsid w:val="006F36A5"/>
    <w:rsid w:val="006F41F4"/>
    <w:rsid w:val="006F4576"/>
    <w:rsid w:val="006F5813"/>
    <w:rsid w:val="006F59A8"/>
    <w:rsid w:val="006F5A1D"/>
    <w:rsid w:val="006F71A6"/>
    <w:rsid w:val="006F7974"/>
    <w:rsid w:val="006F7C2C"/>
    <w:rsid w:val="006F7FD5"/>
    <w:rsid w:val="00700405"/>
    <w:rsid w:val="00700D18"/>
    <w:rsid w:val="00700FEA"/>
    <w:rsid w:val="0070168D"/>
    <w:rsid w:val="00701C36"/>
    <w:rsid w:val="00702F2D"/>
    <w:rsid w:val="0070353F"/>
    <w:rsid w:val="00703ABE"/>
    <w:rsid w:val="0070415E"/>
    <w:rsid w:val="00704631"/>
    <w:rsid w:val="00704B79"/>
    <w:rsid w:val="00704E7D"/>
    <w:rsid w:val="00705060"/>
    <w:rsid w:val="00705351"/>
    <w:rsid w:val="00705619"/>
    <w:rsid w:val="00705E93"/>
    <w:rsid w:val="007062AF"/>
    <w:rsid w:val="007069AE"/>
    <w:rsid w:val="007069D4"/>
    <w:rsid w:val="00706C89"/>
    <w:rsid w:val="00707967"/>
    <w:rsid w:val="00710257"/>
    <w:rsid w:val="00710587"/>
    <w:rsid w:val="007107D5"/>
    <w:rsid w:val="007119DC"/>
    <w:rsid w:val="00711CC7"/>
    <w:rsid w:val="0071230A"/>
    <w:rsid w:val="0071294A"/>
    <w:rsid w:val="00712BDD"/>
    <w:rsid w:val="00712E1E"/>
    <w:rsid w:val="00712F37"/>
    <w:rsid w:val="00713A6B"/>
    <w:rsid w:val="00713CB5"/>
    <w:rsid w:val="0071499C"/>
    <w:rsid w:val="00714F9D"/>
    <w:rsid w:val="007154D8"/>
    <w:rsid w:val="00715577"/>
    <w:rsid w:val="0071604D"/>
    <w:rsid w:val="007160F1"/>
    <w:rsid w:val="00716C67"/>
    <w:rsid w:val="007170AB"/>
    <w:rsid w:val="0071779C"/>
    <w:rsid w:val="00717808"/>
    <w:rsid w:val="007208A7"/>
    <w:rsid w:val="00720B3D"/>
    <w:rsid w:val="00720B6A"/>
    <w:rsid w:val="007210F6"/>
    <w:rsid w:val="0072129A"/>
    <w:rsid w:val="0072139F"/>
    <w:rsid w:val="0072198A"/>
    <w:rsid w:val="00721AD9"/>
    <w:rsid w:val="00721F61"/>
    <w:rsid w:val="00721FC3"/>
    <w:rsid w:val="00722A86"/>
    <w:rsid w:val="00722BC6"/>
    <w:rsid w:val="00722C69"/>
    <w:rsid w:val="0072311F"/>
    <w:rsid w:val="0072388C"/>
    <w:rsid w:val="0072454E"/>
    <w:rsid w:val="007249D1"/>
    <w:rsid w:val="00724FE4"/>
    <w:rsid w:val="00725829"/>
    <w:rsid w:val="00725D6A"/>
    <w:rsid w:val="007263A2"/>
    <w:rsid w:val="007266B9"/>
    <w:rsid w:val="00727351"/>
    <w:rsid w:val="00727AC5"/>
    <w:rsid w:val="00727C65"/>
    <w:rsid w:val="007300F0"/>
    <w:rsid w:val="00730904"/>
    <w:rsid w:val="00731EDE"/>
    <w:rsid w:val="0073245C"/>
    <w:rsid w:val="00732493"/>
    <w:rsid w:val="00732FE9"/>
    <w:rsid w:val="007333EE"/>
    <w:rsid w:val="00733772"/>
    <w:rsid w:val="00733A43"/>
    <w:rsid w:val="00733AE4"/>
    <w:rsid w:val="00733D5F"/>
    <w:rsid w:val="00734932"/>
    <w:rsid w:val="00734AF7"/>
    <w:rsid w:val="00735D53"/>
    <w:rsid w:val="0073618A"/>
    <w:rsid w:val="007364A3"/>
    <w:rsid w:val="00736740"/>
    <w:rsid w:val="007378FD"/>
    <w:rsid w:val="007403FE"/>
    <w:rsid w:val="007413EB"/>
    <w:rsid w:val="007413FB"/>
    <w:rsid w:val="00742D32"/>
    <w:rsid w:val="00742E9B"/>
    <w:rsid w:val="007444E6"/>
    <w:rsid w:val="0074592C"/>
    <w:rsid w:val="00745C91"/>
    <w:rsid w:val="00746098"/>
    <w:rsid w:val="00746D58"/>
    <w:rsid w:val="00747578"/>
    <w:rsid w:val="00750ACA"/>
    <w:rsid w:val="00750D12"/>
    <w:rsid w:val="00751073"/>
    <w:rsid w:val="00751AF2"/>
    <w:rsid w:val="00751B1A"/>
    <w:rsid w:val="00751BD2"/>
    <w:rsid w:val="00751CE5"/>
    <w:rsid w:val="00752188"/>
    <w:rsid w:val="00752CC6"/>
    <w:rsid w:val="00753938"/>
    <w:rsid w:val="00753A57"/>
    <w:rsid w:val="007543CE"/>
    <w:rsid w:val="0075497E"/>
    <w:rsid w:val="00754A29"/>
    <w:rsid w:val="00755B6F"/>
    <w:rsid w:val="00755BCF"/>
    <w:rsid w:val="00756C5F"/>
    <w:rsid w:val="00756D69"/>
    <w:rsid w:val="00757029"/>
    <w:rsid w:val="007571FD"/>
    <w:rsid w:val="0075723D"/>
    <w:rsid w:val="007602D4"/>
    <w:rsid w:val="00760A5A"/>
    <w:rsid w:val="00760D96"/>
    <w:rsid w:val="0076124A"/>
    <w:rsid w:val="0076161B"/>
    <w:rsid w:val="0076182A"/>
    <w:rsid w:val="00761950"/>
    <w:rsid w:val="00761CB5"/>
    <w:rsid w:val="0076216B"/>
    <w:rsid w:val="00762948"/>
    <w:rsid w:val="00762A81"/>
    <w:rsid w:val="00763137"/>
    <w:rsid w:val="00763AED"/>
    <w:rsid w:val="00763F8B"/>
    <w:rsid w:val="007640F3"/>
    <w:rsid w:val="0076417E"/>
    <w:rsid w:val="0076497F"/>
    <w:rsid w:val="007660EC"/>
    <w:rsid w:val="007662C7"/>
    <w:rsid w:val="00766862"/>
    <w:rsid w:val="007675DD"/>
    <w:rsid w:val="007702BF"/>
    <w:rsid w:val="007705F0"/>
    <w:rsid w:val="00771CAC"/>
    <w:rsid w:val="00772036"/>
    <w:rsid w:val="00773098"/>
    <w:rsid w:val="007739A3"/>
    <w:rsid w:val="00773BD9"/>
    <w:rsid w:val="00773CB0"/>
    <w:rsid w:val="00773D71"/>
    <w:rsid w:val="00775526"/>
    <w:rsid w:val="00775651"/>
    <w:rsid w:val="00775F3F"/>
    <w:rsid w:val="0077710B"/>
    <w:rsid w:val="0077765A"/>
    <w:rsid w:val="007778AE"/>
    <w:rsid w:val="00780032"/>
    <w:rsid w:val="00780636"/>
    <w:rsid w:val="00780E86"/>
    <w:rsid w:val="0078108C"/>
    <w:rsid w:val="00781727"/>
    <w:rsid w:val="007823E8"/>
    <w:rsid w:val="00782CF3"/>
    <w:rsid w:val="00783959"/>
    <w:rsid w:val="00783BA5"/>
    <w:rsid w:val="007844A9"/>
    <w:rsid w:val="00785091"/>
    <w:rsid w:val="0078638C"/>
    <w:rsid w:val="007869F9"/>
    <w:rsid w:val="00786CBB"/>
    <w:rsid w:val="00786E21"/>
    <w:rsid w:val="00787639"/>
    <w:rsid w:val="0079038E"/>
    <w:rsid w:val="00790EBB"/>
    <w:rsid w:val="00791C6E"/>
    <w:rsid w:val="007921F7"/>
    <w:rsid w:val="00792909"/>
    <w:rsid w:val="00792BC6"/>
    <w:rsid w:val="00792C3F"/>
    <w:rsid w:val="00792EE2"/>
    <w:rsid w:val="00792EFD"/>
    <w:rsid w:val="00793105"/>
    <w:rsid w:val="007931E8"/>
    <w:rsid w:val="00793333"/>
    <w:rsid w:val="00794158"/>
    <w:rsid w:val="00794509"/>
    <w:rsid w:val="00794E46"/>
    <w:rsid w:val="007950D9"/>
    <w:rsid w:val="007952DE"/>
    <w:rsid w:val="00795479"/>
    <w:rsid w:val="00796292"/>
    <w:rsid w:val="007965D9"/>
    <w:rsid w:val="00796BA2"/>
    <w:rsid w:val="007972D5"/>
    <w:rsid w:val="0079778D"/>
    <w:rsid w:val="00797D73"/>
    <w:rsid w:val="007A006C"/>
    <w:rsid w:val="007A0789"/>
    <w:rsid w:val="007A130E"/>
    <w:rsid w:val="007A18B1"/>
    <w:rsid w:val="007A1BBD"/>
    <w:rsid w:val="007A1F08"/>
    <w:rsid w:val="007A2555"/>
    <w:rsid w:val="007A25FA"/>
    <w:rsid w:val="007A2DB8"/>
    <w:rsid w:val="007A2FCB"/>
    <w:rsid w:val="007A3520"/>
    <w:rsid w:val="007A3604"/>
    <w:rsid w:val="007A3878"/>
    <w:rsid w:val="007A3D85"/>
    <w:rsid w:val="007A3E0D"/>
    <w:rsid w:val="007A436D"/>
    <w:rsid w:val="007A54F6"/>
    <w:rsid w:val="007A55FE"/>
    <w:rsid w:val="007A582C"/>
    <w:rsid w:val="007A5950"/>
    <w:rsid w:val="007A6D91"/>
    <w:rsid w:val="007A7618"/>
    <w:rsid w:val="007B00C9"/>
    <w:rsid w:val="007B02C7"/>
    <w:rsid w:val="007B0306"/>
    <w:rsid w:val="007B06E3"/>
    <w:rsid w:val="007B08E4"/>
    <w:rsid w:val="007B0D86"/>
    <w:rsid w:val="007B28C3"/>
    <w:rsid w:val="007B3A8E"/>
    <w:rsid w:val="007B3C9B"/>
    <w:rsid w:val="007B4271"/>
    <w:rsid w:val="007B497D"/>
    <w:rsid w:val="007B4EE9"/>
    <w:rsid w:val="007B5234"/>
    <w:rsid w:val="007B530C"/>
    <w:rsid w:val="007B54C7"/>
    <w:rsid w:val="007B5637"/>
    <w:rsid w:val="007B5DC5"/>
    <w:rsid w:val="007B5F32"/>
    <w:rsid w:val="007B63FC"/>
    <w:rsid w:val="007B6708"/>
    <w:rsid w:val="007B6C20"/>
    <w:rsid w:val="007B6E8D"/>
    <w:rsid w:val="007C029E"/>
    <w:rsid w:val="007C0636"/>
    <w:rsid w:val="007C10E4"/>
    <w:rsid w:val="007C17B4"/>
    <w:rsid w:val="007C20F8"/>
    <w:rsid w:val="007C21C5"/>
    <w:rsid w:val="007C2229"/>
    <w:rsid w:val="007C2313"/>
    <w:rsid w:val="007C2D47"/>
    <w:rsid w:val="007C3590"/>
    <w:rsid w:val="007C387A"/>
    <w:rsid w:val="007C3A0D"/>
    <w:rsid w:val="007C3EB0"/>
    <w:rsid w:val="007C43D6"/>
    <w:rsid w:val="007C47FF"/>
    <w:rsid w:val="007C60A8"/>
    <w:rsid w:val="007C660F"/>
    <w:rsid w:val="007C6664"/>
    <w:rsid w:val="007C66FF"/>
    <w:rsid w:val="007C69AE"/>
    <w:rsid w:val="007C6FE9"/>
    <w:rsid w:val="007C7688"/>
    <w:rsid w:val="007C76E3"/>
    <w:rsid w:val="007C76F3"/>
    <w:rsid w:val="007C7DD9"/>
    <w:rsid w:val="007D03BC"/>
    <w:rsid w:val="007D0DC9"/>
    <w:rsid w:val="007D0ECD"/>
    <w:rsid w:val="007D2882"/>
    <w:rsid w:val="007D296C"/>
    <w:rsid w:val="007D2C31"/>
    <w:rsid w:val="007D2E50"/>
    <w:rsid w:val="007D3D74"/>
    <w:rsid w:val="007D445F"/>
    <w:rsid w:val="007D4DED"/>
    <w:rsid w:val="007D5BA2"/>
    <w:rsid w:val="007D5ED3"/>
    <w:rsid w:val="007D682F"/>
    <w:rsid w:val="007D6FB9"/>
    <w:rsid w:val="007D7211"/>
    <w:rsid w:val="007E0595"/>
    <w:rsid w:val="007E0654"/>
    <w:rsid w:val="007E0A63"/>
    <w:rsid w:val="007E0C63"/>
    <w:rsid w:val="007E0E05"/>
    <w:rsid w:val="007E0F5D"/>
    <w:rsid w:val="007E23A1"/>
    <w:rsid w:val="007E259F"/>
    <w:rsid w:val="007E347E"/>
    <w:rsid w:val="007E41A4"/>
    <w:rsid w:val="007E43E3"/>
    <w:rsid w:val="007E54B8"/>
    <w:rsid w:val="007E5D12"/>
    <w:rsid w:val="007E6420"/>
    <w:rsid w:val="007E677F"/>
    <w:rsid w:val="007E6B25"/>
    <w:rsid w:val="007E6E06"/>
    <w:rsid w:val="007E6F4A"/>
    <w:rsid w:val="007E79CC"/>
    <w:rsid w:val="007F1124"/>
    <w:rsid w:val="007F152D"/>
    <w:rsid w:val="007F20C4"/>
    <w:rsid w:val="007F20EE"/>
    <w:rsid w:val="007F23D8"/>
    <w:rsid w:val="007F307A"/>
    <w:rsid w:val="007F30C6"/>
    <w:rsid w:val="007F38FD"/>
    <w:rsid w:val="007F3C18"/>
    <w:rsid w:val="007F4318"/>
    <w:rsid w:val="007F4709"/>
    <w:rsid w:val="007F47DA"/>
    <w:rsid w:val="007F4E52"/>
    <w:rsid w:val="007F4F84"/>
    <w:rsid w:val="007F5382"/>
    <w:rsid w:val="007F55A4"/>
    <w:rsid w:val="007F5D28"/>
    <w:rsid w:val="007F6260"/>
    <w:rsid w:val="007F682B"/>
    <w:rsid w:val="007F78E8"/>
    <w:rsid w:val="007F79FA"/>
    <w:rsid w:val="007F7F8F"/>
    <w:rsid w:val="00800509"/>
    <w:rsid w:val="0080078E"/>
    <w:rsid w:val="00800B7F"/>
    <w:rsid w:val="008012B1"/>
    <w:rsid w:val="008019E5"/>
    <w:rsid w:val="00801D63"/>
    <w:rsid w:val="0080348B"/>
    <w:rsid w:val="00803D82"/>
    <w:rsid w:val="00803D98"/>
    <w:rsid w:val="008052CE"/>
    <w:rsid w:val="0080548A"/>
    <w:rsid w:val="008058D0"/>
    <w:rsid w:val="00806A4C"/>
    <w:rsid w:val="0080705B"/>
    <w:rsid w:val="0080723C"/>
    <w:rsid w:val="00807F71"/>
    <w:rsid w:val="0081000F"/>
    <w:rsid w:val="00812657"/>
    <w:rsid w:val="00812A1A"/>
    <w:rsid w:val="00812DFF"/>
    <w:rsid w:val="008135BD"/>
    <w:rsid w:val="0081362F"/>
    <w:rsid w:val="0081383A"/>
    <w:rsid w:val="0081497F"/>
    <w:rsid w:val="00814B90"/>
    <w:rsid w:val="00814FC7"/>
    <w:rsid w:val="0081660C"/>
    <w:rsid w:val="00816AD8"/>
    <w:rsid w:val="00817195"/>
    <w:rsid w:val="00817416"/>
    <w:rsid w:val="00817658"/>
    <w:rsid w:val="008206AE"/>
    <w:rsid w:val="00821271"/>
    <w:rsid w:val="00821306"/>
    <w:rsid w:val="008213D9"/>
    <w:rsid w:val="008216CE"/>
    <w:rsid w:val="008218AE"/>
    <w:rsid w:val="00821D85"/>
    <w:rsid w:val="00821E47"/>
    <w:rsid w:val="008220F6"/>
    <w:rsid w:val="00822456"/>
    <w:rsid w:val="00823819"/>
    <w:rsid w:val="00823C4B"/>
    <w:rsid w:val="0082427D"/>
    <w:rsid w:val="00825441"/>
    <w:rsid w:val="00826855"/>
    <w:rsid w:val="00830052"/>
    <w:rsid w:val="008300D0"/>
    <w:rsid w:val="008308D8"/>
    <w:rsid w:val="008320D2"/>
    <w:rsid w:val="008321CE"/>
    <w:rsid w:val="0083257C"/>
    <w:rsid w:val="0083261B"/>
    <w:rsid w:val="00832B44"/>
    <w:rsid w:val="00832EC9"/>
    <w:rsid w:val="00833307"/>
    <w:rsid w:val="00833583"/>
    <w:rsid w:val="00833B5B"/>
    <w:rsid w:val="00833E9A"/>
    <w:rsid w:val="00834FEF"/>
    <w:rsid w:val="00836323"/>
    <w:rsid w:val="008379FF"/>
    <w:rsid w:val="00837D3D"/>
    <w:rsid w:val="00837E9B"/>
    <w:rsid w:val="008404AA"/>
    <w:rsid w:val="008406D7"/>
    <w:rsid w:val="0084074F"/>
    <w:rsid w:val="008407BA"/>
    <w:rsid w:val="00840AA3"/>
    <w:rsid w:val="00840AAC"/>
    <w:rsid w:val="0084101C"/>
    <w:rsid w:val="0084181B"/>
    <w:rsid w:val="00841F29"/>
    <w:rsid w:val="008425CC"/>
    <w:rsid w:val="00842DC2"/>
    <w:rsid w:val="0084357B"/>
    <w:rsid w:val="00845B14"/>
    <w:rsid w:val="008465B4"/>
    <w:rsid w:val="00846D25"/>
    <w:rsid w:val="00847B75"/>
    <w:rsid w:val="00850013"/>
    <w:rsid w:val="008500DD"/>
    <w:rsid w:val="00850A0A"/>
    <w:rsid w:val="00850A94"/>
    <w:rsid w:val="00851E96"/>
    <w:rsid w:val="00851F1C"/>
    <w:rsid w:val="00852FA5"/>
    <w:rsid w:val="00853F7D"/>
    <w:rsid w:val="0085517F"/>
    <w:rsid w:val="0085562D"/>
    <w:rsid w:val="00855A78"/>
    <w:rsid w:val="00856154"/>
    <w:rsid w:val="00856286"/>
    <w:rsid w:val="0085657E"/>
    <w:rsid w:val="00856F0E"/>
    <w:rsid w:val="008573AF"/>
    <w:rsid w:val="008576B0"/>
    <w:rsid w:val="00860296"/>
    <w:rsid w:val="008602E3"/>
    <w:rsid w:val="00860DA4"/>
    <w:rsid w:val="00861146"/>
    <w:rsid w:val="00861948"/>
    <w:rsid w:val="00862011"/>
    <w:rsid w:val="00862A15"/>
    <w:rsid w:val="00862CC9"/>
    <w:rsid w:val="00862D8E"/>
    <w:rsid w:val="00862EF2"/>
    <w:rsid w:val="0086598A"/>
    <w:rsid w:val="00865C3D"/>
    <w:rsid w:val="00865F4C"/>
    <w:rsid w:val="00866453"/>
    <w:rsid w:val="0086707F"/>
    <w:rsid w:val="00867501"/>
    <w:rsid w:val="00867D8E"/>
    <w:rsid w:val="008700C0"/>
    <w:rsid w:val="0087058B"/>
    <w:rsid w:val="0087099A"/>
    <w:rsid w:val="00870D79"/>
    <w:rsid w:val="00871333"/>
    <w:rsid w:val="00871952"/>
    <w:rsid w:val="00872006"/>
    <w:rsid w:val="00872386"/>
    <w:rsid w:val="008726D7"/>
    <w:rsid w:val="00873128"/>
    <w:rsid w:val="008735BC"/>
    <w:rsid w:val="00873AAC"/>
    <w:rsid w:val="00873C61"/>
    <w:rsid w:val="00873DFD"/>
    <w:rsid w:val="008749BF"/>
    <w:rsid w:val="00875542"/>
    <w:rsid w:val="00875E14"/>
    <w:rsid w:val="0087677E"/>
    <w:rsid w:val="0087712C"/>
    <w:rsid w:val="008776E7"/>
    <w:rsid w:val="00877746"/>
    <w:rsid w:val="00877C5D"/>
    <w:rsid w:val="00880354"/>
    <w:rsid w:val="0088093C"/>
    <w:rsid w:val="00880BC0"/>
    <w:rsid w:val="0088127A"/>
    <w:rsid w:val="00881D59"/>
    <w:rsid w:val="008826D7"/>
    <w:rsid w:val="00882991"/>
    <w:rsid w:val="00882EC1"/>
    <w:rsid w:val="00883236"/>
    <w:rsid w:val="0088324E"/>
    <w:rsid w:val="0088434F"/>
    <w:rsid w:val="00884371"/>
    <w:rsid w:val="008848E2"/>
    <w:rsid w:val="00884B7A"/>
    <w:rsid w:val="00884D47"/>
    <w:rsid w:val="008856C5"/>
    <w:rsid w:val="00886112"/>
    <w:rsid w:val="008872B3"/>
    <w:rsid w:val="00887392"/>
    <w:rsid w:val="00890A64"/>
    <w:rsid w:val="00890C40"/>
    <w:rsid w:val="0089122E"/>
    <w:rsid w:val="008912A7"/>
    <w:rsid w:val="0089183A"/>
    <w:rsid w:val="008920B4"/>
    <w:rsid w:val="008925EB"/>
    <w:rsid w:val="0089275E"/>
    <w:rsid w:val="00892B43"/>
    <w:rsid w:val="00893432"/>
    <w:rsid w:val="00893936"/>
    <w:rsid w:val="00893CE2"/>
    <w:rsid w:val="00893F41"/>
    <w:rsid w:val="00895144"/>
    <w:rsid w:val="00895963"/>
    <w:rsid w:val="008972B6"/>
    <w:rsid w:val="00897339"/>
    <w:rsid w:val="00897697"/>
    <w:rsid w:val="008977E1"/>
    <w:rsid w:val="00897BFA"/>
    <w:rsid w:val="00897D19"/>
    <w:rsid w:val="008A0044"/>
    <w:rsid w:val="008A0156"/>
    <w:rsid w:val="008A0BFE"/>
    <w:rsid w:val="008A1932"/>
    <w:rsid w:val="008A21D9"/>
    <w:rsid w:val="008A232D"/>
    <w:rsid w:val="008A3182"/>
    <w:rsid w:val="008A3C76"/>
    <w:rsid w:val="008A3D54"/>
    <w:rsid w:val="008A3E10"/>
    <w:rsid w:val="008A411C"/>
    <w:rsid w:val="008A4630"/>
    <w:rsid w:val="008A47CE"/>
    <w:rsid w:val="008A4DFA"/>
    <w:rsid w:val="008A5F2F"/>
    <w:rsid w:val="008A6BAE"/>
    <w:rsid w:val="008A7350"/>
    <w:rsid w:val="008A7A72"/>
    <w:rsid w:val="008B09F3"/>
    <w:rsid w:val="008B111A"/>
    <w:rsid w:val="008B16E6"/>
    <w:rsid w:val="008B1AB2"/>
    <w:rsid w:val="008B1D9B"/>
    <w:rsid w:val="008B2042"/>
    <w:rsid w:val="008B20FF"/>
    <w:rsid w:val="008B25F1"/>
    <w:rsid w:val="008B3567"/>
    <w:rsid w:val="008B36D0"/>
    <w:rsid w:val="008B38AF"/>
    <w:rsid w:val="008B3D7F"/>
    <w:rsid w:val="008B3E1B"/>
    <w:rsid w:val="008B3F4B"/>
    <w:rsid w:val="008B48EC"/>
    <w:rsid w:val="008B4AF0"/>
    <w:rsid w:val="008B518E"/>
    <w:rsid w:val="008B527B"/>
    <w:rsid w:val="008B5AB9"/>
    <w:rsid w:val="008B67E6"/>
    <w:rsid w:val="008B69B8"/>
    <w:rsid w:val="008B7042"/>
    <w:rsid w:val="008B770C"/>
    <w:rsid w:val="008C0325"/>
    <w:rsid w:val="008C094A"/>
    <w:rsid w:val="008C1570"/>
    <w:rsid w:val="008C1792"/>
    <w:rsid w:val="008C17B2"/>
    <w:rsid w:val="008C1E3E"/>
    <w:rsid w:val="008C2059"/>
    <w:rsid w:val="008C21D0"/>
    <w:rsid w:val="008C2DBC"/>
    <w:rsid w:val="008C3A4E"/>
    <w:rsid w:val="008C5371"/>
    <w:rsid w:val="008C623D"/>
    <w:rsid w:val="008C65F4"/>
    <w:rsid w:val="008C6683"/>
    <w:rsid w:val="008C6E0C"/>
    <w:rsid w:val="008C7273"/>
    <w:rsid w:val="008C78F8"/>
    <w:rsid w:val="008D05DF"/>
    <w:rsid w:val="008D09E8"/>
    <w:rsid w:val="008D0E65"/>
    <w:rsid w:val="008D110A"/>
    <w:rsid w:val="008D1612"/>
    <w:rsid w:val="008D20CE"/>
    <w:rsid w:val="008D2259"/>
    <w:rsid w:val="008D2531"/>
    <w:rsid w:val="008D2833"/>
    <w:rsid w:val="008D2A5B"/>
    <w:rsid w:val="008D313A"/>
    <w:rsid w:val="008D3381"/>
    <w:rsid w:val="008D33FE"/>
    <w:rsid w:val="008D3B9F"/>
    <w:rsid w:val="008D3D02"/>
    <w:rsid w:val="008D3D5A"/>
    <w:rsid w:val="008D4226"/>
    <w:rsid w:val="008D4D7C"/>
    <w:rsid w:val="008D5432"/>
    <w:rsid w:val="008D54C0"/>
    <w:rsid w:val="008D5558"/>
    <w:rsid w:val="008D5806"/>
    <w:rsid w:val="008D5ED9"/>
    <w:rsid w:val="008D7247"/>
    <w:rsid w:val="008D7567"/>
    <w:rsid w:val="008E0EE4"/>
    <w:rsid w:val="008E109B"/>
    <w:rsid w:val="008E12BE"/>
    <w:rsid w:val="008E13FD"/>
    <w:rsid w:val="008E1C24"/>
    <w:rsid w:val="008E2626"/>
    <w:rsid w:val="008E27A9"/>
    <w:rsid w:val="008E323C"/>
    <w:rsid w:val="008E32E0"/>
    <w:rsid w:val="008E35A6"/>
    <w:rsid w:val="008E36D9"/>
    <w:rsid w:val="008E3A5C"/>
    <w:rsid w:val="008E3A9A"/>
    <w:rsid w:val="008E429E"/>
    <w:rsid w:val="008E58A3"/>
    <w:rsid w:val="008E5938"/>
    <w:rsid w:val="008E6109"/>
    <w:rsid w:val="008E6A39"/>
    <w:rsid w:val="008E76BB"/>
    <w:rsid w:val="008F1764"/>
    <w:rsid w:val="008F1E3D"/>
    <w:rsid w:val="008F235C"/>
    <w:rsid w:val="008F290B"/>
    <w:rsid w:val="008F2F11"/>
    <w:rsid w:val="008F3369"/>
    <w:rsid w:val="008F33A6"/>
    <w:rsid w:val="008F35EC"/>
    <w:rsid w:val="008F4FE8"/>
    <w:rsid w:val="008F4FED"/>
    <w:rsid w:val="008F5D5A"/>
    <w:rsid w:val="008F6200"/>
    <w:rsid w:val="008F62F8"/>
    <w:rsid w:val="008F6893"/>
    <w:rsid w:val="008F7292"/>
    <w:rsid w:val="008F76C0"/>
    <w:rsid w:val="009000F2"/>
    <w:rsid w:val="0090079D"/>
    <w:rsid w:val="0090086A"/>
    <w:rsid w:val="00900D2C"/>
    <w:rsid w:val="00901807"/>
    <w:rsid w:val="00901F0E"/>
    <w:rsid w:val="00902A26"/>
    <w:rsid w:val="00902A57"/>
    <w:rsid w:val="00902B29"/>
    <w:rsid w:val="00903C83"/>
    <w:rsid w:val="00903D77"/>
    <w:rsid w:val="00903FA1"/>
    <w:rsid w:val="0090408F"/>
    <w:rsid w:val="0090446A"/>
    <w:rsid w:val="00904537"/>
    <w:rsid w:val="00904DC3"/>
    <w:rsid w:val="0090534A"/>
    <w:rsid w:val="00905469"/>
    <w:rsid w:val="009054F4"/>
    <w:rsid w:val="00906078"/>
    <w:rsid w:val="0090629C"/>
    <w:rsid w:val="00906EA2"/>
    <w:rsid w:val="00907278"/>
    <w:rsid w:val="00910041"/>
    <w:rsid w:val="0091112B"/>
    <w:rsid w:val="00911D61"/>
    <w:rsid w:val="00912850"/>
    <w:rsid w:val="009128B8"/>
    <w:rsid w:val="0091472C"/>
    <w:rsid w:val="00914DC9"/>
    <w:rsid w:val="00914F4F"/>
    <w:rsid w:val="00915351"/>
    <w:rsid w:val="00915679"/>
    <w:rsid w:val="009159C2"/>
    <w:rsid w:val="0091627F"/>
    <w:rsid w:val="00916E45"/>
    <w:rsid w:val="0092077A"/>
    <w:rsid w:val="00920DC0"/>
    <w:rsid w:val="009219F3"/>
    <w:rsid w:val="009221CB"/>
    <w:rsid w:val="00922320"/>
    <w:rsid w:val="00923643"/>
    <w:rsid w:val="00923E1A"/>
    <w:rsid w:val="009245CC"/>
    <w:rsid w:val="0092490A"/>
    <w:rsid w:val="00925A3E"/>
    <w:rsid w:val="009261DB"/>
    <w:rsid w:val="00926939"/>
    <w:rsid w:val="00926F4C"/>
    <w:rsid w:val="00927330"/>
    <w:rsid w:val="00927710"/>
    <w:rsid w:val="009307CA"/>
    <w:rsid w:val="009312F9"/>
    <w:rsid w:val="00931445"/>
    <w:rsid w:val="00931AB8"/>
    <w:rsid w:val="00931C19"/>
    <w:rsid w:val="00931C63"/>
    <w:rsid w:val="00931D10"/>
    <w:rsid w:val="0093218A"/>
    <w:rsid w:val="0093386D"/>
    <w:rsid w:val="00934C8E"/>
    <w:rsid w:val="00935194"/>
    <w:rsid w:val="00936EA5"/>
    <w:rsid w:val="00937114"/>
    <w:rsid w:val="0094015D"/>
    <w:rsid w:val="00940916"/>
    <w:rsid w:val="009412B7"/>
    <w:rsid w:val="00941B13"/>
    <w:rsid w:val="0094215C"/>
    <w:rsid w:val="00942F8E"/>
    <w:rsid w:val="00943543"/>
    <w:rsid w:val="009441DB"/>
    <w:rsid w:val="00944834"/>
    <w:rsid w:val="00946128"/>
    <w:rsid w:val="0094633F"/>
    <w:rsid w:val="00947BA5"/>
    <w:rsid w:val="00950805"/>
    <w:rsid w:val="009517E4"/>
    <w:rsid w:val="009518D4"/>
    <w:rsid w:val="009520BC"/>
    <w:rsid w:val="009521D2"/>
    <w:rsid w:val="00952403"/>
    <w:rsid w:val="00952589"/>
    <w:rsid w:val="00952BD8"/>
    <w:rsid w:val="00953573"/>
    <w:rsid w:val="009537C0"/>
    <w:rsid w:val="009557A9"/>
    <w:rsid w:val="00956647"/>
    <w:rsid w:val="00956CF3"/>
    <w:rsid w:val="00957380"/>
    <w:rsid w:val="00957409"/>
    <w:rsid w:val="00957499"/>
    <w:rsid w:val="00957ED2"/>
    <w:rsid w:val="009604AE"/>
    <w:rsid w:val="009609AF"/>
    <w:rsid w:val="00960DE4"/>
    <w:rsid w:val="009610C7"/>
    <w:rsid w:val="00961164"/>
    <w:rsid w:val="009612A4"/>
    <w:rsid w:val="00961867"/>
    <w:rsid w:val="00961A4F"/>
    <w:rsid w:val="009625B7"/>
    <w:rsid w:val="00962FB8"/>
    <w:rsid w:val="00963183"/>
    <w:rsid w:val="0096373F"/>
    <w:rsid w:val="00964007"/>
    <w:rsid w:val="00964283"/>
    <w:rsid w:val="009642A4"/>
    <w:rsid w:val="009643F4"/>
    <w:rsid w:val="009645A6"/>
    <w:rsid w:val="00964F5A"/>
    <w:rsid w:val="0096527F"/>
    <w:rsid w:val="009653ED"/>
    <w:rsid w:val="00965B85"/>
    <w:rsid w:val="00966A21"/>
    <w:rsid w:val="00966AD2"/>
    <w:rsid w:val="0097025C"/>
    <w:rsid w:val="00971415"/>
    <w:rsid w:val="009716D8"/>
    <w:rsid w:val="00971F54"/>
    <w:rsid w:val="00972057"/>
    <w:rsid w:val="0097227B"/>
    <w:rsid w:val="0097262E"/>
    <w:rsid w:val="0097293F"/>
    <w:rsid w:val="00973103"/>
    <w:rsid w:val="00974022"/>
    <w:rsid w:val="009743E8"/>
    <w:rsid w:val="009745D8"/>
    <w:rsid w:val="00974F3B"/>
    <w:rsid w:val="0097552A"/>
    <w:rsid w:val="0097564A"/>
    <w:rsid w:val="00975974"/>
    <w:rsid w:val="00975D06"/>
    <w:rsid w:val="00975D63"/>
    <w:rsid w:val="00975DAE"/>
    <w:rsid w:val="00976BBE"/>
    <w:rsid w:val="00977349"/>
    <w:rsid w:val="0098055B"/>
    <w:rsid w:val="00980B30"/>
    <w:rsid w:val="009810BE"/>
    <w:rsid w:val="009817BC"/>
    <w:rsid w:val="009819A7"/>
    <w:rsid w:val="0098220A"/>
    <w:rsid w:val="00982E75"/>
    <w:rsid w:val="00983337"/>
    <w:rsid w:val="009836AA"/>
    <w:rsid w:val="009846BF"/>
    <w:rsid w:val="009851F5"/>
    <w:rsid w:val="0098534B"/>
    <w:rsid w:val="00986019"/>
    <w:rsid w:val="00986281"/>
    <w:rsid w:val="00986FC9"/>
    <w:rsid w:val="0098764E"/>
    <w:rsid w:val="00987683"/>
    <w:rsid w:val="00987826"/>
    <w:rsid w:val="00987B4F"/>
    <w:rsid w:val="00987D58"/>
    <w:rsid w:val="0099034B"/>
    <w:rsid w:val="009906D4"/>
    <w:rsid w:val="00990A8E"/>
    <w:rsid w:val="00990EB7"/>
    <w:rsid w:val="00990F5F"/>
    <w:rsid w:val="009911A7"/>
    <w:rsid w:val="009913B8"/>
    <w:rsid w:val="009914E4"/>
    <w:rsid w:val="00992141"/>
    <w:rsid w:val="009921DB"/>
    <w:rsid w:val="00992C67"/>
    <w:rsid w:val="00992D5B"/>
    <w:rsid w:val="00992F7F"/>
    <w:rsid w:val="00993135"/>
    <w:rsid w:val="00993AC7"/>
    <w:rsid w:val="00993BAD"/>
    <w:rsid w:val="00993E49"/>
    <w:rsid w:val="00994120"/>
    <w:rsid w:val="009942F5"/>
    <w:rsid w:val="00994568"/>
    <w:rsid w:val="00994602"/>
    <w:rsid w:val="00995B01"/>
    <w:rsid w:val="00996055"/>
    <w:rsid w:val="00996EF4"/>
    <w:rsid w:val="00997044"/>
    <w:rsid w:val="00997BC9"/>
    <w:rsid w:val="009A113D"/>
    <w:rsid w:val="009A1ECA"/>
    <w:rsid w:val="009A2BE9"/>
    <w:rsid w:val="009A2BF3"/>
    <w:rsid w:val="009A3688"/>
    <w:rsid w:val="009A3713"/>
    <w:rsid w:val="009A3C3E"/>
    <w:rsid w:val="009A4153"/>
    <w:rsid w:val="009A4C2C"/>
    <w:rsid w:val="009A59B3"/>
    <w:rsid w:val="009A5FAE"/>
    <w:rsid w:val="009A6B3A"/>
    <w:rsid w:val="009A70A3"/>
    <w:rsid w:val="009A73C5"/>
    <w:rsid w:val="009A7E7C"/>
    <w:rsid w:val="009B05D2"/>
    <w:rsid w:val="009B152B"/>
    <w:rsid w:val="009B2731"/>
    <w:rsid w:val="009B2DCF"/>
    <w:rsid w:val="009B39D8"/>
    <w:rsid w:val="009B3D38"/>
    <w:rsid w:val="009B4368"/>
    <w:rsid w:val="009B4D4C"/>
    <w:rsid w:val="009B66F5"/>
    <w:rsid w:val="009B7505"/>
    <w:rsid w:val="009C0020"/>
    <w:rsid w:val="009C03F7"/>
    <w:rsid w:val="009C10DA"/>
    <w:rsid w:val="009C19FC"/>
    <w:rsid w:val="009C27F7"/>
    <w:rsid w:val="009C3BC4"/>
    <w:rsid w:val="009C3C93"/>
    <w:rsid w:val="009C3E97"/>
    <w:rsid w:val="009C4017"/>
    <w:rsid w:val="009C424E"/>
    <w:rsid w:val="009C4708"/>
    <w:rsid w:val="009C4870"/>
    <w:rsid w:val="009C4C4E"/>
    <w:rsid w:val="009C4D37"/>
    <w:rsid w:val="009C574C"/>
    <w:rsid w:val="009C5753"/>
    <w:rsid w:val="009C5E42"/>
    <w:rsid w:val="009C620F"/>
    <w:rsid w:val="009C657D"/>
    <w:rsid w:val="009C724B"/>
    <w:rsid w:val="009C7266"/>
    <w:rsid w:val="009C748A"/>
    <w:rsid w:val="009D03B7"/>
    <w:rsid w:val="009D07AD"/>
    <w:rsid w:val="009D0824"/>
    <w:rsid w:val="009D1172"/>
    <w:rsid w:val="009D13CC"/>
    <w:rsid w:val="009D1654"/>
    <w:rsid w:val="009D1AAC"/>
    <w:rsid w:val="009D1BDB"/>
    <w:rsid w:val="009D298F"/>
    <w:rsid w:val="009D2F9C"/>
    <w:rsid w:val="009D4207"/>
    <w:rsid w:val="009D4E4A"/>
    <w:rsid w:val="009D5130"/>
    <w:rsid w:val="009D53D1"/>
    <w:rsid w:val="009D53FB"/>
    <w:rsid w:val="009D56A4"/>
    <w:rsid w:val="009D6081"/>
    <w:rsid w:val="009D678C"/>
    <w:rsid w:val="009D6B9A"/>
    <w:rsid w:val="009D6D30"/>
    <w:rsid w:val="009D7523"/>
    <w:rsid w:val="009D76B5"/>
    <w:rsid w:val="009D7AF1"/>
    <w:rsid w:val="009D7BC7"/>
    <w:rsid w:val="009D7FAC"/>
    <w:rsid w:val="009E0109"/>
    <w:rsid w:val="009E0342"/>
    <w:rsid w:val="009E098B"/>
    <w:rsid w:val="009E09AB"/>
    <w:rsid w:val="009E0D7D"/>
    <w:rsid w:val="009E0DAF"/>
    <w:rsid w:val="009E19BB"/>
    <w:rsid w:val="009E1C47"/>
    <w:rsid w:val="009E38D1"/>
    <w:rsid w:val="009E3DF1"/>
    <w:rsid w:val="009E514A"/>
    <w:rsid w:val="009E5177"/>
    <w:rsid w:val="009E5701"/>
    <w:rsid w:val="009E5711"/>
    <w:rsid w:val="009E758E"/>
    <w:rsid w:val="009E7BFB"/>
    <w:rsid w:val="009E7D6B"/>
    <w:rsid w:val="009E7E81"/>
    <w:rsid w:val="009F020A"/>
    <w:rsid w:val="009F05AD"/>
    <w:rsid w:val="009F0659"/>
    <w:rsid w:val="009F1109"/>
    <w:rsid w:val="009F143E"/>
    <w:rsid w:val="009F1DE8"/>
    <w:rsid w:val="009F2186"/>
    <w:rsid w:val="009F227C"/>
    <w:rsid w:val="009F28DC"/>
    <w:rsid w:val="009F2E2B"/>
    <w:rsid w:val="009F2EDB"/>
    <w:rsid w:val="009F33DC"/>
    <w:rsid w:val="009F3572"/>
    <w:rsid w:val="009F3B27"/>
    <w:rsid w:val="009F4550"/>
    <w:rsid w:val="009F56C0"/>
    <w:rsid w:val="009F5C76"/>
    <w:rsid w:val="00A000C5"/>
    <w:rsid w:val="00A007B4"/>
    <w:rsid w:val="00A00930"/>
    <w:rsid w:val="00A00CA0"/>
    <w:rsid w:val="00A00E00"/>
    <w:rsid w:val="00A01221"/>
    <w:rsid w:val="00A012A8"/>
    <w:rsid w:val="00A012F1"/>
    <w:rsid w:val="00A016FF"/>
    <w:rsid w:val="00A01886"/>
    <w:rsid w:val="00A0207F"/>
    <w:rsid w:val="00A021AF"/>
    <w:rsid w:val="00A027B1"/>
    <w:rsid w:val="00A0307A"/>
    <w:rsid w:val="00A03A7C"/>
    <w:rsid w:val="00A044AA"/>
    <w:rsid w:val="00A0700C"/>
    <w:rsid w:val="00A102F8"/>
    <w:rsid w:val="00A10A20"/>
    <w:rsid w:val="00A117D5"/>
    <w:rsid w:val="00A11C11"/>
    <w:rsid w:val="00A12720"/>
    <w:rsid w:val="00A12ED1"/>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961"/>
    <w:rsid w:val="00A176DD"/>
    <w:rsid w:val="00A1770E"/>
    <w:rsid w:val="00A21838"/>
    <w:rsid w:val="00A22C3E"/>
    <w:rsid w:val="00A22C4D"/>
    <w:rsid w:val="00A2334E"/>
    <w:rsid w:val="00A23442"/>
    <w:rsid w:val="00A249D2"/>
    <w:rsid w:val="00A254AB"/>
    <w:rsid w:val="00A259F2"/>
    <w:rsid w:val="00A266CC"/>
    <w:rsid w:val="00A26DB4"/>
    <w:rsid w:val="00A27425"/>
    <w:rsid w:val="00A27F0F"/>
    <w:rsid w:val="00A3023E"/>
    <w:rsid w:val="00A305C5"/>
    <w:rsid w:val="00A30919"/>
    <w:rsid w:val="00A31F05"/>
    <w:rsid w:val="00A31FD2"/>
    <w:rsid w:val="00A3404D"/>
    <w:rsid w:val="00A341AB"/>
    <w:rsid w:val="00A34290"/>
    <w:rsid w:val="00A355F9"/>
    <w:rsid w:val="00A357D3"/>
    <w:rsid w:val="00A35AA9"/>
    <w:rsid w:val="00A35F3C"/>
    <w:rsid w:val="00A36CF6"/>
    <w:rsid w:val="00A37309"/>
    <w:rsid w:val="00A37329"/>
    <w:rsid w:val="00A37558"/>
    <w:rsid w:val="00A3786A"/>
    <w:rsid w:val="00A4008C"/>
    <w:rsid w:val="00A402A8"/>
    <w:rsid w:val="00A40685"/>
    <w:rsid w:val="00A40E2F"/>
    <w:rsid w:val="00A41819"/>
    <w:rsid w:val="00A41C9A"/>
    <w:rsid w:val="00A41D73"/>
    <w:rsid w:val="00A42406"/>
    <w:rsid w:val="00A433E8"/>
    <w:rsid w:val="00A43A1D"/>
    <w:rsid w:val="00A43AB0"/>
    <w:rsid w:val="00A44854"/>
    <w:rsid w:val="00A44A45"/>
    <w:rsid w:val="00A4665D"/>
    <w:rsid w:val="00A46859"/>
    <w:rsid w:val="00A46D39"/>
    <w:rsid w:val="00A47019"/>
    <w:rsid w:val="00A472B8"/>
    <w:rsid w:val="00A47E11"/>
    <w:rsid w:val="00A47F4D"/>
    <w:rsid w:val="00A5004A"/>
    <w:rsid w:val="00A5013E"/>
    <w:rsid w:val="00A5017C"/>
    <w:rsid w:val="00A502D6"/>
    <w:rsid w:val="00A502F5"/>
    <w:rsid w:val="00A504F4"/>
    <w:rsid w:val="00A507C4"/>
    <w:rsid w:val="00A508AA"/>
    <w:rsid w:val="00A50EE7"/>
    <w:rsid w:val="00A51A6F"/>
    <w:rsid w:val="00A526CE"/>
    <w:rsid w:val="00A5468F"/>
    <w:rsid w:val="00A54909"/>
    <w:rsid w:val="00A54DC0"/>
    <w:rsid w:val="00A550C9"/>
    <w:rsid w:val="00A55228"/>
    <w:rsid w:val="00A55410"/>
    <w:rsid w:val="00A55A04"/>
    <w:rsid w:val="00A564DE"/>
    <w:rsid w:val="00A6054E"/>
    <w:rsid w:val="00A60799"/>
    <w:rsid w:val="00A6170B"/>
    <w:rsid w:val="00A61991"/>
    <w:rsid w:val="00A61B7F"/>
    <w:rsid w:val="00A61B91"/>
    <w:rsid w:val="00A61C3A"/>
    <w:rsid w:val="00A620E8"/>
    <w:rsid w:val="00A63335"/>
    <w:rsid w:val="00A634EB"/>
    <w:rsid w:val="00A635B2"/>
    <w:rsid w:val="00A63685"/>
    <w:rsid w:val="00A63EA5"/>
    <w:rsid w:val="00A64545"/>
    <w:rsid w:val="00A645AC"/>
    <w:rsid w:val="00A64C79"/>
    <w:rsid w:val="00A65EFB"/>
    <w:rsid w:val="00A66E28"/>
    <w:rsid w:val="00A67429"/>
    <w:rsid w:val="00A677E7"/>
    <w:rsid w:val="00A67CE9"/>
    <w:rsid w:val="00A70590"/>
    <w:rsid w:val="00A7062E"/>
    <w:rsid w:val="00A70834"/>
    <w:rsid w:val="00A71542"/>
    <w:rsid w:val="00A7171F"/>
    <w:rsid w:val="00A71FA0"/>
    <w:rsid w:val="00A71FBD"/>
    <w:rsid w:val="00A72727"/>
    <w:rsid w:val="00A727D8"/>
    <w:rsid w:val="00A72C1A"/>
    <w:rsid w:val="00A732FB"/>
    <w:rsid w:val="00A7463E"/>
    <w:rsid w:val="00A75185"/>
    <w:rsid w:val="00A758E2"/>
    <w:rsid w:val="00A765B1"/>
    <w:rsid w:val="00A772F2"/>
    <w:rsid w:val="00A77828"/>
    <w:rsid w:val="00A77BAA"/>
    <w:rsid w:val="00A800F9"/>
    <w:rsid w:val="00A803A6"/>
    <w:rsid w:val="00A8073D"/>
    <w:rsid w:val="00A80D02"/>
    <w:rsid w:val="00A815FB"/>
    <w:rsid w:val="00A81AEB"/>
    <w:rsid w:val="00A82D32"/>
    <w:rsid w:val="00A82EAE"/>
    <w:rsid w:val="00A82FC7"/>
    <w:rsid w:val="00A847F9"/>
    <w:rsid w:val="00A84F27"/>
    <w:rsid w:val="00A8519C"/>
    <w:rsid w:val="00A855EE"/>
    <w:rsid w:val="00A8597A"/>
    <w:rsid w:val="00A85B87"/>
    <w:rsid w:val="00A85F83"/>
    <w:rsid w:val="00A86019"/>
    <w:rsid w:val="00A86EED"/>
    <w:rsid w:val="00A8733A"/>
    <w:rsid w:val="00A9151F"/>
    <w:rsid w:val="00A9196B"/>
    <w:rsid w:val="00A91BB5"/>
    <w:rsid w:val="00A91BEE"/>
    <w:rsid w:val="00A91D4B"/>
    <w:rsid w:val="00A920B2"/>
    <w:rsid w:val="00A92A96"/>
    <w:rsid w:val="00A92AF0"/>
    <w:rsid w:val="00A933FE"/>
    <w:rsid w:val="00A937D5"/>
    <w:rsid w:val="00A93C70"/>
    <w:rsid w:val="00A93F85"/>
    <w:rsid w:val="00A94423"/>
    <w:rsid w:val="00A94A32"/>
    <w:rsid w:val="00A94AFC"/>
    <w:rsid w:val="00A94BF5"/>
    <w:rsid w:val="00A94D97"/>
    <w:rsid w:val="00A9686A"/>
    <w:rsid w:val="00A96B4A"/>
    <w:rsid w:val="00A97BDA"/>
    <w:rsid w:val="00AA043A"/>
    <w:rsid w:val="00AA0779"/>
    <w:rsid w:val="00AA08F3"/>
    <w:rsid w:val="00AA0A7E"/>
    <w:rsid w:val="00AA0F23"/>
    <w:rsid w:val="00AA1067"/>
    <w:rsid w:val="00AA1163"/>
    <w:rsid w:val="00AA1DA8"/>
    <w:rsid w:val="00AA222C"/>
    <w:rsid w:val="00AA2264"/>
    <w:rsid w:val="00AA238E"/>
    <w:rsid w:val="00AA2483"/>
    <w:rsid w:val="00AA253B"/>
    <w:rsid w:val="00AA29F8"/>
    <w:rsid w:val="00AA3243"/>
    <w:rsid w:val="00AA388F"/>
    <w:rsid w:val="00AA3C4C"/>
    <w:rsid w:val="00AA408E"/>
    <w:rsid w:val="00AA4DA9"/>
    <w:rsid w:val="00AA4F6D"/>
    <w:rsid w:val="00AA50CE"/>
    <w:rsid w:val="00AA536B"/>
    <w:rsid w:val="00AA57C9"/>
    <w:rsid w:val="00AA5A5C"/>
    <w:rsid w:val="00AA5A6F"/>
    <w:rsid w:val="00AA634D"/>
    <w:rsid w:val="00AA6F6C"/>
    <w:rsid w:val="00AA721D"/>
    <w:rsid w:val="00AA7519"/>
    <w:rsid w:val="00AA790A"/>
    <w:rsid w:val="00AB02EA"/>
    <w:rsid w:val="00AB110C"/>
    <w:rsid w:val="00AB227A"/>
    <w:rsid w:val="00AB22BF"/>
    <w:rsid w:val="00AB256E"/>
    <w:rsid w:val="00AB3466"/>
    <w:rsid w:val="00AB38B2"/>
    <w:rsid w:val="00AB3BBB"/>
    <w:rsid w:val="00AB408C"/>
    <w:rsid w:val="00AB40DD"/>
    <w:rsid w:val="00AB43AF"/>
    <w:rsid w:val="00AB4E41"/>
    <w:rsid w:val="00AB5EB1"/>
    <w:rsid w:val="00AB6003"/>
    <w:rsid w:val="00AB759A"/>
    <w:rsid w:val="00AB7B06"/>
    <w:rsid w:val="00AB7EAA"/>
    <w:rsid w:val="00AC0432"/>
    <w:rsid w:val="00AC0770"/>
    <w:rsid w:val="00AC1683"/>
    <w:rsid w:val="00AC1D82"/>
    <w:rsid w:val="00AC2D5F"/>
    <w:rsid w:val="00AC4094"/>
    <w:rsid w:val="00AC42B6"/>
    <w:rsid w:val="00AC4AB7"/>
    <w:rsid w:val="00AC51E0"/>
    <w:rsid w:val="00AC55E0"/>
    <w:rsid w:val="00AC6D24"/>
    <w:rsid w:val="00AC6E18"/>
    <w:rsid w:val="00AC7F64"/>
    <w:rsid w:val="00AD1065"/>
    <w:rsid w:val="00AD159E"/>
    <w:rsid w:val="00AD2AB1"/>
    <w:rsid w:val="00AD3132"/>
    <w:rsid w:val="00AD3DA6"/>
    <w:rsid w:val="00AD3F3C"/>
    <w:rsid w:val="00AD447E"/>
    <w:rsid w:val="00AD4B2F"/>
    <w:rsid w:val="00AD5F0A"/>
    <w:rsid w:val="00AD6A5B"/>
    <w:rsid w:val="00AD6B4F"/>
    <w:rsid w:val="00AD6D19"/>
    <w:rsid w:val="00AD7812"/>
    <w:rsid w:val="00AD7C42"/>
    <w:rsid w:val="00AD7CFA"/>
    <w:rsid w:val="00AE06B0"/>
    <w:rsid w:val="00AE0BD6"/>
    <w:rsid w:val="00AE0E72"/>
    <w:rsid w:val="00AE11C1"/>
    <w:rsid w:val="00AE163D"/>
    <w:rsid w:val="00AE1A42"/>
    <w:rsid w:val="00AE1C5C"/>
    <w:rsid w:val="00AE315E"/>
    <w:rsid w:val="00AE319F"/>
    <w:rsid w:val="00AE31D9"/>
    <w:rsid w:val="00AE3CF0"/>
    <w:rsid w:val="00AE4546"/>
    <w:rsid w:val="00AE6575"/>
    <w:rsid w:val="00AE71EE"/>
    <w:rsid w:val="00AE7368"/>
    <w:rsid w:val="00AE7ADA"/>
    <w:rsid w:val="00AF03CF"/>
    <w:rsid w:val="00AF0A0A"/>
    <w:rsid w:val="00AF14FC"/>
    <w:rsid w:val="00AF1ED2"/>
    <w:rsid w:val="00AF1F4E"/>
    <w:rsid w:val="00AF2302"/>
    <w:rsid w:val="00AF262A"/>
    <w:rsid w:val="00AF3557"/>
    <w:rsid w:val="00AF3F86"/>
    <w:rsid w:val="00AF4CEE"/>
    <w:rsid w:val="00AF4F4A"/>
    <w:rsid w:val="00AF584C"/>
    <w:rsid w:val="00AF5D84"/>
    <w:rsid w:val="00AF6476"/>
    <w:rsid w:val="00AF669D"/>
    <w:rsid w:val="00AF672C"/>
    <w:rsid w:val="00AF673E"/>
    <w:rsid w:val="00AF6ABE"/>
    <w:rsid w:val="00AF7389"/>
    <w:rsid w:val="00AF79DF"/>
    <w:rsid w:val="00AF7C37"/>
    <w:rsid w:val="00B00378"/>
    <w:rsid w:val="00B00D91"/>
    <w:rsid w:val="00B00E84"/>
    <w:rsid w:val="00B01DD9"/>
    <w:rsid w:val="00B01F0E"/>
    <w:rsid w:val="00B038F1"/>
    <w:rsid w:val="00B03C1B"/>
    <w:rsid w:val="00B04678"/>
    <w:rsid w:val="00B047C9"/>
    <w:rsid w:val="00B04A04"/>
    <w:rsid w:val="00B04B78"/>
    <w:rsid w:val="00B04C37"/>
    <w:rsid w:val="00B04F00"/>
    <w:rsid w:val="00B05107"/>
    <w:rsid w:val="00B05BA6"/>
    <w:rsid w:val="00B066FE"/>
    <w:rsid w:val="00B06912"/>
    <w:rsid w:val="00B06CF6"/>
    <w:rsid w:val="00B07316"/>
    <w:rsid w:val="00B07F74"/>
    <w:rsid w:val="00B10618"/>
    <w:rsid w:val="00B10B04"/>
    <w:rsid w:val="00B10CC6"/>
    <w:rsid w:val="00B11932"/>
    <w:rsid w:val="00B11A61"/>
    <w:rsid w:val="00B12082"/>
    <w:rsid w:val="00B12648"/>
    <w:rsid w:val="00B1270C"/>
    <w:rsid w:val="00B12710"/>
    <w:rsid w:val="00B13389"/>
    <w:rsid w:val="00B1364C"/>
    <w:rsid w:val="00B13EDB"/>
    <w:rsid w:val="00B141A5"/>
    <w:rsid w:val="00B14F47"/>
    <w:rsid w:val="00B15282"/>
    <w:rsid w:val="00B15286"/>
    <w:rsid w:val="00B1539F"/>
    <w:rsid w:val="00B1550D"/>
    <w:rsid w:val="00B15F6C"/>
    <w:rsid w:val="00B163E8"/>
    <w:rsid w:val="00B1767E"/>
    <w:rsid w:val="00B20760"/>
    <w:rsid w:val="00B2125C"/>
    <w:rsid w:val="00B21676"/>
    <w:rsid w:val="00B219E1"/>
    <w:rsid w:val="00B21ECF"/>
    <w:rsid w:val="00B22150"/>
    <w:rsid w:val="00B226DE"/>
    <w:rsid w:val="00B22FB5"/>
    <w:rsid w:val="00B241D5"/>
    <w:rsid w:val="00B24BE9"/>
    <w:rsid w:val="00B2547E"/>
    <w:rsid w:val="00B2551D"/>
    <w:rsid w:val="00B25F8C"/>
    <w:rsid w:val="00B260BE"/>
    <w:rsid w:val="00B26677"/>
    <w:rsid w:val="00B26A96"/>
    <w:rsid w:val="00B26F5E"/>
    <w:rsid w:val="00B274E3"/>
    <w:rsid w:val="00B2765C"/>
    <w:rsid w:val="00B27C4B"/>
    <w:rsid w:val="00B30563"/>
    <w:rsid w:val="00B3069E"/>
    <w:rsid w:val="00B30A76"/>
    <w:rsid w:val="00B31246"/>
    <w:rsid w:val="00B32295"/>
    <w:rsid w:val="00B33AB5"/>
    <w:rsid w:val="00B3412E"/>
    <w:rsid w:val="00B343E0"/>
    <w:rsid w:val="00B34478"/>
    <w:rsid w:val="00B35B6D"/>
    <w:rsid w:val="00B35D53"/>
    <w:rsid w:val="00B367C4"/>
    <w:rsid w:val="00B36D3E"/>
    <w:rsid w:val="00B37B8E"/>
    <w:rsid w:val="00B40222"/>
    <w:rsid w:val="00B404C3"/>
    <w:rsid w:val="00B41A04"/>
    <w:rsid w:val="00B42743"/>
    <w:rsid w:val="00B430E9"/>
    <w:rsid w:val="00B4311F"/>
    <w:rsid w:val="00B431AE"/>
    <w:rsid w:val="00B43A43"/>
    <w:rsid w:val="00B44288"/>
    <w:rsid w:val="00B448BF"/>
    <w:rsid w:val="00B45A59"/>
    <w:rsid w:val="00B45F9F"/>
    <w:rsid w:val="00B4627C"/>
    <w:rsid w:val="00B4641F"/>
    <w:rsid w:val="00B46793"/>
    <w:rsid w:val="00B46953"/>
    <w:rsid w:val="00B47455"/>
    <w:rsid w:val="00B47979"/>
    <w:rsid w:val="00B47A59"/>
    <w:rsid w:val="00B47ECD"/>
    <w:rsid w:val="00B47FF3"/>
    <w:rsid w:val="00B503D6"/>
    <w:rsid w:val="00B51520"/>
    <w:rsid w:val="00B515C3"/>
    <w:rsid w:val="00B517C2"/>
    <w:rsid w:val="00B518CE"/>
    <w:rsid w:val="00B51F56"/>
    <w:rsid w:val="00B52234"/>
    <w:rsid w:val="00B53623"/>
    <w:rsid w:val="00B53D1D"/>
    <w:rsid w:val="00B53E98"/>
    <w:rsid w:val="00B53F9B"/>
    <w:rsid w:val="00B54B19"/>
    <w:rsid w:val="00B55F64"/>
    <w:rsid w:val="00B56ECA"/>
    <w:rsid w:val="00B57093"/>
    <w:rsid w:val="00B57B5D"/>
    <w:rsid w:val="00B60613"/>
    <w:rsid w:val="00B61AEC"/>
    <w:rsid w:val="00B6244C"/>
    <w:rsid w:val="00B62774"/>
    <w:rsid w:val="00B62A2F"/>
    <w:rsid w:val="00B62B7B"/>
    <w:rsid w:val="00B62F0A"/>
    <w:rsid w:val="00B63484"/>
    <w:rsid w:val="00B634B7"/>
    <w:rsid w:val="00B634F1"/>
    <w:rsid w:val="00B637EF"/>
    <w:rsid w:val="00B63EF6"/>
    <w:rsid w:val="00B6440A"/>
    <w:rsid w:val="00B65788"/>
    <w:rsid w:val="00B65844"/>
    <w:rsid w:val="00B66054"/>
    <w:rsid w:val="00B6677F"/>
    <w:rsid w:val="00B66C7A"/>
    <w:rsid w:val="00B66D0C"/>
    <w:rsid w:val="00B672EA"/>
    <w:rsid w:val="00B6747B"/>
    <w:rsid w:val="00B70200"/>
    <w:rsid w:val="00B702D7"/>
    <w:rsid w:val="00B70389"/>
    <w:rsid w:val="00B70E01"/>
    <w:rsid w:val="00B713F0"/>
    <w:rsid w:val="00B72A0B"/>
    <w:rsid w:val="00B72CF0"/>
    <w:rsid w:val="00B7380E"/>
    <w:rsid w:val="00B740F6"/>
    <w:rsid w:val="00B74615"/>
    <w:rsid w:val="00B74789"/>
    <w:rsid w:val="00B755B6"/>
    <w:rsid w:val="00B75977"/>
    <w:rsid w:val="00B75A48"/>
    <w:rsid w:val="00B75CC0"/>
    <w:rsid w:val="00B76021"/>
    <w:rsid w:val="00B76FCD"/>
    <w:rsid w:val="00B76FFF"/>
    <w:rsid w:val="00B7764D"/>
    <w:rsid w:val="00B77BB2"/>
    <w:rsid w:val="00B8003B"/>
    <w:rsid w:val="00B804F8"/>
    <w:rsid w:val="00B8095A"/>
    <w:rsid w:val="00B81274"/>
    <w:rsid w:val="00B815D3"/>
    <w:rsid w:val="00B81742"/>
    <w:rsid w:val="00B817B5"/>
    <w:rsid w:val="00B823A6"/>
    <w:rsid w:val="00B83E76"/>
    <w:rsid w:val="00B83FA0"/>
    <w:rsid w:val="00B84156"/>
    <w:rsid w:val="00B846E6"/>
    <w:rsid w:val="00B8537B"/>
    <w:rsid w:val="00B85586"/>
    <w:rsid w:val="00B859FB"/>
    <w:rsid w:val="00B86289"/>
    <w:rsid w:val="00B863B3"/>
    <w:rsid w:val="00B869D3"/>
    <w:rsid w:val="00B86CF8"/>
    <w:rsid w:val="00B86E44"/>
    <w:rsid w:val="00B87359"/>
    <w:rsid w:val="00B87F1C"/>
    <w:rsid w:val="00B90D8D"/>
    <w:rsid w:val="00B91263"/>
    <w:rsid w:val="00B91B61"/>
    <w:rsid w:val="00B93849"/>
    <w:rsid w:val="00B938BD"/>
    <w:rsid w:val="00B93CF3"/>
    <w:rsid w:val="00B9407F"/>
    <w:rsid w:val="00B944E9"/>
    <w:rsid w:val="00B945D7"/>
    <w:rsid w:val="00B94896"/>
    <w:rsid w:val="00B94CDD"/>
    <w:rsid w:val="00B94DA7"/>
    <w:rsid w:val="00B95163"/>
    <w:rsid w:val="00B954D0"/>
    <w:rsid w:val="00B96DD9"/>
    <w:rsid w:val="00B96EA6"/>
    <w:rsid w:val="00B9789D"/>
    <w:rsid w:val="00B97A4C"/>
    <w:rsid w:val="00BA050E"/>
    <w:rsid w:val="00BA1289"/>
    <w:rsid w:val="00BA14B2"/>
    <w:rsid w:val="00BA15DC"/>
    <w:rsid w:val="00BA1E2F"/>
    <w:rsid w:val="00BA1EB8"/>
    <w:rsid w:val="00BA2C82"/>
    <w:rsid w:val="00BA3532"/>
    <w:rsid w:val="00BA3869"/>
    <w:rsid w:val="00BA39EB"/>
    <w:rsid w:val="00BA4399"/>
    <w:rsid w:val="00BA4452"/>
    <w:rsid w:val="00BA46C6"/>
    <w:rsid w:val="00BA4ACF"/>
    <w:rsid w:val="00BA5039"/>
    <w:rsid w:val="00BA583B"/>
    <w:rsid w:val="00BA5DF2"/>
    <w:rsid w:val="00BA5EC7"/>
    <w:rsid w:val="00BA6319"/>
    <w:rsid w:val="00BA63CE"/>
    <w:rsid w:val="00BA676E"/>
    <w:rsid w:val="00BA6980"/>
    <w:rsid w:val="00BA6EF2"/>
    <w:rsid w:val="00BA7227"/>
    <w:rsid w:val="00BA763C"/>
    <w:rsid w:val="00BA784D"/>
    <w:rsid w:val="00BA7CD7"/>
    <w:rsid w:val="00BB00E5"/>
    <w:rsid w:val="00BB1688"/>
    <w:rsid w:val="00BB1EFB"/>
    <w:rsid w:val="00BB269F"/>
    <w:rsid w:val="00BB27CC"/>
    <w:rsid w:val="00BB2ACE"/>
    <w:rsid w:val="00BB2E4E"/>
    <w:rsid w:val="00BB2E62"/>
    <w:rsid w:val="00BB36C9"/>
    <w:rsid w:val="00BB3A66"/>
    <w:rsid w:val="00BB40D1"/>
    <w:rsid w:val="00BB777D"/>
    <w:rsid w:val="00BB7EC0"/>
    <w:rsid w:val="00BB7F88"/>
    <w:rsid w:val="00BC0207"/>
    <w:rsid w:val="00BC089F"/>
    <w:rsid w:val="00BC0A0C"/>
    <w:rsid w:val="00BC0A5A"/>
    <w:rsid w:val="00BC0E64"/>
    <w:rsid w:val="00BC25D1"/>
    <w:rsid w:val="00BC2DBD"/>
    <w:rsid w:val="00BC3BCB"/>
    <w:rsid w:val="00BC3CF1"/>
    <w:rsid w:val="00BC428A"/>
    <w:rsid w:val="00BC4C40"/>
    <w:rsid w:val="00BC5854"/>
    <w:rsid w:val="00BC5A29"/>
    <w:rsid w:val="00BC5AE3"/>
    <w:rsid w:val="00BC5BAD"/>
    <w:rsid w:val="00BC692A"/>
    <w:rsid w:val="00BC76C5"/>
    <w:rsid w:val="00BC7F94"/>
    <w:rsid w:val="00BD1039"/>
    <w:rsid w:val="00BD10B7"/>
    <w:rsid w:val="00BD138A"/>
    <w:rsid w:val="00BD164A"/>
    <w:rsid w:val="00BD1BDD"/>
    <w:rsid w:val="00BD1D7D"/>
    <w:rsid w:val="00BD1E27"/>
    <w:rsid w:val="00BD2B4D"/>
    <w:rsid w:val="00BD2F08"/>
    <w:rsid w:val="00BD2FB9"/>
    <w:rsid w:val="00BD31C2"/>
    <w:rsid w:val="00BD3683"/>
    <w:rsid w:val="00BD450A"/>
    <w:rsid w:val="00BD4717"/>
    <w:rsid w:val="00BD48EA"/>
    <w:rsid w:val="00BD4BA8"/>
    <w:rsid w:val="00BD5624"/>
    <w:rsid w:val="00BD62E6"/>
    <w:rsid w:val="00BD6B0E"/>
    <w:rsid w:val="00BD734D"/>
    <w:rsid w:val="00BD7532"/>
    <w:rsid w:val="00BD7941"/>
    <w:rsid w:val="00BE0591"/>
    <w:rsid w:val="00BE0C55"/>
    <w:rsid w:val="00BE0F03"/>
    <w:rsid w:val="00BE11A2"/>
    <w:rsid w:val="00BE1EF0"/>
    <w:rsid w:val="00BE246C"/>
    <w:rsid w:val="00BE2657"/>
    <w:rsid w:val="00BE2FD2"/>
    <w:rsid w:val="00BE377A"/>
    <w:rsid w:val="00BE37AE"/>
    <w:rsid w:val="00BE3B14"/>
    <w:rsid w:val="00BE3C65"/>
    <w:rsid w:val="00BE4222"/>
    <w:rsid w:val="00BE472D"/>
    <w:rsid w:val="00BE4C03"/>
    <w:rsid w:val="00BE7F4D"/>
    <w:rsid w:val="00BF03C0"/>
    <w:rsid w:val="00BF0EBF"/>
    <w:rsid w:val="00BF1534"/>
    <w:rsid w:val="00BF2021"/>
    <w:rsid w:val="00BF21D4"/>
    <w:rsid w:val="00BF2DDC"/>
    <w:rsid w:val="00BF32DE"/>
    <w:rsid w:val="00BF4A15"/>
    <w:rsid w:val="00BF4E0E"/>
    <w:rsid w:val="00BF4E27"/>
    <w:rsid w:val="00BF4F7C"/>
    <w:rsid w:val="00BF537B"/>
    <w:rsid w:val="00BF5901"/>
    <w:rsid w:val="00BF626A"/>
    <w:rsid w:val="00BF688E"/>
    <w:rsid w:val="00BF6D77"/>
    <w:rsid w:val="00BF704C"/>
    <w:rsid w:val="00BF739A"/>
    <w:rsid w:val="00BF7EF5"/>
    <w:rsid w:val="00C00BF6"/>
    <w:rsid w:val="00C01146"/>
    <w:rsid w:val="00C0234A"/>
    <w:rsid w:val="00C0247B"/>
    <w:rsid w:val="00C0378E"/>
    <w:rsid w:val="00C04314"/>
    <w:rsid w:val="00C04BD0"/>
    <w:rsid w:val="00C05063"/>
    <w:rsid w:val="00C05730"/>
    <w:rsid w:val="00C05AF4"/>
    <w:rsid w:val="00C05AFD"/>
    <w:rsid w:val="00C0661C"/>
    <w:rsid w:val="00C0675F"/>
    <w:rsid w:val="00C06ECC"/>
    <w:rsid w:val="00C0702A"/>
    <w:rsid w:val="00C0724C"/>
    <w:rsid w:val="00C07C11"/>
    <w:rsid w:val="00C07E10"/>
    <w:rsid w:val="00C10015"/>
    <w:rsid w:val="00C1110A"/>
    <w:rsid w:val="00C11689"/>
    <w:rsid w:val="00C12414"/>
    <w:rsid w:val="00C12ECB"/>
    <w:rsid w:val="00C148B2"/>
    <w:rsid w:val="00C14ABD"/>
    <w:rsid w:val="00C151E0"/>
    <w:rsid w:val="00C155A8"/>
    <w:rsid w:val="00C159FD"/>
    <w:rsid w:val="00C15B31"/>
    <w:rsid w:val="00C15F66"/>
    <w:rsid w:val="00C1604F"/>
    <w:rsid w:val="00C166D4"/>
    <w:rsid w:val="00C168E5"/>
    <w:rsid w:val="00C1696D"/>
    <w:rsid w:val="00C16C90"/>
    <w:rsid w:val="00C17AB5"/>
    <w:rsid w:val="00C17BDC"/>
    <w:rsid w:val="00C20051"/>
    <w:rsid w:val="00C2021B"/>
    <w:rsid w:val="00C20B6C"/>
    <w:rsid w:val="00C20B86"/>
    <w:rsid w:val="00C21145"/>
    <w:rsid w:val="00C215ED"/>
    <w:rsid w:val="00C22350"/>
    <w:rsid w:val="00C2302B"/>
    <w:rsid w:val="00C23615"/>
    <w:rsid w:val="00C2397E"/>
    <w:rsid w:val="00C23A83"/>
    <w:rsid w:val="00C2410B"/>
    <w:rsid w:val="00C24381"/>
    <w:rsid w:val="00C24801"/>
    <w:rsid w:val="00C24C2E"/>
    <w:rsid w:val="00C24C7A"/>
    <w:rsid w:val="00C24FFB"/>
    <w:rsid w:val="00C25CFF"/>
    <w:rsid w:val="00C25EA6"/>
    <w:rsid w:val="00C26164"/>
    <w:rsid w:val="00C261C1"/>
    <w:rsid w:val="00C26574"/>
    <w:rsid w:val="00C26DBF"/>
    <w:rsid w:val="00C27199"/>
    <w:rsid w:val="00C27204"/>
    <w:rsid w:val="00C304E9"/>
    <w:rsid w:val="00C30B0B"/>
    <w:rsid w:val="00C31320"/>
    <w:rsid w:val="00C316B4"/>
    <w:rsid w:val="00C332D4"/>
    <w:rsid w:val="00C33A66"/>
    <w:rsid w:val="00C33E51"/>
    <w:rsid w:val="00C34C45"/>
    <w:rsid w:val="00C34C47"/>
    <w:rsid w:val="00C34FCE"/>
    <w:rsid w:val="00C35411"/>
    <w:rsid w:val="00C35EED"/>
    <w:rsid w:val="00C36B2C"/>
    <w:rsid w:val="00C3701A"/>
    <w:rsid w:val="00C379EF"/>
    <w:rsid w:val="00C379F5"/>
    <w:rsid w:val="00C405C8"/>
    <w:rsid w:val="00C40C2F"/>
    <w:rsid w:val="00C415AC"/>
    <w:rsid w:val="00C4297A"/>
    <w:rsid w:val="00C4360C"/>
    <w:rsid w:val="00C439B8"/>
    <w:rsid w:val="00C43A0B"/>
    <w:rsid w:val="00C43EDA"/>
    <w:rsid w:val="00C43FEC"/>
    <w:rsid w:val="00C4414C"/>
    <w:rsid w:val="00C45512"/>
    <w:rsid w:val="00C4602B"/>
    <w:rsid w:val="00C46564"/>
    <w:rsid w:val="00C46BFA"/>
    <w:rsid w:val="00C46DDF"/>
    <w:rsid w:val="00C500A1"/>
    <w:rsid w:val="00C50A02"/>
    <w:rsid w:val="00C51149"/>
    <w:rsid w:val="00C5117E"/>
    <w:rsid w:val="00C512D1"/>
    <w:rsid w:val="00C51856"/>
    <w:rsid w:val="00C51B04"/>
    <w:rsid w:val="00C51DB5"/>
    <w:rsid w:val="00C53CE9"/>
    <w:rsid w:val="00C5531B"/>
    <w:rsid w:val="00C55375"/>
    <w:rsid w:val="00C5570F"/>
    <w:rsid w:val="00C56C98"/>
    <w:rsid w:val="00C56DE1"/>
    <w:rsid w:val="00C56DEE"/>
    <w:rsid w:val="00C57120"/>
    <w:rsid w:val="00C571D5"/>
    <w:rsid w:val="00C575D4"/>
    <w:rsid w:val="00C61223"/>
    <w:rsid w:val="00C61246"/>
    <w:rsid w:val="00C618A8"/>
    <w:rsid w:val="00C61A78"/>
    <w:rsid w:val="00C629F3"/>
    <w:rsid w:val="00C62B88"/>
    <w:rsid w:val="00C62CD3"/>
    <w:rsid w:val="00C634F9"/>
    <w:rsid w:val="00C63CDE"/>
    <w:rsid w:val="00C643ED"/>
    <w:rsid w:val="00C64534"/>
    <w:rsid w:val="00C64D93"/>
    <w:rsid w:val="00C64F49"/>
    <w:rsid w:val="00C64F71"/>
    <w:rsid w:val="00C650E3"/>
    <w:rsid w:val="00C65200"/>
    <w:rsid w:val="00C65BD3"/>
    <w:rsid w:val="00C664FB"/>
    <w:rsid w:val="00C665DE"/>
    <w:rsid w:val="00C667C3"/>
    <w:rsid w:val="00C6728B"/>
    <w:rsid w:val="00C70718"/>
    <w:rsid w:val="00C70B25"/>
    <w:rsid w:val="00C71528"/>
    <w:rsid w:val="00C717E4"/>
    <w:rsid w:val="00C7191B"/>
    <w:rsid w:val="00C71F09"/>
    <w:rsid w:val="00C72588"/>
    <w:rsid w:val="00C727B9"/>
    <w:rsid w:val="00C72F44"/>
    <w:rsid w:val="00C73670"/>
    <w:rsid w:val="00C737D1"/>
    <w:rsid w:val="00C738A0"/>
    <w:rsid w:val="00C73DE0"/>
    <w:rsid w:val="00C74609"/>
    <w:rsid w:val="00C749AB"/>
    <w:rsid w:val="00C75A8F"/>
    <w:rsid w:val="00C76129"/>
    <w:rsid w:val="00C76C0C"/>
    <w:rsid w:val="00C76FFC"/>
    <w:rsid w:val="00C774E0"/>
    <w:rsid w:val="00C776BA"/>
    <w:rsid w:val="00C7791E"/>
    <w:rsid w:val="00C81716"/>
    <w:rsid w:val="00C832CB"/>
    <w:rsid w:val="00C84085"/>
    <w:rsid w:val="00C852DC"/>
    <w:rsid w:val="00C854A8"/>
    <w:rsid w:val="00C85677"/>
    <w:rsid w:val="00C85E17"/>
    <w:rsid w:val="00C868A7"/>
    <w:rsid w:val="00C86ABA"/>
    <w:rsid w:val="00C86BF7"/>
    <w:rsid w:val="00C87164"/>
    <w:rsid w:val="00C8786A"/>
    <w:rsid w:val="00C87BBA"/>
    <w:rsid w:val="00C87BD0"/>
    <w:rsid w:val="00C905E5"/>
    <w:rsid w:val="00C90754"/>
    <w:rsid w:val="00C90B95"/>
    <w:rsid w:val="00C90BC4"/>
    <w:rsid w:val="00C90CA9"/>
    <w:rsid w:val="00C91802"/>
    <w:rsid w:val="00C92E41"/>
    <w:rsid w:val="00C92F62"/>
    <w:rsid w:val="00C93097"/>
    <w:rsid w:val="00C93B40"/>
    <w:rsid w:val="00C93DB5"/>
    <w:rsid w:val="00C94CB9"/>
    <w:rsid w:val="00C95853"/>
    <w:rsid w:val="00C95C2F"/>
    <w:rsid w:val="00C95F87"/>
    <w:rsid w:val="00C96035"/>
    <w:rsid w:val="00C968EF"/>
    <w:rsid w:val="00C972CE"/>
    <w:rsid w:val="00CA0492"/>
    <w:rsid w:val="00CA05B0"/>
    <w:rsid w:val="00CA0632"/>
    <w:rsid w:val="00CA0A04"/>
    <w:rsid w:val="00CA2528"/>
    <w:rsid w:val="00CA33D8"/>
    <w:rsid w:val="00CA3CAB"/>
    <w:rsid w:val="00CA3FC0"/>
    <w:rsid w:val="00CA5685"/>
    <w:rsid w:val="00CA6A2E"/>
    <w:rsid w:val="00CA6B56"/>
    <w:rsid w:val="00CA7D3E"/>
    <w:rsid w:val="00CB0317"/>
    <w:rsid w:val="00CB0662"/>
    <w:rsid w:val="00CB0A82"/>
    <w:rsid w:val="00CB0F2F"/>
    <w:rsid w:val="00CB0F76"/>
    <w:rsid w:val="00CB1556"/>
    <w:rsid w:val="00CB2913"/>
    <w:rsid w:val="00CB3970"/>
    <w:rsid w:val="00CB42B9"/>
    <w:rsid w:val="00CB4550"/>
    <w:rsid w:val="00CB4F39"/>
    <w:rsid w:val="00CB52A4"/>
    <w:rsid w:val="00CB537C"/>
    <w:rsid w:val="00CB5A26"/>
    <w:rsid w:val="00CB645B"/>
    <w:rsid w:val="00CB6A93"/>
    <w:rsid w:val="00CB6C79"/>
    <w:rsid w:val="00CB77C3"/>
    <w:rsid w:val="00CB7E9C"/>
    <w:rsid w:val="00CC0072"/>
    <w:rsid w:val="00CC027A"/>
    <w:rsid w:val="00CC0915"/>
    <w:rsid w:val="00CC0FBD"/>
    <w:rsid w:val="00CC1398"/>
    <w:rsid w:val="00CC1AF5"/>
    <w:rsid w:val="00CC1B74"/>
    <w:rsid w:val="00CC291E"/>
    <w:rsid w:val="00CC2D03"/>
    <w:rsid w:val="00CC2EB0"/>
    <w:rsid w:val="00CC4701"/>
    <w:rsid w:val="00CC56B4"/>
    <w:rsid w:val="00CC5F95"/>
    <w:rsid w:val="00CC642A"/>
    <w:rsid w:val="00CC6AC7"/>
    <w:rsid w:val="00CC733D"/>
    <w:rsid w:val="00CC7617"/>
    <w:rsid w:val="00CC7E0D"/>
    <w:rsid w:val="00CC7E97"/>
    <w:rsid w:val="00CD00EB"/>
    <w:rsid w:val="00CD1255"/>
    <w:rsid w:val="00CD1484"/>
    <w:rsid w:val="00CD1892"/>
    <w:rsid w:val="00CD1C01"/>
    <w:rsid w:val="00CD1D00"/>
    <w:rsid w:val="00CD2009"/>
    <w:rsid w:val="00CD27AC"/>
    <w:rsid w:val="00CD2A82"/>
    <w:rsid w:val="00CD3CAB"/>
    <w:rsid w:val="00CD44FF"/>
    <w:rsid w:val="00CD46A7"/>
    <w:rsid w:val="00CD47BC"/>
    <w:rsid w:val="00CD4E50"/>
    <w:rsid w:val="00CD57CB"/>
    <w:rsid w:val="00CD64E1"/>
    <w:rsid w:val="00CD66BA"/>
    <w:rsid w:val="00CD68D5"/>
    <w:rsid w:val="00CD699D"/>
    <w:rsid w:val="00CD6BA3"/>
    <w:rsid w:val="00CD70DB"/>
    <w:rsid w:val="00CD7544"/>
    <w:rsid w:val="00CD78D4"/>
    <w:rsid w:val="00CE0697"/>
    <w:rsid w:val="00CE14CB"/>
    <w:rsid w:val="00CE2E2E"/>
    <w:rsid w:val="00CE3A51"/>
    <w:rsid w:val="00CE41F9"/>
    <w:rsid w:val="00CE59F6"/>
    <w:rsid w:val="00CE66CD"/>
    <w:rsid w:val="00CE6BA9"/>
    <w:rsid w:val="00CE71C3"/>
    <w:rsid w:val="00CE727A"/>
    <w:rsid w:val="00CF029C"/>
    <w:rsid w:val="00CF0AF0"/>
    <w:rsid w:val="00CF157E"/>
    <w:rsid w:val="00CF1631"/>
    <w:rsid w:val="00CF1834"/>
    <w:rsid w:val="00CF1AAA"/>
    <w:rsid w:val="00CF1EC2"/>
    <w:rsid w:val="00CF2ACF"/>
    <w:rsid w:val="00CF345B"/>
    <w:rsid w:val="00CF475F"/>
    <w:rsid w:val="00CF5008"/>
    <w:rsid w:val="00CF5069"/>
    <w:rsid w:val="00CF5E34"/>
    <w:rsid w:val="00CF6707"/>
    <w:rsid w:val="00CF7101"/>
    <w:rsid w:val="00CF7327"/>
    <w:rsid w:val="00CF7385"/>
    <w:rsid w:val="00CF7539"/>
    <w:rsid w:val="00CF75C6"/>
    <w:rsid w:val="00CF7B77"/>
    <w:rsid w:val="00CF7DF5"/>
    <w:rsid w:val="00D001D2"/>
    <w:rsid w:val="00D02A80"/>
    <w:rsid w:val="00D0352D"/>
    <w:rsid w:val="00D038DC"/>
    <w:rsid w:val="00D04F01"/>
    <w:rsid w:val="00D04F8B"/>
    <w:rsid w:val="00D054EF"/>
    <w:rsid w:val="00D05637"/>
    <w:rsid w:val="00D05BA9"/>
    <w:rsid w:val="00D05EB1"/>
    <w:rsid w:val="00D0650B"/>
    <w:rsid w:val="00D068AA"/>
    <w:rsid w:val="00D06E71"/>
    <w:rsid w:val="00D06E9C"/>
    <w:rsid w:val="00D0714B"/>
    <w:rsid w:val="00D0764E"/>
    <w:rsid w:val="00D07D82"/>
    <w:rsid w:val="00D10327"/>
    <w:rsid w:val="00D103C9"/>
    <w:rsid w:val="00D1079C"/>
    <w:rsid w:val="00D10BE1"/>
    <w:rsid w:val="00D11FE3"/>
    <w:rsid w:val="00D12393"/>
    <w:rsid w:val="00D12945"/>
    <w:rsid w:val="00D12CC0"/>
    <w:rsid w:val="00D12DA1"/>
    <w:rsid w:val="00D130C0"/>
    <w:rsid w:val="00D1343A"/>
    <w:rsid w:val="00D13D50"/>
    <w:rsid w:val="00D14101"/>
    <w:rsid w:val="00D144D8"/>
    <w:rsid w:val="00D14919"/>
    <w:rsid w:val="00D14E25"/>
    <w:rsid w:val="00D15470"/>
    <w:rsid w:val="00D15AE3"/>
    <w:rsid w:val="00D160C4"/>
    <w:rsid w:val="00D165D8"/>
    <w:rsid w:val="00D1724E"/>
    <w:rsid w:val="00D17C26"/>
    <w:rsid w:val="00D17E08"/>
    <w:rsid w:val="00D206F6"/>
    <w:rsid w:val="00D20FD1"/>
    <w:rsid w:val="00D214D4"/>
    <w:rsid w:val="00D21AAA"/>
    <w:rsid w:val="00D21E6F"/>
    <w:rsid w:val="00D2218A"/>
    <w:rsid w:val="00D22B13"/>
    <w:rsid w:val="00D2371E"/>
    <w:rsid w:val="00D237E0"/>
    <w:rsid w:val="00D23A17"/>
    <w:rsid w:val="00D25676"/>
    <w:rsid w:val="00D2579F"/>
    <w:rsid w:val="00D2580E"/>
    <w:rsid w:val="00D265A7"/>
    <w:rsid w:val="00D2690C"/>
    <w:rsid w:val="00D27129"/>
    <w:rsid w:val="00D279E7"/>
    <w:rsid w:val="00D27F75"/>
    <w:rsid w:val="00D30225"/>
    <w:rsid w:val="00D3046D"/>
    <w:rsid w:val="00D30497"/>
    <w:rsid w:val="00D30C4D"/>
    <w:rsid w:val="00D30F5F"/>
    <w:rsid w:val="00D31243"/>
    <w:rsid w:val="00D316D9"/>
    <w:rsid w:val="00D31B07"/>
    <w:rsid w:val="00D31B9D"/>
    <w:rsid w:val="00D3272E"/>
    <w:rsid w:val="00D32D38"/>
    <w:rsid w:val="00D32FA0"/>
    <w:rsid w:val="00D33112"/>
    <w:rsid w:val="00D331CB"/>
    <w:rsid w:val="00D3497A"/>
    <w:rsid w:val="00D35F2F"/>
    <w:rsid w:val="00D35FC6"/>
    <w:rsid w:val="00D36BB8"/>
    <w:rsid w:val="00D377D4"/>
    <w:rsid w:val="00D401A1"/>
    <w:rsid w:val="00D40217"/>
    <w:rsid w:val="00D40385"/>
    <w:rsid w:val="00D404CE"/>
    <w:rsid w:val="00D40E8F"/>
    <w:rsid w:val="00D412BF"/>
    <w:rsid w:val="00D417C6"/>
    <w:rsid w:val="00D417D0"/>
    <w:rsid w:val="00D42B0C"/>
    <w:rsid w:val="00D42D6E"/>
    <w:rsid w:val="00D43DEF"/>
    <w:rsid w:val="00D44259"/>
    <w:rsid w:val="00D45C61"/>
    <w:rsid w:val="00D45DDC"/>
    <w:rsid w:val="00D5064C"/>
    <w:rsid w:val="00D50C94"/>
    <w:rsid w:val="00D511E7"/>
    <w:rsid w:val="00D517ED"/>
    <w:rsid w:val="00D5251C"/>
    <w:rsid w:val="00D52F56"/>
    <w:rsid w:val="00D539DA"/>
    <w:rsid w:val="00D54A50"/>
    <w:rsid w:val="00D54FFD"/>
    <w:rsid w:val="00D5552C"/>
    <w:rsid w:val="00D5556D"/>
    <w:rsid w:val="00D55C34"/>
    <w:rsid w:val="00D55C81"/>
    <w:rsid w:val="00D5674B"/>
    <w:rsid w:val="00D56B56"/>
    <w:rsid w:val="00D56BF5"/>
    <w:rsid w:val="00D56F99"/>
    <w:rsid w:val="00D5743F"/>
    <w:rsid w:val="00D57F1F"/>
    <w:rsid w:val="00D60065"/>
    <w:rsid w:val="00D60270"/>
    <w:rsid w:val="00D605C2"/>
    <w:rsid w:val="00D60733"/>
    <w:rsid w:val="00D60C60"/>
    <w:rsid w:val="00D61E1D"/>
    <w:rsid w:val="00D629A4"/>
    <w:rsid w:val="00D62BDF"/>
    <w:rsid w:val="00D62EEE"/>
    <w:rsid w:val="00D64F1C"/>
    <w:rsid w:val="00D6570C"/>
    <w:rsid w:val="00D659EA"/>
    <w:rsid w:val="00D65A89"/>
    <w:rsid w:val="00D65E85"/>
    <w:rsid w:val="00D6611C"/>
    <w:rsid w:val="00D671C7"/>
    <w:rsid w:val="00D675B0"/>
    <w:rsid w:val="00D675DE"/>
    <w:rsid w:val="00D678BB"/>
    <w:rsid w:val="00D67D81"/>
    <w:rsid w:val="00D70170"/>
    <w:rsid w:val="00D702E8"/>
    <w:rsid w:val="00D70552"/>
    <w:rsid w:val="00D70D42"/>
    <w:rsid w:val="00D71285"/>
    <w:rsid w:val="00D71ABC"/>
    <w:rsid w:val="00D71D50"/>
    <w:rsid w:val="00D721C5"/>
    <w:rsid w:val="00D72454"/>
    <w:rsid w:val="00D729A7"/>
    <w:rsid w:val="00D72A5B"/>
    <w:rsid w:val="00D73991"/>
    <w:rsid w:val="00D73CD4"/>
    <w:rsid w:val="00D73F06"/>
    <w:rsid w:val="00D740B2"/>
    <w:rsid w:val="00D74247"/>
    <w:rsid w:val="00D743F1"/>
    <w:rsid w:val="00D744CF"/>
    <w:rsid w:val="00D7456E"/>
    <w:rsid w:val="00D753A9"/>
    <w:rsid w:val="00D755F7"/>
    <w:rsid w:val="00D75DDB"/>
    <w:rsid w:val="00D75E4B"/>
    <w:rsid w:val="00D774F4"/>
    <w:rsid w:val="00D77687"/>
    <w:rsid w:val="00D77AF6"/>
    <w:rsid w:val="00D804C5"/>
    <w:rsid w:val="00D815E6"/>
    <w:rsid w:val="00D81A28"/>
    <w:rsid w:val="00D81BDE"/>
    <w:rsid w:val="00D8201D"/>
    <w:rsid w:val="00D82B00"/>
    <w:rsid w:val="00D82B04"/>
    <w:rsid w:val="00D82BE4"/>
    <w:rsid w:val="00D82E05"/>
    <w:rsid w:val="00D83C0D"/>
    <w:rsid w:val="00D83C80"/>
    <w:rsid w:val="00D83F5B"/>
    <w:rsid w:val="00D85FDE"/>
    <w:rsid w:val="00D8665E"/>
    <w:rsid w:val="00D869C1"/>
    <w:rsid w:val="00D86EC6"/>
    <w:rsid w:val="00D87418"/>
    <w:rsid w:val="00D87A39"/>
    <w:rsid w:val="00D87FE6"/>
    <w:rsid w:val="00D90BC3"/>
    <w:rsid w:val="00D90C93"/>
    <w:rsid w:val="00D90DB9"/>
    <w:rsid w:val="00D91001"/>
    <w:rsid w:val="00D910FF"/>
    <w:rsid w:val="00D912F4"/>
    <w:rsid w:val="00D91337"/>
    <w:rsid w:val="00D915C9"/>
    <w:rsid w:val="00D918DA"/>
    <w:rsid w:val="00D9198F"/>
    <w:rsid w:val="00D92078"/>
    <w:rsid w:val="00D926F0"/>
    <w:rsid w:val="00D92A87"/>
    <w:rsid w:val="00D9384E"/>
    <w:rsid w:val="00D93AEE"/>
    <w:rsid w:val="00D93E95"/>
    <w:rsid w:val="00D9413E"/>
    <w:rsid w:val="00D94C8D"/>
    <w:rsid w:val="00D95F88"/>
    <w:rsid w:val="00D96698"/>
    <w:rsid w:val="00D96876"/>
    <w:rsid w:val="00D96940"/>
    <w:rsid w:val="00D96B12"/>
    <w:rsid w:val="00D96F59"/>
    <w:rsid w:val="00DA0175"/>
    <w:rsid w:val="00DA099C"/>
    <w:rsid w:val="00DA0F18"/>
    <w:rsid w:val="00DA2125"/>
    <w:rsid w:val="00DA21EC"/>
    <w:rsid w:val="00DA24DE"/>
    <w:rsid w:val="00DA270C"/>
    <w:rsid w:val="00DA281F"/>
    <w:rsid w:val="00DA3C5B"/>
    <w:rsid w:val="00DA3D23"/>
    <w:rsid w:val="00DA3D5D"/>
    <w:rsid w:val="00DA4A61"/>
    <w:rsid w:val="00DA5897"/>
    <w:rsid w:val="00DA5AFE"/>
    <w:rsid w:val="00DA61AB"/>
    <w:rsid w:val="00DA61CD"/>
    <w:rsid w:val="00DA6EE2"/>
    <w:rsid w:val="00DA718A"/>
    <w:rsid w:val="00DA78CF"/>
    <w:rsid w:val="00DA78D5"/>
    <w:rsid w:val="00DA7A89"/>
    <w:rsid w:val="00DA7BF4"/>
    <w:rsid w:val="00DB052F"/>
    <w:rsid w:val="00DB14D3"/>
    <w:rsid w:val="00DB154B"/>
    <w:rsid w:val="00DB1BDC"/>
    <w:rsid w:val="00DB3490"/>
    <w:rsid w:val="00DB3593"/>
    <w:rsid w:val="00DB440B"/>
    <w:rsid w:val="00DB4426"/>
    <w:rsid w:val="00DB4522"/>
    <w:rsid w:val="00DB4B40"/>
    <w:rsid w:val="00DB4F12"/>
    <w:rsid w:val="00DB4F21"/>
    <w:rsid w:val="00DB4F42"/>
    <w:rsid w:val="00DB540C"/>
    <w:rsid w:val="00DB6F96"/>
    <w:rsid w:val="00DB71B9"/>
    <w:rsid w:val="00DB7662"/>
    <w:rsid w:val="00DB7E46"/>
    <w:rsid w:val="00DC1395"/>
    <w:rsid w:val="00DC32FC"/>
    <w:rsid w:val="00DC3D89"/>
    <w:rsid w:val="00DC4567"/>
    <w:rsid w:val="00DC4D6C"/>
    <w:rsid w:val="00DC4F47"/>
    <w:rsid w:val="00DC5059"/>
    <w:rsid w:val="00DC5860"/>
    <w:rsid w:val="00DC5BD0"/>
    <w:rsid w:val="00DC5BE2"/>
    <w:rsid w:val="00DC6284"/>
    <w:rsid w:val="00DC628E"/>
    <w:rsid w:val="00DC6747"/>
    <w:rsid w:val="00DC6AF3"/>
    <w:rsid w:val="00DC7608"/>
    <w:rsid w:val="00DC761E"/>
    <w:rsid w:val="00DC7B3B"/>
    <w:rsid w:val="00DC7B9B"/>
    <w:rsid w:val="00DC7CFC"/>
    <w:rsid w:val="00DD09F2"/>
    <w:rsid w:val="00DD0DEE"/>
    <w:rsid w:val="00DD1205"/>
    <w:rsid w:val="00DD1633"/>
    <w:rsid w:val="00DD17A0"/>
    <w:rsid w:val="00DD1B97"/>
    <w:rsid w:val="00DD2831"/>
    <w:rsid w:val="00DD2A6D"/>
    <w:rsid w:val="00DD2E17"/>
    <w:rsid w:val="00DD42DE"/>
    <w:rsid w:val="00DD4309"/>
    <w:rsid w:val="00DD4344"/>
    <w:rsid w:val="00DD4357"/>
    <w:rsid w:val="00DD4DDD"/>
    <w:rsid w:val="00DD573B"/>
    <w:rsid w:val="00DD57E7"/>
    <w:rsid w:val="00DD5A1E"/>
    <w:rsid w:val="00DD5B8C"/>
    <w:rsid w:val="00DD5DFA"/>
    <w:rsid w:val="00DD5E91"/>
    <w:rsid w:val="00DD6CE2"/>
    <w:rsid w:val="00DD720D"/>
    <w:rsid w:val="00DE0229"/>
    <w:rsid w:val="00DE04E0"/>
    <w:rsid w:val="00DE12F1"/>
    <w:rsid w:val="00DE1A9D"/>
    <w:rsid w:val="00DE1CB1"/>
    <w:rsid w:val="00DE1EA4"/>
    <w:rsid w:val="00DE2073"/>
    <w:rsid w:val="00DE30AC"/>
    <w:rsid w:val="00DE38D1"/>
    <w:rsid w:val="00DE4106"/>
    <w:rsid w:val="00DE466B"/>
    <w:rsid w:val="00DE48F4"/>
    <w:rsid w:val="00DE5563"/>
    <w:rsid w:val="00DE5C19"/>
    <w:rsid w:val="00DE5D48"/>
    <w:rsid w:val="00DE6157"/>
    <w:rsid w:val="00DE6E4D"/>
    <w:rsid w:val="00DE7498"/>
    <w:rsid w:val="00DE75EF"/>
    <w:rsid w:val="00DE7611"/>
    <w:rsid w:val="00DE7D19"/>
    <w:rsid w:val="00DF05A0"/>
    <w:rsid w:val="00DF1162"/>
    <w:rsid w:val="00DF1BA8"/>
    <w:rsid w:val="00DF1F63"/>
    <w:rsid w:val="00DF28F2"/>
    <w:rsid w:val="00DF2BFF"/>
    <w:rsid w:val="00DF3798"/>
    <w:rsid w:val="00DF4FF1"/>
    <w:rsid w:val="00DF56A3"/>
    <w:rsid w:val="00DF5B33"/>
    <w:rsid w:val="00DF6FD2"/>
    <w:rsid w:val="00DF72EF"/>
    <w:rsid w:val="00DF743D"/>
    <w:rsid w:val="00DF7724"/>
    <w:rsid w:val="00E000D8"/>
    <w:rsid w:val="00E00C1E"/>
    <w:rsid w:val="00E00F5F"/>
    <w:rsid w:val="00E010E6"/>
    <w:rsid w:val="00E01377"/>
    <w:rsid w:val="00E014E7"/>
    <w:rsid w:val="00E017DE"/>
    <w:rsid w:val="00E0232F"/>
    <w:rsid w:val="00E026A9"/>
    <w:rsid w:val="00E0356F"/>
    <w:rsid w:val="00E03B42"/>
    <w:rsid w:val="00E03C10"/>
    <w:rsid w:val="00E0479F"/>
    <w:rsid w:val="00E04816"/>
    <w:rsid w:val="00E04982"/>
    <w:rsid w:val="00E04D6A"/>
    <w:rsid w:val="00E058DB"/>
    <w:rsid w:val="00E05950"/>
    <w:rsid w:val="00E05CD4"/>
    <w:rsid w:val="00E05DE8"/>
    <w:rsid w:val="00E06100"/>
    <w:rsid w:val="00E0614E"/>
    <w:rsid w:val="00E06E97"/>
    <w:rsid w:val="00E07B8F"/>
    <w:rsid w:val="00E10712"/>
    <w:rsid w:val="00E10DD1"/>
    <w:rsid w:val="00E1224C"/>
    <w:rsid w:val="00E1254C"/>
    <w:rsid w:val="00E12BDF"/>
    <w:rsid w:val="00E13326"/>
    <w:rsid w:val="00E13D07"/>
    <w:rsid w:val="00E14356"/>
    <w:rsid w:val="00E14961"/>
    <w:rsid w:val="00E14D76"/>
    <w:rsid w:val="00E15183"/>
    <w:rsid w:val="00E15D6C"/>
    <w:rsid w:val="00E1720B"/>
    <w:rsid w:val="00E203DE"/>
    <w:rsid w:val="00E20CE7"/>
    <w:rsid w:val="00E217B1"/>
    <w:rsid w:val="00E222FA"/>
    <w:rsid w:val="00E229CE"/>
    <w:rsid w:val="00E22B4A"/>
    <w:rsid w:val="00E2376D"/>
    <w:rsid w:val="00E2449B"/>
    <w:rsid w:val="00E24A62"/>
    <w:rsid w:val="00E24F52"/>
    <w:rsid w:val="00E255CC"/>
    <w:rsid w:val="00E25636"/>
    <w:rsid w:val="00E25755"/>
    <w:rsid w:val="00E25F90"/>
    <w:rsid w:val="00E266DD"/>
    <w:rsid w:val="00E26D2E"/>
    <w:rsid w:val="00E279B2"/>
    <w:rsid w:val="00E303C0"/>
    <w:rsid w:val="00E3055B"/>
    <w:rsid w:val="00E31687"/>
    <w:rsid w:val="00E31699"/>
    <w:rsid w:val="00E31761"/>
    <w:rsid w:val="00E31812"/>
    <w:rsid w:val="00E31889"/>
    <w:rsid w:val="00E31CE7"/>
    <w:rsid w:val="00E333D5"/>
    <w:rsid w:val="00E3394F"/>
    <w:rsid w:val="00E33A0B"/>
    <w:rsid w:val="00E34A2F"/>
    <w:rsid w:val="00E35A45"/>
    <w:rsid w:val="00E35F7F"/>
    <w:rsid w:val="00E36392"/>
    <w:rsid w:val="00E36B32"/>
    <w:rsid w:val="00E37A6F"/>
    <w:rsid w:val="00E37A9C"/>
    <w:rsid w:val="00E40222"/>
    <w:rsid w:val="00E40406"/>
    <w:rsid w:val="00E4082B"/>
    <w:rsid w:val="00E40835"/>
    <w:rsid w:val="00E408EC"/>
    <w:rsid w:val="00E409B5"/>
    <w:rsid w:val="00E40BCB"/>
    <w:rsid w:val="00E4208F"/>
    <w:rsid w:val="00E42E94"/>
    <w:rsid w:val="00E43006"/>
    <w:rsid w:val="00E4312A"/>
    <w:rsid w:val="00E4331B"/>
    <w:rsid w:val="00E43551"/>
    <w:rsid w:val="00E437FA"/>
    <w:rsid w:val="00E45A2C"/>
    <w:rsid w:val="00E46A6B"/>
    <w:rsid w:val="00E46A9C"/>
    <w:rsid w:val="00E47DB1"/>
    <w:rsid w:val="00E50BDD"/>
    <w:rsid w:val="00E510CF"/>
    <w:rsid w:val="00E513D7"/>
    <w:rsid w:val="00E519FE"/>
    <w:rsid w:val="00E5206C"/>
    <w:rsid w:val="00E52AAB"/>
    <w:rsid w:val="00E5448E"/>
    <w:rsid w:val="00E54E0D"/>
    <w:rsid w:val="00E55247"/>
    <w:rsid w:val="00E558E5"/>
    <w:rsid w:val="00E55B3C"/>
    <w:rsid w:val="00E56795"/>
    <w:rsid w:val="00E57932"/>
    <w:rsid w:val="00E606C4"/>
    <w:rsid w:val="00E60811"/>
    <w:rsid w:val="00E60AB8"/>
    <w:rsid w:val="00E6103E"/>
    <w:rsid w:val="00E6185F"/>
    <w:rsid w:val="00E61D32"/>
    <w:rsid w:val="00E63C60"/>
    <w:rsid w:val="00E64050"/>
    <w:rsid w:val="00E64B7B"/>
    <w:rsid w:val="00E6514D"/>
    <w:rsid w:val="00E65161"/>
    <w:rsid w:val="00E652C9"/>
    <w:rsid w:val="00E6593B"/>
    <w:rsid w:val="00E65D74"/>
    <w:rsid w:val="00E66E11"/>
    <w:rsid w:val="00E672C6"/>
    <w:rsid w:val="00E70192"/>
    <w:rsid w:val="00E70C55"/>
    <w:rsid w:val="00E70E34"/>
    <w:rsid w:val="00E71809"/>
    <w:rsid w:val="00E71D1E"/>
    <w:rsid w:val="00E726F2"/>
    <w:rsid w:val="00E728E2"/>
    <w:rsid w:val="00E738FA"/>
    <w:rsid w:val="00E739B6"/>
    <w:rsid w:val="00E74A2B"/>
    <w:rsid w:val="00E75667"/>
    <w:rsid w:val="00E756D3"/>
    <w:rsid w:val="00E75A5A"/>
    <w:rsid w:val="00E76004"/>
    <w:rsid w:val="00E7608F"/>
    <w:rsid w:val="00E760D7"/>
    <w:rsid w:val="00E769CC"/>
    <w:rsid w:val="00E77124"/>
    <w:rsid w:val="00E77341"/>
    <w:rsid w:val="00E7783E"/>
    <w:rsid w:val="00E778B8"/>
    <w:rsid w:val="00E801C7"/>
    <w:rsid w:val="00E80AF8"/>
    <w:rsid w:val="00E80BED"/>
    <w:rsid w:val="00E816E8"/>
    <w:rsid w:val="00E819C8"/>
    <w:rsid w:val="00E82592"/>
    <w:rsid w:val="00E825ED"/>
    <w:rsid w:val="00E827BB"/>
    <w:rsid w:val="00E82D24"/>
    <w:rsid w:val="00E8357D"/>
    <w:rsid w:val="00E83C4F"/>
    <w:rsid w:val="00E84212"/>
    <w:rsid w:val="00E84C04"/>
    <w:rsid w:val="00E84F72"/>
    <w:rsid w:val="00E856A2"/>
    <w:rsid w:val="00E8572B"/>
    <w:rsid w:val="00E8575B"/>
    <w:rsid w:val="00E85929"/>
    <w:rsid w:val="00E85AD2"/>
    <w:rsid w:val="00E87A37"/>
    <w:rsid w:val="00E87CF7"/>
    <w:rsid w:val="00E9036E"/>
    <w:rsid w:val="00E9078A"/>
    <w:rsid w:val="00E912FD"/>
    <w:rsid w:val="00E91B26"/>
    <w:rsid w:val="00E92C6E"/>
    <w:rsid w:val="00E92D0B"/>
    <w:rsid w:val="00E92FFF"/>
    <w:rsid w:val="00E93195"/>
    <w:rsid w:val="00E9391C"/>
    <w:rsid w:val="00E93D05"/>
    <w:rsid w:val="00E950D4"/>
    <w:rsid w:val="00E951D8"/>
    <w:rsid w:val="00E95C2A"/>
    <w:rsid w:val="00E95F03"/>
    <w:rsid w:val="00E961CB"/>
    <w:rsid w:val="00E963BC"/>
    <w:rsid w:val="00E966A6"/>
    <w:rsid w:val="00E96E91"/>
    <w:rsid w:val="00E9751D"/>
    <w:rsid w:val="00E97DC6"/>
    <w:rsid w:val="00E97F7A"/>
    <w:rsid w:val="00EA0010"/>
    <w:rsid w:val="00EA0143"/>
    <w:rsid w:val="00EA089B"/>
    <w:rsid w:val="00EA1ACC"/>
    <w:rsid w:val="00EA29E4"/>
    <w:rsid w:val="00EA2E21"/>
    <w:rsid w:val="00EA2EAA"/>
    <w:rsid w:val="00EA380C"/>
    <w:rsid w:val="00EA613D"/>
    <w:rsid w:val="00EA6744"/>
    <w:rsid w:val="00EA7077"/>
    <w:rsid w:val="00EA7308"/>
    <w:rsid w:val="00EA7474"/>
    <w:rsid w:val="00EB0831"/>
    <w:rsid w:val="00EB089C"/>
    <w:rsid w:val="00EB0AA8"/>
    <w:rsid w:val="00EB0B65"/>
    <w:rsid w:val="00EB0C65"/>
    <w:rsid w:val="00EB1624"/>
    <w:rsid w:val="00EB169F"/>
    <w:rsid w:val="00EB2635"/>
    <w:rsid w:val="00EB2961"/>
    <w:rsid w:val="00EB2E1A"/>
    <w:rsid w:val="00EB2F8A"/>
    <w:rsid w:val="00EB3268"/>
    <w:rsid w:val="00EB3298"/>
    <w:rsid w:val="00EB3939"/>
    <w:rsid w:val="00EB3CE6"/>
    <w:rsid w:val="00EB3E92"/>
    <w:rsid w:val="00EB54AB"/>
    <w:rsid w:val="00EB6257"/>
    <w:rsid w:val="00EB68E6"/>
    <w:rsid w:val="00EB6AE9"/>
    <w:rsid w:val="00EB6B2D"/>
    <w:rsid w:val="00EB71C9"/>
    <w:rsid w:val="00EB763E"/>
    <w:rsid w:val="00EB7B67"/>
    <w:rsid w:val="00EC07F1"/>
    <w:rsid w:val="00EC1E8A"/>
    <w:rsid w:val="00EC328C"/>
    <w:rsid w:val="00EC32F5"/>
    <w:rsid w:val="00EC3852"/>
    <w:rsid w:val="00EC4528"/>
    <w:rsid w:val="00EC5241"/>
    <w:rsid w:val="00EC5817"/>
    <w:rsid w:val="00EC594C"/>
    <w:rsid w:val="00EC5C7B"/>
    <w:rsid w:val="00EC66AA"/>
    <w:rsid w:val="00EC6B30"/>
    <w:rsid w:val="00EC6B8F"/>
    <w:rsid w:val="00EC7154"/>
    <w:rsid w:val="00EC7371"/>
    <w:rsid w:val="00EC73F5"/>
    <w:rsid w:val="00EC7894"/>
    <w:rsid w:val="00EC7A28"/>
    <w:rsid w:val="00EC7B48"/>
    <w:rsid w:val="00ED0151"/>
    <w:rsid w:val="00ED0257"/>
    <w:rsid w:val="00ED071B"/>
    <w:rsid w:val="00ED18B1"/>
    <w:rsid w:val="00ED1ADE"/>
    <w:rsid w:val="00ED3692"/>
    <w:rsid w:val="00ED4A77"/>
    <w:rsid w:val="00ED4B6E"/>
    <w:rsid w:val="00ED5981"/>
    <w:rsid w:val="00ED613A"/>
    <w:rsid w:val="00ED6514"/>
    <w:rsid w:val="00ED66B2"/>
    <w:rsid w:val="00ED71BA"/>
    <w:rsid w:val="00ED728F"/>
    <w:rsid w:val="00ED73A1"/>
    <w:rsid w:val="00ED7CA2"/>
    <w:rsid w:val="00EE04F9"/>
    <w:rsid w:val="00EE05E0"/>
    <w:rsid w:val="00EE0FF6"/>
    <w:rsid w:val="00EE13DA"/>
    <w:rsid w:val="00EE1595"/>
    <w:rsid w:val="00EE1E71"/>
    <w:rsid w:val="00EE2087"/>
    <w:rsid w:val="00EE20C2"/>
    <w:rsid w:val="00EE2A9D"/>
    <w:rsid w:val="00EE3384"/>
    <w:rsid w:val="00EE499F"/>
    <w:rsid w:val="00EE56E2"/>
    <w:rsid w:val="00EE5FCD"/>
    <w:rsid w:val="00EE63BF"/>
    <w:rsid w:val="00EE6D45"/>
    <w:rsid w:val="00EE6E89"/>
    <w:rsid w:val="00EF0D4B"/>
    <w:rsid w:val="00EF0FE6"/>
    <w:rsid w:val="00EF1130"/>
    <w:rsid w:val="00EF1432"/>
    <w:rsid w:val="00EF1511"/>
    <w:rsid w:val="00EF1F01"/>
    <w:rsid w:val="00EF2C39"/>
    <w:rsid w:val="00EF2C5F"/>
    <w:rsid w:val="00EF3811"/>
    <w:rsid w:val="00EF3AC4"/>
    <w:rsid w:val="00EF3FF9"/>
    <w:rsid w:val="00EF41AF"/>
    <w:rsid w:val="00EF4DB4"/>
    <w:rsid w:val="00EF5234"/>
    <w:rsid w:val="00EF55E9"/>
    <w:rsid w:val="00EF5B41"/>
    <w:rsid w:val="00EF611C"/>
    <w:rsid w:val="00EF625F"/>
    <w:rsid w:val="00EF62C0"/>
    <w:rsid w:val="00EF6D5A"/>
    <w:rsid w:val="00EF71E6"/>
    <w:rsid w:val="00F0058A"/>
    <w:rsid w:val="00F00630"/>
    <w:rsid w:val="00F00922"/>
    <w:rsid w:val="00F00924"/>
    <w:rsid w:val="00F0187E"/>
    <w:rsid w:val="00F01BE6"/>
    <w:rsid w:val="00F01F75"/>
    <w:rsid w:val="00F0217A"/>
    <w:rsid w:val="00F026D3"/>
    <w:rsid w:val="00F027E8"/>
    <w:rsid w:val="00F03395"/>
    <w:rsid w:val="00F034E6"/>
    <w:rsid w:val="00F03E4C"/>
    <w:rsid w:val="00F042D1"/>
    <w:rsid w:val="00F04D19"/>
    <w:rsid w:val="00F050A3"/>
    <w:rsid w:val="00F06340"/>
    <w:rsid w:val="00F0665D"/>
    <w:rsid w:val="00F06D42"/>
    <w:rsid w:val="00F07134"/>
    <w:rsid w:val="00F0724D"/>
    <w:rsid w:val="00F07378"/>
    <w:rsid w:val="00F10B81"/>
    <w:rsid w:val="00F10BC9"/>
    <w:rsid w:val="00F113C9"/>
    <w:rsid w:val="00F11C01"/>
    <w:rsid w:val="00F11D80"/>
    <w:rsid w:val="00F12129"/>
    <w:rsid w:val="00F121BE"/>
    <w:rsid w:val="00F14B08"/>
    <w:rsid w:val="00F14B4B"/>
    <w:rsid w:val="00F14CD1"/>
    <w:rsid w:val="00F15115"/>
    <w:rsid w:val="00F15A85"/>
    <w:rsid w:val="00F15C81"/>
    <w:rsid w:val="00F15D8C"/>
    <w:rsid w:val="00F15F18"/>
    <w:rsid w:val="00F16B86"/>
    <w:rsid w:val="00F16E1A"/>
    <w:rsid w:val="00F16F92"/>
    <w:rsid w:val="00F17C3E"/>
    <w:rsid w:val="00F20197"/>
    <w:rsid w:val="00F20369"/>
    <w:rsid w:val="00F20607"/>
    <w:rsid w:val="00F208BB"/>
    <w:rsid w:val="00F20C9E"/>
    <w:rsid w:val="00F20E2D"/>
    <w:rsid w:val="00F213D8"/>
    <w:rsid w:val="00F21A5D"/>
    <w:rsid w:val="00F21C13"/>
    <w:rsid w:val="00F22362"/>
    <w:rsid w:val="00F22796"/>
    <w:rsid w:val="00F2296A"/>
    <w:rsid w:val="00F234A4"/>
    <w:rsid w:val="00F2363A"/>
    <w:rsid w:val="00F238F7"/>
    <w:rsid w:val="00F23BA0"/>
    <w:rsid w:val="00F2420C"/>
    <w:rsid w:val="00F24B10"/>
    <w:rsid w:val="00F24C28"/>
    <w:rsid w:val="00F254C4"/>
    <w:rsid w:val="00F25641"/>
    <w:rsid w:val="00F256D8"/>
    <w:rsid w:val="00F25824"/>
    <w:rsid w:val="00F25E8C"/>
    <w:rsid w:val="00F26065"/>
    <w:rsid w:val="00F266E3"/>
    <w:rsid w:val="00F2689C"/>
    <w:rsid w:val="00F26D17"/>
    <w:rsid w:val="00F27E44"/>
    <w:rsid w:val="00F30313"/>
    <w:rsid w:val="00F303BC"/>
    <w:rsid w:val="00F30472"/>
    <w:rsid w:val="00F31052"/>
    <w:rsid w:val="00F318A1"/>
    <w:rsid w:val="00F31CF5"/>
    <w:rsid w:val="00F3265C"/>
    <w:rsid w:val="00F32C4A"/>
    <w:rsid w:val="00F33262"/>
    <w:rsid w:val="00F343EE"/>
    <w:rsid w:val="00F353F4"/>
    <w:rsid w:val="00F35494"/>
    <w:rsid w:val="00F35607"/>
    <w:rsid w:val="00F359AB"/>
    <w:rsid w:val="00F35DBA"/>
    <w:rsid w:val="00F3619D"/>
    <w:rsid w:val="00F36DDE"/>
    <w:rsid w:val="00F3722A"/>
    <w:rsid w:val="00F37366"/>
    <w:rsid w:val="00F37C99"/>
    <w:rsid w:val="00F37EDB"/>
    <w:rsid w:val="00F37FCC"/>
    <w:rsid w:val="00F419B8"/>
    <w:rsid w:val="00F41C0F"/>
    <w:rsid w:val="00F42856"/>
    <w:rsid w:val="00F42ED7"/>
    <w:rsid w:val="00F43777"/>
    <w:rsid w:val="00F4482B"/>
    <w:rsid w:val="00F44F02"/>
    <w:rsid w:val="00F45039"/>
    <w:rsid w:val="00F4526B"/>
    <w:rsid w:val="00F45298"/>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1A82"/>
    <w:rsid w:val="00F51B78"/>
    <w:rsid w:val="00F51BDD"/>
    <w:rsid w:val="00F52065"/>
    <w:rsid w:val="00F521CE"/>
    <w:rsid w:val="00F5253E"/>
    <w:rsid w:val="00F5254B"/>
    <w:rsid w:val="00F52CB7"/>
    <w:rsid w:val="00F53A44"/>
    <w:rsid w:val="00F54E5E"/>
    <w:rsid w:val="00F551DB"/>
    <w:rsid w:val="00F55810"/>
    <w:rsid w:val="00F559BE"/>
    <w:rsid w:val="00F56F7E"/>
    <w:rsid w:val="00F56FEF"/>
    <w:rsid w:val="00F57521"/>
    <w:rsid w:val="00F57E2D"/>
    <w:rsid w:val="00F60938"/>
    <w:rsid w:val="00F60C7E"/>
    <w:rsid w:val="00F60E0A"/>
    <w:rsid w:val="00F61606"/>
    <w:rsid w:val="00F61918"/>
    <w:rsid w:val="00F62151"/>
    <w:rsid w:val="00F62CA8"/>
    <w:rsid w:val="00F62F92"/>
    <w:rsid w:val="00F630B4"/>
    <w:rsid w:val="00F635EF"/>
    <w:rsid w:val="00F63BF4"/>
    <w:rsid w:val="00F63C55"/>
    <w:rsid w:val="00F63C60"/>
    <w:rsid w:val="00F64991"/>
    <w:rsid w:val="00F65BA9"/>
    <w:rsid w:val="00F65BC8"/>
    <w:rsid w:val="00F65EEA"/>
    <w:rsid w:val="00F66205"/>
    <w:rsid w:val="00F6630F"/>
    <w:rsid w:val="00F66419"/>
    <w:rsid w:val="00F66944"/>
    <w:rsid w:val="00F67079"/>
    <w:rsid w:val="00F67B58"/>
    <w:rsid w:val="00F67E81"/>
    <w:rsid w:val="00F7044B"/>
    <w:rsid w:val="00F70FD4"/>
    <w:rsid w:val="00F71342"/>
    <w:rsid w:val="00F71C68"/>
    <w:rsid w:val="00F724E2"/>
    <w:rsid w:val="00F74103"/>
    <w:rsid w:val="00F7410A"/>
    <w:rsid w:val="00F745A4"/>
    <w:rsid w:val="00F74C0C"/>
    <w:rsid w:val="00F758E1"/>
    <w:rsid w:val="00F75BB5"/>
    <w:rsid w:val="00F75FD5"/>
    <w:rsid w:val="00F7604C"/>
    <w:rsid w:val="00F773A9"/>
    <w:rsid w:val="00F8056E"/>
    <w:rsid w:val="00F805B7"/>
    <w:rsid w:val="00F810C1"/>
    <w:rsid w:val="00F81623"/>
    <w:rsid w:val="00F81D25"/>
    <w:rsid w:val="00F8245C"/>
    <w:rsid w:val="00F82928"/>
    <w:rsid w:val="00F829B9"/>
    <w:rsid w:val="00F83045"/>
    <w:rsid w:val="00F83615"/>
    <w:rsid w:val="00F83EC7"/>
    <w:rsid w:val="00F8421D"/>
    <w:rsid w:val="00F85329"/>
    <w:rsid w:val="00F85683"/>
    <w:rsid w:val="00F85841"/>
    <w:rsid w:val="00F86079"/>
    <w:rsid w:val="00F8610A"/>
    <w:rsid w:val="00F87282"/>
    <w:rsid w:val="00F878CD"/>
    <w:rsid w:val="00F87905"/>
    <w:rsid w:val="00F87A66"/>
    <w:rsid w:val="00F90C1F"/>
    <w:rsid w:val="00F912D9"/>
    <w:rsid w:val="00F91A44"/>
    <w:rsid w:val="00F91BFA"/>
    <w:rsid w:val="00F91F8F"/>
    <w:rsid w:val="00F9217B"/>
    <w:rsid w:val="00F94016"/>
    <w:rsid w:val="00F97A34"/>
    <w:rsid w:val="00F97E4A"/>
    <w:rsid w:val="00F97EA1"/>
    <w:rsid w:val="00FA003A"/>
    <w:rsid w:val="00FA05C8"/>
    <w:rsid w:val="00FA0678"/>
    <w:rsid w:val="00FA0DB6"/>
    <w:rsid w:val="00FA23F7"/>
    <w:rsid w:val="00FA27EB"/>
    <w:rsid w:val="00FA35B6"/>
    <w:rsid w:val="00FA3EBC"/>
    <w:rsid w:val="00FA423C"/>
    <w:rsid w:val="00FA44D0"/>
    <w:rsid w:val="00FA4590"/>
    <w:rsid w:val="00FA55A2"/>
    <w:rsid w:val="00FA672F"/>
    <w:rsid w:val="00FA775E"/>
    <w:rsid w:val="00FA7792"/>
    <w:rsid w:val="00FA7AA8"/>
    <w:rsid w:val="00FA7F1D"/>
    <w:rsid w:val="00FB011C"/>
    <w:rsid w:val="00FB0D60"/>
    <w:rsid w:val="00FB18FD"/>
    <w:rsid w:val="00FB2BF5"/>
    <w:rsid w:val="00FB2F8E"/>
    <w:rsid w:val="00FB30C3"/>
    <w:rsid w:val="00FB39B0"/>
    <w:rsid w:val="00FB5138"/>
    <w:rsid w:val="00FB547F"/>
    <w:rsid w:val="00FB5A71"/>
    <w:rsid w:val="00FB63F6"/>
    <w:rsid w:val="00FB7823"/>
    <w:rsid w:val="00FC05B2"/>
    <w:rsid w:val="00FC08B3"/>
    <w:rsid w:val="00FC09D7"/>
    <w:rsid w:val="00FC0ABE"/>
    <w:rsid w:val="00FC1269"/>
    <w:rsid w:val="00FC22D0"/>
    <w:rsid w:val="00FC38D4"/>
    <w:rsid w:val="00FC391E"/>
    <w:rsid w:val="00FC39B3"/>
    <w:rsid w:val="00FC3BB7"/>
    <w:rsid w:val="00FC4345"/>
    <w:rsid w:val="00FC444A"/>
    <w:rsid w:val="00FC453D"/>
    <w:rsid w:val="00FC4A89"/>
    <w:rsid w:val="00FC619B"/>
    <w:rsid w:val="00FC665F"/>
    <w:rsid w:val="00FC6C35"/>
    <w:rsid w:val="00FC6D59"/>
    <w:rsid w:val="00FC7561"/>
    <w:rsid w:val="00FC78F5"/>
    <w:rsid w:val="00FC7ACA"/>
    <w:rsid w:val="00FC7AD2"/>
    <w:rsid w:val="00FD10B3"/>
    <w:rsid w:val="00FD11C3"/>
    <w:rsid w:val="00FD154E"/>
    <w:rsid w:val="00FD24D7"/>
    <w:rsid w:val="00FD29CE"/>
    <w:rsid w:val="00FD3AE2"/>
    <w:rsid w:val="00FD3E41"/>
    <w:rsid w:val="00FD3EFA"/>
    <w:rsid w:val="00FD54A8"/>
    <w:rsid w:val="00FD5AE4"/>
    <w:rsid w:val="00FD5F25"/>
    <w:rsid w:val="00FD60BE"/>
    <w:rsid w:val="00FD6894"/>
    <w:rsid w:val="00FD6AF0"/>
    <w:rsid w:val="00FD704D"/>
    <w:rsid w:val="00FD74EF"/>
    <w:rsid w:val="00FD79B8"/>
    <w:rsid w:val="00FD79F6"/>
    <w:rsid w:val="00FE033F"/>
    <w:rsid w:val="00FE07A8"/>
    <w:rsid w:val="00FE0AD1"/>
    <w:rsid w:val="00FE0CC0"/>
    <w:rsid w:val="00FE1852"/>
    <w:rsid w:val="00FE1963"/>
    <w:rsid w:val="00FE1981"/>
    <w:rsid w:val="00FE1BF1"/>
    <w:rsid w:val="00FE33DB"/>
    <w:rsid w:val="00FE33F5"/>
    <w:rsid w:val="00FE352A"/>
    <w:rsid w:val="00FE37DD"/>
    <w:rsid w:val="00FE3C31"/>
    <w:rsid w:val="00FE4015"/>
    <w:rsid w:val="00FE41EF"/>
    <w:rsid w:val="00FE44F5"/>
    <w:rsid w:val="00FE4783"/>
    <w:rsid w:val="00FE480D"/>
    <w:rsid w:val="00FE4ACC"/>
    <w:rsid w:val="00FE4F80"/>
    <w:rsid w:val="00FE570E"/>
    <w:rsid w:val="00FE6870"/>
    <w:rsid w:val="00FE713E"/>
    <w:rsid w:val="00FE7877"/>
    <w:rsid w:val="00FE7DD1"/>
    <w:rsid w:val="00FF0B4F"/>
    <w:rsid w:val="00FF0F58"/>
    <w:rsid w:val="00FF183C"/>
    <w:rsid w:val="00FF1A06"/>
    <w:rsid w:val="00FF1AD3"/>
    <w:rsid w:val="00FF1B46"/>
    <w:rsid w:val="00FF219D"/>
    <w:rsid w:val="00FF2A7B"/>
    <w:rsid w:val="00FF3D2B"/>
    <w:rsid w:val="00FF49B4"/>
    <w:rsid w:val="00FF49F4"/>
    <w:rsid w:val="00FF5B8D"/>
    <w:rsid w:val="00FF5C6A"/>
    <w:rsid w:val="00FF651D"/>
    <w:rsid w:val="00FF6843"/>
    <w:rsid w:val="00FF6C25"/>
    <w:rsid w:val="010651D9"/>
    <w:rsid w:val="011F6449"/>
    <w:rsid w:val="01236AFB"/>
    <w:rsid w:val="017244EE"/>
    <w:rsid w:val="019F7441"/>
    <w:rsid w:val="01B37585"/>
    <w:rsid w:val="01D55165"/>
    <w:rsid w:val="01DF6BF8"/>
    <w:rsid w:val="01EC2C57"/>
    <w:rsid w:val="025F0711"/>
    <w:rsid w:val="026B2E25"/>
    <w:rsid w:val="02824D4D"/>
    <w:rsid w:val="02DC4B10"/>
    <w:rsid w:val="02DD76CE"/>
    <w:rsid w:val="02F36323"/>
    <w:rsid w:val="02F5619C"/>
    <w:rsid w:val="0326446A"/>
    <w:rsid w:val="032D5555"/>
    <w:rsid w:val="036634D2"/>
    <w:rsid w:val="03DD35E4"/>
    <w:rsid w:val="04076900"/>
    <w:rsid w:val="041A5A3B"/>
    <w:rsid w:val="042311BA"/>
    <w:rsid w:val="042B157A"/>
    <w:rsid w:val="04447FB3"/>
    <w:rsid w:val="048F763B"/>
    <w:rsid w:val="049F330E"/>
    <w:rsid w:val="04AA775C"/>
    <w:rsid w:val="04AF1889"/>
    <w:rsid w:val="04F66F48"/>
    <w:rsid w:val="05237DB3"/>
    <w:rsid w:val="05251E14"/>
    <w:rsid w:val="057E2F8C"/>
    <w:rsid w:val="05A16594"/>
    <w:rsid w:val="05A7762D"/>
    <w:rsid w:val="060E5941"/>
    <w:rsid w:val="06110FAF"/>
    <w:rsid w:val="06493CA7"/>
    <w:rsid w:val="065A6178"/>
    <w:rsid w:val="066F1CF3"/>
    <w:rsid w:val="06871610"/>
    <w:rsid w:val="06930BB8"/>
    <w:rsid w:val="07155C37"/>
    <w:rsid w:val="07245D42"/>
    <w:rsid w:val="07264C62"/>
    <w:rsid w:val="076D3560"/>
    <w:rsid w:val="0779354C"/>
    <w:rsid w:val="08061376"/>
    <w:rsid w:val="08452D77"/>
    <w:rsid w:val="086401F8"/>
    <w:rsid w:val="08751CAA"/>
    <w:rsid w:val="087E4C40"/>
    <w:rsid w:val="08A365ED"/>
    <w:rsid w:val="08A871D0"/>
    <w:rsid w:val="08D66AD6"/>
    <w:rsid w:val="08DA33A3"/>
    <w:rsid w:val="08E80F13"/>
    <w:rsid w:val="08E87F44"/>
    <w:rsid w:val="08FF5E2E"/>
    <w:rsid w:val="09335624"/>
    <w:rsid w:val="0944690F"/>
    <w:rsid w:val="09535675"/>
    <w:rsid w:val="095F057D"/>
    <w:rsid w:val="09642282"/>
    <w:rsid w:val="09733572"/>
    <w:rsid w:val="09772C16"/>
    <w:rsid w:val="098353B5"/>
    <w:rsid w:val="09A92330"/>
    <w:rsid w:val="09B06B87"/>
    <w:rsid w:val="09BA70D3"/>
    <w:rsid w:val="09C13146"/>
    <w:rsid w:val="09E04166"/>
    <w:rsid w:val="0A1C0718"/>
    <w:rsid w:val="0A3E7710"/>
    <w:rsid w:val="0A5B7E63"/>
    <w:rsid w:val="0A854E82"/>
    <w:rsid w:val="0AA374A5"/>
    <w:rsid w:val="0AAB7649"/>
    <w:rsid w:val="0ABC5606"/>
    <w:rsid w:val="0ACF4E8E"/>
    <w:rsid w:val="0AEA2BFF"/>
    <w:rsid w:val="0AFB3396"/>
    <w:rsid w:val="0B30404E"/>
    <w:rsid w:val="0B4C6C14"/>
    <w:rsid w:val="0B547599"/>
    <w:rsid w:val="0B631A88"/>
    <w:rsid w:val="0B683D45"/>
    <w:rsid w:val="0B7F3F11"/>
    <w:rsid w:val="0B884417"/>
    <w:rsid w:val="0BF6188C"/>
    <w:rsid w:val="0BF73C91"/>
    <w:rsid w:val="0C170175"/>
    <w:rsid w:val="0C215C32"/>
    <w:rsid w:val="0C571A41"/>
    <w:rsid w:val="0C5C1171"/>
    <w:rsid w:val="0C5E1CBC"/>
    <w:rsid w:val="0C615B50"/>
    <w:rsid w:val="0C8445DA"/>
    <w:rsid w:val="0C87121B"/>
    <w:rsid w:val="0CC007F7"/>
    <w:rsid w:val="0CC617AC"/>
    <w:rsid w:val="0CE618DF"/>
    <w:rsid w:val="0CFE707A"/>
    <w:rsid w:val="0D063BDA"/>
    <w:rsid w:val="0D08375F"/>
    <w:rsid w:val="0D184CFB"/>
    <w:rsid w:val="0D1A2A5B"/>
    <w:rsid w:val="0D4A7419"/>
    <w:rsid w:val="0D827401"/>
    <w:rsid w:val="0D84094E"/>
    <w:rsid w:val="0D854AD0"/>
    <w:rsid w:val="0D8A00E9"/>
    <w:rsid w:val="0D8D589E"/>
    <w:rsid w:val="0D8E1E73"/>
    <w:rsid w:val="0DA01C73"/>
    <w:rsid w:val="0DC14423"/>
    <w:rsid w:val="0DD63300"/>
    <w:rsid w:val="0DF50604"/>
    <w:rsid w:val="0DF702FE"/>
    <w:rsid w:val="0E060E51"/>
    <w:rsid w:val="0E5604B2"/>
    <w:rsid w:val="0E6D5D79"/>
    <w:rsid w:val="0E9D0089"/>
    <w:rsid w:val="0EA474D2"/>
    <w:rsid w:val="0EB803EE"/>
    <w:rsid w:val="0EF94D4B"/>
    <w:rsid w:val="0F4958DC"/>
    <w:rsid w:val="0F515DF7"/>
    <w:rsid w:val="0F596BA8"/>
    <w:rsid w:val="0F6248D2"/>
    <w:rsid w:val="0F693536"/>
    <w:rsid w:val="0F761E15"/>
    <w:rsid w:val="0F7B0511"/>
    <w:rsid w:val="0F7B76D9"/>
    <w:rsid w:val="0F816ACD"/>
    <w:rsid w:val="0F9832DB"/>
    <w:rsid w:val="0FBD5398"/>
    <w:rsid w:val="0FBF3FD2"/>
    <w:rsid w:val="0FBF7FF3"/>
    <w:rsid w:val="10646583"/>
    <w:rsid w:val="107D4B15"/>
    <w:rsid w:val="108A3C80"/>
    <w:rsid w:val="10C26171"/>
    <w:rsid w:val="10F33360"/>
    <w:rsid w:val="10FC16EA"/>
    <w:rsid w:val="1101195E"/>
    <w:rsid w:val="110F1D40"/>
    <w:rsid w:val="11266F33"/>
    <w:rsid w:val="118963A1"/>
    <w:rsid w:val="11C6522A"/>
    <w:rsid w:val="11E104CC"/>
    <w:rsid w:val="11E20309"/>
    <w:rsid w:val="12255233"/>
    <w:rsid w:val="12530213"/>
    <w:rsid w:val="127723A9"/>
    <w:rsid w:val="12862074"/>
    <w:rsid w:val="12883966"/>
    <w:rsid w:val="129E45B4"/>
    <w:rsid w:val="12D81596"/>
    <w:rsid w:val="13072A44"/>
    <w:rsid w:val="135F4BE2"/>
    <w:rsid w:val="139B1A0A"/>
    <w:rsid w:val="139D25C7"/>
    <w:rsid w:val="13BF3CE4"/>
    <w:rsid w:val="13C77A9D"/>
    <w:rsid w:val="141008D8"/>
    <w:rsid w:val="14125FE6"/>
    <w:rsid w:val="146D271E"/>
    <w:rsid w:val="14982588"/>
    <w:rsid w:val="149A5AD9"/>
    <w:rsid w:val="14A7619D"/>
    <w:rsid w:val="14EF34A9"/>
    <w:rsid w:val="150536C3"/>
    <w:rsid w:val="150C1963"/>
    <w:rsid w:val="151447A0"/>
    <w:rsid w:val="154A6454"/>
    <w:rsid w:val="15762120"/>
    <w:rsid w:val="16A8729C"/>
    <w:rsid w:val="16B33777"/>
    <w:rsid w:val="16BC70A7"/>
    <w:rsid w:val="16C6339E"/>
    <w:rsid w:val="16C97663"/>
    <w:rsid w:val="16F41113"/>
    <w:rsid w:val="172F2D79"/>
    <w:rsid w:val="17557BEF"/>
    <w:rsid w:val="17D349C1"/>
    <w:rsid w:val="18244F26"/>
    <w:rsid w:val="1830729E"/>
    <w:rsid w:val="1852128A"/>
    <w:rsid w:val="1870062C"/>
    <w:rsid w:val="18817102"/>
    <w:rsid w:val="18830A15"/>
    <w:rsid w:val="18852B28"/>
    <w:rsid w:val="188B5321"/>
    <w:rsid w:val="19932372"/>
    <w:rsid w:val="19A20DD5"/>
    <w:rsid w:val="19AE03F1"/>
    <w:rsid w:val="1A071A03"/>
    <w:rsid w:val="1A1F16AE"/>
    <w:rsid w:val="1A3B5C77"/>
    <w:rsid w:val="1A6B1B55"/>
    <w:rsid w:val="1A984BAD"/>
    <w:rsid w:val="1AB8220E"/>
    <w:rsid w:val="1AE4166C"/>
    <w:rsid w:val="1AF06CFB"/>
    <w:rsid w:val="1AF11B8D"/>
    <w:rsid w:val="1B11359C"/>
    <w:rsid w:val="1B2A271F"/>
    <w:rsid w:val="1B530544"/>
    <w:rsid w:val="1B713184"/>
    <w:rsid w:val="1BA209CF"/>
    <w:rsid w:val="1BB4777D"/>
    <w:rsid w:val="1BD75AB8"/>
    <w:rsid w:val="1C0459C2"/>
    <w:rsid w:val="1C1B3B4A"/>
    <w:rsid w:val="1C261257"/>
    <w:rsid w:val="1C88086E"/>
    <w:rsid w:val="1CCB5193"/>
    <w:rsid w:val="1D266CE1"/>
    <w:rsid w:val="1D3963AF"/>
    <w:rsid w:val="1D6A673C"/>
    <w:rsid w:val="1D9247AE"/>
    <w:rsid w:val="1DB567EC"/>
    <w:rsid w:val="1DF51A98"/>
    <w:rsid w:val="1E051CD9"/>
    <w:rsid w:val="1E3D060F"/>
    <w:rsid w:val="1E3F5F7E"/>
    <w:rsid w:val="1E3F7D2E"/>
    <w:rsid w:val="1E4134E4"/>
    <w:rsid w:val="1E5062B3"/>
    <w:rsid w:val="1E523514"/>
    <w:rsid w:val="1E714A66"/>
    <w:rsid w:val="1E802593"/>
    <w:rsid w:val="1E8B6156"/>
    <w:rsid w:val="1EA703CC"/>
    <w:rsid w:val="1EB7330C"/>
    <w:rsid w:val="1EC07EA4"/>
    <w:rsid w:val="1F0A0FF3"/>
    <w:rsid w:val="1F5771FF"/>
    <w:rsid w:val="1FD52574"/>
    <w:rsid w:val="1FE868A9"/>
    <w:rsid w:val="20034907"/>
    <w:rsid w:val="20104B3E"/>
    <w:rsid w:val="20173E4B"/>
    <w:rsid w:val="204E48BC"/>
    <w:rsid w:val="208921B3"/>
    <w:rsid w:val="20973DEB"/>
    <w:rsid w:val="20B26522"/>
    <w:rsid w:val="20B44310"/>
    <w:rsid w:val="20C44BAC"/>
    <w:rsid w:val="211116EB"/>
    <w:rsid w:val="216133FC"/>
    <w:rsid w:val="21C36564"/>
    <w:rsid w:val="21D56769"/>
    <w:rsid w:val="21E52EF3"/>
    <w:rsid w:val="21FB5D7B"/>
    <w:rsid w:val="22015E94"/>
    <w:rsid w:val="220B1C3D"/>
    <w:rsid w:val="221D1D20"/>
    <w:rsid w:val="22334A87"/>
    <w:rsid w:val="22BE6801"/>
    <w:rsid w:val="23085827"/>
    <w:rsid w:val="2326726E"/>
    <w:rsid w:val="233500BF"/>
    <w:rsid w:val="23377FF7"/>
    <w:rsid w:val="236B425F"/>
    <w:rsid w:val="236F8B8F"/>
    <w:rsid w:val="23836192"/>
    <w:rsid w:val="23901F29"/>
    <w:rsid w:val="239C0061"/>
    <w:rsid w:val="23B908A4"/>
    <w:rsid w:val="23E95BEF"/>
    <w:rsid w:val="23F70746"/>
    <w:rsid w:val="23FD0064"/>
    <w:rsid w:val="245375B0"/>
    <w:rsid w:val="24642C0A"/>
    <w:rsid w:val="248F67EE"/>
    <w:rsid w:val="24B22173"/>
    <w:rsid w:val="24B95AD9"/>
    <w:rsid w:val="24BE24DA"/>
    <w:rsid w:val="24CF5825"/>
    <w:rsid w:val="24D663E6"/>
    <w:rsid w:val="24D77F2B"/>
    <w:rsid w:val="25152081"/>
    <w:rsid w:val="258B00E2"/>
    <w:rsid w:val="25A917A6"/>
    <w:rsid w:val="25AD2C17"/>
    <w:rsid w:val="25BE27CC"/>
    <w:rsid w:val="25F74A5C"/>
    <w:rsid w:val="2628662C"/>
    <w:rsid w:val="262D45DE"/>
    <w:rsid w:val="26663631"/>
    <w:rsid w:val="26676136"/>
    <w:rsid w:val="26871DC8"/>
    <w:rsid w:val="26A53EF9"/>
    <w:rsid w:val="26A94201"/>
    <w:rsid w:val="26AC274F"/>
    <w:rsid w:val="26E51CC1"/>
    <w:rsid w:val="26EA4592"/>
    <w:rsid w:val="27044A29"/>
    <w:rsid w:val="271D34C8"/>
    <w:rsid w:val="276142BF"/>
    <w:rsid w:val="27783712"/>
    <w:rsid w:val="27907362"/>
    <w:rsid w:val="28333E1D"/>
    <w:rsid w:val="28454BD6"/>
    <w:rsid w:val="28455253"/>
    <w:rsid w:val="28551971"/>
    <w:rsid w:val="285B1C53"/>
    <w:rsid w:val="285E14BB"/>
    <w:rsid w:val="289F7086"/>
    <w:rsid w:val="28C32028"/>
    <w:rsid w:val="28CC490F"/>
    <w:rsid w:val="28DE40AA"/>
    <w:rsid w:val="29121C13"/>
    <w:rsid w:val="29345E77"/>
    <w:rsid w:val="294C65AD"/>
    <w:rsid w:val="2978138E"/>
    <w:rsid w:val="29806583"/>
    <w:rsid w:val="298B3C4C"/>
    <w:rsid w:val="2998358C"/>
    <w:rsid w:val="29F26D24"/>
    <w:rsid w:val="2A15033F"/>
    <w:rsid w:val="2A1662C1"/>
    <w:rsid w:val="2A1C7367"/>
    <w:rsid w:val="2A2815FA"/>
    <w:rsid w:val="2A6D6092"/>
    <w:rsid w:val="2A7D76B4"/>
    <w:rsid w:val="2B3B360F"/>
    <w:rsid w:val="2B437463"/>
    <w:rsid w:val="2B7807EE"/>
    <w:rsid w:val="2BA50BF7"/>
    <w:rsid w:val="2BBF00EC"/>
    <w:rsid w:val="2BC37CFD"/>
    <w:rsid w:val="2BD5237F"/>
    <w:rsid w:val="2BDF6BEF"/>
    <w:rsid w:val="2BE536CE"/>
    <w:rsid w:val="2BE758D9"/>
    <w:rsid w:val="2BEF8D9A"/>
    <w:rsid w:val="2BF346BB"/>
    <w:rsid w:val="2C09049E"/>
    <w:rsid w:val="2C0A653C"/>
    <w:rsid w:val="2C191F85"/>
    <w:rsid w:val="2CB52F4D"/>
    <w:rsid w:val="2CE82D6F"/>
    <w:rsid w:val="2D343236"/>
    <w:rsid w:val="2D38455E"/>
    <w:rsid w:val="2D575011"/>
    <w:rsid w:val="2DD15014"/>
    <w:rsid w:val="2DF72DE4"/>
    <w:rsid w:val="2E0220AF"/>
    <w:rsid w:val="2E4B082A"/>
    <w:rsid w:val="2E59653C"/>
    <w:rsid w:val="2E5D4E86"/>
    <w:rsid w:val="2E5D790B"/>
    <w:rsid w:val="2E9A3C18"/>
    <w:rsid w:val="2EBB0FEE"/>
    <w:rsid w:val="2EC63002"/>
    <w:rsid w:val="2F0A6B38"/>
    <w:rsid w:val="2F946CCB"/>
    <w:rsid w:val="2FD25781"/>
    <w:rsid w:val="2FDC745C"/>
    <w:rsid w:val="2FFD7934"/>
    <w:rsid w:val="3049169C"/>
    <w:rsid w:val="30733ACD"/>
    <w:rsid w:val="308C3862"/>
    <w:rsid w:val="309379D8"/>
    <w:rsid w:val="30A270F7"/>
    <w:rsid w:val="30B33C47"/>
    <w:rsid w:val="30DF1478"/>
    <w:rsid w:val="30EC586F"/>
    <w:rsid w:val="319C6071"/>
    <w:rsid w:val="31AC537E"/>
    <w:rsid w:val="31E3679B"/>
    <w:rsid w:val="31E732FD"/>
    <w:rsid w:val="32517576"/>
    <w:rsid w:val="328E671A"/>
    <w:rsid w:val="32BE5C2C"/>
    <w:rsid w:val="32FB6478"/>
    <w:rsid w:val="3316538B"/>
    <w:rsid w:val="33263B3F"/>
    <w:rsid w:val="336963EB"/>
    <w:rsid w:val="33816EEB"/>
    <w:rsid w:val="33EB55CD"/>
    <w:rsid w:val="33EC4C02"/>
    <w:rsid w:val="340D2360"/>
    <w:rsid w:val="3410665D"/>
    <w:rsid w:val="34211214"/>
    <w:rsid w:val="342E63AB"/>
    <w:rsid w:val="34950E68"/>
    <w:rsid w:val="34986E94"/>
    <w:rsid w:val="34AF62C9"/>
    <w:rsid w:val="34CB4388"/>
    <w:rsid w:val="34FA6E12"/>
    <w:rsid w:val="353A66E5"/>
    <w:rsid w:val="354D7158"/>
    <w:rsid w:val="358D5588"/>
    <w:rsid w:val="35EB88F0"/>
    <w:rsid w:val="36115B96"/>
    <w:rsid w:val="363A3B40"/>
    <w:rsid w:val="365302AE"/>
    <w:rsid w:val="36607A0A"/>
    <w:rsid w:val="366E227C"/>
    <w:rsid w:val="366F2E0D"/>
    <w:rsid w:val="367B6A5C"/>
    <w:rsid w:val="36A74ADA"/>
    <w:rsid w:val="36AD60D5"/>
    <w:rsid w:val="36B224F9"/>
    <w:rsid w:val="36EC0CC9"/>
    <w:rsid w:val="37202102"/>
    <w:rsid w:val="37342FE3"/>
    <w:rsid w:val="373F410B"/>
    <w:rsid w:val="37EE7094"/>
    <w:rsid w:val="37F2E1A6"/>
    <w:rsid w:val="38296C89"/>
    <w:rsid w:val="383002EB"/>
    <w:rsid w:val="38586797"/>
    <w:rsid w:val="385D15DF"/>
    <w:rsid w:val="38BC0149"/>
    <w:rsid w:val="38D87D1C"/>
    <w:rsid w:val="392D7C95"/>
    <w:rsid w:val="3957905D"/>
    <w:rsid w:val="39636459"/>
    <w:rsid w:val="396B7F6C"/>
    <w:rsid w:val="39817924"/>
    <w:rsid w:val="39B417A9"/>
    <w:rsid w:val="39FC5695"/>
    <w:rsid w:val="3A006D8E"/>
    <w:rsid w:val="3A3651E5"/>
    <w:rsid w:val="3A640570"/>
    <w:rsid w:val="3A744481"/>
    <w:rsid w:val="3A8C7BEF"/>
    <w:rsid w:val="3A906246"/>
    <w:rsid w:val="3B181276"/>
    <w:rsid w:val="3B2349B7"/>
    <w:rsid w:val="3B616CFF"/>
    <w:rsid w:val="3B6259F6"/>
    <w:rsid w:val="3B976654"/>
    <w:rsid w:val="3BC01EFC"/>
    <w:rsid w:val="3BCA786A"/>
    <w:rsid w:val="3BD31E2F"/>
    <w:rsid w:val="3BF15831"/>
    <w:rsid w:val="3C105946"/>
    <w:rsid w:val="3C471448"/>
    <w:rsid w:val="3C5F759A"/>
    <w:rsid w:val="3C5FA11A"/>
    <w:rsid w:val="3C6C525A"/>
    <w:rsid w:val="3CCE23CB"/>
    <w:rsid w:val="3CD17D17"/>
    <w:rsid w:val="3CDA7D58"/>
    <w:rsid w:val="3CDC62D4"/>
    <w:rsid w:val="3CEDF2AF"/>
    <w:rsid w:val="3D1A45CC"/>
    <w:rsid w:val="3D3C7F39"/>
    <w:rsid w:val="3D440F09"/>
    <w:rsid w:val="3D4504A0"/>
    <w:rsid w:val="3D8734BB"/>
    <w:rsid w:val="3D8EF3BE"/>
    <w:rsid w:val="3D9A11D4"/>
    <w:rsid w:val="3DA16D89"/>
    <w:rsid w:val="3DA364BE"/>
    <w:rsid w:val="3DD815DA"/>
    <w:rsid w:val="3DE041CB"/>
    <w:rsid w:val="3E0D48F6"/>
    <w:rsid w:val="3E1868B4"/>
    <w:rsid w:val="3E377251"/>
    <w:rsid w:val="3E42664B"/>
    <w:rsid w:val="3E5A7334"/>
    <w:rsid w:val="3E7B5D6B"/>
    <w:rsid w:val="3E843E66"/>
    <w:rsid w:val="3E8F1850"/>
    <w:rsid w:val="3E8F51FE"/>
    <w:rsid w:val="3E926F87"/>
    <w:rsid w:val="3E9A59DE"/>
    <w:rsid w:val="3EAF4836"/>
    <w:rsid w:val="3EC33DFA"/>
    <w:rsid w:val="3EFB8030"/>
    <w:rsid w:val="3F060E16"/>
    <w:rsid w:val="3F1D1096"/>
    <w:rsid w:val="3F2F0234"/>
    <w:rsid w:val="3F6363FE"/>
    <w:rsid w:val="3F756B8F"/>
    <w:rsid w:val="3F95482B"/>
    <w:rsid w:val="3FBBB13B"/>
    <w:rsid w:val="4019356B"/>
    <w:rsid w:val="402B55A8"/>
    <w:rsid w:val="40592157"/>
    <w:rsid w:val="406E1CAE"/>
    <w:rsid w:val="408C0409"/>
    <w:rsid w:val="40A0133A"/>
    <w:rsid w:val="40C31A53"/>
    <w:rsid w:val="40FF545D"/>
    <w:rsid w:val="410067C8"/>
    <w:rsid w:val="41111B6B"/>
    <w:rsid w:val="41766CF7"/>
    <w:rsid w:val="418F0D2A"/>
    <w:rsid w:val="41A33A6C"/>
    <w:rsid w:val="41D01505"/>
    <w:rsid w:val="424010B3"/>
    <w:rsid w:val="42474939"/>
    <w:rsid w:val="424C3C57"/>
    <w:rsid w:val="42613FF3"/>
    <w:rsid w:val="42660D96"/>
    <w:rsid w:val="428667D2"/>
    <w:rsid w:val="42CD1CE0"/>
    <w:rsid w:val="42E1381E"/>
    <w:rsid w:val="42ED6459"/>
    <w:rsid w:val="42FE58DD"/>
    <w:rsid w:val="43174B3D"/>
    <w:rsid w:val="43342EA7"/>
    <w:rsid w:val="434B790E"/>
    <w:rsid w:val="4360274F"/>
    <w:rsid w:val="43977AB6"/>
    <w:rsid w:val="43A3342B"/>
    <w:rsid w:val="43C77C27"/>
    <w:rsid w:val="43DE09EE"/>
    <w:rsid w:val="44002FAD"/>
    <w:rsid w:val="4433701F"/>
    <w:rsid w:val="44631F99"/>
    <w:rsid w:val="449101DD"/>
    <w:rsid w:val="44DE1391"/>
    <w:rsid w:val="451B225C"/>
    <w:rsid w:val="452410C9"/>
    <w:rsid w:val="45317DFB"/>
    <w:rsid w:val="45601EAE"/>
    <w:rsid w:val="45631853"/>
    <w:rsid w:val="456D3CE4"/>
    <w:rsid w:val="4579042C"/>
    <w:rsid w:val="457F0571"/>
    <w:rsid w:val="45851176"/>
    <w:rsid w:val="45C63B94"/>
    <w:rsid w:val="460E7DA5"/>
    <w:rsid w:val="46422483"/>
    <w:rsid w:val="4659254A"/>
    <w:rsid w:val="465B0637"/>
    <w:rsid w:val="465E3F0D"/>
    <w:rsid w:val="466A16E6"/>
    <w:rsid w:val="46893F2B"/>
    <w:rsid w:val="46C4686E"/>
    <w:rsid w:val="46CE0C5D"/>
    <w:rsid w:val="477B778F"/>
    <w:rsid w:val="478203EC"/>
    <w:rsid w:val="47B025FA"/>
    <w:rsid w:val="4809698F"/>
    <w:rsid w:val="4811697D"/>
    <w:rsid w:val="485418DC"/>
    <w:rsid w:val="487A3E25"/>
    <w:rsid w:val="488B5503"/>
    <w:rsid w:val="48937E21"/>
    <w:rsid w:val="489A0361"/>
    <w:rsid w:val="48B94FF3"/>
    <w:rsid w:val="48E37AAB"/>
    <w:rsid w:val="48FD4B4C"/>
    <w:rsid w:val="490A68E0"/>
    <w:rsid w:val="491055FE"/>
    <w:rsid w:val="495F5B3E"/>
    <w:rsid w:val="496F77D7"/>
    <w:rsid w:val="497654FD"/>
    <w:rsid w:val="49B64211"/>
    <w:rsid w:val="49F6167F"/>
    <w:rsid w:val="4A064FA0"/>
    <w:rsid w:val="4A16615C"/>
    <w:rsid w:val="4A4424D7"/>
    <w:rsid w:val="4AAA53FD"/>
    <w:rsid w:val="4AB82D0F"/>
    <w:rsid w:val="4AC32699"/>
    <w:rsid w:val="4AEB7664"/>
    <w:rsid w:val="4AFD7C19"/>
    <w:rsid w:val="4B0567D1"/>
    <w:rsid w:val="4B15132F"/>
    <w:rsid w:val="4B236AAE"/>
    <w:rsid w:val="4B707271"/>
    <w:rsid w:val="4B870FED"/>
    <w:rsid w:val="4B9739F7"/>
    <w:rsid w:val="4BEE2503"/>
    <w:rsid w:val="4C245A30"/>
    <w:rsid w:val="4CB6685F"/>
    <w:rsid w:val="4CC367FE"/>
    <w:rsid w:val="4D077F3C"/>
    <w:rsid w:val="4D123355"/>
    <w:rsid w:val="4D2A3B31"/>
    <w:rsid w:val="4D312C52"/>
    <w:rsid w:val="4D905305"/>
    <w:rsid w:val="4D964A72"/>
    <w:rsid w:val="4D9C1254"/>
    <w:rsid w:val="4DE86773"/>
    <w:rsid w:val="4E4053C2"/>
    <w:rsid w:val="4E793892"/>
    <w:rsid w:val="4E800872"/>
    <w:rsid w:val="4EC569ED"/>
    <w:rsid w:val="4ED50EA1"/>
    <w:rsid w:val="4ED79385"/>
    <w:rsid w:val="4EEC050C"/>
    <w:rsid w:val="4EEFDA9A"/>
    <w:rsid w:val="4F104EC3"/>
    <w:rsid w:val="4F47354A"/>
    <w:rsid w:val="4F8D1C8E"/>
    <w:rsid w:val="4F911C54"/>
    <w:rsid w:val="4FE625E0"/>
    <w:rsid w:val="4FFD312D"/>
    <w:rsid w:val="5021480F"/>
    <w:rsid w:val="504968C3"/>
    <w:rsid w:val="50962ECB"/>
    <w:rsid w:val="50A42E38"/>
    <w:rsid w:val="50A4577F"/>
    <w:rsid w:val="50B73D1F"/>
    <w:rsid w:val="50BD5BC9"/>
    <w:rsid w:val="50C11EEE"/>
    <w:rsid w:val="50E97CFC"/>
    <w:rsid w:val="50FA4028"/>
    <w:rsid w:val="510D65B7"/>
    <w:rsid w:val="511157AB"/>
    <w:rsid w:val="5142540C"/>
    <w:rsid w:val="5179479F"/>
    <w:rsid w:val="518832C8"/>
    <w:rsid w:val="519D3C50"/>
    <w:rsid w:val="51A0432A"/>
    <w:rsid w:val="51A86090"/>
    <w:rsid w:val="51B7396D"/>
    <w:rsid w:val="520C74BE"/>
    <w:rsid w:val="522E4CC3"/>
    <w:rsid w:val="523D5A2A"/>
    <w:rsid w:val="5244713B"/>
    <w:rsid w:val="52615633"/>
    <w:rsid w:val="526F4DE4"/>
    <w:rsid w:val="52977FD4"/>
    <w:rsid w:val="52A25790"/>
    <w:rsid w:val="52A96B6F"/>
    <w:rsid w:val="52B45975"/>
    <w:rsid w:val="52D94AA4"/>
    <w:rsid w:val="52EA3A62"/>
    <w:rsid w:val="52F50BB8"/>
    <w:rsid w:val="53097272"/>
    <w:rsid w:val="53544462"/>
    <w:rsid w:val="5397158E"/>
    <w:rsid w:val="53B84F4D"/>
    <w:rsid w:val="54013861"/>
    <w:rsid w:val="54487265"/>
    <w:rsid w:val="544D6070"/>
    <w:rsid w:val="54605E1E"/>
    <w:rsid w:val="54B3506A"/>
    <w:rsid w:val="54CA0D16"/>
    <w:rsid w:val="54DD4057"/>
    <w:rsid w:val="54E7490F"/>
    <w:rsid w:val="54F348BC"/>
    <w:rsid w:val="550764A4"/>
    <w:rsid w:val="550B2BF6"/>
    <w:rsid w:val="55214EB5"/>
    <w:rsid w:val="55364EFD"/>
    <w:rsid w:val="555D4828"/>
    <w:rsid w:val="557A4C8B"/>
    <w:rsid w:val="558931E1"/>
    <w:rsid w:val="5591713A"/>
    <w:rsid w:val="55923347"/>
    <w:rsid w:val="55925180"/>
    <w:rsid w:val="55983B1B"/>
    <w:rsid w:val="55A8376B"/>
    <w:rsid w:val="55DC29B6"/>
    <w:rsid w:val="55DD4241"/>
    <w:rsid w:val="56471638"/>
    <w:rsid w:val="566B6D1E"/>
    <w:rsid w:val="57032A2C"/>
    <w:rsid w:val="570F5219"/>
    <w:rsid w:val="575D12B5"/>
    <w:rsid w:val="57610A87"/>
    <w:rsid w:val="577B1140"/>
    <w:rsid w:val="577B7F21"/>
    <w:rsid w:val="577F181B"/>
    <w:rsid w:val="57921984"/>
    <w:rsid w:val="579737F0"/>
    <w:rsid w:val="57AB7B30"/>
    <w:rsid w:val="57AF5251"/>
    <w:rsid w:val="57B26373"/>
    <w:rsid w:val="57B63F04"/>
    <w:rsid w:val="57CD20C2"/>
    <w:rsid w:val="57D675AB"/>
    <w:rsid w:val="57D73717"/>
    <w:rsid w:val="57D95FDD"/>
    <w:rsid w:val="58917D2F"/>
    <w:rsid w:val="5894085C"/>
    <w:rsid w:val="58AE4F0C"/>
    <w:rsid w:val="58B85899"/>
    <w:rsid w:val="58E363A9"/>
    <w:rsid w:val="59166304"/>
    <w:rsid w:val="595E1678"/>
    <w:rsid w:val="596D5BD4"/>
    <w:rsid w:val="597E3DD8"/>
    <w:rsid w:val="59F80043"/>
    <w:rsid w:val="5A09252F"/>
    <w:rsid w:val="5A0B2778"/>
    <w:rsid w:val="5A2A7C7B"/>
    <w:rsid w:val="5A2F12D9"/>
    <w:rsid w:val="5A3E2560"/>
    <w:rsid w:val="5A5D3B6E"/>
    <w:rsid w:val="5A637A76"/>
    <w:rsid w:val="5A6D33BA"/>
    <w:rsid w:val="5A792B1F"/>
    <w:rsid w:val="5A874767"/>
    <w:rsid w:val="5AA17199"/>
    <w:rsid w:val="5AA85BE2"/>
    <w:rsid w:val="5AAD6F28"/>
    <w:rsid w:val="5AD63A24"/>
    <w:rsid w:val="5B2E1A1D"/>
    <w:rsid w:val="5B843A1C"/>
    <w:rsid w:val="5B873E3F"/>
    <w:rsid w:val="5BC26006"/>
    <w:rsid w:val="5C02690E"/>
    <w:rsid w:val="5C196DA7"/>
    <w:rsid w:val="5C2A048C"/>
    <w:rsid w:val="5C80234E"/>
    <w:rsid w:val="5C8A680C"/>
    <w:rsid w:val="5CDA8A0C"/>
    <w:rsid w:val="5D0C4701"/>
    <w:rsid w:val="5D0F0395"/>
    <w:rsid w:val="5D221076"/>
    <w:rsid w:val="5D397964"/>
    <w:rsid w:val="5D5A391C"/>
    <w:rsid w:val="5D5F10C0"/>
    <w:rsid w:val="5D891B7B"/>
    <w:rsid w:val="5DAD38EE"/>
    <w:rsid w:val="5DBE9A2C"/>
    <w:rsid w:val="5E006862"/>
    <w:rsid w:val="5E0207B9"/>
    <w:rsid w:val="5E1834A1"/>
    <w:rsid w:val="5E261785"/>
    <w:rsid w:val="5E4A7017"/>
    <w:rsid w:val="5E552BBA"/>
    <w:rsid w:val="5E611C10"/>
    <w:rsid w:val="5E7A0F3F"/>
    <w:rsid w:val="5EAF9488"/>
    <w:rsid w:val="5EE43BA9"/>
    <w:rsid w:val="5EFC7377"/>
    <w:rsid w:val="5F06174D"/>
    <w:rsid w:val="5F159D89"/>
    <w:rsid w:val="5F3A3602"/>
    <w:rsid w:val="5F3F9AF8"/>
    <w:rsid w:val="5F45733B"/>
    <w:rsid w:val="5F6277C6"/>
    <w:rsid w:val="5F6D0B1D"/>
    <w:rsid w:val="5F8D0B82"/>
    <w:rsid w:val="5FCC5339"/>
    <w:rsid w:val="5FE34A5B"/>
    <w:rsid w:val="5FF7A3AB"/>
    <w:rsid w:val="5FFE1E36"/>
    <w:rsid w:val="60232584"/>
    <w:rsid w:val="607330CE"/>
    <w:rsid w:val="60825176"/>
    <w:rsid w:val="609F2AC4"/>
    <w:rsid w:val="60FA2EE8"/>
    <w:rsid w:val="610538E1"/>
    <w:rsid w:val="61054A27"/>
    <w:rsid w:val="610A52BC"/>
    <w:rsid w:val="611D2366"/>
    <w:rsid w:val="61244BA3"/>
    <w:rsid w:val="61421856"/>
    <w:rsid w:val="615227C4"/>
    <w:rsid w:val="61654E3F"/>
    <w:rsid w:val="6182292A"/>
    <w:rsid w:val="619F7F92"/>
    <w:rsid w:val="61F94C26"/>
    <w:rsid w:val="62000E56"/>
    <w:rsid w:val="62075FE3"/>
    <w:rsid w:val="624F3E49"/>
    <w:rsid w:val="62632286"/>
    <w:rsid w:val="62885958"/>
    <w:rsid w:val="62E414AD"/>
    <w:rsid w:val="62F40B65"/>
    <w:rsid w:val="62FC2CFE"/>
    <w:rsid w:val="63024505"/>
    <w:rsid w:val="635600A5"/>
    <w:rsid w:val="635B1DB5"/>
    <w:rsid w:val="63711FED"/>
    <w:rsid w:val="63880DDC"/>
    <w:rsid w:val="63886101"/>
    <w:rsid w:val="638D750D"/>
    <w:rsid w:val="63AC6CC0"/>
    <w:rsid w:val="64055776"/>
    <w:rsid w:val="64240056"/>
    <w:rsid w:val="643E143A"/>
    <w:rsid w:val="64491666"/>
    <w:rsid w:val="648B6EEF"/>
    <w:rsid w:val="64C158BF"/>
    <w:rsid w:val="64CE2EAA"/>
    <w:rsid w:val="6535616F"/>
    <w:rsid w:val="653C3090"/>
    <w:rsid w:val="653FBB0E"/>
    <w:rsid w:val="65854376"/>
    <w:rsid w:val="658767BE"/>
    <w:rsid w:val="65892531"/>
    <w:rsid w:val="66195831"/>
    <w:rsid w:val="661E5CDF"/>
    <w:rsid w:val="662E75B1"/>
    <w:rsid w:val="66342C2E"/>
    <w:rsid w:val="663E784C"/>
    <w:rsid w:val="668B6A45"/>
    <w:rsid w:val="66C040D0"/>
    <w:rsid w:val="66E225B5"/>
    <w:rsid w:val="66FE193A"/>
    <w:rsid w:val="672F3F24"/>
    <w:rsid w:val="673E055F"/>
    <w:rsid w:val="67551CE3"/>
    <w:rsid w:val="67A22552"/>
    <w:rsid w:val="67B22DCC"/>
    <w:rsid w:val="67BE71AA"/>
    <w:rsid w:val="67D90273"/>
    <w:rsid w:val="67DE5875"/>
    <w:rsid w:val="67E55852"/>
    <w:rsid w:val="67EB1AB4"/>
    <w:rsid w:val="67FA1285"/>
    <w:rsid w:val="68551F4F"/>
    <w:rsid w:val="687C10C9"/>
    <w:rsid w:val="68840C16"/>
    <w:rsid w:val="68876EFB"/>
    <w:rsid w:val="68884654"/>
    <w:rsid w:val="689F444F"/>
    <w:rsid w:val="68B96DBB"/>
    <w:rsid w:val="68CA2805"/>
    <w:rsid w:val="68E937A3"/>
    <w:rsid w:val="693E15D3"/>
    <w:rsid w:val="69627681"/>
    <w:rsid w:val="6977531D"/>
    <w:rsid w:val="69CC2BFF"/>
    <w:rsid w:val="69FD55B8"/>
    <w:rsid w:val="6A0B1C62"/>
    <w:rsid w:val="6A2406C8"/>
    <w:rsid w:val="6A8E778D"/>
    <w:rsid w:val="6A9665D4"/>
    <w:rsid w:val="6ADE0BD1"/>
    <w:rsid w:val="6AE96859"/>
    <w:rsid w:val="6AF52FA4"/>
    <w:rsid w:val="6B147746"/>
    <w:rsid w:val="6B24787C"/>
    <w:rsid w:val="6B573233"/>
    <w:rsid w:val="6B5B6274"/>
    <w:rsid w:val="6B935D53"/>
    <w:rsid w:val="6C196F71"/>
    <w:rsid w:val="6C226FCB"/>
    <w:rsid w:val="6C31226F"/>
    <w:rsid w:val="6C496C32"/>
    <w:rsid w:val="6C552F0B"/>
    <w:rsid w:val="6C8C67B7"/>
    <w:rsid w:val="6C9D744C"/>
    <w:rsid w:val="6D167928"/>
    <w:rsid w:val="6D26299B"/>
    <w:rsid w:val="6D4772EC"/>
    <w:rsid w:val="6D8E4F15"/>
    <w:rsid w:val="6D9078AF"/>
    <w:rsid w:val="6DAA3FEF"/>
    <w:rsid w:val="6DC0172B"/>
    <w:rsid w:val="6DCB690C"/>
    <w:rsid w:val="6DD41A5B"/>
    <w:rsid w:val="6DDEB12A"/>
    <w:rsid w:val="6DF43C2E"/>
    <w:rsid w:val="6DF51CA3"/>
    <w:rsid w:val="6E6B34D4"/>
    <w:rsid w:val="6E8335BD"/>
    <w:rsid w:val="6E8E12EF"/>
    <w:rsid w:val="6E972936"/>
    <w:rsid w:val="6ED446C5"/>
    <w:rsid w:val="6F2A7D94"/>
    <w:rsid w:val="6F6049BF"/>
    <w:rsid w:val="6F8331F1"/>
    <w:rsid w:val="6FAE1A09"/>
    <w:rsid w:val="6FD75BF8"/>
    <w:rsid w:val="707723D0"/>
    <w:rsid w:val="709062B1"/>
    <w:rsid w:val="70F5661B"/>
    <w:rsid w:val="71360107"/>
    <w:rsid w:val="713B688E"/>
    <w:rsid w:val="71D43752"/>
    <w:rsid w:val="71F1796A"/>
    <w:rsid w:val="72154626"/>
    <w:rsid w:val="72262B5D"/>
    <w:rsid w:val="72283FF7"/>
    <w:rsid w:val="722E7212"/>
    <w:rsid w:val="723A0474"/>
    <w:rsid w:val="725923E4"/>
    <w:rsid w:val="72864BF7"/>
    <w:rsid w:val="729023FC"/>
    <w:rsid w:val="733F48EB"/>
    <w:rsid w:val="73C0646E"/>
    <w:rsid w:val="73FFE36C"/>
    <w:rsid w:val="742222F5"/>
    <w:rsid w:val="74476126"/>
    <w:rsid w:val="74706664"/>
    <w:rsid w:val="747F3682"/>
    <w:rsid w:val="749C4185"/>
    <w:rsid w:val="74FFBAB9"/>
    <w:rsid w:val="75067759"/>
    <w:rsid w:val="752E6DCD"/>
    <w:rsid w:val="7551380D"/>
    <w:rsid w:val="75600BE5"/>
    <w:rsid w:val="7564475C"/>
    <w:rsid w:val="7583797F"/>
    <w:rsid w:val="75BDC257"/>
    <w:rsid w:val="75D20F1D"/>
    <w:rsid w:val="75DA2C18"/>
    <w:rsid w:val="75F54412"/>
    <w:rsid w:val="761D08E0"/>
    <w:rsid w:val="765D347C"/>
    <w:rsid w:val="76826699"/>
    <w:rsid w:val="76972087"/>
    <w:rsid w:val="76C87133"/>
    <w:rsid w:val="76CD08D5"/>
    <w:rsid w:val="76DB4B92"/>
    <w:rsid w:val="77052AA4"/>
    <w:rsid w:val="77136511"/>
    <w:rsid w:val="77340A39"/>
    <w:rsid w:val="77351FD0"/>
    <w:rsid w:val="77472422"/>
    <w:rsid w:val="777F31F2"/>
    <w:rsid w:val="77D1700D"/>
    <w:rsid w:val="77EC04CC"/>
    <w:rsid w:val="77EF512B"/>
    <w:rsid w:val="783D3FBA"/>
    <w:rsid w:val="78775729"/>
    <w:rsid w:val="78A42DB0"/>
    <w:rsid w:val="78A656AB"/>
    <w:rsid w:val="78B2245C"/>
    <w:rsid w:val="78E172CC"/>
    <w:rsid w:val="78EA1D1F"/>
    <w:rsid w:val="7904172F"/>
    <w:rsid w:val="790F7E27"/>
    <w:rsid w:val="792A231A"/>
    <w:rsid w:val="79316829"/>
    <w:rsid w:val="797E66A9"/>
    <w:rsid w:val="798518A4"/>
    <w:rsid w:val="79A97383"/>
    <w:rsid w:val="79E27E8B"/>
    <w:rsid w:val="79F24465"/>
    <w:rsid w:val="79F850CE"/>
    <w:rsid w:val="79FD443C"/>
    <w:rsid w:val="7A1D1975"/>
    <w:rsid w:val="7A3E5150"/>
    <w:rsid w:val="7A4670D6"/>
    <w:rsid w:val="7A534B63"/>
    <w:rsid w:val="7A615382"/>
    <w:rsid w:val="7A67303B"/>
    <w:rsid w:val="7AAB1D04"/>
    <w:rsid w:val="7AAF95BE"/>
    <w:rsid w:val="7ABA4368"/>
    <w:rsid w:val="7AD05746"/>
    <w:rsid w:val="7AE75F94"/>
    <w:rsid w:val="7B257FFD"/>
    <w:rsid w:val="7B343476"/>
    <w:rsid w:val="7B5A2978"/>
    <w:rsid w:val="7B5A7E4C"/>
    <w:rsid w:val="7B667AF9"/>
    <w:rsid w:val="7B7468F8"/>
    <w:rsid w:val="7BDF760D"/>
    <w:rsid w:val="7BEE0103"/>
    <w:rsid w:val="7C0806E0"/>
    <w:rsid w:val="7C0A0FE4"/>
    <w:rsid w:val="7C254906"/>
    <w:rsid w:val="7C590818"/>
    <w:rsid w:val="7C7C10F6"/>
    <w:rsid w:val="7C853BEA"/>
    <w:rsid w:val="7C881368"/>
    <w:rsid w:val="7C9FA4D1"/>
    <w:rsid w:val="7CAE9505"/>
    <w:rsid w:val="7CBF4B00"/>
    <w:rsid w:val="7CE27788"/>
    <w:rsid w:val="7D0C32F1"/>
    <w:rsid w:val="7D0F408D"/>
    <w:rsid w:val="7D2D83C8"/>
    <w:rsid w:val="7D491C6C"/>
    <w:rsid w:val="7D5134DE"/>
    <w:rsid w:val="7D5429C0"/>
    <w:rsid w:val="7D6E6D43"/>
    <w:rsid w:val="7DB57A34"/>
    <w:rsid w:val="7DD50545"/>
    <w:rsid w:val="7DD86F60"/>
    <w:rsid w:val="7DDF9A23"/>
    <w:rsid w:val="7DE60973"/>
    <w:rsid w:val="7DEF0916"/>
    <w:rsid w:val="7DFA687D"/>
    <w:rsid w:val="7E1E5218"/>
    <w:rsid w:val="7E6264D6"/>
    <w:rsid w:val="7E9A4E1F"/>
    <w:rsid w:val="7EA7723A"/>
    <w:rsid w:val="7EF56FBB"/>
    <w:rsid w:val="7F0768EB"/>
    <w:rsid w:val="7F143BEC"/>
    <w:rsid w:val="7F3A9001"/>
    <w:rsid w:val="7F715AF2"/>
    <w:rsid w:val="7F7C9443"/>
    <w:rsid w:val="7F7D952F"/>
    <w:rsid w:val="7F886E69"/>
    <w:rsid w:val="7F961E7F"/>
    <w:rsid w:val="7FDCF624"/>
    <w:rsid w:val="7FDF1FFF"/>
    <w:rsid w:val="7FEF7771"/>
    <w:rsid w:val="7FFD20B5"/>
    <w:rsid w:val="7FFF700B"/>
    <w:rsid w:val="9BFDE2EA"/>
    <w:rsid w:val="9D79FA82"/>
    <w:rsid w:val="A75FCF0B"/>
    <w:rsid w:val="A7F7E950"/>
    <w:rsid w:val="A9761CAF"/>
    <w:rsid w:val="AFFF0B4C"/>
    <w:rsid w:val="B35B350B"/>
    <w:rsid w:val="B7BFD184"/>
    <w:rsid w:val="BB7FA927"/>
    <w:rsid w:val="BE59B29C"/>
    <w:rsid w:val="BFD7833A"/>
    <w:rsid w:val="BFEB5CC0"/>
    <w:rsid w:val="BFF35531"/>
    <w:rsid w:val="BFFF7599"/>
    <w:rsid w:val="C2BF814F"/>
    <w:rsid w:val="C734EBED"/>
    <w:rsid w:val="C7B7CCEA"/>
    <w:rsid w:val="CD4763CE"/>
    <w:rsid w:val="CFAE2849"/>
    <w:rsid w:val="D5FB366F"/>
    <w:rsid w:val="D6FF38EA"/>
    <w:rsid w:val="D76FABD3"/>
    <w:rsid w:val="DABCA408"/>
    <w:rsid w:val="DD9F2625"/>
    <w:rsid w:val="DDAA5813"/>
    <w:rsid w:val="DDDF0996"/>
    <w:rsid w:val="DEAB83A4"/>
    <w:rsid w:val="DFD67724"/>
    <w:rsid w:val="E7DD7BCE"/>
    <w:rsid w:val="E97D2C06"/>
    <w:rsid w:val="E9FA9597"/>
    <w:rsid w:val="EADF7D94"/>
    <w:rsid w:val="EBD6A85D"/>
    <w:rsid w:val="EE79BD07"/>
    <w:rsid w:val="EFFADD25"/>
    <w:rsid w:val="F5FFD31F"/>
    <w:rsid w:val="F6755F11"/>
    <w:rsid w:val="F6FFC4CE"/>
    <w:rsid w:val="F7DFAE55"/>
    <w:rsid w:val="F7FB01EE"/>
    <w:rsid w:val="FD6FA049"/>
    <w:rsid w:val="FDD59226"/>
    <w:rsid w:val="FDF76B71"/>
    <w:rsid w:val="FEFD633F"/>
    <w:rsid w:val="FEFFE5D5"/>
    <w:rsid w:val="FF7A14A3"/>
    <w:rsid w:val="FF7F7985"/>
    <w:rsid w:val="FFAF45E8"/>
    <w:rsid w:val="FFCF1770"/>
    <w:rsid w:val="FFEF7E02"/>
    <w:rsid w:val="FFEFB01A"/>
    <w:rsid w:val="FFF54136"/>
    <w:rsid w:val="FFF75317"/>
    <w:rsid w:val="FFFEFD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qFormat="1" w:unhideWhenUsed="0" w:uiPriority="0" w:semiHidden="0"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5"/>
    <w:qFormat/>
    <w:uiPriority w:val="0"/>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32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293"/>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307"/>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3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unhideWhenUsed/>
    <w:qFormat/>
    <w:uiPriority w:val="1"/>
  </w:style>
  <w:style w:type="table" w:default="1" w:styleId="63">
    <w:name w:val="Normal Table"/>
    <w:unhideWhenUsed/>
    <w:qFormat/>
    <w:uiPriority w:val="99"/>
    <w:tblPr>
      <w:tblCellMar>
        <w:top w:w="0" w:type="dxa"/>
        <w:left w:w="108" w:type="dxa"/>
        <w:bottom w:w="0" w:type="dxa"/>
        <w:right w:w="108" w:type="dxa"/>
      </w:tblCellMar>
    </w:tblPr>
  </w:style>
  <w:style w:type="paragraph" w:styleId="5">
    <w:name w:val="Normal Indent"/>
    <w:basedOn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unhideWhenUsed/>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caption"/>
    <w:basedOn w:val="1"/>
    <w:next w:val="1"/>
    <w:link w:val="230"/>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3"/>
    <w:qFormat/>
    <w:uiPriority w:val="0"/>
    <w:pPr>
      <w:shd w:val="clear" w:color="auto" w:fill="000080"/>
    </w:pPr>
  </w:style>
  <w:style w:type="paragraph" w:styleId="19">
    <w:name w:val="annotation text"/>
    <w:basedOn w:val="1"/>
    <w:link w:val="344"/>
    <w:qFormat/>
    <w:uiPriority w:val="99"/>
    <w:pPr>
      <w:jc w:val="left"/>
    </w:pPr>
  </w:style>
  <w:style w:type="paragraph" w:styleId="20">
    <w:name w:val="Salutation"/>
    <w:basedOn w:val="1"/>
    <w:next w:val="1"/>
    <w:link w:val="298"/>
    <w:qFormat/>
    <w:uiPriority w:val="0"/>
    <w:rPr>
      <w:rFonts w:ascii="仿宋_GB2312" w:eastAsia="仿宋_GB2312"/>
      <w:sz w:val="28"/>
      <w:szCs w:val="20"/>
    </w:rPr>
  </w:style>
  <w:style w:type="paragraph" w:styleId="21">
    <w:name w:val="Body Text 3"/>
    <w:basedOn w:val="1"/>
    <w:link w:val="330"/>
    <w:qFormat/>
    <w:uiPriority w:val="0"/>
    <w:pPr>
      <w:jc w:val="center"/>
    </w:pPr>
    <w:rPr>
      <w:szCs w:val="20"/>
    </w:rPr>
  </w:style>
  <w:style w:type="paragraph" w:styleId="22">
    <w:name w:val="List Bullet 3"/>
    <w:basedOn w:val="1"/>
    <w:unhideWhenUsed/>
    <w:qFormat/>
    <w:uiPriority w:val="0"/>
    <w:pPr>
      <w:snapToGrid w:val="0"/>
      <w:spacing w:line="360" w:lineRule="auto"/>
      <w:ind w:left="360" w:right="238" w:hanging="360"/>
      <w:contextualSpacing/>
    </w:pPr>
    <w:rPr>
      <w:sz w:val="24"/>
    </w:rPr>
  </w:style>
  <w:style w:type="paragraph" w:styleId="23">
    <w:name w:val="Body Text"/>
    <w:basedOn w:val="1"/>
    <w:next w:val="24"/>
    <w:link w:val="430"/>
    <w:qFormat/>
    <w:uiPriority w:val="0"/>
    <w:pPr>
      <w:autoSpaceDE w:val="0"/>
      <w:autoSpaceDN w:val="0"/>
      <w:spacing w:line="360" w:lineRule="auto"/>
    </w:pPr>
    <w:rPr>
      <w:rFonts w:ascii="宋体" w:hAnsi="Arial" w:cs="Arial"/>
      <w:snapToGrid w:val="0"/>
      <w:sz w:val="24"/>
      <w:szCs w:val="21"/>
      <w:lang w:val="zh-CN"/>
    </w:rPr>
  </w:style>
  <w:style w:type="paragraph" w:customStyle="1" w:styleId="24">
    <w:name w:val="Default"/>
    <w:next w:val="1"/>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25">
    <w:name w:val="Body Text Indent"/>
    <w:basedOn w:val="1"/>
    <w:next w:val="1"/>
    <w:link w:val="265"/>
    <w:qFormat/>
    <w:uiPriority w:val="0"/>
    <w:pPr>
      <w:spacing w:line="480" w:lineRule="exact"/>
      <w:ind w:firstLine="480" w:firstLineChars="200"/>
    </w:pPr>
    <w:rPr>
      <w:rFonts w:ascii="宋体" w:hAnsi="宋体"/>
      <w:sz w:val="24"/>
    </w:rPr>
  </w:style>
  <w:style w:type="paragraph" w:styleId="26">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7">
    <w:name w:val="List 2"/>
    <w:basedOn w:val="1"/>
    <w:qFormat/>
    <w:uiPriority w:val="0"/>
    <w:pPr>
      <w:adjustRightInd/>
      <w:spacing w:line="360" w:lineRule="auto"/>
      <w:ind w:left="100" w:leftChars="200" w:hanging="200" w:hangingChars="200"/>
    </w:pPr>
    <w:rPr>
      <w:rFonts w:eastAsia="微软雅黑"/>
    </w:rPr>
  </w:style>
  <w:style w:type="paragraph" w:styleId="28">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qFormat/>
    <w:uiPriority w:val="0"/>
    <w:pPr>
      <w:autoSpaceDE w:val="0"/>
      <w:autoSpaceDN w:val="0"/>
      <w:ind w:left="420"/>
      <w:jc w:val="left"/>
    </w:pPr>
    <w:rPr>
      <w:rFonts w:ascii="宋体" w:hAnsi="宋体"/>
      <w:color w:val="000000"/>
      <w:kern w:val="0"/>
      <w:sz w:val="24"/>
      <w:szCs w:val="20"/>
    </w:rPr>
  </w:style>
  <w:style w:type="paragraph" w:styleId="30">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3">
    <w:name w:val="Plain Text"/>
    <w:basedOn w:val="1"/>
    <w:link w:val="126"/>
    <w:qFormat/>
    <w:uiPriority w:val="0"/>
    <w:rPr>
      <w:rFonts w:ascii="宋体" w:hAnsi="Courier New" w:cs="Arial"/>
      <w:snapToGrid w:val="0"/>
      <w:szCs w:val="21"/>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Date"/>
    <w:basedOn w:val="1"/>
    <w:next w:val="1"/>
    <w:link w:val="182"/>
    <w:qFormat/>
    <w:uiPriority w:val="0"/>
    <w:pPr>
      <w:ind w:left="100" w:leftChars="2500"/>
    </w:pPr>
    <w:rPr>
      <w:rFonts w:ascii="宋体"/>
      <w:sz w:val="24"/>
      <w:szCs w:val="21"/>
      <w:lang w:val="zh-CN"/>
    </w:rPr>
  </w:style>
  <w:style w:type="paragraph" w:styleId="37">
    <w:name w:val="Body Text Indent 2"/>
    <w:basedOn w:val="1"/>
    <w:link w:val="308"/>
    <w:qFormat/>
    <w:uiPriority w:val="0"/>
    <w:pPr>
      <w:spacing w:line="360" w:lineRule="auto"/>
      <w:ind w:firstLine="601"/>
      <w:textAlignment w:val="baseline"/>
    </w:pPr>
    <w:rPr>
      <w:rFonts w:ascii="宋体"/>
      <w:kern w:val="0"/>
      <w:sz w:val="28"/>
      <w:szCs w:val="20"/>
    </w:rPr>
  </w:style>
  <w:style w:type="paragraph" w:styleId="38">
    <w:name w:val="endnote text"/>
    <w:basedOn w:val="1"/>
    <w:link w:val="932"/>
    <w:qFormat/>
    <w:uiPriority w:val="0"/>
    <w:rPr>
      <w:lang w:val="zh-CN"/>
    </w:rPr>
  </w:style>
  <w:style w:type="paragraph" w:styleId="39">
    <w:name w:val="Balloon Text"/>
    <w:basedOn w:val="1"/>
    <w:link w:val="189"/>
    <w:qFormat/>
    <w:uiPriority w:val="0"/>
    <w:rPr>
      <w:sz w:val="18"/>
      <w:szCs w:val="18"/>
    </w:rPr>
  </w:style>
  <w:style w:type="paragraph" w:styleId="40">
    <w:name w:val="footer"/>
    <w:basedOn w:val="1"/>
    <w:link w:val="383"/>
    <w:qFormat/>
    <w:uiPriority w:val="99"/>
    <w:pPr>
      <w:tabs>
        <w:tab w:val="center" w:pos="4153"/>
        <w:tab w:val="right" w:pos="8306"/>
      </w:tabs>
      <w:snapToGrid w:val="0"/>
      <w:jc w:val="left"/>
    </w:pPr>
    <w:rPr>
      <w:sz w:val="18"/>
      <w:szCs w:val="18"/>
    </w:rPr>
  </w:style>
  <w:style w:type="paragraph" w:styleId="41">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2">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3">
    <w:name w:val="toc 1"/>
    <w:basedOn w:val="1"/>
    <w:next w:val="1"/>
    <w:qFormat/>
    <w:uiPriority w:val="0"/>
  </w:style>
  <w:style w:type="paragraph" w:styleId="44">
    <w:name w:val="toc 4"/>
    <w:basedOn w:val="1"/>
    <w:next w:val="1"/>
    <w:qFormat/>
    <w:uiPriority w:val="0"/>
    <w:pPr>
      <w:ind w:left="1260" w:leftChars="600"/>
    </w:pPr>
  </w:style>
  <w:style w:type="paragraph" w:styleId="45">
    <w:name w:val="index heading"/>
    <w:basedOn w:val="1"/>
    <w:next w:val="46"/>
    <w:qFormat/>
    <w:uiPriority w:val="0"/>
    <w:pPr>
      <w:adjustRightInd/>
      <w:ind w:firstLine="200" w:firstLineChars="200"/>
    </w:pPr>
  </w:style>
  <w:style w:type="paragraph" w:styleId="46">
    <w:name w:val="index 1"/>
    <w:basedOn w:val="1"/>
    <w:next w:val="1"/>
    <w:qFormat/>
    <w:uiPriority w:val="0"/>
    <w:pPr>
      <w:adjustRightInd/>
      <w:spacing w:line="360" w:lineRule="auto"/>
      <w:ind w:firstLine="200" w:firstLineChars="200"/>
      <w:jc w:val="center"/>
    </w:pPr>
    <w:rPr>
      <w:sz w:val="24"/>
      <w:szCs w:val="20"/>
    </w:rPr>
  </w:style>
  <w:style w:type="paragraph" w:styleId="47">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8">
    <w:name w:val="List Number 5"/>
    <w:basedOn w:val="1"/>
    <w:qFormat/>
    <w:uiPriority w:val="0"/>
    <w:pPr>
      <w:tabs>
        <w:tab w:val="left" w:pos="902"/>
      </w:tabs>
      <w:adjustRightInd/>
      <w:spacing w:line="400" w:lineRule="exact"/>
      <w:ind w:left="902" w:hanging="420"/>
    </w:pPr>
    <w:rPr>
      <w:sz w:val="24"/>
      <w:szCs w:val="20"/>
    </w:rPr>
  </w:style>
  <w:style w:type="paragraph" w:styleId="49">
    <w:name w:val="List"/>
    <w:basedOn w:val="1"/>
    <w:qFormat/>
    <w:uiPriority w:val="0"/>
    <w:pPr>
      <w:ind w:left="200" w:hanging="200" w:hangingChars="200"/>
    </w:pPr>
  </w:style>
  <w:style w:type="paragraph" w:styleId="50">
    <w:name w:val="footnote text"/>
    <w:basedOn w:val="5"/>
    <w:link w:val="310"/>
    <w:qFormat/>
    <w:uiPriority w:val="0"/>
    <w:pPr>
      <w:adjustRightInd/>
      <w:snapToGrid/>
      <w:spacing w:before="60" w:after="60" w:line="300" w:lineRule="exact"/>
      <w:ind w:firstLine="0"/>
    </w:pPr>
    <w:rPr>
      <w:rFonts w:ascii="Calibri"/>
      <w:snapToGrid/>
      <w:color w:val="0000FF"/>
      <w:kern w:val="0"/>
      <w:sz w:val="21"/>
    </w:rPr>
  </w:style>
  <w:style w:type="paragraph" w:styleId="51">
    <w:name w:val="toc 6"/>
    <w:basedOn w:val="1"/>
    <w:next w:val="1"/>
    <w:qFormat/>
    <w:uiPriority w:val="0"/>
    <w:pPr>
      <w:ind w:left="2100" w:leftChars="1000"/>
    </w:pPr>
  </w:style>
  <w:style w:type="paragraph" w:styleId="52">
    <w:name w:val="List 5"/>
    <w:basedOn w:val="1"/>
    <w:qFormat/>
    <w:uiPriority w:val="0"/>
    <w:pPr>
      <w:adjustRightInd/>
      <w:ind w:left="100" w:leftChars="800" w:hanging="200" w:hangingChars="200"/>
    </w:pPr>
  </w:style>
  <w:style w:type="paragraph" w:styleId="53">
    <w:name w:val="Body Text Indent 3"/>
    <w:basedOn w:val="1"/>
    <w:link w:val="375"/>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2"/>
    <w:qFormat/>
    <w:uiPriority w:val="0"/>
    <w:pPr>
      <w:spacing w:after="120" w:line="480" w:lineRule="auto"/>
    </w:pPr>
  </w:style>
  <w:style w:type="paragraph" w:styleId="57">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19"/>
    <w:next w:val="19"/>
    <w:link w:val="97"/>
    <w:qFormat/>
    <w:uiPriority w:val="0"/>
    <w:rPr>
      <w:b/>
      <w:bCs/>
    </w:rPr>
  </w:style>
  <w:style w:type="paragraph" w:styleId="61">
    <w:name w:val="Body Text First Indent"/>
    <w:basedOn w:val="23"/>
    <w:link w:val="321"/>
    <w:qFormat/>
    <w:uiPriority w:val="0"/>
    <w:pPr>
      <w:ind w:firstLine="420"/>
    </w:pPr>
    <w:rPr>
      <w:rFonts w:hAnsi="Calibri" w:cs="Times New Roman"/>
      <w:snapToGrid/>
      <w:szCs w:val="20"/>
    </w:rPr>
  </w:style>
  <w:style w:type="paragraph" w:styleId="62">
    <w:name w:val="Body Text First Indent 2"/>
    <w:basedOn w:val="25"/>
    <w:next w:val="61"/>
    <w:link w:val="122"/>
    <w:qFormat/>
    <w:uiPriority w:val="0"/>
    <w:pPr>
      <w:adjustRightInd/>
      <w:spacing w:after="120" w:line="240" w:lineRule="auto"/>
      <w:ind w:left="420" w:leftChars="200" w:firstLine="210"/>
    </w:pPr>
    <w:rPr>
      <w:sz w:val="21"/>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22"/>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99"/>
    <w:rPr>
      <w:sz w:val="21"/>
      <w:szCs w:val="21"/>
    </w:rPr>
  </w:style>
  <w:style w:type="paragraph" w:customStyle="1" w:styleId="80">
    <w:name w:val="正文空2字"/>
    <w:basedOn w:val="81"/>
    <w:qFormat/>
    <w:uiPriority w:val="99"/>
    <w:pPr>
      <w:widowControl w:val="0"/>
      <w:snapToGrid w:val="0"/>
      <w:spacing w:line="560" w:lineRule="exact"/>
      <w:ind w:firstLine="640" w:firstLineChars="200"/>
    </w:pPr>
    <w:rPr>
      <w:rFonts w:ascii="仿宋_GB2312" w:hAnsi="仿宋_GB2312" w:cs="仿宋_GB2312"/>
      <w:lang w:val="zh-TW"/>
    </w:rPr>
  </w:style>
  <w:style w:type="paragraph" w:customStyle="1" w:styleId="81">
    <w:name w:val="左对齐正文"/>
    <w:qFormat/>
    <w:uiPriority w:val="99"/>
    <w:rPr>
      <w:rFonts w:ascii="Calibri" w:hAnsi="Calibri" w:eastAsia="仿宋_GB2312" w:cs="Calibri"/>
      <w:kern w:val="2"/>
      <w:sz w:val="32"/>
      <w:szCs w:val="32"/>
      <w:lang w:val="en-US" w:eastAsia="zh-CN" w:bidi="ar-SA"/>
    </w:rPr>
  </w:style>
  <w:style w:type="paragraph" w:customStyle="1" w:styleId="8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locked/>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semiHidden/>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60"/>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locked/>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
    <w:qFormat/>
    <w:locked/>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62"/>
    <w:qFormat/>
    <w:uiPriority w:val="0"/>
    <w:rPr>
      <w:rFonts w:ascii="宋体" w:hAnsi="宋体"/>
      <w:kern w:val="2"/>
      <w:sz w:val="21"/>
      <w:szCs w:val="24"/>
    </w:rPr>
  </w:style>
  <w:style w:type="character" w:customStyle="1" w:styleId="123">
    <w:name w:val="font11"/>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70"/>
    <w:qFormat/>
    <w:uiPriority w:val="0"/>
    <w:rPr>
      <w:rFonts w:ascii="Arial" w:hAnsi="Arial" w:eastAsia="黑体" w:cs="Arial"/>
      <w:snapToGrid w:val="0"/>
      <w:kern w:val="0"/>
      <w:szCs w:val="21"/>
    </w:rPr>
  </w:style>
  <w:style w:type="character" w:customStyle="1" w:styleId="126">
    <w:name w:val="纯文本 Char"/>
    <w:link w:val="33"/>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7"/>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semiHidden/>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locked/>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8"/>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locked/>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locked/>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3"/>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semiHidden/>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semiHidden/>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6"/>
    <w:qFormat/>
    <w:uiPriority w:val="0"/>
    <w:rPr>
      <w:rFonts w:ascii="宋体"/>
      <w:kern w:val="2"/>
      <w:sz w:val="24"/>
      <w:szCs w:val="21"/>
      <w:lang w:val="zh-CN"/>
    </w:rPr>
  </w:style>
  <w:style w:type="character" w:customStyle="1" w:styleId="183">
    <w:name w:val="标题 9 Char"/>
    <w:link w:val="11"/>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0"/>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semiHidden/>
    <w:qFormat/>
    <w:uiPriority w:val="99"/>
    <w:rPr>
      <w:rFonts w:ascii="Times New Roman" w:hAnsi="Times New Roman" w:eastAsia="宋体" w:cs="Times New Roman"/>
      <w:szCs w:val="24"/>
    </w:rPr>
  </w:style>
  <w:style w:type="character" w:customStyle="1" w:styleId="189">
    <w:name w:val="批注框文本 Char"/>
    <w:link w:val="39"/>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locked/>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5"/>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qFormat/>
    <w:uiPriority w:val="0"/>
    <w:pPr>
      <w:ind w:left="0" w:right="466" w:firstLine="288"/>
    </w:pPr>
    <w:rPr>
      <w:rFonts w:hAnsi="宋体"/>
      <w:snapToGrid/>
    </w:rPr>
  </w:style>
  <w:style w:type="paragraph" w:customStyle="1" w:styleId="201">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18"/>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basedOn w:val="70"/>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标题 2 Char"/>
    <w:qFormat/>
    <w:uiPriority w:val="0"/>
    <w:rPr>
      <w:rFonts w:ascii="Arial" w:hAnsi="Arial" w:eastAsia="黑体"/>
      <w:b/>
      <w:kern w:val="2"/>
      <w:sz w:val="32"/>
      <w:lang w:val="en-US" w:eastAsia="zh-CN"/>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semiHidden/>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70"/>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0"/>
    <w:qFormat/>
    <w:uiPriority w:val="0"/>
    <w:rPr>
      <w:rFonts w:ascii="仿宋_GB2312" w:hAnsi="仿宋" w:eastAsia="仿宋_GB2312" w:cs="仿宋_GB2312"/>
      <w:sz w:val="32"/>
      <w:szCs w:val="30"/>
      <w:lang w:val="zh-CN"/>
    </w:rPr>
  </w:style>
  <w:style w:type="character" w:customStyle="1" w:styleId="220">
    <w:name w:val="HTML 地址 Char"/>
    <w:link w:val="30"/>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6"/>
    <w:link w:val="223"/>
    <w:qFormat/>
    <w:uiPriority w:val="0"/>
    <w:pPr>
      <w:tabs>
        <w:tab w:val="left" w:pos="851"/>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
    <w:qFormat/>
    <w:locked/>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Char"/>
    <w:link w:val="16"/>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24"/>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semiHidden/>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locked/>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List Paragraph"/>
    <w:basedOn w:val="1"/>
    <w:qFormat/>
    <w:uiPriority w:val="34"/>
    <w:pPr>
      <w:spacing w:line="360" w:lineRule="auto"/>
      <w:ind w:firstLine="200" w:firstLineChars="200"/>
    </w:pPr>
    <w:rPr>
      <w:rFonts w:eastAsia="楷体_GB2312" w:cs="Lucida Sans"/>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99"/>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Char3"/>
    <w:link w:val="25"/>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0"/>
    <w:rPr>
      <w:rFonts w:ascii="Arial" w:hAnsi="Arial" w:eastAsia="黑体" w:cs="Arial"/>
      <w:snapToGrid w:val="0"/>
      <w:kern w:val="0"/>
      <w:sz w:val="18"/>
      <w:szCs w:val="18"/>
    </w:rPr>
  </w:style>
  <w:style w:type="character" w:customStyle="1" w:styleId="276">
    <w:name w:val="纯文本 Char2"/>
    <w:semiHidden/>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
    <w:qFormat/>
    <w:locked/>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Char"/>
    <w:link w:val="2"/>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Char2"/>
    <w:link w:val="59"/>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Char"/>
    <w:link w:val="7"/>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Char"/>
    <w:link w:val="20"/>
    <w:qFormat/>
    <w:uiPriority w:val="0"/>
    <w:rPr>
      <w:rFonts w:ascii="仿宋_GB2312" w:eastAsia="仿宋_GB2312"/>
      <w:kern w:val="2"/>
      <w:sz w:val="28"/>
    </w:rPr>
  </w:style>
  <w:style w:type="character" w:customStyle="1" w:styleId="299">
    <w:name w:val="文本正文 Char Char"/>
    <w:qFormat/>
    <w:locked/>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Char"/>
    <w:link w:val="57"/>
    <w:qFormat/>
    <w:uiPriority w:val="0"/>
    <w:rPr>
      <w:rFonts w:ascii="黑体" w:hAnsi="Courier New" w:eastAsia="黑体"/>
    </w:rPr>
  </w:style>
  <w:style w:type="character" w:customStyle="1" w:styleId="302">
    <w:name w:val="正文文本 2 Char1"/>
    <w:link w:val="56"/>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6"/>
    <w:link w:val="413"/>
    <w:qFormat/>
    <w:uiPriority w:val="0"/>
    <w:p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Char"/>
    <w:link w:val="9"/>
    <w:qFormat/>
    <w:uiPriority w:val="0"/>
    <w:rPr>
      <w:b/>
      <w:bCs/>
      <w:kern w:val="2"/>
      <w:sz w:val="24"/>
      <w:szCs w:val="24"/>
    </w:rPr>
  </w:style>
  <w:style w:type="character" w:customStyle="1" w:styleId="308">
    <w:name w:val="正文文本缩进 2 Char"/>
    <w:link w:val="37"/>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Char"/>
    <w:link w:val="50"/>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basedOn w:val="70"/>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首行缩进 Char"/>
    <w:link w:val="61"/>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Char2"/>
    <w:link w:val="6"/>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Char"/>
    <w:link w:val="21"/>
    <w:qFormat/>
    <w:uiPriority w:val="0"/>
    <w:rPr>
      <w:kern w:val="2"/>
      <w:sz w:val="21"/>
    </w:rPr>
  </w:style>
  <w:style w:type="character" w:customStyle="1" w:styleId="331">
    <w:name w:val="font31"/>
    <w:basedOn w:val="70"/>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Char1"/>
    <w:link w:val="19"/>
    <w:qFormat/>
    <w:uiPriority w:val="0"/>
    <w:rPr>
      <w:kern w:val="2"/>
      <w:sz w:val="21"/>
      <w:szCs w:val="24"/>
    </w:rPr>
  </w:style>
  <w:style w:type="character" w:customStyle="1" w:styleId="345">
    <w:name w:val="签名 Char"/>
    <w:link w:val="42"/>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Lucida Sans"/>
      <w:kern w:val="2"/>
      <w:sz w:val="24"/>
      <w:szCs w:val="24"/>
      <w:lang w:val="en-US" w:eastAsia="zh-CN" w:bidi="ar-SA"/>
    </w:rPr>
  </w:style>
  <w:style w:type="character" w:customStyle="1" w:styleId="351">
    <w:name w:val="正文文本缩进 3 Char1"/>
    <w:semiHidden/>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10"/>
    <w:qFormat/>
    <w:uiPriority w:val="0"/>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basedOn w:val="70"/>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Char"/>
    <w:link w:val="53"/>
    <w:qFormat/>
    <w:uiPriority w:val="0"/>
    <w:rPr>
      <w:kern w:val="2"/>
      <w:sz w:val="24"/>
    </w:rPr>
  </w:style>
  <w:style w:type="character" w:customStyle="1" w:styleId="376">
    <w:name w:val="日期 Char1"/>
    <w:semiHidden/>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Char2"/>
    <w:link w:val="40"/>
    <w:qFormat/>
    <w:locked/>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Char2"/>
    <w:link w:val="41"/>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156"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9"/>
    <w:rPr>
      <w:rFonts w:ascii="Arial" w:hAnsi="Arial" w:eastAsia="黑体" w:cs="Arial"/>
      <w:b/>
      <w:bCs/>
      <w:snapToGrid w:val="0"/>
      <w:kern w:val="44"/>
      <w:sz w:val="44"/>
      <w:szCs w:val="44"/>
    </w:rPr>
  </w:style>
  <w:style w:type="character" w:customStyle="1" w:styleId="421">
    <w:name w:val="style36"/>
    <w:basedOn w:val="70"/>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99"/>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5"/>
    <w:link w:val="428"/>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431">
    <w:name w:val="gray6"/>
    <w:basedOn w:val="70"/>
    <w:qFormat/>
    <w:uiPriority w:val="0"/>
    <w:rPr>
      <w:rFonts w:ascii="Arial" w:hAnsi="Arial" w:eastAsia="黑体" w:cs="Arial"/>
      <w:snapToGrid w:val="0"/>
      <w:kern w:val="0"/>
      <w:szCs w:val="21"/>
    </w:rPr>
  </w:style>
  <w:style w:type="character" w:customStyle="1" w:styleId="432">
    <w:name w:val="hui"/>
    <w:basedOn w:val="70"/>
    <w:qFormat/>
    <w:uiPriority w:val="0"/>
    <w:rPr>
      <w:rFonts w:ascii="Arial" w:hAnsi="Arial" w:eastAsia="黑体" w:cs="Arial"/>
      <w:snapToGrid w:val="0"/>
      <w:kern w:val="0"/>
      <w:szCs w:val="21"/>
    </w:rPr>
  </w:style>
  <w:style w:type="character" w:customStyle="1" w:styleId="433">
    <w:name w:val="哈哈正文 Char Char"/>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6"/>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312"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3"/>
    <w:qFormat/>
    <w:uiPriority w:val="0"/>
    <w:pPr>
      <w:keepLines w:val="0"/>
      <w:widowControl/>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spacing w:before="0" w:after="0"/>
      <w:outlineLvl w:val="5"/>
    </w:pPr>
  </w:style>
  <w:style w:type="paragraph" w:customStyle="1" w:styleId="474">
    <w:name w:val="5级标题"/>
    <w:basedOn w:val="475"/>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8"/>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No Spacing"/>
    <w:basedOn w:val="1"/>
    <w:link w:val="933"/>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3"/>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4"/>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7"/>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4"/>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5"/>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2"/>
    <w:next w:val="1"/>
    <w:unhideWhenUsed/>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61"/>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6"/>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3"/>
    <w:qFormat/>
    <w:uiPriority w:val="0"/>
    <w:pPr>
      <w:tabs>
        <w:tab w:val="left" w:pos="0"/>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24"/>
    <w:next w:val="24"/>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24"/>
    <w:next w:val="24"/>
    <w:qFormat/>
    <w:uiPriority w:val="0"/>
    <w:rPr>
      <w:rFonts w:ascii="宋体" w:eastAsia="宋体" w:cs="Times New Roman"/>
      <w:color w:val="auto"/>
    </w:rPr>
  </w:style>
  <w:style w:type="paragraph" w:customStyle="1" w:styleId="55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5"/>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156"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3"/>
    <w:next w:val="1"/>
    <w:qFormat/>
    <w:uiPriority w:val="0"/>
    <w:p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3"/>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5"/>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6"/>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6">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2"/>
    <w:qFormat/>
    <w:uiPriority w:val="0"/>
    <w:pPr>
      <w:tabs>
        <w:tab w:val="left" w:pos="840"/>
      </w:tabs>
      <w:adjustRightInd/>
      <w:ind w:left="840" w:hanging="420"/>
    </w:pPr>
  </w:style>
  <w:style w:type="paragraph" w:customStyle="1" w:styleId="626">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6"/>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156"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spacing w:before="0" w:beforeLines="0" w:after="0" w:afterLines="0"/>
      <w:ind w:left="1680"/>
      <w:outlineLvl w:val="2"/>
    </w:pPr>
  </w:style>
  <w:style w:type="paragraph" w:customStyle="1" w:styleId="658">
    <w:name w:val="章标题"/>
    <w:next w:val="640"/>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6"/>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7"/>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4"/>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70">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5"/>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4"/>
    <w:next w:val="53"/>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left" w:pos="2940"/>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首行缩进"/>
    <w:basedOn w:val="1"/>
    <w:qFormat/>
    <w:uiPriority w:val="0"/>
    <w:pPr>
      <w:spacing w:line="360" w:lineRule="auto"/>
      <w:ind w:firstLine="480" w:firstLineChars="200"/>
    </w:pPr>
    <w:rPr>
      <w:rFonts w:ascii="宋体"/>
      <w:sz w:val="24"/>
      <w:szCs w:val="20"/>
    </w:rPr>
  </w:style>
  <w:style w:type="paragraph" w:customStyle="1" w:styleId="80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2">
    <w:name w:val="单元格左对齐"/>
    <w:basedOn w:val="1"/>
    <w:qFormat/>
    <w:uiPriority w:val="0"/>
    <w:pPr>
      <w:adjustRightInd/>
      <w:spacing w:line="360" w:lineRule="auto"/>
    </w:pPr>
    <w:rPr>
      <w:sz w:val="24"/>
    </w:rPr>
  </w:style>
  <w:style w:type="paragraph" w:customStyle="1" w:styleId="803">
    <w:name w:val="正文主体"/>
    <w:basedOn w:val="624"/>
    <w:qFormat/>
    <w:uiPriority w:val="0"/>
  </w:style>
  <w:style w:type="paragraph" w:customStyle="1" w:styleId="804">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5">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6">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7">
    <w:name w:val="正文（首行缩进2字符）"/>
    <w:basedOn w:val="1"/>
    <w:qFormat/>
    <w:uiPriority w:val="0"/>
    <w:pPr>
      <w:adjustRightInd/>
      <w:spacing w:line="360" w:lineRule="auto"/>
      <w:ind w:firstLine="480" w:firstLineChars="200"/>
    </w:pPr>
    <w:rPr>
      <w:sz w:val="24"/>
      <w:szCs w:val="20"/>
    </w:rPr>
  </w:style>
  <w:style w:type="paragraph" w:customStyle="1" w:styleId="808">
    <w:name w:val="P1"/>
    <w:basedOn w:val="1"/>
    <w:qFormat/>
    <w:uiPriority w:val="0"/>
    <w:pPr>
      <w:adjustRightInd/>
      <w:spacing w:line="288" w:lineRule="auto"/>
      <w:ind w:firstLine="425" w:firstLineChars="200"/>
    </w:pPr>
  </w:style>
  <w:style w:type="paragraph" w:customStyle="1" w:styleId="809">
    <w:name w:val="列表内容"/>
    <w:basedOn w:val="1"/>
    <w:next w:val="1"/>
    <w:qFormat/>
    <w:uiPriority w:val="0"/>
    <w:pPr>
      <w:widowControl/>
      <w:tabs>
        <w:tab w:val="left" w:pos="840"/>
      </w:tabs>
      <w:ind w:left="840" w:hanging="420"/>
      <w:jc w:val="left"/>
    </w:pPr>
    <w:rPr>
      <w:kern w:val="0"/>
      <w:sz w:val="18"/>
    </w:rPr>
  </w:style>
  <w:style w:type="paragraph" w:customStyle="1" w:styleId="810">
    <w:name w:val="Char Char11 Char Char Char1"/>
    <w:basedOn w:val="1"/>
    <w:qFormat/>
    <w:uiPriority w:val="6"/>
    <w:pPr>
      <w:spacing w:line="360" w:lineRule="auto"/>
    </w:pPr>
    <w:rPr>
      <w:szCs w:val="20"/>
    </w:rPr>
  </w:style>
  <w:style w:type="paragraph" w:customStyle="1" w:styleId="811">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2">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3">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81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5">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6">
    <w:name w:val="默认段落字体 Para Char Char Char Char"/>
    <w:basedOn w:val="1"/>
    <w:qFormat/>
    <w:uiPriority w:val="0"/>
    <w:pPr>
      <w:spacing w:line="360" w:lineRule="auto"/>
    </w:pPr>
    <w:rPr>
      <w:szCs w:val="20"/>
    </w:rPr>
  </w:style>
  <w:style w:type="paragraph" w:customStyle="1" w:styleId="81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9">
    <w:name w:val="Char2 Char Char Char2"/>
    <w:basedOn w:val="1"/>
    <w:qFormat/>
    <w:uiPriority w:val="0"/>
    <w:rPr>
      <w:rFonts w:ascii="仿宋_GB2312" w:eastAsia="仿宋_GB2312"/>
      <w:b/>
      <w:sz w:val="32"/>
      <w:szCs w:val="32"/>
    </w:rPr>
  </w:style>
  <w:style w:type="paragraph" w:customStyle="1" w:styleId="820">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1">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2">
    <w:name w:val="正文 首行缩进:  2 字符 Char"/>
    <w:basedOn w:val="1"/>
    <w:qFormat/>
    <w:uiPriority w:val="0"/>
    <w:pPr>
      <w:adjustRightInd/>
      <w:spacing w:line="360" w:lineRule="auto"/>
      <w:ind w:firstLine="480"/>
    </w:pPr>
    <w:rPr>
      <w:rFonts w:cs="宋体"/>
      <w:sz w:val="24"/>
      <w:szCs w:val="20"/>
    </w:rPr>
  </w:style>
  <w:style w:type="paragraph" w:customStyle="1" w:styleId="823">
    <w:name w:val="Char Char4 Char Char"/>
    <w:basedOn w:val="1"/>
    <w:qFormat/>
    <w:uiPriority w:val="0"/>
    <w:pPr>
      <w:widowControl/>
      <w:adjustRightInd/>
      <w:spacing w:after="160" w:line="240" w:lineRule="exact"/>
      <w:jc w:val="left"/>
    </w:pPr>
  </w:style>
  <w:style w:type="paragraph" w:customStyle="1" w:styleId="824">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5">
    <w:name w:val="Char Char11 Char Char Char2"/>
    <w:basedOn w:val="1"/>
    <w:qFormat/>
    <w:uiPriority w:val="0"/>
    <w:pPr>
      <w:spacing w:line="360" w:lineRule="auto"/>
    </w:pPr>
    <w:rPr>
      <w:szCs w:val="20"/>
    </w:rPr>
  </w:style>
  <w:style w:type="paragraph" w:customStyle="1" w:styleId="826">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7">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8">
    <w:name w:val="数字标题4"/>
    <w:basedOn w:val="6"/>
    <w:qFormat/>
    <w:uiPriority w:val="0"/>
    <w:p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0">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2">
    <w:name w:val="Char311"/>
    <w:basedOn w:val="1"/>
    <w:qFormat/>
    <w:uiPriority w:val="0"/>
    <w:pPr>
      <w:adjustRightInd/>
      <w:ind w:firstLine="200" w:firstLineChars="200"/>
    </w:pPr>
    <w:rPr>
      <w:rFonts w:ascii="Tahoma" w:hAnsi="Tahoma"/>
      <w:sz w:val="24"/>
      <w:szCs w:val="20"/>
    </w:rPr>
  </w:style>
  <w:style w:type="paragraph" w:customStyle="1" w:styleId="833">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4">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5">
    <w:name w:val="正文 内标"/>
    <w:basedOn w:val="750"/>
    <w:qFormat/>
    <w:uiPriority w:val="0"/>
    <w:pPr>
      <w:tabs>
        <w:tab w:val="left" w:pos="0"/>
      </w:tabs>
      <w:ind w:left="900" w:firstLine="0" w:firstLineChars="0"/>
    </w:pPr>
  </w:style>
  <w:style w:type="paragraph" w:customStyle="1" w:styleId="836">
    <w:name w:val="Bulleted List"/>
    <w:basedOn w:val="1"/>
    <w:qFormat/>
    <w:uiPriority w:val="0"/>
    <w:pPr>
      <w:tabs>
        <w:tab w:val="left" w:pos="1260"/>
      </w:tabs>
      <w:adjustRightInd/>
      <w:ind w:left="1260" w:hanging="420"/>
    </w:pPr>
  </w:style>
  <w:style w:type="paragraph" w:customStyle="1" w:styleId="837">
    <w:name w:val="样式 正文文本缩进 2 + 仿宋_GB2312 黑色 行距: 1.5 倍行距"/>
    <w:basedOn w:val="37"/>
    <w:qFormat/>
    <w:uiPriority w:val="0"/>
    <w:pPr>
      <w:adjustRightInd/>
      <w:ind w:firstLine="560" w:firstLineChars="200"/>
      <w:textAlignment w:val="auto"/>
    </w:pPr>
    <w:rPr>
      <w:rFonts w:hAnsi="宋体" w:cs="宋体"/>
      <w:color w:val="000000"/>
      <w:kern w:val="2"/>
      <w:sz w:val="24"/>
    </w:rPr>
  </w:style>
  <w:style w:type="paragraph" w:customStyle="1" w:styleId="838">
    <w:name w:val="样式 左侧:  0.85 厘米"/>
    <w:basedOn w:val="1"/>
    <w:qFormat/>
    <w:uiPriority w:val="2"/>
    <w:pPr>
      <w:adjustRightInd/>
      <w:spacing w:line="360" w:lineRule="auto"/>
    </w:pPr>
    <w:rPr>
      <w:rFonts w:cs="宋体"/>
      <w:sz w:val="24"/>
      <w:szCs w:val="20"/>
    </w:rPr>
  </w:style>
  <w:style w:type="paragraph" w:customStyle="1" w:styleId="839">
    <w:name w:val="Char Char Char Char Char Char Char Char Char Char Char Char1 Char"/>
    <w:basedOn w:val="1"/>
    <w:qFormat/>
    <w:uiPriority w:val="0"/>
    <w:rPr>
      <w:rFonts w:ascii="Tahoma" w:hAnsi="Tahoma" w:cs="仿宋_GB2312"/>
      <w:sz w:val="24"/>
      <w:szCs w:val="20"/>
    </w:rPr>
  </w:style>
  <w:style w:type="paragraph" w:customStyle="1" w:styleId="840">
    <w:name w:val="正文1"/>
    <w:basedOn w:val="32"/>
    <w:qFormat/>
    <w:uiPriority w:val="0"/>
    <w:pPr>
      <w:ind w:left="0" w:leftChars="0" w:firstLine="480" w:firstLineChars="200"/>
    </w:pPr>
    <w:rPr>
      <w:rFonts w:ascii="仿宋_GB2312" w:hAnsi="Courier New" w:eastAsia="仿宋_GB2312"/>
      <w:kern w:val="28"/>
      <w:sz w:val="24"/>
    </w:rPr>
  </w:style>
  <w:style w:type="paragraph" w:customStyle="1" w:styleId="841">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2">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3">
    <w:name w:val="模板普通正文"/>
    <w:basedOn w:val="25"/>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4">
    <w:name w:val="Char Char1 Char Char Char Char Char Char"/>
    <w:basedOn w:val="1"/>
    <w:qFormat/>
    <w:uiPriority w:val="0"/>
    <w:rPr>
      <w:rFonts w:ascii="仿宋_GB2312" w:eastAsia="仿宋_GB2312"/>
      <w:b/>
      <w:sz w:val="32"/>
      <w:szCs w:val="20"/>
    </w:rPr>
  </w:style>
  <w:style w:type="paragraph" w:customStyle="1" w:styleId="84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6">
    <w:name w:val="Char Char1 Char Char Char Char Char Char2"/>
    <w:basedOn w:val="1"/>
    <w:qFormat/>
    <w:uiPriority w:val="0"/>
    <w:rPr>
      <w:rFonts w:ascii="仿宋_GB2312" w:eastAsia="仿宋_GB2312"/>
      <w:b/>
      <w:sz w:val="32"/>
      <w:szCs w:val="20"/>
    </w:rPr>
  </w:style>
  <w:style w:type="paragraph" w:customStyle="1" w:styleId="847">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8">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9">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0">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1">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2">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3">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4">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5">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6">
    <w:name w:val="Char31"/>
    <w:basedOn w:val="1"/>
    <w:qFormat/>
    <w:uiPriority w:val="0"/>
    <w:pPr>
      <w:adjustRightInd/>
    </w:pPr>
    <w:rPr>
      <w:rFonts w:ascii="仿宋_GB2312" w:eastAsia="仿宋_GB2312"/>
      <w:b/>
      <w:sz w:val="32"/>
      <w:szCs w:val="32"/>
    </w:rPr>
  </w:style>
  <w:style w:type="paragraph" w:customStyle="1" w:styleId="857">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8">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9">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0">
    <w:name w:val="Char Char1"/>
    <w:basedOn w:val="1"/>
    <w:qFormat/>
    <w:uiPriority w:val="0"/>
    <w:pPr>
      <w:widowControl/>
      <w:spacing w:after="160" w:line="240" w:lineRule="exact"/>
      <w:jc w:val="left"/>
    </w:pPr>
    <w:rPr>
      <w:rFonts w:eastAsia="仿宋_GB2312"/>
      <w:sz w:val="28"/>
    </w:rPr>
  </w:style>
  <w:style w:type="paragraph" w:customStyle="1" w:styleId="861">
    <w:name w:val="Char21"/>
    <w:basedOn w:val="1"/>
    <w:qFormat/>
    <w:uiPriority w:val="0"/>
    <w:pPr>
      <w:adjustRightInd/>
      <w:ind w:firstLine="200" w:firstLineChars="200"/>
    </w:pPr>
    <w:rPr>
      <w:rFonts w:ascii="仿宋_GB2312" w:eastAsia="仿宋_GB2312"/>
      <w:b/>
      <w:sz w:val="32"/>
      <w:szCs w:val="32"/>
    </w:rPr>
  </w:style>
  <w:style w:type="paragraph" w:customStyle="1" w:styleId="862">
    <w:name w:val="列表段落1"/>
    <w:basedOn w:val="1"/>
    <w:qFormat/>
    <w:uiPriority w:val="34"/>
    <w:pPr>
      <w:adjustRightInd/>
      <w:ind w:right="238" w:firstLine="420"/>
    </w:pPr>
    <w:rPr>
      <w:rFonts w:ascii="Calibri" w:hAnsi="Calibri"/>
      <w:sz w:val="24"/>
    </w:rPr>
  </w:style>
  <w:style w:type="paragraph" w:customStyle="1" w:styleId="863">
    <w:name w:val="Char Char110"/>
    <w:basedOn w:val="1"/>
    <w:qFormat/>
    <w:uiPriority w:val="6"/>
    <w:pPr>
      <w:spacing w:line="360" w:lineRule="auto"/>
    </w:pPr>
    <w:rPr>
      <w:rFonts w:ascii="Tahoma" w:hAnsi="Tahoma"/>
      <w:sz w:val="24"/>
      <w:szCs w:val="20"/>
    </w:rPr>
  </w:style>
  <w:style w:type="paragraph" w:customStyle="1" w:styleId="864">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5">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6">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7">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8">
    <w:name w:val="Char Char Char Char Char Char Char Char Char Char Char Char1 Char2"/>
    <w:basedOn w:val="1"/>
    <w:qFormat/>
    <w:uiPriority w:val="0"/>
    <w:rPr>
      <w:rFonts w:ascii="Tahoma" w:hAnsi="Tahoma" w:cs="仿宋_GB2312"/>
      <w:sz w:val="24"/>
      <w:szCs w:val="20"/>
    </w:rPr>
  </w:style>
  <w:style w:type="paragraph" w:customStyle="1" w:styleId="869">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0">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1">
    <w:name w:val="样式 列表编号 + 段后: 0.5 行"/>
    <w:basedOn w:val="15"/>
    <w:qFormat/>
    <w:uiPriority w:val="2"/>
    <w:pPr>
      <w:tabs>
        <w:tab w:val="clear" w:pos="390"/>
        <w:tab w:val="clear" w:pos="454"/>
      </w:tabs>
      <w:spacing w:after="0"/>
      <w:ind w:left="840" w:hanging="420"/>
      <w:contextualSpacing/>
    </w:pPr>
    <w:rPr>
      <w:rFonts w:cs="宋体"/>
    </w:rPr>
  </w:style>
  <w:style w:type="paragraph" w:customStyle="1" w:styleId="872">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3">
    <w:name w:val="_Style 12"/>
    <w:basedOn w:val="18"/>
    <w:qFormat/>
    <w:uiPriority w:val="0"/>
    <w:pPr>
      <w:snapToGrid w:val="0"/>
      <w:spacing w:line="360" w:lineRule="auto"/>
    </w:pPr>
  </w:style>
  <w:style w:type="paragraph" w:customStyle="1" w:styleId="874">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5">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6">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7">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8">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9">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0">
    <w:name w:val="3级标题"/>
    <w:basedOn w:val="672"/>
    <w:qFormat/>
    <w:uiPriority w:val="0"/>
    <w:pPr>
      <w:outlineLvl w:val="2"/>
    </w:pPr>
  </w:style>
  <w:style w:type="paragraph" w:customStyle="1" w:styleId="881">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2">
    <w:name w:val="Char1 Char Char Char3"/>
    <w:basedOn w:val="1"/>
    <w:qFormat/>
    <w:uiPriority w:val="0"/>
    <w:pPr>
      <w:adjustRightInd/>
      <w:ind w:firstLine="200" w:firstLineChars="200"/>
    </w:pPr>
    <w:rPr>
      <w:rFonts w:ascii="Tahoma" w:hAnsi="Tahoma"/>
      <w:sz w:val="24"/>
      <w:szCs w:val="20"/>
    </w:rPr>
  </w:style>
  <w:style w:type="paragraph" w:customStyle="1" w:styleId="883">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4">
    <w:name w:val="MM Empty"/>
    <w:basedOn w:val="1"/>
    <w:qFormat/>
    <w:uiPriority w:val="0"/>
    <w:pPr>
      <w:adjustRightInd/>
    </w:pPr>
  </w:style>
  <w:style w:type="paragraph" w:customStyle="1" w:styleId="885">
    <w:name w:val="Char24"/>
    <w:basedOn w:val="1"/>
    <w:qFormat/>
    <w:uiPriority w:val="0"/>
    <w:rPr>
      <w:rFonts w:ascii="仿宋_GB2312" w:eastAsia="仿宋_GB2312"/>
      <w:b/>
      <w:sz w:val="32"/>
      <w:szCs w:val="32"/>
    </w:rPr>
  </w:style>
  <w:style w:type="paragraph" w:customStyle="1" w:styleId="886">
    <w:name w:val="正文箭头"/>
    <w:basedOn w:val="538"/>
    <w:qFormat/>
    <w:uiPriority w:val="0"/>
  </w:style>
  <w:style w:type="paragraph" w:customStyle="1" w:styleId="887">
    <w:name w:val="U_编号2"/>
    <w:basedOn w:val="1"/>
    <w:qFormat/>
    <w:uiPriority w:val="0"/>
    <w:pPr>
      <w:tabs>
        <w:tab w:val="left" w:pos="785"/>
      </w:tabs>
      <w:adjustRightInd/>
      <w:spacing w:beforeLines="10" w:afterLines="10" w:line="300" w:lineRule="auto"/>
    </w:pPr>
    <w:rPr>
      <w:sz w:val="24"/>
    </w:rPr>
  </w:style>
  <w:style w:type="paragraph" w:customStyle="1" w:styleId="888">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9">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0">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1">
    <w:name w:val="TOC 标题11"/>
    <w:basedOn w:val="2"/>
    <w:next w:val="1"/>
    <w:unhideWhenUsed/>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2">
    <w:name w:val="_Style 1"/>
    <w:basedOn w:val="1"/>
    <w:qFormat/>
    <w:uiPriority w:val="34"/>
    <w:pPr>
      <w:adjustRightInd/>
      <w:ind w:firstLine="420" w:firstLineChars="200"/>
    </w:pPr>
    <w:rPr>
      <w:rFonts w:eastAsia="仿宋_GB2312"/>
      <w:sz w:val="28"/>
    </w:rPr>
  </w:style>
  <w:style w:type="paragraph" w:customStyle="1" w:styleId="893">
    <w:name w:val="表格 内容"/>
    <w:basedOn w:val="729"/>
    <w:qFormat/>
    <w:uiPriority w:val="0"/>
    <w:rPr>
      <w:b w:val="0"/>
      <w:sz w:val="20"/>
    </w:rPr>
  </w:style>
  <w:style w:type="paragraph" w:customStyle="1" w:styleId="894">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5">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6">
    <w:name w:val="数字标题5"/>
    <w:basedOn w:val="7"/>
    <w:next w:val="1"/>
    <w:qFormat/>
    <w:uiPriority w:val="0"/>
    <w:pPr>
      <w:tabs>
        <w:tab w:val="left" w:pos="1080"/>
      </w:tabs>
      <w:ind w:left="1080" w:hanging="1080"/>
    </w:pPr>
  </w:style>
  <w:style w:type="paragraph" w:customStyle="1" w:styleId="897">
    <w:name w:val="数字标题1"/>
    <w:basedOn w:val="2"/>
    <w:next w:val="1"/>
    <w:qFormat/>
    <w:uiPriority w:val="0"/>
    <w:pPr>
      <w:tabs>
        <w:tab w:val="left" w:pos="480"/>
      </w:tabs>
      <w:ind w:left="480" w:hanging="480"/>
    </w:pPr>
  </w:style>
  <w:style w:type="paragraph" w:customStyle="1" w:styleId="898">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9">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3">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4">
    <w:name w:val="0"/>
    <w:basedOn w:val="1"/>
    <w:qFormat/>
    <w:uiPriority w:val="0"/>
    <w:pPr>
      <w:widowControl/>
    </w:pPr>
    <w:rPr>
      <w:kern w:val="0"/>
      <w:sz w:val="24"/>
      <w:szCs w:val="20"/>
    </w:rPr>
  </w:style>
  <w:style w:type="paragraph" w:customStyle="1" w:styleId="905">
    <w:name w:val="Char Char113"/>
    <w:basedOn w:val="1"/>
    <w:qFormat/>
    <w:uiPriority w:val="0"/>
    <w:pPr>
      <w:widowControl/>
      <w:spacing w:after="160" w:line="240" w:lineRule="exact"/>
      <w:jc w:val="left"/>
    </w:pPr>
    <w:rPr>
      <w:rFonts w:eastAsia="仿宋_GB2312"/>
      <w:sz w:val="28"/>
    </w:rPr>
  </w:style>
  <w:style w:type="paragraph" w:customStyle="1" w:styleId="906">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7">
    <w:name w:val="_Style 8"/>
    <w:basedOn w:val="1"/>
    <w:qFormat/>
    <w:uiPriority w:val="34"/>
    <w:pPr>
      <w:adjustRightInd/>
      <w:ind w:firstLine="420" w:firstLineChars="200"/>
    </w:pPr>
    <w:rPr>
      <w:rFonts w:eastAsia="仿宋_GB2312"/>
      <w:sz w:val="28"/>
    </w:rPr>
  </w:style>
  <w:style w:type="paragraph" w:customStyle="1" w:styleId="908">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9">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1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1">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2">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3">
    <w:name w:val="Char Char112"/>
    <w:basedOn w:val="1"/>
    <w:qFormat/>
    <w:uiPriority w:val="6"/>
    <w:pPr>
      <w:widowControl/>
      <w:spacing w:after="160" w:line="240" w:lineRule="exact"/>
      <w:jc w:val="left"/>
    </w:pPr>
    <w:rPr>
      <w:rFonts w:eastAsia="仿宋_GB2312"/>
      <w:sz w:val="28"/>
    </w:rPr>
  </w:style>
  <w:style w:type="paragraph" w:customStyle="1" w:styleId="914">
    <w:name w:val="正文 图"/>
    <w:basedOn w:val="443"/>
    <w:qFormat/>
    <w:uiPriority w:val="0"/>
    <w:pPr>
      <w:adjustRightInd/>
      <w:spacing w:before="0"/>
      <w:ind w:firstLine="0"/>
      <w:jc w:val="center"/>
    </w:pPr>
    <w:rPr>
      <w:rFonts w:ascii="微软雅黑" w:hAnsi="微软雅黑"/>
    </w:rPr>
  </w:style>
  <w:style w:type="paragraph" w:customStyle="1" w:styleId="915">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6">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7">
    <w:name w:val="Thf"/>
    <w:basedOn w:val="562"/>
    <w:qFormat/>
    <w:uiPriority w:val="0"/>
    <w:pPr>
      <w:ind w:left="0"/>
    </w:pPr>
  </w:style>
  <w:style w:type="paragraph" w:customStyle="1" w:styleId="918">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9">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0">
    <w:name w:val="注释"/>
    <w:basedOn w:val="1"/>
    <w:qFormat/>
    <w:uiPriority w:val="0"/>
    <w:pPr>
      <w:adjustRightInd/>
      <w:spacing w:line="360" w:lineRule="auto"/>
      <w:ind w:firstLine="480"/>
    </w:pPr>
    <w:rPr>
      <w:sz w:val="24"/>
    </w:rPr>
  </w:style>
  <w:style w:type="table" w:customStyle="1" w:styleId="921">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7">
    <w:name w:val="列出段落111"/>
    <w:basedOn w:val="1"/>
    <w:qFormat/>
    <w:uiPriority w:val="34"/>
    <w:pPr>
      <w:ind w:firstLine="420" w:firstLineChars="200"/>
    </w:pPr>
  </w:style>
  <w:style w:type="character" w:customStyle="1" w:styleId="928">
    <w:name w:val="交叉引用"/>
    <w:qFormat/>
    <w:uiPriority w:val="1"/>
    <w:rPr>
      <w:rFonts w:ascii="Arial" w:hAnsi="Arial" w:eastAsia="黑体"/>
      <w:snapToGrid w:val="0"/>
      <w:color w:val="0000FF"/>
      <w:kern w:val="0"/>
      <w:sz w:val="20"/>
      <w:szCs w:val="21"/>
      <w:u w:val="single"/>
      <w:lang w:val="en-US" w:eastAsia="zh-CN"/>
    </w:rPr>
  </w:style>
  <w:style w:type="character" w:customStyle="1" w:styleId="929">
    <w:name w:val="正文缩进 字符1"/>
    <w:qFormat/>
    <w:uiPriority w:val="0"/>
    <w:rPr>
      <w:rFonts w:ascii="宋体" w:eastAsia="宋体"/>
      <w:snapToGrid w:val="0"/>
      <w:color w:val="000000"/>
      <w:kern w:val="28"/>
      <w:sz w:val="28"/>
      <w:lang w:val="en-US" w:eastAsia="zh-CN" w:bidi="ar-SA"/>
    </w:rPr>
  </w:style>
  <w:style w:type="character" w:customStyle="1" w:styleId="930">
    <w:name w:val="页脚 字符1"/>
    <w:qFormat/>
    <w:locked/>
    <w:uiPriority w:val="99"/>
    <w:rPr>
      <w:kern w:val="2"/>
      <w:sz w:val="18"/>
      <w:szCs w:val="18"/>
    </w:rPr>
  </w:style>
  <w:style w:type="character" w:customStyle="1" w:styleId="931">
    <w:name w:val="页眉 字符1"/>
    <w:qFormat/>
    <w:uiPriority w:val="99"/>
    <w:rPr>
      <w:kern w:val="2"/>
      <w:sz w:val="18"/>
      <w:szCs w:val="18"/>
    </w:rPr>
  </w:style>
  <w:style w:type="character" w:customStyle="1" w:styleId="932">
    <w:name w:val="尾注文本 Char"/>
    <w:link w:val="38"/>
    <w:qFormat/>
    <w:uiPriority w:val="0"/>
    <w:rPr>
      <w:kern w:val="2"/>
      <w:sz w:val="21"/>
      <w:szCs w:val="24"/>
      <w:lang w:val="zh-CN"/>
    </w:rPr>
  </w:style>
  <w:style w:type="character" w:customStyle="1" w:styleId="933">
    <w:name w:val="无间隔 Char"/>
    <w:link w:val="483"/>
    <w:qFormat/>
    <w:uiPriority w:val="99"/>
    <w:rPr>
      <w:kern w:val="2"/>
      <w:sz w:val="21"/>
      <w:szCs w:val="22"/>
    </w:rPr>
  </w:style>
  <w:style w:type="character" w:customStyle="1" w:styleId="934">
    <w:name w:val="标准文本 Char Char"/>
    <w:link w:val="935"/>
    <w:qFormat/>
    <w:uiPriority w:val="0"/>
    <w:rPr>
      <w:rFonts w:cs="宋体"/>
      <w:kern w:val="2"/>
      <w:sz w:val="24"/>
    </w:rPr>
  </w:style>
  <w:style w:type="paragraph" w:customStyle="1" w:styleId="935">
    <w:name w:val="标准文本"/>
    <w:basedOn w:val="1"/>
    <w:link w:val="934"/>
    <w:qFormat/>
    <w:uiPriority w:val="0"/>
    <w:pPr>
      <w:adjustRightInd/>
      <w:spacing w:line="360" w:lineRule="auto"/>
      <w:ind w:firstLine="480" w:firstLineChars="200"/>
    </w:pPr>
    <w:rPr>
      <w:rFonts w:cs="宋体"/>
      <w:sz w:val="24"/>
      <w:szCs w:val="20"/>
    </w:rPr>
  </w:style>
  <w:style w:type="character" w:customStyle="1" w:styleId="936">
    <w:name w:val="Char Char213"/>
    <w:qFormat/>
    <w:uiPriority w:val="0"/>
    <w:rPr>
      <w:rFonts w:eastAsia="Century Gothic"/>
      <w:b/>
      <w:bCs/>
      <w:kern w:val="44"/>
      <w:sz w:val="32"/>
      <w:szCs w:val="44"/>
      <w:lang w:val="en-US" w:eastAsia="zh-CN" w:bidi="ar-SA"/>
    </w:rPr>
  </w:style>
  <w:style w:type="character" w:customStyle="1" w:styleId="937">
    <w:name w:val="apple-style-span"/>
    <w:qFormat/>
    <w:uiPriority w:val="0"/>
    <w:rPr>
      <w:rFonts w:ascii="Arial" w:hAnsi="Arial" w:eastAsia="黑体" w:cs="Arial"/>
      <w:snapToGrid w:val="0"/>
      <w:kern w:val="0"/>
      <w:szCs w:val="21"/>
    </w:rPr>
  </w:style>
  <w:style w:type="character" w:customStyle="1" w:styleId="938">
    <w:name w:val="15"/>
    <w:qFormat/>
    <w:uiPriority w:val="0"/>
    <w:rPr>
      <w:rFonts w:hint="default" w:ascii="Calibri" w:hAnsi="Calibri"/>
      <w:color w:val="0000FF"/>
      <w:u w:val="single"/>
    </w:rPr>
  </w:style>
  <w:style w:type="character" w:customStyle="1" w:styleId="939">
    <w:name w:val="16"/>
    <w:qFormat/>
    <w:uiPriority w:val="0"/>
    <w:rPr>
      <w:rFonts w:hint="eastAsia" w:ascii="宋体" w:hAnsi="宋体" w:eastAsia="宋体"/>
      <w:color w:val="000000"/>
      <w:sz w:val="20"/>
      <w:szCs w:val="20"/>
    </w:rPr>
  </w:style>
  <w:style w:type="character" w:customStyle="1" w:styleId="940">
    <w:name w:val="edui-unclickable"/>
    <w:qFormat/>
    <w:uiPriority w:val="0"/>
    <w:rPr>
      <w:color w:val="808080"/>
    </w:rPr>
  </w:style>
  <w:style w:type="character" w:customStyle="1" w:styleId="941">
    <w:name w:val="tpc_content1"/>
    <w:qFormat/>
    <w:uiPriority w:val="0"/>
    <w:rPr>
      <w:sz w:val="20"/>
      <w:szCs w:val="20"/>
    </w:rPr>
  </w:style>
  <w:style w:type="character" w:customStyle="1" w:styleId="942">
    <w:name w:val="正文文本缩进 字符"/>
    <w:qFormat/>
    <w:uiPriority w:val="0"/>
    <w:rPr>
      <w:rFonts w:ascii="Century Gothic" w:hAnsi="Century Gothic" w:eastAsia="Century Gothic"/>
      <w:kern w:val="2"/>
      <w:sz w:val="24"/>
      <w:lang w:val="en-US" w:eastAsia="zh-CN" w:bidi="ar-SA"/>
    </w:rPr>
  </w:style>
  <w:style w:type="character" w:customStyle="1" w:styleId="943">
    <w:name w:val="正文文本 2 字符"/>
    <w:qFormat/>
    <w:uiPriority w:val="0"/>
    <w:rPr>
      <w:rFonts w:ascii="Arial" w:hAnsi="Arial" w:eastAsia="宋体"/>
      <w:kern w:val="2"/>
      <w:sz w:val="24"/>
      <w:szCs w:val="24"/>
      <w:lang w:val="en-US" w:eastAsia="zh-CN" w:bidi="ar-SA"/>
    </w:rPr>
  </w:style>
  <w:style w:type="character" w:customStyle="1" w:styleId="944">
    <w:name w:val="edui-clickable2"/>
    <w:qFormat/>
    <w:uiPriority w:val="0"/>
    <w:rPr>
      <w:color w:val="0000FF"/>
      <w:u w:val="single"/>
    </w:rPr>
  </w:style>
  <w:style w:type="character" w:customStyle="1" w:styleId="945">
    <w:name w:val="style1"/>
    <w:qFormat/>
    <w:uiPriority w:val="0"/>
    <w:rPr>
      <w:rFonts w:ascii="Arial" w:hAnsi="Arial" w:eastAsia="黑体" w:cs="Arial"/>
      <w:snapToGrid w:val="0"/>
      <w:kern w:val="0"/>
      <w:szCs w:val="21"/>
    </w:rPr>
  </w:style>
  <w:style w:type="character" w:customStyle="1" w:styleId="946">
    <w:name w:val="zbggtop11 style5"/>
    <w:qFormat/>
    <w:uiPriority w:val="0"/>
    <w:rPr>
      <w:rFonts w:ascii="Arial" w:hAnsi="Arial" w:eastAsia="黑体" w:cs="Arial"/>
      <w:snapToGrid w:val="0"/>
      <w:kern w:val="0"/>
      <w:szCs w:val="21"/>
    </w:rPr>
  </w:style>
  <w:style w:type="character" w:customStyle="1" w:styleId="947">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8">
    <w:name w:val="bulletintext1"/>
    <w:qFormat/>
    <w:uiPriority w:val="0"/>
    <w:rPr>
      <w:color w:val="000000"/>
      <w:sz w:val="18"/>
    </w:rPr>
  </w:style>
  <w:style w:type="paragraph" w:customStyle="1" w:styleId="949">
    <w:name w:val="_Style 947"/>
    <w:basedOn w:val="1"/>
    <w:next w:val="258"/>
    <w:qFormat/>
    <w:uiPriority w:val="34"/>
    <w:pPr>
      <w:adjustRightInd/>
      <w:ind w:firstLine="420" w:firstLineChars="200"/>
    </w:pPr>
  </w:style>
  <w:style w:type="paragraph" w:customStyle="1" w:styleId="950">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1">
    <w:name w:val="纯文本2"/>
    <w:basedOn w:val="1"/>
    <w:qFormat/>
    <w:uiPriority w:val="0"/>
    <w:pPr>
      <w:adjustRightInd/>
      <w:snapToGrid w:val="0"/>
      <w:jc w:val="left"/>
    </w:pPr>
    <w:rPr>
      <w:rFonts w:ascii="Century Gothic" w:hAnsi="楷体_GB2312" w:eastAsia="Century Gothic"/>
      <w:szCs w:val="20"/>
    </w:rPr>
  </w:style>
  <w:style w:type="paragraph" w:customStyle="1" w:styleId="952">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3">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4">
    <w:name w:val="节"/>
    <w:basedOn w:val="3"/>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5">
    <w:name w:val="Blockquote"/>
    <w:basedOn w:val="1"/>
    <w:qFormat/>
    <w:uiPriority w:val="0"/>
    <w:pPr>
      <w:autoSpaceDE w:val="0"/>
      <w:autoSpaceDN w:val="0"/>
      <w:spacing w:before="100" w:after="100"/>
      <w:ind w:left="360" w:right="360"/>
      <w:jc w:val="left"/>
    </w:pPr>
    <w:rPr>
      <w:kern w:val="0"/>
      <w:sz w:val="24"/>
      <w:szCs w:val="20"/>
    </w:rPr>
  </w:style>
  <w:style w:type="paragraph" w:customStyle="1" w:styleId="956">
    <w:name w:val="p1"/>
    <w:basedOn w:val="1"/>
    <w:qFormat/>
    <w:uiPriority w:val="0"/>
    <w:pPr>
      <w:widowControl/>
      <w:adjustRightInd/>
      <w:jc w:val="left"/>
    </w:pPr>
    <w:rPr>
      <w:rFonts w:ascii=".PingFang SC" w:eastAsia=".PingFang SC"/>
      <w:color w:val="454545"/>
      <w:kern w:val="0"/>
      <w:sz w:val="18"/>
      <w:szCs w:val="18"/>
    </w:rPr>
  </w:style>
  <w:style w:type="paragraph" w:customStyle="1" w:styleId="957">
    <w:name w:val="Table Paragraph"/>
    <w:basedOn w:val="1"/>
    <w:qFormat/>
    <w:uiPriority w:val="0"/>
    <w:pPr>
      <w:adjustRightInd/>
      <w:jc w:val="left"/>
    </w:pPr>
    <w:rPr>
      <w:rFonts w:ascii="Calibri" w:hAnsi="Calibri"/>
      <w:kern w:val="0"/>
      <w:sz w:val="22"/>
      <w:szCs w:val="22"/>
      <w:lang w:eastAsia="en-US"/>
    </w:rPr>
  </w:style>
  <w:style w:type="paragraph" w:customStyle="1" w:styleId="95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9">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0">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1">
    <w:name w:val="ksfind_class_select1"/>
    <w:basedOn w:val="70"/>
    <w:qFormat/>
    <w:uiPriority w:val="0"/>
    <w:rPr>
      <w:color w:val="000000"/>
      <w:shd w:val="clear" w:color="auto" w:fill="EFD200"/>
    </w:rPr>
  </w:style>
  <w:style w:type="character" w:customStyle="1" w:styleId="962">
    <w:name w:val="font71"/>
    <w:qFormat/>
    <w:uiPriority w:val="0"/>
    <w:rPr>
      <w:rFonts w:hint="eastAsia" w:ascii="宋体" w:hAnsi="宋体" w:eastAsia="宋体" w:cs="宋体"/>
      <w:color w:val="000000"/>
      <w:sz w:val="22"/>
      <w:szCs w:val="22"/>
      <w:u w:val="none"/>
    </w:rPr>
  </w:style>
  <w:style w:type="character" w:customStyle="1" w:styleId="963">
    <w:name w:val="font91"/>
    <w:qFormat/>
    <w:uiPriority w:val="0"/>
    <w:rPr>
      <w:rFonts w:hint="eastAsia" w:ascii="仿宋" w:hAnsi="仿宋" w:eastAsia="仿宋" w:cs="仿宋"/>
      <w:color w:val="000000"/>
      <w:sz w:val="22"/>
      <w:szCs w:val="22"/>
      <w:u w:val="none"/>
    </w:rPr>
  </w:style>
  <w:style w:type="paragraph" w:customStyle="1" w:styleId="964">
    <w:name w:val="修订4"/>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1.png"/><Relationship Id="rId27" Type="http://schemas.openxmlformats.org/officeDocument/2006/relationships/theme" Target="theme/theme1.xml"/><Relationship Id="rId26" Type="http://schemas.openxmlformats.org/officeDocument/2006/relationships/footer" Target="footer13.xml"/><Relationship Id="rId25" Type="http://schemas.openxmlformats.org/officeDocument/2006/relationships/footer" Target="footer12.xml"/><Relationship Id="rId24" Type="http://schemas.openxmlformats.org/officeDocument/2006/relationships/footer" Target="footer11.xml"/><Relationship Id="rId23" Type="http://schemas.openxmlformats.org/officeDocument/2006/relationships/header" Target="header11.xml"/><Relationship Id="rId22" Type="http://schemas.openxmlformats.org/officeDocument/2006/relationships/header" Target="header10.xml"/><Relationship Id="rId21" Type="http://schemas.openxmlformats.org/officeDocument/2006/relationships/footer" Target="foot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86</Pages>
  <Words>10142</Words>
  <Characters>10934</Characters>
  <Lines>279</Lines>
  <Paragraphs>78</Paragraphs>
  <TotalTime>67</TotalTime>
  <ScaleCrop>false</ScaleCrop>
  <LinksUpToDate>false</LinksUpToDate>
  <CharactersWithSpaces>11170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2021-08-14T16:22:00Z</dcterms:created>
  <dc:creator>玥</dc:creator>
  <cp:lastModifiedBy>Apple killer</cp:lastModifiedBy>
  <cp:lastPrinted>2022-01-11T19:06:00Z</cp:lastPrinted>
  <dcterms:modified xsi:type="dcterms:W3CDTF">2026-05-25T13:41:37Z</dcterms:modified>
  <dc:title>杭州市市民卡扩大发卡工程</dc:title>
  <cp:revision>342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97F0B243B0D6EBCFD7B9BA67829C6E63_43</vt:lpwstr>
  </property>
  <property fmtid="{D5CDD505-2E9C-101B-9397-08002B2CF9AE}" pid="5" name="KSOTemplateDocerSaveRecord">
    <vt:lpwstr>eyJoZGlkIjoiODE5ZDAyNWU2ZGM4MTk2MjhkYjBkZjBkZDcyMjI2M2YiLCJ1c2VySWQiOiIyNjcyMzkzNTAifQ==</vt:lpwstr>
  </property>
</Properties>
</file>