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747F1E">
      <w:pPr>
        <w:pStyle w:val="21"/>
        <w:spacing w:line="276" w:lineRule="auto"/>
        <w:rPr>
          <w:rFonts w:hint="eastAsia" w:hAnsi="宋体" w:cs="宋体"/>
          <w:color w:val="auto"/>
          <w:sz w:val="21"/>
          <w:szCs w:val="21"/>
          <w:highlight w:val="none"/>
        </w:rPr>
      </w:pPr>
      <w:bookmarkStart w:id="70" w:name="_GoBack"/>
      <w:bookmarkEnd w:id="70"/>
    </w:p>
    <w:p w14:paraId="3EA261DC">
      <w:pPr>
        <w:pStyle w:val="21"/>
        <w:spacing w:line="276" w:lineRule="auto"/>
        <w:rPr>
          <w:rFonts w:hint="eastAsia" w:hAnsi="宋体" w:cs="宋体"/>
          <w:color w:val="auto"/>
          <w:highlight w:val="none"/>
        </w:rPr>
      </w:pPr>
    </w:p>
    <w:p w14:paraId="404A26B5">
      <w:pPr>
        <w:pStyle w:val="21"/>
        <w:spacing w:line="276" w:lineRule="auto"/>
        <w:rPr>
          <w:rFonts w:hint="eastAsia" w:hAnsi="宋体" w:cs="宋体"/>
          <w:color w:val="auto"/>
          <w:highlight w:val="none"/>
        </w:rPr>
      </w:pPr>
    </w:p>
    <w:p w14:paraId="327E8ED1">
      <w:pPr>
        <w:pStyle w:val="21"/>
        <w:spacing w:line="276" w:lineRule="auto"/>
        <w:rPr>
          <w:rFonts w:hint="eastAsia" w:hAnsi="宋体" w:cs="宋体"/>
          <w:color w:val="auto"/>
          <w:highlight w:val="none"/>
        </w:rPr>
      </w:pPr>
    </w:p>
    <w:p w14:paraId="3877C5DF">
      <w:pPr>
        <w:pStyle w:val="21"/>
        <w:spacing w:line="276" w:lineRule="auto"/>
        <w:rPr>
          <w:rFonts w:hint="eastAsia" w:hAnsi="宋体" w:cs="宋体"/>
          <w:color w:val="auto"/>
          <w:highlight w:val="none"/>
        </w:rPr>
      </w:pPr>
    </w:p>
    <w:p w14:paraId="4C94DB2E">
      <w:pPr>
        <w:pStyle w:val="21"/>
        <w:spacing w:line="276" w:lineRule="auto"/>
        <w:jc w:val="center"/>
        <w:rPr>
          <w:rFonts w:hint="eastAsia" w:hAnsi="宋体" w:cs="宋体"/>
          <w:b/>
          <w:bCs/>
          <w:color w:val="auto"/>
          <w:sz w:val="84"/>
          <w:highlight w:val="none"/>
        </w:rPr>
      </w:pPr>
      <w:r>
        <w:rPr>
          <w:rFonts w:hint="eastAsia" w:hAnsi="宋体" w:cs="宋体"/>
          <w:b/>
          <w:bCs/>
          <w:color w:val="auto"/>
          <w:sz w:val="84"/>
          <w:highlight w:val="none"/>
        </w:rPr>
        <w:t>磋  商  文  件</w:t>
      </w:r>
    </w:p>
    <w:p w14:paraId="4D276C7A">
      <w:pPr>
        <w:pStyle w:val="21"/>
        <w:spacing w:line="276" w:lineRule="auto"/>
        <w:rPr>
          <w:rFonts w:hint="eastAsia" w:hAnsi="宋体" w:cs="宋体"/>
          <w:color w:val="auto"/>
          <w:highlight w:val="none"/>
        </w:rPr>
      </w:pPr>
    </w:p>
    <w:p w14:paraId="4293A2B9">
      <w:pPr>
        <w:pStyle w:val="21"/>
        <w:spacing w:line="276" w:lineRule="auto"/>
        <w:rPr>
          <w:rFonts w:hint="eastAsia" w:hAnsi="宋体" w:cs="宋体"/>
          <w:color w:val="auto"/>
          <w:highlight w:val="none"/>
        </w:rPr>
      </w:pPr>
    </w:p>
    <w:p w14:paraId="5F900706">
      <w:pPr>
        <w:pStyle w:val="21"/>
        <w:spacing w:line="276" w:lineRule="auto"/>
        <w:rPr>
          <w:rFonts w:hint="eastAsia" w:hAnsi="宋体" w:cs="宋体"/>
          <w:color w:val="auto"/>
          <w:highlight w:val="none"/>
        </w:rPr>
      </w:pPr>
    </w:p>
    <w:p w14:paraId="21EC0BED">
      <w:pPr>
        <w:pStyle w:val="21"/>
        <w:spacing w:line="276" w:lineRule="auto"/>
        <w:rPr>
          <w:rFonts w:hint="eastAsia" w:hAnsi="宋体" w:cs="宋体"/>
          <w:color w:val="auto"/>
          <w:highlight w:val="none"/>
        </w:rPr>
      </w:pPr>
    </w:p>
    <w:p w14:paraId="7EE65473">
      <w:pPr>
        <w:pStyle w:val="21"/>
        <w:spacing w:line="276" w:lineRule="auto"/>
        <w:rPr>
          <w:rFonts w:hint="eastAsia" w:hAnsi="宋体" w:eastAsia="宋体" w:cs="宋体"/>
          <w:b/>
          <w:bCs/>
          <w:color w:val="auto"/>
          <w:sz w:val="32"/>
          <w:szCs w:val="32"/>
          <w:highlight w:val="none"/>
          <w:lang w:eastAsia="zh-CN"/>
        </w:rPr>
      </w:pPr>
      <w:r>
        <w:rPr>
          <w:rFonts w:hint="eastAsia" w:hAnsi="宋体" w:cs="宋体"/>
          <w:b/>
          <w:bCs/>
          <w:color w:val="auto"/>
          <w:sz w:val="32"/>
          <w:szCs w:val="32"/>
          <w:highlight w:val="none"/>
        </w:rPr>
        <w:t>项目编号：</w:t>
      </w:r>
      <w:r>
        <w:rPr>
          <w:rFonts w:hint="eastAsia" w:hAnsi="宋体" w:cs="宋体"/>
          <w:b/>
          <w:bCs/>
          <w:color w:val="auto"/>
          <w:sz w:val="32"/>
          <w:szCs w:val="32"/>
          <w:highlight w:val="none"/>
          <w:lang w:eastAsia="zh-CN"/>
        </w:rPr>
        <w:t>0634-264XZ1ZF0102</w:t>
      </w:r>
    </w:p>
    <w:p w14:paraId="29991865">
      <w:pPr>
        <w:pStyle w:val="21"/>
        <w:spacing w:line="276" w:lineRule="auto"/>
        <w:rPr>
          <w:rFonts w:hint="eastAsia" w:hAnsi="宋体" w:cs="宋体"/>
          <w:b/>
          <w:bCs/>
          <w:color w:val="auto"/>
          <w:sz w:val="32"/>
          <w:szCs w:val="32"/>
          <w:highlight w:val="none"/>
        </w:rPr>
      </w:pPr>
    </w:p>
    <w:p w14:paraId="3EBB9900">
      <w:pPr>
        <w:pStyle w:val="21"/>
        <w:spacing w:line="276" w:lineRule="auto"/>
        <w:rPr>
          <w:rFonts w:hint="eastAsia" w:hAnsi="宋体" w:eastAsia="宋体" w:cs="宋体"/>
          <w:b/>
          <w:bCs/>
          <w:color w:val="auto"/>
          <w:sz w:val="32"/>
          <w:szCs w:val="32"/>
          <w:highlight w:val="none"/>
          <w:lang w:eastAsia="zh-CN"/>
        </w:rPr>
      </w:pPr>
      <w:r>
        <w:rPr>
          <w:rFonts w:hint="eastAsia" w:hAnsi="宋体" w:cs="宋体"/>
          <w:b/>
          <w:bCs/>
          <w:color w:val="auto"/>
          <w:sz w:val="32"/>
          <w:szCs w:val="32"/>
          <w:highlight w:val="none"/>
        </w:rPr>
        <w:t>项目名称：</w:t>
      </w:r>
      <w:r>
        <w:rPr>
          <w:rFonts w:hint="eastAsia" w:hAnsi="宋体" w:cs="宋体"/>
          <w:b/>
          <w:bCs/>
          <w:color w:val="auto"/>
          <w:sz w:val="32"/>
          <w:szCs w:val="32"/>
          <w:highlight w:val="none"/>
          <w:lang w:eastAsia="zh-CN"/>
        </w:rPr>
        <w:t>新疆维吾尔自治区交通运输综合行政执法局网络与信息安全测评及机房、办公设备维护服务项目</w:t>
      </w:r>
    </w:p>
    <w:p w14:paraId="6E0F69C6">
      <w:pPr>
        <w:pStyle w:val="21"/>
        <w:spacing w:line="276" w:lineRule="auto"/>
        <w:rPr>
          <w:rFonts w:hint="eastAsia" w:hAnsi="宋体" w:cs="宋体"/>
          <w:b/>
          <w:bCs/>
          <w:color w:val="auto"/>
          <w:sz w:val="32"/>
          <w:szCs w:val="32"/>
          <w:highlight w:val="none"/>
        </w:rPr>
      </w:pPr>
    </w:p>
    <w:p w14:paraId="554E8A51">
      <w:pPr>
        <w:pStyle w:val="21"/>
        <w:spacing w:line="276" w:lineRule="auto"/>
        <w:rPr>
          <w:rFonts w:hint="eastAsia" w:hAnsi="宋体" w:eastAsia="宋体" w:cs="宋体"/>
          <w:b/>
          <w:bCs/>
          <w:color w:val="auto"/>
          <w:sz w:val="32"/>
          <w:szCs w:val="32"/>
          <w:highlight w:val="none"/>
          <w:lang w:eastAsia="zh-CN"/>
        </w:rPr>
      </w:pPr>
      <w:r>
        <w:rPr>
          <w:rFonts w:hint="eastAsia" w:hAnsi="宋体" w:cs="宋体"/>
          <w:b/>
          <w:bCs/>
          <w:color w:val="auto"/>
          <w:sz w:val="32"/>
          <w:szCs w:val="32"/>
          <w:highlight w:val="none"/>
        </w:rPr>
        <w:t>委托单位：</w:t>
      </w:r>
      <w:r>
        <w:rPr>
          <w:rFonts w:hint="eastAsia" w:hAnsi="宋体" w:cs="宋体"/>
          <w:b/>
          <w:bCs/>
          <w:color w:val="auto"/>
          <w:sz w:val="32"/>
          <w:szCs w:val="32"/>
          <w:highlight w:val="none"/>
          <w:lang w:eastAsia="zh-CN"/>
        </w:rPr>
        <w:t>新疆维吾尔自治区交通运输综合行政执法局</w:t>
      </w:r>
    </w:p>
    <w:p w14:paraId="3E1C2D72">
      <w:pPr>
        <w:pStyle w:val="21"/>
        <w:spacing w:line="276" w:lineRule="auto"/>
        <w:rPr>
          <w:rFonts w:hint="eastAsia" w:hAnsi="宋体" w:cs="宋体"/>
          <w:b/>
          <w:bCs/>
          <w:color w:val="auto"/>
          <w:sz w:val="32"/>
          <w:szCs w:val="32"/>
          <w:highlight w:val="none"/>
        </w:rPr>
      </w:pPr>
    </w:p>
    <w:p w14:paraId="7C1F6A12">
      <w:pPr>
        <w:pStyle w:val="21"/>
        <w:spacing w:line="276" w:lineRule="auto"/>
        <w:rPr>
          <w:rFonts w:hint="eastAsia" w:hAnsi="宋体" w:cs="宋体"/>
          <w:b/>
          <w:bCs/>
          <w:color w:val="auto"/>
          <w:sz w:val="32"/>
          <w:szCs w:val="32"/>
          <w:highlight w:val="none"/>
        </w:rPr>
      </w:pPr>
      <w:r>
        <w:rPr>
          <w:rFonts w:hint="eastAsia" w:hAnsi="宋体" w:cs="宋体"/>
          <w:b/>
          <w:bCs/>
          <w:color w:val="auto"/>
          <w:sz w:val="32"/>
          <w:szCs w:val="32"/>
          <w:highlight w:val="none"/>
        </w:rPr>
        <w:t>采购代理：新疆招标有限公司</w:t>
      </w:r>
    </w:p>
    <w:p w14:paraId="3C811E2F">
      <w:pPr>
        <w:pStyle w:val="21"/>
        <w:spacing w:line="276" w:lineRule="auto"/>
        <w:rPr>
          <w:rFonts w:hint="eastAsia" w:hAnsi="宋体" w:cs="宋体"/>
          <w:color w:val="auto"/>
          <w:highlight w:val="none"/>
        </w:rPr>
      </w:pPr>
    </w:p>
    <w:p w14:paraId="6A6EC970">
      <w:pPr>
        <w:pStyle w:val="21"/>
        <w:spacing w:line="276" w:lineRule="auto"/>
        <w:rPr>
          <w:rFonts w:hint="eastAsia" w:hAnsi="宋体" w:cs="宋体"/>
          <w:color w:val="auto"/>
          <w:highlight w:val="none"/>
        </w:rPr>
      </w:pPr>
    </w:p>
    <w:tbl>
      <w:tblPr>
        <w:tblStyle w:val="38"/>
        <w:tblW w:w="9963" w:type="dxa"/>
        <w:tblInd w:w="0" w:type="dxa"/>
        <w:tblBorders>
          <w:top w:val="single" w:color="auto" w:sz="8"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963"/>
      </w:tblGrid>
      <w:tr w14:paraId="51B8DD9E">
        <w:tblPrEx>
          <w:tblBorders>
            <w:top w:val="single" w:color="auto" w:sz="8" w:space="0"/>
            <w:left w:val="none" w:color="auto" w:sz="0" w:space="0"/>
            <w:bottom w:val="none" w:color="auto" w:sz="0" w:space="0"/>
            <w:right w:val="none" w:color="auto" w:sz="0" w:space="0"/>
            <w:insideH w:val="none" w:color="auto" w:sz="0" w:space="0"/>
            <w:insideV w:val="none" w:color="auto" w:sz="0" w:space="0"/>
          </w:tblBorders>
        </w:tblPrEx>
        <w:trPr>
          <w:trHeight w:val="100" w:hRule="atLeast"/>
        </w:trPr>
        <w:tc>
          <w:tcPr>
            <w:tcW w:w="9963" w:type="dxa"/>
          </w:tcPr>
          <w:p w14:paraId="7111EC53">
            <w:pPr>
              <w:pStyle w:val="21"/>
              <w:spacing w:line="276" w:lineRule="auto"/>
              <w:rPr>
                <w:rFonts w:hint="eastAsia" w:hAnsi="宋体" w:cs="宋体"/>
                <w:color w:val="auto"/>
                <w:highlight w:val="none"/>
              </w:rPr>
            </w:pPr>
          </w:p>
        </w:tc>
      </w:tr>
    </w:tbl>
    <w:p w14:paraId="6D3D8A62">
      <w:pPr>
        <w:spacing w:line="276" w:lineRule="auto"/>
        <w:jc w:val="center"/>
        <w:rPr>
          <w:rFonts w:hint="eastAsia" w:ascii="宋体" w:hAnsi="宋体" w:cs="宋体"/>
          <w:b/>
          <w:color w:val="auto"/>
          <w:sz w:val="24"/>
          <w:highlight w:val="none"/>
        </w:rPr>
      </w:pPr>
      <w:r>
        <w:rPr>
          <w:rFonts w:hint="eastAsia" w:ascii="宋体" w:hAnsi="宋体" w:cs="宋体"/>
          <w:b/>
          <w:color w:val="auto"/>
          <w:sz w:val="24"/>
          <w:highlight w:val="none"/>
        </w:rPr>
        <w:t>新疆招标有限公司编制</w:t>
      </w:r>
    </w:p>
    <w:p w14:paraId="64BA1467">
      <w:pPr>
        <w:spacing w:line="276" w:lineRule="auto"/>
        <w:jc w:val="center"/>
        <w:rPr>
          <w:rFonts w:hint="eastAsia" w:ascii="宋体" w:hAnsi="宋体" w:cs="宋体"/>
          <w:b/>
          <w:color w:val="auto"/>
          <w:sz w:val="36"/>
          <w:highlight w:val="none"/>
        </w:rPr>
      </w:pPr>
      <w:r>
        <w:rPr>
          <w:rFonts w:hint="eastAsia" w:ascii="宋体" w:hAnsi="宋体" w:cs="宋体"/>
          <w:color w:val="auto"/>
          <w:highlight w:val="none"/>
        </w:rPr>
        <w:br w:type="page"/>
      </w:r>
      <w:r>
        <w:rPr>
          <w:rFonts w:hint="eastAsia" w:ascii="宋体" w:hAnsi="宋体" w:cs="宋体"/>
          <w:b/>
          <w:color w:val="auto"/>
          <w:sz w:val="36"/>
          <w:highlight w:val="none"/>
        </w:rPr>
        <w:t>目     录</w:t>
      </w:r>
    </w:p>
    <w:p w14:paraId="77A0C8E9">
      <w:pPr>
        <w:pStyle w:val="28"/>
        <w:tabs>
          <w:tab w:val="right" w:leader="dot" w:pos="9737"/>
        </w:tabs>
        <w:spacing w:line="276" w:lineRule="auto"/>
        <w:rPr>
          <w:rFonts w:hint="eastAsia" w:ascii="宋体" w:hAnsi="宋体" w:cs="宋体"/>
          <w:color w:val="auto"/>
          <w:szCs w:val="22"/>
          <w:highlight w:val="none"/>
        </w:rPr>
      </w:pPr>
      <w:r>
        <w:rPr>
          <w:rFonts w:hint="eastAsia" w:ascii="宋体" w:hAnsi="宋体" w:cs="宋体"/>
          <w:b/>
          <w:color w:val="auto"/>
          <w:sz w:val="24"/>
          <w:szCs w:val="24"/>
          <w:highlight w:val="none"/>
        </w:rPr>
        <w:fldChar w:fldCharType="begin"/>
      </w:r>
      <w:r>
        <w:rPr>
          <w:rFonts w:hint="eastAsia" w:ascii="宋体" w:hAnsi="宋体" w:cs="宋体"/>
          <w:b/>
          <w:color w:val="auto"/>
          <w:sz w:val="24"/>
          <w:szCs w:val="24"/>
          <w:highlight w:val="none"/>
        </w:rPr>
        <w:instrText xml:space="preserve"> TOC \o "1-2" \h \z \u </w:instrText>
      </w:r>
      <w:r>
        <w:rPr>
          <w:rFonts w:hint="eastAsia" w:ascii="宋体" w:hAnsi="宋体" w:cs="宋体"/>
          <w:b/>
          <w:color w:val="auto"/>
          <w:sz w:val="24"/>
          <w:szCs w:val="24"/>
          <w:highlight w:val="none"/>
        </w:rPr>
        <w:fldChar w:fldCharType="separate"/>
      </w: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"_Toc83726728" </w:instrText>
      </w:r>
      <w:r>
        <w:rPr>
          <w:rFonts w:hint="eastAsia" w:ascii="宋体" w:hAnsi="宋体" w:cs="宋体"/>
          <w:color w:val="auto"/>
          <w:highlight w:val="none"/>
        </w:rPr>
        <w:fldChar w:fldCharType="separate"/>
      </w:r>
      <w:r>
        <w:rPr>
          <w:rStyle w:val="45"/>
          <w:rFonts w:hint="eastAsia" w:ascii="宋体" w:hAnsi="宋体" w:cs="宋体"/>
          <w:color w:val="auto"/>
          <w:highlight w:val="none"/>
        </w:rPr>
        <w:t>第一部分 磋商公告</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_Toc83726728 \h </w:instrText>
      </w:r>
      <w:r>
        <w:rPr>
          <w:rFonts w:hint="eastAsia" w:ascii="宋体" w:hAnsi="宋体" w:cs="宋体"/>
          <w:color w:val="auto"/>
          <w:highlight w:val="none"/>
        </w:rPr>
        <w:fldChar w:fldCharType="separate"/>
      </w:r>
      <w:r>
        <w:rPr>
          <w:rFonts w:hint="eastAsia" w:ascii="宋体" w:hAnsi="宋体" w:cs="宋体"/>
          <w:color w:val="auto"/>
          <w:highlight w:val="none"/>
        </w:rPr>
        <w:t>3</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67ACBFD4">
      <w:pPr>
        <w:pStyle w:val="28"/>
        <w:tabs>
          <w:tab w:val="right" w:leader="dot" w:pos="9737"/>
        </w:tabs>
        <w:spacing w:line="276" w:lineRule="auto"/>
        <w:rPr>
          <w:rFonts w:hint="eastAsia" w:ascii="宋体" w:hAnsi="宋体" w:cs="宋体"/>
          <w:color w:val="auto"/>
          <w:szCs w:val="22"/>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"_Toc83726729" </w:instrText>
      </w:r>
      <w:r>
        <w:rPr>
          <w:rFonts w:hint="eastAsia" w:ascii="宋体" w:hAnsi="宋体" w:cs="宋体"/>
          <w:color w:val="auto"/>
          <w:highlight w:val="none"/>
        </w:rPr>
        <w:fldChar w:fldCharType="separate"/>
      </w:r>
      <w:r>
        <w:rPr>
          <w:rStyle w:val="45"/>
          <w:rFonts w:hint="eastAsia" w:ascii="宋体" w:hAnsi="宋体" w:cs="宋体"/>
          <w:color w:val="auto"/>
          <w:highlight w:val="none"/>
        </w:rPr>
        <w:t>第二部分  供应商须知</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_Toc83726729 \h </w:instrText>
      </w:r>
      <w:r>
        <w:rPr>
          <w:rFonts w:hint="eastAsia" w:ascii="宋体" w:hAnsi="宋体" w:cs="宋体"/>
          <w:color w:val="auto"/>
          <w:highlight w:val="none"/>
        </w:rPr>
        <w:fldChar w:fldCharType="separate"/>
      </w:r>
      <w:r>
        <w:rPr>
          <w:rFonts w:hint="eastAsia" w:ascii="宋体" w:hAnsi="宋体" w:cs="宋体"/>
          <w:color w:val="auto"/>
          <w:highlight w:val="none"/>
        </w:rPr>
        <w:t>5</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2C47EE80">
      <w:pPr>
        <w:pStyle w:val="31"/>
        <w:tabs>
          <w:tab w:val="right" w:leader="dot" w:pos="9737"/>
        </w:tabs>
        <w:spacing w:line="276" w:lineRule="auto"/>
        <w:rPr>
          <w:rFonts w:hint="eastAsia" w:ascii="宋体" w:hAnsi="宋体" w:cs="宋体"/>
          <w:color w:val="auto"/>
          <w:szCs w:val="22"/>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"_Toc83726730" </w:instrText>
      </w:r>
      <w:r>
        <w:rPr>
          <w:rFonts w:hint="eastAsia" w:ascii="宋体" w:hAnsi="宋体" w:cs="宋体"/>
          <w:color w:val="auto"/>
          <w:highlight w:val="none"/>
        </w:rPr>
        <w:fldChar w:fldCharType="separate"/>
      </w:r>
      <w:r>
        <w:rPr>
          <w:rStyle w:val="45"/>
          <w:rFonts w:hint="eastAsia" w:ascii="宋体" w:hAnsi="宋体" w:cs="宋体"/>
          <w:color w:val="auto"/>
          <w:highlight w:val="none"/>
        </w:rPr>
        <w:t>供应商须知附表</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_Toc83726730 \h </w:instrText>
      </w:r>
      <w:r>
        <w:rPr>
          <w:rFonts w:hint="eastAsia" w:ascii="宋体" w:hAnsi="宋体" w:cs="宋体"/>
          <w:color w:val="auto"/>
          <w:highlight w:val="none"/>
        </w:rPr>
        <w:fldChar w:fldCharType="separate"/>
      </w:r>
      <w:r>
        <w:rPr>
          <w:rFonts w:hint="eastAsia" w:ascii="宋体" w:hAnsi="宋体" w:cs="宋体"/>
          <w:color w:val="auto"/>
          <w:highlight w:val="none"/>
        </w:rPr>
        <w:t>7</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638936FF">
      <w:pPr>
        <w:pStyle w:val="31"/>
        <w:tabs>
          <w:tab w:val="right" w:leader="dot" w:pos="9737"/>
        </w:tabs>
        <w:spacing w:line="276" w:lineRule="auto"/>
        <w:rPr>
          <w:rFonts w:hint="eastAsia" w:ascii="宋体" w:hAnsi="宋体" w:cs="宋体"/>
          <w:color w:val="auto"/>
          <w:szCs w:val="22"/>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"_Toc83726731" </w:instrText>
      </w:r>
      <w:r>
        <w:rPr>
          <w:rFonts w:hint="eastAsia" w:ascii="宋体" w:hAnsi="宋体" w:cs="宋体"/>
          <w:color w:val="auto"/>
          <w:highlight w:val="none"/>
        </w:rPr>
        <w:fldChar w:fldCharType="separate"/>
      </w:r>
      <w:r>
        <w:rPr>
          <w:rStyle w:val="45"/>
          <w:rFonts w:hint="eastAsia" w:ascii="宋体" w:hAnsi="宋体" w:cs="宋体"/>
          <w:color w:val="auto"/>
          <w:highlight w:val="none"/>
        </w:rPr>
        <w:t>A  说　明</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_Toc83726731 \h </w:instrText>
      </w:r>
      <w:r>
        <w:rPr>
          <w:rFonts w:hint="eastAsia" w:ascii="宋体" w:hAnsi="宋体" w:cs="宋体"/>
          <w:color w:val="auto"/>
          <w:highlight w:val="none"/>
        </w:rPr>
        <w:fldChar w:fldCharType="separate"/>
      </w:r>
      <w:r>
        <w:rPr>
          <w:rFonts w:hint="eastAsia" w:ascii="宋体" w:hAnsi="宋体" w:cs="宋体"/>
          <w:color w:val="auto"/>
          <w:highlight w:val="none"/>
        </w:rPr>
        <w:t>10</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61CB66D4">
      <w:pPr>
        <w:pStyle w:val="31"/>
        <w:tabs>
          <w:tab w:val="right" w:leader="dot" w:pos="9737"/>
        </w:tabs>
        <w:spacing w:line="276" w:lineRule="auto"/>
        <w:rPr>
          <w:rFonts w:hint="eastAsia" w:ascii="宋体" w:hAnsi="宋体" w:cs="宋体"/>
          <w:color w:val="auto"/>
          <w:szCs w:val="22"/>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"_Toc83726732" </w:instrText>
      </w:r>
      <w:r>
        <w:rPr>
          <w:rFonts w:hint="eastAsia" w:ascii="宋体" w:hAnsi="宋体" w:cs="宋体"/>
          <w:color w:val="auto"/>
          <w:highlight w:val="none"/>
        </w:rPr>
        <w:fldChar w:fldCharType="separate"/>
      </w:r>
      <w:r>
        <w:rPr>
          <w:rStyle w:val="45"/>
          <w:rFonts w:hint="eastAsia" w:ascii="宋体" w:hAnsi="宋体" w:cs="宋体"/>
          <w:color w:val="auto"/>
          <w:highlight w:val="none"/>
        </w:rPr>
        <w:t>B  磋商文件</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_Toc83726732 \h </w:instrText>
      </w:r>
      <w:r>
        <w:rPr>
          <w:rFonts w:hint="eastAsia" w:ascii="宋体" w:hAnsi="宋体" w:cs="宋体"/>
          <w:color w:val="auto"/>
          <w:highlight w:val="none"/>
        </w:rPr>
        <w:fldChar w:fldCharType="separate"/>
      </w:r>
      <w:r>
        <w:rPr>
          <w:rFonts w:hint="eastAsia" w:ascii="宋体" w:hAnsi="宋体" w:cs="宋体"/>
          <w:color w:val="auto"/>
          <w:highlight w:val="none"/>
        </w:rPr>
        <w:t>10</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680CCD70">
      <w:pPr>
        <w:pStyle w:val="31"/>
        <w:tabs>
          <w:tab w:val="right" w:leader="dot" w:pos="9737"/>
        </w:tabs>
        <w:spacing w:line="276" w:lineRule="auto"/>
        <w:rPr>
          <w:rFonts w:hint="eastAsia" w:ascii="宋体" w:hAnsi="宋体" w:cs="宋体"/>
          <w:color w:val="auto"/>
          <w:szCs w:val="22"/>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"_Toc83726733" </w:instrText>
      </w:r>
      <w:r>
        <w:rPr>
          <w:rFonts w:hint="eastAsia" w:ascii="宋体" w:hAnsi="宋体" w:cs="宋体"/>
          <w:color w:val="auto"/>
          <w:highlight w:val="none"/>
        </w:rPr>
        <w:fldChar w:fldCharType="separate"/>
      </w:r>
      <w:r>
        <w:rPr>
          <w:rStyle w:val="45"/>
          <w:rFonts w:hint="eastAsia" w:ascii="宋体" w:hAnsi="宋体" w:cs="宋体"/>
          <w:color w:val="auto"/>
          <w:highlight w:val="none"/>
        </w:rPr>
        <w:t>C  磋商响应文件的编写</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_Toc83726733 \h </w:instrText>
      </w:r>
      <w:r>
        <w:rPr>
          <w:rFonts w:hint="eastAsia" w:ascii="宋体" w:hAnsi="宋体" w:cs="宋体"/>
          <w:color w:val="auto"/>
          <w:highlight w:val="none"/>
        </w:rPr>
        <w:fldChar w:fldCharType="separate"/>
      </w:r>
      <w:r>
        <w:rPr>
          <w:rFonts w:hint="eastAsia" w:ascii="宋体" w:hAnsi="宋体" w:cs="宋体"/>
          <w:color w:val="auto"/>
          <w:highlight w:val="none"/>
        </w:rPr>
        <w:t>11</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2736B63F">
      <w:pPr>
        <w:pStyle w:val="31"/>
        <w:tabs>
          <w:tab w:val="right" w:leader="dot" w:pos="9737"/>
        </w:tabs>
        <w:spacing w:line="276" w:lineRule="auto"/>
        <w:rPr>
          <w:rFonts w:hint="eastAsia" w:ascii="宋体" w:hAnsi="宋体" w:cs="宋体"/>
          <w:color w:val="auto"/>
          <w:szCs w:val="22"/>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"_Toc83726734" </w:instrText>
      </w:r>
      <w:r>
        <w:rPr>
          <w:rFonts w:hint="eastAsia" w:ascii="宋体" w:hAnsi="宋体" w:cs="宋体"/>
          <w:color w:val="auto"/>
          <w:highlight w:val="none"/>
        </w:rPr>
        <w:fldChar w:fldCharType="separate"/>
      </w:r>
      <w:r>
        <w:rPr>
          <w:rStyle w:val="45"/>
          <w:rFonts w:hint="eastAsia" w:ascii="宋体" w:hAnsi="宋体" w:cs="宋体"/>
          <w:color w:val="auto"/>
          <w:highlight w:val="none"/>
        </w:rPr>
        <w:t>D  磋商响应文件的递交</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_Toc83726734 \h </w:instrText>
      </w:r>
      <w:r>
        <w:rPr>
          <w:rFonts w:hint="eastAsia" w:ascii="宋体" w:hAnsi="宋体" w:cs="宋体"/>
          <w:color w:val="auto"/>
          <w:highlight w:val="none"/>
        </w:rPr>
        <w:fldChar w:fldCharType="separate"/>
      </w:r>
      <w:r>
        <w:rPr>
          <w:rFonts w:hint="eastAsia" w:ascii="宋体" w:hAnsi="宋体" w:cs="宋体"/>
          <w:color w:val="auto"/>
          <w:highlight w:val="none"/>
        </w:rPr>
        <w:t>14</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4F966744">
      <w:pPr>
        <w:pStyle w:val="31"/>
        <w:tabs>
          <w:tab w:val="right" w:leader="dot" w:pos="9737"/>
        </w:tabs>
        <w:spacing w:line="276" w:lineRule="auto"/>
        <w:rPr>
          <w:rFonts w:hint="eastAsia" w:ascii="宋体" w:hAnsi="宋体" w:cs="宋体"/>
          <w:color w:val="auto"/>
          <w:szCs w:val="22"/>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"_Toc83726735" </w:instrText>
      </w:r>
      <w:r>
        <w:rPr>
          <w:rFonts w:hint="eastAsia" w:ascii="宋体" w:hAnsi="宋体" w:cs="宋体"/>
          <w:color w:val="auto"/>
          <w:highlight w:val="none"/>
        </w:rPr>
        <w:fldChar w:fldCharType="separate"/>
      </w:r>
      <w:r>
        <w:rPr>
          <w:rStyle w:val="45"/>
          <w:rFonts w:hint="eastAsia" w:ascii="宋体" w:hAnsi="宋体" w:cs="宋体"/>
          <w:color w:val="auto"/>
          <w:highlight w:val="none"/>
        </w:rPr>
        <w:t>E  磋商程序</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_Toc83726735 \h </w:instrText>
      </w:r>
      <w:r>
        <w:rPr>
          <w:rFonts w:hint="eastAsia" w:ascii="宋体" w:hAnsi="宋体" w:cs="宋体"/>
          <w:color w:val="auto"/>
          <w:highlight w:val="none"/>
        </w:rPr>
        <w:fldChar w:fldCharType="separate"/>
      </w:r>
      <w:r>
        <w:rPr>
          <w:rFonts w:hint="eastAsia" w:ascii="宋体" w:hAnsi="宋体" w:cs="宋体"/>
          <w:color w:val="auto"/>
          <w:highlight w:val="none"/>
        </w:rPr>
        <w:t>15</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7E5FED15">
      <w:pPr>
        <w:pStyle w:val="31"/>
        <w:tabs>
          <w:tab w:val="right" w:leader="dot" w:pos="9737"/>
        </w:tabs>
        <w:spacing w:line="276" w:lineRule="auto"/>
        <w:rPr>
          <w:rFonts w:hint="eastAsia" w:ascii="宋体" w:hAnsi="宋体" w:cs="宋体"/>
          <w:color w:val="auto"/>
          <w:szCs w:val="22"/>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"_Toc83726736" </w:instrText>
      </w:r>
      <w:r>
        <w:rPr>
          <w:rFonts w:hint="eastAsia" w:ascii="宋体" w:hAnsi="宋体" w:cs="宋体"/>
          <w:color w:val="auto"/>
          <w:highlight w:val="none"/>
        </w:rPr>
        <w:fldChar w:fldCharType="separate"/>
      </w:r>
      <w:r>
        <w:rPr>
          <w:rStyle w:val="45"/>
          <w:rFonts w:hint="eastAsia" w:ascii="宋体" w:hAnsi="宋体" w:cs="宋体"/>
          <w:color w:val="auto"/>
          <w:highlight w:val="none"/>
        </w:rPr>
        <w:t>F  授予合同</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_Toc83726736 \h </w:instrText>
      </w:r>
      <w:r>
        <w:rPr>
          <w:rFonts w:hint="eastAsia" w:ascii="宋体" w:hAnsi="宋体" w:cs="宋体"/>
          <w:color w:val="auto"/>
          <w:highlight w:val="none"/>
        </w:rPr>
        <w:fldChar w:fldCharType="separate"/>
      </w:r>
      <w:r>
        <w:rPr>
          <w:rFonts w:hint="eastAsia" w:ascii="宋体" w:hAnsi="宋体" w:cs="宋体"/>
          <w:color w:val="auto"/>
          <w:highlight w:val="none"/>
        </w:rPr>
        <w:t>22</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167D3F01">
      <w:pPr>
        <w:pStyle w:val="31"/>
        <w:tabs>
          <w:tab w:val="right" w:leader="dot" w:pos="9737"/>
        </w:tabs>
        <w:spacing w:line="276" w:lineRule="auto"/>
        <w:rPr>
          <w:rFonts w:hint="eastAsia" w:ascii="宋体" w:hAnsi="宋体" w:cs="宋体"/>
          <w:color w:val="auto"/>
          <w:szCs w:val="22"/>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"_Toc83726737" </w:instrText>
      </w:r>
      <w:r>
        <w:rPr>
          <w:rFonts w:hint="eastAsia" w:ascii="宋体" w:hAnsi="宋体" w:cs="宋体"/>
          <w:color w:val="auto"/>
          <w:highlight w:val="none"/>
        </w:rPr>
        <w:fldChar w:fldCharType="separate"/>
      </w:r>
      <w:r>
        <w:rPr>
          <w:rStyle w:val="45"/>
          <w:rFonts w:hint="eastAsia" w:ascii="宋体" w:hAnsi="宋体" w:cs="宋体"/>
          <w:color w:val="auto"/>
          <w:highlight w:val="none"/>
        </w:rPr>
        <w:t>G  磋商失败条件</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_Toc83726737 \h </w:instrText>
      </w:r>
      <w:r>
        <w:rPr>
          <w:rFonts w:hint="eastAsia" w:ascii="宋体" w:hAnsi="宋体" w:cs="宋体"/>
          <w:color w:val="auto"/>
          <w:highlight w:val="none"/>
        </w:rPr>
        <w:fldChar w:fldCharType="separate"/>
      </w:r>
      <w:r>
        <w:rPr>
          <w:rFonts w:hint="eastAsia" w:ascii="宋体" w:hAnsi="宋体" w:cs="宋体"/>
          <w:color w:val="auto"/>
          <w:highlight w:val="none"/>
        </w:rPr>
        <w:t>23</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1023FCBE">
      <w:pPr>
        <w:pStyle w:val="28"/>
        <w:tabs>
          <w:tab w:val="right" w:leader="dot" w:pos="9737"/>
        </w:tabs>
        <w:spacing w:line="276" w:lineRule="auto"/>
        <w:rPr>
          <w:rFonts w:hint="eastAsia" w:ascii="宋体" w:hAnsi="宋体" w:cs="宋体"/>
          <w:color w:val="auto"/>
          <w:szCs w:val="22"/>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"_Toc83726738" </w:instrText>
      </w:r>
      <w:r>
        <w:rPr>
          <w:rFonts w:hint="eastAsia" w:ascii="宋体" w:hAnsi="宋体" w:cs="宋体"/>
          <w:color w:val="auto"/>
          <w:highlight w:val="none"/>
        </w:rPr>
        <w:fldChar w:fldCharType="separate"/>
      </w:r>
      <w:r>
        <w:rPr>
          <w:rStyle w:val="45"/>
          <w:rFonts w:hint="eastAsia" w:ascii="宋体" w:hAnsi="宋体" w:cs="宋体"/>
          <w:color w:val="auto"/>
          <w:highlight w:val="none"/>
        </w:rPr>
        <w:t>第三部分  服务需求及技术要求</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_Toc83726738 \h </w:instrText>
      </w:r>
      <w:r>
        <w:rPr>
          <w:rFonts w:hint="eastAsia" w:ascii="宋体" w:hAnsi="宋体" w:cs="宋体"/>
          <w:color w:val="auto"/>
          <w:highlight w:val="none"/>
        </w:rPr>
        <w:fldChar w:fldCharType="separate"/>
      </w:r>
      <w:r>
        <w:rPr>
          <w:rFonts w:hint="eastAsia" w:ascii="宋体" w:hAnsi="宋体" w:cs="宋体"/>
          <w:color w:val="auto"/>
          <w:highlight w:val="none"/>
        </w:rPr>
        <w:t>25</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29F0D68B">
      <w:pPr>
        <w:pStyle w:val="28"/>
        <w:tabs>
          <w:tab w:val="right" w:leader="dot" w:pos="9737"/>
        </w:tabs>
        <w:spacing w:line="276" w:lineRule="auto"/>
        <w:rPr>
          <w:rFonts w:hint="eastAsia" w:ascii="宋体" w:hAnsi="宋体" w:cs="宋体"/>
          <w:color w:val="auto"/>
          <w:szCs w:val="22"/>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"_Toc83726739" </w:instrText>
      </w:r>
      <w:r>
        <w:rPr>
          <w:rFonts w:hint="eastAsia" w:ascii="宋体" w:hAnsi="宋体" w:cs="宋体"/>
          <w:color w:val="auto"/>
          <w:highlight w:val="none"/>
        </w:rPr>
        <w:fldChar w:fldCharType="separate"/>
      </w:r>
      <w:r>
        <w:rPr>
          <w:rStyle w:val="45"/>
          <w:rFonts w:hint="eastAsia" w:ascii="宋体" w:hAnsi="宋体" w:cs="宋体"/>
          <w:color w:val="auto"/>
          <w:highlight w:val="none"/>
        </w:rPr>
        <w:t>第四部分  合同一般条款（仅供参考）</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_Toc83726739 \h </w:instrText>
      </w:r>
      <w:r>
        <w:rPr>
          <w:rFonts w:hint="eastAsia" w:ascii="宋体" w:hAnsi="宋体" w:cs="宋体"/>
          <w:color w:val="auto"/>
          <w:highlight w:val="none"/>
        </w:rPr>
        <w:fldChar w:fldCharType="separate"/>
      </w:r>
      <w:r>
        <w:rPr>
          <w:rFonts w:hint="eastAsia" w:ascii="宋体" w:hAnsi="宋体" w:cs="宋体"/>
          <w:color w:val="auto"/>
          <w:highlight w:val="none"/>
        </w:rPr>
        <w:t>32</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67806977">
      <w:pPr>
        <w:pStyle w:val="28"/>
        <w:tabs>
          <w:tab w:val="right" w:leader="dot" w:pos="9737"/>
        </w:tabs>
        <w:spacing w:line="276" w:lineRule="auto"/>
        <w:rPr>
          <w:rFonts w:hint="eastAsia" w:ascii="宋体" w:hAnsi="宋体" w:cs="宋体"/>
          <w:color w:val="auto"/>
          <w:szCs w:val="22"/>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"_Toc83726741" </w:instrText>
      </w:r>
      <w:r>
        <w:rPr>
          <w:rFonts w:hint="eastAsia" w:ascii="宋体" w:hAnsi="宋体" w:cs="宋体"/>
          <w:color w:val="auto"/>
          <w:highlight w:val="none"/>
        </w:rPr>
        <w:fldChar w:fldCharType="separate"/>
      </w:r>
      <w:r>
        <w:rPr>
          <w:rStyle w:val="45"/>
          <w:rFonts w:hint="eastAsia" w:ascii="宋体" w:hAnsi="宋体" w:cs="宋体"/>
          <w:color w:val="auto"/>
          <w:highlight w:val="none"/>
        </w:rPr>
        <w:t>第五部分　范本格式</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_Toc83726741 \h </w:instrText>
      </w:r>
      <w:r>
        <w:rPr>
          <w:rFonts w:hint="eastAsia" w:ascii="宋体" w:hAnsi="宋体" w:cs="宋体"/>
          <w:color w:val="auto"/>
          <w:highlight w:val="none"/>
        </w:rPr>
        <w:fldChar w:fldCharType="separate"/>
      </w:r>
      <w:r>
        <w:rPr>
          <w:rFonts w:hint="eastAsia" w:ascii="宋体" w:hAnsi="宋体" w:cs="宋体"/>
          <w:color w:val="auto"/>
          <w:highlight w:val="none"/>
        </w:rPr>
        <w:t>41</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3C74C024">
      <w:pPr>
        <w:pStyle w:val="28"/>
        <w:tabs>
          <w:tab w:val="right" w:leader="dot" w:pos="8541"/>
        </w:tabs>
        <w:spacing w:line="276" w:lineRule="auto"/>
        <w:rPr>
          <w:rFonts w:hint="eastAsia" w:ascii="宋体" w:hAnsi="宋体" w:cs="宋体"/>
          <w:b/>
          <w:color w:val="auto"/>
          <w:sz w:val="24"/>
          <w:szCs w:val="24"/>
          <w:highlight w:val="none"/>
        </w:rPr>
      </w:pPr>
      <w:r>
        <w:rPr>
          <w:rFonts w:hint="eastAsia" w:ascii="宋体" w:hAnsi="宋体" w:cs="宋体"/>
          <w:b/>
          <w:color w:val="auto"/>
          <w:sz w:val="24"/>
          <w:szCs w:val="24"/>
          <w:highlight w:val="none"/>
        </w:rPr>
        <w:fldChar w:fldCharType="end"/>
      </w:r>
    </w:p>
    <w:p w14:paraId="264BEA4E">
      <w:pPr>
        <w:pStyle w:val="3"/>
        <w:spacing w:line="276" w:lineRule="auto"/>
        <w:rPr>
          <w:rFonts w:hint="eastAsia" w:cs="宋体"/>
          <w:color w:val="auto"/>
          <w:highlight w:val="none"/>
        </w:rPr>
      </w:pPr>
      <w:r>
        <w:rPr>
          <w:rFonts w:hint="eastAsia" w:cs="宋体"/>
          <w:color w:val="auto"/>
          <w:highlight w:val="none"/>
        </w:rPr>
        <w:br w:type="page"/>
      </w:r>
      <w:bookmarkStart w:id="0" w:name="_Toc349573118"/>
      <w:bookmarkStart w:id="1" w:name="_Toc349637917"/>
      <w:bookmarkStart w:id="2" w:name="_Toc298240402"/>
      <w:bookmarkStart w:id="3" w:name="_Toc83726728"/>
      <w:r>
        <w:rPr>
          <w:rFonts w:hint="eastAsia" w:cs="宋体"/>
          <w:color w:val="auto"/>
          <w:highlight w:val="none"/>
        </w:rPr>
        <w:t xml:space="preserve">第一部分 </w:t>
      </w:r>
      <w:bookmarkEnd w:id="0"/>
      <w:bookmarkEnd w:id="1"/>
      <w:bookmarkEnd w:id="2"/>
      <w:r>
        <w:rPr>
          <w:rFonts w:hint="eastAsia" w:cs="宋体"/>
          <w:color w:val="auto"/>
          <w:highlight w:val="none"/>
        </w:rPr>
        <w:t>磋商公告</w:t>
      </w:r>
      <w:bookmarkEnd w:id="3"/>
    </w:p>
    <w:p w14:paraId="04AC30A0">
      <w:pPr>
        <w:spacing w:line="276" w:lineRule="auto"/>
        <w:contextualSpacing/>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项目名称：</w:t>
      </w:r>
      <w:r>
        <w:rPr>
          <w:rFonts w:hint="eastAsia" w:ascii="宋体" w:hAnsi="宋体" w:cs="宋体"/>
          <w:color w:val="auto"/>
          <w:sz w:val="24"/>
          <w:szCs w:val="24"/>
          <w:highlight w:val="none"/>
          <w:lang w:eastAsia="zh-CN"/>
        </w:rPr>
        <w:t>新疆维吾尔自治区交通运输综合行政执法局网络与信息安全测评及机房、办公设备维护服务项目</w:t>
      </w:r>
    </w:p>
    <w:p w14:paraId="2A77A4E8">
      <w:pPr>
        <w:spacing w:line="276" w:lineRule="auto"/>
        <w:contextualSpacing/>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项目编号：</w:t>
      </w:r>
      <w:r>
        <w:rPr>
          <w:rFonts w:hint="eastAsia" w:ascii="宋体" w:hAnsi="宋体" w:cs="宋体"/>
          <w:color w:val="auto"/>
          <w:sz w:val="24"/>
          <w:szCs w:val="24"/>
          <w:highlight w:val="none"/>
          <w:lang w:eastAsia="zh-CN"/>
        </w:rPr>
        <w:t>0634-264XZ1ZF0102</w:t>
      </w:r>
    </w:p>
    <w:p w14:paraId="0B204A93">
      <w:pPr>
        <w:pStyle w:val="70"/>
        <w:spacing w:line="276" w:lineRule="auto"/>
        <w:ind w:firstLine="480"/>
        <w:contextualSpacing/>
        <w:rPr>
          <w:rFonts w:hint="eastAsia" w:ascii="宋体" w:hAnsi="宋体" w:cs="宋体"/>
          <w:color w:val="auto"/>
          <w:sz w:val="24"/>
          <w:szCs w:val="24"/>
          <w:highlight w:val="none"/>
        </w:rPr>
      </w:pPr>
      <w:r>
        <w:rPr>
          <w:rFonts w:hint="eastAsia" w:ascii="宋体" w:hAnsi="宋体" w:cs="宋体"/>
          <w:color w:val="auto"/>
          <w:sz w:val="24"/>
          <w:szCs w:val="24"/>
          <w:highlight w:val="none"/>
        </w:rPr>
        <w:t>新疆招标有限公司受</w:t>
      </w:r>
      <w:r>
        <w:rPr>
          <w:rFonts w:hint="eastAsia" w:ascii="宋体" w:hAnsi="宋体" w:cs="宋体"/>
          <w:color w:val="auto"/>
          <w:sz w:val="24"/>
          <w:szCs w:val="24"/>
          <w:highlight w:val="none"/>
          <w:lang w:eastAsia="zh-CN"/>
        </w:rPr>
        <w:t>新疆维吾尔自治区交通运输综合行政执法局</w:t>
      </w:r>
      <w:r>
        <w:rPr>
          <w:rFonts w:hint="eastAsia" w:ascii="宋体" w:hAnsi="宋体" w:cs="宋体"/>
          <w:color w:val="auto"/>
          <w:sz w:val="24"/>
          <w:szCs w:val="24"/>
          <w:highlight w:val="none"/>
        </w:rPr>
        <w:t>的委托，对</w:t>
      </w:r>
      <w:r>
        <w:rPr>
          <w:rFonts w:hint="eastAsia" w:ascii="宋体" w:hAnsi="宋体" w:cs="宋体"/>
          <w:color w:val="auto"/>
          <w:sz w:val="24"/>
          <w:szCs w:val="24"/>
          <w:highlight w:val="none"/>
          <w:u w:val="single"/>
          <w:lang w:eastAsia="zh-CN"/>
        </w:rPr>
        <w:t>新疆维吾尔自治区交通运输综合行政执法局网络与信息安全测评及机房、办公设备维护服务项目</w:t>
      </w:r>
      <w:r>
        <w:rPr>
          <w:rFonts w:hint="eastAsia" w:ascii="宋体" w:hAnsi="宋体" w:cs="宋体"/>
          <w:color w:val="auto"/>
          <w:sz w:val="24"/>
          <w:szCs w:val="24"/>
          <w:highlight w:val="none"/>
        </w:rPr>
        <w:t>组织竞争性磋商采购。兹邀请合格供应商以加密电子标书的形式前来磋商。</w:t>
      </w:r>
    </w:p>
    <w:p w14:paraId="7C94794B">
      <w:pPr>
        <w:pStyle w:val="70"/>
        <w:spacing w:line="276" w:lineRule="auto"/>
        <w:ind w:firstLine="0" w:firstLineChars="0"/>
        <w:contextualSpacing/>
        <w:rPr>
          <w:rFonts w:hint="eastAsia" w:ascii="宋体" w:hAnsi="宋体" w:cs="宋体"/>
          <w:color w:val="auto"/>
          <w:sz w:val="24"/>
          <w:highlight w:val="none"/>
        </w:rPr>
      </w:pPr>
      <w:r>
        <w:rPr>
          <w:rFonts w:hint="eastAsia" w:ascii="宋体" w:hAnsi="宋体" w:cs="宋体"/>
          <w:color w:val="auto"/>
          <w:sz w:val="24"/>
          <w:highlight w:val="none"/>
        </w:rPr>
        <w:t>1、项目概况</w:t>
      </w:r>
    </w:p>
    <w:p w14:paraId="0C5096ED">
      <w:pPr>
        <w:pStyle w:val="70"/>
        <w:spacing w:line="276" w:lineRule="auto"/>
        <w:ind w:firstLine="480"/>
        <w:contextualSpacing/>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项目内容：对自治区交通运输综合行政执法局的新疆交通运输执法综合管理信息系统、新疆治超联网管理信息系统、大件运输许可审批系统、工程质量监督执法支队信息化系统共4个业务系统开展网络安全等级保护测评及渗透测试服务；同时配备两名驻场运维工程师，</w:t>
      </w:r>
      <w:r>
        <w:rPr>
          <w:rFonts w:hint="eastAsia" w:ascii="宋体" w:hAnsi="宋体" w:cs="宋体"/>
          <w:color w:val="auto"/>
          <w:sz w:val="24"/>
          <w:szCs w:val="24"/>
          <w:highlight w:val="none"/>
          <w:lang w:eastAsia="zh-CN"/>
        </w:rPr>
        <w:t>分别</w:t>
      </w:r>
      <w:r>
        <w:rPr>
          <w:rFonts w:hint="eastAsia" w:ascii="宋体" w:hAnsi="宋体" w:cs="宋体"/>
          <w:color w:val="auto"/>
          <w:sz w:val="24"/>
          <w:szCs w:val="24"/>
          <w:highlight w:val="none"/>
        </w:rPr>
        <w:t>为执法局提供网络安全驻场运维</w:t>
      </w:r>
      <w:r>
        <w:rPr>
          <w:rFonts w:hint="eastAsia" w:ascii="宋体" w:hAnsi="宋体" w:cs="宋体"/>
          <w:color w:val="auto"/>
          <w:sz w:val="24"/>
          <w:szCs w:val="24"/>
          <w:highlight w:val="none"/>
          <w:lang w:eastAsia="zh-CN"/>
        </w:rPr>
        <w:t>和机房办公设备运维</w:t>
      </w:r>
      <w:r>
        <w:rPr>
          <w:rFonts w:hint="eastAsia" w:ascii="宋体" w:hAnsi="宋体" w:cs="宋体"/>
          <w:color w:val="auto"/>
          <w:sz w:val="24"/>
          <w:szCs w:val="24"/>
          <w:highlight w:val="none"/>
        </w:rPr>
        <w:t>服务。</w:t>
      </w:r>
      <w:r>
        <w:rPr>
          <w:rFonts w:hint="eastAsia" w:ascii="宋体" w:hAnsi="宋体" w:cs="宋体"/>
          <w:color w:val="auto"/>
          <w:sz w:val="24"/>
          <w:szCs w:val="24"/>
          <w:highlight w:val="none"/>
          <w:lang w:val="en-US" w:eastAsia="zh-CN"/>
        </w:rPr>
        <w:t>详见</w:t>
      </w:r>
      <w:r>
        <w:rPr>
          <w:rFonts w:hint="eastAsia" w:ascii="宋体" w:hAnsi="宋体" w:cs="宋体"/>
          <w:color w:val="auto"/>
          <w:sz w:val="24"/>
          <w:szCs w:val="24"/>
          <w:highlight w:val="none"/>
        </w:rPr>
        <w:t>第三部分  服务需求及技术要求</w:t>
      </w:r>
      <w:r>
        <w:rPr>
          <w:rFonts w:hint="eastAsia" w:ascii="宋体" w:hAnsi="宋体" w:cs="宋体"/>
          <w:color w:val="auto"/>
          <w:sz w:val="24"/>
          <w:szCs w:val="24"/>
          <w:highlight w:val="none"/>
          <w:lang w:eastAsia="zh-CN"/>
        </w:rPr>
        <w:t>。</w:t>
      </w:r>
    </w:p>
    <w:p w14:paraId="43953FA4">
      <w:pPr>
        <w:pStyle w:val="70"/>
        <w:spacing w:line="276" w:lineRule="auto"/>
        <w:ind w:firstLine="480"/>
        <w:contextualSpacing/>
        <w:rPr>
          <w:rFonts w:hint="eastAsia" w:ascii="宋体" w:hAnsi="宋体" w:cs="宋体"/>
          <w:color w:val="auto"/>
          <w:sz w:val="24"/>
          <w:szCs w:val="24"/>
          <w:highlight w:val="none"/>
        </w:rPr>
      </w:pPr>
      <w:r>
        <w:rPr>
          <w:rFonts w:hint="eastAsia" w:ascii="宋体" w:hAnsi="宋体" w:cs="宋体"/>
          <w:color w:val="auto"/>
          <w:sz w:val="24"/>
          <w:szCs w:val="24"/>
          <w:highlight w:val="none"/>
        </w:rPr>
        <w:t>预算金额：</w:t>
      </w:r>
      <w:r>
        <w:rPr>
          <w:rFonts w:hint="eastAsia" w:ascii="宋体" w:hAnsi="宋体" w:cs="宋体"/>
          <w:color w:val="auto"/>
          <w:sz w:val="24"/>
          <w:szCs w:val="24"/>
          <w:highlight w:val="none"/>
          <w:lang w:eastAsia="zh-CN"/>
        </w:rPr>
        <w:t>55.4万元</w:t>
      </w:r>
      <w:r>
        <w:rPr>
          <w:rFonts w:hint="eastAsia" w:ascii="宋体" w:hAnsi="宋体" w:cs="宋体"/>
          <w:color w:val="auto"/>
          <w:sz w:val="24"/>
          <w:szCs w:val="24"/>
          <w:highlight w:val="none"/>
        </w:rPr>
        <w:t>。</w:t>
      </w:r>
    </w:p>
    <w:p w14:paraId="224BECF3">
      <w:pPr>
        <w:pStyle w:val="70"/>
        <w:spacing w:line="276" w:lineRule="auto"/>
        <w:ind w:firstLine="480"/>
        <w:contextualSpacing/>
        <w:rPr>
          <w:rFonts w:hint="eastAsia" w:ascii="宋体" w:hAnsi="宋体" w:cs="宋体"/>
          <w:color w:val="auto"/>
          <w:sz w:val="24"/>
          <w:szCs w:val="24"/>
          <w:highlight w:val="none"/>
        </w:rPr>
      </w:pPr>
      <w:r>
        <w:rPr>
          <w:rFonts w:hint="eastAsia" w:ascii="宋体" w:hAnsi="宋体" w:cs="宋体"/>
          <w:color w:val="auto"/>
          <w:sz w:val="24"/>
          <w:szCs w:val="24"/>
          <w:highlight w:val="none"/>
        </w:rPr>
        <w:t>合同履行期限（交付期）：合同签订之日起一年</w:t>
      </w:r>
    </w:p>
    <w:p w14:paraId="47182675">
      <w:pPr>
        <w:pStyle w:val="70"/>
        <w:spacing w:line="276" w:lineRule="auto"/>
        <w:ind w:firstLine="0" w:firstLineChars="0"/>
        <w:contextualSpacing/>
        <w:rPr>
          <w:rFonts w:hint="eastAsia" w:ascii="宋体" w:hAnsi="宋体" w:cs="宋体"/>
          <w:color w:val="auto"/>
          <w:sz w:val="24"/>
          <w:highlight w:val="none"/>
        </w:rPr>
      </w:pPr>
      <w:r>
        <w:rPr>
          <w:rFonts w:hint="eastAsia" w:ascii="宋体" w:hAnsi="宋体" w:cs="宋体"/>
          <w:color w:val="auto"/>
          <w:sz w:val="24"/>
          <w:highlight w:val="none"/>
        </w:rPr>
        <w:t>2、项目已经主管部门审批。</w:t>
      </w:r>
    </w:p>
    <w:p w14:paraId="3B9E8728">
      <w:pPr>
        <w:pStyle w:val="70"/>
        <w:spacing w:line="276" w:lineRule="auto"/>
        <w:ind w:firstLine="0" w:firstLineChars="0"/>
        <w:contextualSpacing/>
        <w:rPr>
          <w:rFonts w:hint="eastAsia" w:ascii="宋体" w:hAnsi="宋体" w:cs="宋体"/>
          <w:color w:val="auto"/>
          <w:sz w:val="24"/>
          <w:highlight w:val="none"/>
        </w:rPr>
      </w:pPr>
      <w:r>
        <w:rPr>
          <w:rFonts w:hint="eastAsia" w:ascii="宋体" w:hAnsi="宋体" w:cs="宋体"/>
          <w:color w:val="auto"/>
          <w:sz w:val="24"/>
          <w:highlight w:val="none"/>
        </w:rPr>
        <w:t>3、供应商的资格要求：</w:t>
      </w:r>
    </w:p>
    <w:p w14:paraId="481E93BF">
      <w:pPr>
        <w:pStyle w:val="70"/>
        <w:spacing w:line="276" w:lineRule="auto"/>
        <w:ind w:firstLine="0" w:firstLineChars="0"/>
        <w:contextualSpacing/>
        <w:rPr>
          <w:rFonts w:hint="eastAsia" w:ascii="宋体" w:hAnsi="宋体" w:cs="宋体"/>
          <w:color w:val="auto"/>
          <w:sz w:val="24"/>
          <w:szCs w:val="24"/>
          <w:highlight w:val="none"/>
        </w:rPr>
      </w:pPr>
      <w:r>
        <w:rPr>
          <w:rFonts w:hint="eastAsia" w:ascii="宋体" w:hAnsi="宋体" w:cs="宋体"/>
          <w:color w:val="auto"/>
          <w:sz w:val="24"/>
          <w:szCs w:val="24"/>
          <w:highlight w:val="none"/>
        </w:rPr>
        <w:t>3.1符合《中华人民共和国政府采购法》第二十二条规定条件；</w:t>
      </w:r>
    </w:p>
    <w:p w14:paraId="1E62C7E5">
      <w:pPr>
        <w:pStyle w:val="70"/>
        <w:spacing w:line="276" w:lineRule="auto"/>
        <w:ind w:firstLine="0" w:firstLineChars="0"/>
        <w:contextualSpacing/>
        <w:rPr>
          <w:rFonts w:hint="eastAsia" w:ascii="宋体" w:hAnsi="宋体" w:cs="宋体"/>
          <w:color w:val="auto"/>
          <w:sz w:val="24"/>
          <w:szCs w:val="24"/>
          <w:highlight w:val="none"/>
        </w:rPr>
      </w:pPr>
      <w:r>
        <w:rPr>
          <w:rFonts w:hint="eastAsia" w:ascii="宋体" w:hAnsi="宋体" w:cs="宋体"/>
          <w:color w:val="auto"/>
          <w:sz w:val="24"/>
          <w:szCs w:val="24"/>
          <w:highlight w:val="none"/>
        </w:rPr>
        <w:t>3.2落实政府采购政策需满足的资格要求：</w:t>
      </w:r>
      <w:r>
        <w:rPr>
          <w:rFonts w:hint="eastAsia" w:ascii="宋体" w:hAnsi="宋体" w:cs="宋体"/>
          <w:color w:val="auto"/>
          <w:sz w:val="24"/>
          <w:szCs w:val="24"/>
          <w:highlight w:val="none"/>
          <w:lang w:eastAsia="zh-CN"/>
        </w:rPr>
        <w:t>本项目专门面向中小企业</w:t>
      </w:r>
      <w:r>
        <w:rPr>
          <w:rFonts w:hint="eastAsia" w:ascii="宋体" w:hAnsi="宋体" w:cs="宋体"/>
          <w:color w:val="auto"/>
          <w:sz w:val="24"/>
          <w:szCs w:val="24"/>
          <w:highlight w:val="none"/>
        </w:rPr>
        <w:t>；</w:t>
      </w:r>
    </w:p>
    <w:p w14:paraId="7439F991">
      <w:pPr>
        <w:pStyle w:val="70"/>
        <w:spacing w:line="276" w:lineRule="auto"/>
        <w:ind w:firstLine="0" w:firstLineChars="0"/>
        <w:contextualSpacing/>
        <w:rPr>
          <w:rFonts w:hint="eastAsia" w:ascii="宋体" w:hAnsi="宋体" w:cs="宋体"/>
          <w:color w:val="auto"/>
          <w:sz w:val="24"/>
          <w:szCs w:val="20"/>
          <w:highlight w:val="none"/>
          <w:lang w:val="zh-CN"/>
        </w:rPr>
      </w:pPr>
      <w:r>
        <w:rPr>
          <w:rFonts w:hint="eastAsia" w:ascii="宋体" w:hAnsi="宋体" w:cs="宋体"/>
          <w:color w:val="auto"/>
          <w:sz w:val="24"/>
          <w:szCs w:val="24"/>
          <w:highlight w:val="none"/>
        </w:rPr>
        <w:t>3.3本项目的特定资格要求：</w:t>
      </w:r>
      <w:r>
        <w:rPr>
          <w:rFonts w:hint="eastAsia" w:ascii="宋体" w:hAnsi="宋体" w:cs="宋体"/>
          <w:color w:val="auto"/>
          <w:sz w:val="24"/>
          <w:szCs w:val="20"/>
          <w:highlight w:val="none"/>
          <w:lang w:val="en-US" w:eastAsia="zh-CN"/>
        </w:rPr>
        <w:t>/</w:t>
      </w:r>
      <w:r>
        <w:rPr>
          <w:rFonts w:hint="eastAsia" w:ascii="宋体" w:hAnsi="宋体" w:cs="宋体"/>
          <w:color w:val="auto"/>
          <w:sz w:val="24"/>
          <w:szCs w:val="20"/>
          <w:highlight w:val="none"/>
          <w:lang w:val="zh-CN"/>
        </w:rPr>
        <w:t>。</w:t>
      </w:r>
    </w:p>
    <w:p w14:paraId="701A879F">
      <w:pPr>
        <w:pStyle w:val="70"/>
        <w:spacing w:line="276" w:lineRule="auto"/>
        <w:ind w:firstLine="0" w:firstLineChars="0"/>
        <w:contextualSpacing/>
        <w:rPr>
          <w:rFonts w:hint="eastAsia" w:ascii="宋体" w:hAnsi="宋体" w:cs="宋体"/>
          <w:color w:val="auto"/>
          <w:sz w:val="24"/>
          <w:szCs w:val="24"/>
          <w:highlight w:val="none"/>
        </w:rPr>
      </w:pPr>
      <w:r>
        <w:rPr>
          <w:rFonts w:hint="eastAsia" w:ascii="宋体" w:hAnsi="宋体" w:cs="宋体"/>
          <w:color w:val="auto"/>
          <w:sz w:val="24"/>
          <w:szCs w:val="24"/>
          <w:highlight w:val="none"/>
        </w:rPr>
        <w:t>4、本项目不接受联合体投标。</w:t>
      </w:r>
    </w:p>
    <w:p w14:paraId="4A360E32">
      <w:pPr>
        <w:pStyle w:val="70"/>
        <w:spacing w:line="276" w:lineRule="auto"/>
        <w:ind w:firstLine="0" w:firstLineChars="0"/>
        <w:contextualSpacing/>
        <w:rPr>
          <w:rFonts w:hint="eastAsia" w:ascii="宋体" w:hAnsi="宋体" w:cs="宋体"/>
          <w:color w:val="auto"/>
          <w:sz w:val="24"/>
          <w:highlight w:val="none"/>
        </w:rPr>
      </w:pPr>
      <w:r>
        <w:rPr>
          <w:rFonts w:hint="eastAsia" w:ascii="宋体" w:hAnsi="宋体" w:cs="宋体"/>
          <w:color w:val="auto"/>
          <w:sz w:val="24"/>
          <w:highlight w:val="none"/>
        </w:rPr>
        <w:t xml:space="preserve">5、获取磋商文件的时间期限、方式： </w:t>
      </w:r>
    </w:p>
    <w:p w14:paraId="3260FEB7">
      <w:pPr>
        <w:spacing w:line="276" w:lineRule="auto"/>
        <w:rPr>
          <w:rFonts w:hint="eastAsia" w:ascii="宋体" w:hAnsi="宋体" w:cs="宋体"/>
          <w:color w:val="auto"/>
          <w:sz w:val="24"/>
          <w:szCs w:val="24"/>
          <w:highlight w:val="none"/>
        </w:rPr>
      </w:pPr>
      <w:r>
        <w:rPr>
          <w:rFonts w:hint="eastAsia" w:ascii="宋体" w:hAnsi="宋体" w:cs="宋体"/>
          <w:color w:val="auto"/>
          <w:sz w:val="24"/>
          <w:highlight w:val="none"/>
        </w:rPr>
        <w:t>供应商可从2026年</w:t>
      </w:r>
      <w:r>
        <w:rPr>
          <w:rFonts w:hint="eastAsia" w:ascii="宋体" w:hAnsi="宋体" w:cs="宋体"/>
          <w:color w:val="auto"/>
          <w:sz w:val="24"/>
          <w:highlight w:val="none"/>
          <w:lang w:val="en-US" w:eastAsia="zh-CN"/>
        </w:rPr>
        <w:t>06</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02</w:t>
      </w:r>
      <w:r>
        <w:rPr>
          <w:rFonts w:hint="eastAsia" w:ascii="宋体" w:hAnsi="宋体" w:cs="宋体"/>
          <w:color w:val="auto"/>
          <w:sz w:val="24"/>
          <w:highlight w:val="none"/>
        </w:rPr>
        <w:t>日至2026年</w:t>
      </w:r>
      <w:r>
        <w:rPr>
          <w:rFonts w:hint="eastAsia" w:ascii="宋体" w:hAnsi="宋体" w:cs="宋体"/>
          <w:color w:val="auto"/>
          <w:sz w:val="24"/>
          <w:highlight w:val="none"/>
          <w:lang w:val="en-US" w:eastAsia="zh-CN"/>
        </w:rPr>
        <w:t>06</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09</w:t>
      </w:r>
      <w:r>
        <w:rPr>
          <w:rFonts w:hint="eastAsia" w:ascii="宋体" w:hAnsi="宋体" w:cs="宋体"/>
          <w:color w:val="auto"/>
          <w:sz w:val="24"/>
          <w:highlight w:val="none"/>
        </w:rPr>
        <w:t>日，每日10：00时~19：00时（北京时间）</w:t>
      </w:r>
      <w:r>
        <w:rPr>
          <w:rFonts w:hint="eastAsia" w:ascii="宋体" w:hAnsi="宋体" w:cs="宋体"/>
          <w:color w:val="auto"/>
          <w:sz w:val="24"/>
          <w:szCs w:val="24"/>
          <w:highlight w:val="none"/>
        </w:rPr>
        <w:t>在政采云平台（www.zcygov.cn）在线申请获取采购文件（进入“项目采购”应用，在获取采购文件菜单中选择项目，申请获取采购文件），过期不予受理</w:t>
      </w:r>
      <w:r>
        <w:rPr>
          <w:rFonts w:hint="eastAsia" w:ascii="宋体" w:hAnsi="宋体" w:cs="宋体"/>
          <w:color w:val="auto"/>
          <w:sz w:val="24"/>
          <w:highlight w:val="none"/>
        </w:rPr>
        <w:t>。</w:t>
      </w:r>
    </w:p>
    <w:p w14:paraId="4E2D9203">
      <w:pPr>
        <w:pStyle w:val="70"/>
        <w:spacing w:line="276" w:lineRule="auto"/>
        <w:ind w:firstLine="0" w:firstLineChars="0"/>
        <w:contextualSpacing/>
        <w:rPr>
          <w:rFonts w:hint="eastAsia" w:ascii="宋体" w:hAnsi="宋体" w:cs="宋体"/>
          <w:color w:val="auto"/>
          <w:sz w:val="24"/>
          <w:highlight w:val="none"/>
        </w:rPr>
      </w:pPr>
      <w:r>
        <w:rPr>
          <w:rFonts w:hint="eastAsia" w:ascii="宋体" w:hAnsi="宋体" w:cs="宋体"/>
          <w:color w:val="auto"/>
          <w:sz w:val="24"/>
          <w:highlight w:val="none"/>
        </w:rPr>
        <w:t>6、公告期限：3个工作日。</w:t>
      </w:r>
    </w:p>
    <w:p w14:paraId="37322C80">
      <w:pPr>
        <w:pStyle w:val="70"/>
        <w:spacing w:line="276" w:lineRule="auto"/>
        <w:ind w:firstLine="0" w:firstLineChars="0"/>
        <w:contextualSpacing/>
        <w:rPr>
          <w:rFonts w:hint="eastAsia" w:ascii="宋体" w:hAnsi="宋体" w:cs="宋体"/>
          <w:color w:val="auto"/>
          <w:sz w:val="24"/>
          <w:highlight w:val="none"/>
        </w:rPr>
      </w:pPr>
      <w:r>
        <w:rPr>
          <w:rFonts w:hint="eastAsia" w:ascii="宋体" w:hAnsi="宋体" w:cs="宋体"/>
          <w:color w:val="auto"/>
          <w:sz w:val="24"/>
          <w:highlight w:val="none"/>
        </w:rPr>
        <w:t>7、磋商响应截止时间、磋商开始时间：</w:t>
      </w:r>
      <w:r>
        <w:rPr>
          <w:rFonts w:hint="eastAsia" w:ascii="宋体" w:hAnsi="宋体" w:cs="宋体"/>
          <w:color w:val="auto"/>
          <w:sz w:val="24"/>
          <w:highlight w:val="none"/>
          <w:lang w:eastAsia="zh-CN"/>
        </w:rPr>
        <w:t>2026年06月15日11：00时</w:t>
      </w:r>
      <w:r>
        <w:rPr>
          <w:rFonts w:hint="eastAsia" w:ascii="宋体" w:hAnsi="宋体" w:cs="宋体"/>
          <w:color w:val="auto"/>
          <w:sz w:val="24"/>
          <w:highlight w:val="none"/>
        </w:rPr>
        <w:t>（北京时间）</w:t>
      </w:r>
    </w:p>
    <w:p w14:paraId="14CAD9D2">
      <w:pPr>
        <w:pStyle w:val="70"/>
        <w:spacing w:line="276" w:lineRule="auto"/>
        <w:ind w:firstLine="0" w:firstLineChars="0"/>
        <w:contextualSpacing/>
        <w:rPr>
          <w:rFonts w:hint="eastAsia" w:ascii="宋体" w:hAnsi="宋体" w:cs="宋体"/>
          <w:color w:val="auto"/>
          <w:sz w:val="24"/>
          <w:highlight w:val="none"/>
        </w:rPr>
      </w:pPr>
      <w:r>
        <w:rPr>
          <w:rFonts w:hint="eastAsia" w:ascii="宋体" w:hAnsi="宋体" w:cs="宋体"/>
          <w:color w:val="auto"/>
          <w:sz w:val="24"/>
          <w:highlight w:val="none"/>
        </w:rPr>
        <w:t>8、磋商地点：</w:t>
      </w:r>
      <w:r>
        <w:rPr>
          <w:rFonts w:hint="eastAsia" w:ascii="宋体" w:hAnsi="宋体" w:cs="宋体"/>
          <w:color w:val="auto"/>
          <w:sz w:val="24"/>
          <w:szCs w:val="24"/>
          <w:highlight w:val="none"/>
        </w:rPr>
        <w:t>政采云线上（www.zcygov.cn）</w:t>
      </w:r>
    </w:p>
    <w:p w14:paraId="6B2FE8D7">
      <w:pPr>
        <w:spacing w:line="276" w:lineRule="auto"/>
        <w:contextualSpacing/>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采购人：</w:t>
      </w:r>
      <w:r>
        <w:rPr>
          <w:rFonts w:hint="eastAsia" w:ascii="宋体" w:hAnsi="宋体" w:cs="宋体"/>
          <w:color w:val="auto"/>
          <w:sz w:val="24"/>
          <w:szCs w:val="24"/>
          <w:highlight w:val="none"/>
          <w:lang w:eastAsia="zh-CN"/>
        </w:rPr>
        <w:t>新疆维吾尔自治区交通运输综合行政执法局</w:t>
      </w:r>
    </w:p>
    <w:p w14:paraId="0E45DE78">
      <w:pPr>
        <w:spacing w:line="276" w:lineRule="auto"/>
        <w:contextualSpacing/>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rPr>
        <w:t xml:space="preserve">联系人： </w:t>
      </w:r>
      <w:r>
        <w:rPr>
          <w:rFonts w:hint="eastAsia" w:ascii="宋体" w:hAnsi="宋体" w:cs="宋体"/>
          <w:color w:val="auto"/>
          <w:sz w:val="24"/>
          <w:highlight w:val="none"/>
          <w:lang w:eastAsia="zh-CN"/>
        </w:rPr>
        <w:t>巴合图努尔</w:t>
      </w:r>
      <w:r>
        <w:rPr>
          <w:rFonts w:hint="eastAsia" w:ascii="宋体" w:hAnsi="宋体" w:cs="宋体"/>
          <w:color w:val="auto"/>
          <w:sz w:val="24"/>
          <w:highlight w:val="none"/>
          <w:lang w:val="en-US" w:eastAsia="zh-CN"/>
        </w:rPr>
        <w:t>·穆汗</w:t>
      </w:r>
    </w:p>
    <w:p w14:paraId="60986766">
      <w:pPr>
        <w:spacing w:line="276" w:lineRule="auto"/>
        <w:contextualSpacing/>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rPr>
        <w:t>联系电话：0991-52816</w:t>
      </w:r>
      <w:r>
        <w:rPr>
          <w:rFonts w:hint="eastAsia" w:ascii="宋体" w:hAnsi="宋体" w:cs="宋体"/>
          <w:color w:val="auto"/>
          <w:sz w:val="24"/>
          <w:highlight w:val="none"/>
          <w:lang w:val="en-US" w:eastAsia="zh-CN"/>
        </w:rPr>
        <w:t>86</w:t>
      </w:r>
    </w:p>
    <w:p w14:paraId="055DFDD7">
      <w:pPr>
        <w:pStyle w:val="17"/>
        <w:rPr>
          <w:rFonts w:hint="eastAsia" w:ascii="宋体" w:hAnsi="宋体" w:cs="宋体"/>
          <w:color w:val="auto"/>
          <w:highlight w:val="none"/>
        </w:rPr>
      </w:pPr>
    </w:p>
    <w:p w14:paraId="27DE6D39">
      <w:pPr>
        <w:pStyle w:val="17"/>
        <w:rPr>
          <w:rFonts w:hint="eastAsia" w:ascii="宋体" w:hAnsi="宋体" w:cs="宋体"/>
          <w:color w:val="auto"/>
          <w:highlight w:val="none"/>
        </w:rPr>
      </w:pPr>
    </w:p>
    <w:p w14:paraId="3FC86917">
      <w:pPr>
        <w:spacing w:line="276" w:lineRule="auto"/>
        <w:contextualSpacing/>
        <w:rPr>
          <w:rFonts w:hint="eastAsia" w:ascii="宋体" w:hAnsi="宋体" w:cs="宋体"/>
          <w:color w:val="auto"/>
          <w:sz w:val="24"/>
          <w:highlight w:val="none"/>
          <w:u w:val="single"/>
        </w:rPr>
      </w:pPr>
      <w:r>
        <w:rPr>
          <w:rFonts w:hint="eastAsia" w:ascii="宋体" w:hAnsi="宋体" w:cs="宋体"/>
          <w:color w:val="auto"/>
          <w:sz w:val="24"/>
          <w:highlight w:val="none"/>
        </w:rPr>
        <w:t>采购代理机构名称：</w:t>
      </w:r>
      <w:r>
        <w:rPr>
          <w:rFonts w:hint="eastAsia" w:ascii="宋体" w:hAnsi="宋体" w:cs="宋体"/>
          <w:color w:val="auto"/>
          <w:sz w:val="24"/>
          <w:highlight w:val="none"/>
          <w:u w:val="single"/>
        </w:rPr>
        <w:t>新疆招标有限公司</w:t>
      </w:r>
    </w:p>
    <w:p w14:paraId="153BF126">
      <w:pPr>
        <w:spacing w:line="276" w:lineRule="auto"/>
        <w:contextualSpacing/>
        <w:rPr>
          <w:rFonts w:hint="eastAsia" w:ascii="宋体" w:hAnsi="宋体" w:cs="宋体"/>
          <w:color w:val="auto"/>
          <w:sz w:val="24"/>
          <w:highlight w:val="none"/>
          <w:u w:val="single"/>
        </w:rPr>
      </w:pPr>
      <w:r>
        <w:rPr>
          <w:rFonts w:hint="eastAsia" w:ascii="宋体" w:hAnsi="宋体" w:cs="宋体"/>
          <w:color w:val="auto"/>
          <w:sz w:val="24"/>
          <w:highlight w:val="none"/>
        </w:rPr>
        <w:t>详细地址：新疆维吾尔自治区乌鲁木齐市水磨沟区昆仑东街789号</w:t>
      </w:r>
    </w:p>
    <w:p w14:paraId="45C20EA3">
      <w:pPr>
        <w:spacing w:line="276" w:lineRule="auto"/>
        <w:contextualSpacing/>
        <w:rPr>
          <w:rFonts w:hint="eastAsia" w:ascii="宋体" w:hAnsi="宋体" w:cs="宋体"/>
          <w:color w:val="auto"/>
          <w:sz w:val="24"/>
          <w:highlight w:val="none"/>
        </w:rPr>
      </w:pPr>
      <w:r>
        <w:rPr>
          <w:rFonts w:hint="eastAsia" w:ascii="宋体" w:hAnsi="宋体" w:cs="宋体"/>
          <w:color w:val="auto"/>
          <w:sz w:val="24"/>
          <w:highlight w:val="none"/>
        </w:rPr>
        <w:t>电子信箱：</w:t>
      </w:r>
      <w:r>
        <w:rPr>
          <w:rFonts w:hint="eastAsia" w:ascii="宋体" w:hAnsi="宋体" w:cs="宋体"/>
          <w:color w:val="auto"/>
          <w:sz w:val="24"/>
          <w:highlight w:val="none"/>
          <w:u w:val="single"/>
          <w:lang w:eastAsia="zh-CN"/>
        </w:rPr>
        <w:t>1459486195</w:t>
      </w:r>
      <w:r>
        <w:rPr>
          <w:rFonts w:hint="eastAsia" w:ascii="宋体" w:hAnsi="宋体" w:cs="宋体"/>
          <w:color w:val="auto"/>
          <w:sz w:val="24"/>
          <w:highlight w:val="none"/>
          <w:u w:val="single"/>
        </w:rPr>
        <w:t>@qq.com</w:t>
      </w:r>
    </w:p>
    <w:p w14:paraId="1496FA39">
      <w:pPr>
        <w:spacing w:line="276" w:lineRule="auto"/>
        <w:contextualSpacing/>
        <w:rPr>
          <w:rFonts w:hint="eastAsia" w:ascii="宋体" w:hAnsi="宋体" w:eastAsia="宋体" w:cs="宋体"/>
          <w:color w:val="auto"/>
          <w:sz w:val="24"/>
          <w:highlight w:val="none"/>
          <w:lang w:eastAsia="zh-CN"/>
        </w:rPr>
      </w:pPr>
      <w:r>
        <w:rPr>
          <w:rFonts w:hint="eastAsia" w:ascii="宋体" w:hAnsi="宋体" w:cs="宋体"/>
          <w:color w:val="auto"/>
          <w:sz w:val="24"/>
          <w:highlight w:val="none"/>
        </w:rPr>
        <w:t>联 系 人：</w:t>
      </w:r>
      <w:r>
        <w:rPr>
          <w:rFonts w:hint="eastAsia" w:ascii="宋体" w:hAnsi="宋体" w:cs="宋体"/>
          <w:color w:val="auto"/>
          <w:sz w:val="24"/>
          <w:highlight w:val="none"/>
          <w:lang w:eastAsia="zh-CN"/>
        </w:rPr>
        <w:t>霍靖萱</w:t>
      </w:r>
    </w:p>
    <w:p w14:paraId="79FB6222">
      <w:pPr>
        <w:spacing w:line="276" w:lineRule="auto"/>
        <w:contextualSpacing/>
        <w:rPr>
          <w:rFonts w:hint="eastAsia" w:ascii="宋体" w:hAnsi="宋体" w:cs="宋体"/>
          <w:color w:val="auto"/>
          <w:sz w:val="24"/>
          <w:highlight w:val="none"/>
          <w:u w:val="single"/>
          <w:lang w:eastAsia="zh-CN"/>
        </w:rPr>
      </w:pPr>
      <w:r>
        <w:rPr>
          <w:rFonts w:hint="eastAsia" w:ascii="宋体" w:hAnsi="宋体" w:cs="宋体"/>
          <w:color w:val="auto"/>
          <w:sz w:val="24"/>
          <w:highlight w:val="none"/>
        </w:rPr>
        <w:t>电话：</w:t>
      </w:r>
      <w:r>
        <w:rPr>
          <w:rFonts w:hint="eastAsia" w:ascii="宋体" w:hAnsi="宋体" w:cs="宋体"/>
          <w:color w:val="auto"/>
          <w:sz w:val="24"/>
          <w:highlight w:val="none"/>
          <w:u w:val="single"/>
          <w:lang w:eastAsia="zh-CN"/>
        </w:rPr>
        <w:t>15509945897</w:t>
      </w:r>
    </w:p>
    <w:p w14:paraId="4C24B7DF">
      <w:pPr>
        <w:pStyle w:val="17"/>
        <w:rPr>
          <w:rFonts w:hint="eastAsia" w:ascii="宋体" w:hAnsi="宋体" w:cs="宋体"/>
          <w:color w:val="auto"/>
          <w:highlight w:val="none"/>
          <w:lang w:eastAsia="zh-CN"/>
        </w:rPr>
      </w:pPr>
    </w:p>
    <w:p w14:paraId="300741FC">
      <w:pPr>
        <w:spacing w:line="276" w:lineRule="auto"/>
        <w:contextualSpacing/>
        <w:rPr>
          <w:rFonts w:hint="eastAsia" w:ascii="宋体" w:hAnsi="宋体" w:cs="宋体"/>
          <w:color w:val="auto"/>
          <w:sz w:val="24"/>
          <w:highlight w:val="none"/>
        </w:rPr>
      </w:pPr>
      <w:r>
        <w:rPr>
          <w:rFonts w:hint="eastAsia" w:ascii="宋体" w:hAnsi="宋体" w:cs="宋体"/>
          <w:color w:val="auto"/>
          <w:sz w:val="24"/>
          <w:highlight w:val="none"/>
        </w:rPr>
        <w:t>账户名称：</w:t>
      </w:r>
      <w:r>
        <w:rPr>
          <w:rFonts w:hint="eastAsia" w:ascii="宋体" w:hAnsi="宋体" w:cs="宋体"/>
          <w:color w:val="auto"/>
          <w:sz w:val="24"/>
          <w:highlight w:val="none"/>
          <w:u w:val="single"/>
        </w:rPr>
        <w:t>新疆招标有限公司</w:t>
      </w:r>
    </w:p>
    <w:p w14:paraId="11F5C163">
      <w:pPr>
        <w:spacing w:line="276" w:lineRule="auto"/>
        <w:contextualSpacing/>
        <w:rPr>
          <w:rFonts w:hint="eastAsia" w:ascii="宋体" w:hAnsi="宋体" w:cs="宋体"/>
          <w:color w:val="auto"/>
          <w:sz w:val="24"/>
          <w:highlight w:val="none"/>
          <w:u w:val="single"/>
        </w:rPr>
      </w:pPr>
      <w:r>
        <w:rPr>
          <w:rFonts w:hint="eastAsia" w:ascii="宋体" w:hAnsi="宋体" w:cs="宋体"/>
          <w:color w:val="auto"/>
          <w:sz w:val="24"/>
          <w:highlight w:val="none"/>
        </w:rPr>
        <w:t>人民币账号：</w:t>
      </w:r>
      <w:r>
        <w:rPr>
          <w:rFonts w:hint="eastAsia" w:ascii="宋体" w:hAnsi="宋体" w:cs="宋体"/>
          <w:color w:val="auto"/>
          <w:sz w:val="24"/>
          <w:highlight w:val="none"/>
          <w:u w:val="single"/>
        </w:rPr>
        <w:t>3002013709022305571（电汇时请在汇款备注栏注明招标编号）</w:t>
      </w:r>
    </w:p>
    <w:p w14:paraId="69423936">
      <w:pPr>
        <w:spacing w:line="276" w:lineRule="auto"/>
        <w:rPr>
          <w:rFonts w:hint="eastAsia" w:ascii="宋体" w:hAnsi="宋体" w:cs="宋体"/>
          <w:color w:val="auto"/>
          <w:sz w:val="24"/>
          <w:highlight w:val="none"/>
          <w:u w:val="singl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乌鲁木齐工行友好南路支行</w:t>
      </w:r>
    </w:p>
    <w:p w14:paraId="46FD141A">
      <w:pPr>
        <w:pStyle w:val="3"/>
        <w:spacing w:line="276" w:lineRule="auto"/>
        <w:rPr>
          <w:rFonts w:hint="eastAsia" w:cs="宋体"/>
          <w:color w:val="auto"/>
          <w:highlight w:val="none"/>
        </w:rPr>
      </w:pPr>
      <w:bookmarkStart w:id="4" w:name="_Toc267301280"/>
      <w:r>
        <w:rPr>
          <w:rFonts w:hint="eastAsia" w:cs="宋体"/>
          <w:color w:val="auto"/>
          <w:highlight w:val="none"/>
        </w:rPr>
        <w:br w:type="page"/>
      </w:r>
      <w:bookmarkStart w:id="5" w:name="_Toc349637918"/>
      <w:bookmarkStart w:id="6" w:name="_Toc349573119"/>
      <w:bookmarkStart w:id="7" w:name="_Toc298240403"/>
      <w:bookmarkStart w:id="8" w:name="_Toc83726729"/>
      <w:r>
        <w:rPr>
          <w:rFonts w:hint="eastAsia" w:cs="宋体"/>
          <w:color w:val="auto"/>
          <w:highlight w:val="none"/>
        </w:rPr>
        <w:t>第二部分  供应商须知</w:t>
      </w:r>
      <w:bookmarkEnd w:id="4"/>
      <w:bookmarkEnd w:id="5"/>
      <w:bookmarkEnd w:id="6"/>
      <w:bookmarkEnd w:id="7"/>
      <w:bookmarkEnd w:id="8"/>
    </w:p>
    <w:p w14:paraId="41247E2B">
      <w:pPr>
        <w:spacing w:line="276" w:lineRule="auto"/>
        <w:rPr>
          <w:rFonts w:hint="eastAsia" w:ascii="宋体" w:hAnsi="宋体" w:cs="宋体"/>
          <w:color w:val="auto"/>
          <w:sz w:val="24"/>
          <w:highlight w:val="none"/>
          <w:u w:val="single"/>
        </w:rPr>
      </w:pPr>
    </w:p>
    <w:p w14:paraId="2AAB0FEC">
      <w:pPr>
        <w:spacing w:line="276" w:lineRule="auto"/>
        <w:rPr>
          <w:rFonts w:hint="eastAsia" w:ascii="宋体" w:hAnsi="宋体" w:cs="宋体"/>
          <w:color w:val="auto"/>
          <w:sz w:val="24"/>
          <w:highlight w:val="none"/>
          <w:u w:val="single"/>
        </w:rPr>
      </w:pPr>
      <w:r>
        <w:rPr>
          <w:rFonts w:hint="eastAsia" w:ascii="宋体" w:hAnsi="宋体" w:cs="宋体"/>
          <w:color w:val="auto"/>
          <w:sz w:val="24"/>
          <w:highlight w:val="none"/>
          <w:u w:val="single"/>
        </w:rPr>
        <w:t>目    录</w:t>
      </w:r>
    </w:p>
    <w:p w14:paraId="6DDFA780">
      <w:pPr>
        <w:spacing w:line="276" w:lineRule="auto"/>
        <w:rPr>
          <w:rFonts w:hint="eastAsia" w:ascii="宋体" w:hAnsi="宋体" w:cs="宋体"/>
          <w:color w:val="auto"/>
          <w:sz w:val="24"/>
          <w:highlight w:val="none"/>
        </w:rPr>
      </w:pPr>
    </w:p>
    <w:p w14:paraId="3D3E4B9D">
      <w:pPr>
        <w:pStyle w:val="21"/>
        <w:numPr>
          <w:ilvl w:val="0"/>
          <w:numId w:val="6"/>
        </w:numPr>
        <w:spacing w:line="276" w:lineRule="auto"/>
        <w:rPr>
          <w:rFonts w:hint="eastAsia" w:hAnsi="宋体" w:cs="宋体"/>
          <w:color w:val="auto"/>
          <w:highlight w:val="none"/>
        </w:rPr>
      </w:pPr>
      <w:r>
        <w:rPr>
          <w:rFonts w:hint="eastAsia" w:hAnsi="宋体" w:cs="宋体"/>
          <w:color w:val="auto"/>
          <w:highlight w:val="none"/>
        </w:rPr>
        <w:t>说明</w:t>
      </w:r>
    </w:p>
    <w:p w14:paraId="12AEB69B">
      <w:pPr>
        <w:pStyle w:val="21"/>
        <w:spacing w:line="276" w:lineRule="auto"/>
        <w:rPr>
          <w:rFonts w:hint="eastAsia" w:hAnsi="宋体" w:cs="宋体"/>
          <w:color w:val="auto"/>
          <w:highlight w:val="none"/>
        </w:rPr>
      </w:pPr>
      <w:r>
        <w:rPr>
          <w:rFonts w:hint="eastAsia" w:hAnsi="宋体" w:cs="宋体"/>
          <w:color w:val="auto"/>
          <w:highlight w:val="none"/>
        </w:rPr>
        <w:t>1.适用范围</w:t>
      </w:r>
    </w:p>
    <w:p w14:paraId="6841605E">
      <w:pPr>
        <w:pStyle w:val="21"/>
        <w:spacing w:line="276" w:lineRule="auto"/>
        <w:rPr>
          <w:rFonts w:hint="eastAsia" w:hAnsi="宋体" w:cs="宋体"/>
          <w:color w:val="auto"/>
          <w:highlight w:val="none"/>
        </w:rPr>
      </w:pPr>
      <w:r>
        <w:rPr>
          <w:rFonts w:hint="eastAsia" w:hAnsi="宋体" w:cs="宋体"/>
          <w:color w:val="auto"/>
          <w:highlight w:val="none"/>
        </w:rPr>
        <w:t>2.定义</w:t>
      </w:r>
    </w:p>
    <w:p w14:paraId="6E6FD58B">
      <w:pPr>
        <w:pStyle w:val="21"/>
        <w:spacing w:line="276" w:lineRule="auto"/>
        <w:rPr>
          <w:rFonts w:hint="eastAsia" w:hAnsi="宋体" w:cs="宋体"/>
          <w:color w:val="auto"/>
          <w:highlight w:val="none"/>
        </w:rPr>
      </w:pPr>
      <w:r>
        <w:rPr>
          <w:rFonts w:hint="eastAsia" w:hAnsi="宋体" w:cs="宋体"/>
          <w:color w:val="auto"/>
          <w:highlight w:val="none"/>
        </w:rPr>
        <w:t>3.合格的供应商</w:t>
      </w:r>
    </w:p>
    <w:p w14:paraId="7D6A027F">
      <w:pPr>
        <w:pStyle w:val="21"/>
        <w:spacing w:line="276" w:lineRule="auto"/>
        <w:rPr>
          <w:rFonts w:hint="eastAsia" w:hAnsi="宋体" w:cs="宋体"/>
          <w:color w:val="auto"/>
          <w:highlight w:val="none"/>
        </w:rPr>
      </w:pPr>
      <w:r>
        <w:rPr>
          <w:rFonts w:hint="eastAsia" w:hAnsi="宋体" w:cs="宋体"/>
          <w:color w:val="auto"/>
          <w:highlight w:val="none"/>
        </w:rPr>
        <w:t>4.供应商资格</w:t>
      </w:r>
    </w:p>
    <w:p w14:paraId="169E5591">
      <w:pPr>
        <w:pStyle w:val="21"/>
        <w:spacing w:line="276" w:lineRule="auto"/>
        <w:rPr>
          <w:rFonts w:hint="eastAsia" w:hAnsi="宋体" w:cs="宋体"/>
          <w:color w:val="auto"/>
          <w:highlight w:val="none"/>
        </w:rPr>
      </w:pPr>
      <w:r>
        <w:rPr>
          <w:rFonts w:hint="eastAsia" w:hAnsi="宋体" w:cs="宋体"/>
          <w:color w:val="auto"/>
          <w:highlight w:val="none"/>
        </w:rPr>
        <w:t>5.磋商费用</w:t>
      </w:r>
    </w:p>
    <w:p w14:paraId="30E0FD31">
      <w:pPr>
        <w:pStyle w:val="21"/>
        <w:numPr>
          <w:ilvl w:val="0"/>
          <w:numId w:val="6"/>
        </w:numPr>
        <w:spacing w:line="276" w:lineRule="auto"/>
        <w:rPr>
          <w:rFonts w:hint="eastAsia" w:hAnsi="宋体" w:cs="宋体"/>
          <w:color w:val="auto"/>
          <w:highlight w:val="none"/>
        </w:rPr>
      </w:pPr>
      <w:r>
        <w:rPr>
          <w:rFonts w:hint="eastAsia" w:hAnsi="宋体" w:cs="宋体"/>
          <w:color w:val="auto"/>
          <w:highlight w:val="none"/>
        </w:rPr>
        <w:t>磋商文件</w:t>
      </w:r>
    </w:p>
    <w:p w14:paraId="7F8C894C">
      <w:pPr>
        <w:pStyle w:val="21"/>
        <w:spacing w:line="276" w:lineRule="auto"/>
        <w:rPr>
          <w:rFonts w:hint="eastAsia" w:hAnsi="宋体" w:cs="宋体"/>
          <w:color w:val="auto"/>
          <w:highlight w:val="none"/>
        </w:rPr>
      </w:pPr>
      <w:r>
        <w:rPr>
          <w:rFonts w:hint="eastAsia" w:hAnsi="宋体" w:cs="宋体"/>
          <w:color w:val="auto"/>
          <w:highlight w:val="none"/>
        </w:rPr>
        <w:t>6.磋商文件构成</w:t>
      </w:r>
    </w:p>
    <w:p w14:paraId="39394BFC">
      <w:pPr>
        <w:pStyle w:val="21"/>
        <w:spacing w:line="276" w:lineRule="auto"/>
        <w:rPr>
          <w:rFonts w:hint="eastAsia" w:hAnsi="宋体" w:cs="宋体"/>
          <w:color w:val="auto"/>
          <w:highlight w:val="none"/>
        </w:rPr>
      </w:pPr>
      <w:r>
        <w:rPr>
          <w:rFonts w:hint="eastAsia" w:hAnsi="宋体" w:cs="宋体"/>
          <w:color w:val="auto"/>
          <w:highlight w:val="none"/>
        </w:rPr>
        <w:t>7.磋商文件澄清</w:t>
      </w:r>
    </w:p>
    <w:p w14:paraId="68768E1C">
      <w:pPr>
        <w:pStyle w:val="21"/>
        <w:spacing w:line="276" w:lineRule="auto"/>
        <w:rPr>
          <w:rFonts w:hint="eastAsia" w:hAnsi="宋体" w:cs="宋体"/>
          <w:color w:val="auto"/>
          <w:highlight w:val="none"/>
        </w:rPr>
      </w:pPr>
      <w:r>
        <w:rPr>
          <w:rFonts w:hint="eastAsia" w:hAnsi="宋体" w:cs="宋体"/>
          <w:color w:val="auto"/>
          <w:highlight w:val="none"/>
        </w:rPr>
        <w:t>8.磋商文件的修改</w:t>
      </w:r>
    </w:p>
    <w:p w14:paraId="2F978EC5">
      <w:pPr>
        <w:pStyle w:val="21"/>
        <w:numPr>
          <w:ilvl w:val="0"/>
          <w:numId w:val="6"/>
        </w:numPr>
        <w:spacing w:line="276" w:lineRule="auto"/>
        <w:rPr>
          <w:rFonts w:hint="eastAsia" w:hAnsi="宋体" w:cs="宋体"/>
          <w:color w:val="auto"/>
          <w:highlight w:val="none"/>
        </w:rPr>
      </w:pPr>
      <w:r>
        <w:rPr>
          <w:rFonts w:hint="eastAsia" w:hAnsi="宋体" w:cs="宋体"/>
          <w:color w:val="auto"/>
          <w:highlight w:val="none"/>
        </w:rPr>
        <w:t>磋商响应文件的编写</w:t>
      </w:r>
    </w:p>
    <w:p w14:paraId="56C70634">
      <w:pPr>
        <w:pStyle w:val="21"/>
        <w:spacing w:line="276" w:lineRule="auto"/>
        <w:rPr>
          <w:rFonts w:hint="eastAsia" w:hAnsi="宋体" w:cs="宋体"/>
          <w:color w:val="auto"/>
          <w:highlight w:val="none"/>
        </w:rPr>
      </w:pPr>
      <w:r>
        <w:rPr>
          <w:rFonts w:hint="eastAsia" w:hAnsi="宋体" w:cs="宋体"/>
          <w:color w:val="auto"/>
          <w:highlight w:val="none"/>
        </w:rPr>
        <w:t>9.要求</w:t>
      </w:r>
    </w:p>
    <w:p w14:paraId="1CF90C37">
      <w:pPr>
        <w:pStyle w:val="21"/>
        <w:spacing w:line="276" w:lineRule="auto"/>
        <w:rPr>
          <w:rFonts w:hint="eastAsia" w:hAnsi="宋体" w:cs="宋体"/>
          <w:color w:val="auto"/>
          <w:highlight w:val="none"/>
        </w:rPr>
      </w:pPr>
      <w:r>
        <w:rPr>
          <w:rFonts w:hint="eastAsia" w:hAnsi="宋体" w:cs="宋体"/>
          <w:color w:val="auto"/>
          <w:highlight w:val="none"/>
        </w:rPr>
        <w:t>10.磋商语言</w:t>
      </w:r>
    </w:p>
    <w:p w14:paraId="5F0D2BF3">
      <w:pPr>
        <w:pStyle w:val="21"/>
        <w:spacing w:line="276" w:lineRule="auto"/>
        <w:rPr>
          <w:rFonts w:hint="eastAsia" w:hAnsi="宋体" w:cs="宋体"/>
          <w:color w:val="auto"/>
          <w:highlight w:val="none"/>
        </w:rPr>
      </w:pPr>
      <w:r>
        <w:rPr>
          <w:rFonts w:hint="eastAsia" w:hAnsi="宋体" w:cs="宋体"/>
          <w:color w:val="auto"/>
          <w:highlight w:val="none"/>
        </w:rPr>
        <w:t>11.磋商响应文件的构成</w:t>
      </w:r>
    </w:p>
    <w:p w14:paraId="6465EADC">
      <w:pPr>
        <w:pStyle w:val="21"/>
        <w:spacing w:line="276" w:lineRule="auto"/>
        <w:rPr>
          <w:rFonts w:hint="eastAsia" w:hAnsi="宋体" w:cs="宋体"/>
          <w:color w:val="auto"/>
          <w:highlight w:val="none"/>
        </w:rPr>
      </w:pPr>
      <w:r>
        <w:rPr>
          <w:rFonts w:hint="eastAsia" w:hAnsi="宋体" w:cs="宋体"/>
          <w:color w:val="auto"/>
          <w:highlight w:val="none"/>
        </w:rPr>
        <w:t>12.磋商响应文件格式</w:t>
      </w:r>
    </w:p>
    <w:p w14:paraId="01A2BA6E">
      <w:pPr>
        <w:pStyle w:val="21"/>
        <w:spacing w:line="276" w:lineRule="auto"/>
        <w:rPr>
          <w:rFonts w:hint="eastAsia" w:hAnsi="宋体" w:cs="宋体"/>
          <w:color w:val="auto"/>
          <w:highlight w:val="none"/>
        </w:rPr>
      </w:pPr>
      <w:r>
        <w:rPr>
          <w:rFonts w:hint="eastAsia" w:hAnsi="宋体" w:cs="宋体"/>
          <w:color w:val="auto"/>
          <w:highlight w:val="none"/>
        </w:rPr>
        <w:t>13.磋商报价</w:t>
      </w:r>
    </w:p>
    <w:p w14:paraId="17548B58">
      <w:pPr>
        <w:pStyle w:val="21"/>
        <w:spacing w:line="276" w:lineRule="auto"/>
        <w:rPr>
          <w:rFonts w:hint="eastAsia" w:hAnsi="宋体" w:cs="宋体"/>
          <w:color w:val="auto"/>
          <w:highlight w:val="none"/>
        </w:rPr>
      </w:pPr>
      <w:r>
        <w:rPr>
          <w:rFonts w:hint="eastAsia" w:hAnsi="宋体" w:cs="宋体"/>
          <w:color w:val="auto"/>
          <w:highlight w:val="none"/>
        </w:rPr>
        <w:t>14.磋商货币</w:t>
      </w:r>
    </w:p>
    <w:p w14:paraId="75C439E3">
      <w:pPr>
        <w:pStyle w:val="21"/>
        <w:spacing w:line="276" w:lineRule="auto"/>
        <w:rPr>
          <w:rFonts w:hint="eastAsia" w:hAnsi="宋体" w:cs="宋体"/>
          <w:color w:val="auto"/>
          <w:highlight w:val="none"/>
        </w:rPr>
      </w:pPr>
      <w:r>
        <w:rPr>
          <w:rFonts w:hint="eastAsia" w:hAnsi="宋体" w:cs="宋体"/>
          <w:color w:val="auto"/>
          <w:highlight w:val="none"/>
        </w:rPr>
        <w:t>15.供应商资格的证明文件</w:t>
      </w:r>
    </w:p>
    <w:p w14:paraId="7D537D36">
      <w:pPr>
        <w:pStyle w:val="21"/>
        <w:spacing w:line="276" w:lineRule="auto"/>
        <w:rPr>
          <w:rFonts w:hint="eastAsia" w:hAnsi="宋体" w:cs="宋体"/>
          <w:color w:val="auto"/>
          <w:highlight w:val="none"/>
        </w:rPr>
      </w:pPr>
      <w:r>
        <w:rPr>
          <w:rFonts w:hint="eastAsia" w:hAnsi="宋体" w:cs="宋体"/>
          <w:color w:val="auto"/>
          <w:highlight w:val="none"/>
        </w:rPr>
        <w:t>16.磋商服务符合磋商文件规定的技术响应文件</w:t>
      </w:r>
    </w:p>
    <w:p w14:paraId="11241B92">
      <w:pPr>
        <w:pStyle w:val="21"/>
        <w:spacing w:line="276" w:lineRule="auto"/>
        <w:rPr>
          <w:rFonts w:hint="eastAsia" w:hAnsi="宋体" w:cs="宋体"/>
          <w:color w:val="auto"/>
          <w:highlight w:val="none"/>
        </w:rPr>
      </w:pPr>
      <w:r>
        <w:rPr>
          <w:rFonts w:hint="eastAsia" w:hAnsi="宋体" w:cs="宋体"/>
          <w:color w:val="auto"/>
          <w:highlight w:val="none"/>
        </w:rPr>
        <w:t>17.磋商有效期</w:t>
      </w:r>
    </w:p>
    <w:p w14:paraId="5BB90659">
      <w:pPr>
        <w:pStyle w:val="21"/>
        <w:spacing w:line="276" w:lineRule="auto"/>
        <w:rPr>
          <w:rFonts w:hint="eastAsia" w:hAnsi="宋体" w:cs="宋体"/>
          <w:color w:val="auto"/>
          <w:highlight w:val="none"/>
        </w:rPr>
      </w:pPr>
      <w:r>
        <w:rPr>
          <w:rFonts w:hint="eastAsia" w:hAnsi="宋体" w:cs="宋体"/>
          <w:color w:val="auto"/>
          <w:highlight w:val="none"/>
        </w:rPr>
        <w:t>18.磋商响应文件的书写要求</w:t>
      </w:r>
    </w:p>
    <w:p w14:paraId="401851D9">
      <w:pPr>
        <w:pStyle w:val="21"/>
        <w:spacing w:line="276" w:lineRule="auto"/>
        <w:rPr>
          <w:rFonts w:hint="eastAsia" w:hAnsi="宋体" w:cs="宋体"/>
          <w:color w:val="auto"/>
          <w:highlight w:val="none"/>
        </w:rPr>
      </w:pPr>
      <w:r>
        <w:rPr>
          <w:rFonts w:hint="eastAsia" w:hAnsi="宋体" w:cs="宋体"/>
          <w:color w:val="auto"/>
          <w:highlight w:val="none"/>
        </w:rPr>
        <w:t>19.磋商保证金</w:t>
      </w:r>
    </w:p>
    <w:p w14:paraId="647DD6B0">
      <w:pPr>
        <w:pStyle w:val="21"/>
        <w:numPr>
          <w:ilvl w:val="0"/>
          <w:numId w:val="6"/>
        </w:numPr>
        <w:spacing w:line="276" w:lineRule="auto"/>
        <w:rPr>
          <w:rFonts w:hint="eastAsia" w:hAnsi="宋体" w:cs="宋体"/>
          <w:color w:val="auto"/>
          <w:highlight w:val="none"/>
        </w:rPr>
      </w:pPr>
      <w:r>
        <w:rPr>
          <w:rFonts w:hint="eastAsia" w:hAnsi="宋体" w:cs="宋体"/>
          <w:color w:val="auto"/>
          <w:highlight w:val="none"/>
        </w:rPr>
        <w:t>磋商响应文件的递交</w:t>
      </w:r>
    </w:p>
    <w:p w14:paraId="778CE58E">
      <w:pPr>
        <w:pStyle w:val="21"/>
        <w:spacing w:line="276" w:lineRule="auto"/>
        <w:rPr>
          <w:rFonts w:hint="eastAsia" w:hAnsi="宋体" w:cs="宋体"/>
          <w:color w:val="auto"/>
          <w:highlight w:val="none"/>
        </w:rPr>
      </w:pPr>
      <w:r>
        <w:rPr>
          <w:rFonts w:hint="eastAsia" w:hAnsi="宋体" w:cs="宋体"/>
          <w:color w:val="auto"/>
          <w:highlight w:val="none"/>
        </w:rPr>
        <w:t>20.磋商响应文件的密封与标记</w:t>
      </w:r>
    </w:p>
    <w:p w14:paraId="370A4E16">
      <w:pPr>
        <w:pStyle w:val="21"/>
        <w:spacing w:line="276" w:lineRule="auto"/>
        <w:rPr>
          <w:rFonts w:hint="eastAsia" w:hAnsi="宋体" w:cs="宋体"/>
          <w:color w:val="auto"/>
          <w:highlight w:val="none"/>
        </w:rPr>
      </w:pPr>
      <w:r>
        <w:rPr>
          <w:rFonts w:hint="eastAsia" w:hAnsi="宋体" w:cs="宋体"/>
          <w:color w:val="auto"/>
          <w:highlight w:val="none"/>
        </w:rPr>
        <w:t>21.磋商截止时间</w:t>
      </w:r>
    </w:p>
    <w:p w14:paraId="54F70C64">
      <w:pPr>
        <w:pStyle w:val="21"/>
        <w:spacing w:line="276" w:lineRule="auto"/>
        <w:rPr>
          <w:rFonts w:hint="eastAsia" w:hAnsi="宋体" w:cs="宋体"/>
          <w:color w:val="auto"/>
          <w:highlight w:val="none"/>
        </w:rPr>
      </w:pPr>
      <w:r>
        <w:rPr>
          <w:rFonts w:hint="eastAsia" w:hAnsi="宋体" w:cs="宋体"/>
          <w:color w:val="auto"/>
          <w:highlight w:val="none"/>
        </w:rPr>
        <w:t>22.磋商响应文件的修改和撤销</w:t>
      </w:r>
    </w:p>
    <w:p w14:paraId="2174BFC5">
      <w:pPr>
        <w:pStyle w:val="21"/>
        <w:numPr>
          <w:ilvl w:val="0"/>
          <w:numId w:val="6"/>
        </w:numPr>
        <w:spacing w:line="276" w:lineRule="auto"/>
        <w:rPr>
          <w:rFonts w:hint="eastAsia" w:hAnsi="宋体" w:cs="宋体"/>
          <w:color w:val="auto"/>
          <w:highlight w:val="none"/>
        </w:rPr>
      </w:pPr>
      <w:r>
        <w:rPr>
          <w:rFonts w:hint="eastAsia" w:hAnsi="宋体" w:cs="宋体"/>
          <w:color w:val="auto"/>
          <w:highlight w:val="none"/>
        </w:rPr>
        <w:t>磋商程序</w:t>
      </w:r>
    </w:p>
    <w:p w14:paraId="2D3DA0FF">
      <w:pPr>
        <w:pStyle w:val="21"/>
        <w:spacing w:line="276" w:lineRule="auto"/>
        <w:rPr>
          <w:rFonts w:hint="eastAsia" w:hAnsi="宋体" w:cs="宋体"/>
          <w:color w:val="auto"/>
          <w:highlight w:val="none"/>
        </w:rPr>
      </w:pPr>
      <w:r>
        <w:rPr>
          <w:rFonts w:hint="eastAsia" w:hAnsi="宋体" w:cs="宋体"/>
          <w:color w:val="auto"/>
          <w:highlight w:val="none"/>
        </w:rPr>
        <w:t>23.磋商</w:t>
      </w:r>
    </w:p>
    <w:p w14:paraId="7E7AAE2E">
      <w:pPr>
        <w:pStyle w:val="21"/>
        <w:spacing w:line="276" w:lineRule="auto"/>
        <w:rPr>
          <w:rFonts w:hint="eastAsia" w:hAnsi="宋体" w:cs="宋体"/>
          <w:color w:val="auto"/>
          <w:highlight w:val="none"/>
        </w:rPr>
      </w:pPr>
      <w:r>
        <w:rPr>
          <w:rFonts w:hint="eastAsia" w:hAnsi="宋体" w:cs="宋体"/>
          <w:color w:val="auto"/>
          <w:highlight w:val="none"/>
        </w:rPr>
        <w:t>24.磋商过程</w:t>
      </w:r>
    </w:p>
    <w:p w14:paraId="53E68DE7">
      <w:pPr>
        <w:pStyle w:val="21"/>
        <w:spacing w:line="276" w:lineRule="auto"/>
        <w:rPr>
          <w:rFonts w:hint="eastAsia" w:hAnsi="宋体" w:cs="宋体"/>
          <w:color w:val="auto"/>
          <w:highlight w:val="none"/>
        </w:rPr>
      </w:pPr>
      <w:r>
        <w:rPr>
          <w:rFonts w:hint="eastAsia" w:hAnsi="宋体" w:cs="宋体"/>
          <w:color w:val="auto"/>
          <w:highlight w:val="none"/>
        </w:rPr>
        <w:t>25.磋商响应文件的澄清</w:t>
      </w:r>
    </w:p>
    <w:p w14:paraId="19A0A1DA">
      <w:pPr>
        <w:pStyle w:val="21"/>
        <w:spacing w:line="276" w:lineRule="auto"/>
        <w:rPr>
          <w:rFonts w:hint="eastAsia" w:hAnsi="宋体" w:cs="宋体"/>
          <w:color w:val="auto"/>
          <w:highlight w:val="none"/>
        </w:rPr>
      </w:pPr>
      <w:r>
        <w:rPr>
          <w:rFonts w:hint="eastAsia" w:hAnsi="宋体" w:cs="宋体"/>
          <w:color w:val="auto"/>
          <w:highlight w:val="none"/>
        </w:rPr>
        <w:t>26.对磋商响应文件的评标</w:t>
      </w:r>
    </w:p>
    <w:p w14:paraId="361682CA">
      <w:pPr>
        <w:pStyle w:val="21"/>
        <w:spacing w:line="276" w:lineRule="auto"/>
        <w:rPr>
          <w:rFonts w:hint="eastAsia" w:hAnsi="宋体" w:cs="宋体"/>
          <w:color w:val="auto"/>
          <w:highlight w:val="none"/>
        </w:rPr>
      </w:pPr>
      <w:r>
        <w:rPr>
          <w:rFonts w:hint="eastAsia" w:hAnsi="宋体" w:cs="宋体"/>
          <w:color w:val="auto"/>
          <w:highlight w:val="none"/>
        </w:rPr>
        <w:t>27.评标过程的保密性</w:t>
      </w:r>
    </w:p>
    <w:p w14:paraId="13B929B1">
      <w:pPr>
        <w:pStyle w:val="21"/>
        <w:numPr>
          <w:ilvl w:val="0"/>
          <w:numId w:val="6"/>
        </w:numPr>
        <w:spacing w:line="276" w:lineRule="auto"/>
        <w:rPr>
          <w:rFonts w:hint="eastAsia" w:hAnsi="宋体" w:cs="宋体"/>
          <w:color w:val="auto"/>
          <w:highlight w:val="none"/>
        </w:rPr>
      </w:pPr>
      <w:r>
        <w:rPr>
          <w:rFonts w:hint="eastAsia" w:hAnsi="宋体" w:cs="宋体"/>
          <w:color w:val="auto"/>
          <w:highlight w:val="none"/>
        </w:rPr>
        <w:t>授予合同</w:t>
      </w:r>
    </w:p>
    <w:p w14:paraId="18FE1A22">
      <w:pPr>
        <w:pStyle w:val="21"/>
        <w:spacing w:line="276" w:lineRule="auto"/>
        <w:rPr>
          <w:rFonts w:hint="eastAsia" w:hAnsi="宋体" w:cs="宋体"/>
          <w:color w:val="auto"/>
          <w:highlight w:val="none"/>
        </w:rPr>
      </w:pPr>
      <w:r>
        <w:rPr>
          <w:rFonts w:hint="eastAsia" w:hAnsi="宋体" w:cs="宋体"/>
          <w:color w:val="auto"/>
          <w:highlight w:val="none"/>
        </w:rPr>
        <w:t>28.合同授予标准</w:t>
      </w:r>
    </w:p>
    <w:p w14:paraId="5955D6F1">
      <w:pPr>
        <w:pStyle w:val="21"/>
        <w:spacing w:line="276" w:lineRule="auto"/>
        <w:rPr>
          <w:rFonts w:hint="eastAsia" w:hAnsi="宋体" w:cs="宋体"/>
          <w:color w:val="auto"/>
          <w:highlight w:val="none"/>
        </w:rPr>
      </w:pPr>
      <w:r>
        <w:rPr>
          <w:rFonts w:hint="eastAsia" w:hAnsi="宋体" w:cs="宋体"/>
          <w:color w:val="auto"/>
          <w:highlight w:val="none"/>
        </w:rPr>
        <w:t>29.接受和拒绝任何或所有磋商的权力</w:t>
      </w:r>
    </w:p>
    <w:p w14:paraId="2F3DD954">
      <w:pPr>
        <w:pStyle w:val="21"/>
        <w:spacing w:line="276" w:lineRule="auto"/>
        <w:rPr>
          <w:rFonts w:hint="eastAsia" w:hAnsi="宋体" w:cs="宋体"/>
          <w:color w:val="auto"/>
          <w:highlight w:val="none"/>
        </w:rPr>
      </w:pPr>
      <w:r>
        <w:rPr>
          <w:rFonts w:hint="eastAsia" w:hAnsi="宋体" w:cs="宋体"/>
          <w:color w:val="auto"/>
          <w:highlight w:val="none"/>
        </w:rPr>
        <w:t>30.成交通知书</w:t>
      </w:r>
    </w:p>
    <w:p w14:paraId="744D4E5F">
      <w:pPr>
        <w:pStyle w:val="21"/>
        <w:spacing w:line="276" w:lineRule="auto"/>
        <w:rPr>
          <w:rFonts w:hint="eastAsia" w:hAnsi="宋体" w:cs="宋体"/>
          <w:color w:val="auto"/>
          <w:highlight w:val="none"/>
        </w:rPr>
      </w:pPr>
      <w:r>
        <w:rPr>
          <w:rFonts w:hint="eastAsia" w:hAnsi="宋体" w:cs="宋体"/>
          <w:color w:val="auto"/>
          <w:highlight w:val="none"/>
        </w:rPr>
        <w:t>31.签订合同</w:t>
      </w:r>
    </w:p>
    <w:p w14:paraId="5526F860">
      <w:pPr>
        <w:pStyle w:val="21"/>
        <w:spacing w:line="276" w:lineRule="auto"/>
        <w:rPr>
          <w:rFonts w:hint="eastAsia" w:hAnsi="宋体" w:cs="宋体"/>
          <w:color w:val="auto"/>
          <w:highlight w:val="none"/>
        </w:rPr>
      </w:pPr>
      <w:r>
        <w:rPr>
          <w:rFonts w:hint="eastAsia" w:hAnsi="宋体" w:cs="宋体"/>
          <w:color w:val="auto"/>
          <w:highlight w:val="none"/>
        </w:rPr>
        <w:t>32.履约保证金（如适用）</w:t>
      </w:r>
    </w:p>
    <w:p w14:paraId="32843038">
      <w:pPr>
        <w:pStyle w:val="21"/>
        <w:spacing w:line="276" w:lineRule="auto"/>
        <w:rPr>
          <w:rFonts w:hint="eastAsia" w:hAnsi="宋体" w:cs="宋体"/>
          <w:color w:val="auto"/>
          <w:highlight w:val="none"/>
        </w:rPr>
      </w:pPr>
      <w:r>
        <w:rPr>
          <w:rFonts w:hint="eastAsia" w:hAnsi="宋体" w:cs="宋体"/>
          <w:color w:val="auto"/>
          <w:highlight w:val="none"/>
        </w:rPr>
        <w:t>33.采购代理服务费</w:t>
      </w:r>
    </w:p>
    <w:p w14:paraId="2142291B">
      <w:pPr>
        <w:pStyle w:val="21"/>
        <w:numPr>
          <w:ilvl w:val="0"/>
          <w:numId w:val="6"/>
        </w:numPr>
        <w:spacing w:line="276" w:lineRule="auto"/>
        <w:rPr>
          <w:rFonts w:hint="eastAsia" w:hAnsi="宋体" w:cs="宋体"/>
          <w:color w:val="auto"/>
          <w:highlight w:val="none"/>
        </w:rPr>
      </w:pPr>
      <w:r>
        <w:rPr>
          <w:rFonts w:hint="eastAsia" w:hAnsi="宋体" w:cs="宋体"/>
          <w:color w:val="auto"/>
          <w:highlight w:val="none"/>
        </w:rPr>
        <w:t>磋商失败条件</w:t>
      </w:r>
    </w:p>
    <w:p w14:paraId="569B35C7">
      <w:pPr>
        <w:spacing w:line="276" w:lineRule="auto"/>
        <w:rPr>
          <w:rFonts w:hint="eastAsia" w:ascii="宋体" w:hAnsi="宋体" w:cs="宋体"/>
          <w:color w:val="auto"/>
          <w:sz w:val="24"/>
          <w:highlight w:val="none"/>
        </w:rPr>
      </w:pPr>
    </w:p>
    <w:p w14:paraId="66B8DFEC">
      <w:pPr>
        <w:spacing w:line="276" w:lineRule="auto"/>
        <w:rPr>
          <w:rFonts w:hint="eastAsia" w:ascii="宋体" w:hAnsi="宋体" w:cs="宋体"/>
          <w:color w:val="auto"/>
          <w:sz w:val="24"/>
          <w:highlight w:val="none"/>
        </w:rPr>
      </w:pPr>
    </w:p>
    <w:p w14:paraId="0FDD2699">
      <w:pPr>
        <w:spacing w:line="276" w:lineRule="auto"/>
        <w:rPr>
          <w:rFonts w:hint="eastAsia" w:ascii="宋体" w:hAnsi="宋体" w:cs="宋体"/>
          <w:color w:val="auto"/>
          <w:sz w:val="24"/>
          <w:highlight w:val="none"/>
        </w:rPr>
      </w:pPr>
    </w:p>
    <w:p w14:paraId="4353A988">
      <w:pPr>
        <w:spacing w:line="276" w:lineRule="auto"/>
        <w:rPr>
          <w:rFonts w:hint="eastAsia" w:ascii="宋体" w:hAnsi="宋体" w:cs="宋体"/>
          <w:color w:val="auto"/>
          <w:sz w:val="24"/>
          <w:highlight w:val="none"/>
        </w:rPr>
      </w:pPr>
    </w:p>
    <w:p w14:paraId="1CC61AC9">
      <w:pPr>
        <w:spacing w:line="276" w:lineRule="auto"/>
        <w:rPr>
          <w:rFonts w:hint="eastAsia" w:ascii="宋体" w:hAnsi="宋体" w:cs="宋体"/>
          <w:color w:val="auto"/>
          <w:sz w:val="24"/>
          <w:highlight w:val="none"/>
        </w:rPr>
      </w:pPr>
    </w:p>
    <w:p w14:paraId="69330666">
      <w:pPr>
        <w:pStyle w:val="4"/>
        <w:spacing w:before="0" w:after="100" w:afterAutospacing="1" w:line="276" w:lineRule="auto"/>
        <w:jc w:val="center"/>
        <w:rPr>
          <w:rFonts w:hint="eastAsia" w:ascii="宋体" w:hAnsi="宋体" w:eastAsia="宋体" w:cs="宋体"/>
          <w:color w:val="auto"/>
          <w:sz w:val="28"/>
          <w:szCs w:val="28"/>
          <w:highlight w:val="none"/>
        </w:rPr>
      </w:pPr>
      <w:r>
        <w:rPr>
          <w:rFonts w:hint="eastAsia" w:ascii="宋体" w:hAnsi="宋体" w:eastAsia="宋体" w:cs="宋体"/>
          <w:b w:val="0"/>
          <w:color w:val="auto"/>
          <w:sz w:val="24"/>
          <w:highlight w:val="none"/>
        </w:rPr>
        <w:br w:type="page"/>
      </w:r>
      <w:bookmarkStart w:id="9" w:name="_Toc349573120"/>
      <w:bookmarkStart w:id="10" w:name="_Toc298240404"/>
      <w:bookmarkStart w:id="11" w:name="_Toc83726730"/>
      <w:bookmarkStart w:id="12" w:name="_Toc267301281"/>
      <w:bookmarkStart w:id="13" w:name="_Toc349637919"/>
      <w:r>
        <w:rPr>
          <w:rFonts w:hint="eastAsia" w:ascii="宋体" w:hAnsi="宋体" w:eastAsia="宋体" w:cs="宋体"/>
          <w:color w:val="auto"/>
          <w:sz w:val="28"/>
          <w:szCs w:val="28"/>
          <w:highlight w:val="none"/>
        </w:rPr>
        <w:t>供应商须知附表</w:t>
      </w:r>
      <w:bookmarkEnd w:id="9"/>
      <w:bookmarkEnd w:id="10"/>
      <w:bookmarkEnd w:id="11"/>
      <w:bookmarkEnd w:id="12"/>
      <w:bookmarkEnd w:id="13"/>
    </w:p>
    <w:tbl>
      <w:tblPr>
        <w:tblStyle w:val="38"/>
        <w:tblW w:w="863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6"/>
        <w:gridCol w:w="7785"/>
        <w:gridCol w:w="6"/>
      </w:tblGrid>
      <w:tr w14:paraId="7AA3A0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gridAfter w:val="1"/>
          <w:wAfter w:w="6" w:type="dxa"/>
          <w:trHeight w:val="228"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14:paraId="6B28A764">
            <w:pPr>
              <w:spacing w:line="276"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序号</w:t>
            </w:r>
          </w:p>
        </w:tc>
        <w:tc>
          <w:tcPr>
            <w:tcW w:w="7785" w:type="dxa"/>
            <w:tcBorders>
              <w:top w:val="single" w:color="auto" w:sz="4" w:space="0"/>
              <w:left w:val="single" w:color="auto" w:sz="4" w:space="0"/>
              <w:bottom w:val="single" w:color="auto" w:sz="4" w:space="0"/>
              <w:right w:val="single" w:color="auto" w:sz="4" w:space="0"/>
            </w:tcBorders>
            <w:vAlign w:val="center"/>
          </w:tcPr>
          <w:p w14:paraId="31DAE388">
            <w:pPr>
              <w:spacing w:line="276"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内      容</w:t>
            </w:r>
          </w:p>
        </w:tc>
      </w:tr>
      <w:tr w14:paraId="0653E3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637" w:type="dxa"/>
            <w:gridSpan w:val="3"/>
            <w:tcBorders>
              <w:top w:val="single" w:color="auto" w:sz="4" w:space="0"/>
              <w:left w:val="single" w:color="auto" w:sz="4" w:space="0"/>
              <w:bottom w:val="single" w:color="auto" w:sz="4" w:space="0"/>
              <w:right w:val="single" w:color="auto" w:sz="4" w:space="0"/>
            </w:tcBorders>
            <w:vAlign w:val="center"/>
          </w:tcPr>
          <w:p w14:paraId="04DBF8C8">
            <w:pPr>
              <w:spacing w:line="276"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说          明</w:t>
            </w:r>
          </w:p>
        </w:tc>
      </w:tr>
      <w:tr w14:paraId="365067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6" w:type="dxa"/>
          <w:trHeight w:val="454"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14:paraId="0B277449">
            <w:pPr>
              <w:spacing w:line="276"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1</w:t>
            </w:r>
          </w:p>
        </w:tc>
        <w:tc>
          <w:tcPr>
            <w:tcW w:w="7785" w:type="dxa"/>
            <w:tcBorders>
              <w:top w:val="single" w:color="auto" w:sz="4" w:space="0"/>
              <w:left w:val="single" w:color="auto" w:sz="4" w:space="0"/>
              <w:bottom w:val="single" w:color="auto" w:sz="4" w:space="0"/>
              <w:right w:val="single" w:color="auto" w:sz="4" w:space="0"/>
            </w:tcBorders>
            <w:vAlign w:val="center"/>
          </w:tcPr>
          <w:p w14:paraId="0B715283">
            <w:pPr>
              <w:spacing w:line="276" w:lineRule="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项目名称：</w:t>
            </w:r>
            <w:r>
              <w:rPr>
                <w:rFonts w:hint="eastAsia" w:ascii="宋体" w:hAnsi="宋体" w:cs="宋体"/>
                <w:color w:val="auto"/>
                <w:sz w:val="24"/>
                <w:szCs w:val="24"/>
                <w:highlight w:val="none"/>
                <w:lang w:eastAsia="zh-CN"/>
              </w:rPr>
              <w:t>新疆维吾尔自治区交通运输综合行政执法局网络与信息安全测评及机房、办公设备维护服务项目</w:t>
            </w:r>
          </w:p>
          <w:p w14:paraId="62048E11">
            <w:pPr>
              <w:spacing w:line="276" w:lineRule="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项目编号：</w:t>
            </w:r>
            <w:r>
              <w:rPr>
                <w:rFonts w:hint="eastAsia" w:ascii="宋体" w:hAnsi="宋体" w:cs="宋体"/>
                <w:color w:val="auto"/>
                <w:sz w:val="24"/>
                <w:szCs w:val="24"/>
                <w:highlight w:val="none"/>
                <w:lang w:eastAsia="zh-CN"/>
              </w:rPr>
              <w:t>0634-264XZ1ZF0102</w:t>
            </w:r>
          </w:p>
        </w:tc>
      </w:tr>
      <w:tr w14:paraId="1C20CC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6" w:type="dxa"/>
          <w:trHeight w:val="337"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14:paraId="5C0F4CEE">
            <w:pPr>
              <w:spacing w:line="276"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2</w:t>
            </w:r>
          </w:p>
        </w:tc>
        <w:tc>
          <w:tcPr>
            <w:tcW w:w="7785" w:type="dxa"/>
            <w:tcBorders>
              <w:top w:val="single" w:color="auto" w:sz="4" w:space="0"/>
              <w:left w:val="single" w:color="auto" w:sz="4" w:space="0"/>
              <w:bottom w:val="single" w:color="auto" w:sz="4" w:space="0"/>
              <w:right w:val="single" w:color="auto" w:sz="4" w:space="0"/>
            </w:tcBorders>
            <w:vAlign w:val="center"/>
          </w:tcPr>
          <w:p w14:paraId="736CE93A">
            <w:pPr>
              <w:spacing w:line="276" w:lineRule="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采购人名称：</w:t>
            </w:r>
            <w:r>
              <w:rPr>
                <w:rFonts w:hint="eastAsia" w:ascii="宋体" w:hAnsi="宋体" w:cs="宋体"/>
                <w:color w:val="auto"/>
                <w:sz w:val="24"/>
                <w:szCs w:val="24"/>
                <w:highlight w:val="none"/>
                <w:lang w:eastAsia="zh-CN"/>
              </w:rPr>
              <w:t>新疆维吾尔自治区交通运输综合行政执法局</w:t>
            </w:r>
          </w:p>
        </w:tc>
      </w:tr>
      <w:tr w14:paraId="14B258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6" w:type="dxa"/>
          <w:trHeight w:val="454"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14:paraId="29C82E2A">
            <w:pPr>
              <w:spacing w:line="276"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3</w:t>
            </w:r>
          </w:p>
        </w:tc>
        <w:tc>
          <w:tcPr>
            <w:tcW w:w="7785" w:type="dxa"/>
            <w:tcBorders>
              <w:top w:val="single" w:color="auto" w:sz="4" w:space="0"/>
              <w:left w:val="single" w:color="auto" w:sz="4" w:space="0"/>
              <w:bottom w:val="single" w:color="auto" w:sz="4" w:space="0"/>
              <w:right w:val="single" w:color="auto" w:sz="4" w:space="0"/>
            </w:tcBorders>
            <w:vAlign w:val="center"/>
          </w:tcPr>
          <w:p w14:paraId="138B091D">
            <w:pPr>
              <w:spacing w:line="276" w:lineRule="auto"/>
              <w:rPr>
                <w:rFonts w:hint="eastAsia" w:ascii="宋体" w:hAnsi="宋体" w:cs="宋体"/>
                <w:b/>
                <w:color w:val="auto"/>
                <w:spacing w:val="8"/>
                <w:sz w:val="24"/>
                <w:szCs w:val="24"/>
                <w:highlight w:val="none"/>
              </w:rPr>
            </w:pPr>
            <w:r>
              <w:rPr>
                <w:rFonts w:hint="eastAsia" w:ascii="宋体" w:hAnsi="宋体" w:cs="宋体"/>
                <w:color w:val="auto"/>
                <w:spacing w:val="8"/>
                <w:sz w:val="24"/>
                <w:szCs w:val="24"/>
                <w:highlight w:val="none"/>
              </w:rPr>
              <w:t>采购代理机构名称：新疆招标有限公司</w:t>
            </w:r>
          </w:p>
          <w:p w14:paraId="68596126">
            <w:pPr>
              <w:spacing w:line="276" w:lineRule="auto"/>
              <w:rPr>
                <w:rFonts w:hint="eastAsia" w:ascii="宋体" w:hAnsi="宋体" w:cs="宋体"/>
                <w:color w:val="auto"/>
                <w:spacing w:val="8"/>
                <w:sz w:val="24"/>
                <w:szCs w:val="24"/>
                <w:highlight w:val="none"/>
              </w:rPr>
            </w:pPr>
            <w:r>
              <w:rPr>
                <w:rFonts w:hint="eastAsia" w:ascii="宋体" w:hAnsi="宋体" w:cs="宋体"/>
                <w:color w:val="auto"/>
                <w:spacing w:val="8"/>
                <w:sz w:val="24"/>
                <w:szCs w:val="24"/>
                <w:highlight w:val="none"/>
              </w:rPr>
              <w:t>单位地址：乌鲁木齐市水磨沟区昆仑东街789号</w:t>
            </w:r>
          </w:p>
          <w:p w14:paraId="5009A3DC">
            <w:pPr>
              <w:spacing w:line="276" w:lineRule="auto"/>
              <w:rPr>
                <w:rFonts w:hint="eastAsia" w:ascii="宋体" w:hAnsi="宋体" w:cs="宋体"/>
                <w:color w:val="auto"/>
                <w:spacing w:val="8"/>
                <w:sz w:val="24"/>
                <w:szCs w:val="24"/>
                <w:highlight w:val="none"/>
              </w:rPr>
            </w:pPr>
            <w:r>
              <w:rPr>
                <w:rFonts w:hint="eastAsia" w:ascii="宋体" w:hAnsi="宋体" w:cs="宋体"/>
                <w:color w:val="auto"/>
                <w:spacing w:val="8"/>
                <w:sz w:val="24"/>
                <w:szCs w:val="24"/>
                <w:highlight w:val="none"/>
              </w:rPr>
              <w:t>邮编：830000</w:t>
            </w:r>
          </w:p>
          <w:p w14:paraId="3F74FEC9">
            <w:pPr>
              <w:spacing w:line="276" w:lineRule="auto"/>
              <w:rPr>
                <w:rFonts w:hint="eastAsia" w:ascii="宋体" w:hAnsi="宋体" w:cs="宋体"/>
                <w:color w:val="auto"/>
                <w:spacing w:val="8"/>
                <w:sz w:val="24"/>
                <w:szCs w:val="24"/>
                <w:highlight w:val="none"/>
              </w:rPr>
            </w:pPr>
            <w:r>
              <w:rPr>
                <w:rFonts w:hint="eastAsia" w:ascii="宋体" w:hAnsi="宋体" w:cs="宋体"/>
                <w:color w:val="auto"/>
                <w:spacing w:val="8"/>
                <w:sz w:val="24"/>
                <w:szCs w:val="24"/>
                <w:highlight w:val="none"/>
              </w:rPr>
              <w:t>电话：0991-4535634</w:t>
            </w:r>
          </w:p>
          <w:p w14:paraId="628A6F3B">
            <w:pPr>
              <w:spacing w:line="276" w:lineRule="auto"/>
              <w:rPr>
                <w:rFonts w:hint="eastAsia" w:ascii="宋体" w:hAnsi="宋体" w:cs="宋体"/>
                <w:color w:val="auto"/>
                <w:spacing w:val="8"/>
                <w:sz w:val="24"/>
                <w:szCs w:val="24"/>
                <w:highlight w:val="none"/>
              </w:rPr>
            </w:pPr>
            <w:r>
              <w:rPr>
                <w:rFonts w:hint="eastAsia" w:ascii="宋体" w:hAnsi="宋体" w:cs="宋体"/>
                <w:color w:val="auto"/>
                <w:spacing w:val="8"/>
                <w:sz w:val="24"/>
                <w:szCs w:val="24"/>
                <w:highlight w:val="none"/>
              </w:rPr>
              <w:t>传真：0991-4524058</w:t>
            </w:r>
          </w:p>
        </w:tc>
      </w:tr>
      <w:tr w14:paraId="588E88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6" w:type="dxa"/>
          <w:trHeight w:val="454"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14:paraId="2866E9A9">
            <w:pPr>
              <w:spacing w:line="276"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4</w:t>
            </w:r>
          </w:p>
        </w:tc>
        <w:tc>
          <w:tcPr>
            <w:tcW w:w="7785" w:type="dxa"/>
            <w:tcBorders>
              <w:top w:val="single" w:color="auto" w:sz="4" w:space="0"/>
              <w:left w:val="single" w:color="auto" w:sz="4" w:space="0"/>
              <w:bottom w:val="single" w:color="auto" w:sz="4" w:space="0"/>
              <w:right w:val="single" w:color="auto" w:sz="4" w:space="0"/>
            </w:tcBorders>
            <w:vAlign w:val="center"/>
          </w:tcPr>
          <w:p w14:paraId="317B8BD3">
            <w:pPr>
              <w:spacing w:line="276" w:lineRule="auto"/>
              <w:contextualSpacing/>
              <w:rPr>
                <w:rFonts w:hint="eastAsia" w:ascii="宋体" w:hAnsi="宋体" w:cs="宋体"/>
                <w:color w:val="auto"/>
                <w:sz w:val="24"/>
                <w:szCs w:val="24"/>
                <w:highlight w:val="none"/>
              </w:rPr>
            </w:pPr>
            <w:r>
              <w:rPr>
                <w:rFonts w:hint="eastAsia" w:ascii="宋体" w:hAnsi="宋体" w:cs="宋体"/>
                <w:color w:val="auto"/>
                <w:sz w:val="24"/>
                <w:szCs w:val="24"/>
                <w:highlight w:val="none"/>
              </w:rPr>
              <w:t>磋商保证金：5000元</w:t>
            </w:r>
          </w:p>
          <w:p w14:paraId="626B3620">
            <w:pPr>
              <w:spacing w:line="276" w:lineRule="auto"/>
              <w:contextualSpacing/>
              <w:rPr>
                <w:rFonts w:hint="eastAsia" w:ascii="宋体" w:hAnsi="宋体" w:cs="宋体"/>
                <w:color w:val="auto"/>
                <w:sz w:val="24"/>
                <w:szCs w:val="24"/>
                <w:highlight w:val="none"/>
              </w:rPr>
            </w:pPr>
            <w:r>
              <w:rPr>
                <w:rFonts w:hint="eastAsia" w:ascii="宋体" w:hAnsi="宋体" w:cs="宋体"/>
                <w:color w:val="auto"/>
                <w:sz w:val="24"/>
                <w:szCs w:val="24"/>
                <w:highlight w:val="none"/>
              </w:rPr>
              <w:t>账户名称：新疆招标有限公司</w:t>
            </w:r>
          </w:p>
          <w:p w14:paraId="3BD6C0C1">
            <w:pPr>
              <w:spacing w:line="276" w:lineRule="auto"/>
              <w:contextualSpacing/>
              <w:rPr>
                <w:rFonts w:hint="eastAsia" w:ascii="宋体" w:hAnsi="宋体" w:cs="宋体"/>
                <w:color w:val="auto"/>
                <w:sz w:val="24"/>
                <w:szCs w:val="24"/>
                <w:highlight w:val="none"/>
              </w:rPr>
            </w:pPr>
            <w:r>
              <w:rPr>
                <w:rFonts w:hint="eastAsia" w:ascii="宋体" w:hAnsi="宋体" w:cs="宋体"/>
                <w:color w:val="auto"/>
                <w:sz w:val="24"/>
                <w:szCs w:val="24"/>
                <w:highlight w:val="none"/>
              </w:rPr>
              <w:t>人民币账号：3002013709022305571（电汇时请在汇款备注栏注明招标编号）</w:t>
            </w:r>
          </w:p>
          <w:p w14:paraId="61252008">
            <w:pPr>
              <w:spacing w:line="276" w:lineRule="auto"/>
              <w:contextualSpacing/>
              <w:rPr>
                <w:rFonts w:hint="eastAsia" w:ascii="宋体" w:hAnsi="宋体" w:cs="宋体"/>
                <w:color w:val="auto"/>
                <w:sz w:val="24"/>
                <w:szCs w:val="24"/>
                <w:highlight w:val="none"/>
              </w:rPr>
            </w:pPr>
            <w:r>
              <w:rPr>
                <w:rFonts w:hint="eastAsia" w:ascii="宋体" w:hAnsi="宋体" w:cs="宋体"/>
                <w:color w:val="auto"/>
                <w:sz w:val="24"/>
                <w:szCs w:val="24"/>
                <w:highlight w:val="none"/>
              </w:rPr>
              <w:t>开户银行：乌鲁木齐工行友好南路支行</w:t>
            </w:r>
          </w:p>
        </w:tc>
      </w:tr>
      <w:tr w14:paraId="01580A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6" w:type="dxa"/>
          <w:trHeight w:val="454"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14:paraId="60B7404B">
            <w:pPr>
              <w:spacing w:line="276"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5</w:t>
            </w:r>
          </w:p>
        </w:tc>
        <w:tc>
          <w:tcPr>
            <w:tcW w:w="7785" w:type="dxa"/>
            <w:tcBorders>
              <w:top w:val="single" w:color="auto" w:sz="4" w:space="0"/>
              <w:left w:val="single" w:color="auto" w:sz="4" w:space="0"/>
              <w:bottom w:val="single" w:color="auto" w:sz="4" w:space="0"/>
              <w:right w:val="single" w:color="auto" w:sz="4" w:space="0"/>
            </w:tcBorders>
            <w:vAlign w:val="center"/>
          </w:tcPr>
          <w:p w14:paraId="4948718E">
            <w:pPr>
              <w:spacing w:line="276"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磋商语言：中文</w:t>
            </w:r>
          </w:p>
        </w:tc>
      </w:tr>
      <w:tr w14:paraId="73ABDB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 w:hRule="atLeast"/>
          <w:jc w:val="center"/>
        </w:trPr>
        <w:tc>
          <w:tcPr>
            <w:tcW w:w="8637" w:type="dxa"/>
            <w:gridSpan w:val="3"/>
            <w:tcBorders>
              <w:top w:val="single" w:color="auto" w:sz="4" w:space="0"/>
              <w:left w:val="single" w:color="auto" w:sz="4" w:space="0"/>
              <w:bottom w:val="single" w:color="auto" w:sz="4" w:space="0"/>
              <w:right w:val="single" w:color="auto" w:sz="4" w:space="0"/>
            </w:tcBorders>
            <w:vAlign w:val="center"/>
          </w:tcPr>
          <w:p w14:paraId="745A011F">
            <w:pPr>
              <w:spacing w:line="276"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响 应 文 件 的 编 制 和 递 交</w:t>
            </w:r>
          </w:p>
        </w:tc>
      </w:tr>
      <w:tr w14:paraId="52DA2B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6" w:type="dxa"/>
          <w:trHeight w:val="454"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14:paraId="0D284BB8">
            <w:pPr>
              <w:tabs>
                <w:tab w:val="left" w:pos="252"/>
                <w:tab w:val="left" w:pos="671"/>
              </w:tabs>
              <w:spacing w:line="276" w:lineRule="auto"/>
              <w:jc w:val="center"/>
              <w:rPr>
                <w:rFonts w:hint="eastAsia" w:ascii="宋体" w:hAnsi="宋体" w:cs="宋体"/>
                <w:color w:val="auto"/>
                <w:spacing w:val="8"/>
                <w:sz w:val="24"/>
                <w:szCs w:val="24"/>
                <w:highlight w:val="none"/>
              </w:rPr>
            </w:pPr>
            <w:r>
              <w:rPr>
                <w:rFonts w:hint="eastAsia" w:ascii="宋体" w:hAnsi="宋体" w:cs="宋体"/>
                <w:color w:val="auto"/>
                <w:spacing w:val="8"/>
                <w:sz w:val="24"/>
                <w:szCs w:val="24"/>
                <w:highlight w:val="none"/>
              </w:rPr>
              <w:t>6</w:t>
            </w:r>
          </w:p>
        </w:tc>
        <w:tc>
          <w:tcPr>
            <w:tcW w:w="7785" w:type="dxa"/>
            <w:tcBorders>
              <w:top w:val="single" w:color="auto" w:sz="4" w:space="0"/>
              <w:left w:val="single" w:color="auto" w:sz="4" w:space="0"/>
              <w:bottom w:val="single" w:color="auto" w:sz="4" w:space="0"/>
              <w:right w:val="single" w:color="auto" w:sz="4" w:space="0"/>
            </w:tcBorders>
            <w:vAlign w:val="center"/>
          </w:tcPr>
          <w:p w14:paraId="3B4651BE">
            <w:pPr>
              <w:tabs>
                <w:tab w:val="left" w:pos="252"/>
                <w:tab w:val="left" w:pos="671"/>
              </w:tabs>
              <w:spacing w:line="276" w:lineRule="auto"/>
              <w:rPr>
                <w:rFonts w:hint="eastAsia" w:ascii="宋体" w:hAnsi="宋体" w:cs="宋体"/>
                <w:b/>
                <w:color w:val="auto"/>
                <w:spacing w:val="8"/>
                <w:sz w:val="24"/>
                <w:szCs w:val="24"/>
                <w:highlight w:val="none"/>
              </w:rPr>
            </w:pPr>
            <w:r>
              <w:rPr>
                <w:rFonts w:hint="eastAsia" w:ascii="宋体" w:hAnsi="宋体" w:cs="宋体"/>
                <w:b/>
                <w:color w:val="auto"/>
                <w:spacing w:val="8"/>
                <w:sz w:val="24"/>
                <w:szCs w:val="24"/>
                <w:highlight w:val="none"/>
              </w:rPr>
              <w:t>供应商资格标准：</w:t>
            </w:r>
            <w:r>
              <w:rPr>
                <w:rFonts w:hint="eastAsia" w:ascii="宋体" w:hAnsi="宋体" w:cs="宋体"/>
                <w:color w:val="auto"/>
                <w:sz w:val="24"/>
                <w:szCs w:val="24"/>
                <w:highlight w:val="none"/>
              </w:rPr>
              <w:t xml:space="preserve"> </w:t>
            </w:r>
          </w:p>
          <w:p w14:paraId="4F8C1A5F">
            <w:pPr>
              <w:pStyle w:val="21"/>
              <w:spacing w:line="276" w:lineRule="auto"/>
              <w:rPr>
                <w:rFonts w:hint="eastAsia" w:hAnsi="宋体" w:cs="宋体"/>
                <w:color w:val="auto"/>
                <w:highlight w:val="none"/>
              </w:rPr>
            </w:pPr>
            <w:r>
              <w:rPr>
                <w:rFonts w:hint="eastAsia" w:hAnsi="宋体" w:cs="宋体"/>
                <w:color w:val="auto"/>
                <w:highlight w:val="none"/>
              </w:rPr>
              <w:t xml:space="preserve">1 具有独立承担民事责任的能力； </w:t>
            </w:r>
          </w:p>
          <w:p w14:paraId="766A4BE4">
            <w:pPr>
              <w:pStyle w:val="21"/>
              <w:spacing w:line="276" w:lineRule="auto"/>
              <w:rPr>
                <w:rFonts w:hint="eastAsia" w:hAnsi="宋体" w:cs="宋体"/>
                <w:color w:val="auto"/>
                <w:highlight w:val="none"/>
              </w:rPr>
            </w:pPr>
            <w:r>
              <w:rPr>
                <w:rFonts w:hint="eastAsia" w:hAnsi="宋体" w:cs="宋体"/>
                <w:color w:val="auto"/>
                <w:highlight w:val="none"/>
              </w:rPr>
              <w:t>2 具有良好的商业信誉和健全的财务会计制度；（提供会计师事务所出具的2024年度或2025年度财务审计报告或基本开户银行出具的资信证明，新成立不足一年的提供成立之日起至今的财务报表）</w:t>
            </w:r>
          </w:p>
          <w:p w14:paraId="66BDFCEC">
            <w:pPr>
              <w:pStyle w:val="21"/>
              <w:spacing w:line="276" w:lineRule="auto"/>
              <w:rPr>
                <w:rFonts w:hint="eastAsia" w:hAnsi="宋体" w:cs="宋体"/>
                <w:color w:val="auto"/>
                <w:highlight w:val="none"/>
              </w:rPr>
            </w:pPr>
            <w:r>
              <w:rPr>
                <w:rFonts w:hint="eastAsia" w:hAnsi="宋体" w:cs="宋体"/>
                <w:color w:val="auto"/>
                <w:highlight w:val="none"/>
              </w:rPr>
              <w:t>3 有依法缴纳税收和社会保障资金的良好纪录；（提供近一年任意三个月社保资金缴纳证明和纳税证明，新成立公司提供成立之日起至今的缴税记录及社保缴纳证明。若供应商的纳税记录为零申报的，需提供相应证明材料）</w:t>
            </w:r>
          </w:p>
          <w:p w14:paraId="79A14A82">
            <w:pPr>
              <w:pStyle w:val="21"/>
              <w:spacing w:line="276" w:lineRule="auto"/>
              <w:rPr>
                <w:rFonts w:hint="eastAsia" w:hAnsi="宋体" w:cs="宋体"/>
                <w:color w:val="auto"/>
                <w:highlight w:val="none"/>
              </w:rPr>
            </w:pPr>
            <w:r>
              <w:rPr>
                <w:rFonts w:hint="eastAsia" w:hAnsi="宋体" w:cs="宋体"/>
                <w:color w:val="auto"/>
                <w:highlight w:val="none"/>
              </w:rPr>
              <w:t>4参加采购活动前三年内，在经营活动中没有重大违法记录。查询渠道“中国政府采购网”、“信用中国”，被列入失信被执行人、重大税收违法案件当事人名单、 政府采购严重违法失信行为记录名单的供应商，不得参与本次政府采购活动。以现场查询为准；</w:t>
            </w:r>
          </w:p>
          <w:p w14:paraId="61D6655B">
            <w:pPr>
              <w:pStyle w:val="21"/>
              <w:spacing w:line="276" w:lineRule="auto"/>
              <w:rPr>
                <w:rFonts w:hint="eastAsia" w:hAnsi="宋体" w:cs="宋体"/>
                <w:color w:val="auto"/>
                <w:highlight w:val="none"/>
              </w:rPr>
            </w:pPr>
            <w:r>
              <w:rPr>
                <w:rFonts w:hint="eastAsia" w:hAnsi="宋体" w:cs="宋体"/>
                <w:color w:val="auto"/>
                <w:highlight w:val="none"/>
              </w:rPr>
              <w:t>5 单位负责人为同一人或者存在直接控股、管理关系的不同供应商，不得参加同一合同项下的政府采购活动（提供承诺函）；</w:t>
            </w:r>
          </w:p>
          <w:p w14:paraId="0F111207">
            <w:pPr>
              <w:pStyle w:val="21"/>
              <w:spacing w:line="276" w:lineRule="auto"/>
              <w:rPr>
                <w:rFonts w:hint="eastAsia" w:hAnsi="宋体" w:cs="宋体"/>
                <w:color w:val="auto"/>
                <w:highlight w:val="none"/>
              </w:rPr>
            </w:pPr>
            <w:r>
              <w:rPr>
                <w:rFonts w:hint="eastAsia" w:hAnsi="宋体" w:cs="宋体"/>
                <w:color w:val="auto"/>
                <w:highlight w:val="none"/>
              </w:rPr>
              <w:t>6 具有履行合同所必需的设备和专业技术能力（提供承诺函）；</w:t>
            </w:r>
          </w:p>
          <w:p w14:paraId="32BD5C31">
            <w:pPr>
              <w:pStyle w:val="21"/>
              <w:spacing w:line="276" w:lineRule="auto"/>
              <w:rPr>
                <w:rFonts w:hint="eastAsia" w:hAnsi="宋体" w:cs="宋体"/>
                <w:color w:val="auto"/>
                <w:highlight w:val="none"/>
              </w:rPr>
            </w:pPr>
            <w:r>
              <w:rPr>
                <w:rFonts w:hint="eastAsia" w:hAnsi="宋体" w:cs="宋体"/>
                <w:color w:val="auto"/>
                <w:highlight w:val="none"/>
              </w:rPr>
              <w:t>7 符合国家相关法律法规（提供承诺函）；</w:t>
            </w:r>
          </w:p>
          <w:p w14:paraId="05D3B566">
            <w:pPr>
              <w:pStyle w:val="21"/>
              <w:spacing w:line="276" w:lineRule="auto"/>
              <w:rPr>
                <w:rFonts w:hint="eastAsia" w:hAnsi="宋体" w:cs="宋体"/>
                <w:color w:val="auto"/>
                <w:highlight w:val="none"/>
              </w:rPr>
            </w:pPr>
            <w:r>
              <w:rPr>
                <w:rFonts w:hint="eastAsia" w:hAnsi="宋体" w:cs="宋体"/>
                <w:color w:val="auto"/>
                <w:highlight w:val="none"/>
              </w:rPr>
              <w:t>8</w:t>
            </w:r>
            <w:r>
              <w:rPr>
                <w:rFonts w:hint="eastAsia" w:hAnsi="宋体" w:cs="宋体"/>
                <w:color w:val="auto"/>
                <w:highlight w:val="none"/>
                <w:lang w:eastAsia="zh-CN"/>
              </w:rPr>
              <w:t>本项目专门面向中小企业</w:t>
            </w:r>
            <w:r>
              <w:rPr>
                <w:rFonts w:hint="eastAsia" w:hAnsi="宋体" w:cs="宋体"/>
                <w:color w:val="auto"/>
                <w:highlight w:val="none"/>
              </w:rPr>
              <w:t>；（提供中小企业声明函）</w:t>
            </w:r>
          </w:p>
          <w:p w14:paraId="5453CA9E">
            <w:pPr>
              <w:pStyle w:val="21"/>
              <w:spacing w:line="276" w:lineRule="auto"/>
              <w:rPr>
                <w:rFonts w:hint="eastAsia" w:ascii="宋体" w:hAnsi="宋体" w:cs="宋体"/>
                <w:color w:val="auto"/>
                <w:szCs w:val="20"/>
                <w:highlight w:val="none"/>
                <w:lang w:val="zh-CN"/>
              </w:rPr>
            </w:pPr>
            <w:r>
              <w:rPr>
                <w:rFonts w:hint="eastAsia" w:hAnsi="宋体" w:cs="宋体"/>
                <w:color w:val="auto"/>
                <w:highlight w:val="none"/>
              </w:rPr>
              <w:t>9本项目的特定资格要求：</w:t>
            </w:r>
            <w:r>
              <w:rPr>
                <w:rFonts w:hint="eastAsia" w:ascii="宋体" w:hAnsi="宋体" w:cs="宋体"/>
                <w:color w:val="auto"/>
                <w:szCs w:val="20"/>
                <w:highlight w:val="none"/>
                <w:lang w:val="en-US" w:eastAsia="zh-CN"/>
              </w:rPr>
              <w:t>/</w:t>
            </w:r>
          </w:p>
          <w:p w14:paraId="2C9DBBA8">
            <w:pPr>
              <w:pStyle w:val="21"/>
              <w:spacing w:line="276" w:lineRule="auto"/>
              <w:rPr>
                <w:rFonts w:hint="eastAsia" w:ascii="宋体" w:hAnsi="宋体" w:cs="宋体"/>
                <w:color w:val="auto"/>
                <w:szCs w:val="24"/>
                <w:highlight w:val="none"/>
              </w:rPr>
            </w:pPr>
            <w:r>
              <w:rPr>
                <w:rFonts w:hint="eastAsia" w:hAnsi="宋体" w:cs="宋体"/>
                <w:color w:val="auto"/>
                <w:highlight w:val="none"/>
              </w:rPr>
              <w:t>10本项目不接受联合体投标。（提供承诺函）</w:t>
            </w:r>
          </w:p>
        </w:tc>
      </w:tr>
      <w:tr w14:paraId="056D02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6" w:type="dxa"/>
          <w:trHeight w:val="454"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14:paraId="6F3A2047">
            <w:pPr>
              <w:spacing w:line="276"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7</w:t>
            </w:r>
          </w:p>
        </w:tc>
        <w:tc>
          <w:tcPr>
            <w:tcW w:w="7785" w:type="dxa"/>
            <w:tcBorders>
              <w:top w:val="single" w:color="auto" w:sz="4" w:space="0"/>
              <w:left w:val="single" w:color="auto" w:sz="4" w:space="0"/>
              <w:bottom w:val="single" w:color="auto" w:sz="4" w:space="0"/>
              <w:right w:val="single" w:color="auto" w:sz="4" w:space="0"/>
            </w:tcBorders>
            <w:vAlign w:val="center"/>
          </w:tcPr>
          <w:p w14:paraId="3D1AC169">
            <w:pPr>
              <w:spacing w:line="276"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磋商保证金形式：以电汇、支票、汇票、本票或者金融机构、担保机构出具的保函等非现金形式提交。</w:t>
            </w:r>
          </w:p>
        </w:tc>
      </w:tr>
      <w:tr w14:paraId="1D8834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6" w:type="dxa"/>
          <w:trHeight w:val="454"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14:paraId="276541C4">
            <w:pPr>
              <w:spacing w:line="276"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8</w:t>
            </w:r>
          </w:p>
        </w:tc>
        <w:tc>
          <w:tcPr>
            <w:tcW w:w="7785" w:type="dxa"/>
            <w:tcBorders>
              <w:top w:val="single" w:color="auto" w:sz="4" w:space="0"/>
              <w:left w:val="single" w:color="auto" w:sz="4" w:space="0"/>
              <w:bottom w:val="single" w:color="auto" w:sz="4" w:space="0"/>
              <w:right w:val="single" w:color="auto" w:sz="4" w:space="0"/>
            </w:tcBorders>
            <w:vAlign w:val="center"/>
          </w:tcPr>
          <w:p w14:paraId="6CE2BC00">
            <w:pPr>
              <w:spacing w:line="276" w:lineRule="auto"/>
              <w:rPr>
                <w:rFonts w:hint="eastAsia" w:ascii="宋体" w:hAnsi="宋体" w:cs="宋体"/>
                <w:b/>
                <w:color w:val="auto"/>
                <w:sz w:val="24"/>
                <w:szCs w:val="24"/>
                <w:highlight w:val="none"/>
              </w:rPr>
            </w:pPr>
            <w:r>
              <w:rPr>
                <w:rFonts w:hint="eastAsia" w:ascii="宋体" w:hAnsi="宋体" w:cs="宋体"/>
                <w:b/>
                <w:color w:val="auto"/>
                <w:sz w:val="24"/>
                <w:szCs w:val="24"/>
                <w:highlight w:val="none"/>
              </w:rPr>
              <w:t>磋商有效期90天（如不满足将导致废标）</w:t>
            </w:r>
          </w:p>
        </w:tc>
      </w:tr>
      <w:tr w14:paraId="4B15FD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6" w:type="dxa"/>
          <w:trHeight w:val="454"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14:paraId="4CCBBCAB">
            <w:pPr>
              <w:spacing w:line="276"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9</w:t>
            </w:r>
          </w:p>
        </w:tc>
        <w:tc>
          <w:tcPr>
            <w:tcW w:w="7785" w:type="dxa"/>
            <w:tcBorders>
              <w:top w:val="single" w:color="auto" w:sz="4" w:space="0"/>
              <w:left w:val="single" w:color="auto" w:sz="4" w:space="0"/>
              <w:bottom w:val="single" w:color="auto" w:sz="4" w:space="0"/>
              <w:right w:val="single" w:color="auto" w:sz="4" w:space="0"/>
            </w:tcBorders>
            <w:vAlign w:val="center"/>
          </w:tcPr>
          <w:p w14:paraId="51B77606">
            <w:pPr>
              <w:spacing w:line="276" w:lineRule="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所属行业：软件和信息技术服务业</w:t>
            </w:r>
          </w:p>
        </w:tc>
      </w:tr>
      <w:tr w14:paraId="1A04C3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6" w:type="dxa"/>
          <w:trHeight w:val="454"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14:paraId="433E0446">
            <w:pPr>
              <w:spacing w:line="276"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10</w:t>
            </w:r>
          </w:p>
        </w:tc>
        <w:tc>
          <w:tcPr>
            <w:tcW w:w="7785" w:type="dxa"/>
            <w:tcBorders>
              <w:top w:val="single" w:color="auto" w:sz="4" w:space="0"/>
              <w:left w:val="single" w:color="auto" w:sz="4" w:space="0"/>
              <w:bottom w:val="single" w:color="auto" w:sz="4" w:space="0"/>
              <w:right w:val="single" w:color="auto" w:sz="4" w:space="0"/>
            </w:tcBorders>
            <w:vAlign w:val="center"/>
          </w:tcPr>
          <w:p w14:paraId="5E88D0EF">
            <w:pPr>
              <w:spacing w:line="276" w:lineRule="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履约保证金：本项目无需缴纳履约保证金。</w:t>
            </w:r>
          </w:p>
        </w:tc>
      </w:tr>
      <w:tr w14:paraId="157EB6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6" w:type="dxa"/>
          <w:trHeight w:val="70"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14:paraId="4835BDB0">
            <w:pPr>
              <w:spacing w:line="276"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11</w:t>
            </w:r>
          </w:p>
        </w:tc>
        <w:tc>
          <w:tcPr>
            <w:tcW w:w="7785" w:type="dxa"/>
            <w:tcBorders>
              <w:top w:val="single" w:color="auto" w:sz="4" w:space="0"/>
              <w:left w:val="single" w:color="auto" w:sz="4" w:space="0"/>
              <w:bottom w:val="single" w:color="auto" w:sz="4" w:space="0"/>
              <w:right w:val="single" w:color="auto" w:sz="4" w:space="0"/>
            </w:tcBorders>
            <w:vAlign w:val="center"/>
          </w:tcPr>
          <w:p w14:paraId="50BC7714">
            <w:pPr>
              <w:spacing w:line="276" w:lineRule="auto"/>
              <w:rPr>
                <w:rFonts w:hint="eastAsia" w:ascii="宋体" w:hAnsi="宋体" w:cs="宋体"/>
                <w:bCs/>
                <w:color w:val="auto"/>
                <w:sz w:val="24"/>
                <w:szCs w:val="24"/>
                <w:highlight w:val="none"/>
              </w:rPr>
            </w:pPr>
            <w:r>
              <w:rPr>
                <w:rFonts w:hint="eastAsia" w:ascii="宋体" w:hAnsi="宋体" w:cs="宋体"/>
                <w:color w:val="auto"/>
                <w:sz w:val="24"/>
                <w:szCs w:val="24"/>
                <w:highlight w:val="none"/>
              </w:rPr>
              <w:t>磋商响应文件递交至：</w:t>
            </w:r>
            <w:r>
              <w:rPr>
                <w:rFonts w:hint="eastAsia" w:ascii="宋体" w:hAnsi="宋体" w:cs="宋体"/>
                <w:bCs/>
                <w:color w:val="auto"/>
                <w:sz w:val="24"/>
                <w:szCs w:val="24"/>
                <w:highlight w:val="none"/>
              </w:rPr>
              <w:t>政采云线上（www.zcygov.cn）</w:t>
            </w:r>
          </w:p>
          <w:p w14:paraId="05DEA5FC">
            <w:pPr>
              <w:spacing w:line="276"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磋商响应文件递交截止时间：</w:t>
            </w:r>
            <w:r>
              <w:rPr>
                <w:rFonts w:hint="eastAsia" w:ascii="宋体" w:hAnsi="宋体" w:cs="宋体"/>
                <w:color w:val="auto"/>
                <w:sz w:val="24"/>
                <w:highlight w:val="none"/>
                <w:lang w:eastAsia="zh-CN"/>
              </w:rPr>
              <w:t>2026年06月15日11：00时</w:t>
            </w:r>
            <w:r>
              <w:rPr>
                <w:rFonts w:hint="eastAsia" w:ascii="宋体" w:hAnsi="宋体" w:cs="宋体"/>
                <w:color w:val="auto"/>
                <w:sz w:val="24"/>
                <w:highlight w:val="none"/>
              </w:rPr>
              <w:t>（北京时间）</w:t>
            </w:r>
          </w:p>
        </w:tc>
      </w:tr>
      <w:tr w14:paraId="7CAB45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6" w:type="dxa"/>
          <w:trHeight w:val="87"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14:paraId="1095BF60">
            <w:pPr>
              <w:spacing w:line="276"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12</w:t>
            </w:r>
          </w:p>
        </w:tc>
        <w:tc>
          <w:tcPr>
            <w:tcW w:w="7785" w:type="dxa"/>
            <w:tcBorders>
              <w:top w:val="single" w:color="auto" w:sz="4" w:space="0"/>
              <w:left w:val="single" w:color="auto" w:sz="4" w:space="0"/>
              <w:bottom w:val="single" w:color="auto" w:sz="4" w:space="0"/>
              <w:right w:val="single" w:color="auto" w:sz="4" w:space="0"/>
            </w:tcBorders>
            <w:vAlign w:val="center"/>
          </w:tcPr>
          <w:p w14:paraId="5365E27E">
            <w:pPr>
              <w:spacing w:line="276"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开标日期：</w:t>
            </w:r>
            <w:r>
              <w:rPr>
                <w:rFonts w:hint="eastAsia" w:ascii="宋体" w:hAnsi="宋体" w:cs="宋体"/>
                <w:color w:val="auto"/>
                <w:sz w:val="24"/>
                <w:highlight w:val="none"/>
                <w:lang w:eastAsia="zh-CN"/>
              </w:rPr>
              <w:t>2026年06月15日11：00时</w:t>
            </w:r>
            <w:r>
              <w:rPr>
                <w:rFonts w:hint="eastAsia" w:ascii="宋体" w:hAnsi="宋体" w:cs="宋体"/>
                <w:color w:val="auto"/>
                <w:sz w:val="24"/>
                <w:highlight w:val="none"/>
              </w:rPr>
              <w:t>（北京时间）</w:t>
            </w:r>
          </w:p>
          <w:p w14:paraId="6DD10A45">
            <w:pPr>
              <w:spacing w:line="276"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开标地点：政采云线上（www.zcygov.cn）</w:t>
            </w:r>
          </w:p>
        </w:tc>
      </w:tr>
      <w:tr w14:paraId="074053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6" w:type="dxa"/>
          <w:trHeight w:val="87"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14:paraId="5C80757C">
            <w:pPr>
              <w:spacing w:line="276"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13</w:t>
            </w:r>
          </w:p>
        </w:tc>
        <w:tc>
          <w:tcPr>
            <w:tcW w:w="7785" w:type="dxa"/>
            <w:tcBorders>
              <w:top w:val="single" w:color="auto" w:sz="4" w:space="0"/>
              <w:left w:val="single" w:color="auto" w:sz="4" w:space="0"/>
              <w:bottom w:val="single" w:color="auto" w:sz="4" w:space="0"/>
              <w:right w:val="single" w:color="auto" w:sz="4" w:space="0"/>
            </w:tcBorders>
            <w:vAlign w:val="center"/>
          </w:tcPr>
          <w:p w14:paraId="73E12562">
            <w:pPr>
              <w:spacing w:line="276" w:lineRule="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注意事项：</w:t>
            </w:r>
          </w:p>
          <w:p w14:paraId="6C0CB0E1">
            <w:pPr>
              <w:numPr>
                <w:ilvl w:val="0"/>
                <w:numId w:val="7"/>
              </w:numPr>
              <w:snapToGrid w:val="0"/>
              <w:spacing w:line="276" w:lineRule="auto"/>
              <w:ind w:left="385" w:hanging="386" w:hangingChars="160"/>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本项目为电子招投标项目，供应商需要使用CA加密设备，凡参加本项目供应商可自主通过新疆CA申领渠道“新疆政务通”申请政采云平台可使用的CA设备。如有操作性问题可与政采云在线客服进行咨询，咨询电话：400-881-7190。</w:t>
            </w:r>
          </w:p>
          <w:p w14:paraId="3D95A5EC">
            <w:pPr>
              <w:numPr>
                <w:ilvl w:val="0"/>
                <w:numId w:val="7"/>
              </w:numPr>
              <w:snapToGrid w:val="0"/>
              <w:spacing w:line="276" w:lineRule="auto"/>
              <w:ind w:left="385" w:hanging="386" w:hangingChars="160"/>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本项目实行网上投标，采用电子响应文件，若供应商参与磋商，自行承担磋商一切费用。</w:t>
            </w:r>
          </w:p>
          <w:p w14:paraId="245EFCBD">
            <w:pPr>
              <w:numPr>
                <w:ilvl w:val="0"/>
                <w:numId w:val="7"/>
              </w:numPr>
              <w:snapToGrid w:val="0"/>
              <w:spacing w:line="276" w:lineRule="auto"/>
              <w:ind w:left="385" w:hanging="386" w:hangingChars="160"/>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各供应商应在开标前应确保成为新疆政府采购网正式注册入库供应商，并完成CA数字证书申领。因未注册入库、未办理CA数字证书等原因造成无法响应或响应失败等后果由供应商自行承担。</w:t>
            </w:r>
          </w:p>
          <w:p w14:paraId="20EAE0E9">
            <w:pPr>
              <w:snapToGrid w:val="0"/>
              <w:spacing w:line="276" w:lineRule="auto"/>
              <w:ind w:left="385" w:hanging="386" w:hangingChars="160"/>
              <w:rPr>
                <w:rFonts w:hint="eastAsia" w:ascii="宋体" w:hAnsi="宋体" w:cs="宋体"/>
                <w:color w:val="auto"/>
                <w:highlight w:val="none"/>
              </w:rPr>
            </w:pPr>
            <w:r>
              <w:rPr>
                <w:rFonts w:hint="eastAsia" w:ascii="宋体" w:hAnsi="宋体" w:cs="宋体"/>
                <w:b/>
                <w:bCs/>
                <w:color w:val="auto"/>
                <w:sz w:val="24"/>
                <w:szCs w:val="24"/>
                <w:highlight w:val="none"/>
              </w:rPr>
              <w:t>4、供应商将政采云电子交易客户端下载、安装完成后，可通过账号密码或CA登录客户端进行响应文件制作。在使用政采云投标客户端时，建议使用WIN7及以上操作系统。客户端请至新疆政府采购网（www.ccgp-xinjiang.gov.cn）下载专区查看，如有问题可拨打政采云客户服务热线400-881-7190进行咨询。</w:t>
            </w:r>
          </w:p>
          <w:p w14:paraId="1EBD5CEC">
            <w:pPr>
              <w:spacing w:line="276" w:lineRule="auto"/>
              <w:rPr>
                <w:rFonts w:hint="eastAsia" w:ascii="宋体" w:hAnsi="宋体" w:cs="宋体"/>
                <w:color w:val="auto"/>
                <w:sz w:val="24"/>
                <w:szCs w:val="24"/>
                <w:highlight w:val="none"/>
              </w:rPr>
            </w:pPr>
            <w:r>
              <w:rPr>
                <w:rFonts w:hint="eastAsia" w:ascii="宋体" w:hAnsi="宋体" w:cs="宋体"/>
                <w:b/>
                <w:bCs/>
                <w:color w:val="auto"/>
                <w:sz w:val="24"/>
                <w:szCs w:val="24"/>
                <w:highlight w:val="none"/>
              </w:rPr>
              <w:t>5、各供应商须在开标时间在政采云平台自行解密文件。</w:t>
            </w:r>
          </w:p>
        </w:tc>
      </w:tr>
      <w:tr w14:paraId="2B19E1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6" w:type="dxa"/>
          <w:trHeight w:val="87"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14:paraId="58E91236">
            <w:pPr>
              <w:spacing w:line="276"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14</w:t>
            </w:r>
          </w:p>
        </w:tc>
        <w:tc>
          <w:tcPr>
            <w:tcW w:w="7785" w:type="dxa"/>
            <w:tcBorders>
              <w:top w:val="single" w:color="auto" w:sz="4" w:space="0"/>
              <w:left w:val="single" w:color="auto" w:sz="4" w:space="0"/>
              <w:bottom w:val="single" w:color="auto" w:sz="4" w:space="0"/>
              <w:right w:val="single" w:color="auto" w:sz="4" w:space="0"/>
            </w:tcBorders>
            <w:vAlign w:val="center"/>
          </w:tcPr>
          <w:p w14:paraId="28041C87">
            <w:pPr>
              <w:spacing w:line="276" w:lineRule="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中小企业声明函须按本项目采购文件中提供的格式如实进行填写，否则将导致响应无效。</w:t>
            </w:r>
          </w:p>
        </w:tc>
      </w:tr>
      <w:tr w14:paraId="303E9C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6" w:type="dxa"/>
          <w:trHeight w:val="87"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14:paraId="0F47ACD2">
            <w:pPr>
              <w:spacing w:line="276"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15</w:t>
            </w:r>
          </w:p>
        </w:tc>
        <w:tc>
          <w:tcPr>
            <w:tcW w:w="7785" w:type="dxa"/>
            <w:tcBorders>
              <w:top w:val="single" w:color="auto" w:sz="4" w:space="0"/>
              <w:left w:val="single" w:color="auto" w:sz="4" w:space="0"/>
              <w:bottom w:val="single" w:color="auto" w:sz="4" w:space="0"/>
              <w:right w:val="single" w:color="auto" w:sz="4" w:space="0"/>
            </w:tcBorders>
            <w:vAlign w:val="center"/>
          </w:tcPr>
          <w:p w14:paraId="7DB6D628">
            <w:pPr>
              <w:pStyle w:val="127"/>
              <w:spacing w:line="360" w:lineRule="exact"/>
              <w:ind w:firstLine="0" w:firstLineChars="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特别说明</w:t>
            </w:r>
          </w:p>
          <w:p w14:paraId="232EB137">
            <w:pPr>
              <w:pStyle w:val="127"/>
              <w:spacing w:line="360" w:lineRule="exact"/>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1.供应商应认真阅读磋商文件中的每一个条款及要求，因误读磋商文件而造成的后果，采购人概不负责。</w:t>
            </w:r>
          </w:p>
          <w:p w14:paraId="01CB4AE0">
            <w:pPr>
              <w:pStyle w:val="127"/>
              <w:spacing w:line="360" w:lineRule="exact"/>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2.本次成交单位的成交价，作为发放《成交通知书》和签订合同的价格，且此“报价”在合同实施期间，不做任何调整（经采购人同意调整的除外）。</w:t>
            </w:r>
          </w:p>
          <w:p w14:paraId="076DC8D7">
            <w:pPr>
              <w:pStyle w:val="127"/>
              <w:spacing w:line="360" w:lineRule="exact"/>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3.如成交，发生以下终止条款，将终止合同执行：</w:t>
            </w:r>
          </w:p>
          <w:p w14:paraId="0B176736">
            <w:pPr>
              <w:pStyle w:val="127"/>
              <w:spacing w:line="360" w:lineRule="exact"/>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（1）成交供应商违反有关法律、法规，被司法机关、行政监督等部门或行业自律组织处罚或处理的。</w:t>
            </w:r>
          </w:p>
          <w:p w14:paraId="19A9B17C">
            <w:pPr>
              <w:pStyle w:val="127"/>
              <w:spacing w:line="360" w:lineRule="exact"/>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（2）成交供应商应遵守职业道德、保守商业秘密，否则委托人有权解除协议，因此造成的损失由成交供应商承担。</w:t>
            </w:r>
          </w:p>
          <w:p w14:paraId="0669A01B">
            <w:pPr>
              <w:pStyle w:val="127"/>
              <w:spacing w:line="360" w:lineRule="exact"/>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（3）提供的服务方案出现与响应文件中所报内容不一致的，且经甲方告知后仍不改正的，接受甲方处罚。</w:t>
            </w:r>
          </w:p>
          <w:p w14:paraId="57FFEDC4">
            <w:pPr>
              <w:spacing w:line="276" w:lineRule="auto"/>
              <w:rPr>
                <w:rFonts w:hint="eastAsia" w:ascii="宋体" w:hAnsi="宋体" w:cs="宋体"/>
                <w:b/>
                <w:bCs/>
                <w:color w:val="auto"/>
                <w:sz w:val="24"/>
                <w:szCs w:val="24"/>
                <w:highlight w:val="none"/>
              </w:rPr>
            </w:pPr>
            <w:r>
              <w:rPr>
                <w:rFonts w:hint="eastAsia" w:ascii="宋体" w:hAnsi="宋体" w:cs="宋体"/>
                <w:color w:val="auto"/>
                <w:sz w:val="24"/>
                <w:szCs w:val="24"/>
                <w:highlight w:val="none"/>
              </w:rPr>
              <w:t>4.为了确保采购质量和维护公平的竞争，磋商小组认为供应商的报价明显低于其他通过符合性审查供应商的报价，有可能影响产品质量或者不能诚信履约的，将要求其在评标现场在磋商小组规定的时间内提供书面说明，必要时提交相关证明材料；供应商不能证明其报价合理性的，磋商小组将其作为无效投标处理，建议报价较低的供应商提前准备本项目成本分析报告（包括但不限于）以下支撑证明材料：①政府机构税务部门开具的拟派项目组人员的《依法缴纳个人所得税或依法免缴个人所得税的凭证（最近半年）》；②上年度经具备审计资质的第三方审计机构出具的审计报告[包括其固定资产成本及折旧、管理成本、人工费成本（如人员工资、奖金、福利及差旅等费用）、技术成本、税收等所有成本及利润复印件（原件现场核查）；③提供项目成本组成明细（设备材料等原始发票、人工、税费等相关证明材料等），如不提供或评委认定其资料不能详尽合理说明其成本的，则视为报价无效，作投标无效处理。</w:t>
            </w:r>
          </w:p>
        </w:tc>
      </w:tr>
      <w:tr w14:paraId="7F4B6D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9" w:hRule="atLeast"/>
          <w:jc w:val="center"/>
        </w:trPr>
        <w:tc>
          <w:tcPr>
            <w:tcW w:w="8637" w:type="dxa"/>
            <w:gridSpan w:val="3"/>
            <w:tcBorders>
              <w:top w:val="single" w:color="auto" w:sz="4" w:space="0"/>
              <w:left w:val="single" w:color="auto" w:sz="4" w:space="0"/>
              <w:bottom w:val="single" w:color="auto" w:sz="4" w:space="0"/>
              <w:right w:val="single" w:color="auto" w:sz="4" w:space="0"/>
            </w:tcBorders>
            <w:vAlign w:val="center"/>
          </w:tcPr>
          <w:p w14:paraId="2966FF6E">
            <w:pPr>
              <w:spacing w:line="276"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授　予　合　同</w:t>
            </w:r>
          </w:p>
        </w:tc>
      </w:tr>
      <w:tr w14:paraId="7D46A6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8637" w:type="dxa"/>
            <w:gridSpan w:val="3"/>
            <w:tcBorders>
              <w:top w:val="single" w:color="auto" w:sz="4" w:space="0"/>
              <w:left w:val="single" w:color="auto" w:sz="4" w:space="0"/>
              <w:bottom w:val="single" w:color="auto" w:sz="4" w:space="0"/>
              <w:right w:val="single" w:color="auto" w:sz="4" w:space="0"/>
            </w:tcBorders>
            <w:vAlign w:val="center"/>
          </w:tcPr>
          <w:p w14:paraId="309C545C">
            <w:pPr>
              <w:spacing w:line="240" w:lineRule="auto"/>
              <w:jc w:val="left"/>
              <w:rPr>
                <w:rFonts w:hint="eastAsia" w:ascii="宋体" w:hAnsi="宋体" w:cs="宋体"/>
                <w:color w:val="auto"/>
                <w:sz w:val="24"/>
                <w:szCs w:val="24"/>
                <w:highlight w:val="none"/>
              </w:rPr>
            </w:pPr>
            <w:r>
              <w:rPr>
                <w:rFonts w:hint="eastAsia" w:ascii="宋体" w:hAnsi="宋体" w:eastAsia="宋体" w:cs="宋体"/>
                <w:color w:val="000000"/>
                <w:sz w:val="24"/>
                <w:highlight w:val="none"/>
              </w:rPr>
              <w:t>适用于本投标人须知的额外增加的变动：招标代理服务费由中标人向新疆招标有限公司支付，支付标准参考计委（2002）1980号</w:t>
            </w:r>
            <w:r>
              <w:rPr>
                <w:rFonts w:hint="eastAsia" w:ascii="宋体" w:hAnsi="宋体" w:cs="宋体"/>
                <w:color w:val="000000"/>
                <w:sz w:val="24"/>
                <w:highlight w:val="none"/>
                <w:lang w:val="en-US" w:eastAsia="zh-CN"/>
              </w:rPr>
              <w:t>下浮30%</w:t>
            </w:r>
            <w:r>
              <w:rPr>
                <w:rFonts w:hint="eastAsia" w:ascii="宋体" w:hAnsi="宋体" w:eastAsia="宋体" w:cs="宋体"/>
                <w:color w:val="000000"/>
                <w:sz w:val="24"/>
                <w:highlight w:val="none"/>
              </w:rPr>
              <w:t>执行（不含税）。</w:t>
            </w:r>
          </w:p>
        </w:tc>
      </w:tr>
    </w:tbl>
    <w:p w14:paraId="27E5E64A">
      <w:pPr>
        <w:pStyle w:val="4"/>
        <w:spacing w:before="100" w:beforeAutospacing="1" w:after="100" w:afterAutospacing="1" w:line="276"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bookmarkStart w:id="14" w:name="_Toc267301282"/>
      <w:bookmarkStart w:id="15" w:name="_Toc349573121"/>
      <w:bookmarkStart w:id="16" w:name="_Toc83726731"/>
      <w:bookmarkStart w:id="17" w:name="_Toc349637920"/>
      <w:bookmarkStart w:id="18" w:name="_Toc298240405"/>
      <w:r>
        <w:rPr>
          <w:rFonts w:hint="eastAsia" w:ascii="宋体" w:hAnsi="宋体" w:eastAsia="宋体" w:cs="宋体"/>
          <w:color w:val="auto"/>
          <w:sz w:val="28"/>
          <w:szCs w:val="28"/>
          <w:highlight w:val="none"/>
        </w:rPr>
        <w:t>A  说　明</w:t>
      </w:r>
      <w:bookmarkEnd w:id="14"/>
      <w:bookmarkEnd w:id="15"/>
      <w:bookmarkEnd w:id="16"/>
      <w:bookmarkEnd w:id="17"/>
      <w:bookmarkEnd w:id="18"/>
    </w:p>
    <w:p w14:paraId="27D15E9F">
      <w:pPr>
        <w:spacing w:line="276" w:lineRule="auto"/>
        <w:rPr>
          <w:rFonts w:hint="eastAsia" w:ascii="宋体" w:hAnsi="宋体" w:cs="宋体"/>
          <w:color w:val="auto"/>
          <w:sz w:val="24"/>
          <w:highlight w:val="none"/>
        </w:rPr>
      </w:pPr>
      <w:r>
        <w:rPr>
          <w:rFonts w:hint="eastAsia" w:ascii="宋体" w:hAnsi="宋体" w:cs="宋体"/>
          <w:color w:val="auto"/>
          <w:sz w:val="24"/>
          <w:highlight w:val="none"/>
        </w:rPr>
        <w:t>1. 适用范围</w:t>
      </w:r>
    </w:p>
    <w:p w14:paraId="5F1510DC">
      <w:pPr>
        <w:numPr>
          <w:ilvl w:val="1"/>
          <w:numId w:val="8"/>
        </w:numPr>
        <w:spacing w:line="276" w:lineRule="auto"/>
        <w:rPr>
          <w:rFonts w:hint="eastAsia" w:ascii="宋体" w:hAnsi="宋体" w:cs="宋体"/>
          <w:color w:val="auto"/>
          <w:sz w:val="24"/>
          <w:highlight w:val="none"/>
        </w:rPr>
      </w:pPr>
      <w:r>
        <w:rPr>
          <w:rFonts w:hint="eastAsia" w:ascii="宋体" w:hAnsi="宋体" w:cs="宋体"/>
          <w:color w:val="auto"/>
          <w:sz w:val="24"/>
          <w:highlight w:val="none"/>
        </w:rPr>
        <w:t xml:space="preserve"> 本磋商文件仅适用于本次磋商邀请中所叙述项目的采购。</w:t>
      </w:r>
    </w:p>
    <w:p w14:paraId="17272DC5">
      <w:pPr>
        <w:spacing w:line="276" w:lineRule="auto"/>
        <w:rPr>
          <w:rFonts w:hint="eastAsia" w:ascii="宋体" w:hAnsi="宋体" w:cs="宋体"/>
          <w:color w:val="auto"/>
          <w:sz w:val="24"/>
          <w:highlight w:val="none"/>
        </w:rPr>
      </w:pPr>
      <w:r>
        <w:rPr>
          <w:rFonts w:hint="eastAsia" w:ascii="宋体" w:hAnsi="宋体" w:cs="宋体"/>
          <w:color w:val="auto"/>
          <w:sz w:val="24"/>
          <w:highlight w:val="none"/>
        </w:rPr>
        <w:t>2．定义</w:t>
      </w:r>
    </w:p>
    <w:p w14:paraId="7285CAA0">
      <w:pPr>
        <w:spacing w:line="276" w:lineRule="auto"/>
        <w:rPr>
          <w:rFonts w:hint="eastAsia" w:ascii="宋体" w:hAnsi="宋体" w:cs="宋体"/>
          <w:color w:val="auto"/>
          <w:sz w:val="24"/>
          <w:highlight w:val="none"/>
        </w:rPr>
      </w:pPr>
      <w:r>
        <w:rPr>
          <w:rFonts w:hint="eastAsia" w:ascii="宋体" w:hAnsi="宋体" w:cs="宋体"/>
          <w:color w:val="auto"/>
          <w:sz w:val="24"/>
          <w:highlight w:val="none"/>
        </w:rPr>
        <w:t>2.1 “采购代理机构”系指新疆招标有限公司；</w:t>
      </w:r>
    </w:p>
    <w:p w14:paraId="61D1F3A7">
      <w:pPr>
        <w:spacing w:line="276" w:lineRule="auto"/>
        <w:ind w:left="480" w:hanging="480" w:hangingChars="200"/>
        <w:rPr>
          <w:rFonts w:hint="eastAsia" w:ascii="宋体" w:hAnsi="宋体" w:cs="宋体"/>
          <w:color w:val="auto"/>
          <w:sz w:val="24"/>
          <w:highlight w:val="none"/>
        </w:rPr>
      </w:pPr>
      <w:r>
        <w:rPr>
          <w:rFonts w:hint="eastAsia" w:ascii="宋体" w:hAnsi="宋体" w:cs="宋体"/>
          <w:color w:val="auto"/>
          <w:sz w:val="24"/>
          <w:highlight w:val="none"/>
        </w:rPr>
        <w:t>2.2 “买方、采购人”系指</w:t>
      </w:r>
      <w:r>
        <w:rPr>
          <w:rFonts w:hint="eastAsia" w:ascii="宋体" w:hAnsi="宋体" w:cs="宋体"/>
          <w:color w:val="auto"/>
          <w:sz w:val="24"/>
          <w:szCs w:val="24"/>
          <w:highlight w:val="none"/>
          <w:lang w:eastAsia="zh-CN"/>
        </w:rPr>
        <w:t>新疆维吾尔自治区交通运输综合行政执法局</w:t>
      </w:r>
      <w:r>
        <w:rPr>
          <w:rFonts w:hint="eastAsia" w:ascii="宋体" w:hAnsi="宋体" w:cs="宋体"/>
          <w:color w:val="auto"/>
          <w:sz w:val="24"/>
          <w:highlight w:val="none"/>
        </w:rPr>
        <w:t>；</w:t>
      </w:r>
    </w:p>
    <w:p w14:paraId="51D8C8DF">
      <w:pPr>
        <w:spacing w:line="276" w:lineRule="auto"/>
        <w:rPr>
          <w:rFonts w:hint="eastAsia" w:ascii="宋体" w:hAnsi="宋体" w:cs="宋体"/>
          <w:color w:val="auto"/>
          <w:sz w:val="24"/>
          <w:highlight w:val="none"/>
        </w:rPr>
      </w:pPr>
      <w:r>
        <w:rPr>
          <w:rFonts w:hint="eastAsia" w:ascii="宋体" w:hAnsi="宋体" w:cs="宋体"/>
          <w:color w:val="auto"/>
          <w:sz w:val="24"/>
          <w:highlight w:val="none"/>
        </w:rPr>
        <w:t>2.3 “供应商”系指向采购代理机构提交磋商响应文件的供应商；</w:t>
      </w:r>
    </w:p>
    <w:p w14:paraId="7E214F4A">
      <w:pPr>
        <w:spacing w:line="276" w:lineRule="auto"/>
        <w:rPr>
          <w:rFonts w:hint="eastAsia" w:ascii="宋体" w:hAnsi="宋体" w:cs="宋体"/>
          <w:color w:val="auto"/>
          <w:sz w:val="24"/>
          <w:highlight w:val="none"/>
        </w:rPr>
      </w:pPr>
      <w:r>
        <w:rPr>
          <w:rFonts w:hint="eastAsia" w:ascii="宋体" w:hAnsi="宋体" w:cs="宋体"/>
          <w:color w:val="auto"/>
          <w:sz w:val="24"/>
          <w:highlight w:val="none"/>
        </w:rPr>
        <w:t>2.4 “成交方”系指在本次项目中将被授予合同的供应商。</w:t>
      </w:r>
    </w:p>
    <w:p w14:paraId="73CF5AF2">
      <w:pPr>
        <w:spacing w:line="276" w:lineRule="auto"/>
        <w:rPr>
          <w:rFonts w:hint="eastAsia" w:ascii="宋体" w:hAnsi="宋体" w:cs="宋体"/>
          <w:color w:val="auto"/>
          <w:sz w:val="24"/>
          <w:highlight w:val="none"/>
        </w:rPr>
      </w:pPr>
      <w:r>
        <w:rPr>
          <w:rFonts w:hint="eastAsia" w:ascii="宋体" w:hAnsi="宋体" w:cs="宋体"/>
          <w:color w:val="auto"/>
          <w:sz w:val="24"/>
          <w:highlight w:val="none"/>
        </w:rPr>
        <w:t>3．合格的供应商</w:t>
      </w:r>
    </w:p>
    <w:p w14:paraId="6B4A90B7">
      <w:pPr>
        <w:spacing w:line="276" w:lineRule="auto"/>
        <w:ind w:left="480" w:hanging="480" w:hangingChars="200"/>
        <w:rPr>
          <w:rFonts w:hint="eastAsia" w:ascii="宋体" w:hAnsi="宋体" w:cs="宋体"/>
          <w:color w:val="auto"/>
          <w:sz w:val="24"/>
          <w:highlight w:val="none"/>
        </w:rPr>
      </w:pPr>
      <w:r>
        <w:rPr>
          <w:rFonts w:hint="eastAsia" w:ascii="宋体" w:hAnsi="宋体" w:cs="宋体"/>
          <w:color w:val="auto"/>
          <w:sz w:val="24"/>
          <w:highlight w:val="none"/>
        </w:rPr>
        <w:t>3.1 有能力提供磋商文件中所要求的服务、资格审查合格的为合格的供应商；</w:t>
      </w:r>
    </w:p>
    <w:p w14:paraId="361016AB">
      <w:pPr>
        <w:spacing w:line="276" w:lineRule="auto"/>
        <w:rPr>
          <w:rFonts w:hint="eastAsia" w:ascii="宋体" w:hAnsi="宋体" w:cs="宋体"/>
          <w:color w:val="auto"/>
          <w:sz w:val="24"/>
          <w:highlight w:val="none"/>
        </w:rPr>
      </w:pPr>
      <w:r>
        <w:rPr>
          <w:rFonts w:hint="eastAsia" w:ascii="宋体" w:hAnsi="宋体" w:cs="宋体"/>
          <w:color w:val="auto"/>
          <w:sz w:val="24"/>
          <w:highlight w:val="none"/>
        </w:rPr>
        <w:t>3.2 供应商必须遵守有关的国内法律和规章条例。</w:t>
      </w:r>
    </w:p>
    <w:p w14:paraId="0065B9C4">
      <w:pPr>
        <w:spacing w:line="276" w:lineRule="auto"/>
        <w:ind w:left="482" w:hanging="482" w:hangingChars="200"/>
        <w:rPr>
          <w:rFonts w:hint="eastAsia" w:ascii="宋体" w:hAnsi="宋体" w:cs="宋体"/>
          <w:b/>
          <w:color w:val="auto"/>
          <w:sz w:val="24"/>
          <w:highlight w:val="none"/>
        </w:rPr>
      </w:pPr>
      <w:r>
        <w:rPr>
          <w:rFonts w:hint="eastAsia" w:ascii="宋体" w:hAnsi="宋体" w:cs="宋体"/>
          <w:b/>
          <w:color w:val="auto"/>
          <w:sz w:val="24"/>
          <w:highlight w:val="none"/>
        </w:rPr>
        <w:t>4．供应商资格(废标因素)详见“供应商须知附表第6条”。</w:t>
      </w:r>
    </w:p>
    <w:p w14:paraId="5561F614">
      <w:pPr>
        <w:tabs>
          <w:tab w:val="left" w:pos="252"/>
          <w:tab w:val="left" w:pos="671"/>
        </w:tabs>
        <w:spacing w:line="276" w:lineRule="auto"/>
        <w:rPr>
          <w:rFonts w:hint="eastAsia" w:ascii="宋体" w:hAnsi="宋体" w:cs="宋体"/>
          <w:color w:val="auto"/>
          <w:sz w:val="24"/>
          <w:highlight w:val="none"/>
        </w:rPr>
      </w:pPr>
      <w:r>
        <w:rPr>
          <w:rFonts w:hint="eastAsia" w:ascii="宋体" w:hAnsi="宋体" w:cs="宋体"/>
          <w:color w:val="auto"/>
          <w:sz w:val="24"/>
          <w:highlight w:val="none"/>
        </w:rPr>
        <w:t>5．磋商费用</w:t>
      </w:r>
    </w:p>
    <w:p w14:paraId="7C299F2E">
      <w:pPr>
        <w:spacing w:line="276" w:lineRule="auto"/>
        <w:ind w:left="480" w:hanging="480"/>
        <w:rPr>
          <w:rFonts w:hint="eastAsia" w:ascii="宋体" w:hAnsi="宋体" w:cs="宋体"/>
          <w:color w:val="auto"/>
          <w:sz w:val="24"/>
          <w:highlight w:val="none"/>
        </w:rPr>
      </w:pPr>
      <w:r>
        <w:rPr>
          <w:rFonts w:hint="eastAsia" w:ascii="宋体" w:hAnsi="宋体" w:cs="宋体"/>
          <w:color w:val="auto"/>
          <w:sz w:val="24"/>
          <w:highlight w:val="none"/>
        </w:rPr>
        <w:t>5.1无论磋商结果如何，供应商将自行承担所有与参加磋商有关的全部费用。</w:t>
      </w:r>
    </w:p>
    <w:p w14:paraId="631489F0">
      <w:pPr>
        <w:spacing w:line="276" w:lineRule="auto"/>
        <w:ind w:left="480" w:hanging="480"/>
        <w:rPr>
          <w:rFonts w:hint="eastAsia" w:ascii="宋体" w:hAnsi="宋体" w:cs="宋体"/>
          <w:color w:val="auto"/>
          <w:sz w:val="24"/>
          <w:highlight w:val="none"/>
        </w:rPr>
      </w:pPr>
    </w:p>
    <w:p w14:paraId="10045000">
      <w:pPr>
        <w:pStyle w:val="4"/>
        <w:spacing w:before="100" w:beforeAutospacing="1" w:after="100" w:afterAutospacing="1" w:line="276" w:lineRule="auto"/>
        <w:jc w:val="center"/>
        <w:rPr>
          <w:rFonts w:hint="eastAsia" w:ascii="宋体" w:hAnsi="宋体" w:eastAsia="宋体" w:cs="宋体"/>
          <w:color w:val="auto"/>
          <w:sz w:val="28"/>
          <w:szCs w:val="28"/>
          <w:highlight w:val="none"/>
        </w:rPr>
      </w:pPr>
      <w:bookmarkStart w:id="19" w:name="_Toc349573122"/>
      <w:bookmarkStart w:id="20" w:name="_Toc298240406"/>
      <w:bookmarkStart w:id="21" w:name="_Toc83726732"/>
      <w:bookmarkStart w:id="22" w:name="_Toc349637921"/>
      <w:bookmarkStart w:id="23" w:name="_Toc267301283"/>
      <w:r>
        <w:rPr>
          <w:rFonts w:hint="eastAsia" w:ascii="宋体" w:hAnsi="宋体" w:eastAsia="宋体" w:cs="宋体"/>
          <w:color w:val="auto"/>
          <w:sz w:val="28"/>
          <w:szCs w:val="28"/>
          <w:highlight w:val="none"/>
        </w:rPr>
        <w:t>B  磋商文件</w:t>
      </w:r>
      <w:bookmarkEnd w:id="19"/>
      <w:bookmarkEnd w:id="20"/>
      <w:bookmarkEnd w:id="21"/>
      <w:bookmarkEnd w:id="22"/>
      <w:bookmarkEnd w:id="23"/>
    </w:p>
    <w:p w14:paraId="63F0B98F">
      <w:pPr>
        <w:spacing w:line="276" w:lineRule="auto"/>
        <w:rPr>
          <w:rFonts w:hint="eastAsia" w:ascii="宋体" w:hAnsi="宋体" w:cs="宋体"/>
          <w:color w:val="auto"/>
          <w:sz w:val="24"/>
          <w:highlight w:val="none"/>
        </w:rPr>
      </w:pPr>
      <w:r>
        <w:rPr>
          <w:rFonts w:hint="eastAsia" w:ascii="宋体" w:hAnsi="宋体" w:cs="宋体"/>
          <w:color w:val="auto"/>
          <w:sz w:val="24"/>
          <w:highlight w:val="none"/>
        </w:rPr>
        <w:t>6．磋商文件构成</w:t>
      </w:r>
    </w:p>
    <w:p w14:paraId="2F054108">
      <w:pPr>
        <w:spacing w:line="276" w:lineRule="auto"/>
        <w:rPr>
          <w:rFonts w:hint="eastAsia" w:ascii="宋体" w:hAnsi="宋体" w:cs="宋体"/>
          <w:color w:val="auto"/>
          <w:sz w:val="24"/>
          <w:highlight w:val="none"/>
        </w:rPr>
      </w:pPr>
      <w:r>
        <w:rPr>
          <w:rFonts w:hint="eastAsia" w:ascii="宋体" w:hAnsi="宋体" w:cs="宋体"/>
          <w:color w:val="auto"/>
          <w:sz w:val="24"/>
          <w:highlight w:val="none"/>
        </w:rPr>
        <w:t>6.1磋商文件包括：</w:t>
      </w:r>
    </w:p>
    <w:p w14:paraId="4C9D7FDF">
      <w:pPr>
        <w:spacing w:line="276" w:lineRule="auto"/>
        <w:ind w:firstLine="240"/>
        <w:rPr>
          <w:rFonts w:hint="eastAsia" w:ascii="宋体" w:hAnsi="宋体" w:cs="宋体"/>
          <w:color w:val="auto"/>
          <w:sz w:val="24"/>
          <w:highlight w:val="none"/>
        </w:rPr>
      </w:pPr>
      <w:r>
        <w:rPr>
          <w:rFonts w:hint="eastAsia" w:ascii="宋体" w:hAnsi="宋体" w:cs="宋体"/>
          <w:color w:val="auto"/>
          <w:sz w:val="24"/>
          <w:highlight w:val="none"/>
        </w:rPr>
        <w:t>（1）磋商邀请；</w:t>
      </w:r>
    </w:p>
    <w:p w14:paraId="04C58D08">
      <w:pPr>
        <w:spacing w:line="276" w:lineRule="auto"/>
        <w:ind w:firstLine="240"/>
        <w:rPr>
          <w:rFonts w:hint="eastAsia" w:ascii="宋体" w:hAnsi="宋体" w:cs="宋体"/>
          <w:color w:val="auto"/>
          <w:sz w:val="24"/>
          <w:highlight w:val="none"/>
        </w:rPr>
      </w:pPr>
      <w:r>
        <w:rPr>
          <w:rFonts w:hint="eastAsia" w:ascii="宋体" w:hAnsi="宋体" w:cs="宋体"/>
          <w:color w:val="auto"/>
          <w:sz w:val="24"/>
          <w:highlight w:val="none"/>
        </w:rPr>
        <w:t>（2）供应商须知；</w:t>
      </w:r>
    </w:p>
    <w:p w14:paraId="7CD3C6EC">
      <w:pPr>
        <w:spacing w:line="276" w:lineRule="auto"/>
        <w:ind w:firstLine="240"/>
        <w:rPr>
          <w:rFonts w:hint="eastAsia" w:ascii="宋体" w:hAnsi="宋体" w:cs="宋体"/>
          <w:color w:val="auto"/>
          <w:sz w:val="24"/>
          <w:highlight w:val="none"/>
        </w:rPr>
      </w:pPr>
      <w:r>
        <w:rPr>
          <w:rFonts w:hint="eastAsia" w:ascii="宋体" w:hAnsi="宋体" w:cs="宋体"/>
          <w:color w:val="auto"/>
          <w:sz w:val="24"/>
          <w:highlight w:val="none"/>
        </w:rPr>
        <w:t>（3）服务需求及技术要求；</w:t>
      </w:r>
    </w:p>
    <w:p w14:paraId="7A9C5050">
      <w:pPr>
        <w:spacing w:line="276" w:lineRule="auto"/>
        <w:ind w:firstLine="240"/>
        <w:rPr>
          <w:rFonts w:hint="eastAsia" w:ascii="宋体" w:hAnsi="宋体" w:cs="宋体"/>
          <w:color w:val="auto"/>
          <w:sz w:val="24"/>
          <w:highlight w:val="none"/>
        </w:rPr>
      </w:pPr>
      <w:r>
        <w:rPr>
          <w:rFonts w:hint="eastAsia" w:ascii="宋体" w:hAnsi="宋体" w:cs="宋体"/>
          <w:color w:val="auto"/>
          <w:sz w:val="24"/>
          <w:highlight w:val="none"/>
        </w:rPr>
        <w:t>（4）合同一般条款；</w:t>
      </w:r>
    </w:p>
    <w:p w14:paraId="54F1B401">
      <w:pPr>
        <w:spacing w:line="276" w:lineRule="auto"/>
        <w:ind w:firstLine="240"/>
        <w:rPr>
          <w:rFonts w:hint="eastAsia" w:ascii="宋体" w:hAnsi="宋体" w:cs="宋体"/>
          <w:color w:val="auto"/>
          <w:sz w:val="24"/>
          <w:highlight w:val="none"/>
        </w:rPr>
      </w:pPr>
      <w:r>
        <w:rPr>
          <w:rFonts w:hint="eastAsia" w:ascii="宋体" w:hAnsi="宋体" w:cs="宋体"/>
          <w:color w:val="auto"/>
          <w:sz w:val="24"/>
          <w:highlight w:val="none"/>
        </w:rPr>
        <w:t>（5）范本格式。</w:t>
      </w:r>
    </w:p>
    <w:p w14:paraId="45B8AB6C">
      <w:pPr>
        <w:spacing w:line="276" w:lineRule="auto"/>
        <w:rPr>
          <w:rFonts w:hint="eastAsia" w:ascii="宋体" w:hAnsi="宋体" w:cs="宋体"/>
          <w:color w:val="auto"/>
          <w:sz w:val="24"/>
          <w:highlight w:val="none"/>
        </w:rPr>
      </w:pPr>
      <w:r>
        <w:rPr>
          <w:rFonts w:hint="eastAsia" w:ascii="宋体" w:hAnsi="宋体" w:cs="宋体"/>
          <w:color w:val="auto"/>
          <w:sz w:val="24"/>
          <w:highlight w:val="none"/>
        </w:rPr>
        <w:t>6.2 磋商文件以中文编写。</w:t>
      </w:r>
    </w:p>
    <w:p w14:paraId="1BA4FA26">
      <w:pPr>
        <w:spacing w:line="276" w:lineRule="auto"/>
        <w:ind w:left="360" w:hanging="360" w:hangingChars="150"/>
        <w:rPr>
          <w:rFonts w:hint="eastAsia" w:ascii="宋体" w:hAnsi="宋体" w:cs="宋体"/>
          <w:color w:val="auto"/>
          <w:sz w:val="24"/>
          <w:highlight w:val="none"/>
        </w:rPr>
      </w:pPr>
      <w:r>
        <w:rPr>
          <w:rFonts w:hint="eastAsia" w:ascii="宋体" w:hAnsi="宋体" w:cs="宋体"/>
          <w:color w:val="auto"/>
          <w:sz w:val="24"/>
          <w:highlight w:val="none"/>
        </w:rPr>
        <w:t>6.3 供应商应认真阅读磋商文件中所有的事项、格式、条款和规范等要求，从而对磋商文件作出实质性响应。如果没有按照磋商文件要求提交全部磋商响应文件或资料，没有对磋商文件作出实质性响应，其风险应由供应商自行承担。</w:t>
      </w:r>
    </w:p>
    <w:p w14:paraId="7BA54974">
      <w:pPr>
        <w:spacing w:line="276" w:lineRule="auto"/>
        <w:rPr>
          <w:rFonts w:hint="eastAsia" w:ascii="宋体" w:hAnsi="宋体" w:cs="宋体"/>
          <w:color w:val="auto"/>
          <w:sz w:val="24"/>
          <w:highlight w:val="none"/>
        </w:rPr>
      </w:pPr>
      <w:r>
        <w:rPr>
          <w:rFonts w:hint="eastAsia" w:ascii="宋体" w:hAnsi="宋体" w:cs="宋体"/>
          <w:color w:val="auto"/>
          <w:sz w:val="24"/>
          <w:highlight w:val="none"/>
        </w:rPr>
        <w:t>7．磋商文件澄清</w:t>
      </w:r>
    </w:p>
    <w:p w14:paraId="6D69D5FE">
      <w:pPr>
        <w:spacing w:line="276" w:lineRule="auto"/>
        <w:ind w:left="480" w:hanging="480"/>
        <w:rPr>
          <w:rFonts w:hint="eastAsia" w:ascii="宋体" w:hAnsi="宋体" w:cs="宋体"/>
          <w:color w:val="auto"/>
          <w:sz w:val="24"/>
          <w:highlight w:val="none"/>
        </w:rPr>
      </w:pPr>
      <w:r>
        <w:rPr>
          <w:rFonts w:hint="eastAsia" w:ascii="宋体" w:hAnsi="宋体" w:cs="宋体"/>
          <w:color w:val="auto"/>
          <w:sz w:val="24"/>
          <w:highlight w:val="none"/>
        </w:rPr>
        <w:t>7.1 供应商对磋商文件有疑问的，可以向采购代理机构提出询问，采购代理机构将及时做出答复；</w:t>
      </w:r>
    </w:p>
    <w:p w14:paraId="19944BF1">
      <w:pPr>
        <w:spacing w:line="276" w:lineRule="auto"/>
        <w:ind w:left="480" w:hanging="480"/>
        <w:rPr>
          <w:rFonts w:hint="eastAsia" w:ascii="宋体" w:hAnsi="宋体" w:cs="宋体"/>
          <w:color w:val="auto"/>
          <w:sz w:val="24"/>
          <w:highlight w:val="none"/>
        </w:rPr>
      </w:pPr>
      <w:r>
        <w:rPr>
          <w:rFonts w:hint="eastAsia" w:ascii="宋体" w:hAnsi="宋体" w:cs="宋体"/>
          <w:color w:val="auto"/>
          <w:sz w:val="24"/>
          <w:highlight w:val="none"/>
        </w:rPr>
        <w:t>7.2 供应商对磋商文件有质疑，须在得到磋商文件之日起至质疑截止时间止，以书面形式向采购代理机构提出质疑；采购代理机构在收到书面质疑后7个工作日内做出答复，并以书面形式通知质疑供应商。</w:t>
      </w:r>
    </w:p>
    <w:p w14:paraId="76C7D6FD">
      <w:pPr>
        <w:spacing w:line="276" w:lineRule="auto"/>
        <w:rPr>
          <w:rFonts w:hint="eastAsia" w:ascii="宋体" w:hAnsi="宋体" w:cs="宋体"/>
          <w:color w:val="auto"/>
          <w:sz w:val="24"/>
          <w:highlight w:val="none"/>
        </w:rPr>
      </w:pPr>
      <w:r>
        <w:rPr>
          <w:rFonts w:hint="eastAsia" w:ascii="宋体" w:hAnsi="宋体" w:cs="宋体"/>
          <w:color w:val="auto"/>
          <w:sz w:val="24"/>
          <w:highlight w:val="none"/>
        </w:rPr>
        <w:t>8．磋商文件的修改</w:t>
      </w:r>
    </w:p>
    <w:p w14:paraId="08F64F68">
      <w:pPr>
        <w:spacing w:line="276" w:lineRule="auto"/>
        <w:ind w:left="480" w:hanging="480"/>
        <w:rPr>
          <w:rFonts w:hint="eastAsia" w:ascii="宋体" w:hAnsi="宋体" w:cs="宋体"/>
          <w:color w:val="auto"/>
          <w:sz w:val="24"/>
          <w:highlight w:val="none"/>
        </w:rPr>
      </w:pPr>
      <w:r>
        <w:rPr>
          <w:rFonts w:hint="eastAsia" w:ascii="宋体" w:hAnsi="宋体" w:cs="宋体"/>
          <w:color w:val="auto"/>
          <w:sz w:val="24"/>
          <w:highlight w:val="none"/>
        </w:rPr>
        <w:t>8.1 对磋商文件进行必要的修改，采购代理机构将在磋商响应截止时间5日前以书面形式通知所有购买磋商文件的供应商。该修改的内容为磋商文件的组成部分；</w:t>
      </w:r>
    </w:p>
    <w:p w14:paraId="1C8C42C2">
      <w:pPr>
        <w:spacing w:line="276" w:lineRule="auto"/>
        <w:ind w:left="480" w:hanging="480"/>
        <w:rPr>
          <w:rFonts w:hint="eastAsia" w:ascii="宋体" w:hAnsi="宋体" w:cs="宋体"/>
          <w:color w:val="auto"/>
          <w:sz w:val="24"/>
          <w:highlight w:val="none"/>
        </w:rPr>
      </w:pPr>
      <w:r>
        <w:rPr>
          <w:rFonts w:hint="eastAsia" w:ascii="宋体" w:hAnsi="宋体" w:cs="宋体"/>
          <w:color w:val="auto"/>
          <w:sz w:val="24"/>
          <w:highlight w:val="none"/>
        </w:rPr>
        <w:t>8.2 在磋商响应截止时间前，采购代理机构可视具体情况延长磋商响应截止时间，并将变更时间书面通知所有购买磋商文件的供应商。</w:t>
      </w:r>
    </w:p>
    <w:p w14:paraId="47093AAA">
      <w:pPr>
        <w:spacing w:line="276" w:lineRule="auto"/>
        <w:ind w:left="480" w:hanging="480"/>
        <w:rPr>
          <w:rFonts w:hint="eastAsia" w:ascii="宋体" w:hAnsi="宋体" w:cs="宋体"/>
          <w:color w:val="auto"/>
          <w:sz w:val="24"/>
          <w:highlight w:val="none"/>
        </w:rPr>
      </w:pPr>
    </w:p>
    <w:p w14:paraId="0DA0649F">
      <w:pPr>
        <w:pStyle w:val="4"/>
        <w:spacing w:before="100" w:beforeAutospacing="1" w:after="100" w:afterAutospacing="1" w:line="276" w:lineRule="auto"/>
        <w:jc w:val="center"/>
        <w:rPr>
          <w:rFonts w:hint="eastAsia" w:ascii="宋体" w:hAnsi="宋体" w:eastAsia="宋体" w:cs="宋体"/>
          <w:color w:val="auto"/>
          <w:sz w:val="28"/>
          <w:szCs w:val="28"/>
          <w:highlight w:val="none"/>
        </w:rPr>
      </w:pPr>
      <w:bookmarkStart w:id="24" w:name="_Toc83726733"/>
      <w:bookmarkStart w:id="25" w:name="_Toc349637922"/>
      <w:bookmarkStart w:id="26" w:name="_Toc267301284"/>
      <w:bookmarkStart w:id="27" w:name="_Toc349573123"/>
      <w:bookmarkStart w:id="28" w:name="_Toc298240407"/>
      <w:r>
        <w:rPr>
          <w:rFonts w:hint="eastAsia" w:ascii="宋体" w:hAnsi="宋体" w:eastAsia="宋体" w:cs="宋体"/>
          <w:color w:val="auto"/>
          <w:sz w:val="28"/>
          <w:szCs w:val="28"/>
          <w:highlight w:val="none"/>
        </w:rPr>
        <w:t>C  磋商响应文件的编写</w:t>
      </w:r>
      <w:bookmarkEnd w:id="24"/>
      <w:bookmarkEnd w:id="25"/>
      <w:bookmarkEnd w:id="26"/>
      <w:bookmarkEnd w:id="27"/>
      <w:bookmarkEnd w:id="28"/>
    </w:p>
    <w:p w14:paraId="354183D0">
      <w:pPr>
        <w:spacing w:line="276" w:lineRule="auto"/>
        <w:rPr>
          <w:rFonts w:hint="eastAsia" w:ascii="宋体" w:hAnsi="宋体" w:cs="宋体"/>
          <w:color w:val="auto"/>
          <w:sz w:val="24"/>
          <w:highlight w:val="none"/>
        </w:rPr>
      </w:pPr>
      <w:r>
        <w:rPr>
          <w:rFonts w:hint="eastAsia" w:ascii="宋体" w:hAnsi="宋体" w:cs="宋体"/>
          <w:color w:val="auto"/>
          <w:sz w:val="24"/>
          <w:highlight w:val="none"/>
        </w:rPr>
        <w:t>9．要求</w:t>
      </w:r>
    </w:p>
    <w:p w14:paraId="2CD737B6">
      <w:pPr>
        <w:spacing w:line="276" w:lineRule="auto"/>
        <w:ind w:left="360" w:hanging="360" w:hangingChars="150"/>
        <w:rPr>
          <w:rFonts w:hint="eastAsia" w:ascii="宋体" w:hAnsi="宋体" w:cs="宋体"/>
          <w:color w:val="auto"/>
          <w:sz w:val="24"/>
          <w:highlight w:val="none"/>
        </w:rPr>
      </w:pPr>
      <w:r>
        <w:rPr>
          <w:rFonts w:hint="eastAsia" w:ascii="宋体" w:hAnsi="宋体" w:cs="宋体"/>
          <w:color w:val="auto"/>
          <w:sz w:val="24"/>
          <w:highlight w:val="none"/>
        </w:rPr>
        <w:t>9.1 供应商应仔细阅读磋商文件的所有内容，按磋商文件的要求提供磋商响应文件，并保证所提供的全部资料的真实性，以使其对磋商文件作出实质性响应，否则，其磋商可能被拒绝。</w:t>
      </w:r>
    </w:p>
    <w:p w14:paraId="2871C9D7">
      <w:pPr>
        <w:spacing w:line="276" w:lineRule="auto"/>
        <w:rPr>
          <w:rFonts w:hint="eastAsia" w:ascii="宋体" w:hAnsi="宋体" w:cs="宋体"/>
          <w:color w:val="auto"/>
          <w:sz w:val="24"/>
          <w:highlight w:val="none"/>
        </w:rPr>
      </w:pPr>
      <w:r>
        <w:rPr>
          <w:rFonts w:hint="eastAsia" w:ascii="宋体" w:hAnsi="宋体" w:cs="宋体"/>
          <w:color w:val="auto"/>
          <w:sz w:val="24"/>
          <w:highlight w:val="none"/>
        </w:rPr>
        <w:t>10．磋商语言</w:t>
      </w:r>
    </w:p>
    <w:p w14:paraId="027D1A6A">
      <w:pPr>
        <w:spacing w:line="276" w:lineRule="auto"/>
        <w:ind w:left="600" w:hanging="600" w:hangingChars="250"/>
        <w:rPr>
          <w:rFonts w:hint="eastAsia" w:ascii="宋体" w:hAnsi="宋体" w:cs="宋体"/>
          <w:color w:val="auto"/>
          <w:sz w:val="24"/>
          <w:highlight w:val="none"/>
        </w:rPr>
      </w:pPr>
      <w:r>
        <w:rPr>
          <w:rFonts w:hint="eastAsia" w:ascii="宋体" w:hAnsi="宋体" w:cs="宋体"/>
          <w:color w:val="auto"/>
          <w:sz w:val="24"/>
          <w:highlight w:val="none"/>
        </w:rPr>
        <w:t>10.1磋商响应文件及供应商与采购代理机构就磋商交换的文件和来往信件，应以中文书写。</w:t>
      </w:r>
    </w:p>
    <w:p w14:paraId="4617310A">
      <w:pPr>
        <w:spacing w:line="276" w:lineRule="auto"/>
        <w:rPr>
          <w:rFonts w:hint="eastAsia" w:ascii="宋体" w:hAnsi="宋体" w:cs="宋体"/>
          <w:color w:val="auto"/>
          <w:sz w:val="24"/>
          <w:highlight w:val="none"/>
        </w:rPr>
      </w:pPr>
      <w:r>
        <w:rPr>
          <w:rFonts w:hint="eastAsia" w:ascii="宋体" w:hAnsi="宋体" w:cs="宋体"/>
          <w:color w:val="auto"/>
          <w:sz w:val="24"/>
          <w:highlight w:val="none"/>
        </w:rPr>
        <w:t>11．磋商响应文件的构成</w:t>
      </w:r>
    </w:p>
    <w:p w14:paraId="3CCA906F">
      <w:pPr>
        <w:spacing w:line="276" w:lineRule="auto"/>
        <w:rPr>
          <w:rFonts w:hint="eastAsia" w:ascii="宋体" w:hAnsi="宋体" w:cs="宋体"/>
          <w:color w:val="auto"/>
          <w:sz w:val="24"/>
          <w:highlight w:val="none"/>
        </w:rPr>
      </w:pPr>
      <w:r>
        <w:rPr>
          <w:rFonts w:hint="eastAsia" w:ascii="宋体" w:hAnsi="宋体" w:cs="宋体"/>
          <w:color w:val="auto"/>
          <w:sz w:val="24"/>
          <w:highlight w:val="none"/>
        </w:rPr>
        <w:t>11.1 供应商编写的磋商响应文件应包括下列内容：</w:t>
      </w:r>
    </w:p>
    <w:p w14:paraId="15935E33">
      <w:pPr>
        <w:numPr>
          <w:ilvl w:val="0"/>
          <w:numId w:val="9"/>
        </w:numPr>
        <w:tabs>
          <w:tab w:val="left" w:pos="540"/>
          <w:tab w:val="left" w:pos="900"/>
          <w:tab w:val="left" w:pos="1080"/>
          <w:tab w:val="clear" w:pos="1440"/>
        </w:tabs>
        <w:spacing w:line="276" w:lineRule="auto"/>
        <w:ind w:left="720" w:hanging="360"/>
        <w:rPr>
          <w:rFonts w:hint="eastAsia" w:ascii="宋体" w:hAnsi="宋体" w:cs="宋体"/>
          <w:color w:val="auto"/>
          <w:sz w:val="24"/>
          <w:highlight w:val="none"/>
        </w:rPr>
      </w:pPr>
      <w:r>
        <w:rPr>
          <w:rFonts w:hint="eastAsia" w:ascii="宋体" w:hAnsi="宋体" w:cs="宋体"/>
          <w:color w:val="auto"/>
          <w:sz w:val="24"/>
          <w:highlight w:val="none"/>
        </w:rPr>
        <w:t>磋商响应书、报价一览表、分项报价表；</w:t>
      </w:r>
    </w:p>
    <w:p w14:paraId="48B88AAD">
      <w:pPr>
        <w:numPr>
          <w:ilvl w:val="0"/>
          <w:numId w:val="9"/>
        </w:numPr>
        <w:tabs>
          <w:tab w:val="left" w:pos="540"/>
          <w:tab w:val="left" w:pos="900"/>
          <w:tab w:val="left" w:pos="1080"/>
          <w:tab w:val="clear" w:pos="1440"/>
        </w:tabs>
        <w:spacing w:line="276" w:lineRule="auto"/>
        <w:ind w:left="720" w:hanging="360"/>
        <w:rPr>
          <w:rFonts w:hint="eastAsia" w:ascii="宋体" w:hAnsi="宋体" w:cs="宋体"/>
          <w:color w:val="auto"/>
          <w:sz w:val="24"/>
          <w:highlight w:val="none"/>
        </w:rPr>
      </w:pPr>
      <w:r>
        <w:rPr>
          <w:rFonts w:hint="eastAsia" w:ascii="宋体" w:hAnsi="宋体" w:cs="宋体"/>
          <w:color w:val="auto"/>
          <w:sz w:val="24"/>
          <w:highlight w:val="none"/>
        </w:rPr>
        <w:t>资格证明文件；填写供应商简介表一份</w:t>
      </w:r>
    </w:p>
    <w:p w14:paraId="345E2C4B">
      <w:pPr>
        <w:numPr>
          <w:ilvl w:val="0"/>
          <w:numId w:val="9"/>
        </w:numPr>
        <w:tabs>
          <w:tab w:val="left" w:pos="540"/>
          <w:tab w:val="left" w:pos="900"/>
          <w:tab w:val="left" w:pos="1080"/>
          <w:tab w:val="clear" w:pos="1440"/>
        </w:tabs>
        <w:spacing w:line="276" w:lineRule="auto"/>
        <w:ind w:left="720" w:hanging="360"/>
        <w:rPr>
          <w:rFonts w:hint="eastAsia" w:ascii="宋体" w:hAnsi="宋体" w:cs="宋体"/>
          <w:color w:val="auto"/>
          <w:sz w:val="24"/>
          <w:highlight w:val="none"/>
        </w:rPr>
      </w:pPr>
      <w:r>
        <w:rPr>
          <w:rFonts w:hint="eastAsia" w:ascii="宋体" w:hAnsi="宋体" w:cs="宋体"/>
          <w:color w:val="auto"/>
          <w:sz w:val="24"/>
          <w:highlight w:val="none"/>
        </w:rPr>
        <w:t>所投服务的相关技术/证明资料（包括服务方案）；</w:t>
      </w:r>
    </w:p>
    <w:p w14:paraId="6D4645E9">
      <w:pPr>
        <w:numPr>
          <w:ilvl w:val="0"/>
          <w:numId w:val="9"/>
        </w:numPr>
        <w:tabs>
          <w:tab w:val="left" w:pos="540"/>
          <w:tab w:val="left" w:pos="900"/>
          <w:tab w:val="left" w:pos="1080"/>
          <w:tab w:val="clear" w:pos="1440"/>
        </w:tabs>
        <w:spacing w:line="276" w:lineRule="auto"/>
        <w:ind w:left="720" w:hanging="360"/>
        <w:rPr>
          <w:rFonts w:hint="eastAsia" w:ascii="宋体" w:hAnsi="宋体" w:cs="宋体"/>
          <w:color w:val="auto"/>
          <w:sz w:val="24"/>
          <w:highlight w:val="none"/>
        </w:rPr>
      </w:pPr>
      <w:r>
        <w:rPr>
          <w:rFonts w:hint="eastAsia" w:ascii="宋体" w:hAnsi="宋体" w:cs="宋体"/>
          <w:color w:val="auto"/>
          <w:sz w:val="24"/>
          <w:highlight w:val="none"/>
        </w:rPr>
        <w:t>磋商文件服务需求及技术规格、合同特殊条款中要求提交的文件资料。</w:t>
      </w:r>
    </w:p>
    <w:p w14:paraId="08A038CB">
      <w:pPr>
        <w:numPr>
          <w:ilvl w:val="0"/>
          <w:numId w:val="9"/>
        </w:numPr>
        <w:tabs>
          <w:tab w:val="left" w:pos="540"/>
          <w:tab w:val="left" w:pos="900"/>
          <w:tab w:val="left" w:pos="1080"/>
          <w:tab w:val="clear" w:pos="1440"/>
        </w:tabs>
        <w:spacing w:line="276" w:lineRule="auto"/>
        <w:ind w:left="720" w:hanging="360"/>
        <w:rPr>
          <w:rFonts w:hint="eastAsia" w:ascii="宋体" w:hAnsi="宋体" w:cs="宋体"/>
          <w:color w:val="auto"/>
          <w:sz w:val="24"/>
          <w:highlight w:val="none"/>
        </w:rPr>
      </w:pPr>
      <w:r>
        <w:rPr>
          <w:rFonts w:hint="eastAsia" w:ascii="宋体" w:hAnsi="宋体" w:cs="宋体"/>
          <w:color w:val="auto"/>
          <w:sz w:val="24"/>
          <w:highlight w:val="none"/>
        </w:rPr>
        <w:t xml:space="preserve">授权委托书及受委托人身份证复印件； </w:t>
      </w:r>
    </w:p>
    <w:p w14:paraId="448311DD">
      <w:pPr>
        <w:numPr>
          <w:ilvl w:val="0"/>
          <w:numId w:val="9"/>
        </w:numPr>
        <w:tabs>
          <w:tab w:val="left" w:pos="540"/>
          <w:tab w:val="left" w:pos="900"/>
          <w:tab w:val="left" w:pos="1080"/>
          <w:tab w:val="clear" w:pos="1440"/>
        </w:tabs>
        <w:spacing w:line="276" w:lineRule="auto"/>
        <w:ind w:left="720" w:hanging="360"/>
        <w:rPr>
          <w:rFonts w:hint="eastAsia" w:ascii="宋体" w:hAnsi="宋体" w:cs="宋体"/>
          <w:color w:val="auto"/>
          <w:sz w:val="24"/>
          <w:highlight w:val="none"/>
        </w:rPr>
      </w:pPr>
      <w:r>
        <w:rPr>
          <w:rFonts w:hint="eastAsia" w:ascii="宋体" w:hAnsi="宋体" w:cs="宋体"/>
          <w:color w:val="auto"/>
          <w:sz w:val="24"/>
          <w:highlight w:val="none"/>
        </w:rPr>
        <w:t xml:space="preserve">商务条款偏离表； </w:t>
      </w:r>
    </w:p>
    <w:p w14:paraId="69B9C32E">
      <w:pPr>
        <w:numPr>
          <w:ilvl w:val="0"/>
          <w:numId w:val="9"/>
        </w:numPr>
        <w:tabs>
          <w:tab w:val="left" w:pos="540"/>
          <w:tab w:val="left" w:pos="900"/>
          <w:tab w:val="left" w:pos="1080"/>
          <w:tab w:val="clear" w:pos="1440"/>
        </w:tabs>
        <w:spacing w:line="276" w:lineRule="auto"/>
        <w:ind w:left="720" w:hanging="360"/>
        <w:rPr>
          <w:rFonts w:hint="eastAsia" w:ascii="宋体" w:hAnsi="宋体" w:cs="宋体"/>
          <w:color w:val="auto"/>
          <w:sz w:val="24"/>
          <w:highlight w:val="none"/>
        </w:rPr>
      </w:pPr>
      <w:r>
        <w:rPr>
          <w:rFonts w:hint="eastAsia" w:ascii="宋体" w:hAnsi="宋体" w:cs="宋体"/>
          <w:color w:val="auto"/>
          <w:sz w:val="24"/>
          <w:highlight w:val="none"/>
        </w:rPr>
        <w:t>供应商基本情况表；</w:t>
      </w:r>
    </w:p>
    <w:p w14:paraId="2D69D64D">
      <w:pPr>
        <w:numPr>
          <w:ilvl w:val="0"/>
          <w:numId w:val="9"/>
        </w:numPr>
        <w:tabs>
          <w:tab w:val="left" w:pos="540"/>
          <w:tab w:val="left" w:pos="900"/>
          <w:tab w:val="left" w:pos="1080"/>
          <w:tab w:val="clear" w:pos="1440"/>
        </w:tabs>
        <w:spacing w:line="276" w:lineRule="auto"/>
        <w:ind w:left="720" w:hanging="360"/>
        <w:rPr>
          <w:rFonts w:hint="eastAsia" w:ascii="宋体" w:hAnsi="宋体" w:cs="宋体"/>
          <w:color w:val="auto"/>
          <w:sz w:val="24"/>
          <w:highlight w:val="none"/>
        </w:rPr>
      </w:pPr>
      <w:r>
        <w:rPr>
          <w:rFonts w:hint="eastAsia" w:ascii="宋体" w:hAnsi="宋体" w:cs="宋体"/>
          <w:color w:val="auto"/>
          <w:sz w:val="24"/>
          <w:highlight w:val="none"/>
        </w:rPr>
        <w:t>项目负责人及成员情况表；</w:t>
      </w:r>
    </w:p>
    <w:p w14:paraId="17B8E5CD">
      <w:pPr>
        <w:numPr>
          <w:ilvl w:val="0"/>
          <w:numId w:val="9"/>
        </w:numPr>
        <w:tabs>
          <w:tab w:val="left" w:pos="540"/>
          <w:tab w:val="left" w:pos="900"/>
          <w:tab w:val="left" w:pos="1080"/>
          <w:tab w:val="clear" w:pos="1440"/>
        </w:tabs>
        <w:spacing w:line="276" w:lineRule="auto"/>
        <w:ind w:left="720" w:hanging="360"/>
        <w:rPr>
          <w:rFonts w:hint="eastAsia" w:ascii="宋体" w:hAnsi="宋体" w:cs="宋体"/>
          <w:color w:val="auto"/>
          <w:sz w:val="24"/>
          <w:highlight w:val="none"/>
        </w:rPr>
      </w:pPr>
      <w:r>
        <w:rPr>
          <w:rFonts w:hint="eastAsia" w:ascii="宋体" w:hAnsi="宋体" w:cs="宋体"/>
          <w:color w:val="auto"/>
          <w:sz w:val="24"/>
          <w:highlight w:val="none"/>
        </w:rPr>
        <w:t xml:space="preserve">供应商诚信承诺书。 </w:t>
      </w:r>
    </w:p>
    <w:p w14:paraId="1A0639BF">
      <w:pPr>
        <w:spacing w:line="276" w:lineRule="auto"/>
        <w:rPr>
          <w:rFonts w:hint="eastAsia" w:ascii="宋体" w:hAnsi="宋体" w:cs="宋体"/>
          <w:color w:val="auto"/>
          <w:sz w:val="24"/>
          <w:highlight w:val="none"/>
        </w:rPr>
      </w:pPr>
      <w:r>
        <w:rPr>
          <w:rFonts w:hint="eastAsia" w:ascii="宋体" w:hAnsi="宋体" w:cs="宋体"/>
          <w:color w:val="auto"/>
          <w:sz w:val="24"/>
          <w:highlight w:val="none"/>
        </w:rPr>
        <w:t>11.2 供应商应将磋商响应文件编制成册，并制作目录。</w:t>
      </w:r>
    </w:p>
    <w:p w14:paraId="11F3291C">
      <w:pPr>
        <w:spacing w:line="276" w:lineRule="auto"/>
        <w:rPr>
          <w:rFonts w:hint="eastAsia" w:ascii="宋体" w:hAnsi="宋体" w:cs="宋体"/>
          <w:color w:val="auto"/>
          <w:sz w:val="24"/>
          <w:highlight w:val="none"/>
        </w:rPr>
      </w:pPr>
      <w:r>
        <w:rPr>
          <w:rFonts w:hint="eastAsia" w:ascii="宋体" w:hAnsi="宋体" w:cs="宋体"/>
          <w:color w:val="auto"/>
          <w:sz w:val="24"/>
          <w:highlight w:val="none"/>
        </w:rPr>
        <w:t>12．磋商响应文件格式</w:t>
      </w:r>
    </w:p>
    <w:p w14:paraId="30B2E027">
      <w:pPr>
        <w:spacing w:line="276" w:lineRule="auto"/>
        <w:ind w:left="600" w:hanging="600" w:hangingChars="250"/>
        <w:rPr>
          <w:rFonts w:hint="eastAsia" w:ascii="宋体" w:hAnsi="宋体" w:cs="宋体"/>
          <w:color w:val="auto"/>
          <w:sz w:val="24"/>
          <w:highlight w:val="none"/>
        </w:rPr>
      </w:pPr>
      <w:r>
        <w:rPr>
          <w:rFonts w:hint="eastAsia" w:ascii="宋体" w:hAnsi="宋体" w:cs="宋体"/>
          <w:color w:val="auto"/>
          <w:sz w:val="24"/>
          <w:highlight w:val="none"/>
        </w:rPr>
        <w:t>12.1 供应商应按磋商文件的范本格式中提供的磋商响应文件格式填写磋商响应书、开标一览表、分项报价表。</w:t>
      </w:r>
    </w:p>
    <w:p w14:paraId="10912ED9">
      <w:pPr>
        <w:spacing w:line="276" w:lineRule="auto"/>
        <w:rPr>
          <w:rFonts w:hint="eastAsia" w:ascii="宋体" w:hAnsi="宋体" w:cs="宋体"/>
          <w:color w:val="auto"/>
          <w:sz w:val="24"/>
          <w:highlight w:val="none"/>
        </w:rPr>
      </w:pPr>
      <w:r>
        <w:rPr>
          <w:rFonts w:hint="eastAsia" w:ascii="宋体" w:hAnsi="宋体" w:cs="宋体"/>
          <w:color w:val="auto"/>
          <w:sz w:val="24"/>
          <w:highlight w:val="none"/>
        </w:rPr>
        <w:t>13．磋商报价</w:t>
      </w:r>
    </w:p>
    <w:p w14:paraId="2368742B">
      <w:pPr>
        <w:spacing w:line="276" w:lineRule="auto"/>
        <w:ind w:left="600" w:hanging="600" w:hangingChars="250"/>
        <w:rPr>
          <w:rFonts w:hint="eastAsia" w:ascii="宋体" w:hAnsi="宋体" w:cs="宋体"/>
          <w:color w:val="auto"/>
          <w:sz w:val="24"/>
          <w:highlight w:val="none"/>
        </w:rPr>
      </w:pPr>
      <w:r>
        <w:rPr>
          <w:rFonts w:hint="eastAsia" w:ascii="宋体" w:hAnsi="宋体" w:cs="宋体"/>
          <w:color w:val="auto"/>
          <w:sz w:val="24"/>
          <w:highlight w:val="none"/>
        </w:rPr>
        <w:t>13.1除本磋商文件另有规定外，供应商应按磋商文件所附相应的开标一览表格式标明拟提供服务的单价和总价等内容。报价以人民币报价，不接受有任何选择性报价。</w:t>
      </w:r>
    </w:p>
    <w:p w14:paraId="3B9C01D9">
      <w:pPr>
        <w:spacing w:line="276" w:lineRule="auto"/>
        <w:rPr>
          <w:rFonts w:hint="eastAsia" w:ascii="宋体" w:hAnsi="宋体" w:cs="宋体"/>
          <w:color w:val="auto"/>
          <w:sz w:val="24"/>
          <w:highlight w:val="none"/>
        </w:rPr>
      </w:pPr>
      <w:r>
        <w:rPr>
          <w:rFonts w:hint="eastAsia" w:ascii="宋体" w:hAnsi="宋体" w:cs="宋体"/>
          <w:color w:val="auto"/>
          <w:sz w:val="24"/>
          <w:highlight w:val="none"/>
        </w:rPr>
        <w:t>13.2 磋商报价应注意下列要求：</w:t>
      </w:r>
    </w:p>
    <w:p w14:paraId="5DC0C891">
      <w:pPr>
        <w:spacing w:line="276" w:lineRule="auto"/>
        <w:rPr>
          <w:rFonts w:hint="eastAsia" w:ascii="宋体" w:hAnsi="宋体" w:cs="宋体"/>
          <w:color w:val="auto"/>
          <w:sz w:val="24"/>
          <w:highlight w:val="none"/>
        </w:rPr>
      </w:pPr>
      <w:r>
        <w:rPr>
          <w:rFonts w:hint="eastAsia" w:ascii="宋体" w:hAnsi="宋体" w:cs="宋体"/>
          <w:color w:val="auto"/>
          <w:sz w:val="24"/>
          <w:highlight w:val="none"/>
        </w:rPr>
        <w:t>13.2.1磋商报价应包括实施该项目涵盖的所有费用。</w:t>
      </w:r>
    </w:p>
    <w:p w14:paraId="266C9043">
      <w:pPr>
        <w:spacing w:line="276" w:lineRule="auto"/>
        <w:ind w:left="629" w:hanging="628" w:hangingChars="262"/>
        <w:rPr>
          <w:rFonts w:hint="eastAsia" w:ascii="宋体" w:hAnsi="宋体" w:cs="宋体"/>
          <w:color w:val="auto"/>
          <w:sz w:val="24"/>
          <w:highlight w:val="none"/>
        </w:rPr>
      </w:pPr>
      <w:r>
        <w:rPr>
          <w:rFonts w:hint="eastAsia" w:ascii="宋体" w:hAnsi="宋体" w:cs="宋体"/>
          <w:color w:val="auto"/>
          <w:sz w:val="24"/>
          <w:highlight w:val="none"/>
        </w:rPr>
        <w:t>13.3 算术性修正。算术性修正是指对磋商响应文件的报价明细进行校核，并对其算术上和运算上的差错给予修正。修正的原则如下：</w:t>
      </w:r>
    </w:p>
    <w:p w14:paraId="3E2F19B7">
      <w:pPr>
        <w:spacing w:line="276" w:lineRule="auto"/>
        <w:ind w:left="720" w:hanging="720" w:hangingChars="300"/>
        <w:rPr>
          <w:rFonts w:hint="eastAsia" w:ascii="宋体" w:hAnsi="宋体" w:cs="宋体"/>
          <w:color w:val="auto"/>
          <w:sz w:val="24"/>
          <w:highlight w:val="none"/>
        </w:rPr>
      </w:pPr>
      <w:r>
        <w:rPr>
          <w:rFonts w:hint="eastAsia" w:ascii="宋体" w:hAnsi="宋体" w:cs="宋体"/>
          <w:color w:val="auto"/>
          <w:sz w:val="24"/>
          <w:highlight w:val="none"/>
        </w:rPr>
        <w:t>13.3.1 当以小写表示的金额与大写表示的金额有差异时，以大写表示的金额为准；</w:t>
      </w:r>
    </w:p>
    <w:p w14:paraId="1F907FC4">
      <w:pPr>
        <w:spacing w:line="276" w:lineRule="auto"/>
        <w:ind w:left="720" w:hanging="720" w:hangingChars="300"/>
        <w:rPr>
          <w:rFonts w:hint="eastAsia" w:ascii="宋体" w:hAnsi="宋体" w:cs="宋体"/>
          <w:color w:val="auto"/>
          <w:sz w:val="24"/>
          <w:highlight w:val="none"/>
        </w:rPr>
      </w:pPr>
      <w:r>
        <w:rPr>
          <w:rFonts w:hint="eastAsia" w:ascii="宋体" w:hAnsi="宋体" w:cs="宋体"/>
          <w:color w:val="auto"/>
          <w:sz w:val="24"/>
          <w:highlight w:val="none"/>
        </w:rPr>
        <w:t>13.3.2 当单价与数量相乘不等于合价时，以单价计算为准。如果单价有明显的小数点位置差错，应以标出的合价为准，同时对单价予以修正；</w:t>
      </w:r>
    </w:p>
    <w:p w14:paraId="0EE4B5DF">
      <w:pPr>
        <w:spacing w:line="276" w:lineRule="auto"/>
        <w:ind w:left="720" w:hanging="720" w:hangingChars="300"/>
        <w:rPr>
          <w:rFonts w:hint="eastAsia" w:ascii="宋体" w:hAnsi="宋体" w:cs="宋体"/>
          <w:color w:val="auto"/>
          <w:sz w:val="24"/>
          <w:highlight w:val="none"/>
        </w:rPr>
      </w:pPr>
      <w:r>
        <w:rPr>
          <w:rFonts w:hint="eastAsia" w:ascii="宋体" w:hAnsi="宋体" w:cs="宋体"/>
          <w:color w:val="auto"/>
          <w:sz w:val="24"/>
          <w:highlight w:val="none"/>
        </w:rPr>
        <w:t>13.3.3 当各明细部分的价格累计不等于合价时，应以各明细的累计计数为准，修正合价。</w:t>
      </w:r>
    </w:p>
    <w:p w14:paraId="221F3B74">
      <w:pPr>
        <w:spacing w:line="276" w:lineRule="auto"/>
        <w:ind w:left="720" w:hanging="720" w:hangingChars="300"/>
        <w:rPr>
          <w:rFonts w:hint="eastAsia" w:ascii="宋体" w:hAnsi="宋体" w:cs="宋体"/>
          <w:color w:val="auto"/>
          <w:sz w:val="24"/>
          <w:highlight w:val="none"/>
        </w:rPr>
      </w:pPr>
      <w:r>
        <w:rPr>
          <w:rFonts w:hint="eastAsia" w:ascii="宋体" w:hAnsi="宋体" w:cs="宋体"/>
          <w:color w:val="auto"/>
          <w:sz w:val="24"/>
          <w:highlight w:val="none"/>
        </w:rPr>
        <w:t>13.3.4 按以上原则对算术性差错修正，应取得供应商的同意，并确认修正后最终报价。如果供应商拒绝确认，则其磋商响应文件将不予以评审并按废标处理，没收其磋商担保。</w:t>
      </w:r>
    </w:p>
    <w:p w14:paraId="58C3CC57">
      <w:pPr>
        <w:spacing w:line="276" w:lineRule="auto"/>
        <w:ind w:left="720" w:hanging="720" w:hangingChars="300"/>
        <w:rPr>
          <w:rFonts w:hint="eastAsia" w:ascii="宋体" w:hAnsi="宋体" w:cs="宋体"/>
          <w:color w:val="auto"/>
          <w:sz w:val="24"/>
          <w:highlight w:val="none"/>
        </w:rPr>
      </w:pPr>
      <w:r>
        <w:rPr>
          <w:rFonts w:hint="eastAsia" w:ascii="宋体" w:hAnsi="宋体" w:cs="宋体"/>
          <w:color w:val="auto"/>
          <w:sz w:val="24"/>
          <w:highlight w:val="none"/>
        </w:rPr>
        <w:t>13.3.5政府采购评审中出现下列情形之一的，评审委员会应当启动异常低价投标（响应）审查程序：</w:t>
      </w:r>
    </w:p>
    <w:p w14:paraId="6D134AB8">
      <w:pPr>
        <w:spacing w:line="27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①投标（响应）报价低于全部通过符合性审查供应商投标（响应）报价平均值50%的，即投标（响应）报价&lt;全部通过符合性审查供应商投标（响应）报价平均值×50%；</w:t>
      </w:r>
    </w:p>
    <w:p w14:paraId="09C51D33">
      <w:pPr>
        <w:spacing w:line="27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②投标（响应）报价低于通过符合性审查的次低报价供应商投标（响应）报价50%的，即投标（响应）报价&lt;通过符合性审查的次低报价供应商投标（响应）报价×50%；</w:t>
      </w:r>
    </w:p>
    <w:p w14:paraId="67CD6D9D">
      <w:pPr>
        <w:spacing w:line="27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③投标（响应）报价低于采购项目最高限价45%的，即投标（响应）报价&lt;采购项目最高限价×45%；</w:t>
      </w:r>
    </w:p>
    <w:p w14:paraId="3ABA5582">
      <w:pPr>
        <w:spacing w:line="27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④评审委员会基于专业判断，认为供应商报价过低，有可能影响产品质量或者不能诚信履约的其他情形。</w:t>
      </w:r>
    </w:p>
    <w:p w14:paraId="7B82A7C0">
      <w:pPr>
        <w:spacing w:line="276" w:lineRule="auto"/>
        <w:rPr>
          <w:rFonts w:hint="eastAsia" w:ascii="宋体" w:hAnsi="宋体" w:cs="宋体"/>
          <w:color w:val="auto"/>
          <w:sz w:val="24"/>
          <w:highlight w:val="none"/>
        </w:rPr>
      </w:pPr>
      <w:r>
        <w:rPr>
          <w:rFonts w:hint="eastAsia" w:ascii="宋体" w:hAnsi="宋体" w:cs="宋体"/>
          <w:color w:val="auto"/>
          <w:sz w:val="24"/>
          <w:highlight w:val="none"/>
        </w:rPr>
        <w:t>14．磋商货币</w:t>
      </w:r>
    </w:p>
    <w:p w14:paraId="60DC6471">
      <w:pPr>
        <w:spacing w:line="276" w:lineRule="auto"/>
        <w:rPr>
          <w:rFonts w:hint="eastAsia" w:ascii="宋体" w:hAnsi="宋体" w:cs="宋体"/>
          <w:color w:val="auto"/>
          <w:sz w:val="24"/>
          <w:highlight w:val="none"/>
        </w:rPr>
      </w:pPr>
      <w:r>
        <w:rPr>
          <w:rFonts w:hint="eastAsia" w:ascii="宋体" w:hAnsi="宋体" w:cs="宋体"/>
          <w:color w:val="auto"/>
          <w:sz w:val="24"/>
          <w:highlight w:val="none"/>
        </w:rPr>
        <w:t>14.1人民币报价。</w:t>
      </w:r>
    </w:p>
    <w:p w14:paraId="4725E9FB">
      <w:pPr>
        <w:spacing w:line="276" w:lineRule="auto"/>
        <w:rPr>
          <w:rFonts w:hint="eastAsia" w:ascii="宋体" w:hAnsi="宋体" w:cs="宋体"/>
          <w:b/>
          <w:color w:val="auto"/>
          <w:sz w:val="24"/>
          <w:highlight w:val="none"/>
        </w:rPr>
      </w:pPr>
      <w:r>
        <w:rPr>
          <w:rFonts w:hint="eastAsia" w:ascii="宋体" w:hAnsi="宋体" w:cs="宋体"/>
          <w:color w:val="auto"/>
          <w:sz w:val="24"/>
          <w:highlight w:val="none"/>
        </w:rPr>
        <w:t>15．</w:t>
      </w:r>
      <w:r>
        <w:rPr>
          <w:rFonts w:hint="eastAsia" w:ascii="宋体" w:hAnsi="宋体" w:cs="宋体"/>
          <w:b/>
          <w:color w:val="auto"/>
          <w:sz w:val="24"/>
          <w:highlight w:val="none"/>
        </w:rPr>
        <w:t>供应商的证明文件：</w:t>
      </w:r>
    </w:p>
    <w:p w14:paraId="62BB0A1E">
      <w:pPr>
        <w:spacing w:line="276" w:lineRule="auto"/>
        <w:ind w:firstLine="482" w:firstLineChars="200"/>
        <w:rPr>
          <w:rFonts w:hint="eastAsia" w:ascii="宋体" w:hAnsi="宋体" w:cs="宋体"/>
          <w:b/>
          <w:color w:val="auto"/>
          <w:spacing w:val="8"/>
          <w:sz w:val="24"/>
          <w:szCs w:val="24"/>
          <w:highlight w:val="none"/>
        </w:rPr>
      </w:pPr>
      <w:r>
        <w:rPr>
          <w:rFonts w:hint="eastAsia" w:ascii="宋体" w:hAnsi="宋体" w:cs="宋体"/>
          <w:b/>
          <w:color w:val="auto"/>
          <w:sz w:val="24"/>
          <w:highlight w:val="none"/>
        </w:rPr>
        <w:t>供应商必须提交证明其有资格进行磋商和有能力履行合同的文件，作为磋商响应文件的一部分。详见“供应商须知附表第6条”</w:t>
      </w:r>
      <w:r>
        <w:rPr>
          <w:rFonts w:hint="eastAsia" w:ascii="宋体" w:hAnsi="宋体" w:cs="宋体"/>
          <w:b/>
          <w:color w:val="auto"/>
          <w:spacing w:val="8"/>
          <w:sz w:val="24"/>
          <w:szCs w:val="24"/>
          <w:highlight w:val="none"/>
        </w:rPr>
        <w:t>。供应商必须按照资格审核要求提供证明材料，否则资格审核不予通过。</w:t>
      </w:r>
    </w:p>
    <w:p w14:paraId="7A10FA98">
      <w:pPr>
        <w:spacing w:line="276" w:lineRule="auto"/>
        <w:ind w:left="73" w:leftChars="35"/>
        <w:rPr>
          <w:rFonts w:hint="eastAsia" w:ascii="宋体" w:hAnsi="宋体" w:cs="宋体"/>
          <w:b/>
          <w:color w:val="auto"/>
          <w:spacing w:val="8"/>
          <w:sz w:val="24"/>
          <w:szCs w:val="24"/>
          <w:highlight w:val="none"/>
        </w:rPr>
      </w:pPr>
      <w:r>
        <w:rPr>
          <w:rFonts w:hint="eastAsia" w:ascii="宋体" w:hAnsi="宋体" w:cs="宋体"/>
          <w:b/>
          <w:color w:val="auto"/>
          <w:spacing w:val="8"/>
          <w:sz w:val="24"/>
          <w:szCs w:val="24"/>
          <w:highlight w:val="none"/>
        </w:rPr>
        <w:t>注：（1）磋商响应文件中，所有供应商签字、法人代表签字、法人代表授权人签字和其它签字处须同时加盖有关有法律效力的印章方为有效；</w:t>
      </w:r>
    </w:p>
    <w:p w14:paraId="385E1A98">
      <w:pPr>
        <w:spacing w:line="276" w:lineRule="auto"/>
        <w:ind w:firstLine="482" w:firstLineChars="200"/>
        <w:rPr>
          <w:rFonts w:hint="eastAsia" w:ascii="宋体" w:hAnsi="宋体" w:cs="宋体"/>
          <w:color w:val="auto"/>
          <w:sz w:val="24"/>
          <w:highlight w:val="none"/>
        </w:rPr>
      </w:pPr>
      <w:r>
        <w:rPr>
          <w:rFonts w:hint="eastAsia" w:ascii="宋体" w:hAnsi="宋体" w:cs="宋体"/>
          <w:b/>
          <w:color w:val="auto"/>
          <w:sz w:val="24"/>
          <w:highlight w:val="none"/>
        </w:rPr>
        <w:t>（2）所有资格证明文件必须满足磋商文件要求，否则将导致磋商无效。</w:t>
      </w:r>
    </w:p>
    <w:p w14:paraId="0F7ECDD3">
      <w:pPr>
        <w:spacing w:line="276" w:lineRule="auto"/>
        <w:rPr>
          <w:rFonts w:hint="eastAsia" w:ascii="宋体" w:hAnsi="宋体" w:cs="宋体"/>
          <w:color w:val="auto"/>
          <w:sz w:val="24"/>
          <w:highlight w:val="none"/>
        </w:rPr>
      </w:pPr>
      <w:r>
        <w:rPr>
          <w:rFonts w:hint="eastAsia" w:ascii="宋体" w:hAnsi="宋体" w:cs="宋体"/>
          <w:color w:val="auto"/>
          <w:sz w:val="24"/>
          <w:highlight w:val="none"/>
        </w:rPr>
        <w:t>16 磋商服务符合磋商文件规定的技术响应文件</w:t>
      </w:r>
    </w:p>
    <w:p w14:paraId="33E3D2C5">
      <w:pPr>
        <w:spacing w:line="276" w:lineRule="auto"/>
        <w:ind w:left="600" w:hanging="600" w:hangingChars="250"/>
        <w:rPr>
          <w:rFonts w:hint="eastAsia" w:ascii="宋体" w:hAnsi="宋体" w:cs="宋体"/>
          <w:color w:val="auto"/>
          <w:sz w:val="24"/>
          <w:highlight w:val="none"/>
        </w:rPr>
      </w:pPr>
      <w:r>
        <w:rPr>
          <w:rFonts w:hint="eastAsia" w:ascii="宋体" w:hAnsi="宋体" w:cs="宋体"/>
          <w:color w:val="auto"/>
          <w:sz w:val="24"/>
          <w:highlight w:val="none"/>
        </w:rPr>
        <w:t>16.1供应商须提交证明拟供服务符合磋商文件规定的技术响应文件，作为磋商响应文件的一部分。</w:t>
      </w:r>
    </w:p>
    <w:p w14:paraId="59E90934">
      <w:pPr>
        <w:spacing w:line="276" w:lineRule="auto"/>
        <w:rPr>
          <w:rFonts w:hint="eastAsia" w:ascii="宋体" w:hAnsi="宋体" w:cs="宋体"/>
          <w:color w:val="auto"/>
          <w:sz w:val="24"/>
          <w:highlight w:val="none"/>
        </w:rPr>
      </w:pPr>
      <w:r>
        <w:rPr>
          <w:rFonts w:hint="eastAsia" w:ascii="宋体" w:hAnsi="宋体" w:cs="宋体"/>
          <w:color w:val="auto"/>
          <w:sz w:val="24"/>
          <w:highlight w:val="none"/>
        </w:rPr>
        <w:t>16.2上述文件可以是文字资料、图纸和数据，并提供：</w:t>
      </w:r>
    </w:p>
    <w:p w14:paraId="2E4B8BDC">
      <w:pPr>
        <w:spacing w:line="276" w:lineRule="auto"/>
        <w:ind w:firstLine="480"/>
        <w:rPr>
          <w:rFonts w:hint="eastAsia" w:ascii="宋体" w:hAnsi="宋体" w:cs="宋体"/>
          <w:color w:val="auto"/>
          <w:sz w:val="24"/>
          <w:highlight w:val="none"/>
        </w:rPr>
      </w:pPr>
      <w:r>
        <w:rPr>
          <w:rFonts w:hint="eastAsia" w:ascii="宋体" w:hAnsi="宋体" w:cs="宋体"/>
          <w:color w:val="auto"/>
          <w:sz w:val="24"/>
          <w:highlight w:val="none"/>
        </w:rPr>
        <w:t>（1）服务方案。</w:t>
      </w:r>
    </w:p>
    <w:p w14:paraId="1FEAE34A">
      <w:pPr>
        <w:spacing w:line="276" w:lineRule="auto"/>
        <w:ind w:firstLine="480"/>
        <w:rPr>
          <w:rFonts w:hint="eastAsia" w:ascii="宋体" w:hAnsi="宋体" w:cs="宋体"/>
          <w:color w:val="auto"/>
          <w:sz w:val="24"/>
          <w:highlight w:val="none"/>
        </w:rPr>
      </w:pPr>
      <w:r>
        <w:rPr>
          <w:rFonts w:hint="eastAsia" w:ascii="宋体" w:hAnsi="宋体" w:cs="宋体"/>
          <w:color w:val="auto"/>
          <w:sz w:val="24"/>
          <w:highlight w:val="none"/>
        </w:rPr>
        <w:t>没有按要求提供资料或提供资料不完全，将是对本次采购没有作出实质性响应，其风险由供应商自行承担。</w:t>
      </w:r>
    </w:p>
    <w:p w14:paraId="142A8958">
      <w:pPr>
        <w:spacing w:line="276" w:lineRule="auto"/>
        <w:rPr>
          <w:rFonts w:hint="eastAsia" w:ascii="宋体" w:hAnsi="宋体" w:cs="宋体"/>
          <w:color w:val="auto"/>
          <w:sz w:val="24"/>
          <w:highlight w:val="none"/>
        </w:rPr>
      </w:pPr>
      <w:r>
        <w:rPr>
          <w:rFonts w:hint="eastAsia" w:ascii="宋体" w:hAnsi="宋体" w:cs="宋体"/>
          <w:color w:val="auto"/>
          <w:sz w:val="24"/>
          <w:highlight w:val="none"/>
        </w:rPr>
        <w:t>17．磋商的有效期</w:t>
      </w:r>
    </w:p>
    <w:p w14:paraId="7611F9B4">
      <w:pPr>
        <w:spacing w:line="276" w:lineRule="auto"/>
        <w:rPr>
          <w:rFonts w:hint="eastAsia" w:ascii="宋体" w:hAnsi="宋体" w:cs="宋体"/>
          <w:color w:val="auto"/>
          <w:sz w:val="24"/>
          <w:highlight w:val="none"/>
        </w:rPr>
      </w:pPr>
      <w:r>
        <w:rPr>
          <w:rFonts w:hint="eastAsia" w:ascii="宋体" w:hAnsi="宋体" w:cs="宋体"/>
          <w:color w:val="auto"/>
          <w:sz w:val="24"/>
          <w:highlight w:val="none"/>
        </w:rPr>
        <w:t>17.1</w:t>
      </w:r>
      <w:r>
        <w:rPr>
          <w:rFonts w:hint="eastAsia" w:ascii="宋体" w:hAnsi="宋体" w:cs="宋体"/>
          <w:b/>
          <w:color w:val="auto"/>
          <w:sz w:val="24"/>
          <w:highlight w:val="none"/>
        </w:rPr>
        <w:t xml:space="preserve"> 磋商响应文件从开标之日起，磋商有效期为90天。（如不满足将导致磋商无效）</w:t>
      </w:r>
    </w:p>
    <w:p w14:paraId="66EB781F">
      <w:pPr>
        <w:spacing w:line="276" w:lineRule="auto"/>
        <w:rPr>
          <w:rFonts w:hint="eastAsia" w:ascii="宋体" w:hAnsi="宋体" w:cs="宋体"/>
          <w:color w:val="auto"/>
          <w:sz w:val="24"/>
          <w:highlight w:val="none"/>
        </w:rPr>
      </w:pPr>
      <w:r>
        <w:rPr>
          <w:rFonts w:hint="eastAsia" w:ascii="宋体" w:hAnsi="宋体" w:cs="宋体"/>
          <w:color w:val="auto"/>
          <w:sz w:val="24"/>
          <w:highlight w:val="none"/>
        </w:rPr>
        <w:t>17.2 在特殊情况下，采购代理机构可与供应商商量延长磋商响应文件的有效期。</w:t>
      </w:r>
    </w:p>
    <w:p w14:paraId="17BBC31A">
      <w:pPr>
        <w:spacing w:line="276" w:lineRule="auto"/>
        <w:rPr>
          <w:rFonts w:hint="eastAsia" w:ascii="宋体" w:hAnsi="宋体" w:cs="宋体"/>
          <w:color w:val="auto"/>
          <w:sz w:val="24"/>
          <w:highlight w:val="none"/>
        </w:rPr>
      </w:pPr>
      <w:r>
        <w:rPr>
          <w:rFonts w:hint="eastAsia" w:ascii="宋体" w:hAnsi="宋体" w:cs="宋体"/>
          <w:color w:val="auto"/>
          <w:sz w:val="24"/>
          <w:highlight w:val="none"/>
        </w:rPr>
        <w:t>18．磋商响应文件的书写要求。</w:t>
      </w:r>
    </w:p>
    <w:p w14:paraId="62C68B07">
      <w:pPr>
        <w:spacing w:line="276" w:lineRule="auto"/>
        <w:rPr>
          <w:rFonts w:hint="eastAsia" w:ascii="宋体" w:hAnsi="宋体" w:cs="宋体"/>
          <w:color w:val="auto"/>
          <w:sz w:val="24"/>
          <w:highlight w:val="none"/>
        </w:rPr>
      </w:pPr>
      <w:r>
        <w:rPr>
          <w:rFonts w:hint="eastAsia" w:ascii="宋体" w:hAnsi="宋体" w:cs="宋体"/>
          <w:color w:val="auto"/>
          <w:sz w:val="24"/>
          <w:highlight w:val="none"/>
        </w:rPr>
        <w:t>18.1磋商响应文件应清楚工整，修改处应由供应商法人或授权代表签章。</w:t>
      </w:r>
    </w:p>
    <w:p w14:paraId="1537407D">
      <w:pPr>
        <w:spacing w:line="276" w:lineRule="auto"/>
        <w:ind w:left="600" w:hanging="600" w:hangingChars="250"/>
        <w:rPr>
          <w:rFonts w:hint="eastAsia" w:ascii="宋体" w:hAnsi="宋体" w:cs="宋体"/>
          <w:color w:val="auto"/>
          <w:sz w:val="24"/>
          <w:highlight w:val="none"/>
        </w:rPr>
      </w:pPr>
      <w:r>
        <w:rPr>
          <w:rFonts w:hint="eastAsia" w:ascii="宋体" w:hAnsi="宋体" w:cs="宋体"/>
          <w:color w:val="auto"/>
          <w:sz w:val="24"/>
          <w:highlight w:val="none"/>
        </w:rPr>
        <w:t>18.2磋商响应文件应由法人代表或法人授权代表在凡规定签章处逐一签署及加盖单位的公章。</w:t>
      </w:r>
    </w:p>
    <w:p w14:paraId="6F295014">
      <w:pPr>
        <w:spacing w:line="276" w:lineRule="auto"/>
        <w:rPr>
          <w:rFonts w:hint="eastAsia" w:ascii="宋体" w:hAnsi="宋体" w:cs="宋体"/>
          <w:color w:val="auto"/>
          <w:sz w:val="24"/>
          <w:highlight w:val="none"/>
        </w:rPr>
      </w:pPr>
      <w:r>
        <w:rPr>
          <w:rFonts w:hint="eastAsia" w:ascii="宋体" w:hAnsi="宋体" w:cs="宋体"/>
          <w:color w:val="auto"/>
          <w:sz w:val="24"/>
          <w:highlight w:val="none"/>
        </w:rPr>
        <w:t>18.3电报、电话、传真形式的磋商概不接受。</w:t>
      </w:r>
    </w:p>
    <w:p w14:paraId="3BEECFF2">
      <w:pPr>
        <w:spacing w:line="276" w:lineRule="auto"/>
        <w:rPr>
          <w:rFonts w:hint="eastAsia" w:ascii="宋体" w:hAnsi="宋体" w:cs="宋体"/>
          <w:color w:val="auto"/>
          <w:sz w:val="24"/>
          <w:highlight w:val="none"/>
        </w:rPr>
      </w:pPr>
      <w:r>
        <w:rPr>
          <w:rFonts w:hint="eastAsia" w:ascii="宋体" w:hAnsi="宋体" w:cs="宋体"/>
          <w:color w:val="auto"/>
          <w:sz w:val="24"/>
          <w:highlight w:val="none"/>
        </w:rPr>
        <w:t>19．磋商保证金</w:t>
      </w:r>
    </w:p>
    <w:p w14:paraId="1DB6CCFC">
      <w:pPr>
        <w:spacing w:line="276" w:lineRule="auto"/>
        <w:ind w:left="600" w:hanging="600" w:hangingChars="250"/>
        <w:rPr>
          <w:rFonts w:hint="eastAsia" w:ascii="宋体" w:hAnsi="宋体" w:cs="宋体"/>
          <w:color w:val="auto"/>
          <w:sz w:val="24"/>
          <w:highlight w:val="none"/>
        </w:rPr>
      </w:pPr>
      <w:r>
        <w:rPr>
          <w:rFonts w:hint="eastAsia" w:ascii="宋体" w:hAnsi="宋体" w:cs="宋体"/>
          <w:color w:val="auto"/>
          <w:sz w:val="24"/>
          <w:highlight w:val="none"/>
        </w:rPr>
        <w:t>19.1金额：5000元。</w:t>
      </w:r>
    </w:p>
    <w:p w14:paraId="216B4544">
      <w:pPr>
        <w:spacing w:line="276" w:lineRule="auto"/>
        <w:ind w:left="600" w:hanging="600" w:hangingChars="250"/>
        <w:rPr>
          <w:rFonts w:hint="eastAsia" w:ascii="宋体" w:hAnsi="宋体" w:cs="宋体"/>
          <w:color w:val="auto"/>
          <w:sz w:val="24"/>
          <w:highlight w:val="none"/>
        </w:rPr>
      </w:pPr>
      <w:r>
        <w:rPr>
          <w:rFonts w:hint="eastAsia" w:ascii="宋体" w:hAnsi="宋体" w:cs="宋体"/>
          <w:color w:val="auto"/>
          <w:sz w:val="24"/>
          <w:highlight w:val="none"/>
        </w:rPr>
        <w:t>19.2 本次磋商可接受</w:t>
      </w:r>
      <w:r>
        <w:rPr>
          <w:rFonts w:hint="eastAsia" w:ascii="宋体" w:hAnsi="宋体" w:cs="宋体"/>
          <w:color w:val="auto"/>
          <w:sz w:val="24"/>
          <w:szCs w:val="24"/>
          <w:highlight w:val="none"/>
        </w:rPr>
        <w:t>以电汇、支票、汇票、本票或者金融机构、担保机构出具的保函等非现金形式提交，磋商保证金有效期应当与磋商有效期一致</w:t>
      </w:r>
      <w:r>
        <w:rPr>
          <w:rFonts w:hint="eastAsia" w:ascii="宋体" w:hAnsi="宋体" w:cs="宋体"/>
          <w:color w:val="auto"/>
          <w:sz w:val="24"/>
          <w:highlight w:val="none"/>
        </w:rPr>
        <w:t>。</w:t>
      </w:r>
    </w:p>
    <w:p w14:paraId="56FF0D7C">
      <w:pPr>
        <w:spacing w:line="276" w:lineRule="auto"/>
        <w:ind w:left="600" w:hanging="600" w:hangingChars="250"/>
        <w:rPr>
          <w:rFonts w:hint="eastAsia" w:ascii="宋体" w:hAnsi="宋体" w:cs="宋体"/>
          <w:color w:val="auto"/>
          <w:sz w:val="24"/>
          <w:highlight w:val="none"/>
        </w:rPr>
      </w:pPr>
      <w:r>
        <w:rPr>
          <w:rFonts w:hint="eastAsia" w:ascii="宋体" w:hAnsi="宋体" w:cs="宋体"/>
          <w:color w:val="auto"/>
          <w:sz w:val="24"/>
          <w:highlight w:val="none"/>
        </w:rPr>
        <w:t>19.3磋商保证金的退还时间：</w:t>
      </w:r>
    </w:p>
    <w:p w14:paraId="4E3308C7">
      <w:pPr>
        <w:spacing w:line="276" w:lineRule="auto"/>
        <w:ind w:left="840" w:hanging="840" w:hangingChars="350"/>
        <w:rPr>
          <w:rFonts w:hint="eastAsia" w:ascii="宋体" w:hAnsi="宋体" w:cs="宋体"/>
          <w:color w:val="auto"/>
          <w:sz w:val="24"/>
          <w:highlight w:val="none"/>
        </w:rPr>
      </w:pPr>
      <w:r>
        <w:rPr>
          <w:rFonts w:hint="eastAsia" w:ascii="宋体" w:hAnsi="宋体" w:cs="宋体"/>
          <w:color w:val="auto"/>
          <w:sz w:val="24"/>
          <w:highlight w:val="none"/>
        </w:rPr>
        <w:t>19.3.1 在成交通知书发出后5个工作日内退还未成交供应商的磋商保证金，在采购合同签订后5个工作日内退还成交供应商的磋商保证金。</w:t>
      </w:r>
    </w:p>
    <w:p w14:paraId="7B9EE3DA">
      <w:pPr>
        <w:spacing w:line="276" w:lineRule="auto"/>
        <w:rPr>
          <w:rFonts w:hint="eastAsia" w:ascii="宋体" w:hAnsi="宋体" w:cs="宋体"/>
          <w:b/>
          <w:color w:val="auto"/>
          <w:sz w:val="24"/>
          <w:highlight w:val="none"/>
        </w:rPr>
      </w:pPr>
      <w:r>
        <w:rPr>
          <w:rFonts w:hint="eastAsia" w:ascii="宋体" w:hAnsi="宋体" w:cs="宋体"/>
          <w:color w:val="auto"/>
          <w:sz w:val="24"/>
          <w:highlight w:val="none"/>
        </w:rPr>
        <w:t>19.4</w:t>
      </w:r>
      <w:r>
        <w:rPr>
          <w:rFonts w:hint="eastAsia" w:ascii="宋体" w:hAnsi="宋体" w:cs="宋体"/>
          <w:b/>
          <w:color w:val="auto"/>
          <w:sz w:val="24"/>
          <w:highlight w:val="none"/>
        </w:rPr>
        <w:t>未按规定提交磋商保证金的磋商，将被视为磋商无效。</w:t>
      </w:r>
    </w:p>
    <w:p w14:paraId="68DC688F">
      <w:pPr>
        <w:pStyle w:val="21"/>
        <w:spacing w:line="276" w:lineRule="auto"/>
        <w:rPr>
          <w:rFonts w:hint="eastAsia" w:hAnsi="宋体" w:cs="宋体"/>
          <w:color w:val="auto"/>
          <w:highlight w:val="none"/>
        </w:rPr>
      </w:pPr>
      <w:r>
        <w:rPr>
          <w:rFonts w:hint="eastAsia" w:hAnsi="宋体" w:cs="宋体"/>
          <w:color w:val="auto"/>
          <w:highlight w:val="none"/>
        </w:rPr>
        <w:t>19.5下列任何情况发生时，磋商保证金将被没收：</w:t>
      </w:r>
    </w:p>
    <w:p w14:paraId="5096CDEC">
      <w:pPr>
        <w:pStyle w:val="21"/>
        <w:spacing w:line="276" w:lineRule="auto"/>
        <w:rPr>
          <w:rFonts w:hint="eastAsia" w:hAnsi="宋体" w:cs="宋体"/>
          <w:color w:val="auto"/>
          <w:highlight w:val="none"/>
        </w:rPr>
      </w:pPr>
      <w:r>
        <w:rPr>
          <w:rFonts w:hint="eastAsia" w:hAnsi="宋体" w:cs="宋体"/>
          <w:color w:val="auto"/>
          <w:highlight w:val="none"/>
        </w:rPr>
        <w:t>19.5.1供应商在磋商文件规定的磋商有效期内撤回其响应文件；</w:t>
      </w:r>
    </w:p>
    <w:p w14:paraId="3576A68E">
      <w:pPr>
        <w:pStyle w:val="21"/>
        <w:spacing w:line="276" w:lineRule="auto"/>
        <w:rPr>
          <w:rFonts w:hint="eastAsia" w:hAnsi="宋体" w:cs="宋体"/>
          <w:color w:val="auto"/>
          <w:highlight w:val="none"/>
        </w:rPr>
      </w:pPr>
      <w:r>
        <w:rPr>
          <w:rFonts w:hint="eastAsia" w:hAnsi="宋体" w:cs="宋体"/>
          <w:color w:val="auto"/>
          <w:highlight w:val="none"/>
        </w:rPr>
        <w:t>19.5.2成交方在规定期限内未能：</w:t>
      </w:r>
    </w:p>
    <w:p w14:paraId="1C73DC33">
      <w:pPr>
        <w:pStyle w:val="21"/>
        <w:spacing w:line="276" w:lineRule="auto"/>
        <w:rPr>
          <w:rFonts w:hint="eastAsia" w:hAnsi="宋体" w:cs="宋体"/>
          <w:color w:val="auto"/>
          <w:highlight w:val="none"/>
        </w:rPr>
      </w:pPr>
      <w:r>
        <w:rPr>
          <w:rFonts w:hint="eastAsia" w:hAnsi="宋体" w:cs="宋体"/>
          <w:color w:val="auto"/>
          <w:highlight w:val="none"/>
        </w:rPr>
        <w:t xml:space="preserve">19.5.2.1按本须知第31条规定签订合同； </w:t>
      </w:r>
    </w:p>
    <w:p w14:paraId="0F5BEB9D">
      <w:pPr>
        <w:pStyle w:val="21"/>
        <w:spacing w:line="276" w:lineRule="auto"/>
        <w:rPr>
          <w:rFonts w:hint="eastAsia" w:hAnsi="宋体" w:cs="宋体"/>
          <w:color w:val="auto"/>
          <w:highlight w:val="none"/>
        </w:rPr>
      </w:pPr>
      <w:r>
        <w:rPr>
          <w:rFonts w:hint="eastAsia" w:hAnsi="宋体" w:cs="宋体"/>
          <w:color w:val="auto"/>
          <w:highlight w:val="none"/>
        </w:rPr>
        <w:t>19.5.2.2按须知第32条向采购人提交履约保证金；</w:t>
      </w:r>
    </w:p>
    <w:p w14:paraId="02C20988">
      <w:pPr>
        <w:pStyle w:val="21"/>
        <w:spacing w:line="276" w:lineRule="auto"/>
        <w:rPr>
          <w:rFonts w:hint="eastAsia" w:hAnsi="宋体" w:cs="宋体"/>
          <w:color w:val="auto"/>
          <w:highlight w:val="none"/>
        </w:rPr>
      </w:pPr>
      <w:r>
        <w:rPr>
          <w:rFonts w:hint="eastAsia" w:hAnsi="宋体" w:cs="宋体"/>
          <w:color w:val="auto"/>
          <w:highlight w:val="none"/>
        </w:rPr>
        <w:t>19.5.2.3按本须知第33条规定向采购代理机构交纳采购代理服务费。</w:t>
      </w:r>
    </w:p>
    <w:p w14:paraId="0F17E0AB">
      <w:pPr>
        <w:pStyle w:val="21"/>
        <w:spacing w:line="276" w:lineRule="auto"/>
        <w:rPr>
          <w:rFonts w:hint="eastAsia" w:hAnsi="宋体" w:cs="宋体"/>
          <w:color w:val="auto"/>
          <w:highlight w:val="none"/>
        </w:rPr>
      </w:pPr>
    </w:p>
    <w:p w14:paraId="5CD11A28">
      <w:pPr>
        <w:pStyle w:val="4"/>
        <w:spacing w:before="100" w:beforeAutospacing="1" w:after="100" w:afterAutospacing="1" w:line="276" w:lineRule="auto"/>
        <w:jc w:val="center"/>
        <w:rPr>
          <w:rFonts w:hint="eastAsia" w:ascii="宋体" w:hAnsi="宋体" w:eastAsia="宋体" w:cs="宋体"/>
          <w:color w:val="auto"/>
          <w:sz w:val="28"/>
          <w:szCs w:val="28"/>
          <w:highlight w:val="none"/>
        </w:rPr>
      </w:pPr>
      <w:bookmarkStart w:id="29" w:name="_Toc349573124"/>
      <w:bookmarkStart w:id="30" w:name="_Toc349637923"/>
      <w:bookmarkStart w:id="31" w:name="_Toc83726734"/>
      <w:bookmarkStart w:id="32" w:name="_Toc298240408"/>
      <w:bookmarkStart w:id="33" w:name="_Toc267301285"/>
      <w:r>
        <w:rPr>
          <w:rFonts w:hint="eastAsia" w:ascii="宋体" w:hAnsi="宋体" w:eastAsia="宋体" w:cs="宋体"/>
          <w:color w:val="auto"/>
          <w:sz w:val="28"/>
          <w:szCs w:val="28"/>
          <w:highlight w:val="none"/>
        </w:rPr>
        <w:t>D  磋商响应文件的递交</w:t>
      </w:r>
      <w:bookmarkEnd w:id="29"/>
      <w:bookmarkEnd w:id="30"/>
      <w:bookmarkEnd w:id="31"/>
      <w:bookmarkEnd w:id="32"/>
      <w:bookmarkEnd w:id="33"/>
    </w:p>
    <w:p w14:paraId="1BDE17D8">
      <w:pPr>
        <w:spacing w:line="276" w:lineRule="auto"/>
        <w:rPr>
          <w:rFonts w:hint="eastAsia" w:ascii="宋体" w:hAnsi="宋体" w:cs="宋体"/>
          <w:color w:val="auto"/>
          <w:sz w:val="24"/>
          <w:highlight w:val="none"/>
        </w:rPr>
      </w:pPr>
      <w:r>
        <w:rPr>
          <w:rFonts w:hint="eastAsia" w:ascii="宋体" w:hAnsi="宋体" w:cs="宋体"/>
          <w:color w:val="auto"/>
          <w:sz w:val="24"/>
          <w:highlight w:val="none"/>
        </w:rPr>
        <w:t>20. 磋商响应文件的标记</w:t>
      </w:r>
    </w:p>
    <w:p w14:paraId="32B5817B">
      <w:pPr>
        <w:spacing w:line="276" w:lineRule="auto"/>
        <w:rPr>
          <w:rFonts w:hint="eastAsia" w:ascii="宋体" w:hAnsi="宋体" w:cs="宋体"/>
          <w:color w:val="auto"/>
          <w:sz w:val="24"/>
          <w:highlight w:val="none"/>
        </w:rPr>
      </w:pPr>
      <w:r>
        <w:rPr>
          <w:rFonts w:hint="eastAsia" w:ascii="宋体" w:hAnsi="宋体" w:cs="宋体"/>
          <w:color w:val="auto"/>
          <w:sz w:val="24"/>
          <w:highlight w:val="none"/>
        </w:rPr>
        <w:t>20.1 磋商响应文件封面应写明：</w:t>
      </w:r>
    </w:p>
    <w:p w14:paraId="7384999E">
      <w:pPr>
        <w:numPr>
          <w:ilvl w:val="0"/>
          <w:numId w:val="10"/>
        </w:numPr>
        <w:tabs>
          <w:tab w:val="left" w:pos="1080"/>
          <w:tab w:val="clear" w:pos="1260"/>
        </w:tabs>
        <w:spacing w:line="276" w:lineRule="auto"/>
        <w:ind w:left="1080" w:hanging="720"/>
        <w:rPr>
          <w:rFonts w:hint="eastAsia" w:ascii="宋体" w:hAnsi="宋体" w:cs="宋体"/>
          <w:color w:val="auto"/>
          <w:sz w:val="24"/>
          <w:highlight w:val="none"/>
        </w:rPr>
      </w:pPr>
      <w:r>
        <w:rPr>
          <w:rFonts w:hint="eastAsia" w:ascii="宋体" w:hAnsi="宋体" w:cs="宋体"/>
          <w:color w:val="auto"/>
          <w:sz w:val="24"/>
          <w:highlight w:val="none"/>
        </w:rPr>
        <w:t>采购代理机构：新疆招标有限公司</w:t>
      </w:r>
    </w:p>
    <w:p w14:paraId="4AC68917">
      <w:pPr>
        <w:numPr>
          <w:ilvl w:val="0"/>
          <w:numId w:val="10"/>
        </w:numPr>
        <w:tabs>
          <w:tab w:val="left" w:pos="1080"/>
          <w:tab w:val="clear" w:pos="1260"/>
        </w:tabs>
        <w:spacing w:line="276" w:lineRule="auto"/>
        <w:ind w:left="1080" w:hanging="720"/>
        <w:rPr>
          <w:rFonts w:hint="eastAsia" w:ascii="宋体" w:hAnsi="宋体" w:cs="宋体"/>
          <w:color w:val="auto"/>
          <w:sz w:val="24"/>
          <w:highlight w:val="non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p>
    <w:p w14:paraId="252189D2">
      <w:pPr>
        <w:numPr>
          <w:ilvl w:val="0"/>
          <w:numId w:val="10"/>
        </w:numPr>
        <w:tabs>
          <w:tab w:val="left" w:pos="1080"/>
          <w:tab w:val="clear" w:pos="1260"/>
        </w:tabs>
        <w:spacing w:line="276" w:lineRule="auto"/>
        <w:ind w:left="1080" w:hanging="720"/>
        <w:rPr>
          <w:rFonts w:hint="eastAsia" w:ascii="宋体" w:hAnsi="宋体" w:cs="宋体"/>
          <w:color w:val="auto"/>
          <w:sz w:val="24"/>
          <w:highlight w:val="none"/>
        </w:rPr>
      </w:pPr>
      <w:r>
        <w:rPr>
          <w:rFonts w:hint="eastAsia" w:ascii="宋体" w:hAnsi="宋体" w:cs="宋体"/>
          <w:color w:val="auto"/>
          <w:sz w:val="24"/>
          <w:highlight w:val="none"/>
        </w:rPr>
        <w:t xml:space="preserve">项目编号： </w:t>
      </w:r>
      <w:r>
        <w:rPr>
          <w:rFonts w:hint="eastAsia" w:ascii="宋体" w:hAnsi="宋体" w:cs="宋体"/>
          <w:color w:val="auto"/>
          <w:sz w:val="24"/>
          <w:highlight w:val="none"/>
          <w:u w:val="single"/>
        </w:rPr>
        <w:t xml:space="preserve">                    </w:t>
      </w:r>
    </w:p>
    <w:p w14:paraId="3AE7947A">
      <w:pPr>
        <w:numPr>
          <w:ilvl w:val="0"/>
          <w:numId w:val="10"/>
        </w:numPr>
        <w:tabs>
          <w:tab w:val="left" w:pos="1080"/>
          <w:tab w:val="clear" w:pos="1260"/>
        </w:tabs>
        <w:spacing w:line="276" w:lineRule="auto"/>
        <w:ind w:left="1080" w:hanging="720"/>
        <w:rPr>
          <w:rFonts w:hint="eastAsia" w:ascii="宋体" w:hAnsi="宋体" w:cs="宋体"/>
          <w:color w:val="auto"/>
          <w:sz w:val="24"/>
          <w:highlight w:val="none"/>
        </w:rPr>
      </w:pPr>
      <w:r>
        <w:rPr>
          <w:rFonts w:hint="eastAsia" w:ascii="宋体" w:hAnsi="宋体" w:cs="宋体"/>
          <w:color w:val="auto"/>
          <w:sz w:val="24"/>
          <w:highlight w:val="none"/>
        </w:rPr>
        <w:t>供应商单位名称：</w:t>
      </w:r>
      <w:r>
        <w:rPr>
          <w:rFonts w:hint="eastAsia" w:ascii="宋体" w:hAnsi="宋体" w:cs="宋体"/>
          <w:color w:val="auto"/>
          <w:sz w:val="24"/>
          <w:highlight w:val="none"/>
          <w:u w:val="single"/>
        </w:rPr>
        <w:t xml:space="preserve">               </w:t>
      </w:r>
    </w:p>
    <w:p w14:paraId="7553F6B7">
      <w:pPr>
        <w:spacing w:line="276" w:lineRule="auto"/>
        <w:rPr>
          <w:rFonts w:hint="eastAsia" w:ascii="宋体" w:hAnsi="宋体" w:cs="宋体"/>
          <w:color w:val="auto"/>
          <w:sz w:val="24"/>
          <w:highlight w:val="none"/>
        </w:rPr>
      </w:pPr>
      <w:r>
        <w:rPr>
          <w:rFonts w:hint="eastAsia" w:ascii="宋体" w:hAnsi="宋体" w:cs="宋体"/>
          <w:color w:val="auto"/>
          <w:sz w:val="24"/>
          <w:highlight w:val="none"/>
        </w:rPr>
        <w:t>21. 磋商截止时间</w:t>
      </w:r>
    </w:p>
    <w:p w14:paraId="36595552">
      <w:pPr>
        <w:spacing w:line="276" w:lineRule="auto"/>
        <w:rPr>
          <w:rFonts w:hint="eastAsia" w:ascii="宋体" w:hAnsi="宋体" w:cs="宋体"/>
          <w:color w:val="auto"/>
          <w:sz w:val="24"/>
          <w:highlight w:val="none"/>
        </w:rPr>
      </w:pPr>
      <w:r>
        <w:rPr>
          <w:rFonts w:hint="eastAsia" w:ascii="宋体" w:hAnsi="宋体" w:cs="宋体"/>
          <w:color w:val="auto"/>
          <w:sz w:val="24"/>
          <w:highlight w:val="none"/>
        </w:rPr>
        <w:t>21.1 磋商响应文件的递交不得迟于</w:t>
      </w:r>
      <w:r>
        <w:rPr>
          <w:rFonts w:hint="eastAsia" w:ascii="宋体" w:hAnsi="宋体" w:cs="宋体"/>
          <w:color w:val="auto"/>
          <w:sz w:val="24"/>
          <w:highlight w:val="none"/>
          <w:lang w:eastAsia="zh-CN"/>
        </w:rPr>
        <w:t>2026年06月15日11：00时</w:t>
      </w:r>
      <w:r>
        <w:rPr>
          <w:rFonts w:hint="eastAsia" w:ascii="宋体" w:hAnsi="宋体" w:cs="宋体"/>
          <w:color w:val="auto"/>
          <w:sz w:val="24"/>
          <w:highlight w:val="none"/>
        </w:rPr>
        <w:t>（北京时间）。</w:t>
      </w:r>
    </w:p>
    <w:p w14:paraId="2D2D4B61">
      <w:pPr>
        <w:spacing w:line="276" w:lineRule="auto"/>
        <w:ind w:left="540" w:leftChars="257"/>
        <w:rPr>
          <w:rFonts w:hint="eastAsia" w:ascii="宋体" w:hAnsi="宋体" w:cs="宋体"/>
          <w:color w:val="auto"/>
          <w:sz w:val="24"/>
          <w:highlight w:val="none"/>
        </w:rPr>
      </w:pPr>
      <w:r>
        <w:rPr>
          <w:rFonts w:hint="eastAsia" w:ascii="宋体" w:hAnsi="宋体" w:cs="宋体"/>
          <w:color w:val="auto"/>
          <w:sz w:val="24"/>
          <w:highlight w:val="none"/>
        </w:rPr>
        <w:t>磋商响应文件递交至：政采云平台</w:t>
      </w:r>
    </w:p>
    <w:p w14:paraId="1D299FA6">
      <w:pPr>
        <w:spacing w:line="276" w:lineRule="auto"/>
        <w:ind w:left="600" w:hanging="600" w:hangingChars="250"/>
        <w:rPr>
          <w:rFonts w:hint="eastAsia" w:ascii="宋体" w:hAnsi="宋体" w:cs="宋体"/>
          <w:color w:val="auto"/>
          <w:sz w:val="24"/>
          <w:highlight w:val="none"/>
        </w:rPr>
      </w:pPr>
      <w:r>
        <w:rPr>
          <w:rFonts w:hint="eastAsia" w:ascii="宋体" w:hAnsi="宋体" w:cs="宋体"/>
          <w:color w:val="auto"/>
          <w:sz w:val="24"/>
          <w:highlight w:val="none"/>
        </w:rPr>
        <w:t>21.2 所有磋商响应文件必须按采购代理机构在磋商邀请中规定的磋商响应截止时间之前上传至政采云。</w:t>
      </w:r>
    </w:p>
    <w:p w14:paraId="3451B817">
      <w:pPr>
        <w:spacing w:line="276" w:lineRule="auto"/>
        <w:ind w:left="600" w:hanging="600" w:hangingChars="250"/>
        <w:rPr>
          <w:rFonts w:hint="eastAsia" w:ascii="宋体" w:hAnsi="宋体" w:cs="宋体"/>
          <w:color w:val="auto"/>
          <w:sz w:val="24"/>
          <w:highlight w:val="none"/>
        </w:rPr>
      </w:pPr>
      <w:r>
        <w:rPr>
          <w:rFonts w:hint="eastAsia" w:ascii="宋体" w:hAnsi="宋体" w:cs="宋体"/>
          <w:color w:val="auto"/>
          <w:sz w:val="24"/>
          <w:highlight w:val="none"/>
        </w:rPr>
        <w:t>21.3 出现第8.2款因磋商文件的修改推迟磋商响应截止时间时，则按采购代理机构修改通知规定的时间递交。</w:t>
      </w:r>
    </w:p>
    <w:p w14:paraId="4C5E29B1">
      <w:pPr>
        <w:spacing w:line="276" w:lineRule="auto"/>
        <w:rPr>
          <w:rFonts w:hint="eastAsia" w:ascii="宋体" w:hAnsi="宋体" w:cs="宋体"/>
          <w:color w:val="auto"/>
          <w:sz w:val="24"/>
          <w:highlight w:val="none"/>
        </w:rPr>
      </w:pPr>
      <w:r>
        <w:rPr>
          <w:rFonts w:hint="eastAsia" w:ascii="宋体" w:hAnsi="宋体" w:cs="宋体"/>
          <w:color w:val="auto"/>
          <w:sz w:val="24"/>
          <w:highlight w:val="none"/>
        </w:rPr>
        <w:t>22．磋商响应文件的修改和撤销</w:t>
      </w:r>
    </w:p>
    <w:p w14:paraId="1E88912E">
      <w:pPr>
        <w:spacing w:line="276" w:lineRule="auto"/>
        <w:ind w:left="600" w:hanging="600" w:hangingChars="250"/>
        <w:rPr>
          <w:rFonts w:hint="eastAsia" w:ascii="宋体" w:hAnsi="宋体" w:cs="宋体"/>
          <w:color w:val="auto"/>
          <w:sz w:val="24"/>
          <w:highlight w:val="none"/>
        </w:rPr>
      </w:pPr>
      <w:r>
        <w:rPr>
          <w:rFonts w:hint="eastAsia" w:ascii="宋体" w:hAnsi="宋体" w:cs="宋体"/>
          <w:color w:val="auto"/>
          <w:sz w:val="24"/>
          <w:highlight w:val="none"/>
        </w:rPr>
        <w:t>22.1 供应商在提交磋商响应文件后可对其磋商响应文件进行修改或撤销，但采购代理机构须在磋商响应截止时间之前收到该修改或撤销的书面通知，该通知须有经正式授权的供应商代表签字。</w:t>
      </w:r>
    </w:p>
    <w:p w14:paraId="7D4AC8DA">
      <w:pPr>
        <w:spacing w:line="276" w:lineRule="auto"/>
        <w:rPr>
          <w:rFonts w:hint="eastAsia" w:ascii="宋体" w:hAnsi="宋体" w:cs="宋体"/>
          <w:color w:val="auto"/>
          <w:sz w:val="24"/>
          <w:highlight w:val="none"/>
        </w:rPr>
      </w:pPr>
      <w:r>
        <w:rPr>
          <w:rFonts w:hint="eastAsia" w:ascii="宋体" w:hAnsi="宋体" w:cs="宋体"/>
          <w:color w:val="auto"/>
          <w:sz w:val="24"/>
          <w:highlight w:val="none"/>
        </w:rPr>
        <w:t>22.2 磋商响应截止时间以后不得修改磋商响应文件。</w:t>
      </w:r>
    </w:p>
    <w:p w14:paraId="6F743357">
      <w:pPr>
        <w:spacing w:line="276" w:lineRule="auto"/>
        <w:ind w:left="600" w:hanging="600" w:hangingChars="250"/>
        <w:rPr>
          <w:rFonts w:hint="eastAsia" w:ascii="宋体" w:hAnsi="宋体" w:cs="宋体"/>
          <w:color w:val="auto"/>
          <w:sz w:val="24"/>
          <w:highlight w:val="none"/>
        </w:rPr>
      </w:pPr>
      <w:r>
        <w:rPr>
          <w:rFonts w:hint="eastAsia" w:ascii="宋体" w:hAnsi="宋体" w:cs="宋体"/>
          <w:color w:val="auto"/>
          <w:sz w:val="24"/>
          <w:highlight w:val="none"/>
        </w:rPr>
        <w:t>22.3 供应商不得在开标时间起至磋商有效期期满前撤销磋商响应文件。否则采购代理机构将没收其磋商保证金。</w:t>
      </w:r>
    </w:p>
    <w:p w14:paraId="225F8ED7">
      <w:pPr>
        <w:spacing w:line="276" w:lineRule="auto"/>
        <w:ind w:left="600" w:hanging="600" w:hangingChars="250"/>
        <w:rPr>
          <w:rFonts w:hint="eastAsia" w:ascii="宋体" w:hAnsi="宋体" w:cs="宋体"/>
          <w:color w:val="auto"/>
          <w:sz w:val="24"/>
          <w:highlight w:val="none"/>
        </w:rPr>
      </w:pPr>
    </w:p>
    <w:p w14:paraId="473DF74B">
      <w:pPr>
        <w:pStyle w:val="4"/>
        <w:spacing w:before="100" w:beforeAutospacing="1" w:after="100" w:afterAutospacing="1" w:line="276" w:lineRule="auto"/>
        <w:jc w:val="center"/>
        <w:rPr>
          <w:rFonts w:hint="eastAsia" w:ascii="宋体" w:hAnsi="宋体" w:eastAsia="宋体" w:cs="宋体"/>
          <w:color w:val="auto"/>
          <w:sz w:val="28"/>
          <w:szCs w:val="28"/>
          <w:highlight w:val="none"/>
        </w:rPr>
      </w:pPr>
      <w:bookmarkStart w:id="34" w:name="_Toc349573125"/>
      <w:bookmarkStart w:id="35" w:name="_Toc83726735"/>
      <w:bookmarkStart w:id="36" w:name="_Toc298240409"/>
      <w:bookmarkStart w:id="37" w:name="_Toc349637924"/>
      <w:bookmarkStart w:id="38" w:name="_Toc267301286"/>
      <w:r>
        <w:rPr>
          <w:rFonts w:hint="eastAsia" w:ascii="宋体" w:hAnsi="宋体" w:eastAsia="宋体" w:cs="宋体"/>
          <w:color w:val="auto"/>
          <w:sz w:val="28"/>
          <w:szCs w:val="28"/>
          <w:highlight w:val="none"/>
        </w:rPr>
        <w:t>E  磋商程序</w:t>
      </w:r>
      <w:bookmarkEnd w:id="34"/>
      <w:bookmarkEnd w:id="35"/>
      <w:bookmarkEnd w:id="36"/>
      <w:bookmarkEnd w:id="37"/>
      <w:bookmarkEnd w:id="38"/>
    </w:p>
    <w:p w14:paraId="631A0B3D">
      <w:pPr>
        <w:spacing w:line="276" w:lineRule="auto"/>
        <w:rPr>
          <w:rFonts w:hint="eastAsia" w:ascii="宋体" w:hAnsi="宋体" w:cs="宋体"/>
          <w:color w:val="auto"/>
          <w:sz w:val="24"/>
          <w:highlight w:val="none"/>
        </w:rPr>
      </w:pPr>
      <w:r>
        <w:rPr>
          <w:rFonts w:hint="eastAsia" w:ascii="宋体" w:hAnsi="宋体" w:cs="宋体"/>
          <w:color w:val="auto"/>
          <w:sz w:val="24"/>
          <w:highlight w:val="none"/>
        </w:rPr>
        <w:t>23．磋商</w:t>
      </w:r>
    </w:p>
    <w:p w14:paraId="2AFC9D8C">
      <w:pPr>
        <w:adjustRightInd w:val="0"/>
        <w:snapToGrid w:val="0"/>
        <w:spacing w:line="276" w:lineRule="auto"/>
        <w:ind w:left="523" w:hanging="523" w:hangingChars="218"/>
        <w:rPr>
          <w:rFonts w:hint="eastAsia" w:ascii="宋体" w:hAnsi="宋体" w:cs="宋体"/>
          <w:b/>
          <w:color w:val="auto"/>
          <w:sz w:val="24"/>
          <w:highlight w:val="none"/>
        </w:rPr>
      </w:pPr>
      <w:r>
        <w:rPr>
          <w:rFonts w:hint="eastAsia" w:ascii="宋体" w:hAnsi="宋体" w:cs="宋体"/>
          <w:color w:val="auto"/>
          <w:sz w:val="24"/>
          <w:highlight w:val="none"/>
        </w:rPr>
        <w:t>23.1</w:t>
      </w:r>
      <w:r>
        <w:rPr>
          <w:rFonts w:hint="eastAsia" w:ascii="宋体" w:hAnsi="宋体" w:cs="宋体"/>
          <w:b/>
          <w:color w:val="auto"/>
          <w:sz w:val="24"/>
          <w:highlight w:val="none"/>
        </w:rPr>
        <w:t>本次采用网上评标系统，供应商在线参加磋商（无需到开标现场）。开标前供应商完成设备测试，保证摄像头及麦克风正常使用。自开标时间起至评审结束，供应商须登录新疆政府采购网政采云平台并保持网络通畅，随时答复评标委员会的疑问。若供应商未在规定时间内答复的，由此产生的后果将由供应商自行承担。</w:t>
      </w:r>
    </w:p>
    <w:p w14:paraId="1503CB88">
      <w:pPr>
        <w:adjustRightInd w:val="0"/>
        <w:snapToGrid w:val="0"/>
        <w:spacing w:line="276" w:lineRule="auto"/>
        <w:ind w:left="420" w:leftChars="200"/>
        <w:rPr>
          <w:rFonts w:hint="eastAsia" w:ascii="宋体" w:hAnsi="宋体" w:cs="宋体"/>
          <w:color w:val="auto"/>
          <w:sz w:val="24"/>
          <w:highlight w:val="none"/>
        </w:rPr>
      </w:pPr>
      <w:r>
        <w:rPr>
          <w:rFonts w:hint="eastAsia" w:ascii="宋体" w:hAnsi="宋体" w:cs="宋体"/>
          <w:b/>
          <w:color w:val="auto"/>
          <w:sz w:val="24"/>
          <w:highlight w:val="none"/>
        </w:rPr>
        <w:t>供应商登录政采云平台，在磋商响应截止时间后30分钟内用“项目采购----开标评标”功能进行解密电子版响应文件。若供应商在规定时间内未按时解密的，视为无效响应。解密与加密电子版响应文件须使用同一个CA</w:t>
      </w:r>
      <w:r>
        <w:rPr>
          <w:rFonts w:hint="eastAsia" w:ascii="宋体" w:hAnsi="宋体" w:cs="宋体"/>
          <w:color w:val="auto"/>
          <w:sz w:val="24"/>
          <w:highlight w:val="none"/>
        </w:rPr>
        <w:t>；</w:t>
      </w:r>
    </w:p>
    <w:p w14:paraId="789E84F9">
      <w:pPr>
        <w:spacing w:line="276" w:lineRule="auto"/>
        <w:ind w:left="600" w:hanging="600" w:hangingChars="250"/>
        <w:rPr>
          <w:rFonts w:hint="eastAsia" w:ascii="宋体" w:hAnsi="宋体" w:cs="宋体"/>
          <w:color w:val="auto"/>
          <w:sz w:val="24"/>
          <w:highlight w:val="none"/>
        </w:rPr>
      </w:pPr>
      <w:r>
        <w:rPr>
          <w:rFonts w:hint="eastAsia" w:ascii="宋体" w:hAnsi="宋体" w:cs="宋体"/>
          <w:color w:val="auto"/>
          <w:sz w:val="24"/>
          <w:highlight w:val="none"/>
        </w:rPr>
        <w:t>23.2 本次磋商按磋商文件中磋商邀请规定的时间地点进行磋商，将邀请供应商的法定代表人或其授权委托人准时参加磋商会。</w:t>
      </w:r>
    </w:p>
    <w:p w14:paraId="769C9633">
      <w:pPr>
        <w:spacing w:line="276" w:lineRule="auto"/>
        <w:rPr>
          <w:rFonts w:hint="eastAsia" w:ascii="宋体" w:hAnsi="宋体" w:cs="宋体"/>
          <w:color w:val="auto"/>
          <w:sz w:val="24"/>
          <w:highlight w:val="none"/>
        </w:rPr>
      </w:pPr>
      <w:r>
        <w:rPr>
          <w:rFonts w:hint="eastAsia" w:ascii="宋体" w:hAnsi="宋体" w:cs="宋体"/>
          <w:color w:val="auto"/>
          <w:sz w:val="24"/>
          <w:highlight w:val="none"/>
        </w:rPr>
        <w:t>23.3 磋商原则在磋商会议上宣布。</w:t>
      </w:r>
    </w:p>
    <w:p w14:paraId="07D235F4">
      <w:pPr>
        <w:spacing w:line="276" w:lineRule="auto"/>
        <w:rPr>
          <w:rFonts w:hint="eastAsia" w:ascii="宋体" w:hAnsi="宋体" w:cs="宋体"/>
          <w:color w:val="auto"/>
          <w:sz w:val="24"/>
          <w:highlight w:val="none"/>
        </w:rPr>
      </w:pPr>
      <w:r>
        <w:rPr>
          <w:rFonts w:hint="eastAsia" w:ascii="宋体" w:hAnsi="宋体" w:cs="宋体"/>
          <w:color w:val="auto"/>
          <w:sz w:val="24"/>
          <w:highlight w:val="none"/>
        </w:rPr>
        <w:t>23.4 对采购方的纪律要求</w:t>
      </w:r>
    </w:p>
    <w:p w14:paraId="07FF37D8">
      <w:pPr>
        <w:spacing w:line="276" w:lineRule="auto"/>
        <w:ind w:left="720" w:hanging="720" w:hangingChars="300"/>
        <w:rPr>
          <w:rFonts w:hint="eastAsia" w:ascii="宋体" w:hAnsi="宋体" w:cs="宋体"/>
          <w:color w:val="auto"/>
          <w:sz w:val="24"/>
          <w:highlight w:val="none"/>
        </w:rPr>
      </w:pPr>
      <w:r>
        <w:rPr>
          <w:rFonts w:hint="eastAsia" w:ascii="宋体" w:hAnsi="宋体" w:cs="宋体"/>
          <w:color w:val="auto"/>
          <w:sz w:val="24"/>
          <w:highlight w:val="none"/>
        </w:rPr>
        <w:t xml:space="preserve">      采购方不得泄露磋商活动中应当保密的情况和资料，不得与供应商串通损害国家利益、社会公共利益或者他人合法权益。</w:t>
      </w:r>
    </w:p>
    <w:p w14:paraId="5EA9C91B">
      <w:pPr>
        <w:spacing w:line="276" w:lineRule="auto"/>
        <w:rPr>
          <w:rFonts w:hint="eastAsia" w:ascii="宋体" w:hAnsi="宋体" w:cs="宋体"/>
          <w:color w:val="auto"/>
          <w:sz w:val="24"/>
          <w:highlight w:val="none"/>
        </w:rPr>
      </w:pPr>
      <w:r>
        <w:rPr>
          <w:rFonts w:hint="eastAsia" w:ascii="宋体" w:hAnsi="宋体" w:cs="宋体"/>
          <w:color w:val="auto"/>
          <w:sz w:val="24"/>
          <w:highlight w:val="none"/>
        </w:rPr>
        <w:t>23.5对供应商的纪律要求</w:t>
      </w:r>
    </w:p>
    <w:p w14:paraId="47A9F1B4">
      <w:pPr>
        <w:spacing w:line="276" w:lineRule="auto"/>
        <w:ind w:left="598" w:leftChars="285"/>
        <w:rPr>
          <w:rFonts w:hint="eastAsia" w:ascii="宋体" w:hAnsi="宋体" w:cs="宋体"/>
          <w:color w:val="auto"/>
          <w:sz w:val="24"/>
          <w:highlight w:val="none"/>
        </w:rPr>
      </w:pPr>
      <w:r>
        <w:rPr>
          <w:rFonts w:hint="eastAsia" w:ascii="宋体" w:hAnsi="宋体" w:cs="宋体"/>
          <w:color w:val="auto"/>
          <w:sz w:val="24"/>
          <w:highlight w:val="none"/>
        </w:rPr>
        <w:t>供应商不得互相串通磋商或者与采购人串通磋商，不得向采购人或者磋商小组成员行贿谋取成交，不得以他人名义磋商或者以其他方式弄虚作假骗取成交；供应商不得以任何方式干扰、影响磋商工作。</w:t>
      </w:r>
    </w:p>
    <w:p w14:paraId="15D4E8C2">
      <w:pPr>
        <w:spacing w:line="276" w:lineRule="auto"/>
        <w:rPr>
          <w:rFonts w:hint="eastAsia" w:ascii="宋体" w:hAnsi="宋体" w:cs="宋体"/>
          <w:color w:val="auto"/>
          <w:sz w:val="24"/>
          <w:highlight w:val="none"/>
        </w:rPr>
      </w:pPr>
      <w:r>
        <w:rPr>
          <w:rFonts w:hint="eastAsia" w:ascii="宋体" w:hAnsi="宋体" w:cs="宋体"/>
          <w:color w:val="auto"/>
          <w:sz w:val="24"/>
          <w:highlight w:val="none"/>
        </w:rPr>
        <w:t>23.6 对与磋商活动有关的工作人员的纪律要求</w:t>
      </w:r>
    </w:p>
    <w:p w14:paraId="280CC096">
      <w:pPr>
        <w:spacing w:line="276" w:lineRule="auto"/>
        <w:rPr>
          <w:rFonts w:hint="eastAsia" w:ascii="宋体" w:hAnsi="宋体" w:cs="宋体"/>
          <w:color w:val="auto"/>
          <w:sz w:val="24"/>
          <w:highlight w:val="none"/>
        </w:rPr>
      </w:pPr>
      <w:r>
        <w:rPr>
          <w:rFonts w:hint="eastAsia" w:ascii="宋体" w:hAnsi="宋体" w:cs="宋体"/>
          <w:color w:val="auto"/>
          <w:sz w:val="24"/>
          <w:highlight w:val="none"/>
        </w:rPr>
        <w:t xml:space="preserve">    与磋商活动有关的工作人员不得收受他人的财物或者好处，不得向其他人透露对磋商响应文件的评审和比较、成交候选人的推荐情况及磋商有关其他情况。在磋商活动中，与磋商活动有关的工作人员不得擅离职守，影响磋商程序正常进行。</w:t>
      </w:r>
    </w:p>
    <w:p w14:paraId="677EA5F5">
      <w:pPr>
        <w:spacing w:line="276" w:lineRule="auto"/>
        <w:rPr>
          <w:rFonts w:hint="eastAsia" w:ascii="宋体" w:hAnsi="宋体" w:cs="宋体"/>
          <w:color w:val="auto"/>
          <w:sz w:val="24"/>
          <w:highlight w:val="none"/>
        </w:rPr>
      </w:pPr>
      <w:r>
        <w:rPr>
          <w:rFonts w:hint="eastAsia" w:ascii="宋体" w:hAnsi="宋体" w:cs="宋体"/>
          <w:color w:val="auto"/>
          <w:sz w:val="24"/>
          <w:highlight w:val="none"/>
        </w:rPr>
        <w:t>23.7对磋商小组成员要求磋商纪律</w:t>
      </w:r>
    </w:p>
    <w:p w14:paraId="581E9879">
      <w:pPr>
        <w:spacing w:line="276" w:lineRule="auto"/>
        <w:rPr>
          <w:rFonts w:hint="eastAsia" w:ascii="宋体" w:hAnsi="宋体" w:cs="宋体"/>
          <w:color w:val="auto"/>
          <w:sz w:val="24"/>
          <w:highlight w:val="none"/>
        </w:rPr>
      </w:pPr>
      <w:r>
        <w:rPr>
          <w:rFonts w:hint="eastAsia" w:ascii="宋体" w:hAnsi="宋体" w:cs="宋体"/>
          <w:color w:val="auto"/>
          <w:sz w:val="24"/>
          <w:highlight w:val="none"/>
        </w:rPr>
        <w:t>23.7.1磋商小组应当依照有关法律法规的规定，按照磋商文件确定的磋商标准和办法客观、公正的对磋商响应文件提出评审意见。磋商文件没有规定的磋商标准和方法不得作为磋商依据。</w:t>
      </w:r>
    </w:p>
    <w:p w14:paraId="007BECC2">
      <w:pPr>
        <w:spacing w:line="276" w:lineRule="auto"/>
        <w:rPr>
          <w:rFonts w:hint="eastAsia" w:ascii="宋体" w:hAnsi="宋体" w:cs="宋体"/>
          <w:color w:val="auto"/>
          <w:sz w:val="24"/>
          <w:highlight w:val="none"/>
        </w:rPr>
      </w:pPr>
      <w:r>
        <w:rPr>
          <w:rFonts w:hint="eastAsia" w:ascii="宋体" w:hAnsi="宋体" w:cs="宋体"/>
          <w:color w:val="auto"/>
          <w:sz w:val="24"/>
          <w:highlight w:val="none"/>
        </w:rPr>
        <w:t>23.7.2磋商小组成员不得私下接触供应商，不得收受供应商给予的财务或者其他好处，不得向采购方征询确定成交方意向。</w:t>
      </w:r>
    </w:p>
    <w:p w14:paraId="1AE3F48C">
      <w:pPr>
        <w:spacing w:line="276" w:lineRule="auto"/>
        <w:rPr>
          <w:rFonts w:hint="eastAsia" w:ascii="宋体" w:hAnsi="宋体" w:cs="宋体"/>
          <w:color w:val="auto"/>
          <w:sz w:val="24"/>
          <w:highlight w:val="none"/>
        </w:rPr>
      </w:pPr>
      <w:r>
        <w:rPr>
          <w:rFonts w:hint="eastAsia" w:ascii="宋体" w:hAnsi="宋体" w:cs="宋体"/>
          <w:color w:val="auto"/>
          <w:sz w:val="24"/>
          <w:highlight w:val="none"/>
        </w:rPr>
        <w:t>23.7.3不得接受任何单位或个人明示或暗示提出的倾向或排斥特定供应商的要求。</w:t>
      </w:r>
    </w:p>
    <w:p w14:paraId="371BFC38">
      <w:pPr>
        <w:spacing w:line="276" w:lineRule="auto"/>
        <w:rPr>
          <w:rFonts w:hint="eastAsia" w:ascii="宋体" w:hAnsi="宋体" w:cs="宋体"/>
          <w:color w:val="auto"/>
          <w:sz w:val="24"/>
          <w:highlight w:val="none"/>
        </w:rPr>
      </w:pPr>
      <w:r>
        <w:rPr>
          <w:rFonts w:hint="eastAsia" w:ascii="宋体" w:hAnsi="宋体" w:cs="宋体"/>
          <w:color w:val="auto"/>
          <w:sz w:val="24"/>
          <w:highlight w:val="none"/>
        </w:rPr>
        <w:t>23.7.4不得有其他不客观，不公正履行职务的行为。</w:t>
      </w:r>
    </w:p>
    <w:p w14:paraId="480A096E">
      <w:pPr>
        <w:spacing w:line="276" w:lineRule="auto"/>
        <w:rPr>
          <w:rFonts w:hint="eastAsia" w:ascii="宋体" w:hAnsi="宋体" w:cs="宋体"/>
          <w:color w:val="auto"/>
          <w:sz w:val="24"/>
          <w:highlight w:val="none"/>
        </w:rPr>
      </w:pPr>
      <w:r>
        <w:rPr>
          <w:rFonts w:hint="eastAsia" w:ascii="宋体" w:hAnsi="宋体" w:cs="宋体"/>
          <w:color w:val="auto"/>
          <w:sz w:val="24"/>
          <w:highlight w:val="none"/>
        </w:rPr>
        <w:t>24．磋商过程</w:t>
      </w:r>
    </w:p>
    <w:p w14:paraId="64CC0453">
      <w:pPr>
        <w:spacing w:line="276" w:lineRule="auto"/>
        <w:rPr>
          <w:rFonts w:hint="eastAsia" w:ascii="宋体" w:hAnsi="宋体" w:cs="宋体"/>
          <w:color w:val="auto"/>
          <w:sz w:val="24"/>
          <w:highlight w:val="none"/>
        </w:rPr>
      </w:pPr>
      <w:r>
        <w:rPr>
          <w:rFonts w:hint="eastAsia" w:ascii="宋体" w:hAnsi="宋体" w:cs="宋体"/>
          <w:color w:val="auto"/>
          <w:sz w:val="24"/>
          <w:highlight w:val="none"/>
        </w:rPr>
        <w:t>24.1 磋商的依据为磋商文件和磋商响应文件。</w:t>
      </w:r>
    </w:p>
    <w:p w14:paraId="3A15C2EF">
      <w:pPr>
        <w:spacing w:line="276" w:lineRule="auto"/>
        <w:ind w:left="600" w:hanging="600" w:hangingChars="250"/>
        <w:rPr>
          <w:rFonts w:hint="eastAsia" w:ascii="宋体" w:hAnsi="宋体" w:cs="宋体"/>
          <w:color w:val="auto"/>
          <w:sz w:val="24"/>
          <w:highlight w:val="none"/>
        </w:rPr>
      </w:pPr>
      <w:r>
        <w:rPr>
          <w:rFonts w:hint="eastAsia" w:ascii="宋体" w:hAnsi="宋体" w:cs="宋体"/>
          <w:color w:val="auto"/>
          <w:sz w:val="24"/>
          <w:highlight w:val="none"/>
        </w:rPr>
        <w:t>24.2 磋商后磋商小组审查磋商响应文件是否完整，是否有计算错误，要求的保证金是否提供，文件是否恰当地签署。</w:t>
      </w:r>
    </w:p>
    <w:p w14:paraId="1AD48564">
      <w:pPr>
        <w:spacing w:line="276" w:lineRule="auto"/>
        <w:ind w:left="600" w:hanging="600" w:hangingChars="250"/>
        <w:rPr>
          <w:rFonts w:hint="eastAsia" w:ascii="宋体" w:hAnsi="宋体" w:cs="宋体"/>
          <w:color w:val="auto"/>
          <w:sz w:val="24"/>
          <w:highlight w:val="none"/>
        </w:rPr>
      </w:pPr>
      <w:r>
        <w:rPr>
          <w:rFonts w:hint="eastAsia" w:ascii="宋体" w:hAnsi="宋体" w:cs="宋体"/>
          <w:color w:val="auto"/>
          <w:sz w:val="24"/>
          <w:highlight w:val="none"/>
        </w:rPr>
        <w:t>24.3 在对磋商响应文件进行详细评估之前，</w:t>
      </w:r>
      <w:r>
        <w:rPr>
          <w:rFonts w:hint="eastAsia" w:ascii="宋体" w:hAnsi="宋体" w:cs="宋体"/>
          <w:color w:val="auto"/>
          <w:sz w:val="24"/>
          <w:highlight w:val="none"/>
          <w:lang w:val="en-US" w:eastAsia="zh-CN"/>
        </w:rPr>
        <w:t>采购人</w:t>
      </w:r>
      <w:r>
        <w:rPr>
          <w:rFonts w:hint="eastAsia" w:ascii="宋体" w:hAnsi="宋体" w:cs="宋体"/>
          <w:color w:val="auto"/>
          <w:sz w:val="24"/>
          <w:highlight w:val="none"/>
        </w:rPr>
        <w:t>将审查供应商提供的资格证明文件。</w:t>
      </w:r>
      <w:r>
        <w:rPr>
          <w:rFonts w:hint="eastAsia" w:ascii="宋体" w:hAnsi="宋体" w:cs="宋体"/>
          <w:b/>
          <w:color w:val="auto"/>
          <w:sz w:val="24"/>
          <w:highlight w:val="none"/>
        </w:rPr>
        <w:t>如果确定供应商资格不符合磋商文件要求的，其响应将被拒绝。</w:t>
      </w:r>
    </w:p>
    <w:tbl>
      <w:tblPr>
        <w:tblStyle w:val="38"/>
        <w:tblW w:w="10090" w:type="dxa"/>
        <w:tblInd w:w="1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4"/>
        <w:gridCol w:w="4190"/>
        <w:gridCol w:w="4540"/>
        <w:gridCol w:w="876"/>
      </w:tblGrid>
      <w:tr w14:paraId="5B72B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4674" w:type="dxa"/>
            <w:gridSpan w:val="2"/>
            <w:vAlign w:val="center"/>
          </w:tcPr>
          <w:p w14:paraId="7D6D48AE">
            <w:pPr>
              <w:adjustRightInd w:val="0"/>
              <w:snapToGrid w:val="0"/>
              <w:spacing w:line="240" w:lineRule="auto"/>
              <w:ind w:left="0" w:leftChars="0" w:right="0" w:rightChars="0" w:firstLine="0" w:firstLineChars="0"/>
              <w:jc w:val="center"/>
              <w:rPr>
                <w:rFonts w:hint="eastAsia" w:ascii="宋体" w:hAnsi="宋体" w:cs="宋体"/>
                <w:b/>
                <w:bCs/>
                <w:color w:val="auto"/>
                <w:sz w:val="24"/>
                <w:szCs w:val="24"/>
                <w:highlight w:val="none"/>
              </w:rPr>
            </w:pPr>
          </w:p>
        </w:tc>
        <w:tc>
          <w:tcPr>
            <w:tcW w:w="5416" w:type="dxa"/>
            <w:gridSpan w:val="2"/>
            <w:vAlign w:val="center"/>
          </w:tcPr>
          <w:p w14:paraId="5AF41B65">
            <w:pPr>
              <w:adjustRightInd w:val="0"/>
              <w:snapToGrid w:val="0"/>
              <w:spacing w:line="240" w:lineRule="auto"/>
              <w:ind w:left="0" w:leftChars="0" w:right="0" w:rightChars="0" w:firstLine="0" w:firstLineChars="0"/>
              <w:jc w:val="cente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资格审查</w:t>
            </w:r>
          </w:p>
        </w:tc>
      </w:tr>
      <w:tr w14:paraId="58EF1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484" w:type="dxa"/>
            <w:vAlign w:val="center"/>
          </w:tcPr>
          <w:p w14:paraId="6096AD42">
            <w:pPr>
              <w:adjustRightInd w:val="0"/>
              <w:snapToGrid w:val="0"/>
              <w:spacing w:line="240" w:lineRule="auto"/>
              <w:ind w:left="0" w:leftChars="0" w:right="0" w:rightChars="0" w:firstLine="0" w:firstLineChars="0"/>
              <w:jc w:val="cente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序号</w:t>
            </w:r>
          </w:p>
        </w:tc>
        <w:tc>
          <w:tcPr>
            <w:tcW w:w="4190" w:type="dxa"/>
            <w:vAlign w:val="center"/>
          </w:tcPr>
          <w:p w14:paraId="05DD6256">
            <w:pPr>
              <w:adjustRightInd w:val="0"/>
              <w:snapToGrid w:val="0"/>
              <w:spacing w:line="240" w:lineRule="auto"/>
              <w:ind w:left="0" w:leftChars="0" w:right="0" w:rightChars="0" w:firstLine="0" w:firstLineChars="0"/>
              <w:jc w:val="center"/>
              <w:rPr>
                <w:rFonts w:hint="default"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评审项</w:t>
            </w:r>
          </w:p>
        </w:tc>
        <w:tc>
          <w:tcPr>
            <w:tcW w:w="4540" w:type="dxa"/>
            <w:vAlign w:val="center"/>
          </w:tcPr>
          <w:p w14:paraId="28459515">
            <w:pPr>
              <w:adjustRightInd w:val="0"/>
              <w:snapToGrid w:val="0"/>
              <w:spacing w:line="240" w:lineRule="auto"/>
              <w:ind w:left="0" w:leftChars="0" w:right="0" w:rightChars="0" w:firstLine="0" w:firstLineChars="0"/>
              <w:jc w:val="cente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评审内容</w:t>
            </w:r>
          </w:p>
        </w:tc>
        <w:tc>
          <w:tcPr>
            <w:tcW w:w="876" w:type="dxa"/>
            <w:vAlign w:val="center"/>
          </w:tcPr>
          <w:p w14:paraId="7959E2DC">
            <w:pPr>
              <w:adjustRightInd w:val="0"/>
              <w:snapToGrid w:val="0"/>
              <w:spacing w:line="240" w:lineRule="auto"/>
              <w:ind w:left="0" w:leftChars="0" w:right="0" w:rightChars="0" w:firstLine="0" w:firstLineChars="0"/>
              <w:jc w:val="cente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是否满足</w:t>
            </w:r>
          </w:p>
        </w:tc>
      </w:tr>
      <w:tr w14:paraId="64FF7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84" w:type="dxa"/>
            <w:vAlign w:val="center"/>
          </w:tcPr>
          <w:p w14:paraId="75F362ED">
            <w:pPr>
              <w:adjustRightInd w:val="0"/>
              <w:snapToGrid w:val="0"/>
              <w:spacing w:line="240" w:lineRule="auto"/>
              <w:ind w:left="0" w:leftChars="0" w:right="0" w:rightChars="0" w:firstLine="0" w:firstLineChars="0"/>
              <w:jc w:val="cente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1</w:t>
            </w:r>
          </w:p>
        </w:tc>
        <w:tc>
          <w:tcPr>
            <w:tcW w:w="4190" w:type="dxa"/>
            <w:vAlign w:val="center"/>
          </w:tcPr>
          <w:p w14:paraId="13108F29">
            <w:pPr>
              <w:adjustRightInd w:val="0"/>
              <w:snapToGrid w:val="0"/>
              <w:spacing w:line="240" w:lineRule="auto"/>
              <w:ind w:left="0" w:leftChars="0" w:right="0" w:rightChars="0" w:firstLine="0" w:firstLineChars="0"/>
              <w:jc w:val="cente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具有独立承担民事责任的能力；</w:t>
            </w:r>
          </w:p>
        </w:tc>
        <w:tc>
          <w:tcPr>
            <w:tcW w:w="4540" w:type="dxa"/>
            <w:vAlign w:val="center"/>
          </w:tcPr>
          <w:p w14:paraId="0349AC8C">
            <w:pPr>
              <w:adjustRightInd w:val="0"/>
              <w:snapToGrid w:val="0"/>
              <w:spacing w:line="240" w:lineRule="auto"/>
              <w:ind w:left="0" w:leftChars="0" w:right="0" w:rightChars="0" w:firstLine="0" w:firstLineChars="0"/>
              <w:jc w:val="left"/>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具有独立承担民事责任的能力；（供应商为企业(包括合伙企业)的，应提供有效的“营业执照”；供应商是非企业机构的，应提供有效的“执业许可证、登记证书，等证明文件；供应商是个体工商户的，应提供有效的“个体工商户营业执照”；供应商是自然人的，应提供有效的自然人身份证明。分支机构参加响应的，应提供该分支机构或其所属法人其他组织的相应证明文件，同时还应提供其所属法人/其他组织出具的授权其参与本项目的授权书(格式自拟，须加盖其所属法人其他组织的公章)）</w:t>
            </w:r>
          </w:p>
        </w:tc>
        <w:tc>
          <w:tcPr>
            <w:tcW w:w="876" w:type="dxa"/>
            <w:vAlign w:val="center"/>
          </w:tcPr>
          <w:p w14:paraId="537BADE3">
            <w:pPr>
              <w:adjustRightInd w:val="0"/>
              <w:snapToGrid w:val="0"/>
              <w:spacing w:line="240" w:lineRule="auto"/>
              <w:ind w:left="0" w:leftChars="0" w:right="0" w:rightChars="0" w:firstLine="0" w:firstLineChars="0"/>
              <w:jc w:val="left"/>
              <w:rPr>
                <w:rFonts w:hint="eastAsia" w:ascii="宋体" w:hAnsi="宋体" w:cs="宋体"/>
                <w:b/>
                <w:bCs/>
                <w:color w:val="auto"/>
                <w:sz w:val="24"/>
                <w:szCs w:val="24"/>
                <w:highlight w:val="none"/>
              </w:rPr>
            </w:pPr>
          </w:p>
        </w:tc>
      </w:tr>
      <w:tr w14:paraId="1CE69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84" w:type="dxa"/>
            <w:vAlign w:val="center"/>
          </w:tcPr>
          <w:p w14:paraId="79992FBB">
            <w:pPr>
              <w:adjustRightInd w:val="0"/>
              <w:snapToGrid w:val="0"/>
              <w:spacing w:line="240" w:lineRule="auto"/>
              <w:ind w:left="0" w:leftChars="0" w:right="0" w:rightChars="0" w:firstLine="0" w:firstLineChars="0"/>
              <w:jc w:val="cente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2</w:t>
            </w:r>
          </w:p>
        </w:tc>
        <w:tc>
          <w:tcPr>
            <w:tcW w:w="4190" w:type="dxa"/>
            <w:vAlign w:val="center"/>
          </w:tcPr>
          <w:p w14:paraId="272E4666">
            <w:pPr>
              <w:adjustRightInd w:val="0"/>
              <w:snapToGrid w:val="0"/>
              <w:spacing w:line="240" w:lineRule="auto"/>
              <w:ind w:left="0" w:leftChars="0" w:right="0" w:rightChars="0" w:firstLine="0" w:firstLineChars="0"/>
              <w:jc w:val="cente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具有良好的商业信誉和健全的财务会计制度；</w:t>
            </w:r>
          </w:p>
        </w:tc>
        <w:tc>
          <w:tcPr>
            <w:tcW w:w="4540" w:type="dxa"/>
            <w:vAlign w:val="center"/>
          </w:tcPr>
          <w:p w14:paraId="35D2EC15">
            <w:pPr>
              <w:adjustRightInd w:val="0"/>
              <w:snapToGrid w:val="0"/>
              <w:spacing w:line="240" w:lineRule="auto"/>
              <w:ind w:left="0" w:leftChars="0" w:right="0" w:rightChars="0" w:firstLine="0" w:firstLineChars="0"/>
              <w:jc w:val="left"/>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提供会计师事务所出具的2024年度或2025年度财务审计报告或基本开户银行出具的资信证明，新成立不足一年的提供成立之日起至今的财务报表</w:t>
            </w:r>
          </w:p>
        </w:tc>
        <w:tc>
          <w:tcPr>
            <w:tcW w:w="876" w:type="dxa"/>
            <w:vAlign w:val="center"/>
          </w:tcPr>
          <w:p w14:paraId="030F8D2E">
            <w:pPr>
              <w:adjustRightInd w:val="0"/>
              <w:snapToGrid w:val="0"/>
              <w:spacing w:line="240" w:lineRule="auto"/>
              <w:ind w:left="0" w:leftChars="0" w:right="0" w:rightChars="0" w:firstLine="0" w:firstLineChars="0"/>
              <w:jc w:val="left"/>
              <w:rPr>
                <w:rFonts w:hint="eastAsia" w:ascii="宋体" w:hAnsi="宋体" w:cs="宋体"/>
                <w:b/>
                <w:bCs/>
                <w:color w:val="auto"/>
                <w:sz w:val="24"/>
                <w:szCs w:val="24"/>
                <w:highlight w:val="none"/>
              </w:rPr>
            </w:pPr>
          </w:p>
        </w:tc>
      </w:tr>
      <w:tr w14:paraId="24CA6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84" w:type="dxa"/>
            <w:vAlign w:val="center"/>
          </w:tcPr>
          <w:p w14:paraId="45D682B4">
            <w:pPr>
              <w:adjustRightInd w:val="0"/>
              <w:snapToGrid w:val="0"/>
              <w:spacing w:line="240" w:lineRule="auto"/>
              <w:ind w:left="0" w:leftChars="0" w:right="0" w:rightChars="0" w:firstLine="0" w:firstLineChars="0"/>
              <w:jc w:val="cente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3</w:t>
            </w:r>
          </w:p>
        </w:tc>
        <w:tc>
          <w:tcPr>
            <w:tcW w:w="4190" w:type="dxa"/>
            <w:vAlign w:val="center"/>
          </w:tcPr>
          <w:p w14:paraId="618DC105">
            <w:pPr>
              <w:adjustRightInd w:val="0"/>
              <w:snapToGrid w:val="0"/>
              <w:spacing w:line="240" w:lineRule="auto"/>
              <w:ind w:left="0" w:leftChars="0" w:right="0" w:rightChars="0" w:firstLine="0" w:firstLineChars="0"/>
              <w:jc w:val="cente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有依法缴纳税收和社会保障资金的良好记录；</w:t>
            </w:r>
          </w:p>
        </w:tc>
        <w:tc>
          <w:tcPr>
            <w:tcW w:w="4540" w:type="dxa"/>
            <w:vAlign w:val="center"/>
          </w:tcPr>
          <w:p w14:paraId="0FF3BAA0">
            <w:pPr>
              <w:adjustRightInd w:val="0"/>
              <w:snapToGrid w:val="0"/>
              <w:spacing w:line="240" w:lineRule="auto"/>
              <w:ind w:left="0" w:leftChars="0" w:right="0" w:rightChars="0" w:firstLine="0" w:firstLineChars="0"/>
              <w:jc w:val="left"/>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有依法缴纳税收和社会保障资金的良好纪录；（提供近一年任意三个月社保资金缴纳证明和纳税证明，新成立公司提供成立之日起至今的缴税记录及社保缴纳证明。若供应商的纳税记录为零申报的，需提供相应证明材料）</w:t>
            </w:r>
          </w:p>
        </w:tc>
        <w:tc>
          <w:tcPr>
            <w:tcW w:w="876" w:type="dxa"/>
            <w:vAlign w:val="center"/>
          </w:tcPr>
          <w:p w14:paraId="5B2406FE">
            <w:pPr>
              <w:adjustRightInd w:val="0"/>
              <w:snapToGrid w:val="0"/>
              <w:spacing w:line="240" w:lineRule="auto"/>
              <w:ind w:left="0" w:leftChars="0" w:right="0" w:rightChars="0" w:firstLine="0" w:firstLineChars="0"/>
              <w:jc w:val="left"/>
              <w:rPr>
                <w:rFonts w:hint="eastAsia" w:ascii="宋体" w:hAnsi="宋体" w:cs="宋体"/>
                <w:b/>
                <w:bCs/>
                <w:color w:val="auto"/>
                <w:sz w:val="24"/>
                <w:szCs w:val="24"/>
                <w:highlight w:val="none"/>
              </w:rPr>
            </w:pPr>
          </w:p>
        </w:tc>
      </w:tr>
      <w:tr w14:paraId="32A0C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84" w:type="dxa"/>
            <w:vAlign w:val="center"/>
          </w:tcPr>
          <w:p w14:paraId="2C5BECE4">
            <w:pPr>
              <w:adjustRightInd w:val="0"/>
              <w:snapToGrid w:val="0"/>
              <w:spacing w:line="240" w:lineRule="auto"/>
              <w:ind w:left="0" w:leftChars="0" w:right="0" w:rightChars="0" w:firstLine="0" w:firstLineChars="0"/>
              <w:jc w:val="cente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4</w:t>
            </w:r>
          </w:p>
        </w:tc>
        <w:tc>
          <w:tcPr>
            <w:tcW w:w="4190" w:type="dxa"/>
            <w:vAlign w:val="center"/>
          </w:tcPr>
          <w:p w14:paraId="1F067E45">
            <w:pPr>
              <w:adjustRightInd w:val="0"/>
              <w:snapToGrid w:val="0"/>
              <w:spacing w:line="240" w:lineRule="auto"/>
              <w:ind w:left="0" w:leftChars="0" w:right="0" w:rightChars="0" w:firstLine="0" w:firstLineChars="0"/>
              <w:jc w:val="cente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参加采购活动前三年内，在经营活动中没有重大违法记录。查询渠道“中国政府采购网”、“信用中国”，被列入失信被执行人、重大税收违法案件当事人名单、 政府采购严重违法失信行为记录名单的供应商，不得参与本次政府采购活动。</w:t>
            </w:r>
          </w:p>
        </w:tc>
        <w:tc>
          <w:tcPr>
            <w:tcW w:w="4540" w:type="dxa"/>
            <w:vAlign w:val="center"/>
          </w:tcPr>
          <w:p w14:paraId="1904FE13">
            <w:pPr>
              <w:adjustRightInd w:val="0"/>
              <w:snapToGrid w:val="0"/>
              <w:spacing w:line="240" w:lineRule="auto"/>
              <w:ind w:left="0" w:leftChars="0" w:right="0" w:rightChars="0" w:firstLine="0" w:firstLineChars="0"/>
              <w:jc w:val="left"/>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以现场查询为准；</w:t>
            </w:r>
          </w:p>
        </w:tc>
        <w:tc>
          <w:tcPr>
            <w:tcW w:w="876" w:type="dxa"/>
            <w:vAlign w:val="center"/>
          </w:tcPr>
          <w:p w14:paraId="4B57B652">
            <w:pPr>
              <w:adjustRightInd w:val="0"/>
              <w:snapToGrid w:val="0"/>
              <w:spacing w:line="240" w:lineRule="auto"/>
              <w:ind w:left="0" w:leftChars="0" w:right="0" w:rightChars="0" w:firstLine="0" w:firstLineChars="0"/>
              <w:jc w:val="left"/>
              <w:rPr>
                <w:rFonts w:hint="eastAsia" w:ascii="宋体" w:hAnsi="宋体" w:cs="宋体"/>
                <w:b/>
                <w:bCs/>
                <w:color w:val="auto"/>
                <w:sz w:val="24"/>
                <w:szCs w:val="24"/>
                <w:highlight w:val="none"/>
              </w:rPr>
            </w:pPr>
          </w:p>
        </w:tc>
      </w:tr>
      <w:tr w14:paraId="08591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84" w:type="dxa"/>
            <w:vAlign w:val="center"/>
          </w:tcPr>
          <w:p w14:paraId="65357C7D">
            <w:pPr>
              <w:adjustRightInd w:val="0"/>
              <w:snapToGrid w:val="0"/>
              <w:spacing w:line="240" w:lineRule="auto"/>
              <w:ind w:left="0" w:leftChars="0" w:right="0" w:rightChars="0" w:firstLine="0" w:firstLineChars="0"/>
              <w:jc w:val="cente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5</w:t>
            </w:r>
          </w:p>
        </w:tc>
        <w:tc>
          <w:tcPr>
            <w:tcW w:w="4190" w:type="dxa"/>
            <w:vAlign w:val="center"/>
          </w:tcPr>
          <w:p w14:paraId="7B4FF2AA">
            <w:pPr>
              <w:adjustRightInd w:val="0"/>
              <w:snapToGrid w:val="0"/>
              <w:spacing w:line="240" w:lineRule="auto"/>
              <w:ind w:left="0" w:leftChars="0" w:right="0" w:rightChars="0" w:firstLine="0" w:firstLineChars="0"/>
              <w:jc w:val="cente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单位负责人为同一人或者存在直接控股、管理关系的不同投标人，不得参加同一合同项下的政府采购活动。除单一来源采购项目外，为采购项目提供整体设计、规范编制或者项目管理、监理、检测等服务的投标人，不得再参加该采购项目的其他采购活动。</w:t>
            </w:r>
          </w:p>
        </w:tc>
        <w:tc>
          <w:tcPr>
            <w:tcW w:w="4540" w:type="dxa"/>
            <w:vAlign w:val="center"/>
          </w:tcPr>
          <w:p w14:paraId="42BDD555">
            <w:pPr>
              <w:adjustRightInd w:val="0"/>
              <w:snapToGrid w:val="0"/>
              <w:spacing w:line="240" w:lineRule="auto"/>
              <w:ind w:left="0" w:leftChars="0" w:right="0" w:rightChars="0" w:firstLine="0" w:firstLineChars="0"/>
              <w:jc w:val="left"/>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提供承诺函</w:t>
            </w:r>
          </w:p>
        </w:tc>
        <w:tc>
          <w:tcPr>
            <w:tcW w:w="876" w:type="dxa"/>
            <w:vAlign w:val="center"/>
          </w:tcPr>
          <w:p w14:paraId="6A1A83BD">
            <w:pPr>
              <w:adjustRightInd w:val="0"/>
              <w:snapToGrid w:val="0"/>
              <w:spacing w:line="240" w:lineRule="auto"/>
              <w:ind w:left="0" w:leftChars="0" w:right="0" w:rightChars="0" w:firstLine="0" w:firstLineChars="0"/>
              <w:jc w:val="left"/>
              <w:rPr>
                <w:rFonts w:hint="eastAsia" w:ascii="宋体" w:hAnsi="宋体" w:cs="宋体"/>
                <w:b/>
                <w:bCs/>
                <w:color w:val="auto"/>
                <w:sz w:val="24"/>
                <w:szCs w:val="24"/>
                <w:highlight w:val="none"/>
              </w:rPr>
            </w:pPr>
          </w:p>
        </w:tc>
      </w:tr>
      <w:tr w14:paraId="4A1E0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84" w:type="dxa"/>
            <w:vAlign w:val="center"/>
          </w:tcPr>
          <w:p w14:paraId="1106117E">
            <w:pPr>
              <w:adjustRightInd w:val="0"/>
              <w:snapToGrid w:val="0"/>
              <w:spacing w:line="240" w:lineRule="auto"/>
              <w:ind w:left="0" w:leftChars="0" w:right="0" w:rightChars="0" w:firstLine="0" w:firstLineChars="0"/>
              <w:jc w:val="cente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6</w:t>
            </w:r>
          </w:p>
        </w:tc>
        <w:tc>
          <w:tcPr>
            <w:tcW w:w="4190" w:type="dxa"/>
            <w:vAlign w:val="center"/>
          </w:tcPr>
          <w:p w14:paraId="4DD32363">
            <w:pPr>
              <w:adjustRightInd w:val="0"/>
              <w:snapToGrid w:val="0"/>
              <w:spacing w:line="240" w:lineRule="auto"/>
              <w:ind w:left="0" w:leftChars="0" w:right="0" w:rightChars="0" w:firstLine="0" w:firstLineChars="0"/>
              <w:jc w:val="cente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具有履行合同所必需的设备和专业技术能力；</w:t>
            </w:r>
          </w:p>
        </w:tc>
        <w:tc>
          <w:tcPr>
            <w:tcW w:w="4540" w:type="dxa"/>
            <w:vAlign w:val="center"/>
          </w:tcPr>
          <w:p w14:paraId="573B3E72">
            <w:pPr>
              <w:adjustRightInd w:val="0"/>
              <w:snapToGrid w:val="0"/>
              <w:spacing w:line="240" w:lineRule="auto"/>
              <w:ind w:left="0" w:leftChars="0" w:right="0" w:rightChars="0" w:firstLine="0" w:firstLineChars="0"/>
              <w:jc w:val="left"/>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提供承诺函</w:t>
            </w:r>
          </w:p>
        </w:tc>
        <w:tc>
          <w:tcPr>
            <w:tcW w:w="876" w:type="dxa"/>
            <w:vAlign w:val="center"/>
          </w:tcPr>
          <w:p w14:paraId="34B4A331">
            <w:pPr>
              <w:adjustRightInd w:val="0"/>
              <w:snapToGrid w:val="0"/>
              <w:spacing w:line="240" w:lineRule="auto"/>
              <w:ind w:left="0" w:leftChars="0" w:right="0" w:rightChars="0" w:firstLine="0" w:firstLineChars="0"/>
              <w:jc w:val="left"/>
              <w:rPr>
                <w:rFonts w:hint="eastAsia" w:ascii="宋体" w:hAnsi="宋体" w:cs="宋体"/>
                <w:b/>
                <w:bCs/>
                <w:color w:val="auto"/>
                <w:sz w:val="24"/>
                <w:szCs w:val="24"/>
                <w:highlight w:val="none"/>
              </w:rPr>
            </w:pPr>
          </w:p>
        </w:tc>
      </w:tr>
      <w:tr w14:paraId="34C8A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84" w:type="dxa"/>
            <w:vAlign w:val="center"/>
          </w:tcPr>
          <w:p w14:paraId="11704FAD">
            <w:pPr>
              <w:adjustRightInd w:val="0"/>
              <w:snapToGrid w:val="0"/>
              <w:spacing w:line="240" w:lineRule="auto"/>
              <w:ind w:left="0" w:leftChars="0" w:right="0" w:rightChars="0" w:firstLine="0" w:firstLineChars="0"/>
              <w:jc w:val="cente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7</w:t>
            </w:r>
          </w:p>
        </w:tc>
        <w:tc>
          <w:tcPr>
            <w:tcW w:w="4190" w:type="dxa"/>
            <w:vAlign w:val="center"/>
          </w:tcPr>
          <w:p w14:paraId="709FEF30">
            <w:pPr>
              <w:adjustRightInd w:val="0"/>
              <w:snapToGrid w:val="0"/>
              <w:spacing w:line="240" w:lineRule="auto"/>
              <w:ind w:left="0" w:leftChars="0" w:right="0" w:rightChars="0" w:firstLine="0" w:firstLineChars="0"/>
              <w:jc w:val="cente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符合国家相关法律法规；</w:t>
            </w:r>
          </w:p>
        </w:tc>
        <w:tc>
          <w:tcPr>
            <w:tcW w:w="4540" w:type="dxa"/>
            <w:vAlign w:val="center"/>
          </w:tcPr>
          <w:p w14:paraId="0C852AAF">
            <w:pPr>
              <w:adjustRightInd w:val="0"/>
              <w:snapToGrid w:val="0"/>
              <w:spacing w:line="240" w:lineRule="auto"/>
              <w:ind w:left="0" w:leftChars="0" w:right="0" w:rightChars="0" w:firstLine="0" w:firstLineChars="0"/>
              <w:jc w:val="left"/>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提供承诺函</w:t>
            </w:r>
          </w:p>
        </w:tc>
        <w:tc>
          <w:tcPr>
            <w:tcW w:w="876" w:type="dxa"/>
            <w:vAlign w:val="center"/>
          </w:tcPr>
          <w:p w14:paraId="308E3CB8">
            <w:pPr>
              <w:adjustRightInd w:val="0"/>
              <w:snapToGrid w:val="0"/>
              <w:spacing w:line="240" w:lineRule="auto"/>
              <w:ind w:left="0" w:leftChars="0" w:right="0" w:rightChars="0" w:firstLine="0" w:firstLineChars="0"/>
              <w:jc w:val="left"/>
              <w:rPr>
                <w:rFonts w:hint="eastAsia" w:ascii="宋体" w:hAnsi="宋体" w:cs="宋体"/>
                <w:b/>
                <w:bCs/>
                <w:color w:val="auto"/>
                <w:sz w:val="24"/>
                <w:szCs w:val="24"/>
                <w:highlight w:val="none"/>
              </w:rPr>
            </w:pPr>
          </w:p>
        </w:tc>
      </w:tr>
      <w:tr w14:paraId="28E55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84" w:type="dxa"/>
            <w:vAlign w:val="center"/>
          </w:tcPr>
          <w:p w14:paraId="7FF623BD">
            <w:pPr>
              <w:adjustRightInd w:val="0"/>
              <w:snapToGrid w:val="0"/>
              <w:spacing w:line="240" w:lineRule="auto"/>
              <w:ind w:left="0" w:leftChars="0" w:right="0" w:rightChars="0" w:firstLine="0" w:firstLineChars="0"/>
              <w:jc w:val="cente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8</w:t>
            </w:r>
          </w:p>
        </w:tc>
        <w:tc>
          <w:tcPr>
            <w:tcW w:w="4190" w:type="dxa"/>
            <w:vAlign w:val="center"/>
          </w:tcPr>
          <w:p w14:paraId="2C9FD025">
            <w:pPr>
              <w:adjustRightInd w:val="0"/>
              <w:snapToGrid w:val="0"/>
              <w:spacing w:line="240" w:lineRule="auto"/>
              <w:ind w:left="0" w:leftChars="0" w:right="0" w:rightChars="0" w:firstLine="0" w:firstLineChars="0"/>
              <w:jc w:val="center"/>
              <w:rPr>
                <w:rFonts w:hint="eastAsia" w:ascii="宋体" w:hAnsi="宋体" w:cs="宋体"/>
                <w:b/>
                <w:bCs/>
                <w:color w:val="auto"/>
                <w:sz w:val="24"/>
                <w:szCs w:val="24"/>
                <w:highlight w:val="none"/>
                <w:lang w:eastAsia="zh-CN"/>
              </w:rPr>
            </w:pPr>
            <w:r>
              <w:rPr>
                <w:rFonts w:hint="eastAsia" w:ascii="宋体" w:hAnsi="宋体" w:cs="宋体"/>
                <w:b/>
                <w:bCs/>
                <w:color w:val="auto"/>
                <w:sz w:val="24"/>
                <w:szCs w:val="24"/>
                <w:highlight w:val="none"/>
                <w:lang w:eastAsia="zh-CN"/>
              </w:rPr>
              <w:t>本项目专门面向中小企业</w:t>
            </w:r>
            <w:r>
              <w:rPr>
                <w:rFonts w:hint="eastAsia" w:ascii="宋体" w:hAnsi="宋体" w:cs="宋体"/>
                <w:b/>
                <w:bCs/>
                <w:color w:val="auto"/>
                <w:sz w:val="24"/>
                <w:szCs w:val="24"/>
                <w:highlight w:val="none"/>
              </w:rPr>
              <w:t>；</w:t>
            </w:r>
          </w:p>
        </w:tc>
        <w:tc>
          <w:tcPr>
            <w:tcW w:w="4540" w:type="dxa"/>
            <w:vAlign w:val="center"/>
          </w:tcPr>
          <w:p w14:paraId="3CDAE186">
            <w:pPr>
              <w:adjustRightInd w:val="0"/>
              <w:snapToGrid w:val="0"/>
              <w:spacing w:line="240" w:lineRule="auto"/>
              <w:ind w:left="0" w:leftChars="0" w:right="0" w:rightChars="0" w:firstLine="0" w:firstLineChars="0"/>
              <w:jc w:val="left"/>
              <w:rPr>
                <w:rFonts w:hint="eastAsia" w:ascii="宋体" w:hAnsi="宋体" w:cs="宋体"/>
                <w:b/>
                <w:bCs/>
                <w:color w:val="auto"/>
                <w:sz w:val="24"/>
                <w:szCs w:val="24"/>
                <w:highlight w:val="none"/>
              </w:rPr>
            </w:pPr>
            <w:r>
              <w:rPr>
                <w:rFonts w:hint="eastAsia" w:ascii="宋体" w:hAnsi="宋体" w:cs="宋体"/>
                <w:b/>
                <w:bCs/>
                <w:color w:val="auto"/>
                <w:sz w:val="24"/>
                <w:szCs w:val="24"/>
                <w:highlight w:val="none"/>
                <w:lang w:val="en-US" w:eastAsia="zh-CN"/>
              </w:rPr>
              <w:t>提供</w:t>
            </w:r>
            <w:r>
              <w:rPr>
                <w:rFonts w:hint="eastAsia" w:ascii="宋体" w:hAnsi="宋体" w:cs="宋体"/>
                <w:b/>
                <w:bCs/>
                <w:color w:val="auto"/>
                <w:sz w:val="24"/>
                <w:szCs w:val="24"/>
                <w:highlight w:val="none"/>
              </w:rPr>
              <w:t>《中小企业声明函》</w:t>
            </w:r>
          </w:p>
        </w:tc>
        <w:tc>
          <w:tcPr>
            <w:tcW w:w="876" w:type="dxa"/>
            <w:vAlign w:val="center"/>
          </w:tcPr>
          <w:p w14:paraId="12EF76A6">
            <w:pPr>
              <w:adjustRightInd w:val="0"/>
              <w:snapToGrid w:val="0"/>
              <w:spacing w:line="240" w:lineRule="auto"/>
              <w:ind w:left="0" w:leftChars="0" w:right="0" w:rightChars="0" w:firstLine="0" w:firstLineChars="0"/>
              <w:jc w:val="left"/>
              <w:rPr>
                <w:rFonts w:hint="eastAsia" w:ascii="宋体" w:hAnsi="宋体" w:cs="宋体"/>
                <w:b/>
                <w:bCs/>
                <w:color w:val="auto"/>
                <w:sz w:val="24"/>
                <w:szCs w:val="24"/>
                <w:highlight w:val="none"/>
              </w:rPr>
            </w:pPr>
          </w:p>
        </w:tc>
      </w:tr>
      <w:tr w14:paraId="3436D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84" w:type="dxa"/>
            <w:vAlign w:val="center"/>
          </w:tcPr>
          <w:p w14:paraId="66A7ACF4">
            <w:pPr>
              <w:adjustRightInd w:val="0"/>
              <w:snapToGrid w:val="0"/>
              <w:spacing w:line="240" w:lineRule="auto"/>
              <w:ind w:left="0" w:leftChars="0" w:right="0" w:rightChars="0" w:firstLine="0" w:firstLineChars="0"/>
              <w:jc w:val="center"/>
              <w:rPr>
                <w:rFonts w:hint="eastAsia" w:ascii="宋体" w:hAnsi="宋体" w:eastAsia="宋体" w:cs="宋体"/>
                <w:b/>
                <w:bCs/>
                <w:color w:val="auto"/>
                <w:sz w:val="24"/>
                <w:szCs w:val="24"/>
                <w:highlight w:val="none"/>
                <w:lang w:eastAsia="zh-CN"/>
              </w:rPr>
            </w:pPr>
            <w:r>
              <w:rPr>
                <w:rFonts w:hint="eastAsia" w:ascii="宋体" w:hAnsi="宋体" w:cs="宋体"/>
                <w:b/>
                <w:bCs/>
                <w:color w:val="auto"/>
                <w:sz w:val="24"/>
                <w:szCs w:val="24"/>
                <w:highlight w:val="none"/>
                <w:lang w:val="en-US" w:eastAsia="zh-CN"/>
              </w:rPr>
              <w:t>9</w:t>
            </w:r>
          </w:p>
        </w:tc>
        <w:tc>
          <w:tcPr>
            <w:tcW w:w="4190" w:type="dxa"/>
            <w:vAlign w:val="center"/>
          </w:tcPr>
          <w:p w14:paraId="5B167841">
            <w:pPr>
              <w:adjustRightInd w:val="0"/>
              <w:snapToGrid w:val="0"/>
              <w:spacing w:line="240" w:lineRule="auto"/>
              <w:ind w:left="0" w:leftChars="0" w:right="0" w:rightChars="0" w:firstLine="0" w:firstLineChars="0"/>
              <w:jc w:val="cente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本项目不接受联合体投标</w:t>
            </w:r>
          </w:p>
        </w:tc>
        <w:tc>
          <w:tcPr>
            <w:tcW w:w="4540" w:type="dxa"/>
            <w:vAlign w:val="center"/>
          </w:tcPr>
          <w:p w14:paraId="37A3210E">
            <w:pPr>
              <w:adjustRightInd w:val="0"/>
              <w:snapToGrid w:val="0"/>
              <w:spacing w:line="240" w:lineRule="auto"/>
              <w:ind w:left="0" w:leftChars="0" w:right="0" w:rightChars="0" w:firstLine="0" w:firstLineChars="0"/>
              <w:jc w:val="left"/>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提供承诺函</w:t>
            </w:r>
          </w:p>
        </w:tc>
        <w:tc>
          <w:tcPr>
            <w:tcW w:w="876" w:type="dxa"/>
            <w:vAlign w:val="center"/>
          </w:tcPr>
          <w:p w14:paraId="42EB78EC">
            <w:pPr>
              <w:adjustRightInd w:val="0"/>
              <w:snapToGrid w:val="0"/>
              <w:spacing w:line="240" w:lineRule="auto"/>
              <w:ind w:left="0" w:leftChars="0" w:right="0" w:rightChars="0" w:firstLine="0" w:firstLineChars="0"/>
              <w:jc w:val="left"/>
              <w:rPr>
                <w:rFonts w:hint="eastAsia" w:ascii="宋体" w:hAnsi="宋体" w:cs="宋体"/>
                <w:b/>
                <w:bCs/>
                <w:color w:val="auto"/>
                <w:sz w:val="24"/>
                <w:szCs w:val="24"/>
                <w:highlight w:val="none"/>
              </w:rPr>
            </w:pPr>
          </w:p>
        </w:tc>
      </w:tr>
      <w:tr w14:paraId="36B3E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674" w:type="dxa"/>
            <w:gridSpan w:val="2"/>
            <w:vAlign w:val="center"/>
          </w:tcPr>
          <w:p w14:paraId="3781902B">
            <w:pPr>
              <w:adjustRightInd w:val="0"/>
              <w:snapToGrid w:val="0"/>
              <w:spacing w:line="240" w:lineRule="auto"/>
              <w:ind w:left="0" w:leftChars="0" w:right="0" w:rightChars="0" w:firstLine="0" w:firstLineChars="0"/>
              <w:jc w:val="center"/>
              <w:rPr>
                <w:rFonts w:hint="eastAsia" w:ascii="宋体" w:hAnsi="宋体" w:cs="宋体"/>
                <w:b/>
                <w:bCs/>
                <w:color w:val="auto"/>
                <w:sz w:val="24"/>
                <w:szCs w:val="24"/>
                <w:highlight w:val="none"/>
              </w:rPr>
            </w:pPr>
          </w:p>
        </w:tc>
        <w:tc>
          <w:tcPr>
            <w:tcW w:w="4540" w:type="dxa"/>
            <w:vAlign w:val="center"/>
          </w:tcPr>
          <w:p w14:paraId="66DB6AB1">
            <w:pPr>
              <w:adjustRightInd w:val="0"/>
              <w:snapToGrid w:val="0"/>
              <w:spacing w:line="240" w:lineRule="auto"/>
              <w:ind w:left="0" w:leftChars="0" w:right="0" w:rightChars="0" w:firstLine="0" w:firstLineChars="0"/>
              <w:jc w:val="cente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审查结果</w:t>
            </w:r>
          </w:p>
        </w:tc>
        <w:tc>
          <w:tcPr>
            <w:tcW w:w="876" w:type="dxa"/>
            <w:vAlign w:val="center"/>
          </w:tcPr>
          <w:p w14:paraId="3EC91C62">
            <w:pPr>
              <w:adjustRightInd w:val="0"/>
              <w:snapToGrid w:val="0"/>
              <w:spacing w:line="240" w:lineRule="auto"/>
              <w:ind w:left="0" w:leftChars="0" w:right="0" w:rightChars="0" w:firstLine="0" w:firstLineChars="0"/>
              <w:jc w:val="center"/>
              <w:rPr>
                <w:rFonts w:hint="eastAsia" w:ascii="宋体" w:hAnsi="宋体" w:cs="宋体"/>
                <w:b/>
                <w:bCs/>
                <w:color w:val="auto"/>
                <w:sz w:val="24"/>
                <w:szCs w:val="24"/>
                <w:highlight w:val="none"/>
              </w:rPr>
            </w:pPr>
          </w:p>
        </w:tc>
      </w:tr>
    </w:tbl>
    <w:p w14:paraId="11881CF1">
      <w:pPr>
        <w:spacing w:line="276" w:lineRule="auto"/>
        <w:ind w:left="600" w:hanging="600" w:hangingChars="250"/>
        <w:rPr>
          <w:rFonts w:hint="eastAsia" w:ascii="宋体" w:hAnsi="宋体" w:cs="宋体"/>
          <w:color w:val="auto"/>
          <w:sz w:val="24"/>
          <w:highlight w:val="none"/>
        </w:rPr>
      </w:pPr>
    </w:p>
    <w:p w14:paraId="499FE3D1">
      <w:pPr>
        <w:spacing w:line="276" w:lineRule="auto"/>
        <w:ind w:left="600" w:hanging="600" w:hangingChars="250"/>
        <w:rPr>
          <w:rFonts w:hint="eastAsia" w:ascii="宋体" w:hAnsi="宋体" w:cs="宋体"/>
          <w:color w:val="auto"/>
          <w:sz w:val="24"/>
          <w:highlight w:val="none"/>
        </w:rPr>
      </w:pPr>
      <w:r>
        <w:rPr>
          <w:rFonts w:hint="eastAsia" w:ascii="宋体" w:hAnsi="宋体" w:cs="宋体"/>
          <w:color w:val="auto"/>
          <w:sz w:val="24"/>
          <w:highlight w:val="none"/>
        </w:rPr>
        <w:t>24.4 磋商小组将确定每一磋商响应文件是否对磋商文件的要求作出了实质性的响应，而没有重大偏离。</w:t>
      </w:r>
      <w:r>
        <w:rPr>
          <w:rFonts w:hint="eastAsia" w:ascii="宋体" w:hAnsi="宋体" w:cs="宋体"/>
          <w:b/>
          <w:color w:val="auto"/>
          <w:sz w:val="24"/>
          <w:highlight w:val="none"/>
        </w:rPr>
        <w:t>如果确定供应商未作出实质性响应磋商文件要求的，将视为无效磋商。</w:t>
      </w:r>
      <w:r>
        <w:rPr>
          <w:rFonts w:hint="eastAsia" w:ascii="宋体" w:hAnsi="宋体" w:cs="宋体"/>
          <w:color w:val="auto"/>
          <w:sz w:val="24"/>
          <w:highlight w:val="none"/>
        </w:rPr>
        <w:t>实质性响应的磋商响应文件是指没有重大偏离或保留。重大偏离或保留系指影响到磋商文件规定的供货范围、质量和性能，或限制了采购人的权利和供应商的义务的规定，而纠正这些偏离将影响到其他提交实质性响应磋商的供应商的公平竞争地位。</w:t>
      </w:r>
    </w:p>
    <w:tbl>
      <w:tblPr>
        <w:tblStyle w:val="38"/>
        <w:tblW w:w="99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9"/>
        <w:gridCol w:w="7948"/>
        <w:gridCol w:w="1276"/>
      </w:tblGrid>
      <w:tr w14:paraId="09EBE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9963" w:type="dxa"/>
            <w:gridSpan w:val="3"/>
            <w:vAlign w:val="center"/>
          </w:tcPr>
          <w:p w14:paraId="24671680">
            <w:pPr>
              <w:adjustRightInd w:val="0"/>
              <w:snapToGrid w:val="0"/>
              <w:spacing w:line="276" w:lineRule="auto"/>
              <w:jc w:val="cente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符合性审查</w:t>
            </w:r>
          </w:p>
        </w:tc>
      </w:tr>
      <w:tr w14:paraId="7414A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739" w:type="dxa"/>
            <w:vAlign w:val="center"/>
          </w:tcPr>
          <w:p w14:paraId="496CFF29">
            <w:pPr>
              <w:adjustRightInd w:val="0"/>
              <w:snapToGrid w:val="0"/>
              <w:spacing w:line="276" w:lineRule="auto"/>
              <w:jc w:val="center"/>
              <w:rPr>
                <w:rFonts w:hint="eastAsia" w:ascii="宋体" w:hAnsi="宋体" w:cs="宋体"/>
                <w:b/>
                <w:bCs/>
                <w:color w:val="auto"/>
                <w:sz w:val="24"/>
                <w:szCs w:val="24"/>
                <w:highlight w:val="none"/>
              </w:rPr>
            </w:pPr>
            <w:bookmarkStart w:id="39" w:name="_Hlk39707193"/>
            <w:r>
              <w:rPr>
                <w:rFonts w:hint="eastAsia" w:ascii="宋体" w:hAnsi="宋体" w:cs="宋体"/>
                <w:b/>
                <w:bCs/>
                <w:color w:val="auto"/>
                <w:sz w:val="24"/>
                <w:szCs w:val="24"/>
                <w:highlight w:val="none"/>
              </w:rPr>
              <w:t>序号</w:t>
            </w:r>
          </w:p>
        </w:tc>
        <w:tc>
          <w:tcPr>
            <w:tcW w:w="7948" w:type="dxa"/>
          </w:tcPr>
          <w:p w14:paraId="09733CAE">
            <w:pPr>
              <w:adjustRightInd w:val="0"/>
              <w:snapToGrid w:val="0"/>
              <w:spacing w:line="276" w:lineRule="auto"/>
              <w:jc w:val="cente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评审内容</w:t>
            </w:r>
          </w:p>
        </w:tc>
        <w:tc>
          <w:tcPr>
            <w:tcW w:w="1276" w:type="dxa"/>
          </w:tcPr>
          <w:p w14:paraId="3E92288F">
            <w:pPr>
              <w:adjustRightInd w:val="0"/>
              <w:snapToGrid w:val="0"/>
              <w:spacing w:line="276" w:lineRule="auto"/>
              <w:jc w:val="cente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是否满足</w:t>
            </w:r>
          </w:p>
        </w:tc>
      </w:tr>
      <w:tr w14:paraId="42D3F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9" w:type="dxa"/>
            <w:vAlign w:val="center"/>
          </w:tcPr>
          <w:p w14:paraId="61C0E5E5">
            <w:pPr>
              <w:adjustRightInd w:val="0"/>
              <w:snapToGrid w:val="0"/>
              <w:spacing w:line="276" w:lineRule="auto"/>
              <w:jc w:val="cente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1</w:t>
            </w:r>
          </w:p>
        </w:tc>
        <w:tc>
          <w:tcPr>
            <w:tcW w:w="7948" w:type="dxa"/>
          </w:tcPr>
          <w:p w14:paraId="1A510CBF">
            <w:pPr>
              <w:adjustRightInd w:val="0"/>
              <w:snapToGrid w:val="0"/>
              <w:spacing w:line="276" w:lineRule="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在评标过程中，磋商小组若发现</w:t>
            </w:r>
            <w:r>
              <w:rPr>
                <w:rFonts w:hint="eastAsia" w:ascii="宋体" w:hAnsi="宋体" w:cs="宋体"/>
                <w:b/>
                <w:color w:val="auto"/>
                <w:sz w:val="24"/>
                <w:highlight w:val="none"/>
              </w:rPr>
              <w:t>供应商</w:t>
            </w:r>
            <w:r>
              <w:rPr>
                <w:rFonts w:hint="eastAsia" w:ascii="宋体" w:hAnsi="宋体" w:cs="宋体"/>
                <w:b/>
                <w:bCs/>
                <w:color w:val="auto"/>
                <w:sz w:val="24"/>
                <w:szCs w:val="24"/>
                <w:highlight w:val="none"/>
              </w:rPr>
              <w:t>的报价明显低于其他磋商报价，使得其磋商报价可能低于其个别成本的，应当要求该</w:t>
            </w:r>
            <w:r>
              <w:rPr>
                <w:rFonts w:hint="eastAsia" w:ascii="宋体" w:hAnsi="宋体" w:cs="宋体"/>
                <w:b/>
                <w:color w:val="auto"/>
                <w:sz w:val="24"/>
                <w:highlight w:val="none"/>
              </w:rPr>
              <w:t>供应商</w:t>
            </w:r>
            <w:r>
              <w:rPr>
                <w:rFonts w:hint="eastAsia" w:ascii="宋体" w:hAnsi="宋体" w:cs="宋体"/>
                <w:b/>
                <w:bCs/>
                <w:color w:val="auto"/>
                <w:sz w:val="24"/>
                <w:szCs w:val="24"/>
                <w:highlight w:val="none"/>
              </w:rPr>
              <w:t>做出书面说明并提供相关证明材料。</w:t>
            </w:r>
            <w:r>
              <w:rPr>
                <w:rFonts w:hint="eastAsia" w:ascii="宋体" w:hAnsi="宋体" w:cs="宋体"/>
                <w:b/>
                <w:color w:val="auto"/>
                <w:sz w:val="24"/>
                <w:highlight w:val="none"/>
              </w:rPr>
              <w:t>供应商</w:t>
            </w:r>
            <w:r>
              <w:rPr>
                <w:rFonts w:hint="eastAsia" w:ascii="宋体" w:hAnsi="宋体" w:cs="宋体"/>
                <w:b/>
                <w:bCs/>
                <w:color w:val="auto"/>
                <w:sz w:val="24"/>
                <w:szCs w:val="24"/>
                <w:highlight w:val="none"/>
              </w:rPr>
              <w:t>不能合理说明或者不能提供相关证明材料的，磋商小组认定该</w:t>
            </w:r>
            <w:r>
              <w:rPr>
                <w:rFonts w:hint="eastAsia" w:ascii="宋体" w:hAnsi="宋体" w:cs="宋体"/>
                <w:b/>
                <w:color w:val="auto"/>
                <w:sz w:val="24"/>
                <w:highlight w:val="none"/>
              </w:rPr>
              <w:t>供应商</w:t>
            </w:r>
            <w:r>
              <w:rPr>
                <w:rFonts w:hint="eastAsia" w:ascii="宋体" w:hAnsi="宋体" w:cs="宋体"/>
                <w:b/>
                <w:bCs/>
                <w:color w:val="auto"/>
                <w:sz w:val="24"/>
                <w:szCs w:val="24"/>
                <w:highlight w:val="none"/>
              </w:rPr>
              <w:t>以低于成本报价竞标，采购人不接受不符合国家有关部门相关规定的磋商报价或优惠方案，其磋商报价视为无效报价。（异常低价投标（响应）审查详见磋商文件第二部分13.3.5）</w:t>
            </w:r>
          </w:p>
        </w:tc>
        <w:tc>
          <w:tcPr>
            <w:tcW w:w="1276" w:type="dxa"/>
          </w:tcPr>
          <w:p w14:paraId="68207F11">
            <w:pPr>
              <w:adjustRightInd w:val="0"/>
              <w:snapToGrid w:val="0"/>
              <w:spacing w:line="276" w:lineRule="auto"/>
              <w:jc w:val="center"/>
              <w:rPr>
                <w:rFonts w:hint="eastAsia" w:ascii="宋体" w:hAnsi="宋体" w:cs="宋体"/>
                <w:b/>
                <w:bCs/>
                <w:color w:val="auto"/>
                <w:sz w:val="24"/>
                <w:szCs w:val="24"/>
                <w:highlight w:val="none"/>
              </w:rPr>
            </w:pPr>
          </w:p>
        </w:tc>
      </w:tr>
      <w:tr w14:paraId="63A1D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39" w:type="dxa"/>
            <w:vAlign w:val="center"/>
          </w:tcPr>
          <w:p w14:paraId="4B1ACDE9">
            <w:pPr>
              <w:adjustRightInd w:val="0"/>
              <w:snapToGrid w:val="0"/>
              <w:spacing w:line="276" w:lineRule="auto"/>
              <w:jc w:val="cente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2</w:t>
            </w:r>
          </w:p>
        </w:tc>
        <w:tc>
          <w:tcPr>
            <w:tcW w:w="7948" w:type="dxa"/>
          </w:tcPr>
          <w:p w14:paraId="41FDCCF5">
            <w:pPr>
              <w:adjustRightInd w:val="0"/>
              <w:snapToGrid w:val="0"/>
              <w:spacing w:line="276" w:lineRule="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磋商报价未高于设定的预算金额。</w:t>
            </w:r>
          </w:p>
        </w:tc>
        <w:tc>
          <w:tcPr>
            <w:tcW w:w="1276" w:type="dxa"/>
          </w:tcPr>
          <w:p w14:paraId="4E3CC015">
            <w:pPr>
              <w:adjustRightInd w:val="0"/>
              <w:snapToGrid w:val="0"/>
              <w:spacing w:line="276" w:lineRule="auto"/>
              <w:jc w:val="center"/>
              <w:rPr>
                <w:rFonts w:hint="eastAsia" w:ascii="宋体" w:hAnsi="宋体" w:cs="宋体"/>
                <w:b/>
                <w:bCs/>
                <w:color w:val="auto"/>
                <w:sz w:val="24"/>
                <w:szCs w:val="24"/>
                <w:highlight w:val="none"/>
              </w:rPr>
            </w:pPr>
          </w:p>
        </w:tc>
      </w:tr>
      <w:tr w14:paraId="380B5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9" w:type="dxa"/>
            <w:vAlign w:val="center"/>
          </w:tcPr>
          <w:p w14:paraId="5E92A7D3">
            <w:pPr>
              <w:adjustRightInd w:val="0"/>
              <w:snapToGrid w:val="0"/>
              <w:spacing w:line="276" w:lineRule="auto"/>
              <w:jc w:val="cente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3</w:t>
            </w:r>
          </w:p>
        </w:tc>
        <w:tc>
          <w:tcPr>
            <w:tcW w:w="7948" w:type="dxa"/>
          </w:tcPr>
          <w:p w14:paraId="3FA8BAC8">
            <w:pPr>
              <w:adjustRightInd w:val="0"/>
              <w:snapToGrid w:val="0"/>
              <w:spacing w:line="276" w:lineRule="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在评标过程中，磋商小组若发现</w:t>
            </w:r>
            <w:r>
              <w:rPr>
                <w:rFonts w:hint="eastAsia" w:ascii="宋体" w:hAnsi="宋体" w:cs="宋体"/>
                <w:b/>
                <w:color w:val="auto"/>
                <w:sz w:val="24"/>
                <w:highlight w:val="none"/>
              </w:rPr>
              <w:t>供应商</w:t>
            </w:r>
            <w:r>
              <w:rPr>
                <w:rFonts w:hint="eastAsia" w:ascii="宋体" w:hAnsi="宋体" w:cs="宋体"/>
                <w:b/>
                <w:bCs/>
                <w:color w:val="auto"/>
                <w:sz w:val="24"/>
                <w:szCs w:val="24"/>
                <w:highlight w:val="none"/>
              </w:rPr>
              <w:t>以他人名义磋商、串通磋商、以行贿手段谋取成交或者以其他弄虚作假方式磋商的，该</w:t>
            </w:r>
            <w:r>
              <w:rPr>
                <w:rFonts w:hint="eastAsia" w:ascii="宋体" w:hAnsi="宋体" w:cs="宋体"/>
                <w:b/>
                <w:color w:val="auto"/>
                <w:sz w:val="24"/>
                <w:highlight w:val="none"/>
              </w:rPr>
              <w:t>供应商</w:t>
            </w:r>
            <w:r>
              <w:rPr>
                <w:rFonts w:hint="eastAsia" w:ascii="宋体" w:hAnsi="宋体" w:cs="宋体"/>
                <w:b/>
                <w:bCs/>
                <w:color w:val="auto"/>
                <w:sz w:val="24"/>
                <w:szCs w:val="24"/>
                <w:highlight w:val="none"/>
              </w:rPr>
              <w:t>的磋商应作废标处理。</w:t>
            </w:r>
          </w:p>
        </w:tc>
        <w:tc>
          <w:tcPr>
            <w:tcW w:w="1276" w:type="dxa"/>
          </w:tcPr>
          <w:p w14:paraId="5DC61AEF">
            <w:pPr>
              <w:adjustRightInd w:val="0"/>
              <w:snapToGrid w:val="0"/>
              <w:spacing w:line="276" w:lineRule="auto"/>
              <w:jc w:val="center"/>
              <w:rPr>
                <w:rFonts w:hint="eastAsia" w:ascii="宋体" w:hAnsi="宋体" w:cs="宋体"/>
                <w:b/>
                <w:bCs/>
                <w:color w:val="auto"/>
                <w:sz w:val="24"/>
                <w:szCs w:val="24"/>
                <w:highlight w:val="none"/>
              </w:rPr>
            </w:pPr>
          </w:p>
        </w:tc>
      </w:tr>
      <w:tr w14:paraId="33926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739" w:type="dxa"/>
            <w:vAlign w:val="center"/>
          </w:tcPr>
          <w:p w14:paraId="313B4E89">
            <w:pPr>
              <w:adjustRightInd w:val="0"/>
              <w:snapToGrid w:val="0"/>
              <w:spacing w:line="276" w:lineRule="auto"/>
              <w:jc w:val="center"/>
              <w:rPr>
                <w:rFonts w:hint="eastAsia" w:ascii="宋体" w:hAnsi="宋体" w:cs="宋体"/>
                <w:b/>
                <w:bCs/>
                <w:color w:val="auto"/>
                <w:sz w:val="24"/>
                <w:szCs w:val="24"/>
                <w:highlight w:val="none"/>
              </w:rPr>
            </w:pPr>
            <w:r>
              <w:rPr>
                <w:rFonts w:ascii="宋体" w:hAnsi="宋体" w:cs="宋体"/>
                <w:b/>
                <w:bCs/>
                <w:color w:val="auto"/>
                <w:sz w:val="24"/>
                <w:szCs w:val="24"/>
                <w:highlight w:val="none"/>
              </w:rPr>
              <w:t>4</w:t>
            </w:r>
          </w:p>
        </w:tc>
        <w:tc>
          <w:tcPr>
            <w:tcW w:w="7948" w:type="dxa"/>
          </w:tcPr>
          <w:p w14:paraId="278E6724">
            <w:pPr>
              <w:adjustRightInd w:val="0"/>
              <w:snapToGrid w:val="0"/>
              <w:spacing w:line="276" w:lineRule="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服务期满足磋商文件要求。</w:t>
            </w:r>
          </w:p>
        </w:tc>
        <w:tc>
          <w:tcPr>
            <w:tcW w:w="1276" w:type="dxa"/>
          </w:tcPr>
          <w:p w14:paraId="785AEA5C">
            <w:pPr>
              <w:adjustRightInd w:val="0"/>
              <w:snapToGrid w:val="0"/>
              <w:spacing w:line="276" w:lineRule="auto"/>
              <w:jc w:val="center"/>
              <w:rPr>
                <w:rFonts w:hint="eastAsia" w:ascii="宋体" w:hAnsi="宋体" w:cs="宋体"/>
                <w:b/>
                <w:bCs/>
                <w:color w:val="auto"/>
                <w:sz w:val="24"/>
                <w:szCs w:val="24"/>
                <w:highlight w:val="none"/>
              </w:rPr>
            </w:pPr>
          </w:p>
        </w:tc>
      </w:tr>
      <w:tr w14:paraId="5FD5B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739" w:type="dxa"/>
            <w:vAlign w:val="center"/>
          </w:tcPr>
          <w:p w14:paraId="34770515">
            <w:pPr>
              <w:adjustRightInd w:val="0"/>
              <w:snapToGrid w:val="0"/>
              <w:spacing w:line="276" w:lineRule="auto"/>
              <w:jc w:val="cente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5</w:t>
            </w:r>
          </w:p>
        </w:tc>
        <w:tc>
          <w:tcPr>
            <w:tcW w:w="7948" w:type="dxa"/>
          </w:tcPr>
          <w:p w14:paraId="4689C2A1">
            <w:pPr>
              <w:adjustRightInd w:val="0"/>
              <w:snapToGrid w:val="0"/>
              <w:spacing w:line="276" w:lineRule="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磋商有效期满足磋商文件规定</w:t>
            </w:r>
          </w:p>
        </w:tc>
        <w:tc>
          <w:tcPr>
            <w:tcW w:w="1276" w:type="dxa"/>
          </w:tcPr>
          <w:p w14:paraId="329CC6D1">
            <w:pPr>
              <w:adjustRightInd w:val="0"/>
              <w:snapToGrid w:val="0"/>
              <w:spacing w:line="276" w:lineRule="auto"/>
              <w:jc w:val="center"/>
              <w:rPr>
                <w:rFonts w:hint="eastAsia" w:ascii="宋体" w:hAnsi="宋体" w:cs="宋体"/>
                <w:b/>
                <w:bCs/>
                <w:color w:val="auto"/>
                <w:sz w:val="24"/>
                <w:szCs w:val="24"/>
                <w:highlight w:val="none"/>
              </w:rPr>
            </w:pPr>
          </w:p>
        </w:tc>
      </w:tr>
      <w:tr w14:paraId="4B4EC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687" w:type="dxa"/>
            <w:gridSpan w:val="2"/>
            <w:vAlign w:val="center"/>
          </w:tcPr>
          <w:p w14:paraId="45903967">
            <w:pPr>
              <w:adjustRightInd w:val="0"/>
              <w:snapToGrid w:val="0"/>
              <w:spacing w:line="276" w:lineRule="auto"/>
              <w:jc w:val="cente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审查结果</w:t>
            </w:r>
          </w:p>
        </w:tc>
        <w:tc>
          <w:tcPr>
            <w:tcW w:w="1276" w:type="dxa"/>
          </w:tcPr>
          <w:p w14:paraId="2E5A707F">
            <w:pPr>
              <w:adjustRightInd w:val="0"/>
              <w:snapToGrid w:val="0"/>
              <w:spacing w:line="276" w:lineRule="auto"/>
              <w:jc w:val="center"/>
              <w:rPr>
                <w:rFonts w:hint="eastAsia" w:ascii="宋体" w:hAnsi="宋体" w:cs="宋体"/>
                <w:b/>
                <w:bCs/>
                <w:color w:val="auto"/>
                <w:sz w:val="24"/>
                <w:szCs w:val="24"/>
                <w:highlight w:val="none"/>
              </w:rPr>
            </w:pPr>
          </w:p>
        </w:tc>
      </w:tr>
      <w:bookmarkEnd w:id="39"/>
    </w:tbl>
    <w:p w14:paraId="46B3415A">
      <w:pPr>
        <w:spacing w:line="276" w:lineRule="auto"/>
        <w:ind w:left="600" w:hanging="600" w:hangingChars="250"/>
        <w:rPr>
          <w:rFonts w:hint="eastAsia" w:ascii="宋体" w:hAnsi="宋体" w:cs="宋体"/>
          <w:color w:val="auto"/>
          <w:sz w:val="24"/>
          <w:highlight w:val="none"/>
        </w:rPr>
      </w:pPr>
      <w:r>
        <w:rPr>
          <w:rFonts w:hint="eastAsia" w:ascii="宋体" w:hAnsi="宋体" w:cs="宋体"/>
          <w:color w:val="auto"/>
          <w:sz w:val="24"/>
          <w:highlight w:val="none"/>
        </w:rPr>
        <w:t>25．磋商响应文件的澄清</w:t>
      </w:r>
    </w:p>
    <w:p w14:paraId="09E34B0F">
      <w:pPr>
        <w:spacing w:line="276" w:lineRule="auto"/>
        <w:ind w:left="600" w:hanging="600" w:hangingChars="250"/>
        <w:rPr>
          <w:rFonts w:hint="eastAsia" w:ascii="宋体" w:hAnsi="宋体" w:cs="宋体"/>
          <w:color w:val="auto"/>
          <w:sz w:val="24"/>
          <w:highlight w:val="none"/>
        </w:rPr>
      </w:pPr>
      <w:r>
        <w:rPr>
          <w:rFonts w:hint="eastAsia" w:ascii="宋体" w:hAnsi="宋体" w:cs="宋体"/>
          <w:color w:val="auto"/>
          <w:sz w:val="24"/>
          <w:highlight w:val="none"/>
        </w:rPr>
        <w:t>25.1为有助于对磋商响应文件进行审查、评估和比较，磋商小组将对供应商进行磋商，请供应商澄清其磋商内容，供应商有责任按照采购代理机构通知的时间、地点指派专人进行答疑和澄清。磋商时供应商代表应作书面记录。并对重要内容作出书面答复。</w:t>
      </w:r>
    </w:p>
    <w:p w14:paraId="217B4287">
      <w:pPr>
        <w:spacing w:line="276" w:lineRule="auto"/>
        <w:ind w:left="600" w:hanging="600" w:hangingChars="250"/>
        <w:rPr>
          <w:rFonts w:hint="eastAsia" w:ascii="宋体" w:hAnsi="宋体" w:cs="宋体"/>
          <w:color w:val="auto"/>
          <w:sz w:val="24"/>
          <w:highlight w:val="none"/>
        </w:rPr>
      </w:pPr>
      <w:r>
        <w:rPr>
          <w:rFonts w:hint="eastAsia" w:ascii="宋体" w:hAnsi="宋体" w:cs="宋体"/>
          <w:color w:val="auto"/>
          <w:sz w:val="24"/>
          <w:highlight w:val="none"/>
        </w:rPr>
        <w:t>25.2 要澄清的答复应是书面的，但不得对磋商内容进行实质性修改。澄清文件须由供应商法人代表或法人授权代表签字和/或加盖公章并作为磋商响应文件的组成部分。</w:t>
      </w:r>
    </w:p>
    <w:p w14:paraId="0443BD9D">
      <w:pPr>
        <w:spacing w:line="276" w:lineRule="auto"/>
        <w:ind w:left="600" w:hanging="600" w:hangingChars="250"/>
        <w:rPr>
          <w:rFonts w:hint="eastAsia" w:ascii="宋体" w:hAnsi="宋体" w:cs="宋体"/>
          <w:color w:val="auto"/>
          <w:sz w:val="24"/>
          <w:highlight w:val="none"/>
        </w:rPr>
      </w:pPr>
      <w:r>
        <w:rPr>
          <w:rFonts w:hint="eastAsia" w:ascii="宋体" w:hAnsi="宋体" w:cs="宋体"/>
          <w:color w:val="auto"/>
          <w:sz w:val="24"/>
          <w:highlight w:val="none"/>
        </w:rPr>
        <w:t>25.3 磋商结束后，磋商小组要求所有参加磋商的供应商在规定的时间内进行二次报价或多轮报价，以最后一次报价为最终报价。</w:t>
      </w:r>
    </w:p>
    <w:p w14:paraId="69CFA133">
      <w:pPr>
        <w:spacing w:line="276" w:lineRule="auto"/>
        <w:rPr>
          <w:rFonts w:hint="eastAsia" w:ascii="宋体" w:hAnsi="宋体" w:cs="宋体"/>
          <w:color w:val="auto"/>
          <w:sz w:val="24"/>
          <w:highlight w:val="none"/>
        </w:rPr>
      </w:pPr>
      <w:r>
        <w:rPr>
          <w:rFonts w:hint="eastAsia" w:ascii="宋体" w:hAnsi="宋体" w:cs="宋体"/>
          <w:color w:val="auto"/>
          <w:sz w:val="24"/>
          <w:highlight w:val="none"/>
        </w:rPr>
        <w:t>26．确定成交供应商的办法</w:t>
      </w:r>
    </w:p>
    <w:p w14:paraId="2D1FDD6E">
      <w:pPr>
        <w:spacing w:line="276" w:lineRule="auto"/>
        <w:rPr>
          <w:rFonts w:hint="eastAsia" w:ascii="宋体" w:hAnsi="宋体" w:cs="宋体"/>
          <w:bCs/>
          <w:color w:val="auto"/>
          <w:sz w:val="24"/>
          <w:highlight w:val="none"/>
        </w:rPr>
      </w:pPr>
      <w:r>
        <w:rPr>
          <w:rFonts w:hint="eastAsia" w:ascii="宋体" w:hAnsi="宋体" w:cs="宋体"/>
          <w:bCs/>
          <w:color w:val="auto"/>
          <w:sz w:val="24"/>
          <w:highlight w:val="none"/>
        </w:rPr>
        <w:t>26.1磋商小组按照磋商文件要求对磋商响应文件中重要技术指标以及技术和商务上要求的其它重要内容进行审核。</w:t>
      </w:r>
    </w:p>
    <w:p w14:paraId="79855A29">
      <w:pPr>
        <w:spacing w:line="276" w:lineRule="auto"/>
        <w:rPr>
          <w:rFonts w:hint="eastAsia" w:ascii="宋体" w:hAnsi="宋体" w:cs="宋体"/>
          <w:bCs/>
          <w:color w:val="auto"/>
          <w:sz w:val="24"/>
          <w:highlight w:val="none"/>
        </w:rPr>
      </w:pPr>
      <w:r>
        <w:rPr>
          <w:rFonts w:hint="eastAsia" w:ascii="宋体" w:hAnsi="宋体" w:cs="宋体"/>
          <w:bCs/>
          <w:color w:val="auto"/>
          <w:sz w:val="24"/>
          <w:highlight w:val="none"/>
        </w:rPr>
        <w:t>26.2磋商小组和供应商磋商过程中作出的书面承诺是否符合磋商文件中对质量、技术和服务的要求。</w:t>
      </w:r>
    </w:p>
    <w:p w14:paraId="05F91B2D">
      <w:pPr>
        <w:spacing w:line="276" w:lineRule="auto"/>
        <w:rPr>
          <w:rFonts w:hint="eastAsia" w:ascii="宋体" w:hAnsi="宋体" w:cs="宋体"/>
          <w:color w:val="auto"/>
          <w:sz w:val="24"/>
          <w:szCs w:val="24"/>
          <w:highlight w:val="none"/>
        </w:rPr>
      </w:pPr>
      <w:r>
        <w:rPr>
          <w:rFonts w:hint="eastAsia" w:ascii="宋体" w:hAnsi="宋体" w:cs="宋体"/>
          <w:bCs/>
          <w:color w:val="auto"/>
          <w:sz w:val="24"/>
          <w:highlight w:val="none"/>
        </w:rPr>
        <w:t>26.3</w:t>
      </w:r>
      <w:r>
        <w:rPr>
          <w:rFonts w:hint="eastAsia" w:ascii="宋体" w:hAnsi="宋体" w:cs="宋体"/>
          <w:color w:val="auto"/>
          <w:sz w:val="24"/>
          <w:szCs w:val="24"/>
          <w:highlight w:val="none"/>
          <w:shd w:val="clear" w:color="auto" w:fill="FFFFFF"/>
        </w:rPr>
        <w:t>经磋商确定最终采购需求和提交最后报价（二次报价或多轮报价）的供应商后，由磋商小组采用综合评分法对提交最后报价（二次报价或多轮报价）的供应商的响应文件和最后报价（二次报价或多轮报价）进行综合评分。</w:t>
      </w:r>
    </w:p>
    <w:p w14:paraId="28C5BF21">
      <w:pPr>
        <w:spacing w:line="276" w:lineRule="auto"/>
        <w:ind w:left="1" w:firstLine="424" w:firstLineChars="177"/>
        <w:rPr>
          <w:rFonts w:hint="eastAsia" w:ascii="宋体" w:hAnsi="宋体" w:cs="宋体"/>
          <w:color w:val="auto"/>
          <w:sz w:val="24"/>
          <w:szCs w:val="24"/>
          <w:highlight w:val="none"/>
          <w:shd w:val="clear" w:color="auto" w:fill="FFFFFF"/>
        </w:rPr>
      </w:pPr>
      <w:r>
        <w:rPr>
          <w:rFonts w:hint="eastAsia" w:ascii="宋体" w:hAnsi="宋体" w:cs="宋体"/>
          <w:color w:val="auto"/>
          <w:sz w:val="24"/>
          <w:szCs w:val="24"/>
          <w:highlight w:val="none"/>
          <w:shd w:val="clear" w:color="auto" w:fill="FFFFFF"/>
        </w:rPr>
        <w:t>对响应文件的评估和比较分为两步进行，磋商小组会按照磋商文件要求对响应文件中的重要技术指标以及技术和商务上要求的其它重要内容进行审核，审核合格后即视为实质性响应的磋商响应文件，进行第二个步骤：对实质性响应的磋商响应文件进行评估和比较采用综合评分法进行打分评比，打分方法：总分为100分，其中价格因素占10分，技术因素、商务因素占90分。将每位供应商的价格得分、技术得分、商务得分相加即为该供应商的总得分。详细评分标准如下：</w:t>
      </w:r>
    </w:p>
    <w:tbl>
      <w:tblPr>
        <w:tblStyle w:val="38"/>
        <w:tblW w:w="10122" w:type="dxa"/>
        <w:tblInd w:w="1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6"/>
        <w:gridCol w:w="1670"/>
        <w:gridCol w:w="6757"/>
        <w:gridCol w:w="679"/>
      </w:tblGrid>
      <w:tr w14:paraId="591BF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1016" w:type="dxa"/>
            <w:vAlign w:val="center"/>
          </w:tcPr>
          <w:p w14:paraId="4039B203">
            <w:pPr>
              <w:pStyle w:val="122"/>
              <w:keepNext/>
              <w:snapToGrid w:val="0"/>
              <w:spacing w:line="276" w:lineRule="auto"/>
              <w:ind w:firstLine="2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评分因素</w:t>
            </w:r>
          </w:p>
        </w:tc>
        <w:tc>
          <w:tcPr>
            <w:tcW w:w="1670" w:type="dxa"/>
            <w:vAlign w:val="center"/>
          </w:tcPr>
          <w:p w14:paraId="0400732D">
            <w:pPr>
              <w:pStyle w:val="122"/>
              <w:keepNext/>
              <w:snapToGrid w:val="0"/>
              <w:spacing w:line="276" w:lineRule="auto"/>
              <w:ind w:firstLine="2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评分项</w:t>
            </w:r>
          </w:p>
        </w:tc>
        <w:tc>
          <w:tcPr>
            <w:tcW w:w="6757" w:type="dxa"/>
            <w:vAlign w:val="center"/>
          </w:tcPr>
          <w:p w14:paraId="0BDAE337">
            <w:pPr>
              <w:pStyle w:val="122"/>
              <w:keepNext/>
              <w:snapToGrid w:val="0"/>
              <w:spacing w:line="276" w:lineRule="auto"/>
              <w:ind w:firstLine="2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评分标准</w:t>
            </w:r>
          </w:p>
        </w:tc>
        <w:tc>
          <w:tcPr>
            <w:tcW w:w="679" w:type="dxa"/>
            <w:vAlign w:val="center"/>
          </w:tcPr>
          <w:p w14:paraId="34CE04E0">
            <w:pPr>
              <w:pStyle w:val="122"/>
              <w:keepNext/>
              <w:snapToGrid w:val="0"/>
              <w:spacing w:line="276" w:lineRule="auto"/>
              <w:ind w:firstLine="24"/>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分值</w:t>
            </w:r>
          </w:p>
        </w:tc>
      </w:tr>
      <w:tr w14:paraId="7321B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686" w:type="dxa"/>
            <w:gridSpan w:val="2"/>
            <w:vAlign w:val="center"/>
          </w:tcPr>
          <w:p w14:paraId="3071E5AC">
            <w:pPr>
              <w:pStyle w:val="122"/>
              <w:keepNext/>
              <w:snapToGrid w:val="0"/>
              <w:spacing w:line="276" w:lineRule="auto"/>
              <w:ind w:firstLine="24"/>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投标报价</w:t>
            </w:r>
          </w:p>
        </w:tc>
        <w:tc>
          <w:tcPr>
            <w:tcW w:w="6757" w:type="dxa"/>
            <w:vAlign w:val="center"/>
          </w:tcPr>
          <w:p w14:paraId="7778539C">
            <w:pPr>
              <w:pStyle w:val="122"/>
              <w:keepNext/>
              <w:snapToGrid w:val="0"/>
              <w:spacing w:line="276" w:lineRule="auto"/>
              <w:ind w:firstLine="2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满足磋商文件要求且最终报价最低的磋商报价为评标基准价，其价格分为满分。其他供应商的价格分统一按照下列公式计算：磋商报价得分=(评标基准价／磋商报价)×</w:t>
            </w: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rPr>
              <w:t>%×100；</w:t>
            </w:r>
          </w:p>
        </w:tc>
        <w:tc>
          <w:tcPr>
            <w:tcW w:w="679" w:type="dxa"/>
            <w:vAlign w:val="center"/>
          </w:tcPr>
          <w:p w14:paraId="5EFA9F88">
            <w:pPr>
              <w:pStyle w:val="122"/>
              <w:keepNext/>
              <w:snapToGrid w:val="0"/>
              <w:spacing w:line="276" w:lineRule="auto"/>
              <w:ind w:firstLine="24"/>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10</w:t>
            </w:r>
          </w:p>
        </w:tc>
      </w:tr>
      <w:tr w14:paraId="2EEBB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16" w:type="dxa"/>
            <w:vMerge w:val="restart"/>
            <w:vAlign w:val="center"/>
          </w:tcPr>
          <w:p w14:paraId="4750C1C2">
            <w:pPr>
              <w:pStyle w:val="122"/>
              <w:keepNext/>
              <w:snapToGrid w:val="0"/>
              <w:spacing w:line="276" w:lineRule="auto"/>
              <w:ind w:firstLine="2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商务部分（</w:t>
            </w:r>
            <w:r>
              <w:rPr>
                <w:rFonts w:hint="eastAsia" w:ascii="宋体" w:hAnsi="宋体" w:cs="宋体"/>
                <w:color w:val="auto"/>
                <w:sz w:val="24"/>
                <w:szCs w:val="24"/>
                <w:highlight w:val="none"/>
                <w:lang w:val="en-US" w:eastAsia="zh-CN"/>
              </w:rPr>
              <w:t>45</w:t>
            </w:r>
            <w:r>
              <w:rPr>
                <w:rFonts w:hint="eastAsia" w:ascii="宋体" w:hAnsi="宋体" w:eastAsia="宋体" w:cs="宋体"/>
                <w:color w:val="auto"/>
                <w:sz w:val="24"/>
                <w:szCs w:val="24"/>
                <w:highlight w:val="none"/>
              </w:rPr>
              <w:t>分）</w:t>
            </w:r>
          </w:p>
        </w:tc>
        <w:tc>
          <w:tcPr>
            <w:tcW w:w="1670" w:type="dxa"/>
            <w:vAlign w:val="center"/>
          </w:tcPr>
          <w:p w14:paraId="5C81F4BE">
            <w:pPr>
              <w:pStyle w:val="128"/>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snapToGrid w:val="0"/>
                <w:color w:val="auto"/>
                <w:kern w:val="2"/>
                <w:sz w:val="24"/>
                <w:szCs w:val="24"/>
                <w:highlight w:val="none"/>
                <w:lang w:bidi="ar"/>
              </w:rPr>
            </w:pPr>
            <w:r>
              <w:rPr>
                <w:rFonts w:hint="eastAsia" w:ascii="宋体" w:hAnsi="宋体" w:eastAsia="宋体" w:cs="宋体"/>
                <w:color w:val="auto"/>
                <w:sz w:val="24"/>
                <w:szCs w:val="24"/>
                <w:highlight w:val="none"/>
              </w:rPr>
              <w:t>企业服务能力</w:t>
            </w:r>
          </w:p>
        </w:tc>
        <w:tc>
          <w:tcPr>
            <w:tcW w:w="6757" w:type="dxa"/>
            <w:vAlign w:val="center"/>
          </w:tcPr>
          <w:p w14:paraId="2ACCD389">
            <w:pPr>
              <w:pStyle w:val="129"/>
              <w:rPr>
                <w:rFonts w:hint="eastAsia" w:ascii="宋体" w:hAnsi="宋体" w:eastAsia="宋体" w:cs="宋体"/>
                <w:snapToGrid w:val="0"/>
                <w:color w:val="auto"/>
                <w:sz w:val="24"/>
                <w:szCs w:val="24"/>
                <w:highlight w:val="none"/>
                <w:lang w:val="en-US" w:eastAsia="zh-CN" w:bidi="ar"/>
              </w:rPr>
            </w:pPr>
            <w:r>
              <w:rPr>
                <w:rFonts w:hint="eastAsia" w:ascii="宋体" w:hAnsi="宋体" w:eastAsia="宋体" w:cs="宋体"/>
                <w:snapToGrid w:val="0"/>
                <w:color w:val="auto"/>
                <w:sz w:val="24"/>
                <w:szCs w:val="24"/>
                <w:highlight w:val="none"/>
                <w:lang w:val="en-US" w:eastAsia="zh-CN" w:bidi="ar"/>
              </w:rPr>
              <w:t>1. 具有中国网络安全审查技术与认证中心（CCRC）颁发的《信息安全服务资质认证证书》（风险评估/信息系统安全运维/网络安全审计/信息安全应急处理）三级及以上的，每类证书得</w:t>
            </w:r>
            <w:r>
              <w:rPr>
                <w:rFonts w:hint="eastAsia" w:ascii="宋体" w:hAnsi="宋体" w:cs="宋体"/>
                <w:snapToGrid w:val="0"/>
                <w:color w:val="auto"/>
                <w:sz w:val="24"/>
                <w:szCs w:val="24"/>
                <w:highlight w:val="none"/>
                <w:lang w:val="en-US" w:eastAsia="zh-CN" w:bidi="ar"/>
              </w:rPr>
              <w:t>3</w:t>
            </w:r>
            <w:r>
              <w:rPr>
                <w:rFonts w:hint="eastAsia" w:ascii="宋体" w:hAnsi="宋体" w:eastAsia="宋体" w:cs="宋体"/>
                <w:snapToGrid w:val="0"/>
                <w:color w:val="auto"/>
                <w:sz w:val="24"/>
                <w:szCs w:val="24"/>
                <w:highlight w:val="none"/>
                <w:lang w:val="en-US" w:eastAsia="zh-CN" w:bidi="ar"/>
              </w:rPr>
              <w:t>分，本项最高得</w:t>
            </w:r>
            <w:r>
              <w:rPr>
                <w:rFonts w:hint="eastAsia" w:ascii="宋体" w:hAnsi="宋体" w:cs="宋体"/>
                <w:snapToGrid w:val="0"/>
                <w:color w:val="auto"/>
                <w:sz w:val="24"/>
                <w:szCs w:val="24"/>
                <w:highlight w:val="none"/>
                <w:lang w:val="en-US" w:eastAsia="zh-CN" w:bidi="ar"/>
              </w:rPr>
              <w:t>12</w:t>
            </w:r>
            <w:r>
              <w:rPr>
                <w:rFonts w:hint="eastAsia" w:ascii="宋体" w:hAnsi="宋体" w:eastAsia="宋体" w:cs="宋体"/>
                <w:snapToGrid w:val="0"/>
                <w:color w:val="auto"/>
                <w:sz w:val="24"/>
                <w:szCs w:val="24"/>
                <w:highlight w:val="none"/>
                <w:lang w:val="en-US" w:eastAsia="zh-CN" w:bidi="ar"/>
              </w:rPr>
              <w:t>分。</w:t>
            </w:r>
          </w:p>
          <w:p w14:paraId="3850D973">
            <w:pPr>
              <w:pStyle w:val="129"/>
              <w:rPr>
                <w:rFonts w:hint="eastAsia" w:ascii="宋体" w:hAnsi="宋体" w:eastAsia="宋体" w:cs="宋体"/>
                <w:snapToGrid w:val="0"/>
                <w:color w:val="auto"/>
                <w:sz w:val="24"/>
                <w:szCs w:val="24"/>
                <w:highlight w:val="none"/>
                <w:lang w:val="en-US" w:eastAsia="zh-CN" w:bidi="ar"/>
              </w:rPr>
            </w:pPr>
            <w:r>
              <w:rPr>
                <w:rFonts w:hint="eastAsia" w:ascii="宋体" w:hAnsi="宋体" w:eastAsia="宋体" w:cs="宋体"/>
                <w:snapToGrid w:val="0"/>
                <w:color w:val="auto"/>
                <w:sz w:val="24"/>
                <w:szCs w:val="24"/>
                <w:highlight w:val="none"/>
                <w:lang w:val="en-US" w:eastAsia="zh-CN" w:bidi="ar"/>
              </w:rPr>
              <w:t>2. 具有ITSS信息技术服务运行维护标准符合性证书（四级及以上）的，得</w:t>
            </w:r>
            <w:r>
              <w:rPr>
                <w:rFonts w:hint="eastAsia" w:ascii="宋体" w:hAnsi="宋体" w:cs="宋体"/>
                <w:snapToGrid w:val="0"/>
                <w:color w:val="auto"/>
                <w:sz w:val="24"/>
                <w:szCs w:val="24"/>
                <w:highlight w:val="none"/>
                <w:lang w:val="en-US" w:eastAsia="zh-CN" w:bidi="ar"/>
              </w:rPr>
              <w:t>4</w:t>
            </w:r>
            <w:r>
              <w:rPr>
                <w:rFonts w:hint="eastAsia" w:ascii="宋体" w:hAnsi="宋体" w:eastAsia="宋体" w:cs="宋体"/>
                <w:snapToGrid w:val="0"/>
                <w:color w:val="auto"/>
                <w:sz w:val="24"/>
                <w:szCs w:val="24"/>
                <w:highlight w:val="none"/>
                <w:lang w:val="en-US" w:eastAsia="zh-CN" w:bidi="ar"/>
              </w:rPr>
              <w:t>分。</w:t>
            </w:r>
          </w:p>
          <w:p w14:paraId="58BE0973">
            <w:pPr>
              <w:pStyle w:val="129"/>
              <w:rPr>
                <w:rFonts w:hint="eastAsia" w:ascii="宋体" w:hAnsi="宋体" w:eastAsia="宋体" w:cs="宋体"/>
                <w:snapToGrid w:val="0"/>
                <w:color w:val="auto"/>
                <w:sz w:val="24"/>
                <w:szCs w:val="24"/>
                <w:highlight w:val="none"/>
                <w:lang w:bidi="ar"/>
              </w:rPr>
            </w:pPr>
            <w:r>
              <w:rPr>
                <w:rFonts w:hint="eastAsia" w:ascii="宋体" w:hAnsi="宋体" w:eastAsia="宋体" w:cs="宋体"/>
                <w:snapToGrid w:val="0"/>
                <w:color w:val="auto"/>
                <w:sz w:val="24"/>
                <w:szCs w:val="24"/>
                <w:highlight w:val="none"/>
                <w:lang w:val="en-US" w:eastAsia="zh-CN" w:bidi="ar"/>
              </w:rPr>
              <w:t>注：以上均需提供</w:t>
            </w:r>
            <w:r>
              <w:rPr>
                <w:rFonts w:hint="eastAsia" w:ascii="宋体" w:hAnsi="宋体" w:cs="宋体"/>
                <w:snapToGrid w:val="0"/>
                <w:color w:val="auto"/>
                <w:sz w:val="24"/>
                <w:szCs w:val="24"/>
                <w:highlight w:val="none"/>
                <w:lang w:val="en-US" w:eastAsia="zh-CN" w:bidi="ar"/>
              </w:rPr>
              <w:t>有效的</w:t>
            </w:r>
            <w:r>
              <w:rPr>
                <w:rFonts w:hint="eastAsia" w:ascii="宋体" w:hAnsi="宋体" w:eastAsia="宋体" w:cs="宋体"/>
                <w:snapToGrid w:val="0"/>
                <w:color w:val="auto"/>
                <w:sz w:val="24"/>
                <w:szCs w:val="24"/>
                <w:highlight w:val="none"/>
                <w:lang w:val="en-US" w:eastAsia="zh-CN" w:bidi="ar"/>
              </w:rPr>
              <w:t>证书复印件并加盖投标人公章，未提供</w:t>
            </w:r>
            <w:r>
              <w:rPr>
                <w:rFonts w:hint="eastAsia" w:ascii="宋体" w:hAnsi="宋体" w:cs="宋体"/>
                <w:snapToGrid w:val="0"/>
                <w:color w:val="auto"/>
                <w:sz w:val="24"/>
                <w:szCs w:val="24"/>
                <w:highlight w:val="none"/>
                <w:lang w:val="en-US" w:eastAsia="zh-CN" w:bidi="ar"/>
              </w:rPr>
              <w:t>或提供不全的</w:t>
            </w:r>
            <w:r>
              <w:rPr>
                <w:rFonts w:hint="eastAsia" w:ascii="宋体" w:hAnsi="宋体" w:eastAsia="宋体" w:cs="宋体"/>
                <w:snapToGrid w:val="0"/>
                <w:color w:val="auto"/>
                <w:sz w:val="24"/>
                <w:szCs w:val="24"/>
                <w:highlight w:val="none"/>
                <w:lang w:val="en-US" w:eastAsia="zh-CN" w:bidi="ar"/>
              </w:rPr>
              <w:t>不得分。</w:t>
            </w:r>
          </w:p>
        </w:tc>
        <w:tc>
          <w:tcPr>
            <w:tcW w:w="679" w:type="dxa"/>
            <w:vAlign w:val="center"/>
          </w:tcPr>
          <w:p w14:paraId="12B17E3E">
            <w:pPr>
              <w:pStyle w:val="128"/>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16</w:t>
            </w:r>
          </w:p>
        </w:tc>
      </w:tr>
      <w:tr w14:paraId="483D3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16" w:type="dxa"/>
            <w:vMerge w:val="continue"/>
            <w:vAlign w:val="center"/>
          </w:tcPr>
          <w:p w14:paraId="44F47BD5">
            <w:pPr>
              <w:pStyle w:val="122"/>
              <w:keepNext/>
              <w:snapToGrid w:val="0"/>
              <w:spacing w:line="276" w:lineRule="auto"/>
              <w:ind w:firstLine="24"/>
              <w:rPr>
                <w:rFonts w:hint="eastAsia" w:ascii="宋体" w:hAnsi="宋体" w:eastAsia="宋体" w:cs="宋体"/>
                <w:color w:val="auto"/>
                <w:sz w:val="24"/>
                <w:szCs w:val="24"/>
                <w:highlight w:val="none"/>
              </w:rPr>
            </w:pPr>
          </w:p>
        </w:tc>
        <w:tc>
          <w:tcPr>
            <w:tcW w:w="1670" w:type="dxa"/>
            <w:shd w:val="clear" w:color="auto" w:fill="auto"/>
            <w:vAlign w:val="center"/>
          </w:tcPr>
          <w:p w14:paraId="7784604A">
            <w:pPr>
              <w:pStyle w:val="128"/>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snapToGrid w:val="0"/>
                <w:color w:val="auto"/>
                <w:kern w:val="2"/>
                <w:sz w:val="24"/>
                <w:szCs w:val="24"/>
                <w:highlight w:val="none"/>
                <w:lang w:val="en-US" w:eastAsia="zh-CN" w:bidi="ar"/>
              </w:rPr>
            </w:pPr>
            <w:r>
              <w:rPr>
                <w:rFonts w:hint="eastAsia" w:ascii="宋体" w:hAnsi="宋体" w:eastAsia="宋体" w:cs="宋体"/>
                <w:color w:val="auto"/>
                <w:sz w:val="24"/>
                <w:szCs w:val="24"/>
                <w:highlight w:val="none"/>
              </w:rPr>
              <w:t>投标业绩</w:t>
            </w:r>
          </w:p>
        </w:tc>
        <w:tc>
          <w:tcPr>
            <w:tcW w:w="6757" w:type="dxa"/>
            <w:shd w:val="clear" w:color="auto" w:fill="auto"/>
            <w:vAlign w:val="center"/>
          </w:tcPr>
          <w:p w14:paraId="6913431F">
            <w:pPr>
              <w:pStyle w:val="128"/>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宋体" w:hAnsi="宋体" w:eastAsia="宋体" w:cs="宋体"/>
                <w:b/>
                <w:bCs/>
                <w:snapToGrid w:val="0"/>
                <w:color w:val="auto"/>
                <w:kern w:val="2"/>
                <w:sz w:val="24"/>
                <w:szCs w:val="24"/>
                <w:highlight w:val="none"/>
                <w:lang w:val="en-US" w:eastAsia="zh-CN" w:bidi="ar"/>
              </w:rPr>
            </w:pPr>
            <w:r>
              <w:rPr>
                <w:rFonts w:hint="eastAsia" w:ascii="宋体" w:hAnsi="宋体" w:eastAsia="宋体" w:cs="宋体"/>
                <w:color w:val="auto"/>
                <w:sz w:val="24"/>
                <w:szCs w:val="24"/>
                <w:highlight w:val="none"/>
              </w:rPr>
              <w:t>提供近三年（2023年1月1日至响应文件提交截止时间）类似项目业绩。每提供1个有效业绩得</w:t>
            </w:r>
            <w:r>
              <w:rPr>
                <w:rFonts w:hint="eastAsia" w:ascii="宋体" w:hAnsi="宋体" w:cs="宋体"/>
                <w:color w:val="auto"/>
                <w:sz w:val="24"/>
                <w:szCs w:val="24"/>
                <w:highlight w:val="none"/>
                <w:lang w:val="en-US" w:eastAsia="zh-CN"/>
              </w:rPr>
              <w:t>2.5</w:t>
            </w:r>
            <w:r>
              <w:rPr>
                <w:rFonts w:hint="eastAsia" w:ascii="宋体" w:hAnsi="宋体" w:eastAsia="宋体" w:cs="宋体"/>
                <w:color w:val="auto"/>
                <w:sz w:val="24"/>
                <w:szCs w:val="24"/>
                <w:highlight w:val="none"/>
              </w:rPr>
              <w:t>分，满分</w:t>
            </w: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rPr>
              <w:t>分。（提供中标</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通知书</w:t>
            </w:r>
            <w:r>
              <w:rPr>
                <w:rFonts w:hint="eastAsia" w:ascii="宋体" w:hAnsi="宋体" w:eastAsia="宋体" w:cs="宋体"/>
                <w:color w:val="auto"/>
                <w:sz w:val="24"/>
                <w:szCs w:val="24"/>
                <w:highlight w:val="none"/>
                <w:lang w:eastAsia="zh-CN"/>
              </w:rPr>
              <w:t>复印件加盖公章</w:t>
            </w:r>
            <w:r>
              <w:rPr>
                <w:rFonts w:hint="eastAsia" w:ascii="宋体" w:hAnsi="宋体" w:eastAsia="宋体" w:cs="宋体"/>
                <w:color w:val="auto"/>
                <w:sz w:val="24"/>
                <w:szCs w:val="24"/>
                <w:highlight w:val="none"/>
              </w:rPr>
              <w:t>或合同</w:t>
            </w:r>
            <w:r>
              <w:rPr>
                <w:rFonts w:hint="eastAsia" w:ascii="宋体" w:hAnsi="宋体" w:eastAsia="宋体" w:cs="宋体"/>
                <w:color w:val="auto"/>
                <w:sz w:val="24"/>
                <w:szCs w:val="24"/>
                <w:highlight w:val="none"/>
                <w:lang w:eastAsia="zh-CN"/>
              </w:rPr>
              <w:t>复印件加盖公章</w:t>
            </w:r>
            <w:r>
              <w:rPr>
                <w:rFonts w:hint="eastAsia" w:ascii="宋体" w:hAnsi="宋体" w:eastAsia="宋体" w:cs="宋体"/>
                <w:color w:val="auto"/>
                <w:sz w:val="24"/>
                <w:szCs w:val="24"/>
                <w:highlight w:val="none"/>
              </w:rPr>
              <w:t>）</w:t>
            </w:r>
          </w:p>
        </w:tc>
        <w:tc>
          <w:tcPr>
            <w:tcW w:w="679" w:type="dxa"/>
            <w:shd w:val="clear" w:color="auto" w:fill="auto"/>
            <w:vAlign w:val="center"/>
          </w:tcPr>
          <w:p w14:paraId="65278F65">
            <w:pPr>
              <w:pStyle w:val="128"/>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10</w:t>
            </w:r>
          </w:p>
        </w:tc>
      </w:tr>
      <w:tr w14:paraId="07C53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16" w:type="dxa"/>
            <w:vMerge w:val="continue"/>
            <w:vAlign w:val="center"/>
          </w:tcPr>
          <w:p w14:paraId="6518B176">
            <w:pPr>
              <w:pStyle w:val="122"/>
              <w:keepNext/>
              <w:snapToGrid w:val="0"/>
              <w:spacing w:line="276" w:lineRule="auto"/>
              <w:ind w:firstLine="24"/>
              <w:rPr>
                <w:rFonts w:hint="eastAsia" w:ascii="宋体" w:hAnsi="宋体" w:eastAsia="宋体" w:cs="宋体"/>
                <w:color w:val="auto"/>
                <w:sz w:val="24"/>
                <w:szCs w:val="24"/>
                <w:highlight w:val="none"/>
              </w:rPr>
            </w:pPr>
          </w:p>
        </w:tc>
        <w:tc>
          <w:tcPr>
            <w:tcW w:w="1670" w:type="dxa"/>
            <w:vMerge w:val="restart"/>
            <w:vAlign w:val="center"/>
          </w:tcPr>
          <w:p w14:paraId="2C4FE2A4">
            <w:pPr>
              <w:pStyle w:val="128"/>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项目服务团队</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不少于5名</w:t>
            </w:r>
            <w:r>
              <w:rPr>
                <w:rFonts w:hint="eastAsia" w:ascii="宋体" w:hAnsi="宋体" w:eastAsia="宋体" w:cs="宋体"/>
                <w:color w:val="auto"/>
                <w:sz w:val="24"/>
                <w:szCs w:val="24"/>
                <w:highlight w:val="none"/>
                <w:lang w:eastAsia="zh-CN"/>
              </w:rPr>
              <w:t>）</w:t>
            </w:r>
          </w:p>
        </w:tc>
        <w:tc>
          <w:tcPr>
            <w:tcW w:w="6757" w:type="dxa"/>
            <w:vAlign w:val="center"/>
          </w:tcPr>
          <w:p w14:paraId="2ADDC9E2">
            <w:pPr>
              <w:pStyle w:val="128"/>
              <w:keepNext/>
              <w:keepLines w:val="0"/>
              <w:pageBreakBefore w:val="0"/>
              <w:widowControl w:val="0"/>
              <w:numPr>
                <w:ilvl w:val="0"/>
                <w:numId w:val="0"/>
              </w:numPr>
              <w:kinsoku/>
              <w:wordWrap/>
              <w:overflowPunct/>
              <w:topLinePunct w:val="0"/>
              <w:autoSpaceDE/>
              <w:autoSpaceDN/>
              <w:bidi w:val="0"/>
              <w:adjustRightInd/>
              <w:snapToGrid w:val="0"/>
              <w:spacing w:line="240" w:lineRule="auto"/>
              <w:ind w:leftChars="0" w:right="0" w:rightChars="0"/>
              <w:jc w:val="left"/>
              <w:textAlignment w:val="auto"/>
              <w:rPr>
                <w:rFonts w:hint="eastAsia" w:ascii="宋体" w:hAnsi="宋体" w:eastAsia="宋体" w:cs="宋体"/>
                <w:color w:val="auto"/>
                <w:kern w:val="0"/>
                <w:sz w:val="24"/>
                <w:szCs w:val="24"/>
                <w:highlight w:val="none"/>
                <w:u w:val="none"/>
                <w:lang w:val="en-US" w:eastAsia="zh-CN"/>
              </w:rPr>
            </w:pPr>
            <w:r>
              <w:rPr>
                <w:rFonts w:ascii="宋体" w:hAnsi="宋体" w:eastAsia="宋体" w:cs="宋体"/>
                <w:color w:val="auto"/>
                <w:sz w:val="24"/>
                <w:szCs w:val="24"/>
                <w:highlight w:val="none"/>
                <w:u w:val="none"/>
              </w:rPr>
              <w:t>①</w:t>
            </w:r>
            <w:r>
              <w:rPr>
                <w:rFonts w:hint="eastAsia" w:ascii="宋体" w:hAnsi="宋体" w:cs="宋体"/>
                <w:color w:val="auto"/>
                <w:kern w:val="0"/>
                <w:sz w:val="24"/>
                <w:szCs w:val="24"/>
                <w:highlight w:val="none"/>
                <w:u w:val="none"/>
                <w:lang w:val="en-US" w:eastAsia="zh-CN"/>
              </w:rPr>
              <w:t>本项目经理</w:t>
            </w:r>
            <w:r>
              <w:rPr>
                <w:rFonts w:hint="eastAsia" w:ascii="宋体" w:hAnsi="宋体" w:eastAsia="宋体" w:cs="宋体"/>
                <w:color w:val="auto"/>
                <w:kern w:val="0"/>
                <w:sz w:val="24"/>
                <w:szCs w:val="24"/>
                <w:highlight w:val="none"/>
                <w:u w:val="none"/>
                <w:lang w:val="en-US" w:eastAsia="zh-CN"/>
              </w:rPr>
              <w:t>具备具备《信息安全等级保护测评师证书》（中级及以上）的，得2分；具备初级证书的，得1分；未提供不得分。</w:t>
            </w:r>
          </w:p>
          <w:p w14:paraId="5DA7223F">
            <w:pPr>
              <w:pStyle w:val="128"/>
              <w:keepNext/>
              <w:keepLines w:val="0"/>
              <w:pageBreakBefore w:val="0"/>
              <w:widowControl w:val="0"/>
              <w:numPr>
                <w:ilvl w:val="0"/>
                <w:numId w:val="0"/>
              </w:numPr>
              <w:kinsoku/>
              <w:wordWrap/>
              <w:overflowPunct/>
              <w:topLinePunct w:val="0"/>
              <w:autoSpaceDE/>
              <w:autoSpaceDN/>
              <w:bidi w:val="0"/>
              <w:adjustRightInd/>
              <w:snapToGrid w:val="0"/>
              <w:spacing w:line="240" w:lineRule="auto"/>
              <w:ind w:leftChars="0" w:right="0" w:rightChars="0"/>
              <w:jc w:val="left"/>
              <w:textAlignment w:val="auto"/>
              <w:rPr>
                <w:rFonts w:hint="eastAsia" w:ascii="宋体" w:hAnsi="宋体" w:eastAsia="宋体" w:cs="宋体"/>
                <w:color w:val="auto"/>
                <w:kern w:val="0"/>
                <w:sz w:val="24"/>
                <w:szCs w:val="24"/>
                <w:highlight w:val="none"/>
                <w:u w:val="none"/>
                <w:lang w:val="en-US" w:eastAsia="zh-CN"/>
              </w:rPr>
            </w:pPr>
            <w:r>
              <w:rPr>
                <w:rFonts w:ascii="宋体" w:hAnsi="宋体" w:eastAsia="宋体" w:cs="宋体"/>
                <w:color w:val="auto"/>
                <w:sz w:val="24"/>
                <w:szCs w:val="24"/>
                <w:highlight w:val="none"/>
                <w:u w:val="none"/>
              </w:rPr>
              <w:t>②</w:t>
            </w:r>
            <w:r>
              <w:rPr>
                <w:rFonts w:hint="eastAsia" w:ascii="宋体" w:hAnsi="宋体" w:eastAsia="宋体" w:cs="宋体"/>
                <w:color w:val="auto"/>
                <w:sz w:val="24"/>
                <w:szCs w:val="24"/>
                <w:highlight w:val="none"/>
                <w:u w:val="none"/>
              </w:rPr>
              <w:t>项目负责人同时</w:t>
            </w:r>
            <w:r>
              <w:rPr>
                <w:rFonts w:hint="eastAsia" w:ascii="宋体" w:hAnsi="宋体" w:cs="宋体"/>
                <w:color w:val="auto"/>
                <w:sz w:val="24"/>
                <w:szCs w:val="24"/>
                <w:highlight w:val="none"/>
                <w:u w:val="none"/>
                <w:lang w:val="en-US" w:eastAsia="zh-CN"/>
              </w:rPr>
              <w:t>具备</w:t>
            </w:r>
            <w:r>
              <w:rPr>
                <w:rFonts w:hint="eastAsia" w:ascii="宋体" w:hAnsi="宋体" w:eastAsia="宋体" w:cs="宋体"/>
                <w:color w:val="auto"/>
                <w:sz w:val="24"/>
                <w:szCs w:val="24"/>
                <w:highlight w:val="none"/>
                <w:u w:val="none"/>
                <w:lang w:val="en-US" w:eastAsia="zh-CN"/>
              </w:rPr>
              <w:t>注册渗透测试工程师（CISP-PTE）</w:t>
            </w:r>
            <w:r>
              <w:rPr>
                <w:rFonts w:hint="eastAsia" w:ascii="宋体" w:hAnsi="宋体" w:eastAsia="宋体" w:cs="宋体"/>
                <w:color w:val="auto"/>
                <w:kern w:val="0"/>
                <w:sz w:val="24"/>
                <w:szCs w:val="24"/>
                <w:highlight w:val="none"/>
                <w:u w:val="none"/>
                <w:lang w:val="en-US" w:eastAsia="zh-CN"/>
              </w:rPr>
              <w:t>证书</w:t>
            </w:r>
            <w:r>
              <w:rPr>
                <w:rFonts w:hint="eastAsia" w:ascii="宋体" w:hAnsi="宋体" w:cs="宋体"/>
                <w:color w:val="auto"/>
                <w:sz w:val="24"/>
                <w:szCs w:val="24"/>
                <w:highlight w:val="none"/>
                <w:u w:val="none"/>
                <w:lang w:val="en-US" w:eastAsia="zh-CN"/>
              </w:rPr>
              <w:t>的得3</w:t>
            </w:r>
            <w:r>
              <w:rPr>
                <w:rFonts w:hint="eastAsia" w:ascii="宋体" w:hAnsi="宋体" w:eastAsia="宋体" w:cs="宋体"/>
                <w:color w:val="auto"/>
                <w:sz w:val="24"/>
                <w:szCs w:val="24"/>
                <w:highlight w:val="none"/>
                <w:u w:val="none"/>
              </w:rPr>
              <w:t>分，本项最高得3分。</w:t>
            </w:r>
          </w:p>
          <w:p w14:paraId="61B92D7E">
            <w:pPr>
              <w:pStyle w:val="128"/>
              <w:keepNext/>
              <w:keepLines w:val="0"/>
              <w:pageBreakBefore w:val="0"/>
              <w:widowControl w:val="0"/>
              <w:numPr>
                <w:ilvl w:val="0"/>
                <w:numId w:val="0"/>
              </w:numPr>
              <w:kinsoku/>
              <w:wordWrap/>
              <w:overflowPunct/>
              <w:topLinePunct w:val="0"/>
              <w:autoSpaceDE/>
              <w:autoSpaceDN/>
              <w:bidi w:val="0"/>
              <w:adjustRightInd/>
              <w:snapToGrid w:val="0"/>
              <w:spacing w:line="240" w:lineRule="auto"/>
              <w:ind w:leftChars="0" w:right="0" w:right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u w:val="none"/>
                <w:lang w:val="en-US" w:eastAsia="zh-CN"/>
              </w:rPr>
              <w:t>需提供身份证、劳动合同、近半年任意连续2个月社保证明、</w:t>
            </w:r>
            <w:r>
              <w:rPr>
                <w:rFonts w:hint="eastAsia" w:ascii="宋体" w:hAnsi="宋体" w:cs="宋体"/>
                <w:color w:val="auto"/>
                <w:kern w:val="0"/>
                <w:sz w:val="24"/>
                <w:szCs w:val="24"/>
                <w:highlight w:val="none"/>
                <w:u w:val="none"/>
                <w:lang w:val="en-US" w:eastAsia="zh-CN"/>
              </w:rPr>
              <w:t>有效的人员</w:t>
            </w:r>
            <w:r>
              <w:rPr>
                <w:rFonts w:hint="eastAsia" w:ascii="宋体" w:hAnsi="宋体" w:eastAsia="宋体" w:cs="宋体"/>
                <w:color w:val="auto"/>
                <w:kern w:val="0"/>
                <w:sz w:val="24"/>
                <w:szCs w:val="24"/>
                <w:highlight w:val="none"/>
                <w:u w:val="none"/>
                <w:lang w:val="en-US" w:eastAsia="zh-CN"/>
              </w:rPr>
              <w:t>证书</w:t>
            </w:r>
            <w:r>
              <w:rPr>
                <w:rFonts w:hint="eastAsia" w:ascii="宋体" w:hAnsi="宋体" w:cs="宋体"/>
                <w:color w:val="auto"/>
                <w:kern w:val="0"/>
                <w:sz w:val="24"/>
                <w:szCs w:val="24"/>
                <w:highlight w:val="none"/>
                <w:u w:val="none"/>
                <w:lang w:val="en-US" w:eastAsia="zh-CN"/>
              </w:rPr>
              <w:t>，</w:t>
            </w:r>
            <w:r>
              <w:rPr>
                <w:rFonts w:hint="eastAsia" w:ascii="宋体" w:hAnsi="宋体" w:eastAsia="宋体" w:cs="宋体"/>
                <w:snapToGrid w:val="0"/>
                <w:color w:val="auto"/>
                <w:sz w:val="24"/>
                <w:szCs w:val="24"/>
                <w:highlight w:val="none"/>
                <w:lang w:val="en-US" w:eastAsia="zh-CN" w:bidi="ar"/>
              </w:rPr>
              <w:t>未提供</w:t>
            </w:r>
            <w:r>
              <w:rPr>
                <w:rFonts w:hint="eastAsia" w:ascii="宋体" w:hAnsi="宋体" w:cs="宋体"/>
                <w:snapToGrid w:val="0"/>
                <w:color w:val="auto"/>
                <w:sz w:val="24"/>
                <w:szCs w:val="24"/>
                <w:highlight w:val="none"/>
                <w:lang w:val="en-US" w:eastAsia="zh-CN" w:bidi="ar"/>
              </w:rPr>
              <w:t>或提供不全的</w:t>
            </w:r>
            <w:r>
              <w:rPr>
                <w:rFonts w:hint="eastAsia" w:ascii="宋体" w:hAnsi="宋体" w:eastAsia="宋体" w:cs="宋体"/>
                <w:snapToGrid w:val="0"/>
                <w:color w:val="auto"/>
                <w:sz w:val="24"/>
                <w:szCs w:val="24"/>
                <w:highlight w:val="none"/>
                <w:lang w:val="en-US" w:eastAsia="zh-CN" w:bidi="ar"/>
              </w:rPr>
              <w:t>不得分。</w:t>
            </w:r>
          </w:p>
        </w:tc>
        <w:tc>
          <w:tcPr>
            <w:tcW w:w="679" w:type="dxa"/>
            <w:vAlign w:val="center"/>
          </w:tcPr>
          <w:p w14:paraId="13AD1538">
            <w:pPr>
              <w:pStyle w:val="128"/>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p>
        </w:tc>
      </w:tr>
      <w:tr w14:paraId="10F9E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16" w:type="dxa"/>
            <w:vMerge w:val="continue"/>
            <w:vAlign w:val="center"/>
          </w:tcPr>
          <w:p w14:paraId="56E9D64B">
            <w:pPr>
              <w:pStyle w:val="122"/>
              <w:keepNext/>
              <w:snapToGrid w:val="0"/>
              <w:spacing w:line="276" w:lineRule="auto"/>
              <w:ind w:firstLine="24"/>
              <w:rPr>
                <w:rFonts w:hint="eastAsia" w:ascii="宋体" w:hAnsi="宋体" w:eastAsia="宋体" w:cs="宋体"/>
                <w:color w:val="auto"/>
                <w:sz w:val="24"/>
                <w:szCs w:val="24"/>
                <w:highlight w:val="none"/>
              </w:rPr>
            </w:pPr>
          </w:p>
        </w:tc>
        <w:tc>
          <w:tcPr>
            <w:tcW w:w="1670" w:type="dxa"/>
            <w:vMerge w:val="continue"/>
            <w:vAlign w:val="center"/>
          </w:tcPr>
          <w:p w14:paraId="43FA5D4E">
            <w:pPr>
              <w:keepNext/>
              <w:snapToGrid w:val="0"/>
              <w:ind w:left="0" w:leftChars="0" w:right="0" w:rightChars="0" w:firstLine="0" w:firstLineChars="0"/>
              <w:jc w:val="center"/>
              <w:rPr>
                <w:rFonts w:hint="eastAsia" w:ascii="宋体" w:hAnsi="宋体" w:eastAsia="宋体" w:cs="宋体"/>
                <w:snapToGrid w:val="0"/>
                <w:color w:val="auto"/>
                <w:kern w:val="2"/>
                <w:sz w:val="24"/>
                <w:szCs w:val="24"/>
                <w:highlight w:val="none"/>
                <w:lang w:bidi="ar"/>
              </w:rPr>
            </w:pPr>
          </w:p>
        </w:tc>
        <w:tc>
          <w:tcPr>
            <w:tcW w:w="6757" w:type="dxa"/>
            <w:vAlign w:val="center"/>
          </w:tcPr>
          <w:p w14:paraId="016FE63B">
            <w:pPr>
              <w:pStyle w:val="128"/>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团队其他人员须具备以下证书：</w:t>
            </w:r>
          </w:p>
          <w:p w14:paraId="62184B2E">
            <w:pPr>
              <w:pStyle w:val="128"/>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 xml:space="preserve">团队人员具备 </w:t>
            </w:r>
            <w:r>
              <w:rPr>
                <w:rFonts w:hint="eastAsia" w:ascii="宋体" w:hAnsi="宋体" w:cs="宋体"/>
                <w:color w:val="auto"/>
                <w:kern w:val="0"/>
                <w:sz w:val="24"/>
                <w:szCs w:val="24"/>
                <w:highlight w:val="none"/>
                <w:lang w:val="en-US" w:eastAsia="zh-CN"/>
              </w:rPr>
              <w:t>①注册信息安全专业人员（CISP）②信息安全保障人员认证（CISAW）</w:t>
            </w:r>
            <w:r>
              <w:rPr>
                <w:rFonts w:ascii="宋体" w:hAnsi="宋体" w:eastAsia="宋体" w:cs="宋体"/>
                <w:color w:val="auto"/>
                <w:sz w:val="24"/>
                <w:szCs w:val="24"/>
                <w:highlight w:val="none"/>
              </w:rPr>
              <w:t>③</w:t>
            </w:r>
            <w:r>
              <w:rPr>
                <w:rFonts w:hint="eastAsia" w:ascii="宋体" w:hAnsi="宋体" w:eastAsia="宋体" w:cs="宋体"/>
                <w:color w:val="auto"/>
                <w:sz w:val="24"/>
                <w:szCs w:val="24"/>
                <w:highlight w:val="none"/>
              </w:rPr>
              <w:t>注册渗透测试工程师（CISP-PTE)④网络信息安全工程师。</w:t>
            </w:r>
            <w:r>
              <w:rPr>
                <w:rFonts w:hint="eastAsia" w:ascii="宋体" w:hAnsi="宋体" w:eastAsia="宋体" w:cs="宋体"/>
                <w:color w:val="auto"/>
                <w:kern w:val="0"/>
                <w:sz w:val="24"/>
                <w:szCs w:val="24"/>
                <w:highlight w:val="none"/>
                <w:lang w:val="en-US" w:eastAsia="zh-CN"/>
              </w:rPr>
              <w:t>每提供1项得</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val="en-US" w:eastAsia="zh-CN"/>
              </w:rPr>
              <w:t>分，最多得</w:t>
            </w: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lang w:val="en-US" w:eastAsia="zh-CN"/>
              </w:rPr>
              <w:t>分。</w:t>
            </w:r>
          </w:p>
          <w:p w14:paraId="6A39A04E">
            <w:pPr>
              <w:pStyle w:val="128"/>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同一人员多证不重复计分，不同人员持有同一类证书仅计1次分。需提供团队人员身份证明、劳动合同、近半年任意连续</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val="en-US" w:eastAsia="zh-CN"/>
              </w:rPr>
              <w:t>个月社保等证明材料</w:t>
            </w:r>
            <w:r>
              <w:rPr>
                <w:rFonts w:hint="eastAsia" w:ascii="宋体" w:hAnsi="宋体" w:cs="宋体"/>
                <w:color w:val="auto"/>
                <w:kern w:val="0"/>
                <w:sz w:val="24"/>
                <w:szCs w:val="24"/>
                <w:highlight w:val="none"/>
                <w:lang w:val="en-US" w:eastAsia="zh-CN"/>
              </w:rPr>
              <w:t>，</w:t>
            </w:r>
            <w:r>
              <w:rPr>
                <w:rFonts w:hint="eastAsia" w:ascii="宋体" w:hAnsi="宋体" w:eastAsia="宋体" w:cs="宋体"/>
                <w:snapToGrid w:val="0"/>
                <w:color w:val="auto"/>
                <w:sz w:val="24"/>
                <w:szCs w:val="24"/>
                <w:highlight w:val="none"/>
                <w:lang w:val="en-US" w:eastAsia="zh-CN" w:bidi="ar"/>
              </w:rPr>
              <w:t>未提供</w:t>
            </w:r>
            <w:r>
              <w:rPr>
                <w:rFonts w:hint="eastAsia" w:ascii="宋体" w:hAnsi="宋体" w:cs="宋体"/>
                <w:snapToGrid w:val="0"/>
                <w:color w:val="auto"/>
                <w:sz w:val="24"/>
                <w:szCs w:val="24"/>
                <w:highlight w:val="none"/>
                <w:lang w:val="en-US" w:eastAsia="zh-CN" w:bidi="ar"/>
              </w:rPr>
              <w:t>或提供不全的</w:t>
            </w:r>
            <w:r>
              <w:rPr>
                <w:rFonts w:hint="eastAsia" w:ascii="宋体" w:hAnsi="宋体" w:eastAsia="宋体" w:cs="宋体"/>
                <w:snapToGrid w:val="0"/>
                <w:color w:val="auto"/>
                <w:sz w:val="24"/>
                <w:szCs w:val="24"/>
                <w:highlight w:val="none"/>
                <w:lang w:val="en-US" w:eastAsia="zh-CN" w:bidi="ar"/>
              </w:rPr>
              <w:t>不得分。</w:t>
            </w:r>
          </w:p>
        </w:tc>
        <w:tc>
          <w:tcPr>
            <w:tcW w:w="679" w:type="dxa"/>
            <w:vAlign w:val="center"/>
          </w:tcPr>
          <w:p w14:paraId="65BF16E5">
            <w:pPr>
              <w:pStyle w:val="128"/>
              <w:keepNext/>
              <w:keepLines w:val="0"/>
              <w:pageBreakBefore w:val="0"/>
              <w:widowControl w:val="0"/>
              <w:kinsoku/>
              <w:wordWrap/>
              <w:overflowPunct/>
              <w:topLinePunct w:val="0"/>
              <w:autoSpaceDE/>
              <w:autoSpaceDN/>
              <w:bidi w:val="0"/>
              <w:adjustRightInd/>
              <w:snapToGrid w:val="0"/>
              <w:spacing w:line="240" w:lineRule="auto"/>
              <w:ind w:right="0" w:rightChars="0"/>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8</w:t>
            </w:r>
          </w:p>
        </w:tc>
      </w:tr>
      <w:tr w14:paraId="0810D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16" w:type="dxa"/>
            <w:vMerge w:val="continue"/>
            <w:vAlign w:val="center"/>
          </w:tcPr>
          <w:p w14:paraId="2F40F605">
            <w:pPr>
              <w:pStyle w:val="122"/>
              <w:keepNext/>
              <w:snapToGrid w:val="0"/>
              <w:spacing w:line="276" w:lineRule="auto"/>
              <w:ind w:firstLine="24"/>
              <w:rPr>
                <w:rFonts w:hint="eastAsia" w:ascii="宋体" w:hAnsi="宋体" w:eastAsia="宋体" w:cs="宋体"/>
                <w:color w:val="auto"/>
                <w:sz w:val="24"/>
                <w:szCs w:val="24"/>
                <w:highlight w:val="none"/>
              </w:rPr>
            </w:pPr>
          </w:p>
        </w:tc>
        <w:tc>
          <w:tcPr>
            <w:tcW w:w="1670" w:type="dxa"/>
            <w:vAlign w:val="center"/>
          </w:tcPr>
          <w:p w14:paraId="136D5203">
            <w:pPr>
              <w:keepNext/>
              <w:snapToGrid w:val="0"/>
              <w:ind w:left="0" w:leftChars="0" w:right="0" w:rightChars="0" w:firstLine="0" w:firstLineChars="0"/>
              <w:jc w:val="center"/>
              <w:rPr>
                <w:rFonts w:hint="eastAsia" w:ascii="宋体" w:hAnsi="宋体" w:eastAsia="宋体" w:cs="宋体"/>
                <w:snapToGrid w:val="0"/>
                <w:color w:val="auto"/>
                <w:kern w:val="2"/>
                <w:sz w:val="24"/>
                <w:szCs w:val="24"/>
                <w:highlight w:val="none"/>
                <w:lang w:bidi="ar"/>
              </w:rPr>
            </w:pPr>
            <w:r>
              <w:rPr>
                <w:rFonts w:hint="eastAsia" w:ascii="宋体" w:hAnsi="宋体" w:eastAsia="宋体" w:cs="宋体"/>
                <w:snapToGrid w:val="0"/>
                <w:color w:val="auto"/>
                <w:kern w:val="2"/>
                <w:sz w:val="24"/>
                <w:szCs w:val="24"/>
                <w:highlight w:val="none"/>
                <w:lang w:bidi="ar"/>
              </w:rPr>
              <w:t>驻场运维工程师</w:t>
            </w:r>
          </w:p>
        </w:tc>
        <w:tc>
          <w:tcPr>
            <w:tcW w:w="6757" w:type="dxa"/>
            <w:vAlign w:val="center"/>
          </w:tcPr>
          <w:p w14:paraId="27092137">
            <w:pPr>
              <w:pStyle w:val="128"/>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配置驻场网络安全运维工程师、办公设备运维工程师各 1 名：</w:t>
            </w:r>
          </w:p>
          <w:p w14:paraId="01566931">
            <w:pPr>
              <w:pStyle w:val="128"/>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①网络安全运维工程师：持有注册信息安全工程师</w:t>
            </w:r>
            <w:r>
              <w:rPr>
                <w:rFonts w:hint="eastAsia" w:ascii="宋体" w:hAnsi="宋体" w:cs="宋体"/>
                <w:color w:val="auto"/>
                <w:kern w:val="0"/>
                <w:sz w:val="24"/>
                <w:szCs w:val="24"/>
                <w:highlight w:val="none"/>
                <w:lang w:val="en-US" w:eastAsia="zh-CN"/>
              </w:rPr>
              <w:t>或</w:t>
            </w:r>
            <w:r>
              <w:rPr>
                <w:rFonts w:hint="eastAsia" w:ascii="宋体" w:hAnsi="宋体" w:eastAsia="宋体" w:cs="宋体"/>
                <w:color w:val="auto"/>
                <w:kern w:val="0"/>
                <w:sz w:val="24"/>
                <w:szCs w:val="24"/>
                <w:highlight w:val="none"/>
                <w:lang w:val="en-US" w:eastAsia="zh-CN"/>
              </w:rPr>
              <w:t>信息安全保障人员</w:t>
            </w:r>
            <w:r>
              <w:rPr>
                <w:rFonts w:hint="eastAsia" w:ascii="宋体" w:hAnsi="宋体" w:cs="宋体"/>
                <w:color w:val="auto"/>
                <w:kern w:val="0"/>
                <w:sz w:val="24"/>
                <w:szCs w:val="24"/>
                <w:highlight w:val="none"/>
                <w:lang w:val="en-US" w:eastAsia="zh-CN"/>
              </w:rPr>
              <w:t>或</w:t>
            </w:r>
            <w:r>
              <w:rPr>
                <w:rFonts w:hint="eastAsia" w:ascii="宋体" w:hAnsi="宋体" w:eastAsia="宋体" w:cs="宋体"/>
                <w:color w:val="auto"/>
                <w:kern w:val="0"/>
                <w:sz w:val="24"/>
                <w:szCs w:val="24"/>
                <w:highlight w:val="none"/>
                <w:lang w:val="en-US" w:eastAsia="zh-CN"/>
              </w:rPr>
              <w:t>信息安全等级保护测评师（初级及以上）任一</w:t>
            </w:r>
            <w:r>
              <w:rPr>
                <w:rFonts w:hint="eastAsia" w:ascii="宋体" w:hAnsi="宋体" w:cs="宋体"/>
                <w:color w:val="auto"/>
                <w:kern w:val="0"/>
                <w:sz w:val="24"/>
                <w:szCs w:val="24"/>
                <w:highlight w:val="none"/>
                <w:lang w:val="en-US" w:eastAsia="zh-CN"/>
              </w:rPr>
              <w:t>一项有效的人员</w:t>
            </w:r>
            <w:r>
              <w:rPr>
                <w:rFonts w:hint="eastAsia" w:ascii="宋体" w:hAnsi="宋体" w:eastAsia="宋体" w:cs="宋体"/>
                <w:color w:val="auto"/>
                <w:kern w:val="0"/>
                <w:sz w:val="24"/>
                <w:szCs w:val="24"/>
                <w:highlight w:val="none"/>
                <w:lang w:val="en-US" w:eastAsia="zh-CN"/>
              </w:rPr>
              <w:t>证书的，得3分；</w:t>
            </w:r>
            <w:r>
              <w:rPr>
                <w:rFonts w:hint="eastAsia" w:ascii="宋体" w:hAnsi="宋体" w:eastAsia="宋体" w:cs="宋体"/>
                <w:snapToGrid w:val="0"/>
                <w:color w:val="auto"/>
                <w:sz w:val="24"/>
                <w:szCs w:val="24"/>
                <w:highlight w:val="none"/>
                <w:lang w:val="en-US" w:eastAsia="zh-CN" w:bidi="ar"/>
              </w:rPr>
              <w:t>未提供</w:t>
            </w:r>
            <w:r>
              <w:rPr>
                <w:rFonts w:hint="eastAsia" w:ascii="宋体" w:hAnsi="宋体" w:cs="宋体"/>
                <w:snapToGrid w:val="0"/>
                <w:color w:val="auto"/>
                <w:sz w:val="24"/>
                <w:szCs w:val="24"/>
                <w:highlight w:val="none"/>
                <w:lang w:val="en-US" w:eastAsia="zh-CN" w:bidi="ar"/>
              </w:rPr>
              <w:t>或提供不全的</w:t>
            </w:r>
            <w:r>
              <w:rPr>
                <w:rFonts w:hint="eastAsia" w:ascii="宋体" w:hAnsi="宋体" w:eastAsia="宋体" w:cs="宋体"/>
                <w:snapToGrid w:val="0"/>
                <w:color w:val="auto"/>
                <w:sz w:val="24"/>
                <w:szCs w:val="24"/>
                <w:highlight w:val="none"/>
                <w:lang w:val="en-US" w:eastAsia="zh-CN" w:bidi="ar"/>
              </w:rPr>
              <w:t>不得分。</w:t>
            </w:r>
          </w:p>
          <w:p w14:paraId="55018A68">
            <w:pPr>
              <w:pStyle w:val="128"/>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②办公设备运维人员：持有计算机技术与软件专业技术资格（水平）证书（网络工程师、信息系统运行管理员、系统集成项目管理工程师）</w:t>
            </w:r>
            <w:r>
              <w:rPr>
                <w:rFonts w:hint="eastAsia" w:ascii="宋体" w:hAnsi="宋体" w:cs="宋体"/>
                <w:color w:val="auto"/>
                <w:kern w:val="0"/>
                <w:sz w:val="24"/>
                <w:szCs w:val="24"/>
                <w:highlight w:val="none"/>
                <w:u w:val="none"/>
                <w:lang w:val="en-US" w:eastAsia="zh-CN"/>
              </w:rPr>
              <w:t>有效的人员</w:t>
            </w:r>
            <w:r>
              <w:rPr>
                <w:rFonts w:hint="eastAsia" w:ascii="宋体" w:hAnsi="宋体" w:eastAsia="宋体" w:cs="宋体"/>
                <w:color w:val="auto"/>
                <w:kern w:val="0"/>
                <w:sz w:val="24"/>
                <w:szCs w:val="24"/>
                <w:highlight w:val="none"/>
                <w:u w:val="none"/>
                <w:lang w:val="en-US" w:eastAsia="zh-CN"/>
              </w:rPr>
              <w:t>证书</w:t>
            </w:r>
            <w:r>
              <w:rPr>
                <w:rFonts w:hint="eastAsia" w:ascii="宋体" w:hAnsi="宋体" w:eastAsia="宋体" w:cs="宋体"/>
                <w:color w:val="auto"/>
                <w:kern w:val="0"/>
                <w:sz w:val="24"/>
                <w:szCs w:val="24"/>
                <w:highlight w:val="none"/>
                <w:lang w:val="en-US" w:eastAsia="zh-CN"/>
              </w:rPr>
              <w:t>的，得3分；</w:t>
            </w:r>
            <w:r>
              <w:rPr>
                <w:rFonts w:hint="eastAsia" w:ascii="宋体" w:hAnsi="宋体" w:eastAsia="宋体" w:cs="宋体"/>
                <w:snapToGrid w:val="0"/>
                <w:color w:val="auto"/>
                <w:sz w:val="24"/>
                <w:szCs w:val="24"/>
                <w:highlight w:val="none"/>
                <w:lang w:val="en-US" w:eastAsia="zh-CN" w:bidi="ar"/>
              </w:rPr>
              <w:t>未提供</w:t>
            </w:r>
            <w:r>
              <w:rPr>
                <w:rFonts w:hint="eastAsia" w:ascii="宋体" w:hAnsi="宋体" w:cs="宋体"/>
                <w:snapToGrid w:val="0"/>
                <w:color w:val="auto"/>
                <w:sz w:val="24"/>
                <w:szCs w:val="24"/>
                <w:highlight w:val="none"/>
                <w:lang w:val="en-US" w:eastAsia="zh-CN" w:bidi="ar"/>
              </w:rPr>
              <w:t>或提供不全的</w:t>
            </w:r>
            <w:r>
              <w:rPr>
                <w:rFonts w:hint="eastAsia" w:ascii="宋体" w:hAnsi="宋体" w:eastAsia="宋体" w:cs="宋体"/>
                <w:snapToGrid w:val="0"/>
                <w:color w:val="auto"/>
                <w:sz w:val="24"/>
                <w:szCs w:val="24"/>
                <w:highlight w:val="none"/>
                <w:lang w:val="en-US" w:eastAsia="zh-CN" w:bidi="ar"/>
              </w:rPr>
              <w:t>不得分。</w:t>
            </w:r>
          </w:p>
        </w:tc>
        <w:tc>
          <w:tcPr>
            <w:tcW w:w="679" w:type="dxa"/>
            <w:vAlign w:val="center"/>
          </w:tcPr>
          <w:p w14:paraId="12907719">
            <w:pPr>
              <w:pStyle w:val="128"/>
              <w:keepNext/>
              <w:keepLines w:val="0"/>
              <w:pageBreakBefore w:val="0"/>
              <w:widowControl w:val="0"/>
              <w:kinsoku/>
              <w:wordWrap/>
              <w:overflowPunct/>
              <w:topLinePunct w:val="0"/>
              <w:autoSpaceDE/>
              <w:autoSpaceDN/>
              <w:bidi w:val="0"/>
              <w:adjustRightInd/>
              <w:snapToGrid w:val="0"/>
              <w:spacing w:line="240" w:lineRule="auto"/>
              <w:ind w:right="0" w:rightChars="0"/>
              <w:jc w:val="center"/>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6</w:t>
            </w:r>
          </w:p>
        </w:tc>
      </w:tr>
      <w:tr w14:paraId="72652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16" w:type="dxa"/>
            <w:vMerge w:val="restart"/>
            <w:vAlign w:val="center"/>
          </w:tcPr>
          <w:p w14:paraId="6D91804F">
            <w:pPr>
              <w:pStyle w:val="122"/>
              <w:keepNext/>
              <w:snapToGrid w:val="0"/>
              <w:spacing w:line="276" w:lineRule="auto"/>
              <w:ind w:firstLine="24"/>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技术部分（</w:t>
            </w:r>
            <w:r>
              <w:rPr>
                <w:rFonts w:hint="eastAsia" w:ascii="宋体" w:hAnsi="宋体" w:cs="宋体"/>
                <w:color w:val="auto"/>
                <w:sz w:val="24"/>
                <w:szCs w:val="24"/>
                <w:highlight w:val="none"/>
                <w:lang w:val="en-US" w:eastAsia="zh-CN"/>
              </w:rPr>
              <w:t>45</w:t>
            </w:r>
            <w:r>
              <w:rPr>
                <w:rFonts w:hint="eastAsia" w:ascii="宋体" w:hAnsi="宋体" w:eastAsia="宋体" w:cs="宋体"/>
                <w:color w:val="auto"/>
                <w:sz w:val="24"/>
                <w:szCs w:val="24"/>
                <w:highlight w:val="none"/>
              </w:rPr>
              <w:t>分）</w:t>
            </w:r>
          </w:p>
        </w:tc>
        <w:tc>
          <w:tcPr>
            <w:tcW w:w="1670" w:type="dxa"/>
            <w:vAlign w:val="center"/>
          </w:tcPr>
          <w:p w14:paraId="40849F49">
            <w:pPr>
              <w:pStyle w:val="128"/>
              <w:keepNext/>
              <w:keepLines w:val="0"/>
              <w:pageBreakBefore w:val="0"/>
              <w:widowControl w:val="0"/>
              <w:kinsoku/>
              <w:wordWrap/>
              <w:overflowPunct/>
              <w:topLinePunct/>
              <w:autoSpaceDE/>
              <w:autoSpaceDN/>
              <w:bidi w:val="0"/>
              <w:adjustRightInd/>
              <w:snapToGrid w:val="0"/>
              <w:spacing w:line="240" w:lineRule="auto"/>
              <w:ind w:left="0" w:leftChars="0" w:right="0" w:rightChars="0" w:firstLine="0" w:firstLineChars="0"/>
              <w:jc w:val="center"/>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渗透测试服务方案</w:t>
            </w:r>
          </w:p>
          <w:p w14:paraId="538FF832">
            <w:pPr>
              <w:pStyle w:val="128"/>
              <w:keepNext/>
              <w:keepLines w:val="0"/>
              <w:pageBreakBefore w:val="0"/>
              <w:widowControl w:val="0"/>
              <w:kinsoku/>
              <w:wordWrap/>
              <w:overflowPunct/>
              <w:topLinePunct/>
              <w:autoSpaceDE/>
              <w:autoSpaceDN/>
              <w:bidi w:val="0"/>
              <w:adjustRightInd/>
              <w:snapToGrid w:val="0"/>
              <w:spacing w:line="240" w:lineRule="auto"/>
              <w:ind w:left="0" w:leftChars="0" w:right="0" w:rightChars="0" w:firstLine="0" w:firstLineChars="0"/>
              <w:jc w:val="center"/>
              <w:textAlignment w:val="auto"/>
              <w:outlineLvl w:val="9"/>
              <w:rPr>
                <w:rFonts w:hint="eastAsia" w:ascii="宋体" w:hAnsi="宋体" w:eastAsia="宋体" w:cs="宋体"/>
                <w:color w:val="auto"/>
                <w:sz w:val="24"/>
                <w:szCs w:val="24"/>
                <w:highlight w:val="none"/>
                <w:lang w:val="en-US" w:eastAsia="zh-CN"/>
              </w:rPr>
            </w:pPr>
          </w:p>
        </w:tc>
        <w:tc>
          <w:tcPr>
            <w:tcW w:w="6757" w:type="dxa"/>
            <w:vAlign w:val="center"/>
          </w:tcPr>
          <w:p w14:paraId="04BC9C3F">
            <w:pPr>
              <w:keepNext/>
              <w:keepLines w:val="0"/>
              <w:pageBreakBefore w:val="0"/>
              <w:widowControl w:val="0"/>
              <w:kinsoku/>
              <w:wordWrap/>
              <w:overflowPunct/>
              <w:topLinePunct/>
              <w:autoSpaceDE/>
              <w:autoSpaceDN/>
              <w:bidi w:val="0"/>
              <w:adjustRightInd/>
              <w:snapToGrid w:val="0"/>
              <w:spacing w:line="240" w:lineRule="auto"/>
              <w:ind w:left="0" w:leftChars="0" w:right="0" w:rightChars="0" w:firstLine="0" w:firstLineChars="0"/>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供应商需针对本项目提供详细的渗透测试服务方案，满足采购需求清单中内容包括但不限于：①安全服务项目目标</w:t>
            </w:r>
            <w:r>
              <w:rPr>
                <w:rFonts w:hint="eastAsia" w:ascii="宋体" w:hAnsi="宋体" w:eastAsia="宋体" w:cs="宋体"/>
                <w:color w:val="auto"/>
                <w:sz w:val="24"/>
                <w:szCs w:val="24"/>
                <w:highlight w:val="none"/>
                <w:lang w:val="en-US" w:eastAsia="zh-CN"/>
              </w:rPr>
              <w:t>及范围</w:t>
            </w:r>
            <w:r>
              <w:rPr>
                <w:rFonts w:hint="eastAsia" w:ascii="宋体" w:hAnsi="宋体" w:eastAsia="宋体" w:cs="宋体"/>
                <w:color w:val="auto"/>
                <w:sz w:val="24"/>
                <w:szCs w:val="24"/>
                <w:highlight w:val="none"/>
              </w:rPr>
              <w:t>②服务内容③</w:t>
            </w:r>
            <w:r>
              <w:rPr>
                <w:rFonts w:hint="eastAsia" w:ascii="宋体" w:hAnsi="宋体" w:eastAsia="宋体" w:cs="宋体"/>
                <w:color w:val="auto"/>
                <w:sz w:val="24"/>
                <w:szCs w:val="24"/>
                <w:highlight w:val="none"/>
                <w:lang w:val="en-US" w:eastAsia="zh-CN"/>
              </w:rPr>
              <w:t>服务流程及交付物</w:t>
            </w:r>
            <w:r>
              <w:rPr>
                <w:rFonts w:hint="eastAsia" w:ascii="宋体" w:hAnsi="宋体" w:cs="宋体"/>
                <w:color w:val="auto"/>
                <w:sz w:val="24"/>
                <w:szCs w:val="24"/>
                <w:highlight w:val="none"/>
                <w:lang w:val="en-US" w:eastAsia="zh-CN"/>
              </w:rPr>
              <w:t>。</w:t>
            </w:r>
          </w:p>
          <w:p w14:paraId="25811598">
            <w:pPr>
              <w:keepNext/>
              <w:keepLines w:val="0"/>
              <w:pageBreakBefore w:val="0"/>
              <w:widowControl w:val="0"/>
              <w:kinsoku/>
              <w:wordWrap/>
              <w:overflowPunct/>
              <w:topLinePunct/>
              <w:autoSpaceDE/>
              <w:autoSpaceDN/>
              <w:bidi w:val="0"/>
              <w:adjustRightInd/>
              <w:snapToGrid w:val="0"/>
              <w:spacing w:line="240" w:lineRule="auto"/>
              <w:ind w:left="0" w:leftChars="0" w:right="0" w:rightChars="0" w:firstLine="0" w:firstLineChars="0"/>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以上3项内容均包含，方案内容详细，有完整合理的部署规划，完全满足或优于项目要求的得</w:t>
            </w: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lang w:val="en-US" w:eastAsia="zh-CN"/>
              </w:rPr>
              <w:t>分。每有一项内容缺失扣1</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分；提供的方案存在缺陷（缺陷是指：方案不具体、不适用项目实际情况、凭空编造、存在逻辑漏洞、科学原理错误、不可能实现的夸大情形以及涉及的规范、标准与本项目要求不一致等）每项扣0.5分，分数扣完为止。</w:t>
            </w:r>
          </w:p>
        </w:tc>
        <w:tc>
          <w:tcPr>
            <w:tcW w:w="679" w:type="dxa"/>
            <w:vAlign w:val="center"/>
          </w:tcPr>
          <w:p w14:paraId="3632C605">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rPr>
            </w:pPr>
            <w:r>
              <w:rPr>
                <w:rFonts w:hint="eastAsia" w:ascii="宋体" w:hAnsi="宋体" w:cs="宋体"/>
                <w:i w:val="0"/>
                <w:iCs w:val="0"/>
                <w:color w:val="auto"/>
                <w:kern w:val="0"/>
                <w:sz w:val="22"/>
                <w:szCs w:val="22"/>
                <w:highlight w:val="none"/>
                <w:u w:val="none"/>
                <w:lang w:val="en-US" w:eastAsia="zh-CN" w:bidi="ar"/>
              </w:rPr>
              <w:t>9</w:t>
            </w:r>
          </w:p>
        </w:tc>
      </w:tr>
      <w:tr w14:paraId="2079D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16" w:type="dxa"/>
            <w:vMerge w:val="continue"/>
            <w:vAlign w:val="center"/>
          </w:tcPr>
          <w:p w14:paraId="194B8252">
            <w:pPr>
              <w:pStyle w:val="122"/>
              <w:keepNext/>
              <w:snapToGrid w:val="0"/>
              <w:spacing w:line="276" w:lineRule="auto"/>
              <w:ind w:firstLine="24"/>
              <w:rPr>
                <w:rFonts w:hint="eastAsia" w:ascii="宋体" w:hAnsi="宋体" w:eastAsia="宋体" w:cs="宋体"/>
                <w:color w:val="auto"/>
                <w:sz w:val="24"/>
                <w:szCs w:val="24"/>
                <w:highlight w:val="none"/>
              </w:rPr>
            </w:pPr>
          </w:p>
        </w:tc>
        <w:tc>
          <w:tcPr>
            <w:tcW w:w="1670" w:type="dxa"/>
            <w:vAlign w:val="center"/>
          </w:tcPr>
          <w:p w14:paraId="4C4527C5">
            <w:pPr>
              <w:pStyle w:val="128"/>
              <w:keepNext/>
              <w:keepLines w:val="0"/>
              <w:pageBreakBefore w:val="0"/>
              <w:widowControl w:val="0"/>
              <w:kinsoku/>
              <w:wordWrap/>
              <w:overflowPunct/>
              <w:topLinePunct/>
              <w:autoSpaceDE/>
              <w:autoSpaceDN/>
              <w:bidi w:val="0"/>
              <w:adjustRightInd/>
              <w:snapToGrid w:val="0"/>
              <w:spacing w:line="240" w:lineRule="auto"/>
              <w:ind w:left="0" w:leftChars="0" w:right="0" w:rightChars="0" w:firstLine="0" w:firstLineChars="0"/>
              <w:jc w:val="center"/>
              <w:textAlignment w:val="auto"/>
              <w:outlineLvl w:val="9"/>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网络安全等级保护方案</w:t>
            </w:r>
          </w:p>
          <w:p w14:paraId="2ACA1F39">
            <w:pPr>
              <w:pStyle w:val="128"/>
              <w:keepNext/>
              <w:keepLines w:val="0"/>
              <w:pageBreakBefore w:val="0"/>
              <w:widowControl w:val="0"/>
              <w:kinsoku/>
              <w:wordWrap/>
              <w:overflowPunct/>
              <w:topLinePunct/>
              <w:autoSpaceDE/>
              <w:autoSpaceDN/>
              <w:bidi w:val="0"/>
              <w:adjustRightInd/>
              <w:snapToGrid w:val="0"/>
              <w:spacing w:line="240" w:lineRule="auto"/>
              <w:ind w:left="0" w:leftChars="0" w:right="0" w:rightChars="0" w:firstLine="0" w:firstLineChars="0"/>
              <w:jc w:val="center"/>
              <w:textAlignment w:val="auto"/>
              <w:outlineLvl w:val="9"/>
              <w:rPr>
                <w:rFonts w:hint="eastAsia" w:ascii="宋体" w:hAnsi="宋体" w:eastAsia="宋体" w:cs="宋体"/>
                <w:color w:val="auto"/>
                <w:sz w:val="24"/>
                <w:szCs w:val="24"/>
                <w:highlight w:val="none"/>
                <w:lang w:val="en-US" w:eastAsia="zh-CN"/>
              </w:rPr>
            </w:pPr>
          </w:p>
        </w:tc>
        <w:tc>
          <w:tcPr>
            <w:tcW w:w="6757" w:type="dxa"/>
            <w:vAlign w:val="center"/>
          </w:tcPr>
          <w:p w14:paraId="7BDBAC5D">
            <w:pPr>
              <w:keepNext/>
              <w:keepLines w:val="0"/>
              <w:pageBreakBefore w:val="0"/>
              <w:widowControl w:val="0"/>
              <w:kinsoku/>
              <w:wordWrap/>
              <w:overflowPunct/>
              <w:topLinePunct/>
              <w:autoSpaceDE/>
              <w:autoSpaceDN/>
              <w:bidi w:val="0"/>
              <w:adjustRightInd/>
              <w:snapToGrid w:val="0"/>
              <w:spacing w:line="240" w:lineRule="auto"/>
              <w:ind w:left="0" w:leftChars="0" w:right="0" w:rightChars="0" w:firstLine="0" w:firstLineChars="0"/>
              <w:jc w:val="left"/>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供应商需针对本项目提供详细的</w:t>
            </w:r>
            <w:r>
              <w:rPr>
                <w:rFonts w:hint="eastAsia" w:ascii="宋体" w:hAnsi="宋体" w:eastAsia="宋体" w:cs="宋体"/>
                <w:color w:val="auto"/>
                <w:sz w:val="24"/>
                <w:szCs w:val="24"/>
                <w:highlight w:val="none"/>
                <w:lang w:val="en-US" w:eastAsia="zh-CN"/>
              </w:rPr>
              <w:t>等保</w:t>
            </w:r>
            <w:r>
              <w:rPr>
                <w:rFonts w:hint="eastAsia" w:ascii="宋体" w:hAnsi="宋体" w:eastAsia="宋体" w:cs="宋体"/>
                <w:color w:val="auto"/>
                <w:sz w:val="24"/>
                <w:szCs w:val="24"/>
                <w:highlight w:val="none"/>
              </w:rPr>
              <w:t>测</w:t>
            </w:r>
            <w:r>
              <w:rPr>
                <w:rFonts w:hint="eastAsia" w:ascii="宋体" w:hAnsi="宋体" w:eastAsia="宋体" w:cs="宋体"/>
                <w:color w:val="auto"/>
                <w:sz w:val="24"/>
                <w:szCs w:val="24"/>
                <w:highlight w:val="none"/>
                <w:lang w:val="en-US" w:eastAsia="zh-CN"/>
              </w:rPr>
              <w:t>评</w:t>
            </w:r>
            <w:r>
              <w:rPr>
                <w:rFonts w:hint="eastAsia" w:ascii="宋体" w:hAnsi="宋体" w:eastAsia="宋体" w:cs="宋体"/>
                <w:color w:val="auto"/>
                <w:sz w:val="24"/>
                <w:szCs w:val="24"/>
                <w:highlight w:val="none"/>
              </w:rPr>
              <w:t>服务方案，满足采购需求清单中内容包括但不限于：①安全服务项目目标</w:t>
            </w:r>
            <w:r>
              <w:rPr>
                <w:rFonts w:hint="eastAsia" w:ascii="宋体" w:hAnsi="宋体" w:eastAsia="宋体" w:cs="宋体"/>
                <w:color w:val="auto"/>
                <w:sz w:val="24"/>
                <w:szCs w:val="24"/>
                <w:highlight w:val="none"/>
                <w:lang w:val="en-US" w:eastAsia="zh-CN"/>
              </w:rPr>
              <w:t>及范围</w:t>
            </w:r>
            <w:r>
              <w:rPr>
                <w:rFonts w:hint="eastAsia" w:ascii="宋体" w:hAnsi="宋体" w:eastAsia="宋体" w:cs="宋体"/>
                <w:color w:val="auto"/>
                <w:sz w:val="24"/>
                <w:szCs w:val="24"/>
                <w:highlight w:val="none"/>
              </w:rPr>
              <w:t>②服务内容③</w:t>
            </w:r>
            <w:r>
              <w:rPr>
                <w:rFonts w:hint="eastAsia" w:ascii="宋体" w:hAnsi="宋体" w:eastAsia="宋体" w:cs="宋体"/>
                <w:color w:val="auto"/>
                <w:sz w:val="24"/>
                <w:szCs w:val="24"/>
                <w:highlight w:val="none"/>
                <w:lang w:val="en-US" w:eastAsia="zh-CN"/>
              </w:rPr>
              <w:t>服务流程及交付物</w:t>
            </w:r>
            <w:r>
              <w:rPr>
                <w:rFonts w:hint="eastAsia" w:ascii="宋体" w:hAnsi="宋体" w:cs="宋体"/>
                <w:color w:val="auto"/>
                <w:sz w:val="24"/>
                <w:szCs w:val="24"/>
                <w:highlight w:val="none"/>
                <w:lang w:val="en-US" w:eastAsia="zh-CN"/>
              </w:rPr>
              <w:t>。</w:t>
            </w:r>
          </w:p>
          <w:p w14:paraId="6DA46FFA">
            <w:pPr>
              <w:keepNext/>
              <w:keepLines w:val="0"/>
              <w:pageBreakBefore w:val="0"/>
              <w:widowControl w:val="0"/>
              <w:kinsoku/>
              <w:wordWrap/>
              <w:overflowPunct/>
              <w:topLinePunct/>
              <w:autoSpaceDE/>
              <w:autoSpaceDN/>
              <w:bidi w:val="0"/>
              <w:adjustRightInd/>
              <w:snapToGrid w:val="0"/>
              <w:spacing w:line="240" w:lineRule="auto"/>
              <w:ind w:left="0" w:leftChars="0" w:right="0" w:rightChars="0" w:firstLine="0" w:firstLineChars="0"/>
              <w:jc w:val="left"/>
              <w:textAlignment w:val="auto"/>
              <w:outlineLvl w:val="9"/>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以上3项内容均包含，方案内容详细，有完整合理的部署规划，完全满足或优于项目要求的得</w:t>
            </w:r>
            <w:r>
              <w:rPr>
                <w:rFonts w:hint="eastAsia" w:ascii="宋体" w:hAnsi="宋体" w:cs="宋体"/>
                <w:color w:val="auto"/>
                <w:sz w:val="24"/>
                <w:szCs w:val="24"/>
                <w:highlight w:val="none"/>
                <w:lang w:val="en-US" w:eastAsia="zh-CN"/>
              </w:rPr>
              <w:t>9</w:t>
            </w:r>
            <w:r>
              <w:rPr>
                <w:rFonts w:hint="default" w:ascii="宋体" w:hAnsi="宋体" w:eastAsia="宋体" w:cs="宋体"/>
                <w:color w:val="auto"/>
                <w:sz w:val="24"/>
                <w:szCs w:val="24"/>
                <w:highlight w:val="none"/>
                <w:lang w:val="en-US" w:eastAsia="zh-CN"/>
              </w:rPr>
              <w:t>分。每有一项内容缺失扣1</w:t>
            </w:r>
            <w:r>
              <w:rPr>
                <w:rFonts w:hint="eastAsia" w:ascii="宋体" w:hAnsi="宋体" w:cs="宋体"/>
                <w:color w:val="auto"/>
                <w:sz w:val="24"/>
                <w:szCs w:val="24"/>
                <w:highlight w:val="none"/>
                <w:lang w:val="en-US" w:eastAsia="zh-CN"/>
              </w:rPr>
              <w:t>.5</w:t>
            </w:r>
            <w:r>
              <w:rPr>
                <w:rFonts w:hint="default" w:ascii="宋体" w:hAnsi="宋体" w:eastAsia="宋体" w:cs="宋体"/>
                <w:color w:val="auto"/>
                <w:sz w:val="24"/>
                <w:szCs w:val="24"/>
                <w:highlight w:val="none"/>
                <w:lang w:val="en-US" w:eastAsia="zh-CN"/>
              </w:rPr>
              <w:t>分；提供的方案存在缺陷（缺陷是指：方案不具体、不适用项目实际情况、凭空编造、存在逻辑漏洞、科学原理错误、不可能实现的夸大情形以及涉及的规范、标准与本项目要求不一致等）每项扣0.5分，分数扣完为止。</w:t>
            </w:r>
          </w:p>
        </w:tc>
        <w:tc>
          <w:tcPr>
            <w:tcW w:w="679" w:type="dxa"/>
            <w:vAlign w:val="center"/>
          </w:tcPr>
          <w:p w14:paraId="64B7DE9D">
            <w:pPr>
              <w:keepNext w:val="0"/>
              <w:keepLines w:val="0"/>
              <w:widowControl/>
              <w:suppressLineNumbers w:val="0"/>
              <w:jc w:val="center"/>
              <w:textAlignment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9</w:t>
            </w:r>
          </w:p>
        </w:tc>
      </w:tr>
      <w:tr w14:paraId="1159F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16" w:type="dxa"/>
            <w:vMerge w:val="continue"/>
            <w:vAlign w:val="center"/>
          </w:tcPr>
          <w:p w14:paraId="31C0653A">
            <w:pPr>
              <w:pStyle w:val="122"/>
              <w:keepNext/>
              <w:snapToGrid w:val="0"/>
              <w:spacing w:line="276" w:lineRule="auto"/>
              <w:ind w:firstLine="24"/>
              <w:jc w:val="center"/>
              <w:rPr>
                <w:rFonts w:hint="eastAsia" w:ascii="宋体" w:hAnsi="宋体" w:eastAsia="宋体" w:cs="宋体"/>
                <w:color w:val="auto"/>
                <w:sz w:val="24"/>
                <w:szCs w:val="24"/>
                <w:highlight w:val="none"/>
              </w:rPr>
            </w:pPr>
          </w:p>
        </w:tc>
        <w:tc>
          <w:tcPr>
            <w:tcW w:w="1670" w:type="dxa"/>
            <w:vAlign w:val="center"/>
          </w:tcPr>
          <w:p w14:paraId="6F00A23A">
            <w:pPr>
              <w:pStyle w:val="128"/>
              <w:keepNext/>
              <w:keepLines w:val="0"/>
              <w:pageBreakBefore w:val="0"/>
              <w:widowControl w:val="0"/>
              <w:kinsoku/>
              <w:wordWrap/>
              <w:overflowPunct/>
              <w:topLinePunct/>
              <w:autoSpaceDE/>
              <w:autoSpaceDN/>
              <w:bidi w:val="0"/>
              <w:adjustRightInd/>
              <w:snapToGrid w:val="0"/>
              <w:spacing w:line="240" w:lineRule="auto"/>
              <w:ind w:left="0" w:leftChars="0" w:right="0" w:rightChars="0" w:firstLine="0" w:firstLineChars="0"/>
              <w:jc w:val="center"/>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安全服务工具先进性说明</w:t>
            </w:r>
          </w:p>
          <w:p w14:paraId="4621F70A">
            <w:pPr>
              <w:pStyle w:val="128"/>
              <w:keepNext/>
              <w:keepLines w:val="0"/>
              <w:pageBreakBefore w:val="0"/>
              <w:widowControl w:val="0"/>
              <w:kinsoku/>
              <w:wordWrap/>
              <w:overflowPunct/>
              <w:topLinePunct/>
              <w:autoSpaceDE/>
              <w:autoSpaceDN/>
              <w:bidi w:val="0"/>
              <w:adjustRightInd/>
              <w:snapToGrid w:val="0"/>
              <w:spacing w:line="240" w:lineRule="auto"/>
              <w:ind w:left="0" w:leftChars="0" w:right="0" w:rightChars="0" w:firstLine="0" w:firstLineChars="0"/>
              <w:jc w:val="center"/>
              <w:textAlignment w:val="auto"/>
              <w:outlineLvl w:val="9"/>
              <w:rPr>
                <w:rFonts w:hint="eastAsia" w:ascii="宋体" w:hAnsi="宋体" w:eastAsia="宋体" w:cs="宋体"/>
                <w:color w:val="auto"/>
                <w:sz w:val="24"/>
                <w:szCs w:val="24"/>
                <w:highlight w:val="none"/>
                <w:lang w:val="en-US" w:eastAsia="zh-CN"/>
              </w:rPr>
            </w:pPr>
          </w:p>
        </w:tc>
        <w:tc>
          <w:tcPr>
            <w:tcW w:w="6757" w:type="dxa"/>
            <w:vAlign w:val="center"/>
          </w:tcPr>
          <w:p w14:paraId="40F99EF5">
            <w:pPr>
              <w:pStyle w:val="18"/>
              <w:keepNext/>
              <w:keepLines w:val="0"/>
              <w:pageBreakBefore w:val="0"/>
              <w:widowControl w:val="0"/>
              <w:kinsoku/>
              <w:wordWrap/>
              <w:overflowPunct/>
              <w:topLinePunct/>
              <w:autoSpaceDE/>
              <w:autoSpaceDN/>
              <w:bidi w:val="0"/>
              <w:adjustRightInd/>
              <w:snapToGrid w:val="0"/>
              <w:spacing w:after="0" w:line="240" w:lineRule="auto"/>
              <w:ind w:left="0" w:leftChars="0" w:right="0" w:rightChars="0" w:firstLine="0" w:firstLineChars="0"/>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供应商需针对本项目提供服务工具</w:t>
            </w:r>
          </w:p>
          <w:p w14:paraId="326223B4">
            <w:pPr>
              <w:pStyle w:val="18"/>
              <w:keepNext/>
              <w:keepLines w:val="0"/>
              <w:pageBreakBefore w:val="0"/>
              <w:widowControl w:val="0"/>
              <w:kinsoku/>
              <w:wordWrap/>
              <w:overflowPunct/>
              <w:topLinePunct/>
              <w:autoSpaceDE/>
              <w:autoSpaceDN/>
              <w:bidi w:val="0"/>
              <w:adjustRightInd/>
              <w:snapToGrid w:val="0"/>
              <w:spacing w:after="0" w:line="240" w:lineRule="auto"/>
              <w:ind w:left="0" w:leftChars="0" w:right="0" w:rightChars="0" w:firstLine="0" w:firstLineChars="0"/>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必备工具（4分）：具备①恶意代码检测与清除功能、②源代码安全检测功能、③数据安全与访问控制检测功能、④软件测试管理功能。每具备1项功能得1分，此项满分4分；</w:t>
            </w:r>
          </w:p>
          <w:p w14:paraId="5DC2D055">
            <w:pPr>
              <w:pStyle w:val="18"/>
              <w:keepNext/>
              <w:keepLines w:val="0"/>
              <w:pageBreakBefore w:val="0"/>
              <w:widowControl w:val="0"/>
              <w:kinsoku/>
              <w:wordWrap/>
              <w:overflowPunct/>
              <w:topLinePunct/>
              <w:autoSpaceDE/>
              <w:autoSpaceDN/>
              <w:bidi w:val="0"/>
              <w:adjustRightInd/>
              <w:snapToGrid w:val="0"/>
              <w:spacing w:after="0" w:line="240" w:lineRule="auto"/>
              <w:ind w:left="0" w:leftChars="0" w:right="0" w:rightChars="0" w:firstLine="0" w:firstLineChars="0"/>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补充工具（6分）：具备①测试流程管理、②性能测试、③云环境/容器环境安全检测、④API接口分析与测试、⑤软件兼容性测试等功能。以上功能中任选3项具备，每项得2分；满分6分。</w:t>
            </w:r>
          </w:p>
          <w:p w14:paraId="31C93BA8">
            <w:pPr>
              <w:pStyle w:val="18"/>
              <w:keepNext/>
              <w:keepLines w:val="0"/>
              <w:pageBreakBefore w:val="0"/>
              <w:widowControl w:val="0"/>
              <w:kinsoku/>
              <w:wordWrap/>
              <w:overflowPunct/>
              <w:topLinePunct/>
              <w:autoSpaceDE/>
              <w:autoSpaceDN/>
              <w:bidi w:val="0"/>
              <w:adjustRightInd/>
              <w:snapToGrid w:val="0"/>
              <w:spacing w:after="0" w:line="240" w:lineRule="auto"/>
              <w:ind w:left="0" w:leftChars="0" w:right="0" w:rightChars="0" w:firstLine="0" w:firstLineChars="0"/>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注: 提供对应工具的功能界面截图、软件著作权登记证书或购买合同/服务租赁协议等任意一种证明材料，证明其具备上述功能即可。</w:t>
            </w:r>
          </w:p>
        </w:tc>
        <w:tc>
          <w:tcPr>
            <w:tcW w:w="679" w:type="dxa"/>
            <w:vAlign w:val="center"/>
          </w:tcPr>
          <w:p w14:paraId="7F376CCD">
            <w:pPr>
              <w:keepNext w:val="0"/>
              <w:keepLines w:val="0"/>
              <w:widowControl/>
              <w:suppressLineNumbers w:val="0"/>
              <w:jc w:val="center"/>
              <w:textAlignment w:val="center"/>
              <w:rPr>
                <w:rFonts w:hint="default" w:ascii="宋体" w:hAnsi="宋体" w:eastAsia="宋体" w:cs="宋体"/>
                <w:color w:val="auto"/>
                <w:sz w:val="24"/>
                <w:szCs w:val="24"/>
                <w:highlight w:val="none"/>
                <w:lang w:val="en-US" w:eastAsia="zh-CN"/>
              </w:rPr>
            </w:pPr>
            <w:r>
              <w:rPr>
                <w:rFonts w:hint="eastAsia" w:ascii="宋体" w:hAnsi="宋体" w:cs="宋体"/>
                <w:i w:val="0"/>
                <w:iCs w:val="0"/>
                <w:color w:val="auto"/>
                <w:kern w:val="0"/>
                <w:sz w:val="22"/>
                <w:szCs w:val="22"/>
                <w:highlight w:val="none"/>
                <w:u w:val="none"/>
                <w:lang w:val="en-US" w:eastAsia="zh-CN" w:bidi="ar"/>
              </w:rPr>
              <w:t>10</w:t>
            </w:r>
          </w:p>
        </w:tc>
      </w:tr>
      <w:tr w14:paraId="4FB46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16" w:type="dxa"/>
            <w:vMerge w:val="continue"/>
            <w:vAlign w:val="center"/>
          </w:tcPr>
          <w:p w14:paraId="000224BD">
            <w:pPr>
              <w:pStyle w:val="122"/>
              <w:keepNext/>
              <w:snapToGrid w:val="0"/>
              <w:spacing w:line="276" w:lineRule="auto"/>
              <w:ind w:firstLine="24"/>
              <w:jc w:val="center"/>
              <w:rPr>
                <w:rFonts w:hint="eastAsia" w:ascii="宋体" w:hAnsi="宋体" w:eastAsia="宋体" w:cs="宋体"/>
                <w:color w:val="auto"/>
                <w:sz w:val="24"/>
                <w:szCs w:val="24"/>
                <w:highlight w:val="none"/>
              </w:rPr>
            </w:pPr>
          </w:p>
        </w:tc>
        <w:tc>
          <w:tcPr>
            <w:tcW w:w="1670" w:type="dxa"/>
            <w:vAlign w:val="center"/>
          </w:tcPr>
          <w:p w14:paraId="67FFC2D8">
            <w:pPr>
              <w:pStyle w:val="128"/>
              <w:keepNext/>
              <w:keepLines w:val="0"/>
              <w:pageBreakBefore w:val="0"/>
              <w:widowControl w:val="0"/>
              <w:kinsoku/>
              <w:wordWrap/>
              <w:overflowPunct/>
              <w:topLinePunct/>
              <w:autoSpaceDE/>
              <w:autoSpaceDN/>
              <w:bidi w:val="0"/>
              <w:adjustRightInd/>
              <w:snapToGrid w:val="0"/>
              <w:spacing w:line="240" w:lineRule="auto"/>
              <w:ind w:left="0" w:leftChars="0" w:right="0" w:rightChars="0" w:firstLine="0" w:firstLineChars="0"/>
              <w:jc w:val="center"/>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培训方案</w:t>
            </w:r>
          </w:p>
          <w:p w14:paraId="6A9156FF">
            <w:pPr>
              <w:pStyle w:val="128"/>
              <w:keepNext/>
              <w:keepLines w:val="0"/>
              <w:pageBreakBefore w:val="0"/>
              <w:widowControl w:val="0"/>
              <w:kinsoku/>
              <w:wordWrap/>
              <w:overflowPunct/>
              <w:topLinePunct/>
              <w:autoSpaceDE/>
              <w:autoSpaceDN/>
              <w:bidi w:val="0"/>
              <w:adjustRightInd/>
              <w:snapToGrid w:val="0"/>
              <w:spacing w:line="240" w:lineRule="auto"/>
              <w:ind w:left="0" w:leftChars="0" w:right="0" w:rightChars="0" w:firstLine="0" w:firstLineChars="0"/>
              <w:jc w:val="center"/>
              <w:textAlignment w:val="auto"/>
              <w:outlineLvl w:val="9"/>
              <w:rPr>
                <w:rFonts w:hint="eastAsia" w:ascii="宋体" w:hAnsi="宋体" w:eastAsia="宋体" w:cs="宋体"/>
                <w:color w:val="auto"/>
                <w:sz w:val="24"/>
                <w:szCs w:val="24"/>
                <w:highlight w:val="none"/>
                <w:lang w:val="en-US" w:eastAsia="zh-CN"/>
              </w:rPr>
            </w:pPr>
          </w:p>
        </w:tc>
        <w:tc>
          <w:tcPr>
            <w:tcW w:w="6757" w:type="dxa"/>
            <w:vAlign w:val="center"/>
          </w:tcPr>
          <w:p w14:paraId="299B0D51">
            <w:pPr>
              <w:keepNext/>
              <w:keepLines w:val="0"/>
              <w:pageBreakBefore w:val="0"/>
              <w:widowControl w:val="0"/>
              <w:kinsoku/>
              <w:wordWrap/>
              <w:overflowPunct/>
              <w:topLinePunct/>
              <w:autoSpaceDE/>
              <w:autoSpaceDN/>
              <w:bidi w:val="0"/>
              <w:adjustRightInd/>
              <w:snapToGrid w:val="0"/>
              <w:spacing w:line="240" w:lineRule="auto"/>
              <w:ind w:left="0" w:leftChars="0" w:right="0" w:rightChars="0" w:firstLine="0" w:firstLineChars="0"/>
              <w:jc w:val="left"/>
              <w:textAlignment w:val="auto"/>
              <w:outlineLvl w:val="9"/>
              <w:rPr>
                <w:rFonts w:hint="eastAsia" w:ascii="宋体" w:hAnsi="宋体" w:eastAsia="宋体" w:cs="宋体"/>
                <w:snapToGrid/>
                <w:color w:val="auto"/>
                <w:kern w:val="2"/>
                <w:sz w:val="24"/>
                <w:szCs w:val="24"/>
                <w:highlight w:val="none"/>
                <w:lang w:val="en-US" w:eastAsia="zh-CN" w:bidi="ar-SA"/>
              </w:rPr>
            </w:pPr>
            <w:r>
              <w:rPr>
                <w:rFonts w:hint="eastAsia" w:ascii="宋体" w:hAnsi="宋体" w:eastAsia="宋体" w:cs="宋体"/>
                <w:snapToGrid/>
                <w:color w:val="auto"/>
                <w:kern w:val="2"/>
                <w:sz w:val="24"/>
                <w:szCs w:val="24"/>
                <w:highlight w:val="none"/>
                <w:lang w:val="en-US" w:eastAsia="zh-CN" w:bidi="ar-SA"/>
              </w:rPr>
              <w:t>供应商需针对本项目提供详细的培训方案，内容包括但不限于：①培训形式、②培训计划</w:t>
            </w:r>
            <w:r>
              <w:rPr>
                <w:rFonts w:hint="eastAsia" w:ascii="宋体" w:hAnsi="宋体" w:eastAsia="宋体" w:cs="宋体"/>
                <w:color w:val="auto"/>
                <w:sz w:val="24"/>
                <w:szCs w:val="24"/>
                <w:highlight w:val="none"/>
              </w:rPr>
              <w:t>③</w:t>
            </w:r>
            <w:r>
              <w:rPr>
                <w:rFonts w:hint="eastAsia" w:ascii="宋体" w:hAnsi="宋体" w:eastAsia="宋体" w:cs="宋体"/>
                <w:snapToGrid/>
                <w:color w:val="auto"/>
                <w:kern w:val="2"/>
                <w:sz w:val="24"/>
                <w:szCs w:val="24"/>
                <w:highlight w:val="none"/>
                <w:lang w:val="en-US" w:eastAsia="zh-CN" w:bidi="ar-SA"/>
              </w:rPr>
              <w:t>培训材料</w:t>
            </w:r>
            <w:r>
              <w:rPr>
                <w:rFonts w:hint="eastAsia" w:ascii="宋体" w:hAnsi="宋体" w:cs="宋体"/>
                <w:snapToGrid/>
                <w:color w:val="auto"/>
                <w:kern w:val="2"/>
                <w:sz w:val="24"/>
                <w:szCs w:val="24"/>
                <w:highlight w:val="none"/>
                <w:lang w:val="en-US" w:eastAsia="zh-CN" w:bidi="ar-SA"/>
              </w:rPr>
              <w:t>。</w:t>
            </w:r>
          </w:p>
          <w:p w14:paraId="620EF3B6">
            <w:pPr>
              <w:keepNext/>
              <w:keepLines w:val="0"/>
              <w:pageBreakBefore w:val="0"/>
              <w:widowControl w:val="0"/>
              <w:kinsoku/>
              <w:wordWrap/>
              <w:overflowPunct/>
              <w:topLinePunct/>
              <w:autoSpaceDE/>
              <w:autoSpaceDN/>
              <w:bidi w:val="0"/>
              <w:adjustRightInd/>
              <w:snapToGrid w:val="0"/>
              <w:spacing w:line="240" w:lineRule="auto"/>
              <w:ind w:left="0" w:leftChars="0" w:right="0" w:rightChars="0" w:firstLine="0" w:firstLineChars="0"/>
              <w:jc w:val="left"/>
              <w:textAlignment w:val="auto"/>
              <w:outlineLvl w:val="9"/>
              <w:rPr>
                <w:rFonts w:hint="eastAsia" w:ascii="宋体" w:hAnsi="宋体" w:eastAsia="宋体" w:cs="宋体"/>
                <w:snapToGrid/>
                <w:color w:val="auto"/>
                <w:kern w:val="2"/>
                <w:sz w:val="24"/>
                <w:szCs w:val="24"/>
                <w:highlight w:val="none"/>
                <w:lang w:val="en-US" w:eastAsia="zh-CN" w:bidi="ar-SA"/>
              </w:rPr>
            </w:pPr>
            <w:r>
              <w:rPr>
                <w:rFonts w:hint="eastAsia" w:ascii="宋体" w:hAnsi="宋体" w:eastAsia="宋体" w:cs="宋体"/>
                <w:snapToGrid/>
                <w:color w:val="auto"/>
                <w:kern w:val="2"/>
                <w:sz w:val="24"/>
                <w:szCs w:val="24"/>
                <w:highlight w:val="none"/>
                <w:lang w:val="en-US" w:eastAsia="zh-CN" w:bidi="ar-SA"/>
              </w:rPr>
              <w:t>以上3项内容均包含，方案内容详细，有完整合理的部署规划，完全满足或优于项目要求的得</w:t>
            </w:r>
            <w:r>
              <w:rPr>
                <w:rFonts w:hint="eastAsia" w:ascii="宋体" w:hAnsi="宋体" w:cs="宋体"/>
                <w:snapToGrid/>
                <w:color w:val="auto"/>
                <w:kern w:val="2"/>
                <w:sz w:val="24"/>
                <w:szCs w:val="24"/>
                <w:highlight w:val="none"/>
                <w:lang w:val="en-US" w:eastAsia="zh-CN" w:bidi="ar-SA"/>
              </w:rPr>
              <w:t>9</w:t>
            </w:r>
            <w:r>
              <w:rPr>
                <w:rFonts w:hint="eastAsia" w:ascii="宋体" w:hAnsi="宋体" w:eastAsia="宋体" w:cs="宋体"/>
                <w:snapToGrid/>
                <w:color w:val="auto"/>
                <w:kern w:val="2"/>
                <w:sz w:val="24"/>
                <w:szCs w:val="24"/>
                <w:highlight w:val="none"/>
                <w:lang w:val="en-US" w:eastAsia="zh-CN" w:bidi="ar-SA"/>
              </w:rPr>
              <w:t>分。每有一项内容缺失扣1</w:t>
            </w:r>
            <w:r>
              <w:rPr>
                <w:rFonts w:hint="eastAsia" w:ascii="宋体" w:hAnsi="宋体" w:cs="宋体"/>
                <w:snapToGrid/>
                <w:color w:val="auto"/>
                <w:kern w:val="2"/>
                <w:sz w:val="24"/>
                <w:szCs w:val="24"/>
                <w:highlight w:val="none"/>
                <w:lang w:val="en-US" w:eastAsia="zh-CN" w:bidi="ar-SA"/>
              </w:rPr>
              <w:t>.5</w:t>
            </w:r>
            <w:r>
              <w:rPr>
                <w:rFonts w:hint="eastAsia" w:ascii="宋体" w:hAnsi="宋体" w:eastAsia="宋体" w:cs="宋体"/>
                <w:snapToGrid/>
                <w:color w:val="auto"/>
                <w:kern w:val="2"/>
                <w:sz w:val="24"/>
                <w:szCs w:val="24"/>
                <w:highlight w:val="none"/>
                <w:lang w:val="en-US" w:eastAsia="zh-CN" w:bidi="ar-SA"/>
              </w:rPr>
              <w:t>分；提供的方案存在缺陷（缺陷是指：方案不具体、不适用项目实际情况、凭空编造、存在逻辑漏洞、科学原理错误、不可能实现的夸大情形以及涉及的规范、标准与本项目要求不一致等）每项扣0.5分，分数扣完为止。</w:t>
            </w:r>
          </w:p>
        </w:tc>
        <w:tc>
          <w:tcPr>
            <w:tcW w:w="679" w:type="dxa"/>
            <w:vAlign w:val="center"/>
          </w:tcPr>
          <w:p w14:paraId="436FAC20">
            <w:pPr>
              <w:keepNext w:val="0"/>
              <w:keepLines w:val="0"/>
              <w:widowControl/>
              <w:suppressLineNumbers w:val="0"/>
              <w:jc w:val="center"/>
              <w:textAlignment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9</w:t>
            </w:r>
          </w:p>
        </w:tc>
      </w:tr>
      <w:tr w14:paraId="19C12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16" w:type="dxa"/>
            <w:vMerge w:val="continue"/>
            <w:vAlign w:val="center"/>
          </w:tcPr>
          <w:p w14:paraId="1500B770">
            <w:pPr>
              <w:pStyle w:val="122"/>
              <w:keepNext/>
              <w:snapToGrid w:val="0"/>
              <w:spacing w:line="276" w:lineRule="auto"/>
              <w:ind w:firstLine="24"/>
              <w:jc w:val="center"/>
              <w:rPr>
                <w:rFonts w:hint="eastAsia" w:ascii="宋体" w:hAnsi="宋体" w:eastAsia="宋体" w:cs="宋体"/>
                <w:color w:val="auto"/>
                <w:sz w:val="24"/>
                <w:szCs w:val="24"/>
                <w:highlight w:val="none"/>
              </w:rPr>
            </w:pPr>
          </w:p>
        </w:tc>
        <w:tc>
          <w:tcPr>
            <w:tcW w:w="1670" w:type="dxa"/>
            <w:vAlign w:val="center"/>
          </w:tcPr>
          <w:p w14:paraId="0986830F">
            <w:pPr>
              <w:pStyle w:val="128"/>
              <w:keepNext/>
              <w:keepLines w:val="0"/>
              <w:pageBreakBefore w:val="0"/>
              <w:widowControl w:val="0"/>
              <w:kinsoku/>
              <w:wordWrap/>
              <w:overflowPunct/>
              <w:topLinePunct/>
              <w:autoSpaceDE/>
              <w:autoSpaceDN/>
              <w:bidi w:val="0"/>
              <w:adjustRightInd/>
              <w:snapToGrid w:val="0"/>
              <w:spacing w:line="240" w:lineRule="auto"/>
              <w:ind w:left="0" w:leftChars="0" w:right="0" w:rightChars="0" w:firstLine="0" w:firstLineChars="0"/>
              <w:jc w:val="center"/>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应急保</w:t>
            </w:r>
          </w:p>
          <w:p w14:paraId="4A993C36">
            <w:pPr>
              <w:pStyle w:val="128"/>
              <w:keepNext/>
              <w:keepLines w:val="0"/>
              <w:pageBreakBefore w:val="0"/>
              <w:widowControl w:val="0"/>
              <w:kinsoku/>
              <w:wordWrap/>
              <w:overflowPunct/>
              <w:topLinePunct/>
              <w:autoSpaceDE/>
              <w:autoSpaceDN/>
              <w:bidi w:val="0"/>
              <w:adjustRightInd/>
              <w:snapToGrid w:val="0"/>
              <w:spacing w:line="240" w:lineRule="auto"/>
              <w:ind w:left="0" w:leftChars="0" w:right="0" w:rightChars="0" w:firstLine="0" w:firstLineChars="0"/>
              <w:jc w:val="center"/>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障方案</w:t>
            </w:r>
          </w:p>
          <w:p w14:paraId="04BB2347">
            <w:pPr>
              <w:pStyle w:val="128"/>
              <w:keepNext/>
              <w:keepLines w:val="0"/>
              <w:pageBreakBefore w:val="0"/>
              <w:widowControl w:val="0"/>
              <w:kinsoku/>
              <w:wordWrap/>
              <w:overflowPunct/>
              <w:topLinePunct/>
              <w:autoSpaceDE/>
              <w:autoSpaceDN/>
              <w:bidi w:val="0"/>
              <w:adjustRightInd/>
              <w:snapToGrid w:val="0"/>
              <w:spacing w:line="240" w:lineRule="auto"/>
              <w:ind w:left="0" w:leftChars="0" w:right="0" w:rightChars="0" w:firstLine="0" w:firstLineChars="0"/>
              <w:jc w:val="center"/>
              <w:textAlignment w:val="auto"/>
              <w:outlineLvl w:val="9"/>
              <w:rPr>
                <w:rFonts w:hint="eastAsia" w:ascii="宋体" w:hAnsi="宋体" w:eastAsia="宋体" w:cs="宋体"/>
                <w:color w:val="auto"/>
                <w:sz w:val="24"/>
                <w:szCs w:val="24"/>
                <w:highlight w:val="none"/>
                <w:lang w:val="en-US" w:eastAsia="zh-CN"/>
              </w:rPr>
            </w:pPr>
          </w:p>
        </w:tc>
        <w:tc>
          <w:tcPr>
            <w:tcW w:w="6757" w:type="dxa"/>
            <w:vAlign w:val="center"/>
          </w:tcPr>
          <w:p w14:paraId="350CC64D">
            <w:pPr>
              <w:pStyle w:val="128"/>
              <w:keepNext/>
              <w:keepLines w:val="0"/>
              <w:pageBreakBefore w:val="0"/>
              <w:widowControl w:val="0"/>
              <w:kinsoku/>
              <w:wordWrap/>
              <w:overflowPunct/>
              <w:topLinePunct/>
              <w:autoSpaceDE/>
              <w:autoSpaceDN/>
              <w:bidi w:val="0"/>
              <w:adjustRightInd/>
              <w:snapToGrid w:val="0"/>
              <w:spacing w:line="240" w:lineRule="auto"/>
              <w:ind w:left="0" w:leftChars="0" w:right="0" w:rightChars="0" w:firstLine="0" w:firstLineChars="0"/>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供应商需针对本项目提供详细的应急保障方案，内容包括但不限于：①团队名单、</w:t>
            </w:r>
            <w:r>
              <w:rPr>
                <w:rFonts w:hint="eastAsia" w:ascii="宋体" w:hAnsi="宋体" w:eastAsia="宋体" w:cs="宋体"/>
                <w:snapToGrid/>
                <w:color w:val="auto"/>
                <w:kern w:val="2"/>
                <w:sz w:val="24"/>
                <w:szCs w:val="24"/>
                <w:highlight w:val="none"/>
                <w:lang w:val="en-US" w:eastAsia="zh-CN" w:bidi="ar-SA"/>
              </w:rPr>
              <w:t>②</w:t>
            </w:r>
            <w:r>
              <w:rPr>
                <w:rFonts w:hint="eastAsia" w:ascii="宋体" w:hAnsi="宋体" w:eastAsia="宋体" w:cs="宋体"/>
                <w:color w:val="auto"/>
                <w:sz w:val="24"/>
                <w:szCs w:val="24"/>
                <w:highlight w:val="none"/>
              </w:rPr>
              <w:t>保障工具、③应急行动和措施保障</w:t>
            </w:r>
          </w:p>
          <w:p w14:paraId="5E813C65">
            <w:pPr>
              <w:pStyle w:val="128"/>
              <w:keepNext/>
              <w:keepLines w:val="0"/>
              <w:pageBreakBefore w:val="0"/>
              <w:widowControl w:val="0"/>
              <w:kinsoku/>
              <w:wordWrap/>
              <w:overflowPunct/>
              <w:topLinePunct/>
              <w:autoSpaceDE/>
              <w:autoSpaceDN/>
              <w:bidi w:val="0"/>
              <w:adjustRightInd/>
              <w:snapToGrid w:val="0"/>
              <w:spacing w:line="240" w:lineRule="auto"/>
              <w:ind w:left="0" w:leftChars="0" w:right="0" w:rightChars="0" w:firstLine="0" w:firstLineChars="0"/>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以上</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项内容均包含，方案内容详细，有完整合理的部署规划，完全满足或优于项目要求的得</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分。每有一项内容缺失扣</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分；提供的方案存在缺陷（缺陷是指：方案不具体、不适用项目实际情况、凭空编造、存在逻辑漏洞、科学原理错误、不可能实现的夸大情形以及涉及的规范、标准与本项目要求不一致等）每项扣0.5分，分数扣完为止</w:t>
            </w:r>
            <w:r>
              <w:rPr>
                <w:rFonts w:hint="eastAsia" w:ascii="宋体" w:hAnsi="宋体" w:cs="宋体"/>
                <w:color w:val="auto"/>
                <w:sz w:val="24"/>
                <w:szCs w:val="24"/>
                <w:highlight w:val="none"/>
                <w:lang w:val="en-US" w:eastAsia="zh-CN"/>
              </w:rPr>
              <w:t>。</w:t>
            </w:r>
          </w:p>
        </w:tc>
        <w:tc>
          <w:tcPr>
            <w:tcW w:w="679" w:type="dxa"/>
            <w:vAlign w:val="center"/>
          </w:tcPr>
          <w:p w14:paraId="33E254F8">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rPr>
            </w:pPr>
            <w:r>
              <w:rPr>
                <w:rFonts w:hint="eastAsia" w:ascii="宋体" w:hAnsi="宋体" w:cs="宋体"/>
                <w:i w:val="0"/>
                <w:iCs w:val="0"/>
                <w:color w:val="auto"/>
                <w:kern w:val="0"/>
                <w:sz w:val="22"/>
                <w:szCs w:val="22"/>
                <w:highlight w:val="none"/>
                <w:u w:val="none"/>
                <w:lang w:val="en-US" w:eastAsia="zh-CN" w:bidi="ar"/>
              </w:rPr>
              <w:t>6</w:t>
            </w:r>
          </w:p>
        </w:tc>
      </w:tr>
      <w:tr w14:paraId="153B4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9" w:hRule="atLeast"/>
        </w:trPr>
        <w:tc>
          <w:tcPr>
            <w:tcW w:w="1016" w:type="dxa"/>
            <w:vMerge w:val="continue"/>
            <w:vAlign w:val="center"/>
          </w:tcPr>
          <w:p w14:paraId="1AB01FE1">
            <w:pPr>
              <w:pStyle w:val="122"/>
              <w:keepNext/>
              <w:snapToGrid w:val="0"/>
              <w:spacing w:line="276" w:lineRule="auto"/>
              <w:ind w:firstLine="24"/>
              <w:jc w:val="center"/>
              <w:rPr>
                <w:rFonts w:hint="eastAsia" w:ascii="宋体" w:hAnsi="宋体" w:eastAsia="宋体" w:cs="宋体"/>
                <w:color w:val="auto"/>
                <w:sz w:val="24"/>
                <w:szCs w:val="24"/>
                <w:highlight w:val="none"/>
              </w:rPr>
            </w:pPr>
          </w:p>
        </w:tc>
        <w:tc>
          <w:tcPr>
            <w:tcW w:w="1670" w:type="dxa"/>
            <w:vAlign w:val="center"/>
          </w:tcPr>
          <w:p w14:paraId="319C530C">
            <w:pPr>
              <w:pStyle w:val="128"/>
              <w:keepNext/>
              <w:keepLines w:val="0"/>
              <w:pageBreakBefore w:val="0"/>
              <w:widowControl w:val="0"/>
              <w:kinsoku/>
              <w:wordWrap/>
              <w:overflowPunct/>
              <w:topLinePunct/>
              <w:autoSpaceDE/>
              <w:autoSpaceDN/>
              <w:bidi w:val="0"/>
              <w:adjustRightInd/>
              <w:snapToGrid w:val="0"/>
              <w:spacing w:line="240" w:lineRule="auto"/>
              <w:ind w:left="0" w:leftChars="0" w:right="0" w:rightChars="0" w:firstLine="0" w:firstLineChars="0"/>
              <w:jc w:val="center"/>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售后服务承诺</w:t>
            </w:r>
          </w:p>
        </w:tc>
        <w:tc>
          <w:tcPr>
            <w:tcW w:w="6757" w:type="dxa"/>
            <w:vAlign w:val="center"/>
          </w:tcPr>
          <w:p w14:paraId="1F8CD027">
            <w:pPr>
              <w:pStyle w:val="128"/>
              <w:keepNext/>
              <w:keepLines w:val="0"/>
              <w:pageBreakBefore w:val="0"/>
              <w:widowControl w:val="0"/>
              <w:kinsoku/>
              <w:wordWrap/>
              <w:overflowPunct/>
              <w:topLinePunct/>
              <w:autoSpaceDE/>
              <w:autoSpaceDN/>
              <w:bidi w:val="0"/>
              <w:adjustRightInd/>
              <w:snapToGrid w:val="0"/>
              <w:spacing w:line="240" w:lineRule="auto"/>
              <w:ind w:left="0" w:leftChars="0" w:right="0" w:rightChars="0" w:firstLine="0" w:firstLineChars="0"/>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自合同签订之日起一年内：</w:t>
            </w:r>
          </w:p>
          <w:p w14:paraId="2B454C1B">
            <w:pPr>
              <w:pStyle w:val="128"/>
              <w:keepNext/>
              <w:keepLines w:val="0"/>
              <w:pageBreakBefore w:val="0"/>
              <w:widowControl w:val="0"/>
              <w:kinsoku/>
              <w:wordWrap/>
              <w:overflowPunct/>
              <w:topLinePunct/>
              <w:autoSpaceDE/>
              <w:autoSpaceDN/>
              <w:bidi w:val="0"/>
              <w:adjustRightInd/>
              <w:snapToGrid w:val="0"/>
              <w:spacing w:line="240" w:lineRule="auto"/>
              <w:ind w:left="0" w:leftChars="0" w:right="0" w:rightChars="0" w:firstLine="0" w:firstLineChars="0"/>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①供应商需承诺为本项目免费提供合理次数的渗透测试服务（明确每年不少于4</w:t>
            </w:r>
            <w:r>
              <w:rPr>
                <w:rFonts w:hint="default"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t>次</w:t>
            </w:r>
            <w:r>
              <w:rPr>
                <w:rFonts w:hint="eastAsia" w:ascii="宋体" w:hAnsi="宋体" w:cs="宋体"/>
                <w:color w:val="auto"/>
                <w:sz w:val="24"/>
                <w:szCs w:val="24"/>
                <w:highlight w:val="none"/>
                <w:lang w:val="en-US" w:eastAsia="zh-CN"/>
              </w:rPr>
              <w:t>（每月一次）</w:t>
            </w:r>
            <w:r>
              <w:rPr>
                <w:rFonts w:hint="eastAsia" w:ascii="宋体" w:hAnsi="宋体" w:eastAsia="宋体" w:cs="宋体"/>
                <w:color w:val="auto"/>
                <w:sz w:val="24"/>
                <w:szCs w:val="24"/>
                <w:highlight w:val="none"/>
                <w:lang w:val="en-US" w:eastAsia="zh-CN"/>
              </w:rPr>
              <w:t>，可根据采购人实际需求协商增加，单次测试响应时限不超过2个工作日），提供盖章承诺函得</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分。</w:t>
            </w:r>
          </w:p>
          <w:p w14:paraId="05AF8F64">
            <w:pPr>
              <w:pStyle w:val="128"/>
              <w:keepNext/>
              <w:keepLines w:val="0"/>
              <w:pageBreakBefore w:val="0"/>
              <w:widowControl w:val="0"/>
              <w:kinsoku/>
              <w:wordWrap/>
              <w:overflowPunct/>
              <w:topLinePunct/>
              <w:autoSpaceDE/>
              <w:autoSpaceDN/>
              <w:bidi w:val="0"/>
              <w:adjustRightInd/>
              <w:snapToGrid w:val="0"/>
              <w:spacing w:line="240" w:lineRule="auto"/>
              <w:ind w:left="0" w:leftChars="0" w:right="0" w:rightChars="0" w:firstLine="0" w:firstLineChars="0"/>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②向采购人承诺在攻防演练、重大节假日等重点时间段安排专业技术人员驻场服务，配合采购人做好演练和重点保障工作，提供盖章承诺函得1分。</w:t>
            </w:r>
          </w:p>
          <w:p w14:paraId="0029CDFB">
            <w:pPr>
              <w:pStyle w:val="128"/>
              <w:keepNext/>
              <w:keepLines w:val="0"/>
              <w:pageBreakBefore w:val="0"/>
              <w:widowControl w:val="0"/>
              <w:kinsoku/>
              <w:wordWrap/>
              <w:overflowPunct/>
              <w:topLinePunct/>
              <w:autoSpaceDE/>
              <w:autoSpaceDN/>
              <w:bidi w:val="0"/>
              <w:adjustRightInd/>
              <w:snapToGrid w:val="0"/>
              <w:spacing w:line="240" w:lineRule="auto"/>
              <w:ind w:left="0" w:leftChars="0" w:right="0" w:rightChars="0" w:firstLine="0" w:firstLineChars="0"/>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未提供承诺函或提供与内容不相符不得分，承诺函格式自拟。</w:t>
            </w:r>
          </w:p>
        </w:tc>
        <w:tc>
          <w:tcPr>
            <w:tcW w:w="679" w:type="dxa"/>
            <w:vAlign w:val="center"/>
          </w:tcPr>
          <w:p w14:paraId="31670603">
            <w:pPr>
              <w:keepNext w:val="0"/>
              <w:keepLines w:val="0"/>
              <w:widowControl/>
              <w:suppressLineNumbers w:val="0"/>
              <w:jc w:val="center"/>
              <w:textAlignment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p>
        </w:tc>
      </w:tr>
    </w:tbl>
    <w:p w14:paraId="14F29499">
      <w:pPr>
        <w:spacing w:line="276" w:lineRule="auto"/>
        <w:ind w:firstLine="482" w:firstLineChars="200"/>
        <w:rPr>
          <w:rFonts w:hint="eastAsia" w:ascii="宋体" w:hAnsi="宋体" w:cs="宋体"/>
          <w:b/>
          <w:color w:val="auto"/>
          <w:sz w:val="24"/>
          <w:szCs w:val="24"/>
          <w:highlight w:val="none"/>
        </w:rPr>
      </w:pPr>
      <w:r>
        <w:rPr>
          <w:rFonts w:hint="eastAsia" w:ascii="宋体" w:hAnsi="宋体" w:cs="宋体"/>
          <w:b/>
          <w:color w:val="auto"/>
          <w:sz w:val="24"/>
          <w:szCs w:val="24"/>
          <w:highlight w:val="none"/>
        </w:rPr>
        <w:t xml:space="preserve">说明： </w:t>
      </w:r>
    </w:p>
    <w:p w14:paraId="185BC7D5">
      <w:pPr>
        <w:spacing w:line="276" w:lineRule="auto"/>
        <w:ind w:firstLine="482" w:firstLineChars="200"/>
        <w:rPr>
          <w:rFonts w:hint="eastAsia" w:ascii="宋体" w:hAnsi="宋体" w:cs="宋体"/>
          <w:b/>
          <w:color w:val="auto"/>
          <w:sz w:val="24"/>
          <w:szCs w:val="24"/>
          <w:highlight w:val="none"/>
        </w:rPr>
      </w:pPr>
      <w:r>
        <w:rPr>
          <w:rFonts w:hint="eastAsia" w:ascii="宋体" w:hAnsi="宋体" w:cs="宋体"/>
          <w:b/>
          <w:color w:val="auto"/>
          <w:sz w:val="24"/>
          <w:szCs w:val="24"/>
          <w:highlight w:val="none"/>
        </w:rPr>
        <w:t>投标产品为《国家节能产品政府采购品目清单》（最新）中非政府强制采购的产品，提供一项国家正规机构出具的节能产品认证证书或检测报告复印件并加盖公章的评审价格扣除0.5%。</w:t>
      </w:r>
    </w:p>
    <w:p w14:paraId="13851D4E">
      <w:pPr>
        <w:spacing w:line="276" w:lineRule="auto"/>
        <w:ind w:firstLine="482" w:firstLineChars="200"/>
        <w:rPr>
          <w:rFonts w:hint="eastAsia" w:ascii="宋体" w:hAnsi="宋体" w:cs="宋体"/>
          <w:b/>
          <w:color w:val="auto"/>
          <w:sz w:val="24"/>
          <w:szCs w:val="24"/>
          <w:highlight w:val="none"/>
        </w:rPr>
      </w:pPr>
      <w:r>
        <w:rPr>
          <w:rFonts w:hint="eastAsia" w:ascii="宋体" w:hAnsi="宋体" w:cs="宋体"/>
          <w:b/>
          <w:color w:val="auto"/>
          <w:sz w:val="24"/>
          <w:szCs w:val="24"/>
          <w:highlight w:val="none"/>
        </w:rPr>
        <w:t>投标产品为《国家环保产品政府采购品目清单》（最新）中的产品，提供一项国家正规机构出具的环保产品认证证书或检测报告复印件并加盖公章的评审价格扣除0.5%。</w:t>
      </w:r>
    </w:p>
    <w:p w14:paraId="585F22B5">
      <w:pPr>
        <w:spacing w:line="276" w:lineRule="auto"/>
        <w:ind w:left="480" w:hanging="480" w:hangingChars="200"/>
        <w:rPr>
          <w:rFonts w:hint="eastAsia" w:ascii="宋体" w:hAnsi="宋体" w:cs="宋体"/>
          <w:color w:val="auto"/>
          <w:sz w:val="24"/>
          <w:szCs w:val="24"/>
          <w:highlight w:val="none"/>
          <w:shd w:val="clear" w:color="auto" w:fill="FFFFFF"/>
        </w:rPr>
      </w:pPr>
      <w:bookmarkStart w:id="40" w:name="_Toc267301288"/>
      <w:r>
        <w:rPr>
          <w:rFonts w:hint="eastAsia" w:ascii="宋体" w:hAnsi="宋体" w:cs="宋体"/>
          <w:bCs/>
          <w:color w:val="auto"/>
          <w:sz w:val="24"/>
          <w:highlight w:val="none"/>
        </w:rPr>
        <w:t>26.4磋商小组应当根据综合评分情况，按照评审得分由高到低顺序推荐3名成交候选供应商。评审得分相同的，按照最后报价由低到高的顺序推荐。评审得分且最后报价相同的，按照技术指标优劣顺序推荐。</w:t>
      </w:r>
    </w:p>
    <w:p w14:paraId="12B6F2AA">
      <w:pPr>
        <w:spacing w:line="276" w:lineRule="auto"/>
        <w:ind w:left="480" w:hanging="480" w:hangingChars="200"/>
        <w:rPr>
          <w:rFonts w:hint="eastAsia" w:ascii="宋体" w:hAnsi="宋体" w:cs="宋体"/>
          <w:bCs/>
          <w:color w:val="auto"/>
          <w:sz w:val="24"/>
          <w:highlight w:val="none"/>
        </w:rPr>
      </w:pPr>
      <w:r>
        <w:rPr>
          <w:rFonts w:hint="eastAsia" w:ascii="宋体" w:hAnsi="宋体" w:cs="宋体"/>
          <w:bCs/>
          <w:color w:val="auto"/>
          <w:sz w:val="24"/>
          <w:highlight w:val="none"/>
        </w:rPr>
        <w:t>26.5采购人根据磋商小组推荐的成交候选供应商名单，根据相关法律法规的规定确定最终成交方。如果排名第一的成交候选供应商的实际情况与其磋商资料不相符，将取消其成交资格，由排名第二的成交候选供应商递补，以此类推。</w:t>
      </w:r>
    </w:p>
    <w:p w14:paraId="6F9895FB">
      <w:pPr>
        <w:spacing w:line="276" w:lineRule="auto"/>
        <w:rPr>
          <w:rFonts w:hint="eastAsia" w:ascii="宋体" w:hAnsi="宋体" w:cs="宋体"/>
          <w:color w:val="auto"/>
          <w:sz w:val="24"/>
          <w:highlight w:val="none"/>
        </w:rPr>
      </w:pPr>
      <w:r>
        <w:rPr>
          <w:rFonts w:hint="eastAsia" w:ascii="宋体" w:hAnsi="宋体" w:cs="宋体"/>
          <w:color w:val="auto"/>
          <w:sz w:val="24"/>
          <w:highlight w:val="none"/>
        </w:rPr>
        <w:t>27．磋商过程的保密性</w:t>
      </w:r>
    </w:p>
    <w:p w14:paraId="10897CF8">
      <w:pPr>
        <w:spacing w:line="276" w:lineRule="auto"/>
        <w:ind w:left="552" w:hanging="552" w:hangingChars="230"/>
        <w:rPr>
          <w:rFonts w:hint="eastAsia" w:ascii="宋体" w:hAnsi="宋体" w:cs="宋体"/>
          <w:color w:val="auto"/>
          <w:sz w:val="24"/>
          <w:highlight w:val="none"/>
        </w:rPr>
      </w:pPr>
      <w:r>
        <w:rPr>
          <w:rFonts w:hint="eastAsia" w:ascii="宋体" w:hAnsi="宋体" w:cs="宋体"/>
          <w:color w:val="auto"/>
          <w:sz w:val="24"/>
          <w:highlight w:val="none"/>
        </w:rPr>
        <w:t>27.1 磋商后，直到授予合同为止，凡是属于审查、澄清、评价和比较的有关资料以及授予成交方的建议等磋商小组成员或参与磋商的有关工作人员均不得向供应商或其他无关的人员透露，违者给予警告、取消担任磋商小组成员的资格，不得再参加任何项目的磋商。</w:t>
      </w:r>
    </w:p>
    <w:p w14:paraId="73E755BB">
      <w:pPr>
        <w:spacing w:line="276" w:lineRule="auto"/>
        <w:ind w:left="552" w:hanging="552" w:hangingChars="230"/>
        <w:rPr>
          <w:rFonts w:hint="eastAsia" w:ascii="宋体" w:hAnsi="宋体" w:cs="宋体"/>
          <w:color w:val="auto"/>
          <w:sz w:val="24"/>
          <w:highlight w:val="none"/>
        </w:rPr>
      </w:pPr>
      <w:r>
        <w:rPr>
          <w:rFonts w:hint="eastAsia" w:ascii="宋体" w:hAnsi="宋体" w:cs="宋体"/>
          <w:color w:val="auto"/>
          <w:sz w:val="24"/>
          <w:highlight w:val="none"/>
        </w:rPr>
        <w:t>27.2 供应商在磋商过程中，所进行的力图影响磋商结果的，不符合《政府采购法》及本次磋商中有关规定的活动，将被取消其磋商资格。</w:t>
      </w:r>
    </w:p>
    <w:p w14:paraId="5C17D7CD">
      <w:pPr>
        <w:spacing w:line="276" w:lineRule="auto"/>
        <w:ind w:left="552" w:hanging="552" w:hangingChars="230"/>
        <w:rPr>
          <w:rFonts w:hint="eastAsia" w:ascii="宋体" w:hAnsi="宋体" w:cs="宋体"/>
          <w:color w:val="auto"/>
          <w:sz w:val="24"/>
          <w:highlight w:val="none"/>
        </w:rPr>
      </w:pPr>
    </w:p>
    <w:p w14:paraId="742D29B5">
      <w:pPr>
        <w:pStyle w:val="4"/>
        <w:spacing w:before="100" w:beforeAutospacing="1" w:after="100" w:afterAutospacing="1" w:line="276" w:lineRule="auto"/>
        <w:jc w:val="center"/>
        <w:rPr>
          <w:rFonts w:hint="eastAsia" w:ascii="宋体" w:hAnsi="宋体" w:eastAsia="宋体" w:cs="宋体"/>
          <w:color w:val="auto"/>
          <w:sz w:val="28"/>
          <w:szCs w:val="28"/>
          <w:highlight w:val="none"/>
        </w:rPr>
      </w:pPr>
      <w:bookmarkStart w:id="41" w:name="_Toc298240410"/>
      <w:bookmarkStart w:id="42" w:name="_Toc83726736"/>
      <w:bookmarkStart w:id="43" w:name="_Toc267301287"/>
      <w:bookmarkStart w:id="44" w:name="_Toc349573126"/>
      <w:bookmarkStart w:id="45" w:name="_Toc471489758"/>
      <w:bookmarkStart w:id="46" w:name="_Toc349637925"/>
      <w:r>
        <w:rPr>
          <w:rFonts w:hint="eastAsia" w:ascii="宋体" w:hAnsi="宋体" w:eastAsia="宋体" w:cs="宋体"/>
          <w:color w:val="auto"/>
          <w:sz w:val="28"/>
          <w:szCs w:val="28"/>
          <w:highlight w:val="none"/>
        </w:rPr>
        <w:t>F  授予合同</w:t>
      </w:r>
      <w:bookmarkEnd w:id="41"/>
      <w:bookmarkEnd w:id="42"/>
      <w:bookmarkEnd w:id="43"/>
      <w:bookmarkEnd w:id="44"/>
      <w:bookmarkEnd w:id="45"/>
      <w:bookmarkEnd w:id="46"/>
    </w:p>
    <w:p w14:paraId="1A487B13">
      <w:pPr>
        <w:spacing w:line="276" w:lineRule="auto"/>
        <w:rPr>
          <w:rFonts w:hint="eastAsia" w:ascii="宋体" w:hAnsi="宋体" w:cs="宋体"/>
          <w:color w:val="auto"/>
          <w:sz w:val="24"/>
          <w:highlight w:val="none"/>
        </w:rPr>
      </w:pPr>
      <w:r>
        <w:rPr>
          <w:rFonts w:hint="eastAsia" w:ascii="宋体" w:hAnsi="宋体" w:cs="宋体"/>
          <w:color w:val="auto"/>
          <w:sz w:val="24"/>
          <w:highlight w:val="none"/>
        </w:rPr>
        <w:t>28．合同授予标准</w:t>
      </w:r>
    </w:p>
    <w:p w14:paraId="33ED9780">
      <w:pPr>
        <w:spacing w:line="276" w:lineRule="auto"/>
        <w:ind w:left="600" w:hanging="600" w:hangingChars="250"/>
        <w:rPr>
          <w:rFonts w:hint="eastAsia" w:ascii="宋体" w:hAnsi="宋体" w:cs="宋体"/>
          <w:color w:val="auto"/>
          <w:sz w:val="24"/>
          <w:highlight w:val="none"/>
        </w:rPr>
      </w:pPr>
      <w:r>
        <w:rPr>
          <w:rFonts w:hint="eastAsia" w:ascii="宋体" w:hAnsi="宋体" w:cs="宋体"/>
          <w:color w:val="auto"/>
          <w:sz w:val="24"/>
          <w:highlight w:val="none"/>
        </w:rPr>
        <w:t>28.1</w:t>
      </w:r>
      <w:r>
        <w:rPr>
          <w:rFonts w:hint="eastAsia" w:ascii="宋体" w:hAnsi="宋体" w:cs="宋体"/>
          <w:bCs/>
          <w:color w:val="auto"/>
          <w:sz w:val="24"/>
          <w:highlight w:val="none"/>
        </w:rPr>
        <w:t>合同将授予被确定为实质上响应磋商文件要求，符合采购需求、质量和服务相等且报价最低的供应商</w:t>
      </w:r>
      <w:r>
        <w:rPr>
          <w:rFonts w:hint="eastAsia" w:ascii="宋体" w:hAnsi="宋体" w:cs="宋体"/>
          <w:color w:val="auto"/>
          <w:sz w:val="24"/>
          <w:highlight w:val="none"/>
        </w:rPr>
        <w:t>。</w:t>
      </w:r>
    </w:p>
    <w:p w14:paraId="3CB51BF6">
      <w:pPr>
        <w:spacing w:line="276" w:lineRule="auto"/>
        <w:rPr>
          <w:rFonts w:hint="eastAsia" w:ascii="宋体" w:hAnsi="宋体" w:cs="宋体"/>
          <w:color w:val="auto"/>
          <w:sz w:val="24"/>
          <w:highlight w:val="none"/>
        </w:rPr>
      </w:pPr>
      <w:r>
        <w:rPr>
          <w:rFonts w:hint="eastAsia" w:ascii="宋体" w:hAnsi="宋体" w:cs="宋体"/>
          <w:color w:val="auto"/>
          <w:sz w:val="24"/>
          <w:highlight w:val="none"/>
        </w:rPr>
        <w:t>28.2 最低报价不一定是被授予合同的保证。</w:t>
      </w:r>
    </w:p>
    <w:p w14:paraId="1183BFCB">
      <w:pPr>
        <w:spacing w:line="276" w:lineRule="auto"/>
        <w:ind w:left="600" w:hanging="600" w:hangingChars="250"/>
        <w:rPr>
          <w:rFonts w:hint="eastAsia" w:ascii="宋体" w:hAnsi="宋体" w:cs="宋体"/>
          <w:color w:val="auto"/>
          <w:sz w:val="24"/>
          <w:highlight w:val="none"/>
        </w:rPr>
      </w:pPr>
      <w:r>
        <w:rPr>
          <w:rFonts w:hint="eastAsia" w:ascii="宋体" w:hAnsi="宋体" w:cs="宋体"/>
          <w:color w:val="auto"/>
          <w:sz w:val="24"/>
          <w:highlight w:val="none"/>
        </w:rPr>
        <w:t>28.3排名第一的成交候选人放弃成交、因不可抗力不能履行合同、不按照磋商文件要求提交履约保证金，或者被查实存在影响成交结果的违法行为等情形，不符合成交条件的，采购人可以按照评标委员会提出的成交候选人名单排序依次确定其他成交候选人为成交供应商，也可以重新采购。</w:t>
      </w:r>
    </w:p>
    <w:p w14:paraId="28C0F507">
      <w:pPr>
        <w:spacing w:line="276" w:lineRule="auto"/>
        <w:rPr>
          <w:rFonts w:hint="eastAsia" w:ascii="宋体" w:hAnsi="宋体" w:cs="宋体"/>
          <w:color w:val="auto"/>
          <w:sz w:val="24"/>
          <w:highlight w:val="none"/>
        </w:rPr>
      </w:pPr>
      <w:r>
        <w:rPr>
          <w:rFonts w:hint="eastAsia" w:ascii="宋体" w:hAnsi="宋体" w:cs="宋体"/>
          <w:color w:val="auto"/>
          <w:sz w:val="24"/>
          <w:highlight w:val="none"/>
        </w:rPr>
        <w:t>29．接受和拒绝任何或所有磋商的权力</w:t>
      </w:r>
    </w:p>
    <w:p w14:paraId="17800C4A">
      <w:pPr>
        <w:spacing w:line="276" w:lineRule="auto"/>
        <w:ind w:left="600" w:hanging="600" w:hangingChars="250"/>
        <w:rPr>
          <w:rFonts w:hint="eastAsia" w:ascii="宋体" w:hAnsi="宋体" w:cs="宋体"/>
          <w:color w:val="auto"/>
          <w:sz w:val="24"/>
          <w:highlight w:val="none"/>
        </w:rPr>
      </w:pPr>
      <w:r>
        <w:rPr>
          <w:rFonts w:hint="eastAsia" w:ascii="宋体" w:hAnsi="宋体" w:cs="宋体"/>
          <w:color w:val="auto"/>
          <w:sz w:val="24"/>
          <w:highlight w:val="none"/>
        </w:rPr>
        <w:t>29.1为维护国家利益，买方在授予合同之前仍有选择或拒绝任何全部磋商的权力，并对所采取的行为不作任何解释。</w:t>
      </w:r>
    </w:p>
    <w:p w14:paraId="0478E5C6">
      <w:pPr>
        <w:spacing w:line="276" w:lineRule="auto"/>
        <w:rPr>
          <w:rFonts w:hint="eastAsia" w:ascii="宋体" w:hAnsi="宋体" w:cs="宋体"/>
          <w:color w:val="auto"/>
          <w:sz w:val="24"/>
          <w:highlight w:val="none"/>
        </w:rPr>
      </w:pPr>
      <w:r>
        <w:rPr>
          <w:rFonts w:hint="eastAsia" w:ascii="宋体" w:hAnsi="宋体" w:cs="宋体"/>
          <w:color w:val="auto"/>
          <w:sz w:val="24"/>
          <w:highlight w:val="none"/>
        </w:rPr>
        <w:t>30．成交通知书</w:t>
      </w:r>
    </w:p>
    <w:p w14:paraId="695C927D">
      <w:pPr>
        <w:spacing w:line="276" w:lineRule="auto"/>
        <w:ind w:left="552" w:hanging="552" w:hangingChars="230"/>
        <w:rPr>
          <w:rFonts w:hint="eastAsia" w:ascii="宋体" w:hAnsi="宋体" w:cs="宋体"/>
          <w:color w:val="auto"/>
          <w:sz w:val="24"/>
          <w:highlight w:val="none"/>
        </w:rPr>
      </w:pPr>
      <w:r>
        <w:rPr>
          <w:rFonts w:hint="eastAsia" w:ascii="宋体" w:hAnsi="宋体" w:cs="宋体"/>
          <w:color w:val="auto"/>
          <w:sz w:val="24"/>
          <w:highlight w:val="none"/>
        </w:rPr>
        <w:t>30.1 成交公告发布的同时，采购代理机构将以书面形式发出《成交通知书》，但发出时间不超过磋商有效期，《成交通知书》一经发出即发生法律效力。</w:t>
      </w:r>
    </w:p>
    <w:p w14:paraId="7A540E2E">
      <w:pPr>
        <w:spacing w:line="276" w:lineRule="auto"/>
        <w:rPr>
          <w:rFonts w:hint="eastAsia" w:ascii="宋体" w:hAnsi="宋体" w:cs="宋体"/>
          <w:color w:val="auto"/>
          <w:sz w:val="24"/>
          <w:highlight w:val="none"/>
        </w:rPr>
      </w:pPr>
      <w:r>
        <w:rPr>
          <w:rFonts w:hint="eastAsia" w:ascii="宋体" w:hAnsi="宋体" w:cs="宋体"/>
          <w:color w:val="auto"/>
          <w:sz w:val="24"/>
          <w:highlight w:val="none"/>
        </w:rPr>
        <w:t>30.2 《成交通知书》将作为签订合同的依据。</w:t>
      </w:r>
    </w:p>
    <w:p w14:paraId="28634F02">
      <w:pPr>
        <w:spacing w:line="276" w:lineRule="auto"/>
        <w:ind w:left="600" w:hanging="600" w:hangingChars="250"/>
        <w:rPr>
          <w:rFonts w:hint="eastAsia" w:ascii="宋体" w:hAnsi="宋体" w:cs="宋体"/>
          <w:color w:val="auto"/>
          <w:sz w:val="24"/>
          <w:highlight w:val="none"/>
        </w:rPr>
      </w:pPr>
      <w:r>
        <w:rPr>
          <w:rFonts w:hint="eastAsia" w:ascii="宋体" w:hAnsi="宋体" w:cs="宋体"/>
          <w:color w:val="auto"/>
          <w:sz w:val="24"/>
          <w:highlight w:val="none"/>
        </w:rPr>
        <w:t>30.3 采购代理机构将在成交方按规定签订合同并提交履约保证金（如适用）后退还其磋商保证金。</w:t>
      </w:r>
    </w:p>
    <w:p w14:paraId="43E94F06">
      <w:pPr>
        <w:spacing w:line="276" w:lineRule="auto"/>
        <w:rPr>
          <w:rFonts w:hint="eastAsia" w:ascii="宋体" w:hAnsi="宋体" w:cs="宋体"/>
          <w:color w:val="auto"/>
          <w:sz w:val="24"/>
          <w:highlight w:val="none"/>
        </w:rPr>
      </w:pPr>
      <w:r>
        <w:rPr>
          <w:rFonts w:hint="eastAsia" w:ascii="宋体" w:hAnsi="宋体" w:cs="宋体"/>
          <w:color w:val="auto"/>
          <w:sz w:val="24"/>
          <w:highlight w:val="none"/>
        </w:rPr>
        <w:t>31．签订合同</w:t>
      </w:r>
    </w:p>
    <w:p w14:paraId="2866A093">
      <w:pPr>
        <w:spacing w:line="276" w:lineRule="auto"/>
        <w:ind w:left="540" w:hanging="540" w:hangingChars="225"/>
        <w:rPr>
          <w:rFonts w:hint="eastAsia" w:ascii="宋体" w:hAnsi="宋体" w:cs="宋体"/>
          <w:color w:val="auto"/>
          <w:sz w:val="24"/>
          <w:highlight w:val="none"/>
        </w:rPr>
      </w:pPr>
      <w:r>
        <w:rPr>
          <w:rFonts w:hint="eastAsia" w:ascii="宋体" w:hAnsi="宋体" w:cs="宋体"/>
          <w:color w:val="auto"/>
          <w:sz w:val="24"/>
          <w:highlight w:val="none"/>
        </w:rPr>
        <w:t>31.1 供应商收到《成交通知书》后，三十天内按规定的地点与买方签订合同。买方和成交方不得再订立背离合同实质性内容的其他协议。</w:t>
      </w:r>
    </w:p>
    <w:p w14:paraId="72AF16EB">
      <w:pPr>
        <w:spacing w:line="276" w:lineRule="auto"/>
        <w:rPr>
          <w:rFonts w:hint="eastAsia" w:ascii="宋体" w:hAnsi="宋体" w:cs="宋体"/>
          <w:color w:val="auto"/>
          <w:sz w:val="24"/>
          <w:highlight w:val="none"/>
        </w:rPr>
      </w:pPr>
      <w:r>
        <w:rPr>
          <w:rFonts w:hint="eastAsia" w:ascii="宋体" w:hAnsi="宋体" w:cs="宋体"/>
          <w:color w:val="auto"/>
          <w:sz w:val="24"/>
          <w:highlight w:val="none"/>
        </w:rPr>
        <w:t>31.2如成交方拒签合同，则按违约处理。采购代理机构没收其磋商保证金。</w:t>
      </w:r>
    </w:p>
    <w:p w14:paraId="53CBA2D6">
      <w:pPr>
        <w:spacing w:line="276" w:lineRule="auto"/>
        <w:rPr>
          <w:rFonts w:hint="eastAsia" w:ascii="宋体" w:hAnsi="宋体" w:cs="宋体"/>
          <w:color w:val="auto"/>
          <w:sz w:val="24"/>
          <w:highlight w:val="none"/>
        </w:rPr>
      </w:pPr>
      <w:r>
        <w:rPr>
          <w:rFonts w:hint="eastAsia" w:ascii="宋体" w:hAnsi="宋体" w:cs="宋体"/>
          <w:color w:val="auto"/>
          <w:sz w:val="24"/>
          <w:highlight w:val="none"/>
        </w:rPr>
        <w:t>31.3磋商文件、成交方的磋商响应文件及其澄清文件等，均为签订经济合同的依据。</w:t>
      </w:r>
    </w:p>
    <w:p w14:paraId="36D9423D">
      <w:pPr>
        <w:spacing w:line="276" w:lineRule="auto"/>
        <w:rPr>
          <w:rFonts w:hint="eastAsia" w:ascii="宋体" w:hAnsi="宋体" w:cs="宋体"/>
          <w:color w:val="auto"/>
          <w:sz w:val="24"/>
          <w:highlight w:val="none"/>
        </w:rPr>
      </w:pPr>
      <w:r>
        <w:rPr>
          <w:rFonts w:hint="eastAsia" w:ascii="宋体" w:hAnsi="宋体" w:cs="宋体"/>
          <w:color w:val="auto"/>
          <w:sz w:val="24"/>
          <w:highlight w:val="none"/>
        </w:rPr>
        <w:t>32．履约保证金（如适用）</w:t>
      </w:r>
    </w:p>
    <w:p w14:paraId="3671AB85">
      <w:pPr>
        <w:spacing w:line="276" w:lineRule="auto"/>
        <w:ind w:left="720" w:hanging="720"/>
        <w:rPr>
          <w:rFonts w:hint="eastAsia" w:ascii="宋体" w:hAnsi="宋体" w:cs="宋体"/>
          <w:color w:val="auto"/>
          <w:sz w:val="24"/>
          <w:highlight w:val="none"/>
        </w:rPr>
      </w:pPr>
      <w:r>
        <w:rPr>
          <w:rFonts w:hint="eastAsia" w:ascii="宋体" w:hAnsi="宋体" w:cs="宋体"/>
          <w:color w:val="auto"/>
          <w:sz w:val="24"/>
          <w:highlight w:val="none"/>
        </w:rPr>
        <w:t>32.1成交方应按合同规定的方式、时间和金额向买方提交履约保证金。</w:t>
      </w:r>
    </w:p>
    <w:p w14:paraId="0D00FEBA">
      <w:pPr>
        <w:spacing w:line="276" w:lineRule="auto"/>
        <w:rPr>
          <w:rFonts w:hint="eastAsia" w:ascii="宋体" w:hAnsi="宋体" w:cs="宋体"/>
          <w:color w:val="auto"/>
          <w:sz w:val="24"/>
          <w:highlight w:val="none"/>
        </w:rPr>
      </w:pPr>
      <w:r>
        <w:rPr>
          <w:rFonts w:hint="eastAsia" w:ascii="宋体" w:hAnsi="宋体" w:cs="宋体"/>
          <w:color w:val="auto"/>
          <w:sz w:val="24"/>
          <w:highlight w:val="none"/>
        </w:rPr>
        <w:t>33．采购代理服务费</w:t>
      </w:r>
    </w:p>
    <w:p w14:paraId="35E0887B">
      <w:pPr>
        <w:pStyle w:val="21"/>
        <w:spacing w:line="276" w:lineRule="auto"/>
        <w:rPr>
          <w:rFonts w:hint="eastAsia" w:hAnsi="宋体" w:cs="宋体"/>
          <w:color w:val="auto"/>
          <w:highlight w:val="none"/>
        </w:rPr>
      </w:pPr>
      <w:r>
        <w:rPr>
          <w:rFonts w:hint="eastAsia" w:hAnsi="宋体" w:cs="宋体"/>
          <w:color w:val="auto"/>
          <w:highlight w:val="none"/>
        </w:rPr>
        <w:t>33.1成交方须向采购代理机构按如下标准和期限交纳采购代理服务费：</w:t>
      </w:r>
    </w:p>
    <w:p w14:paraId="1D44BF02">
      <w:pPr>
        <w:pStyle w:val="21"/>
        <w:spacing w:line="276" w:lineRule="auto"/>
        <w:rPr>
          <w:rFonts w:hint="eastAsia" w:hAnsi="宋体" w:cs="宋体"/>
          <w:color w:val="auto"/>
          <w:highlight w:val="none"/>
        </w:rPr>
      </w:pPr>
      <w:r>
        <w:rPr>
          <w:rFonts w:hint="eastAsia" w:hAnsi="宋体" w:cs="宋体"/>
          <w:bCs/>
          <w:color w:val="auto"/>
          <w:highlight w:val="none"/>
        </w:rPr>
        <w:t>33.1.1</w:t>
      </w:r>
      <w:r>
        <w:rPr>
          <w:rFonts w:hint="eastAsia" w:hAnsi="宋体" w:cs="宋体"/>
          <w:color w:val="auto"/>
          <w:szCs w:val="24"/>
          <w:highlight w:val="none"/>
        </w:rPr>
        <w:t>成交方须向新疆招标有限公司支付</w:t>
      </w:r>
      <w:r>
        <w:rPr>
          <w:rFonts w:hint="eastAsia" w:hAnsi="宋体" w:cs="宋体"/>
          <w:color w:val="auto"/>
          <w:highlight w:val="none"/>
        </w:rPr>
        <w:t>采购代理服务费。</w:t>
      </w:r>
    </w:p>
    <w:p w14:paraId="5BCE4962">
      <w:pPr>
        <w:pStyle w:val="21"/>
        <w:spacing w:line="276" w:lineRule="auto"/>
        <w:rPr>
          <w:rFonts w:hint="eastAsia" w:hAnsi="宋体" w:cs="宋体"/>
          <w:color w:val="auto"/>
          <w:highlight w:val="none"/>
        </w:rPr>
      </w:pPr>
      <w:r>
        <w:rPr>
          <w:rFonts w:hint="eastAsia" w:hAnsi="宋体" w:cs="宋体"/>
          <w:color w:val="auto"/>
          <w:highlight w:val="none"/>
        </w:rPr>
        <w:t>33.1.2 在宣布成交后一周内，成交方须按第33.1.1条规定的标准以银行汇票、转账支票或电汇的方式一次性向采购代理机构缴纳采购代理服务费。</w:t>
      </w:r>
    </w:p>
    <w:p w14:paraId="1601ABA0">
      <w:pPr>
        <w:spacing w:line="276" w:lineRule="auto"/>
        <w:rPr>
          <w:rFonts w:hint="eastAsia" w:ascii="宋体" w:hAnsi="宋体" w:cs="宋体"/>
          <w:color w:val="auto"/>
          <w:sz w:val="24"/>
          <w:highlight w:val="none"/>
        </w:rPr>
      </w:pPr>
      <w:r>
        <w:rPr>
          <w:rFonts w:hint="eastAsia" w:ascii="宋体" w:hAnsi="宋体" w:cs="宋体"/>
          <w:bCs/>
          <w:color w:val="auto"/>
          <w:sz w:val="24"/>
          <w:highlight w:val="none"/>
        </w:rPr>
        <w:t>34.</w:t>
      </w:r>
      <w:r>
        <w:rPr>
          <w:rFonts w:hint="eastAsia" w:ascii="宋体" w:hAnsi="宋体" w:cs="宋体"/>
          <w:color w:val="auto"/>
          <w:sz w:val="24"/>
          <w:highlight w:val="none"/>
        </w:rPr>
        <w:t>1供应商在成交后需要融资时可以申请政府采购合同融资，具体内容详见《新疆维吾尔自治区政府采购合同融资工作方案》新财购〔2022〕17号。</w:t>
      </w:r>
    </w:p>
    <w:p w14:paraId="78CEC1DE">
      <w:pPr>
        <w:spacing w:line="276" w:lineRule="auto"/>
        <w:rPr>
          <w:rFonts w:hint="eastAsia" w:ascii="宋体" w:hAnsi="宋体" w:cs="宋体"/>
          <w:color w:val="auto"/>
          <w:sz w:val="24"/>
          <w:highlight w:val="none"/>
        </w:rPr>
      </w:pPr>
      <w:r>
        <w:rPr>
          <w:rFonts w:hint="eastAsia" w:ascii="宋体" w:hAnsi="宋体" w:cs="宋体"/>
          <w:color w:val="auto"/>
          <w:sz w:val="24"/>
          <w:highlight w:val="none"/>
        </w:rPr>
        <w:t>34.2规定享受扶持政策获得政府采购合同的，中小企业不得将合同分包给大中型企业，中型企业不得将合同分包给大型企业。</w:t>
      </w:r>
    </w:p>
    <w:p w14:paraId="172057BA">
      <w:pPr>
        <w:spacing w:line="276" w:lineRule="auto"/>
        <w:rPr>
          <w:rFonts w:hint="eastAsia" w:ascii="宋体" w:hAnsi="宋体" w:cs="宋体"/>
          <w:color w:val="auto"/>
          <w:sz w:val="24"/>
          <w:highlight w:val="none"/>
        </w:rPr>
      </w:pPr>
      <w:r>
        <w:rPr>
          <w:rFonts w:hint="eastAsia" w:ascii="宋体" w:hAnsi="宋体" w:cs="宋体"/>
          <w:color w:val="auto"/>
          <w:sz w:val="24"/>
          <w:highlight w:val="none"/>
        </w:rPr>
        <w:t>35 政府采购节能产品、环境标志产品</w:t>
      </w:r>
    </w:p>
    <w:p w14:paraId="70CE627D">
      <w:pPr>
        <w:spacing w:line="276" w:lineRule="auto"/>
        <w:rPr>
          <w:rFonts w:hint="eastAsia" w:ascii="宋体" w:hAnsi="宋体" w:cs="宋体"/>
          <w:color w:val="auto"/>
          <w:sz w:val="24"/>
          <w:highlight w:val="none"/>
        </w:rPr>
      </w:pPr>
      <w:r>
        <w:rPr>
          <w:rFonts w:hint="eastAsia" w:ascii="宋体" w:hAnsi="宋体" w:cs="宋体"/>
          <w:color w:val="auto"/>
          <w:sz w:val="24"/>
          <w:highlight w:val="none"/>
        </w:rPr>
        <w:t>35.1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7D592704">
      <w:pPr>
        <w:spacing w:line="276" w:lineRule="auto"/>
        <w:rPr>
          <w:rFonts w:hint="eastAsia" w:ascii="宋体" w:hAnsi="宋体" w:cs="宋体"/>
          <w:color w:val="auto"/>
          <w:sz w:val="24"/>
          <w:highlight w:val="none"/>
        </w:rPr>
      </w:pPr>
      <w:r>
        <w:rPr>
          <w:rFonts w:hint="eastAsia" w:ascii="宋体" w:hAnsi="宋体" w:cs="宋体"/>
          <w:color w:val="auto"/>
          <w:sz w:val="24"/>
          <w:highlight w:val="none"/>
        </w:rPr>
        <w:t>35.2采购人拟采购的产品属于品目清单范围的，采购人及其委托的采购代理机构依据国家确定的认证机构出具的、处于有效期之内的节能产品、环境标志产品认证证书，对获得证书的产品实施政府优先采购或强制采购。</w:t>
      </w:r>
    </w:p>
    <w:p w14:paraId="16F2E38F">
      <w:pPr>
        <w:spacing w:line="276" w:lineRule="auto"/>
        <w:rPr>
          <w:rFonts w:hint="eastAsia" w:ascii="宋体" w:hAnsi="宋体" w:cs="宋体"/>
          <w:color w:val="auto"/>
          <w:sz w:val="24"/>
          <w:highlight w:val="none"/>
        </w:rPr>
      </w:pPr>
      <w:r>
        <w:rPr>
          <w:rFonts w:hint="eastAsia" w:ascii="宋体" w:hAnsi="宋体" w:cs="宋体"/>
          <w:color w:val="auto"/>
          <w:sz w:val="24"/>
          <w:highlight w:val="none"/>
        </w:rPr>
        <w:t>35.3如本项目采购产品属于实施政府强制采购品目清单范围的节能产品，则供应商所报产品必须获得国家确定的认证机构出具的、处于有效期之内的节能产品认证证书，否则投标无效；</w:t>
      </w:r>
    </w:p>
    <w:p w14:paraId="717F926F">
      <w:pPr>
        <w:spacing w:line="276" w:lineRule="auto"/>
        <w:rPr>
          <w:rFonts w:hint="eastAsia" w:ascii="宋体" w:hAnsi="宋体" w:cs="宋体"/>
          <w:color w:val="auto"/>
          <w:sz w:val="24"/>
          <w:highlight w:val="none"/>
        </w:rPr>
      </w:pPr>
      <w:r>
        <w:rPr>
          <w:rFonts w:hint="eastAsia" w:ascii="宋体" w:hAnsi="宋体" w:cs="宋体"/>
          <w:color w:val="auto"/>
          <w:sz w:val="24"/>
          <w:highlight w:val="none"/>
        </w:rPr>
        <w:t>35.4非政府强制采购的节能产品或环境标志产品，依据品目清单和认证证书实施政府优先采购。优先采购的具体规定详见《评标方法》（如涉及）。</w:t>
      </w:r>
    </w:p>
    <w:p w14:paraId="20DE91C2">
      <w:pPr>
        <w:pStyle w:val="4"/>
        <w:spacing w:before="100" w:beforeAutospacing="1" w:after="100" w:afterAutospacing="1" w:line="276" w:lineRule="auto"/>
        <w:jc w:val="center"/>
        <w:rPr>
          <w:rFonts w:hint="eastAsia" w:ascii="宋体" w:hAnsi="宋体" w:eastAsia="宋体" w:cs="宋体"/>
          <w:bCs/>
          <w:color w:val="auto"/>
          <w:sz w:val="24"/>
          <w:highlight w:val="none"/>
        </w:rPr>
      </w:pPr>
      <w:bookmarkStart w:id="47" w:name="_Toc471489759"/>
      <w:bookmarkStart w:id="48" w:name="_Toc83726737"/>
      <w:r>
        <w:rPr>
          <w:rFonts w:hint="eastAsia" w:ascii="宋体" w:hAnsi="宋体" w:eastAsia="宋体" w:cs="宋体"/>
          <w:color w:val="auto"/>
          <w:sz w:val="28"/>
          <w:szCs w:val="28"/>
          <w:highlight w:val="none"/>
        </w:rPr>
        <w:t>G  磋商失败条件</w:t>
      </w:r>
      <w:bookmarkEnd w:id="47"/>
      <w:bookmarkEnd w:id="48"/>
    </w:p>
    <w:p w14:paraId="48CAF98B">
      <w:pPr>
        <w:spacing w:line="276" w:lineRule="auto"/>
        <w:ind w:left="542" w:hanging="542" w:hangingChars="225"/>
        <w:rPr>
          <w:rFonts w:hint="eastAsia" w:ascii="宋体" w:hAnsi="宋体" w:cs="宋体"/>
          <w:b/>
          <w:color w:val="auto"/>
          <w:sz w:val="24"/>
          <w:highlight w:val="none"/>
        </w:rPr>
      </w:pPr>
      <w:r>
        <w:rPr>
          <w:rFonts w:hint="eastAsia" w:ascii="宋体" w:hAnsi="宋体" w:cs="宋体"/>
          <w:b/>
          <w:color w:val="auto"/>
          <w:sz w:val="24"/>
          <w:highlight w:val="none"/>
        </w:rPr>
        <w:t>36.1无效磋商条款</w:t>
      </w:r>
    </w:p>
    <w:p w14:paraId="4EBC902C">
      <w:pPr>
        <w:spacing w:line="276" w:lineRule="auto"/>
        <w:ind w:left="540" w:hanging="540" w:hangingChars="225"/>
        <w:rPr>
          <w:rFonts w:hint="eastAsia" w:ascii="宋体" w:hAnsi="宋体" w:cs="宋体"/>
          <w:color w:val="auto"/>
          <w:sz w:val="24"/>
          <w:highlight w:val="none"/>
        </w:rPr>
      </w:pPr>
      <w:r>
        <w:rPr>
          <w:rFonts w:hint="eastAsia" w:ascii="宋体" w:hAnsi="宋体" w:cs="宋体"/>
          <w:color w:val="auto"/>
          <w:sz w:val="24"/>
          <w:highlight w:val="none"/>
        </w:rPr>
        <w:t>36.1.1未按要求交纳磋商保证金的。</w:t>
      </w:r>
    </w:p>
    <w:p w14:paraId="38E80D08">
      <w:pPr>
        <w:spacing w:line="276" w:lineRule="auto"/>
        <w:ind w:left="540" w:hanging="540" w:hangingChars="225"/>
        <w:rPr>
          <w:rFonts w:hint="eastAsia" w:ascii="宋体" w:hAnsi="宋体" w:cs="宋体"/>
          <w:color w:val="auto"/>
          <w:sz w:val="24"/>
          <w:highlight w:val="none"/>
        </w:rPr>
      </w:pPr>
      <w:r>
        <w:rPr>
          <w:rFonts w:hint="eastAsia" w:ascii="宋体" w:hAnsi="宋体" w:cs="宋体"/>
          <w:color w:val="auto"/>
          <w:sz w:val="24"/>
          <w:highlight w:val="none"/>
        </w:rPr>
        <w:t>36.1.2供应商在报价时采用选择性报价的。</w:t>
      </w:r>
    </w:p>
    <w:p w14:paraId="1A6B45F1">
      <w:pPr>
        <w:spacing w:line="276" w:lineRule="auto"/>
        <w:ind w:left="540" w:hanging="540" w:hangingChars="225"/>
        <w:rPr>
          <w:rFonts w:hint="eastAsia" w:ascii="宋体" w:hAnsi="宋体" w:cs="宋体"/>
          <w:color w:val="auto"/>
          <w:sz w:val="24"/>
          <w:highlight w:val="none"/>
        </w:rPr>
      </w:pPr>
      <w:r>
        <w:rPr>
          <w:rFonts w:hint="eastAsia" w:ascii="宋体" w:hAnsi="宋体" w:cs="宋体"/>
          <w:color w:val="auto"/>
          <w:sz w:val="24"/>
          <w:highlight w:val="none"/>
        </w:rPr>
        <w:t>36.1.3供应商不具备磋商文件中规定资格要求的。</w:t>
      </w:r>
    </w:p>
    <w:p w14:paraId="37BC6D04">
      <w:pPr>
        <w:spacing w:line="276" w:lineRule="auto"/>
        <w:ind w:left="540" w:hanging="540" w:hangingChars="225"/>
        <w:rPr>
          <w:rFonts w:hint="eastAsia" w:ascii="宋体" w:hAnsi="宋体" w:cs="宋体"/>
          <w:color w:val="auto"/>
          <w:sz w:val="24"/>
          <w:highlight w:val="none"/>
        </w:rPr>
      </w:pPr>
      <w:r>
        <w:rPr>
          <w:rFonts w:hint="eastAsia" w:ascii="宋体" w:hAnsi="宋体" w:cs="宋体"/>
          <w:color w:val="auto"/>
          <w:sz w:val="24"/>
          <w:highlight w:val="none"/>
        </w:rPr>
        <w:t>36.1.4供应商的报价超过了采购预算或最高限价的。</w:t>
      </w:r>
    </w:p>
    <w:p w14:paraId="05A89A68">
      <w:pPr>
        <w:spacing w:line="276" w:lineRule="auto"/>
        <w:ind w:left="540" w:hanging="540" w:hangingChars="225"/>
        <w:rPr>
          <w:rFonts w:hint="eastAsia" w:ascii="宋体" w:hAnsi="宋体" w:cs="宋体"/>
          <w:color w:val="auto"/>
          <w:sz w:val="24"/>
          <w:highlight w:val="none"/>
        </w:rPr>
      </w:pPr>
      <w:r>
        <w:rPr>
          <w:rFonts w:hint="eastAsia" w:ascii="宋体" w:hAnsi="宋体" w:cs="宋体"/>
          <w:color w:val="auto"/>
          <w:sz w:val="24"/>
          <w:highlight w:val="none"/>
        </w:rPr>
        <w:t>36.1.5未通过符合性检查的。</w:t>
      </w:r>
    </w:p>
    <w:p w14:paraId="4395CC32">
      <w:pPr>
        <w:spacing w:line="276" w:lineRule="auto"/>
        <w:ind w:left="540" w:hanging="540" w:hangingChars="225"/>
        <w:rPr>
          <w:rFonts w:hint="eastAsia" w:ascii="宋体" w:hAnsi="宋体" w:cs="宋体"/>
          <w:color w:val="auto"/>
          <w:sz w:val="24"/>
          <w:highlight w:val="none"/>
        </w:rPr>
      </w:pPr>
      <w:r>
        <w:rPr>
          <w:rFonts w:hint="eastAsia" w:ascii="宋体" w:hAnsi="宋体" w:cs="宋体"/>
          <w:color w:val="auto"/>
          <w:sz w:val="24"/>
          <w:highlight w:val="none"/>
        </w:rPr>
        <w:t>36.1.6不符合磋商文件中规定的其他实质性要求和条件的（本磋商文件中标*条款为实质性要求和条件）。</w:t>
      </w:r>
    </w:p>
    <w:p w14:paraId="7EF8B59F">
      <w:pPr>
        <w:spacing w:line="276" w:lineRule="auto"/>
        <w:ind w:left="540" w:hanging="540" w:hangingChars="225"/>
        <w:rPr>
          <w:rFonts w:hint="eastAsia" w:ascii="宋体" w:hAnsi="宋体" w:cs="宋体"/>
          <w:color w:val="auto"/>
          <w:sz w:val="24"/>
          <w:highlight w:val="none"/>
        </w:rPr>
      </w:pPr>
      <w:r>
        <w:rPr>
          <w:rFonts w:hint="eastAsia" w:ascii="宋体" w:hAnsi="宋体" w:cs="宋体"/>
          <w:color w:val="auto"/>
          <w:sz w:val="24"/>
          <w:highlight w:val="none"/>
        </w:rPr>
        <w:t>36.1.7供应商被“信用中国”网站（www.creditchina.gov.cn）、“中国政府采购网（</w:t>
      </w: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"http://www.ccgp.gov.cn/" </w:instrText>
      </w:r>
      <w:r>
        <w:rPr>
          <w:rFonts w:hint="eastAsia" w:ascii="宋体" w:hAnsi="宋体" w:cs="宋体"/>
          <w:color w:val="auto"/>
          <w:highlight w:val="none"/>
        </w:rPr>
        <w:fldChar w:fldCharType="separate"/>
      </w:r>
      <w:r>
        <w:rPr>
          <w:rFonts w:hint="eastAsia" w:ascii="宋体" w:hAnsi="宋体" w:cs="宋体"/>
          <w:color w:val="auto"/>
          <w:sz w:val="24"/>
          <w:highlight w:val="none"/>
        </w:rPr>
        <w:t>http://www.ccgp.gov.cn/</w:t>
      </w:r>
      <w:r>
        <w:rPr>
          <w:rFonts w:hint="eastAsia" w:ascii="宋体" w:hAnsi="宋体" w:cs="宋体"/>
          <w:color w:val="auto"/>
          <w:sz w:val="24"/>
          <w:highlight w:val="none"/>
        </w:rPr>
        <w:fldChar w:fldCharType="end"/>
      </w:r>
      <w:r>
        <w:rPr>
          <w:rFonts w:hint="eastAsia" w:ascii="宋体" w:hAnsi="宋体" w:cs="宋体"/>
          <w:color w:val="auto"/>
          <w:sz w:val="24"/>
          <w:highlight w:val="none"/>
        </w:rPr>
        <w:t>）”列入失信被执行人或重大税收违法案件当事人名单或政府采购严重失信行为记录名单。</w:t>
      </w:r>
    </w:p>
    <w:p w14:paraId="307B61BE">
      <w:pPr>
        <w:spacing w:line="276" w:lineRule="auto"/>
        <w:ind w:left="540" w:hanging="540" w:hangingChars="225"/>
        <w:rPr>
          <w:rFonts w:hint="eastAsia" w:ascii="宋体" w:hAnsi="宋体" w:cs="宋体"/>
          <w:color w:val="auto"/>
          <w:sz w:val="24"/>
          <w:highlight w:val="none"/>
        </w:rPr>
      </w:pPr>
      <w:r>
        <w:rPr>
          <w:rFonts w:hint="eastAsia" w:ascii="宋体" w:hAnsi="宋体" w:cs="宋体"/>
          <w:color w:val="auto"/>
          <w:sz w:val="24"/>
          <w:highlight w:val="none"/>
        </w:rPr>
        <w:t>36.1.8 磋商响应文件含有采购人不能接受的附加条件的。</w:t>
      </w:r>
    </w:p>
    <w:p w14:paraId="46BF003A">
      <w:pPr>
        <w:spacing w:line="276" w:lineRule="auto"/>
        <w:ind w:left="540" w:hanging="540" w:hangingChars="225"/>
        <w:rPr>
          <w:rFonts w:hint="eastAsia" w:ascii="宋体" w:hAnsi="宋体" w:cs="宋体"/>
          <w:color w:val="auto"/>
          <w:sz w:val="24"/>
          <w:highlight w:val="none"/>
        </w:rPr>
      </w:pPr>
      <w:r>
        <w:rPr>
          <w:rFonts w:hint="eastAsia" w:ascii="宋体" w:hAnsi="宋体" w:cs="宋体"/>
          <w:color w:val="auto"/>
          <w:sz w:val="24"/>
          <w:highlight w:val="none"/>
        </w:rPr>
        <w:t>36.1.9 磋商小组认为供应商的报价明显低于其他通过符合性审查供应商的报价，有可能影响产品质量或者不能诚信履约的，将要求其在合理的时间内作出说明，必要时提交相关证明材料；供应商不能证明其报价合理性的，磋商小组应当将其作为无效磋商处理。</w:t>
      </w:r>
    </w:p>
    <w:p w14:paraId="55EE8264">
      <w:pPr>
        <w:spacing w:line="276" w:lineRule="auto"/>
        <w:ind w:left="540" w:hanging="540" w:hangingChars="225"/>
        <w:rPr>
          <w:rFonts w:hint="eastAsia" w:ascii="宋体" w:hAnsi="宋体" w:cs="宋体"/>
          <w:color w:val="auto"/>
          <w:sz w:val="24"/>
          <w:highlight w:val="none"/>
        </w:rPr>
      </w:pPr>
      <w:r>
        <w:rPr>
          <w:rFonts w:hint="eastAsia" w:ascii="宋体" w:hAnsi="宋体" w:cs="宋体"/>
          <w:color w:val="auto"/>
          <w:sz w:val="24"/>
          <w:highlight w:val="none"/>
        </w:rPr>
        <w:t>36.1.10本项目采购产品被财政部、国家发改委、生态环境部等列入“节能产品品目清单”、“环境标志产品品目清单”强制采购范围，而供应商所投标产品不在强制采购范围内的。</w:t>
      </w:r>
    </w:p>
    <w:p w14:paraId="6FCD203A">
      <w:pPr>
        <w:spacing w:line="276" w:lineRule="auto"/>
        <w:ind w:left="540" w:hanging="540" w:hangingChars="225"/>
        <w:rPr>
          <w:rFonts w:hint="eastAsia" w:ascii="宋体" w:hAnsi="宋体" w:cs="宋体"/>
          <w:color w:val="auto"/>
          <w:sz w:val="24"/>
          <w:highlight w:val="none"/>
        </w:rPr>
      </w:pPr>
      <w:r>
        <w:rPr>
          <w:rFonts w:hint="eastAsia" w:ascii="宋体" w:hAnsi="宋体" w:cs="宋体"/>
          <w:color w:val="auto"/>
          <w:sz w:val="24"/>
          <w:highlight w:val="none"/>
        </w:rPr>
        <w:t>36.1.11本项目采购产品中若有信息安全产品的，须提供由中国信息安全认证中心按国家标准认证颁发的有效认证证书。</w:t>
      </w:r>
    </w:p>
    <w:p w14:paraId="18FA6AAC">
      <w:pPr>
        <w:spacing w:line="276" w:lineRule="auto"/>
        <w:ind w:left="540" w:hanging="540" w:hangingChars="225"/>
        <w:rPr>
          <w:rFonts w:hint="eastAsia" w:ascii="宋体" w:hAnsi="宋体" w:cs="宋体"/>
          <w:color w:val="auto"/>
          <w:sz w:val="24"/>
          <w:highlight w:val="none"/>
        </w:rPr>
      </w:pPr>
      <w:r>
        <w:rPr>
          <w:rFonts w:hint="eastAsia" w:ascii="宋体" w:hAnsi="宋体" w:cs="宋体"/>
          <w:color w:val="auto"/>
          <w:sz w:val="24"/>
          <w:highlight w:val="none"/>
        </w:rPr>
        <w:t>36.1.12其他法律、法规及本磋商文件规定的属无效磋商的情形。</w:t>
      </w:r>
    </w:p>
    <w:p w14:paraId="40ED5DDB">
      <w:pPr>
        <w:spacing w:line="276" w:lineRule="auto"/>
        <w:ind w:left="542" w:hanging="542" w:hangingChars="225"/>
        <w:rPr>
          <w:rFonts w:hint="eastAsia" w:ascii="宋体" w:hAnsi="宋体" w:cs="宋体"/>
          <w:b/>
          <w:color w:val="auto"/>
          <w:sz w:val="24"/>
          <w:highlight w:val="none"/>
        </w:rPr>
      </w:pPr>
      <w:r>
        <w:rPr>
          <w:rFonts w:hint="eastAsia" w:ascii="宋体" w:hAnsi="宋体" w:cs="宋体"/>
          <w:b/>
          <w:color w:val="auto"/>
          <w:sz w:val="24"/>
          <w:highlight w:val="none"/>
        </w:rPr>
        <w:t>36.2废标条款：</w:t>
      </w:r>
    </w:p>
    <w:p w14:paraId="31B5F563">
      <w:pPr>
        <w:spacing w:line="276" w:lineRule="auto"/>
        <w:ind w:left="540" w:hanging="540" w:hangingChars="225"/>
        <w:rPr>
          <w:rFonts w:hint="eastAsia" w:ascii="宋体" w:hAnsi="宋体" w:cs="宋体"/>
          <w:color w:val="auto"/>
          <w:sz w:val="24"/>
          <w:highlight w:val="none"/>
        </w:rPr>
      </w:pPr>
      <w:r>
        <w:rPr>
          <w:rFonts w:hint="eastAsia" w:ascii="宋体" w:hAnsi="宋体" w:cs="宋体"/>
          <w:color w:val="auto"/>
          <w:sz w:val="24"/>
          <w:highlight w:val="none"/>
        </w:rPr>
        <w:t>36.2.1符合专业条件的供应商或者对磋商文件作实质响应的供应商不足三家的，按政府采购相关规定执行。</w:t>
      </w:r>
    </w:p>
    <w:p w14:paraId="119A96AB">
      <w:pPr>
        <w:spacing w:line="276" w:lineRule="auto"/>
        <w:ind w:left="540" w:hanging="540" w:hangingChars="225"/>
        <w:rPr>
          <w:rFonts w:hint="eastAsia" w:ascii="宋体" w:hAnsi="宋体" w:cs="宋体"/>
          <w:color w:val="auto"/>
          <w:sz w:val="24"/>
          <w:highlight w:val="none"/>
        </w:rPr>
      </w:pPr>
      <w:r>
        <w:rPr>
          <w:rFonts w:hint="eastAsia" w:ascii="宋体" w:hAnsi="宋体" w:cs="宋体"/>
          <w:color w:val="auto"/>
          <w:sz w:val="24"/>
          <w:highlight w:val="none"/>
        </w:rPr>
        <w:t>36.2.2出现影响采购公正的违法、违规行为的。</w:t>
      </w:r>
    </w:p>
    <w:p w14:paraId="74D99673">
      <w:pPr>
        <w:spacing w:line="276" w:lineRule="auto"/>
        <w:ind w:left="540" w:hanging="540" w:hangingChars="225"/>
        <w:rPr>
          <w:rFonts w:hint="eastAsia" w:ascii="宋体" w:hAnsi="宋体" w:cs="宋体"/>
          <w:color w:val="auto"/>
          <w:sz w:val="24"/>
          <w:highlight w:val="none"/>
        </w:rPr>
      </w:pPr>
      <w:r>
        <w:rPr>
          <w:rFonts w:hint="eastAsia" w:ascii="宋体" w:hAnsi="宋体" w:cs="宋体"/>
          <w:color w:val="auto"/>
          <w:sz w:val="24"/>
          <w:highlight w:val="none"/>
        </w:rPr>
        <w:t>36.2.3因重大变故，采购任务取消的。</w:t>
      </w:r>
    </w:p>
    <w:p w14:paraId="3FE5EBEA">
      <w:pPr>
        <w:spacing w:line="276" w:lineRule="auto"/>
        <w:ind w:left="540" w:hanging="540" w:hangingChars="225"/>
        <w:rPr>
          <w:rFonts w:hint="eastAsia" w:ascii="宋体" w:hAnsi="宋体" w:cs="宋体"/>
          <w:color w:val="auto"/>
          <w:sz w:val="24"/>
          <w:highlight w:val="none"/>
        </w:rPr>
      </w:pPr>
      <w:r>
        <w:rPr>
          <w:rFonts w:hint="eastAsia" w:ascii="宋体" w:hAnsi="宋体" w:cs="宋体"/>
          <w:color w:val="auto"/>
          <w:sz w:val="24"/>
          <w:highlight w:val="none"/>
        </w:rPr>
        <w:t>36.2.4磋商小组认定磋商文件存在歧义、重大缺陷导致评审工作无法进行。</w:t>
      </w:r>
    </w:p>
    <w:p w14:paraId="3208DDDB">
      <w:pPr>
        <w:spacing w:line="276" w:lineRule="auto"/>
        <w:ind w:left="540" w:hanging="540" w:hangingChars="225"/>
        <w:rPr>
          <w:rFonts w:hint="eastAsia" w:ascii="宋体" w:hAnsi="宋体" w:cs="宋体"/>
          <w:color w:val="auto"/>
          <w:sz w:val="24"/>
          <w:highlight w:val="none"/>
        </w:rPr>
      </w:pPr>
      <w:r>
        <w:rPr>
          <w:rFonts w:hint="eastAsia" w:ascii="宋体" w:hAnsi="宋体" w:cs="宋体"/>
          <w:color w:val="auto"/>
          <w:sz w:val="24"/>
          <w:highlight w:val="none"/>
        </w:rPr>
        <w:t>36.2.5 磋商响应文件递交截止时间后参加磋商的供应商不足三家。</w:t>
      </w:r>
    </w:p>
    <w:p w14:paraId="4F9A6D89">
      <w:pPr>
        <w:pStyle w:val="49"/>
        <w:numPr>
          <w:ilvl w:val="0"/>
          <w:numId w:val="0"/>
        </w:numPr>
        <w:spacing w:line="276" w:lineRule="auto"/>
        <w:rPr>
          <w:rFonts w:hint="eastAsia" w:ascii="宋体" w:hAnsi="宋体" w:cs="宋体"/>
          <w:color w:val="auto"/>
          <w:sz w:val="24"/>
          <w:highlight w:val="none"/>
        </w:rPr>
      </w:pPr>
    </w:p>
    <w:p w14:paraId="18688E9F">
      <w:pPr>
        <w:widowControl/>
        <w:jc w:val="left"/>
        <w:rPr>
          <w:rFonts w:hint="eastAsia" w:ascii="宋体" w:hAnsi="宋体" w:cs="宋体"/>
          <w:b/>
          <w:color w:val="auto"/>
          <w:sz w:val="32"/>
          <w:szCs w:val="32"/>
          <w:highlight w:val="none"/>
        </w:rPr>
      </w:pPr>
      <w:bookmarkStart w:id="49" w:name="_Toc298240411"/>
      <w:bookmarkStart w:id="50" w:name="_Toc349573127"/>
      <w:bookmarkStart w:id="51" w:name="_Toc349637926"/>
      <w:bookmarkStart w:id="52" w:name="_Toc83726738"/>
      <w:r>
        <w:rPr>
          <w:rFonts w:hint="eastAsia" w:ascii="宋体" w:hAnsi="宋体" w:cs="宋体"/>
          <w:color w:val="auto"/>
          <w:highlight w:val="none"/>
        </w:rPr>
        <w:br w:type="page"/>
      </w:r>
    </w:p>
    <w:p w14:paraId="61178C61">
      <w:pPr>
        <w:pStyle w:val="3"/>
        <w:numPr>
          <w:ins w:id="0" w:author="KTL" w:date="2024-05-09T14:05:00Z"/>
        </w:numPr>
        <w:spacing w:line="276" w:lineRule="auto"/>
        <w:rPr>
          <w:rFonts w:hint="eastAsia" w:cs="宋体"/>
          <w:color w:val="auto"/>
          <w:highlight w:val="none"/>
        </w:rPr>
      </w:pPr>
      <w:r>
        <w:rPr>
          <w:rFonts w:hint="eastAsia" w:cs="宋体"/>
          <w:color w:val="auto"/>
          <w:highlight w:val="none"/>
        </w:rPr>
        <w:t>第三部分  服务需求及技术要求</w:t>
      </w:r>
      <w:bookmarkEnd w:id="40"/>
      <w:bookmarkEnd w:id="49"/>
      <w:bookmarkEnd w:id="50"/>
      <w:bookmarkEnd w:id="51"/>
      <w:bookmarkEnd w:id="52"/>
      <w:bookmarkStart w:id="53" w:name="_Toc267301295"/>
    </w:p>
    <w:p w14:paraId="224D6201">
      <w:pPr>
        <w:pStyle w:val="3"/>
        <w:widowControl/>
        <w:numPr>
          <w:ilvl w:val="0"/>
          <w:numId w:val="11"/>
        </w:numPr>
        <w:tabs>
          <w:tab w:val="left" w:pos="963"/>
          <w:tab w:val="clear" w:pos="360"/>
        </w:tabs>
        <w:topLinePunct w:val="0"/>
        <w:spacing w:line="240" w:lineRule="auto"/>
        <w:ind w:left="0" w:leftChars="0" w:firstLine="482" w:firstLineChars="200"/>
        <w:jc w:val="left"/>
        <w:rPr>
          <w:rFonts w:hint="eastAsia" w:ascii="宋体" w:hAnsi="宋体" w:eastAsia="宋体" w:cs="宋体"/>
          <w:b w:val="0"/>
          <w:color w:val="auto"/>
          <w:sz w:val="24"/>
          <w:szCs w:val="24"/>
          <w:highlight w:val="none"/>
        </w:rPr>
      </w:pPr>
      <w:r>
        <w:rPr>
          <w:rFonts w:hint="eastAsia" w:cs="宋体"/>
          <w:color w:val="auto"/>
          <w:sz w:val="24"/>
          <w:szCs w:val="24"/>
          <w:highlight w:val="none"/>
          <w:lang w:eastAsia="zh-CN"/>
        </w:rPr>
        <w:t>服务</w:t>
      </w:r>
      <w:r>
        <w:rPr>
          <w:rFonts w:hint="eastAsia" w:ascii="宋体" w:hAnsi="宋体" w:eastAsia="宋体" w:cs="宋体"/>
          <w:color w:val="auto"/>
          <w:sz w:val="24"/>
          <w:szCs w:val="24"/>
          <w:highlight w:val="none"/>
        </w:rPr>
        <w:t>背景</w:t>
      </w:r>
    </w:p>
    <w:p w14:paraId="0CFD3F55">
      <w:pPr>
        <w:pStyle w:val="3"/>
        <w:widowControl/>
        <w:numPr>
          <w:ilvl w:val="0"/>
          <w:numId w:val="0"/>
        </w:numPr>
        <w:tabs>
          <w:tab w:val="left" w:pos="963"/>
          <w:tab w:val="clear" w:pos="360"/>
        </w:tabs>
        <w:topLinePunct w:val="0"/>
        <w:spacing w:line="240" w:lineRule="auto"/>
        <w:ind w:firstLine="480" w:firstLineChars="200"/>
        <w:jc w:val="lef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根据自治区交通运输综合行政执法局</w:t>
      </w:r>
      <w:r>
        <w:rPr>
          <w:rFonts w:hint="eastAsia" w:cs="宋体"/>
          <w:b w:val="0"/>
          <w:color w:val="auto"/>
          <w:sz w:val="24"/>
          <w:szCs w:val="24"/>
          <w:highlight w:val="none"/>
          <w:lang w:eastAsia="zh-CN"/>
        </w:rPr>
        <w:t>业务信息系统</w:t>
      </w:r>
      <w:r>
        <w:rPr>
          <w:rFonts w:hint="eastAsia" w:ascii="宋体" w:hAnsi="宋体" w:eastAsia="宋体" w:cs="宋体"/>
          <w:b w:val="0"/>
          <w:color w:val="auto"/>
          <w:sz w:val="24"/>
          <w:szCs w:val="24"/>
          <w:highlight w:val="none"/>
        </w:rPr>
        <w:t>需要，为进一步加强</w:t>
      </w:r>
      <w:r>
        <w:rPr>
          <w:rFonts w:hint="eastAsia" w:ascii="宋体" w:hAnsi="宋体" w:eastAsia="宋体" w:cs="宋体"/>
          <w:b w:val="0"/>
          <w:color w:val="auto"/>
          <w:sz w:val="24"/>
          <w:szCs w:val="24"/>
          <w:highlight w:val="none"/>
          <w:lang w:eastAsia="zh-CN"/>
        </w:rPr>
        <w:t>信息</w:t>
      </w:r>
      <w:r>
        <w:rPr>
          <w:rFonts w:hint="eastAsia" w:ascii="宋体" w:hAnsi="宋体" w:eastAsia="宋体" w:cs="宋体"/>
          <w:b w:val="0"/>
          <w:color w:val="auto"/>
          <w:sz w:val="24"/>
          <w:szCs w:val="24"/>
          <w:highlight w:val="none"/>
        </w:rPr>
        <w:t>系统安全风险应对，提升整体防护能力，按照《中华人民共和国网络安全法》、《中华人民共和国数据安全法》、《关键信息基础设施安全保护条例》及等级保护相关要求，网络安全风险专项应对须聘请具有</w:t>
      </w:r>
      <w:r>
        <w:rPr>
          <w:rFonts w:hint="eastAsia" w:cs="宋体"/>
          <w:b w:val="0"/>
          <w:color w:val="auto"/>
          <w:sz w:val="24"/>
          <w:szCs w:val="24"/>
          <w:highlight w:val="none"/>
          <w:lang w:eastAsia="zh-CN"/>
        </w:rPr>
        <w:t>信息系统等级保护测评</w:t>
      </w:r>
      <w:r>
        <w:rPr>
          <w:rFonts w:hint="eastAsia" w:ascii="宋体" w:hAnsi="宋体" w:eastAsia="宋体" w:cs="宋体"/>
          <w:b w:val="0"/>
          <w:color w:val="auto"/>
          <w:sz w:val="24"/>
          <w:szCs w:val="24"/>
          <w:highlight w:val="none"/>
        </w:rPr>
        <w:t>服务能力的第三方机构进行</w:t>
      </w:r>
      <w:r>
        <w:rPr>
          <w:rFonts w:hint="eastAsia" w:cs="宋体"/>
          <w:b w:val="0"/>
          <w:color w:val="auto"/>
          <w:sz w:val="24"/>
          <w:szCs w:val="24"/>
          <w:highlight w:val="none"/>
          <w:lang w:eastAsia="zh-CN"/>
        </w:rPr>
        <w:t>测评</w:t>
      </w:r>
      <w:r>
        <w:rPr>
          <w:rFonts w:hint="eastAsia" w:ascii="宋体" w:hAnsi="宋体" w:eastAsia="宋体" w:cs="宋体"/>
          <w:b w:val="0"/>
          <w:color w:val="auto"/>
          <w:sz w:val="24"/>
          <w:szCs w:val="24"/>
          <w:highlight w:val="none"/>
        </w:rPr>
        <w:t>服务，对单位网络边界安全及重要</w:t>
      </w:r>
      <w:r>
        <w:rPr>
          <w:rFonts w:hint="eastAsia" w:ascii="宋体" w:hAnsi="宋体" w:eastAsia="宋体" w:cs="宋体"/>
          <w:b w:val="0"/>
          <w:color w:val="auto"/>
          <w:sz w:val="24"/>
          <w:szCs w:val="24"/>
          <w:highlight w:val="none"/>
          <w:lang w:eastAsia="zh-CN"/>
        </w:rPr>
        <w:t>信息</w:t>
      </w:r>
      <w:r>
        <w:rPr>
          <w:rFonts w:hint="eastAsia" w:ascii="宋体" w:hAnsi="宋体" w:eastAsia="宋体" w:cs="宋体"/>
          <w:b w:val="0"/>
          <w:color w:val="auto"/>
          <w:sz w:val="24"/>
          <w:szCs w:val="24"/>
          <w:highlight w:val="none"/>
        </w:rPr>
        <w:t>系统开展</w:t>
      </w:r>
      <w:r>
        <w:rPr>
          <w:rFonts w:hint="eastAsia" w:cs="宋体"/>
          <w:b w:val="0"/>
          <w:color w:val="auto"/>
          <w:sz w:val="24"/>
          <w:szCs w:val="24"/>
          <w:highlight w:val="none"/>
          <w:lang w:eastAsia="zh-CN"/>
        </w:rPr>
        <w:t>等级保护测评</w:t>
      </w:r>
      <w:r>
        <w:rPr>
          <w:rFonts w:hint="eastAsia" w:ascii="宋体" w:hAnsi="宋体" w:eastAsia="宋体" w:cs="宋体"/>
          <w:b w:val="0"/>
          <w:color w:val="auto"/>
          <w:sz w:val="24"/>
          <w:szCs w:val="24"/>
          <w:highlight w:val="none"/>
        </w:rPr>
        <w:t>工作。</w:t>
      </w:r>
    </w:p>
    <w:p w14:paraId="2620C06E">
      <w:pPr>
        <w:pStyle w:val="3"/>
        <w:widowControl/>
        <w:numPr>
          <w:ilvl w:val="0"/>
          <w:numId w:val="11"/>
        </w:numPr>
        <w:tabs>
          <w:tab w:val="left" w:pos="963"/>
          <w:tab w:val="clear" w:pos="360"/>
        </w:tabs>
        <w:topLinePunct w:val="0"/>
        <w:spacing w:line="240" w:lineRule="auto"/>
        <w:ind w:left="0" w:leftChars="0" w:firstLine="482" w:firstLineChars="200"/>
        <w:jc w:val="left"/>
        <w:rPr>
          <w:rFonts w:hint="eastAsia" w:cs="宋体"/>
          <w:color w:val="auto"/>
          <w:highlight w:val="none"/>
          <w:lang w:val="en-US" w:eastAsia="zh-CN"/>
        </w:rPr>
      </w:pPr>
      <w:r>
        <w:rPr>
          <w:rFonts w:hint="eastAsia" w:cs="宋体"/>
          <w:color w:val="auto"/>
          <w:sz w:val="24"/>
          <w:szCs w:val="24"/>
          <w:highlight w:val="none"/>
          <w:lang w:eastAsia="zh-CN"/>
        </w:rPr>
        <w:t>服务需求</w:t>
      </w:r>
    </w:p>
    <w:p w14:paraId="38B06D36">
      <w:pPr>
        <w:pStyle w:val="3"/>
        <w:widowControl/>
        <w:numPr>
          <w:ilvl w:val="0"/>
          <w:numId w:val="0"/>
        </w:numPr>
        <w:tabs>
          <w:tab w:val="left" w:pos="963"/>
          <w:tab w:val="clear" w:pos="360"/>
        </w:tabs>
        <w:topLinePunct w:val="0"/>
        <w:spacing w:line="240" w:lineRule="auto"/>
        <w:ind w:firstLine="480" w:firstLineChars="200"/>
        <w:jc w:val="left"/>
        <w:rPr>
          <w:rFonts w:hint="eastAsia" w:cs="宋体"/>
          <w:color w:val="auto"/>
          <w:highlight w:val="none"/>
          <w:lang w:val="en-US" w:eastAsia="zh-CN"/>
        </w:rPr>
      </w:pPr>
      <w:r>
        <w:rPr>
          <w:rFonts w:hint="eastAsia" w:ascii="宋体" w:hAnsi="宋体" w:eastAsia="宋体" w:cs="宋体"/>
          <w:b w:val="0"/>
          <w:snapToGrid w:val="0"/>
          <w:color w:val="auto"/>
          <w:sz w:val="24"/>
          <w:szCs w:val="24"/>
          <w:highlight w:val="none"/>
          <w:lang w:val="en-US" w:eastAsia="en-US" w:bidi="ar-SA"/>
        </w:rPr>
        <w:t>本次</w:t>
      </w:r>
      <w:r>
        <w:rPr>
          <w:rFonts w:hint="eastAsia" w:cs="宋体"/>
          <w:b w:val="0"/>
          <w:snapToGrid w:val="0"/>
          <w:color w:val="auto"/>
          <w:sz w:val="24"/>
          <w:szCs w:val="24"/>
          <w:highlight w:val="none"/>
          <w:lang w:val="en-US" w:eastAsia="zh-CN" w:bidi="ar-SA"/>
        </w:rPr>
        <w:t>服务采购</w:t>
      </w:r>
      <w:r>
        <w:rPr>
          <w:rFonts w:hint="eastAsia" w:ascii="宋体" w:hAnsi="宋体" w:eastAsia="宋体" w:cs="宋体"/>
          <w:b w:val="0"/>
          <w:snapToGrid w:val="0"/>
          <w:color w:val="auto"/>
          <w:sz w:val="24"/>
          <w:szCs w:val="24"/>
          <w:highlight w:val="none"/>
          <w:lang w:val="en-US" w:eastAsia="en-US" w:bidi="ar-SA"/>
        </w:rPr>
        <w:t>项目共对局机关网络</w:t>
      </w:r>
      <w:r>
        <w:rPr>
          <w:rFonts w:hint="eastAsia" w:cs="宋体"/>
          <w:b w:val="0"/>
          <w:snapToGrid w:val="0"/>
          <w:color w:val="auto"/>
          <w:sz w:val="24"/>
          <w:szCs w:val="24"/>
          <w:highlight w:val="none"/>
          <w:lang w:val="en-US" w:eastAsia="zh-CN" w:bidi="ar-SA"/>
        </w:rPr>
        <w:t>环境</w:t>
      </w:r>
      <w:r>
        <w:rPr>
          <w:rFonts w:hint="eastAsia" w:ascii="宋体" w:hAnsi="宋体" w:eastAsia="宋体" w:cs="宋体"/>
          <w:b w:val="0"/>
          <w:snapToGrid w:val="0"/>
          <w:color w:val="auto"/>
          <w:sz w:val="24"/>
          <w:szCs w:val="24"/>
          <w:highlight w:val="none"/>
          <w:lang w:val="en-US" w:eastAsia="en-US" w:bidi="ar-SA"/>
        </w:rPr>
        <w:t>安全、</w:t>
      </w:r>
      <w:r>
        <w:rPr>
          <w:rFonts w:hint="eastAsia" w:ascii="宋体" w:hAnsi="宋体" w:eastAsia="宋体" w:cs="宋体"/>
          <w:b w:val="0"/>
          <w:snapToGrid w:val="0"/>
          <w:color w:val="auto"/>
          <w:sz w:val="24"/>
          <w:szCs w:val="24"/>
          <w:highlight w:val="none"/>
          <w:lang w:val="en-US" w:eastAsia="zh-CN" w:bidi="ar-SA"/>
        </w:rPr>
        <w:t>对新疆交通运输执法综合管理信息系统、新疆治超联网管理信息系统、大件运输许可审批系统、工程质量监督执法支队信息化系统</w:t>
      </w:r>
      <w:r>
        <w:rPr>
          <w:rFonts w:hint="eastAsia" w:cs="宋体"/>
          <w:b w:val="0"/>
          <w:snapToGrid w:val="0"/>
          <w:color w:val="auto"/>
          <w:sz w:val="24"/>
          <w:szCs w:val="24"/>
          <w:highlight w:val="none"/>
          <w:lang w:val="en-US" w:eastAsia="zh-CN" w:bidi="ar-SA"/>
        </w:rPr>
        <w:t>等</w:t>
      </w:r>
      <w:r>
        <w:rPr>
          <w:rFonts w:hint="eastAsia" w:ascii="宋体" w:hAnsi="宋体" w:eastAsia="宋体" w:cs="宋体"/>
          <w:b w:val="0"/>
          <w:snapToGrid w:val="0"/>
          <w:color w:val="auto"/>
          <w:sz w:val="24"/>
          <w:szCs w:val="24"/>
          <w:highlight w:val="none"/>
          <w:lang w:val="en-US" w:eastAsia="zh-CN" w:bidi="ar-SA"/>
        </w:rPr>
        <w:t>4个业务系统开展网络安全等级保护测评及</w:t>
      </w:r>
      <w:r>
        <w:rPr>
          <w:rFonts w:hint="eastAsia" w:cs="宋体"/>
          <w:b w:val="0"/>
          <w:snapToGrid w:val="0"/>
          <w:color w:val="auto"/>
          <w:sz w:val="24"/>
          <w:szCs w:val="24"/>
          <w:highlight w:val="none"/>
          <w:lang w:val="en-US" w:eastAsia="zh-CN" w:bidi="ar-SA"/>
        </w:rPr>
        <w:t>定期</w:t>
      </w:r>
      <w:r>
        <w:rPr>
          <w:rFonts w:hint="eastAsia" w:ascii="宋体" w:hAnsi="宋体" w:eastAsia="宋体" w:cs="宋体"/>
          <w:b w:val="0"/>
          <w:snapToGrid w:val="0"/>
          <w:color w:val="auto"/>
          <w:sz w:val="24"/>
          <w:szCs w:val="24"/>
          <w:highlight w:val="none"/>
          <w:lang w:val="en-US" w:eastAsia="zh-CN" w:bidi="ar-SA"/>
        </w:rPr>
        <w:t>渗透测试服务；同时配备两名驻场运维工程师，为执法局提供网络安全驻场运维</w:t>
      </w:r>
      <w:r>
        <w:rPr>
          <w:rFonts w:hint="eastAsia" w:cs="宋体"/>
          <w:b w:val="0"/>
          <w:snapToGrid w:val="0"/>
          <w:color w:val="auto"/>
          <w:sz w:val="24"/>
          <w:szCs w:val="24"/>
          <w:highlight w:val="none"/>
          <w:lang w:val="en-US" w:eastAsia="zh-CN" w:bidi="ar-SA"/>
        </w:rPr>
        <w:t>及办公设备驻场运维</w:t>
      </w:r>
      <w:r>
        <w:rPr>
          <w:rFonts w:hint="eastAsia" w:ascii="宋体" w:hAnsi="宋体" w:eastAsia="宋体" w:cs="宋体"/>
          <w:b w:val="0"/>
          <w:snapToGrid w:val="0"/>
          <w:color w:val="auto"/>
          <w:sz w:val="24"/>
          <w:szCs w:val="24"/>
          <w:highlight w:val="none"/>
          <w:lang w:val="en-US" w:eastAsia="zh-CN" w:bidi="ar-SA"/>
        </w:rPr>
        <w:t>服务。</w:t>
      </w:r>
    </w:p>
    <w:p w14:paraId="4EE7BF1F">
      <w:pPr>
        <w:pStyle w:val="131"/>
        <w:numPr>
          <w:ilvl w:val="0"/>
          <w:numId w:val="0"/>
        </w:numPr>
        <w:bidi w:val="0"/>
        <w:jc w:val="center"/>
        <w:rPr>
          <w:rFonts w:hint="default" w:ascii="宋体" w:hAnsi="宋体" w:eastAsia="宋体" w:cs="宋体"/>
          <w:b w:val="0"/>
          <w:bCs/>
          <w:snapToGrid w:val="0"/>
          <w:color w:val="auto"/>
          <w:kern w:val="44"/>
          <w:sz w:val="24"/>
          <w:szCs w:val="24"/>
          <w:highlight w:val="none"/>
          <w:lang w:val="en-US" w:eastAsia="zh-CN" w:bidi="ar-SA"/>
        </w:rPr>
      </w:pPr>
      <w:r>
        <w:rPr>
          <w:rFonts w:hint="eastAsia" w:ascii="宋体" w:hAnsi="宋体" w:eastAsia="宋体" w:cs="宋体"/>
          <w:b w:val="0"/>
          <w:bCs/>
          <w:snapToGrid w:val="0"/>
          <w:color w:val="auto"/>
          <w:kern w:val="44"/>
          <w:sz w:val="24"/>
          <w:szCs w:val="24"/>
          <w:highlight w:val="none"/>
          <w:lang w:val="en-US" w:eastAsia="zh-CN" w:bidi="ar-SA"/>
        </w:rPr>
        <w:t>采购清单</w:t>
      </w:r>
    </w:p>
    <w:tbl>
      <w:tblPr>
        <w:tblStyle w:val="38"/>
        <w:tblW w:w="9220"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1"/>
        <w:gridCol w:w="2532"/>
        <w:gridCol w:w="887"/>
        <w:gridCol w:w="882"/>
        <w:gridCol w:w="2168"/>
        <w:gridCol w:w="1830"/>
      </w:tblGrid>
      <w:tr w14:paraId="271D2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921" w:type="dxa"/>
            <w:tcBorders>
              <w:top w:val="single" w:color="auto" w:sz="4" w:space="0"/>
              <w:left w:val="single" w:color="auto" w:sz="4" w:space="0"/>
              <w:bottom w:val="single" w:color="auto" w:sz="4" w:space="0"/>
              <w:right w:val="single" w:color="auto" w:sz="4" w:space="0"/>
              <w:tl2br w:val="nil"/>
              <w:tr2bl w:val="nil"/>
            </w:tcBorders>
            <w:noWrap/>
            <w:vAlign w:val="center"/>
          </w:tcPr>
          <w:p w14:paraId="4064B47C">
            <w:pPr>
              <w:pStyle w:val="130"/>
              <w:keepLines w:val="0"/>
              <w:pageBreakBefore w:val="0"/>
              <w:wordWrap/>
              <w:overflowPunct/>
              <w:topLinePunct/>
              <w:bidi w:val="0"/>
              <w:spacing w:line="440" w:lineRule="exact"/>
              <w:ind w:firstLine="0" w:firstLineChars="0"/>
              <w:jc w:val="center"/>
              <w:outlineLvl w:val="9"/>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序号</w:t>
            </w:r>
          </w:p>
        </w:tc>
        <w:tc>
          <w:tcPr>
            <w:tcW w:w="2532" w:type="dxa"/>
            <w:tcBorders>
              <w:top w:val="single" w:color="auto" w:sz="4" w:space="0"/>
              <w:left w:val="single" w:color="auto" w:sz="4" w:space="0"/>
              <w:bottom w:val="single" w:color="auto" w:sz="4" w:space="0"/>
              <w:right w:val="single" w:color="auto" w:sz="4" w:space="0"/>
              <w:tl2br w:val="nil"/>
              <w:tr2bl w:val="nil"/>
            </w:tcBorders>
            <w:noWrap/>
            <w:vAlign w:val="center"/>
          </w:tcPr>
          <w:p w14:paraId="50A5E975">
            <w:pPr>
              <w:pStyle w:val="130"/>
              <w:keepLines w:val="0"/>
              <w:pageBreakBefore w:val="0"/>
              <w:wordWrap/>
              <w:overflowPunct/>
              <w:topLinePunct/>
              <w:bidi w:val="0"/>
              <w:spacing w:line="440" w:lineRule="exact"/>
              <w:ind w:firstLine="0" w:firstLineChars="0"/>
              <w:jc w:val="center"/>
              <w:outlineLvl w:val="9"/>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名称</w:t>
            </w:r>
          </w:p>
        </w:tc>
        <w:tc>
          <w:tcPr>
            <w:tcW w:w="887" w:type="dxa"/>
            <w:tcBorders>
              <w:top w:val="single" w:color="auto" w:sz="4" w:space="0"/>
              <w:left w:val="single" w:color="auto" w:sz="4" w:space="0"/>
              <w:bottom w:val="single" w:color="auto" w:sz="4" w:space="0"/>
              <w:right w:val="single" w:color="auto" w:sz="4" w:space="0"/>
              <w:tl2br w:val="nil"/>
              <w:tr2bl w:val="nil"/>
            </w:tcBorders>
            <w:noWrap/>
            <w:vAlign w:val="center"/>
          </w:tcPr>
          <w:p w14:paraId="4538A9A3">
            <w:pPr>
              <w:pStyle w:val="130"/>
              <w:keepLines w:val="0"/>
              <w:pageBreakBefore w:val="0"/>
              <w:wordWrap/>
              <w:overflowPunct/>
              <w:topLinePunct/>
              <w:bidi w:val="0"/>
              <w:spacing w:line="440" w:lineRule="exact"/>
              <w:ind w:firstLine="0" w:firstLineChars="0"/>
              <w:jc w:val="center"/>
              <w:outlineLvl w:val="9"/>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数量</w:t>
            </w:r>
          </w:p>
        </w:tc>
        <w:tc>
          <w:tcPr>
            <w:tcW w:w="882" w:type="dxa"/>
            <w:tcBorders>
              <w:top w:val="single" w:color="auto" w:sz="4" w:space="0"/>
              <w:left w:val="single" w:color="auto" w:sz="4" w:space="0"/>
              <w:bottom w:val="single" w:color="auto" w:sz="4" w:space="0"/>
              <w:right w:val="single" w:color="auto" w:sz="4" w:space="0"/>
              <w:tl2br w:val="nil"/>
              <w:tr2bl w:val="nil"/>
            </w:tcBorders>
            <w:noWrap/>
            <w:vAlign w:val="center"/>
          </w:tcPr>
          <w:p w14:paraId="350B0C0F">
            <w:pPr>
              <w:pStyle w:val="130"/>
              <w:keepLines w:val="0"/>
              <w:pageBreakBefore w:val="0"/>
              <w:wordWrap/>
              <w:overflowPunct/>
              <w:topLinePunct/>
              <w:bidi w:val="0"/>
              <w:spacing w:line="440" w:lineRule="exact"/>
              <w:ind w:firstLine="0" w:firstLineChars="0"/>
              <w:jc w:val="center"/>
              <w:outlineLvl w:val="9"/>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单位</w:t>
            </w:r>
          </w:p>
        </w:tc>
        <w:tc>
          <w:tcPr>
            <w:tcW w:w="2168" w:type="dxa"/>
            <w:tcBorders>
              <w:top w:val="single" w:color="auto" w:sz="4" w:space="0"/>
              <w:left w:val="single" w:color="auto" w:sz="4" w:space="0"/>
              <w:bottom w:val="single" w:color="auto" w:sz="4" w:space="0"/>
              <w:right w:val="single" w:color="auto" w:sz="4" w:space="0"/>
              <w:tl2br w:val="nil"/>
              <w:tr2bl w:val="nil"/>
            </w:tcBorders>
            <w:noWrap/>
            <w:vAlign w:val="center"/>
          </w:tcPr>
          <w:p w14:paraId="6960D453">
            <w:pPr>
              <w:pStyle w:val="130"/>
              <w:keepLines w:val="0"/>
              <w:pageBreakBefore w:val="0"/>
              <w:wordWrap/>
              <w:overflowPunct/>
              <w:topLinePunct/>
              <w:bidi w:val="0"/>
              <w:spacing w:line="440" w:lineRule="exact"/>
              <w:ind w:firstLine="0" w:firstLineChars="0"/>
              <w:jc w:val="center"/>
              <w:outlineLvl w:val="9"/>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技术需求</w:t>
            </w:r>
          </w:p>
        </w:tc>
        <w:tc>
          <w:tcPr>
            <w:tcW w:w="1830" w:type="dxa"/>
            <w:tcBorders>
              <w:top w:val="single" w:color="auto" w:sz="4" w:space="0"/>
              <w:left w:val="single" w:color="auto" w:sz="4" w:space="0"/>
              <w:bottom w:val="single" w:color="auto" w:sz="4" w:space="0"/>
              <w:right w:val="single" w:color="auto" w:sz="4" w:space="0"/>
              <w:tl2br w:val="nil"/>
              <w:tr2bl w:val="nil"/>
            </w:tcBorders>
            <w:noWrap/>
            <w:vAlign w:val="center"/>
          </w:tcPr>
          <w:p w14:paraId="6E148955">
            <w:pPr>
              <w:pStyle w:val="130"/>
              <w:keepLines w:val="0"/>
              <w:pageBreakBefore w:val="0"/>
              <w:wordWrap/>
              <w:overflowPunct/>
              <w:topLinePunct/>
              <w:bidi w:val="0"/>
              <w:spacing w:line="440" w:lineRule="exact"/>
              <w:ind w:firstLine="0" w:firstLineChars="0"/>
              <w:jc w:val="center"/>
              <w:outlineLvl w:val="9"/>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备注</w:t>
            </w:r>
          </w:p>
        </w:tc>
      </w:tr>
      <w:tr w14:paraId="50A31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921" w:type="dxa"/>
            <w:tcBorders>
              <w:top w:val="single" w:color="auto" w:sz="4" w:space="0"/>
              <w:left w:val="single" w:color="auto" w:sz="4" w:space="0"/>
              <w:bottom w:val="single" w:color="auto" w:sz="4" w:space="0"/>
              <w:right w:val="single" w:color="auto" w:sz="4" w:space="0"/>
              <w:tl2br w:val="nil"/>
              <w:tr2bl w:val="nil"/>
            </w:tcBorders>
            <w:noWrap/>
            <w:vAlign w:val="center"/>
          </w:tcPr>
          <w:p w14:paraId="393D106F">
            <w:pPr>
              <w:pStyle w:val="130"/>
              <w:keepLines w:val="0"/>
              <w:pageBreakBefore w:val="0"/>
              <w:wordWrap/>
              <w:overflowPunct/>
              <w:topLinePunct/>
              <w:bidi w:val="0"/>
              <w:spacing w:line="440" w:lineRule="exact"/>
              <w:ind w:firstLine="0" w:firstLineChars="0"/>
              <w:jc w:val="center"/>
              <w:outlineLvl w:val="9"/>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w:t>
            </w:r>
          </w:p>
        </w:tc>
        <w:tc>
          <w:tcPr>
            <w:tcW w:w="2532" w:type="dxa"/>
            <w:tcBorders>
              <w:top w:val="single" w:color="auto" w:sz="4" w:space="0"/>
              <w:left w:val="single" w:color="auto" w:sz="4" w:space="0"/>
              <w:bottom w:val="single" w:color="auto" w:sz="4" w:space="0"/>
              <w:right w:val="single" w:color="auto" w:sz="4" w:space="0"/>
              <w:tl2br w:val="nil"/>
              <w:tr2bl w:val="nil"/>
            </w:tcBorders>
            <w:noWrap/>
            <w:vAlign w:val="center"/>
          </w:tcPr>
          <w:p w14:paraId="556EED1D">
            <w:pPr>
              <w:pStyle w:val="130"/>
              <w:keepLines w:val="0"/>
              <w:pageBreakBefore w:val="0"/>
              <w:wordWrap/>
              <w:overflowPunct/>
              <w:topLinePunct/>
              <w:bidi w:val="0"/>
              <w:spacing w:line="440" w:lineRule="exact"/>
              <w:ind w:firstLine="0" w:firstLineChars="0"/>
              <w:jc w:val="center"/>
              <w:outlineLvl w:val="9"/>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渗透测试服务</w:t>
            </w:r>
          </w:p>
        </w:tc>
        <w:tc>
          <w:tcPr>
            <w:tcW w:w="887" w:type="dxa"/>
            <w:tcBorders>
              <w:top w:val="single" w:color="auto" w:sz="4" w:space="0"/>
              <w:left w:val="single" w:color="auto" w:sz="4" w:space="0"/>
              <w:bottom w:val="single" w:color="auto" w:sz="4" w:space="0"/>
              <w:right w:val="single" w:color="auto" w:sz="4" w:space="0"/>
              <w:tl2br w:val="nil"/>
              <w:tr2bl w:val="nil"/>
            </w:tcBorders>
            <w:noWrap/>
            <w:vAlign w:val="center"/>
          </w:tcPr>
          <w:p w14:paraId="7C2A884B">
            <w:pPr>
              <w:pStyle w:val="130"/>
              <w:keepLines w:val="0"/>
              <w:pageBreakBefore w:val="0"/>
              <w:wordWrap/>
              <w:overflowPunct/>
              <w:topLinePunct/>
              <w:bidi w:val="0"/>
              <w:spacing w:line="440" w:lineRule="exact"/>
              <w:ind w:firstLine="0" w:firstLineChars="0"/>
              <w:jc w:val="center"/>
              <w:outlineLvl w:val="9"/>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48</w:t>
            </w:r>
          </w:p>
        </w:tc>
        <w:tc>
          <w:tcPr>
            <w:tcW w:w="882" w:type="dxa"/>
            <w:tcBorders>
              <w:top w:val="single" w:color="auto" w:sz="4" w:space="0"/>
              <w:left w:val="single" w:color="auto" w:sz="4" w:space="0"/>
              <w:bottom w:val="single" w:color="auto" w:sz="4" w:space="0"/>
              <w:right w:val="single" w:color="auto" w:sz="4" w:space="0"/>
              <w:tl2br w:val="nil"/>
              <w:tr2bl w:val="nil"/>
            </w:tcBorders>
            <w:noWrap/>
            <w:vAlign w:val="center"/>
          </w:tcPr>
          <w:p w14:paraId="642B1806">
            <w:pPr>
              <w:pStyle w:val="130"/>
              <w:keepLines w:val="0"/>
              <w:pageBreakBefore w:val="0"/>
              <w:wordWrap/>
              <w:overflowPunct/>
              <w:topLinePunct/>
              <w:bidi w:val="0"/>
              <w:spacing w:line="440" w:lineRule="exact"/>
              <w:ind w:firstLine="0" w:firstLineChars="0"/>
              <w:jc w:val="center"/>
              <w:outlineLvl w:val="9"/>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次</w:t>
            </w:r>
          </w:p>
        </w:tc>
        <w:tc>
          <w:tcPr>
            <w:tcW w:w="2168" w:type="dxa"/>
            <w:tcBorders>
              <w:top w:val="single" w:color="auto" w:sz="4" w:space="0"/>
              <w:left w:val="single" w:color="auto" w:sz="4" w:space="0"/>
              <w:bottom w:val="single" w:color="auto" w:sz="4" w:space="0"/>
              <w:right w:val="single" w:color="auto" w:sz="4" w:space="0"/>
              <w:tl2br w:val="nil"/>
              <w:tr2bl w:val="nil"/>
            </w:tcBorders>
            <w:shd w:val="clear" w:color="auto" w:fill="auto"/>
            <w:noWrap/>
            <w:vAlign w:val="center"/>
          </w:tcPr>
          <w:p w14:paraId="4D487135">
            <w:pPr>
              <w:pStyle w:val="130"/>
              <w:keepLines w:val="0"/>
              <w:pageBreakBefore w:val="0"/>
              <w:wordWrap/>
              <w:overflowPunct/>
              <w:topLinePunct/>
              <w:bidi w:val="0"/>
              <w:spacing w:line="440" w:lineRule="exact"/>
              <w:ind w:firstLine="0" w:firstLineChars="0"/>
              <w:jc w:val="center"/>
              <w:outlineLvl w:val="9"/>
              <w:rPr>
                <w:rFonts w:hint="default" w:ascii="宋体" w:hAnsi="宋体" w:eastAsia="宋体" w:cs="宋体"/>
                <w:color w:val="auto"/>
                <w:kern w:val="2"/>
                <w:sz w:val="24"/>
                <w:szCs w:val="24"/>
                <w:highlight w:val="none"/>
                <w:lang w:val="en-US" w:eastAsia="zh-CN" w:bidi="ar-SA"/>
              </w:rPr>
            </w:pPr>
            <w:r>
              <w:rPr>
                <w:rFonts w:hint="default" w:ascii="宋体" w:hAnsi="宋体" w:eastAsia="宋体" w:cs="宋体"/>
                <w:color w:val="auto"/>
                <w:kern w:val="2"/>
                <w:sz w:val="24"/>
                <w:szCs w:val="24"/>
                <w:highlight w:val="none"/>
                <w:lang w:val="en-US" w:eastAsia="zh-CN" w:bidi="ar-SA"/>
              </w:rPr>
              <w:t>详见技术参数</w:t>
            </w:r>
          </w:p>
        </w:tc>
        <w:tc>
          <w:tcPr>
            <w:tcW w:w="1830" w:type="dxa"/>
            <w:tcBorders>
              <w:top w:val="single" w:color="auto" w:sz="4" w:space="0"/>
              <w:left w:val="single" w:color="auto" w:sz="4" w:space="0"/>
              <w:bottom w:val="single" w:color="auto" w:sz="4" w:space="0"/>
              <w:right w:val="single" w:color="auto" w:sz="4" w:space="0"/>
              <w:tl2br w:val="nil"/>
              <w:tr2bl w:val="nil"/>
            </w:tcBorders>
            <w:noWrap/>
            <w:vAlign w:val="center"/>
          </w:tcPr>
          <w:p w14:paraId="1192EBC3">
            <w:pPr>
              <w:pStyle w:val="130"/>
              <w:keepLines w:val="0"/>
              <w:pageBreakBefore w:val="0"/>
              <w:wordWrap/>
              <w:overflowPunct/>
              <w:topLinePunct/>
              <w:bidi w:val="0"/>
              <w:spacing w:line="440" w:lineRule="exact"/>
              <w:ind w:firstLine="0" w:firstLineChars="0"/>
              <w:jc w:val="center"/>
              <w:outlineLvl w:val="9"/>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每月一次</w:t>
            </w:r>
          </w:p>
        </w:tc>
      </w:tr>
      <w:tr w14:paraId="74F05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921" w:type="dxa"/>
            <w:tcBorders>
              <w:top w:val="single" w:color="auto" w:sz="4" w:space="0"/>
              <w:left w:val="single" w:color="auto" w:sz="4" w:space="0"/>
              <w:bottom w:val="single" w:color="auto" w:sz="4" w:space="0"/>
              <w:right w:val="single" w:color="auto" w:sz="4" w:space="0"/>
              <w:tl2br w:val="nil"/>
              <w:tr2bl w:val="nil"/>
            </w:tcBorders>
            <w:noWrap/>
            <w:vAlign w:val="center"/>
          </w:tcPr>
          <w:p w14:paraId="43526307">
            <w:pPr>
              <w:pStyle w:val="130"/>
              <w:keepLines w:val="0"/>
              <w:pageBreakBefore w:val="0"/>
              <w:wordWrap/>
              <w:overflowPunct/>
              <w:topLinePunct/>
              <w:bidi w:val="0"/>
              <w:spacing w:line="440" w:lineRule="exact"/>
              <w:ind w:firstLine="0" w:firstLineChars="0"/>
              <w:jc w:val="center"/>
              <w:outlineLvl w:val="9"/>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w:t>
            </w:r>
          </w:p>
        </w:tc>
        <w:tc>
          <w:tcPr>
            <w:tcW w:w="2532" w:type="dxa"/>
            <w:tcBorders>
              <w:top w:val="single" w:color="auto" w:sz="4" w:space="0"/>
              <w:left w:val="single" w:color="auto" w:sz="4" w:space="0"/>
              <w:bottom w:val="single" w:color="auto" w:sz="4" w:space="0"/>
              <w:right w:val="single" w:color="auto" w:sz="4" w:space="0"/>
              <w:tl2br w:val="nil"/>
              <w:tr2bl w:val="nil"/>
            </w:tcBorders>
            <w:noWrap/>
            <w:vAlign w:val="center"/>
          </w:tcPr>
          <w:p w14:paraId="762058F4">
            <w:pPr>
              <w:pStyle w:val="130"/>
              <w:keepLines w:val="0"/>
              <w:pageBreakBefore w:val="0"/>
              <w:wordWrap/>
              <w:overflowPunct/>
              <w:topLinePunct/>
              <w:bidi w:val="0"/>
              <w:spacing w:line="440" w:lineRule="exact"/>
              <w:ind w:firstLine="0" w:firstLineChars="0"/>
              <w:jc w:val="center"/>
              <w:outlineLvl w:val="9"/>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网络安全等级保护</w:t>
            </w:r>
          </w:p>
        </w:tc>
        <w:tc>
          <w:tcPr>
            <w:tcW w:w="887" w:type="dxa"/>
            <w:tcBorders>
              <w:top w:val="single" w:color="auto" w:sz="4" w:space="0"/>
              <w:left w:val="single" w:color="auto" w:sz="4" w:space="0"/>
              <w:bottom w:val="single" w:color="auto" w:sz="4" w:space="0"/>
              <w:right w:val="single" w:color="auto" w:sz="4" w:space="0"/>
              <w:tl2br w:val="nil"/>
              <w:tr2bl w:val="nil"/>
            </w:tcBorders>
            <w:noWrap/>
            <w:vAlign w:val="center"/>
          </w:tcPr>
          <w:p w14:paraId="5A0CE468">
            <w:pPr>
              <w:pStyle w:val="130"/>
              <w:keepLines w:val="0"/>
              <w:pageBreakBefore w:val="0"/>
              <w:wordWrap/>
              <w:overflowPunct/>
              <w:topLinePunct/>
              <w:bidi w:val="0"/>
              <w:spacing w:line="440" w:lineRule="exact"/>
              <w:ind w:firstLine="0" w:firstLineChars="0"/>
              <w:jc w:val="center"/>
              <w:outlineLvl w:val="9"/>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w:t>
            </w:r>
          </w:p>
        </w:tc>
        <w:tc>
          <w:tcPr>
            <w:tcW w:w="882" w:type="dxa"/>
            <w:tcBorders>
              <w:top w:val="single" w:color="auto" w:sz="4" w:space="0"/>
              <w:left w:val="single" w:color="auto" w:sz="4" w:space="0"/>
              <w:bottom w:val="single" w:color="auto" w:sz="4" w:space="0"/>
              <w:right w:val="single" w:color="auto" w:sz="4" w:space="0"/>
              <w:tl2br w:val="nil"/>
              <w:tr2bl w:val="nil"/>
            </w:tcBorders>
            <w:noWrap/>
            <w:vAlign w:val="center"/>
          </w:tcPr>
          <w:p w14:paraId="11198632">
            <w:pPr>
              <w:pStyle w:val="130"/>
              <w:keepLines w:val="0"/>
              <w:pageBreakBefore w:val="0"/>
              <w:wordWrap/>
              <w:overflowPunct/>
              <w:topLinePunct/>
              <w:bidi w:val="0"/>
              <w:spacing w:line="440" w:lineRule="exact"/>
              <w:ind w:firstLine="0" w:firstLineChars="0"/>
              <w:jc w:val="center"/>
              <w:outlineLvl w:val="9"/>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个</w:t>
            </w:r>
          </w:p>
        </w:tc>
        <w:tc>
          <w:tcPr>
            <w:tcW w:w="2168" w:type="dxa"/>
            <w:tcBorders>
              <w:top w:val="single" w:color="auto" w:sz="4" w:space="0"/>
              <w:left w:val="single" w:color="auto" w:sz="4" w:space="0"/>
              <w:bottom w:val="single" w:color="auto" w:sz="4" w:space="0"/>
              <w:right w:val="single" w:color="auto" w:sz="4" w:space="0"/>
              <w:tl2br w:val="nil"/>
              <w:tr2bl w:val="nil"/>
            </w:tcBorders>
            <w:shd w:val="clear" w:color="auto" w:fill="auto"/>
            <w:noWrap/>
            <w:vAlign w:val="center"/>
          </w:tcPr>
          <w:p w14:paraId="22F968E2">
            <w:pPr>
              <w:pStyle w:val="130"/>
              <w:keepLines w:val="0"/>
              <w:pageBreakBefore w:val="0"/>
              <w:wordWrap/>
              <w:overflowPunct/>
              <w:topLinePunct/>
              <w:bidi w:val="0"/>
              <w:spacing w:line="440" w:lineRule="exact"/>
              <w:ind w:firstLine="0" w:firstLineChars="0"/>
              <w:jc w:val="center"/>
              <w:outlineLvl w:val="9"/>
              <w:rPr>
                <w:rFonts w:hint="default" w:ascii="宋体" w:hAnsi="宋体" w:eastAsia="宋体" w:cs="宋体"/>
                <w:color w:val="auto"/>
                <w:kern w:val="2"/>
                <w:sz w:val="24"/>
                <w:szCs w:val="24"/>
                <w:highlight w:val="none"/>
                <w:lang w:val="en-US" w:eastAsia="zh-CN" w:bidi="ar-SA"/>
              </w:rPr>
            </w:pPr>
            <w:r>
              <w:rPr>
                <w:rFonts w:hint="default" w:ascii="宋体" w:hAnsi="宋体" w:eastAsia="宋体" w:cs="宋体"/>
                <w:color w:val="auto"/>
                <w:kern w:val="2"/>
                <w:sz w:val="24"/>
                <w:szCs w:val="24"/>
                <w:highlight w:val="none"/>
                <w:lang w:val="en-US" w:eastAsia="zh-CN" w:bidi="ar-SA"/>
              </w:rPr>
              <w:t>详见技术参数</w:t>
            </w:r>
          </w:p>
        </w:tc>
        <w:tc>
          <w:tcPr>
            <w:tcW w:w="1830" w:type="dxa"/>
            <w:tcBorders>
              <w:top w:val="single" w:color="auto" w:sz="4" w:space="0"/>
              <w:left w:val="single" w:color="auto" w:sz="4" w:space="0"/>
              <w:bottom w:val="single" w:color="auto" w:sz="4" w:space="0"/>
              <w:right w:val="single" w:color="auto" w:sz="4" w:space="0"/>
              <w:tl2br w:val="nil"/>
              <w:tr2bl w:val="nil"/>
            </w:tcBorders>
            <w:noWrap/>
            <w:vAlign w:val="center"/>
          </w:tcPr>
          <w:p w14:paraId="188534D4">
            <w:pPr>
              <w:pStyle w:val="130"/>
              <w:keepLines w:val="0"/>
              <w:pageBreakBefore w:val="0"/>
              <w:wordWrap/>
              <w:overflowPunct/>
              <w:topLinePunct/>
              <w:bidi w:val="0"/>
              <w:spacing w:line="440" w:lineRule="exact"/>
              <w:ind w:firstLine="0" w:firstLineChars="0"/>
              <w:jc w:val="center"/>
              <w:outlineLvl w:val="9"/>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备案及测评</w:t>
            </w:r>
          </w:p>
        </w:tc>
      </w:tr>
      <w:tr w14:paraId="02A12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921" w:type="dxa"/>
            <w:tcBorders>
              <w:top w:val="single" w:color="auto" w:sz="4" w:space="0"/>
              <w:left w:val="single" w:color="auto" w:sz="4" w:space="0"/>
              <w:bottom w:val="single" w:color="auto" w:sz="4" w:space="0"/>
              <w:right w:val="single" w:color="auto" w:sz="4" w:space="0"/>
              <w:tl2br w:val="nil"/>
              <w:tr2bl w:val="nil"/>
            </w:tcBorders>
            <w:noWrap/>
            <w:vAlign w:val="center"/>
          </w:tcPr>
          <w:p w14:paraId="0560AE90">
            <w:pPr>
              <w:pStyle w:val="130"/>
              <w:keepLines w:val="0"/>
              <w:pageBreakBefore w:val="0"/>
              <w:wordWrap/>
              <w:overflowPunct/>
              <w:topLinePunct/>
              <w:bidi w:val="0"/>
              <w:spacing w:line="440" w:lineRule="exact"/>
              <w:ind w:firstLine="0" w:firstLineChars="0"/>
              <w:jc w:val="center"/>
              <w:outlineLvl w:val="9"/>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w:t>
            </w:r>
          </w:p>
        </w:tc>
        <w:tc>
          <w:tcPr>
            <w:tcW w:w="2532" w:type="dxa"/>
            <w:tcBorders>
              <w:top w:val="single" w:color="auto" w:sz="4" w:space="0"/>
              <w:left w:val="single" w:color="auto" w:sz="4" w:space="0"/>
              <w:bottom w:val="single" w:color="auto" w:sz="4" w:space="0"/>
              <w:right w:val="single" w:color="auto" w:sz="4" w:space="0"/>
              <w:tl2br w:val="nil"/>
              <w:tr2bl w:val="nil"/>
            </w:tcBorders>
            <w:noWrap/>
            <w:vAlign w:val="center"/>
          </w:tcPr>
          <w:p w14:paraId="5A426373">
            <w:pPr>
              <w:pStyle w:val="130"/>
              <w:keepLines w:val="0"/>
              <w:pageBreakBefore w:val="0"/>
              <w:wordWrap/>
              <w:overflowPunct/>
              <w:topLinePunct/>
              <w:bidi w:val="0"/>
              <w:spacing w:line="440" w:lineRule="exact"/>
              <w:ind w:firstLine="0" w:firstLineChars="0"/>
              <w:jc w:val="center"/>
              <w:outlineLvl w:val="9"/>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办公设备驻场运维</w:t>
            </w:r>
          </w:p>
        </w:tc>
        <w:tc>
          <w:tcPr>
            <w:tcW w:w="887" w:type="dxa"/>
            <w:tcBorders>
              <w:top w:val="single" w:color="auto" w:sz="4" w:space="0"/>
              <w:left w:val="single" w:color="auto" w:sz="4" w:space="0"/>
              <w:bottom w:val="single" w:color="auto" w:sz="4" w:space="0"/>
              <w:right w:val="single" w:color="auto" w:sz="4" w:space="0"/>
              <w:tl2br w:val="nil"/>
              <w:tr2bl w:val="nil"/>
            </w:tcBorders>
            <w:noWrap/>
            <w:vAlign w:val="center"/>
          </w:tcPr>
          <w:p w14:paraId="45ED76D1">
            <w:pPr>
              <w:pStyle w:val="130"/>
              <w:keepLines w:val="0"/>
              <w:pageBreakBefore w:val="0"/>
              <w:wordWrap/>
              <w:overflowPunct/>
              <w:topLinePunct/>
              <w:bidi w:val="0"/>
              <w:spacing w:line="440" w:lineRule="exact"/>
              <w:ind w:firstLine="0" w:firstLineChars="0"/>
              <w:jc w:val="center"/>
              <w:outlineLvl w:val="9"/>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w:t>
            </w:r>
          </w:p>
        </w:tc>
        <w:tc>
          <w:tcPr>
            <w:tcW w:w="882" w:type="dxa"/>
            <w:tcBorders>
              <w:top w:val="single" w:color="auto" w:sz="4" w:space="0"/>
              <w:left w:val="single" w:color="auto" w:sz="4" w:space="0"/>
              <w:bottom w:val="single" w:color="auto" w:sz="4" w:space="0"/>
              <w:right w:val="single" w:color="auto" w:sz="4" w:space="0"/>
              <w:tl2br w:val="nil"/>
              <w:tr2bl w:val="nil"/>
            </w:tcBorders>
            <w:noWrap/>
            <w:vAlign w:val="center"/>
          </w:tcPr>
          <w:p w14:paraId="35A3DC92">
            <w:pPr>
              <w:pStyle w:val="130"/>
              <w:keepLines w:val="0"/>
              <w:pageBreakBefore w:val="0"/>
              <w:wordWrap/>
              <w:overflowPunct/>
              <w:topLinePunct/>
              <w:bidi w:val="0"/>
              <w:spacing w:line="440" w:lineRule="exact"/>
              <w:ind w:firstLine="0" w:firstLineChars="0"/>
              <w:jc w:val="center"/>
              <w:outlineLvl w:val="9"/>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人</w:t>
            </w:r>
          </w:p>
        </w:tc>
        <w:tc>
          <w:tcPr>
            <w:tcW w:w="2168" w:type="dxa"/>
            <w:tcBorders>
              <w:top w:val="single" w:color="auto" w:sz="4" w:space="0"/>
              <w:left w:val="single" w:color="auto" w:sz="4" w:space="0"/>
              <w:bottom w:val="single" w:color="auto" w:sz="4" w:space="0"/>
              <w:right w:val="single" w:color="auto" w:sz="4" w:space="0"/>
              <w:tl2br w:val="nil"/>
              <w:tr2bl w:val="nil"/>
            </w:tcBorders>
            <w:shd w:val="clear" w:color="auto" w:fill="auto"/>
            <w:noWrap/>
            <w:vAlign w:val="center"/>
          </w:tcPr>
          <w:p w14:paraId="0A646E81">
            <w:pPr>
              <w:pStyle w:val="130"/>
              <w:keepLines w:val="0"/>
              <w:pageBreakBefore w:val="0"/>
              <w:wordWrap/>
              <w:overflowPunct/>
              <w:topLinePunct/>
              <w:bidi w:val="0"/>
              <w:spacing w:line="440" w:lineRule="exact"/>
              <w:ind w:firstLine="0" w:firstLineChars="0"/>
              <w:jc w:val="center"/>
              <w:outlineLvl w:val="9"/>
              <w:rPr>
                <w:rFonts w:hint="default" w:ascii="宋体" w:hAnsi="宋体" w:eastAsia="宋体" w:cs="宋体"/>
                <w:color w:val="auto"/>
                <w:kern w:val="2"/>
                <w:sz w:val="24"/>
                <w:szCs w:val="24"/>
                <w:highlight w:val="none"/>
                <w:lang w:val="en-US" w:eastAsia="zh-CN" w:bidi="ar-SA"/>
              </w:rPr>
            </w:pPr>
            <w:r>
              <w:rPr>
                <w:rFonts w:hint="default" w:ascii="宋体" w:hAnsi="宋体" w:eastAsia="宋体" w:cs="宋体"/>
                <w:color w:val="auto"/>
                <w:kern w:val="2"/>
                <w:sz w:val="24"/>
                <w:szCs w:val="24"/>
                <w:highlight w:val="none"/>
                <w:lang w:val="en-US" w:eastAsia="zh-CN" w:bidi="ar-SA"/>
              </w:rPr>
              <w:t>详见</w:t>
            </w:r>
            <w:r>
              <w:rPr>
                <w:rFonts w:hint="eastAsia" w:ascii="宋体" w:hAnsi="宋体" w:cs="宋体"/>
                <w:color w:val="auto"/>
                <w:kern w:val="2"/>
                <w:sz w:val="24"/>
                <w:szCs w:val="24"/>
                <w:highlight w:val="none"/>
                <w:lang w:val="en-US" w:eastAsia="zh-CN" w:bidi="ar-SA"/>
              </w:rPr>
              <w:t>相关要求</w:t>
            </w:r>
          </w:p>
        </w:tc>
        <w:tc>
          <w:tcPr>
            <w:tcW w:w="1830" w:type="dxa"/>
            <w:tcBorders>
              <w:top w:val="single" w:color="auto" w:sz="4" w:space="0"/>
              <w:left w:val="single" w:color="auto" w:sz="4" w:space="0"/>
              <w:bottom w:val="single" w:color="auto" w:sz="4" w:space="0"/>
              <w:right w:val="single" w:color="auto" w:sz="4" w:space="0"/>
              <w:tl2br w:val="nil"/>
              <w:tr2bl w:val="nil"/>
            </w:tcBorders>
            <w:noWrap/>
            <w:vAlign w:val="center"/>
          </w:tcPr>
          <w:p w14:paraId="02173A9F">
            <w:pPr>
              <w:pStyle w:val="130"/>
              <w:keepLines w:val="0"/>
              <w:pageBreakBefore w:val="0"/>
              <w:wordWrap/>
              <w:overflowPunct/>
              <w:topLinePunct/>
              <w:bidi w:val="0"/>
              <w:spacing w:line="440" w:lineRule="exact"/>
              <w:ind w:firstLine="0" w:firstLineChars="0"/>
              <w:jc w:val="center"/>
              <w:outlineLvl w:val="9"/>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驻场</w:t>
            </w:r>
          </w:p>
        </w:tc>
      </w:tr>
      <w:tr w14:paraId="3AC25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921" w:type="dxa"/>
            <w:tcBorders>
              <w:top w:val="single" w:color="auto" w:sz="4" w:space="0"/>
              <w:left w:val="single" w:color="auto" w:sz="4" w:space="0"/>
              <w:bottom w:val="single" w:color="auto" w:sz="4" w:space="0"/>
              <w:right w:val="single" w:color="auto" w:sz="4" w:space="0"/>
              <w:tl2br w:val="nil"/>
              <w:tr2bl w:val="nil"/>
            </w:tcBorders>
            <w:noWrap/>
            <w:vAlign w:val="center"/>
          </w:tcPr>
          <w:p w14:paraId="6048C473">
            <w:pPr>
              <w:pStyle w:val="130"/>
              <w:keepLines w:val="0"/>
              <w:pageBreakBefore w:val="0"/>
              <w:wordWrap/>
              <w:overflowPunct/>
              <w:topLinePunct/>
              <w:bidi w:val="0"/>
              <w:spacing w:line="440" w:lineRule="exact"/>
              <w:ind w:firstLine="0" w:firstLineChars="0"/>
              <w:jc w:val="center"/>
              <w:outlineLvl w:val="9"/>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w:t>
            </w:r>
          </w:p>
        </w:tc>
        <w:tc>
          <w:tcPr>
            <w:tcW w:w="2532" w:type="dxa"/>
            <w:tcBorders>
              <w:top w:val="single" w:color="auto" w:sz="4" w:space="0"/>
              <w:left w:val="single" w:color="auto" w:sz="4" w:space="0"/>
              <w:bottom w:val="single" w:color="auto" w:sz="4" w:space="0"/>
              <w:right w:val="single" w:color="auto" w:sz="4" w:space="0"/>
              <w:tl2br w:val="nil"/>
              <w:tr2bl w:val="nil"/>
            </w:tcBorders>
            <w:noWrap/>
            <w:vAlign w:val="center"/>
          </w:tcPr>
          <w:p w14:paraId="57D2B705">
            <w:pPr>
              <w:pStyle w:val="130"/>
              <w:keepLines w:val="0"/>
              <w:pageBreakBefore w:val="0"/>
              <w:wordWrap/>
              <w:overflowPunct/>
              <w:topLinePunct/>
              <w:bidi w:val="0"/>
              <w:spacing w:line="440" w:lineRule="exact"/>
              <w:ind w:firstLine="0" w:firstLineChars="0"/>
              <w:jc w:val="center"/>
              <w:outlineLvl w:val="9"/>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网络安全驻场运维</w:t>
            </w:r>
          </w:p>
        </w:tc>
        <w:tc>
          <w:tcPr>
            <w:tcW w:w="887" w:type="dxa"/>
            <w:tcBorders>
              <w:top w:val="single" w:color="auto" w:sz="4" w:space="0"/>
              <w:left w:val="single" w:color="auto" w:sz="4" w:space="0"/>
              <w:bottom w:val="single" w:color="auto" w:sz="4" w:space="0"/>
              <w:right w:val="single" w:color="auto" w:sz="4" w:space="0"/>
              <w:tl2br w:val="nil"/>
              <w:tr2bl w:val="nil"/>
            </w:tcBorders>
            <w:noWrap/>
            <w:vAlign w:val="center"/>
          </w:tcPr>
          <w:p w14:paraId="2306A7B3">
            <w:pPr>
              <w:pStyle w:val="130"/>
              <w:keepLines w:val="0"/>
              <w:pageBreakBefore w:val="0"/>
              <w:wordWrap/>
              <w:overflowPunct/>
              <w:topLinePunct/>
              <w:bidi w:val="0"/>
              <w:spacing w:line="440" w:lineRule="exact"/>
              <w:ind w:firstLine="0" w:firstLineChars="0"/>
              <w:jc w:val="center"/>
              <w:outlineLvl w:val="9"/>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w:t>
            </w:r>
          </w:p>
        </w:tc>
        <w:tc>
          <w:tcPr>
            <w:tcW w:w="882" w:type="dxa"/>
            <w:tcBorders>
              <w:top w:val="single" w:color="auto" w:sz="4" w:space="0"/>
              <w:left w:val="single" w:color="auto" w:sz="4" w:space="0"/>
              <w:bottom w:val="single" w:color="auto" w:sz="4" w:space="0"/>
              <w:right w:val="single" w:color="auto" w:sz="4" w:space="0"/>
              <w:tl2br w:val="nil"/>
              <w:tr2bl w:val="nil"/>
            </w:tcBorders>
            <w:noWrap/>
            <w:vAlign w:val="center"/>
          </w:tcPr>
          <w:p w14:paraId="11BF9AB0">
            <w:pPr>
              <w:pStyle w:val="130"/>
              <w:keepLines w:val="0"/>
              <w:pageBreakBefore w:val="0"/>
              <w:wordWrap/>
              <w:overflowPunct/>
              <w:topLinePunct/>
              <w:bidi w:val="0"/>
              <w:spacing w:line="440" w:lineRule="exact"/>
              <w:ind w:firstLine="0" w:firstLineChars="0"/>
              <w:jc w:val="center"/>
              <w:outlineLvl w:val="9"/>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人</w:t>
            </w:r>
          </w:p>
        </w:tc>
        <w:tc>
          <w:tcPr>
            <w:tcW w:w="2168" w:type="dxa"/>
            <w:tcBorders>
              <w:top w:val="single" w:color="auto" w:sz="4" w:space="0"/>
              <w:left w:val="single" w:color="auto" w:sz="4" w:space="0"/>
              <w:bottom w:val="single" w:color="auto" w:sz="4" w:space="0"/>
              <w:right w:val="single" w:color="auto" w:sz="4" w:space="0"/>
              <w:tl2br w:val="nil"/>
              <w:tr2bl w:val="nil"/>
            </w:tcBorders>
            <w:noWrap/>
            <w:vAlign w:val="center"/>
          </w:tcPr>
          <w:p w14:paraId="6BECDEB5">
            <w:pPr>
              <w:pStyle w:val="130"/>
              <w:keepLines w:val="0"/>
              <w:pageBreakBefore w:val="0"/>
              <w:wordWrap/>
              <w:overflowPunct/>
              <w:topLinePunct/>
              <w:bidi w:val="0"/>
              <w:spacing w:line="440" w:lineRule="exact"/>
              <w:ind w:firstLine="0" w:firstLineChars="0"/>
              <w:jc w:val="center"/>
              <w:outlineLvl w:val="9"/>
              <w:rPr>
                <w:rFonts w:hint="default" w:ascii="宋体" w:hAnsi="宋体" w:eastAsia="宋体" w:cs="宋体"/>
                <w:color w:val="auto"/>
                <w:kern w:val="2"/>
                <w:sz w:val="24"/>
                <w:szCs w:val="24"/>
                <w:highlight w:val="none"/>
                <w:lang w:val="en-US" w:eastAsia="zh-CN" w:bidi="ar-SA"/>
              </w:rPr>
            </w:pPr>
            <w:r>
              <w:rPr>
                <w:rFonts w:hint="default" w:ascii="宋体" w:hAnsi="宋体" w:eastAsia="宋体" w:cs="宋体"/>
                <w:color w:val="auto"/>
                <w:kern w:val="2"/>
                <w:sz w:val="24"/>
                <w:szCs w:val="24"/>
                <w:highlight w:val="none"/>
                <w:lang w:val="en-US" w:eastAsia="zh-CN" w:bidi="ar-SA"/>
              </w:rPr>
              <w:t>详见</w:t>
            </w:r>
            <w:r>
              <w:rPr>
                <w:rFonts w:hint="eastAsia" w:ascii="宋体" w:hAnsi="宋体" w:cs="宋体"/>
                <w:color w:val="auto"/>
                <w:kern w:val="2"/>
                <w:sz w:val="24"/>
                <w:szCs w:val="24"/>
                <w:highlight w:val="none"/>
                <w:lang w:val="en-US" w:eastAsia="zh-CN" w:bidi="ar-SA"/>
              </w:rPr>
              <w:t>相关要求</w:t>
            </w:r>
          </w:p>
        </w:tc>
        <w:tc>
          <w:tcPr>
            <w:tcW w:w="1830" w:type="dxa"/>
            <w:tcBorders>
              <w:top w:val="single" w:color="auto" w:sz="4" w:space="0"/>
              <w:left w:val="single" w:color="auto" w:sz="4" w:space="0"/>
              <w:bottom w:val="single" w:color="auto" w:sz="4" w:space="0"/>
              <w:right w:val="single" w:color="auto" w:sz="4" w:space="0"/>
              <w:tl2br w:val="nil"/>
              <w:tr2bl w:val="nil"/>
            </w:tcBorders>
            <w:noWrap/>
            <w:vAlign w:val="center"/>
          </w:tcPr>
          <w:p w14:paraId="739DB6B5">
            <w:pPr>
              <w:pStyle w:val="130"/>
              <w:keepLines w:val="0"/>
              <w:pageBreakBefore w:val="0"/>
              <w:wordWrap/>
              <w:overflowPunct/>
              <w:topLinePunct/>
              <w:bidi w:val="0"/>
              <w:spacing w:line="440" w:lineRule="exact"/>
              <w:ind w:firstLine="0" w:firstLineChars="0"/>
              <w:jc w:val="center"/>
              <w:outlineLvl w:val="9"/>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驻场</w:t>
            </w:r>
          </w:p>
        </w:tc>
      </w:tr>
    </w:tbl>
    <w:p w14:paraId="5DF874DA">
      <w:pPr>
        <w:keepNext w:val="0"/>
        <w:keepLines w:val="0"/>
        <w:pageBreakBefore w:val="0"/>
        <w:numPr>
          <w:ilvl w:val="0"/>
          <w:numId w:val="0"/>
        </w:numPr>
        <w:tabs>
          <w:tab w:val="left" w:pos="1204"/>
        </w:tabs>
        <w:kinsoku w:val="0"/>
        <w:wordWrap/>
        <w:overflowPunct/>
        <w:topLinePunct/>
        <w:autoSpaceDE w:val="0"/>
        <w:autoSpaceDN w:val="0"/>
        <w:bidi w:val="0"/>
        <w:adjustRightInd w:val="0"/>
        <w:snapToGrid w:val="0"/>
        <w:spacing w:line="560" w:lineRule="exact"/>
        <w:textAlignment w:val="baseline"/>
        <w:outlineLvl w:val="9"/>
        <w:rPr>
          <w:rFonts w:hint="eastAsia" w:ascii="宋体" w:hAnsi="宋体" w:eastAsia="宋体" w:cs="宋体"/>
          <w:color w:val="auto"/>
          <w:sz w:val="24"/>
          <w:szCs w:val="24"/>
          <w:highlight w:val="none"/>
        </w:rPr>
      </w:pPr>
      <w:bookmarkStart w:id="54" w:name="_Toc86685022"/>
    </w:p>
    <w:p w14:paraId="0942E1B7">
      <w:pPr>
        <w:pStyle w:val="3"/>
        <w:widowControl/>
        <w:numPr>
          <w:ilvl w:val="0"/>
          <w:numId w:val="0"/>
        </w:numPr>
        <w:tabs>
          <w:tab w:val="left" w:pos="963"/>
          <w:tab w:val="clear" w:pos="360"/>
        </w:tabs>
        <w:topLinePunct w:val="0"/>
        <w:spacing w:line="240" w:lineRule="auto"/>
        <w:ind w:firstLine="482"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详细技术需求</w:t>
      </w:r>
    </w:p>
    <w:p w14:paraId="78832E2E">
      <w:pPr>
        <w:keepNext w:val="0"/>
        <w:keepLines w:val="0"/>
        <w:pageBreakBefore w:val="0"/>
        <w:numPr>
          <w:ilvl w:val="-1"/>
          <w:numId w:val="0"/>
        </w:numPr>
        <w:tabs>
          <w:tab w:val="left" w:pos="1204"/>
        </w:tabs>
        <w:wordWrap/>
        <w:overflowPunct/>
        <w:topLinePunct/>
        <w:bidi w:val="0"/>
        <w:spacing w:line="560" w:lineRule="exact"/>
        <w:ind w:left="420" w:leftChars="0" w:firstLine="0" w:firstLineChars="0"/>
        <w:outlineLvl w:val="9"/>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eastAsia="zh-CN"/>
        </w:rPr>
        <w:t>（一）</w:t>
      </w:r>
      <w:r>
        <w:rPr>
          <w:rFonts w:hint="eastAsia" w:ascii="宋体" w:hAnsi="宋体" w:eastAsia="宋体" w:cs="宋体"/>
          <w:b/>
          <w:bCs/>
          <w:color w:val="auto"/>
          <w:sz w:val="24"/>
          <w:szCs w:val="24"/>
          <w:highlight w:val="none"/>
        </w:rPr>
        <w:t>渗透测试服务</w:t>
      </w:r>
    </w:p>
    <w:p w14:paraId="30F283D9">
      <w:pPr>
        <w:keepNext w:val="0"/>
        <w:keepLines w:val="0"/>
        <w:pageBreakBefore w:val="0"/>
        <w:widowControl/>
        <w:numPr>
          <w:ilvl w:val="-1"/>
          <w:numId w:val="0"/>
        </w:numPr>
        <w:tabs>
          <w:tab w:val="left" w:pos="783"/>
        </w:tabs>
        <w:wordWrap/>
        <w:overflowPunct/>
        <w:topLinePunct/>
        <w:bidi w:val="0"/>
        <w:spacing w:line="560" w:lineRule="exact"/>
        <w:ind w:left="420" w:leftChars="200" w:firstLine="0" w:firstLineChars="0"/>
        <w:outlineLvl w:val="9"/>
        <w:rPr>
          <w:rFonts w:hint="eastAsia" w:ascii="宋体" w:hAnsi="宋体" w:eastAsia="宋体" w:cs="宋体"/>
          <w:color w:val="auto"/>
          <w:sz w:val="24"/>
          <w:szCs w:val="24"/>
          <w:highlight w:val="none"/>
        </w:rPr>
      </w:pPr>
      <w:bookmarkStart w:id="55" w:name="_Toc75081915"/>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服务目标</w:t>
      </w:r>
      <w:bookmarkEnd w:id="55"/>
    </w:p>
    <w:p w14:paraId="74C212EE">
      <w:pPr>
        <w:pStyle w:val="17"/>
        <w:keepNext w:val="0"/>
        <w:keepLines w:val="0"/>
        <w:pageBreakBefore w:val="0"/>
        <w:widowControl/>
        <w:numPr>
          <w:ilvl w:val="0"/>
          <w:numId w:val="0"/>
        </w:numPr>
        <w:tabs>
          <w:tab w:val="left" w:pos="482"/>
        </w:tabs>
        <w:wordWrap/>
        <w:overflowPunct/>
        <w:topLinePunct/>
        <w:bidi w:val="0"/>
        <w:spacing w:line="560" w:lineRule="exact"/>
        <w:ind w:left="690" w:leftChars="0" w:firstLine="480" w:firstLineChars="200"/>
        <w:outlineLvl w:val="9"/>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通过渗透测试，及时发现WEB应用、C/S架构应用系统</w:t>
      </w:r>
      <w:r>
        <w:rPr>
          <w:rFonts w:hint="eastAsia" w:ascii="宋体" w:hAnsi="宋体" w:cs="宋体"/>
          <w:b w:val="0"/>
          <w:color w:val="auto"/>
          <w:sz w:val="24"/>
          <w:szCs w:val="24"/>
          <w:highlight w:val="none"/>
          <w:lang w:eastAsia="zh-CN"/>
        </w:rPr>
        <w:t>及移动端应用（</w:t>
      </w:r>
      <w:r>
        <w:rPr>
          <w:rFonts w:hint="eastAsia" w:ascii="宋体" w:hAnsi="宋体" w:cs="宋体"/>
          <w:b w:val="0"/>
          <w:color w:val="auto"/>
          <w:sz w:val="24"/>
          <w:szCs w:val="24"/>
          <w:highlight w:val="none"/>
          <w:lang w:val="en-US" w:eastAsia="zh-CN"/>
        </w:rPr>
        <w:t>APP</w:t>
      </w:r>
      <w:r>
        <w:rPr>
          <w:rFonts w:hint="eastAsia" w:ascii="宋体" w:hAnsi="宋体" w:cs="宋体"/>
          <w:b w:val="0"/>
          <w:color w:val="auto"/>
          <w:sz w:val="24"/>
          <w:szCs w:val="24"/>
          <w:highlight w:val="none"/>
          <w:lang w:eastAsia="zh-CN"/>
        </w:rPr>
        <w:t>）</w:t>
      </w:r>
      <w:r>
        <w:rPr>
          <w:rFonts w:hint="eastAsia" w:ascii="宋体" w:hAnsi="宋体" w:eastAsia="宋体" w:cs="宋体"/>
          <w:b w:val="0"/>
          <w:color w:val="auto"/>
          <w:sz w:val="24"/>
          <w:szCs w:val="24"/>
          <w:highlight w:val="none"/>
        </w:rPr>
        <w:t>存在的代码和配置缺陷，并提出安全整改和加固建议，协助进行安全整改，提高系统自身安全防护能力。</w:t>
      </w:r>
    </w:p>
    <w:p w14:paraId="03314FBC">
      <w:pPr>
        <w:keepNext w:val="0"/>
        <w:keepLines w:val="0"/>
        <w:pageBreakBefore w:val="0"/>
        <w:widowControl/>
        <w:numPr>
          <w:ilvl w:val="-1"/>
          <w:numId w:val="0"/>
        </w:numPr>
        <w:tabs>
          <w:tab w:val="left" w:pos="783"/>
        </w:tabs>
        <w:wordWrap/>
        <w:overflowPunct/>
        <w:topLinePunct/>
        <w:bidi w:val="0"/>
        <w:spacing w:line="560" w:lineRule="exact"/>
        <w:ind w:left="420" w:leftChars="200" w:firstLine="0" w:firstLineChars="0"/>
        <w:outlineLvl w:val="9"/>
        <w:rPr>
          <w:rFonts w:hint="eastAsia" w:ascii="宋体" w:hAnsi="宋体" w:eastAsia="宋体" w:cs="宋体"/>
          <w:color w:val="auto"/>
          <w:sz w:val="24"/>
          <w:szCs w:val="24"/>
          <w:highlight w:val="none"/>
        </w:rPr>
      </w:pPr>
      <w:bookmarkStart w:id="56" w:name="_Toc75081916"/>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服务范围</w:t>
      </w:r>
      <w:bookmarkEnd w:id="56"/>
    </w:p>
    <w:p w14:paraId="6B6E14AB">
      <w:pPr>
        <w:pStyle w:val="17"/>
        <w:keepNext w:val="0"/>
        <w:keepLines w:val="0"/>
        <w:pageBreakBefore w:val="0"/>
        <w:widowControl/>
        <w:numPr>
          <w:ilvl w:val="0"/>
          <w:numId w:val="0"/>
        </w:numPr>
        <w:tabs>
          <w:tab w:val="left" w:pos="482"/>
        </w:tabs>
        <w:wordWrap/>
        <w:overflowPunct/>
        <w:topLinePunct/>
        <w:bidi w:val="0"/>
        <w:spacing w:line="560" w:lineRule="exact"/>
        <w:ind w:left="690" w:leftChars="0" w:firstLine="480" w:firstLineChars="200"/>
        <w:outlineLvl w:val="9"/>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本项工作主要针对在线运行和新上线运行WEB应用</w:t>
      </w:r>
      <w:r>
        <w:rPr>
          <w:rFonts w:hint="eastAsia" w:ascii="宋体" w:hAnsi="宋体" w:cs="宋体"/>
          <w:b w:val="0"/>
          <w:color w:val="auto"/>
          <w:sz w:val="24"/>
          <w:szCs w:val="24"/>
          <w:highlight w:val="none"/>
          <w:lang w:eastAsia="zh-CN"/>
        </w:rPr>
        <w:t>、</w:t>
      </w:r>
      <w:r>
        <w:rPr>
          <w:rFonts w:hint="eastAsia" w:ascii="宋体" w:hAnsi="宋体" w:eastAsia="宋体" w:cs="宋体"/>
          <w:b w:val="0"/>
          <w:color w:val="auto"/>
          <w:sz w:val="24"/>
          <w:szCs w:val="24"/>
          <w:highlight w:val="none"/>
        </w:rPr>
        <w:t>C/S架构应用</w:t>
      </w:r>
      <w:r>
        <w:rPr>
          <w:rFonts w:hint="eastAsia" w:ascii="宋体" w:hAnsi="宋体" w:cs="宋体"/>
          <w:b w:val="0"/>
          <w:color w:val="auto"/>
          <w:sz w:val="24"/>
          <w:szCs w:val="24"/>
          <w:highlight w:val="none"/>
          <w:lang w:eastAsia="zh-CN"/>
        </w:rPr>
        <w:t>及移动端应用（</w:t>
      </w:r>
      <w:r>
        <w:rPr>
          <w:rFonts w:hint="eastAsia" w:ascii="宋体" w:hAnsi="宋体" w:cs="宋体"/>
          <w:b w:val="0"/>
          <w:color w:val="auto"/>
          <w:sz w:val="24"/>
          <w:szCs w:val="24"/>
          <w:highlight w:val="none"/>
          <w:lang w:val="en-US" w:eastAsia="zh-CN"/>
        </w:rPr>
        <w:t>APP</w:t>
      </w:r>
      <w:r>
        <w:rPr>
          <w:rFonts w:hint="eastAsia" w:ascii="宋体" w:hAnsi="宋体" w:cs="宋体"/>
          <w:b w:val="0"/>
          <w:color w:val="auto"/>
          <w:sz w:val="24"/>
          <w:szCs w:val="24"/>
          <w:highlight w:val="none"/>
          <w:lang w:eastAsia="zh-CN"/>
        </w:rPr>
        <w:t>）</w:t>
      </w:r>
      <w:r>
        <w:rPr>
          <w:rFonts w:hint="eastAsia" w:ascii="宋体" w:hAnsi="宋体" w:eastAsia="宋体" w:cs="宋体"/>
          <w:b w:val="0"/>
          <w:color w:val="auto"/>
          <w:sz w:val="24"/>
          <w:szCs w:val="24"/>
          <w:highlight w:val="none"/>
        </w:rPr>
        <w:t>系统。</w:t>
      </w:r>
    </w:p>
    <w:p w14:paraId="05F7A5FC">
      <w:pPr>
        <w:keepNext w:val="0"/>
        <w:keepLines w:val="0"/>
        <w:pageBreakBefore w:val="0"/>
        <w:widowControl/>
        <w:numPr>
          <w:ilvl w:val="-1"/>
          <w:numId w:val="0"/>
        </w:numPr>
        <w:tabs>
          <w:tab w:val="left" w:pos="783"/>
        </w:tabs>
        <w:wordWrap/>
        <w:overflowPunct/>
        <w:topLinePunct/>
        <w:bidi w:val="0"/>
        <w:spacing w:line="560" w:lineRule="exact"/>
        <w:ind w:left="420" w:leftChars="200" w:firstLine="0" w:firstLineChars="0"/>
        <w:outlineLvl w:val="9"/>
        <w:rPr>
          <w:rFonts w:hint="eastAsia" w:ascii="宋体" w:hAnsi="宋体" w:eastAsia="宋体" w:cs="宋体"/>
          <w:color w:val="auto"/>
          <w:sz w:val="24"/>
          <w:szCs w:val="24"/>
          <w:highlight w:val="none"/>
        </w:rPr>
      </w:pPr>
      <w:bookmarkStart w:id="57" w:name="_Toc75081917"/>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服务内容</w:t>
      </w:r>
      <w:bookmarkEnd w:id="57"/>
    </w:p>
    <w:p w14:paraId="495F5071">
      <w:pPr>
        <w:pStyle w:val="17"/>
        <w:keepNext w:val="0"/>
        <w:keepLines w:val="0"/>
        <w:pageBreakBefore w:val="0"/>
        <w:widowControl/>
        <w:numPr>
          <w:ilvl w:val="0"/>
          <w:numId w:val="0"/>
        </w:numPr>
        <w:tabs>
          <w:tab w:val="left" w:pos="482"/>
        </w:tabs>
        <w:wordWrap/>
        <w:overflowPunct/>
        <w:topLinePunct/>
        <w:bidi w:val="0"/>
        <w:spacing w:line="560" w:lineRule="exact"/>
        <w:ind w:left="690" w:leftChars="0" w:firstLine="480" w:firstLineChars="200"/>
        <w:outlineLvl w:val="9"/>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渗透测试作为检验目标系统安全性最有效的服务，通过服务人员采用智能工具扫描与人工测试、分析的手段，以模拟黑客入侵的方式对服务目标系统进行模拟入侵测试，识别服务目标存在的安全风险。渗透性测试是工具扫描和人工评估的重要补充。工具扫描具有很好的效率和速度，但是存在一定的误报率，不能发现高层次、复杂的安全问题；渗透测试需要投入的人力资源较大、对测试者的专业技能要求很高（渗透测试报告的价值直接依赖于测试者的专业技能），但是非常准确，可以发现逻辑性更强、更深层次的弱点。渗透测试内容至少包括：信息收集类、配置管理类（HTTP方法测试、应用中间件测试、信息泄露、异常错误等）、认证类（用户枚举、密码猜解、密码重置、密码策略测试等）、会话类（cookie测试、session会话测试等）、授权类（越权访问、路径遍历、任意文件下载、逻辑缺陷测试等）、数据验证类（SQL注入、跨站脚本、代码注入、URL跳转、文件上传测试等、输入输出校验绕过、数据篡改）、系统应用漏洞（溢出、0day漏洞等）。</w:t>
      </w:r>
    </w:p>
    <w:p w14:paraId="0CCB508B">
      <w:pPr>
        <w:keepNext w:val="0"/>
        <w:keepLines w:val="0"/>
        <w:pageBreakBefore w:val="0"/>
        <w:widowControl/>
        <w:numPr>
          <w:ilvl w:val="-1"/>
          <w:numId w:val="0"/>
        </w:numPr>
        <w:tabs>
          <w:tab w:val="left" w:pos="783"/>
        </w:tabs>
        <w:wordWrap/>
        <w:overflowPunct/>
        <w:topLinePunct/>
        <w:bidi w:val="0"/>
        <w:spacing w:line="560" w:lineRule="exact"/>
        <w:ind w:left="420" w:leftChars="200" w:firstLine="0" w:firstLineChars="0"/>
        <w:outlineLvl w:val="9"/>
        <w:rPr>
          <w:rFonts w:hint="eastAsia" w:ascii="宋体" w:hAnsi="宋体" w:eastAsia="宋体" w:cs="宋体"/>
          <w:color w:val="auto"/>
          <w:sz w:val="24"/>
          <w:szCs w:val="24"/>
          <w:highlight w:val="none"/>
        </w:rPr>
      </w:pPr>
      <w:bookmarkStart w:id="58" w:name="_Toc75081919"/>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服务交付</w:t>
      </w:r>
      <w:bookmarkEnd w:id="58"/>
    </w:p>
    <w:p w14:paraId="285B6B95">
      <w:pPr>
        <w:pStyle w:val="17"/>
        <w:keepNext w:val="0"/>
        <w:keepLines w:val="0"/>
        <w:pageBreakBefore w:val="0"/>
        <w:widowControl/>
        <w:numPr>
          <w:ilvl w:val="0"/>
          <w:numId w:val="0"/>
        </w:numPr>
        <w:tabs>
          <w:tab w:val="left" w:pos="482"/>
        </w:tabs>
        <w:wordWrap/>
        <w:overflowPunct/>
        <w:topLinePunct/>
        <w:bidi w:val="0"/>
        <w:spacing w:line="560" w:lineRule="exact"/>
        <w:ind w:left="690" w:leftChars="0"/>
        <w:outlineLvl w:val="9"/>
        <w:rPr>
          <w:rFonts w:hint="eastAsia" w:ascii="宋体" w:hAnsi="宋体" w:eastAsia="宋体" w:cs="宋体"/>
          <w:color w:val="auto"/>
          <w:sz w:val="24"/>
          <w:szCs w:val="24"/>
          <w:highlight w:val="none"/>
          <w:lang w:eastAsia="zh-CN"/>
        </w:rPr>
      </w:pPr>
      <w:r>
        <w:rPr>
          <w:rFonts w:hint="eastAsia" w:ascii="宋体" w:hAnsi="宋体" w:eastAsia="宋体" w:cs="宋体"/>
          <w:b w:val="0"/>
          <w:color w:val="auto"/>
          <w:sz w:val="24"/>
          <w:szCs w:val="24"/>
          <w:highlight w:val="none"/>
        </w:rPr>
        <w:t>《XX系统渗透测试报告》</w:t>
      </w:r>
      <w:r>
        <w:rPr>
          <w:rFonts w:hint="eastAsia" w:ascii="宋体" w:hAnsi="宋体" w:cs="宋体"/>
          <w:b w:val="0"/>
          <w:color w:val="auto"/>
          <w:sz w:val="24"/>
          <w:szCs w:val="24"/>
          <w:highlight w:val="none"/>
          <w:lang w:eastAsia="zh-CN"/>
        </w:rPr>
        <w:t>（包含服务期内历次整改、复测等闭环管理签字记录）</w:t>
      </w:r>
    </w:p>
    <w:p w14:paraId="5249491E">
      <w:pPr>
        <w:keepNext w:val="0"/>
        <w:keepLines w:val="0"/>
        <w:pageBreakBefore w:val="0"/>
        <w:numPr>
          <w:ilvl w:val="-1"/>
          <w:numId w:val="0"/>
        </w:numPr>
        <w:tabs>
          <w:tab w:val="left" w:pos="1204"/>
        </w:tabs>
        <w:wordWrap/>
        <w:overflowPunct/>
        <w:topLinePunct/>
        <w:bidi w:val="0"/>
        <w:spacing w:line="560" w:lineRule="exact"/>
        <w:ind w:left="420" w:leftChars="0" w:firstLine="0" w:firstLineChars="0"/>
        <w:outlineLvl w:val="9"/>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eastAsia="zh-CN"/>
        </w:rPr>
        <w:t>（二）</w:t>
      </w:r>
      <w:r>
        <w:rPr>
          <w:rFonts w:hint="eastAsia" w:ascii="宋体" w:hAnsi="宋体" w:eastAsia="宋体" w:cs="宋体"/>
          <w:b/>
          <w:bCs/>
          <w:color w:val="auto"/>
          <w:sz w:val="24"/>
          <w:szCs w:val="24"/>
          <w:highlight w:val="none"/>
          <w:lang w:eastAsia="zh-CN"/>
        </w:rPr>
        <w:t>网络安全等级保护</w:t>
      </w:r>
    </w:p>
    <w:p w14:paraId="4526AE37">
      <w:pPr>
        <w:keepNext w:val="0"/>
        <w:keepLines w:val="0"/>
        <w:pageBreakBefore w:val="0"/>
        <w:widowControl/>
        <w:wordWrap/>
        <w:overflowPunct/>
        <w:topLinePunct/>
        <w:bidi w:val="0"/>
        <w:spacing w:after="120" w:afterAutospacing="0" w:line="560" w:lineRule="exact"/>
        <w:ind w:left="782" w:leftChars="0" w:hanging="300" w:firstLineChars="0"/>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1.服务目标</w:t>
      </w:r>
    </w:p>
    <w:p w14:paraId="4A5D3C58">
      <w:pPr>
        <w:keepNext w:val="0"/>
        <w:keepLines w:val="0"/>
        <w:pageBreakBefore w:val="0"/>
        <w:widowControl/>
        <w:wordWrap/>
        <w:overflowPunct/>
        <w:topLinePunct/>
        <w:bidi w:val="0"/>
        <w:spacing w:after="120" w:afterAutospacing="0" w:line="560" w:lineRule="exact"/>
        <w:ind w:left="420" w:leftChars="200" w:firstLine="480" w:firstLineChars="200"/>
        <w:outlineLvl w:val="9"/>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lang w:val="en-US" w:eastAsia="zh-CN"/>
        </w:rPr>
        <w:t>本次网络安全等级保护测评服务严格依据《网络安全法》及等保2.0国家标准开展，以单位信息系统合规整改、安全加固、风险管控为总体服务目标。通过专业技术检测、漏洞整改、制度完善，全面排查网络架构、服务器、业务系统、数据管理中存在的安全隐患，修补高危安全漏洞，优化网络安全防护策略。完善安全管理制度与应急处置流程，规范人员运维权限，满足等保合规硬性指标。最终完成公安机关网络安全等级保护备案，取得合格测评报告，消除网络安全风险，防止数据泄露、恶意攻击、系统瘫痪等安全事故，构建稳定、合规、长效的网络安全防护体系，保障单位业务长期安全平稳运行。</w:t>
      </w:r>
    </w:p>
    <w:p w14:paraId="7DD75B97">
      <w:pPr>
        <w:keepNext w:val="0"/>
        <w:keepLines w:val="0"/>
        <w:pageBreakBefore w:val="0"/>
        <w:widowControl/>
        <w:wordWrap/>
        <w:overflowPunct/>
        <w:topLinePunct/>
        <w:bidi w:val="0"/>
        <w:spacing w:after="120" w:afterAutospacing="0" w:line="560" w:lineRule="exact"/>
        <w:ind w:left="782" w:leftChars="0" w:hanging="300" w:firstLineChars="0"/>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2.服务范围</w:t>
      </w:r>
    </w:p>
    <w:p w14:paraId="138095C8">
      <w:pPr>
        <w:keepNext w:val="0"/>
        <w:keepLines w:val="0"/>
        <w:pageBreakBefore w:val="0"/>
        <w:widowControl/>
        <w:wordWrap/>
        <w:overflowPunct/>
        <w:topLinePunct/>
        <w:bidi w:val="0"/>
        <w:spacing w:after="120" w:afterAutospacing="0" w:line="560" w:lineRule="exact"/>
        <w:ind w:left="420" w:leftChars="200" w:firstLine="480" w:firstLineChars="200"/>
        <w:outlineLvl w:val="9"/>
        <w:rPr>
          <w:rFonts w:hint="eastAsia" w:ascii="宋体" w:hAnsi="宋体" w:eastAsia="宋体" w:cs="宋体"/>
          <w:b w:val="0"/>
          <w:color w:val="auto"/>
          <w:sz w:val="24"/>
          <w:szCs w:val="24"/>
          <w:highlight w:val="none"/>
          <w:lang w:val="en-US" w:eastAsia="zh-CN"/>
        </w:rPr>
      </w:pPr>
      <w:r>
        <w:rPr>
          <w:rFonts w:hint="eastAsia" w:ascii="宋体" w:hAnsi="宋体" w:eastAsia="宋体" w:cs="宋体"/>
          <w:b w:val="0"/>
          <w:color w:val="auto"/>
          <w:sz w:val="24"/>
          <w:szCs w:val="24"/>
          <w:highlight w:val="none"/>
          <w:lang w:val="en-US" w:eastAsia="zh-CN"/>
        </w:rPr>
        <w:t>本次等保服务范围包含4个核心</w:t>
      </w:r>
      <w:r>
        <w:rPr>
          <w:rFonts w:hint="eastAsia" w:ascii="宋体" w:hAnsi="宋体" w:cs="宋体"/>
          <w:b w:val="0"/>
          <w:color w:val="auto"/>
          <w:sz w:val="24"/>
          <w:szCs w:val="24"/>
          <w:highlight w:val="none"/>
          <w:lang w:val="en-US" w:eastAsia="zh-CN"/>
        </w:rPr>
        <w:t>业务</w:t>
      </w:r>
      <w:r>
        <w:rPr>
          <w:rFonts w:hint="eastAsia" w:ascii="宋体" w:hAnsi="宋体" w:eastAsia="宋体" w:cs="宋体"/>
          <w:b w:val="0"/>
          <w:color w:val="auto"/>
          <w:sz w:val="24"/>
          <w:szCs w:val="24"/>
          <w:highlight w:val="none"/>
          <w:lang w:val="en-US" w:eastAsia="zh-CN"/>
        </w:rPr>
        <w:t>信息系统，分别为新疆交通运输执法综合管理信息系统、新疆治超联网管理信息系统、大件运输许可审批系统、工程质量监督执法支队信息化系统。资产覆盖范围包含物理服务器、虚拟化主机、数据库、业务终端等软硬件设施；网络层面包含防火墙、交换机、路由器、存储设备、安全审计设备等边界网络设备；覆盖网络通信区域、主机服务区域、业务应用区域、数据存储区域、物理机房环境。同时涵盖人员安全管理、运维管理制度、应急预案、安全培训等管理层面服务。服务流程范围包含前期资产摸排、现状测评、漏洞整改、安全加固、资料汇编、备案协助、验收交付、后期巡检运维等全过程服务。</w:t>
      </w:r>
    </w:p>
    <w:p w14:paraId="53D2E168">
      <w:pPr>
        <w:keepNext w:val="0"/>
        <w:keepLines w:val="0"/>
        <w:pageBreakBefore w:val="0"/>
        <w:widowControl/>
        <w:wordWrap/>
        <w:overflowPunct/>
        <w:topLinePunct/>
        <w:bidi w:val="0"/>
        <w:spacing w:after="120" w:afterAutospacing="0" w:line="560" w:lineRule="exact"/>
        <w:ind w:left="782" w:leftChars="0" w:hanging="300" w:firstLineChars="0"/>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3.服务内容</w:t>
      </w:r>
    </w:p>
    <w:p w14:paraId="36D9986C">
      <w:pPr>
        <w:keepNext w:val="0"/>
        <w:keepLines w:val="0"/>
        <w:pageBreakBefore w:val="0"/>
        <w:widowControl w:val="0"/>
        <w:numPr>
          <w:ilvl w:val="0"/>
          <w:numId w:val="12"/>
        </w:numPr>
        <w:wordWrap/>
        <w:overflowPunct/>
        <w:topLinePunct/>
        <w:bidi w:val="0"/>
        <w:spacing w:after="120" w:afterAutospacing="0" w:line="560" w:lineRule="exact"/>
        <w:ind w:left="0" w:leftChars="0" w:firstLine="482" w:firstLineChars="200"/>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前期调研定级服务</w:t>
      </w:r>
    </w:p>
    <w:p w14:paraId="7EF23F9A">
      <w:pPr>
        <w:keepNext w:val="0"/>
        <w:keepLines w:val="0"/>
        <w:pageBreakBefore w:val="0"/>
        <w:widowControl/>
        <w:wordWrap/>
        <w:overflowPunct/>
        <w:topLinePunct/>
        <w:bidi w:val="0"/>
        <w:spacing w:after="120" w:afterAutospacing="0" w:line="560" w:lineRule="exact"/>
        <w:ind w:left="0" w:leftChars="0" w:firstLine="480" w:firstLineChars="200"/>
        <w:outlineLvl w:val="9"/>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lang w:val="en-US" w:eastAsia="zh-CN"/>
        </w:rPr>
        <w:t>对单位全部网络资产进行梳理盘点，制作资产台账，绘制网络拓扑结构图；排查系统运行现状，分析安全薄弱点，结合国家定级标准编写定级报告，明确系统安全保护等级；收集单位基础资料，整理备案所需材料，完成初步备案资料汇总。</w:t>
      </w:r>
    </w:p>
    <w:p w14:paraId="5374F7F9">
      <w:pPr>
        <w:keepNext w:val="0"/>
        <w:keepLines w:val="0"/>
        <w:pageBreakBefore w:val="0"/>
        <w:widowControl w:val="0"/>
        <w:numPr>
          <w:ilvl w:val="0"/>
          <w:numId w:val="12"/>
        </w:numPr>
        <w:wordWrap/>
        <w:overflowPunct/>
        <w:topLinePunct/>
        <w:bidi w:val="0"/>
        <w:spacing w:after="120" w:afterAutospacing="0" w:line="560" w:lineRule="exact"/>
        <w:ind w:left="0" w:leftChars="0" w:firstLine="482" w:firstLineChars="200"/>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安全检测测评服务</w:t>
      </w:r>
    </w:p>
    <w:p w14:paraId="1ABF28EA">
      <w:pPr>
        <w:keepNext w:val="0"/>
        <w:keepLines w:val="0"/>
        <w:pageBreakBefore w:val="0"/>
        <w:widowControl/>
        <w:wordWrap/>
        <w:overflowPunct/>
        <w:topLinePunct/>
        <w:bidi w:val="0"/>
        <w:spacing w:after="120" w:afterAutospacing="0" w:line="560" w:lineRule="exact"/>
        <w:ind w:left="0" w:leftChars="0" w:firstLine="480" w:firstLineChars="200"/>
        <w:outlineLvl w:val="9"/>
        <w:rPr>
          <w:rFonts w:hint="eastAsia" w:ascii="宋体" w:hAnsi="宋体" w:eastAsia="宋体" w:cs="宋体"/>
          <w:b w:val="0"/>
          <w:color w:val="auto"/>
          <w:sz w:val="24"/>
          <w:szCs w:val="24"/>
          <w:highlight w:val="none"/>
          <w:lang w:val="en-US" w:eastAsia="zh-CN"/>
        </w:rPr>
      </w:pPr>
      <w:r>
        <w:rPr>
          <w:rFonts w:hint="eastAsia" w:ascii="宋体" w:hAnsi="宋体" w:eastAsia="宋体" w:cs="宋体"/>
          <w:b w:val="0"/>
          <w:color w:val="auto"/>
          <w:sz w:val="24"/>
          <w:szCs w:val="24"/>
          <w:highlight w:val="none"/>
          <w:lang w:val="en-US" w:eastAsia="zh-CN"/>
        </w:rPr>
        <w:t>依据GB/T 22239-2019等保标准，采用工具扫描加人工核查方式，开展漏洞扫描、渗透测试、安全基线核查；检测网络边界防护、主机安全配置、应用代码安全、数据加密存储、日志审计留存等合规项；排查高危漏洞、弱口令、越权访问、端口暴露等安全隐患，出具风险差距分析报告。</w:t>
      </w:r>
    </w:p>
    <w:p w14:paraId="73CD7A94">
      <w:pPr>
        <w:keepNext w:val="0"/>
        <w:keepLines w:val="0"/>
        <w:pageBreakBefore w:val="0"/>
        <w:widowControl w:val="0"/>
        <w:numPr>
          <w:ilvl w:val="0"/>
          <w:numId w:val="12"/>
        </w:numPr>
        <w:wordWrap/>
        <w:overflowPunct/>
        <w:topLinePunct/>
        <w:bidi w:val="0"/>
        <w:spacing w:after="120" w:afterAutospacing="0" w:line="560" w:lineRule="exact"/>
        <w:ind w:left="0" w:leftChars="0" w:firstLine="482" w:firstLineChars="200"/>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安全整改加固</w:t>
      </w:r>
      <w:r>
        <w:rPr>
          <w:rFonts w:hint="eastAsia" w:ascii="宋体" w:hAnsi="宋体" w:cs="宋体"/>
          <w:b/>
          <w:color w:val="auto"/>
          <w:sz w:val="24"/>
          <w:szCs w:val="24"/>
          <w:highlight w:val="none"/>
          <w:lang w:val="en-US" w:eastAsia="zh-CN"/>
        </w:rPr>
        <w:t>指导</w:t>
      </w:r>
      <w:r>
        <w:rPr>
          <w:rFonts w:hint="eastAsia" w:ascii="宋体" w:hAnsi="宋体" w:eastAsia="宋体" w:cs="宋体"/>
          <w:b/>
          <w:color w:val="auto"/>
          <w:sz w:val="24"/>
          <w:szCs w:val="24"/>
          <w:highlight w:val="none"/>
        </w:rPr>
        <w:t>服务</w:t>
      </w:r>
    </w:p>
    <w:p w14:paraId="288A1C41">
      <w:pPr>
        <w:keepNext w:val="0"/>
        <w:keepLines w:val="0"/>
        <w:pageBreakBefore w:val="0"/>
        <w:widowControl/>
        <w:wordWrap/>
        <w:overflowPunct/>
        <w:topLinePunct/>
        <w:bidi w:val="0"/>
        <w:spacing w:after="120" w:afterAutospacing="0" w:line="560" w:lineRule="exact"/>
        <w:ind w:left="0" w:leftChars="0" w:firstLine="480" w:firstLineChars="200"/>
        <w:outlineLvl w:val="9"/>
        <w:rPr>
          <w:rFonts w:hint="eastAsia" w:ascii="宋体" w:hAnsi="宋体" w:eastAsia="宋体" w:cs="宋体"/>
          <w:b w:val="0"/>
          <w:color w:val="auto"/>
          <w:sz w:val="24"/>
          <w:szCs w:val="24"/>
          <w:highlight w:val="none"/>
          <w:lang w:val="en-US" w:eastAsia="zh-CN"/>
        </w:rPr>
      </w:pPr>
      <w:r>
        <w:rPr>
          <w:rFonts w:hint="eastAsia" w:ascii="宋体" w:hAnsi="宋体" w:eastAsia="宋体" w:cs="宋体"/>
          <w:b w:val="0"/>
          <w:color w:val="auto"/>
          <w:sz w:val="24"/>
          <w:szCs w:val="24"/>
          <w:highlight w:val="none"/>
          <w:lang w:val="en-US" w:eastAsia="zh-CN"/>
        </w:rPr>
        <w:t>针对测评发现的安全漏洞制定专项整改方案，指导完成漏洞修复、系统补丁更新、无用端口关闭、访问权限管控、防火墙策略优化；完善数据备份机制，实现重要数据定期备份；修订安全管理制度、运维规范、保密制度、应急预案，补齐管理层面合规短板，保障全部整改项合规达标。</w:t>
      </w:r>
    </w:p>
    <w:p w14:paraId="1CA59A3E">
      <w:pPr>
        <w:keepNext w:val="0"/>
        <w:keepLines w:val="0"/>
        <w:pageBreakBefore w:val="0"/>
        <w:widowControl w:val="0"/>
        <w:numPr>
          <w:ilvl w:val="0"/>
          <w:numId w:val="12"/>
        </w:numPr>
        <w:wordWrap/>
        <w:overflowPunct/>
        <w:topLinePunct/>
        <w:bidi w:val="0"/>
        <w:spacing w:after="120" w:afterAutospacing="0" w:line="560" w:lineRule="exact"/>
        <w:ind w:left="0" w:leftChars="0" w:firstLine="482" w:firstLineChars="200"/>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备案验收及运维服务</w:t>
      </w:r>
    </w:p>
    <w:p w14:paraId="621FBCC2">
      <w:pPr>
        <w:keepNext w:val="0"/>
        <w:keepLines w:val="0"/>
        <w:pageBreakBefore w:val="0"/>
        <w:widowControl/>
        <w:wordWrap/>
        <w:overflowPunct/>
        <w:topLinePunct/>
        <w:bidi w:val="0"/>
        <w:spacing w:after="120" w:afterAutospacing="0" w:line="560" w:lineRule="exact"/>
        <w:ind w:left="0" w:leftChars="0" w:firstLine="480" w:firstLineChars="200"/>
        <w:outlineLvl w:val="9"/>
        <w:rPr>
          <w:rFonts w:hint="eastAsia" w:ascii="宋体" w:hAnsi="宋体" w:eastAsia="宋体" w:cs="宋体"/>
          <w:b w:val="0"/>
          <w:color w:val="auto"/>
          <w:sz w:val="24"/>
          <w:szCs w:val="24"/>
          <w:highlight w:val="none"/>
          <w:lang w:val="en-US" w:eastAsia="zh-CN"/>
        </w:rPr>
      </w:pPr>
      <w:r>
        <w:rPr>
          <w:rFonts w:hint="eastAsia" w:ascii="宋体" w:hAnsi="宋体" w:eastAsia="宋体" w:cs="宋体"/>
          <w:b w:val="0"/>
          <w:color w:val="auto"/>
          <w:sz w:val="24"/>
          <w:szCs w:val="24"/>
          <w:highlight w:val="none"/>
          <w:lang w:val="en-US" w:eastAsia="zh-CN"/>
        </w:rPr>
        <w:t>整改完成后开展复测验收，编制正式等级保护测评报告；全程协助招标人完成公安网安部门备案流程，配合监管部门资料审查；开展内部人员网络安全培训，普及安全防护知识；验收完成后提供一年免费巡检服务，定期复测漏洞、优化安全策略，提供技术咨询与应急响应服务。</w:t>
      </w:r>
    </w:p>
    <w:p w14:paraId="4FA463E0">
      <w:pPr>
        <w:keepNext w:val="0"/>
        <w:keepLines w:val="0"/>
        <w:pageBreakBefore w:val="0"/>
        <w:widowControl/>
        <w:wordWrap/>
        <w:overflowPunct/>
        <w:topLinePunct/>
        <w:bidi w:val="0"/>
        <w:spacing w:after="120" w:afterAutospacing="0" w:line="560" w:lineRule="exact"/>
        <w:ind w:left="782" w:leftChars="0" w:hanging="300" w:firstLineChars="0"/>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4.服务交付</w:t>
      </w:r>
    </w:p>
    <w:p w14:paraId="70955E00">
      <w:pPr>
        <w:keepNext w:val="0"/>
        <w:keepLines w:val="0"/>
        <w:pageBreakBefore w:val="0"/>
        <w:widowControl/>
        <w:wordWrap/>
        <w:overflowPunct/>
        <w:topLinePunct/>
        <w:bidi w:val="0"/>
        <w:spacing w:after="120" w:afterAutospacing="0" w:line="560" w:lineRule="exact"/>
        <w:ind w:left="0" w:leftChars="0" w:firstLine="480" w:firstLineChars="200"/>
        <w:outlineLvl w:val="9"/>
        <w:rPr>
          <w:rFonts w:hint="eastAsia" w:ascii="宋体" w:hAnsi="宋体" w:eastAsia="宋体" w:cs="宋体"/>
          <w:b w:val="0"/>
          <w:color w:val="auto"/>
          <w:sz w:val="24"/>
          <w:szCs w:val="24"/>
          <w:highlight w:val="none"/>
          <w:lang w:val="en-US" w:eastAsia="zh-CN"/>
        </w:rPr>
      </w:pPr>
      <w:r>
        <w:rPr>
          <w:rFonts w:hint="eastAsia" w:ascii="宋体" w:hAnsi="宋体" w:eastAsia="宋体" w:cs="宋体"/>
          <w:b w:val="0"/>
          <w:color w:val="auto"/>
          <w:sz w:val="24"/>
          <w:szCs w:val="24"/>
          <w:highlight w:val="none"/>
          <w:lang w:val="en-US" w:eastAsia="zh-CN"/>
        </w:rPr>
        <w:t>正式的等级保护测评合格报告，纸质盖章版与电子加密版，纸质资料不少于两套，电子资料存入加密光盘统一交付。</w:t>
      </w:r>
    </w:p>
    <w:p w14:paraId="4EE8975E">
      <w:pPr>
        <w:keepNext w:val="0"/>
        <w:keepLines w:val="0"/>
        <w:pageBreakBefore w:val="0"/>
        <w:numPr>
          <w:ilvl w:val="-1"/>
          <w:numId w:val="0"/>
        </w:numPr>
        <w:tabs>
          <w:tab w:val="left" w:pos="1204"/>
        </w:tabs>
        <w:wordWrap/>
        <w:overflowPunct/>
        <w:topLinePunct/>
        <w:bidi w:val="0"/>
        <w:spacing w:line="560" w:lineRule="exact"/>
        <w:ind w:left="420" w:leftChars="0" w:firstLine="0" w:firstLineChars="0"/>
        <w:outlineLvl w:val="9"/>
        <w:rPr>
          <w:rFonts w:hint="eastAsia"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eastAsia="zh-CN"/>
        </w:rPr>
        <w:t>（三）</w:t>
      </w:r>
      <w:r>
        <w:rPr>
          <w:rFonts w:hint="eastAsia" w:ascii="宋体" w:hAnsi="宋体" w:eastAsia="宋体" w:cs="宋体"/>
          <w:b/>
          <w:bCs/>
          <w:color w:val="auto"/>
          <w:sz w:val="24"/>
          <w:szCs w:val="24"/>
          <w:highlight w:val="none"/>
          <w:lang w:eastAsia="zh-CN"/>
        </w:rPr>
        <w:t>驻场运维</w:t>
      </w:r>
    </w:p>
    <w:p w14:paraId="31D087BE">
      <w:pPr>
        <w:keepNext w:val="0"/>
        <w:keepLines w:val="0"/>
        <w:pageBreakBefore w:val="0"/>
        <w:widowControl/>
        <w:kinsoku w:val="0"/>
        <w:wordWrap/>
        <w:overflowPunct/>
        <w:topLinePunct/>
        <w:autoSpaceDE w:val="0"/>
        <w:autoSpaceDN w:val="0"/>
        <w:bidi w:val="0"/>
        <w:adjustRightInd w:val="0"/>
        <w:snapToGrid w:val="0"/>
        <w:spacing w:after="120" w:afterAutospacing="0" w:line="560" w:lineRule="exact"/>
        <w:ind w:left="420" w:leftChars="200" w:firstLine="480" w:firstLineChars="200"/>
        <w:textAlignment w:val="baseline"/>
        <w:outlineLvl w:val="9"/>
        <w:rPr>
          <w:rFonts w:hint="eastAsia" w:ascii="宋体" w:hAnsi="宋体" w:eastAsia="宋体" w:cs="宋体"/>
          <w:b w:val="0"/>
          <w:snapToGrid w:val="0"/>
          <w:color w:val="auto"/>
          <w:sz w:val="24"/>
          <w:szCs w:val="24"/>
          <w:highlight w:val="none"/>
          <w:lang w:val="en-US" w:eastAsia="zh-CN" w:bidi="ar-SA"/>
        </w:rPr>
      </w:pPr>
      <w:r>
        <w:rPr>
          <w:rFonts w:hint="eastAsia" w:ascii="宋体" w:hAnsi="宋体" w:cs="宋体"/>
          <w:b w:val="0"/>
          <w:snapToGrid w:val="0"/>
          <w:color w:val="auto"/>
          <w:sz w:val="24"/>
          <w:szCs w:val="24"/>
          <w:highlight w:val="none"/>
          <w:lang w:val="en-US" w:eastAsia="zh-CN" w:bidi="ar-SA"/>
        </w:rPr>
        <w:t>1.办公设备驻场运维：</w:t>
      </w:r>
      <w:r>
        <w:rPr>
          <w:rFonts w:hint="eastAsia" w:ascii="宋体" w:hAnsi="宋体" w:eastAsia="宋体" w:cs="宋体"/>
          <w:b w:val="0"/>
          <w:snapToGrid w:val="0"/>
          <w:color w:val="auto"/>
          <w:sz w:val="24"/>
          <w:szCs w:val="24"/>
          <w:highlight w:val="none"/>
          <w:lang w:val="en-US" w:eastAsia="zh-CN" w:bidi="ar-SA"/>
        </w:rPr>
        <w:t>办公设备驻场运维服务由1名专职驻场工程师全程在岗提供，覆盖办公终端、外设、网络、会议系统、显示设备、机房环境、资产台账等全场景日常保障，执行标准化运维流程，确保单位办公系统稳定、安全、连续运行。</w:t>
      </w:r>
    </w:p>
    <w:p w14:paraId="30EE3DC8">
      <w:pPr>
        <w:keepNext w:val="0"/>
        <w:keepLines w:val="0"/>
        <w:pageBreakBefore w:val="0"/>
        <w:widowControl/>
        <w:numPr>
          <w:ilvl w:val="0"/>
          <w:numId w:val="13"/>
        </w:numPr>
        <w:wordWrap/>
        <w:overflowPunct/>
        <w:topLinePunct/>
        <w:bidi w:val="0"/>
        <w:spacing w:after="120" w:afterAutospacing="0" w:line="560" w:lineRule="exact"/>
        <w:ind w:left="0" w:leftChars="0" w:firstLine="482" w:firstLineChars="200"/>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办公终端运维</w:t>
      </w:r>
    </w:p>
    <w:p w14:paraId="75279AA2">
      <w:pPr>
        <w:keepNext w:val="0"/>
        <w:keepLines w:val="0"/>
        <w:pageBreakBefore w:val="0"/>
        <w:widowControl/>
        <w:kinsoku w:val="0"/>
        <w:wordWrap/>
        <w:overflowPunct/>
        <w:topLinePunct/>
        <w:autoSpaceDE w:val="0"/>
        <w:autoSpaceDN w:val="0"/>
        <w:bidi w:val="0"/>
        <w:adjustRightInd w:val="0"/>
        <w:snapToGrid w:val="0"/>
        <w:spacing w:after="120" w:afterAutospacing="0" w:line="560" w:lineRule="exact"/>
        <w:ind w:left="420" w:leftChars="200" w:firstLine="480" w:firstLineChars="200"/>
        <w:textAlignment w:val="baseline"/>
        <w:outlineLvl w:val="9"/>
        <w:rPr>
          <w:rFonts w:hint="eastAsia" w:ascii="宋体" w:hAnsi="宋体" w:eastAsia="宋体" w:cs="宋体"/>
          <w:b w:val="0"/>
          <w:snapToGrid w:val="0"/>
          <w:color w:val="auto"/>
          <w:sz w:val="24"/>
          <w:szCs w:val="24"/>
          <w:highlight w:val="none"/>
          <w:lang w:val="en-US" w:eastAsia="zh-CN" w:bidi="ar-SA"/>
        </w:rPr>
      </w:pPr>
      <w:r>
        <w:rPr>
          <w:rFonts w:hint="eastAsia" w:ascii="宋体" w:hAnsi="宋体" w:eastAsia="宋体" w:cs="宋体"/>
          <w:b w:val="0"/>
          <w:snapToGrid w:val="0"/>
          <w:color w:val="auto"/>
          <w:sz w:val="24"/>
          <w:szCs w:val="24"/>
          <w:highlight w:val="none"/>
          <w:lang w:val="en-US" w:eastAsia="zh-CN" w:bidi="ar-SA"/>
        </w:rPr>
        <w:t>负责所有办公电脑的网络接入调试、网络故障排查，建立信息点台账并定期巡检。对操作系统进行维护、修复、优化与重装，处理蓝屏、卡顿、启动异常等问题。按需求安装、调试、升级办公软件及业务软件。对电脑硬件故障进行检测定位，在保设备对接厂家售后，非在保设备进行拆机测试、配件替换，保障终端正常使用。</w:t>
      </w:r>
    </w:p>
    <w:p w14:paraId="64B9BE2D">
      <w:pPr>
        <w:keepNext w:val="0"/>
        <w:keepLines w:val="0"/>
        <w:pageBreakBefore w:val="0"/>
        <w:widowControl/>
        <w:numPr>
          <w:ilvl w:val="0"/>
          <w:numId w:val="13"/>
        </w:numPr>
        <w:wordWrap/>
        <w:overflowPunct/>
        <w:topLinePunct/>
        <w:bidi w:val="0"/>
        <w:spacing w:after="120" w:afterAutospacing="0" w:line="560" w:lineRule="exact"/>
        <w:ind w:left="0" w:leftChars="0" w:firstLine="482" w:firstLineChars="200"/>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办公外设运维</w:t>
      </w:r>
    </w:p>
    <w:p w14:paraId="0E8098DE">
      <w:pPr>
        <w:keepNext w:val="0"/>
        <w:keepLines w:val="0"/>
        <w:pageBreakBefore w:val="0"/>
        <w:widowControl/>
        <w:kinsoku w:val="0"/>
        <w:wordWrap/>
        <w:overflowPunct/>
        <w:topLinePunct/>
        <w:autoSpaceDE w:val="0"/>
        <w:autoSpaceDN w:val="0"/>
        <w:bidi w:val="0"/>
        <w:adjustRightInd w:val="0"/>
        <w:snapToGrid w:val="0"/>
        <w:spacing w:after="120" w:afterAutospacing="0" w:line="560" w:lineRule="exact"/>
        <w:ind w:left="420" w:leftChars="200" w:firstLine="480" w:firstLineChars="200"/>
        <w:textAlignment w:val="baseline"/>
        <w:outlineLvl w:val="9"/>
        <w:rPr>
          <w:rFonts w:hint="eastAsia" w:ascii="宋体" w:hAnsi="宋体" w:eastAsia="宋体" w:cs="宋体"/>
          <w:b w:val="0"/>
          <w:snapToGrid w:val="0"/>
          <w:color w:val="auto"/>
          <w:sz w:val="24"/>
          <w:szCs w:val="24"/>
          <w:highlight w:val="none"/>
          <w:lang w:val="en-US" w:eastAsia="zh-CN" w:bidi="ar-SA"/>
        </w:rPr>
      </w:pPr>
      <w:r>
        <w:rPr>
          <w:rFonts w:hint="eastAsia" w:ascii="宋体" w:hAnsi="宋体" w:eastAsia="宋体" w:cs="宋体"/>
          <w:b w:val="0"/>
          <w:snapToGrid w:val="0"/>
          <w:color w:val="auto"/>
          <w:sz w:val="24"/>
          <w:szCs w:val="24"/>
          <w:highlight w:val="none"/>
          <w:lang w:val="en-US" w:eastAsia="zh-CN" w:bidi="ar-SA"/>
        </w:rPr>
        <w:t>负责打印机、复印机、扫描仪等外设故障处理，解决无法连接、打印异常、卡纸、出墨异常、驱动失效等问题。完成所有办公设备驱动安装、升级与调试。按标准制作网线、电话线，做好端接、测试、布线整理与标识，保障通信链路稳定。</w:t>
      </w:r>
    </w:p>
    <w:p w14:paraId="71C69A2A">
      <w:pPr>
        <w:keepNext w:val="0"/>
        <w:keepLines w:val="0"/>
        <w:pageBreakBefore w:val="0"/>
        <w:widowControl/>
        <w:numPr>
          <w:ilvl w:val="0"/>
          <w:numId w:val="13"/>
        </w:numPr>
        <w:wordWrap/>
        <w:overflowPunct/>
        <w:topLinePunct/>
        <w:bidi w:val="0"/>
        <w:spacing w:after="120" w:afterAutospacing="0" w:line="560" w:lineRule="exact"/>
        <w:ind w:left="0" w:leftChars="0" w:firstLine="482" w:firstLineChars="200"/>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会议设备运维</w:t>
      </w:r>
    </w:p>
    <w:p w14:paraId="2B3020C8">
      <w:pPr>
        <w:keepNext w:val="0"/>
        <w:keepLines w:val="0"/>
        <w:pageBreakBefore w:val="0"/>
        <w:widowControl/>
        <w:kinsoku w:val="0"/>
        <w:wordWrap/>
        <w:overflowPunct/>
        <w:topLinePunct/>
        <w:autoSpaceDE w:val="0"/>
        <w:autoSpaceDN w:val="0"/>
        <w:bidi w:val="0"/>
        <w:adjustRightInd w:val="0"/>
        <w:snapToGrid w:val="0"/>
        <w:spacing w:after="120" w:afterAutospacing="0" w:line="560" w:lineRule="exact"/>
        <w:ind w:left="420" w:leftChars="200" w:firstLine="480" w:firstLineChars="200"/>
        <w:textAlignment w:val="baseline"/>
        <w:outlineLvl w:val="9"/>
        <w:rPr>
          <w:rFonts w:hint="eastAsia" w:ascii="宋体" w:hAnsi="宋体" w:eastAsia="宋体" w:cs="宋体"/>
          <w:b w:val="0"/>
          <w:snapToGrid w:val="0"/>
          <w:color w:val="auto"/>
          <w:sz w:val="24"/>
          <w:szCs w:val="24"/>
          <w:highlight w:val="none"/>
          <w:lang w:val="en-US" w:eastAsia="zh-CN" w:bidi="ar-SA"/>
        </w:rPr>
      </w:pPr>
      <w:r>
        <w:rPr>
          <w:rFonts w:hint="eastAsia" w:ascii="宋体" w:hAnsi="宋体" w:eastAsia="宋体" w:cs="宋体"/>
          <w:b w:val="0"/>
          <w:snapToGrid w:val="0"/>
          <w:color w:val="auto"/>
          <w:sz w:val="24"/>
          <w:szCs w:val="24"/>
          <w:highlight w:val="none"/>
          <w:lang w:val="en-US" w:eastAsia="zh-CN" w:bidi="ar-SA"/>
        </w:rPr>
        <w:t>负责升会议终端日常维护、故障排查与系统优化。故障主机更换须与原设备品牌、型号、配置完全一致，满足指定硬件参数要求。负责会议摄像头安装、调试、布线、维护，确保画面清晰、传输稳定。为本地及线上会议提供会前联调、会中保障、会后整理全程技术支持，重要会议提前完成设备巡检与隐患排查。</w:t>
      </w:r>
    </w:p>
    <w:p w14:paraId="352E9876">
      <w:pPr>
        <w:keepNext w:val="0"/>
        <w:keepLines w:val="0"/>
        <w:pageBreakBefore w:val="0"/>
        <w:widowControl/>
        <w:numPr>
          <w:ilvl w:val="0"/>
          <w:numId w:val="13"/>
        </w:numPr>
        <w:wordWrap/>
        <w:overflowPunct/>
        <w:topLinePunct/>
        <w:bidi w:val="0"/>
        <w:spacing w:after="120" w:afterAutospacing="0" w:line="560" w:lineRule="exact"/>
        <w:ind w:left="0" w:leftChars="0" w:firstLine="482" w:firstLineChars="200"/>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公共显示设备运维</w:t>
      </w:r>
    </w:p>
    <w:p w14:paraId="7B818590">
      <w:pPr>
        <w:keepNext w:val="0"/>
        <w:keepLines w:val="0"/>
        <w:pageBreakBefore w:val="0"/>
        <w:widowControl/>
        <w:kinsoku w:val="0"/>
        <w:wordWrap/>
        <w:overflowPunct/>
        <w:topLinePunct/>
        <w:autoSpaceDE w:val="0"/>
        <w:autoSpaceDN w:val="0"/>
        <w:bidi w:val="0"/>
        <w:adjustRightInd w:val="0"/>
        <w:snapToGrid w:val="0"/>
        <w:spacing w:after="120" w:afterAutospacing="0" w:line="560" w:lineRule="exact"/>
        <w:ind w:left="420" w:leftChars="200" w:firstLine="480" w:firstLineChars="200"/>
        <w:textAlignment w:val="baseline"/>
        <w:outlineLvl w:val="9"/>
        <w:rPr>
          <w:rFonts w:hint="eastAsia" w:ascii="宋体" w:hAnsi="宋体" w:eastAsia="宋体" w:cs="宋体"/>
          <w:b w:val="0"/>
          <w:snapToGrid w:val="0"/>
          <w:color w:val="auto"/>
          <w:sz w:val="24"/>
          <w:szCs w:val="24"/>
          <w:highlight w:val="none"/>
          <w:lang w:val="en-US" w:eastAsia="zh-CN" w:bidi="ar-SA"/>
        </w:rPr>
      </w:pPr>
      <w:r>
        <w:rPr>
          <w:rFonts w:hint="eastAsia" w:ascii="宋体" w:hAnsi="宋体" w:eastAsia="宋体" w:cs="宋体"/>
          <w:b w:val="0"/>
          <w:snapToGrid w:val="0"/>
          <w:color w:val="auto"/>
          <w:sz w:val="24"/>
          <w:szCs w:val="24"/>
          <w:highlight w:val="none"/>
          <w:lang w:val="en-US" w:eastAsia="zh-CN" w:bidi="ar-SA"/>
        </w:rPr>
        <w:t>负责办公楼LED显示屏日常内容设置、播放调控、亮度与画面校正。定期检查显示屏运行状态，及时处理黑屏、花屏、卡顿等故障，确保显示清晰、播放稳定，满足日常宣传与信息发布需求。</w:t>
      </w:r>
    </w:p>
    <w:p w14:paraId="117D80D6">
      <w:pPr>
        <w:keepNext w:val="0"/>
        <w:keepLines w:val="0"/>
        <w:pageBreakBefore w:val="0"/>
        <w:widowControl/>
        <w:numPr>
          <w:ilvl w:val="0"/>
          <w:numId w:val="13"/>
        </w:numPr>
        <w:wordWrap/>
        <w:overflowPunct/>
        <w:topLinePunct/>
        <w:bidi w:val="0"/>
        <w:spacing w:after="120" w:afterAutospacing="0" w:line="560" w:lineRule="exact"/>
        <w:ind w:left="0" w:leftChars="0" w:firstLine="482" w:firstLineChars="200"/>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机房环境运维</w:t>
      </w:r>
    </w:p>
    <w:p w14:paraId="74B83CCB">
      <w:pPr>
        <w:keepNext w:val="0"/>
        <w:keepLines w:val="0"/>
        <w:pageBreakBefore w:val="0"/>
        <w:widowControl/>
        <w:kinsoku w:val="0"/>
        <w:wordWrap/>
        <w:overflowPunct/>
        <w:topLinePunct/>
        <w:autoSpaceDE w:val="0"/>
        <w:autoSpaceDN w:val="0"/>
        <w:bidi w:val="0"/>
        <w:adjustRightInd w:val="0"/>
        <w:snapToGrid w:val="0"/>
        <w:spacing w:after="120" w:afterAutospacing="0" w:line="560" w:lineRule="exact"/>
        <w:ind w:left="420" w:leftChars="200" w:firstLine="480" w:firstLineChars="200"/>
        <w:textAlignment w:val="baseline"/>
        <w:outlineLvl w:val="9"/>
        <w:rPr>
          <w:rFonts w:hint="eastAsia" w:ascii="宋体" w:hAnsi="宋体" w:eastAsia="宋体" w:cs="宋体"/>
          <w:b w:val="0"/>
          <w:snapToGrid w:val="0"/>
          <w:color w:val="auto"/>
          <w:sz w:val="24"/>
          <w:szCs w:val="24"/>
          <w:highlight w:val="none"/>
          <w:lang w:val="en-US" w:eastAsia="zh-CN" w:bidi="ar-SA"/>
        </w:rPr>
      </w:pPr>
      <w:r>
        <w:rPr>
          <w:rFonts w:hint="eastAsia" w:ascii="宋体" w:hAnsi="宋体" w:eastAsia="宋体" w:cs="宋体"/>
          <w:b w:val="0"/>
          <w:snapToGrid w:val="0"/>
          <w:color w:val="auto"/>
          <w:sz w:val="24"/>
          <w:szCs w:val="24"/>
          <w:highlight w:val="none"/>
          <w:lang w:val="en-US" w:eastAsia="zh-CN" w:bidi="ar-SA"/>
        </w:rPr>
        <w:t>定期对机房进行清洁、除尘、线路规整，保持机房整洁、干燥、通风。对机房网络设备、服务器、配线架、终端模块进行日常巡检，记录运行状态，及时上报异常隐患，配合完成安全处置与故障修复。</w:t>
      </w:r>
    </w:p>
    <w:p w14:paraId="00403C55">
      <w:pPr>
        <w:keepNext w:val="0"/>
        <w:keepLines w:val="0"/>
        <w:pageBreakBefore w:val="0"/>
        <w:widowControl/>
        <w:numPr>
          <w:ilvl w:val="0"/>
          <w:numId w:val="13"/>
        </w:numPr>
        <w:wordWrap/>
        <w:overflowPunct/>
        <w:topLinePunct/>
        <w:bidi w:val="0"/>
        <w:spacing w:after="120" w:afterAutospacing="0" w:line="560" w:lineRule="exact"/>
        <w:ind w:left="0" w:leftChars="0" w:firstLine="482" w:firstLineChars="200"/>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资产台账管理</w:t>
      </w:r>
    </w:p>
    <w:p w14:paraId="7457DB5A">
      <w:pPr>
        <w:keepNext w:val="0"/>
        <w:keepLines w:val="0"/>
        <w:pageBreakBefore w:val="0"/>
        <w:widowControl/>
        <w:kinsoku w:val="0"/>
        <w:wordWrap/>
        <w:overflowPunct/>
        <w:topLinePunct/>
        <w:autoSpaceDE w:val="0"/>
        <w:autoSpaceDN w:val="0"/>
        <w:bidi w:val="0"/>
        <w:adjustRightInd w:val="0"/>
        <w:snapToGrid w:val="0"/>
        <w:spacing w:after="120" w:afterAutospacing="0" w:line="560" w:lineRule="exact"/>
        <w:ind w:left="420" w:leftChars="200" w:firstLine="480" w:firstLineChars="200"/>
        <w:textAlignment w:val="baseline"/>
        <w:outlineLvl w:val="9"/>
        <w:rPr>
          <w:rFonts w:hint="eastAsia" w:ascii="宋体" w:hAnsi="宋体" w:eastAsia="宋体" w:cs="宋体"/>
          <w:b w:val="0"/>
          <w:snapToGrid w:val="0"/>
          <w:color w:val="auto"/>
          <w:sz w:val="24"/>
          <w:szCs w:val="24"/>
          <w:highlight w:val="none"/>
          <w:lang w:val="en-US" w:eastAsia="zh-CN" w:bidi="ar-SA"/>
        </w:rPr>
      </w:pPr>
      <w:r>
        <w:rPr>
          <w:rFonts w:hint="eastAsia" w:ascii="宋体" w:hAnsi="宋体" w:eastAsia="宋体" w:cs="宋体"/>
          <w:b w:val="0"/>
          <w:snapToGrid w:val="0"/>
          <w:color w:val="auto"/>
          <w:sz w:val="24"/>
          <w:szCs w:val="24"/>
          <w:highlight w:val="none"/>
          <w:lang w:val="en-US" w:eastAsia="zh-CN" w:bidi="ar-SA"/>
        </w:rPr>
        <w:t>全面梳理单位及下属单位信息化资产，包含计算机、打印机、网络设备、会议设备、显示设备等，建立完整资产台账。动态更新资产信息，记录新增、调拨、维修、报废全流程，确保账实相符。按要求提交事件处理报告、日常巡检报告、月度及季度服务报告，所有文档按统一格式整理、签字、归档。</w:t>
      </w:r>
    </w:p>
    <w:p w14:paraId="5BFDE703">
      <w:pPr>
        <w:keepNext w:val="0"/>
        <w:keepLines w:val="0"/>
        <w:pageBreakBefore w:val="0"/>
        <w:widowControl/>
        <w:numPr>
          <w:ilvl w:val="0"/>
          <w:numId w:val="13"/>
        </w:numPr>
        <w:wordWrap/>
        <w:overflowPunct/>
        <w:topLinePunct/>
        <w:bidi w:val="0"/>
        <w:spacing w:after="120" w:afterAutospacing="0" w:line="560" w:lineRule="exact"/>
        <w:ind w:left="0" w:leftChars="0" w:firstLine="482" w:firstLineChars="200"/>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综合保障服务</w:t>
      </w:r>
    </w:p>
    <w:p w14:paraId="45BC63A9">
      <w:pPr>
        <w:keepNext w:val="0"/>
        <w:keepLines w:val="0"/>
        <w:pageBreakBefore w:val="0"/>
        <w:widowControl/>
        <w:kinsoku w:val="0"/>
        <w:wordWrap/>
        <w:overflowPunct/>
        <w:topLinePunct/>
        <w:autoSpaceDE w:val="0"/>
        <w:autoSpaceDN w:val="0"/>
        <w:bidi w:val="0"/>
        <w:adjustRightInd w:val="0"/>
        <w:snapToGrid w:val="0"/>
        <w:spacing w:after="120" w:afterAutospacing="0" w:line="560" w:lineRule="exact"/>
        <w:ind w:left="420" w:leftChars="200" w:firstLine="480" w:firstLineChars="200"/>
        <w:textAlignment w:val="baseline"/>
        <w:outlineLvl w:val="9"/>
        <w:rPr>
          <w:rFonts w:hint="eastAsia" w:ascii="宋体" w:hAnsi="宋体" w:eastAsia="宋体" w:cs="宋体"/>
          <w:b w:val="0"/>
          <w:snapToGrid w:val="0"/>
          <w:color w:val="auto"/>
          <w:sz w:val="24"/>
          <w:szCs w:val="24"/>
          <w:highlight w:val="none"/>
          <w:lang w:val="en-US" w:eastAsia="zh-CN" w:bidi="ar-SA"/>
        </w:rPr>
      </w:pPr>
      <w:r>
        <w:rPr>
          <w:rFonts w:hint="eastAsia" w:ascii="宋体" w:hAnsi="宋体" w:eastAsia="宋体" w:cs="宋体"/>
          <w:b w:val="0"/>
          <w:snapToGrid w:val="0"/>
          <w:color w:val="auto"/>
          <w:sz w:val="24"/>
          <w:szCs w:val="24"/>
          <w:highlight w:val="none"/>
          <w:lang w:val="en-US" w:eastAsia="zh-CN" w:bidi="ar-SA"/>
        </w:rPr>
        <w:t>为指挥调度平台提供日常使用协助、问题解答与技术支持。对接运营商、设备厂商等第三方单位，协同处理线路、设备、系统故障，全程跟踪进度并及时反馈。在重要会议、节假日等关键时段提供7×24小时响应保障，强化巡检、提前排查隐患，确保业务不间断。</w:t>
      </w:r>
    </w:p>
    <w:p w14:paraId="24C25E08">
      <w:pPr>
        <w:keepNext w:val="0"/>
        <w:keepLines w:val="0"/>
        <w:pageBreakBefore w:val="0"/>
        <w:widowControl/>
        <w:numPr>
          <w:ilvl w:val="0"/>
          <w:numId w:val="13"/>
        </w:numPr>
        <w:wordWrap/>
        <w:overflowPunct/>
        <w:topLinePunct/>
        <w:bidi w:val="0"/>
        <w:spacing w:after="120" w:afterAutospacing="0" w:line="560" w:lineRule="exact"/>
        <w:ind w:left="0" w:leftChars="0" w:firstLine="482" w:firstLineChars="200"/>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服务管理要求</w:t>
      </w:r>
    </w:p>
    <w:p w14:paraId="4E78027E">
      <w:pPr>
        <w:keepNext w:val="0"/>
        <w:keepLines w:val="0"/>
        <w:pageBreakBefore w:val="0"/>
        <w:widowControl/>
        <w:kinsoku w:val="0"/>
        <w:wordWrap/>
        <w:overflowPunct/>
        <w:topLinePunct/>
        <w:autoSpaceDE w:val="0"/>
        <w:autoSpaceDN w:val="0"/>
        <w:bidi w:val="0"/>
        <w:adjustRightInd w:val="0"/>
        <w:snapToGrid w:val="0"/>
        <w:spacing w:after="120" w:afterAutospacing="0" w:line="560" w:lineRule="exact"/>
        <w:ind w:left="420" w:leftChars="200" w:firstLine="480" w:firstLineChars="200"/>
        <w:textAlignment w:val="baseline"/>
        <w:outlineLvl w:val="9"/>
        <w:rPr>
          <w:rFonts w:hint="eastAsia" w:ascii="宋体" w:hAnsi="宋体" w:eastAsia="宋体" w:cs="宋体"/>
          <w:b w:val="0"/>
          <w:color w:val="auto"/>
          <w:sz w:val="24"/>
          <w:szCs w:val="24"/>
          <w:highlight w:val="none"/>
          <w:lang w:val="en-US" w:eastAsia="zh-CN"/>
        </w:rPr>
      </w:pPr>
      <w:r>
        <w:rPr>
          <w:rFonts w:hint="eastAsia" w:ascii="宋体" w:hAnsi="宋体" w:eastAsia="宋体" w:cs="宋体"/>
          <w:b w:val="0"/>
          <w:snapToGrid w:val="0"/>
          <w:color w:val="auto"/>
          <w:sz w:val="24"/>
          <w:szCs w:val="24"/>
          <w:highlight w:val="none"/>
          <w:lang w:val="en-US" w:eastAsia="zh-CN" w:bidi="ar-SA"/>
        </w:rPr>
        <w:t>驻场工程师工作时间与甲方保持一致，不得擅自脱岗、离岗。驻场人员为服务商正式员工，未经甲方书面同意不得随意更换。严格遵守保密规定与现场管理制度，确保数据安全、设备安全、信息安全。日常故障即时响应处置，安全事件30分钟内响应，保障服务质量与处置效率。</w:t>
      </w:r>
    </w:p>
    <w:p w14:paraId="4FE94D77">
      <w:pPr>
        <w:keepNext w:val="0"/>
        <w:keepLines w:val="0"/>
        <w:pageBreakBefore w:val="0"/>
        <w:numPr>
          <w:ilvl w:val="-1"/>
          <w:numId w:val="0"/>
        </w:numPr>
        <w:tabs>
          <w:tab w:val="left" w:pos="1204"/>
        </w:tabs>
        <w:wordWrap/>
        <w:overflowPunct/>
        <w:topLinePunct/>
        <w:bidi w:val="0"/>
        <w:spacing w:line="560" w:lineRule="exact"/>
        <w:ind w:left="420" w:leftChars="0" w:firstLine="0" w:firstLineChars="0"/>
        <w:outlineLvl w:val="9"/>
        <w:rPr>
          <w:rFonts w:hint="eastAsia"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2.</w:t>
      </w:r>
      <w:r>
        <w:rPr>
          <w:rFonts w:hint="eastAsia" w:ascii="宋体" w:hAnsi="宋体" w:eastAsia="宋体" w:cs="宋体"/>
          <w:b/>
          <w:bCs/>
          <w:color w:val="auto"/>
          <w:sz w:val="24"/>
          <w:szCs w:val="24"/>
          <w:highlight w:val="none"/>
          <w:lang w:val="en-US" w:eastAsia="zh-CN"/>
        </w:rPr>
        <w:t>网络安全驻场运维</w:t>
      </w:r>
    </w:p>
    <w:p w14:paraId="59119FA8">
      <w:pPr>
        <w:pStyle w:val="17"/>
        <w:keepNext w:val="0"/>
        <w:keepLines w:val="0"/>
        <w:pageBreakBefore w:val="0"/>
        <w:widowControl/>
        <w:numPr>
          <w:ilvl w:val="0"/>
          <w:numId w:val="14"/>
        </w:numPr>
        <w:tabs>
          <w:tab w:val="left" w:pos="482"/>
        </w:tabs>
        <w:wordWrap/>
        <w:overflowPunct/>
        <w:topLinePunct/>
        <w:bidi w:val="0"/>
        <w:spacing w:line="560" w:lineRule="exact"/>
        <w:ind w:left="0" w:leftChars="0" w:firstLine="480" w:firstLineChars="200"/>
        <w:outlineLvl w:val="9"/>
        <w:rPr>
          <w:rFonts w:hint="eastAsia" w:ascii="宋体" w:hAnsi="宋体" w:eastAsia="宋体" w:cs="宋体"/>
          <w:b w:val="0"/>
          <w:i w:val="0"/>
          <w:strike w:val="0"/>
          <w:color w:val="auto"/>
          <w:sz w:val="24"/>
          <w:szCs w:val="24"/>
          <w:highlight w:val="none"/>
          <w:u w:val="none"/>
        </w:rPr>
      </w:pPr>
      <w:r>
        <w:rPr>
          <w:rFonts w:hint="eastAsia" w:ascii="宋体" w:hAnsi="宋体" w:eastAsia="宋体" w:cs="宋体"/>
          <w:b w:val="0"/>
          <w:i w:val="0"/>
          <w:strike w:val="0"/>
          <w:color w:val="auto"/>
          <w:sz w:val="24"/>
          <w:szCs w:val="24"/>
          <w:highlight w:val="none"/>
          <w:u w:val="none"/>
        </w:rPr>
        <w:t>配置网络安全驻场运维人员1名。驻场人员需全程在岗值守，严格服从招标人的统一管理、工作调度及各项规章制度，主动配合招标人开展各类网络安全相关工作，切实履行岗位职责，全力防范各类网络安全风险，保障单位网络、信息系统及核心数据的安全稳定运行，为单位各项业务开展提供坚实的网络安全支撑。</w:t>
      </w:r>
    </w:p>
    <w:p w14:paraId="0C1D0B0C">
      <w:pPr>
        <w:pStyle w:val="17"/>
        <w:keepNext w:val="0"/>
        <w:keepLines w:val="0"/>
        <w:pageBreakBefore w:val="0"/>
        <w:widowControl/>
        <w:numPr>
          <w:ilvl w:val="0"/>
          <w:numId w:val="14"/>
        </w:numPr>
        <w:tabs>
          <w:tab w:val="left" w:pos="482"/>
        </w:tabs>
        <w:wordWrap/>
        <w:overflowPunct/>
        <w:topLinePunct/>
        <w:bidi w:val="0"/>
        <w:spacing w:line="560" w:lineRule="exact"/>
        <w:ind w:left="0" w:leftChars="0" w:firstLine="480" w:firstLineChars="200"/>
        <w:outlineLvl w:val="9"/>
        <w:rPr>
          <w:rFonts w:hint="eastAsia" w:ascii="宋体" w:hAnsi="宋体" w:eastAsia="宋体" w:cs="宋体"/>
          <w:b w:val="0"/>
          <w:i w:val="0"/>
          <w:strike w:val="0"/>
          <w:color w:val="auto"/>
          <w:sz w:val="24"/>
          <w:szCs w:val="24"/>
          <w:highlight w:val="none"/>
          <w:u w:val="none"/>
        </w:rPr>
      </w:pPr>
      <w:r>
        <w:rPr>
          <w:rFonts w:hint="eastAsia" w:ascii="宋体" w:hAnsi="宋体" w:eastAsia="宋体" w:cs="宋体"/>
          <w:b w:val="0"/>
          <w:i w:val="0"/>
          <w:strike w:val="0"/>
          <w:color w:val="auto"/>
          <w:sz w:val="24"/>
          <w:szCs w:val="24"/>
          <w:highlight w:val="none"/>
          <w:u w:val="none"/>
        </w:rPr>
        <w:t>驻场运维人员核心工作职责涵盖四大板块。</w:t>
      </w:r>
      <w:r>
        <w:rPr>
          <w:rFonts w:hint="eastAsia" w:ascii="宋体" w:hAnsi="宋体" w:cs="宋体"/>
          <w:b w:val="0"/>
          <w:i w:val="0"/>
          <w:strike w:val="0"/>
          <w:color w:val="auto"/>
          <w:sz w:val="24"/>
          <w:szCs w:val="24"/>
          <w:highlight w:val="none"/>
          <w:u w:val="none"/>
          <w:lang w:eastAsia="zh-CN"/>
        </w:rPr>
        <w:t>一是</w:t>
      </w:r>
      <w:r>
        <w:rPr>
          <w:rFonts w:hint="eastAsia" w:ascii="宋体" w:hAnsi="宋体" w:eastAsia="宋体" w:cs="宋体"/>
          <w:b w:val="0"/>
          <w:i w:val="0"/>
          <w:strike w:val="0"/>
          <w:color w:val="auto"/>
          <w:sz w:val="24"/>
          <w:szCs w:val="24"/>
          <w:highlight w:val="none"/>
          <w:u w:val="none"/>
        </w:rPr>
        <w:t>网络安全防护，负责搭建并维护</w:t>
      </w:r>
      <w:r>
        <w:rPr>
          <w:rFonts w:hint="eastAsia" w:ascii="宋体" w:hAnsi="宋体" w:cs="宋体"/>
          <w:b w:val="0"/>
          <w:i w:val="0"/>
          <w:strike w:val="0"/>
          <w:color w:val="auto"/>
          <w:sz w:val="24"/>
          <w:szCs w:val="24"/>
          <w:highlight w:val="none"/>
          <w:u w:val="none"/>
          <w:lang w:eastAsia="zh-CN"/>
        </w:rPr>
        <w:t>招标人机关及所属各基层</w:t>
      </w:r>
      <w:r>
        <w:rPr>
          <w:rFonts w:hint="eastAsia" w:ascii="宋体" w:hAnsi="宋体" w:eastAsia="宋体" w:cs="宋体"/>
          <w:b w:val="0"/>
          <w:i w:val="0"/>
          <w:strike w:val="0"/>
          <w:color w:val="auto"/>
          <w:sz w:val="24"/>
          <w:szCs w:val="24"/>
          <w:highlight w:val="none"/>
          <w:u w:val="none"/>
        </w:rPr>
        <w:t>单位网络安全防护体系，实时监测网络运行状态，精准识别并拦截各类安全隐患，防范网络病毒、恶意攻击、非法入侵等风险，保障网络环境纯净安全</w:t>
      </w:r>
      <w:r>
        <w:rPr>
          <w:rFonts w:hint="eastAsia" w:ascii="宋体" w:hAnsi="宋体" w:cs="宋体"/>
          <w:b w:val="0"/>
          <w:i w:val="0"/>
          <w:strike w:val="0"/>
          <w:color w:val="auto"/>
          <w:sz w:val="24"/>
          <w:szCs w:val="24"/>
          <w:highlight w:val="none"/>
          <w:u w:val="none"/>
          <w:lang w:eastAsia="zh-CN"/>
        </w:rPr>
        <w:t>；二是</w:t>
      </w:r>
      <w:r>
        <w:rPr>
          <w:rFonts w:hint="eastAsia" w:ascii="宋体" w:hAnsi="宋体" w:eastAsia="宋体" w:cs="宋体"/>
          <w:b w:val="0"/>
          <w:i w:val="0"/>
          <w:strike w:val="0"/>
          <w:color w:val="auto"/>
          <w:sz w:val="24"/>
          <w:szCs w:val="24"/>
          <w:highlight w:val="none"/>
          <w:u w:val="none"/>
        </w:rPr>
        <w:t>信息系统</w:t>
      </w:r>
      <w:r>
        <w:rPr>
          <w:rFonts w:hint="eastAsia" w:ascii="宋体" w:hAnsi="宋体" w:cs="宋体"/>
          <w:b w:val="0"/>
          <w:i w:val="0"/>
          <w:strike w:val="0"/>
          <w:color w:val="auto"/>
          <w:sz w:val="24"/>
          <w:szCs w:val="24"/>
          <w:highlight w:val="none"/>
          <w:u w:val="none"/>
          <w:lang w:eastAsia="zh-CN"/>
        </w:rPr>
        <w:t>安全</w:t>
      </w:r>
      <w:r>
        <w:rPr>
          <w:rFonts w:hint="eastAsia" w:ascii="宋体" w:hAnsi="宋体" w:eastAsia="宋体" w:cs="宋体"/>
          <w:b w:val="0"/>
          <w:i w:val="0"/>
          <w:strike w:val="0"/>
          <w:color w:val="auto"/>
          <w:sz w:val="24"/>
          <w:szCs w:val="24"/>
          <w:highlight w:val="none"/>
          <w:u w:val="none"/>
        </w:rPr>
        <w:t>运维上，对各类业务信息系统开展日常管理，包括运行监测、故障排查修复、系统升级优化，确保系统正常上线、稳定运行，避免因系统故障影响业务推进</w:t>
      </w:r>
      <w:r>
        <w:rPr>
          <w:rFonts w:hint="eastAsia" w:ascii="宋体" w:hAnsi="宋体" w:cs="宋体"/>
          <w:b w:val="0"/>
          <w:i w:val="0"/>
          <w:strike w:val="0"/>
          <w:color w:val="auto"/>
          <w:sz w:val="24"/>
          <w:szCs w:val="24"/>
          <w:highlight w:val="none"/>
          <w:u w:val="none"/>
          <w:lang w:eastAsia="zh-CN"/>
        </w:rPr>
        <w:t>；三是</w:t>
      </w:r>
      <w:r>
        <w:rPr>
          <w:rFonts w:hint="eastAsia" w:ascii="宋体" w:hAnsi="宋体" w:eastAsia="宋体" w:cs="宋体"/>
          <w:b w:val="0"/>
          <w:i w:val="0"/>
          <w:strike w:val="0"/>
          <w:color w:val="auto"/>
          <w:sz w:val="24"/>
          <w:szCs w:val="24"/>
          <w:highlight w:val="none"/>
          <w:u w:val="none"/>
        </w:rPr>
        <w:t>网络设备管控上，定期检查</w:t>
      </w:r>
      <w:r>
        <w:rPr>
          <w:rFonts w:hint="eastAsia" w:ascii="宋体" w:hAnsi="宋体" w:cs="宋体"/>
          <w:b w:val="0"/>
          <w:i w:val="0"/>
          <w:strike w:val="0"/>
          <w:color w:val="auto"/>
          <w:sz w:val="24"/>
          <w:szCs w:val="24"/>
          <w:highlight w:val="none"/>
          <w:u w:val="none"/>
          <w:lang w:eastAsia="zh-CN"/>
        </w:rPr>
        <w:t>招标人机关及所属各基层</w:t>
      </w:r>
      <w:r>
        <w:rPr>
          <w:rFonts w:hint="eastAsia" w:ascii="宋体" w:hAnsi="宋体" w:eastAsia="宋体" w:cs="宋体"/>
          <w:b w:val="0"/>
          <w:i w:val="0"/>
          <w:strike w:val="0"/>
          <w:color w:val="auto"/>
          <w:sz w:val="24"/>
          <w:szCs w:val="24"/>
          <w:highlight w:val="none"/>
          <w:u w:val="none"/>
        </w:rPr>
        <w:t>网络设备运行状况，及时处理设备故障，规范设备配置管理，保障设备高效运转</w:t>
      </w:r>
      <w:r>
        <w:rPr>
          <w:rFonts w:hint="eastAsia" w:ascii="宋体" w:hAnsi="宋体" w:cs="宋体"/>
          <w:b w:val="0"/>
          <w:i w:val="0"/>
          <w:strike w:val="0"/>
          <w:color w:val="auto"/>
          <w:sz w:val="24"/>
          <w:szCs w:val="24"/>
          <w:highlight w:val="none"/>
          <w:u w:val="none"/>
          <w:lang w:eastAsia="zh-CN"/>
        </w:rPr>
        <w:t>；四是</w:t>
      </w:r>
      <w:r>
        <w:rPr>
          <w:rFonts w:hint="eastAsia" w:ascii="宋体" w:hAnsi="宋体" w:eastAsia="宋体" w:cs="宋体"/>
          <w:b w:val="0"/>
          <w:i w:val="0"/>
          <w:strike w:val="0"/>
          <w:color w:val="auto"/>
          <w:sz w:val="24"/>
          <w:szCs w:val="24"/>
          <w:highlight w:val="none"/>
          <w:u w:val="none"/>
        </w:rPr>
        <w:t>办公终端保障上，管控所有办公终端安全，排查终端安全隐患，规范终端使用行为，防范终端带来的安全风险。</w:t>
      </w:r>
    </w:p>
    <w:p w14:paraId="67A509F7">
      <w:pPr>
        <w:pStyle w:val="17"/>
        <w:keepNext w:val="0"/>
        <w:keepLines w:val="0"/>
        <w:pageBreakBefore w:val="0"/>
        <w:widowControl/>
        <w:numPr>
          <w:ilvl w:val="0"/>
          <w:numId w:val="14"/>
        </w:numPr>
        <w:tabs>
          <w:tab w:val="left" w:pos="482"/>
        </w:tabs>
        <w:wordWrap/>
        <w:overflowPunct/>
        <w:topLinePunct/>
        <w:bidi w:val="0"/>
        <w:spacing w:line="560" w:lineRule="exact"/>
        <w:ind w:left="0" w:leftChars="0" w:firstLine="480" w:firstLineChars="200"/>
        <w:outlineLvl w:val="9"/>
        <w:rPr>
          <w:rFonts w:hint="eastAsia" w:ascii="宋体" w:hAnsi="宋体" w:eastAsia="宋体" w:cs="宋体"/>
          <w:b w:val="0"/>
          <w:i w:val="0"/>
          <w:strike w:val="0"/>
          <w:color w:val="auto"/>
          <w:sz w:val="24"/>
          <w:szCs w:val="24"/>
          <w:highlight w:val="none"/>
          <w:u w:val="none"/>
        </w:rPr>
      </w:pPr>
      <w:r>
        <w:rPr>
          <w:rFonts w:hint="eastAsia" w:ascii="宋体" w:hAnsi="宋体" w:eastAsia="宋体" w:cs="宋体"/>
          <w:b w:val="0"/>
          <w:i w:val="0"/>
          <w:strike w:val="0"/>
          <w:color w:val="auto"/>
          <w:sz w:val="24"/>
          <w:szCs w:val="24"/>
          <w:highlight w:val="none"/>
          <w:u w:val="none"/>
        </w:rPr>
        <w:t>日常运维工作需严格遵循规范流程，确保各项工作落地见效。定期开展网络安全巡检，建立完善巡检台账，详细记录巡检时间、范围、发现问题及处理结果，做到闭环管理。常态化开展安全漏洞排查，对网络设备、信息系统、办公终端进行全面扫描，精准定位漏洞后，制定科学修复方案，明确整改时限，及时完成修复，降低漏洞带来的安全隐患。同时，做好病毒防护系统的日常管控，定期更新病毒库，常态化开展终端病毒查杀，严防病毒扩散传播。负责核心数据安全管理，落实数据加密保护措施，制定完善的数据备份方案，定期开展备份演练，确保突发情况下数据可快速恢复，保障数据完整性和安全性。</w:t>
      </w:r>
    </w:p>
    <w:p w14:paraId="32D1FDDD">
      <w:pPr>
        <w:pStyle w:val="17"/>
        <w:keepNext w:val="0"/>
        <w:keepLines w:val="0"/>
        <w:pageBreakBefore w:val="0"/>
        <w:widowControl/>
        <w:numPr>
          <w:ilvl w:val="0"/>
          <w:numId w:val="14"/>
        </w:numPr>
        <w:tabs>
          <w:tab w:val="left" w:pos="482"/>
        </w:tabs>
        <w:wordWrap/>
        <w:overflowPunct/>
        <w:topLinePunct/>
        <w:bidi w:val="0"/>
        <w:spacing w:line="560" w:lineRule="exact"/>
        <w:ind w:left="0" w:leftChars="0" w:firstLine="480" w:firstLineChars="200"/>
        <w:outlineLvl w:val="9"/>
        <w:rPr>
          <w:rFonts w:hint="eastAsia" w:ascii="宋体" w:hAnsi="宋体" w:eastAsia="宋体" w:cs="宋体"/>
          <w:b w:val="0"/>
          <w:i w:val="0"/>
          <w:strike w:val="0"/>
          <w:color w:val="auto"/>
          <w:sz w:val="24"/>
          <w:szCs w:val="24"/>
          <w:highlight w:val="none"/>
          <w:u w:val="none"/>
        </w:rPr>
      </w:pPr>
      <w:r>
        <w:rPr>
          <w:rFonts w:hint="eastAsia" w:ascii="宋体" w:hAnsi="宋体" w:eastAsia="宋体" w:cs="宋体"/>
          <w:b w:val="0"/>
          <w:snapToGrid w:val="0"/>
          <w:color w:val="auto"/>
          <w:sz w:val="24"/>
          <w:szCs w:val="24"/>
          <w:highlight w:val="none"/>
          <w:lang w:val="en-US" w:eastAsia="zh-CN" w:bidi="ar-SA"/>
        </w:rPr>
        <w:t>驻场工程师工作时间与甲方保持一致</w:t>
      </w:r>
      <w:r>
        <w:rPr>
          <w:rFonts w:hint="eastAsia" w:ascii="宋体" w:hAnsi="宋体" w:eastAsia="宋体" w:cs="宋体"/>
          <w:b w:val="0"/>
          <w:i w:val="0"/>
          <w:strike w:val="0"/>
          <w:color w:val="auto"/>
          <w:sz w:val="24"/>
          <w:szCs w:val="24"/>
          <w:highlight w:val="none"/>
          <w:u w:val="none"/>
        </w:rPr>
        <w:t>，</w:t>
      </w:r>
      <w:r>
        <w:rPr>
          <w:rFonts w:hint="eastAsia" w:ascii="宋体" w:hAnsi="宋体" w:cs="宋体"/>
          <w:b w:val="0"/>
          <w:i w:val="0"/>
          <w:strike w:val="0"/>
          <w:color w:val="auto"/>
          <w:sz w:val="24"/>
          <w:szCs w:val="24"/>
          <w:highlight w:val="none"/>
          <w:u w:val="none"/>
          <w:lang w:eastAsia="zh-CN"/>
        </w:rPr>
        <w:t>协助招标人</w:t>
      </w:r>
      <w:r>
        <w:rPr>
          <w:rFonts w:hint="eastAsia" w:ascii="宋体" w:hAnsi="宋体" w:eastAsia="宋体" w:cs="宋体"/>
          <w:b w:val="0"/>
          <w:i w:val="0"/>
          <w:strike w:val="0"/>
          <w:color w:val="auto"/>
          <w:sz w:val="24"/>
          <w:szCs w:val="24"/>
          <w:highlight w:val="none"/>
          <w:u w:val="none"/>
        </w:rPr>
        <w:t>建立健全应急处置机制。接到网络攻击、系统崩溃、数据泄露等突发事件后，需第一时间响应，快速启动应急处置流程，采取有效措施遏制风险扩大，最大限度降低安全事件对单位业务的影响，事后及时整理应急处置报告，总结经验教训，优化应急处置方案。此外，承担各类会务</w:t>
      </w:r>
      <w:r>
        <w:rPr>
          <w:rFonts w:hint="eastAsia" w:ascii="宋体" w:hAnsi="宋体" w:cs="宋体"/>
          <w:b w:val="0"/>
          <w:i w:val="0"/>
          <w:strike w:val="0"/>
          <w:color w:val="auto"/>
          <w:sz w:val="24"/>
          <w:szCs w:val="24"/>
          <w:highlight w:val="none"/>
          <w:u w:val="none"/>
          <w:lang w:eastAsia="zh-CN"/>
        </w:rPr>
        <w:t>、节假日、攻防演练等场景下的</w:t>
      </w:r>
      <w:r>
        <w:rPr>
          <w:rFonts w:hint="eastAsia" w:ascii="宋体" w:hAnsi="宋体" w:eastAsia="宋体" w:cs="宋体"/>
          <w:b w:val="0"/>
          <w:i w:val="0"/>
          <w:strike w:val="0"/>
          <w:color w:val="auto"/>
          <w:sz w:val="24"/>
          <w:szCs w:val="24"/>
          <w:highlight w:val="none"/>
          <w:u w:val="none"/>
        </w:rPr>
        <w:t>网络安全保障工作，</w:t>
      </w:r>
      <w:r>
        <w:rPr>
          <w:rFonts w:hint="eastAsia" w:ascii="宋体" w:hAnsi="宋体" w:cs="宋体"/>
          <w:b w:val="0"/>
          <w:i w:val="0"/>
          <w:strike w:val="0"/>
          <w:color w:val="auto"/>
          <w:sz w:val="24"/>
          <w:szCs w:val="24"/>
          <w:highlight w:val="none"/>
          <w:u w:val="none"/>
          <w:lang w:eastAsia="zh-CN"/>
        </w:rPr>
        <w:t>期间</w:t>
      </w:r>
      <w:r>
        <w:rPr>
          <w:rFonts w:hint="eastAsia" w:ascii="宋体" w:hAnsi="宋体" w:eastAsia="宋体" w:cs="宋体"/>
          <w:b w:val="0"/>
          <w:i w:val="0"/>
          <w:strike w:val="0"/>
          <w:color w:val="auto"/>
          <w:sz w:val="24"/>
          <w:szCs w:val="24"/>
          <w:highlight w:val="none"/>
          <w:u w:val="none"/>
        </w:rPr>
        <w:t>对网络进行全面调试、安全检测，彻底排查安全隐患；期间全程在岗值守，实时监测网络状态，及时处理网络异常，保障网络通畅稳定，防范数据泄露、网络中断等问题。</w:t>
      </w:r>
    </w:p>
    <w:p w14:paraId="6BAF0F89">
      <w:pPr>
        <w:pStyle w:val="17"/>
        <w:keepNext w:val="0"/>
        <w:keepLines w:val="0"/>
        <w:pageBreakBefore w:val="0"/>
        <w:widowControl/>
        <w:numPr>
          <w:ilvl w:val="0"/>
          <w:numId w:val="14"/>
        </w:numPr>
        <w:tabs>
          <w:tab w:val="left" w:pos="482"/>
        </w:tabs>
        <w:wordWrap/>
        <w:overflowPunct/>
        <w:topLinePunct/>
        <w:bidi w:val="0"/>
        <w:spacing w:line="560" w:lineRule="exact"/>
        <w:ind w:left="0" w:leftChars="0" w:firstLine="480" w:firstLineChars="200"/>
        <w:outlineLvl w:val="9"/>
        <w:rPr>
          <w:rFonts w:hint="eastAsia" w:ascii="宋体" w:hAnsi="宋体" w:eastAsia="宋体" w:cs="宋体"/>
          <w:b w:val="0"/>
          <w:i w:val="0"/>
          <w:strike w:val="0"/>
          <w:color w:val="auto"/>
          <w:sz w:val="24"/>
          <w:szCs w:val="24"/>
          <w:highlight w:val="none"/>
          <w:u w:val="none"/>
        </w:rPr>
      </w:pPr>
      <w:r>
        <w:rPr>
          <w:rFonts w:hint="eastAsia" w:ascii="宋体" w:hAnsi="宋体" w:eastAsia="宋体" w:cs="宋体"/>
          <w:b w:val="0"/>
          <w:i w:val="0"/>
          <w:strike w:val="0"/>
          <w:color w:val="auto"/>
          <w:sz w:val="24"/>
          <w:szCs w:val="24"/>
          <w:highlight w:val="none"/>
          <w:u w:val="none"/>
        </w:rPr>
        <w:t>驻场人员需严格履行岗位职责，规范开展各项运维工作，每月按时提交网络安全运维报告，详细说明本月运维工作开展情况、网络运行状态、安全风险排查结果、问题整改情况及下一步运维计划，主动接受招标人的监督与考核。同时，加强自身专业能力提升，及时学习最新网络安全技术、相关法律法规及行业规范，不断提升网络安全防护、应急处置及运维管理能力，切实做好单位网络安全驻场运维各项工作，确保单位网络、信息系统及各项业务安全正常运转，全力守护单位网络安全。</w:t>
      </w:r>
    </w:p>
    <w:p w14:paraId="62EDB8A9">
      <w:pPr>
        <w:keepLines w:val="0"/>
        <w:pageBreakBefore w:val="0"/>
        <w:numPr>
          <w:ilvl w:val="0"/>
          <w:numId w:val="0"/>
        </w:numPr>
        <w:tabs>
          <w:tab w:val="left" w:pos="1204"/>
        </w:tabs>
        <w:wordWrap/>
        <w:overflowPunct/>
        <w:topLinePunct/>
        <w:bidi w:val="0"/>
        <w:ind w:leftChars="0"/>
        <w:outlineLvl w:val="9"/>
        <w:rPr>
          <w:rFonts w:hint="eastAsia" w:ascii="宋体" w:hAnsi="宋体" w:cs="宋体"/>
          <w:color w:val="auto"/>
          <w:highlight w:val="none"/>
          <w:lang w:val="en-US" w:eastAsia="zh-CN"/>
        </w:rPr>
      </w:pPr>
    </w:p>
    <w:bookmarkEnd w:id="54"/>
    <w:p w14:paraId="70AABFC6">
      <w:pPr>
        <w:pStyle w:val="21"/>
        <w:spacing w:line="276" w:lineRule="auto"/>
        <w:rPr>
          <w:rFonts w:hint="eastAsia" w:ascii="宋体" w:hAnsi="宋体" w:eastAsia="宋体" w:cs="宋体"/>
          <w:color w:val="auto"/>
          <w:sz w:val="24"/>
          <w:szCs w:val="24"/>
          <w:highlight w:val="none"/>
        </w:rPr>
      </w:pPr>
    </w:p>
    <w:p w14:paraId="57BFDDD0">
      <w:pPr>
        <w:pStyle w:val="21"/>
        <w:spacing w:line="276" w:lineRule="auto"/>
        <w:rPr>
          <w:rFonts w:hint="eastAsia" w:ascii="宋体" w:hAnsi="宋体" w:eastAsia="宋体" w:cs="宋体"/>
          <w:b/>
          <w:bCs/>
          <w:snapToGrid/>
          <w:color w:val="auto"/>
          <w:spacing w:val="0"/>
          <w:sz w:val="24"/>
          <w:szCs w:val="24"/>
          <w:highlight w:val="none"/>
        </w:rPr>
      </w:pPr>
    </w:p>
    <w:p w14:paraId="2C8E5B6A">
      <w:pPr>
        <w:pStyle w:val="22"/>
        <w:spacing w:line="276" w:lineRule="auto"/>
        <w:rPr>
          <w:rFonts w:hint="eastAsia" w:ascii="宋体" w:hAnsi="宋体" w:cs="宋体"/>
          <w:color w:val="auto"/>
          <w:highlight w:val="none"/>
        </w:rPr>
      </w:pPr>
    </w:p>
    <w:p w14:paraId="3D9F9F08">
      <w:pPr>
        <w:spacing w:line="276" w:lineRule="auto"/>
        <w:rPr>
          <w:rFonts w:hint="eastAsia" w:ascii="宋体" w:hAnsi="宋体" w:cs="宋体"/>
          <w:color w:val="auto"/>
          <w:highlight w:val="none"/>
        </w:rPr>
      </w:pPr>
    </w:p>
    <w:p w14:paraId="7C2E777B">
      <w:pPr>
        <w:spacing w:line="276" w:lineRule="auto"/>
        <w:rPr>
          <w:rFonts w:hint="eastAsia" w:ascii="宋体" w:hAnsi="宋体" w:cs="宋体"/>
          <w:color w:val="auto"/>
          <w:highlight w:val="none"/>
        </w:rPr>
      </w:pPr>
    </w:p>
    <w:p w14:paraId="0F6684E9">
      <w:pPr>
        <w:spacing w:line="276" w:lineRule="auto"/>
        <w:rPr>
          <w:rFonts w:hint="eastAsia" w:ascii="宋体" w:hAnsi="宋体" w:cs="宋体"/>
          <w:color w:val="auto"/>
          <w:highlight w:val="none"/>
        </w:rPr>
      </w:pPr>
    </w:p>
    <w:p w14:paraId="09E9A50D">
      <w:pPr>
        <w:pStyle w:val="21"/>
        <w:spacing w:line="276" w:lineRule="auto"/>
        <w:rPr>
          <w:rFonts w:hint="eastAsia" w:hAnsi="宋体" w:cs="宋体"/>
          <w:color w:val="auto"/>
          <w:highlight w:val="none"/>
        </w:rPr>
      </w:pPr>
    </w:p>
    <w:bookmarkEnd w:id="53"/>
    <w:p w14:paraId="40DCBB49">
      <w:pPr>
        <w:pStyle w:val="3"/>
        <w:spacing w:line="276" w:lineRule="auto"/>
        <w:rPr>
          <w:rFonts w:hint="eastAsia" w:cs="宋体"/>
          <w:color w:val="auto"/>
          <w:highlight w:val="none"/>
        </w:rPr>
      </w:pPr>
      <w:bookmarkStart w:id="59" w:name="_Toc505079093"/>
      <w:bookmarkStart w:id="60" w:name="_Toc83726739"/>
      <w:r>
        <w:rPr>
          <w:rFonts w:hint="eastAsia" w:cs="宋体"/>
          <w:color w:val="auto"/>
          <w:highlight w:val="none"/>
        </w:rPr>
        <w:br w:type="page"/>
      </w:r>
    </w:p>
    <w:p w14:paraId="3880C1B3">
      <w:pPr>
        <w:pStyle w:val="3"/>
        <w:spacing w:line="276" w:lineRule="auto"/>
        <w:rPr>
          <w:rFonts w:hint="eastAsia" w:cs="宋体"/>
          <w:color w:val="auto"/>
          <w:highlight w:val="none"/>
        </w:rPr>
      </w:pPr>
      <w:r>
        <w:rPr>
          <w:rFonts w:hint="eastAsia" w:cs="宋体"/>
          <w:color w:val="auto"/>
          <w:highlight w:val="none"/>
        </w:rPr>
        <w:t>第四部分  合同</w:t>
      </w:r>
      <w:bookmarkEnd w:id="59"/>
      <w:r>
        <w:rPr>
          <w:rFonts w:hint="eastAsia" w:cs="宋体"/>
          <w:color w:val="auto"/>
          <w:highlight w:val="none"/>
        </w:rPr>
        <w:t>一般条款（仅供参考）</w:t>
      </w:r>
      <w:bookmarkEnd w:id="60"/>
    </w:p>
    <w:p w14:paraId="7EB77E54">
      <w:pPr>
        <w:pStyle w:val="17"/>
        <w:widowControl/>
        <w:spacing w:line="240" w:lineRule="auto"/>
        <w:ind w:left="0" w:leftChars="0" w:firstLine="480" w:firstLineChars="200"/>
        <w:rPr>
          <w:rFonts w:hint="eastAsia" w:ascii="宋体" w:hAnsi="宋体" w:eastAsia="宋体" w:cs="宋体"/>
          <w:color w:val="auto"/>
          <w:sz w:val="24"/>
          <w:szCs w:val="24"/>
          <w:highlight w:val="none"/>
        </w:rPr>
      </w:pPr>
      <w:bookmarkStart w:id="61" w:name="_Toc349637943"/>
      <w:bookmarkStart w:id="62" w:name="_Toc298240429"/>
      <w:bookmarkStart w:id="63" w:name="_Toc349573144"/>
      <w:bookmarkStart w:id="64" w:name="_Toc507690272"/>
      <w:r>
        <w:rPr>
          <w:rFonts w:hint="eastAsia" w:ascii="宋体" w:hAnsi="宋体" w:eastAsia="宋体" w:cs="宋体"/>
          <w:color w:val="auto"/>
          <w:sz w:val="24"/>
          <w:szCs w:val="24"/>
          <w:highlight w:val="none"/>
        </w:rPr>
        <w:t>本合同系甲方委托乙方就</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进行的专项技术服务，并支付相应的技术服务报酬一事，双方经过平等协商，在真实、充分地表达各自意愿的基础上，根据《中华人民共和国民法典》的规定，达成如下协议，并由双方共同恪守。</w:t>
      </w:r>
    </w:p>
    <w:p w14:paraId="6A13E942">
      <w:pPr>
        <w:pStyle w:val="17"/>
        <w:widowControl/>
        <w:numPr>
          <w:ilvl w:val="0"/>
          <w:numId w:val="15"/>
        </w:numPr>
        <w:tabs>
          <w:tab w:val="left" w:pos="1320"/>
          <w:tab w:val="clear" w:pos="210"/>
        </w:tabs>
        <w:spacing w:line="240" w:lineRule="auto"/>
        <w:ind w:left="0" w:leftChars="0" w:firstLine="480" w:firstLineChars="200"/>
        <w:rPr>
          <w:rFonts w:hint="eastAsia" w:ascii="宋体" w:hAnsi="宋体" w:eastAsia="宋体" w:cs="宋体"/>
          <w:b w:val="0"/>
          <w:color w:val="auto"/>
          <w:sz w:val="24"/>
          <w:szCs w:val="24"/>
          <w:highlight w:val="none"/>
        </w:rPr>
      </w:pPr>
      <w:r>
        <w:rPr>
          <w:rFonts w:hint="eastAsia" w:ascii="宋体" w:hAnsi="宋体" w:eastAsia="宋体" w:cs="宋体"/>
          <w:color w:val="auto"/>
          <w:sz w:val="24"/>
          <w:szCs w:val="24"/>
          <w:highlight w:val="none"/>
        </w:rPr>
        <w:t>甲方委托乙方进行技术服务的内容如下：</w:t>
      </w:r>
    </w:p>
    <w:p w14:paraId="14953729">
      <w:pPr>
        <w:pStyle w:val="17"/>
        <w:widowControl/>
        <w:spacing w:line="240" w:lineRule="auto"/>
        <w:ind w:left="0" w:leftChars="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技术服务的内容：</w:t>
      </w:r>
    </w:p>
    <w:p w14:paraId="1E1FA5B9">
      <w:pPr>
        <w:pStyle w:val="17"/>
        <w:widowControl/>
        <w:numPr>
          <w:ilvl w:val="-1"/>
          <w:numId w:val="0"/>
        </w:numPr>
        <w:tabs>
          <w:tab w:val="left" w:pos="1080"/>
        </w:tabs>
        <w:topLinePunct w:val="0"/>
        <w:spacing w:line="240" w:lineRule="auto"/>
        <w:ind w:left="420" w:leftChars="200" w:firstLine="0" w:firstLineChars="0"/>
        <w:rPr>
          <w:rFonts w:hint="eastAsia" w:ascii="宋体" w:hAnsi="宋体" w:eastAsia="宋体" w:cs="宋体"/>
          <w:b/>
          <w:color w:val="auto"/>
          <w:sz w:val="24"/>
          <w:szCs w:val="24"/>
          <w:highlight w:val="none"/>
        </w:rPr>
      </w:pPr>
      <w:r>
        <w:rPr>
          <w:rFonts w:hint="eastAsia" w:ascii="宋体" w:hAnsi="宋体" w:cs="宋体"/>
          <w:b/>
          <w:color w:val="auto"/>
          <w:sz w:val="24"/>
          <w:szCs w:val="24"/>
          <w:highlight w:val="none"/>
          <w:lang w:eastAsia="zh-CN"/>
        </w:rPr>
        <w:t>（一）</w:t>
      </w:r>
      <w:r>
        <w:rPr>
          <w:rFonts w:hint="eastAsia" w:ascii="宋体" w:hAnsi="宋体" w:eastAsia="宋体" w:cs="宋体"/>
          <w:b/>
          <w:color w:val="auto"/>
          <w:sz w:val="24"/>
          <w:szCs w:val="24"/>
          <w:highlight w:val="none"/>
        </w:rPr>
        <w:t>渗透测试服务（每月一次）</w:t>
      </w:r>
    </w:p>
    <w:p w14:paraId="7C6025CC">
      <w:pPr>
        <w:pStyle w:val="17"/>
        <w:numPr>
          <w:ilvl w:val="0"/>
          <w:numId w:val="16"/>
        </w:numPr>
        <w:tabs>
          <w:tab w:val="left" w:pos="780"/>
          <w:tab w:val="clear" w:pos="210"/>
        </w:tabs>
        <w:spacing w:line="240" w:lineRule="auto"/>
        <w:ind w:left="0" w:leftChars="0" w:firstLine="480" w:firstLineChars="200"/>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服务目标</w:t>
      </w:r>
    </w:p>
    <w:p w14:paraId="1E55A44B">
      <w:pPr>
        <w:pStyle w:val="17"/>
        <w:widowControl/>
        <w:spacing w:line="240" w:lineRule="auto"/>
        <w:ind w:left="0" w:leftChars="0" w:firstLine="480" w:firstLineChars="200"/>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通过渗透测试，及时发现WEB应用、C/S架构应用系统</w:t>
      </w:r>
      <w:r>
        <w:rPr>
          <w:rFonts w:hint="eastAsia" w:ascii="宋体" w:hAnsi="宋体" w:cs="宋体"/>
          <w:b w:val="0"/>
          <w:color w:val="auto"/>
          <w:sz w:val="24"/>
          <w:szCs w:val="24"/>
          <w:highlight w:val="none"/>
          <w:lang w:eastAsia="zh-CN"/>
        </w:rPr>
        <w:t>及移动端应用（</w:t>
      </w:r>
      <w:r>
        <w:rPr>
          <w:rFonts w:hint="eastAsia" w:ascii="宋体" w:hAnsi="宋体" w:cs="宋体"/>
          <w:b w:val="0"/>
          <w:color w:val="auto"/>
          <w:sz w:val="24"/>
          <w:szCs w:val="24"/>
          <w:highlight w:val="none"/>
          <w:lang w:val="en-US" w:eastAsia="zh-CN"/>
        </w:rPr>
        <w:t>APP</w:t>
      </w:r>
      <w:r>
        <w:rPr>
          <w:rFonts w:hint="eastAsia" w:ascii="宋体" w:hAnsi="宋体" w:cs="宋体"/>
          <w:b w:val="0"/>
          <w:color w:val="auto"/>
          <w:sz w:val="24"/>
          <w:szCs w:val="24"/>
          <w:highlight w:val="none"/>
          <w:lang w:eastAsia="zh-CN"/>
        </w:rPr>
        <w:t>）</w:t>
      </w:r>
      <w:r>
        <w:rPr>
          <w:rFonts w:hint="eastAsia" w:ascii="宋体" w:hAnsi="宋体" w:eastAsia="宋体" w:cs="宋体"/>
          <w:b w:val="0"/>
          <w:color w:val="auto"/>
          <w:sz w:val="24"/>
          <w:szCs w:val="24"/>
          <w:highlight w:val="none"/>
        </w:rPr>
        <w:t>存在的代码和配置缺陷，并提出安全整改和加固建议，协助进行安全整改，提高系统自身安全防护能力。</w:t>
      </w:r>
    </w:p>
    <w:p w14:paraId="7CD85033">
      <w:pPr>
        <w:pStyle w:val="17"/>
        <w:numPr>
          <w:ilvl w:val="0"/>
          <w:numId w:val="16"/>
        </w:numPr>
        <w:tabs>
          <w:tab w:val="left" w:pos="780"/>
          <w:tab w:val="clear" w:pos="210"/>
        </w:tabs>
        <w:spacing w:line="240" w:lineRule="auto"/>
        <w:ind w:left="0" w:leftChars="0" w:firstLine="480" w:firstLineChars="200"/>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服务范围</w:t>
      </w:r>
    </w:p>
    <w:p w14:paraId="32D25ACE">
      <w:pPr>
        <w:pStyle w:val="17"/>
        <w:widowControl/>
        <w:spacing w:line="240" w:lineRule="auto"/>
        <w:ind w:left="0" w:leftChars="0" w:firstLine="480" w:firstLineChars="200"/>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本项工作主要针对在线运行和新上线运行WEB应用</w:t>
      </w:r>
      <w:r>
        <w:rPr>
          <w:rFonts w:hint="eastAsia" w:ascii="宋体" w:hAnsi="宋体" w:cs="宋体"/>
          <w:b w:val="0"/>
          <w:color w:val="auto"/>
          <w:sz w:val="24"/>
          <w:szCs w:val="24"/>
          <w:highlight w:val="none"/>
          <w:lang w:eastAsia="zh-CN"/>
        </w:rPr>
        <w:t>、</w:t>
      </w:r>
      <w:r>
        <w:rPr>
          <w:rFonts w:hint="eastAsia" w:ascii="宋体" w:hAnsi="宋体" w:eastAsia="宋体" w:cs="宋体"/>
          <w:b w:val="0"/>
          <w:color w:val="auto"/>
          <w:sz w:val="24"/>
          <w:szCs w:val="24"/>
          <w:highlight w:val="none"/>
        </w:rPr>
        <w:t>C/S架构应用系统</w:t>
      </w:r>
      <w:r>
        <w:rPr>
          <w:rFonts w:hint="eastAsia" w:ascii="宋体" w:hAnsi="宋体" w:cs="宋体"/>
          <w:b w:val="0"/>
          <w:color w:val="auto"/>
          <w:sz w:val="24"/>
          <w:szCs w:val="24"/>
          <w:highlight w:val="none"/>
          <w:lang w:eastAsia="zh-CN"/>
        </w:rPr>
        <w:t>及移动端应用（</w:t>
      </w:r>
      <w:r>
        <w:rPr>
          <w:rFonts w:hint="eastAsia" w:ascii="宋体" w:hAnsi="宋体" w:cs="宋体"/>
          <w:b w:val="0"/>
          <w:color w:val="auto"/>
          <w:sz w:val="24"/>
          <w:szCs w:val="24"/>
          <w:highlight w:val="none"/>
          <w:lang w:val="en-US" w:eastAsia="zh-CN"/>
        </w:rPr>
        <w:t>APP</w:t>
      </w:r>
      <w:r>
        <w:rPr>
          <w:rFonts w:hint="eastAsia" w:ascii="宋体" w:hAnsi="宋体" w:cs="宋体"/>
          <w:b w:val="0"/>
          <w:color w:val="auto"/>
          <w:sz w:val="24"/>
          <w:szCs w:val="24"/>
          <w:highlight w:val="none"/>
          <w:lang w:eastAsia="zh-CN"/>
        </w:rPr>
        <w:t>）</w:t>
      </w:r>
      <w:r>
        <w:rPr>
          <w:rFonts w:hint="eastAsia" w:ascii="宋体" w:hAnsi="宋体" w:eastAsia="宋体" w:cs="宋体"/>
          <w:b w:val="0"/>
          <w:color w:val="auto"/>
          <w:sz w:val="24"/>
          <w:szCs w:val="24"/>
          <w:highlight w:val="none"/>
        </w:rPr>
        <w:t>。</w:t>
      </w:r>
    </w:p>
    <w:p w14:paraId="0990856C">
      <w:pPr>
        <w:pStyle w:val="17"/>
        <w:numPr>
          <w:ilvl w:val="0"/>
          <w:numId w:val="16"/>
        </w:numPr>
        <w:tabs>
          <w:tab w:val="left" w:pos="780"/>
          <w:tab w:val="clear" w:pos="210"/>
        </w:tabs>
        <w:spacing w:line="240" w:lineRule="auto"/>
        <w:ind w:left="0" w:leftChars="0" w:firstLine="480" w:firstLineChars="200"/>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服务内容</w:t>
      </w:r>
    </w:p>
    <w:p w14:paraId="348B3C7C">
      <w:pPr>
        <w:pStyle w:val="17"/>
        <w:widowControl/>
        <w:spacing w:line="240" w:lineRule="auto"/>
        <w:ind w:left="0" w:leftChars="0" w:firstLine="480" w:firstLineChars="200"/>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渗透测试作为检验目标系统安全性最有效的服务，通过服务人员采用智能工具扫描与人工测试、分析的手段，以模拟黑客入侵的方式对服务目标系统进行模拟入侵测试，识别服务目标存在的安全风险。</w:t>
      </w:r>
    </w:p>
    <w:p w14:paraId="3F8E4B35">
      <w:pPr>
        <w:pStyle w:val="17"/>
        <w:widowControl/>
        <w:spacing w:line="240" w:lineRule="auto"/>
        <w:ind w:left="0" w:leftChars="0" w:firstLine="480" w:firstLineChars="200"/>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渗透性测试是工具扫描和人工评估的重要补充。工具扫描具有很好的效率和速度，但是存在一定的误报率，不能发现高层次、复杂的安全问题；渗透测试需要投入的人力资源较大、对测试者的专业技能要求很高（渗透测试报告的价值直接依赖于测试者的专业技能），但是非常准确，可以发现逻辑性更强、更深层次的弱点。</w:t>
      </w:r>
    </w:p>
    <w:p w14:paraId="0C389BB5">
      <w:pPr>
        <w:pStyle w:val="17"/>
        <w:widowControl/>
        <w:spacing w:line="240" w:lineRule="auto"/>
        <w:ind w:left="0" w:leftChars="0" w:firstLine="480" w:firstLineChars="200"/>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渗透测试内容至少包括：信息收集类、配置管理类（HTTP方法测试、应用中间件测试、信息泄露、异常错误等）、认证类（用户枚举、密码猜解、密码重置、密码策略测试等）、会话类（cookie测试、session会话测试等）、授权类（越权访问、路径遍历、任意文件下载、逻辑缺陷测试等）、数据验证类（SQL注入、跨站脚本、代码注入、URL跳转、文件上传测试等、输入输出校验绕过、数据篡改）、系统应用漏洞（溢出、0day漏洞等）。</w:t>
      </w:r>
    </w:p>
    <w:p w14:paraId="551A9810">
      <w:pPr>
        <w:pStyle w:val="17"/>
        <w:numPr>
          <w:ilvl w:val="0"/>
          <w:numId w:val="16"/>
        </w:numPr>
        <w:tabs>
          <w:tab w:val="left" w:pos="780"/>
          <w:tab w:val="clear" w:pos="210"/>
        </w:tabs>
        <w:spacing w:line="240" w:lineRule="auto"/>
        <w:ind w:left="0" w:leftChars="0" w:firstLine="480" w:firstLineChars="200"/>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服务交付</w:t>
      </w:r>
    </w:p>
    <w:p w14:paraId="665D8ACA">
      <w:pPr>
        <w:pStyle w:val="17"/>
        <w:widowControl/>
        <w:spacing w:line="240" w:lineRule="auto"/>
        <w:ind w:left="0" w:leftChars="0" w:firstLine="480" w:firstLineChars="200"/>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本项工作须提供漏洞过程管理追踪平台，将渗透测试服务过程和成果可视化，实时跟踪漏洞状态，实现漏洞全生命周期管理，全方位分析和展示企业系统安全状况。针对该要求须提供服务承诺函。</w:t>
      </w:r>
    </w:p>
    <w:p w14:paraId="79B94F6B">
      <w:pPr>
        <w:pStyle w:val="17"/>
        <w:widowControl/>
        <w:spacing w:line="240" w:lineRule="auto"/>
        <w:ind w:left="0" w:leftChars="0" w:firstLine="480" w:firstLineChars="200"/>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于此同时提供如下文档（包括但不限于）进行线下备案：</w:t>
      </w:r>
    </w:p>
    <w:p w14:paraId="4C143AE7">
      <w:pPr>
        <w:pStyle w:val="17"/>
        <w:widowControl/>
        <w:spacing w:line="240" w:lineRule="auto"/>
        <w:ind w:left="0" w:leftChars="0" w:firstLine="480" w:firstLineChars="200"/>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《XX系统渗透测试报告》</w:t>
      </w:r>
    </w:p>
    <w:p w14:paraId="758966CE">
      <w:pPr>
        <w:pStyle w:val="17"/>
        <w:widowControl/>
        <w:spacing w:line="240" w:lineRule="auto"/>
        <w:ind w:left="0" w:leftChars="0" w:firstLine="480" w:firstLineChars="200"/>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配合招标人完成其他相关文档</w:t>
      </w:r>
    </w:p>
    <w:p w14:paraId="4662BB02">
      <w:pPr>
        <w:pStyle w:val="17"/>
        <w:numPr>
          <w:ilvl w:val="0"/>
          <w:numId w:val="17"/>
        </w:numPr>
        <w:tabs>
          <w:tab w:val="left" w:pos="1204"/>
        </w:tabs>
        <w:topLinePunct w:val="0"/>
        <w:spacing w:line="240" w:lineRule="auto"/>
        <w:ind w:left="420" w:leftChars="200" w:firstLine="0" w:firstLineChars="0"/>
        <w:rPr>
          <w:rFonts w:hint="eastAsia" w:ascii="宋体" w:hAnsi="宋体" w:eastAsia="宋体" w:cs="宋体"/>
          <w:b/>
          <w:color w:val="auto"/>
          <w:sz w:val="24"/>
          <w:szCs w:val="24"/>
          <w:highlight w:val="none"/>
        </w:rPr>
      </w:pPr>
      <w:r>
        <w:rPr>
          <w:rFonts w:hint="eastAsia" w:ascii="宋体" w:hAnsi="宋体" w:cs="宋体"/>
          <w:b/>
          <w:color w:val="auto"/>
          <w:sz w:val="24"/>
          <w:szCs w:val="24"/>
          <w:highlight w:val="none"/>
          <w:lang w:eastAsia="zh-CN"/>
        </w:rPr>
        <w:t>驻场运维</w:t>
      </w:r>
      <w:r>
        <w:rPr>
          <w:rFonts w:hint="eastAsia" w:ascii="宋体" w:hAnsi="宋体" w:eastAsia="宋体" w:cs="宋体"/>
          <w:b/>
          <w:color w:val="auto"/>
          <w:sz w:val="24"/>
          <w:szCs w:val="24"/>
          <w:highlight w:val="none"/>
        </w:rPr>
        <w:t>服务</w:t>
      </w:r>
    </w:p>
    <w:p w14:paraId="3C0121A1">
      <w:pPr>
        <w:pStyle w:val="17"/>
        <w:numPr>
          <w:ilvl w:val="-1"/>
          <w:numId w:val="0"/>
        </w:numPr>
        <w:tabs>
          <w:tab w:val="left" w:pos="1204"/>
        </w:tabs>
        <w:topLinePunct w:val="0"/>
        <w:spacing w:line="240" w:lineRule="auto"/>
        <w:ind w:left="420" w:leftChars="200" w:firstLine="0" w:firstLineChars="0"/>
        <w:rPr>
          <w:rFonts w:hint="eastAsia" w:ascii="宋体" w:hAnsi="宋体" w:eastAsia="宋体" w:cs="宋体"/>
          <w:b/>
          <w:color w:val="auto"/>
          <w:sz w:val="24"/>
          <w:szCs w:val="24"/>
          <w:highlight w:val="none"/>
          <w:lang w:eastAsia="zh-CN"/>
        </w:rPr>
      </w:pPr>
      <w:r>
        <w:rPr>
          <w:rFonts w:hint="eastAsia" w:ascii="宋体" w:hAnsi="宋体" w:cs="宋体"/>
          <w:b/>
          <w:color w:val="auto"/>
          <w:sz w:val="24"/>
          <w:szCs w:val="24"/>
          <w:highlight w:val="none"/>
          <w:lang w:val="en-US" w:eastAsia="zh-CN"/>
        </w:rPr>
        <w:t>1.</w:t>
      </w:r>
      <w:r>
        <w:rPr>
          <w:rFonts w:hint="eastAsia" w:ascii="宋体" w:hAnsi="宋体" w:cs="宋体"/>
          <w:b/>
          <w:color w:val="auto"/>
          <w:sz w:val="24"/>
          <w:szCs w:val="24"/>
          <w:highlight w:val="none"/>
          <w:lang w:eastAsia="zh-CN"/>
        </w:rPr>
        <w:t>驻场网络安全服务主要内容</w:t>
      </w:r>
    </w:p>
    <w:tbl>
      <w:tblPr>
        <w:tblStyle w:val="123"/>
        <w:tblpPr w:leftFromText="180" w:rightFromText="180" w:vertAnchor="text" w:horzAnchor="page" w:tblpX="773" w:tblpY="540"/>
        <w:tblOverlap w:val="never"/>
        <w:tblW w:w="102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54"/>
        <w:gridCol w:w="839"/>
        <w:gridCol w:w="792"/>
        <w:gridCol w:w="5639"/>
        <w:gridCol w:w="1290"/>
        <w:gridCol w:w="855"/>
      </w:tblGrid>
      <w:tr w14:paraId="4C322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3" w:hRule="atLeast"/>
        </w:trPr>
        <w:tc>
          <w:tcPr>
            <w:tcW w:w="854" w:type="dxa"/>
            <w:shd w:val="clear" w:color="auto" w:fill="auto"/>
            <w:vAlign w:val="top"/>
          </w:tcPr>
          <w:p w14:paraId="79F0F11B">
            <w:pPr>
              <w:spacing w:before="53" w:line="240" w:lineRule="auto"/>
              <w:ind w:left="112" w:right="106" w:firstLine="3"/>
              <w:jc w:val="both"/>
              <w:rPr>
                <w:rFonts w:hint="eastAsia" w:ascii="宋体" w:hAnsi="宋体" w:eastAsia="宋体" w:cs="宋体"/>
                <w:color w:val="auto"/>
                <w:spacing w:val="12"/>
                <w:sz w:val="24"/>
                <w:szCs w:val="24"/>
                <w:highlight w:val="none"/>
              </w:rPr>
            </w:pPr>
            <w:r>
              <w:rPr>
                <w:rFonts w:hint="eastAsia" w:ascii="宋体" w:hAnsi="宋体" w:eastAsia="宋体" w:cs="宋体"/>
                <w:color w:val="auto"/>
                <w:spacing w:val="12"/>
                <w:sz w:val="24"/>
                <w:szCs w:val="24"/>
                <w:highlight w:val="none"/>
                <w:lang w:eastAsia="zh-CN"/>
              </w:rPr>
              <w:t>序</w:t>
            </w:r>
            <w:r>
              <w:rPr>
                <w:rFonts w:hint="eastAsia" w:ascii="宋体" w:hAnsi="宋体" w:eastAsia="宋体" w:cs="宋体"/>
                <w:color w:val="auto"/>
                <w:spacing w:val="12"/>
                <w:sz w:val="24"/>
                <w:szCs w:val="24"/>
                <w:highlight w:val="none"/>
              </w:rPr>
              <w:t>号</w:t>
            </w:r>
          </w:p>
        </w:tc>
        <w:tc>
          <w:tcPr>
            <w:tcW w:w="839" w:type="dxa"/>
            <w:shd w:val="clear" w:color="auto" w:fill="auto"/>
            <w:vAlign w:val="top"/>
          </w:tcPr>
          <w:p w14:paraId="71FA447D">
            <w:pPr>
              <w:spacing w:before="53" w:line="240" w:lineRule="auto"/>
              <w:ind w:left="112" w:right="106" w:firstLine="3"/>
              <w:jc w:val="both"/>
              <w:rPr>
                <w:rFonts w:hint="eastAsia" w:ascii="宋体" w:hAnsi="宋体" w:eastAsia="宋体" w:cs="宋体"/>
                <w:color w:val="auto"/>
                <w:spacing w:val="12"/>
                <w:sz w:val="24"/>
                <w:szCs w:val="24"/>
                <w:highlight w:val="none"/>
              </w:rPr>
            </w:pPr>
            <w:r>
              <w:rPr>
                <w:rFonts w:hint="eastAsia" w:ascii="宋体" w:hAnsi="宋体" w:eastAsia="宋体" w:cs="宋体"/>
                <w:color w:val="auto"/>
                <w:spacing w:val="12"/>
                <w:sz w:val="24"/>
                <w:szCs w:val="24"/>
                <w:highlight w:val="none"/>
              </w:rPr>
              <w:t>服务类别</w:t>
            </w:r>
          </w:p>
        </w:tc>
        <w:tc>
          <w:tcPr>
            <w:tcW w:w="792" w:type="dxa"/>
            <w:shd w:val="clear" w:color="auto" w:fill="auto"/>
            <w:vAlign w:val="top"/>
          </w:tcPr>
          <w:p w14:paraId="16F13A9A">
            <w:pPr>
              <w:spacing w:before="53" w:line="240" w:lineRule="auto"/>
              <w:ind w:left="112" w:right="106" w:firstLine="3"/>
              <w:jc w:val="both"/>
              <w:rPr>
                <w:rFonts w:hint="eastAsia" w:ascii="宋体" w:hAnsi="宋体" w:eastAsia="宋体" w:cs="宋体"/>
                <w:color w:val="auto"/>
                <w:spacing w:val="12"/>
                <w:sz w:val="24"/>
                <w:szCs w:val="24"/>
                <w:highlight w:val="none"/>
              </w:rPr>
            </w:pPr>
            <w:r>
              <w:rPr>
                <w:rFonts w:hint="eastAsia" w:ascii="宋体" w:hAnsi="宋体" w:eastAsia="宋体" w:cs="宋体"/>
                <w:color w:val="auto"/>
                <w:spacing w:val="12"/>
                <w:sz w:val="24"/>
                <w:szCs w:val="24"/>
                <w:highlight w:val="none"/>
              </w:rPr>
              <w:t>服务名称</w:t>
            </w:r>
          </w:p>
        </w:tc>
        <w:tc>
          <w:tcPr>
            <w:tcW w:w="5639" w:type="dxa"/>
            <w:shd w:val="clear" w:color="auto" w:fill="auto"/>
            <w:vAlign w:val="top"/>
          </w:tcPr>
          <w:p w14:paraId="0082F67B">
            <w:pPr>
              <w:spacing w:before="53" w:line="240" w:lineRule="auto"/>
              <w:ind w:left="112" w:right="106" w:firstLine="3"/>
              <w:jc w:val="both"/>
              <w:rPr>
                <w:rFonts w:hint="eastAsia" w:ascii="宋体" w:hAnsi="宋体" w:eastAsia="宋体" w:cs="宋体"/>
                <w:color w:val="auto"/>
                <w:spacing w:val="12"/>
                <w:sz w:val="24"/>
                <w:szCs w:val="24"/>
                <w:highlight w:val="none"/>
              </w:rPr>
            </w:pPr>
            <w:r>
              <w:rPr>
                <w:rFonts w:hint="eastAsia" w:ascii="宋体" w:hAnsi="宋体" w:eastAsia="宋体" w:cs="宋体"/>
                <w:color w:val="auto"/>
                <w:spacing w:val="12"/>
                <w:sz w:val="24"/>
                <w:szCs w:val="24"/>
                <w:highlight w:val="none"/>
              </w:rPr>
              <w:t>服务内容</w:t>
            </w:r>
          </w:p>
        </w:tc>
        <w:tc>
          <w:tcPr>
            <w:tcW w:w="1290" w:type="dxa"/>
            <w:shd w:val="clear" w:color="auto" w:fill="auto"/>
            <w:vAlign w:val="top"/>
          </w:tcPr>
          <w:p w14:paraId="50014628">
            <w:pPr>
              <w:spacing w:before="53" w:line="240" w:lineRule="auto"/>
              <w:ind w:left="112" w:right="106" w:firstLine="3"/>
              <w:jc w:val="both"/>
              <w:rPr>
                <w:rFonts w:hint="eastAsia" w:ascii="宋体" w:hAnsi="宋体" w:eastAsia="宋体" w:cs="宋体"/>
                <w:color w:val="auto"/>
                <w:spacing w:val="12"/>
                <w:sz w:val="24"/>
                <w:szCs w:val="24"/>
                <w:highlight w:val="none"/>
              </w:rPr>
            </w:pPr>
            <w:r>
              <w:rPr>
                <w:rFonts w:hint="eastAsia" w:ascii="宋体" w:hAnsi="宋体" w:eastAsia="宋体" w:cs="宋体"/>
                <w:color w:val="auto"/>
                <w:spacing w:val="12"/>
                <w:sz w:val="24"/>
                <w:szCs w:val="24"/>
                <w:highlight w:val="none"/>
              </w:rPr>
              <w:t>提供资料</w:t>
            </w:r>
          </w:p>
        </w:tc>
        <w:tc>
          <w:tcPr>
            <w:tcW w:w="855" w:type="dxa"/>
            <w:shd w:val="clear" w:color="auto" w:fill="auto"/>
            <w:vAlign w:val="top"/>
          </w:tcPr>
          <w:p w14:paraId="7F3864EF">
            <w:pPr>
              <w:spacing w:before="53" w:line="240" w:lineRule="auto"/>
              <w:ind w:left="112" w:right="106" w:firstLine="3"/>
              <w:jc w:val="both"/>
              <w:rPr>
                <w:rFonts w:hint="eastAsia" w:ascii="宋体" w:hAnsi="宋体" w:eastAsia="宋体" w:cs="宋体"/>
                <w:color w:val="auto"/>
                <w:spacing w:val="12"/>
                <w:sz w:val="24"/>
                <w:szCs w:val="24"/>
                <w:highlight w:val="none"/>
              </w:rPr>
            </w:pPr>
            <w:r>
              <w:rPr>
                <w:rFonts w:hint="eastAsia" w:ascii="宋体" w:hAnsi="宋体" w:eastAsia="宋体" w:cs="宋体"/>
                <w:color w:val="auto"/>
                <w:spacing w:val="12"/>
                <w:sz w:val="24"/>
                <w:szCs w:val="24"/>
                <w:highlight w:val="none"/>
              </w:rPr>
              <w:t>备注</w:t>
            </w:r>
          </w:p>
        </w:tc>
      </w:tr>
      <w:tr w14:paraId="592F6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52" w:hRule="atLeast"/>
        </w:trPr>
        <w:tc>
          <w:tcPr>
            <w:tcW w:w="854" w:type="dxa"/>
            <w:vMerge w:val="restart"/>
            <w:vAlign w:val="center"/>
          </w:tcPr>
          <w:p w14:paraId="614BC370">
            <w:pPr>
              <w:spacing w:line="240" w:lineRule="auto"/>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839" w:type="dxa"/>
            <w:vMerge w:val="restart"/>
            <w:vAlign w:val="center"/>
          </w:tcPr>
          <w:p w14:paraId="2684BFE4">
            <w:pPr>
              <w:spacing w:line="24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安全运行维护</w:t>
            </w:r>
          </w:p>
        </w:tc>
        <w:tc>
          <w:tcPr>
            <w:tcW w:w="792" w:type="dxa"/>
            <w:vMerge w:val="restart"/>
            <w:vAlign w:val="center"/>
          </w:tcPr>
          <w:p w14:paraId="39345181">
            <w:pPr>
              <w:spacing w:line="24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安全运行维护</w:t>
            </w:r>
          </w:p>
        </w:tc>
        <w:tc>
          <w:tcPr>
            <w:tcW w:w="5639" w:type="dxa"/>
            <w:vAlign w:val="center"/>
          </w:tcPr>
          <w:p w14:paraId="7FDCE542">
            <w:pPr>
              <w:spacing w:before="53" w:line="240" w:lineRule="auto"/>
              <w:ind w:left="112" w:right="106" w:firstLine="3"/>
              <w:jc w:val="both"/>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突</w:t>
            </w:r>
            <w:r>
              <w:rPr>
                <w:rFonts w:hint="eastAsia" w:ascii="宋体" w:hAnsi="宋体" w:eastAsia="宋体" w:cs="宋体"/>
                <w:color w:val="auto"/>
                <w:spacing w:val="7"/>
                <w:sz w:val="24"/>
                <w:szCs w:val="24"/>
                <w:highlight w:val="none"/>
              </w:rPr>
              <w:t>发安全漏洞事件在厂商发布漏洞补丁包后两天</w:t>
            </w:r>
            <w:r>
              <w:rPr>
                <w:rFonts w:hint="eastAsia" w:ascii="宋体" w:hAnsi="宋体" w:eastAsia="宋体" w:cs="宋体"/>
                <w:color w:val="auto"/>
                <w:spacing w:val="24"/>
                <w:sz w:val="24"/>
                <w:szCs w:val="24"/>
                <w:highlight w:val="none"/>
              </w:rPr>
              <w:t>内</w:t>
            </w:r>
            <w:r>
              <w:rPr>
                <w:rFonts w:hint="eastAsia" w:ascii="宋体" w:hAnsi="宋体" w:eastAsia="宋体" w:cs="宋体"/>
                <w:color w:val="auto"/>
                <w:spacing w:val="16"/>
                <w:sz w:val="24"/>
                <w:szCs w:val="24"/>
                <w:highlight w:val="none"/>
              </w:rPr>
              <w:t>协</w:t>
            </w:r>
            <w:r>
              <w:rPr>
                <w:rFonts w:hint="eastAsia" w:ascii="宋体" w:hAnsi="宋体" w:eastAsia="宋体" w:cs="宋体"/>
                <w:color w:val="auto"/>
                <w:spacing w:val="12"/>
                <w:sz w:val="24"/>
                <w:szCs w:val="24"/>
                <w:highlight w:val="none"/>
              </w:rPr>
              <w:t>调厂商完成升级工作；未发布升级包前，需配</w:t>
            </w:r>
            <w:r>
              <w:rPr>
                <w:rFonts w:hint="eastAsia" w:ascii="宋体" w:hAnsi="宋体" w:eastAsia="宋体" w:cs="宋体"/>
                <w:color w:val="auto"/>
                <w:spacing w:val="24"/>
                <w:sz w:val="24"/>
                <w:szCs w:val="24"/>
                <w:highlight w:val="none"/>
              </w:rPr>
              <w:t>合</w:t>
            </w:r>
            <w:r>
              <w:rPr>
                <w:rFonts w:hint="eastAsia" w:ascii="宋体" w:hAnsi="宋体" w:eastAsia="宋体" w:cs="宋体"/>
                <w:color w:val="auto"/>
                <w:spacing w:val="16"/>
                <w:sz w:val="24"/>
                <w:szCs w:val="24"/>
                <w:highlight w:val="none"/>
              </w:rPr>
              <w:t>厂</w:t>
            </w:r>
            <w:r>
              <w:rPr>
                <w:rFonts w:hint="eastAsia" w:ascii="宋体" w:hAnsi="宋体" w:eastAsia="宋体" w:cs="宋体"/>
                <w:color w:val="auto"/>
                <w:spacing w:val="12"/>
                <w:sz w:val="24"/>
                <w:szCs w:val="24"/>
                <w:highlight w:val="none"/>
              </w:rPr>
              <w:t>商人员做好安全加固和监控工作，详细记录升</w:t>
            </w:r>
            <w:r>
              <w:rPr>
                <w:rFonts w:hint="eastAsia" w:ascii="宋体" w:hAnsi="宋体" w:eastAsia="宋体" w:cs="宋体"/>
                <w:color w:val="auto"/>
                <w:spacing w:val="16"/>
                <w:sz w:val="24"/>
                <w:szCs w:val="24"/>
                <w:highlight w:val="none"/>
              </w:rPr>
              <w:t>级</w:t>
            </w:r>
            <w:r>
              <w:rPr>
                <w:rFonts w:hint="eastAsia" w:ascii="宋体" w:hAnsi="宋体" w:eastAsia="宋体" w:cs="宋体"/>
                <w:color w:val="auto"/>
                <w:spacing w:val="8"/>
                <w:sz w:val="24"/>
                <w:szCs w:val="24"/>
                <w:highlight w:val="none"/>
              </w:rPr>
              <w:t>信息和升级过程中出现的问题</w:t>
            </w:r>
          </w:p>
        </w:tc>
        <w:tc>
          <w:tcPr>
            <w:tcW w:w="1290" w:type="dxa"/>
            <w:vMerge w:val="restart"/>
            <w:vAlign w:val="center"/>
          </w:tcPr>
          <w:p w14:paraId="4A627267">
            <w:pPr>
              <w:spacing w:line="240" w:lineRule="auto"/>
              <w:jc w:val="both"/>
              <w:rPr>
                <w:rFonts w:hint="eastAsia" w:ascii="宋体" w:hAnsi="宋体" w:eastAsia="宋体" w:cs="宋体"/>
                <w:color w:val="auto"/>
                <w:sz w:val="24"/>
                <w:szCs w:val="24"/>
                <w:highlight w:val="none"/>
              </w:rPr>
            </w:pPr>
          </w:p>
        </w:tc>
        <w:tc>
          <w:tcPr>
            <w:tcW w:w="855" w:type="dxa"/>
            <w:vMerge w:val="restart"/>
            <w:vAlign w:val="center"/>
          </w:tcPr>
          <w:p w14:paraId="02B1BD3A">
            <w:pPr>
              <w:spacing w:line="240" w:lineRule="auto"/>
              <w:jc w:val="both"/>
              <w:rPr>
                <w:rFonts w:hint="eastAsia" w:ascii="宋体" w:hAnsi="宋体" w:eastAsia="宋体" w:cs="宋体"/>
                <w:color w:val="auto"/>
                <w:sz w:val="24"/>
                <w:szCs w:val="24"/>
                <w:highlight w:val="none"/>
              </w:rPr>
            </w:pPr>
          </w:p>
        </w:tc>
      </w:tr>
      <w:tr w14:paraId="31D97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1" w:hRule="atLeast"/>
        </w:trPr>
        <w:tc>
          <w:tcPr>
            <w:tcW w:w="854" w:type="dxa"/>
            <w:vMerge w:val="continue"/>
            <w:vAlign w:val="center"/>
          </w:tcPr>
          <w:p w14:paraId="72BD7B3F">
            <w:pPr>
              <w:spacing w:line="240" w:lineRule="auto"/>
              <w:jc w:val="both"/>
              <w:rPr>
                <w:rFonts w:hint="eastAsia" w:ascii="宋体" w:hAnsi="宋体" w:eastAsia="宋体" w:cs="宋体"/>
                <w:color w:val="auto"/>
                <w:sz w:val="24"/>
                <w:szCs w:val="24"/>
                <w:highlight w:val="none"/>
              </w:rPr>
            </w:pPr>
          </w:p>
        </w:tc>
        <w:tc>
          <w:tcPr>
            <w:tcW w:w="839" w:type="dxa"/>
            <w:vMerge w:val="continue"/>
            <w:vAlign w:val="center"/>
          </w:tcPr>
          <w:p w14:paraId="79CC8202">
            <w:pPr>
              <w:spacing w:line="240" w:lineRule="auto"/>
              <w:jc w:val="center"/>
              <w:rPr>
                <w:rFonts w:hint="eastAsia" w:ascii="宋体" w:hAnsi="宋体" w:eastAsia="宋体" w:cs="宋体"/>
                <w:color w:val="auto"/>
                <w:sz w:val="24"/>
                <w:szCs w:val="24"/>
                <w:highlight w:val="none"/>
              </w:rPr>
            </w:pPr>
          </w:p>
        </w:tc>
        <w:tc>
          <w:tcPr>
            <w:tcW w:w="792" w:type="dxa"/>
            <w:vMerge w:val="continue"/>
            <w:vAlign w:val="center"/>
          </w:tcPr>
          <w:p w14:paraId="44F82562">
            <w:pPr>
              <w:spacing w:line="240" w:lineRule="auto"/>
              <w:jc w:val="center"/>
              <w:rPr>
                <w:rFonts w:hint="eastAsia" w:ascii="宋体" w:hAnsi="宋体" w:eastAsia="宋体" w:cs="宋体"/>
                <w:color w:val="auto"/>
                <w:sz w:val="24"/>
                <w:szCs w:val="24"/>
                <w:highlight w:val="none"/>
              </w:rPr>
            </w:pPr>
          </w:p>
        </w:tc>
        <w:tc>
          <w:tcPr>
            <w:tcW w:w="5639" w:type="dxa"/>
            <w:vAlign w:val="center"/>
          </w:tcPr>
          <w:p w14:paraId="348D3238">
            <w:pPr>
              <w:spacing w:before="54" w:line="240" w:lineRule="auto"/>
              <w:ind w:left="112" w:right="104" w:hanging="1"/>
              <w:jc w:val="both"/>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安全设备日志分析：每月定期配合厂商人员查看</w:t>
            </w:r>
            <w:r>
              <w:rPr>
                <w:rFonts w:hint="eastAsia" w:ascii="宋体" w:hAnsi="宋体" w:eastAsia="宋体" w:cs="宋体"/>
                <w:color w:val="auto"/>
                <w:spacing w:val="24"/>
                <w:sz w:val="24"/>
                <w:szCs w:val="24"/>
                <w:highlight w:val="none"/>
              </w:rPr>
              <w:t>各</w:t>
            </w:r>
            <w:r>
              <w:rPr>
                <w:rFonts w:hint="eastAsia" w:ascii="宋体" w:hAnsi="宋体" w:eastAsia="宋体" w:cs="宋体"/>
                <w:color w:val="auto"/>
                <w:spacing w:val="16"/>
                <w:sz w:val="24"/>
                <w:szCs w:val="24"/>
                <w:highlight w:val="none"/>
              </w:rPr>
              <w:t>安</w:t>
            </w:r>
            <w:r>
              <w:rPr>
                <w:rFonts w:hint="eastAsia" w:ascii="宋体" w:hAnsi="宋体" w:eastAsia="宋体" w:cs="宋体"/>
                <w:color w:val="auto"/>
                <w:spacing w:val="12"/>
                <w:sz w:val="24"/>
                <w:szCs w:val="24"/>
                <w:highlight w:val="none"/>
              </w:rPr>
              <w:t>全设备产生的日志，进行统计分析，确定异常</w:t>
            </w:r>
            <w:r>
              <w:rPr>
                <w:rFonts w:hint="eastAsia" w:ascii="宋体" w:hAnsi="宋体" w:eastAsia="宋体" w:cs="宋体"/>
                <w:color w:val="auto"/>
                <w:spacing w:val="13"/>
                <w:sz w:val="24"/>
                <w:szCs w:val="24"/>
                <w:highlight w:val="none"/>
              </w:rPr>
              <w:t>行为，详细记录异常行为信息，并及时进行告警</w:t>
            </w:r>
            <w:r>
              <w:rPr>
                <w:rFonts w:hint="eastAsia" w:ascii="宋体" w:hAnsi="宋体" w:eastAsia="宋体" w:cs="宋体"/>
                <w:color w:val="auto"/>
                <w:spacing w:val="10"/>
                <w:sz w:val="24"/>
                <w:szCs w:val="24"/>
                <w:highlight w:val="none"/>
              </w:rPr>
              <w:t>、</w:t>
            </w:r>
            <w:r>
              <w:rPr>
                <w:rFonts w:hint="eastAsia" w:ascii="宋体" w:hAnsi="宋体" w:eastAsia="宋体" w:cs="宋体"/>
                <w:color w:val="auto"/>
                <w:spacing w:val="9"/>
                <w:sz w:val="24"/>
                <w:szCs w:val="24"/>
                <w:highlight w:val="none"/>
              </w:rPr>
              <w:t>监</w:t>
            </w:r>
            <w:r>
              <w:rPr>
                <w:rFonts w:hint="eastAsia" w:ascii="宋体" w:hAnsi="宋体" w:eastAsia="宋体" w:cs="宋体"/>
                <w:color w:val="auto"/>
                <w:spacing w:val="6"/>
                <w:sz w:val="24"/>
                <w:szCs w:val="24"/>
                <w:highlight w:val="none"/>
              </w:rPr>
              <w:t>控和处理</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6"/>
                <w:sz w:val="24"/>
                <w:szCs w:val="24"/>
                <w:highlight w:val="none"/>
                <w:lang w:val="en-US" w:eastAsia="zh-CN"/>
              </w:rPr>
              <w:t>每季度查看清理设备的僵尸及弱口令账号</w:t>
            </w:r>
          </w:p>
        </w:tc>
        <w:tc>
          <w:tcPr>
            <w:tcW w:w="1290" w:type="dxa"/>
            <w:vMerge w:val="continue"/>
            <w:vAlign w:val="center"/>
          </w:tcPr>
          <w:p w14:paraId="718A0584">
            <w:pPr>
              <w:spacing w:line="240" w:lineRule="auto"/>
              <w:jc w:val="both"/>
              <w:rPr>
                <w:rFonts w:hint="eastAsia" w:ascii="宋体" w:hAnsi="宋体" w:eastAsia="宋体" w:cs="宋体"/>
                <w:color w:val="auto"/>
                <w:sz w:val="24"/>
                <w:szCs w:val="24"/>
                <w:highlight w:val="none"/>
              </w:rPr>
            </w:pPr>
          </w:p>
        </w:tc>
        <w:tc>
          <w:tcPr>
            <w:tcW w:w="855" w:type="dxa"/>
            <w:vMerge w:val="continue"/>
            <w:vAlign w:val="center"/>
          </w:tcPr>
          <w:p w14:paraId="1CD895FF">
            <w:pPr>
              <w:spacing w:line="240" w:lineRule="auto"/>
              <w:jc w:val="both"/>
              <w:rPr>
                <w:rFonts w:hint="eastAsia" w:ascii="宋体" w:hAnsi="宋体" w:eastAsia="宋体" w:cs="宋体"/>
                <w:color w:val="auto"/>
                <w:sz w:val="24"/>
                <w:szCs w:val="24"/>
                <w:highlight w:val="none"/>
              </w:rPr>
            </w:pPr>
          </w:p>
        </w:tc>
      </w:tr>
      <w:tr w14:paraId="50E0F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1" w:hRule="atLeast"/>
        </w:trPr>
        <w:tc>
          <w:tcPr>
            <w:tcW w:w="854" w:type="dxa"/>
            <w:vMerge w:val="continue"/>
            <w:vAlign w:val="center"/>
          </w:tcPr>
          <w:p w14:paraId="2F16A75E">
            <w:pPr>
              <w:spacing w:line="240" w:lineRule="auto"/>
              <w:jc w:val="both"/>
              <w:rPr>
                <w:rFonts w:hint="eastAsia" w:ascii="宋体" w:hAnsi="宋体" w:eastAsia="宋体" w:cs="宋体"/>
                <w:color w:val="auto"/>
                <w:sz w:val="24"/>
                <w:szCs w:val="24"/>
                <w:highlight w:val="none"/>
              </w:rPr>
            </w:pPr>
          </w:p>
        </w:tc>
        <w:tc>
          <w:tcPr>
            <w:tcW w:w="839" w:type="dxa"/>
            <w:vMerge w:val="continue"/>
            <w:vAlign w:val="center"/>
          </w:tcPr>
          <w:p w14:paraId="6FFFA3B7">
            <w:pPr>
              <w:spacing w:line="240" w:lineRule="auto"/>
              <w:jc w:val="center"/>
              <w:rPr>
                <w:rFonts w:hint="eastAsia" w:ascii="宋体" w:hAnsi="宋体" w:eastAsia="宋体" w:cs="宋体"/>
                <w:color w:val="auto"/>
                <w:sz w:val="24"/>
                <w:szCs w:val="24"/>
                <w:highlight w:val="none"/>
              </w:rPr>
            </w:pPr>
          </w:p>
        </w:tc>
        <w:tc>
          <w:tcPr>
            <w:tcW w:w="792" w:type="dxa"/>
            <w:vMerge w:val="continue"/>
            <w:vAlign w:val="center"/>
          </w:tcPr>
          <w:p w14:paraId="48068C7D">
            <w:pPr>
              <w:spacing w:line="240" w:lineRule="auto"/>
              <w:jc w:val="center"/>
              <w:rPr>
                <w:rFonts w:hint="eastAsia" w:ascii="宋体" w:hAnsi="宋体" w:eastAsia="宋体" w:cs="宋体"/>
                <w:color w:val="auto"/>
                <w:sz w:val="24"/>
                <w:szCs w:val="24"/>
                <w:highlight w:val="none"/>
              </w:rPr>
            </w:pPr>
          </w:p>
        </w:tc>
        <w:tc>
          <w:tcPr>
            <w:tcW w:w="5639" w:type="dxa"/>
            <w:vAlign w:val="center"/>
          </w:tcPr>
          <w:p w14:paraId="359E963A">
            <w:pPr>
              <w:spacing w:before="54" w:line="240" w:lineRule="auto"/>
              <w:ind w:left="113" w:right="106"/>
              <w:jc w:val="both"/>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针对每</w:t>
            </w:r>
            <w:r>
              <w:rPr>
                <w:rFonts w:hint="eastAsia" w:ascii="宋体" w:hAnsi="宋体" w:eastAsia="宋体" w:cs="宋体"/>
                <w:color w:val="auto"/>
                <w:spacing w:val="8"/>
                <w:sz w:val="24"/>
                <w:szCs w:val="24"/>
                <w:highlight w:val="none"/>
                <w:lang w:eastAsia="zh-CN"/>
              </w:rPr>
              <w:t>月</w:t>
            </w:r>
            <w:r>
              <w:rPr>
                <w:rFonts w:hint="eastAsia" w:ascii="宋体" w:hAnsi="宋体" w:eastAsia="宋体" w:cs="宋体"/>
                <w:color w:val="auto"/>
                <w:spacing w:val="8"/>
                <w:sz w:val="24"/>
                <w:szCs w:val="24"/>
                <w:highlight w:val="none"/>
              </w:rPr>
              <w:t>的网络安全运维内容，编写网络安全</w:t>
            </w:r>
            <w:r>
              <w:rPr>
                <w:rFonts w:hint="eastAsia" w:ascii="宋体" w:hAnsi="宋体" w:eastAsia="宋体" w:cs="宋体"/>
                <w:color w:val="auto"/>
                <w:spacing w:val="3"/>
                <w:sz w:val="24"/>
                <w:szCs w:val="24"/>
                <w:highlight w:val="none"/>
              </w:rPr>
              <w:t>运</w:t>
            </w:r>
            <w:r>
              <w:rPr>
                <w:rFonts w:hint="eastAsia" w:ascii="宋体" w:hAnsi="宋体" w:eastAsia="宋体" w:cs="宋体"/>
                <w:color w:val="auto"/>
                <w:spacing w:val="8"/>
                <w:sz w:val="24"/>
                <w:szCs w:val="24"/>
                <w:highlight w:val="none"/>
              </w:rPr>
              <w:t>维周报。甲方每</w:t>
            </w:r>
            <w:r>
              <w:rPr>
                <w:rFonts w:hint="eastAsia" w:ascii="宋体" w:hAnsi="宋体" w:eastAsia="宋体" w:cs="宋体"/>
                <w:color w:val="auto"/>
                <w:spacing w:val="8"/>
                <w:sz w:val="24"/>
                <w:szCs w:val="24"/>
                <w:highlight w:val="none"/>
                <w:lang w:eastAsia="zh-CN"/>
              </w:rPr>
              <w:t>月</w:t>
            </w:r>
            <w:r>
              <w:rPr>
                <w:rFonts w:hint="eastAsia" w:ascii="宋体" w:hAnsi="宋体" w:eastAsia="宋体" w:cs="宋体"/>
                <w:color w:val="auto"/>
                <w:spacing w:val="8"/>
                <w:sz w:val="24"/>
                <w:szCs w:val="24"/>
                <w:highlight w:val="none"/>
              </w:rPr>
              <w:t>确认后给出下</w:t>
            </w:r>
            <w:r>
              <w:rPr>
                <w:rFonts w:hint="eastAsia" w:ascii="宋体" w:hAnsi="宋体" w:eastAsia="宋体" w:cs="宋体"/>
                <w:color w:val="auto"/>
                <w:spacing w:val="8"/>
                <w:sz w:val="24"/>
                <w:szCs w:val="24"/>
                <w:highlight w:val="none"/>
                <w:lang w:eastAsia="zh-CN"/>
              </w:rPr>
              <w:t>月</w:t>
            </w:r>
            <w:r>
              <w:rPr>
                <w:rFonts w:hint="eastAsia" w:ascii="宋体" w:hAnsi="宋体" w:eastAsia="宋体" w:cs="宋体"/>
                <w:color w:val="auto"/>
                <w:spacing w:val="8"/>
                <w:sz w:val="24"/>
                <w:szCs w:val="24"/>
                <w:highlight w:val="none"/>
              </w:rPr>
              <w:t>工作建议方向</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15"/>
                <w:sz w:val="24"/>
                <w:szCs w:val="24"/>
                <w:highlight w:val="none"/>
              </w:rPr>
              <w:t>可</w:t>
            </w:r>
            <w:r>
              <w:rPr>
                <w:rFonts w:hint="eastAsia" w:ascii="宋体" w:hAnsi="宋体" w:eastAsia="宋体" w:cs="宋体"/>
                <w:color w:val="auto"/>
                <w:spacing w:val="8"/>
                <w:sz w:val="24"/>
                <w:szCs w:val="24"/>
                <w:highlight w:val="none"/>
              </w:rPr>
              <w:t>动态调整工作内容</w:t>
            </w:r>
          </w:p>
        </w:tc>
        <w:tc>
          <w:tcPr>
            <w:tcW w:w="1290" w:type="dxa"/>
            <w:vAlign w:val="center"/>
          </w:tcPr>
          <w:p w14:paraId="08320EF9">
            <w:pPr>
              <w:spacing w:line="240" w:lineRule="auto"/>
              <w:jc w:val="both"/>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《网络安</w:t>
            </w:r>
            <w:r>
              <w:rPr>
                <w:rFonts w:hint="eastAsia" w:ascii="宋体" w:hAnsi="宋体" w:eastAsia="宋体" w:cs="宋体"/>
                <w:color w:val="auto"/>
                <w:spacing w:val="8"/>
                <w:sz w:val="24"/>
                <w:szCs w:val="24"/>
                <w:highlight w:val="none"/>
              </w:rPr>
              <w:t>全</w:t>
            </w:r>
            <w:r>
              <w:rPr>
                <w:rFonts w:hint="eastAsia" w:ascii="宋体" w:hAnsi="宋体" w:eastAsia="宋体" w:cs="宋体"/>
                <w:color w:val="auto"/>
                <w:spacing w:val="7"/>
                <w:sz w:val="24"/>
                <w:szCs w:val="24"/>
                <w:highlight w:val="none"/>
              </w:rPr>
              <w:t>运维</w:t>
            </w:r>
            <w:r>
              <w:rPr>
                <w:rFonts w:hint="eastAsia" w:ascii="宋体" w:hAnsi="宋体" w:eastAsia="宋体" w:cs="宋体"/>
                <w:color w:val="auto"/>
                <w:spacing w:val="7"/>
                <w:sz w:val="24"/>
                <w:szCs w:val="24"/>
                <w:highlight w:val="none"/>
                <w:lang w:eastAsia="zh-CN"/>
              </w:rPr>
              <w:t>月</w:t>
            </w:r>
            <w:r>
              <w:rPr>
                <w:rFonts w:hint="eastAsia" w:ascii="宋体" w:hAnsi="宋体" w:eastAsia="宋体" w:cs="宋体"/>
                <w:color w:val="auto"/>
                <w:spacing w:val="1"/>
                <w:sz w:val="24"/>
                <w:szCs w:val="24"/>
                <w:highlight w:val="none"/>
              </w:rPr>
              <w:t>报》</w:t>
            </w:r>
          </w:p>
        </w:tc>
        <w:tc>
          <w:tcPr>
            <w:tcW w:w="855" w:type="dxa"/>
            <w:vAlign w:val="center"/>
          </w:tcPr>
          <w:p w14:paraId="619F5F84">
            <w:pPr>
              <w:spacing w:line="240" w:lineRule="auto"/>
              <w:jc w:val="both"/>
              <w:rPr>
                <w:rFonts w:hint="eastAsia" w:ascii="宋体" w:hAnsi="宋体" w:eastAsia="宋体" w:cs="宋体"/>
                <w:color w:val="auto"/>
                <w:sz w:val="24"/>
                <w:szCs w:val="24"/>
                <w:highlight w:val="none"/>
              </w:rPr>
            </w:pPr>
          </w:p>
        </w:tc>
      </w:tr>
      <w:tr w14:paraId="45AED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40" w:hRule="atLeast"/>
        </w:trPr>
        <w:tc>
          <w:tcPr>
            <w:tcW w:w="854" w:type="dxa"/>
            <w:vAlign w:val="center"/>
          </w:tcPr>
          <w:p w14:paraId="555BC45D">
            <w:pPr>
              <w:spacing w:line="240" w:lineRule="auto"/>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839" w:type="dxa"/>
            <w:vAlign w:val="center"/>
          </w:tcPr>
          <w:p w14:paraId="430BABEC">
            <w:pPr>
              <w:spacing w:line="240" w:lineRule="auto"/>
              <w:jc w:val="both"/>
              <w:rPr>
                <w:rFonts w:hint="eastAsia" w:ascii="宋体" w:hAnsi="宋体" w:eastAsia="宋体" w:cs="宋体"/>
                <w:color w:val="auto"/>
                <w:sz w:val="24"/>
                <w:szCs w:val="24"/>
                <w:highlight w:val="none"/>
              </w:rPr>
            </w:pPr>
          </w:p>
        </w:tc>
        <w:tc>
          <w:tcPr>
            <w:tcW w:w="792" w:type="dxa"/>
            <w:vAlign w:val="center"/>
          </w:tcPr>
          <w:p w14:paraId="44E460BF">
            <w:pPr>
              <w:spacing w:before="65" w:line="240" w:lineRule="auto"/>
              <w:ind w:right="107" w:rightChars="0"/>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spacing w:val="12"/>
                <w:sz w:val="24"/>
                <w:szCs w:val="24"/>
                <w:highlight w:val="none"/>
                <w:lang w:eastAsia="zh-CN"/>
              </w:rPr>
              <w:t>安全加固指导服务</w:t>
            </w:r>
          </w:p>
        </w:tc>
        <w:tc>
          <w:tcPr>
            <w:tcW w:w="5639" w:type="dxa"/>
            <w:vAlign w:val="center"/>
          </w:tcPr>
          <w:p w14:paraId="0DC60B82">
            <w:pPr>
              <w:spacing w:before="54" w:line="240" w:lineRule="auto"/>
              <w:ind w:left="111" w:leftChars="0" w:right="106" w:rightChars="0"/>
              <w:jc w:val="both"/>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pacing w:val="24"/>
                <w:sz w:val="24"/>
                <w:szCs w:val="24"/>
                <w:highlight w:val="none"/>
              </w:rPr>
              <w:t>针</w:t>
            </w:r>
            <w:r>
              <w:rPr>
                <w:rFonts w:hint="eastAsia" w:ascii="宋体" w:hAnsi="宋体" w:eastAsia="宋体" w:cs="宋体"/>
                <w:color w:val="auto"/>
                <w:spacing w:val="17"/>
                <w:sz w:val="24"/>
                <w:szCs w:val="24"/>
                <w:highlight w:val="none"/>
              </w:rPr>
              <w:t>对</w:t>
            </w:r>
            <w:r>
              <w:rPr>
                <w:rFonts w:hint="eastAsia" w:ascii="宋体" w:hAnsi="宋体" w:eastAsia="宋体" w:cs="宋体"/>
                <w:color w:val="auto"/>
                <w:spacing w:val="12"/>
                <w:sz w:val="24"/>
                <w:szCs w:val="24"/>
                <w:highlight w:val="none"/>
              </w:rPr>
              <w:t>的每项、每次安全评估结束都需要进行安全加</w:t>
            </w:r>
            <w:r>
              <w:rPr>
                <w:rFonts w:hint="eastAsia" w:ascii="宋体" w:hAnsi="宋体" w:eastAsia="宋体" w:cs="宋体"/>
                <w:color w:val="auto"/>
                <w:spacing w:val="24"/>
                <w:sz w:val="24"/>
                <w:szCs w:val="24"/>
                <w:highlight w:val="none"/>
              </w:rPr>
              <w:t>固</w:t>
            </w:r>
            <w:r>
              <w:rPr>
                <w:rFonts w:hint="eastAsia" w:ascii="宋体" w:hAnsi="宋体" w:eastAsia="宋体" w:cs="宋体"/>
                <w:color w:val="auto"/>
                <w:spacing w:val="16"/>
                <w:sz w:val="24"/>
                <w:szCs w:val="24"/>
                <w:highlight w:val="none"/>
              </w:rPr>
              <w:t>指</w:t>
            </w:r>
            <w:r>
              <w:rPr>
                <w:rFonts w:hint="eastAsia" w:ascii="宋体" w:hAnsi="宋体" w:eastAsia="宋体" w:cs="宋体"/>
                <w:color w:val="auto"/>
                <w:spacing w:val="12"/>
                <w:sz w:val="24"/>
                <w:szCs w:val="24"/>
                <w:highlight w:val="none"/>
              </w:rPr>
              <w:t>导工作，协调和指导各应用系统、设备厂商或</w:t>
            </w:r>
            <w:r>
              <w:rPr>
                <w:rFonts w:hint="eastAsia" w:ascii="宋体" w:hAnsi="宋体" w:eastAsia="宋体" w:cs="宋体"/>
                <w:color w:val="auto"/>
                <w:spacing w:val="24"/>
                <w:sz w:val="24"/>
                <w:szCs w:val="24"/>
                <w:highlight w:val="none"/>
              </w:rPr>
              <w:t>负</w:t>
            </w:r>
            <w:r>
              <w:rPr>
                <w:rFonts w:hint="eastAsia" w:ascii="宋体" w:hAnsi="宋体" w:eastAsia="宋体" w:cs="宋体"/>
                <w:color w:val="auto"/>
                <w:spacing w:val="16"/>
                <w:sz w:val="24"/>
                <w:szCs w:val="24"/>
                <w:highlight w:val="none"/>
              </w:rPr>
              <w:t>责</w:t>
            </w:r>
            <w:r>
              <w:rPr>
                <w:rFonts w:hint="eastAsia" w:ascii="宋体" w:hAnsi="宋体" w:eastAsia="宋体" w:cs="宋体"/>
                <w:color w:val="auto"/>
                <w:spacing w:val="12"/>
                <w:sz w:val="24"/>
                <w:szCs w:val="24"/>
                <w:highlight w:val="none"/>
              </w:rPr>
              <w:t>人根据检查报告完成安全加固和修复工作，对</w:t>
            </w:r>
            <w:r>
              <w:rPr>
                <w:rFonts w:hint="eastAsia" w:ascii="宋体" w:hAnsi="宋体" w:eastAsia="宋体" w:cs="宋体"/>
                <w:color w:val="auto"/>
                <w:spacing w:val="24"/>
                <w:sz w:val="24"/>
                <w:szCs w:val="24"/>
                <w:highlight w:val="none"/>
              </w:rPr>
              <w:t>于</w:t>
            </w:r>
            <w:r>
              <w:rPr>
                <w:rFonts w:hint="eastAsia" w:ascii="宋体" w:hAnsi="宋体" w:eastAsia="宋体" w:cs="宋体"/>
                <w:color w:val="auto"/>
                <w:spacing w:val="16"/>
                <w:sz w:val="24"/>
                <w:szCs w:val="24"/>
                <w:highlight w:val="none"/>
              </w:rPr>
              <w:t>不</w:t>
            </w:r>
            <w:r>
              <w:rPr>
                <w:rFonts w:hint="eastAsia" w:ascii="宋体" w:hAnsi="宋体" w:eastAsia="宋体" w:cs="宋体"/>
                <w:color w:val="auto"/>
                <w:spacing w:val="12"/>
                <w:sz w:val="24"/>
                <w:szCs w:val="24"/>
                <w:highlight w:val="none"/>
              </w:rPr>
              <w:t>能进行安全加固的安全漏洞，需要厂商提交情</w:t>
            </w:r>
            <w:r>
              <w:rPr>
                <w:rFonts w:hint="eastAsia" w:ascii="宋体" w:hAnsi="宋体" w:eastAsia="宋体" w:cs="宋体"/>
                <w:color w:val="auto"/>
                <w:spacing w:val="24"/>
                <w:sz w:val="24"/>
                <w:szCs w:val="24"/>
                <w:highlight w:val="none"/>
              </w:rPr>
              <w:t>况</w:t>
            </w:r>
            <w:r>
              <w:rPr>
                <w:rFonts w:hint="eastAsia" w:ascii="宋体" w:hAnsi="宋体" w:eastAsia="宋体" w:cs="宋体"/>
                <w:color w:val="auto"/>
                <w:spacing w:val="16"/>
                <w:sz w:val="24"/>
                <w:szCs w:val="24"/>
                <w:highlight w:val="none"/>
              </w:rPr>
              <w:t>说</w:t>
            </w:r>
            <w:r>
              <w:rPr>
                <w:rFonts w:hint="eastAsia" w:ascii="宋体" w:hAnsi="宋体" w:eastAsia="宋体" w:cs="宋体"/>
                <w:color w:val="auto"/>
                <w:spacing w:val="12"/>
                <w:sz w:val="24"/>
                <w:szCs w:val="24"/>
                <w:highlight w:val="none"/>
              </w:rPr>
              <w:t>明，并提出防护建议，加盖公章备案。加固完</w:t>
            </w:r>
            <w:r>
              <w:rPr>
                <w:rFonts w:hint="eastAsia" w:ascii="宋体" w:hAnsi="宋体" w:eastAsia="宋体" w:cs="宋体"/>
                <w:color w:val="auto"/>
                <w:spacing w:val="24"/>
                <w:sz w:val="24"/>
                <w:szCs w:val="24"/>
                <w:highlight w:val="none"/>
              </w:rPr>
              <w:t>成</w:t>
            </w:r>
            <w:r>
              <w:rPr>
                <w:rFonts w:hint="eastAsia" w:ascii="宋体" w:hAnsi="宋体" w:eastAsia="宋体" w:cs="宋体"/>
                <w:color w:val="auto"/>
                <w:spacing w:val="16"/>
                <w:sz w:val="24"/>
                <w:szCs w:val="24"/>
                <w:highlight w:val="none"/>
              </w:rPr>
              <w:t>后</w:t>
            </w:r>
            <w:r>
              <w:rPr>
                <w:rFonts w:hint="eastAsia" w:ascii="宋体" w:hAnsi="宋体" w:eastAsia="宋体" w:cs="宋体"/>
                <w:color w:val="auto"/>
                <w:spacing w:val="12"/>
                <w:sz w:val="24"/>
                <w:szCs w:val="24"/>
                <w:highlight w:val="none"/>
              </w:rPr>
              <w:t>开展加固后复查工作，做好漏洞跟踪工作，确</w:t>
            </w:r>
            <w:r>
              <w:rPr>
                <w:rFonts w:hint="eastAsia" w:ascii="宋体" w:hAnsi="宋体" w:eastAsia="宋体" w:cs="宋体"/>
                <w:color w:val="auto"/>
                <w:spacing w:val="15"/>
                <w:sz w:val="24"/>
                <w:szCs w:val="24"/>
                <w:highlight w:val="none"/>
              </w:rPr>
              <w:t>保</w:t>
            </w:r>
            <w:r>
              <w:rPr>
                <w:rFonts w:hint="eastAsia" w:ascii="宋体" w:hAnsi="宋体" w:eastAsia="宋体" w:cs="宋体"/>
                <w:color w:val="auto"/>
                <w:spacing w:val="9"/>
                <w:sz w:val="24"/>
                <w:szCs w:val="24"/>
                <w:highlight w:val="none"/>
              </w:rPr>
              <w:t>每个安全威胁得到解决或者备案为止</w:t>
            </w:r>
            <w:r>
              <w:rPr>
                <w:rFonts w:hint="eastAsia" w:ascii="宋体" w:hAnsi="宋体" w:eastAsia="宋体" w:cs="宋体"/>
                <w:color w:val="auto"/>
                <w:spacing w:val="9"/>
                <w:sz w:val="24"/>
                <w:szCs w:val="24"/>
                <w:highlight w:val="none"/>
                <w:lang w:val="en-US" w:eastAsia="zh-CN"/>
              </w:rPr>
              <w:t>,。</w:t>
            </w:r>
          </w:p>
        </w:tc>
        <w:tc>
          <w:tcPr>
            <w:tcW w:w="1290" w:type="dxa"/>
            <w:vAlign w:val="center"/>
          </w:tcPr>
          <w:p w14:paraId="0C0731C2">
            <w:pPr>
              <w:keepNext w:val="0"/>
              <w:keepLines w:val="0"/>
              <w:pageBreakBefore w:val="0"/>
              <w:widowControl/>
              <w:kinsoku w:val="0"/>
              <w:wordWrap/>
              <w:overflowPunct/>
              <w:topLinePunct w:val="0"/>
              <w:autoSpaceDE w:val="0"/>
              <w:autoSpaceDN w:val="0"/>
              <w:bidi w:val="0"/>
              <w:adjustRightInd w:val="0"/>
              <w:snapToGrid w:val="0"/>
              <w:spacing w:before="26" w:line="240" w:lineRule="auto"/>
              <w:ind w:left="113" w:leftChars="0" w:right="0" w:rightChars="0" w:firstLine="0" w:firstLineChars="0"/>
              <w:jc w:val="center"/>
              <w:textAlignment w:val="baseline"/>
              <w:outlineLvl w:val="9"/>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《系统漏洞清单》、《加固建议》</w:t>
            </w:r>
          </w:p>
        </w:tc>
        <w:tc>
          <w:tcPr>
            <w:tcW w:w="855" w:type="dxa"/>
            <w:vAlign w:val="center"/>
          </w:tcPr>
          <w:p w14:paraId="4F284DB6">
            <w:pPr>
              <w:spacing w:line="240" w:lineRule="auto"/>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color w:val="auto"/>
                <w:spacing w:val="12"/>
                <w:sz w:val="24"/>
                <w:szCs w:val="24"/>
                <w:highlight w:val="none"/>
              </w:rPr>
              <w:t>需双</w:t>
            </w:r>
            <w:r>
              <w:rPr>
                <w:rFonts w:hint="eastAsia" w:ascii="宋体" w:hAnsi="宋体" w:eastAsia="宋体" w:cs="宋体"/>
                <w:color w:val="auto"/>
                <w:spacing w:val="18"/>
                <w:sz w:val="24"/>
                <w:szCs w:val="24"/>
                <w:highlight w:val="none"/>
              </w:rPr>
              <w:t>方签字确</w:t>
            </w:r>
            <w:r>
              <w:rPr>
                <w:rFonts w:hint="eastAsia" w:ascii="宋体" w:hAnsi="宋体" w:eastAsia="宋体" w:cs="宋体"/>
                <w:color w:val="auto"/>
                <w:sz w:val="24"/>
                <w:szCs w:val="24"/>
                <w:highlight w:val="none"/>
              </w:rPr>
              <w:t>认</w:t>
            </w:r>
          </w:p>
        </w:tc>
      </w:tr>
      <w:tr w14:paraId="0EE44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4" w:hRule="atLeast"/>
        </w:trPr>
        <w:tc>
          <w:tcPr>
            <w:tcW w:w="854" w:type="dxa"/>
            <w:vAlign w:val="center"/>
          </w:tcPr>
          <w:p w14:paraId="16718ABE">
            <w:pPr>
              <w:spacing w:before="65" w:line="240" w:lineRule="auto"/>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sz w:val="24"/>
                <w:szCs w:val="24"/>
                <w:highlight w:val="none"/>
                <w:lang w:val="en-US" w:eastAsia="zh-CN"/>
              </w:rPr>
              <w:t>3</w:t>
            </w:r>
          </w:p>
        </w:tc>
        <w:tc>
          <w:tcPr>
            <w:tcW w:w="839" w:type="dxa"/>
            <w:vAlign w:val="center"/>
          </w:tcPr>
          <w:p w14:paraId="4660620D">
            <w:pPr>
              <w:spacing w:before="65" w:line="240" w:lineRule="auto"/>
              <w:ind w:right="106" w:rightChars="0"/>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应急</w:t>
            </w:r>
          </w:p>
          <w:p w14:paraId="432B4E68">
            <w:pPr>
              <w:spacing w:before="65" w:line="240" w:lineRule="auto"/>
              <w:ind w:right="106" w:rightChars="0"/>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响应</w:t>
            </w:r>
          </w:p>
        </w:tc>
        <w:tc>
          <w:tcPr>
            <w:tcW w:w="792" w:type="dxa"/>
            <w:vAlign w:val="center"/>
          </w:tcPr>
          <w:p w14:paraId="0C5D2C81">
            <w:pPr>
              <w:spacing w:before="65" w:line="240" w:lineRule="auto"/>
              <w:ind w:right="107" w:rightChars="0"/>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pacing w:val="12"/>
                <w:sz w:val="24"/>
                <w:szCs w:val="24"/>
                <w:highlight w:val="none"/>
              </w:rPr>
              <w:t>安全</w:t>
            </w:r>
            <w:r>
              <w:rPr>
                <w:rFonts w:hint="eastAsia" w:ascii="宋体" w:hAnsi="宋体" w:eastAsia="宋体" w:cs="宋体"/>
                <w:color w:val="auto"/>
                <w:spacing w:val="14"/>
                <w:sz w:val="24"/>
                <w:szCs w:val="24"/>
                <w:highlight w:val="none"/>
              </w:rPr>
              <w:t>事件应急响应</w:t>
            </w:r>
            <w:r>
              <w:rPr>
                <w:rFonts w:hint="eastAsia" w:ascii="宋体" w:hAnsi="宋体" w:eastAsia="宋体" w:cs="宋体"/>
                <w:color w:val="auto"/>
                <w:spacing w:val="5"/>
                <w:sz w:val="24"/>
                <w:szCs w:val="24"/>
                <w:highlight w:val="none"/>
              </w:rPr>
              <w:t>服</w:t>
            </w:r>
            <w:r>
              <w:rPr>
                <w:rFonts w:hint="eastAsia" w:ascii="宋体" w:hAnsi="宋体" w:eastAsia="宋体" w:cs="宋体"/>
                <w:color w:val="auto"/>
                <w:spacing w:val="4"/>
                <w:sz w:val="24"/>
                <w:szCs w:val="24"/>
                <w:highlight w:val="none"/>
              </w:rPr>
              <w:t>务</w:t>
            </w:r>
          </w:p>
        </w:tc>
        <w:tc>
          <w:tcPr>
            <w:tcW w:w="5639" w:type="dxa"/>
            <w:vAlign w:val="center"/>
          </w:tcPr>
          <w:p w14:paraId="1882D69E">
            <w:pPr>
              <w:spacing w:before="60" w:line="240" w:lineRule="auto"/>
              <w:ind w:left="111" w:leftChars="0" w:right="35" w:rightChars="0" w:firstLine="17" w:firstLineChars="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7"/>
                <w:sz w:val="24"/>
                <w:szCs w:val="24"/>
                <w:highlight w:val="none"/>
              </w:rPr>
              <w:t>针对发生的(包括但不限于)拒绝服务攻击事件、</w:t>
            </w:r>
            <w:r>
              <w:rPr>
                <w:rFonts w:hint="eastAsia" w:ascii="宋体" w:hAnsi="宋体" w:eastAsia="宋体" w:cs="宋体"/>
                <w:color w:val="auto"/>
                <w:spacing w:val="13"/>
                <w:sz w:val="24"/>
                <w:szCs w:val="24"/>
                <w:highlight w:val="none"/>
              </w:rPr>
              <w:t>网页挂马事件、网页篡改事件、设备故障、恶意</w:t>
            </w:r>
            <w:r>
              <w:rPr>
                <w:rFonts w:hint="eastAsia" w:ascii="宋体" w:hAnsi="宋体" w:eastAsia="宋体" w:cs="宋体"/>
                <w:color w:val="auto"/>
                <w:spacing w:val="11"/>
                <w:sz w:val="24"/>
                <w:szCs w:val="24"/>
                <w:highlight w:val="none"/>
              </w:rPr>
              <w:t>程</w:t>
            </w:r>
            <w:r>
              <w:rPr>
                <w:rFonts w:hint="eastAsia" w:ascii="宋体" w:hAnsi="宋体" w:eastAsia="宋体" w:cs="宋体"/>
                <w:color w:val="auto"/>
                <w:spacing w:val="14"/>
                <w:sz w:val="24"/>
                <w:szCs w:val="24"/>
                <w:highlight w:val="none"/>
              </w:rPr>
              <w:t>序</w:t>
            </w:r>
            <w:r>
              <w:rPr>
                <w:rFonts w:hint="eastAsia" w:ascii="宋体" w:hAnsi="宋体" w:eastAsia="宋体" w:cs="宋体"/>
                <w:color w:val="auto"/>
                <w:spacing w:val="12"/>
                <w:sz w:val="24"/>
                <w:szCs w:val="24"/>
                <w:highlight w:val="none"/>
              </w:rPr>
              <w:t>爆发等各类网络安全事件提供7</w:t>
            </w:r>
            <w:r>
              <w:rPr>
                <w:rFonts w:hint="eastAsia" w:ascii="宋体" w:hAnsi="宋体" w:eastAsia="宋体" w:cs="宋体"/>
                <w:color w:val="auto"/>
                <w:sz w:val="24"/>
                <w:szCs w:val="24"/>
                <w:highlight w:val="none"/>
              </w:rPr>
              <w:t>X</w:t>
            </w:r>
            <w:r>
              <w:rPr>
                <w:rFonts w:hint="eastAsia" w:ascii="宋体" w:hAnsi="宋体" w:eastAsia="宋体" w:cs="宋体"/>
                <w:color w:val="auto"/>
                <w:spacing w:val="12"/>
                <w:sz w:val="24"/>
                <w:szCs w:val="24"/>
                <w:highlight w:val="none"/>
              </w:rPr>
              <w:t>24小时应急响</w:t>
            </w:r>
            <w:r>
              <w:rPr>
                <w:rFonts w:hint="eastAsia" w:ascii="宋体" w:hAnsi="宋体" w:eastAsia="宋体" w:cs="宋体"/>
                <w:color w:val="auto"/>
                <w:spacing w:val="18"/>
                <w:sz w:val="24"/>
                <w:szCs w:val="24"/>
                <w:highlight w:val="none"/>
              </w:rPr>
              <w:t>应技</w:t>
            </w:r>
            <w:r>
              <w:rPr>
                <w:rFonts w:hint="eastAsia" w:ascii="宋体" w:hAnsi="宋体" w:eastAsia="宋体" w:cs="宋体"/>
                <w:color w:val="auto"/>
                <w:spacing w:val="9"/>
                <w:sz w:val="24"/>
                <w:szCs w:val="24"/>
                <w:highlight w:val="none"/>
              </w:rPr>
              <w:t>术支持，接到通知后</w:t>
            </w:r>
            <w:r>
              <w:rPr>
                <w:rFonts w:hint="eastAsia" w:ascii="宋体" w:hAnsi="宋体" w:eastAsia="宋体" w:cs="宋体"/>
                <w:color w:val="auto"/>
                <w:spacing w:val="9"/>
                <w:sz w:val="24"/>
                <w:szCs w:val="24"/>
                <w:highlight w:val="none"/>
                <w:lang w:val="en-US" w:eastAsia="zh-CN"/>
              </w:rPr>
              <w:t>1</w:t>
            </w:r>
            <w:r>
              <w:rPr>
                <w:rFonts w:hint="eastAsia" w:ascii="宋体" w:hAnsi="宋体" w:eastAsia="宋体" w:cs="宋体"/>
                <w:color w:val="auto"/>
                <w:spacing w:val="9"/>
                <w:sz w:val="24"/>
                <w:szCs w:val="24"/>
                <w:highlight w:val="none"/>
              </w:rPr>
              <w:t>小时内到场，协调各安</w:t>
            </w:r>
            <w:r>
              <w:rPr>
                <w:rFonts w:hint="eastAsia" w:ascii="宋体" w:hAnsi="宋体" w:eastAsia="宋体" w:cs="宋体"/>
                <w:color w:val="auto"/>
                <w:spacing w:val="20"/>
                <w:sz w:val="24"/>
                <w:szCs w:val="24"/>
                <w:highlight w:val="none"/>
              </w:rPr>
              <w:t>全</w:t>
            </w:r>
            <w:r>
              <w:rPr>
                <w:rFonts w:hint="eastAsia" w:ascii="宋体" w:hAnsi="宋体" w:eastAsia="宋体" w:cs="宋体"/>
                <w:color w:val="auto"/>
                <w:spacing w:val="11"/>
                <w:sz w:val="24"/>
                <w:szCs w:val="24"/>
                <w:highlight w:val="none"/>
              </w:rPr>
              <w:t>厂</w:t>
            </w:r>
            <w:r>
              <w:rPr>
                <w:rFonts w:hint="eastAsia" w:ascii="宋体" w:hAnsi="宋体" w:eastAsia="宋体" w:cs="宋体"/>
                <w:color w:val="auto"/>
                <w:spacing w:val="10"/>
                <w:sz w:val="24"/>
                <w:szCs w:val="24"/>
                <w:highlight w:val="none"/>
              </w:rPr>
              <w:t>商和设备厂商开展应急工作</w:t>
            </w:r>
          </w:p>
          <w:p w14:paraId="2B67732D">
            <w:pPr>
              <w:tabs>
                <w:tab w:val="left" w:pos="913"/>
              </w:tabs>
              <w:spacing w:before="60" w:line="240" w:lineRule="auto"/>
              <w:ind w:right="35" w:rightChars="0"/>
              <w:jc w:val="both"/>
              <w:rPr>
                <w:rFonts w:hint="eastAsia" w:ascii="宋体" w:hAnsi="宋体" w:eastAsia="宋体" w:cs="宋体"/>
                <w:snapToGrid w:val="0"/>
                <w:color w:val="auto"/>
                <w:kern w:val="0"/>
                <w:sz w:val="24"/>
                <w:szCs w:val="24"/>
                <w:highlight w:val="none"/>
                <w:lang w:eastAsia="zh-CN"/>
              </w:rPr>
            </w:pPr>
          </w:p>
        </w:tc>
        <w:tc>
          <w:tcPr>
            <w:tcW w:w="1290" w:type="dxa"/>
            <w:vAlign w:val="center"/>
          </w:tcPr>
          <w:p w14:paraId="4668A57C">
            <w:pPr>
              <w:spacing w:before="65" w:line="240" w:lineRule="auto"/>
              <w:ind w:right="105" w:rightChars="0"/>
              <w:jc w:val="both"/>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pacing w:val="9"/>
                <w:sz w:val="24"/>
                <w:szCs w:val="24"/>
                <w:highlight w:val="none"/>
              </w:rPr>
              <w:t>《信息系</w:t>
            </w:r>
            <w:r>
              <w:rPr>
                <w:rFonts w:hint="eastAsia" w:ascii="宋体" w:hAnsi="宋体" w:eastAsia="宋体" w:cs="宋体"/>
                <w:color w:val="auto"/>
                <w:spacing w:val="11"/>
                <w:sz w:val="24"/>
                <w:szCs w:val="24"/>
                <w:highlight w:val="none"/>
              </w:rPr>
              <w:t>统安全</w:t>
            </w:r>
            <w:r>
              <w:rPr>
                <w:rFonts w:hint="eastAsia" w:ascii="宋体" w:hAnsi="宋体" w:eastAsia="宋体" w:cs="宋体"/>
                <w:color w:val="auto"/>
                <w:spacing w:val="10"/>
                <w:sz w:val="24"/>
                <w:szCs w:val="24"/>
                <w:highlight w:val="none"/>
              </w:rPr>
              <w:t>事</w:t>
            </w:r>
            <w:r>
              <w:rPr>
                <w:rFonts w:hint="eastAsia" w:ascii="宋体" w:hAnsi="宋体" w:eastAsia="宋体" w:cs="宋体"/>
                <w:color w:val="auto"/>
                <w:spacing w:val="11"/>
                <w:sz w:val="24"/>
                <w:szCs w:val="24"/>
                <w:highlight w:val="none"/>
              </w:rPr>
              <w:t>件应急</w:t>
            </w:r>
            <w:r>
              <w:rPr>
                <w:rFonts w:hint="eastAsia" w:ascii="宋体" w:hAnsi="宋体" w:eastAsia="宋体" w:cs="宋体"/>
                <w:color w:val="auto"/>
                <w:spacing w:val="10"/>
                <w:sz w:val="24"/>
                <w:szCs w:val="24"/>
                <w:highlight w:val="none"/>
              </w:rPr>
              <w:t>处</w:t>
            </w:r>
            <w:r>
              <w:rPr>
                <w:rFonts w:hint="eastAsia" w:ascii="宋体" w:hAnsi="宋体" w:eastAsia="宋体" w:cs="宋体"/>
                <w:color w:val="auto"/>
                <w:spacing w:val="6"/>
                <w:sz w:val="24"/>
                <w:szCs w:val="24"/>
                <w:highlight w:val="none"/>
              </w:rPr>
              <w:t>置</w:t>
            </w:r>
            <w:r>
              <w:rPr>
                <w:rFonts w:hint="eastAsia" w:ascii="宋体" w:hAnsi="宋体" w:eastAsia="宋体" w:cs="宋体"/>
                <w:color w:val="auto"/>
                <w:spacing w:val="4"/>
                <w:sz w:val="24"/>
                <w:szCs w:val="24"/>
                <w:highlight w:val="none"/>
              </w:rPr>
              <w:t>报告》</w:t>
            </w:r>
          </w:p>
        </w:tc>
        <w:tc>
          <w:tcPr>
            <w:tcW w:w="855" w:type="dxa"/>
            <w:vAlign w:val="center"/>
          </w:tcPr>
          <w:p w14:paraId="4AF3FC71">
            <w:pPr>
              <w:spacing w:before="65" w:line="240" w:lineRule="auto"/>
              <w:ind w:right="109" w:rightChars="0"/>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pacing w:val="12"/>
                <w:sz w:val="24"/>
                <w:szCs w:val="24"/>
                <w:highlight w:val="none"/>
              </w:rPr>
              <w:t>需双</w:t>
            </w:r>
            <w:r>
              <w:rPr>
                <w:rFonts w:hint="eastAsia" w:ascii="宋体" w:hAnsi="宋体" w:eastAsia="宋体" w:cs="宋体"/>
                <w:color w:val="auto"/>
                <w:spacing w:val="18"/>
                <w:sz w:val="24"/>
                <w:szCs w:val="24"/>
                <w:highlight w:val="none"/>
              </w:rPr>
              <w:t>方签字确</w:t>
            </w:r>
            <w:r>
              <w:rPr>
                <w:rFonts w:hint="eastAsia" w:ascii="宋体" w:hAnsi="宋体" w:eastAsia="宋体" w:cs="宋体"/>
                <w:color w:val="auto"/>
                <w:sz w:val="24"/>
                <w:szCs w:val="24"/>
                <w:highlight w:val="none"/>
              </w:rPr>
              <w:t>认</w:t>
            </w:r>
          </w:p>
        </w:tc>
      </w:tr>
      <w:tr w14:paraId="45DA6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40" w:hRule="atLeast"/>
        </w:trPr>
        <w:tc>
          <w:tcPr>
            <w:tcW w:w="854" w:type="dxa"/>
            <w:vAlign w:val="center"/>
          </w:tcPr>
          <w:p w14:paraId="1B8A4BF5">
            <w:pPr>
              <w:spacing w:before="65" w:line="240" w:lineRule="auto"/>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sz w:val="24"/>
                <w:szCs w:val="24"/>
                <w:highlight w:val="none"/>
                <w:lang w:val="en-US" w:eastAsia="zh-CN"/>
              </w:rPr>
              <w:t>4</w:t>
            </w:r>
          </w:p>
        </w:tc>
        <w:tc>
          <w:tcPr>
            <w:tcW w:w="839" w:type="dxa"/>
            <w:vAlign w:val="center"/>
          </w:tcPr>
          <w:p w14:paraId="0AA28BE1">
            <w:pPr>
              <w:spacing w:before="65" w:line="240" w:lineRule="auto"/>
              <w:ind w:right="106" w:rightChars="0"/>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pacing w:val="-18"/>
                <w:sz w:val="24"/>
                <w:szCs w:val="24"/>
                <w:highlight w:val="none"/>
              </w:rPr>
              <w:t>安</w:t>
            </w:r>
            <w:r>
              <w:rPr>
                <w:rFonts w:hint="eastAsia" w:ascii="宋体" w:hAnsi="宋体" w:eastAsia="宋体" w:cs="宋体"/>
                <w:color w:val="auto"/>
                <w:spacing w:val="-17"/>
                <w:sz w:val="24"/>
                <w:szCs w:val="24"/>
                <w:highlight w:val="none"/>
              </w:rPr>
              <w:t>全</w:t>
            </w:r>
            <w:r>
              <w:rPr>
                <w:rFonts w:hint="eastAsia" w:ascii="宋体" w:hAnsi="宋体" w:eastAsia="宋体" w:cs="宋体"/>
                <w:color w:val="auto"/>
                <w:spacing w:val="4"/>
                <w:sz w:val="24"/>
                <w:szCs w:val="24"/>
                <w:highlight w:val="none"/>
              </w:rPr>
              <w:t>培训</w:t>
            </w:r>
          </w:p>
        </w:tc>
        <w:tc>
          <w:tcPr>
            <w:tcW w:w="792" w:type="dxa"/>
            <w:vAlign w:val="center"/>
          </w:tcPr>
          <w:p w14:paraId="3B166365">
            <w:pPr>
              <w:spacing w:before="65" w:line="240" w:lineRule="auto"/>
              <w:ind w:right="107" w:rightChars="0"/>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网络安全培训</w:t>
            </w:r>
          </w:p>
        </w:tc>
        <w:tc>
          <w:tcPr>
            <w:tcW w:w="5639" w:type="dxa"/>
            <w:vAlign w:val="center"/>
          </w:tcPr>
          <w:p w14:paraId="0EFD5F10">
            <w:pPr>
              <w:spacing w:before="51" w:line="240" w:lineRule="auto"/>
              <w:ind w:left="111" w:leftChars="0" w:right="104" w:rightChars="0"/>
              <w:jc w:val="both"/>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pacing w:val="8"/>
                <w:sz w:val="24"/>
                <w:szCs w:val="24"/>
                <w:highlight w:val="none"/>
              </w:rPr>
              <w:t>协</w:t>
            </w:r>
            <w:r>
              <w:rPr>
                <w:rFonts w:hint="eastAsia" w:ascii="宋体" w:hAnsi="宋体" w:eastAsia="宋体" w:cs="宋体"/>
                <w:color w:val="auto"/>
                <w:spacing w:val="5"/>
                <w:sz w:val="24"/>
                <w:szCs w:val="24"/>
                <w:highlight w:val="none"/>
              </w:rPr>
              <w:t>助甲方开展网络安全讲座</w:t>
            </w:r>
            <w:r>
              <w:rPr>
                <w:rFonts w:hint="eastAsia" w:ascii="宋体" w:hAnsi="宋体" w:eastAsia="宋体" w:cs="宋体"/>
                <w:color w:val="auto"/>
                <w:spacing w:val="5"/>
                <w:sz w:val="24"/>
                <w:szCs w:val="24"/>
                <w:highlight w:val="none"/>
                <w:lang w:eastAsia="zh-CN"/>
              </w:rPr>
              <w:t>（不少于</w:t>
            </w:r>
            <w:r>
              <w:rPr>
                <w:rFonts w:hint="eastAsia" w:ascii="宋体" w:hAnsi="宋体" w:eastAsia="宋体" w:cs="宋体"/>
                <w:color w:val="auto"/>
                <w:spacing w:val="5"/>
                <w:sz w:val="24"/>
                <w:szCs w:val="24"/>
                <w:highlight w:val="none"/>
                <w:lang w:val="en-US" w:eastAsia="zh-CN"/>
              </w:rPr>
              <w:t>2次）</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5"/>
                <w:sz w:val="24"/>
                <w:szCs w:val="24"/>
                <w:highlight w:val="none"/>
                <w:lang w:eastAsia="zh-CN"/>
              </w:rPr>
              <w:t>其中</w:t>
            </w:r>
            <w:r>
              <w:rPr>
                <w:rFonts w:hint="eastAsia" w:ascii="宋体" w:hAnsi="宋体" w:eastAsia="宋体" w:cs="宋体"/>
                <w:color w:val="auto"/>
                <w:spacing w:val="5"/>
                <w:sz w:val="24"/>
                <w:szCs w:val="24"/>
                <w:highlight w:val="none"/>
                <w:lang w:val="en-US" w:eastAsia="zh-CN"/>
              </w:rPr>
              <w:t>1次需结合网络安全宣传周主题进行，</w:t>
            </w:r>
            <w:r>
              <w:rPr>
                <w:rFonts w:hint="eastAsia" w:ascii="宋体" w:hAnsi="宋体" w:eastAsia="宋体" w:cs="宋体"/>
                <w:color w:val="auto"/>
                <w:spacing w:val="5"/>
                <w:sz w:val="24"/>
                <w:szCs w:val="24"/>
                <w:highlight w:val="none"/>
              </w:rPr>
              <w:t>通过对</w:t>
            </w:r>
            <w:r>
              <w:rPr>
                <w:rFonts w:hint="eastAsia" w:ascii="宋体" w:hAnsi="宋体" w:eastAsia="宋体" w:cs="宋体"/>
                <w:color w:val="auto"/>
                <w:spacing w:val="-4"/>
                <w:sz w:val="24"/>
                <w:szCs w:val="24"/>
                <w:highlight w:val="none"/>
              </w:rPr>
              <w:t>网络安全事件案例</w:t>
            </w:r>
            <w:r>
              <w:rPr>
                <w:rFonts w:hint="eastAsia" w:ascii="宋体" w:hAnsi="宋体" w:eastAsia="宋体" w:cs="宋体"/>
                <w:color w:val="auto"/>
                <w:spacing w:val="-2"/>
                <w:sz w:val="24"/>
                <w:szCs w:val="24"/>
                <w:highlight w:val="none"/>
              </w:rPr>
              <w:t>讲解，对《网络安全法》、等保2.0</w:t>
            </w:r>
            <w:r>
              <w:rPr>
                <w:rFonts w:hint="eastAsia" w:ascii="宋体" w:hAnsi="宋体" w:eastAsia="宋体" w:cs="宋体"/>
                <w:color w:val="auto"/>
                <w:spacing w:val="24"/>
                <w:sz w:val="24"/>
                <w:szCs w:val="24"/>
                <w:highlight w:val="none"/>
              </w:rPr>
              <w:t>体</w:t>
            </w:r>
            <w:r>
              <w:rPr>
                <w:rFonts w:hint="eastAsia" w:ascii="宋体" w:hAnsi="宋体" w:eastAsia="宋体" w:cs="宋体"/>
                <w:color w:val="auto"/>
                <w:spacing w:val="17"/>
                <w:sz w:val="24"/>
                <w:szCs w:val="24"/>
                <w:highlight w:val="none"/>
              </w:rPr>
              <w:t>系</w:t>
            </w:r>
            <w:r>
              <w:rPr>
                <w:rFonts w:hint="eastAsia" w:ascii="宋体" w:hAnsi="宋体" w:eastAsia="宋体" w:cs="宋体"/>
                <w:color w:val="auto"/>
                <w:spacing w:val="12"/>
                <w:sz w:val="24"/>
                <w:szCs w:val="24"/>
                <w:highlight w:val="none"/>
              </w:rPr>
              <w:t>、关键信息基础设施防护、</w:t>
            </w:r>
            <w:r>
              <w:rPr>
                <w:rFonts w:hint="eastAsia" w:ascii="宋体" w:hAnsi="宋体" w:eastAsia="宋体" w:cs="宋体"/>
                <w:color w:val="auto"/>
                <w:spacing w:val="12"/>
                <w:sz w:val="24"/>
                <w:szCs w:val="24"/>
                <w:highlight w:val="none"/>
                <w:lang w:val="en-US" w:eastAsia="zh-CN"/>
              </w:rPr>
              <w:t>数据安全、</w:t>
            </w:r>
            <w:r>
              <w:rPr>
                <w:rFonts w:hint="eastAsia" w:ascii="宋体" w:hAnsi="宋体" w:eastAsia="宋体" w:cs="宋体"/>
                <w:color w:val="auto"/>
                <w:spacing w:val="12"/>
                <w:sz w:val="24"/>
                <w:szCs w:val="24"/>
                <w:highlight w:val="none"/>
              </w:rPr>
              <w:t>个人信息保护等进</w:t>
            </w:r>
            <w:r>
              <w:rPr>
                <w:rFonts w:hint="eastAsia" w:ascii="宋体" w:hAnsi="宋体" w:eastAsia="宋体" w:cs="宋体"/>
                <w:color w:val="auto"/>
                <w:spacing w:val="24"/>
                <w:sz w:val="24"/>
                <w:szCs w:val="24"/>
                <w:highlight w:val="none"/>
              </w:rPr>
              <w:t>行</w:t>
            </w:r>
            <w:r>
              <w:rPr>
                <w:rFonts w:hint="eastAsia" w:ascii="宋体" w:hAnsi="宋体" w:eastAsia="宋体" w:cs="宋体"/>
                <w:color w:val="auto"/>
                <w:spacing w:val="17"/>
                <w:sz w:val="24"/>
                <w:szCs w:val="24"/>
                <w:highlight w:val="none"/>
              </w:rPr>
              <w:t>普</w:t>
            </w:r>
            <w:r>
              <w:rPr>
                <w:rFonts w:hint="eastAsia" w:ascii="宋体" w:hAnsi="宋体" w:eastAsia="宋体" w:cs="宋体"/>
                <w:color w:val="auto"/>
                <w:spacing w:val="12"/>
                <w:sz w:val="24"/>
                <w:szCs w:val="24"/>
                <w:highlight w:val="none"/>
              </w:rPr>
              <w:t>及，向甲方向提供网络安全攻防技能指导，辅</w:t>
            </w:r>
            <w:r>
              <w:rPr>
                <w:rFonts w:hint="eastAsia" w:ascii="宋体" w:hAnsi="宋体" w:eastAsia="宋体" w:cs="宋体"/>
                <w:color w:val="auto"/>
                <w:spacing w:val="13"/>
                <w:sz w:val="24"/>
                <w:szCs w:val="24"/>
                <w:highlight w:val="none"/>
              </w:rPr>
              <w:t>导用户对攻防方法和工具使用，帮助甲方单位工</w:t>
            </w:r>
            <w:r>
              <w:rPr>
                <w:rFonts w:hint="eastAsia" w:ascii="宋体" w:hAnsi="宋体" w:eastAsia="宋体" w:cs="宋体"/>
                <w:color w:val="auto"/>
                <w:spacing w:val="8"/>
                <w:sz w:val="24"/>
                <w:szCs w:val="24"/>
                <w:highlight w:val="none"/>
              </w:rPr>
              <w:t>作</w:t>
            </w:r>
            <w:r>
              <w:rPr>
                <w:rFonts w:hint="eastAsia" w:ascii="宋体" w:hAnsi="宋体" w:eastAsia="宋体" w:cs="宋体"/>
                <w:color w:val="auto"/>
                <w:spacing w:val="23"/>
                <w:sz w:val="24"/>
                <w:szCs w:val="24"/>
                <w:highlight w:val="none"/>
              </w:rPr>
              <w:t>人员提升网络安全意识和网络安全攻防能力的建</w:t>
            </w:r>
            <w:r>
              <w:rPr>
                <w:rFonts w:hint="eastAsia" w:ascii="宋体" w:hAnsi="宋体" w:eastAsia="宋体" w:cs="宋体"/>
                <w:color w:val="auto"/>
                <w:sz w:val="24"/>
                <w:szCs w:val="24"/>
                <w:highlight w:val="none"/>
              </w:rPr>
              <w:t>设</w:t>
            </w:r>
          </w:p>
        </w:tc>
        <w:tc>
          <w:tcPr>
            <w:tcW w:w="1290" w:type="dxa"/>
            <w:vAlign w:val="center"/>
          </w:tcPr>
          <w:p w14:paraId="704A6A8C">
            <w:pPr>
              <w:spacing w:before="65" w:line="240" w:lineRule="auto"/>
              <w:ind w:right="105" w:rightChars="0"/>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pacing w:val="7"/>
                <w:sz w:val="24"/>
                <w:szCs w:val="24"/>
                <w:highlight w:val="none"/>
              </w:rPr>
              <w:t>培</w:t>
            </w:r>
            <w:r>
              <w:rPr>
                <w:rFonts w:hint="eastAsia" w:ascii="宋体" w:hAnsi="宋体" w:eastAsia="宋体" w:cs="宋体"/>
                <w:color w:val="auto"/>
                <w:spacing w:val="5"/>
                <w:sz w:val="24"/>
                <w:szCs w:val="24"/>
                <w:highlight w:val="none"/>
              </w:rPr>
              <w:t>训</w:t>
            </w:r>
            <w:r>
              <w:rPr>
                <w:rFonts w:hint="eastAsia" w:ascii="宋体" w:hAnsi="宋体" w:eastAsia="宋体" w:cs="宋体"/>
                <w:color w:val="auto"/>
                <w:spacing w:val="-9"/>
                <w:sz w:val="24"/>
                <w:szCs w:val="24"/>
                <w:highlight w:val="none"/>
              </w:rPr>
              <w:t>PPT</w:t>
            </w:r>
            <w:r>
              <w:rPr>
                <w:rFonts w:hint="eastAsia" w:ascii="宋体" w:hAnsi="宋体" w:eastAsia="宋体" w:cs="宋体"/>
                <w:color w:val="auto"/>
                <w:spacing w:val="-11"/>
                <w:sz w:val="24"/>
                <w:szCs w:val="24"/>
                <w:highlight w:val="none"/>
              </w:rPr>
              <w:t>、</w:t>
            </w:r>
            <w:r>
              <w:rPr>
                <w:rFonts w:hint="eastAsia" w:ascii="宋体" w:hAnsi="宋体" w:eastAsia="宋体" w:cs="宋体"/>
                <w:color w:val="auto"/>
                <w:spacing w:val="-9"/>
                <w:sz w:val="24"/>
                <w:szCs w:val="24"/>
                <w:highlight w:val="none"/>
              </w:rPr>
              <w:t>培训</w:t>
            </w:r>
            <w:r>
              <w:rPr>
                <w:rFonts w:hint="eastAsia" w:ascii="宋体" w:hAnsi="宋体" w:eastAsia="宋体" w:cs="宋体"/>
                <w:color w:val="auto"/>
                <w:spacing w:val="8"/>
                <w:sz w:val="24"/>
                <w:szCs w:val="24"/>
                <w:highlight w:val="none"/>
              </w:rPr>
              <w:t>记录表</w:t>
            </w:r>
          </w:p>
        </w:tc>
        <w:tc>
          <w:tcPr>
            <w:tcW w:w="855" w:type="dxa"/>
            <w:vAlign w:val="center"/>
          </w:tcPr>
          <w:p w14:paraId="5FE10C6C">
            <w:pPr>
              <w:spacing w:before="65" w:line="240" w:lineRule="auto"/>
              <w:ind w:right="109" w:rightChars="0"/>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pacing w:val="18"/>
                <w:sz w:val="24"/>
                <w:szCs w:val="24"/>
                <w:highlight w:val="none"/>
              </w:rPr>
              <w:t>培</w:t>
            </w:r>
            <w:r>
              <w:rPr>
                <w:rFonts w:hint="eastAsia" w:ascii="宋体" w:hAnsi="宋体" w:eastAsia="宋体" w:cs="宋体"/>
                <w:color w:val="auto"/>
                <w:spacing w:val="17"/>
                <w:sz w:val="24"/>
                <w:szCs w:val="24"/>
                <w:highlight w:val="none"/>
              </w:rPr>
              <w:t>训</w:t>
            </w:r>
            <w:r>
              <w:rPr>
                <w:rFonts w:hint="eastAsia" w:ascii="宋体" w:hAnsi="宋体" w:eastAsia="宋体" w:cs="宋体"/>
                <w:color w:val="auto"/>
                <w:spacing w:val="18"/>
                <w:sz w:val="24"/>
                <w:szCs w:val="24"/>
                <w:highlight w:val="none"/>
              </w:rPr>
              <w:t>记录</w:t>
            </w:r>
            <w:r>
              <w:rPr>
                <w:rFonts w:hint="eastAsia" w:ascii="宋体" w:hAnsi="宋体" w:eastAsia="宋体" w:cs="宋体"/>
                <w:color w:val="auto"/>
                <w:spacing w:val="-22"/>
                <w:sz w:val="24"/>
                <w:szCs w:val="24"/>
                <w:highlight w:val="none"/>
              </w:rPr>
              <w:t>需</w:t>
            </w:r>
            <w:r>
              <w:rPr>
                <w:rFonts w:hint="eastAsia" w:ascii="宋体" w:hAnsi="宋体" w:eastAsia="宋体" w:cs="宋体"/>
                <w:color w:val="auto"/>
                <w:spacing w:val="-21"/>
                <w:sz w:val="24"/>
                <w:szCs w:val="24"/>
                <w:highlight w:val="none"/>
              </w:rPr>
              <w:t>甲</w:t>
            </w:r>
            <w:r>
              <w:rPr>
                <w:rFonts w:hint="eastAsia" w:ascii="宋体" w:hAnsi="宋体" w:eastAsia="宋体" w:cs="宋体"/>
                <w:color w:val="auto"/>
                <w:spacing w:val="18"/>
                <w:sz w:val="24"/>
                <w:szCs w:val="24"/>
                <w:highlight w:val="none"/>
              </w:rPr>
              <w:t>方签</w:t>
            </w:r>
            <w:r>
              <w:rPr>
                <w:rFonts w:hint="eastAsia" w:ascii="宋体" w:hAnsi="宋体" w:eastAsia="宋体" w:cs="宋体"/>
                <w:color w:val="auto"/>
                <w:spacing w:val="1"/>
                <w:sz w:val="24"/>
                <w:szCs w:val="24"/>
                <w:highlight w:val="none"/>
              </w:rPr>
              <w:t>字</w:t>
            </w:r>
          </w:p>
        </w:tc>
      </w:tr>
      <w:tr w14:paraId="3984C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3" w:hRule="atLeast"/>
        </w:trPr>
        <w:tc>
          <w:tcPr>
            <w:tcW w:w="854" w:type="dxa"/>
            <w:vAlign w:val="center"/>
          </w:tcPr>
          <w:p w14:paraId="1CCF49F5">
            <w:pPr>
              <w:spacing w:before="65"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lang w:val="en-US" w:eastAsia="zh-CN"/>
              </w:rPr>
              <w:t>5</w:t>
            </w:r>
          </w:p>
        </w:tc>
        <w:tc>
          <w:tcPr>
            <w:tcW w:w="839" w:type="dxa"/>
            <w:vAlign w:val="center"/>
          </w:tcPr>
          <w:p w14:paraId="3782D5D0">
            <w:pPr>
              <w:spacing w:before="211" w:line="240" w:lineRule="auto"/>
              <w:ind w:right="106" w:rightChars="0"/>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安全运维</w:t>
            </w:r>
          </w:p>
        </w:tc>
        <w:tc>
          <w:tcPr>
            <w:tcW w:w="792" w:type="dxa"/>
            <w:vAlign w:val="center"/>
          </w:tcPr>
          <w:p w14:paraId="66DF4113">
            <w:pPr>
              <w:spacing w:before="210" w:line="240" w:lineRule="auto"/>
              <w:ind w:right="107" w:rightChars="0"/>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驻场服务</w:t>
            </w:r>
          </w:p>
        </w:tc>
        <w:tc>
          <w:tcPr>
            <w:tcW w:w="5639" w:type="dxa"/>
            <w:vAlign w:val="center"/>
          </w:tcPr>
          <w:p w14:paraId="3EDF6C4B">
            <w:pPr>
              <w:spacing w:before="55" w:line="240" w:lineRule="auto"/>
              <w:ind w:left="112" w:leftChars="0" w:right="104" w:rightChars="0"/>
              <w:jc w:val="both"/>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pacing w:val="14"/>
                <w:sz w:val="24"/>
                <w:szCs w:val="24"/>
                <w:highlight w:val="none"/>
                <w:lang w:eastAsia="zh-CN"/>
              </w:rPr>
              <w:t>根据甲方要求，在服务期内重要时间段</w:t>
            </w:r>
            <w:r>
              <w:rPr>
                <w:rFonts w:hint="eastAsia" w:ascii="宋体" w:hAnsi="宋体" w:eastAsia="宋体" w:cs="宋体"/>
                <w:color w:val="auto"/>
                <w:spacing w:val="14"/>
                <w:sz w:val="24"/>
                <w:szCs w:val="24"/>
                <w:highlight w:val="none"/>
              </w:rPr>
              <w:t>提供</w:t>
            </w:r>
            <w:r>
              <w:rPr>
                <w:rFonts w:hint="eastAsia" w:ascii="宋体" w:hAnsi="宋体" w:eastAsia="宋体" w:cs="宋体"/>
                <w:color w:val="auto"/>
                <w:spacing w:val="7"/>
                <w:sz w:val="24"/>
                <w:szCs w:val="24"/>
                <w:highlight w:val="none"/>
              </w:rPr>
              <w:t>现场安全运维服务，协助管理人</w:t>
            </w:r>
            <w:r>
              <w:rPr>
                <w:rFonts w:hint="eastAsia" w:ascii="宋体" w:hAnsi="宋体" w:eastAsia="宋体" w:cs="宋体"/>
                <w:color w:val="auto"/>
                <w:spacing w:val="24"/>
                <w:sz w:val="24"/>
                <w:szCs w:val="24"/>
                <w:highlight w:val="none"/>
              </w:rPr>
              <w:t>员</w:t>
            </w:r>
            <w:r>
              <w:rPr>
                <w:rFonts w:hint="eastAsia" w:ascii="宋体" w:hAnsi="宋体" w:eastAsia="宋体" w:cs="宋体"/>
                <w:color w:val="auto"/>
                <w:spacing w:val="16"/>
                <w:sz w:val="24"/>
                <w:szCs w:val="24"/>
                <w:highlight w:val="none"/>
              </w:rPr>
              <w:t>开</w:t>
            </w:r>
            <w:r>
              <w:rPr>
                <w:rFonts w:hint="eastAsia" w:ascii="宋体" w:hAnsi="宋体" w:eastAsia="宋体" w:cs="宋体"/>
                <w:color w:val="auto"/>
                <w:spacing w:val="12"/>
                <w:sz w:val="24"/>
                <w:szCs w:val="24"/>
                <w:highlight w:val="none"/>
              </w:rPr>
              <w:t>展信息安全规划建设、维护、事件处理等相关</w:t>
            </w:r>
            <w:r>
              <w:rPr>
                <w:rFonts w:hint="eastAsia" w:ascii="宋体" w:hAnsi="宋体" w:eastAsia="宋体" w:cs="宋体"/>
                <w:color w:val="auto"/>
                <w:spacing w:val="8"/>
                <w:sz w:val="24"/>
                <w:szCs w:val="24"/>
                <w:highlight w:val="none"/>
              </w:rPr>
              <w:t>技</w:t>
            </w:r>
            <w:r>
              <w:rPr>
                <w:rFonts w:hint="eastAsia" w:ascii="宋体" w:hAnsi="宋体" w:eastAsia="宋体" w:cs="宋体"/>
                <w:color w:val="auto"/>
                <w:spacing w:val="5"/>
                <w:sz w:val="24"/>
                <w:szCs w:val="24"/>
                <w:highlight w:val="none"/>
              </w:rPr>
              <w:t>术工作。</w:t>
            </w:r>
          </w:p>
        </w:tc>
        <w:tc>
          <w:tcPr>
            <w:tcW w:w="1290" w:type="dxa"/>
            <w:vAlign w:val="center"/>
          </w:tcPr>
          <w:p w14:paraId="4DA2BB38">
            <w:pPr>
              <w:spacing w:line="240" w:lineRule="auto"/>
              <w:jc w:val="both"/>
              <w:rPr>
                <w:rFonts w:hint="eastAsia" w:ascii="宋体" w:hAnsi="宋体" w:eastAsia="宋体" w:cs="宋体"/>
                <w:color w:val="auto"/>
                <w:sz w:val="24"/>
                <w:szCs w:val="24"/>
                <w:highlight w:val="none"/>
              </w:rPr>
            </w:pPr>
          </w:p>
          <w:p w14:paraId="3B82F89A">
            <w:pPr>
              <w:spacing w:before="26" w:line="240" w:lineRule="auto"/>
              <w:ind w:left="113" w:leftChars="0"/>
              <w:jc w:val="both"/>
              <w:rPr>
                <w:rFonts w:hint="eastAsia" w:ascii="宋体" w:hAnsi="宋体" w:eastAsia="宋体" w:cs="宋体"/>
                <w:snapToGrid w:val="0"/>
                <w:color w:val="auto"/>
                <w:kern w:val="0"/>
                <w:sz w:val="24"/>
                <w:szCs w:val="24"/>
                <w:highlight w:val="none"/>
              </w:rPr>
            </w:pPr>
          </w:p>
        </w:tc>
        <w:tc>
          <w:tcPr>
            <w:tcW w:w="855" w:type="dxa"/>
            <w:vAlign w:val="center"/>
          </w:tcPr>
          <w:p w14:paraId="308F76B5">
            <w:pPr>
              <w:spacing w:line="240" w:lineRule="auto"/>
              <w:jc w:val="both"/>
              <w:rPr>
                <w:rFonts w:hint="eastAsia" w:ascii="宋体" w:hAnsi="宋体" w:eastAsia="宋体" w:cs="宋体"/>
                <w:snapToGrid w:val="0"/>
                <w:color w:val="auto"/>
                <w:kern w:val="0"/>
                <w:sz w:val="24"/>
                <w:szCs w:val="24"/>
                <w:highlight w:val="none"/>
              </w:rPr>
            </w:pPr>
          </w:p>
        </w:tc>
      </w:tr>
      <w:tr w14:paraId="04C9A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3" w:hRule="atLeast"/>
        </w:trPr>
        <w:tc>
          <w:tcPr>
            <w:tcW w:w="854" w:type="dxa"/>
            <w:vAlign w:val="center"/>
          </w:tcPr>
          <w:p w14:paraId="7C32C288">
            <w:pPr>
              <w:spacing w:before="65"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w:t>
            </w:r>
          </w:p>
          <w:p w14:paraId="3354E8FD">
            <w:pPr>
              <w:spacing w:before="65" w:line="240" w:lineRule="auto"/>
              <w:jc w:val="center"/>
              <w:rPr>
                <w:rFonts w:hint="eastAsia" w:ascii="宋体" w:hAnsi="宋体" w:eastAsia="宋体" w:cs="宋体"/>
                <w:snapToGrid w:val="0"/>
                <w:color w:val="auto"/>
                <w:kern w:val="0"/>
                <w:sz w:val="24"/>
                <w:szCs w:val="24"/>
                <w:highlight w:val="none"/>
              </w:rPr>
            </w:pPr>
          </w:p>
        </w:tc>
        <w:tc>
          <w:tcPr>
            <w:tcW w:w="839" w:type="dxa"/>
            <w:vAlign w:val="center"/>
          </w:tcPr>
          <w:p w14:paraId="69B8AB7C">
            <w:pPr>
              <w:spacing w:before="210" w:line="240" w:lineRule="auto"/>
              <w:ind w:right="106" w:rightChars="0"/>
              <w:jc w:val="center"/>
              <w:rPr>
                <w:rFonts w:hint="eastAsia" w:ascii="宋体" w:hAnsi="宋体" w:eastAsia="宋体" w:cs="宋体"/>
                <w:color w:val="auto"/>
                <w:spacing w:val="-22"/>
                <w:sz w:val="24"/>
                <w:szCs w:val="24"/>
                <w:highlight w:val="none"/>
                <w:lang w:eastAsia="zh-CN"/>
              </w:rPr>
            </w:pPr>
            <w:r>
              <w:rPr>
                <w:rFonts w:hint="eastAsia" w:ascii="宋体" w:hAnsi="宋体" w:eastAsia="宋体" w:cs="宋体"/>
                <w:color w:val="auto"/>
                <w:spacing w:val="-22"/>
                <w:sz w:val="24"/>
                <w:szCs w:val="24"/>
                <w:highlight w:val="none"/>
                <w:lang w:eastAsia="zh-CN"/>
              </w:rPr>
              <w:t>网络安全自查检查服务</w:t>
            </w:r>
          </w:p>
          <w:p w14:paraId="275CECCA">
            <w:pPr>
              <w:spacing w:before="210" w:line="240" w:lineRule="auto"/>
              <w:ind w:right="106" w:rightChars="0"/>
              <w:jc w:val="center"/>
              <w:rPr>
                <w:rFonts w:hint="eastAsia" w:ascii="宋体" w:hAnsi="宋体" w:eastAsia="宋体" w:cs="宋体"/>
                <w:snapToGrid w:val="0"/>
                <w:color w:val="auto"/>
                <w:kern w:val="0"/>
                <w:sz w:val="24"/>
                <w:szCs w:val="24"/>
                <w:highlight w:val="none"/>
                <w:lang w:eastAsia="zh-CN"/>
              </w:rPr>
            </w:pPr>
          </w:p>
        </w:tc>
        <w:tc>
          <w:tcPr>
            <w:tcW w:w="792" w:type="dxa"/>
            <w:vAlign w:val="center"/>
          </w:tcPr>
          <w:p w14:paraId="5CC4A591">
            <w:pPr>
              <w:spacing w:before="210" w:line="240" w:lineRule="auto"/>
              <w:ind w:left="112" w:leftChars="0" w:right="107" w:rightChars="0" w:firstLine="16" w:firstLineChars="0"/>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spacing w:val="6"/>
                <w:sz w:val="24"/>
                <w:szCs w:val="24"/>
                <w:highlight w:val="none"/>
                <w:lang w:eastAsia="zh-CN"/>
              </w:rPr>
              <w:t>网络安全自查检查服务</w:t>
            </w:r>
          </w:p>
        </w:tc>
        <w:tc>
          <w:tcPr>
            <w:tcW w:w="5639" w:type="dxa"/>
            <w:vAlign w:val="center"/>
          </w:tcPr>
          <w:p w14:paraId="60193237">
            <w:pPr>
              <w:spacing w:before="52" w:line="240" w:lineRule="auto"/>
              <w:ind w:left="111" w:leftChars="0" w:right="106" w:rightChars="0"/>
              <w:jc w:val="both"/>
              <w:rPr>
                <w:rFonts w:hint="eastAsia" w:ascii="宋体" w:hAnsi="宋体" w:eastAsia="宋体" w:cs="宋体"/>
                <w:color w:val="auto"/>
                <w:spacing w:val="14"/>
                <w:sz w:val="24"/>
                <w:szCs w:val="24"/>
                <w:highlight w:val="none"/>
              </w:rPr>
            </w:pPr>
            <w:r>
              <w:rPr>
                <w:rFonts w:hint="eastAsia" w:ascii="宋体" w:hAnsi="宋体" w:eastAsia="宋体" w:cs="宋体"/>
                <w:color w:val="auto"/>
                <w:spacing w:val="13"/>
                <w:sz w:val="24"/>
                <w:szCs w:val="24"/>
                <w:highlight w:val="none"/>
              </w:rPr>
              <w:t>在监管单位网络安全检查前，协助</w:t>
            </w:r>
            <w:r>
              <w:rPr>
                <w:rFonts w:hint="eastAsia" w:ascii="宋体" w:hAnsi="宋体" w:eastAsia="宋体" w:cs="宋体"/>
                <w:color w:val="auto"/>
                <w:spacing w:val="13"/>
                <w:sz w:val="24"/>
                <w:szCs w:val="24"/>
                <w:highlight w:val="none"/>
                <w:lang w:eastAsia="zh-CN"/>
              </w:rPr>
              <w:t>甲方</w:t>
            </w:r>
            <w:r>
              <w:rPr>
                <w:rFonts w:hint="eastAsia" w:ascii="宋体" w:hAnsi="宋体" w:eastAsia="宋体" w:cs="宋体"/>
                <w:color w:val="auto"/>
                <w:spacing w:val="13"/>
                <w:sz w:val="24"/>
                <w:szCs w:val="24"/>
                <w:highlight w:val="none"/>
              </w:rPr>
              <w:t>对</w:t>
            </w:r>
            <w:r>
              <w:rPr>
                <w:rFonts w:hint="eastAsia" w:ascii="宋体" w:hAnsi="宋体" w:eastAsia="宋体" w:cs="宋体"/>
                <w:color w:val="auto"/>
                <w:spacing w:val="12"/>
                <w:sz w:val="24"/>
                <w:szCs w:val="24"/>
                <w:highlight w:val="none"/>
              </w:rPr>
              <w:t>信息系统进行网络安全检查工作，整理和汇总</w:t>
            </w:r>
            <w:r>
              <w:rPr>
                <w:rFonts w:hint="eastAsia" w:ascii="宋体" w:hAnsi="宋体" w:eastAsia="宋体" w:cs="宋体"/>
                <w:color w:val="auto"/>
                <w:spacing w:val="8"/>
                <w:sz w:val="24"/>
                <w:szCs w:val="24"/>
                <w:highlight w:val="none"/>
              </w:rPr>
              <w:t>检查所需信息，如：资产信息、日常运维报告等</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24"/>
                <w:sz w:val="24"/>
                <w:szCs w:val="24"/>
                <w:highlight w:val="none"/>
              </w:rPr>
              <w:t>并</w:t>
            </w:r>
            <w:r>
              <w:rPr>
                <w:rFonts w:hint="eastAsia" w:ascii="宋体" w:hAnsi="宋体" w:eastAsia="宋体" w:cs="宋体"/>
                <w:color w:val="auto"/>
                <w:spacing w:val="17"/>
                <w:sz w:val="24"/>
                <w:szCs w:val="24"/>
                <w:highlight w:val="none"/>
              </w:rPr>
              <w:t>对</w:t>
            </w:r>
            <w:r>
              <w:rPr>
                <w:rFonts w:hint="eastAsia" w:ascii="宋体" w:hAnsi="宋体" w:eastAsia="宋体" w:cs="宋体"/>
                <w:color w:val="auto"/>
                <w:spacing w:val="12"/>
                <w:sz w:val="24"/>
                <w:szCs w:val="24"/>
                <w:highlight w:val="none"/>
              </w:rPr>
              <w:t>检查发现的安全威胁进行验证和确认，针对发</w:t>
            </w:r>
            <w:r>
              <w:rPr>
                <w:rFonts w:hint="eastAsia" w:ascii="宋体" w:hAnsi="宋体" w:eastAsia="宋体" w:cs="宋体"/>
                <w:color w:val="auto"/>
                <w:spacing w:val="9"/>
                <w:sz w:val="24"/>
                <w:szCs w:val="24"/>
                <w:highlight w:val="none"/>
              </w:rPr>
              <w:t>现的问题进行整改，出具检查和整改报告</w:t>
            </w:r>
            <w:r>
              <w:rPr>
                <w:rFonts w:hint="eastAsia" w:ascii="宋体" w:hAnsi="宋体" w:eastAsia="宋体" w:cs="宋体"/>
                <w:color w:val="auto"/>
                <w:spacing w:val="7"/>
                <w:sz w:val="24"/>
                <w:szCs w:val="24"/>
                <w:highlight w:val="none"/>
              </w:rPr>
              <w:t>。</w:t>
            </w:r>
          </w:p>
        </w:tc>
        <w:tc>
          <w:tcPr>
            <w:tcW w:w="1290" w:type="dxa"/>
            <w:vAlign w:val="center"/>
          </w:tcPr>
          <w:p w14:paraId="37DBCFBF">
            <w:pPr>
              <w:spacing w:before="208" w:line="240" w:lineRule="auto"/>
              <w:ind w:left="114" w:leftChars="0" w:right="105" w:rightChars="0" w:firstLine="5" w:firstLineChars="0"/>
              <w:jc w:val="both"/>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pacing w:val="9"/>
                <w:sz w:val="24"/>
                <w:szCs w:val="24"/>
                <w:highlight w:val="none"/>
              </w:rPr>
              <w:t>《网络安</w:t>
            </w:r>
            <w:r>
              <w:rPr>
                <w:rFonts w:hint="eastAsia" w:ascii="宋体" w:hAnsi="宋体" w:eastAsia="宋体" w:cs="宋体"/>
                <w:color w:val="auto"/>
                <w:spacing w:val="11"/>
                <w:sz w:val="24"/>
                <w:szCs w:val="24"/>
                <w:highlight w:val="none"/>
              </w:rPr>
              <w:t>全</w:t>
            </w:r>
            <w:r>
              <w:rPr>
                <w:rFonts w:hint="eastAsia" w:ascii="宋体" w:hAnsi="宋体" w:eastAsia="宋体" w:cs="宋体"/>
                <w:color w:val="auto"/>
                <w:spacing w:val="10"/>
                <w:sz w:val="24"/>
                <w:szCs w:val="24"/>
                <w:highlight w:val="none"/>
              </w:rPr>
              <w:t>自查</w:t>
            </w:r>
            <w:r>
              <w:rPr>
                <w:rFonts w:hint="eastAsia" w:ascii="宋体" w:hAnsi="宋体" w:eastAsia="宋体" w:cs="宋体"/>
                <w:color w:val="auto"/>
                <w:spacing w:val="10"/>
                <w:sz w:val="24"/>
                <w:szCs w:val="24"/>
                <w:highlight w:val="none"/>
                <w:lang w:eastAsia="zh-CN"/>
              </w:rPr>
              <w:t>检查</w:t>
            </w:r>
            <w:r>
              <w:rPr>
                <w:rFonts w:hint="eastAsia" w:ascii="宋体" w:hAnsi="宋体" w:eastAsia="宋体" w:cs="宋体"/>
                <w:color w:val="auto"/>
                <w:spacing w:val="10"/>
                <w:sz w:val="24"/>
                <w:szCs w:val="24"/>
                <w:highlight w:val="none"/>
              </w:rPr>
              <w:t>和</w:t>
            </w:r>
            <w:r>
              <w:rPr>
                <w:rFonts w:hint="eastAsia" w:ascii="宋体" w:hAnsi="宋体" w:eastAsia="宋体" w:cs="宋体"/>
                <w:color w:val="auto"/>
                <w:spacing w:val="9"/>
                <w:sz w:val="24"/>
                <w:szCs w:val="24"/>
                <w:highlight w:val="none"/>
              </w:rPr>
              <w:t>整</w:t>
            </w:r>
            <w:r>
              <w:rPr>
                <w:rFonts w:hint="eastAsia" w:ascii="宋体" w:hAnsi="宋体" w:eastAsia="宋体" w:cs="宋体"/>
                <w:color w:val="auto"/>
                <w:spacing w:val="8"/>
                <w:sz w:val="24"/>
                <w:szCs w:val="24"/>
                <w:highlight w:val="none"/>
              </w:rPr>
              <w:t>改报</w:t>
            </w:r>
            <w:r>
              <w:rPr>
                <w:rFonts w:hint="eastAsia" w:ascii="宋体" w:hAnsi="宋体" w:eastAsia="宋体" w:cs="宋体"/>
                <w:color w:val="auto"/>
                <w:sz w:val="24"/>
                <w:szCs w:val="24"/>
                <w:highlight w:val="none"/>
              </w:rPr>
              <w:t>告》</w:t>
            </w:r>
          </w:p>
        </w:tc>
        <w:tc>
          <w:tcPr>
            <w:tcW w:w="855" w:type="dxa"/>
            <w:vAlign w:val="center"/>
          </w:tcPr>
          <w:p w14:paraId="29AE3C42">
            <w:pPr>
              <w:spacing w:before="207" w:line="240" w:lineRule="auto"/>
              <w:ind w:left="115" w:leftChars="0" w:right="109" w:rightChars="0" w:firstLine="11" w:firstLineChars="0"/>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pacing w:val="12"/>
                <w:sz w:val="24"/>
                <w:szCs w:val="24"/>
                <w:highlight w:val="none"/>
              </w:rPr>
              <w:t>需双</w:t>
            </w:r>
            <w:r>
              <w:rPr>
                <w:rFonts w:hint="eastAsia" w:ascii="宋体" w:hAnsi="宋体" w:eastAsia="宋体" w:cs="宋体"/>
                <w:color w:val="auto"/>
                <w:spacing w:val="18"/>
                <w:sz w:val="24"/>
                <w:szCs w:val="24"/>
                <w:highlight w:val="none"/>
              </w:rPr>
              <w:t>方签字确</w:t>
            </w:r>
            <w:r>
              <w:rPr>
                <w:rFonts w:hint="eastAsia" w:ascii="宋体" w:hAnsi="宋体" w:eastAsia="宋体" w:cs="宋体"/>
                <w:color w:val="auto"/>
                <w:sz w:val="24"/>
                <w:szCs w:val="24"/>
                <w:highlight w:val="none"/>
              </w:rPr>
              <w:t>认</w:t>
            </w:r>
          </w:p>
        </w:tc>
      </w:tr>
    </w:tbl>
    <w:p w14:paraId="13451918">
      <w:pPr>
        <w:pStyle w:val="17"/>
        <w:spacing w:line="240" w:lineRule="auto"/>
        <w:ind w:left="0" w:leftChars="0" w:firstLine="480" w:firstLineChars="200"/>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驻场要求：驻场人员要具备</w:t>
      </w:r>
      <w:r>
        <w:rPr>
          <w:rFonts w:hint="eastAsia" w:ascii="宋体" w:hAnsi="宋体" w:cs="宋体"/>
          <w:b w:val="0"/>
          <w:color w:val="auto"/>
          <w:sz w:val="24"/>
          <w:szCs w:val="24"/>
          <w:highlight w:val="none"/>
          <w:lang w:eastAsia="zh-CN"/>
        </w:rPr>
        <w:t>相关</w:t>
      </w:r>
      <w:r>
        <w:rPr>
          <w:rFonts w:hint="eastAsia" w:ascii="宋体" w:hAnsi="宋体" w:eastAsia="宋体" w:cs="宋体"/>
          <w:b w:val="0"/>
          <w:color w:val="auto"/>
          <w:sz w:val="24"/>
          <w:szCs w:val="24"/>
          <w:highlight w:val="none"/>
        </w:rPr>
        <w:t>证书，上岗前要进行证书审查。</w:t>
      </w:r>
    </w:p>
    <w:p w14:paraId="69DC409C">
      <w:pPr>
        <w:pStyle w:val="17"/>
        <w:numPr>
          <w:ilvl w:val="0"/>
          <w:numId w:val="18"/>
        </w:numPr>
        <w:spacing w:line="240" w:lineRule="auto"/>
        <w:ind w:left="0" w:leftChars="0" w:firstLine="0" w:firstLineChars="0"/>
        <w:rPr>
          <w:rFonts w:hint="eastAsia" w:ascii="宋体" w:hAnsi="宋体" w:cs="宋体"/>
          <w:b w:val="0"/>
          <w:color w:val="auto"/>
          <w:sz w:val="24"/>
          <w:szCs w:val="24"/>
          <w:highlight w:val="none"/>
          <w:lang w:val="en-US" w:eastAsia="zh-CN"/>
        </w:rPr>
      </w:pPr>
      <w:r>
        <w:rPr>
          <w:rFonts w:hint="eastAsia" w:ascii="宋体" w:hAnsi="宋体" w:cs="宋体"/>
          <w:b w:val="0"/>
          <w:color w:val="auto"/>
          <w:sz w:val="24"/>
          <w:szCs w:val="24"/>
          <w:highlight w:val="none"/>
          <w:lang w:val="en-US" w:eastAsia="zh-CN"/>
        </w:rPr>
        <w:t>驻场办公设备运维工作主要内容</w:t>
      </w:r>
    </w:p>
    <w:tbl>
      <w:tblPr>
        <w:tblStyle w:val="38"/>
        <w:tblW w:w="9963" w:type="dxa"/>
        <w:tblInd w:w="1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606"/>
        <w:gridCol w:w="1816"/>
        <w:gridCol w:w="1357"/>
        <w:gridCol w:w="6184"/>
      </w:tblGrid>
      <w:tr w14:paraId="5E87C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blHeader/>
        </w:trPr>
        <w:tc>
          <w:tcPr>
            <w:tcW w:w="6184" w:type="dxa"/>
            <w:gridSpan w:val="4"/>
            <w:shd w:val="clear" w:color="auto" w:fill="auto"/>
            <w:noWrap/>
            <w:vAlign w:val="center"/>
          </w:tcPr>
          <w:p w14:paraId="17B417FA">
            <w:pPr>
              <w:keepNext w:val="0"/>
              <w:keepLines w:val="0"/>
              <w:widowControl/>
              <w:suppressLineNumbers w:val="0"/>
              <w:snapToGrid w:val="0"/>
              <w:ind w:left="0" w:leftChars="0" w:right="0" w:rightChars="0" w:firstLine="0" w:firstLineChars="0"/>
              <w:jc w:val="center"/>
              <w:textAlignment w:val="bottom"/>
              <w:rPr>
                <w:rFonts w:hint="eastAsia" w:ascii="宋体" w:hAnsi="宋体" w:eastAsia="宋体" w:cs="宋体"/>
                <w:b/>
                <w:bCs/>
                <w:i w:val="0"/>
                <w:iCs w:val="0"/>
                <w:color w:val="auto"/>
                <w:sz w:val="28"/>
                <w:szCs w:val="28"/>
                <w:highlight w:val="none"/>
                <w:u w:val="none"/>
              </w:rPr>
            </w:pPr>
            <w:r>
              <w:rPr>
                <w:rFonts w:hint="eastAsia" w:ascii="宋体" w:hAnsi="宋体" w:eastAsia="宋体" w:cs="宋体"/>
                <w:b/>
                <w:bCs/>
                <w:color w:val="auto"/>
                <w:kern w:val="0"/>
                <w:sz w:val="28"/>
                <w:szCs w:val="28"/>
                <w:highlight w:val="none"/>
                <w:u w:val="none"/>
                <w:lang w:val="en-US" w:eastAsia="zh-CN" w:bidi="ar"/>
              </w:rPr>
              <w:t>驻场办公设备运维</w:t>
            </w:r>
            <w:r>
              <w:rPr>
                <w:rFonts w:hint="eastAsia" w:ascii="宋体" w:hAnsi="宋体" w:eastAsia="宋体" w:cs="宋体"/>
                <w:b/>
                <w:bCs/>
                <w:i w:val="0"/>
                <w:iCs w:val="0"/>
                <w:color w:val="auto"/>
                <w:kern w:val="0"/>
                <w:sz w:val="28"/>
                <w:szCs w:val="28"/>
                <w:highlight w:val="none"/>
                <w:u w:val="none"/>
                <w:lang w:val="en-US" w:eastAsia="zh-CN" w:bidi="ar"/>
              </w:rPr>
              <w:t>服务清单</w:t>
            </w:r>
          </w:p>
        </w:tc>
      </w:tr>
      <w:tr w14:paraId="633DD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blHeader/>
        </w:trPr>
        <w:tc>
          <w:tcPr>
            <w:tcW w:w="0" w:type="auto"/>
            <w:shd w:val="clear" w:color="auto" w:fill="auto"/>
            <w:vAlign w:val="center"/>
          </w:tcPr>
          <w:p w14:paraId="10402A4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0" w:type="auto"/>
            <w:shd w:val="clear" w:color="auto" w:fill="auto"/>
            <w:vAlign w:val="center"/>
          </w:tcPr>
          <w:p w14:paraId="7630DB8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服务大类</w:t>
            </w:r>
          </w:p>
        </w:tc>
        <w:tc>
          <w:tcPr>
            <w:tcW w:w="0" w:type="auto"/>
            <w:shd w:val="clear" w:color="auto" w:fill="auto"/>
            <w:vAlign w:val="center"/>
          </w:tcPr>
          <w:p w14:paraId="7FF20A3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服务子项</w:t>
            </w:r>
          </w:p>
        </w:tc>
        <w:tc>
          <w:tcPr>
            <w:tcW w:w="6184" w:type="dxa"/>
            <w:shd w:val="clear" w:color="auto" w:fill="auto"/>
            <w:vAlign w:val="center"/>
          </w:tcPr>
          <w:p w14:paraId="45355E2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服务内容详情</w:t>
            </w:r>
          </w:p>
        </w:tc>
      </w:tr>
      <w:tr w14:paraId="200AE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shd w:val="clear" w:color="auto" w:fill="auto"/>
            <w:vAlign w:val="center"/>
          </w:tcPr>
          <w:p w14:paraId="5FCD724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vMerge w:val="restart"/>
            <w:shd w:val="clear" w:color="auto" w:fill="auto"/>
            <w:vAlign w:val="center"/>
          </w:tcPr>
          <w:p w14:paraId="5CB6D0F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办公终端运维</w:t>
            </w:r>
          </w:p>
        </w:tc>
        <w:tc>
          <w:tcPr>
            <w:tcW w:w="0" w:type="auto"/>
            <w:shd w:val="clear" w:color="auto" w:fill="auto"/>
            <w:vAlign w:val="center"/>
          </w:tcPr>
          <w:p w14:paraId="7CBB702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网络接入与故障排查</w:t>
            </w:r>
          </w:p>
        </w:tc>
        <w:tc>
          <w:tcPr>
            <w:tcW w:w="6184" w:type="dxa"/>
            <w:shd w:val="clear" w:color="auto" w:fill="auto"/>
            <w:vAlign w:val="center"/>
          </w:tcPr>
          <w:p w14:paraId="75410BE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负责所有办公电脑的网络接入调试、网络故障排查，建立信息点台账并定期巡检</w:t>
            </w:r>
          </w:p>
        </w:tc>
      </w:tr>
      <w:tr w14:paraId="51C5D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0" w:type="auto"/>
            <w:shd w:val="clear" w:color="auto" w:fill="auto"/>
            <w:vAlign w:val="center"/>
          </w:tcPr>
          <w:p w14:paraId="000D32E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0" w:type="auto"/>
            <w:vMerge w:val="continue"/>
            <w:shd w:val="clear" w:color="auto" w:fill="auto"/>
            <w:vAlign w:val="center"/>
          </w:tcPr>
          <w:p w14:paraId="737CD414">
            <w:pPr>
              <w:snapToGrid w:val="0"/>
              <w:ind w:left="0" w:leftChars="0" w:right="0" w:rightChars="0" w:firstLine="0" w:firstLineChars="0"/>
              <w:jc w:val="center"/>
              <w:rPr>
                <w:rFonts w:hint="eastAsia" w:ascii="宋体" w:hAnsi="宋体" w:eastAsia="宋体" w:cs="宋体"/>
                <w:b/>
                <w:bCs/>
                <w:i w:val="0"/>
                <w:iCs w:val="0"/>
                <w:color w:val="auto"/>
                <w:sz w:val="20"/>
                <w:szCs w:val="20"/>
                <w:highlight w:val="none"/>
                <w:u w:val="none"/>
              </w:rPr>
            </w:pPr>
          </w:p>
        </w:tc>
        <w:tc>
          <w:tcPr>
            <w:tcW w:w="0" w:type="auto"/>
            <w:shd w:val="clear" w:color="auto" w:fill="auto"/>
            <w:vAlign w:val="center"/>
          </w:tcPr>
          <w:p w14:paraId="4D362F9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操作系统维护</w:t>
            </w:r>
          </w:p>
        </w:tc>
        <w:tc>
          <w:tcPr>
            <w:tcW w:w="6184" w:type="dxa"/>
            <w:shd w:val="clear" w:color="auto" w:fill="auto"/>
            <w:vAlign w:val="center"/>
          </w:tcPr>
          <w:p w14:paraId="14349C8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对操作系统进行维护、修复、优化与重装，处理蓝屏、卡顿、启动异常等问题</w:t>
            </w:r>
          </w:p>
        </w:tc>
      </w:tr>
      <w:tr w14:paraId="76EDD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0" w:type="auto"/>
            <w:shd w:val="clear" w:color="auto" w:fill="auto"/>
            <w:vAlign w:val="center"/>
          </w:tcPr>
          <w:p w14:paraId="1AC11F9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0" w:type="auto"/>
            <w:vMerge w:val="continue"/>
            <w:shd w:val="clear" w:color="auto" w:fill="auto"/>
            <w:vAlign w:val="center"/>
          </w:tcPr>
          <w:p w14:paraId="60C7DE22">
            <w:pPr>
              <w:snapToGrid w:val="0"/>
              <w:ind w:left="0" w:leftChars="0" w:right="0" w:rightChars="0" w:firstLine="0" w:firstLineChars="0"/>
              <w:jc w:val="center"/>
              <w:rPr>
                <w:rFonts w:hint="eastAsia" w:ascii="宋体" w:hAnsi="宋体" w:eastAsia="宋体" w:cs="宋体"/>
                <w:b/>
                <w:bCs/>
                <w:i w:val="0"/>
                <w:iCs w:val="0"/>
                <w:color w:val="auto"/>
                <w:sz w:val="20"/>
                <w:szCs w:val="20"/>
                <w:highlight w:val="none"/>
                <w:u w:val="none"/>
              </w:rPr>
            </w:pPr>
          </w:p>
        </w:tc>
        <w:tc>
          <w:tcPr>
            <w:tcW w:w="0" w:type="auto"/>
            <w:shd w:val="clear" w:color="auto" w:fill="auto"/>
            <w:vAlign w:val="center"/>
          </w:tcPr>
          <w:p w14:paraId="185C34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软件安装调试</w:t>
            </w:r>
          </w:p>
        </w:tc>
        <w:tc>
          <w:tcPr>
            <w:tcW w:w="6184" w:type="dxa"/>
            <w:shd w:val="clear" w:color="auto" w:fill="auto"/>
            <w:vAlign w:val="center"/>
          </w:tcPr>
          <w:p w14:paraId="12ACDE5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按需求安装、调试、升级办公软件及业务软件</w:t>
            </w:r>
          </w:p>
        </w:tc>
      </w:tr>
      <w:tr w14:paraId="23DC0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0" w:type="auto"/>
            <w:shd w:val="clear" w:color="auto" w:fill="auto"/>
            <w:vAlign w:val="center"/>
          </w:tcPr>
          <w:p w14:paraId="71D5FB4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w:t>
            </w:r>
          </w:p>
        </w:tc>
        <w:tc>
          <w:tcPr>
            <w:tcW w:w="0" w:type="auto"/>
            <w:vMerge w:val="continue"/>
            <w:shd w:val="clear" w:color="auto" w:fill="auto"/>
            <w:vAlign w:val="center"/>
          </w:tcPr>
          <w:p w14:paraId="7D0BFC39">
            <w:pPr>
              <w:snapToGrid w:val="0"/>
              <w:ind w:left="0" w:leftChars="0" w:right="0" w:rightChars="0" w:firstLine="0" w:firstLineChars="0"/>
              <w:jc w:val="center"/>
              <w:rPr>
                <w:rFonts w:hint="eastAsia" w:ascii="宋体" w:hAnsi="宋体" w:eastAsia="宋体" w:cs="宋体"/>
                <w:b/>
                <w:bCs/>
                <w:i w:val="0"/>
                <w:iCs w:val="0"/>
                <w:color w:val="auto"/>
                <w:sz w:val="20"/>
                <w:szCs w:val="20"/>
                <w:highlight w:val="none"/>
                <w:u w:val="none"/>
              </w:rPr>
            </w:pPr>
          </w:p>
        </w:tc>
        <w:tc>
          <w:tcPr>
            <w:tcW w:w="0" w:type="auto"/>
            <w:shd w:val="clear" w:color="auto" w:fill="auto"/>
            <w:vAlign w:val="center"/>
          </w:tcPr>
          <w:p w14:paraId="60E62BB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硬件故障处理</w:t>
            </w:r>
          </w:p>
        </w:tc>
        <w:tc>
          <w:tcPr>
            <w:tcW w:w="6184" w:type="dxa"/>
            <w:shd w:val="clear" w:color="auto" w:fill="auto"/>
            <w:vAlign w:val="center"/>
          </w:tcPr>
          <w:p w14:paraId="522CE9C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对电脑硬件故障进行检测定位，在保设备对接厂家售后，非在保设备进行拆机测试、配件替换，保障终端正常使用</w:t>
            </w:r>
          </w:p>
        </w:tc>
      </w:tr>
      <w:tr w14:paraId="7C100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shd w:val="clear" w:color="auto" w:fill="auto"/>
            <w:vAlign w:val="center"/>
          </w:tcPr>
          <w:p w14:paraId="7B259DE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0" w:type="auto"/>
            <w:vMerge w:val="restart"/>
            <w:shd w:val="clear" w:color="auto" w:fill="auto"/>
            <w:vAlign w:val="center"/>
          </w:tcPr>
          <w:p w14:paraId="72227D9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办公外设运维</w:t>
            </w:r>
          </w:p>
        </w:tc>
        <w:tc>
          <w:tcPr>
            <w:tcW w:w="0" w:type="auto"/>
            <w:shd w:val="clear" w:color="auto" w:fill="auto"/>
            <w:vAlign w:val="center"/>
          </w:tcPr>
          <w:p w14:paraId="71BCBB0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外设故障处理</w:t>
            </w:r>
          </w:p>
        </w:tc>
        <w:tc>
          <w:tcPr>
            <w:tcW w:w="6184" w:type="dxa"/>
            <w:shd w:val="clear" w:color="auto" w:fill="auto"/>
            <w:vAlign w:val="center"/>
          </w:tcPr>
          <w:p w14:paraId="10D675A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负责打印机、复印机、扫描仪等外设故障处理，解决无法连接、打印异常、卡纸、出墨异常、驱动失效等问题</w:t>
            </w:r>
          </w:p>
        </w:tc>
      </w:tr>
      <w:tr w14:paraId="0C04E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shd w:val="clear" w:color="auto" w:fill="auto"/>
            <w:vAlign w:val="center"/>
          </w:tcPr>
          <w:p w14:paraId="72C220F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w:t>
            </w:r>
          </w:p>
        </w:tc>
        <w:tc>
          <w:tcPr>
            <w:tcW w:w="0" w:type="auto"/>
            <w:vMerge w:val="continue"/>
            <w:shd w:val="clear" w:color="auto" w:fill="auto"/>
            <w:vAlign w:val="center"/>
          </w:tcPr>
          <w:p w14:paraId="5E3C3041">
            <w:pPr>
              <w:snapToGrid w:val="0"/>
              <w:ind w:left="0" w:leftChars="0" w:right="0" w:rightChars="0" w:firstLine="0" w:firstLineChars="0"/>
              <w:jc w:val="center"/>
              <w:rPr>
                <w:rFonts w:hint="eastAsia" w:ascii="宋体" w:hAnsi="宋体" w:eastAsia="宋体" w:cs="宋体"/>
                <w:b/>
                <w:bCs/>
                <w:i w:val="0"/>
                <w:iCs w:val="0"/>
                <w:color w:val="auto"/>
                <w:sz w:val="20"/>
                <w:szCs w:val="20"/>
                <w:highlight w:val="none"/>
                <w:u w:val="none"/>
              </w:rPr>
            </w:pPr>
          </w:p>
        </w:tc>
        <w:tc>
          <w:tcPr>
            <w:tcW w:w="0" w:type="auto"/>
            <w:shd w:val="clear" w:color="auto" w:fill="auto"/>
            <w:vAlign w:val="center"/>
          </w:tcPr>
          <w:p w14:paraId="025ED5F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驱动安装升级</w:t>
            </w:r>
          </w:p>
        </w:tc>
        <w:tc>
          <w:tcPr>
            <w:tcW w:w="6184" w:type="dxa"/>
            <w:shd w:val="clear" w:color="auto" w:fill="auto"/>
            <w:vAlign w:val="center"/>
          </w:tcPr>
          <w:p w14:paraId="3C3CC77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完成所有办公设备驱动安装、升级与调试</w:t>
            </w:r>
          </w:p>
        </w:tc>
      </w:tr>
      <w:tr w14:paraId="5A961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shd w:val="clear" w:color="auto" w:fill="auto"/>
            <w:vAlign w:val="center"/>
          </w:tcPr>
          <w:p w14:paraId="7BDA8CA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w:t>
            </w:r>
          </w:p>
        </w:tc>
        <w:tc>
          <w:tcPr>
            <w:tcW w:w="0" w:type="auto"/>
            <w:vMerge w:val="continue"/>
            <w:shd w:val="clear" w:color="auto" w:fill="auto"/>
            <w:vAlign w:val="center"/>
          </w:tcPr>
          <w:p w14:paraId="2434A393">
            <w:pPr>
              <w:snapToGrid w:val="0"/>
              <w:ind w:left="0" w:leftChars="0" w:right="0" w:rightChars="0" w:firstLine="0" w:firstLineChars="0"/>
              <w:jc w:val="center"/>
              <w:rPr>
                <w:rFonts w:hint="eastAsia" w:ascii="宋体" w:hAnsi="宋体" w:eastAsia="宋体" w:cs="宋体"/>
                <w:b/>
                <w:bCs/>
                <w:i w:val="0"/>
                <w:iCs w:val="0"/>
                <w:color w:val="auto"/>
                <w:sz w:val="20"/>
                <w:szCs w:val="20"/>
                <w:highlight w:val="none"/>
                <w:u w:val="none"/>
              </w:rPr>
            </w:pPr>
          </w:p>
        </w:tc>
        <w:tc>
          <w:tcPr>
            <w:tcW w:w="0" w:type="auto"/>
            <w:shd w:val="clear" w:color="auto" w:fill="auto"/>
            <w:vAlign w:val="center"/>
          </w:tcPr>
          <w:p w14:paraId="36DF997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线路布线与测试</w:t>
            </w:r>
          </w:p>
        </w:tc>
        <w:tc>
          <w:tcPr>
            <w:tcW w:w="6184" w:type="dxa"/>
            <w:shd w:val="clear" w:color="auto" w:fill="auto"/>
            <w:vAlign w:val="center"/>
          </w:tcPr>
          <w:p w14:paraId="4448F2A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按标准制作网线、电话线，做好端接、测试、布线整理与标识，保障通信链路稳定</w:t>
            </w:r>
          </w:p>
        </w:tc>
      </w:tr>
      <w:tr w14:paraId="017C4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0" w:type="auto"/>
            <w:shd w:val="clear" w:color="auto" w:fill="auto"/>
            <w:vAlign w:val="center"/>
          </w:tcPr>
          <w:p w14:paraId="28EB23B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w:t>
            </w:r>
          </w:p>
        </w:tc>
        <w:tc>
          <w:tcPr>
            <w:tcW w:w="0" w:type="auto"/>
            <w:vMerge w:val="restart"/>
            <w:shd w:val="clear" w:color="auto" w:fill="auto"/>
            <w:vAlign w:val="center"/>
          </w:tcPr>
          <w:p w14:paraId="63FCC2D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会议设备运维</w:t>
            </w:r>
          </w:p>
        </w:tc>
        <w:tc>
          <w:tcPr>
            <w:tcW w:w="0" w:type="auto"/>
            <w:shd w:val="clear" w:color="auto" w:fill="auto"/>
            <w:vAlign w:val="center"/>
          </w:tcPr>
          <w:p w14:paraId="5638750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会议终端维护</w:t>
            </w:r>
          </w:p>
        </w:tc>
        <w:tc>
          <w:tcPr>
            <w:tcW w:w="6184" w:type="dxa"/>
            <w:shd w:val="clear" w:color="auto" w:fill="auto"/>
            <w:vAlign w:val="center"/>
          </w:tcPr>
          <w:p w14:paraId="51FB593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负责会议终端日常维护、故障排查与系统优化。故障主机更换须与原设备品牌、型号、配置完全一致，满足指定硬件参数要求</w:t>
            </w:r>
          </w:p>
        </w:tc>
      </w:tr>
      <w:tr w14:paraId="57861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shd w:val="clear" w:color="auto" w:fill="auto"/>
            <w:vAlign w:val="center"/>
          </w:tcPr>
          <w:p w14:paraId="22BF970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w:t>
            </w:r>
          </w:p>
        </w:tc>
        <w:tc>
          <w:tcPr>
            <w:tcW w:w="0" w:type="auto"/>
            <w:vMerge w:val="continue"/>
            <w:shd w:val="clear" w:color="auto" w:fill="auto"/>
            <w:vAlign w:val="center"/>
          </w:tcPr>
          <w:p w14:paraId="474026C3">
            <w:pPr>
              <w:snapToGrid w:val="0"/>
              <w:ind w:left="0" w:leftChars="0" w:right="0" w:rightChars="0" w:firstLine="0" w:firstLineChars="0"/>
              <w:jc w:val="center"/>
              <w:rPr>
                <w:rFonts w:hint="eastAsia" w:ascii="宋体" w:hAnsi="宋体" w:eastAsia="宋体" w:cs="宋体"/>
                <w:b/>
                <w:bCs/>
                <w:i w:val="0"/>
                <w:iCs w:val="0"/>
                <w:color w:val="auto"/>
                <w:sz w:val="20"/>
                <w:szCs w:val="20"/>
                <w:highlight w:val="none"/>
                <w:u w:val="none"/>
              </w:rPr>
            </w:pPr>
          </w:p>
        </w:tc>
        <w:tc>
          <w:tcPr>
            <w:tcW w:w="0" w:type="auto"/>
            <w:shd w:val="clear" w:color="auto" w:fill="auto"/>
            <w:vAlign w:val="center"/>
          </w:tcPr>
          <w:p w14:paraId="0A92526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会议摄像头运维</w:t>
            </w:r>
          </w:p>
        </w:tc>
        <w:tc>
          <w:tcPr>
            <w:tcW w:w="6184" w:type="dxa"/>
            <w:shd w:val="clear" w:color="auto" w:fill="auto"/>
            <w:vAlign w:val="center"/>
          </w:tcPr>
          <w:p w14:paraId="4E050B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负责会议摄像头安装、调试、布线、维护，确保画面清晰、传输稳定</w:t>
            </w:r>
          </w:p>
        </w:tc>
      </w:tr>
      <w:tr w14:paraId="208F7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0" w:type="auto"/>
            <w:shd w:val="clear" w:color="auto" w:fill="auto"/>
            <w:vAlign w:val="center"/>
          </w:tcPr>
          <w:p w14:paraId="1BA2C19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w:t>
            </w:r>
          </w:p>
        </w:tc>
        <w:tc>
          <w:tcPr>
            <w:tcW w:w="0" w:type="auto"/>
            <w:vMerge w:val="continue"/>
            <w:shd w:val="clear" w:color="auto" w:fill="auto"/>
            <w:vAlign w:val="center"/>
          </w:tcPr>
          <w:p w14:paraId="0E61E326">
            <w:pPr>
              <w:snapToGrid w:val="0"/>
              <w:ind w:left="0" w:leftChars="0" w:right="0" w:rightChars="0" w:firstLine="0" w:firstLineChars="0"/>
              <w:jc w:val="center"/>
              <w:rPr>
                <w:rFonts w:hint="eastAsia" w:ascii="宋体" w:hAnsi="宋体" w:eastAsia="宋体" w:cs="宋体"/>
                <w:b/>
                <w:bCs/>
                <w:i w:val="0"/>
                <w:iCs w:val="0"/>
                <w:color w:val="auto"/>
                <w:sz w:val="20"/>
                <w:szCs w:val="20"/>
                <w:highlight w:val="none"/>
                <w:u w:val="none"/>
              </w:rPr>
            </w:pPr>
          </w:p>
        </w:tc>
        <w:tc>
          <w:tcPr>
            <w:tcW w:w="0" w:type="auto"/>
            <w:shd w:val="clear" w:color="auto" w:fill="auto"/>
            <w:vAlign w:val="center"/>
          </w:tcPr>
          <w:p w14:paraId="4D7B04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会议全程技术支持</w:t>
            </w:r>
          </w:p>
        </w:tc>
        <w:tc>
          <w:tcPr>
            <w:tcW w:w="6184" w:type="dxa"/>
            <w:shd w:val="clear" w:color="auto" w:fill="auto"/>
            <w:vAlign w:val="center"/>
          </w:tcPr>
          <w:p w14:paraId="156E4A6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为本地及线上会议提供会前联调、会中保障、会后整理全程技术支持，重要会议提前完成设备巡检与隐患排查</w:t>
            </w:r>
          </w:p>
        </w:tc>
      </w:tr>
      <w:tr w14:paraId="75A7B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shd w:val="clear" w:color="auto" w:fill="auto"/>
            <w:vAlign w:val="center"/>
          </w:tcPr>
          <w:p w14:paraId="1B665B3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w:t>
            </w:r>
          </w:p>
        </w:tc>
        <w:tc>
          <w:tcPr>
            <w:tcW w:w="0" w:type="auto"/>
            <w:vMerge w:val="restart"/>
            <w:shd w:val="clear" w:color="auto" w:fill="auto"/>
            <w:vAlign w:val="center"/>
          </w:tcPr>
          <w:p w14:paraId="1BA5CAF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公共显示设备运维</w:t>
            </w:r>
          </w:p>
        </w:tc>
        <w:tc>
          <w:tcPr>
            <w:tcW w:w="0" w:type="auto"/>
            <w:shd w:val="clear" w:color="auto" w:fill="auto"/>
            <w:vAlign w:val="center"/>
          </w:tcPr>
          <w:p w14:paraId="3DE42B3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显示屏日常调控</w:t>
            </w:r>
          </w:p>
        </w:tc>
        <w:tc>
          <w:tcPr>
            <w:tcW w:w="6184" w:type="dxa"/>
            <w:shd w:val="clear" w:color="auto" w:fill="auto"/>
            <w:vAlign w:val="center"/>
          </w:tcPr>
          <w:p w14:paraId="4AD1742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负责办公楼LED显示屏日常内容设置、播放调控、亮度与画面校正</w:t>
            </w:r>
          </w:p>
        </w:tc>
      </w:tr>
      <w:tr w14:paraId="6C78B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shd w:val="clear" w:color="auto" w:fill="auto"/>
            <w:vAlign w:val="center"/>
          </w:tcPr>
          <w:p w14:paraId="7A8D33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0" w:type="auto"/>
            <w:vMerge w:val="continue"/>
            <w:shd w:val="clear" w:color="auto" w:fill="auto"/>
            <w:vAlign w:val="center"/>
          </w:tcPr>
          <w:p w14:paraId="798020FD">
            <w:pPr>
              <w:snapToGrid w:val="0"/>
              <w:ind w:left="0" w:leftChars="0" w:right="0" w:rightChars="0" w:firstLine="0" w:firstLineChars="0"/>
              <w:jc w:val="center"/>
              <w:rPr>
                <w:rFonts w:hint="eastAsia" w:ascii="宋体" w:hAnsi="宋体" w:eastAsia="宋体" w:cs="宋体"/>
                <w:b/>
                <w:bCs/>
                <w:i w:val="0"/>
                <w:iCs w:val="0"/>
                <w:color w:val="auto"/>
                <w:sz w:val="20"/>
                <w:szCs w:val="20"/>
                <w:highlight w:val="none"/>
                <w:u w:val="none"/>
              </w:rPr>
            </w:pPr>
          </w:p>
        </w:tc>
        <w:tc>
          <w:tcPr>
            <w:tcW w:w="0" w:type="auto"/>
            <w:shd w:val="clear" w:color="auto" w:fill="auto"/>
            <w:vAlign w:val="center"/>
          </w:tcPr>
          <w:p w14:paraId="11B0A51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显示屏故障处理</w:t>
            </w:r>
          </w:p>
        </w:tc>
        <w:tc>
          <w:tcPr>
            <w:tcW w:w="6184" w:type="dxa"/>
            <w:shd w:val="clear" w:color="auto" w:fill="auto"/>
            <w:vAlign w:val="center"/>
          </w:tcPr>
          <w:p w14:paraId="4A8D94F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定期检查显示屏运行状态，及时处理黑屏、花屏、卡顿等故障，确保显示清晰、播放稳定，满足日常宣传与信息发布需求</w:t>
            </w:r>
          </w:p>
        </w:tc>
      </w:tr>
      <w:tr w14:paraId="0912C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shd w:val="clear" w:color="auto" w:fill="auto"/>
            <w:vAlign w:val="center"/>
          </w:tcPr>
          <w:p w14:paraId="32CF6D3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w:t>
            </w:r>
          </w:p>
        </w:tc>
        <w:tc>
          <w:tcPr>
            <w:tcW w:w="0" w:type="auto"/>
            <w:vMerge w:val="restart"/>
            <w:shd w:val="clear" w:color="auto" w:fill="auto"/>
            <w:vAlign w:val="center"/>
          </w:tcPr>
          <w:p w14:paraId="3A4C906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机房环境运维</w:t>
            </w:r>
          </w:p>
        </w:tc>
        <w:tc>
          <w:tcPr>
            <w:tcW w:w="0" w:type="auto"/>
            <w:shd w:val="clear" w:color="auto" w:fill="auto"/>
            <w:vAlign w:val="center"/>
          </w:tcPr>
          <w:p w14:paraId="509021C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机房环境管理</w:t>
            </w:r>
          </w:p>
        </w:tc>
        <w:tc>
          <w:tcPr>
            <w:tcW w:w="6184" w:type="dxa"/>
            <w:shd w:val="clear" w:color="auto" w:fill="auto"/>
            <w:vAlign w:val="center"/>
          </w:tcPr>
          <w:p w14:paraId="27E9A30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定期对机房进行清洁、除尘、线路规整，保持机房整洁、干燥、通风</w:t>
            </w:r>
          </w:p>
        </w:tc>
      </w:tr>
      <w:tr w14:paraId="78DD5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shd w:val="clear" w:color="auto" w:fill="auto"/>
            <w:vAlign w:val="center"/>
          </w:tcPr>
          <w:p w14:paraId="36D8E2A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w:t>
            </w:r>
          </w:p>
        </w:tc>
        <w:tc>
          <w:tcPr>
            <w:tcW w:w="0" w:type="auto"/>
            <w:vMerge w:val="continue"/>
            <w:shd w:val="clear" w:color="auto" w:fill="auto"/>
            <w:vAlign w:val="center"/>
          </w:tcPr>
          <w:p w14:paraId="38463B73">
            <w:pPr>
              <w:snapToGrid w:val="0"/>
              <w:ind w:left="0" w:leftChars="0" w:right="0" w:rightChars="0" w:firstLine="0" w:firstLineChars="0"/>
              <w:jc w:val="center"/>
              <w:rPr>
                <w:rFonts w:hint="eastAsia" w:ascii="宋体" w:hAnsi="宋体" w:eastAsia="宋体" w:cs="宋体"/>
                <w:b/>
                <w:bCs/>
                <w:i w:val="0"/>
                <w:iCs w:val="0"/>
                <w:color w:val="auto"/>
                <w:sz w:val="20"/>
                <w:szCs w:val="20"/>
                <w:highlight w:val="none"/>
                <w:u w:val="none"/>
              </w:rPr>
            </w:pPr>
          </w:p>
        </w:tc>
        <w:tc>
          <w:tcPr>
            <w:tcW w:w="0" w:type="auto"/>
            <w:shd w:val="clear" w:color="auto" w:fill="auto"/>
            <w:vAlign w:val="center"/>
          </w:tcPr>
          <w:p w14:paraId="702048D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机房设备巡检</w:t>
            </w:r>
          </w:p>
        </w:tc>
        <w:tc>
          <w:tcPr>
            <w:tcW w:w="6184" w:type="dxa"/>
            <w:shd w:val="clear" w:color="auto" w:fill="auto"/>
            <w:vAlign w:val="center"/>
          </w:tcPr>
          <w:p w14:paraId="6D26FE8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对机房网络设备、服务器、配线架、终端模块进行日常巡检，记录运行状态，及时上报异常隐患，配合完成安全处置与故障修复</w:t>
            </w:r>
          </w:p>
        </w:tc>
      </w:tr>
      <w:tr w14:paraId="798F8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shd w:val="clear" w:color="auto" w:fill="auto"/>
            <w:vAlign w:val="center"/>
          </w:tcPr>
          <w:p w14:paraId="5EBBE16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w:t>
            </w:r>
          </w:p>
        </w:tc>
        <w:tc>
          <w:tcPr>
            <w:tcW w:w="0" w:type="auto"/>
            <w:vMerge w:val="restart"/>
            <w:shd w:val="clear" w:color="auto" w:fill="auto"/>
            <w:vAlign w:val="center"/>
          </w:tcPr>
          <w:p w14:paraId="2C8B63E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资产台账管理</w:t>
            </w:r>
          </w:p>
        </w:tc>
        <w:tc>
          <w:tcPr>
            <w:tcW w:w="0" w:type="auto"/>
            <w:shd w:val="clear" w:color="auto" w:fill="auto"/>
            <w:vAlign w:val="center"/>
          </w:tcPr>
          <w:p w14:paraId="5CB5A0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资产台账建立</w:t>
            </w:r>
          </w:p>
        </w:tc>
        <w:tc>
          <w:tcPr>
            <w:tcW w:w="6184" w:type="dxa"/>
            <w:shd w:val="clear" w:color="auto" w:fill="auto"/>
            <w:vAlign w:val="center"/>
          </w:tcPr>
          <w:p w14:paraId="6BDC302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全面梳理单位及下属单位信息化资产，包含计算机、打印机、网络设备、会议设备、显示设备等，建立完整资产台账</w:t>
            </w:r>
          </w:p>
        </w:tc>
      </w:tr>
      <w:tr w14:paraId="1F3DA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shd w:val="clear" w:color="auto" w:fill="auto"/>
            <w:vAlign w:val="center"/>
          </w:tcPr>
          <w:p w14:paraId="46F86B0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16</w:t>
            </w:r>
          </w:p>
        </w:tc>
        <w:tc>
          <w:tcPr>
            <w:tcW w:w="0" w:type="auto"/>
            <w:vMerge w:val="continue"/>
            <w:shd w:val="clear" w:color="auto" w:fill="auto"/>
            <w:vAlign w:val="center"/>
          </w:tcPr>
          <w:p w14:paraId="2522B5BA">
            <w:pPr>
              <w:snapToGrid w:val="0"/>
              <w:ind w:left="0" w:leftChars="0" w:right="0" w:rightChars="0" w:firstLine="0" w:firstLineChars="0"/>
              <w:jc w:val="center"/>
              <w:rPr>
                <w:rFonts w:hint="eastAsia" w:ascii="宋体" w:hAnsi="宋体" w:eastAsia="宋体" w:cs="宋体"/>
                <w:b/>
                <w:bCs/>
                <w:i w:val="0"/>
                <w:iCs w:val="0"/>
                <w:color w:val="auto"/>
                <w:sz w:val="20"/>
                <w:szCs w:val="20"/>
                <w:highlight w:val="none"/>
                <w:u w:val="none"/>
              </w:rPr>
            </w:pPr>
          </w:p>
        </w:tc>
        <w:tc>
          <w:tcPr>
            <w:tcW w:w="0" w:type="auto"/>
            <w:shd w:val="clear" w:color="auto" w:fill="auto"/>
            <w:vAlign w:val="center"/>
          </w:tcPr>
          <w:p w14:paraId="3EE0AD4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资产动态管理</w:t>
            </w:r>
          </w:p>
        </w:tc>
        <w:tc>
          <w:tcPr>
            <w:tcW w:w="6184" w:type="dxa"/>
            <w:shd w:val="clear" w:color="auto" w:fill="auto"/>
            <w:vAlign w:val="center"/>
          </w:tcPr>
          <w:p w14:paraId="6B275E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动态更新资产信息，记录新增、调拨、维修、报废全流程，确保账实相符</w:t>
            </w:r>
          </w:p>
        </w:tc>
      </w:tr>
      <w:tr w14:paraId="00EDB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0" w:type="auto"/>
            <w:shd w:val="clear" w:color="auto" w:fill="auto"/>
            <w:vAlign w:val="center"/>
          </w:tcPr>
          <w:p w14:paraId="54261C3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17</w:t>
            </w:r>
          </w:p>
        </w:tc>
        <w:tc>
          <w:tcPr>
            <w:tcW w:w="0" w:type="auto"/>
            <w:vMerge w:val="continue"/>
            <w:shd w:val="clear" w:color="auto" w:fill="auto"/>
            <w:vAlign w:val="center"/>
          </w:tcPr>
          <w:p w14:paraId="37BB851D">
            <w:pPr>
              <w:snapToGrid w:val="0"/>
              <w:ind w:left="0" w:leftChars="0" w:right="0" w:rightChars="0" w:firstLine="0" w:firstLineChars="0"/>
              <w:jc w:val="center"/>
              <w:rPr>
                <w:rFonts w:hint="eastAsia" w:ascii="宋体" w:hAnsi="宋体" w:eastAsia="宋体" w:cs="宋体"/>
                <w:b/>
                <w:bCs/>
                <w:i w:val="0"/>
                <w:iCs w:val="0"/>
                <w:color w:val="auto"/>
                <w:sz w:val="20"/>
                <w:szCs w:val="20"/>
                <w:highlight w:val="none"/>
                <w:u w:val="none"/>
              </w:rPr>
            </w:pPr>
          </w:p>
        </w:tc>
        <w:tc>
          <w:tcPr>
            <w:tcW w:w="0" w:type="auto"/>
            <w:shd w:val="clear" w:color="auto" w:fill="auto"/>
            <w:vAlign w:val="center"/>
          </w:tcPr>
          <w:p w14:paraId="291DB85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服务文档归档</w:t>
            </w:r>
          </w:p>
        </w:tc>
        <w:tc>
          <w:tcPr>
            <w:tcW w:w="6184" w:type="dxa"/>
            <w:shd w:val="clear" w:color="auto" w:fill="auto"/>
            <w:vAlign w:val="center"/>
          </w:tcPr>
          <w:p w14:paraId="47419DB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按要求提交事件处理报告、日常巡检报告、月度及季度服务报告，所有文档按统一格式整理、签字、归档</w:t>
            </w:r>
          </w:p>
        </w:tc>
      </w:tr>
      <w:tr w14:paraId="50F54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0" w:type="auto"/>
            <w:shd w:val="clear" w:color="auto" w:fill="auto"/>
            <w:vAlign w:val="center"/>
          </w:tcPr>
          <w:p w14:paraId="65088BD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18</w:t>
            </w:r>
          </w:p>
        </w:tc>
        <w:tc>
          <w:tcPr>
            <w:tcW w:w="0" w:type="auto"/>
            <w:vMerge w:val="restart"/>
            <w:shd w:val="clear" w:color="auto" w:fill="auto"/>
            <w:vAlign w:val="center"/>
          </w:tcPr>
          <w:p w14:paraId="188708D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综合保障服务</w:t>
            </w:r>
          </w:p>
        </w:tc>
        <w:tc>
          <w:tcPr>
            <w:tcW w:w="0" w:type="auto"/>
            <w:shd w:val="clear" w:color="auto" w:fill="auto"/>
            <w:vAlign w:val="center"/>
          </w:tcPr>
          <w:p w14:paraId="737C592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业务平台技术支持</w:t>
            </w:r>
          </w:p>
        </w:tc>
        <w:tc>
          <w:tcPr>
            <w:tcW w:w="6184" w:type="dxa"/>
            <w:shd w:val="clear" w:color="auto" w:fill="auto"/>
            <w:vAlign w:val="center"/>
          </w:tcPr>
          <w:p w14:paraId="0AA667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为指挥调度平台提供日常使用协助、问题解答与技术支持</w:t>
            </w:r>
          </w:p>
        </w:tc>
      </w:tr>
      <w:tr w14:paraId="6C2B9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shd w:val="clear" w:color="auto" w:fill="auto"/>
            <w:vAlign w:val="center"/>
          </w:tcPr>
          <w:p w14:paraId="661D8F8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19</w:t>
            </w:r>
          </w:p>
        </w:tc>
        <w:tc>
          <w:tcPr>
            <w:tcW w:w="0" w:type="auto"/>
            <w:vMerge w:val="continue"/>
            <w:shd w:val="clear" w:color="auto" w:fill="auto"/>
            <w:vAlign w:val="center"/>
          </w:tcPr>
          <w:p w14:paraId="34140BDE">
            <w:pPr>
              <w:snapToGrid w:val="0"/>
              <w:ind w:left="0" w:leftChars="0" w:right="0" w:rightChars="0" w:firstLine="0" w:firstLineChars="0"/>
              <w:jc w:val="center"/>
              <w:rPr>
                <w:rFonts w:hint="eastAsia" w:ascii="宋体" w:hAnsi="宋体" w:eastAsia="宋体" w:cs="宋体"/>
                <w:b/>
                <w:bCs/>
                <w:i w:val="0"/>
                <w:iCs w:val="0"/>
                <w:color w:val="auto"/>
                <w:sz w:val="20"/>
                <w:szCs w:val="20"/>
                <w:highlight w:val="none"/>
                <w:u w:val="none"/>
              </w:rPr>
            </w:pPr>
          </w:p>
        </w:tc>
        <w:tc>
          <w:tcPr>
            <w:tcW w:w="0" w:type="auto"/>
            <w:shd w:val="clear" w:color="auto" w:fill="auto"/>
            <w:vAlign w:val="center"/>
          </w:tcPr>
          <w:p w14:paraId="1204651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第三方协同对接</w:t>
            </w:r>
          </w:p>
        </w:tc>
        <w:tc>
          <w:tcPr>
            <w:tcW w:w="6184" w:type="dxa"/>
            <w:shd w:val="clear" w:color="auto" w:fill="auto"/>
            <w:vAlign w:val="center"/>
          </w:tcPr>
          <w:p w14:paraId="0552BCD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对接运营商、设备厂商等第三方单位，协同处理线路、设备、系统故障，全程跟踪进度并及时反馈</w:t>
            </w:r>
          </w:p>
        </w:tc>
      </w:tr>
      <w:tr w14:paraId="6468C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shd w:val="clear" w:color="auto" w:fill="auto"/>
            <w:vAlign w:val="center"/>
          </w:tcPr>
          <w:p w14:paraId="40EA4A9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w:t>
            </w:r>
          </w:p>
        </w:tc>
        <w:tc>
          <w:tcPr>
            <w:tcW w:w="0" w:type="auto"/>
            <w:vMerge w:val="continue"/>
            <w:shd w:val="clear" w:color="auto" w:fill="auto"/>
            <w:vAlign w:val="center"/>
          </w:tcPr>
          <w:p w14:paraId="304A6C0C">
            <w:pPr>
              <w:snapToGrid w:val="0"/>
              <w:ind w:left="0" w:leftChars="0" w:right="0" w:rightChars="0" w:firstLine="0" w:firstLineChars="0"/>
              <w:jc w:val="center"/>
              <w:rPr>
                <w:rFonts w:hint="eastAsia" w:ascii="宋体" w:hAnsi="宋体" w:eastAsia="宋体" w:cs="宋体"/>
                <w:b/>
                <w:bCs/>
                <w:i w:val="0"/>
                <w:iCs w:val="0"/>
                <w:color w:val="auto"/>
                <w:sz w:val="20"/>
                <w:szCs w:val="20"/>
                <w:highlight w:val="none"/>
                <w:u w:val="none"/>
              </w:rPr>
            </w:pPr>
          </w:p>
        </w:tc>
        <w:tc>
          <w:tcPr>
            <w:tcW w:w="0" w:type="auto"/>
            <w:shd w:val="clear" w:color="auto" w:fill="auto"/>
            <w:vAlign w:val="center"/>
          </w:tcPr>
          <w:p w14:paraId="6F2C0CB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关键时段应急保障</w:t>
            </w:r>
          </w:p>
        </w:tc>
        <w:tc>
          <w:tcPr>
            <w:tcW w:w="6184" w:type="dxa"/>
            <w:shd w:val="clear" w:color="auto" w:fill="auto"/>
            <w:vAlign w:val="center"/>
          </w:tcPr>
          <w:p w14:paraId="6C4FA53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在重要会议、节假日等关键时段提供7×24小时响应保障，强化巡检、提前排查隐患，确保业务不间断</w:t>
            </w:r>
          </w:p>
        </w:tc>
      </w:tr>
      <w:tr w14:paraId="79E99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shd w:val="clear" w:color="auto" w:fill="auto"/>
            <w:vAlign w:val="center"/>
          </w:tcPr>
          <w:p w14:paraId="72C58D3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21</w:t>
            </w:r>
          </w:p>
        </w:tc>
        <w:tc>
          <w:tcPr>
            <w:tcW w:w="0" w:type="auto"/>
            <w:vMerge w:val="restart"/>
            <w:shd w:val="clear" w:color="auto" w:fill="auto"/>
            <w:vAlign w:val="center"/>
          </w:tcPr>
          <w:p w14:paraId="44831C5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服务管理要求</w:t>
            </w:r>
          </w:p>
        </w:tc>
        <w:tc>
          <w:tcPr>
            <w:tcW w:w="0" w:type="auto"/>
            <w:shd w:val="clear" w:color="auto" w:fill="auto"/>
            <w:vAlign w:val="center"/>
          </w:tcPr>
          <w:p w14:paraId="1A278F3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人员在岗管理</w:t>
            </w:r>
          </w:p>
        </w:tc>
        <w:tc>
          <w:tcPr>
            <w:tcW w:w="6184" w:type="dxa"/>
            <w:shd w:val="clear" w:color="auto" w:fill="auto"/>
            <w:vAlign w:val="center"/>
          </w:tcPr>
          <w:p w14:paraId="591141F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驻场工程师工作时间与甲方保持一致，不得擅自脱岗、离岗。驻场人员为服务商正式员工，未经甲方书面同意不得随意更换</w:t>
            </w:r>
          </w:p>
        </w:tc>
      </w:tr>
      <w:tr w14:paraId="3F994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shd w:val="clear" w:color="auto" w:fill="auto"/>
            <w:vAlign w:val="center"/>
          </w:tcPr>
          <w:p w14:paraId="6A978EA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22</w:t>
            </w:r>
          </w:p>
        </w:tc>
        <w:tc>
          <w:tcPr>
            <w:tcW w:w="0" w:type="auto"/>
            <w:vMerge w:val="continue"/>
            <w:shd w:val="clear" w:color="auto" w:fill="auto"/>
            <w:vAlign w:val="center"/>
          </w:tcPr>
          <w:p w14:paraId="40FE5F8E">
            <w:pPr>
              <w:snapToGrid w:val="0"/>
              <w:ind w:left="0" w:leftChars="0" w:right="0" w:rightChars="0" w:firstLine="0" w:firstLineChars="0"/>
              <w:jc w:val="center"/>
              <w:rPr>
                <w:rFonts w:hint="eastAsia" w:ascii="宋体" w:hAnsi="宋体" w:eastAsia="宋体" w:cs="宋体"/>
                <w:b/>
                <w:bCs/>
                <w:i w:val="0"/>
                <w:iCs w:val="0"/>
                <w:color w:val="auto"/>
                <w:sz w:val="20"/>
                <w:szCs w:val="20"/>
                <w:highlight w:val="none"/>
                <w:u w:val="none"/>
              </w:rPr>
            </w:pPr>
          </w:p>
        </w:tc>
        <w:tc>
          <w:tcPr>
            <w:tcW w:w="0" w:type="auto"/>
            <w:shd w:val="clear" w:color="auto" w:fill="auto"/>
            <w:vAlign w:val="center"/>
          </w:tcPr>
          <w:p w14:paraId="74F3122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安全保密管理</w:t>
            </w:r>
          </w:p>
        </w:tc>
        <w:tc>
          <w:tcPr>
            <w:tcW w:w="6184" w:type="dxa"/>
            <w:shd w:val="clear" w:color="auto" w:fill="auto"/>
            <w:vAlign w:val="center"/>
          </w:tcPr>
          <w:p w14:paraId="611B9DC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严格遵守保密规定与现场管理制度，确保数据安全、设备安全、信息安全</w:t>
            </w:r>
          </w:p>
        </w:tc>
      </w:tr>
      <w:tr w14:paraId="57149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06" w:type="dxa"/>
            <w:shd w:val="clear" w:color="auto" w:fill="auto"/>
            <w:vAlign w:val="center"/>
          </w:tcPr>
          <w:p w14:paraId="60126DB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23</w:t>
            </w:r>
          </w:p>
        </w:tc>
        <w:tc>
          <w:tcPr>
            <w:tcW w:w="1243" w:type="dxa"/>
            <w:vMerge w:val="continue"/>
            <w:shd w:val="clear" w:color="auto" w:fill="auto"/>
            <w:vAlign w:val="center"/>
          </w:tcPr>
          <w:p w14:paraId="3846DEFF">
            <w:pPr>
              <w:snapToGrid w:val="0"/>
              <w:ind w:left="0" w:leftChars="0" w:right="0" w:rightChars="0" w:firstLine="0" w:firstLineChars="0"/>
              <w:jc w:val="center"/>
              <w:rPr>
                <w:rFonts w:hint="eastAsia" w:ascii="宋体" w:hAnsi="宋体" w:eastAsia="宋体" w:cs="宋体"/>
                <w:b/>
                <w:bCs/>
                <w:i w:val="0"/>
                <w:iCs w:val="0"/>
                <w:color w:val="auto"/>
                <w:sz w:val="20"/>
                <w:szCs w:val="20"/>
                <w:highlight w:val="none"/>
                <w:u w:val="none"/>
              </w:rPr>
            </w:pPr>
          </w:p>
        </w:tc>
        <w:tc>
          <w:tcPr>
            <w:tcW w:w="1357" w:type="dxa"/>
            <w:shd w:val="clear" w:color="auto" w:fill="auto"/>
            <w:vAlign w:val="center"/>
          </w:tcPr>
          <w:p w14:paraId="344076C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响应时效要求</w:t>
            </w:r>
          </w:p>
        </w:tc>
        <w:tc>
          <w:tcPr>
            <w:tcW w:w="6184" w:type="dxa"/>
            <w:shd w:val="clear" w:color="auto" w:fill="auto"/>
            <w:vAlign w:val="center"/>
          </w:tcPr>
          <w:p w14:paraId="5F389BF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日常故障即时响应处置，安全事件30分钟内响应，保障服务质量与处置效率</w:t>
            </w:r>
          </w:p>
        </w:tc>
      </w:tr>
    </w:tbl>
    <w:p w14:paraId="7FE0B5E3">
      <w:pPr>
        <w:pStyle w:val="17"/>
        <w:numPr>
          <w:ilvl w:val="-1"/>
          <w:numId w:val="0"/>
        </w:numPr>
        <w:spacing w:line="240" w:lineRule="auto"/>
        <w:ind w:left="0" w:leftChars="0" w:firstLine="0" w:firstLineChars="0"/>
        <w:rPr>
          <w:rFonts w:hint="default" w:ascii="宋体" w:hAnsi="宋体" w:cs="宋体"/>
          <w:b w:val="0"/>
          <w:color w:val="auto"/>
          <w:sz w:val="24"/>
          <w:szCs w:val="24"/>
          <w:highlight w:val="none"/>
          <w:lang w:val="en-US" w:eastAsia="zh-CN"/>
        </w:rPr>
      </w:pPr>
    </w:p>
    <w:p w14:paraId="49C39000">
      <w:pPr>
        <w:pStyle w:val="17"/>
        <w:numPr>
          <w:ilvl w:val="-1"/>
          <w:numId w:val="0"/>
        </w:numPr>
        <w:spacing w:line="240" w:lineRule="auto"/>
        <w:ind w:left="0" w:leftChars="0" w:firstLine="0" w:firstLineChars="0"/>
        <w:rPr>
          <w:rFonts w:hint="default" w:ascii="宋体" w:hAnsi="宋体" w:cs="宋体"/>
          <w:b w:val="0"/>
          <w:color w:val="auto"/>
          <w:sz w:val="24"/>
          <w:szCs w:val="24"/>
          <w:highlight w:val="none"/>
          <w:lang w:val="en-US" w:eastAsia="zh-CN"/>
        </w:rPr>
      </w:pPr>
    </w:p>
    <w:p w14:paraId="3726D436">
      <w:pPr>
        <w:pStyle w:val="17"/>
        <w:numPr>
          <w:ilvl w:val="0"/>
          <w:numId w:val="17"/>
        </w:numPr>
        <w:spacing w:line="240" w:lineRule="auto"/>
        <w:ind w:left="420" w:leftChars="200" w:firstLine="0" w:firstLineChars="0"/>
        <w:rPr>
          <w:rFonts w:hint="eastAsia" w:ascii="宋体" w:hAnsi="宋体" w:cs="宋体"/>
          <w:b w:val="0"/>
          <w:color w:val="auto"/>
          <w:sz w:val="24"/>
          <w:szCs w:val="24"/>
          <w:highlight w:val="none"/>
          <w:lang w:val="en-US" w:eastAsia="zh-CN"/>
        </w:rPr>
      </w:pPr>
      <w:r>
        <w:rPr>
          <w:rFonts w:hint="eastAsia" w:ascii="宋体" w:hAnsi="宋体" w:cs="宋体"/>
          <w:b w:val="0"/>
          <w:color w:val="auto"/>
          <w:sz w:val="24"/>
          <w:szCs w:val="24"/>
          <w:highlight w:val="none"/>
          <w:lang w:val="en-US" w:eastAsia="zh-CN"/>
        </w:rPr>
        <w:t>等级保护主要内容</w:t>
      </w:r>
    </w:p>
    <w:p w14:paraId="1915B637">
      <w:pPr>
        <w:keepNext w:val="0"/>
        <w:keepLines w:val="0"/>
        <w:pageBreakBefore w:val="0"/>
        <w:widowControl/>
        <w:wordWrap/>
        <w:overflowPunct/>
        <w:topLinePunct/>
        <w:bidi w:val="0"/>
        <w:spacing w:after="120" w:afterAutospacing="0" w:line="560" w:lineRule="exact"/>
        <w:ind w:left="782" w:leftChars="0" w:hanging="300" w:firstLineChars="0"/>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1.服务目标</w:t>
      </w:r>
    </w:p>
    <w:p w14:paraId="7230DDEE">
      <w:pPr>
        <w:keepNext w:val="0"/>
        <w:keepLines w:val="0"/>
        <w:pageBreakBefore w:val="0"/>
        <w:widowControl/>
        <w:wordWrap/>
        <w:overflowPunct/>
        <w:topLinePunct/>
        <w:bidi w:val="0"/>
        <w:spacing w:after="120" w:afterAutospacing="0" w:line="560" w:lineRule="exact"/>
        <w:ind w:left="420" w:leftChars="200" w:firstLine="480" w:firstLineChars="200"/>
        <w:outlineLvl w:val="9"/>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lang w:val="en-US" w:eastAsia="zh-CN"/>
        </w:rPr>
        <w:t>本次网络安全等级保护测评服务严格依据《网络安全法》及等保2.0国家标准开展，以单位信息系统合规整改、安全加固、风险管控为总体服务目标。通过专业技术检测、漏洞整改、制度完善，全面排查网络架构、服务器、业务系统、数据管理中存在的安全隐患，修补高危安全漏洞，优化网络安全防护策略。完善安全管理制度与应急处置流程，规范人员运维权限，满足等保合规硬性指标。最终完成公安机关网络安全等级保护备案，取得合格测评报告，消除网络安全风险，防止数据泄露、恶意攻击、系统瘫痪等安全事故，构建稳定、合规、长效的网络安全防护体系，保障单位业务长期安全平稳运行。</w:t>
      </w:r>
    </w:p>
    <w:p w14:paraId="27DEC826">
      <w:pPr>
        <w:keepNext w:val="0"/>
        <w:keepLines w:val="0"/>
        <w:pageBreakBefore w:val="0"/>
        <w:widowControl/>
        <w:wordWrap/>
        <w:overflowPunct/>
        <w:topLinePunct/>
        <w:bidi w:val="0"/>
        <w:spacing w:after="120" w:afterAutospacing="0" w:line="560" w:lineRule="exact"/>
        <w:ind w:left="782" w:leftChars="0" w:hanging="300" w:firstLineChars="0"/>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2.服务范围</w:t>
      </w:r>
    </w:p>
    <w:p w14:paraId="282D2EF8">
      <w:pPr>
        <w:keepNext w:val="0"/>
        <w:keepLines w:val="0"/>
        <w:pageBreakBefore w:val="0"/>
        <w:widowControl/>
        <w:wordWrap/>
        <w:overflowPunct/>
        <w:topLinePunct/>
        <w:bidi w:val="0"/>
        <w:spacing w:after="120" w:afterAutospacing="0" w:line="560" w:lineRule="exact"/>
        <w:ind w:left="420" w:leftChars="200" w:firstLine="480" w:firstLineChars="200"/>
        <w:outlineLvl w:val="9"/>
        <w:rPr>
          <w:rFonts w:hint="eastAsia" w:ascii="宋体" w:hAnsi="宋体" w:eastAsia="宋体" w:cs="宋体"/>
          <w:b w:val="0"/>
          <w:color w:val="auto"/>
          <w:sz w:val="24"/>
          <w:szCs w:val="24"/>
          <w:highlight w:val="none"/>
          <w:lang w:val="en-US" w:eastAsia="zh-CN"/>
        </w:rPr>
      </w:pPr>
      <w:r>
        <w:rPr>
          <w:rFonts w:hint="eastAsia" w:ascii="宋体" w:hAnsi="宋体" w:eastAsia="宋体" w:cs="宋体"/>
          <w:b w:val="0"/>
          <w:color w:val="auto"/>
          <w:sz w:val="24"/>
          <w:szCs w:val="24"/>
          <w:highlight w:val="none"/>
          <w:lang w:val="en-US" w:eastAsia="zh-CN"/>
        </w:rPr>
        <w:t>本次等保服务范围包含4个核心</w:t>
      </w:r>
      <w:r>
        <w:rPr>
          <w:rFonts w:hint="eastAsia" w:ascii="宋体" w:hAnsi="宋体" w:cs="宋体"/>
          <w:b w:val="0"/>
          <w:color w:val="auto"/>
          <w:sz w:val="24"/>
          <w:szCs w:val="24"/>
          <w:highlight w:val="none"/>
          <w:lang w:val="en-US" w:eastAsia="zh-CN"/>
        </w:rPr>
        <w:t>业务</w:t>
      </w:r>
      <w:r>
        <w:rPr>
          <w:rFonts w:hint="eastAsia" w:ascii="宋体" w:hAnsi="宋体" w:eastAsia="宋体" w:cs="宋体"/>
          <w:b w:val="0"/>
          <w:color w:val="auto"/>
          <w:sz w:val="24"/>
          <w:szCs w:val="24"/>
          <w:highlight w:val="none"/>
          <w:lang w:val="en-US" w:eastAsia="zh-CN"/>
        </w:rPr>
        <w:t>信息系统，分别为新疆交通运输执法综合管理信息系统、新疆治超联网管理信息系统、大件运输许可审批系统、工程质量监督执法支队信息化系统。资产覆盖范围包含物理服务器、虚拟化主机、数据库、业务终端等软硬件设施；网络层面包含防火墙、交换机、路由器、存储设备、安全审计设备等边界网络设备；覆盖网络通信区域、主机服务区域、业务应用区域、数据存储区域、物理机房环境。同时涵盖人员安全管理、运维管理制度、应急预案、安全培训等管理层面服务。服务流程范围包含前期资产摸排、现状测评、漏洞整改、安全加固、资料汇编、备案协助、验收交付、后期巡检运维等全过程服务。</w:t>
      </w:r>
    </w:p>
    <w:p w14:paraId="445B90AD">
      <w:pPr>
        <w:keepNext w:val="0"/>
        <w:keepLines w:val="0"/>
        <w:pageBreakBefore w:val="0"/>
        <w:widowControl/>
        <w:wordWrap/>
        <w:overflowPunct/>
        <w:topLinePunct/>
        <w:bidi w:val="0"/>
        <w:spacing w:after="120" w:afterAutospacing="0" w:line="560" w:lineRule="exact"/>
        <w:ind w:left="782" w:leftChars="0" w:hanging="300" w:firstLineChars="0"/>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3.服务内容</w:t>
      </w:r>
    </w:p>
    <w:p w14:paraId="77756D17">
      <w:pPr>
        <w:keepNext w:val="0"/>
        <w:keepLines w:val="0"/>
        <w:pageBreakBefore w:val="0"/>
        <w:widowControl w:val="0"/>
        <w:numPr>
          <w:ilvl w:val="0"/>
          <w:numId w:val="12"/>
        </w:numPr>
        <w:wordWrap/>
        <w:overflowPunct/>
        <w:topLinePunct/>
        <w:bidi w:val="0"/>
        <w:spacing w:after="120" w:afterAutospacing="0" w:line="560" w:lineRule="exact"/>
        <w:ind w:left="0" w:leftChars="0" w:firstLine="482" w:firstLineChars="200"/>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前期调研定级服务</w:t>
      </w:r>
    </w:p>
    <w:p w14:paraId="65F8E10F">
      <w:pPr>
        <w:keepNext w:val="0"/>
        <w:keepLines w:val="0"/>
        <w:pageBreakBefore w:val="0"/>
        <w:widowControl/>
        <w:wordWrap/>
        <w:overflowPunct/>
        <w:topLinePunct/>
        <w:bidi w:val="0"/>
        <w:spacing w:after="120" w:afterAutospacing="0" w:line="560" w:lineRule="exact"/>
        <w:ind w:left="0" w:leftChars="0" w:firstLine="480" w:firstLineChars="200"/>
        <w:outlineLvl w:val="9"/>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lang w:val="en-US" w:eastAsia="zh-CN"/>
        </w:rPr>
        <w:t>对单位全部网络资产进行梳理盘点，制作资产台账，绘制网络拓扑结构图；排查系统运行现状，分析安全薄弱点，结合国家定级标准编写定级报告，明确系统安全保护等级；收集单位基础资料，整理备案所需材料，完成初步备案资料汇总。</w:t>
      </w:r>
    </w:p>
    <w:p w14:paraId="2F9D65F8">
      <w:pPr>
        <w:keepNext w:val="0"/>
        <w:keepLines w:val="0"/>
        <w:pageBreakBefore w:val="0"/>
        <w:widowControl w:val="0"/>
        <w:numPr>
          <w:ilvl w:val="0"/>
          <w:numId w:val="12"/>
        </w:numPr>
        <w:wordWrap/>
        <w:overflowPunct/>
        <w:topLinePunct/>
        <w:bidi w:val="0"/>
        <w:spacing w:after="120" w:afterAutospacing="0" w:line="560" w:lineRule="exact"/>
        <w:ind w:left="0" w:leftChars="0" w:firstLine="482" w:firstLineChars="200"/>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安全检测测评服务</w:t>
      </w:r>
    </w:p>
    <w:p w14:paraId="3218B24D">
      <w:pPr>
        <w:keepNext w:val="0"/>
        <w:keepLines w:val="0"/>
        <w:pageBreakBefore w:val="0"/>
        <w:widowControl/>
        <w:wordWrap/>
        <w:overflowPunct/>
        <w:topLinePunct/>
        <w:bidi w:val="0"/>
        <w:spacing w:after="120" w:afterAutospacing="0" w:line="560" w:lineRule="exact"/>
        <w:ind w:left="0" w:leftChars="0" w:firstLine="480" w:firstLineChars="200"/>
        <w:outlineLvl w:val="9"/>
        <w:rPr>
          <w:rFonts w:hint="eastAsia" w:ascii="宋体" w:hAnsi="宋体" w:eastAsia="宋体" w:cs="宋体"/>
          <w:b w:val="0"/>
          <w:color w:val="auto"/>
          <w:sz w:val="24"/>
          <w:szCs w:val="24"/>
          <w:highlight w:val="none"/>
          <w:lang w:val="en-US" w:eastAsia="zh-CN"/>
        </w:rPr>
      </w:pPr>
      <w:r>
        <w:rPr>
          <w:rFonts w:hint="eastAsia" w:ascii="宋体" w:hAnsi="宋体" w:eastAsia="宋体" w:cs="宋体"/>
          <w:b w:val="0"/>
          <w:color w:val="auto"/>
          <w:sz w:val="24"/>
          <w:szCs w:val="24"/>
          <w:highlight w:val="none"/>
          <w:lang w:val="en-US" w:eastAsia="zh-CN"/>
        </w:rPr>
        <w:t>依据GB/T 22239-2019等保标准，采用工具扫描加人工核查方式，开展漏洞扫描、渗透测试、安全基线核查；检测网络边界防护、主机安全配置、应用代码安全、数据加密存储、日志审计留存等合规项；排查高危漏洞、弱口令、越权访问、端口暴露等安全隐患，出具风险差距分析报告。</w:t>
      </w:r>
    </w:p>
    <w:p w14:paraId="46C41178">
      <w:pPr>
        <w:keepNext w:val="0"/>
        <w:keepLines w:val="0"/>
        <w:pageBreakBefore w:val="0"/>
        <w:widowControl w:val="0"/>
        <w:numPr>
          <w:ilvl w:val="0"/>
          <w:numId w:val="12"/>
        </w:numPr>
        <w:wordWrap/>
        <w:overflowPunct/>
        <w:topLinePunct/>
        <w:bidi w:val="0"/>
        <w:spacing w:after="120" w:afterAutospacing="0" w:line="560" w:lineRule="exact"/>
        <w:ind w:left="0" w:leftChars="0" w:firstLine="482" w:firstLineChars="200"/>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安全整改加固服务</w:t>
      </w:r>
    </w:p>
    <w:p w14:paraId="3F42A883">
      <w:pPr>
        <w:keepNext w:val="0"/>
        <w:keepLines w:val="0"/>
        <w:pageBreakBefore w:val="0"/>
        <w:widowControl/>
        <w:wordWrap/>
        <w:overflowPunct/>
        <w:topLinePunct/>
        <w:bidi w:val="0"/>
        <w:spacing w:after="120" w:afterAutospacing="0" w:line="560" w:lineRule="exact"/>
        <w:ind w:left="0" w:leftChars="0" w:firstLine="480" w:firstLineChars="200"/>
        <w:outlineLvl w:val="9"/>
        <w:rPr>
          <w:rFonts w:hint="eastAsia" w:ascii="宋体" w:hAnsi="宋体" w:eastAsia="宋体" w:cs="宋体"/>
          <w:b w:val="0"/>
          <w:color w:val="auto"/>
          <w:sz w:val="24"/>
          <w:szCs w:val="24"/>
          <w:highlight w:val="none"/>
          <w:lang w:val="en-US" w:eastAsia="zh-CN"/>
        </w:rPr>
      </w:pPr>
      <w:r>
        <w:rPr>
          <w:rFonts w:hint="eastAsia" w:ascii="宋体" w:hAnsi="宋体" w:eastAsia="宋体" w:cs="宋体"/>
          <w:b w:val="0"/>
          <w:color w:val="auto"/>
          <w:sz w:val="24"/>
          <w:szCs w:val="24"/>
          <w:highlight w:val="none"/>
          <w:lang w:val="en-US" w:eastAsia="zh-CN"/>
        </w:rPr>
        <w:t>针对测评发现的安全漏洞制定专项整改方案，指导完成漏洞修复、系统补丁更新、无用端口关闭、访问权限管控、防火墙策略优化；完善数据备份机制，实现重要数据定期备份；修订安全管理制度、运维规范、保密制度、应急预案，补齐管理层面合规短板，保障全部整改项合规达标。</w:t>
      </w:r>
    </w:p>
    <w:p w14:paraId="1BEDA0A5">
      <w:pPr>
        <w:keepNext w:val="0"/>
        <w:keepLines w:val="0"/>
        <w:pageBreakBefore w:val="0"/>
        <w:widowControl w:val="0"/>
        <w:numPr>
          <w:ilvl w:val="0"/>
          <w:numId w:val="12"/>
        </w:numPr>
        <w:wordWrap/>
        <w:overflowPunct/>
        <w:topLinePunct/>
        <w:bidi w:val="0"/>
        <w:spacing w:after="120" w:afterAutospacing="0" w:line="560" w:lineRule="exact"/>
        <w:ind w:left="0" w:leftChars="0" w:firstLine="482" w:firstLineChars="200"/>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备案验收及运维服务</w:t>
      </w:r>
    </w:p>
    <w:p w14:paraId="13F59926">
      <w:pPr>
        <w:keepNext w:val="0"/>
        <w:keepLines w:val="0"/>
        <w:pageBreakBefore w:val="0"/>
        <w:widowControl/>
        <w:wordWrap/>
        <w:overflowPunct/>
        <w:topLinePunct/>
        <w:bidi w:val="0"/>
        <w:spacing w:after="120" w:afterAutospacing="0" w:line="560" w:lineRule="exact"/>
        <w:ind w:left="0" w:leftChars="0" w:firstLine="480" w:firstLineChars="200"/>
        <w:outlineLvl w:val="9"/>
        <w:rPr>
          <w:rFonts w:hint="eastAsia" w:ascii="宋体" w:hAnsi="宋体" w:eastAsia="宋体" w:cs="宋体"/>
          <w:b w:val="0"/>
          <w:color w:val="auto"/>
          <w:sz w:val="24"/>
          <w:szCs w:val="24"/>
          <w:highlight w:val="none"/>
          <w:lang w:val="en-US" w:eastAsia="zh-CN"/>
        </w:rPr>
      </w:pPr>
      <w:r>
        <w:rPr>
          <w:rFonts w:hint="eastAsia" w:ascii="宋体" w:hAnsi="宋体" w:eastAsia="宋体" w:cs="宋体"/>
          <w:b w:val="0"/>
          <w:color w:val="auto"/>
          <w:sz w:val="24"/>
          <w:szCs w:val="24"/>
          <w:highlight w:val="none"/>
          <w:lang w:val="en-US" w:eastAsia="zh-CN"/>
        </w:rPr>
        <w:t>整改完成后开展复测验收，编制正式等级保护测评报告；全程协助招标人完成公安网安部门备案流程，配合监管部门资料审查；开展内部人员网络安全培训，普及安全防护知识；验收完成后提供一年免费巡检服务，定期复测漏洞、优化安全策略，提供技术咨询与应急响应服务。</w:t>
      </w:r>
    </w:p>
    <w:p w14:paraId="40C1703C">
      <w:pPr>
        <w:keepNext w:val="0"/>
        <w:keepLines w:val="0"/>
        <w:pageBreakBefore w:val="0"/>
        <w:widowControl/>
        <w:wordWrap/>
        <w:overflowPunct/>
        <w:topLinePunct/>
        <w:bidi w:val="0"/>
        <w:spacing w:after="120" w:afterAutospacing="0" w:line="560" w:lineRule="exact"/>
        <w:ind w:left="782" w:leftChars="0" w:hanging="300" w:firstLineChars="0"/>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4.服务交付</w:t>
      </w:r>
    </w:p>
    <w:p w14:paraId="171358AD">
      <w:pPr>
        <w:keepNext w:val="0"/>
        <w:keepLines w:val="0"/>
        <w:pageBreakBefore w:val="0"/>
        <w:widowControl/>
        <w:wordWrap/>
        <w:overflowPunct/>
        <w:topLinePunct/>
        <w:bidi w:val="0"/>
        <w:spacing w:after="120" w:afterAutospacing="0" w:line="560" w:lineRule="exact"/>
        <w:ind w:left="0" w:leftChars="0" w:firstLine="480" w:firstLineChars="200"/>
        <w:outlineLvl w:val="9"/>
        <w:rPr>
          <w:rFonts w:hint="eastAsia" w:ascii="宋体" w:hAnsi="宋体" w:eastAsia="宋体" w:cs="宋体"/>
          <w:b w:val="0"/>
          <w:color w:val="auto"/>
          <w:sz w:val="24"/>
          <w:szCs w:val="24"/>
          <w:highlight w:val="none"/>
          <w:lang w:val="en-US" w:eastAsia="zh-CN"/>
        </w:rPr>
      </w:pPr>
      <w:r>
        <w:rPr>
          <w:rFonts w:hint="eastAsia" w:ascii="宋体" w:hAnsi="宋体" w:eastAsia="宋体" w:cs="宋体"/>
          <w:b w:val="0"/>
          <w:color w:val="auto"/>
          <w:sz w:val="24"/>
          <w:szCs w:val="24"/>
          <w:highlight w:val="none"/>
          <w:lang w:val="en-US" w:eastAsia="zh-CN"/>
        </w:rPr>
        <w:t>正式的等级保护测评合格报告，纸质盖章版与电子加密版，纸质资料不少于两套，电子资料存入加密光盘统一交付。</w:t>
      </w:r>
    </w:p>
    <w:p w14:paraId="6A99F802">
      <w:pPr>
        <w:pStyle w:val="17"/>
        <w:numPr>
          <w:ilvl w:val="-1"/>
          <w:numId w:val="0"/>
        </w:numPr>
        <w:spacing w:line="240" w:lineRule="auto"/>
        <w:ind w:left="0" w:leftChars="0" w:firstLine="0" w:firstLineChars="0"/>
        <w:rPr>
          <w:rFonts w:hint="default" w:ascii="宋体" w:hAnsi="宋体" w:cs="宋体"/>
          <w:b w:val="0"/>
          <w:color w:val="auto"/>
          <w:sz w:val="24"/>
          <w:szCs w:val="24"/>
          <w:highlight w:val="none"/>
          <w:lang w:val="en-US" w:eastAsia="zh-CN"/>
        </w:rPr>
      </w:pPr>
    </w:p>
    <w:p w14:paraId="260F4925">
      <w:pPr>
        <w:pStyle w:val="17"/>
        <w:widowControl/>
        <w:numPr>
          <w:ilvl w:val="0"/>
          <w:numId w:val="15"/>
        </w:numPr>
        <w:tabs>
          <w:tab w:val="left" w:pos="1320"/>
          <w:tab w:val="clear" w:pos="210"/>
        </w:tabs>
        <w:spacing w:line="240" w:lineRule="auto"/>
        <w:ind w:left="0" w:leftChars="0" w:firstLine="480" w:firstLineChars="200"/>
        <w:rPr>
          <w:rFonts w:hint="eastAsia" w:ascii="宋体" w:hAnsi="宋体" w:eastAsia="宋体" w:cs="宋体"/>
          <w:b w:val="0"/>
          <w:color w:val="auto"/>
          <w:sz w:val="24"/>
          <w:szCs w:val="24"/>
          <w:highlight w:val="none"/>
        </w:rPr>
      </w:pPr>
      <w:r>
        <w:rPr>
          <w:rFonts w:hint="eastAsia" w:ascii="宋体" w:hAnsi="宋体" w:eastAsia="宋体" w:cs="宋体"/>
          <w:color w:val="auto"/>
          <w:sz w:val="24"/>
          <w:szCs w:val="24"/>
          <w:highlight w:val="none"/>
        </w:rPr>
        <w:t>乙方应按以下要求完成技术服务工作：</w:t>
      </w:r>
    </w:p>
    <w:p w14:paraId="387BDAE1">
      <w:pPr>
        <w:pStyle w:val="17"/>
        <w:widowControl/>
        <w:numPr>
          <w:ilvl w:val="0"/>
          <w:numId w:val="19"/>
        </w:numPr>
        <w:tabs>
          <w:tab w:val="left" w:pos="780"/>
          <w:tab w:val="clear" w:pos="210"/>
        </w:tabs>
        <w:spacing w:line="240" w:lineRule="auto"/>
        <w:ind w:left="0" w:leftChars="0" w:firstLine="480" w:firstLineChars="200"/>
        <w:rPr>
          <w:rFonts w:hint="eastAsia" w:ascii="宋体" w:hAnsi="宋体" w:eastAsia="宋体" w:cs="宋体"/>
          <w:b w:val="0"/>
          <w:color w:val="auto"/>
          <w:sz w:val="24"/>
          <w:szCs w:val="24"/>
          <w:highlight w:val="none"/>
          <w:u w:val="single"/>
        </w:rPr>
      </w:pPr>
      <w:r>
        <w:rPr>
          <w:rFonts w:hint="eastAsia" w:ascii="宋体" w:hAnsi="宋体" w:eastAsia="宋体" w:cs="宋体"/>
          <w:color w:val="auto"/>
          <w:sz w:val="24"/>
          <w:szCs w:val="24"/>
          <w:highlight w:val="none"/>
        </w:rPr>
        <w:t>技术服务地点：；</w:t>
      </w:r>
    </w:p>
    <w:p w14:paraId="20CC4E64">
      <w:pPr>
        <w:pStyle w:val="17"/>
        <w:widowControl/>
        <w:numPr>
          <w:ilvl w:val="0"/>
          <w:numId w:val="19"/>
        </w:numPr>
        <w:tabs>
          <w:tab w:val="left" w:pos="780"/>
          <w:tab w:val="clear" w:pos="210"/>
        </w:tabs>
        <w:spacing w:line="240" w:lineRule="auto"/>
        <w:ind w:left="0" w:leftChars="0" w:firstLine="480" w:firstLineChars="200"/>
        <w:rPr>
          <w:rFonts w:hint="eastAsia" w:ascii="宋体" w:hAnsi="宋体" w:eastAsia="宋体" w:cs="宋体"/>
          <w:b w:val="0"/>
          <w:color w:val="auto"/>
          <w:sz w:val="24"/>
          <w:szCs w:val="24"/>
          <w:highlight w:val="none"/>
        </w:rPr>
      </w:pPr>
      <w:r>
        <w:rPr>
          <w:rFonts w:hint="eastAsia" w:ascii="宋体" w:hAnsi="宋体" w:eastAsia="宋体" w:cs="宋体"/>
          <w:color w:val="auto"/>
          <w:sz w:val="24"/>
          <w:szCs w:val="24"/>
          <w:highlight w:val="none"/>
        </w:rPr>
        <w:t>技术服务期限：</w:t>
      </w:r>
      <w:r>
        <w:rPr>
          <w:rFonts w:hint="eastAsia" w:ascii="宋体" w:hAnsi="宋体" w:eastAsia="宋体" w:cs="宋体"/>
          <w:color w:val="auto"/>
          <w:sz w:val="24"/>
          <w:szCs w:val="24"/>
          <w:highlight w:val="none"/>
          <w:u w:val="single"/>
        </w:rPr>
        <w:t xml:space="preserve">   合同签订之日起一年  </w:t>
      </w:r>
      <w:r>
        <w:rPr>
          <w:rFonts w:hint="eastAsia" w:ascii="宋体" w:hAnsi="宋体" w:eastAsia="宋体" w:cs="宋体"/>
          <w:color w:val="auto"/>
          <w:sz w:val="24"/>
          <w:szCs w:val="24"/>
          <w:highlight w:val="none"/>
        </w:rPr>
        <w:t>；</w:t>
      </w:r>
    </w:p>
    <w:p w14:paraId="5779ECC6">
      <w:pPr>
        <w:pStyle w:val="17"/>
        <w:widowControl/>
        <w:numPr>
          <w:ilvl w:val="0"/>
          <w:numId w:val="19"/>
        </w:numPr>
        <w:tabs>
          <w:tab w:val="left" w:pos="780"/>
          <w:tab w:val="clear" w:pos="210"/>
        </w:tabs>
        <w:spacing w:line="240" w:lineRule="auto"/>
        <w:ind w:left="0" w:leftChars="0" w:firstLine="480" w:firstLineChars="200"/>
        <w:rPr>
          <w:rFonts w:hint="eastAsia" w:ascii="宋体" w:hAnsi="宋体" w:eastAsia="宋体" w:cs="宋体"/>
          <w:b w:val="0"/>
          <w:color w:val="auto"/>
          <w:sz w:val="24"/>
          <w:szCs w:val="24"/>
          <w:highlight w:val="none"/>
          <w:u w:val="single"/>
        </w:rPr>
      </w:pPr>
      <w:r>
        <w:rPr>
          <w:rFonts w:hint="eastAsia" w:ascii="宋体" w:hAnsi="宋体" w:eastAsia="宋体" w:cs="宋体"/>
          <w:color w:val="auto"/>
          <w:sz w:val="24"/>
          <w:szCs w:val="24"/>
          <w:highlight w:val="none"/>
        </w:rPr>
        <w:t>技术服务进度：</w:t>
      </w:r>
      <w:r>
        <w:rPr>
          <w:rFonts w:hint="eastAsia" w:ascii="宋体" w:hAnsi="宋体" w:eastAsia="宋体" w:cs="宋体"/>
          <w:color w:val="auto"/>
          <w:sz w:val="24"/>
          <w:szCs w:val="24"/>
          <w:highlight w:val="none"/>
          <w:u w:val="single"/>
        </w:rPr>
        <w:t xml:space="preserve">  无   </w:t>
      </w:r>
      <w:r>
        <w:rPr>
          <w:rFonts w:hint="eastAsia" w:ascii="宋体" w:hAnsi="宋体" w:eastAsia="宋体" w:cs="宋体"/>
          <w:color w:val="auto"/>
          <w:sz w:val="24"/>
          <w:szCs w:val="24"/>
          <w:highlight w:val="none"/>
        </w:rPr>
        <w:t>；</w:t>
      </w:r>
    </w:p>
    <w:p w14:paraId="494119F8">
      <w:pPr>
        <w:pStyle w:val="17"/>
        <w:widowControl/>
        <w:numPr>
          <w:ilvl w:val="0"/>
          <w:numId w:val="19"/>
        </w:numPr>
        <w:tabs>
          <w:tab w:val="left" w:pos="780"/>
          <w:tab w:val="clear" w:pos="210"/>
        </w:tabs>
        <w:spacing w:line="240" w:lineRule="auto"/>
        <w:ind w:left="0" w:leftChars="0" w:firstLine="480" w:firstLineChars="200"/>
        <w:rPr>
          <w:rFonts w:hint="eastAsia" w:ascii="宋体" w:hAnsi="宋体" w:eastAsia="宋体" w:cs="宋体"/>
          <w:b w:val="0"/>
          <w:color w:val="auto"/>
          <w:sz w:val="24"/>
          <w:szCs w:val="24"/>
          <w:highlight w:val="none"/>
        </w:rPr>
      </w:pPr>
      <w:r>
        <w:rPr>
          <w:rFonts w:hint="eastAsia" w:ascii="宋体" w:hAnsi="宋体" w:eastAsia="宋体" w:cs="宋体"/>
          <w:color w:val="auto"/>
          <w:sz w:val="24"/>
          <w:szCs w:val="24"/>
          <w:highlight w:val="none"/>
        </w:rPr>
        <w:t>技术服务质量要求：</w:t>
      </w:r>
      <w:r>
        <w:rPr>
          <w:rFonts w:hint="eastAsia" w:ascii="宋体" w:hAnsi="宋体" w:eastAsia="宋体" w:cs="宋体"/>
          <w:color w:val="auto"/>
          <w:sz w:val="24"/>
          <w:szCs w:val="24"/>
          <w:highlight w:val="none"/>
          <w:u w:val="single"/>
        </w:rPr>
        <w:t xml:space="preserve"> 确保运维系统</w:t>
      </w:r>
      <w:r>
        <w:rPr>
          <w:rFonts w:hint="eastAsia" w:ascii="宋体" w:hAnsi="宋体" w:cs="宋体"/>
          <w:color w:val="auto"/>
          <w:sz w:val="24"/>
          <w:szCs w:val="24"/>
          <w:highlight w:val="none"/>
          <w:u w:val="single"/>
          <w:lang w:eastAsia="zh-CN"/>
        </w:rPr>
        <w:t>安全稳定</w:t>
      </w:r>
      <w:r>
        <w:rPr>
          <w:rFonts w:hint="eastAsia" w:ascii="宋体" w:hAnsi="宋体" w:eastAsia="宋体" w:cs="宋体"/>
          <w:color w:val="auto"/>
          <w:sz w:val="24"/>
          <w:szCs w:val="24"/>
          <w:highlight w:val="none"/>
          <w:u w:val="single"/>
        </w:rPr>
        <w:t>运行，</w:t>
      </w:r>
      <w:r>
        <w:rPr>
          <w:rFonts w:hint="eastAsia" w:ascii="宋体" w:hAnsi="宋体" w:cs="宋体"/>
          <w:color w:val="auto"/>
          <w:sz w:val="24"/>
          <w:szCs w:val="24"/>
          <w:highlight w:val="none"/>
          <w:u w:val="single"/>
          <w:lang w:eastAsia="zh-CN"/>
        </w:rPr>
        <w:t>不出现网络与数据安全事件，</w:t>
      </w:r>
      <w:r>
        <w:rPr>
          <w:rFonts w:hint="eastAsia" w:ascii="宋体" w:hAnsi="宋体" w:eastAsia="宋体" w:cs="宋体"/>
          <w:color w:val="auto"/>
          <w:sz w:val="24"/>
          <w:szCs w:val="24"/>
          <w:highlight w:val="none"/>
          <w:u w:val="single"/>
        </w:rPr>
        <w:t>配合甲方做好</w:t>
      </w:r>
      <w:r>
        <w:rPr>
          <w:rFonts w:hint="eastAsia" w:ascii="宋体" w:hAnsi="宋体" w:cs="宋体"/>
          <w:color w:val="auto"/>
          <w:sz w:val="24"/>
          <w:szCs w:val="24"/>
          <w:highlight w:val="none"/>
          <w:u w:val="single"/>
          <w:lang w:eastAsia="zh-CN"/>
        </w:rPr>
        <w:t>重点时段网络和数据安全</w:t>
      </w:r>
      <w:r>
        <w:rPr>
          <w:rFonts w:hint="eastAsia" w:ascii="宋体" w:hAnsi="宋体" w:eastAsia="宋体" w:cs="宋体"/>
          <w:color w:val="auto"/>
          <w:sz w:val="24"/>
          <w:szCs w:val="24"/>
          <w:highlight w:val="none"/>
          <w:u w:val="single"/>
        </w:rPr>
        <w:t>保障工作</w:t>
      </w:r>
      <w:r>
        <w:rPr>
          <w:rFonts w:hint="eastAsia" w:ascii="宋体" w:hAnsi="宋体" w:eastAsia="宋体" w:cs="宋体"/>
          <w:color w:val="auto"/>
          <w:sz w:val="24"/>
          <w:szCs w:val="24"/>
          <w:highlight w:val="none"/>
        </w:rPr>
        <w:t>；</w:t>
      </w:r>
    </w:p>
    <w:p w14:paraId="7200B4D2">
      <w:pPr>
        <w:pStyle w:val="17"/>
        <w:widowControl/>
        <w:numPr>
          <w:ilvl w:val="0"/>
          <w:numId w:val="19"/>
        </w:numPr>
        <w:tabs>
          <w:tab w:val="left" w:pos="780"/>
          <w:tab w:val="clear" w:pos="210"/>
        </w:tabs>
        <w:spacing w:line="240" w:lineRule="auto"/>
        <w:ind w:left="0" w:leftChars="0" w:firstLine="480" w:firstLineChars="200"/>
        <w:rPr>
          <w:rFonts w:hint="eastAsia" w:ascii="宋体" w:hAnsi="宋体" w:eastAsia="宋体" w:cs="宋体"/>
          <w:b w:val="0"/>
          <w:color w:val="auto"/>
          <w:sz w:val="24"/>
          <w:szCs w:val="24"/>
          <w:highlight w:val="none"/>
        </w:rPr>
      </w:pPr>
      <w:r>
        <w:rPr>
          <w:rFonts w:hint="eastAsia" w:ascii="宋体" w:hAnsi="宋体" w:eastAsia="宋体" w:cs="宋体"/>
          <w:color w:val="auto"/>
          <w:sz w:val="24"/>
          <w:szCs w:val="24"/>
          <w:highlight w:val="none"/>
        </w:rPr>
        <w:t>技术服务质量期限要求：</w:t>
      </w:r>
      <w:r>
        <w:rPr>
          <w:rFonts w:hint="eastAsia" w:ascii="宋体" w:hAnsi="宋体" w:eastAsia="宋体" w:cs="宋体"/>
          <w:color w:val="auto"/>
          <w:sz w:val="24"/>
          <w:szCs w:val="24"/>
          <w:highlight w:val="none"/>
          <w:u w:val="single"/>
        </w:rPr>
        <w:t xml:space="preserve">  至本合同履行期限届满时终止  </w:t>
      </w:r>
      <w:r>
        <w:rPr>
          <w:rFonts w:hint="eastAsia" w:ascii="宋体" w:hAnsi="宋体" w:eastAsia="宋体" w:cs="宋体"/>
          <w:color w:val="auto"/>
          <w:sz w:val="24"/>
          <w:szCs w:val="24"/>
          <w:highlight w:val="none"/>
        </w:rPr>
        <w:t>；</w:t>
      </w:r>
    </w:p>
    <w:p w14:paraId="3E253475">
      <w:pPr>
        <w:pStyle w:val="17"/>
        <w:widowControl/>
        <w:numPr>
          <w:ilvl w:val="0"/>
          <w:numId w:val="15"/>
        </w:numPr>
        <w:tabs>
          <w:tab w:val="left" w:pos="1320"/>
          <w:tab w:val="clear" w:pos="210"/>
        </w:tabs>
        <w:spacing w:line="240" w:lineRule="auto"/>
        <w:ind w:left="0" w:leftChars="0" w:firstLine="480" w:firstLineChars="200"/>
        <w:rPr>
          <w:rFonts w:hint="eastAsia" w:ascii="宋体" w:hAnsi="宋体" w:eastAsia="宋体" w:cs="宋体"/>
          <w:b w:val="0"/>
          <w:color w:val="auto"/>
          <w:sz w:val="24"/>
          <w:szCs w:val="24"/>
          <w:highlight w:val="none"/>
        </w:rPr>
      </w:pPr>
      <w:r>
        <w:rPr>
          <w:rFonts w:hint="eastAsia" w:ascii="宋体" w:hAnsi="宋体" w:eastAsia="宋体" w:cs="宋体"/>
          <w:color w:val="auto"/>
          <w:sz w:val="24"/>
          <w:szCs w:val="24"/>
          <w:highlight w:val="none"/>
        </w:rPr>
        <w:t>为保证乙方有效进行技术服务工作，甲方应当向乙方提供下列工作条件和协作事项：</w:t>
      </w:r>
    </w:p>
    <w:p w14:paraId="0397701A">
      <w:pPr>
        <w:pStyle w:val="17"/>
        <w:widowControl/>
        <w:numPr>
          <w:ilvl w:val="0"/>
          <w:numId w:val="20"/>
        </w:numPr>
        <w:tabs>
          <w:tab w:val="left" w:pos="780"/>
          <w:tab w:val="clear" w:pos="210"/>
        </w:tabs>
        <w:spacing w:line="240" w:lineRule="auto"/>
        <w:ind w:left="0" w:leftChars="0" w:firstLine="480" w:firstLineChars="200"/>
        <w:rPr>
          <w:rFonts w:hint="eastAsia" w:ascii="宋体" w:hAnsi="宋体" w:eastAsia="宋体" w:cs="宋体"/>
          <w:b w:val="0"/>
          <w:color w:val="auto"/>
          <w:sz w:val="24"/>
          <w:szCs w:val="24"/>
          <w:highlight w:val="none"/>
        </w:rPr>
      </w:pPr>
      <w:r>
        <w:rPr>
          <w:rFonts w:hint="eastAsia" w:ascii="宋体" w:hAnsi="宋体" w:eastAsia="宋体" w:cs="宋体"/>
          <w:color w:val="auto"/>
          <w:sz w:val="24"/>
          <w:szCs w:val="24"/>
          <w:highlight w:val="none"/>
        </w:rPr>
        <w:t>提供技术资料：</w:t>
      </w:r>
    </w:p>
    <w:p w14:paraId="711C55FF">
      <w:pPr>
        <w:pStyle w:val="17"/>
        <w:widowControl/>
        <w:numPr>
          <w:ilvl w:val="0"/>
          <w:numId w:val="21"/>
        </w:numPr>
        <w:tabs>
          <w:tab w:val="left" w:pos="1080"/>
        </w:tabs>
        <w:topLinePunct w:val="0"/>
        <w:spacing w:line="240" w:lineRule="auto"/>
        <w:ind w:left="0" w:leftChars="0" w:firstLine="480" w:firstLineChars="200"/>
        <w:rPr>
          <w:rFonts w:hint="eastAsia" w:ascii="宋体" w:hAnsi="宋体" w:eastAsia="宋体" w:cs="宋体"/>
          <w:b w:val="0"/>
          <w:color w:val="auto"/>
          <w:sz w:val="24"/>
          <w:szCs w:val="24"/>
          <w:highlight w:val="none"/>
        </w:rPr>
      </w:pPr>
      <w:r>
        <w:rPr>
          <w:rFonts w:hint="eastAsia" w:ascii="宋体" w:hAnsi="宋体" w:eastAsia="宋体" w:cs="宋体"/>
          <w:color w:val="auto"/>
          <w:sz w:val="24"/>
          <w:szCs w:val="24"/>
          <w:highlight w:val="none"/>
        </w:rPr>
        <w:t>为乙方服务工程师提供前期项目实施文档、系统及网络拓扑图；</w:t>
      </w:r>
    </w:p>
    <w:p w14:paraId="10EAFC34">
      <w:pPr>
        <w:pStyle w:val="17"/>
        <w:widowControl/>
        <w:numPr>
          <w:ilvl w:val="0"/>
          <w:numId w:val="21"/>
        </w:numPr>
        <w:tabs>
          <w:tab w:val="left" w:pos="1080"/>
        </w:tabs>
        <w:topLinePunct w:val="0"/>
        <w:spacing w:line="240" w:lineRule="auto"/>
        <w:ind w:left="0" w:leftChars="0" w:firstLine="480" w:firstLineChars="200"/>
        <w:rPr>
          <w:rFonts w:hint="eastAsia" w:ascii="宋体" w:hAnsi="宋体" w:eastAsia="宋体" w:cs="宋体"/>
          <w:b w:val="0"/>
          <w:color w:val="auto"/>
          <w:sz w:val="24"/>
          <w:szCs w:val="24"/>
          <w:highlight w:val="none"/>
        </w:rPr>
      </w:pPr>
      <w:r>
        <w:rPr>
          <w:rFonts w:hint="eastAsia" w:ascii="宋体" w:hAnsi="宋体" w:eastAsia="宋体" w:cs="宋体"/>
          <w:color w:val="auto"/>
          <w:sz w:val="24"/>
          <w:szCs w:val="24"/>
          <w:highlight w:val="none"/>
        </w:rPr>
        <w:t>其他 ：合理采纳乙方提出的硬件、软件升级要求  。</w:t>
      </w:r>
    </w:p>
    <w:p w14:paraId="759D7921">
      <w:pPr>
        <w:pStyle w:val="17"/>
        <w:widowControl/>
        <w:numPr>
          <w:ilvl w:val="0"/>
          <w:numId w:val="20"/>
        </w:numPr>
        <w:tabs>
          <w:tab w:val="left" w:pos="780"/>
          <w:tab w:val="clear" w:pos="210"/>
        </w:tabs>
        <w:spacing w:line="240" w:lineRule="auto"/>
        <w:ind w:left="0" w:leftChars="0" w:firstLine="480" w:firstLineChars="200"/>
        <w:rPr>
          <w:rFonts w:hint="eastAsia" w:ascii="宋体" w:hAnsi="宋体" w:eastAsia="宋体" w:cs="宋体"/>
          <w:b w:val="0"/>
          <w:color w:val="auto"/>
          <w:sz w:val="24"/>
          <w:szCs w:val="24"/>
          <w:highlight w:val="none"/>
        </w:rPr>
      </w:pPr>
      <w:r>
        <w:rPr>
          <w:rFonts w:hint="eastAsia" w:ascii="宋体" w:hAnsi="宋体" w:eastAsia="宋体" w:cs="宋体"/>
          <w:color w:val="auto"/>
          <w:sz w:val="24"/>
          <w:szCs w:val="24"/>
          <w:highlight w:val="none"/>
        </w:rPr>
        <w:t>提供工作条件：</w:t>
      </w:r>
    </w:p>
    <w:p w14:paraId="159B96E1">
      <w:pPr>
        <w:pStyle w:val="17"/>
        <w:widowControl/>
        <w:spacing w:line="240" w:lineRule="auto"/>
        <w:ind w:left="0" w:leftChars="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（1）为乙方常驻人员提供安全有效的办公环境；</w:t>
      </w:r>
    </w:p>
    <w:p w14:paraId="75BA1F61">
      <w:pPr>
        <w:pStyle w:val="17"/>
        <w:widowControl/>
        <w:numPr>
          <w:ilvl w:val="0"/>
          <w:numId w:val="15"/>
        </w:numPr>
        <w:tabs>
          <w:tab w:val="left" w:pos="1320"/>
          <w:tab w:val="clear" w:pos="210"/>
        </w:tabs>
        <w:spacing w:line="240" w:lineRule="auto"/>
        <w:ind w:left="0" w:leftChars="0" w:firstLine="480" w:firstLineChars="200"/>
        <w:rPr>
          <w:rFonts w:hint="eastAsia" w:ascii="宋体" w:hAnsi="宋体" w:eastAsia="宋体" w:cs="宋体"/>
          <w:b w:val="0"/>
          <w:color w:val="auto"/>
          <w:sz w:val="24"/>
          <w:szCs w:val="24"/>
          <w:highlight w:val="none"/>
        </w:rPr>
      </w:pPr>
      <w:r>
        <w:rPr>
          <w:rFonts w:hint="eastAsia" w:ascii="宋体" w:hAnsi="宋体" w:eastAsia="宋体" w:cs="宋体"/>
          <w:color w:val="auto"/>
          <w:sz w:val="24"/>
          <w:szCs w:val="24"/>
          <w:highlight w:val="none"/>
        </w:rPr>
        <w:t>甲方向乙方支付技术服务报酬支付条件及方式为：</w:t>
      </w:r>
    </w:p>
    <w:p w14:paraId="00326F74">
      <w:pPr>
        <w:pStyle w:val="17"/>
        <w:widowControl/>
        <w:numPr>
          <w:ilvl w:val="0"/>
          <w:numId w:val="22"/>
        </w:numPr>
        <w:tabs>
          <w:tab w:val="left" w:pos="780"/>
          <w:tab w:val="clear" w:pos="210"/>
        </w:tabs>
        <w:spacing w:line="240" w:lineRule="auto"/>
        <w:ind w:left="0" w:leftChars="0" w:firstLine="480" w:firstLineChars="200"/>
        <w:rPr>
          <w:rFonts w:hint="eastAsia" w:ascii="宋体" w:hAnsi="宋体" w:eastAsia="宋体" w:cs="宋体"/>
          <w:b w:val="0"/>
          <w:color w:val="auto"/>
          <w:sz w:val="24"/>
          <w:szCs w:val="24"/>
          <w:highlight w:val="none"/>
        </w:rPr>
      </w:pPr>
      <w:r>
        <w:rPr>
          <w:rFonts w:hint="eastAsia" w:ascii="宋体" w:hAnsi="宋体" w:eastAsia="宋体" w:cs="宋体"/>
          <w:color w:val="auto"/>
          <w:sz w:val="24"/>
          <w:szCs w:val="24"/>
          <w:highlight w:val="none"/>
        </w:rPr>
        <w:t>技术服务费总额为：</w:t>
      </w:r>
      <w:r>
        <w:rPr>
          <w:rFonts w:hint="eastAsia" w:ascii="宋体" w:hAnsi="宋体" w:eastAsia="宋体" w:cs="宋体"/>
          <w:color w:val="auto"/>
          <w:sz w:val="24"/>
          <w:szCs w:val="24"/>
          <w:highlight w:val="none"/>
          <w:u w:val="single"/>
        </w:rPr>
        <w:t xml:space="preserve">  元 </w:t>
      </w:r>
      <w:r>
        <w:rPr>
          <w:rFonts w:hint="eastAsia" w:ascii="宋体" w:hAnsi="宋体" w:eastAsia="宋体" w:cs="宋体"/>
          <w:color w:val="auto"/>
          <w:sz w:val="24"/>
          <w:szCs w:val="24"/>
          <w:highlight w:val="none"/>
        </w:rPr>
        <w:t>（大写：</w:t>
      </w:r>
      <w:r>
        <w:rPr>
          <w:rFonts w:hint="eastAsia" w:ascii="宋体" w:hAnsi="宋体" w:eastAsia="宋体" w:cs="宋体"/>
          <w:color w:val="auto"/>
          <w:sz w:val="24"/>
          <w:szCs w:val="24"/>
          <w:highlight w:val="none"/>
          <w:u w:val="single"/>
        </w:rPr>
        <w:t xml:space="preserve">   元整</w:t>
      </w:r>
      <w:r>
        <w:rPr>
          <w:rFonts w:hint="eastAsia" w:ascii="宋体" w:hAnsi="宋体" w:eastAsia="宋体" w:cs="宋体"/>
          <w:color w:val="auto"/>
          <w:sz w:val="24"/>
          <w:szCs w:val="24"/>
          <w:highlight w:val="none"/>
        </w:rPr>
        <w:t>）。</w:t>
      </w:r>
    </w:p>
    <w:p w14:paraId="649117A3">
      <w:pPr>
        <w:pStyle w:val="17"/>
        <w:widowControl/>
        <w:numPr>
          <w:ilvl w:val="0"/>
          <w:numId w:val="22"/>
        </w:numPr>
        <w:tabs>
          <w:tab w:val="left" w:pos="780"/>
          <w:tab w:val="clear" w:pos="210"/>
        </w:tabs>
        <w:spacing w:line="240" w:lineRule="auto"/>
        <w:ind w:left="0" w:leftChars="0" w:firstLine="480" w:firstLineChars="200"/>
        <w:rPr>
          <w:rFonts w:hint="eastAsia" w:ascii="宋体" w:hAnsi="宋体" w:eastAsia="宋体" w:cs="宋体"/>
          <w:b w:val="0"/>
          <w:color w:val="auto"/>
          <w:sz w:val="24"/>
          <w:szCs w:val="24"/>
          <w:highlight w:val="none"/>
          <w:u w:val="single"/>
        </w:rPr>
      </w:pPr>
      <w:r>
        <w:rPr>
          <w:rFonts w:hint="eastAsia" w:ascii="宋体" w:hAnsi="宋体" w:eastAsia="宋体" w:cs="宋体"/>
          <w:color w:val="auto"/>
          <w:sz w:val="24"/>
          <w:szCs w:val="24"/>
          <w:highlight w:val="none"/>
        </w:rPr>
        <w:t>技术</w:t>
      </w:r>
      <w:bookmarkStart w:id="65" w:name="_Hlk61973963"/>
      <w:r>
        <w:rPr>
          <w:rFonts w:hint="eastAsia" w:ascii="宋体" w:hAnsi="宋体" w:eastAsia="宋体" w:cs="宋体"/>
          <w:color w:val="auto"/>
          <w:sz w:val="24"/>
          <w:szCs w:val="24"/>
          <w:highlight w:val="none"/>
        </w:rPr>
        <w:t xml:space="preserve">服务费按年由甲方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支付乙方。</w:t>
      </w:r>
      <w:bookmarkEnd w:id="65"/>
    </w:p>
    <w:p w14:paraId="0DE7A50E">
      <w:pPr>
        <w:pStyle w:val="17"/>
        <w:widowControl/>
        <w:spacing w:line="240" w:lineRule="auto"/>
        <w:ind w:left="0" w:leftChars="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具体支付方式和时间如下：</w:t>
      </w:r>
    </w:p>
    <w:p w14:paraId="7C1C5B27">
      <w:pPr>
        <w:pStyle w:val="17"/>
        <w:spacing w:line="240" w:lineRule="auto"/>
        <w:ind w:left="0" w:leftChars="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服务费总额为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，（大写金额：</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）该费用包括咨询服务、安装调试费、测评费、培训费、税费等费用。</w:t>
      </w:r>
    </w:p>
    <w:p w14:paraId="4B138FB0">
      <w:pPr>
        <w:pStyle w:val="17"/>
        <w:spacing w:line="240" w:lineRule="auto"/>
        <w:ind w:left="0" w:leftChars="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合同签订后</w:t>
      </w: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rPr>
        <w:t>个工作日内，甲方按政府采购程序向乙方支付服务费总额的 70% 合同款项作为预付款；乙方完成合同服务，向甲方出具完整的项目文档后的7个工作日内，甲方应按政府采购程序支付给乙方服务费总额的</w:t>
      </w:r>
      <w:r>
        <w:rPr>
          <w:rFonts w:hint="eastAsia" w:ascii="宋体" w:hAnsi="宋体" w:cs="宋体"/>
          <w:color w:val="auto"/>
          <w:sz w:val="24"/>
          <w:szCs w:val="24"/>
          <w:highlight w:val="none"/>
          <w:lang w:val="en-US" w:eastAsia="zh-CN"/>
        </w:rPr>
        <w:t>30</w:t>
      </w:r>
      <w:r>
        <w:rPr>
          <w:rFonts w:hint="eastAsia" w:ascii="宋体" w:hAnsi="宋体" w:eastAsia="宋体" w:cs="宋体"/>
          <w:color w:val="auto"/>
          <w:sz w:val="24"/>
          <w:szCs w:val="24"/>
          <w:highlight w:val="none"/>
        </w:rPr>
        <w:t xml:space="preserve">%合同款项，即： </w:t>
      </w:r>
      <w:r>
        <w:rPr>
          <w:rFonts w:hint="eastAsia" w:ascii="宋体" w:hAnsi="宋体" w:eastAsia="宋体" w:cs="宋体"/>
          <w:color w:val="auto"/>
          <w:sz w:val="24"/>
          <w:szCs w:val="24"/>
          <w:highlight w:val="none"/>
          <w:u w:val="single"/>
        </w:rPr>
        <w:t xml:space="preserve">    ，（大写金额：    </w:t>
      </w:r>
      <w:r>
        <w:rPr>
          <w:rFonts w:hint="eastAsia" w:ascii="宋体" w:hAnsi="宋体" w:eastAsia="宋体" w:cs="宋体"/>
          <w:color w:val="auto"/>
          <w:sz w:val="24"/>
          <w:szCs w:val="24"/>
          <w:highlight w:val="none"/>
        </w:rPr>
        <w:t>）</w:t>
      </w:r>
    </w:p>
    <w:p w14:paraId="5D737B5B">
      <w:pPr>
        <w:pStyle w:val="17"/>
        <w:spacing w:line="240" w:lineRule="auto"/>
        <w:ind w:left="0" w:leftChars="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乙方开户银行名称、税号和帐号为：</w:t>
      </w:r>
    </w:p>
    <w:p w14:paraId="008C9300">
      <w:pPr>
        <w:pStyle w:val="17"/>
        <w:spacing w:line="240" w:lineRule="auto"/>
        <w:ind w:left="0" w:leftChars="0"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开户银行名称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                   </w:t>
      </w:r>
    </w:p>
    <w:p w14:paraId="7ADE023B">
      <w:pPr>
        <w:pStyle w:val="17"/>
        <w:spacing w:line="240" w:lineRule="auto"/>
        <w:ind w:left="0" w:leftChars="0"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帐号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                          </w:t>
      </w:r>
    </w:p>
    <w:p w14:paraId="0548A852">
      <w:pPr>
        <w:pStyle w:val="17"/>
        <w:spacing w:line="240" w:lineRule="auto"/>
        <w:ind w:left="0" w:leftChars="0"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税号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                          </w:t>
      </w:r>
    </w:p>
    <w:p w14:paraId="7C69D2A2">
      <w:pPr>
        <w:pStyle w:val="17"/>
        <w:numPr>
          <w:ilvl w:val="0"/>
          <w:numId w:val="22"/>
        </w:numPr>
        <w:tabs>
          <w:tab w:val="left" w:pos="780"/>
          <w:tab w:val="clear" w:pos="210"/>
        </w:tabs>
        <w:spacing w:line="240" w:lineRule="auto"/>
        <w:ind w:left="0" w:leftChars="0" w:firstLine="480" w:firstLineChars="200"/>
        <w:rPr>
          <w:rFonts w:hint="eastAsia" w:ascii="宋体" w:hAnsi="宋体" w:eastAsia="宋体" w:cs="宋体"/>
          <w:b w:val="0"/>
          <w:color w:val="auto"/>
          <w:sz w:val="24"/>
          <w:szCs w:val="24"/>
          <w:highlight w:val="none"/>
        </w:rPr>
      </w:pPr>
      <w:r>
        <w:rPr>
          <w:rFonts w:hint="eastAsia" w:ascii="宋体" w:hAnsi="宋体" w:eastAsia="宋体" w:cs="宋体"/>
          <w:color w:val="auto"/>
          <w:sz w:val="24"/>
          <w:szCs w:val="24"/>
          <w:highlight w:val="none"/>
        </w:rPr>
        <w:t>乙方应按甲方要求开具合法合规的完税发票，否则甲方有权拒绝付款。</w:t>
      </w:r>
    </w:p>
    <w:p w14:paraId="185FE25D">
      <w:pPr>
        <w:pStyle w:val="17"/>
        <w:widowControl/>
        <w:numPr>
          <w:ilvl w:val="0"/>
          <w:numId w:val="15"/>
        </w:numPr>
        <w:tabs>
          <w:tab w:val="left" w:pos="1320"/>
          <w:tab w:val="clear" w:pos="210"/>
        </w:tabs>
        <w:spacing w:line="240" w:lineRule="auto"/>
        <w:ind w:left="0" w:leftChars="0" w:firstLine="480" w:firstLineChars="200"/>
        <w:rPr>
          <w:rFonts w:hint="eastAsia" w:ascii="宋体" w:hAnsi="宋体" w:eastAsia="宋体" w:cs="宋体"/>
          <w:b w:val="0"/>
          <w:color w:val="auto"/>
          <w:sz w:val="24"/>
          <w:szCs w:val="24"/>
          <w:highlight w:val="none"/>
        </w:rPr>
      </w:pPr>
      <w:r>
        <w:rPr>
          <w:rFonts w:hint="eastAsia" w:ascii="宋体" w:hAnsi="宋体" w:eastAsia="宋体" w:cs="宋体"/>
          <w:color w:val="auto"/>
          <w:sz w:val="24"/>
          <w:szCs w:val="24"/>
          <w:highlight w:val="none"/>
        </w:rPr>
        <w:t>双方确定因履行本合同应遵守的保密义务如下：</w:t>
      </w:r>
    </w:p>
    <w:p w14:paraId="1D712714">
      <w:pPr>
        <w:pStyle w:val="17"/>
        <w:widowControl/>
        <w:spacing w:line="240" w:lineRule="auto"/>
        <w:ind w:left="0" w:leftChars="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w:t>
      </w:r>
    </w:p>
    <w:p w14:paraId="46DED223">
      <w:pPr>
        <w:pStyle w:val="17"/>
        <w:widowControl/>
        <w:numPr>
          <w:ilvl w:val="0"/>
          <w:numId w:val="23"/>
        </w:numPr>
        <w:tabs>
          <w:tab w:val="left" w:pos="840"/>
        </w:tabs>
        <w:topLinePunct w:val="0"/>
        <w:spacing w:line="240" w:lineRule="auto"/>
        <w:ind w:left="0" w:leftChars="0" w:firstLine="480" w:firstLineChars="200"/>
        <w:rPr>
          <w:rFonts w:hint="eastAsia" w:ascii="宋体" w:hAnsi="宋体" w:eastAsia="宋体" w:cs="宋体"/>
          <w:b w:val="0"/>
          <w:color w:val="auto"/>
          <w:sz w:val="24"/>
          <w:szCs w:val="24"/>
          <w:highlight w:val="none"/>
          <w:u w:val="single"/>
        </w:rPr>
      </w:pPr>
      <w:r>
        <w:rPr>
          <w:rFonts w:hint="eastAsia" w:ascii="宋体" w:hAnsi="宋体" w:eastAsia="宋体" w:cs="宋体"/>
          <w:color w:val="auto"/>
          <w:sz w:val="24"/>
          <w:szCs w:val="24"/>
          <w:highlight w:val="none"/>
        </w:rPr>
        <w:t>内容（包括技术信息和经营信息）：</w:t>
      </w:r>
      <w:r>
        <w:rPr>
          <w:rFonts w:hint="eastAsia" w:ascii="宋体" w:hAnsi="宋体" w:eastAsia="宋体" w:cs="宋体"/>
          <w:color w:val="auto"/>
          <w:sz w:val="24"/>
          <w:szCs w:val="24"/>
          <w:highlight w:val="none"/>
          <w:u w:val="single"/>
        </w:rPr>
        <w:t xml:space="preserve">乙方投标文件及相关技术文档   </w:t>
      </w:r>
    </w:p>
    <w:p w14:paraId="36EDD2DD">
      <w:pPr>
        <w:pStyle w:val="17"/>
        <w:widowControl/>
        <w:numPr>
          <w:ilvl w:val="0"/>
          <w:numId w:val="23"/>
        </w:numPr>
        <w:tabs>
          <w:tab w:val="left" w:pos="840"/>
        </w:tabs>
        <w:topLinePunct w:val="0"/>
        <w:spacing w:line="240" w:lineRule="auto"/>
        <w:ind w:left="0" w:leftChars="0" w:firstLine="480" w:firstLineChars="200"/>
        <w:rPr>
          <w:rFonts w:hint="eastAsia" w:ascii="宋体" w:hAnsi="宋体" w:eastAsia="宋体" w:cs="宋体"/>
          <w:b w:val="0"/>
          <w:color w:val="auto"/>
          <w:sz w:val="24"/>
          <w:szCs w:val="24"/>
          <w:highlight w:val="none"/>
          <w:u w:val="single"/>
        </w:rPr>
      </w:pPr>
      <w:r>
        <w:rPr>
          <w:rFonts w:hint="eastAsia" w:ascii="宋体" w:hAnsi="宋体" w:eastAsia="宋体" w:cs="宋体"/>
          <w:color w:val="auto"/>
          <w:sz w:val="24"/>
          <w:szCs w:val="24"/>
          <w:highlight w:val="none"/>
        </w:rPr>
        <w:t>人员范围：</w:t>
      </w:r>
      <w:r>
        <w:rPr>
          <w:rFonts w:hint="eastAsia" w:ascii="宋体" w:hAnsi="宋体" w:eastAsia="宋体" w:cs="宋体"/>
          <w:color w:val="auto"/>
          <w:sz w:val="24"/>
          <w:szCs w:val="24"/>
          <w:highlight w:val="none"/>
          <w:u w:val="single"/>
        </w:rPr>
        <w:t xml:space="preserve">  项目管理人员                      </w:t>
      </w:r>
    </w:p>
    <w:p w14:paraId="1E05D2FE">
      <w:pPr>
        <w:pStyle w:val="17"/>
        <w:widowControl/>
        <w:spacing w:line="240" w:lineRule="auto"/>
        <w:ind w:left="0" w:leftChars="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w:t>
      </w:r>
    </w:p>
    <w:p w14:paraId="5A97A543">
      <w:pPr>
        <w:pStyle w:val="17"/>
        <w:numPr>
          <w:ilvl w:val="0"/>
          <w:numId w:val="24"/>
        </w:numPr>
        <w:tabs>
          <w:tab w:val="left" w:pos="780"/>
          <w:tab w:val="clear" w:pos="210"/>
        </w:tabs>
        <w:spacing w:line="240" w:lineRule="auto"/>
        <w:ind w:left="0" w:leftChars="0" w:firstLine="480" w:firstLineChars="200"/>
        <w:rPr>
          <w:rFonts w:hint="eastAsia" w:ascii="宋体" w:hAnsi="宋体" w:eastAsia="宋体" w:cs="宋体"/>
          <w:b w:val="0"/>
          <w:color w:val="auto"/>
          <w:sz w:val="24"/>
          <w:szCs w:val="24"/>
          <w:highlight w:val="none"/>
        </w:rPr>
      </w:pPr>
      <w:r>
        <w:rPr>
          <w:rFonts w:hint="eastAsia" w:ascii="宋体" w:hAnsi="宋体" w:eastAsia="宋体" w:cs="宋体"/>
          <w:color w:val="auto"/>
          <w:sz w:val="24"/>
          <w:szCs w:val="24"/>
          <w:highlight w:val="none"/>
        </w:rPr>
        <w:t>保密内容（包括技术信息和经营信息）：</w:t>
      </w:r>
      <w:r>
        <w:rPr>
          <w:rFonts w:hint="eastAsia" w:ascii="宋体" w:hAnsi="宋体" w:eastAsia="宋体" w:cs="宋体"/>
          <w:color w:val="auto"/>
          <w:sz w:val="24"/>
          <w:szCs w:val="24"/>
          <w:highlight w:val="none"/>
          <w:u w:val="single"/>
        </w:rPr>
        <w:t xml:space="preserve">  服务过程中产生的所有资料、技术文档要妥善保管，不得遗失、转借、复印，严禁通过互联网等公共信息网络、普通邮政进行传递邮寄。项目团队所有人员须由甲方进行资格审查和保密教育，对知悉的事项及信息予以保密，签署《保密承诺书》并向甲方备案。乙方若违反《保密承诺书》、未履行相关职责、监督措施落实不到位，发生参与本项目人员窃取或泄露甲方信息系统相关数据的事件，将按照有关法律法规追究其责任。</w:t>
      </w:r>
      <w:r>
        <w:rPr>
          <w:rFonts w:hint="eastAsia" w:ascii="宋体" w:hAnsi="宋体" w:eastAsia="宋体" w:cs="宋体"/>
          <w:color w:val="auto"/>
          <w:sz w:val="24"/>
          <w:szCs w:val="24"/>
          <w:highlight w:val="none"/>
        </w:rPr>
        <w:t xml:space="preserve">       </w:t>
      </w:r>
    </w:p>
    <w:p w14:paraId="54A202F6">
      <w:pPr>
        <w:pStyle w:val="17"/>
        <w:numPr>
          <w:ilvl w:val="0"/>
          <w:numId w:val="24"/>
        </w:numPr>
        <w:tabs>
          <w:tab w:val="left" w:pos="780"/>
          <w:tab w:val="clear" w:pos="210"/>
        </w:tabs>
        <w:spacing w:line="240" w:lineRule="auto"/>
        <w:ind w:left="0" w:leftChars="0" w:firstLine="480" w:firstLineChars="200"/>
        <w:rPr>
          <w:rFonts w:hint="eastAsia" w:ascii="宋体" w:hAnsi="宋体" w:eastAsia="宋体" w:cs="宋体"/>
          <w:b w:val="0"/>
          <w:color w:val="auto"/>
          <w:sz w:val="24"/>
          <w:szCs w:val="24"/>
          <w:highlight w:val="none"/>
          <w:u w:val="single"/>
        </w:rPr>
      </w:pPr>
      <w:r>
        <w:rPr>
          <w:rFonts w:hint="eastAsia" w:ascii="宋体" w:hAnsi="宋体" w:eastAsia="宋体" w:cs="宋体"/>
          <w:color w:val="auto"/>
          <w:sz w:val="24"/>
          <w:szCs w:val="24"/>
          <w:highlight w:val="none"/>
        </w:rPr>
        <w:t>人员范围：</w:t>
      </w:r>
      <w:r>
        <w:rPr>
          <w:rFonts w:hint="eastAsia" w:ascii="宋体" w:hAnsi="宋体" w:eastAsia="宋体" w:cs="宋体"/>
          <w:color w:val="auto"/>
          <w:sz w:val="24"/>
          <w:szCs w:val="24"/>
          <w:highlight w:val="none"/>
          <w:u w:val="single"/>
        </w:rPr>
        <w:t xml:space="preserve">项目团队所有人员                 </w:t>
      </w:r>
    </w:p>
    <w:p w14:paraId="4F60F504">
      <w:pPr>
        <w:pStyle w:val="17"/>
        <w:widowControl/>
        <w:numPr>
          <w:ilvl w:val="0"/>
          <w:numId w:val="24"/>
        </w:numPr>
        <w:tabs>
          <w:tab w:val="left" w:pos="780"/>
          <w:tab w:val="clear" w:pos="210"/>
        </w:tabs>
        <w:spacing w:line="240" w:lineRule="auto"/>
        <w:ind w:left="0" w:leftChars="0" w:firstLine="480" w:firstLineChars="200"/>
        <w:rPr>
          <w:rFonts w:hint="eastAsia" w:ascii="宋体" w:hAnsi="宋体" w:eastAsia="宋体" w:cs="宋体"/>
          <w:b w:val="0"/>
          <w:color w:val="auto"/>
          <w:sz w:val="24"/>
          <w:szCs w:val="24"/>
          <w:highlight w:val="none"/>
          <w:u w:val="single"/>
        </w:rPr>
      </w:pPr>
      <w:r>
        <w:rPr>
          <w:rFonts w:hint="eastAsia" w:ascii="宋体" w:hAnsi="宋体" w:eastAsia="宋体" w:cs="宋体"/>
          <w:color w:val="auto"/>
          <w:sz w:val="24"/>
          <w:szCs w:val="24"/>
          <w:highlight w:val="none"/>
        </w:rPr>
        <w:t>期限：</w:t>
      </w:r>
      <w:r>
        <w:rPr>
          <w:rFonts w:hint="eastAsia" w:ascii="宋体" w:hAnsi="宋体" w:eastAsia="宋体" w:cs="宋体"/>
          <w:color w:val="auto"/>
          <w:sz w:val="24"/>
          <w:szCs w:val="24"/>
          <w:highlight w:val="none"/>
          <w:u w:val="single"/>
        </w:rPr>
        <w:t xml:space="preserve">自合同签订起10年                  </w:t>
      </w:r>
    </w:p>
    <w:p w14:paraId="0F5B2402">
      <w:pPr>
        <w:pStyle w:val="17"/>
        <w:widowControl/>
        <w:numPr>
          <w:ilvl w:val="0"/>
          <w:numId w:val="24"/>
        </w:numPr>
        <w:tabs>
          <w:tab w:val="left" w:pos="780"/>
          <w:tab w:val="clear" w:pos="210"/>
        </w:tabs>
        <w:spacing w:line="240" w:lineRule="auto"/>
        <w:ind w:left="0" w:leftChars="0" w:firstLine="480" w:firstLineChars="200"/>
        <w:rPr>
          <w:rFonts w:hint="eastAsia" w:ascii="宋体" w:hAnsi="宋体" w:eastAsia="宋体" w:cs="宋体"/>
          <w:b w:val="0"/>
          <w:color w:val="auto"/>
          <w:sz w:val="24"/>
          <w:szCs w:val="24"/>
          <w:highlight w:val="none"/>
          <w:u w:val="single"/>
        </w:rPr>
      </w:pPr>
      <w:r>
        <w:rPr>
          <w:rFonts w:hint="eastAsia" w:ascii="宋体" w:hAnsi="宋体" w:eastAsia="宋体" w:cs="宋体"/>
          <w:color w:val="auto"/>
          <w:sz w:val="24"/>
          <w:szCs w:val="24"/>
          <w:highlight w:val="none"/>
        </w:rPr>
        <w:t>责任追究：</w:t>
      </w:r>
      <w:r>
        <w:rPr>
          <w:rFonts w:hint="eastAsia" w:ascii="宋体" w:hAnsi="宋体" w:eastAsia="宋体" w:cs="宋体"/>
          <w:color w:val="auto"/>
          <w:sz w:val="24"/>
          <w:szCs w:val="24"/>
          <w:highlight w:val="none"/>
          <w:u w:val="single"/>
        </w:rPr>
        <w:t xml:space="preserve"> 因乙方原因造成的泄密损失，乙方除承担赔偿责任（包括但不限于违约金）外，还应赔偿由此给甲方造成的一切经济损失（包括但不限于甲方为解决纠纷而支出的律师费、诉讼费及相关赔偿等一切费用）。    </w:t>
      </w:r>
    </w:p>
    <w:p w14:paraId="18A6702B">
      <w:pPr>
        <w:pStyle w:val="17"/>
        <w:widowControl/>
        <w:numPr>
          <w:ilvl w:val="0"/>
          <w:numId w:val="15"/>
        </w:numPr>
        <w:tabs>
          <w:tab w:val="left" w:pos="1320"/>
          <w:tab w:val="clear" w:pos="210"/>
        </w:tabs>
        <w:spacing w:line="240" w:lineRule="auto"/>
        <w:ind w:left="0" w:leftChars="0" w:firstLine="480" w:firstLineChars="200"/>
        <w:rPr>
          <w:rFonts w:hint="eastAsia" w:ascii="宋体" w:hAnsi="宋体" w:eastAsia="宋体" w:cs="宋体"/>
          <w:b w:val="0"/>
          <w:color w:val="auto"/>
          <w:sz w:val="24"/>
          <w:szCs w:val="24"/>
          <w:highlight w:val="none"/>
        </w:rPr>
      </w:pPr>
      <w:r>
        <w:rPr>
          <w:rFonts w:hint="eastAsia" w:ascii="宋体" w:hAnsi="宋体" w:eastAsia="宋体" w:cs="宋体"/>
          <w:color w:val="auto"/>
          <w:sz w:val="24"/>
          <w:szCs w:val="24"/>
          <w:highlight w:val="none"/>
        </w:rPr>
        <w:t>本合同的变更须由双方协商一致，并以书面形式确定。但有下列情形之一的，一方可以向另一方提出变更合同权利与义务的请求，另一方应当在</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日内予以答复；逾期未予答复的，视为同意：</w:t>
      </w:r>
    </w:p>
    <w:p w14:paraId="392874B7">
      <w:pPr>
        <w:pStyle w:val="17"/>
        <w:widowControl/>
        <w:numPr>
          <w:ilvl w:val="0"/>
          <w:numId w:val="25"/>
        </w:numPr>
        <w:tabs>
          <w:tab w:val="left" w:pos="780"/>
          <w:tab w:val="clear" w:pos="210"/>
        </w:tabs>
        <w:spacing w:line="240" w:lineRule="auto"/>
        <w:ind w:left="0" w:leftChars="0" w:firstLine="480" w:firstLineChars="200"/>
        <w:rPr>
          <w:rFonts w:hint="eastAsia" w:ascii="宋体" w:hAnsi="宋体" w:eastAsia="宋体" w:cs="宋体"/>
          <w:b w:val="0"/>
          <w:color w:val="auto"/>
          <w:sz w:val="24"/>
          <w:szCs w:val="24"/>
          <w:highlight w:val="non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7E4F4054">
      <w:pPr>
        <w:pStyle w:val="17"/>
        <w:widowControl/>
        <w:numPr>
          <w:ilvl w:val="0"/>
          <w:numId w:val="25"/>
        </w:numPr>
        <w:tabs>
          <w:tab w:val="left" w:pos="780"/>
          <w:tab w:val="clear" w:pos="210"/>
        </w:tabs>
        <w:spacing w:line="240" w:lineRule="auto"/>
        <w:ind w:left="0" w:leftChars="0" w:firstLine="480" w:firstLineChars="200"/>
        <w:rPr>
          <w:rFonts w:hint="eastAsia" w:ascii="宋体" w:hAnsi="宋体" w:eastAsia="宋体" w:cs="宋体"/>
          <w:b w:val="0"/>
          <w:color w:val="auto"/>
          <w:sz w:val="24"/>
          <w:szCs w:val="24"/>
          <w:highlight w:val="non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526109DD">
      <w:pPr>
        <w:pStyle w:val="17"/>
        <w:widowControl/>
        <w:numPr>
          <w:ilvl w:val="0"/>
          <w:numId w:val="15"/>
        </w:numPr>
        <w:tabs>
          <w:tab w:val="left" w:pos="1320"/>
          <w:tab w:val="clear" w:pos="210"/>
        </w:tabs>
        <w:spacing w:line="240" w:lineRule="auto"/>
        <w:ind w:left="0" w:leftChars="0" w:firstLine="480" w:firstLineChars="200"/>
        <w:rPr>
          <w:rFonts w:hint="eastAsia" w:ascii="宋体" w:hAnsi="宋体" w:eastAsia="宋体" w:cs="宋体"/>
          <w:b w:val="0"/>
          <w:color w:val="auto"/>
          <w:sz w:val="24"/>
          <w:szCs w:val="24"/>
          <w:highlight w:val="none"/>
        </w:rPr>
      </w:pPr>
      <w:r>
        <w:rPr>
          <w:rFonts w:hint="eastAsia" w:ascii="宋体" w:hAnsi="宋体" w:eastAsia="宋体" w:cs="宋体"/>
          <w:color w:val="auto"/>
          <w:sz w:val="24"/>
          <w:szCs w:val="24"/>
          <w:highlight w:val="none"/>
        </w:rPr>
        <w:t>双方确定以下列标准和方式对乙方的技术服务工作成果进行验收：</w:t>
      </w:r>
    </w:p>
    <w:p w14:paraId="637B75A0">
      <w:pPr>
        <w:pStyle w:val="17"/>
        <w:widowControl/>
        <w:numPr>
          <w:ilvl w:val="0"/>
          <w:numId w:val="26"/>
        </w:numPr>
        <w:tabs>
          <w:tab w:val="left" w:pos="780"/>
          <w:tab w:val="clear" w:pos="210"/>
        </w:tabs>
        <w:spacing w:line="240" w:lineRule="auto"/>
        <w:ind w:left="0" w:leftChars="0" w:firstLine="480" w:firstLineChars="200"/>
        <w:rPr>
          <w:rFonts w:hint="eastAsia" w:ascii="宋体" w:hAnsi="宋体" w:eastAsia="宋体" w:cs="宋体"/>
          <w:b w:val="0"/>
          <w:color w:val="auto"/>
          <w:sz w:val="24"/>
          <w:szCs w:val="24"/>
          <w:highlight w:val="none"/>
        </w:rPr>
      </w:pPr>
      <w:r>
        <w:rPr>
          <w:rFonts w:hint="eastAsia" w:ascii="宋体" w:hAnsi="宋体" w:cs="宋体"/>
          <w:color w:val="auto"/>
          <w:sz w:val="24"/>
          <w:szCs w:val="24"/>
          <w:highlight w:val="none"/>
          <w:lang w:eastAsia="zh-CN"/>
        </w:rPr>
        <w:t>乙方完成合同工作内容后</w:t>
      </w:r>
      <w:r>
        <w:rPr>
          <w:rFonts w:hint="eastAsia" w:ascii="宋体" w:hAnsi="宋体" w:eastAsia="宋体" w:cs="宋体"/>
          <w:color w:val="auto"/>
          <w:sz w:val="24"/>
          <w:szCs w:val="24"/>
          <w:highlight w:val="none"/>
        </w:rPr>
        <w:t>甲方对乙方服务内容进行验收。</w:t>
      </w:r>
    </w:p>
    <w:p w14:paraId="5609DA2C">
      <w:pPr>
        <w:pStyle w:val="17"/>
        <w:widowControl/>
        <w:numPr>
          <w:ilvl w:val="0"/>
          <w:numId w:val="26"/>
        </w:numPr>
        <w:tabs>
          <w:tab w:val="left" w:pos="780"/>
          <w:tab w:val="clear" w:pos="210"/>
        </w:tabs>
        <w:spacing w:line="240" w:lineRule="auto"/>
        <w:ind w:left="0" w:leftChars="0" w:firstLine="480" w:firstLineChars="200"/>
        <w:rPr>
          <w:rFonts w:hint="eastAsia" w:ascii="宋体" w:hAnsi="宋体" w:eastAsia="宋体" w:cs="宋体"/>
          <w:b w:val="0"/>
          <w:color w:val="auto"/>
          <w:sz w:val="24"/>
          <w:szCs w:val="24"/>
          <w:highlight w:val="none"/>
        </w:rPr>
      </w:pPr>
      <w:r>
        <w:rPr>
          <w:rFonts w:hint="eastAsia" w:ascii="宋体" w:hAnsi="宋体" w:eastAsia="宋体" w:cs="宋体"/>
          <w:color w:val="auto"/>
          <w:sz w:val="24"/>
          <w:szCs w:val="24"/>
          <w:highlight w:val="none"/>
        </w:rPr>
        <w:t>验收内容：</w:t>
      </w:r>
    </w:p>
    <w:p w14:paraId="2D521390">
      <w:pPr>
        <w:pStyle w:val="17"/>
        <w:widowControl/>
        <w:numPr>
          <w:ilvl w:val="0"/>
          <w:numId w:val="27"/>
        </w:numPr>
        <w:tabs>
          <w:tab w:val="left" w:pos="766"/>
          <w:tab w:val="clear" w:pos="210"/>
        </w:tabs>
        <w:spacing w:line="240" w:lineRule="auto"/>
        <w:ind w:left="0" w:leftChars="0" w:firstLine="480" w:firstLineChars="200"/>
        <w:rPr>
          <w:rFonts w:hint="eastAsia" w:ascii="宋体" w:hAnsi="宋体" w:eastAsia="宋体" w:cs="宋体"/>
          <w:b w:val="0"/>
          <w:color w:val="auto"/>
          <w:sz w:val="24"/>
          <w:szCs w:val="24"/>
          <w:highlight w:val="none"/>
        </w:rPr>
      </w:pPr>
      <w:r>
        <w:rPr>
          <w:rFonts w:hint="eastAsia" w:ascii="宋体" w:hAnsi="宋体" w:eastAsia="宋体" w:cs="宋体"/>
          <w:color w:val="auto"/>
          <w:sz w:val="24"/>
          <w:szCs w:val="24"/>
          <w:highlight w:val="none"/>
        </w:rPr>
        <w:t>合同中需要乙方提供的所有纸制文档资料。</w:t>
      </w:r>
    </w:p>
    <w:p w14:paraId="10E2BFD3">
      <w:pPr>
        <w:pStyle w:val="17"/>
        <w:widowControl/>
        <w:numPr>
          <w:ilvl w:val="0"/>
          <w:numId w:val="27"/>
        </w:numPr>
        <w:tabs>
          <w:tab w:val="left" w:pos="766"/>
          <w:tab w:val="clear" w:pos="210"/>
        </w:tabs>
        <w:spacing w:line="240" w:lineRule="auto"/>
        <w:ind w:left="0" w:leftChars="0" w:firstLine="480" w:firstLineChars="200"/>
        <w:rPr>
          <w:rFonts w:hint="eastAsia" w:ascii="宋体" w:hAnsi="宋体" w:eastAsia="宋体" w:cs="宋体"/>
          <w:b w:val="0"/>
          <w:color w:val="auto"/>
          <w:sz w:val="24"/>
          <w:szCs w:val="24"/>
          <w:highlight w:val="none"/>
        </w:rPr>
      </w:pPr>
      <w:r>
        <w:rPr>
          <w:rFonts w:hint="eastAsia" w:ascii="宋体" w:hAnsi="宋体" w:eastAsia="宋体" w:cs="宋体"/>
          <w:color w:val="auto"/>
          <w:sz w:val="24"/>
          <w:szCs w:val="24"/>
          <w:highlight w:val="none"/>
        </w:rPr>
        <w:t>服务质量投诉次达到三次的不予验收，服务质量投诉次达到</w:t>
      </w:r>
      <w:r>
        <w:rPr>
          <w:rFonts w:hint="eastAsia" w:ascii="宋体" w:hAnsi="宋体" w:cs="宋体"/>
          <w:color w:val="auto"/>
          <w:sz w:val="24"/>
          <w:szCs w:val="24"/>
          <w:highlight w:val="none"/>
          <w:lang w:eastAsia="zh-CN"/>
        </w:rPr>
        <w:t>三</w:t>
      </w:r>
      <w:r>
        <w:rPr>
          <w:rFonts w:hint="eastAsia" w:ascii="宋体" w:hAnsi="宋体" w:eastAsia="宋体" w:cs="宋体"/>
          <w:color w:val="auto"/>
          <w:sz w:val="24"/>
          <w:szCs w:val="24"/>
          <w:highlight w:val="none"/>
        </w:rPr>
        <w:t>次的，甲方有权终止合同。</w:t>
      </w:r>
    </w:p>
    <w:p w14:paraId="0077C88C">
      <w:pPr>
        <w:pStyle w:val="17"/>
        <w:widowControl/>
        <w:numPr>
          <w:ilvl w:val="0"/>
          <w:numId w:val="26"/>
        </w:numPr>
        <w:tabs>
          <w:tab w:val="left" w:pos="780"/>
          <w:tab w:val="clear" w:pos="210"/>
        </w:tabs>
        <w:spacing w:line="240" w:lineRule="auto"/>
        <w:ind w:left="0" w:leftChars="0" w:firstLine="480" w:firstLineChars="200"/>
        <w:rPr>
          <w:rFonts w:hint="eastAsia" w:ascii="宋体" w:hAnsi="宋体" w:eastAsia="宋体" w:cs="宋体"/>
          <w:b w:val="0"/>
          <w:color w:val="auto"/>
          <w:sz w:val="24"/>
          <w:szCs w:val="24"/>
          <w:highlight w:val="none"/>
          <w:u w:val="single"/>
        </w:rPr>
      </w:pPr>
      <w:r>
        <w:rPr>
          <w:rFonts w:hint="eastAsia" w:ascii="宋体" w:hAnsi="宋体" w:eastAsia="宋体" w:cs="宋体"/>
          <w:color w:val="auto"/>
          <w:sz w:val="24"/>
          <w:szCs w:val="24"/>
          <w:highlight w:val="none"/>
        </w:rPr>
        <w:t>乙方完成技术服务工作的形式：</w:t>
      </w:r>
      <w:r>
        <w:rPr>
          <w:rFonts w:hint="eastAsia" w:ascii="宋体" w:hAnsi="宋体" w:eastAsia="宋体" w:cs="宋体"/>
          <w:color w:val="auto"/>
          <w:sz w:val="24"/>
          <w:szCs w:val="24"/>
          <w:highlight w:val="none"/>
          <w:u w:val="single"/>
        </w:rPr>
        <w:t xml:space="preserve"> 现场服务、技术支持  </w:t>
      </w:r>
    </w:p>
    <w:p w14:paraId="28D564C6">
      <w:pPr>
        <w:pStyle w:val="17"/>
        <w:widowControl/>
        <w:numPr>
          <w:ilvl w:val="0"/>
          <w:numId w:val="26"/>
        </w:numPr>
        <w:tabs>
          <w:tab w:val="left" w:pos="780"/>
          <w:tab w:val="clear" w:pos="210"/>
        </w:tabs>
        <w:spacing w:line="240" w:lineRule="auto"/>
        <w:ind w:left="0" w:leftChars="0" w:firstLine="480" w:firstLineChars="200"/>
        <w:rPr>
          <w:rFonts w:hint="eastAsia" w:ascii="宋体" w:hAnsi="宋体" w:eastAsia="宋体" w:cs="宋体"/>
          <w:b w:val="0"/>
          <w:color w:val="auto"/>
          <w:sz w:val="24"/>
          <w:szCs w:val="24"/>
          <w:highlight w:val="none"/>
          <w:u w:val="single"/>
        </w:rPr>
      </w:pPr>
      <w:r>
        <w:rPr>
          <w:rFonts w:hint="eastAsia" w:ascii="宋体" w:hAnsi="宋体" w:eastAsia="宋体" w:cs="宋体"/>
          <w:color w:val="auto"/>
          <w:sz w:val="24"/>
          <w:szCs w:val="24"/>
          <w:highlight w:val="none"/>
        </w:rPr>
        <w:t>技术服务工作成果的验收标准：</w:t>
      </w:r>
      <w:r>
        <w:rPr>
          <w:rFonts w:hint="eastAsia" w:ascii="宋体" w:hAnsi="宋体" w:eastAsia="宋体" w:cs="宋体"/>
          <w:color w:val="auto"/>
          <w:sz w:val="24"/>
          <w:szCs w:val="24"/>
          <w:highlight w:val="none"/>
          <w:u w:val="single"/>
        </w:rPr>
        <w:t>《</w:t>
      </w:r>
      <w:r>
        <w:rPr>
          <w:rFonts w:hint="eastAsia" w:ascii="宋体" w:hAnsi="宋体" w:cs="宋体"/>
          <w:color w:val="auto"/>
          <w:sz w:val="24"/>
          <w:szCs w:val="24"/>
          <w:highlight w:val="none"/>
          <w:u w:val="single"/>
          <w:lang w:val="en-US" w:eastAsia="zh-CN"/>
        </w:rPr>
        <w:t>XXX系统</w:t>
      </w:r>
      <w:r>
        <w:rPr>
          <w:rFonts w:hint="eastAsia" w:ascii="宋体" w:hAnsi="宋体" w:eastAsia="宋体" w:cs="宋体"/>
          <w:b w:val="0"/>
          <w:color w:val="auto"/>
          <w:sz w:val="24"/>
          <w:szCs w:val="24"/>
          <w:highlight w:val="none"/>
          <w:lang w:val="en-US" w:eastAsia="zh-CN"/>
        </w:rPr>
        <w:t>等级保护测评合格报告</w:t>
      </w:r>
      <w:r>
        <w:rPr>
          <w:rFonts w:hint="eastAsia" w:ascii="宋体" w:hAnsi="宋体" w:eastAsia="宋体" w:cs="宋体"/>
          <w:color w:val="auto"/>
          <w:sz w:val="24"/>
          <w:szCs w:val="24"/>
          <w:highlight w:val="none"/>
          <w:u w:val="single"/>
        </w:rPr>
        <w:t xml:space="preserve">》、《xx系统渗透测试报告》以及配合甲方完成其他相关过程文档。          </w:t>
      </w:r>
    </w:p>
    <w:p w14:paraId="633534AE">
      <w:pPr>
        <w:pStyle w:val="17"/>
        <w:widowControl/>
        <w:numPr>
          <w:ilvl w:val="0"/>
          <w:numId w:val="15"/>
        </w:numPr>
        <w:tabs>
          <w:tab w:val="left" w:pos="1320"/>
          <w:tab w:val="clear" w:pos="210"/>
        </w:tabs>
        <w:spacing w:line="240" w:lineRule="auto"/>
        <w:ind w:left="0" w:leftChars="0" w:firstLine="480" w:firstLineChars="200"/>
        <w:rPr>
          <w:rFonts w:hint="eastAsia" w:ascii="宋体" w:hAnsi="宋体" w:eastAsia="宋体" w:cs="宋体"/>
          <w:b w:val="0"/>
          <w:color w:val="auto"/>
          <w:sz w:val="24"/>
          <w:szCs w:val="24"/>
          <w:highlight w:val="none"/>
        </w:rPr>
      </w:pPr>
      <w:r>
        <w:rPr>
          <w:rFonts w:hint="eastAsia" w:ascii="宋体" w:hAnsi="宋体" w:eastAsia="宋体" w:cs="宋体"/>
          <w:color w:val="auto"/>
          <w:sz w:val="24"/>
          <w:szCs w:val="24"/>
          <w:highlight w:val="none"/>
        </w:rPr>
        <w:t>双方确定，按以下约定承担各自的违约责任：</w:t>
      </w:r>
    </w:p>
    <w:p w14:paraId="4BD98A18">
      <w:pPr>
        <w:pStyle w:val="17"/>
        <w:widowControl/>
        <w:numPr>
          <w:ilvl w:val="0"/>
          <w:numId w:val="28"/>
        </w:numPr>
        <w:tabs>
          <w:tab w:val="left" w:pos="780"/>
          <w:tab w:val="clear" w:pos="210"/>
        </w:tabs>
        <w:spacing w:line="240" w:lineRule="auto"/>
        <w:ind w:left="0" w:leftChars="0" w:firstLine="480" w:firstLineChars="200"/>
        <w:rPr>
          <w:rFonts w:hint="eastAsia" w:ascii="宋体" w:hAnsi="宋体" w:eastAsia="宋体" w:cs="宋体"/>
          <w:b w:val="0"/>
          <w:color w:val="auto"/>
          <w:sz w:val="24"/>
          <w:szCs w:val="24"/>
          <w:highlight w:val="none"/>
        </w:rPr>
      </w:pPr>
      <w:r>
        <w:rPr>
          <w:rFonts w:hint="eastAsia" w:ascii="宋体" w:hAnsi="宋体" w:eastAsia="宋体" w:cs="宋体"/>
          <w:color w:val="auto"/>
          <w:sz w:val="24"/>
          <w:szCs w:val="24"/>
          <w:highlight w:val="none"/>
          <w:u w:val="single"/>
        </w:rPr>
        <w:t xml:space="preserve">乙 </w:t>
      </w:r>
      <w:r>
        <w:rPr>
          <w:rFonts w:hint="eastAsia" w:ascii="宋体" w:hAnsi="宋体" w:eastAsia="宋体" w:cs="宋体"/>
          <w:color w:val="auto"/>
          <w:sz w:val="24"/>
          <w:szCs w:val="24"/>
          <w:highlight w:val="none"/>
        </w:rPr>
        <w:t>方违反本合同第</w:t>
      </w:r>
      <w:r>
        <w:rPr>
          <w:rFonts w:hint="eastAsia" w:ascii="宋体" w:hAnsi="宋体" w:eastAsia="宋体" w:cs="宋体"/>
          <w:color w:val="auto"/>
          <w:sz w:val="24"/>
          <w:szCs w:val="24"/>
          <w:highlight w:val="none"/>
          <w:u w:val="single"/>
        </w:rPr>
        <w:t xml:space="preserve">  一   </w:t>
      </w:r>
      <w:r>
        <w:rPr>
          <w:rFonts w:hint="eastAsia" w:ascii="宋体" w:hAnsi="宋体" w:eastAsia="宋体" w:cs="宋体"/>
          <w:color w:val="auto"/>
          <w:sz w:val="24"/>
          <w:szCs w:val="24"/>
          <w:highlight w:val="none"/>
        </w:rPr>
        <w:t>条约定，应当每逾期一日，应向甲方支付合同总金额万分之三的违约金。</w:t>
      </w:r>
    </w:p>
    <w:p w14:paraId="5679A695">
      <w:pPr>
        <w:pStyle w:val="17"/>
        <w:widowControl/>
        <w:numPr>
          <w:ilvl w:val="0"/>
          <w:numId w:val="28"/>
        </w:numPr>
        <w:tabs>
          <w:tab w:val="left" w:pos="780"/>
          <w:tab w:val="clear" w:pos="210"/>
        </w:tabs>
        <w:spacing w:line="240" w:lineRule="auto"/>
        <w:ind w:left="0" w:leftChars="0" w:firstLine="480" w:firstLineChars="200"/>
        <w:rPr>
          <w:rFonts w:hint="eastAsia" w:ascii="宋体" w:hAnsi="宋体" w:eastAsia="宋体" w:cs="宋体"/>
          <w:b w:val="0"/>
          <w:color w:val="auto"/>
          <w:sz w:val="24"/>
          <w:szCs w:val="24"/>
          <w:highlight w:val="none"/>
        </w:rPr>
      </w:pPr>
      <w:r>
        <w:rPr>
          <w:rFonts w:hint="eastAsia" w:ascii="宋体" w:hAnsi="宋体" w:eastAsia="宋体" w:cs="宋体"/>
          <w:color w:val="auto"/>
          <w:sz w:val="24"/>
          <w:szCs w:val="24"/>
          <w:highlight w:val="none"/>
          <w:u w:val="single"/>
        </w:rPr>
        <w:t xml:space="preserve">乙 </w:t>
      </w:r>
      <w:r>
        <w:rPr>
          <w:rFonts w:hint="eastAsia" w:ascii="宋体" w:hAnsi="宋体" w:eastAsia="宋体" w:cs="宋体"/>
          <w:color w:val="auto"/>
          <w:sz w:val="24"/>
          <w:szCs w:val="24"/>
          <w:highlight w:val="none"/>
        </w:rPr>
        <w:t>方违反本合同第</w:t>
      </w:r>
      <w:r>
        <w:rPr>
          <w:rFonts w:hint="eastAsia" w:ascii="宋体" w:hAnsi="宋体" w:eastAsia="宋体" w:cs="宋体"/>
          <w:color w:val="auto"/>
          <w:sz w:val="24"/>
          <w:szCs w:val="24"/>
          <w:highlight w:val="none"/>
          <w:u w:val="single"/>
        </w:rPr>
        <w:t xml:space="preserve">  五  </w:t>
      </w:r>
      <w:r>
        <w:rPr>
          <w:rFonts w:hint="eastAsia" w:ascii="宋体" w:hAnsi="宋体" w:eastAsia="宋体" w:cs="宋体"/>
          <w:color w:val="auto"/>
          <w:sz w:val="24"/>
          <w:szCs w:val="24"/>
          <w:highlight w:val="none"/>
        </w:rPr>
        <w:t>条约定，应向甲方支付合同总金额百分之二十的违约金。如违约金不足以弥补甲方实际损失的，乙方还应赔偿甲方的实际损失。甲方有权追究其乙方刑事责任。</w:t>
      </w:r>
    </w:p>
    <w:p w14:paraId="71F071B2">
      <w:pPr>
        <w:pStyle w:val="17"/>
        <w:widowControl/>
        <w:numPr>
          <w:ilvl w:val="0"/>
          <w:numId w:val="28"/>
        </w:numPr>
        <w:tabs>
          <w:tab w:val="left" w:pos="780"/>
          <w:tab w:val="clear" w:pos="210"/>
        </w:tabs>
        <w:spacing w:line="240" w:lineRule="auto"/>
        <w:ind w:left="0" w:leftChars="0" w:firstLine="480" w:firstLineChars="200"/>
        <w:rPr>
          <w:rFonts w:hint="eastAsia" w:ascii="宋体" w:hAnsi="宋体" w:eastAsia="宋体" w:cs="宋体"/>
          <w:b w:val="0"/>
          <w:color w:val="auto"/>
          <w:sz w:val="24"/>
          <w:szCs w:val="24"/>
          <w:highlight w:val="none"/>
        </w:rPr>
      </w:pPr>
      <w:r>
        <w:rPr>
          <w:rFonts w:hint="eastAsia" w:ascii="宋体" w:hAnsi="宋体" w:eastAsia="宋体" w:cs="宋体"/>
          <w:color w:val="auto"/>
          <w:sz w:val="24"/>
          <w:szCs w:val="24"/>
          <w:highlight w:val="none"/>
          <w:u w:val="single"/>
        </w:rPr>
        <w:t xml:space="preserve">乙 </w:t>
      </w:r>
      <w:r>
        <w:rPr>
          <w:rFonts w:hint="eastAsia" w:ascii="宋体" w:hAnsi="宋体" w:eastAsia="宋体" w:cs="宋体"/>
          <w:color w:val="auto"/>
          <w:sz w:val="24"/>
          <w:szCs w:val="24"/>
          <w:highlight w:val="none"/>
        </w:rPr>
        <w:t>方违反本合同第</w:t>
      </w:r>
      <w:r>
        <w:rPr>
          <w:rFonts w:hint="eastAsia" w:ascii="宋体" w:hAnsi="宋体" w:eastAsia="宋体" w:cs="宋体"/>
          <w:color w:val="auto"/>
          <w:sz w:val="24"/>
          <w:szCs w:val="24"/>
          <w:highlight w:val="none"/>
          <w:u w:val="single"/>
        </w:rPr>
        <w:t xml:space="preserve">  七 </w:t>
      </w:r>
      <w:r>
        <w:rPr>
          <w:rFonts w:hint="eastAsia" w:ascii="宋体" w:hAnsi="宋体" w:eastAsia="宋体" w:cs="宋体"/>
          <w:color w:val="auto"/>
          <w:sz w:val="24"/>
          <w:szCs w:val="24"/>
          <w:highlight w:val="none"/>
        </w:rPr>
        <w:t>条约定，应当每被有效投诉一次，应向甲方支付合同金额千分之三的违约金，如被有效投诉达到五次，甲方有权终止合同。</w:t>
      </w:r>
    </w:p>
    <w:p w14:paraId="27A0B7C8">
      <w:pPr>
        <w:pStyle w:val="17"/>
        <w:widowControl/>
        <w:numPr>
          <w:ilvl w:val="0"/>
          <w:numId w:val="28"/>
        </w:numPr>
        <w:tabs>
          <w:tab w:val="left" w:pos="780"/>
          <w:tab w:val="clear" w:pos="210"/>
        </w:tabs>
        <w:spacing w:line="240" w:lineRule="auto"/>
        <w:ind w:left="0" w:leftChars="0" w:firstLine="480" w:firstLineChars="200"/>
        <w:rPr>
          <w:rFonts w:hint="eastAsia" w:ascii="宋体" w:hAnsi="宋体" w:eastAsia="宋体" w:cs="宋体"/>
          <w:b w:val="0"/>
          <w:color w:val="auto"/>
          <w:sz w:val="24"/>
          <w:szCs w:val="24"/>
          <w:highlight w:val="none"/>
        </w:rPr>
      </w:pPr>
      <w:r>
        <w:rPr>
          <w:rFonts w:hint="eastAsia" w:ascii="宋体" w:hAnsi="宋体" w:eastAsia="宋体" w:cs="宋体"/>
          <w:color w:val="auto"/>
          <w:sz w:val="24"/>
          <w:szCs w:val="24"/>
          <w:highlight w:val="none"/>
          <w:u w:val="single"/>
        </w:rPr>
        <w:t xml:space="preserve">甲 </w:t>
      </w:r>
      <w:r>
        <w:rPr>
          <w:rFonts w:hint="eastAsia" w:ascii="宋体" w:hAnsi="宋体" w:eastAsia="宋体" w:cs="宋体"/>
          <w:color w:val="auto"/>
          <w:sz w:val="24"/>
          <w:szCs w:val="24"/>
          <w:highlight w:val="none"/>
        </w:rPr>
        <w:t>方违反本合同</w:t>
      </w:r>
      <w:r>
        <w:rPr>
          <w:rFonts w:hint="eastAsia" w:ascii="宋体" w:hAnsi="宋体" w:eastAsia="宋体" w:cs="宋体"/>
          <w:color w:val="auto"/>
          <w:sz w:val="24"/>
          <w:szCs w:val="24"/>
          <w:highlight w:val="none"/>
          <w:u w:val="single"/>
        </w:rPr>
        <w:t>第 三 条</w:t>
      </w:r>
      <w:r>
        <w:rPr>
          <w:rFonts w:hint="eastAsia" w:ascii="宋体" w:hAnsi="宋体" w:eastAsia="宋体" w:cs="宋体"/>
          <w:color w:val="auto"/>
          <w:sz w:val="24"/>
          <w:szCs w:val="24"/>
          <w:highlight w:val="none"/>
        </w:rPr>
        <w:t>约定，应当自行承担未按时提供技术资料及相应协助工作而导致的一切后果。</w:t>
      </w:r>
    </w:p>
    <w:p w14:paraId="68B46D8C">
      <w:pPr>
        <w:pStyle w:val="17"/>
        <w:widowControl/>
        <w:numPr>
          <w:ilvl w:val="0"/>
          <w:numId w:val="28"/>
        </w:numPr>
        <w:tabs>
          <w:tab w:val="left" w:pos="780"/>
          <w:tab w:val="clear" w:pos="210"/>
        </w:tabs>
        <w:spacing w:line="240" w:lineRule="auto"/>
        <w:ind w:left="0" w:leftChars="0" w:firstLine="480" w:firstLineChars="200"/>
        <w:rPr>
          <w:rFonts w:hint="eastAsia" w:ascii="宋体" w:hAnsi="宋体" w:eastAsia="宋体" w:cs="宋体"/>
          <w:b w:val="0"/>
          <w:color w:val="auto"/>
          <w:sz w:val="24"/>
          <w:szCs w:val="24"/>
          <w:highlight w:val="none"/>
        </w:rPr>
      </w:pPr>
      <w:r>
        <w:rPr>
          <w:rFonts w:hint="eastAsia" w:ascii="宋体" w:hAnsi="宋体" w:eastAsia="宋体" w:cs="宋体"/>
          <w:color w:val="auto"/>
          <w:sz w:val="24"/>
          <w:szCs w:val="24"/>
          <w:highlight w:val="none"/>
          <w:u w:val="single"/>
        </w:rPr>
        <w:t xml:space="preserve">甲 </w:t>
      </w:r>
      <w:r>
        <w:rPr>
          <w:rFonts w:hint="eastAsia" w:ascii="宋体" w:hAnsi="宋体" w:eastAsia="宋体" w:cs="宋体"/>
          <w:color w:val="auto"/>
          <w:sz w:val="24"/>
          <w:szCs w:val="24"/>
          <w:highlight w:val="none"/>
        </w:rPr>
        <w:t>方违反本合同第</w:t>
      </w:r>
      <w:r>
        <w:rPr>
          <w:rFonts w:hint="eastAsia" w:ascii="宋体" w:hAnsi="宋体" w:eastAsia="宋体" w:cs="宋体"/>
          <w:color w:val="auto"/>
          <w:sz w:val="24"/>
          <w:szCs w:val="24"/>
          <w:highlight w:val="none"/>
          <w:u w:val="single"/>
        </w:rPr>
        <w:t xml:space="preserve">  四  </w:t>
      </w:r>
      <w:r>
        <w:rPr>
          <w:rFonts w:hint="eastAsia" w:ascii="宋体" w:hAnsi="宋体" w:eastAsia="宋体" w:cs="宋体"/>
          <w:color w:val="auto"/>
          <w:sz w:val="24"/>
          <w:szCs w:val="24"/>
          <w:highlight w:val="none"/>
        </w:rPr>
        <w:t>条约定，应当每逾期一日，已逾期未付款为基准，按照合同签订时的一年贷款市场报价利率（LPR）向乙方支付违约金，最高不超过合同总价款金额的10%。</w:t>
      </w:r>
    </w:p>
    <w:p w14:paraId="08866B0B">
      <w:pPr>
        <w:pStyle w:val="17"/>
        <w:widowControl/>
        <w:numPr>
          <w:ilvl w:val="0"/>
          <w:numId w:val="28"/>
        </w:numPr>
        <w:tabs>
          <w:tab w:val="left" w:pos="780"/>
          <w:tab w:val="clear" w:pos="210"/>
        </w:tabs>
        <w:spacing w:line="240" w:lineRule="auto"/>
        <w:ind w:left="0" w:leftChars="0" w:firstLine="480" w:firstLineChars="200"/>
        <w:rPr>
          <w:rFonts w:hint="eastAsia" w:ascii="宋体" w:hAnsi="宋体" w:eastAsia="宋体" w:cs="宋体"/>
          <w:b w:val="0"/>
          <w:color w:val="auto"/>
          <w:sz w:val="24"/>
          <w:szCs w:val="24"/>
          <w:highlight w:val="none"/>
        </w:rPr>
      </w:pPr>
      <w:r>
        <w:rPr>
          <w:rFonts w:hint="eastAsia" w:ascii="宋体" w:hAnsi="宋体" w:eastAsia="宋体" w:cs="宋体"/>
          <w:color w:val="auto"/>
          <w:sz w:val="24"/>
          <w:szCs w:val="24"/>
          <w:highlight w:val="none"/>
          <w:u w:val="single"/>
        </w:rPr>
        <w:t xml:space="preserve">乙 </w:t>
      </w:r>
      <w:r>
        <w:rPr>
          <w:rFonts w:hint="eastAsia" w:ascii="宋体" w:hAnsi="宋体" w:eastAsia="宋体" w:cs="宋体"/>
          <w:color w:val="auto"/>
          <w:sz w:val="24"/>
          <w:szCs w:val="24"/>
          <w:highlight w:val="none"/>
        </w:rPr>
        <w:t>方违反本合同甲方管理制度，驻场人员违反甲方管理制度，应向甲方支付合同总金额万分之五的违约金，驻场人员请休假乙方未派相应人员接替并完成驻场服务工作的，每日应向甲方支付合同总金额万分之一的违约金。</w:t>
      </w:r>
    </w:p>
    <w:p w14:paraId="3ABEE8FF">
      <w:pPr>
        <w:pStyle w:val="17"/>
        <w:widowControl/>
        <w:numPr>
          <w:ilvl w:val="0"/>
          <w:numId w:val="28"/>
        </w:numPr>
        <w:tabs>
          <w:tab w:val="left" w:pos="780"/>
          <w:tab w:val="clear" w:pos="210"/>
        </w:tabs>
        <w:spacing w:line="240" w:lineRule="auto"/>
        <w:ind w:left="0" w:leftChars="0" w:firstLine="480" w:firstLineChars="200"/>
        <w:rPr>
          <w:rFonts w:hint="eastAsia" w:ascii="宋体" w:hAnsi="宋体" w:eastAsia="宋体" w:cs="宋体"/>
          <w:b w:val="0"/>
          <w:color w:val="auto"/>
          <w:sz w:val="24"/>
          <w:szCs w:val="24"/>
          <w:highlight w:val="none"/>
        </w:rPr>
      </w:pPr>
      <w:r>
        <w:rPr>
          <w:rFonts w:hint="eastAsia" w:ascii="宋体" w:hAnsi="宋体" w:eastAsia="宋体" w:cs="宋体"/>
          <w:color w:val="auto"/>
          <w:sz w:val="24"/>
          <w:szCs w:val="24"/>
          <w:highlight w:val="none"/>
        </w:rPr>
        <w:t>甲方资料提交不及时或因其原因而造成乙方不能如期履行合同的，乙方完成并提交工作成果的时间相应顺延。</w:t>
      </w:r>
    </w:p>
    <w:p w14:paraId="6207AB85">
      <w:pPr>
        <w:pStyle w:val="17"/>
        <w:widowControl/>
        <w:numPr>
          <w:ilvl w:val="0"/>
          <w:numId w:val="28"/>
        </w:numPr>
        <w:tabs>
          <w:tab w:val="left" w:pos="780"/>
          <w:tab w:val="clear" w:pos="210"/>
        </w:tabs>
        <w:spacing w:line="240" w:lineRule="auto"/>
        <w:ind w:left="0" w:leftChars="0" w:firstLine="480" w:firstLineChars="200"/>
        <w:rPr>
          <w:rFonts w:hint="eastAsia" w:ascii="宋体" w:hAnsi="宋体" w:eastAsia="宋体" w:cs="宋体"/>
          <w:b w:val="0"/>
          <w:color w:val="auto"/>
          <w:sz w:val="24"/>
          <w:szCs w:val="24"/>
          <w:highlight w:val="none"/>
        </w:rPr>
      </w:pPr>
      <w:r>
        <w:rPr>
          <w:rFonts w:hint="eastAsia" w:ascii="宋体" w:hAnsi="宋体" w:eastAsia="宋体" w:cs="宋体"/>
          <w:color w:val="auto"/>
          <w:sz w:val="24"/>
          <w:szCs w:val="24"/>
          <w:highlight w:val="none"/>
        </w:rPr>
        <w:t>违约方除承担违约责任外守约方因维护合法权益所支出的维权费用包括但不限于律师费、诉讼费、交通费等一切维权合理支出均由违约方承担。</w:t>
      </w:r>
    </w:p>
    <w:p w14:paraId="7EFD9081">
      <w:pPr>
        <w:pStyle w:val="17"/>
        <w:widowControl/>
        <w:numPr>
          <w:ilvl w:val="0"/>
          <w:numId w:val="15"/>
        </w:numPr>
        <w:tabs>
          <w:tab w:val="left" w:pos="1320"/>
          <w:tab w:val="clear" w:pos="210"/>
        </w:tabs>
        <w:spacing w:line="240" w:lineRule="auto"/>
        <w:ind w:left="0" w:leftChars="0" w:firstLine="480" w:firstLineChars="200"/>
        <w:rPr>
          <w:rFonts w:hint="eastAsia" w:ascii="宋体" w:hAnsi="宋体" w:eastAsia="宋体" w:cs="宋体"/>
          <w:b w:val="0"/>
          <w:color w:val="auto"/>
          <w:sz w:val="24"/>
          <w:szCs w:val="24"/>
          <w:highlight w:val="none"/>
        </w:rPr>
      </w:pPr>
      <w:r>
        <w:rPr>
          <w:rFonts w:hint="eastAsia" w:ascii="宋体" w:hAnsi="宋体" w:eastAsia="宋体" w:cs="宋体"/>
          <w:color w:val="auto"/>
          <w:sz w:val="24"/>
          <w:szCs w:val="24"/>
          <w:highlight w:val="none"/>
        </w:rPr>
        <w:t>双方确定，在本合同有效期内，甲方指定</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为甲方项目联系人，乙方指定</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为乙方项目联系人，一方变更项目联系人的，应当及时以书面形式通知另一方，未及时通知并影响本合同履行或造成损失的，应承担相应的责任。</w:t>
      </w:r>
    </w:p>
    <w:p w14:paraId="71F53E57">
      <w:pPr>
        <w:pStyle w:val="17"/>
        <w:widowControl/>
        <w:numPr>
          <w:ilvl w:val="0"/>
          <w:numId w:val="15"/>
        </w:numPr>
        <w:tabs>
          <w:tab w:val="left" w:pos="1320"/>
          <w:tab w:val="clear" w:pos="210"/>
        </w:tabs>
        <w:spacing w:line="240" w:lineRule="auto"/>
        <w:ind w:left="0" w:leftChars="0" w:firstLine="480" w:firstLineChars="200"/>
        <w:rPr>
          <w:rFonts w:hint="eastAsia" w:ascii="宋体" w:hAnsi="宋体" w:eastAsia="宋体" w:cs="宋体"/>
          <w:b w:val="0"/>
          <w:color w:val="auto"/>
          <w:sz w:val="24"/>
          <w:szCs w:val="24"/>
          <w:highlight w:val="none"/>
        </w:rPr>
      </w:pPr>
      <w:r>
        <w:rPr>
          <w:rFonts w:hint="eastAsia" w:ascii="宋体" w:hAnsi="宋体" w:eastAsia="宋体" w:cs="宋体"/>
          <w:color w:val="auto"/>
          <w:sz w:val="24"/>
          <w:szCs w:val="24"/>
          <w:highlight w:val="none"/>
        </w:rPr>
        <w:t>双方确定，出现下列情形，致使本合同的履行成为不必要或不可能的，可以解除本合同：</w:t>
      </w:r>
    </w:p>
    <w:p w14:paraId="4A64A34F">
      <w:pPr>
        <w:pStyle w:val="17"/>
        <w:widowControl/>
        <w:numPr>
          <w:ilvl w:val="0"/>
          <w:numId w:val="29"/>
        </w:numPr>
        <w:tabs>
          <w:tab w:val="left" w:pos="780"/>
          <w:tab w:val="clear" w:pos="210"/>
        </w:tabs>
        <w:spacing w:line="240" w:lineRule="auto"/>
        <w:ind w:left="0" w:leftChars="0" w:firstLine="480" w:firstLineChars="200"/>
        <w:rPr>
          <w:rFonts w:hint="eastAsia" w:ascii="宋体" w:hAnsi="宋体" w:eastAsia="宋体" w:cs="宋体"/>
          <w:b w:val="0"/>
          <w:color w:val="auto"/>
          <w:sz w:val="24"/>
          <w:szCs w:val="24"/>
          <w:highlight w:val="none"/>
        </w:rPr>
      </w:pPr>
      <w:r>
        <w:rPr>
          <w:rFonts w:hint="eastAsia" w:ascii="宋体" w:hAnsi="宋体" w:eastAsia="宋体" w:cs="宋体"/>
          <w:color w:val="auto"/>
          <w:sz w:val="24"/>
          <w:szCs w:val="24"/>
          <w:highlight w:val="none"/>
        </w:rPr>
        <w:t>发生不可抗力；</w:t>
      </w:r>
    </w:p>
    <w:p w14:paraId="59D3AC4E">
      <w:pPr>
        <w:pStyle w:val="17"/>
        <w:widowControl/>
        <w:numPr>
          <w:ilvl w:val="0"/>
          <w:numId w:val="29"/>
        </w:numPr>
        <w:tabs>
          <w:tab w:val="left" w:pos="780"/>
          <w:tab w:val="clear" w:pos="210"/>
        </w:tabs>
        <w:spacing w:line="240" w:lineRule="auto"/>
        <w:ind w:left="0" w:leftChars="0" w:firstLine="480" w:firstLineChars="200"/>
        <w:rPr>
          <w:rFonts w:hint="eastAsia" w:ascii="宋体" w:hAnsi="宋体" w:eastAsia="宋体" w:cs="宋体"/>
          <w:b w:val="0"/>
          <w:color w:val="auto"/>
          <w:sz w:val="24"/>
          <w:szCs w:val="24"/>
          <w:highlight w:val="none"/>
        </w:rPr>
      </w:pPr>
      <w:r>
        <w:rPr>
          <w:rFonts w:hint="eastAsia" w:ascii="宋体" w:hAnsi="宋体" w:eastAsia="宋体" w:cs="宋体"/>
          <w:color w:val="auto"/>
          <w:sz w:val="24"/>
          <w:szCs w:val="24"/>
          <w:highlight w:val="none"/>
        </w:rPr>
        <w:t>暴动、火灾、爆炸、天灾、战争、政府行为或其他人力不可抗拒的因素所造成的失误或损失。</w:t>
      </w:r>
    </w:p>
    <w:p w14:paraId="68538D42">
      <w:pPr>
        <w:pStyle w:val="17"/>
        <w:widowControl/>
        <w:numPr>
          <w:ilvl w:val="0"/>
          <w:numId w:val="15"/>
        </w:numPr>
        <w:tabs>
          <w:tab w:val="left" w:pos="1320"/>
          <w:tab w:val="clear" w:pos="210"/>
        </w:tabs>
        <w:spacing w:line="240" w:lineRule="auto"/>
        <w:ind w:left="0" w:leftChars="0" w:firstLine="480" w:firstLineChars="200"/>
        <w:rPr>
          <w:rFonts w:hint="eastAsia" w:ascii="宋体" w:hAnsi="宋体" w:eastAsia="宋体" w:cs="宋体"/>
          <w:b w:val="0"/>
          <w:color w:val="auto"/>
          <w:sz w:val="24"/>
          <w:szCs w:val="24"/>
          <w:highlight w:val="none"/>
        </w:rPr>
      </w:pPr>
      <w:r>
        <w:rPr>
          <w:rFonts w:hint="eastAsia" w:ascii="宋体" w:hAnsi="宋体" w:eastAsia="宋体" w:cs="宋体"/>
          <w:color w:val="auto"/>
          <w:sz w:val="24"/>
          <w:szCs w:val="24"/>
          <w:highlight w:val="none"/>
        </w:rPr>
        <w:t>双方因履行本合同而发生的争议，应协商、调解解决。</w:t>
      </w:r>
    </w:p>
    <w:p w14:paraId="1AF19D7D">
      <w:pPr>
        <w:pStyle w:val="17"/>
        <w:widowControl/>
        <w:spacing w:line="240" w:lineRule="auto"/>
        <w:ind w:left="0" w:leftChars="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协商、调解不成的，确定按以下第</w:t>
      </w:r>
      <w:r>
        <w:rPr>
          <w:rFonts w:hint="eastAsia" w:ascii="宋体" w:hAnsi="宋体" w:eastAsia="宋体" w:cs="宋体"/>
          <w:color w:val="auto"/>
          <w:sz w:val="24"/>
          <w:szCs w:val="24"/>
          <w:highlight w:val="none"/>
          <w:u w:val="single"/>
        </w:rPr>
        <w:t xml:space="preserve">    2    </w:t>
      </w:r>
      <w:r>
        <w:rPr>
          <w:rFonts w:hint="eastAsia" w:ascii="宋体" w:hAnsi="宋体" w:eastAsia="宋体" w:cs="宋体"/>
          <w:color w:val="auto"/>
          <w:sz w:val="24"/>
          <w:szCs w:val="24"/>
          <w:highlight w:val="none"/>
        </w:rPr>
        <w:t>种方式处理：</w:t>
      </w:r>
    </w:p>
    <w:p w14:paraId="476892D9">
      <w:pPr>
        <w:pStyle w:val="17"/>
        <w:widowControl/>
        <w:numPr>
          <w:ilvl w:val="0"/>
          <w:numId w:val="30"/>
        </w:numPr>
        <w:tabs>
          <w:tab w:val="left" w:pos="780"/>
          <w:tab w:val="clear" w:pos="210"/>
        </w:tabs>
        <w:spacing w:line="240" w:lineRule="auto"/>
        <w:ind w:left="0" w:leftChars="0" w:firstLine="480" w:firstLineChars="200"/>
        <w:rPr>
          <w:rFonts w:hint="eastAsia" w:ascii="宋体" w:hAnsi="宋体" w:eastAsia="宋体" w:cs="宋体"/>
          <w:b w:val="0"/>
          <w:color w:val="auto"/>
          <w:sz w:val="24"/>
          <w:szCs w:val="24"/>
          <w:highlight w:val="none"/>
        </w:rPr>
      </w:pPr>
      <w:r>
        <w:rPr>
          <w:rFonts w:hint="eastAsia" w:ascii="宋体" w:hAnsi="宋体" w:eastAsia="宋体" w:cs="宋体"/>
          <w:color w:val="auto"/>
          <w:sz w:val="24"/>
          <w:szCs w:val="24"/>
          <w:highlight w:val="none"/>
        </w:rPr>
        <w:t>提交              /                 仲裁委员会仲裁；</w:t>
      </w:r>
    </w:p>
    <w:p w14:paraId="4DA65419">
      <w:pPr>
        <w:pStyle w:val="17"/>
        <w:widowControl/>
        <w:numPr>
          <w:ilvl w:val="0"/>
          <w:numId w:val="30"/>
        </w:numPr>
        <w:tabs>
          <w:tab w:val="left" w:pos="780"/>
          <w:tab w:val="clear" w:pos="210"/>
        </w:tabs>
        <w:spacing w:line="240" w:lineRule="auto"/>
        <w:ind w:left="0" w:leftChars="0" w:firstLine="480" w:firstLineChars="200"/>
        <w:rPr>
          <w:rFonts w:hint="eastAsia" w:ascii="宋体" w:hAnsi="宋体" w:eastAsia="宋体" w:cs="宋体"/>
          <w:b w:val="0"/>
          <w:color w:val="auto"/>
          <w:sz w:val="24"/>
          <w:szCs w:val="24"/>
          <w:highlight w:val="none"/>
        </w:rPr>
      </w:pPr>
      <w:r>
        <w:rPr>
          <w:rFonts w:hint="eastAsia" w:ascii="宋体" w:hAnsi="宋体" w:eastAsia="宋体" w:cs="宋体"/>
          <w:color w:val="auto"/>
          <w:sz w:val="24"/>
          <w:szCs w:val="24"/>
          <w:highlight w:val="none"/>
        </w:rPr>
        <w:t>依法向甲方所在地有管辖权权的法院起诉。</w:t>
      </w:r>
    </w:p>
    <w:p w14:paraId="4F2F2D2B">
      <w:pPr>
        <w:pStyle w:val="17"/>
        <w:widowControl/>
        <w:numPr>
          <w:ilvl w:val="0"/>
          <w:numId w:val="15"/>
        </w:numPr>
        <w:tabs>
          <w:tab w:val="left" w:pos="1320"/>
          <w:tab w:val="clear" w:pos="210"/>
        </w:tabs>
        <w:spacing w:line="240" w:lineRule="auto"/>
        <w:ind w:left="0" w:leftChars="0" w:firstLine="480" w:firstLineChars="200"/>
        <w:rPr>
          <w:rFonts w:hint="eastAsia" w:ascii="宋体" w:hAnsi="宋体" w:eastAsia="宋体" w:cs="宋体"/>
          <w:b w:val="0"/>
          <w:color w:val="auto"/>
          <w:sz w:val="24"/>
          <w:szCs w:val="24"/>
          <w:highlight w:val="none"/>
        </w:rPr>
      </w:pPr>
      <w:r>
        <w:rPr>
          <w:rFonts w:hint="eastAsia" w:ascii="宋体" w:hAnsi="宋体" w:eastAsia="宋体" w:cs="宋体"/>
          <w:color w:val="auto"/>
          <w:sz w:val="24"/>
          <w:szCs w:val="24"/>
          <w:highlight w:val="none"/>
        </w:rPr>
        <w:t>双方确定：本合同及相关附件中所涉及的有关名词和技术术语，其定义和解释如下：</w:t>
      </w:r>
    </w:p>
    <w:p w14:paraId="1E07324B">
      <w:pPr>
        <w:pStyle w:val="17"/>
        <w:widowControl/>
        <w:spacing w:line="240" w:lineRule="auto"/>
        <w:ind w:left="0" w:leftChars="0"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1. </w:t>
      </w:r>
      <w:r>
        <w:rPr>
          <w:rFonts w:hint="eastAsia" w:ascii="宋体" w:hAnsi="宋体" w:eastAsia="宋体" w:cs="宋体"/>
          <w:color w:val="auto"/>
          <w:sz w:val="24"/>
          <w:szCs w:val="24"/>
          <w:highlight w:val="none"/>
          <w:u w:val="single"/>
        </w:rPr>
        <w:t xml:space="preserve">   无                                             </w:t>
      </w:r>
      <w:r>
        <w:rPr>
          <w:rFonts w:hint="eastAsia" w:ascii="宋体" w:hAnsi="宋体" w:eastAsia="宋体" w:cs="宋体"/>
          <w:color w:val="auto"/>
          <w:sz w:val="24"/>
          <w:szCs w:val="24"/>
          <w:highlight w:val="none"/>
        </w:rPr>
        <w:t>；</w:t>
      </w:r>
    </w:p>
    <w:p w14:paraId="07436D4E">
      <w:pPr>
        <w:pStyle w:val="17"/>
        <w:widowControl/>
        <w:numPr>
          <w:ilvl w:val="0"/>
          <w:numId w:val="15"/>
        </w:numPr>
        <w:tabs>
          <w:tab w:val="left" w:pos="1320"/>
          <w:tab w:val="clear" w:pos="210"/>
        </w:tabs>
        <w:spacing w:line="240" w:lineRule="auto"/>
        <w:ind w:left="0" w:leftChars="0" w:firstLine="480" w:firstLineChars="200"/>
        <w:rPr>
          <w:rFonts w:hint="eastAsia" w:ascii="宋体" w:hAnsi="宋体" w:eastAsia="宋体" w:cs="宋体"/>
          <w:b w:val="0"/>
          <w:color w:val="auto"/>
          <w:sz w:val="24"/>
          <w:szCs w:val="24"/>
          <w:highlight w:val="none"/>
        </w:rPr>
      </w:pPr>
      <w:r>
        <w:rPr>
          <w:rFonts w:hint="eastAsia" w:ascii="宋体" w:hAnsi="宋体" w:eastAsia="宋体" w:cs="宋体"/>
          <w:color w:val="auto"/>
          <w:sz w:val="24"/>
          <w:szCs w:val="24"/>
          <w:highlight w:val="none"/>
        </w:rPr>
        <w:t>与履行本合同有关的下列技术文件，经双方以</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方式确定后，甲方招标文件、乙方投标文件为本合同的组成部分。</w:t>
      </w:r>
    </w:p>
    <w:p w14:paraId="53E7CD3F">
      <w:pPr>
        <w:pStyle w:val="17"/>
        <w:widowControl/>
        <w:numPr>
          <w:ilvl w:val="0"/>
          <w:numId w:val="15"/>
        </w:numPr>
        <w:tabs>
          <w:tab w:val="left" w:pos="1320"/>
          <w:tab w:val="clear" w:pos="210"/>
        </w:tabs>
        <w:spacing w:line="240" w:lineRule="auto"/>
        <w:ind w:left="0" w:leftChars="0" w:firstLine="480" w:firstLineChars="200"/>
        <w:rPr>
          <w:rFonts w:hint="eastAsia" w:ascii="宋体" w:hAnsi="宋体" w:eastAsia="宋体" w:cs="宋体"/>
          <w:b w:val="0"/>
          <w:color w:val="auto"/>
          <w:sz w:val="24"/>
          <w:szCs w:val="24"/>
          <w:highlight w:val="none"/>
        </w:rPr>
      </w:pPr>
      <w:r>
        <w:rPr>
          <w:rFonts w:hint="eastAsia" w:ascii="宋体" w:hAnsi="宋体" w:eastAsia="宋体" w:cs="宋体"/>
          <w:color w:val="auto"/>
          <w:sz w:val="24"/>
          <w:szCs w:val="24"/>
          <w:highlight w:val="none"/>
        </w:rPr>
        <w:t>双方约定本合同其他相关事项为：合同履行中，甲方由于各种原因提出服务内容变更，必须经过甲乙双方的共同讨论、研究与确认，由于变更产生的工作量的增加，甲乙双方协商确定增加的服务费用，并同时签订“补充协议”，做为本合同的补充文件执行，“补充协议”与本合同具有同等的法律效力。</w:t>
      </w:r>
    </w:p>
    <w:p w14:paraId="5B5B7F17">
      <w:pPr>
        <w:pStyle w:val="17"/>
        <w:widowControl/>
        <w:numPr>
          <w:ilvl w:val="0"/>
          <w:numId w:val="15"/>
        </w:numPr>
        <w:tabs>
          <w:tab w:val="left" w:pos="1320"/>
          <w:tab w:val="clear" w:pos="210"/>
        </w:tabs>
        <w:spacing w:line="240" w:lineRule="auto"/>
        <w:ind w:left="0" w:leftChars="0" w:firstLine="480" w:firstLineChars="200"/>
        <w:rPr>
          <w:rFonts w:hint="eastAsia" w:ascii="宋体" w:hAnsi="宋体" w:eastAsia="宋体" w:cs="宋体"/>
          <w:b w:val="0"/>
          <w:color w:val="auto"/>
          <w:sz w:val="24"/>
          <w:szCs w:val="24"/>
          <w:highlight w:val="none"/>
        </w:rPr>
      </w:pPr>
      <w:r>
        <w:rPr>
          <w:rFonts w:hint="eastAsia" w:ascii="宋体" w:hAnsi="宋体" w:eastAsia="宋体" w:cs="宋体"/>
          <w:color w:val="auto"/>
          <w:sz w:val="24"/>
          <w:szCs w:val="24"/>
          <w:highlight w:val="none"/>
        </w:rPr>
        <w:t>本合同一式</w:t>
      </w:r>
      <w:r>
        <w:rPr>
          <w:rFonts w:hint="eastAsia" w:ascii="宋体" w:hAnsi="宋体" w:eastAsia="宋体" w:cs="宋体"/>
          <w:color w:val="auto"/>
          <w:sz w:val="24"/>
          <w:szCs w:val="24"/>
          <w:highlight w:val="none"/>
          <w:u w:val="single"/>
        </w:rPr>
        <w:t xml:space="preserve">   陆  </w:t>
      </w:r>
      <w:r>
        <w:rPr>
          <w:rFonts w:hint="eastAsia" w:ascii="宋体" w:hAnsi="宋体" w:eastAsia="宋体" w:cs="宋体"/>
          <w:color w:val="auto"/>
          <w:sz w:val="24"/>
          <w:szCs w:val="24"/>
          <w:highlight w:val="none"/>
        </w:rPr>
        <w:t>份，双方各持</w:t>
      </w:r>
      <w:r>
        <w:rPr>
          <w:rFonts w:hint="eastAsia" w:ascii="宋体" w:hAnsi="宋体" w:eastAsia="宋体" w:cs="宋体"/>
          <w:color w:val="auto"/>
          <w:sz w:val="24"/>
          <w:szCs w:val="24"/>
          <w:highlight w:val="none"/>
          <w:u w:val="single"/>
        </w:rPr>
        <w:t xml:space="preserve">  叁 </w:t>
      </w:r>
      <w:r>
        <w:rPr>
          <w:rFonts w:hint="eastAsia" w:ascii="宋体" w:hAnsi="宋体" w:eastAsia="宋体" w:cs="宋体"/>
          <w:color w:val="auto"/>
          <w:sz w:val="24"/>
          <w:szCs w:val="24"/>
          <w:highlight w:val="none"/>
        </w:rPr>
        <w:t>份，具有同等法律效力。</w:t>
      </w:r>
    </w:p>
    <w:p w14:paraId="475300EE">
      <w:pPr>
        <w:pStyle w:val="17"/>
        <w:widowControl/>
        <w:numPr>
          <w:ilvl w:val="0"/>
          <w:numId w:val="15"/>
        </w:numPr>
        <w:tabs>
          <w:tab w:val="left" w:pos="1320"/>
          <w:tab w:val="clear" w:pos="210"/>
        </w:tabs>
        <w:spacing w:line="240" w:lineRule="auto"/>
        <w:ind w:left="0" w:leftChars="0" w:firstLine="480" w:firstLineChars="200"/>
        <w:rPr>
          <w:rFonts w:hint="eastAsia" w:ascii="宋体" w:hAnsi="宋体" w:eastAsia="宋体" w:cs="宋体"/>
          <w:b w:val="0"/>
          <w:color w:val="auto"/>
          <w:sz w:val="24"/>
          <w:szCs w:val="24"/>
          <w:highlight w:val="none"/>
        </w:rPr>
      </w:pPr>
      <w:r>
        <w:rPr>
          <w:rFonts w:hint="eastAsia" w:ascii="宋体" w:hAnsi="宋体" w:eastAsia="宋体" w:cs="宋体"/>
          <w:color w:val="auto"/>
          <w:sz w:val="24"/>
          <w:szCs w:val="24"/>
          <w:highlight w:val="none"/>
        </w:rPr>
        <w:t>本合同经双方法定代表人或授权代表签字并加盖公章后生效。授权代表签字的须持有加盖公章的授权委托书及身份证复印件。</w:t>
      </w:r>
    </w:p>
    <w:p w14:paraId="277239CE">
      <w:pPr>
        <w:pStyle w:val="17"/>
        <w:widowControl/>
        <w:spacing w:line="240" w:lineRule="auto"/>
        <w:ind w:left="0" w:leftChars="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（以下无正文，为签字盖章处）</w:t>
      </w:r>
    </w:p>
    <w:p w14:paraId="31C04DC5">
      <w:pPr>
        <w:keepNext w:val="0"/>
        <w:keepLines w:val="0"/>
        <w:pageBreakBefore w:val="0"/>
        <w:tabs>
          <w:tab w:val="left" w:pos="5250"/>
        </w:tabs>
        <w:wordWrap/>
        <w:overflowPunct/>
        <w:topLinePunct w:val="0"/>
        <w:bidi w:val="0"/>
        <w:spacing w:after="120" w:afterAutospacing="0" w:line="240" w:lineRule="auto"/>
        <w:ind w:left="424" w:left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甲方（签章）                        </w:t>
      </w:r>
      <w:r>
        <w:rPr>
          <w:rFonts w:hint="eastAsia" w:ascii="宋体" w:hAnsi="宋体" w:eastAsia="宋体" w:cs="宋体"/>
          <w:color w:val="auto"/>
          <w:sz w:val="24"/>
          <w:szCs w:val="24"/>
          <w:highlight w:val="none"/>
          <w:lang w:val="en-US" w:eastAsia="zh-CN"/>
        </w:rPr>
        <w:tab/>
      </w:r>
      <w:r>
        <w:rPr>
          <w:rFonts w:hint="eastAsia" w:ascii="宋体" w:hAnsi="宋体" w:eastAsia="宋体" w:cs="宋体"/>
          <w:color w:val="auto"/>
          <w:sz w:val="24"/>
          <w:szCs w:val="24"/>
          <w:highlight w:val="none"/>
        </w:rPr>
        <w:t>乙方（签章）</w:t>
      </w:r>
    </w:p>
    <w:p w14:paraId="49C13BFE">
      <w:pPr>
        <w:keepNext w:val="0"/>
        <w:keepLines w:val="0"/>
        <w:pageBreakBefore w:val="0"/>
        <w:tabs>
          <w:tab w:val="left" w:pos="5250"/>
        </w:tabs>
        <w:wordWrap/>
        <w:overflowPunct/>
        <w:topLinePunct w:val="0"/>
        <w:bidi w:val="0"/>
        <w:spacing w:after="120" w:afterAutospacing="0" w:line="240" w:lineRule="auto"/>
        <w:ind w:left="424" w:left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新疆维吾尔自治区</w:t>
      </w:r>
    </w:p>
    <w:p w14:paraId="666BE6E1">
      <w:pPr>
        <w:keepNext w:val="0"/>
        <w:keepLines w:val="0"/>
        <w:pageBreakBefore w:val="0"/>
        <w:tabs>
          <w:tab w:val="left" w:pos="5250"/>
        </w:tabs>
        <w:wordWrap/>
        <w:overflowPunct/>
        <w:topLinePunct w:val="0"/>
        <w:bidi w:val="0"/>
        <w:spacing w:after="120" w:afterAutospacing="0" w:line="240" w:lineRule="auto"/>
        <w:ind w:left="424" w:left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交通运输综合行政执法局</w:t>
      </w:r>
      <w:r>
        <w:rPr>
          <w:rFonts w:hint="eastAsia" w:ascii="宋体" w:hAnsi="宋体" w:eastAsia="宋体" w:cs="宋体"/>
          <w:color w:val="auto"/>
          <w:sz w:val="24"/>
          <w:szCs w:val="24"/>
          <w:highlight w:val="none"/>
        </w:rPr>
        <w:t xml:space="preserve">   </w:t>
      </w:r>
    </w:p>
    <w:p w14:paraId="571EB9ED">
      <w:pPr>
        <w:keepNext w:val="0"/>
        <w:keepLines w:val="0"/>
        <w:pageBreakBefore w:val="0"/>
        <w:tabs>
          <w:tab w:val="left" w:pos="5250"/>
        </w:tabs>
        <w:wordWrap/>
        <w:overflowPunct/>
        <w:topLinePunct w:val="0"/>
        <w:bidi w:val="0"/>
        <w:spacing w:after="120" w:afterAutospacing="0" w:line="240" w:lineRule="auto"/>
        <w:ind w:left="424" w:left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授权代表：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ab/>
      </w:r>
      <w:r>
        <w:rPr>
          <w:rFonts w:hint="eastAsia" w:ascii="宋体" w:hAnsi="宋体" w:eastAsia="宋体" w:cs="宋体"/>
          <w:color w:val="auto"/>
          <w:sz w:val="24"/>
          <w:szCs w:val="24"/>
          <w:highlight w:val="none"/>
        </w:rPr>
        <w:t xml:space="preserve"> 授权代表：</w:t>
      </w:r>
    </w:p>
    <w:p w14:paraId="6D87282D">
      <w:pPr>
        <w:keepNext w:val="0"/>
        <w:keepLines w:val="0"/>
        <w:pageBreakBefore w:val="0"/>
        <w:tabs>
          <w:tab w:val="left" w:pos="5250"/>
        </w:tabs>
        <w:wordWrap/>
        <w:overflowPunct/>
        <w:topLinePunct w:val="0"/>
        <w:bidi w:val="0"/>
        <w:spacing w:line="240" w:lineRule="auto"/>
        <w:ind w:left="424" w:left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43E2485A">
      <w:pPr>
        <w:keepNext w:val="0"/>
        <w:keepLines w:val="0"/>
        <w:pageBreakBefore w:val="0"/>
        <w:tabs>
          <w:tab w:val="left" w:pos="5250"/>
        </w:tabs>
        <w:wordWrap/>
        <w:overflowPunct/>
        <w:topLinePunct w:val="0"/>
        <w:bidi w:val="0"/>
        <w:spacing w:after="120" w:afterAutospacing="0" w:line="240" w:lineRule="auto"/>
        <w:ind w:left="424" w:left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日期：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ab/>
      </w:r>
      <w:r>
        <w:rPr>
          <w:rFonts w:hint="eastAsia" w:ascii="宋体" w:hAnsi="宋体" w:eastAsia="宋体" w:cs="宋体"/>
          <w:color w:val="auto"/>
          <w:sz w:val="24"/>
          <w:szCs w:val="24"/>
          <w:highlight w:val="none"/>
        </w:rPr>
        <w:t>日期：</w:t>
      </w:r>
    </w:p>
    <w:p w14:paraId="222E593F">
      <w:pPr>
        <w:pStyle w:val="17"/>
        <w:jc w:val="center"/>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eastAsia="zh-CN"/>
        </w:rPr>
        <w:t>（</w:t>
      </w:r>
      <w:r>
        <w:rPr>
          <w:rFonts w:hint="eastAsia" w:ascii="宋体" w:hAnsi="宋体" w:eastAsia="宋体" w:cs="宋体"/>
          <w:b/>
          <w:bCs/>
          <w:color w:val="auto"/>
          <w:sz w:val="24"/>
          <w:szCs w:val="24"/>
          <w:highlight w:val="none"/>
        </w:rPr>
        <w:t>合同详细文本内容实际以采购人与成交供应商签订为准</w:t>
      </w:r>
      <w:r>
        <w:rPr>
          <w:rFonts w:hint="eastAsia" w:ascii="宋体" w:hAnsi="宋体" w:cs="宋体"/>
          <w:b/>
          <w:bCs/>
          <w:color w:val="auto"/>
          <w:sz w:val="24"/>
          <w:szCs w:val="24"/>
          <w:highlight w:val="none"/>
          <w:lang w:eastAsia="zh-CN"/>
        </w:rPr>
        <w:t>）</w:t>
      </w:r>
    </w:p>
    <w:p w14:paraId="2F386B99">
      <w:pPr>
        <w:pStyle w:val="3"/>
        <w:keepNext/>
        <w:keepLines w:val="0"/>
        <w:pageBreakBefore/>
        <w:widowControl w:val="0"/>
        <w:kinsoku/>
        <w:wordWrap/>
        <w:overflowPunct/>
        <w:topLinePunct w:val="0"/>
        <w:autoSpaceDE/>
        <w:autoSpaceDN/>
        <w:bidi w:val="0"/>
        <w:adjustRightInd/>
        <w:snapToGrid/>
        <w:spacing w:line="276" w:lineRule="auto"/>
        <w:textAlignment w:val="auto"/>
        <w:rPr>
          <w:rFonts w:hint="eastAsia" w:cs="宋体"/>
          <w:color w:val="auto"/>
          <w:highlight w:val="none"/>
        </w:rPr>
      </w:pPr>
      <w:bookmarkStart w:id="66" w:name="_Toc83726741"/>
      <w:r>
        <w:rPr>
          <w:rFonts w:hint="eastAsia" w:cs="宋体"/>
          <w:color w:val="auto"/>
          <w:highlight w:val="none"/>
        </w:rPr>
        <w:t>第五部分　范本格式</w:t>
      </w:r>
      <w:bookmarkEnd w:id="61"/>
      <w:bookmarkEnd w:id="62"/>
      <w:bookmarkEnd w:id="63"/>
      <w:bookmarkEnd w:id="64"/>
      <w:bookmarkEnd w:id="66"/>
    </w:p>
    <w:p w14:paraId="1DF15A81">
      <w:pPr>
        <w:spacing w:line="276" w:lineRule="auto"/>
        <w:jc w:val="center"/>
        <w:rPr>
          <w:rFonts w:hint="eastAsia" w:ascii="宋体" w:hAnsi="宋体" w:cs="宋体"/>
          <w:color w:val="auto"/>
          <w:sz w:val="24"/>
          <w:highlight w:val="none"/>
        </w:rPr>
      </w:pPr>
      <w:r>
        <w:rPr>
          <w:rFonts w:hint="eastAsia" w:ascii="宋体" w:hAnsi="宋体" w:cs="宋体"/>
          <w:color w:val="auto"/>
          <w:sz w:val="24"/>
          <w:highlight w:val="none"/>
        </w:rPr>
        <w:t>1、 磋商响应书</w:t>
      </w:r>
    </w:p>
    <w:p w14:paraId="5D8A1B44">
      <w:pPr>
        <w:autoSpaceDE w:val="0"/>
        <w:autoSpaceDN w:val="0"/>
        <w:adjustRightInd w:val="0"/>
        <w:spacing w:line="276" w:lineRule="auto"/>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致</w:t>
      </w:r>
      <w:r>
        <w:rPr>
          <w:rFonts w:hint="eastAsia" w:ascii="宋体" w:hAnsi="宋体" w:cs="宋体"/>
          <w:color w:val="auto"/>
          <w:kern w:val="0"/>
          <w:sz w:val="24"/>
          <w:highlight w:val="none"/>
        </w:rPr>
        <w:t xml:space="preserve"> 新疆招标有限公司</w:t>
      </w:r>
      <w:r>
        <w:rPr>
          <w:rFonts w:hint="eastAsia" w:ascii="宋体" w:hAnsi="宋体" w:cs="宋体"/>
          <w:color w:val="auto"/>
          <w:kern w:val="0"/>
          <w:sz w:val="24"/>
          <w:highlight w:val="none"/>
          <w:lang w:val="zh-CN"/>
        </w:rPr>
        <w:t xml:space="preserve">： </w:t>
      </w:r>
    </w:p>
    <w:p w14:paraId="7D5902C9">
      <w:pPr>
        <w:autoSpaceDE w:val="0"/>
        <w:autoSpaceDN w:val="0"/>
        <w:adjustRightInd w:val="0"/>
        <w:spacing w:line="276" w:lineRule="auto"/>
        <w:jc w:val="left"/>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我们收到</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u w:val="single"/>
        </w:rPr>
        <w:t xml:space="preserve">                             磋商</w:t>
      </w:r>
      <w:r>
        <w:rPr>
          <w:rFonts w:hint="eastAsia" w:ascii="宋体" w:hAnsi="宋体" w:cs="宋体"/>
          <w:color w:val="auto"/>
          <w:kern w:val="0"/>
          <w:sz w:val="24"/>
          <w:highlight w:val="none"/>
          <w:lang w:val="zh-CN"/>
        </w:rPr>
        <w:t>文件，经研究，法定代表人（姓名、职务）正式授权（委托代理人姓名、职务）代表供应商（供应商名称、地址）提交磋商响应文件。</w:t>
      </w:r>
    </w:p>
    <w:p w14:paraId="702AB8EF">
      <w:pPr>
        <w:autoSpaceDE w:val="0"/>
        <w:autoSpaceDN w:val="0"/>
        <w:adjustRightInd w:val="0"/>
        <w:spacing w:line="276" w:lineRule="auto"/>
        <w:ind w:firstLine="48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据此函，签字代表宣布同意如下：</w:t>
      </w:r>
    </w:p>
    <w:p w14:paraId="5A262FBF">
      <w:pPr>
        <w:autoSpaceDE w:val="0"/>
        <w:autoSpaceDN w:val="0"/>
        <w:adjustRightInd w:val="0"/>
        <w:spacing w:line="276" w:lineRule="auto"/>
        <w:ind w:firstLine="48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1.我方已详阅磋商文件的全部内容，包括澄清、修改条款等有关附件，承诺对其完全理解并接受。</w:t>
      </w:r>
    </w:p>
    <w:p w14:paraId="082657B4">
      <w:pPr>
        <w:autoSpaceDE w:val="0"/>
        <w:autoSpaceDN w:val="0"/>
        <w:adjustRightInd w:val="0"/>
        <w:spacing w:line="276" w:lineRule="auto"/>
        <w:ind w:firstLine="48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2.磋商有效期自开标之日起</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天内有效。如果在规定的开标时间后，我方在磋商有效期内撤回磋商响应文件或成交后不签约的，磋商保证金将被贵方没收。</w:t>
      </w:r>
    </w:p>
    <w:p w14:paraId="39D4739F">
      <w:pPr>
        <w:autoSpaceDE w:val="0"/>
        <w:autoSpaceDN w:val="0"/>
        <w:adjustRightInd w:val="0"/>
        <w:spacing w:line="276" w:lineRule="auto"/>
        <w:ind w:firstLine="48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3.我方同意按照贵方要求提供与磋商有关的一切数据或资料，理解并接受贵方制定的评标办法。</w:t>
      </w:r>
    </w:p>
    <w:p w14:paraId="12029DB0">
      <w:pPr>
        <w:autoSpaceDE w:val="0"/>
        <w:autoSpaceDN w:val="0"/>
        <w:adjustRightInd w:val="0"/>
        <w:spacing w:line="276" w:lineRule="auto"/>
        <w:ind w:firstLine="48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4.与本磋商有关的一切正式往来通讯请寄：</w:t>
      </w:r>
    </w:p>
    <w:p w14:paraId="0BC1C5DD">
      <w:pPr>
        <w:autoSpaceDE w:val="0"/>
        <w:autoSpaceDN w:val="0"/>
        <w:adjustRightInd w:val="0"/>
        <w:spacing w:line="276" w:lineRule="auto"/>
        <w:ind w:firstLine="480"/>
        <w:rPr>
          <w:rFonts w:hint="eastAsia" w:ascii="宋体" w:hAnsi="宋体" w:cs="宋体"/>
          <w:color w:val="auto"/>
          <w:kern w:val="0"/>
          <w:sz w:val="24"/>
          <w:highlight w:val="none"/>
          <w:lang w:val="zh-CN"/>
        </w:rPr>
      </w:pPr>
    </w:p>
    <w:p w14:paraId="7F376870">
      <w:pPr>
        <w:autoSpaceDE w:val="0"/>
        <w:autoSpaceDN w:val="0"/>
        <w:adjustRightInd w:val="0"/>
        <w:spacing w:line="276" w:lineRule="auto"/>
        <w:rPr>
          <w:rFonts w:hint="eastAsia" w:ascii="宋体" w:hAnsi="宋体" w:cs="宋体"/>
          <w:color w:val="auto"/>
          <w:kern w:val="0"/>
          <w:sz w:val="24"/>
          <w:highlight w:val="none"/>
          <w:lang w:val="zh-CN"/>
        </w:rPr>
      </w:pPr>
    </w:p>
    <w:p w14:paraId="29B6A3DF">
      <w:pPr>
        <w:autoSpaceDE w:val="0"/>
        <w:autoSpaceDN w:val="0"/>
        <w:adjustRightInd w:val="0"/>
        <w:spacing w:line="276" w:lineRule="auto"/>
        <w:rPr>
          <w:rFonts w:hint="eastAsia" w:ascii="宋体" w:hAnsi="宋体" w:cs="宋体"/>
          <w:color w:val="auto"/>
          <w:kern w:val="0"/>
          <w:sz w:val="24"/>
          <w:highlight w:val="none"/>
          <w:lang w:val="zh-CN"/>
        </w:rPr>
      </w:pPr>
    </w:p>
    <w:p w14:paraId="1DA938BE">
      <w:pPr>
        <w:autoSpaceDE w:val="0"/>
        <w:autoSpaceDN w:val="0"/>
        <w:adjustRightInd w:val="0"/>
        <w:spacing w:line="276" w:lineRule="auto"/>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地址：_______________          邮编：______________</w:t>
      </w:r>
    </w:p>
    <w:p w14:paraId="40B75378">
      <w:pPr>
        <w:autoSpaceDE w:val="0"/>
        <w:autoSpaceDN w:val="0"/>
        <w:adjustRightInd w:val="0"/>
        <w:spacing w:line="276" w:lineRule="auto"/>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电话：_______________          传真：______________</w:t>
      </w:r>
    </w:p>
    <w:p w14:paraId="65A29E38">
      <w:pPr>
        <w:autoSpaceDE w:val="0"/>
        <w:autoSpaceDN w:val="0"/>
        <w:adjustRightInd w:val="0"/>
        <w:spacing w:line="276" w:lineRule="auto"/>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法定代表人姓名： ___________   职务：____________</w:t>
      </w:r>
    </w:p>
    <w:p w14:paraId="5967B8A8">
      <w:pPr>
        <w:autoSpaceDE w:val="0"/>
        <w:autoSpaceDN w:val="0"/>
        <w:adjustRightInd w:val="0"/>
        <w:spacing w:line="276" w:lineRule="auto"/>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w:t>
      </w:r>
    </w:p>
    <w:p w14:paraId="62B60534">
      <w:pPr>
        <w:autoSpaceDE w:val="0"/>
        <w:autoSpaceDN w:val="0"/>
        <w:adjustRightInd w:val="0"/>
        <w:spacing w:line="276" w:lineRule="auto"/>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w:t>
      </w:r>
    </w:p>
    <w:p w14:paraId="42354722">
      <w:pPr>
        <w:autoSpaceDE w:val="0"/>
        <w:autoSpaceDN w:val="0"/>
        <w:adjustRightInd w:val="0"/>
        <w:spacing w:line="276" w:lineRule="auto"/>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w:t>
      </w:r>
    </w:p>
    <w:p w14:paraId="6EB81808">
      <w:pPr>
        <w:autoSpaceDE w:val="0"/>
        <w:autoSpaceDN w:val="0"/>
        <w:adjustRightInd w:val="0"/>
        <w:spacing w:line="276" w:lineRule="auto"/>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w:t>
      </w:r>
    </w:p>
    <w:p w14:paraId="26CE63E3">
      <w:pPr>
        <w:autoSpaceDE w:val="0"/>
        <w:autoSpaceDN w:val="0"/>
        <w:adjustRightInd w:val="0"/>
        <w:spacing w:line="276" w:lineRule="auto"/>
        <w:rPr>
          <w:rFonts w:hint="eastAsia" w:ascii="宋体" w:hAnsi="宋体" w:cs="宋体"/>
          <w:bCs/>
          <w:color w:val="auto"/>
          <w:kern w:val="0"/>
          <w:sz w:val="24"/>
          <w:highlight w:val="none"/>
          <w:lang w:val="zh-CN"/>
        </w:rPr>
      </w:pPr>
      <w:r>
        <w:rPr>
          <w:rFonts w:hint="eastAsia" w:ascii="宋体" w:hAnsi="宋体" w:cs="宋体"/>
          <w:color w:val="auto"/>
          <w:kern w:val="0"/>
          <w:sz w:val="24"/>
          <w:highlight w:val="none"/>
          <w:lang w:val="zh-CN"/>
        </w:rPr>
        <w:t xml:space="preserve">                       </w:t>
      </w:r>
      <w:r>
        <w:rPr>
          <w:rFonts w:hint="eastAsia" w:ascii="宋体" w:hAnsi="宋体" w:cs="宋体"/>
          <w:bCs/>
          <w:color w:val="auto"/>
          <w:kern w:val="0"/>
          <w:sz w:val="24"/>
          <w:highlight w:val="none"/>
          <w:lang w:val="zh-CN"/>
        </w:rPr>
        <w:t>供应商：             （公章）</w:t>
      </w:r>
    </w:p>
    <w:p w14:paraId="2C219DE5">
      <w:pPr>
        <w:autoSpaceDE w:val="0"/>
        <w:autoSpaceDN w:val="0"/>
        <w:adjustRightInd w:val="0"/>
        <w:spacing w:line="276" w:lineRule="auto"/>
        <w:rPr>
          <w:rFonts w:hint="eastAsia" w:ascii="宋体" w:hAnsi="宋体" w:cs="宋体"/>
          <w:bCs/>
          <w:color w:val="auto"/>
          <w:kern w:val="0"/>
          <w:sz w:val="24"/>
          <w:highlight w:val="none"/>
          <w:lang w:val="zh-CN"/>
        </w:rPr>
      </w:pPr>
      <w:r>
        <w:rPr>
          <w:rFonts w:hint="eastAsia" w:ascii="宋体" w:hAnsi="宋体" w:cs="宋体"/>
          <w:bCs/>
          <w:color w:val="auto"/>
          <w:kern w:val="0"/>
          <w:sz w:val="24"/>
          <w:highlight w:val="none"/>
          <w:lang w:val="zh-CN"/>
        </w:rPr>
        <w:t xml:space="preserve">                       法定代表人或委托代理人：             （签字）</w:t>
      </w:r>
    </w:p>
    <w:p w14:paraId="10461B57">
      <w:pPr>
        <w:spacing w:line="276" w:lineRule="auto"/>
        <w:rPr>
          <w:rFonts w:hint="eastAsia" w:ascii="宋体" w:hAnsi="宋体" w:cs="宋体"/>
          <w:color w:val="auto"/>
          <w:sz w:val="24"/>
          <w:highlight w:val="none"/>
        </w:rPr>
      </w:pPr>
      <w:r>
        <w:rPr>
          <w:rFonts w:hint="eastAsia" w:ascii="宋体" w:hAnsi="宋体" w:cs="宋体"/>
          <w:bCs/>
          <w:color w:val="auto"/>
          <w:kern w:val="0"/>
          <w:sz w:val="24"/>
          <w:highlight w:val="none"/>
          <w:lang w:val="zh-CN"/>
        </w:rPr>
        <w:t xml:space="preserve">                                                年   月   日</w:t>
      </w:r>
    </w:p>
    <w:p w14:paraId="3A24EC93">
      <w:pPr>
        <w:spacing w:line="276" w:lineRule="auto"/>
        <w:rPr>
          <w:rFonts w:hint="eastAsia" w:ascii="宋体" w:hAnsi="宋体" w:cs="宋体"/>
          <w:color w:val="auto"/>
          <w:sz w:val="24"/>
          <w:highlight w:val="none"/>
        </w:rPr>
        <w:sectPr>
          <w:footerReference r:id="rId6" w:type="first"/>
          <w:headerReference r:id="rId3" w:type="default"/>
          <w:footerReference r:id="rId4" w:type="default"/>
          <w:footerReference r:id="rId5" w:type="even"/>
          <w:pgSz w:w="11907" w:h="16840"/>
          <w:pgMar w:top="1440" w:right="1080" w:bottom="1440" w:left="1080" w:header="851" w:footer="68" w:gutter="0"/>
          <w:pgNumType w:fmt="decimal" w:start="1"/>
          <w:cols w:space="720" w:num="1"/>
          <w:titlePg/>
          <w:docGrid w:type="lines" w:linePitch="409" w:charSpace="0"/>
        </w:sectPr>
      </w:pPr>
    </w:p>
    <w:p w14:paraId="0A2A7E44">
      <w:pPr>
        <w:tabs>
          <w:tab w:val="left" w:pos="9135"/>
        </w:tabs>
        <w:spacing w:line="276" w:lineRule="auto"/>
        <w:jc w:val="center"/>
        <w:rPr>
          <w:rFonts w:hint="eastAsia" w:ascii="宋体" w:hAnsi="宋体" w:cs="宋体"/>
          <w:color w:val="auto"/>
          <w:sz w:val="24"/>
          <w:highlight w:val="none"/>
        </w:rPr>
      </w:pPr>
      <w:r>
        <w:rPr>
          <w:rFonts w:hint="eastAsia" w:ascii="宋体" w:hAnsi="宋体" w:cs="宋体"/>
          <w:color w:val="auto"/>
          <w:sz w:val="24"/>
          <w:highlight w:val="none"/>
        </w:rPr>
        <w:t>　</w:t>
      </w:r>
    </w:p>
    <w:p w14:paraId="3B8270BF">
      <w:pPr>
        <w:tabs>
          <w:tab w:val="left" w:pos="9135"/>
        </w:tabs>
        <w:spacing w:line="276" w:lineRule="auto"/>
        <w:rPr>
          <w:rFonts w:hint="eastAsia" w:ascii="宋体" w:hAnsi="宋体" w:cs="宋体"/>
          <w:color w:val="auto"/>
          <w:sz w:val="24"/>
          <w:highlight w:val="none"/>
        </w:rPr>
      </w:pPr>
    </w:p>
    <w:p w14:paraId="04811675">
      <w:pPr>
        <w:tabs>
          <w:tab w:val="left" w:pos="9135"/>
        </w:tabs>
        <w:spacing w:line="276" w:lineRule="auto"/>
        <w:jc w:val="center"/>
        <w:rPr>
          <w:rFonts w:hint="eastAsia" w:ascii="宋体" w:hAnsi="宋体" w:cs="宋体"/>
          <w:color w:val="auto"/>
          <w:sz w:val="24"/>
          <w:highlight w:val="none"/>
        </w:rPr>
      </w:pPr>
      <w:r>
        <w:rPr>
          <w:rFonts w:hint="eastAsia" w:ascii="宋体" w:hAnsi="宋体" w:cs="宋体"/>
          <w:color w:val="auto"/>
          <w:sz w:val="24"/>
          <w:highlight w:val="none"/>
        </w:rPr>
        <w:t>　2、报价表</w:t>
      </w:r>
    </w:p>
    <w:p w14:paraId="2166A67D">
      <w:pPr>
        <w:tabs>
          <w:tab w:val="left" w:pos="9135"/>
        </w:tabs>
        <w:spacing w:line="276" w:lineRule="auto"/>
        <w:rPr>
          <w:rFonts w:hint="eastAsia" w:ascii="宋体" w:hAnsi="宋体" w:cs="宋体"/>
          <w:color w:val="auto"/>
          <w:sz w:val="24"/>
          <w:highlight w:val="none"/>
        </w:rPr>
      </w:pPr>
    </w:p>
    <w:p w14:paraId="2685735B">
      <w:pPr>
        <w:tabs>
          <w:tab w:val="left" w:pos="9135"/>
        </w:tabs>
        <w:spacing w:line="276" w:lineRule="auto"/>
        <w:rPr>
          <w:rFonts w:hint="eastAsia" w:ascii="宋体" w:hAnsi="宋体" w:cs="宋体"/>
          <w:color w:val="auto"/>
          <w:sz w:val="24"/>
          <w:highlight w:val="none"/>
          <w:u w:val="single"/>
        </w:rPr>
      </w:pPr>
      <w:r>
        <w:rPr>
          <w:rFonts w:hint="eastAsia" w:ascii="宋体" w:hAnsi="宋体" w:cs="宋体"/>
          <w:color w:val="auto"/>
          <w:sz w:val="24"/>
          <w:highlight w:val="none"/>
        </w:rPr>
        <w:t>供应商名称(公章)：</w:t>
      </w:r>
      <w:r>
        <w:rPr>
          <w:rFonts w:hint="eastAsia" w:ascii="宋体" w:hAnsi="宋体" w:cs="宋体"/>
          <w:color w:val="auto"/>
          <w:sz w:val="24"/>
          <w:highlight w:val="none"/>
          <w:u w:val="single"/>
        </w:rPr>
        <w:t>　　           　　　　　　　　</w:t>
      </w:r>
      <w:r>
        <w:rPr>
          <w:rFonts w:hint="eastAsia" w:ascii="宋体" w:hAnsi="宋体" w:cs="宋体"/>
          <w:color w:val="auto"/>
          <w:sz w:val="24"/>
          <w:highlight w:val="none"/>
        </w:rPr>
        <w:t>项目编号：</w:t>
      </w:r>
      <w:r>
        <w:rPr>
          <w:rFonts w:hint="eastAsia" w:ascii="宋体" w:hAnsi="宋体" w:cs="宋体"/>
          <w:color w:val="auto"/>
          <w:sz w:val="24"/>
          <w:highlight w:val="none"/>
          <w:u w:val="single"/>
        </w:rPr>
        <w:t>　　　　　　　　　　</w:t>
      </w:r>
    </w:p>
    <w:tbl>
      <w:tblPr>
        <w:tblStyle w:val="38"/>
        <w:tblW w:w="121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2"/>
        <w:gridCol w:w="2731"/>
        <w:gridCol w:w="2838"/>
        <w:gridCol w:w="2731"/>
      </w:tblGrid>
      <w:tr w14:paraId="531BC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blHeader/>
          <w:jc w:val="center"/>
        </w:trPr>
        <w:tc>
          <w:tcPr>
            <w:tcW w:w="3862" w:type="dxa"/>
            <w:vAlign w:val="center"/>
          </w:tcPr>
          <w:p w14:paraId="38AD1069">
            <w:pPr>
              <w:tabs>
                <w:tab w:val="left" w:pos="9135"/>
              </w:tabs>
              <w:spacing w:line="276" w:lineRule="auto"/>
              <w:jc w:val="center"/>
              <w:rPr>
                <w:rFonts w:hint="eastAsia" w:ascii="宋体" w:hAnsi="宋体" w:cs="宋体"/>
                <w:color w:val="auto"/>
                <w:sz w:val="24"/>
                <w:highlight w:val="none"/>
              </w:rPr>
            </w:pPr>
            <w:r>
              <w:rPr>
                <w:rFonts w:hint="eastAsia" w:ascii="宋体" w:hAnsi="宋体" w:cs="宋体"/>
                <w:color w:val="auto"/>
                <w:sz w:val="24"/>
                <w:highlight w:val="none"/>
              </w:rPr>
              <w:t>磋商报价</w:t>
            </w:r>
          </w:p>
          <w:p w14:paraId="296D4991">
            <w:pPr>
              <w:tabs>
                <w:tab w:val="left" w:pos="9135"/>
              </w:tabs>
              <w:spacing w:line="276" w:lineRule="auto"/>
              <w:jc w:val="center"/>
              <w:rPr>
                <w:rFonts w:hint="eastAsia" w:ascii="宋体" w:hAnsi="宋体" w:cs="宋体"/>
                <w:color w:val="auto"/>
                <w:sz w:val="24"/>
                <w:highlight w:val="none"/>
              </w:rPr>
            </w:pPr>
            <w:r>
              <w:rPr>
                <w:rFonts w:hint="eastAsia" w:ascii="宋体" w:hAnsi="宋体" w:cs="宋体"/>
                <w:color w:val="auto"/>
                <w:sz w:val="24"/>
                <w:highlight w:val="none"/>
              </w:rPr>
              <w:t>（万元）</w:t>
            </w:r>
          </w:p>
        </w:tc>
        <w:tc>
          <w:tcPr>
            <w:tcW w:w="2731" w:type="dxa"/>
            <w:vAlign w:val="center"/>
          </w:tcPr>
          <w:p w14:paraId="0A46D9C5">
            <w:pPr>
              <w:tabs>
                <w:tab w:val="left" w:pos="9135"/>
              </w:tabs>
              <w:spacing w:line="276" w:lineRule="auto"/>
              <w:jc w:val="center"/>
              <w:rPr>
                <w:rFonts w:hint="eastAsia" w:ascii="宋体" w:hAnsi="宋体" w:cs="宋体"/>
                <w:color w:val="auto"/>
                <w:sz w:val="24"/>
                <w:highlight w:val="none"/>
              </w:rPr>
            </w:pPr>
            <w:r>
              <w:rPr>
                <w:rFonts w:hint="eastAsia" w:ascii="宋体" w:hAnsi="宋体" w:cs="宋体"/>
                <w:color w:val="auto"/>
                <w:sz w:val="24"/>
                <w:highlight w:val="none"/>
              </w:rPr>
              <w:t>磋商</w:t>
            </w:r>
          </w:p>
          <w:p w14:paraId="66C413C6">
            <w:pPr>
              <w:tabs>
                <w:tab w:val="left" w:pos="9135"/>
              </w:tabs>
              <w:spacing w:line="276" w:lineRule="auto"/>
              <w:jc w:val="center"/>
              <w:rPr>
                <w:rFonts w:hint="eastAsia" w:ascii="宋体" w:hAnsi="宋体" w:cs="宋体"/>
                <w:color w:val="auto"/>
                <w:sz w:val="24"/>
                <w:highlight w:val="none"/>
              </w:rPr>
            </w:pPr>
            <w:r>
              <w:rPr>
                <w:rFonts w:hint="eastAsia" w:ascii="宋体" w:hAnsi="宋体" w:cs="宋体"/>
                <w:color w:val="auto"/>
                <w:sz w:val="24"/>
                <w:highlight w:val="none"/>
              </w:rPr>
              <w:t>保证金</w:t>
            </w:r>
          </w:p>
        </w:tc>
        <w:tc>
          <w:tcPr>
            <w:tcW w:w="2838" w:type="dxa"/>
            <w:vAlign w:val="center"/>
          </w:tcPr>
          <w:p w14:paraId="32FB7908">
            <w:pPr>
              <w:tabs>
                <w:tab w:val="left" w:pos="9135"/>
              </w:tabs>
              <w:spacing w:line="276" w:lineRule="auto"/>
              <w:jc w:val="center"/>
              <w:rPr>
                <w:rFonts w:hint="eastAsia" w:ascii="宋体" w:hAnsi="宋体" w:cs="宋体"/>
                <w:color w:val="auto"/>
                <w:sz w:val="24"/>
                <w:highlight w:val="none"/>
              </w:rPr>
            </w:pPr>
            <w:r>
              <w:rPr>
                <w:rFonts w:hint="eastAsia" w:ascii="宋体" w:hAnsi="宋体" w:cs="宋体"/>
                <w:color w:val="auto"/>
                <w:sz w:val="24"/>
                <w:highlight w:val="none"/>
              </w:rPr>
              <w:t>服务期</w:t>
            </w:r>
          </w:p>
        </w:tc>
        <w:tc>
          <w:tcPr>
            <w:tcW w:w="2731" w:type="dxa"/>
            <w:vAlign w:val="center"/>
          </w:tcPr>
          <w:p w14:paraId="1B124CEE">
            <w:pPr>
              <w:tabs>
                <w:tab w:val="left" w:pos="9135"/>
              </w:tabs>
              <w:spacing w:line="276" w:lineRule="auto"/>
              <w:jc w:val="center"/>
              <w:rPr>
                <w:rFonts w:hint="eastAsia" w:ascii="宋体" w:hAnsi="宋体" w:cs="宋体"/>
                <w:color w:val="auto"/>
                <w:sz w:val="24"/>
                <w:highlight w:val="none"/>
              </w:rPr>
            </w:pPr>
            <w:r>
              <w:rPr>
                <w:rFonts w:hint="eastAsia" w:ascii="宋体" w:hAnsi="宋体" w:cs="宋体"/>
                <w:color w:val="auto"/>
                <w:sz w:val="24"/>
                <w:highlight w:val="none"/>
              </w:rPr>
              <w:t>备注</w:t>
            </w:r>
          </w:p>
        </w:tc>
      </w:tr>
      <w:tr w14:paraId="5E654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3862" w:type="dxa"/>
            <w:vAlign w:val="center"/>
          </w:tcPr>
          <w:p w14:paraId="5F16004A">
            <w:pPr>
              <w:tabs>
                <w:tab w:val="left" w:pos="9135"/>
              </w:tabs>
              <w:spacing w:line="276" w:lineRule="auto"/>
              <w:jc w:val="center"/>
              <w:rPr>
                <w:rFonts w:hint="eastAsia" w:ascii="宋体" w:hAnsi="宋体" w:cs="宋体"/>
                <w:color w:val="auto"/>
                <w:sz w:val="24"/>
                <w:highlight w:val="none"/>
              </w:rPr>
            </w:pPr>
          </w:p>
        </w:tc>
        <w:tc>
          <w:tcPr>
            <w:tcW w:w="2731" w:type="dxa"/>
            <w:vAlign w:val="center"/>
          </w:tcPr>
          <w:p w14:paraId="4660FAD1">
            <w:pPr>
              <w:tabs>
                <w:tab w:val="left" w:pos="9135"/>
              </w:tabs>
              <w:spacing w:line="276" w:lineRule="auto"/>
              <w:jc w:val="center"/>
              <w:rPr>
                <w:rFonts w:hint="eastAsia" w:ascii="宋体" w:hAnsi="宋体" w:cs="宋体"/>
                <w:color w:val="auto"/>
                <w:sz w:val="24"/>
                <w:highlight w:val="none"/>
              </w:rPr>
            </w:pPr>
          </w:p>
        </w:tc>
        <w:tc>
          <w:tcPr>
            <w:tcW w:w="2838" w:type="dxa"/>
            <w:vAlign w:val="center"/>
          </w:tcPr>
          <w:p w14:paraId="25869E05">
            <w:pPr>
              <w:tabs>
                <w:tab w:val="left" w:pos="9135"/>
              </w:tabs>
              <w:spacing w:line="276" w:lineRule="auto"/>
              <w:jc w:val="center"/>
              <w:rPr>
                <w:rFonts w:hint="eastAsia" w:ascii="宋体" w:hAnsi="宋体" w:cs="宋体"/>
                <w:color w:val="auto"/>
                <w:sz w:val="24"/>
                <w:highlight w:val="none"/>
              </w:rPr>
            </w:pPr>
          </w:p>
        </w:tc>
        <w:tc>
          <w:tcPr>
            <w:tcW w:w="2731" w:type="dxa"/>
            <w:vAlign w:val="center"/>
          </w:tcPr>
          <w:p w14:paraId="4B962364">
            <w:pPr>
              <w:tabs>
                <w:tab w:val="left" w:pos="9135"/>
              </w:tabs>
              <w:spacing w:line="276" w:lineRule="auto"/>
              <w:jc w:val="center"/>
              <w:rPr>
                <w:rFonts w:hint="eastAsia" w:ascii="宋体" w:hAnsi="宋体" w:cs="宋体"/>
                <w:color w:val="auto"/>
                <w:sz w:val="24"/>
                <w:highlight w:val="none"/>
              </w:rPr>
            </w:pPr>
          </w:p>
        </w:tc>
      </w:tr>
    </w:tbl>
    <w:p w14:paraId="597E4CDE">
      <w:pPr>
        <w:tabs>
          <w:tab w:val="left" w:pos="9135"/>
        </w:tabs>
        <w:spacing w:line="276" w:lineRule="auto"/>
        <w:rPr>
          <w:rFonts w:hint="eastAsia" w:ascii="宋体" w:hAnsi="宋体" w:cs="宋体"/>
          <w:color w:val="auto"/>
          <w:sz w:val="24"/>
          <w:highlight w:val="none"/>
        </w:rPr>
      </w:pPr>
      <w:r>
        <w:rPr>
          <w:rFonts w:hint="eastAsia" w:ascii="宋体" w:hAnsi="宋体" w:cs="宋体"/>
          <w:bCs/>
          <w:color w:val="auto"/>
          <w:kern w:val="0"/>
          <w:sz w:val="24"/>
          <w:highlight w:val="none"/>
          <w:lang w:val="zh-CN"/>
        </w:rPr>
        <w:t>法定代表人或委托代理人</w:t>
      </w:r>
      <w:r>
        <w:rPr>
          <w:rFonts w:hint="eastAsia" w:ascii="宋体" w:hAnsi="宋体" w:cs="宋体"/>
          <w:color w:val="auto"/>
          <w:sz w:val="24"/>
          <w:highlight w:val="none"/>
        </w:rPr>
        <w:t>：</w:t>
      </w:r>
      <w:r>
        <w:rPr>
          <w:rFonts w:hint="eastAsia" w:ascii="宋体" w:hAnsi="宋体" w:cs="宋体"/>
          <w:color w:val="auto"/>
          <w:sz w:val="24"/>
          <w:highlight w:val="none"/>
          <w:u w:val="single"/>
        </w:rPr>
        <w:t>　　　　　　　　　　　</w:t>
      </w:r>
    </w:p>
    <w:p w14:paraId="44008220">
      <w:pPr>
        <w:spacing w:line="276" w:lineRule="auto"/>
        <w:ind w:firstLine="480" w:firstLineChars="200"/>
        <w:rPr>
          <w:rFonts w:hint="eastAsia" w:ascii="宋体" w:hAnsi="宋体" w:cs="宋体"/>
          <w:color w:val="auto"/>
          <w:sz w:val="24"/>
          <w:highlight w:val="none"/>
        </w:rPr>
        <w:sectPr>
          <w:pgSz w:w="16838" w:h="11906" w:orient="landscape"/>
          <w:pgMar w:top="720" w:right="720" w:bottom="720" w:left="720" w:header="851" w:footer="992" w:gutter="0"/>
          <w:pgNumType w:fmt="decimal"/>
          <w:cols w:space="720" w:num="1"/>
          <w:docGrid w:type="linesAndChars" w:linePitch="312" w:charSpace="0"/>
        </w:sectPr>
      </w:pPr>
    </w:p>
    <w:p w14:paraId="360D247F">
      <w:pPr>
        <w:spacing w:line="276" w:lineRule="auto"/>
        <w:ind w:left="2880" w:hanging="2880"/>
        <w:jc w:val="center"/>
        <w:rPr>
          <w:rFonts w:hint="eastAsia" w:ascii="宋体" w:hAnsi="宋体" w:cs="宋体"/>
          <w:color w:val="auto"/>
          <w:sz w:val="24"/>
          <w:highlight w:val="none"/>
        </w:rPr>
      </w:pPr>
      <w:bookmarkStart w:id="67" w:name="_Toc277841205"/>
      <w:bookmarkStart w:id="68" w:name="_Toc197140579"/>
      <w:r>
        <w:rPr>
          <w:rFonts w:hint="eastAsia" w:ascii="宋体" w:hAnsi="宋体" w:cs="宋体"/>
          <w:color w:val="auto"/>
          <w:sz w:val="24"/>
          <w:highlight w:val="none"/>
        </w:rPr>
        <w:t>3、分项报价表</w:t>
      </w:r>
      <w:bookmarkEnd w:id="67"/>
    </w:p>
    <w:p w14:paraId="64274630">
      <w:pPr>
        <w:spacing w:line="276" w:lineRule="auto"/>
        <w:rPr>
          <w:rFonts w:hint="eastAsia" w:ascii="宋体" w:hAnsi="宋体" w:cs="宋体"/>
          <w:color w:val="auto"/>
          <w:sz w:val="24"/>
          <w:highlight w:val="none"/>
        </w:rPr>
      </w:pPr>
    </w:p>
    <w:p w14:paraId="50E64537">
      <w:pPr>
        <w:spacing w:line="276" w:lineRule="auto"/>
        <w:rPr>
          <w:rFonts w:hint="eastAsia" w:ascii="宋体" w:hAnsi="宋体" w:cs="宋体"/>
          <w:color w:val="auto"/>
          <w:sz w:val="24"/>
          <w:highlight w:val="none"/>
          <w:u w:val="single"/>
        </w:rPr>
      </w:pPr>
      <w:r>
        <w:rPr>
          <w:rFonts w:hint="eastAsia" w:ascii="宋体" w:hAnsi="宋体" w:cs="宋体"/>
          <w:color w:val="auto"/>
          <w:sz w:val="24"/>
          <w:highlight w:val="none"/>
        </w:rPr>
        <w:t>供应商名称（公章）：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项目编号/包号：</w:t>
      </w:r>
      <w:r>
        <w:rPr>
          <w:rFonts w:hint="eastAsia" w:ascii="宋体" w:hAnsi="宋体" w:cs="宋体"/>
          <w:color w:val="auto"/>
          <w:sz w:val="24"/>
          <w:highlight w:val="none"/>
          <w:u w:val="single"/>
        </w:rPr>
        <w:t xml:space="preserve">　　　　　　　　 </w:t>
      </w:r>
    </w:p>
    <w:tbl>
      <w:tblPr>
        <w:tblStyle w:val="38"/>
        <w:tblW w:w="10501" w:type="dxa"/>
        <w:jc w:val="center"/>
        <w:tblLayout w:type="fixed"/>
        <w:tblCellMar>
          <w:top w:w="0" w:type="dxa"/>
          <w:left w:w="28" w:type="dxa"/>
          <w:bottom w:w="0" w:type="dxa"/>
          <w:right w:w="28" w:type="dxa"/>
        </w:tblCellMar>
      </w:tblPr>
      <w:tblGrid>
        <w:gridCol w:w="10"/>
        <w:gridCol w:w="1014"/>
        <w:gridCol w:w="2890"/>
        <w:gridCol w:w="627"/>
        <w:gridCol w:w="992"/>
        <w:gridCol w:w="1391"/>
        <w:gridCol w:w="1701"/>
        <w:gridCol w:w="1843"/>
        <w:gridCol w:w="33"/>
      </w:tblGrid>
      <w:tr w14:paraId="4DA5848E">
        <w:tblPrEx>
          <w:tblCellMar>
            <w:top w:w="0" w:type="dxa"/>
            <w:left w:w="28" w:type="dxa"/>
            <w:bottom w:w="0" w:type="dxa"/>
            <w:right w:w="28" w:type="dxa"/>
          </w:tblCellMar>
        </w:tblPrEx>
        <w:trPr>
          <w:gridAfter w:val="1"/>
          <w:wAfter w:w="33" w:type="dxa"/>
          <w:trHeight w:val="529" w:hRule="atLeast"/>
          <w:jc w:val="center"/>
        </w:trPr>
        <w:tc>
          <w:tcPr>
            <w:tcW w:w="1024" w:type="dxa"/>
            <w:gridSpan w:val="2"/>
            <w:tcBorders>
              <w:top w:val="single" w:color="000000" w:sz="8" w:space="0"/>
              <w:left w:val="single" w:color="000000" w:sz="8" w:space="0"/>
              <w:bottom w:val="single" w:color="000000" w:sz="6" w:space="0"/>
              <w:right w:val="single" w:color="000000" w:sz="6" w:space="0"/>
            </w:tcBorders>
            <w:shd w:val="clear" w:color="000000" w:fill="FFFFFF"/>
            <w:vAlign w:val="center"/>
          </w:tcPr>
          <w:p w14:paraId="1DC19A64">
            <w:pPr>
              <w:autoSpaceDE w:val="0"/>
              <w:autoSpaceDN w:val="0"/>
              <w:adjustRightInd w:val="0"/>
              <w:spacing w:before="100" w:after="100" w:line="276" w:lineRule="auto"/>
              <w:jc w:val="center"/>
              <w:rPr>
                <w:rFonts w:hint="eastAsia" w:ascii="宋体" w:hAnsi="宋体" w:cs="宋体"/>
                <w:color w:val="auto"/>
                <w:kern w:val="0"/>
                <w:sz w:val="22"/>
                <w:szCs w:val="22"/>
                <w:highlight w:val="none"/>
                <w:lang w:val="zh-CN"/>
              </w:rPr>
            </w:pPr>
            <w:r>
              <w:rPr>
                <w:rFonts w:hint="eastAsia" w:ascii="宋体" w:hAnsi="宋体" w:cs="宋体"/>
                <w:color w:val="auto"/>
                <w:kern w:val="0"/>
                <w:sz w:val="24"/>
                <w:highlight w:val="none"/>
                <w:lang w:val="zh-CN"/>
              </w:rPr>
              <w:t>序号</w:t>
            </w:r>
          </w:p>
        </w:tc>
        <w:tc>
          <w:tcPr>
            <w:tcW w:w="3517" w:type="dxa"/>
            <w:gridSpan w:val="2"/>
            <w:tcBorders>
              <w:top w:val="single" w:color="000000" w:sz="8" w:space="0"/>
              <w:left w:val="single" w:color="000000" w:sz="6" w:space="0"/>
              <w:bottom w:val="single" w:color="000000" w:sz="6" w:space="0"/>
              <w:right w:val="single" w:color="000000" w:sz="6" w:space="0"/>
            </w:tcBorders>
            <w:shd w:val="clear" w:color="000000" w:fill="FFFFFF"/>
            <w:vAlign w:val="center"/>
          </w:tcPr>
          <w:p w14:paraId="12165B1E">
            <w:pPr>
              <w:autoSpaceDE w:val="0"/>
              <w:autoSpaceDN w:val="0"/>
              <w:adjustRightInd w:val="0"/>
              <w:spacing w:before="100" w:after="100" w:line="276"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项目名称</w:t>
            </w:r>
          </w:p>
        </w:tc>
        <w:tc>
          <w:tcPr>
            <w:tcW w:w="992" w:type="dxa"/>
            <w:tcBorders>
              <w:top w:val="single" w:color="000000" w:sz="8" w:space="0"/>
              <w:left w:val="single" w:color="000000" w:sz="6" w:space="0"/>
              <w:bottom w:val="single" w:color="000000" w:sz="6" w:space="0"/>
              <w:right w:val="single" w:color="000000" w:sz="6" w:space="0"/>
            </w:tcBorders>
            <w:shd w:val="clear" w:color="000000" w:fill="FFFFFF"/>
            <w:vAlign w:val="center"/>
          </w:tcPr>
          <w:p w14:paraId="779F75E7">
            <w:pPr>
              <w:autoSpaceDE w:val="0"/>
              <w:autoSpaceDN w:val="0"/>
              <w:adjustRightInd w:val="0"/>
              <w:spacing w:before="100" w:after="100" w:line="276" w:lineRule="auto"/>
              <w:jc w:val="center"/>
              <w:rPr>
                <w:rFonts w:hint="eastAsia" w:ascii="宋体" w:hAnsi="宋体" w:cs="宋体"/>
                <w:color w:val="auto"/>
                <w:kern w:val="0"/>
                <w:sz w:val="22"/>
                <w:szCs w:val="22"/>
                <w:highlight w:val="none"/>
                <w:lang w:val="zh-CN"/>
              </w:rPr>
            </w:pPr>
            <w:r>
              <w:rPr>
                <w:rFonts w:hint="eastAsia" w:ascii="宋体" w:hAnsi="宋体" w:cs="宋体"/>
                <w:color w:val="auto"/>
                <w:kern w:val="0"/>
                <w:sz w:val="24"/>
                <w:highlight w:val="none"/>
              </w:rPr>
              <w:t>数量</w:t>
            </w:r>
          </w:p>
        </w:tc>
        <w:tc>
          <w:tcPr>
            <w:tcW w:w="1391" w:type="dxa"/>
            <w:tcBorders>
              <w:top w:val="single" w:color="000000" w:sz="8" w:space="0"/>
              <w:left w:val="single" w:color="000000" w:sz="6" w:space="0"/>
              <w:bottom w:val="single" w:color="000000" w:sz="6" w:space="0"/>
              <w:right w:val="single" w:color="000000" w:sz="6" w:space="0"/>
            </w:tcBorders>
            <w:shd w:val="clear" w:color="000000" w:fill="FFFFFF"/>
            <w:vAlign w:val="center"/>
          </w:tcPr>
          <w:p w14:paraId="0792FA0B">
            <w:pPr>
              <w:autoSpaceDE w:val="0"/>
              <w:autoSpaceDN w:val="0"/>
              <w:adjustRightInd w:val="0"/>
              <w:spacing w:before="100" w:after="100" w:line="276" w:lineRule="auto"/>
              <w:jc w:val="center"/>
              <w:rPr>
                <w:rFonts w:hint="eastAsia" w:ascii="宋体" w:hAnsi="宋体" w:eastAsia="宋体" w:cs="宋体"/>
                <w:color w:val="auto"/>
                <w:kern w:val="0"/>
                <w:sz w:val="24"/>
                <w:highlight w:val="none"/>
                <w:lang w:val="zh-CN" w:eastAsia="zh-CN"/>
              </w:rPr>
            </w:pPr>
            <w:r>
              <w:rPr>
                <w:rFonts w:hint="eastAsia" w:ascii="宋体" w:hAnsi="宋体" w:cs="宋体"/>
                <w:color w:val="auto"/>
                <w:kern w:val="0"/>
                <w:sz w:val="24"/>
                <w:highlight w:val="none"/>
                <w:lang w:val="en-US" w:eastAsia="zh-CN"/>
              </w:rPr>
              <w:t>单价（万元）</w:t>
            </w:r>
          </w:p>
        </w:tc>
        <w:tc>
          <w:tcPr>
            <w:tcW w:w="1701" w:type="dxa"/>
            <w:tcBorders>
              <w:top w:val="single" w:color="000000" w:sz="8" w:space="0"/>
              <w:left w:val="single" w:color="000000" w:sz="6" w:space="0"/>
              <w:bottom w:val="single" w:color="000000" w:sz="6" w:space="0"/>
              <w:right w:val="single" w:color="000000" w:sz="6" w:space="0"/>
            </w:tcBorders>
            <w:shd w:val="clear" w:color="000000" w:fill="FFFFFF"/>
            <w:vAlign w:val="center"/>
          </w:tcPr>
          <w:p w14:paraId="47AE333B">
            <w:pPr>
              <w:autoSpaceDE w:val="0"/>
              <w:autoSpaceDN w:val="0"/>
              <w:adjustRightInd w:val="0"/>
              <w:spacing w:before="100" w:after="100" w:line="276" w:lineRule="auto"/>
              <w:jc w:val="center"/>
              <w:rPr>
                <w:rFonts w:hint="eastAsia" w:ascii="宋体" w:hAnsi="宋体" w:cs="宋体"/>
                <w:color w:val="auto"/>
                <w:kern w:val="0"/>
                <w:sz w:val="22"/>
                <w:szCs w:val="22"/>
                <w:highlight w:val="none"/>
                <w:lang w:val="zh-CN"/>
              </w:rPr>
            </w:pPr>
            <w:r>
              <w:rPr>
                <w:rFonts w:hint="eastAsia" w:ascii="宋体" w:hAnsi="宋体" w:cs="宋体"/>
                <w:color w:val="auto"/>
                <w:kern w:val="0"/>
                <w:sz w:val="24"/>
                <w:highlight w:val="none"/>
                <w:lang w:val="zh-CN"/>
              </w:rPr>
              <w:t>合计</w:t>
            </w:r>
          </w:p>
        </w:tc>
        <w:tc>
          <w:tcPr>
            <w:tcW w:w="1843" w:type="dxa"/>
            <w:tcBorders>
              <w:top w:val="single" w:color="000000" w:sz="8" w:space="0"/>
              <w:left w:val="single" w:color="000000" w:sz="6" w:space="0"/>
              <w:bottom w:val="single" w:color="000000" w:sz="6" w:space="0"/>
              <w:right w:val="single" w:color="000000" w:sz="8" w:space="0"/>
            </w:tcBorders>
            <w:shd w:val="clear" w:color="000000" w:fill="FFFFFF"/>
            <w:vAlign w:val="center"/>
          </w:tcPr>
          <w:p w14:paraId="07FAB2C1">
            <w:pPr>
              <w:autoSpaceDE w:val="0"/>
              <w:autoSpaceDN w:val="0"/>
              <w:adjustRightInd w:val="0"/>
              <w:spacing w:before="100" w:after="100" w:line="276" w:lineRule="auto"/>
              <w:jc w:val="center"/>
              <w:rPr>
                <w:rFonts w:hint="eastAsia" w:ascii="宋体" w:hAnsi="宋体" w:cs="宋体"/>
                <w:color w:val="auto"/>
                <w:kern w:val="0"/>
                <w:sz w:val="22"/>
                <w:szCs w:val="22"/>
                <w:highlight w:val="none"/>
                <w:lang w:val="zh-CN"/>
              </w:rPr>
            </w:pPr>
            <w:r>
              <w:rPr>
                <w:rFonts w:hint="eastAsia" w:ascii="宋体" w:hAnsi="宋体" w:cs="宋体"/>
                <w:color w:val="auto"/>
                <w:kern w:val="0"/>
                <w:sz w:val="24"/>
                <w:highlight w:val="none"/>
                <w:lang w:val="zh-CN"/>
              </w:rPr>
              <w:t>备注</w:t>
            </w:r>
          </w:p>
        </w:tc>
      </w:tr>
      <w:tr w14:paraId="1857D9AC">
        <w:tblPrEx>
          <w:tblCellMar>
            <w:top w:w="0" w:type="dxa"/>
            <w:left w:w="28" w:type="dxa"/>
            <w:bottom w:w="0" w:type="dxa"/>
            <w:right w:w="28" w:type="dxa"/>
          </w:tblCellMar>
        </w:tblPrEx>
        <w:trPr>
          <w:gridAfter w:val="1"/>
          <w:wAfter w:w="33" w:type="dxa"/>
          <w:trHeight w:val="529" w:hRule="atLeast"/>
          <w:jc w:val="center"/>
        </w:trPr>
        <w:tc>
          <w:tcPr>
            <w:tcW w:w="1024" w:type="dxa"/>
            <w:gridSpan w:val="2"/>
            <w:tcBorders>
              <w:top w:val="single" w:color="000000" w:sz="6" w:space="0"/>
              <w:left w:val="single" w:color="000000" w:sz="8" w:space="0"/>
              <w:bottom w:val="single" w:color="000000" w:sz="6" w:space="0"/>
              <w:right w:val="single" w:color="000000" w:sz="6" w:space="0"/>
            </w:tcBorders>
            <w:shd w:val="clear" w:color="000000" w:fill="FFFFFF"/>
            <w:vAlign w:val="center"/>
          </w:tcPr>
          <w:p w14:paraId="64411B88">
            <w:pPr>
              <w:autoSpaceDE w:val="0"/>
              <w:autoSpaceDN w:val="0"/>
              <w:adjustRightInd w:val="0"/>
              <w:spacing w:before="100" w:after="100" w:line="276" w:lineRule="auto"/>
              <w:ind w:firstLine="199"/>
              <w:jc w:val="center"/>
              <w:rPr>
                <w:rFonts w:hint="eastAsia" w:ascii="宋体" w:hAnsi="宋体" w:cs="宋体"/>
                <w:color w:val="auto"/>
                <w:kern w:val="0"/>
                <w:sz w:val="22"/>
                <w:szCs w:val="22"/>
                <w:highlight w:val="none"/>
                <w:lang w:val="zh-CN"/>
              </w:rPr>
            </w:pPr>
            <w:r>
              <w:rPr>
                <w:rFonts w:hint="eastAsia" w:ascii="宋体" w:hAnsi="宋体" w:cs="宋体"/>
                <w:color w:val="auto"/>
                <w:kern w:val="0"/>
                <w:sz w:val="24"/>
                <w:highlight w:val="none"/>
                <w:lang w:val="zh-CN"/>
              </w:rPr>
              <w:t>1</w:t>
            </w:r>
          </w:p>
        </w:tc>
        <w:tc>
          <w:tcPr>
            <w:tcW w:w="3517" w:type="dxa"/>
            <w:gridSpan w:val="2"/>
            <w:tcBorders>
              <w:top w:val="single" w:color="000000" w:sz="6" w:space="0"/>
              <w:left w:val="single" w:color="000000" w:sz="6" w:space="0"/>
              <w:bottom w:val="single" w:color="000000" w:sz="6" w:space="0"/>
              <w:right w:val="single" w:color="000000" w:sz="6" w:space="0"/>
            </w:tcBorders>
            <w:shd w:val="clear" w:color="000000" w:fill="FFFFFF"/>
            <w:vAlign w:val="center"/>
          </w:tcPr>
          <w:p w14:paraId="2DE807B3">
            <w:pPr>
              <w:autoSpaceDE w:val="0"/>
              <w:autoSpaceDN w:val="0"/>
              <w:adjustRightInd w:val="0"/>
              <w:spacing w:before="100" w:after="100" w:line="276" w:lineRule="auto"/>
              <w:ind w:firstLine="480"/>
              <w:jc w:val="center"/>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 </w:t>
            </w:r>
          </w:p>
        </w:tc>
        <w:tc>
          <w:tcPr>
            <w:tcW w:w="992"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77E95201">
            <w:pPr>
              <w:autoSpaceDE w:val="0"/>
              <w:autoSpaceDN w:val="0"/>
              <w:adjustRightInd w:val="0"/>
              <w:spacing w:before="100" w:after="100" w:line="276" w:lineRule="auto"/>
              <w:ind w:firstLine="480"/>
              <w:jc w:val="center"/>
              <w:rPr>
                <w:rFonts w:hint="eastAsia" w:ascii="宋体" w:hAnsi="宋体" w:cs="宋体"/>
                <w:color w:val="auto"/>
                <w:kern w:val="0"/>
                <w:sz w:val="22"/>
                <w:szCs w:val="22"/>
                <w:highlight w:val="none"/>
                <w:lang w:val="zh-CN"/>
              </w:rPr>
            </w:pPr>
            <w:r>
              <w:rPr>
                <w:rFonts w:hint="eastAsia" w:ascii="宋体" w:hAnsi="宋体" w:cs="宋体"/>
                <w:color w:val="auto"/>
                <w:kern w:val="0"/>
                <w:sz w:val="24"/>
                <w:highlight w:val="none"/>
                <w:lang w:val="zh-CN"/>
              </w:rPr>
              <w:t> </w:t>
            </w:r>
          </w:p>
        </w:tc>
        <w:tc>
          <w:tcPr>
            <w:tcW w:w="1391" w:type="dxa"/>
            <w:tcBorders>
              <w:top w:val="single" w:color="000000" w:sz="6" w:space="0"/>
              <w:left w:val="single" w:color="000000" w:sz="6" w:space="0"/>
              <w:bottom w:val="single" w:color="000000" w:sz="6" w:space="0"/>
              <w:right w:val="single" w:color="000000" w:sz="6" w:space="0"/>
            </w:tcBorders>
            <w:shd w:val="clear" w:color="000000" w:fill="FFFFFF"/>
          </w:tcPr>
          <w:p w14:paraId="3A34DAF6">
            <w:pPr>
              <w:autoSpaceDE w:val="0"/>
              <w:autoSpaceDN w:val="0"/>
              <w:adjustRightInd w:val="0"/>
              <w:spacing w:before="100" w:after="100" w:line="276" w:lineRule="auto"/>
              <w:ind w:firstLine="480"/>
              <w:jc w:val="center"/>
              <w:rPr>
                <w:rFonts w:hint="eastAsia" w:ascii="宋体" w:hAnsi="宋体" w:cs="宋体"/>
                <w:color w:val="auto"/>
                <w:kern w:val="0"/>
                <w:sz w:val="22"/>
                <w:szCs w:val="22"/>
                <w:highlight w:val="none"/>
                <w:lang w:val="zh-CN"/>
              </w:rPr>
            </w:pPr>
          </w:p>
        </w:tc>
        <w:tc>
          <w:tcPr>
            <w:tcW w:w="1701"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6970FAC0">
            <w:pPr>
              <w:autoSpaceDE w:val="0"/>
              <w:autoSpaceDN w:val="0"/>
              <w:adjustRightInd w:val="0"/>
              <w:spacing w:before="100" w:after="100" w:line="276" w:lineRule="auto"/>
              <w:ind w:firstLine="480"/>
              <w:jc w:val="center"/>
              <w:rPr>
                <w:rFonts w:hint="eastAsia" w:ascii="宋体" w:hAnsi="宋体" w:cs="宋体"/>
                <w:color w:val="auto"/>
                <w:kern w:val="0"/>
                <w:sz w:val="22"/>
                <w:szCs w:val="22"/>
                <w:highlight w:val="none"/>
                <w:lang w:val="zh-CN"/>
              </w:rPr>
            </w:pPr>
          </w:p>
        </w:tc>
        <w:tc>
          <w:tcPr>
            <w:tcW w:w="1843" w:type="dxa"/>
            <w:tcBorders>
              <w:top w:val="single" w:color="000000" w:sz="6" w:space="0"/>
              <w:left w:val="single" w:color="000000" w:sz="6" w:space="0"/>
              <w:bottom w:val="single" w:color="000000" w:sz="6" w:space="0"/>
              <w:right w:val="single" w:color="000000" w:sz="8" w:space="0"/>
            </w:tcBorders>
            <w:shd w:val="clear" w:color="000000" w:fill="FFFFFF"/>
            <w:vAlign w:val="center"/>
          </w:tcPr>
          <w:p w14:paraId="7BC634F2">
            <w:pPr>
              <w:autoSpaceDE w:val="0"/>
              <w:autoSpaceDN w:val="0"/>
              <w:adjustRightInd w:val="0"/>
              <w:spacing w:before="100" w:after="100" w:line="276" w:lineRule="auto"/>
              <w:ind w:firstLine="480"/>
              <w:jc w:val="center"/>
              <w:rPr>
                <w:rFonts w:hint="eastAsia" w:ascii="宋体" w:hAnsi="宋体" w:cs="宋体"/>
                <w:color w:val="auto"/>
                <w:kern w:val="0"/>
                <w:sz w:val="22"/>
                <w:szCs w:val="22"/>
                <w:highlight w:val="none"/>
                <w:lang w:val="zh-CN"/>
              </w:rPr>
            </w:pPr>
            <w:r>
              <w:rPr>
                <w:rFonts w:hint="eastAsia" w:ascii="宋体" w:hAnsi="宋体" w:cs="宋体"/>
                <w:color w:val="auto"/>
                <w:kern w:val="0"/>
                <w:sz w:val="24"/>
                <w:highlight w:val="none"/>
                <w:lang w:val="zh-CN"/>
              </w:rPr>
              <w:t> </w:t>
            </w:r>
          </w:p>
        </w:tc>
      </w:tr>
      <w:tr w14:paraId="0E9C2082">
        <w:tblPrEx>
          <w:tblCellMar>
            <w:top w:w="0" w:type="dxa"/>
            <w:left w:w="28" w:type="dxa"/>
            <w:bottom w:w="0" w:type="dxa"/>
            <w:right w:w="28" w:type="dxa"/>
          </w:tblCellMar>
        </w:tblPrEx>
        <w:trPr>
          <w:gridAfter w:val="1"/>
          <w:wAfter w:w="33" w:type="dxa"/>
          <w:trHeight w:val="529" w:hRule="atLeast"/>
          <w:jc w:val="center"/>
        </w:trPr>
        <w:tc>
          <w:tcPr>
            <w:tcW w:w="1024" w:type="dxa"/>
            <w:gridSpan w:val="2"/>
            <w:tcBorders>
              <w:top w:val="single" w:color="000000" w:sz="6" w:space="0"/>
              <w:left w:val="single" w:color="000000" w:sz="8" w:space="0"/>
              <w:bottom w:val="single" w:color="000000" w:sz="6" w:space="0"/>
              <w:right w:val="single" w:color="000000" w:sz="6" w:space="0"/>
            </w:tcBorders>
            <w:shd w:val="clear" w:color="000000" w:fill="FFFFFF"/>
            <w:vAlign w:val="center"/>
          </w:tcPr>
          <w:p w14:paraId="2C465097">
            <w:pPr>
              <w:autoSpaceDE w:val="0"/>
              <w:autoSpaceDN w:val="0"/>
              <w:adjustRightInd w:val="0"/>
              <w:spacing w:before="100" w:after="100" w:line="276" w:lineRule="auto"/>
              <w:ind w:firstLine="199"/>
              <w:jc w:val="center"/>
              <w:rPr>
                <w:rFonts w:hint="eastAsia" w:ascii="宋体" w:hAnsi="宋体" w:cs="宋体"/>
                <w:color w:val="auto"/>
                <w:kern w:val="0"/>
                <w:sz w:val="22"/>
                <w:szCs w:val="22"/>
                <w:highlight w:val="none"/>
                <w:lang w:val="zh-CN"/>
              </w:rPr>
            </w:pPr>
            <w:r>
              <w:rPr>
                <w:rFonts w:hint="eastAsia" w:ascii="宋体" w:hAnsi="宋体" w:cs="宋体"/>
                <w:color w:val="auto"/>
                <w:kern w:val="0"/>
                <w:sz w:val="24"/>
                <w:highlight w:val="none"/>
                <w:lang w:val="zh-CN"/>
              </w:rPr>
              <w:t>2</w:t>
            </w:r>
          </w:p>
        </w:tc>
        <w:tc>
          <w:tcPr>
            <w:tcW w:w="3517" w:type="dxa"/>
            <w:gridSpan w:val="2"/>
            <w:tcBorders>
              <w:top w:val="single" w:color="000000" w:sz="6" w:space="0"/>
              <w:left w:val="single" w:color="000000" w:sz="6" w:space="0"/>
              <w:bottom w:val="single" w:color="000000" w:sz="6" w:space="0"/>
              <w:right w:val="single" w:color="000000" w:sz="6" w:space="0"/>
            </w:tcBorders>
            <w:shd w:val="clear" w:color="000000" w:fill="FFFFFF"/>
            <w:vAlign w:val="center"/>
          </w:tcPr>
          <w:p w14:paraId="70A01BB2">
            <w:pPr>
              <w:autoSpaceDE w:val="0"/>
              <w:autoSpaceDN w:val="0"/>
              <w:adjustRightInd w:val="0"/>
              <w:spacing w:before="100" w:after="100" w:line="276" w:lineRule="auto"/>
              <w:ind w:firstLine="480"/>
              <w:jc w:val="center"/>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 </w:t>
            </w:r>
          </w:p>
        </w:tc>
        <w:tc>
          <w:tcPr>
            <w:tcW w:w="992"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509BD68B">
            <w:pPr>
              <w:autoSpaceDE w:val="0"/>
              <w:autoSpaceDN w:val="0"/>
              <w:adjustRightInd w:val="0"/>
              <w:spacing w:before="100" w:after="100" w:line="276" w:lineRule="auto"/>
              <w:ind w:firstLine="480"/>
              <w:jc w:val="center"/>
              <w:rPr>
                <w:rFonts w:hint="eastAsia" w:ascii="宋体" w:hAnsi="宋体" w:cs="宋体"/>
                <w:color w:val="auto"/>
                <w:kern w:val="0"/>
                <w:sz w:val="22"/>
                <w:szCs w:val="22"/>
                <w:highlight w:val="none"/>
                <w:lang w:val="zh-CN"/>
              </w:rPr>
            </w:pPr>
            <w:r>
              <w:rPr>
                <w:rFonts w:hint="eastAsia" w:ascii="宋体" w:hAnsi="宋体" w:cs="宋体"/>
                <w:color w:val="auto"/>
                <w:kern w:val="0"/>
                <w:sz w:val="24"/>
                <w:highlight w:val="none"/>
                <w:lang w:val="zh-CN"/>
              </w:rPr>
              <w:t> </w:t>
            </w:r>
          </w:p>
        </w:tc>
        <w:tc>
          <w:tcPr>
            <w:tcW w:w="1391" w:type="dxa"/>
            <w:tcBorders>
              <w:top w:val="single" w:color="000000" w:sz="6" w:space="0"/>
              <w:left w:val="single" w:color="000000" w:sz="6" w:space="0"/>
              <w:bottom w:val="single" w:color="000000" w:sz="6" w:space="0"/>
              <w:right w:val="single" w:color="000000" w:sz="6" w:space="0"/>
            </w:tcBorders>
            <w:shd w:val="clear" w:color="000000" w:fill="FFFFFF"/>
          </w:tcPr>
          <w:p w14:paraId="0364E21E">
            <w:pPr>
              <w:autoSpaceDE w:val="0"/>
              <w:autoSpaceDN w:val="0"/>
              <w:adjustRightInd w:val="0"/>
              <w:spacing w:before="100" w:after="100" w:line="276" w:lineRule="auto"/>
              <w:rPr>
                <w:rFonts w:hint="eastAsia" w:ascii="宋体" w:hAnsi="宋体" w:cs="宋体"/>
                <w:color w:val="auto"/>
                <w:kern w:val="0"/>
                <w:sz w:val="24"/>
                <w:highlight w:val="none"/>
                <w:lang w:val="zh-CN"/>
              </w:rPr>
            </w:pPr>
          </w:p>
        </w:tc>
        <w:tc>
          <w:tcPr>
            <w:tcW w:w="1701"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351134EC">
            <w:pPr>
              <w:autoSpaceDE w:val="0"/>
              <w:autoSpaceDN w:val="0"/>
              <w:adjustRightInd w:val="0"/>
              <w:spacing w:before="100" w:after="100" w:line="276" w:lineRule="auto"/>
              <w:rPr>
                <w:rFonts w:hint="eastAsia" w:ascii="宋体" w:hAnsi="宋体" w:cs="宋体"/>
                <w:color w:val="auto"/>
                <w:kern w:val="0"/>
                <w:sz w:val="22"/>
                <w:szCs w:val="22"/>
                <w:highlight w:val="none"/>
                <w:lang w:val="zh-CN"/>
              </w:rPr>
            </w:pPr>
            <w:r>
              <w:rPr>
                <w:rFonts w:hint="eastAsia" w:ascii="宋体" w:hAnsi="宋体" w:cs="宋体"/>
                <w:color w:val="auto"/>
                <w:kern w:val="0"/>
                <w:sz w:val="24"/>
                <w:highlight w:val="none"/>
                <w:lang w:val="zh-CN"/>
              </w:rPr>
              <w:t xml:space="preserve">    </w:t>
            </w:r>
          </w:p>
        </w:tc>
        <w:tc>
          <w:tcPr>
            <w:tcW w:w="1843" w:type="dxa"/>
            <w:tcBorders>
              <w:top w:val="single" w:color="000000" w:sz="6" w:space="0"/>
              <w:left w:val="single" w:color="000000" w:sz="6" w:space="0"/>
              <w:bottom w:val="single" w:color="000000" w:sz="6" w:space="0"/>
              <w:right w:val="single" w:color="000000" w:sz="8" w:space="0"/>
            </w:tcBorders>
            <w:shd w:val="clear" w:color="000000" w:fill="FFFFFF"/>
            <w:vAlign w:val="center"/>
          </w:tcPr>
          <w:p w14:paraId="736053CA">
            <w:pPr>
              <w:autoSpaceDE w:val="0"/>
              <w:autoSpaceDN w:val="0"/>
              <w:adjustRightInd w:val="0"/>
              <w:spacing w:before="100" w:after="100" w:line="276" w:lineRule="auto"/>
              <w:ind w:firstLine="480"/>
              <w:jc w:val="center"/>
              <w:rPr>
                <w:rFonts w:hint="eastAsia" w:ascii="宋体" w:hAnsi="宋体" w:cs="宋体"/>
                <w:color w:val="auto"/>
                <w:kern w:val="0"/>
                <w:sz w:val="22"/>
                <w:szCs w:val="22"/>
                <w:highlight w:val="none"/>
                <w:lang w:val="zh-CN"/>
              </w:rPr>
            </w:pPr>
            <w:r>
              <w:rPr>
                <w:rFonts w:hint="eastAsia" w:ascii="宋体" w:hAnsi="宋体" w:cs="宋体"/>
                <w:color w:val="auto"/>
                <w:kern w:val="0"/>
                <w:sz w:val="24"/>
                <w:highlight w:val="none"/>
                <w:lang w:val="zh-CN"/>
              </w:rPr>
              <w:t> </w:t>
            </w:r>
          </w:p>
        </w:tc>
      </w:tr>
      <w:tr w14:paraId="610B8D68">
        <w:tblPrEx>
          <w:tblCellMar>
            <w:top w:w="0" w:type="dxa"/>
            <w:left w:w="28" w:type="dxa"/>
            <w:bottom w:w="0" w:type="dxa"/>
            <w:right w:w="28" w:type="dxa"/>
          </w:tblCellMar>
        </w:tblPrEx>
        <w:trPr>
          <w:gridAfter w:val="1"/>
          <w:wAfter w:w="33" w:type="dxa"/>
          <w:trHeight w:val="529" w:hRule="atLeast"/>
          <w:jc w:val="center"/>
        </w:trPr>
        <w:tc>
          <w:tcPr>
            <w:tcW w:w="1024" w:type="dxa"/>
            <w:gridSpan w:val="2"/>
            <w:tcBorders>
              <w:top w:val="single" w:color="000000" w:sz="6" w:space="0"/>
              <w:left w:val="single" w:color="000000" w:sz="8" w:space="0"/>
              <w:bottom w:val="single" w:color="000000" w:sz="6" w:space="0"/>
              <w:right w:val="single" w:color="000000" w:sz="6" w:space="0"/>
            </w:tcBorders>
            <w:shd w:val="clear" w:color="000000" w:fill="FFFFFF"/>
            <w:vAlign w:val="center"/>
          </w:tcPr>
          <w:p w14:paraId="0D741602">
            <w:pPr>
              <w:autoSpaceDE w:val="0"/>
              <w:autoSpaceDN w:val="0"/>
              <w:adjustRightInd w:val="0"/>
              <w:spacing w:before="100" w:after="100" w:line="276" w:lineRule="auto"/>
              <w:ind w:firstLine="199"/>
              <w:jc w:val="center"/>
              <w:rPr>
                <w:rFonts w:hint="eastAsia" w:ascii="宋体" w:hAnsi="宋体" w:cs="宋体"/>
                <w:color w:val="auto"/>
                <w:kern w:val="0"/>
                <w:sz w:val="22"/>
                <w:szCs w:val="22"/>
                <w:highlight w:val="none"/>
                <w:lang w:val="zh-CN"/>
              </w:rPr>
            </w:pPr>
            <w:r>
              <w:rPr>
                <w:rFonts w:hint="eastAsia" w:ascii="宋体" w:hAnsi="宋体" w:cs="宋体"/>
                <w:color w:val="auto"/>
                <w:kern w:val="0"/>
                <w:sz w:val="24"/>
                <w:highlight w:val="none"/>
                <w:lang w:val="zh-CN"/>
              </w:rPr>
              <w:t>3</w:t>
            </w:r>
          </w:p>
        </w:tc>
        <w:tc>
          <w:tcPr>
            <w:tcW w:w="3517" w:type="dxa"/>
            <w:gridSpan w:val="2"/>
            <w:tcBorders>
              <w:top w:val="single" w:color="000000" w:sz="6" w:space="0"/>
              <w:left w:val="single" w:color="000000" w:sz="6" w:space="0"/>
              <w:bottom w:val="single" w:color="000000" w:sz="6" w:space="0"/>
              <w:right w:val="single" w:color="000000" w:sz="6" w:space="0"/>
            </w:tcBorders>
            <w:shd w:val="clear" w:color="000000" w:fill="FFFFFF"/>
            <w:vAlign w:val="center"/>
          </w:tcPr>
          <w:p w14:paraId="772748D4">
            <w:pPr>
              <w:autoSpaceDE w:val="0"/>
              <w:autoSpaceDN w:val="0"/>
              <w:adjustRightInd w:val="0"/>
              <w:spacing w:before="100" w:after="100" w:line="276" w:lineRule="auto"/>
              <w:ind w:firstLine="480"/>
              <w:jc w:val="center"/>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 </w:t>
            </w:r>
          </w:p>
        </w:tc>
        <w:tc>
          <w:tcPr>
            <w:tcW w:w="992"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75A9CE2A">
            <w:pPr>
              <w:autoSpaceDE w:val="0"/>
              <w:autoSpaceDN w:val="0"/>
              <w:adjustRightInd w:val="0"/>
              <w:spacing w:before="100" w:after="100" w:line="276" w:lineRule="auto"/>
              <w:ind w:firstLine="480"/>
              <w:jc w:val="center"/>
              <w:rPr>
                <w:rFonts w:hint="eastAsia" w:ascii="宋体" w:hAnsi="宋体" w:cs="宋体"/>
                <w:color w:val="auto"/>
                <w:kern w:val="0"/>
                <w:sz w:val="22"/>
                <w:szCs w:val="22"/>
                <w:highlight w:val="none"/>
                <w:lang w:val="zh-CN"/>
              </w:rPr>
            </w:pPr>
            <w:r>
              <w:rPr>
                <w:rFonts w:hint="eastAsia" w:ascii="宋体" w:hAnsi="宋体" w:cs="宋体"/>
                <w:color w:val="auto"/>
                <w:kern w:val="0"/>
                <w:sz w:val="24"/>
                <w:highlight w:val="none"/>
                <w:lang w:val="zh-CN"/>
              </w:rPr>
              <w:t> </w:t>
            </w:r>
          </w:p>
        </w:tc>
        <w:tc>
          <w:tcPr>
            <w:tcW w:w="1391" w:type="dxa"/>
            <w:tcBorders>
              <w:top w:val="single" w:color="000000" w:sz="6" w:space="0"/>
              <w:left w:val="single" w:color="000000" w:sz="6" w:space="0"/>
              <w:bottom w:val="single" w:color="000000" w:sz="6" w:space="0"/>
              <w:right w:val="single" w:color="000000" w:sz="6" w:space="0"/>
            </w:tcBorders>
            <w:shd w:val="clear" w:color="000000" w:fill="FFFFFF"/>
          </w:tcPr>
          <w:p w14:paraId="0278C58F">
            <w:pPr>
              <w:autoSpaceDE w:val="0"/>
              <w:autoSpaceDN w:val="0"/>
              <w:adjustRightInd w:val="0"/>
              <w:spacing w:before="100" w:after="100" w:line="276" w:lineRule="auto"/>
              <w:ind w:firstLine="480"/>
              <w:jc w:val="center"/>
              <w:rPr>
                <w:rFonts w:hint="eastAsia" w:ascii="宋体" w:hAnsi="宋体" w:cs="宋体"/>
                <w:color w:val="auto"/>
                <w:kern w:val="0"/>
                <w:sz w:val="24"/>
                <w:highlight w:val="none"/>
                <w:lang w:val="zh-CN"/>
              </w:rPr>
            </w:pPr>
          </w:p>
        </w:tc>
        <w:tc>
          <w:tcPr>
            <w:tcW w:w="1701"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57A79753">
            <w:pPr>
              <w:autoSpaceDE w:val="0"/>
              <w:autoSpaceDN w:val="0"/>
              <w:adjustRightInd w:val="0"/>
              <w:spacing w:before="100" w:after="100" w:line="276" w:lineRule="auto"/>
              <w:ind w:firstLine="480"/>
              <w:jc w:val="center"/>
              <w:rPr>
                <w:rFonts w:hint="eastAsia" w:ascii="宋体" w:hAnsi="宋体" w:cs="宋体"/>
                <w:color w:val="auto"/>
                <w:kern w:val="0"/>
                <w:sz w:val="22"/>
                <w:szCs w:val="22"/>
                <w:highlight w:val="none"/>
                <w:lang w:val="zh-CN"/>
              </w:rPr>
            </w:pPr>
            <w:r>
              <w:rPr>
                <w:rFonts w:hint="eastAsia" w:ascii="宋体" w:hAnsi="宋体" w:cs="宋体"/>
                <w:color w:val="auto"/>
                <w:kern w:val="0"/>
                <w:sz w:val="24"/>
                <w:highlight w:val="none"/>
                <w:lang w:val="zh-CN"/>
              </w:rPr>
              <w:t> </w:t>
            </w:r>
          </w:p>
        </w:tc>
        <w:tc>
          <w:tcPr>
            <w:tcW w:w="1843" w:type="dxa"/>
            <w:tcBorders>
              <w:top w:val="single" w:color="000000" w:sz="6" w:space="0"/>
              <w:left w:val="single" w:color="000000" w:sz="6" w:space="0"/>
              <w:bottom w:val="single" w:color="000000" w:sz="6" w:space="0"/>
              <w:right w:val="single" w:color="000000" w:sz="8" w:space="0"/>
            </w:tcBorders>
            <w:shd w:val="clear" w:color="000000" w:fill="FFFFFF"/>
            <w:vAlign w:val="center"/>
          </w:tcPr>
          <w:p w14:paraId="0B286DF8">
            <w:pPr>
              <w:autoSpaceDE w:val="0"/>
              <w:autoSpaceDN w:val="0"/>
              <w:adjustRightInd w:val="0"/>
              <w:spacing w:before="100" w:after="100" w:line="276" w:lineRule="auto"/>
              <w:ind w:firstLine="480"/>
              <w:jc w:val="center"/>
              <w:rPr>
                <w:rFonts w:hint="eastAsia" w:ascii="宋体" w:hAnsi="宋体" w:cs="宋体"/>
                <w:color w:val="auto"/>
                <w:kern w:val="0"/>
                <w:sz w:val="22"/>
                <w:szCs w:val="22"/>
                <w:highlight w:val="none"/>
                <w:lang w:val="zh-CN"/>
              </w:rPr>
            </w:pPr>
            <w:r>
              <w:rPr>
                <w:rFonts w:hint="eastAsia" w:ascii="宋体" w:hAnsi="宋体" w:cs="宋体"/>
                <w:color w:val="auto"/>
                <w:kern w:val="0"/>
                <w:sz w:val="24"/>
                <w:highlight w:val="none"/>
                <w:lang w:val="zh-CN"/>
              </w:rPr>
              <w:t> </w:t>
            </w:r>
          </w:p>
        </w:tc>
      </w:tr>
      <w:tr w14:paraId="34D32004">
        <w:tblPrEx>
          <w:tblCellMar>
            <w:top w:w="0" w:type="dxa"/>
            <w:left w:w="28" w:type="dxa"/>
            <w:bottom w:w="0" w:type="dxa"/>
            <w:right w:w="28" w:type="dxa"/>
          </w:tblCellMar>
        </w:tblPrEx>
        <w:trPr>
          <w:gridAfter w:val="1"/>
          <w:wAfter w:w="33" w:type="dxa"/>
          <w:trHeight w:val="529" w:hRule="atLeast"/>
          <w:jc w:val="center"/>
        </w:trPr>
        <w:tc>
          <w:tcPr>
            <w:tcW w:w="1024" w:type="dxa"/>
            <w:gridSpan w:val="2"/>
            <w:tcBorders>
              <w:top w:val="single" w:color="000000" w:sz="6" w:space="0"/>
              <w:left w:val="single" w:color="000000" w:sz="8" w:space="0"/>
              <w:bottom w:val="single" w:color="000000" w:sz="6" w:space="0"/>
              <w:right w:val="single" w:color="000000" w:sz="6" w:space="0"/>
            </w:tcBorders>
            <w:shd w:val="clear" w:color="000000" w:fill="FFFFFF"/>
            <w:vAlign w:val="center"/>
          </w:tcPr>
          <w:p w14:paraId="1E51FEEC">
            <w:pPr>
              <w:autoSpaceDE w:val="0"/>
              <w:autoSpaceDN w:val="0"/>
              <w:adjustRightInd w:val="0"/>
              <w:spacing w:before="100" w:after="100" w:line="276" w:lineRule="auto"/>
              <w:ind w:firstLine="199"/>
              <w:jc w:val="center"/>
              <w:rPr>
                <w:rFonts w:hint="eastAsia" w:ascii="宋体" w:hAnsi="宋体" w:cs="宋体"/>
                <w:color w:val="auto"/>
                <w:kern w:val="0"/>
                <w:sz w:val="22"/>
                <w:szCs w:val="22"/>
                <w:highlight w:val="none"/>
                <w:lang w:val="zh-CN"/>
              </w:rPr>
            </w:pPr>
            <w:r>
              <w:rPr>
                <w:rFonts w:hint="eastAsia" w:ascii="宋体" w:hAnsi="宋体" w:cs="宋体"/>
                <w:color w:val="auto"/>
                <w:kern w:val="0"/>
                <w:sz w:val="24"/>
                <w:highlight w:val="none"/>
                <w:lang w:val="zh-CN"/>
              </w:rPr>
              <w:t>4</w:t>
            </w:r>
          </w:p>
        </w:tc>
        <w:tc>
          <w:tcPr>
            <w:tcW w:w="3517" w:type="dxa"/>
            <w:gridSpan w:val="2"/>
            <w:tcBorders>
              <w:top w:val="single" w:color="000000" w:sz="6" w:space="0"/>
              <w:left w:val="single" w:color="000000" w:sz="6" w:space="0"/>
              <w:bottom w:val="single" w:color="000000" w:sz="6" w:space="0"/>
              <w:right w:val="single" w:color="000000" w:sz="6" w:space="0"/>
            </w:tcBorders>
            <w:shd w:val="clear" w:color="000000" w:fill="FFFFFF"/>
            <w:vAlign w:val="center"/>
          </w:tcPr>
          <w:p w14:paraId="37526429">
            <w:pPr>
              <w:autoSpaceDE w:val="0"/>
              <w:autoSpaceDN w:val="0"/>
              <w:adjustRightInd w:val="0"/>
              <w:spacing w:before="100" w:after="100" w:line="276" w:lineRule="auto"/>
              <w:ind w:firstLine="480"/>
              <w:jc w:val="center"/>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 </w:t>
            </w:r>
          </w:p>
        </w:tc>
        <w:tc>
          <w:tcPr>
            <w:tcW w:w="992"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6EE40AAB">
            <w:pPr>
              <w:autoSpaceDE w:val="0"/>
              <w:autoSpaceDN w:val="0"/>
              <w:adjustRightInd w:val="0"/>
              <w:spacing w:before="100" w:after="100" w:line="276" w:lineRule="auto"/>
              <w:ind w:firstLine="480"/>
              <w:jc w:val="center"/>
              <w:rPr>
                <w:rFonts w:hint="eastAsia" w:ascii="宋体" w:hAnsi="宋体" w:cs="宋体"/>
                <w:color w:val="auto"/>
                <w:kern w:val="0"/>
                <w:sz w:val="22"/>
                <w:szCs w:val="22"/>
                <w:highlight w:val="none"/>
                <w:lang w:val="zh-CN"/>
              </w:rPr>
            </w:pPr>
            <w:r>
              <w:rPr>
                <w:rFonts w:hint="eastAsia" w:ascii="宋体" w:hAnsi="宋体" w:cs="宋体"/>
                <w:color w:val="auto"/>
                <w:kern w:val="0"/>
                <w:sz w:val="24"/>
                <w:highlight w:val="none"/>
                <w:lang w:val="zh-CN"/>
              </w:rPr>
              <w:t> </w:t>
            </w:r>
          </w:p>
        </w:tc>
        <w:tc>
          <w:tcPr>
            <w:tcW w:w="1391" w:type="dxa"/>
            <w:tcBorders>
              <w:top w:val="single" w:color="000000" w:sz="6" w:space="0"/>
              <w:left w:val="single" w:color="000000" w:sz="6" w:space="0"/>
              <w:bottom w:val="single" w:color="000000" w:sz="6" w:space="0"/>
              <w:right w:val="single" w:color="000000" w:sz="6" w:space="0"/>
            </w:tcBorders>
            <w:shd w:val="clear" w:color="000000" w:fill="FFFFFF"/>
          </w:tcPr>
          <w:p w14:paraId="32F6D5DF">
            <w:pPr>
              <w:autoSpaceDE w:val="0"/>
              <w:autoSpaceDN w:val="0"/>
              <w:adjustRightInd w:val="0"/>
              <w:spacing w:before="100" w:after="100" w:line="276" w:lineRule="auto"/>
              <w:ind w:firstLine="480"/>
              <w:jc w:val="center"/>
              <w:rPr>
                <w:rFonts w:hint="eastAsia" w:ascii="宋体" w:hAnsi="宋体" w:cs="宋体"/>
                <w:color w:val="auto"/>
                <w:kern w:val="0"/>
                <w:sz w:val="24"/>
                <w:highlight w:val="none"/>
                <w:lang w:val="zh-CN"/>
              </w:rPr>
            </w:pPr>
          </w:p>
        </w:tc>
        <w:tc>
          <w:tcPr>
            <w:tcW w:w="1701"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2E927F98">
            <w:pPr>
              <w:autoSpaceDE w:val="0"/>
              <w:autoSpaceDN w:val="0"/>
              <w:adjustRightInd w:val="0"/>
              <w:spacing w:before="100" w:after="100" w:line="276" w:lineRule="auto"/>
              <w:ind w:firstLine="480"/>
              <w:jc w:val="center"/>
              <w:rPr>
                <w:rFonts w:hint="eastAsia" w:ascii="宋体" w:hAnsi="宋体" w:cs="宋体"/>
                <w:color w:val="auto"/>
                <w:kern w:val="0"/>
                <w:sz w:val="22"/>
                <w:szCs w:val="22"/>
                <w:highlight w:val="none"/>
                <w:lang w:val="zh-CN"/>
              </w:rPr>
            </w:pPr>
            <w:r>
              <w:rPr>
                <w:rFonts w:hint="eastAsia" w:ascii="宋体" w:hAnsi="宋体" w:cs="宋体"/>
                <w:color w:val="auto"/>
                <w:kern w:val="0"/>
                <w:sz w:val="24"/>
                <w:highlight w:val="none"/>
                <w:lang w:val="zh-CN"/>
              </w:rPr>
              <w:t> </w:t>
            </w:r>
          </w:p>
        </w:tc>
        <w:tc>
          <w:tcPr>
            <w:tcW w:w="1843" w:type="dxa"/>
            <w:tcBorders>
              <w:top w:val="single" w:color="000000" w:sz="6" w:space="0"/>
              <w:left w:val="single" w:color="000000" w:sz="6" w:space="0"/>
              <w:bottom w:val="single" w:color="000000" w:sz="6" w:space="0"/>
              <w:right w:val="single" w:color="000000" w:sz="8" w:space="0"/>
            </w:tcBorders>
            <w:shd w:val="clear" w:color="000000" w:fill="FFFFFF"/>
            <w:vAlign w:val="center"/>
          </w:tcPr>
          <w:p w14:paraId="3CAAC312">
            <w:pPr>
              <w:autoSpaceDE w:val="0"/>
              <w:autoSpaceDN w:val="0"/>
              <w:adjustRightInd w:val="0"/>
              <w:spacing w:before="100" w:after="100" w:line="276" w:lineRule="auto"/>
              <w:ind w:firstLine="480"/>
              <w:jc w:val="center"/>
              <w:rPr>
                <w:rFonts w:hint="eastAsia" w:ascii="宋体" w:hAnsi="宋体" w:cs="宋体"/>
                <w:color w:val="auto"/>
                <w:kern w:val="0"/>
                <w:sz w:val="22"/>
                <w:szCs w:val="22"/>
                <w:highlight w:val="none"/>
                <w:lang w:val="zh-CN"/>
              </w:rPr>
            </w:pPr>
            <w:r>
              <w:rPr>
                <w:rFonts w:hint="eastAsia" w:ascii="宋体" w:hAnsi="宋体" w:cs="宋体"/>
                <w:color w:val="auto"/>
                <w:kern w:val="0"/>
                <w:sz w:val="24"/>
                <w:highlight w:val="none"/>
                <w:lang w:val="zh-CN"/>
              </w:rPr>
              <w:t> </w:t>
            </w:r>
          </w:p>
        </w:tc>
      </w:tr>
      <w:tr w14:paraId="0CBFDE9B">
        <w:tblPrEx>
          <w:tblCellMar>
            <w:top w:w="0" w:type="dxa"/>
            <w:left w:w="28" w:type="dxa"/>
            <w:bottom w:w="0" w:type="dxa"/>
            <w:right w:w="28" w:type="dxa"/>
          </w:tblCellMar>
        </w:tblPrEx>
        <w:trPr>
          <w:gridAfter w:val="1"/>
          <w:wAfter w:w="33" w:type="dxa"/>
          <w:trHeight w:val="529" w:hRule="atLeast"/>
          <w:jc w:val="center"/>
        </w:trPr>
        <w:tc>
          <w:tcPr>
            <w:tcW w:w="1024" w:type="dxa"/>
            <w:gridSpan w:val="2"/>
            <w:tcBorders>
              <w:top w:val="single" w:color="000000" w:sz="6" w:space="0"/>
              <w:left w:val="single" w:color="000000" w:sz="8" w:space="0"/>
              <w:bottom w:val="single" w:color="000000" w:sz="6" w:space="0"/>
              <w:right w:val="single" w:color="000000" w:sz="6" w:space="0"/>
            </w:tcBorders>
            <w:shd w:val="clear" w:color="000000" w:fill="FFFFFF"/>
            <w:vAlign w:val="center"/>
          </w:tcPr>
          <w:p w14:paraId="6F21975E">
            <w:pPr>
              <w:autoSpaceDE w:val="0"/>
              <w:autoSpaceDN w:val="0"/>
              <w:adjustRightInd w:val="0"/>
              <w:spacing w:before="100" w:after="100" w:line="276" w:lineRule="auto"/>
              <w:ind w:firstLine="199"/>
              <w:jc w:val="center"/>
              <w:rPr>
                <w:rFonts w:hint="eastAsia" w:ascii="宋体" w:hAnsi="宋体" w:cs="宋体"/>
                <w:color w:val="auto"/>
                <w:kern w:val="0"/>
                <w:sz w:val="22"/>
                <w:szCs w:val="22"/>
                <w:highlight w:val="none"/>
                <w:lang w:val="zh-CN"/>
              </w:rPr>
            </w:pPr>
            <w:r>
              <w:rPr>
                <w:rFonts w:hint="eastAsia" w:ascii="宋体" w:hAnsi="宋体" w:cs="宋体"/>
                <w:color w:val="auto"/>
                <w:kern w:val="0"/>
                <w:sz w:val="24"/>
                <w:highlight w:val="none"/>
                <w:lang w:val="zh-CN"/>
              </w:rPr>
              <w:t>…</w:t>
            </w:r>
          </w:p>
        </w:tc>
        <w:tc>
          <w:tcPr>
            <w:tcW w:w="3517" w:type="dxa"/>
            <w:gridSpan w:val="2"/>
            <w:tcBorders>
              <w:top w:val="single" w:color="000000" w:sz="6" w:space="0"/>
              <w:left w:val="single" w:color="000000" w:sz="6" w:space="0"/>
              <w:bottom w:val="single" w:color="000000" w:sz="6" w:space="0"/>
              <w:right w:val="single" w:color="000000" w:sz="6" w:space="0"/>
            </w:tcBorders>
            <w:shd w:val="clear" w:color="000000" w:fill="FFFFFF"/>
            <w:vAlign w:val="center"/>
          </w:tcPr>
          <w:p w14:paraId="5BE40435">
            <w:pPr>
              <w:autoSpaceDE w:val="0"/>
              <w:autoSpaceDN w:val="0"/>
              <w:adjustRightInd w:val="0"/>
              <w:spacing w:before="100" w:after="100" w:line="276" w:lineRule="auto"/>
              <w:ind w:firstLine="480"/>
              <w:jc w:val="center"/>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 </w:t>
            </w:r>
          </w:p>
        </w:tc>
        <w:tc>
          <w:tcPr>
            <w:tcW w:w="992"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1E43FF68">
            <w:pPr>
              <w:autoSpaceDE w:val="0"/>
              <w:autoSpaceDN w:val="0"/>
              <w:adjustRightInd w:val="0"/>
              <w:spacing w:before="100" w:after="100" w:line="276" w:lineRule="auto"/>
              <w:ind w:firstLine="480"/>
              <w:jc w:val="center"/>
              <w:rPr>
                <w:rFonts w:hint="eastAsia" w:ascii="宋体" w:hAnsi="宋体" w:cs="宋体"/>
                <w:color w:val="auto"/>
                <w:kern w:val="0"/>
                <w:sz w:val="22"/>
                <w:szCs w:val="22"/>
                <w:highlight w:val="none"/>
                <w:lang w:val="zh-CN"/>
              </w:rPr>
            </w:pPr>
            <w:r>
              <w:rPr>
                <w:rFonts w:hint="eastAsia" w:ascii="宋体" w:hAnsi="宋体" w:cs="宋体"/>
                <w:color w:val="auto"/>
                <w:kern w:val="0"/>
                <w:sz w:val="24"/>
                <w:highlight w:val="none"/>
                <w:lang w:val="zh-CN"/>
              </w:rPr>
              <w:t> </w:t>
            </w:r>
          </w:p>
        </w:tc>
        <w:tc>
          <w:tcPr>
            <w:tcW w:w="1391" w:type="dxa"/>
            <w:tcBorders>
              <w:top w:val="single" w:color="000000" w:sz="6" w:space="0"/>
              <w:left w:val="single" w:color="000000" w:sz="6" w:space="0"/>
              <w:bottom w:val="single" w:color="000000" w:sz="6" w:space="0"/>
              <w:right w:val="single" w:color="000000" w:sz="6" w:space="0"/>
            </w:tcBorders>
            <w:shd w:val="clear" w:color="000000" w:fill="FFFFFF"/>
          </w:tcPr>
          <w:p w14:paraId="58FFE286">
            <w:pPr>
              <w:autoSpaceDE w:val="0"/>
              <w:autoSpaceDN w:val="0"/>
              <w:adjustRightInd w:val="0"/>
              <w:spacing w:before="100" w:after="100" w:line="276" w:lineRule="auto"/>
              <w:ind w:firstLine="480"/>
              <w:jc w:val="center"/>
              <w:rPr>
                <w:rFonts w:hint="eastAsia" w:ascii="宋体" w:hAnsi="宋体" w:cs="宋体"/>
                <w:color w:val="auto"/>
                <w:kern w:val="0"/>
                <w:sz w:val="24"/>
                <w:highlight w:val="none"/>
                <w:lang w:val="zh-CN"/>
              </w:rPr>
            </w:pPr>
          </w:p>
        </w:tc>
        <w:tc>
          <w:tcPr>
            <w:tcW w:w="1701" w:type="dxa"/>
            <w:tcBorders>
              <w:top w:val="single" w:color="000000" w:sz="6" w:space="0"/>
              <w:left w:val="single" w:color="000000" w:sz="6" w:space="0"/>
              <w:bottom w:val="single" w:color="000000" w:sz="6" w:space="0"/>
              <w:right w:val="single" w:color="000000" w:sz="6" w:space="0"/>
            </w:tcBorders>
            <w:shd w:val="clear" w:color="000000" w:fill="FFFFFF"/>
            <w:vAlign w:val="center"/>
          </w:tcPr>
          <w:p w14:paraId="0B6C95CD">
            <w:pPr>
              <w:autoSpaceDE w:val="0"/>
              <w:autoSpaceDN w:val="0"/>
              <w:adjustRightInd w:val="0"/>
              <w:spacing w:before="100" w:after="100" w:line="276" w:lineRule="auto"/>
              <w:ind w:firstLine="480"/>
              <w:jc w:val="center"/>
              <w:rPr>
                <w:rFonts w:hint="eastAsia" w:ascii="宋体" w:hAnsi="宋体" w:cs="宋体"/>
                <w:color w:val="auto"/>
                <w:kern w:val="0"/>
                <w:sz w:val="22"/>
                <w:szCs w:val="22"/>
                <w:highlight w:val="none"/>
                <w:lang w:val="zh-CN"/>
              </w:rPr>
            </w:pPr>
            <w:r>
              <w:rPr>
                <w:rFonts w:hint="eastAsia" w:ascii="宋体" w:hAnsi="宋体" w:cs="宋体"/>
                <w:color w:val="auto"/>
                <w:kern w:val="0"/>
                <w:sz w:val="24"/>
                <w:highlight w:val="none"/>
                <w:lang w:val="zh-CN"/>
              </w:rPr>
              <w:t> </w:t>
            </w:r>
          </w:p>
        </w:tc>
        <w:tc>
          <w:tcPr>
            <w:tcW w:w="1843" w:type="dxa"/>
            <w:tcBorders>
              <w:top w:val="single" w:color="000000" w:sz="6" w:space="0"/>
              <w:left w:val="single" w:color="000000" w:sz="6" w:space="0"/>
              <w:bottom w:val="single" w:color="000000" w:sz="6" w:space="0"/>
              <w:right w:val="single" w:color="000000" w:sz="8" w:space="0"/>
            </w:tcBorders>
            <w:shd w:val="clear" w:color="000000" w:fill="FFFFFF"/>
            <w:vAlign w:val="center"/>
          </w:tcPr>
          <w:p w14:paraId="0B1A4872">
            <w:pPr>
              <w:autoSpaceDE w:val="0"/>
              <w:autoSpaceDN w:val="0"/>
              <w:adjustRightInd w:val="0"/>
              <w:spacing w:before="100" w:after="100" w:line="276" w:lineRule="auto"/>
              <w:ind w:firstLine="480"/>
              <w:jc w:val="center"/>
              <w:rPr>
                <w:rFonts w:hint="eastAsia" w:ascii="宋体" w:hAnsi="宋体" w:cs="宋体"/>
                <w:color w:val="auto"/>
                <w:kern w:val="0"/>
                <w:sz w:val="22"/>
                <w:szCs w:val="22"/>
                <w:highlight w:val="none"/>
                <w:lang w:val="zh-CN"/>
              </w:rPr>
            </w:pPr>
            <w:r>
              <w:rPr>
                <w:rFonts w:hint="eastAsia" w:ascii="宋体" w:hAnsi="宋体" w:cs="宋体"/>
                <w:color w:val="auto"/>
                <w:kern w:val="0"/>
                <w:sz w:val="24"/>
                <w:highlight w:val="none"/>
                <w:lang w:val="zh-CN"/>
              </w:rPr>
              <w:t> </w:t>
            </w:r>
          </w:p>
        </w:tc>
      </w:tr>
      <w:tr w14:paraId="6880486F">
        <w:tblPrEx>
          <w:tblCellMar>
            <w:top w:w="0" w:type="dxa"/>
            <w:left w:w="28" w:type="dxa"/>
            <w:bottom w:w="0" w:type="dxa"/>
            <w:right w:w="28" w:type="dxa"/>
          </w:tblCellMar>
        </w:tblPrEx>
        <w:trPr>
          <w:gridBefore w:val="1"/>
          <w:wBefore w:w="10" w:type="dxa"/>
          <w:trHeight w:val="1067" w:hRule="atLeast"/>
          <w:jc w:val="center"/>
        </w:trPr>
        <w:tc>
          <w:tcPr>
            <w:tcW w:w="10491" w:type="dxa"/>
            <w:gridSpan w:val="8"/>
            <w:tcBorders>
              <w:top w:val="single" w:color="000000" w:sz="6" w:space="0"/>
              <w:left w:val="single" w:color="000000" w:sz="8" w:space="0"/>
              <w:bottom w:val="single" w:color="000000" w:sz="6" w:space="0"/>
              <w:right w:val="single" w:color="000000" w:sz="8" w:space="0"/>
            </w:tcBorders>
            <w:shd w:val="clear" w:color="000000" w:fill="FFFFFF"/>
          </w:tcPr>
          <w:p w14:paraId="6C766999">
            <w:pPr>
              <w:autoSpaceDE w:val="0"/>
              <w:autoSpaceDN w:val="0"/>
              <w:adjustRightInd w:val="0"/>
              <w:spacing w:before="100" w:after="100" w:line="276" w:lineRule="auto"/>
              <w:jc w:val="left"/>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优惠承诺及其他：</w:t>
            </w:r>
          </w:p>
          <w:p w14:paraId="61F38187">
            <w:pPr>
              <w:autoSpaceDE w:val="0"/>
              <w:autoSpaceDN w:val="0"/>
              <w:adjustRightInd w:val="0"/>
              <w:spacing w:before="100" w:after="100" w:line="276" w:lineRule="auto"/>
              <w:ind w:firstLine="480"/>
              <w:jc w:val="left"/>
              <w:rPr>
                <w:rFonts w:hint="eastAsia" w:ascii="宋体" w:hAnsi="宋体" w:cs="宋体"/>
                <w:color w:val="auto"/>
                <w:kern w:val="0"/>
                <w:sz w:val="22"/>
                <w:szCs w:val="22"/>
                <w:highlight w:val="none"/>
                <w:lang w:val="zh-CN"/>
              </w:rPr>
            </w:pPr>
            <w:r>
              <w:rPr>
                <w:rFonts w:hint="eastAsia" w:ascii="宋体" w:hAnsi="宋体" w:cs="宋体"/>
                <w:color w:val="auto"/>
                <w:kern w:val="0"/>
                <w:sz w:val="24"/>
                <w:highlight w:val="none"/>
                <w:lang w:val="zh-CN"/>
              </w:rPr>
              <w:t> </w:t>
            </w:r>
          </w:p>
        </w:tc>
      </w:tr>
      <w:tr w14:paraId="3B23BA02">
        <w:tblPrEx>
          <w:tblCellMar>
            <w:top w:w="0" w:type="dxa"/>
            <w:left w:w="28" w:type="dxa"/>
            <w:bottom w:w="0" w:type="dxa"/>
            <w:right w:w="28" w:type="dxa"/>
          </w:tblCellMar>
        </w:tblPrEx>
        <w:trPr>
          <w:gridBefore w:val="1"/>
          <w:wBefore w:w="10" w:type="dxa"/>
          <w:trHeight w:val="529" w:hRule="atLeast"/>
          <w:jc w:val="center"/>
        </w:trPr>
        <w:tc>
          <w:tcPr>
            <w:tcW w:w="3904" w:type="dxa"/>
            <w:gridSpan w:val="2"/>
            <w:tcBorders>
              <w:top w:val="single" w:color="000000" w:sz="6" w:space="0"/>
              <w:left w:val="single" w:color="000000" w:sz="8" w:space="0"/>
              <w:bottom w:val="single" w:color="000000" w:sz="8" w:space="0"/>
              <w:right w:val="single" w:color="000000" w:sz="6" w:space="0"/>
            </w:tcBorders>
            <w:shd w:val="clear" w:color="000000" w:fill="FFFFFF"/>
            <w:vAlign w:val="center"/>
          </w:tcPr>
          <w:p w14:paraId="6E5596E3">
            <w:pPr>
              <w:autoSpaceDE w:val="0"/>
              <w:autoSpaceDN w:val="0"/>
              <w:adjustRightInd w:val="0"/>
              <w:spacing w:line="276" w:lineRule="auto"/>
              <w:jc w:val="left"/>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磋商总价</w:t>
            </w:r>
            <w:r>
              <w:rPr>
                <w:rFonts w:hint="eastAsia" w:ascii="宋体" w:hAnsi="宋体" w:cs="宋体"/>
                <w:color w:val="auto"/>
                <w:kern w:val="0"/>
                <w:sz w:val="24"/>
                <w:highlight w:val="none"/>
                <w:lang w:val="en-US" w:eastAsia="zh-CN"/>
              </w:rPr>
              <w:t>（万元）</w:t>
            </w:r>
          </w:p>
        </w:tc>
        <w:tc>
          <w:tcPr>
            <w:tcW w:w="6587" w:type="dxa"/>
            <w:gridSpan w:val="6"/>
            <w:tcBorders>
              <w:top w:val="single" w:color="000000" w:sz="6" w:space="0"/>
              <w:left w:val="single" w:color="000000" w:sz="6" w:space="0"/>
              <w:bottom w:val="single" w:color="000000" w:sz="8" w:space="0"/>
              <w:right w:val="single" w:color="000000" w:sz="8" w:space="0"/>
            </w:tcBorders>
            <w:shd w:val="clear" w:color="000000" w:fill="FFFFFF"/>
          </w:tcPr>
          <w:p w14:paraId="4633C9B7">
            <w:pPr>
              <w:autoSpaceDE w:val="0"/>
              <w:autoSpaceDN w:val="0"/>
              <w:adjustRightInd w:val="0"/>
              <w:spacing w:line="276" w:lineRule="auto"/>
              <w:jc w:val="left"/>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大写：               </w:t>
            </w:r>
          </w:p>
          <w:p w14:paraId="08D9B24F">
            <w:pPr>
              <w:autoSpaceDE w:val="0"/>
              <w:autoSpaceDN w:val="0"/>
              <w:adjustRightInd w:val="0"/>
              <w:spacing w:line="276" w:lineRule="auto"/>
              <w:jc w:val="left"/>
              <w:rPr>
                <w:rFonts w:hint="eastAsia" w:ascii="宋体" w:hAnsi="宋体" w:cs="宋体"/>
                <w:color w:val="auto"/>
                <w:kern w:val="0"/>
                <w:sz w:val="22"/>
                <w:szCs w:val="22"/>
                <w:highlight w:val="none"/>
                <w:lang w:val="zh-CN"/>
              </w:rPr>
            </w:pPr>
            <w:r>
              <w:rPr>
                <w:rFonts w:hint="eastAsia" w:ascii="宋体" w:hAnsi="宋体" w:cs="宋体"/>
                <w:color w:val="auto"/>
                <w:kern w:val="0"/>
                <w:sz w:val="24"/>
                <w:highlight w:val="none"/>
                <w:lang w:val="zh-CN"/>
              </w:rPr>
              <w:t>小写：</w:t>
            </w:r>
          </w:p>
        </w:tc>
      </w:tr>
    </w:tbl>
    <w:p w14:paraId="253947AB">
      <w:pPr>
        <w:spacing w:line="276" w:lineRule="auto"/>
        <w:rPr>
          <w:rFonts w:hint="eastAsia" w:ascii="宋体" w:hAnsi="宋体" w:cs="宋体"/>
          <w:color w:val="auto"/>
          <w:sz w:val="24"/>
          <w:highlight w:val="none"/>
        </w:rPr>
      </w:pPr>
    </w:p>
    <w:p w14:paraId="10E5F630">
      <w:pPr>
        <w:spacing w:line="276" w:lineRule="auto"/>
        <w:rPr>
          <w:rFonts w:hint="eastAsia" w:ascii="宋体" w:hAnsi="宋体" w:cs="宋体"/>
          <w:color w:val="auto"/>
          <w:sz w:val="24"/>
          <w:highlight w:val="none"/>
        </w:rPr>
      </w:pPr>
    </w:p>
    <w:p w14:paraId="6E358933">
      <w:pPr>
        <w:spacing w:line="276" w:lineRule="auto"/>
        <w:ind w:left="2880" w:hanging="2880"/>
        <w:rPr>
          <w:rFonts w:hint="eastAsia" w:ascii="宋体" w:hAnsi="宋体" w:cs="宋体"/>
          <w:color w:val="auto"/>
          <w:sz w:val="24"/>
          <w:highlight w:val="none"/>
        </w:rPr>
      </w:pPr>
    </w:p>
    <w:p w14:paraId="4BAA261E">
      <w:pPr>
        <w:spacing w:line="276" w:lineRule="auto"/>
        <w:ind w:left="2880" w:hanging="2880"/>
        <w:rPr>
          <w:rFonts w:hint="eastAsia" w:ascii="宋体" w:hAnsi="宋体" w:cs="宋体"/>
          <w:color w:val="auto"/>
          <w:sz w:val="24"/>
          <w:highlight w:val="none"/>
        </w:rPr>
      </w:pPr>
    </w:p>
    <w:p w14:paraId="27B79966">
      <w:pPr>
        <w:spacing w:line="276" w:lineRule="auto"/>
        <w:ind w:left="2880" w:hanging="2880"/>
        <w:rPr>
          <w:rFonts w:hint="eastAsia" w:ascii="宋体" w:hAnsi="宋体" w:cs="宋体"/>
          <w:color w:val="auto"/>
          <w:sz w:val="24"/>
          <w:highlight w:val="none"/>
          <w:u w:val="single"/>
        </w:rPr>
      </w:pPr>
      <w:r>
        <w:rPr>
          <w:rFonts w:hint="eastAsia" w:ascii="宋体" w:hAnsi="宋体" w:cs="宋体"/>
          <w:bCs/>
          <w:color w:val="auto"/>
          <w:kern w:val="0"/>
          <w:sz w:val="24"/>
          <w:highlight w:val="none"/>
          <w:lang w:val="zh-CN"/>
        </w:rPr>
        <w:t>法定代表人或委托代理人</w:t>
      </w:r>
      <w:r>
        <w:rPr>
          <w:rFonts w:hint="eastAsia" w:ascii="宋体" w:hAnsi="宋体" w:cs="宋体"/>
          <w:color w:val="auto"/>
          <w:sz w:val="24"/>
          <w:highlight w:val="none"/>
        </w:rPr>
        <w:t>：</w:t>
      </w:r>
      <w:r>
        <w:rPr>
          <w:rFonts w:hint="eastAsia" w:ascii="宋体" w:hAnsi="宋体" w:cs="宋体"/>
          <w:color w:val="auto"/>
          <w:sz w:val="24"/>
          <w:highlight w:val="none"/>
          <w:u w:val="single"/>
        </w:rPr>
        <w:t>　　　　　　　　　　　　　　　</w:t>
      </w:r>
    </w:p>
    <w:p w14:paraId="2ACC7FD0">
      <w:pPr>
        <w:spacing w:line="276" w:lineRule="auto"/>
        <w:jc w:val="center"/>
        <w:rPr>
          <w:rFonts w:hint="eastAsia" w:ascii="宋体" w:hAnsi="宋体" w:cs="宋体"/>
          <w:color w:val="auto"/>
          <w:sz w:val="24"/>
          <w:highlight w:val="none"/>
        </w:rPr>
      </w:pPr>
    </w:p>
    <w:p w14:paraId="48137AAB">
      <w:pPr>
        <w:spacing w:line="276" w:lineRule="auto"/>
        <w:jc w:val="center"/>
        <w:rPr>
          <w:rFonts w:hint="eastAsia" w:ascii="宋体" w:hAnsi="宋体" w:cs="宋体"/>
          <w:color w:val="auto"/>
          <w:sz w:val="24"/>
          <w:highlight w:val="none"/>
        </w:rPr>
      </w:pPr>
    </w:p>
    <w:p w14:paraId="4007AEFB">
      <w:pPr>
        <w:spacing w:line="276" w:lineRule="auto"/>
        <w:jc w:val="center"/>
        <w:rPr>
          <w:rFonts w:hint="eastAsia" w:ascii="宋体" w:hAnsi="宋体" w:cs="宋体"/>
          <w:color w:val="auto"/>
          <w:sz w:val="24"/>
          <w:highlight w:val="none"/>
        </w:rPr>
      </w:pPr>
    </w:p>
    <w:p w14:paraId="184D523F">
      <w:pPr>
        <w:spacing w:line="276" w:lineRule="auto"/>
        <w:jc w:val="center"/>
        <w:rPr>
          <w:rFonts w:hint="eastAsia" w:ascii="宋体" w:hAnsi="宋体" w:cs="宋体"/>
          <w:color w:val="auto"/>
          <w:sz w:val="24"/>
          <w:highlight w:val="none"/>
        </w:rPr>
      </w:pPr>
    </w:p>
    <w:p w14:paraId="6F8C1086">
      <w:pPr>
        <w:spacing w:line="276" w:lineRule="auto"/>
        <w:jc w:val="center"/>
        <w:rPr>
          <w:rFonts w:hint="eastAsia" w:ascii="宋体" w:hAnsi="宋体" w:cs="宋体"/>
          <w:color w:val="auto"/>
          <w:sz w:val="24"/>
          <w:highlight w:val="none"/>
        </w:rPr>
      </w:pPr>
    </w:p>
    <w:p w14:paraId="044EBD75">
      <w:pPr>
        <w:spacing w:line="276" w:lineRule="auto"/>
        <w:jc w:val="center"/>
        <w:rPr>
          <w:rFonts w:hint="eastAsia" w:ascii="宋体" w:hAnsi="宋体" w:cs="宋体"/>
          <w:color w:val="auto"/>
          <w:sz w:val="24"/>
          <w:highlight w:val="none"/>
        </w:rPr>
      </w:pPr>
    </w:p>
    <w:p w14:paraId="07D97407">
      <w:pPr>
        <w:spacing w:line="276" w:lineRule="auto"/>
        <w:jc w:val="center"/>
        <w:rPr>
          <w:rFonts w:hint="eastAsia" w:ascii="宋体" w:hAnsi="宋体" w:cs="宋体"/>
          <w:color w:val="auto"/>
          <w:sz w:val="24"/>
          <w:highlight w:val="none"/>
        </w:rPr>
      </w:pPr>
    </w:p>
    <w:p w14:paraId="11A0E3C6">
      <w:pPr>
        <w:spacing w:line="276" w:lineRule="auto"/>
        <w:jc w:val="center"/>
        <w:rPr>
          <w:rFonts w:hint="eastAsia" w:ascii="宋体" w:hAnsi="宋体" w:cs="宋体"/>
          <w:color w:val="auto"/>
          <w:sz w:val="24"/>
          <w:highlight w:val="none"/>
        </w:rPr>
      </w:pPr>
    </w:p>
    <w:p w14:paraId="38189BFD">
      <w:pPr>
        <w:spacing w:line="276" w:lineRule="auto"/>
        <w:rPr>
          <w:rFonts w:hint="eastAsia" w:ascii="宋体" w:hAnsi="宋体" w:cs="宋体"/>
          <w:color w:val="auto"/>
          <w:sz w:val="24"/>
          <w:highlight w:val="none"/>
        </w:rPr>
      </w:pPr>
    </w:p>
    <w:p w14:paraId="3842AF17">
      <w:pPr>
        <w:spacing w:line="276" w:lineRule="auto"/>
        <w:jc w:val="center"/>
        <w:rPr>
          <w:rFonts w:hint="eastAsia" w:ascii="宋体" w:hAnsi="宋体" w:cs="宋体"/>
          <w:color w:val="auto"/>
          <w:sz w:val="24"/>
          <w:highlight w:val="none"/>
        </w:rPr>
      </w:pPr>
    </w:p>
    <w:p w14:paraId="2145F592">
      <w:pPr>
        <w:spacing w:line="276" w:lineRule="auto"/>
        <w:jc w:val="center"/>
        <w:rPr>
          <w:rFonts w:hint="eastAsia" w:ascii="宋体" w:hAnsi="宋体" w:cs="宋体"/>
          <w:b/>
          <w:bCs/>
          <w:color w:val="auto"/>
          <w:sz w:val="24"/>
          <w:szCs w:val="24"/>
          <w:highlight w:val="none"/>
        </w:rPr>
      </w:pPr>
      <w:r>
        <w:rPr>
          <w:rFonts w:hint="eastAsia" w:ascii="宋体" w:hAnsi="宋体" w:cs="宋体"/>
          <w:color w:val="auto"/>
          <w:sz w:val="24"/>
          <w:highlight w:val="none"/>
        </w:rPr>
        <w:t>4.1、</w:t>
      </w:r>
      <w:r>
        <w:rPr>
          <w:rFonts w:hint="eastAsia" w:ascii="宋体" w:hAnsi="宋体" w:cs="宋体"/>
          <w:b/>
          <w:bCs/>
          <w:color w:val="auto"/>
          <w:sz w:val="24"/>
          <w:szCs w:val="24"/>
          <w:highlight w:val="none"/>
        </w:rPr>
        <w:t>法定代表人身份证明书</w:t>
      </w:r>
    </w:p>
    <w:p w14:paraId="5C816A05">
      <w:pPr>
        <w:spacing w:line="276" w:lineRule="auto"/>
        <w:jc w:val="center"/>
        <w:rPr>
          <w:rFonts w:hint="eastAsia" w:ascii="宋体" w:hAnsi="宋体" w:cs="宋体"/>
          <w:bCs/>
          <w:color w:val="auto"/>
          <w:sz w:val="24"/>
          <w:szCs w:val="24"/>
          <w:highlight w:val="none"/>
        </w:rPr>
      </w:pPr>
    </w:p>
    <w:p w14:paraId="768A6EA1">
      <w:pPr>
        <w:spacing w:line="276" w:lineRule="auto"/>
        <w:rPr>
          <w:rFonts w:hint="eastAsia" w:ascii="宋体" w:hAnsi="宋体" w:cs="宋体"/>
          <w:bCs/>
          <w:color w:val="auto"/>
          <w:sz w:val="24"/>
          <w:szCs w:val="24"/>
          <w:highlight w:val="none"/>
          <w:u w:val="single"/>
        </w:rPr>
      </w:pPr>
      <w:r>
        <w:rPr>
          <w:rFonts w:hint="eastAsia" w:ascii="宋体" w:hAnsi="宋体" w:cs="宋体"/>
          <w:bCs/>
          <w:color w:val="auto"/>
          <w:sz w:val="24"/>
          <w:szCs w:val="24"/>
          <w:highlight w:val="none"/>
        </w:rPr>
        <w:t>单位名称：</w:t>
      </w:r>
      <w:r>
        <w:rPr>
          <w:rFonts w:hint="eastAsia" w:ascii="宋体" w:hAnsi="宋体" w:cs="宋体"/>
          <w:bCs/>
          <w:color w:val="auto"/>
          <w:sz w:val="24"/>
          <w:szCs w:val="24"/>
          <w:highlight w:val="none"/>
          <w:u w:val="single"/>
        </w:rPr>
        <w:t xml:space="preserve">                                                   </w:t>
      </w:r>
    </w:p>
    <w:p w14:paraId="0B0C47B4">
      <w:pPr>
        <w:spacing w:line="276" w:lineRule="auto"/>
        <w:rPr>
          <w:rFonts w:hint="eastAsia" w:ascii="宋体" w:hAnsi="宋体" w:cs="宋体"/>
          <w:bCs/>
          <w:color w:val="auto"/>
          <w:sz w:val="24"/>
          <w:szCs w:val="24"/>
          <w:highlight w:val="none"/>
          <w:u w:val="single"/>
        </w:rPr>
      </w:pPr>
    </w:p>
    <w:p w14:paraId="110F8C55">
      <w:pPr>
        <w:spacing w:line="276" w:lineRule="auto"/>
        <w:rPr>
          <w:rFonts w:hint="eastAsia" w:ascii="宋体" w:hAnsi="宋体" w:cs="宋体"/>
          <w:bCs/>
          <w:color w:val="auto"/>
          <w:sz w:val="24"/>
          <w:szCs w:val="24"/>
          <w:highlight w:val="none"/>
          <w:u w:val="single"/>
        </w:rPr>
      </w:pPr>
      <w:r>
        <w:rPr>
          <w:rFonts w:hint="eastAsia" w:ascii="宋体" w:hAnsi="宋体" w:cs="宋体"/>
          <w:bCs/>
          <w:color w:val="auto"/>
          <w:sz w:val="24"/>
          <w:szCs w:val="24"/>
          <w:highlight w:val="none"/>
        </w:rPr>
        <w:t>企业类型：</w:t>
      </w:r>
      <w:r>
        <w:rPr>
          <w:rFonts w:hint="eastAsia" w:ascii="宋体" w:hAnsi="宋体" w:cs="宋体"/>
          <w:bCs/>
          <w:color w:val="auto"/>
          <w:sz w:val="24"/>
          <w:szCs w:val="24"/>
          <w:highlight w:val="none"/>
          <w:u w:val="single"/>
        </w:rPr>
        <w:t xml:space="preserve">                                                   </w:t>
      </w:r>
    </w:p>
    <w:p w14:paraId="555C576A">
      <w:pPr>
        <w:spacing w:line="276" w:lineRule="auto"/>
        <w:rPr>
          <w:rFonts w:hint="eastAsia" w:ascii="宋体" w:hAnsi="宋体" w:cs="宋体"/>
          <w:bCs/>
          <w:color w:val="auto"/>
          <w:sz w:val="24"/>
          <w:szCs w:val="24"/>
          <w:highlight w:val="none"/>
        </w:rPr>
      </w:pPr>
    </w:p>
    <w:p w14:paraId="3BFA2755">
      <w:pPr>
        <w:spacing w:line="276" w:lineRule="auto"/>
        <w:rPr>
          <w:rFonts w:hint="eastAsia" w:ascii="宋体" w:hAnsi="宋体" w:cs="宋体"/>
          <w:bCs/>
          <w:color w:val="auto"/>
          <w:sz w:val="24"/>
          <w:szCs w:val="24"/>
          <w:highlight w:val="none"/>
          <w:u w:val="single"/>
        </w:rPr>
      </w:pPr>
      <w:r>
        <w:rPr>
          <w:rFonts w:hint="eastAsia" w:ascii="宋体" w:hAnsi="宋体" w:cs="宋体"/>
          <w:bCs/>
          <w:color w:val="auto"/>
          <w:sz w:val="24"/>
          <w:szCs w:val="24"/>
          <w:highlight w:val="none"/>
        </w:rPr>
        <w:t>地    址：</w:t>
      </w:r>
      <w:r>
        <w:rPr>
          <w:rFonts w:hint="eastAsia" w:ascii="宋体" w:hAnsi="宋体" w:cs="宋体"/>
          <w:bCs/>
          <w:color w:val="auto"/>
          <w:sz w:val="24"/>
          <w:szCs w:val="24"/>
          <w:highlight w:val="none"/>
          <w:u w:val="single"/>
        </w:rPr>
        <w:t xml:space="preserve">                                                   </w:t>
      </w:r>
    </w:p>
    <w:p w14:paraId="36CDFC40">
      <w:pPr>
        <w:spacing w:line="276" w:lineRule="auto"/>
        <w:rPr>
          <w:rFonts w:hint="eastAsia" w:ascii="宋体" w:hAnsi="宋体" w:cs="宋体"/>
          <w:bCs/>
          <w:color w:val="auto"/>
          <w:sz w:val="24"/>
          <w:szCs w:val="24"/>
          <w:highlight w:val="none"/>
        </w:rPr>
      </w:pPr>
    </w:p>
    <w:p w14:paraId="3828BF86">
      <w:pPr>
        <w:spacing w:line="276" w:lineRule="auto"/>
        <w:rPr>
          <w:rFonts w:hint="eastAsia" w:ascii="宋体" w:hAnsi="宋体" w:cs="宋体"/>
          <w:bCs/>
          <w:color w:val="auto"/>
          <w:sz w:val="24"/>
          <w:szCs w:val="24"/>
          <w:highlight w:val="none"/>
          <w:u w:val="single"/>
        </w:rPr>
      </w:pPr>
      <w:r>
        <w:rPr>
          <w:rFonts w:hint="eastAsia" w:ascii="宋体" w:hAnsi="宋体" w:cs="宋体"/>
          <w:bCs/>
          <w:color w:val="auto"/>
          <w:sz w:val="24"/>
          <w:szCs w:val="24"/>
          <w:highlight w:val="none"/>
        </w:rPr>
        <w:t>营业期限：</w:t>
      </w:r>
      <w:r>
        <w:rPr>
          <w:rFonts w:hint="eastAsia" w:ascii="宋体" w:hAnsi="宋体" w:cs="宋体"/>
          <w:bCs/>
          <w:color w:val="auto"/>
          <w:sz w:val="24"/>
          <w:szCs w:val="24"/>
          <w:highlight w:val="none"/>
          <w:u w:val="single"/>
        </w:rPr>
        <w:t xml:space="preserve">                                                   </w:t>
      </w:r>
    </w:p>
    <w:p w14:paraId="3A430F6A">
      <w:pPr>
        <w:spacing w:line="276" w:lineRule="auto"/>
        <w:rPr>
          <w:rFonts w:hint="eastAsia" w:ascii="宋体" w:hAnsi="宋体" w:cs="宋体"/>
          <w:bCs/>
          <w:color w:val="auto"/>
          <w:sz w:val="24"/>
          <w:szCs w:val="24"/>
          <w:highlight w:val="none"/>
        </w:rPr>
      </w:pPr>
    </w:p>
    <w:p w14:paraId="445E9C0B">
      <w:pPr>
        <w:spacing w:line="276" w:lineRule="auto"/>
        <w:rPr>
          <w:rFonts w:hint="eastAsia" w:ascii="宋体" w:hAnsi="宋体" w:cs="宋体"/>
          <w:bCs/>
          <w:color w:val="auto"/>
          <w:sz w:val="24"/>
          <w:szCs w:val="24"/>
          <w:highlight w:val="none"/>
          <w:u w:val="single"/>
        </w:rPr>
      </w:pPr>
      <w:r>
        <w:rPr>
          <w:rFonts w:hint="eastAsia" w:ascii="宋体" w:hAnsi="宋体" w:cs="宋体"/>
          <w:bCs/>
          <w:color w:val="auto"/>
          <w:sz w:val="24"/>
          <w:szCs w:val="24"/>
          <w:highlight w:val="none"/>
        </w:rPr>
        <w:t>成立时间：</w:t>
      </w:r>
      <w:r>
        <w:rPr>
          <w:rFonts w:hint="eastAsia" w:ascii="宋体" w:hAnsi="宋体" w:cs="宋体"/>
          <w:bCs/>
          <w:color w:val="auto"/>
          <w:sz w:val="24"/>
          <w:szCs w:val="24"/>
          <w:highlight w:val="none"/>
          <w:u w:val="single"/>
        </w:rPr>
        <w:t xml:space="preserve">                                                   </w:t>
      </w:r>
    </w:p>
    <w:p w14:paraId="7C74D0D6">
      <w:pPr>
        <w:spacing w:line="276" w:lineRule="auto"/>
        <w:rPr>
          <w:rFonts w:hint="eastAsia" w:ascii="宋体" w:hAnsi="宋体" w:cs="宋体"/>
          <w:bCs/>
          <w:color w:val="auto"/>
          <w:sz w:val="24"/>
          <w:szCs w:val="24"/>
          <w:highlight w:val="none"/>
          <w:u w:val="single"/>
        </w:rPr>
      </w:pPr>
    </w:p>
    <w:p w14:paraId="57850500">
      <w:pPr>
        <w:spacing w:line="276" w:lineRule="auto"/>
        <w:rPr>
          <w:rFonts w:hint="eastAsia" w:ascii="宋体" w:hAnsi="宋体" w:cs="宋体"/>
          <w:bCs/>
          <w:color w:val="auto"/>
          <w:sz w:val="24"/>
          <w:szCs w:val="24"/>
          <w:highlight w:val="none"/>
          <w:u w:val="single"/>
        </w:rPr>
      </w:pPr>
    </w:p>
    <w:p w14:paraId="5985741E">
      <w:pPr>
        <w:spacing w:line="276" w:lineRule="auto"/>
        <w:rPr>
          <w:rFonts w:hint="eastAsia" w:ascii="宋体" w:hAnsi="宋体" w:cs="宋体"/>
          <w:bCs/>
          <w:color w:val="auto"/>
          <w:sz w:val="24"/>
          <w:szCs w:val="24"/>
          <w:highlight w:val="none"/>
          <w:u w:val="single"/>
        </w:rPr>
      </w:pPr>
      <w:r>
        <w:rPr>
          <w:rFonts w:hint="eastAsia" w:ascii="宋体" w:hAnsi="宋体" w:cs="宋体"/>
          <w:bCs/>
          <w:color w:val="auto"/>
          <w:sz w:val="24"/>
          <w:szCs w:val="24"/>
          <w:highlight w:val="none"/>
        </w:rPr>
        <w:t>姓名：</w:t>
      </w:r>
      <w:r>
        <w:rPr>
          <w:rFonts w:hint="eastAsia" w:ascii="宋体" w:hAnsi="宋体" w:cs="宋体"/>
          <w:bCs/>
          <w:color w:val="auto"/>
          <w:sz w:val="24"/>
          <w:szCs w:val="24"/>
          <w:highlight w:val="none"/>
          <w:u w:val="single"/>
        </w:rPr>
        <w:t xml:space="preserve">              </w:t>
      </w:r>
      <w:r>
        <w:rPr>
          <w:rFonts w:hint="eastAsia" w:ascii="宋体" w:hAnsi="宋体" w:cs="宋体"/>
          <w:bCs/>
          <w:color w:val="auto"/>
          <w:sz w:val="24"/>
          <w:szCs w:val="24"/>
          <w:highlight w:val="none"/>
        </w:rPr>
        <w:t xml:space="preserve">   性别：</w:t>
      </w:r>
      <w:r>
        <w:rPr>
          <w:rFonts w:hint="eastAsia" w:ascii="宋体" w:hAnsi="宋体" w:cs="宋体"/>
          <w:bCs/>
          <w:color w:val="auto"/>
          <w:sz w:val="24"/>
          <w:szCs w:val="24"/>
          <w:highlight w:val="none"/>
          <w:u w:val="single"/>
        </w:rPr>
        <w:t xml:space="preserve">              </w:t>
      </w:r>
      <w:r>
        <w:rPr>
          <w:rFonts w:hint="eastAsia" w:ascii="宋体" w:hAnsi="宋体" w:cs="宋体"/>
          <w:bCs/>
          <w:color w:val="auto"/>
          <w:sz w:val="24"/>
          <w:szCs w:val="24"/>
          <w:highlight w:val="none"/>
        </w:rPr>
        <w:t xml:space="preserve">   年龄：</w:t>
      </w:r>
      <w:r>
        <w:rPr>
          <w:rFonts w:hint="eastAsia" w:ascii="宋体" w:hAnsi="宋体" w:cs="宋体"/>
          <w:bCs/>
          <w:color w:val="auto"/>
          <w:sz w:val="24"/>
          <w:szCs w:val="24"/>
          <w:highlight w:val="none"/>
          <w:u w:val="single"/>
        </w:rPr>
        <w:t xml:space="preserve">              </w:t>
      </w:r>
      <w:r>
        <w:rPr>
          <w:rFonts w:hint="eastAsia" w:ascii="宋体" w:hAnsi="宋体" w:cs="宋体"/>
          <w:bCs/>
          <w:color w:val="auto"/>
          <w:sz w:val="24"/>
          <w:szCs w:val="24"/>
          <w:highlight w:val="none"/>
        </w:rPr>
        <w:t xml:space="preserve">  职务：</w:t>
      </w:r>
      <w:r>
        <w:rPr>
          <w:rFonts w:hint="eastAsia" w:ascii="宋体" w:hAnsi="宋体" w:cs="宋体"/>
          <w:bCs/>
          <w:color w:val="auto"/>
          <w:sz w:val="24"/>
          <w:szCs w:val="24"/>
          <w:highlight w:val="none"/>
          <w:u w:val="single"/>
        </w:rPr>
        <w:t xml:space="preserve">       </w:t>
      </w:r>
    </w:p>
    <w:p w14:paraId="30A97837">
      <w:pPr>
        <w:spacing w:line="276" w:lineRule="auto"/>
        <w:rPr>
          <w:rFonts w:hint="eastAsia" w:ascii="宋体" w:hAnsi="宋体" w:cs="宋体"/>
          <w:bCs/>
          <w:color w:val="auto"/>
          <w:sz w:val="24"/>
          <w:szCs w:val="24"/>
          <w:highlight w:val="none"/>
        </w:rPr>
      </w:pPr>
      <w:r>
        <w:rPr>
          <w:rFonts w:hint="eastAsia" w:ascii="宋体" w:hAnsi="宋体" w:cs="宋体"/>
          <w:bCs/>
          <w:color w:val="auto"/>
          <w:sz w:val="24"/>
          <w:szCs w:val="24"/>
          <w:highlight w:val="none"/>
        </w:rPr>
        <w:t xml:space="preserve">系 </w:t>
      </w:r>
      <w:r>
        <w:rPr>
          <w:rFonts w:hint="eastAsia" w:ascii="宋体" w:hAnsi="宋体" w:cs="宋体"/>
          <w:bCs/>
          <w:color w:val="auto"/>
          <w:sz w:val="24"/>
          <w:szCs w:val="24"/>
          <w:highlight w:val="none"/>
          <w:u w:val="single"/>
        </w:rPr>
        <w:t xml:space="preserve">         （投标人名称）               </w:t>
      </w:r>
      <w:r>
        <w:rPr>
          <w:rFonts w:hint="eastAsia" w:ascii="宋体" w:hAnsi="宋体" w:cs="宋体"/>
          <w:bCs/>
          <w:color w:val="auto"/>
          <w:sz w:val="24"/>
          <w:szCs w:val="24"/>
          <w:highlight w:val="none"/>
        </w:rPr>
        <w:t>的法定代表人。</w:t>
      </w:r>
    </w:p>
    <w:tbl>
      <w:tblPr>
        <w:tblStyle w:val="38"/>
        <w:tblW w:w="61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2"/>
      </w:tblGrid>
      <w:tr w14:paraId="082FA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8" w:hRule="atLeast"/>
          <w:jc w:val="center"/>
        </w:trPr>
        <w:tc>
          <w:tcPr>
            <w:tcW w:w="6102" w:type="dxa"/>
          </w:tcPr>
          <w:p w14:paraId="214CBB21">
            <w:pPr>
              <w:spacing w:line="276" w:lineRule="auto"/>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法定代表人身份证（正反面）</w:t>
            </w:r>
          </w:p>
        </w:tc>
      </w:tr>
    </w:tbl>
    <w:p w14:paraId="0D360E6F">
      <w:pPr>
        <w:spacing w:line="276" w:lineRule="auto"/>
        <w:rPr>
          <w:rFonts w:hint="eastAsia" w:ascii="宋体" w:hAnsi="宋体" w:cs="宋体"/>
          <w:bCs/>
          <w:color w:val="auto"/>
          <w:sz w:val="24"/>
          <w:szCs w:val="24"/>
          <w:highlight w:val="none"/>
        </w:rPr>
      </w:pPr>
    </w:p>
    <w:p w14:paraId="19F02A30">
      <w:pPr>
        <w:spacing w:line="276" w:lineRule="auto"/>
        <w:rPr>
          <w:rFonts w:hint="eastAsia" w:ascii="宋体" w:hAnsi="宋体" w:cs="宋体"/>
          <w:bCs/>
          <w:color w:val="auto"/>
          <w:sz w:val="24"/>
          <w:szCs w:val="24"/>
          <w:highlight w:val="none"/>
        </w:rPr>
      </w:pPr>
      <w:r>
        <w:rPr>
          <w:rFonts w:hint="eastAsia" w:ascii="宋体" w:hAnsi="宋体" w:cs="宋体"/>
          <w:bCs/>
          <w:color w:val="auto"/>
          <w:sz w:val="24"/>
          <w:szCs w:val="24"/>
          <w:highlight w:val="none"/>
        </w:rPr>
        <w:t>特此证明。</w:t>
      </w:r>
    </w:p>
    <w:p w14:paraId="7EF5051A">
      <w:pPr>
        <w:spacing w:line="276" w:lineRule="auto"/>
        <w:rPr>
          <w:rFonts w:hint="eastAsia" w:ascii="宋体" w:hAnsi="宋体" w:cs="宋体"/>
          <w:bCs/>
          <w:color w:val="auto"/>
          <w:sz w:val="24"/>
          <w:szCs w:val="24"/>
          <w:highlight w:val="none"/>
        </w:rPr>
      </w:pPr>
    </w:p>
    <w:p w14:paraId="1904CD9A">
      <w:pPr>
        <w:spacing w:line="276" w:lineRule="auto"/>
        <w:rPr>
          <w:rFonts w:hint="eastAsia" w:ascii="宋体" w:hAnsi="宋体" w:cs="宋体"/>
          <w:bCs/>
          <w:color w:val="auto"/>
          <w:sz w:val="24"/>
          <w:szCs w:val="24"/>
          <w:highlight w:val="none"/>
        </w:rPr>
      </w:pPr>
    </w:p>
    <w:p w14:paraId="75AC4ECD">
      <w:pPr>
        <w:spacing w:line="276" w:lineRule="auto"/>
        <w:rPr>
          <w:rFonts w:hint="eastAsia" w:ascii="宋体" w:hAnsi="宋体" w:cs="宋体"/>
          <w:bCs/>
          <w:color w:val="auto"/>
          <w:sz w:val="24"/>
          <w:szCs w:val="24"/>
          <w:highlight w:val="none"/>
        </w:rPr>
      </w:pPr>
    </w:p>
    <w:p w14:paraId="5AE113B1">
      <w:pPr>
        <w:wordWrap w:val="0"/>
        <w:spacing w:line="276" w:lineRule="auto"/>
        <w:jc w:val="right"/>
        <w:rPr>
          <w:rFonts w:hint="eastAsia" w:ascii="宋体" w:hAnsi="宋体" w:cs="宋体"/>
          <w:bCs/>
          <w:color w:val="auto"/>
          <w:sz w:val="24"/>
          <w:szCs w:val="24"/>
          <w:highlight w:val="none"/>
          <w:u w:val="single"/>
        </w:rPr>
      </w:pPr>
      <w:r>
        <w:rPr>
          <w:rFonts w:hint="eastAsia" w:ascii="宋体" w:hAnsi="宋体" w:cs="宋体"/>
          <w:bCs/>
          <w:color w:val="auto"/>
          <w:sz w:val="24"/>
          <w:szCs w:val="24"/>
          <w:highlight w:val="none"/>
        </w:rPr>
        <w:t>投标人：</w:t>
      </w:r>
      <w:r>
        <w:rPr>
          <w:rFonts w:hint="eastAsia" w:ascii="宋体" w:hAnsi="宋体" w:cs="宋体"/>
          <w:bCs/>
          <w:color w:val="auto"/>
          <w:sz w:val="24"/>
          <w:szCs w:val="24"/>
          <w:highlight w:val="none"/>
          <w:u w:val="single"/>
        </w:rPr>
        <w:t xml:space="preserve">                      </w:t>
      </w:r>
      <w:r>
        <w:rPr>
          <w:rFonts w:hint="eastAsia" w:ascii="宋体" w:hAnsi="宋体" w:cs="宋体"/>
          <w:bCs/>
          <w:color w:val="auto"/>
          <w:sz w:val="24"/>
          <w:szCs w:val="24"/>
          <w:highlight w:val="none"/>
        </w:rPr>
        <w:t>（盖章）</w:t>
      </w:r>
    </w:p>
    <w:p w14:paraId="4539D072">
      <w:pPr>
        <w:spacing w:line="276" w:lineRule="auto"/>
        <w:jc w:val="right"/>
        <w:rPr>
          <w:rFonts w:hint="eastAsia" w:ascii="宋体" w:hAnsi="宋体" w:cs="宋体"/>
          <w:bCs/>
          <w:color w:val="auto"/>
          <w:sz w:val="24"/>
          <w:szCs w:val="24"/>
          <w:highlight w:val="none"/>
        </w:rPr>
      </w:pPr>
      <w:r>
        <w:rPr>
          <w:rFonts w:hint="eastAsia" w:ascii="宋体" w:hAnsi="宋体" w:cs="宋体"/>
          <w:bCs/>
          <w:color w:val="auto"/>
          <w:sz w:val="24"/>
          <w:szCs w:val="24"/>
          <w:highlight w:val="none"/>
        </w:rPr>
        <w:t>日  期：</w:t>
      </w:r>
      <w:r>
        <w:rPr>
          <w:rFonts w:hint="eastAsia" w:ascii="宋体" w:hAnsi="宋体" w:cs="宋体"/>
          <w:bCs/>
          <w:color w:val="auto"/>
          <w:sz w:val="24"/>
          <w:szCs w:val="24"/>
          <w:highlight w:val="none"/>
          <w:u w:val="single"/>
        </w:rPr>
        <w:t xml:space="preserve">        </w:t>
      </w:r>
      <w:r>
        <w:rPr>
          <w:rFonts w:hint="eastAsia" w:ascii="宋体" w:hAnsi="宋体" w:cs="宋体"/>
          <w:bCs/>
          <w:color w:val="auto"/>
          <w:sz w:val="24"/>
          <w:szCs w:val="24"/>
          <w:highlight w:val="none"/>
        </w:rPr>
        <w:t>年</w:t>
      </w:r>
      <w:r>
        <w:rPr>
          <w:rFonts w:hint="eastAsia" w:ascii="宋体" w:hAnsi="宋体" w:cs="宋体"/>
          <w:bCs/>
          <w:color w:val="auto"/>
          <w:sz w:val="24"/>
          <w:szCs w:val="24"/>
          <w:highlight w:val="none"/>
          <w:u w:val="single"/>
        </w:rPr>
        <w:t xml:space="preserve">        </w:t>
      </w:r>
      <w:r>
        <w:rPr>
          <w:rFonts w:hint="eastAsia" w:ascii="宋体" w:hAnsi="宋体" w:cs="宋体"/>
          <w:bCs/>
          <w:color w:val="auto"/>
          <w:sz w:val="24"/>
          <w:szCs w:val="24"/>
          <w:highlight w:val="none"/>
        </w:rPr>
        <w:t>月</w:t>
      </w:r>
      <w:r>
        <w:rPr>
          <w:rFonts w:hint="eastAsia" w:ascii="宋体" w:hAnsi="宋体" w:cs="宋体"/>
          <w:bCs/>
          <w:color w:val="auto"/>
          <w:sz w:val="24"/>
          <w:szCs w:val="24"/>
          <w:highlight w:val="none"/>
          <w:u w:val="single"/>
        </w:rPr>
        <w:t xml:space="preserve">        </w:t>
      </w:r>
      <w:r>
        <w:rPr>
          <w:rFonts w:hint="eastAsia" w:ascii="宋体" w:hAnsi="宋体" w:cs="宋体"/>
          <w:bCs/>
          <w:color w:val="auto"/>
          <w:sz w:val="24"/>
          <w:szCs w:val="24"/>
          <w:highlight w:val="none"/>
        </w:rPr>
        <w:t>日</w:t>
      </w:r>
    </w:p>
    <w:p w14:paraId="2E649D39">
      <w:pPr>
        <w:spacing w:line="276" w:lineRule="auto"/>
        <w:jc w:val="right"/>
        <w:rPr>
          <w:rFonts w:hint="eastAsia" w:ascii="宋体" w:hAnsi="宋体" w:cs="宋体"/>
          <w:bCs/>
          <w:color w:val="auto"/>
          <w:sz w:val="24"/>
          <w:szCs w:val="24"/>
          <w:highlight w:val="none"/>
        </w:rPr>
      </w:pPr>
    </w:p>
    <w:p w14:paraId="559D95F2">
      <w:pPr>
        <w:spacing w:line="276" w:lineRule="auto"/>
        <w:jc w:val="center"/>
        <w:rPr>
          <w:rFonts w:hint="eastAsia" w:ascii="宋体" w:hAnsi="宋体" w:cs="宋体"/>
          <w:color w:val="auto"/>
          <w:sz w:val="24"/>
          <w:highlight w:val="none"/>
        </w:rPr>
      </w:pPr>
      <w:r>
        <w:rPr>
          <w:rFonts w:hint="eastAsia" w:ascii="宋体" w:hAnsi="宋体" w:cs="宋体"/>
          <w:color w:val="auto"/>
          <w:sz w:val="24"/>
          <w:highlight w:val="none"/>
        </w:rPr>
        <w:t>4.2、法人代表授权书格式</w:t>
      </w:r>
    </w:p>
    <w:p w14:paraId="398757AC">
      <w:pPr>
        <w:spacing w:line="276" w:lineRule="auto"/>
        <w:rPr>
          <w:rFonts w:hint="eastAsia" w:ascii="宋体" w:hAnsi="宋体" w:cs="宋体"/>
          <w:color w:val="auto"/>
          <w:sz w:val="24"/>
          <w:highlight w:val="none"/>
        </w:rPr>
      </w:pPr>
    </w:p>
    <w:p w14:paraId="347334CA">
      <w:pPr>
        <w:spacing w:line="276"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本授权书声明：注册于</w:t>
      </w:r>
      <w:r>
        <w:rPr>
          <w:rFonts w:hint="eastAsia" w:ascii="宋体" w:hAnsi="宋体" w:cs="宋体"/>
          <w:color w:val="auto"/>
          <w:sz w:val="24"/>
          <w:szCs w:val="24"/>
          <w:highlight w:val="none"/>
          <w:u w:val="single"/>
        </w:rPr>
        <w:t>（地区的名称</w:t>
      </w:r>
      <w:r>
        <w:rPr>
          <w:rFonts w:hint="eastAsia" w:ascii="宋体" w:hAnsi="宋体" w:cs="宋体"/>
          <w:color w:val="auto"/>
          <w:sz w:val="24"/>
          <w:szCs w:val="24"/>
          <w:highlight w:val="none"/>
        </w:rPr>
        <w:t>）的</w:t>
      </w:r>
      <w:r>
        <w:rPr>
          <w:rFonts w:hint="eastAsia" w:ascii="宋体" w:hAnsi="宋体" w:cs="宋体"/>
          <w:color w:val="auto"/>
          <w:sz w:val="24"/>
          <w:szCs w:val="24"/>
          <w:highlight w:val="none"/>
          <w:u w:val="single"/>
        </w:rPr>
        <w:t>（公司名称</w:t>
      </w:r>
      <w:r>
        <w:rPr>
          <w:rFonts w:hint="eastAsia" w:ascii="宋体" w:hAnsi="宋体" w:cs="宋体"/>
          <w:color w:val="auto"/>
          <w:sz w:val="24"/>
          <w:szCs w:val="24"/>
          <w:highlight w:val="none"/>
        </w:rPr>
        <w:t xml:space="preserve">），在下面签字的法人代表 </w:t>
      </w:r>
      <w:r>
        <w:rPr>
          <w:rFonts w:hint="eastAsia" w:ascii="宋体" w:hAnsi="宋体" w:cs="宋体"/>
          <w:color w:val="auto"/>
          <w:sz w:val="24"/>
          <w:szCs w:val="24"/>
          <w:highlight w:val="none"/>
          <w:u w:val="single"/>
        </w:rPr>
        <w:t>（姓名、职务</w:t>
      </w:r>
      <w:r>
        <w:rPr>
          <w:rFonts w:hint="eastAsia" w:ascii="宋体" w:hAnsi="宋体" w:cs="宋体"/>
          <w:color w:val="auto"/>
          <w:sz w:val="24"/>
          <w:szCs w:val="24"/>
          <w:highlight w:val="none"/>
        </w:rPr>
        <w:t>），代表本公司授权在下面签字的</w:t>
      </w:r>
      <w:r>
        <w:rPr>
          <w:rFonts w:hint="eastAsia" w:ascii="宋体" w:hAnsi="宋体" w:cs="宋体"/>
          <w:color w:val="auto"/>
          <w:sz w:val="24"/>
          <w:szCs w:val="24"/>
          <w:highlight w:val="none"/>
          <w:u w:val="single"/>
        </w:rPr>
        <w:t>（被授权人的姓名、职务</w:t>
      </w:r>
      <w:r>
        <w:rPr>
          <w:rFonts w:hint="eastAsia" w:ascii="宋体" w:hAnsi="宋体" w:cs="宋体"/>
          <w:color w:val="auto"/>
          <w:sz w:val="24"/>
          <w:szCs w:val="24"/>
          <w:highlight w:val="none"/>
        </w:rPr>
        <w:t xml:space="preserve">）为本公司的合法代理人，就 </w:t>
      </w:r>
      <w:r>
        <w:rPr>
          <w:rFonts w:hint="eastAsia" w:ascii="宋体" w:hAnsi="宋体" w:cs="宋体"/>
          <w:color w:val="auto"/>
          <w:sz w:val="24"/>
          <w:szCs w:val="24"/>
          <w:highlight w:val="none"/>
          <w:u w:val="single"/>
        </w:rPr>
        <w:t xml:space="preserve"> （项目名称） </w:t>
      </w:r>
      <w:r>
        <w:rPr>
          <w:rFonts w:hint="eastAsia" w:ascii="宋体" w:hAnsi="宋体" w:cs="宋体"/>
          <w:color w:val="auto"/>
          <w:sz w:val="24"/>
          <w:szCs w:val="24"/>
          <w:highlight w:val="none"/>
        </w:rPr>
        <w:t>的磋商，以本公司的名义处理一切与之有关的事物。</w:t>
      </w:r>
    </w:p>
    <w:p w14:paraId="428A4EC3">
      <w:pPr>
        <w:spacing w:line="276" w:lineRule="auto"/>
        <w:jc w:val="left"/>
        <w:rPr>
          <w:rFonts w:hint="eastAsia" w:ascii="宋体" w:hAnsi="宋体" w:cs="宋体"/>
          <w:color w:val="auto"/>
          <w:sz w:val="24"/>
          <w:szCs w:val="24"/>
          <w:highlight w:val="none"/>
        </w:rPr>
      </w:pPr>
    </w:p>
    <w:p w14:paraId="669261D7">
      <w:pPr>
        <w:spacing w:line="276" w:lineRule="auto"/>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本授权书于</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月</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日签字生效，特此声明！</w:t>
      </w:r>
    </w:p>
    <w:p w14:paraId="28CA3C77">
      <w:pPr>
        <w:spacing w:line="276" w:lineRule="auto"/>
        <w:jc w:val="left"/>
        <w:rPr>
          <w:rFonts w:hint="eastAsia" w:ascii="宋体" w:hAnsi="宋体" w:cs="宋体"/>
          <w:color w:val="auto"/>
          <w:sz w:val="24"/>
          <w:szCs w:val="24"/>
          <w:highlight w:val="none"/>
        </w:rPr>
      </w:pPr>
    </w:p>
    <w:tbl>
      <w:tblPr>
        <w:tblStyle w:val="38"/>
        <w:tblW w:w="61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2"/>
      </w:tblGrid>
      <w:tr w14:paraId="6C479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7" w:hRule="atLeast"/>
          <w:jc w:val="center"/>
        </w:trPr>
        <w:tc>
          <w:tcPr>
            <w:tcW w:w="6102" w:type="dxa"/>
          </w:tcPr>
          <w:p w14:paraId="7FFEDA54">
            <w:pPr>
              <w:spacing w:line="276" w:lineRule="auto"/>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法定代表人身份证（正反面）</w:t>
            </w:r>
          </w:p>
        </w:tc>
      </w:tr>
      <w:tr w14:paraId="5B50E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0" w:hRule="atLeast"/>
          <w:jc w:val="center"/>
        </w:trPr>
        <w:tc>
          <w:tcPr>
            <w:tcW w:w="6102" w:type="dxa"/>
          </w:tcPr>
          <w:p w14:paraId="05470F48">
            <w:pPr>
              <w:spacing w:line="276" w:lineRule="auto"/>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被授权人的身份证（正反面）</w:t>
            </w:r>
          </w:p>
        </w:tc>
      </w:tr>
    </w:tbl>
    <w:p w14:paraId="165754F4">
      <w:pPr>
        <w:spacing w:line="276" w:lineRule="auto"/>
        <w:jc w:val="left"/>
        <w:rPr>
          <w:rFonts w:hint="eastAsia" w:ascii="宋体" w:hAnsi="宋体" w:cs="宋体"/>
          <w:color w:val="auto"/>
          <w:sz w:val="24"/>
          <w:szCs w:val="24"/>
          <w:highlight w:val="none"/>
        </w:rPr>
      </w:pPr>
    </w:p>
    <w:p w14:paraId="20189206">
      <w:pPr>
        <w:spacing w:line="276" w:lineRule="auto"/>
        <w:jc w:val="right"/>
        <w:rPr>
          <w:rFonts w:hint="eastAsia" w:ascii="宋体" w:hAnsi="宋体" w:cs="宋体"/>
          <w:color w:val="auto"/>
          <w:sz w:val="24"/>
          <w:szCs w:val="24"/>
          <w:highlight w:val="none"/>
        </w:rPr>
      </w:pPr>
      <w:r>
        <w:rPr>
          <w:rFonts w:hint="eastAsia" w:ascii="宋体" w:hAnsi="宋体" w:cs="宋体"/>
          <w:color w:val="auto"/>
          <w:sz w:val="24"/>
          <w:szCs w:val="24"/>
          <w:highlight w:val="none"/>
        </w:rPr>
        <w:t>法定代表人签字或盖章：</w:t>
      </w:r>
    </w:p>
    <w:p w14:paraId="7560DA73">
      <w:pPr>
        <w:spacing w:line="276" w:lineRule="auto"/>
        <w:jc w:val="right"/>
        <w:rPr>
          <w:rFonts w:hint="eastAsia" w:ascii="宋体" w:hAnsi="宋体" w:cs="宋体"/>
          <w:color w:val="auto"/>
          <w:sz w:val="24"/>
          <w:szCs w:val="24"/>
          <w:highlight w:val="none"/>
        </w:rPr>
      </w:pPr>
      <w:r>
        <w:rPr>
          <w:rFonts w:hint="eastAsia" w:ascii="宋体" w:hAnsi="宋体" w:cs="宋体"/>
          <w:color w:val="auto"/>
          <w:sz w:val="24"/>
          <w:szCs w:val="24"/>
          <w:highlight w:val="none"/>
        </w:rPr>
        <w:t>被授权人签字：</w:t>
      </w:r>
    </w:p>
    <w:p w14:paraId="7A13E171">
      <w:pPr>
        <w:spacing w:line="276" w:lineRule="auto"/>
        <w:jc w:val="right"/>
        <w:rPr>
          <w:rFonts w:hint="eastAsia" w:ascii="宋体" w:hAnsi="宋体" w:cs="宋体"/>
          <w:color w:val="auto"/>
          <w:sz w:val="24"/>
          <w:szCs w:val="24"/>
          <w:highlight w:val="none"/>
        </w:rPr>
      </w:pPr>
      <w:r>
        <w:rPr>
          <w:rFonts w:hint="eastAsia" w:ascii="宋体" w:hAnsi="宋体" w:cs="宋体"/>
          <w:color w:val="auto"/>
          <w:sz w:val="24"/>
          <w:szCs w:val="24"/>
          <w:highlight w:val="none"/>
        </w:rPr>
        <w:t>公        章：</w:t>
      </w:r>
    </w:p>
    <w:p w14:paraId="6433AAE2">
      <w:pPr>
        <w:spacing w:line="276" w:lineRule="auto"/>
        <w:jc w:val="right"/>
        <w:rPr>
          <w:rFonts w:hint="eastAsia" w:ascii="宋体" w:hAnsi="宋体" w:cs="宋体"/>
          <w:color w:val="auto"/>
          <w:sz w:val="24"/>
          <w:szCs w:val="24"/>
          <w:highlight w:val="none"/>
        </w:rPr>
      </w:pPr>
    </w:p>
    <w:p w14:paraId="74B2C904">
      <w:pPr>
        <w:spacing w:line="276" w:lineRule="auto"/>
        <w:jc w:val="right"/>
        <w:rPr>
          <w:rFonts w:hint="eastAsia" w:ascii="宋体" w:hAnsi="宋体" w:cs="宋体"/>
          <w:b/>
          <w:bCs/>
          <w:color w:val="auto"/>
          <w:sz w:val="24"/>
          <w:szCs w:val="24"/>
          <w:highlight w:val="none"/>
        </w:rPr>
      </w:pPr>
      <w:r>
        <w:rPr>
          <w:rFonts w:hint="eastAsia" w:ascii="宋体" w:hAnsi="宋体" w:cs="宋体"/>
          <w:bCs/>
          <w:color w:val="auto"/>
          <w:sz w:val="24"/>
          <w:szCs w:val="24"/>
          <w:highlight w:val="none"/>
        </w:rPr>
        <w:t>年   月   日</w:t>
      </w:r>
    </w:p>
    <w:p w14:paraId="4859147D">
      <w:pPr>
        <w:spacing w:line="276"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注：法人代表本人作为公司代理人前来参加磋商的供应商，可不提供此项证明文件。</w:t>
      </w:r>
    </w:p>
    <w:p w14:paraId="56B50207">
      <w:pPr>
        <w:spacing w:line="276" w:lineRule="auto"/>
        <w:jc w:val="center"/>
        <w:rPr>
          <w:rFonts w:hint="eastAsia" w:ascii="宋体" w:hAnsi="宋体" w:cs="宋体"/>
          <w:color w:val="auto"/>
          <w:sz w:val="24"/>
          <w:highlight w:val="none"/>
        </w:rPr>
      </w:pPr>
    </w:p>
    <w:p w14:paraId="353E77DE">
      <w:pPr>
        <w:spacing w:line="276" w:lineRule="auto"/>
        <w:jc w:val="center"/>
        <w:rPr>
          <w:rFonts w:hint="eastAsia" w:ascii="宋体" w:hAnsi="宋体" w:cs="宋体"/>
          <w:color w:val="auto"/>
          <w:sz w:val="24"/>
          <w:highlight w:val="none"/>
        </w:rPr>
      </w:pPr>
      <w:r>
        <w:rPr>
          <w:rFonts w:hint="eastAsia" w:ascii="宋体" w:hAnsi="宋体" w:cs="宋体"/>
          <w:color w:val="auto"/>
          <w:sz w:val="24"/>
          <w:highlight w:val="none"/>
        </w:rPr>
        <w:br w:type="page"/>
      </w:r>
      <w:r>
        <w:rPr>
          <w:rFonts w:hint="eastAsia" w:ascii="宋体" w:hAnsi="宋体" w:cs="宋体"/>
          <w:color w:val="auto"/>
          <w:sz w:val="24"/>
          <w:highlight w:val="none"/>
        </w:rPr>
        <w:t>5、关于资格的声明函</w:t>
      </w:r>
    </w:p>
    <w:p w14:paraId="0447DB80">
      <w:pPr>
        <w:spacing w:line="276" w:lineRule="auto"/>
        <w:rPr>
          <w:rFonts w:hint="eastAsia" w:ascii="宋体" w:hAnsi="宋体" w:cs="宋体"/>
          <w:color w:val="auto"/>
          <w:sz w:val="24"/>
          <w:highlight w:val="none"/>
        </w:rPr>
      </w:pPr>
    </w:p>
    <w:p w14:paraId="0B56A0D6">
      <w:pPr>
        <w:spacing w:line="276" w:lineRule="auto"/>
        <w:rPr>
          <w:rFonts w:hint="eastAsia" w:ascii="宋体" w:hAnsi="宋体" w:cs="宋体"/>
          <w:b/>
          <w:color w:val="auto"/>
          <w:sz w:val="24"/>
          <w:szCs w:val="24"/>
          <w:highlight w:val="none"/>
        </w:rPr>
      </w:pPr>
      <w:r>
        <w:rPr>
          <w:rFonts w:hint="eastAsia" w:ascii="宋体" w:hAnsi="宋体" w:cs="宋体"/>
          <w:b/>
          <w:color w:val="auto"/>
          <w:sz w:val="24"/>
          <w:szCs w:val="24"/>
          <w:highlight w:val="none"/>
        </w:rPr>
        <w:t xml:space="preserve">致：XXXXXX </w:t>
      </w:r>
    </w:p>
    <w:p w14:paraId="5482555C">
      <w:pPr>
        <w:spacing w:line="276" w:lineRule="auto"/>
        <w:rPr>
          <w:rFonts w:hint="eastAsia" w:ascii="宋体" w:hAnsi="宋体" w:cs="宋体"/>
          <w:color w:val="auto"/>
          <w:sz w:val="24"/>
          <w:szCs w:val="24"/>
          <w:highlight w:val="none"/>
        </w:rPr>
      </w:pPr>
    </w:p>
    <w:p w14:paraId="7024175B">
      <w:pPr>
        <w:spacing w:line="276"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本公司参加</w:t>
      </w:r>
      <w:r>
        <w:rPr>
          <w:rFonts w:hint="eastAsia" w:ascii="宋体" w:hAnsi="宋体" w:cs="宋体"/>
          <w:color w:val="auto"/>
          <w:sz w:val="24"/>
          <w:szCs w:val="24"/>
          <w:highlight w:val="none"/>
          <w:lang w:val="zh-CN"/>
        </w:rPr>
        <w:t>新疆维吾尔自治区交通运输综合行政执法局XXXXX项目</w:t>
      </w:r>
      <w:r>
        <w:rPr>
          <w:rFonts w:hint="eastAsia" w:ascii="宋体" w:hAnsi="宋体" w:cs="宋体"/>
          <w:color w:val="auto"/>
          <w:sz w:val="24"/>
          <w:szCs w:val="24"/>
          <w:highlight w:val="none"/>
        </w:rPr>
        <w:t>(项目编号</w:t>
      </w:r>
      <w:r>
        <w:rPr>
          <w:rFonts w:hint="eastAsia" w:ascii="宋体" w:hAnsi="宋体" w:cs="宋体"/>
          <w:color w:val="auto"/>
          <w:sz w:val="24"/>
          <w:szCs w:val="24"/>
          <w:highlight w:val="none"/>
          <w:lang w:val="zh-CN"/>
        </w:rPr>
        <w:t>：XXXXXX )</w:t>
      </w:r>
      <w:r>
        <w:rPr>
          <w:rFonts w:hint="eastAsia" w:ascii="宋体" w:hAnsi="宋体" w:cs="宋体"/>
          <w:color w:val="auto"/>
          <w:sz w:val="24"/>
          <w:szCs w:val="24"/>
          <w:highlight w:val="none"/>
        </w:rPr>
        <w:t>的磋商活动，并声明：</w:t>
      </w:r>
    </w:p>
    <w:p w14:paraId="3DA1CC57">
      <w:pPr>
        <w:spacing w:line="276"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本公司具备《中华人民共和国政府采购法》第二十二条资格条件，已清楚磋商文件所有要求及有关规定；并承诺参加本次磋商活动中，如有违法、违规、弄虚作假行为，所造成的损失、不良后果及法律责任，一律由本公司承担。</w:t>
      </w:r>
    </w:p>
    <w:p w14:paraId="55C0DB99">
      <w:pPr>
        <w:snapToGrid w:val="0"/>
        <w:spacing w:line="276" w:lineRule="auto"/>
        <w:rPr>
          <w:rFonts w:hint="eastAsia" w:ascii="宋体" w:hAnsi="宋体" w:cs="宋体"/>
          <w:color w:val="auto"/>
          <w:sz w:val="24"/>
          <w:szCs w:val="24"/>
          <w:highlight w:val="none"/>
        </w:rPr>
      </w:pPr>
    </w:p>
    <w:p w14:paraId="004E6446">
      <w:pPr>
        <w:snapToGrid w:val="0"/>
        <w:spacing w:line="276"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特此声明！</w:t>
      </w:r>
    </w:p>
    <w:p w14:paraId="0FDA171A">
      <w:pPr>
        <w:snapToGrid w:val="0"/>
        <w:spacing w:line="276" w:lineRule="auto"/>
        <w:rPr>
          <w:rFonts w:hint="eastAsia" w:ascii="宋体" w:hAnsi="宋体" w:cs="宋体"/>
          <w:color w:val="auto"/>
          <w:sz w:val="24"/>
          <w:szCs w:val="24"/>
          <w:highlight w:val="none"/>
        </w:rPr>
      </w:pPr>
    </w:p>
    <w:p w14:paraId="715E83BD">
      <w:pPr>
        <w:spacing w:line="276" w:lineRule="auto"/>
        <w:rPr>
          <w:rFonts w:hint="eastAsia" w:ascii="宋体" w:hAnsi="宋体" w:cs="宋体"/>
          <w:color w:val="auto"/>
          <w:sz w:val="24"/>
          <w:szCs w:val="24"/>
          <w:highlight w:val="none"/>
        </w:rPr>
      </w:pPr>
    </w:p>
    <w:p w14:paraId="00AA4D01">
      <w:pPr>
        <w:snapToGrid w:val="0"/>
        <w:spacing w:line="276"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供应商法定代表人（或法定代表人授权代表）签名：</w:t>
      </w:r>
    </w:p>
    <w:p w14:paraId="7B8280B3">
      <w:pPr>
        <w:snapToGrid w:val="0"/>
        <w:spacing w:line="276" w:lineRule="auto"/>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供应商名称（加盖公章）：</w:t>
      </w:r>
    </w:p>
    <w:p w14:paraId="0ACD5FC9">
      <w:pPr>
        <w:spacing w:line="276" w:lineRule="auto"/>
        <w:rPr>
          <w:rFonts w:hint="eastAsia" w:ascii="宋体" w:hAnsi="宋体" w:cs="宋体"/>
          <w:color w:val="auto"/>
          <w:sz w:val="24"/>
          <w:highlight w:val="none"/>
        </w:rPr>
      </w:pPr>
    </w:p>
    <w:p w14:paraId="7EDD726A">
      <w:pPr>
        <w:spacing w:line="276" w:lineRule="auto"/>
        <w:rPr>
          <w:rFonts w:hint="eastAsia" w:ascii="宋体" w:hAnsi="宋体" w:cs="宋体"/>
          <w:color w:val="auto"/>
          <w:sz w:val="24"/>
          <w:highlight w:val="none"/>
        </w:rPr>
      </w:pPr>
    </w:p>
    <w:p w14:paraId="3D152B3C">
      <w:pPr>
        <w:spacing w:line="276" w:lineRule="auto"/>
        <w:rPr>
          <w:rFonts w:hint="eastAsia" w:ascii="宋体" w:hAnsi="宋体" w:cs="宋体"/>
          <w:color w:val="auto"/>
          <w:sz w:val="24"/>
          <w:highlight w:val="none"/>
        </w:rPr>
      </w:pPr>
    </w:p>
    <w:p w14:paraId="1569098E">
      <w:pPr>
        <w:spacing w:line="276" w:lineRule="auto"/>
        <w:rPr>
          <w:rFonts w:hint="eastAsia" w:ascii="宋体" w:hAnsi="宋体" w:cs="宋体"/>
          <w:color w:val="auto"/>
          <w:sz w:val="24"/>
          <w:highlight w:val="none"/>
        </w:rPr>
      </w:pPr>
    </w:p>
    <w:bookmarkEnd w:id="68"/>
    <w:p w14:paraId="6A1511A6">
      <w:pPr>
        <w:spacing w:line="276" w:lineRule="auto"/>
        <w:rPr>
          <w:rFonts w:hint="eastAsia" w:ascii="宋体" w:hAnsi="宋体" w:cs="宋体"/>
          <w:color w:val="auto"/>
          <w:sz w:val="24"/>
          <w:highlight w:val="none"/>
          <w:u w:val="single"/>
        </w:rPr>
      </w:pPr>
    </w:p>
    <w:p w14:paraId="48BF2FD9">
      <w:pPr>
        <w:spacing w:line="276" w:lineRule="auto"/>
        <w:rPr>
          <w:rFonts w:hint="eastAsia" w:ascii="宋体" w:hAnsi="宋体" w:cs="宋体"/>
          <w:color w:val="auto"/>
          <w:sz w:val="24"/>
          <w:highlight w:val="none"/>
        </w:rPr>
      </w:pPr>
      <w:r>
        <w:rPr>
          <w:rFonts w:hint="eastAsia" w:ascii="宋体" w:hAnsi="宋体" w:cs="宋体"/>
          <w:color w:val="auto"/>
          <w:sz w:val="24"/>
          <w:highlight w:val="none"/>
        </w:rPr>
        <w:br w:type="page"/>
      </w:r>
    </w:p>
    <w:p w14:paraId="3871092B">
      <w:pPr>
        <w:spacing w:line="276" w:lineRule="auto"/>
        <w:ind w:firstLine="480" w:firstLineChars="200"/>
        <w:jc w:val="center"/>
        <w:rPr>
          <w:rFonts w:hint="eastAsia" w:ascii="宋体" w:hAnsi="宋体" w:cs="宋体"/>
          <w:color w:val="auto"/>
          <w:sz w:val="24"/>
          <w:szCs w:val="22"/>
          <w:highlight w:val="none"/>
        </w:rPr>
      </w:pPr>
      <w:r>
        <w:rPr>
          <w:rFonts w:hint="eastAsia" w:ascii="宋体" w:hAnsi="宋体" w:cs="宋体"/>
          <w:color w:val="auto"/>
          <w:sz w:val="24"/>
          <w:szCs w:val="22"/>
          <w:highlight w:val="none"/>
        </w:rPr>
        <w:t>6、参加政府采购活动前3年内在经营活动中没有重大违法记录的书面声明</w:t>
      </w:r>
    </w:p>
    <w:p w14:paraId="4CFF8176">
      <w:pPr>
        <w:spacing w:line="276" w:lineRule="auto"/>
        <w:rPr>
          <w:rFonts w:hint="eastAsia" w:ascii="宋体" w:hAnsi="宋体" w:cs="宋体"/>
          <w:b/>
          <w:color w:val="auto"/>
          <w:sz w:val="24"/>
          <w:szCs w:val="24"/>
          <w:highlight w:val="none"/>
        </w:rPr>
      </w:pPr>
      <w:r>
        <w:rPr>
          <w:rFonts w:hint="eastAsia" w:ascii="宋体" w:hAnsi="宋体" w:cs="宋体"/>
          <w:b/>
          <w:color w:val="auto"/>
          <w:sz w:val="24"/>
          <w:szCs w:val="24"/>
          <w:highlight w:val="none"/>
        </w:rPr>
        <w:t xml:space="preserve">致：XXXXXX </w:t>
      </w:r>
    </w:p>
    <w:p w14:paraId="078DC78A">
      <w:pPr>
        <w:spacing w:line="276" w:lineRule="auto"/>
        <w:rPr>
          <w:rFonts w:hint="eastAsia" w:ascii="宋体" w:hAnsi="宋体" w:cs="宋体"/>
          <w:color w:val="auto"/>
          <w:sz w:val="24"/>
          <w:szCs w:val="24"/>
          <w:highlight w:val="none"/>
        </w:rPr>
      </w:pPr>
    </w:p>
    <w:p w14:paraId="192A4A0A">
      <w:pPr>
        <w:spacing w:line="276" w:lineRule="auto"/>
        <w:rPr>
          <w:rFonts w:hint="eastAsia" w:ascii="宋体" w:hAnsi="宋体" w:cs="宋体"/>
          <w:color w:val="auto"/>
          <w:sz w:val="24"/>
          <w:szCs w:val="24"/>
          <w:highlight w:val="none"/>
        </w:rPr>
      </w:pPr>
    </w:p>
    <w:p w14:paraId="7706CB0E">
      <w:pPr>
        <w:spacing w:line="276"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本公司参加</w:t>
      </w:r>
      <w:r>
        <w:rPr>
          <w:rFonts w:hint="eastAsia" w:ascii="宋体" w:hAnsi="宋体" w:cs="宋体"/>
          <w:color w:val="auto"/>
          <w:sz w:val="24"/>
          <w:szCs w:val="24"/>
          <w:highlight w:val="none"/>
          <w:lang w:val="zh-CN"/>
        </w:rPr>
        <w:t>新疆维吾尔自治区交通运输综合行政执法局XXXXX项目</w:t>
      </w:r>
      <w:r>
        <w:rPr>
          <w:rFonts w:hint="eastAsia" w:ascii="宋体" w:hAnsi="宋体" w:cs="宋体"/>
          <w:color w:val="auto"/>
          <w:sz w:val="24"/>
          <w:szCs w:val="24"/>
          <w:highlight w:val="none"/>
        </w:rPr>
        <w:t>(项目编号</w:t>
      </w:r>
      <w:r>
        <w:rPr>
          <w:rFonts w:hint="eastAsia" w:ascii="宋体" w:hAnsi="宋体" w:cs="宋体"/>
          <w:color w:val="auto"/>
          <w:sz w:val="24"/>
          <w:szCs w:val="24"/>
          <w:highlight w:val="none"/>
          <w:lang w:val="zh-CN"/>
        </w:rPr>
        <w:t>：XXXXXX )</w:t>
      </w:r>
      <w:r>
        <w:rPr>
          <w:rFonts w:hint="eastAsia" w:ascii="宋体" w:hAnsi="宋体" w:cs="宋体"/>
          <w:color w:val="auto"/>
          <w:sz w:val="24"/>
          <w:szCs w:val="24"/>
          <w:highlight w:val="none"/>
        </w:rPr>
        <w:t>的磋商活动，并声明：</w:t>
      </w:r>
    </w:p>
    <w:p w14:paraId="1DD0C70F">
      <w:pPr>
        <w:spacing w:line="276"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本公司参加本磋商项目政府采购前3年内在经营活动中没有因违法经营受到刑事处罚或者责令停产停业、吊销许可证或者执照、较大数额罚款等行政处罚。</w:t>
      </w:r>
    </w:p>
    <w:p w14:paraId="5C6E622C">
      <w:pPr>
        <w:snapToGrid w:val="0"/>
        <w:spacing w:line="276" w:lineRule="auto"/>
        <w:rPr>
          <w:rFonts w:hint="eastAsia" w:ascii="宋体" w:hAnsi="宋体" w:cs="宋体"/>
          <w:color w:val="auto"/>
          <w:sz w:val="24"/>
          <w:szCs w:val="24"/>
          <w:highlight w:val="none"/>
        </w:rPr>
      </w:pPr>
    </w:p>
    <w:p w14:paraId="0FE0C39D">
      <w:pPr>
        <w:snapToGrid w:val="0"/>
        <w:spacing w:line="276"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特此声明！</w:t>
      </w:r>
    </w:p>
    <w:p w14:paraId="46ED3805">
      <w:pPr>
        <w:snapToGrid w:val="0"/>
        <w:spacing w:line="276" w:lineRule="auto"/>
        <w:rPr>
          <w:rFonts w:hint="eastAsia" w:ascii="宋体" w:hAnsi="宋体" w:cs="宋体"/>
          <w:color w:val="auto"/>
          <w:sz w:val="24"/>
          <w:szCs w:val="24"/>
          <w:highlight w:val="none"/>
        </w:rPr>
      </w:pPr>
    </w:p>
    <w:p w14:paraId="48E585C8">
      <w:pPr>
        <w:spacing w:line="276" w:lineRule="auto"/>
        <w:rPr>
          <w:rFonts w:hint="eastAsia" w:ascii="宋体" w:hAnsi="宋体" w:cs="宋体"/>
          <w:color w:val="auto"/>
          <w:sz w:val="24"/>
          <w:szCs w:val="24"/>
          <w:highlight w:val="none"/>
        </w:rPr>
      </w:pPr>
    </w:p>
    <w:p w14:paraId="051D5708">
      <w:pPr>
        <w:snapToGrid w:val="0"/>
        <w:spacing w:line="276"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供应商法定代表人（或法定代表人授权代表）签名：</w:t>
      </w:r>
    </w:p>
    <w:p w14:paraId="5669F247">
      <w:pPr>
        <w:snapToGrid w:val="0"/>
        <w:spacing w:line="276" w:lineRule="auto"/>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供应商名称（加盖公章）：</w:t>
      </w:r>
    </w:p>
    <w:p w14:paraId="3B8B85F0">
      <w:pPr>
        <w:snapToGrid w:val="0"/>
        <w:spacing w:line="276"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日期： </w:t>
      </w:r>
    </w:p>
    <w:p w14:paraId="516CA512">
      <w:pPr>
        <w:spacing w:line="276" w:lineRule="auto"/>
        <w:jc w:val="center"/>
        <w:rPr>
          <w:rFonts w:hint="eastAsia" w:ascii="宋体" w:hAnsi="宋体" w:cs="宋体"/>
          <w:color w:val="auto"/>
          <w:sz w:val="24"/>
          <w:highlight w:val="none"/>
        </w:rPr>
      </w:pPr>
    </w:p>
    <w:p w14:paraId="25F02392">
      <w:pPr>
        <w:spacing w:line="276" w:lineRule="auto"/>
        <w:jc w:val="center"/>
        <w:rPr>
          <w:rFonts w:hint="eastAsia" w:ascii="宋体" w:hAnsi="宋体" w:cs="宋体"/>
          <w:color w:val="auto"/>
          <w:sz w:val="24"/>
          <w:highlight w:val="none"/>
        </w:rPr>
      </w:pPr>
    </w:p>
    <w:p w14:paraId="6775B2AA">
      <w:pPr>
        <w:spacing w:line="276" w:lineRule="auto"/>
        <w:rPr>
          <w:rFonts w:hint="eastAsia" w:ascii="宋体" w:hAnsi="宋体" w:cs="宋体"/>
          <w:color w:val="auto"/>
          <w:sz w:val="24"/>
          <w:highlight w:val="none"/>
        </w:rPr>
      </w:pPr>
    </w:p>
    <w:p w14:paraId="0DC32D1F">
      <w:pPr>
        <w:spacing w:line="276" w:lineRule="auto"/>
        <w:jc w:val="center"/>
        <w:rPr>
          <w:rFonts w:hint="eastAsia" w:ascii="宋体" w:hAnsi="宋体" w:cs="宋体"/>
          <w:color w:val="auto"/>
          <w:sz w:val="24"/>
          <w:highlight w:val="none"/>
        </w:rPr>
      </w:pPr>
    </w:p>
    <w:p w14:paraId="2147BA65">
      <w:pPr>
        <w:spacing w:line="276" w:lineRule="auto"/>
        <w:jc w:val="center"/>
        <w:rPr>
          <w:rFonts w:hint="eastAsia" w:ascii="宋体" w:hAnsi="宋体" w:cs="宋体"/>
          <w:color w:val="auto"/>
          <w:sz w:val="24"/>
          <w:highlight w:val="none"/>
        </w:rPr>
      </w:pPr>
    </w:p>
    <w:p w14:paraId="24257DC5">
      <w:pPr>
        <w:spacing w:line="276" w:lineRule="auto"/>
        <w:jc w:val="center"/>
        <w:rPr>
          <w:rFonts w:hint="eastAsia" w:ascii="宋体" w:hAnsi="宋体" w:cs="宋体"/>
          <w:color w:val="auto"/>
          <w:sz w:val="24"/>
          <w:highlight w:val="none"/>
        </w:rPr>
      </w:pPr>
    </w:p>
    <w:p w14:paraId="28723DBE">
      <w:pPr>
        <w:spacing w:line="276" w:lineRule="auto"/>
        <w:jc w:val="center"/>
        <w:rPr>
          <w:rFonts w:hint="eastAsia" w:ascii="宋体" w:hAnsi="宋体" w:cs="宋体"/>
          <w:color w:val="auto"/>
          <w:sz w:val="24"/>
          <w:highlight w:val="none"/>
        </w:rPr>
      </w:pPr>
    </w:p>
    <w:p w14:paraId="1B5F306A">
      <w:pPr>
        <w:spacing w:line="276" w:lineRule="auto"/>
        <w:jc w:val="center"/>
        <w:rPr>
          <w:rFonts w:hint="eastAsia" w:ascii="宋体" w:hAnsi="宋体" w:cs="宋体"/>
          <w:color w:val="auto"/>
          <w:sz w:val="24"/>
          <w:highlight w:val="none"/>
        </w:rPr>
      </w:pPr>
    </w:p>
    <w:p w14:paraId="542A2063">
      <w:pPr>
        <w:spacing w:line="276" w:lineRule="auto"/>
        <w:jc w:val="center"/>
        <w:rPr>
          <w:rFonts w:hint="eastAsia" w:ascii="宋体" w:hAnsi="宋体" w:cs="宋体"/>
          <w:color w:val="auto"/>
          <w:sz w:val="24"/>
          <w:highlight w:val="none"/>
        </w:rPr>
      </w:pPr>
    </w:p>
    <w:p w14:paraId="02D1D1D2">
      <w:pPr>
        <w:spacing w:line="276" w:lineRule="auto"/>
        <w:jc w:val="center"/>
        <w:rPr>
          <w:rFonts w:hint="eastAsia" w:ascii="宋体" w:hAnsi="宋体" w:cs="宋体"/>
          <w:color w:val="auto"/>
          <w:sz w:val="24"/>
          <w:highlight w:val="none"/>
        </w:rPr>
      </w:pPr>
    </w:p>
    <w:p w14:paraId="0878AE3E">
      <w:pPr>
        <w:spacing w:line="276" w:lineRule="auto"/>
        <w:jc w:val="center"/>
        <w:rPr>
          <w:rFonts w:hint="eastAsia" w:ascii="宋体" w:hAnsi="宋体" w:cs="宋体"/>
          <w:color w:val="auto"/>
          <w:sz w:val="24"/>
          <w:highlight w:val="none"/>
        </w:rPr>
      </w:pPr>
    </w:p>
    <w:p w14:paraId="30622FBB">
      <w:pPr>
        <w:spacing w:line="276" w:lineRule="auto"/>
        <w:jc w:val="center"/>
        <w:rPr>
          <w:rFonts w:hint="eastAsia" w:ascii="宋体" w:hAnsi="宋体" w:cs="宋体"/>
          <w:color w:val="auto"/>
          <w:sz w:val="24"/>
          <w:highlight w:val="none"/>
        </w:rPr>
      </w:pPr>
    </w:p>
    <w:p w14:paraId="598F232C">
      <w:pPr>
        <w:spacing w:line="276" w:lineRule="auto"/>
        <w:jc w:val="center"/>
        <w:rPr>
          <w:rFonts w:hint="eastAsia" w:ascii="宋体" w:hAnsi="宋体" w:cs="宋体"/>
          <w:color w:val="auto"/>
          <w:sz w:val="24"/>
          <w:highlight w:val="none"/>
        </w:rPr>
      </w:pPr>
    </w:p>
    <w:p w14:paraId="4F80FCEE">
      <w:pPr>
        <w:spacing w:line="276" w:lineRule="auto"/>
        <w:jc w:val="center"/>
        <w:rPr>
          <w:rFonts w:hint="eastAsia" w:ascii="宋体" w:hAnsi="宋体" w:cs="宋体"/>
          <w:color w:val="auto"/>
          <w:sz w:val="24"/>
          <w:highlight w:val="none"/>
        </w:rPr>
      </w:pPr>
    </w:p>
    <w:p w14:paraId="775C7A07">
      <w:pPr>
        <w:spacing w:line="276" w:lineRule="auto"/>
        <w:jc w:val="center"/>
        <w:rPr>
          <w:rFonts w:hint="eastAsia" w:ascii="宋体" w:hAnsi="宋体" w:cs="宋体"/>
          <w:color w:val="auto"/>
          <w:sz w:val="24"/>
          <w:highlight w:val="none"/>
        </w:rPr>
      </w:pPr>
    </w:p>
    <w:p w14:paraId="0EDE2794">
      <w:pPr>
        <w:spacing w:line="276" w:lineRule="auto"/>
        <w:jc w:val="center"/>
        <w:rPr>
          <w:rFonts w:hint="eastAsia" w:ascii="宋体" w:hAnsi="宋体" w:cs="宋体"/>
          <w:color w:val="auto"/>
          <w:sz w:val="24"/>
          <w:highlight w:val="none"/>
        </w:rPr>
      </w:pPr>
    </w:p>
    <w:p w14:paraId="5A576C4D">
      <w:pPr>
        <w:spacing w:line="276" w:lineRule="auto"/>
        <w:jc w:val="center"/>
        <w:rPr>
          <w:rFonts w:hint="eastAsia" w:ascii="宋体" w:hAnsi="宋体" w:cs="宋体"/>
          <w:color w:val="auto"/>
          <w:sz w:val="24"/>
          <w:highlight w:val="none"/>
        </w:rPr>
      </w:pPr>
      <w:r>
        <w:rPr>
          <w:rFonts w:hint="eastAsia" w:ascii="宋体" w:hAnsi="宋体" w:cs="宋体"/>
          <w:color w:val="auto"/>
          <w:sz w:val="24"/>
          <w:highlight w:val="none"/>
        </w:rPr>
        <w:t>7、商务条款偏离表</w:t>
      </w:r>
    </w:p>
    <w:p w14:paraId="31612F35">
      <w:pPr>
        <w:spacing w:line="276" w:lineRule="auto"/>
        <w:rPr>
          <w:rFonts w:hint="eastAsia" w:ascii="宋体" w:hAnsi="宋体" w:cs="宋体"/>
          <w:color w:val="auto"/>
          <w:sz w:val="24"/>
          <w:highlight w:val="none"/>
          <w:u w:val="single"/>
        </w:rPr>
      </w:pPr>
      <w:r>
        <w:rPr>
          <w:rFonts w:hint="eastAsia" w:ascii="宋体" w:hAnsi="宋体" w:cs="宋体"/>
          <w:color w:val="auto"/>
          <w:sz w:val="24"/>
          <w:highlight w:val="none"/>
        </w:rPr>
        <w:t>供应商名称（公章）：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项目编号：</w:t>
      </w:r>
      <w:r>
        <w:rPr>
          <w:rFonts w:hint="eastAsia" w:ascii="宋体" w:hAnsi="宋体" w:cs="宋体"/>
          <w:color w:val="auto"/>
          <w:sz w:val="24"/>
          <w:highlight w:val="none"/>
          <w:u w:val="single"/>
        </w:rPr>
        <w:t>　　　　　　　　　　　</w:t>
      </w:r>
    </w:p>
    <w:tbl>
      <w:tblPr>
        <w:tblStyle w:val="38"/>
        <w:tblW w:w="9405" w:type="dxa"/>
        <w:tblInd w:w="1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6"/>
        <w:gridCol w:w="1438"/>
        <w:gridCol w:w="2552"/>
        <w:gridCol w:w="2835"/>
        <w:gridCol w:w="1984"/>
      </w:tblGrid>
      <w:tr w14:paraId="4EC29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596" w:type="dxa"/>
            <w:vAlign w:val="center"/>
          </w:tcPr>
          <w:p w14:paraId="45A98F61">
            <w:pPr>
              <w:spacing w:line="276" w:lineRule="auto"/>
              <w:jc w:val="center"/>
              <w:rPr>
                <w:rFonts w:hint="eastAsia" w:ascii="宋体" w:hAnsi="宋体" w:cs="宋体"/>
                <w:color w:val="auto"/>
                <w:sz w:val="24"/>
                <w:highlight w:val="none"/>
              </w:rPr>
            </w:pPr>
            <w:r>
              <w:rPr>
                <w:rFonts w:hint="eastAsia" w:ascii="宋体" w:hAnsi="宋体" w:cs="宋体"/>
                <w:color w:val="auto"/>
                <w:sz w:val="24"/>
                <w:highlight w:val="none"/>
              </w:rPr>
              <w:t>序号</w:t>
            </w:r>
          </w:p>
        </w:tc>
        <w:tc>
          <w:tcPr>
            <w:tcW w:w="1438" w:type="dxa"/>
            <w:vAlign w:val="center"/>
          </w:tcPr>
          <w:p w14:paraId="69FDC844">
            <w:pPr>
              <w:spacing w:line="276" w:lineRule="auto"/>
              <w:jc w:val="center"/>
              <w:rPr>
                <w:rFonts w:hint="eastAsia" w:ascii="宋体" w:hAnsi="宋体" w:cs="宋体"/>
                <w:color w:val="auto"/>
                <w:sz w:val="24"/>
                <w:highlight w:val="none"/>
              </w:rPr>
            </w:pPr>
            <w:r>
              <w:rPr>
                <w:rFonts w:hint="eastAsia" w:ascii="宋体" w:hAnsi="宋体" w:cs="宋体"/>
                <w:color w:val="auto"/>
                <w:sz w:val="24"/>
                <w:highlight w:val="none"/>
              </w:rPr>
              <w:t>磋商文件</w:t>
            </w:r>
          </w:p>
          <w:p w14:paraId="494BB010">
            <w:pPr>
              <w:spacing w:line="276" w:lineRule="auto"/>
              <w:jc w:val="center"/>
              <w:rPr>
                <w:rFonts w:hint="eastAsia" w:ascii="宋体" w:hAnsi="宋体" w:cs="宋体"/>
                <w:color w:val="auto"/>
                <w:sz w:val="24"/>
                <w:highlight w:val="none"/>
              </w:rPr>
            </w:pPr>
            <w:r>
              <w:rPr>
                <w:rFonts w:hint="eastAsia" w:ascii="宋体" w:hAnsi="宋体" w:cs="宋体"/>
                <w:color w:val="auto"/>
                <w:sz w:val="24"/>
                <w:highlight w:val="none"/>
              </w:rPr>
              <w:t>条目号</w:t>
            </w:r>
          </w:p>
        </w:tc>
        <w:tc>
          <w:tcPr>
            <w:tcW w:w="2552" w:type="dxa"/>
            <w:vAlign w:val="center"/>
          </w:tcPr>
          <w:p w14:paraId="1322584C">
            <w:pPr>
              <w:spacing w:line="276" w:lineRule="auto"/>
              <w:jc w:val="center"/>
              <w:rPr>
                <w:rFonts w:hint="eastAsia" w:ascii="宋体" w:hAnsi="宋体" w:cs="宋体"/>
                <w:color w:val="auto"/>
                <w:sz w:val="24"/>
                <w:highlight w:val="none"/>
              </w:rPr>
            </w:pPr>
            <w:r>
              <w:rPr>
                <w:rFonts w:hint="eastAsia" w:ascii="宋体" w:hAnsi="宋体" w:cs="宋体"/>
                <w:color w:val="auto"/>
                <w:sz w:val="24"/>
                <w:highlight w:val="none"/>
              </w:rPr>
              <w:t>磋商文件的商务条款</w:t>
            </w:r>
          </w:p>
        </w:tc>
        <w:tc>
          <w:tcPr>
            <w:tcW w:w="2835" w:type="dxa"/>
            <w:vAlign w:val="center"/>
          </w:tcPr>
          <w:p w14:paraId="6F02F100">
            <w:pPr>
              <w:spacing w:line="276" w:lineRule="auto"/>
              <w:jc w:val="center"/>
              <w:rPr>
                <w:rFonts w:hint="eastAsia" w:ascii="宋体" w:hAnsi="宋体" w:cs="宋体"/>
                <w:color w:val="auto"/>
                <w:sz w:val="24"/>
                <w:highlight w:val="none"/>
              </w:rPr>
            </w:pPr>
            <w:r>
              <w:rPr>
                <w:rFonts w:hint="eastAsia" w:ascii="宋体" w:hAnsi="宋体" w:cs="宋体"/>
                <w:color w:val="auto"/>
                <w:sz w:val="24"/>
                <w:highlight w:val="none"/>
              </w:rPr>
              <w:t>磋商响应文件的商务条款</w:t>
            </w:r>
          </w:p>
        </w:tc>
        <w:tc>
          <w:tcPr>
            <w:tcW w:w="1984" w:type="dxa"/>
            <w:vAlign w:val="center"/>
          </w:tcPr>
          <w:p w14:paraId="0DABCAF4">
            <w:pPr>
              <w:spacing w:line="276" w:lineRule="auto"/>
              <w:jc w:val="center"/>
              <w:rPr>
                <w:rFonts w:hint="eastAsia" w:ascii="宋体" w:hAnsi="宋体" w:cs="宋体"/>
                <w:color w:val="auto"/>
                <w:sz w:val="24"/>
                <w:highlight w:val="none"/>
              </w:rPr>
            </w:pPr>
            <w:r>
              <w:rPr>
                <w:rFonts w:hint="eastAsia" w:ascii="宋体" w:hAnsi="宋体" w:cs="宋体"/>
                <w:color w:val="auto"/>
                <w:sz w:val="24"/>
                <w:highlight w:val="none"/>
              </w:rPr>
              <w:t>说明</w:t>
            </w:r>
          </w:p>
        </w:tc>
      </w:tr>
      <w:tr w14:paraId="4DA71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596" w:type="dxa"/>
            <w:vAlign w:val="center"/>
          </w:tcPr>
          <w:p w14:paraId="5768DAC3">
            <w:pPr>
              <w:spacing w:line="276" w:lineRule="auto"/>
              <w:rPr>
                <w:rFonts w:hint="eastAsia" w:ascii="宋体" w:hAnsi="宋体" w:cs="宋体"/>
                <w:color w:val="auto"/>
                <w:sz w:val="24"/>
                <w:highlight w:val="none"/>
              </w:rPr>
            </w:pPr>
          </w:p>
          <w:p w14:paraId="38C8B429">
            <w:pPr>
              <w:spacing w:line="276" w:lineRule="auto"/>
              <w:rPr>
                <w:rFonts w:hint="eastAsia" w:ascii="宋体" w:hAnsi="宋体" w:cs="宋体"/>
                <w:color w:val="auto"/>
                <w:sz w:val="24"/>
                <w:highlight w:val="none"/>
              </w:rPr>
            </w:pPr>
          </w:p>
        </w:tc>
        <w:tc>
          <w:tcPr>
            <w:tcW w:w="1438" w:type="dxa"/>
            <w:vAlign w:val="center"/>
          </w:tcPr>
          <w:p w14:paraId="19DFCD24">
            <w:pPr>
              <w:widowControl/>
              <w:spacing w:line="276" w:lineRule="auto"/>
              <w:rPr>
                <w:rFonts w:hint="eastAsia" w:ascii="宋体" w:hAnsi="宋体" w:cs="宋体"/>
                <w:color w:val="auto"/>
                <w:sz w:val="24"/>
                <w:highlight w:val="none"/>
              </w:rPr>
            </w:pPr>
          </w:p>
          <w:p w14:paraId="0050659C">
            <w:pPr>
              <w:spacing w:line="276" w:lineRule="auto"/>
              <w:rPr>
                <w:rFonts w:hint="eastAsia" w:ascii="宋体" w:hAnsi="宋体" w:cs="宋体"/>
                <w:color w:val="auto"/>
                <w:sz w:val="24"/>
                <w:highlight w:val="none"/>
              </w:rPr>
            </w:pPr>
          </w:p>
        </w:tc>
        <w:tc>
          <w:tcPr>
            <w:tcW w:w="2552" w:type="dxa"/>
            <w:vAlign w:val="center"/>
          </w:tcPr>
          <w:p w14:paraId="5B3192E4">
            <w:pPr>
              <w:spacing w:line="276" w:lineRule="auto"/>
              <w:rPr>
                <w:rFonts w:hint="eastAsia" w:ascii="宋体" w:hAnsi="宋体" w:cs="宋体"/>
                <w:color w:val="auto"/>
                <w:sz w:val="24"/>
                <w:highlight w:val="none"/>
              </w:rPr>
            </w:pPr>
          </w:p>
        </w:tc>
        <w:tc>
          <w:tcPr>
            <w:tcW w:w="2835" w:type="dxa"/>
            <w:vAlign w:val="center"/>
          </w:tcPr>
          <w:p w14:paraId="21A1C21B">
            <w:pPr>
              <w:spacing w:line="276" w:lineRule="auto"/>
              <w:rPr>
                <w:rFonts w:hint="eastAsia" w:ascii="宋体" w:hAnsi="宋体" w:cs="宋体"/>
                <w:color w:val="auto"/>
                <w:sz w:val="24"/>
                <w:highlight w:val="none"/>
              </w:rPr>
            </w:pPr>
          </w:p>
        </w:tc>
        <w:tc>
          <w:tcPr>
            <w:tcW w:w="1984" w:type="dxa"/>
            <w:vAlign w:val="center"/>
          </w:tcPr>
          <w:p w14:paraId="01C2E0E9">
            <w:pPr>
              <w:spacing w:line="276" w:lineRule="auto"/>
              <w:rPr>
                <w:rFonts w:hint="eastAsia" w:ascii="宋体" w:hAnsi="宋体" w:cs="宋体"/>
                <w:color w:val="auto"/>
                <w:sz w:val="24"/>
                <w:highlight w:val="none"/>
              </w:rPr>
            </w:pPr>
          </w:p>
        </w:tc>
      </w:tr>
      <w:tr w14:paraId="31C47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596" w:type="dxa"/>
            <w:vAlign w:val="center"/>
          </w:tcPr>
          <w:p w14:paraId="5A5389FD">
            <w:pPr>
              <w:spacing w:line="276" w:lineRule="auto"/>
              <w:rPr>
                <w:rFonts w:hint="eastAsia" w:ascii="宋体" w:hAnsi="宋体" w:cs="宋体"/>
                <w:color w:val="auto"/>
                <w:sz w:val="24"/>
                <w:highlight w:val="none"/>
              </w:rPr>
            </w:pPr>
          </w:p>
          <w:p w14:paraId="75E67953">
            <w:pPr>
              <w:spacing w:line="276" w:lineRule="auto"/>
              <w:rPr>
                <w:rFonts w:hint="eastAsia" w:ascii="宋体" w:hAnsi="宋体" w:cs="宋体"/>
                <w:color w:val="auto"/>
                <w:sz w:val="24"/>
                <w:highlight w:val="none"/>
              </w:rPr>
            </w:pPr>
          </w:p>
        </w:tc>
        <w:tc>
          <w:tcPr>
            <w:tcW w:w="1438" w:type="dxa"/>
            <w:vAlign w:val="center"/>
          </w:tcPr>
          <w:p w14:paraId="56B292AB">
            <w:pPr>
              <w:widowControl/>
              <w:spacing w:line="276" w:lineRule="auto"/>
              <w:rPr>
                <w:rFonts w:hint="eastAsia" w:ascii="宋体" w:hAnsi="宋体" w:cs="宋体"/>
                <w:color w:val="auto"/>
                <w:sz w:val="24"/>
                <w:highlight w:val="none"/>
              </w:rPr>
            </w:pPr>
          </w:p>
          <w:p w14:paraId="5CA7053B">
            <w:pPr>
              <w:spacing w:line="276" w:lineRule="auto"/>
              <w:rPr>
                <w:rFonts w:hint="eastAsia" w:ascii="宋体" w:hAnsi="宋体" w:cs="宋体"/>
                <w:color w:val="auto"/>
                <w:sz w:val="24"/>
                <w:highlight w:val="none"/>
              </w:rPr>
            </w:pPr>
          </w:p>
        </w:tc>
        <w:tc>
          <w:tcPr>
            <w:tcW w:w="2552" w:type="dxa"/>
            <w:vAlign w:val="center"/>
          </w:tcPr>
          <w:p w14:paraId="08EA87D3">
            <w:pPr>
              <w:spacing w:line="276" w:lineRule="auto"/>
              <w:rPr>
                <w:rFonts w:hint="eastAsia" w:ascii="宋体" w:hAnsi="宋体" w:cs="宋体"/>
                <w:color w:val="auto"/>
                <w:sz w:val="24"/>
                <w:highlight w:val="none"/>
              </w:rPr>
            </w:pPr>
          </w:p>
        </w:tc>
        <w:tc>
          <w:tcPr>
            <w:tcW w:w="2835" w:type="dxa"/>
            <w:vAlign w:val="center"/>
          </w:tcPr>
          <w:p w14:paraId="07D1364E">
            <w:pPr>
              <w:spacing w:line="276" w:lineRule="auto"/>
              <w:rPr>
                <w:rFonts w:hint="eastAsia" w:ascii="宋体" w:hAnsi="宋体" w:cs="宋体"/>
                <w:color w:val="auto"/>
                <w:sz w:val="24"/>
                <w:highlight w:val="none"/>
              </w:rPr>
            </w:pPr>
          </w:p>
        </w:tc>
        <w:tc>
          <w:tcPr>
            <w:tcW w:w="1984" w:type="dxa"/>
            <w:vAlign w:val="center"/>
          </w:tcPr>
          <w:p w14:paraId="6CA8D6B1">
            <w:pPr>
              <w:spacing w:line="276" w:lineRule="auto"/>
              <w:rPr>
                <w:rFonts w:hint="eastAsia" w:ascii="宋体" w:hAnsi="宋体" w:cs="宋体"/>
                <w:color w:val="auto"/>
                <w:sz w:val="24"/>
                <w:highlight w:val="none"/>
              </w:rPr>
            </w:pPr>
          </w:p>
        </w:tc>
      </w:tr>
      <w:tr w14:paraId="44EC4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596" w:type="dxa"/>
            <w:vAlign w:val="center"/>
          </w:tcPr>
          <w:p w14:paraId="41A2327D">
            <w:pPr>
              <w:spacing w:line="276" w:lineRule="auto"/>
              <w:rPr>
                <w:rFonts w:hint="eastAsia" w:ascii="宋体" w:hAnsi="宋体" w:cs="宋体"/>
                <w:color w:val="auto"/>
                <w:sz w:val="24"/>
                <w:highlight w:val="none"/>
              </w:rPr>
            </w:pPr>
          </w:p>
          <w:p w14:paraId="21EFB6DA">
            <w:pPr>
              <w:spacing w:line="276" w:lineRule="auto"/>
              <w:rPr>
                <w:rFonts w:hint="eastAsia" w:ascii="宋体" w:hAnsi="宋体" w:cs="宋体"/>
                <w:color w:val="auto"/>
                <w:sz w:val="24"/>
                <w:highlight w:val="none"/>
              </w:rPr>
            </w:pPr>
          </w:p>
        </w:tc>
        <w:tc>
          <w:tcPr>
            <w:tcW w:w="1438" w:type="dxa"/>
            <w:vAlign w:val="center"/>
          </w:tcPr>
          <w:p w14:paraId="4D087957">
            <w:pPr>
              <w:widowControl/>
              <w:spacing w:line="276" w:lineRule="auto"/>
              <w:rPr>
                <w:rFonts w:hint="eastAsia" w:ascii="宋体" w:hAnsi="宋体" w:cs="宋体"/>
                <w:color w:val="auto"/>
                <w:sz w:val="24"/>
                <w:highlight w:val="none"/>
              </w:rPr>
            </w:pPr>
          </w:p>
          <w:p w14:paraId="4442733E">
            <w:pPr>
              <w:spacing w:line="276" w:lineRule="auto"/>
              <w:rPr>
                <w:rFonts w:hint="eastAsia" w:ascii="宋体" w:hAnsi="宋体" w:cs="宋体"/>
                <w:color w:val="auto"/>
                <w:sz w:val="24"/>
                <w:highlight w:val="none"/>
              </w:rPr>
            </w:pPr>
          </w:p>
        </w:tc>
        <w:tc>
          <w:tcPr>
            <w:tcW w:w="2552" w:type="dxa"/>
            <w:vAlign w:val="center"/>
          </w:tcPr>
          <w:p w14:paraId="2275253D">
            <w:pPr>
              <w:spacing w:line="276" w:lineRule="auto"/>
              <w:rPr>
                <w:rFonts w:hint="eastAsia" w:ascii="宋体" w:hAnsi="宋体" w:cs="宋体"/>
                <w:color w:val="auto"/>
                <w:sz w:val="24"/>
                <w:highlight w:val="none"/>
              </w:rPr>
            </w:pPr>
          </w:p>
        </w:tc>
        <w:tc>
          <w:tcPr>
            <w:tcW w:w="2835" w:type="dxa"/>
            <w:vAlign w:val="center"/>
          </w:tcPr>
          <w:p w14:paraId="60D515AC">
            <w:pPr>
              <w:spacing w:line="276" w:lineRule="auto"/>
              <w:rPr>
                <w:rFonts w:hint="eastAsia" w:ascii="宋体" w:hAnsi="宋体" w:cs="宋体"/>
                <w:color w:val="auto"/>
                <w:sz w:val="24"/>
                <w:highlight w:val="none"/>
              </w:rPr>
            </w:pPr>
          </w:p>
        </w:tc>
        <w:tc>
          <w:tcPr>
            <w:tcW w:w="1984" w:type="dxa"/>
            <w:vAlign w:val="center"/>
          </w:tcPr>
          <w:p w14:paraId="331F3D2D">
            <w:pPr>
              <w:spacing w:line="276" w:lineRule="auto"/>
              <w:rPr>
                <w:rFonts w:hint="eastAsia" w:ascii="宋体" w:hAnsi="宋体" w:cs="宋体"/>
                <w:color w:val="auto"/>
                <w:sz w:val="24"/>
                <w:highlight w:val="none"/>
              </w:rPr>
            </w:pPr>
          </w:p>
        </w:tc>
      </w:tr>
      <w:tr w14:paraId="62352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0" w:hRule="atLeast"/>
        </w:trPr>
        <w:tc>
          <w:tcPr>
            <w:tcW w:w="596" w:type="dxa"/>
            <w:vAlign w:val="center"/>
          </w:tcPr>
          <w:p w14:paraId="4E1CC5DA">
            <w:pPr>
              <w:spacing w:line="276" w:lineRule="auto"/>
              <w:rPr>
                <w:rFonts w:hint="eastAsia" w:ascii="宋体" w:hAnsi="宋体" w:cs="宋体"/>
                <w:color w:val="auto"/>
                <w:sz w:val="24"/>
                <w:highlight w:val="none"/>
              </w:rPr>
            </w:pPr>
          </w:p>
          <w:p w14:paraId="3D5512C0">
            <w:pPr>
              <w:spacing w:line="276" w:lineRule="auto"/>
              <w:rPr>
                <w:rFonts w:hint="eastAsia" w:ascii="宋体" w:hAnsi="宋体" w:cs="宋体"/>
                <w:color w:val="auto"/>
                <w:sz w:val="24"/>
                <w:highlight w:val="none"/>
              </w:rPr>
            </w:pPr>
          </w:p>
        </w:tc>
        <w:tc>
          <w:tcPr>
            <w:tcW w:w="1438" w:type="dxa"/>
            <w:vAlign w:val="center"/>
          </w:tcPr>
          <w:p w14:paraId="6C5EE45C">
            <w:pPr>
              <w:widowControl/>
              <w:spacing w:line="276" w:lineRule="auto"/>
              <w:rPr>
                <w:rFonts w:hint="eastAsia" w:ascii="宋体" w:hAnsi="宋体" w:cs="宋体"/>
                <w:color w:val="auto"/>
                <w:sz w:val="24"/>
                <w:highlight w:val="none"/>
              </w:rPr>
            </w:pPr>
          </w:p>
          <w:p w14:paraId="2AE2A723">
            <w:pPr>
              <w:spacing w:line="276" w:lineRule="auto"/>
              <w:rPr>
                <w:rFonts w:hint="eastAsia" w:ascii="宋体" w:hAnsi="宋体" w:cs="宋体"/>
                <w:color w:val="auto"/>
                <w:sz w:val="24"/>
                <w:highlight w:val="none"/>
              </w:rPr>
            </w:pPr>
          </w:p>
        </w:tc>
        <w:tc>
          <w:tcPr>
            <w:tcW w:w="2552" w:type="dxa"/>
            <w:vAlign w:val="center"/>
          </w:tcPr>
          <w:p w14:paraId="0FBC89FE">
            <w:pPr>
              <w:spacing w:line="276" w:lineRule="auto"/>
              <w:rPr>
                <w:rFonts w:hint="eastAsia" w:ascii="宋体" w:hAnsi="宋体" w:cs="宋体"/>
                <w:color w:val="auto"/>
                <w:sz w:val="24"/>
                <w:highlight w:val="none"/>
              </w:rPr>
            </w:pPr>
          </w:p>
        </w:tc>
        <w:tc>
          <w:tcPr>
            <w:tcW w:w="2835" w:type="dxa"/>
            <w:vAlign w:val="center"/>
          </w:tcPr>
          <w:p w14:paraId="51598D65">
            <w:pPr>
              <w:spacing w:line="276" w:lineRule="auto"/>
              <w:rPr>
                <w:rFonts w:hint="eastAsia" w:ascii="宋体" w:hAnsi="宋体" w:cs="宋体"/>
                <w:color w:val="auto"/>
                <w:sz w:val="24"/>
                <w:highlight w:val="none"/>
              </w:rPr>
            </w:pPr>
          </w:p>
        </w:tc>
        <w:tc>
          <w:tcPr>
            <w:tcW w:w="1984" w:type="dxa"/>
            <w:vAlign w:val="center"/>
          </w:tcPr>
          <w:p w14:paraId="66BBAE30">
            <w:pPr>
              <w:spacing w:line="276" w:lineRule="auto"/>
              <w:rPr>
                <w:rFonts w:hint="eastAsia" w:ascii="宋体" w:hAnsi="宋体" w:cs="宋体"/>
                <w:color w:val="auto"/>
                <w:sz w:val="24"/>
                <w:highlight w:val="none"/>
              </w:rPr>
            </w:pPr>
          </w:p>
        </w:tc>
      </w:tr>
      <w:tr w14:paraId="4CE8E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596" w:type="dxa"/>
            <w:vAlign w:val="center"/>
          </w:tcPr>
          <w:p w14:paraId="063D611F">
            <w:pPr>
              <w:spacing w:line="276" w:lineRule="auto"/>
              <w:rPr>
                <w:rFonts w:hint="eastAsia" w:ascii="宋体" w:hAnsi="宋体" w:cs="宋体"/>
                <w:color w:val="auto"/>
                <w:sz w:val="24"/>
                <w:highlight w:val="none"/>
              </w:rPr>
            </w:pPr>
          </w:p>
          <w:p w14:paraId="350E9900">
            <w:pPr>
              <w:spacing w:line="276" w:lineRule="auto"/>
              <w:rPr>
                <w:rFonts w:hint="eastAsia" w:ascii="宋体" w:hAnsi="宋体" w:cs="宋体"/>
                <w:color w:val="auto"/>
                <w:sz w:val="24"/>
                <w:highlight w:val="none"/>
              </w:rPr>
            </w:pPr>
          </w:p>
        </w:tc>
        <w:tc>
          <w:tcPr>
            <w:tcW w:w="1438" w:type="dxa"/>
            <w:vAlign w:val="center"/>
          </w:tcPr>
          <w:p w14:paraId="0CAF3D88">
            <w:pPr>
              <w:widowControl/>
              <w:spacing w:line="276" w:lineRule="auto"/>
              <w:rPr>
                <w:rFonts w:hint="eastAsia" w:ascii="宋体" w:hAnsi="宋体" w:cs="宋体"/>
                <w:color w:val="auto"/>
                <w:sz w:val="24"/>
                <w:highlight w:val="none"/>
              </w:rPr>
            </w:pPr>
          </w:p>
          <w:p w14:paraId="41BE61BB">
            <w:pPr>
              <w:spacing w:line="276" w:lineRule="auto"/>
              <w:rPr>
                <w:rFonts w:hint="eastAsia" w:ascii="宋体" w:hAnsi="宋体" w:cs="宋体"/>
                <w:color w:val="auto"/>
                <w:sz w:val="24"/>
                <w:highlight w:val="none"/>
              </w:rPr>
            </w:pPr>
          </w:p>
        </w:tc>
        <w:tc>
          <w:tcPr>
            <w:tcW w:w="2552" w:type="dxa"/>
            <w:vAlign w:val="center"/>
          </w:tcPr>
          <w:p w14:paraId="5E8BF3EB">
            <w:pPr>
              <w:spacing w:line="276" w:lineRule="auto"/>
              <w:rPr>
                <w:rFonts w:hint="eastAsia" w:ascii="宋体" w:hAnsi="宋体" w:cs="宋体"/>
                <w:color w:val="auto"/>
                <w:sz w:val="24"/>
                <w:highlight w:val="none"/>
              </w:rPr>
            </w:pPr>
          </w:p>
        </w:tc>
        <w:tc>
          <w:tcPr>
            <w:tcW w:w="2835" w:type="dxa"/>
            <w:vAlign w:val="center"/>
          </w:tcPr>
          <w:p w14:paraId="72C5947F">
            <w:pPr>
              <w:spacing w:line="276" w:lineRule="auto"/>
              <w:rPr>
                <w:rFonts w:hint="eastAsia" w:ascii="宋体" w:hAnsi="宋体" w:cs="宋体"/>
                <w:color w:val="auto"/>
                <w:sz w:val="24"/>
                <w:highlight w:val="none"/>
              </w:rPr>
            </w:pPr>
          </w:p>
        </w:tc>
        <w:tc>
          <w:tcPr>
            <w:tcW w:w="1984" w:type="dxa"/>
            <w:vAlign w:val="center"/>
          </w:tcPr>
          <w:p w14:paraId="71CB8E34">
            <w:pPr>
              <w:spacing w:line="276" w:lineRule="auto"/>
              <w:rPr>
                <w:rFonts w:hint="eastAsia" w:ascii="宋体" w:hAnsi="宋体" w:cs="宋体"/>
                <w:color w:val="auto"/>
                <w:sz w:val="24"/>
                <w:highlight w:val="none"/>
              </w:rPr>
            </w:pPr>
          </w:p>
        </w:tc>
      </w:tr>
      <w:tr w14:paraId="66047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596" w:type="dxa"/>
            <w:vAlign w:val="center"/>
          </w:tcPr>
          <w:p w14:paraId="6D3C1534">
            <w:pPr>
              <w:spacing w:line="276" w:lineRule="auto"/>
              <w:rPr>
                <w:rFonts w:hint="eastAsia" w:ascii="宋体" w:hAnsi="宋体" w:cs="宋体"/>
                <w:color w:val="auto"/>
                <w:sz w:val="24"/>
                <w:highlight w:val="none"/>
              </w:rPr>
            </w:pPr>
          </w:p>
          <w:p w14:paraId="6CEBF887">
            <w:pPr>
              <w:spacing w:line="276" w:lineRule="auto"/>
              <w:rPr>
                <w:rFonts w:hint="eastAsia" w:ascii="宋体" w:hAnsi="宋体" w:cs="宋体"/>
                <w:color w:val="auto"/>
                <w:sz w:val="24"/>
                <w:highlight w:val="none"/>
              </w:rPr>
            </w:pPr>
          </w:p>
        </w:tc>
        <w:tc>
          <w:tcPr>
            <w:tcW w:w="1438" w:type="dxa"/>
            <w:vAlign w:val="center"/>
          </w:tcPr>
          <w:p w14:paraId="72C3EDB1">
            <w:pPr>
              <w:widowControl/>
              <w:spacing w:line="276" w:lineRule="auto"/>
              <w:rPr>
                <w:rFonts w:hint="eastAsia" w:ascii="宋体" w:hAnsi="宋体" w:cs="宋体"/>
                <w:color w:val="auto"/>
                <w:sz w:val="24"/>
                <w:highlight w:val="none"/>
              </w:rPr>
            </w:pPr>
          </w:p>
          <w:p w14:paraId="399F65C9">
            <w:pPr>
              <w:spacing w:line="276" w:lineRule="auto"/>
              <w:rPr>
                <w:rFonts w:hint="eastAsia" w:ascii="宋体" w:hAnsi="宋体" w:cs="宋体"/>
                <w:color w:val="auto"/>
                <w:sz w:val="24"/>
                <w:highlight w:val="none"/>
              </w:rPr>
            </w:pPr>
          </w:p>
        </w:tc>
        <w:tc>
          <w:tcPr>
            <w:tcW w:w="2552" w:type="dxa"/>
            <w:vAlign w:val="center"/>
          </w:tcPr>
          <w:p w14:paraId="0E697DD8">
            <w:pPr>
              <w:spacing w:line="276" w:lineRule="auto"/>
              <w:rPr>
                <w:rFonts w:hint="eastAsia" w:ascii="宋体" w:hAnsi="宋体" w:cs="宋体"/>
                <w:color w:val="auto"/>
                <w:sz w:val="24"/>
                <w:highlight w:val="none"/>
              </w:rPr>
            </w:pPr>
          </w:p>
        </w:tc>
        <w:tc>
          <w:tcPr>
            <w:tcW w:w="2835" w:type="dxa"/>
            <w:vAlign w:val="center"/>
          </w:tcPr>
          <w:p w14:paraId="51A82740">
            <w:pPr>
              <w:spacing w:line="276" w:lineRule="auto"/>
              <w:rPr>
                <w:rFonts w:hint="eastAsia" w:ascii="宋体" w:hAnsi="宋体" w:cs="宋体"/>
                <w:color w:val="auto"/>
                <w:sz w:val="24"/>
                <w:highlight w:val="none"/>
              </w:rPr>
            </w:pPr>
          </w:p>
        </w:tc>
        <w:tc>
          <w:tcPr>
            <w:tcW w:w="1984" w:type="dxa"/>
            <w:vAlign w:val="center"/>
          </w:tcPr>
          <w:p w14:paraId="68D14E48">
            <w:pPr>
              <w:spacing w:line="276" w:lineRule="auto"/>
              <w:rPr>
                <w:rFonts w:hint="eastAsia" w:ascii="宋体" w:hAnsi="宋体" w:cs="宋体"/>
                <w:color w:val="auto"/>
                <w:sz w:val="24"/>
                <w:highlight w:val="none"/>
              </w:rPr>
            </w:pPr>
          </w:p>
        </w:tc>
      </w:tr>
      <w:tr w14:paraId="55B74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596" w:type="dxa"/>
            <w:vAlign w:val="center"/>
          </w:tcPr>
          <w:p w14:paraId="6E8AC4FD">
            <w:pPr>
              <w:spacing w:line="276" w:lineRule="auto"/>
              <w:rPr>
                <w:rFonts w:hint="eastAsia" w:ascii="宋体" w:hAnsi="宋体" w:cs="宋体"/>
                <w:color w:val="auto"/>
                <w:sz w:val="24"/>
                <w:highlight w:val="none"/>
              </w:rPr>
            </w:pPr>
          </w:p>
          <w:p w14:paraId="35F08950">
            <w:pPr>
              <w:spacing w:line="276" w:lineRule="auto"/>
              <w:rPr>
                <w:rFonts w:hint="eastAsia" w:ascii="宋体" w:hAnsi="宋体" w:cs="宋体"/>
                <w:color w:val="auto"/>
                <w:sz w:val="24"/>
                <w:highlight w:val="none"/>
              </w:rPr>
            </w:pPr>
          </w:p>
        </w:tc>
        <w:tc>
          <w:tcPr>
            <w:tcW w:w="1438" w:type="dxa"/>
            <w:vAlign w:val="center"/>
          </w:tcPr>
          <w:p w14:paraId="01DBE7F9">
            <w:pPr>
              <w:widowControl/>
              <w:spacing w:line="276" w:lineRule="auto"/>
              <w:rPr>
                <w:rFonts w:hint="eastAsia" w:ascii="宋体" w:hAnsi="宋体" w:cs="宋体"/>
                <w:color w:val="auto"/>
                <w:sz w:val="24"/>
                <w:highlight w:val="none"/>
              </w:rPr>
            </w:pPr>
          </w:p>
          <w:p w14:paraId="18079048">
            <w:pPr>
              <w:spacing w:line="276" w:lineRule="auto"/>
              <w:rPr>
                <w:rFonts w:hint="eastAsia" w:ascii="宋体" w:hAnsi="宋体" w:cs="宋体"/>
                <w:color w:val="auto"/>
                <w:sz w:val="24"/>
                <w:highlight w:val="none"/>
              </w:rPr>
            </w:pPr>
          </w:p>
        </w:tc>
        <w:tc>
          <w:tcPr>
            <w:tcW w:w="2552" w:type="dxa"/>
            <w:vAlign w:val="center"/>
          </w:tcPr>
          <w:p w14:paraId="6AC53DB2">
            <w:pPr>
              <w:spacing w:line="276" w:lineRule="auto"/>
              <w:rPr>
                <w:rFonts w:hint="eastAsia" w:ascii="宋体" w:hAnsi="宋体" w:cs="宋体"/>
                <w:color w:val="auto"/>
                <w:sz w:val="24"/>
                <w:highlight w:val="none"/>
              </w:rPr>
            </w:pPr>
          </w:p>
        </w:tc>
        <w:tc>
          <w:tcPr>
            <w:tcW w:w="2835" w:type="dxa"/>
            <w:vAlign w:val="center"/>
          </w:tcPr>
          <w:p w14:paraId="3713E5EB">
            <w:pPr>
              <w:spacing w:line="276" w:lineRule="auto"/>
              <w:rPr>
                <w:rFonts w:hint="eastAsia" w:ascii="宋体" w:hAnsi="宋体" w:cs="宋体"/>
                <w:color w:val="auto"/>
                <w:sz w:val="24"/>
                <w:highlight w:val="none"/>
              </w:rPr>
            </w:pPr>
          </w:p>
        </w:tc>
        <w:tc>
          <w:tcPr>
            <w:tcW w:w="1984" w:type="dxa"/>
            <w:vAlign w:val="center"/>
          </w:tcPr>
          <w:p w14:paraId="08AC2F0D">
            <w:pPr>
              <w:spacing w:line="276" w:lineRule="auto"/>
              <w:rPr>
                <w:rFonts w:hint="eastAsia" w:ascii="宋体" w:hAnsi="宋体" w:cs="宋体"/>
                <w:color w:val="auto"/>
                <w:sz w:val="24"/>
                <w:highlight w:val="none"/>
              </w:rPr>
            </w:pPr>
          </w:p>
        </w:tc>
      </w:tr>
      <w:tr w14:paraId="350A7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0" w:hRule="atLeast"/>
        </w:trPr>
        <w:tc>
          <w:tcPr>
            <w:tcW w:w="596" w:type="dxa"/>
            <w:vAlign w:val="center"/>
          </w:tcPr>
          <w:p w14:paraId="049D159F">
            <w:pPr>
              <w:spacing w:line="276" w:lineRule="auto"/>
              <w:rPr>
                <w:rFonts w:hint="eastAsia" w:ascii="宋体" w:hAnsi="宋体" w:cs="宋体"/>
                <w:color w:val="auto"/>
                <w:sz w:val="24"/>
                <w:highlight w:val="none"/>
              </w:rPr>
            </w:pPr>
          </w:p>
          <w:p w14:paraId="5674B8CD">
            <w:pPr>
              <w:spacing w:line="276" w:lineRule="auto"/>
              <w:rPr>
                <w:rFonts w:hint="eastAsia" w:ascii="宋体" w:hAnsi="宋体" w:cs="宋体"/>
                <w:color w:val="auto"/>
                <w:sz w:val="24"/>
                <w:highlight w:val="none"/>
              </w:rPr>
            </w:pPr>
          </w:p>
        </w:tc>
        <w:tc>
          <w:tcPr>
            <w:tcW w:w="1438" w:type="dxa"/>
            <w:vAlign w:val="center"/>
          </w:tcPr>
          <w:p w14:paraId="2B3B2476">
            <w:pPr>
              <w:widowControl/>
              <w:spacing w:line="276" w:lineRule="auto"/>
              <w:rPr>
                <w:rFonts w:hint="eastAsia" w:ascii="宋体" w:hAnsi="宋体" w:cs="宋体"/>
                <w:color w:val="auto"/>
                <w:sz w:val="24"/>
                <w:highlight w:val="none"/>
              </w:rPr>
            </w:pPr>
          </w:p>
          <w:p w14:paraId="5C3883DF">
            <w:pPr>
              <w:spacing w:line="276" w:lineRule="auto"/>
              <w:rPr>
                <w:rFonts w:hint="eastAsia" w:ascii="宋体" w:hAnsi="宋体" w:cs="宋体"/>
                <w:color w:val="auto"/>
                <w:sz w:val="24"/>
                <w:highlight w:val="none"/>
              </w:rPr>
            </w:pPr>
          </w:p>
        </w:tc>
        <w:tc>
          <w:tcPr>
            <w:tcW w:w="2552" w:type="dxa"/>
            <w:vAlign w:val="center"/>
          </w:tcPr>
          <w:p w14:paraId="43E8DB79">
            <w:pPr>
              <w:spacing w:line="276" w:lineRule="auto"/>
              <w:rPr>
                <w:rFonts w:hint="eastAsia" w:ascii="宋体" w:hAnsi="宋体" w:cs="宋体"/>
                <w:color w:val="auto"/>
                <w:sz w:val="24"/>
                <w:highlight w:val="none"/>
              </w:rPr>
            </w:pPr>
          </w:p>
        </w:tc>
        <w:tc>
          <w:tcPr>
            <w:tcW w:w="2835" w:type="dxa"/>
            <w:vAlign w:val="center"/>
          </w:tcPr>
          <w:p w14:paraId="41D60BCD">
            <w:pPr>
              <w:spacing w:line="276" w:lineRule="auto"/>
              <w:rPr>
                <w:rFonts w:hint="eastAsia" w:ascii="宋体" w:hAnsi="宋体" w:cs="宋体"/>
                <w:color w:val="auto"/>
                <w:sz w:val="24"/>
                <w:highlight w:val="none"/>
              </w:rPr>
            </w:pPr>
          </w:p>
        </w:tc>
        <w:tc>
          <w:tcPr>
            <w:tcW w:w="1984" w:type="dxa"/>
            <w:vAlign w:val="center"/>
          </w:tcPr>
          <w:p w14:paraId="19DF38E4">
            <w:pPr>
              <w:spacing w:line="276" w:lineRule="auto"/>
              <w:rPr>
                <w:rFonts w:hint="eastAsia" w:ascii="宋体" w:hAnsi="宋体" w:cs="宋体"/>
                <w:color w:val="auto"/>
                <w:sz w:val="24"/>
                <w:highlight w:val="none"/>
              </w:rPr>
            </w:pPr>
          </w:p>
        </w:tc>
      </w:tr>
      <w:tr w14:paraId="18EEA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596" w:type="dxa"/>
            <w:vAlign w:val="center"/>
          </w:tcPr>
          <w:p w14:paraId="174D28A7">
            <w:pPr>
              <w:spacing w:line="276" w:lineRule="auto"/>
              <w:rPr>
                <w:rFonts w:hint="eastAsia" w:ascii="宋体" w:hAnsi="宋体" w:cs="宋体"/>
                <w:color w:val="auto"/>
                <w:sz w:val="24"/>
                <w:highlight w:val="none"/>
              </w:rPr>
            </w:pPr>
          </w:p>
          <w:p w14:paraId="35A73C46">
            <w:pPr>
              <w:spacing w:line="276" w:lineRule="auto"/>
              <w:rPr>
                <w:rFonts w:hint="eastAsia" w:ascii="宋体" w:hAnsi="宋体" w:cs="宋体"/>
                <w:color w:val="auto"/>
                <w:sz w:val="24"/>
                <w:highlight w:val="none"/>
              </w:rPr>
            </w:pPr>
          </w:p>
        </w:tc>
        <w:tc>
          <w:tcPr>
            <w:tcW w:w="1438" w:type="dxa"/>
            <w:vAlign w:val="center"/>
          </w:tcPr>
          <w:p w14:paraId="16816D50">
            <w:pPr>
              <w:widowControl/>
              <w:spacing w:line="276" w:lineRule="auto"/>
              <w:rPr>
                <w:rFonts w:hint="eastAsia" w:ascii="宋体" w:hAnsi="宋体" w:cs="宋体"/>
                <w:color w:val="auto"/>
                <w:sz w:val="24"/>
                <w:highlight w:val="none"/>
              </w:rPr>
            </w:pPr>
          </w:p>
          <w:p w14:paraId="07CD291D">
            <w:pPr>
              <w:spacing w:line="276" w:lineRule="auto"/>
              <w:rPr>
                <w:rFonts w:hint="eastAsia" w:ascii="宋体" w:hAnsi="宋体" w:cs="宋体"/>
                <w:color w:val="auto"/>
                <w:sz w:val="24"/>
                <w:highlight w:val="none"/>
              </w:rPr>
            </w:pPr>
          </w:p>
        </w:tc>
        <w:tc>
          <w:tcPr>
            <w:tcW w:w="2552" w:type="dxa"/>
            <w:vAlign w:val="center"/>
          </w:tcPr>
          <w:p w14:paraId="64BCC12F">
            <w:pPr>
              <w:spacing w:line="276" w:lineRule="auto"/>
              <w:rPr>
                <w:rFonts w:hint="eastAsia" w:ascii="宋体" w:hAnsi="宋体" w:cs="宋体"/>
                <w:color w:val="auto"/>
                <w:sz w:val="24"/>
                <w:highlight w:val="none"/>
              </w:rPr>
            </w:pPr>
          </w:p>
        </w:tc>
        <w:tc>
          <w:tcPr>
            <w:tcW w:w="2835" w:type="dxa"/>
            <w:vAlign w:val="center"/>
          </w:tcPr>
          <w:p w14:paraId="590BC433">
            <w:pPr>
              <w:spacing w:line="276" w:lineRule="auto"/>
              <w:rPr>
                <w:rFonts w:hint="eastAsia" w:ascii="宋体" w:hAnsi="宋体" w:cs="宋体"/>
                <w:color w:val="auto"/>
                <w:sz w:val="24"/>
                <w:highlight w:val="none"/>
              </w:rPr>
            </w:pPr>
          </w:p>
        </w:tc>
        <w:tc>
          <w:tcPr>
            <w:tcW w:w="1984" w:type="dxa"/>
            <w:vAlign w:val="center"/>
          </w:tcPr>
          <w:p w14:paraId="0DDF4F6B">
            <w:pPr>
              <w:spacing w:line="276" w:lineRule="auto"/>
              <w:rPr>
                <w:rFonts w:hint="eastAsia" w:ascii="宋体" w:hAnsi="宋体" w:cs="宋体"/>
                <w:color w:val="auto"/>
                <w:sz w:val="24"/>
                <w:highlight w:val="none"/>
              </w:rPr>
            </w:pPr>
          </w:p>
        </w:tc>
      </w:tr>
      <w:tr w14:paraId="478D1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0" w:hRule="atLeast"/>
        </w:trPr>
        <w:tc>
          <w:tcPr>
            <w:tcW w:w="596" w:type="dxa"/>
            <w:vAlign w:val="center"/>
          </w:tcPr>
          <w:p w14:paraId="2E775761">
            <w:pPr>
              <w:spacing w:line="276" w:lineRule="auto"/>
              <w:rPr>
                <w:rFonts w:hint="eastAsia" w:ascii="宋体" w:hAnsi="宋体" w:cs="宋体"/>
                <w:color w:val="auto"/>
                <w:sz w:val="24"/>
                <w:highlight w:val="none"/>
              </w:rPr>
            </w:pPr>
          </w:p>
          <w:p w14:paraId="7A79609A">
            <w:pPr>
              <w:spacing w:line="276" w:lineRule="auto"/>
              <w:rPr>
                <w:rFonts w:hint="eastAsia" w:ascii="宋体" w:hAnsi="宋体" w:cs="宋体"/>
                <w:color w:val="auto"/>
                <w:sz w:val="24"/>
                <w:highlight w:val="none"/>
              </w:rPr>
            </w:pPr>
          </w:p>
        </w:tc>
        <w:tc>
          <w:tcPr>
            <w:tcW w:w="1438" w:type="dxa"/>
            <w:vAlign w:val="center"/>
          </w:tcPr>
          <w:p w14:paraId="7B02E59A">
            <w:pPr>
              <w:widowControl/>
              <w:spacing w:line="276" w:lineRule="auto"/>
              <w:rPr>
                <w:rFonts w:hint="eastAsia" w:ascii="宋体" w:hAnsi="宋体" w:cs="宋体"/>
                <w:color w:val="auto"/>
                <w:sz w:val="24"/>
                <w:highlight w:val="none"/>
              </w:rPr>
            </w:pPr>
          </w:p>
          <w:p w14:paraId="4CB8DE7D">
            <w:pPr>
              <w:spacing w:line="276" w:lineRule="auto"/>
              <w:rPr>
                <w:rFonts w:hint="eastAsia" w:ascii="宋体" w:hAnsi="宋体" w:cs="宋体"/>
                <w:color w:val="auto"/>
                <w:sz w:val="24"/>
                <w:highlight w:val="none"/>
              </w:rPr>
            </w:pPr>
          </w:p>
        </w:tc>
        <w:tc>
          <w:tcPr>
            <w:tcW w:w="2552" w:type="dxa"/>
            <w:vAlign w:val="center"/>
          </w:tcPr>
          <w:p w14:paraId="5F97CC55">
            <w:pPr>
              <w:spacing w:line="276" w:lineRule="auto"/>
              <w:rPr>
                <w:rFonts w:hint="eastAsia" w:ascii="宋体" w:hAnsi="宋体" w:cs="宋体"/>
                <w:color w:val="auto"/>
                <w:sz w:val="24"/>
                <w:highlight w:val="none"/>
              </w:rPr>
            </w:pPr>
          </w:p>
        </w:tc>
        <w:tc>
          <w:tcPr>
            <w:tcW w:w="2835" w:type="dxa"/>
            <w:vAlign w:val="center"/>
          </w:tcPr>
          <w:p w14:paraId="0D915C73">
            <w:pPr>
              <w:spacing w:line="276" w:lineRule="auto"/>
              <w:rPr>
                <w:rFonts w:hint="eastAsia" w:ascii="宋体" w:hAnsi="宋体" w:cs="宋体"/>
                <w:color w:val="auto"/>
                <w:sz w:val="24"/>
                <w:highlight w:val="none"/>
              </w:rPr>
            </w:pPr>
          </w:p>
        </w:tc>
        <w:tc>
          <w:tcPr>
            <w:tcW w:w="1984" w:type="dxa"/>
            <w:vAlign w:val="center"/>
          </w:tcPr>
          <w:p w14:paraId="1770F5B7">
            <w:pPr>
              <w:spacing w:line="276" w:lineRule="auto"/>
              <w:rPr>
                <w:rFonts w:hint="eastAsia" w:ascii="宋体" w:hAnsi="宋体" w:cs="宋体"/>
                <w:color w:val="auto"/>
                <w:sz w:val="24"/>
                <w:highlight w:val="none"/>
              </w:rPr>
            </w:pPr>
          </w:p>
        </w:tc>
      </w:tr>
      <w:tr w14:paraId="2E6BD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596" w:type="dxa"/>
            <w:vAlign w:val="center"/>
          </w:tcPr>
          <w:p w14:paraId="56DEDDD8">
            <w:pPr>
              <w:spacing w:line="276" w:lineRule="auto"/>
              <w:rPr>
                <w:rFonts w:hint="eastAsia" w:ascii="宋体" w:hAnsi="宋体" w:cs="宋体"/>
                <w:color w:val="auto"/>
                <w:sz w:val="24"/>
                <w:highlight w:val="none"/>
              </w:rPr>
            </w:pPr>
          </w:p>
          <w:p w14:paraId="3F1358BA">
            <w:pPr>
              <w:spacing w:line="276" w:lineRule="auto"/>
              <w:rPr>
                <w:rFonts w:hint="eastAsia" w:ascii="宋体" w:hAnsi="宋体" w:cs="宋体"/>
                <w:color w:val="auto"/>
                <w:sz w:val="24"/>
                <w:highlight w:val="none"/>
              </w:rPr>
            </w:pPr>
          </w:p>
        </w:tc>
        <w:tc>
          <w:tcPr>
            <w:tcW w:w="1438" w:type="dxa"/>
            <w:vAlign w:val="center"/>
          </w:tcPr>
          <w:p w14:paraId="362AFAC5">
            <w:pPr>
              <w:widowControl/>
              <w:spacing w:line="276" w:lineRule="auto"/>
              <w:rPr>
                <w:rFonts w:hint="eastAsia" w:ascii="宋体" w:hAnsi="宋体" w:cs="宋体"/>
                <w:color w:val="auto"/>
                <w:sz w:val="24"/>
                <w:highlight w:val="none"/>
              </w:rPr>
            </w:pPr>
          </w:p>
          <w:p w14:paraId="4D853F5C">
            <w:pPr>
              <w:spacing w:line="276" w:lineRule="auto"/>
              <w:rPr>
                <w:rFonts w:hint="eastAsia" w:ascii="宋体" w:hAnsi="宋体" w:cs="宋体"/>
                <w:color w:val="auto"/>
                <w:sz w:val="24"/>
                <w:highlight w:val="none"/>
              </w:rPr>
            </w:pPr>
          </w:p>
        </w:tc>
        <w:tc>
          <w:tcPr>
            <w:tcW w:w="2552" w:type="dxa"/>
            <w:vAlign w:val="center"/>
          </w:tcPr>
          <w:p w14:paraId="0EC4F1A7">
            <w:pPr>
              <w:spacing w:line="276" w:lineRule="auto"/>
              <w:rPr>
                <w:rFonts w:hint="eastAsia" w:ascii="宋体" w:hAnsi="宋体" w:cs="宋体"/>
                <w:color w:val="auto"/>
                <w:sz w:val="24"/>
                <w:highlight w:val="none"/>
              </w:rPr>
            </w:pPr>
          </w:p>
        </w:tc>
        <w:tc>
          <w:tcPr>
            <w:tcW w:w="2835" w:type="dxa"/>
            <w:vAlign w:val="center"/>
          </w:tcPr>
          <w:p w14:paraId="2F3A25AC">
            <w:pPr>
              <w:spacing w:line="276" w:lineRule="auto"/>
              <w:rPr>
                <w:rFonts w:hint="eastAsia" w:ascii="宋体" w:hAnsi="宋体" w:cs="宋体"/>
                <w:color w:val="auto"/>
                <w:sz w:val="24"/>
                <w:highlight w:val="none"/>
              </w:rPr>
            </w:pPr>
          </w:p>
        </w:tc>
        <w:tc>
          <w:tcPr>
            <w:tcW w:w="1984" w:type="dxa"/>
            <w:vAlign w:val="center"/>
          </w:tcPr>
          <w:p w14:paraId="2C543AAE">
            <w:pPr>
              <w:spacing w:line="276" w:lineRule="auto"/>
              <w:rPr>
                <w:rFonts w:hint="eastAsia" w:ascii="宋体" w:hAnsi="宋体" w:cs="宋体"/>
                <w:color w:val="auto"/>
                <w:sz w:val="24"/>
                <w:highlight w:val="none"/>
              </w:rPr>
            </w:pPr>
          </w:p>
        </w:tc>
      </w:tr>
      <w:tr w14:paraId="57EFD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596" w:type="dxa"/>
            <w:vAlign w:val="center"/>
          </w:tcPr>
          <w:p w14:paraId="1C9A9BC4">
            <w:pPr>
              <w:spacing w:line="276" w:lineRule="auto"/>
              <w:rPr>
                <w:rFonts w:hint="eastAsia" w:ascii="宋体" w:hAnsi="宋体" w:cs="宋体"/>
                <w:color w:val="auto"/>
                <w:sz w:val="24"/>
                <w:highlight w:val="none"/>
              </w:rPr>
            </w:pPr>
          </w:p>
          <w:p w14:paraId="51E48637">
            <w:pPr>
              <w:spacing w:line="276" w:lineRule="auto"/>
              <w:rPr>
                <w:rFonts w:hint="eastAsia" w:ascii="宋体" w:hAnsi="宋体" w:cs="宋体"/>
                <w:color w:val="auto"/>
                <w:sz w:val="24"/>
                <w:highlight w:val="none"/>
              </w:rPr>
            </w:pPr>
          </w:p>
        </w:tc>
        <w:tc>
          <w:tcPr>
            <w:tcW w:w="1438" w:type="dxa"/>
            <w:vAlign w:val="center"/>
          </w:tcPr>
          <w:p w14:paraId="417C088E">
            <w:pPr>
              <w:widowControl/>
              <w:spacing w:line="276" w:lineRule="auto"/>
              <w:rPr>
                <w:rFonts w:hint="eastAsia" w:ascii="宋体" w:hAnsi="宋体" w:cs="宋体"/>
                <w:color w:val="auto"/>
                <w:sz w:val="24"/>
                <w:highlight w:val="none"/>
              </w:rPr>
            </w:pPr>
          </w:p>
          <w:p w14:paraId="4E1DE963">
            <w:pPr>
              <w:spacing w:line="276" w:lineRule="auto"/>
              <w:rPr>
                <w:rFonts w:hint="eastAsia" w:ascii="宋体" w:hAnsi="宋体" w:cs="宋体"/>
                <w:color w:val="auto"/>
                <w:sz w:val="24"/>
                <w:highlight w:val="none"/>
              </w:rPr>
            </w:pPr>
          </w:p>
        </w:tc>
        <w:tc>
          <w:tcPr>
            <w:tcW w:w="2552" w:type="dxa"/>
            <w:vAlign w:val="center"/>
          </w:tcPr>
          <w:p w14:paraId="402D1131">
            <w:pPr>
              <w:spacing w:line="276" w:lineRule="auto"/>
              <w:rPr>
                <w:rFonts w:hint="eastAsia" w:ascii="宋体" w:hAnsi="宋体" w:cs="宋体"/>
                <w:color w:val="auto"/>
                <w:sz w:val="24"/>
                <w:highlight w:val="none"/>
              </w:rPr>
            </w:pPr>
          </w:p>
        </w:tc>
        <w:tc>
          <w:tcPr>
            <w:tcW w:w="2835" w:type="dxa"/>
            <w:vAlign w:val="center"/>
          </w:tcPr>
          <w:p w14:paraId="1078D2B2">
            <w:pPr>
              <w:spacing w:line="276" w:lineRule="auto"/>
              <w:rPr>
                <w:rFonts w:hint="eastAsia" w:ascii="宋体" w:hAnsi="宋体" w:cs="宋体"/>
                <w:color w:val="auto"/>
                <w:sz w:val="24"/>
                <w:highlight w:val="none"/>
              </w:rPr>
            </w:pPr>
          </w:p>
        </w:tc>
        <w:tc>
          <w:tcPr>
            <w:tcW w:w="1984" w:type="dxa"/>
            <w:vAlign w:val="center"/>
          </w:tcPr>
          <w:p w14:paraId="0E94D3DA">
            <w:pPr>
              <w:spacing w:line="276" w:lineRule="auto"/>
              <w:rPr>
                <w:rFonts w:hint="eastAsia" w:ascii="宋体" w:hAnsi="宋体" w:cs="宋体"/>
                <w:color w:val="auto"/>
                <w:sz w:val="24"/>
                <w:highlight w:val="none"/>
              </w:rPr>
            </w:pPr>
          </w:p>
        </w:tc>
      </w:tr>
      <w:tr w14:paraId="1B03A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0" w:hRule="atLeast"/>
        </w:trPr>
        <w:tc>
          <w:tcPr>
            <w:tcW w:w="596" w:type="dxa"/>
            <w:vAlign w:val="center"/>
          </w:tcPr>
          <w:p w14:paraId="74948734">
            <w:pPr>
              <w:spacing w:line="276" w:lineRule="auto"/>
              <w:rPr>
                <w:rFonts w:hint="eastAsia" w:ascii="宋体" w:hAnsi="宋体" w:cs="宋体"/>
                <w:color w:val="auto"/>
                <w:sz w:val="24"/>
                <w:highlight w:val="none"/>
              </w:rPr>
            </w:pPr>
          </w:p>
          <w:p w14:paraId="5534F7B4">
            <w:pPr>
              <w:spacing w:line="276" w:lineRule="auto"/>
              <w:rPr>
                <w:rFonts w:hint="eastAsia" w:ascii="宋体" w:hAnsi="宋体" w:cs="宋体"/>
                <w:color w:val="auto"/>
                <w:sz w:val="24"/>
                <w:highlight w:val="none"/>
              </w:rPr>
            </w:pPr>
          </w:p>
        </w:tc>
        <w:tc>
          <w:tcPr>
            <w:tcW w:w="1438" w:type="dxa"/>
            <w:vAlign w:val="center"/>
          </w:tcPr>
          <w:p w14:paraId="7F9D2881">
            <w:pPr>
              <w:widowControl/>
              <w:spacing w:line="276" w:lineRule="auto"/>
              <w:rPr>
                <w:rFonts w:hint="eastAsia" w:ascii="宋体" w:hAnsi="宋体" w:cs="宋体"/>
                <w:color w:val="auto"/>
                <w:sz w:val="24"/>
                <w:highlight w:val="none"/>
              </w:rPr>
            </w:pPr>
          </w:p>
          <w:p w14:paraId="77D4014A">
            <w:pPr>
              <w:spacing w:line="276" w:lineRule="auto"/>
              <w:rPr>
                <w:rFonts w:hint="eastAsia" w:ascii="宋体" w:hAnsi="宋体" w:cs="宋体"/>
                <w:color w:val="auto"/>
                <w:sz w:val="24"/>
                <w:highlight w:val="none"/>
              </w:rPr>
            </w:pPr>
          </w:p>
        </w:tc>
        <w:tc>
          <w:tcPr>
            <w:tcW w:w="2552" w:type="dxa"/>
            <w:vAlign w:val="center"/>
          </w:tcPr>
          <w:p w14:paraId="77DA38E0">
            <w:pPr>
              <w:spacing w:line="276" w:lineRule="auto"/>
              <w:rPr>
                <w:rFonts w:hint="eastAsia" w:ascii="宋体" w:hAnsi="宋体" w:cs="宋体"/>
                <w:color w:val="auto"/>
                <w:sz w:val="24"/>
                <w:highlight w:val="none"/>
              </w:rPr>
            </w:pPr>
          </w:p>
        </w:tc>
        <w:tc>
          <w:tcPr>
            <w:tcW w:w="2835" w:type="dxa"/>
            <w:vAlign w:val="center"/>
          </w:tcPr>
          <w:p w14:paraId="5EB369DC">
            <w:pPr>
              <w:spacing w:line="276" w:lineRule="auto"/>
              <w:rPr>
                <w:rFonts w:hint="eastAsia" w:ascii="宋体" w:hAnsi="宋体" w:cs="宋体"/>
                <w:color w:val="auto"/>
                <w:sz w:val="24"/>
                <w:highlight w:val="none"/>
              </w:rPr>
            </w:pPr>
          </w:p>
        </w:tc>
        <w:tc>
          <w:tcPr>
            <w:tcW w:w="1984" w:type="dxa"/>
            <w:vAlign w:val="center"/>
          </w:tcPr>
          <w:p w14:paraId="4BF22A49">
            <w:pPr>
              <w:spacing w:line="276" w:lineRule="auto"/>
              <w:rPr>
                <w:rFonts w:hint="eastAsia" w:ascii="宋体" w:hAnsi="宋体" w:cs="宋体"/>
                <w:color w:val="auto"/>
                <w:sz w:val="24"/>
                <w:highlight w:val="none"/>
              </w:rPr>
            </w:pPr>
          </w:p>
        </w:tc>
      </w:tr>
      <w:tr w14:paraId="6B76A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596" w:type="dxa"/>
            <w:vAlign w:val="center"/>
          </w:tcPr>
          <w:p w14:paraId="5C8F1A31">
            <w:pPr>
              <w:spacing w:line="276" w:lineRule="auto"/>
              <w:rPr>
                <w:rFonts w:hint="eastAsia" w:ascii="宋体" w:hAnsi="宋体" w:cs="宋体"/>
                <w:color w:val="auto"/>
                <w:sz w:val="24"/>
                <w:highlight w:val="none"/>
              </w:rPr>
            </w:pPr>
          </w:p>
          <w:p w14:paraId="30E333AA">
            <w:pPr>
              <w:spacing w:line="276" w:lineRule="auto"/>
              <w:rPr>
                <w:rFonts w:hint="eastAsia" w:ascii="宋体" w:hAnsi="宋体" w:cs="宋体"/>
                <w:color w:val="auto"/>
                <w:sz w:val="24"/>
                <w:highlight w:val="none"/>
              </w:rPr>
            </w:pPr>
          </w:p>
        </w:tc>
        <w:tc>
          <w:tcPr>
            <w:tcW w:w="1438" w:type="dxa"/>
            <w:vAlign w:val="center"/>
          </w:tcPr>
          <w:p w14:paraId="171FB5F2">
            <w:pPr>
              <w:widowControl/>
              <w:spacing w:line="276" w:lineRule="auto"/>
              <w:rPr>
                <w:rFonts w:hint="eastAsia" w:ascii="宋体" w:hAnsi="宋体" w:cs="宋体"/>
                <w:color w:val="auto"/>
                <w:sz w:val="24"/>
                <w:highlight w:val="none"/>
              </w:rPr>
            </w:pPr>
          </w:p>
          <w:p w14:paraId="3C023AAE">
            <w:pPr>
              <w:spacing w:line="276" w:lineRule="auto"/>
              <w:rPr>
                <w:rFonts w:hint="eastAsia" w:ascii="宋体" w:hAnsi="宋体" w:cs="宋体"/>
                <w:color w:val="auto"/>
                <w:sz w:val="24"/>
                <w:highlight w:val="none"/>
              </w:rPr>
            </w:pPr>
          </w:p>
        </w:tc>
        <w:tc>
          <w:tcPr>
            <w:tcW w:w="2552" w:type="dxa"/>
            <w:vAlign w:val="center"/>
          </w:tcPr>
          <w:p w14:paraId="442F4294">
            <w:pPr>
              <w:spacing w:line="276" w:lineRule="auto"/>
              <w:rPr>
                <w:rFonts w:hint="eastAsia" w:ascii="宋体" w:hAnsi="宋体" w:cs="宋体"/>
                <w:color w:val="auto"/>
                <w:sz w:val="24"/>
                <w:highlight w:val="none"/>
              </w:rPr>
            </w:pPr>
          </w:p>
        </w:tc>
        <w:tc>
          <w:tcPr>
            <w:tcW w:w="2835" w:type="dxa"/>
            <w:vAlign w:val="center"/>
          </w:tcPr>
          <w:p w14:paraId="11AC1917">
            <w:pPr>
              <w:spacing w:line="276" w:lineRule="auto"/>
              <w:rPr>
                <w:rFonts w:hint="eastAsia" w:ascii="宋体" w:hAnsi="宋体" w:cs="宋体"/>
                <w:color w:val="auto"/>
                <w:sz w:val="24"/>
                <w:highlight w:val="none"/>
              </w:rPr>
            </w:pPr>
          </w:p>
        </w:tc>
        <w:tc>
          <w:tcPr>
            <w:tcW w:w="1984" w:type="dxa"/>
            <w:vAlign w:val="center"/>
          </w:tcPr>
          <w:p w14:paraId="6D635E50">
            <w:pPr>
              <w:spacing w:line="276" w:lineRule="auto"/>
              <w:rPr>
                <w:rFonts w:hint="eastAsia" w:ascii="宋体" w:hAnsi="宋体" w:cs="宋体"/>
                <w:color w:val="auto"/>
                <w:sz w:val="24"/>
                <w:highlight w:val="none"/>
              </w:rPr>
            </w:pPr>
          </w:p>
        </w:tc>
      </w:tr>
      <w:tr w14:paraId="3CF57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596" w:type="dxa"/>
            <w:vAlign w:val="center"/>
          </w:tcPr>
          <w:p w14:paraId="041B2979">
            <w:pPr>
              <w:spacing w:line="276" w:lineRule="auto"/>
              <w:rPr>
                <w:rFonts w:hint="eastAsia" w:ascii="宋体" w:hAnsi="宋体" w:cs="宋体"/>
                <w:color w:val="auto"/>
                <w:sz w:val="24"/>
                <w:highlight w:val="none"/>
              </w:rPr>
            </w:pPr>
          </w:p>
        </w:tc>
        <w:tc>
          <w:tcPr>
            <w:tcW w:w="1438" w:type="dxa"/>
            <w:vAlign w:val="center"/>
          </w:tcPr>
          <w:p w14:paraId="2E2BC36C">
            <w:pPr>
              <w:spacing w:line="276" w:lineRule="auto"/>
              <w:rPr>
                <w:rFonts w:hint="eastAsia" w:ascii="宋体" w:hAnsi="宋体" w:cs="宋体"/>
                <w:color w:val="auto"/>
                <w:sz w:val="24"/>
                <w:highlight w:val="none"/>
              </w:rPr>
            </w:pPr>
          </w:p>
        </w:tc>
        <w:tc>
          <w:tcPr>
            <w:tcW w:w="2552" w:type="dxa"/>
            <w:vAlign w:val="center"/>
          </w:tcPr>
          <w:p w14:paraId="2A063A59">
            <w:pPr>
              <w:spacing w:line="276" w:lineRule="auto"/>
              <w:rPr>
                <w:rFonts w:hint="eastAsia" w:ascii="宋体" w:hAnsi="宋体" w:cs="宋体"/>
                <w:color w:val="auto"/>
                <w:sz w:val="24"/>
                <w:highlight w:val="none"/>
              </w:rPr>
            </w:pPr>
          </w:p>
        </w:tc>
        <w:tc>
          <w:tcPr>
            <w:tcW w:w="2835" w:type="dxa"/>
            <w:vAlign w:val="center"/>
          </w:tcPr>
          <w:p w14:paraId="1018CEBC">
            <w:pPr>
              <w:spacing w:line="276" w:lineRule="auto"/>
              <w:rPr>
                <w:rFonts w:hint="eastAsia" w:ascii="宋体" w:hAnsi="宋体" w:cs="宋体"/>
                <w:color w:val="auto"/>
                <w:sz w:val="24"/>
                <w:highlight w:val="none"/>
              </w:rPr>
            </w:pPr>
          </w:p>
        </w:tc>
        <w:tc>
          <w:tcPr>
            <w:tcW w:w="1984" w:type="dxa"/>
            <w:vAlign w:val="center"/>
          </w:tcPr>
          <w:p w14:paraId="4C633BF3">
            <w:pPr>
              <w:spacing w:line="276" w:lineRule="auto"/>
              <w:rPr>
                <w:rFonts w:hint="eastAsia" w:ascii="宋体" w:hAnsi="宋体" w:cs="宋体"/>
                <w:color w:val="auto"/>
                <w:sz w:val="24"/>
                <w:highlight w:val="none"/>
              </w:rPr>
            </w:pPr>
          </w:p>
        </w:tc>
      </w:tr>
      <w:tr w14:paraId="5E848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596" w:type="dxa"/>
            <w:vAlign w:val="center"/>
          </w:tcPr>
          <w:p w14:paraId="1CD09C9F">
            <w:pPr>
              <w:spacing w:line="276" w:lineRule="auto"/>
              <w:rPr>
                <w:rFonts w:hint="eastAsia" w:ascii="宋体" w:hAnsi="宋体" w:cs="宋体"/>
                <w:color w:val="auto"/>
                <w:sz w:val="24"/>
                <w:highlight w:val="none"/>
              </w:rPr>
            </w:pPr>
          </w:p>
        </w:tc>
        <w:tc>
          <w:tcPr>
            <w:tcW w:w="1438" w:type="dxa"/>
            <w:vAlign w:val="center"/>
          </w:tcPr>
          <w:p w14:paraId="62827758">
            <w:pPr>
              <w:spacing w:line="276" w:lineRule="auto"/>
              <w:rPr>
                <w:rFonts w:hint="eastAsia" w:ascii="宋体" w:hAnsi="宋体" w:cs="宋体"/>
                <w:color w:val="auto"/>
                <w:sz w:val="24"/>
                <w:highlight w:val="none"/>
              </w:rPr>
            </w:pPr>
          </w:p>
        </w:tc>
        <w:tc>
          <w:tcPr>
            <w:tcW w:w="2552" w:type="dxa"/>
            <w:vAlign w:val="center"/>
          </w:tcPr>
          <w:p w14:paraId="4FA9001D">
            <w:pPr>
              <w:spacing w:line="276" w:lineRule="auto"/>
              <w:rPr>
                <w:rFonts w:hint="eastAsia" w:ascii="宋体" w:hAnsi="宋体" w:cs="宋体"/>
                <w:color w:val="auto"/>
                <w:sz w:val="24"/>
                <w:highlight w:val="none"/>
              </w:rPr>
            </w:pPr>
          </w:p>
        </w:tc>
        <w:tc>
          <w:tcPr>
            <w:tcW w:w="2835" w:type="dxa"/>
            <w:vAlign w:val="center"/>
          </w:tcPr>
          <w:p w14:paraId="77EC9738">
            <w:pPr>
              <w:spacing w:line="276" w:lineRule="auto"/>
              <w:rPr>
                <w:rFonts w:hint="eastAsia" w:ascii="宋体" w:hAnsi="宋体" w:cs="宋体"/>
                <w:color w:val="auto"/>
                <w:sz w:val="24"/>
                <w:highlight w:val="none"/>
              </w:rPr>
            </w:pPr>
          </w:p>
        </w:tc>
        <w:tc>
          <w:tcPr>
            <w:tcW w:w="1984" w:type="dxa"/>
            <w:vAlign w:val="center"/>
          </w:tcPr>
          <w:p w14:paraId="65B73B6F">
            <w:pPr>
              <w:spacing w:line="276" w:lineRule="auto"/>
              <w:rPr>
                <w:rFonts w:hint="eastAsia" w:ascii="宋体" w:hAnsi="宋体" w:cs="宋体"/>
                <w:color w:val="auto"/>
                <w:sz w:val="24"/>
                <w:highlight w:val="none"/>
              </w:rPr>
            </w:pPr>
          </w:p>
        </w:tc>
      </w:tr>
    </w:tbl>
    <w:p w14:paraId="23A9E35E">
      <w:pPr>
        <w:spacing w:line="276" w:lineRule="auto"/>
        <w:rPr>
          <w:rFonts w:hint="eastAsia" w:ascii="宋体" w:hAnsi="宋体" w:cs="宋体"/>
          <w:color w:val="auto"/>
          <w:highlight w:val="none"/>
        </w:rPr>
      </w:pPr>
      <w:r>
        <w:rPr>
          <w:rFonts w:hint="eastAsia" w:ascii="宋体" w:hAnsi="宋体" w:cs="宋体"/>
          <w:color w:val="auto"/>
          <w:sz w:val="32"/>
          <w:szCs w:val="22"/>
          <w:highlight w:val="none"/>
        </w:rPr>
        <w:t>　</w:t>
      </w:r>
      <w:r>
        <w:rPr>
          <w:rFonts w:hint="eastAsia" w:ascii="宋体" w:hAnsi="宋体" w:cs="宋体"/>
          <w:bCs/>
          <w:color w:val="auto"/>
          <w:kern w:val="0"/>
          <w:sz w:val="24"/>
          <w:szCs w:val="22"/>
          <w:highlight w:val="none"/>
          <w:lang w:val="zh-CN"/>
        </w:rPr>
        <w:t>法定代表人或委托代理人</w:t>
      </w:r>
      <w:r>
        <w:rPr>
          <w:rFonts w:hint="eastAsia" w:ascii="宋体" w:hAnsi="宋体" w:cs="宋体"/>
          <w:color w:val="auto"/>
          <w:highlight w:val="none"/>
        </w:rPr>
        <w:t>：　　　　　　　　　　　　　　　　</w:t>
      </w:r>
      <w:bookmarkStart w:id="69" w:name="_Toc197140584"/>
    </w:p>
    <w:p w14:paraId="6050C116">
      <w:pPr>
        <w:spacing w:line="276" w:lineRule="auto"/>
        <w:rPr>
          <w:rFonts w:hint="eastAsia" w:ascii="宋体" w:hAnsi="宋体" w:cs="宋体"/>
          <w:color w:val="auto"/>
          <w:sz w:val="24"/>
          <w:highlight w:val="none"/>
        </w:rPr>
      </w:pPr>
    </w:p>
    <w:p w14:paraId="5EB08563">
      <w:pPr>
        <w:spacing w:line="276" w:lineRule="auto"/>
        <w:jc w:val="center"/>
        <w:rPr>
          <w:rFonts w:hint="eastAsia" w:ascii="宋体" w:hAnsi="宋体" w:cs="宋体"/>
          <w:color w:val="auto"/>
          <w:sz w:val="24"/>
          <w:highlight w:val="none"/>
        </w:rPr>
      </w:pPr>
      <w:r>
        <w:rPr>
          <w:rFonts w:hint="eastAsia" w:ascii="宋体" w:hAnsi="宋体" w:cs="宋体"/>
          <w:color w:val="auto"/>
          <w:sz w:val="24"/>
          <w:highlight w:val="none"/>
        </w:rPr>
        <w:t>8、服务需求条款偏离表</w:t>
      </w:r>
    </w:p>
    <w:p w14:paraId="2D142B72">
      <w:pPr>
        <w:spacing w:line="276" w:lineRule="auto"/>
        <w:ind w:firstLine="2640"/>
        <w:rPr>
          <w:rFonts w:hint="eastAsia" w:ascii="宋体" w:hAnsi="宋体" w:cs="宋体"/>
          <w:color w:val="auto"/>
          <w:sz w:val="24"/>
          <w:highlight w:val="none"/>
        </w:rPr>
      </w:pPr>
    </w:p>
    <w:p w14:paraId="0782632C">
      <w:pPr>
        <w:spacing w:line="276" w:lineRule="auto"/>
        <w:rPr>
          <w:rFonts w:hint="eastAsia" w:ascii="宋体" w:hAnsi="宋体" w:cs="宋体"/>
          <w:color w:val="auto"/>
          <w:sz w:val="24"/>
          <w:highlight w:val="none"/>
          <w:u w:val="single"/>
        </w:rPr>
      </w:pPr>
      <w:r>
        <w:rPr>
          <w:rFonts w:hint="eastAsia" w:ascii="宋体" w:hAnsi="宋体" w:cs="宋体"/>
          <w:color w:val="auto"/>
          <w:sz w:val="24"/>
          <w:highlight w:val="none"/>
        </w:rPr>
        <w:t>供应商名称（公章）：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项目编号：</w:t>
      </w:r>
      <w:r>
        <w:rPr>
          <w:rFonts w:hint="eastAsia" w:ascii="宋体" w:hAnsi="宋体" w:cs="宋体"/>
          <w:color w:val="auto"/>
          <w:sz w:val="24"/>
          <w:highlight w:val="none"/>
          <w:u w:val="single"/>
        </w:rPr>
        <w:t>　　　　　　　　　　　</w:t>
      </w:r>
    </w:p>
    <w:tbl>
      <w:tblPr>
        <w:tblStyle w:val="38"/>
        <w:tblW w:w="9405" w:type="dxa"/>
        <w:tblInd w:w="1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6"/>
        <w:gridCol w:w="1438"/>
        <w:gridCol w:w="2552"/>
        <w:gridCol w:w="2835"/>
        <w:gridCol w:w="1984"/>
      </w:tblGrid>
      <w:tr w14:paraId="1F792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596" w:type="dxa"/>
            <w:vAlign w:val="center"/>
          </w:tcPr>
          <w:p w14:paraId="5DC4EA48">
            <w:pPr>
              <w:spacing w:line="276" w:lineRule="auto"/>
              <w:jc w:val="center"/>
              <w:rPr>
                <w:rFonts w:hint="eastAsia" w:ascii="宋体" w:hAnsi="宋体" w:cs="宋体"/>
                <w:color w:val="auto"/>
                <w:sz w:val="24"/>
                <w:highlight w:val="none"/>
              </w:rPr>
            </w:pPr>
            <w:r>
              <w:rPr>
                <w:rFonts w:hint="eastAsia" w:ascii="宋体" w:hAnsi="宋体" w:cs="宋体"/>
                <w:color w:val="auto"/>
                <w:sz w:val="24"/>
                <w:highlight w:val="none"/>
              </w:rPr>
              <w:t>序号</w:t>
            </w:r>
          </w:p>
        </w:tc>
        <w:tc>
          <w:tcPr>
            <w:tcW w:w="1438" w:type="dxa"/>
            <w:vAlign w:val="center"/>
          </w:tcPr>
          <w:p w14:paraId="1DCBDC5A">
            <w:pPr>
              <w:spacing w:line="276" w:lineRule="auto"/>
              <w:jc w:val="center"/>
              <w:rPr>
                <w:rFonts w:hint="eastAsia" w:ascii="宋体" w:hAnsi="宋体" w:cs="宋体"/>
                <w:color w:val="auto"/>
                <w:sz w:val="24"/>
                <w:highlight w:val="none"/>
              </w:rPr>
            </w:pPr>
            <w:r>
              <w:rPr>
                <w:rFonts w:hint="eastAsia" w:ascii="宋体" w:hAnsi="宋体" w:cs="宋体"/>
                <w:color w:val="auto"/>
                <w:sz w:val="24"/>
                <w:highlight w:val="none"/>
              </w:rPr>
              <w:t>磋商文件</w:t>
            </w:r>
          </w:p>
          <w:p w14:paraId="7E542685">
            <w:pPr>
              <w:spacing w:line="276" w:lineRule="auto"/>
              <w:jc w:val="center"/>
              <w:rPr>
                <w:rFonts w:hint="eastAsia" w:ascii="宋体" w:hAnsi="宋体" w:cs="宋体"/>
                <w:color w:val="auto"/>
                <w:sz w:val="24"/>
                <w:highlight w:val="none"/>
              </w:rPr>
            </w:pPr>
            <w:r>
              <w:rPr>
                <w:rFonts w:hint="eastAsia" w:ascii="宋体" w:hAnsi="宋体" w:cs="宋体"/>
                <w:color w:val="auto"/>
                <w:sz w:val="24"/>
                <w:highlight w:val="none"/>
              </w:rPr>
              <w:t>条目号</w:t>
            </w:r>
          </w:p>
        </w:tc>
        <w:tc>
          <w:tcPr>
            <w:tcW w:w="2552" w:type="dxa"/>
            <w:vAlign w:val="center"/>
          </w:tcPr>
          <w:p w14:paraId="16F92294">
            <w:pPr>
              <w:spacing w:line="276" w:lineRule="auto"/>
              <w:jc w:val="center"/>
              <w:rPr>
                <w:rFonts w:hint="eastAsia" w:ascii="宋体" w:hAnsi="宋体" w:cs="宋体"/>
                <w:color w:val="auto"/>
                <w:sz w:val="24"/>
                <w:highlight w:val="none"/>
              </w:rPr>
            </w:pPr>
            <w:r>
              <w:rPr>
                <w:rFonts w:hint="eastAsia" w:ascii="宋体" w:hAnsi="宋体" w:cs="宋体"/>
                <w:color w:val="auto"/>
                <w:sz w:val="24"/>
                <w:highlight w:val="none"/>
              </w:rPr>
              <w:t>磋商文件的服务需求条款</w:t>
            </w:r>
          </w:p>
        </w:tc>
        <w:tc>
          <w:tcPr>
            <w:tcW w:w="2835" w:type="dxa"/>
            <w:vAlign w:val="center"/>
          </w:tcPr>
          <w:p w14:paraId="47477953">
            <w:pPr>
              <w:spacing w:line="276" w:lineRule="auto"/>
              <w:jc w:val="center"/>
              <w:rPr>
                <w:rFonts w:hint="eastAsia" w:ascii="宋体" w:hAnsi="宋体" w:cs="宋体"/>
                <w:color w:val="auto"/>
                <w:sz w:val="24"/>
                <w:highlight w:val="none"/>
              </w:rPr>
            </w:pPr>
            <w:r>
              <w:rPr>
                <w:rFonts w:hint="eastAsia" w:ascii="宋体" w:hAnsi="宋体" w:cs="宋体"/>
                <w:color w:val="auto"/>
                <w:sz w:val="24"/>
                <w:highlight w:val="none"/>
              </w:rPr>
              <w:t>磋商响应文件的服务需求条款</w:t>
            </w:r>
          </w:p>
        </w:tc>
        <w:tc>
          <w:tcPr>
            <w:tcW w:w="1984" w:type="dxa"/>
            <w:vAlign w:val="center"/>
          </w:tcPr>
          <w:p w14:paraId="78615622">
            <w:pPr>
              <w:spacing w:line="276" w:lineRule="auto"/>
              <w:jc w:val="center"/>
              <w:rPr>
                <w:rFonts w:hint="eastAsia" w:ascii="宋体" w:hAnsi="宋体" w:cs="宋体"/>
                <w:color w:val="auto"/>
                <w:sz w:val="24"/>
                <w:highlight w:val="none"/>
              </w:rPr>
            </w:pPr>
            <w:r>
              <w:rPr>
                <w:rFonts w:hint="eastAsia" w:ascii="宋体" w:hAnsi="宋体" w:cs="宋体"/>
                <w:color w:val="auto"/>
                <w:sz w:val="24"/>
                <w:highlight w:val="none"/>
              </w:rPr>
              <w:t>说明</w:t>
            </w:r>
          </w:p>
        </w:tc>
      </w:tr>
      <w:tr w14:paraId="5D1BC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596" w:type="dxa"/>
            <w:vAlign w:val="center"/>
          </w:tcPr>
          <w:p w14:paraId="384DE44D">
            <w:pPr>
              <w:spacing w:line="276" w:lineRule="auto"/>
              <w:rPr>
                <w:rFonts w:hint="eastAsia" w:ascii="宋体" w:hAnsi="宋体" w:cs="宋体"/>
                <w:color w:val="auto"/>
                <w:sz w:val="24"/>
                <w:highlight w:val="none"/>
              </w:rPr>
            </w:pPr>
          </w:p>
          <w:p w14:paraId="6FDA1AE3">
            <w:pPr>
              <w:spacing w:line="276" w:lineRule="auto"/>
              <w:rPr>
                <w:rFonts w:hint="eastAsia" w:ascii="宋体" w:hAnsi="宋体" w:cs="宋体"/>
                <w:color w:val="auto"/>
                <w:sz w:val="24"/>
                <w:highlight w:val="none"/>
              </w:rPr>
            </w:pPr>
          </w:p>
        </w:tc>
        <w:tc>
          <w:tcPr>
            <w:tcW w:w="1438" w:type="dxa"/>
            <w:vAlign w:val="center"/>
          </w:tcPr>
          <w:p w14:paraId="28C3378A">
            <w:pPr>
              <w:widowControl/>
              <w:spacing w:line="276" w:lineRule="auto"/>
              <w:rPr>
                <w:rFonts w:hint="eastAsia" w:ascii="宋体" w:hAnsi="宋体" w:cs="宋体"/>
                <w:color w:val="auto"/>
                <w:sz w:val="24"/>
                <w:highlight w:val="none"/>
              </w:rPr>
            </w:pPr>
          </w:p>
          <w:p w14:paraId="2595D3E0">
            <w:pPr>
              <w:spacing w:line="276" w:lineRule="auto"/>
              <w:rPr>
                <w:rFonts w:hint="eastAsia" w:ascii="宋体" w:hAnsi="宋体" w:cs="宋体"/>
                <w:color w:val="auto"/>
                <w:sz w:val="24"/>
                <w:highlight w:val="none"/>
              </w:rPr>
            </w:pPr>
          </w:p>
        </w:tc>
        <w:tc>
          <w:tcPr>
            <w:tcW w:w="2552" w:type="dxa"/>
            <w:vAlign w:val="center"/>
          </w:tcPr>
          <w:p w14:paraId="199C49F7">
            <w:pPr>
              <w:spacing w:line="276" w:lineRule="auto"/>
              <w:rPr>
                <w:rFonts w:hint="eastAsia" w:ascii="宋体" w:hAnsi="宋体" w:cs="宋体"/>
                <w:color w:val="auto"/>
                <w:sz w:val="24"/>
                <w:highlight w:val="none"/>
              </w:rPr>
            </w:pPr>
          </w:p>
        </w:tc>
        <w:tc>
          <w:tcPr>
            <w:tcW w:w="2835" w:type="dxa"/>
            <w:vAlign w:val="center"/>
          </w:tcPr>
          <w:p w14:paraId="74853BBF">
            <w:pPr>
              <w:spacing w:line="276" w:lineRule="auto"/>
              <w:rPr>
                <w:rFonts w:hint="eastAsia" w:ascii="宋体" w:hAnsi="宋体" w:cs="宋体"/>
                <w:color w:val="auto"/>
                <w:sz w:val="24"/>
                <w:highlight w:val="none"/>
              </w:rPr>
            </w:pPr>
          </w:p>
        </w:tc>
        <w:tc>
          <w:tcPr>
            <w:tcW w:w="1984" w:type="dxa"/>
            <w:vAlign w:val="center"/>
          </w:tcPr>
          <w:p w14:paraId="4BE9D554">
            <w:pPr>
              <w:spacing w:line="276" w:lineRule="auto"/>
              <w:rPr>
                <w:rFonts w:hint="eastAsia" w:ascii="宋体" w:hAnsi="宋体" w:cs="宋体"/>
                <w:color w:val="auto"/>
                <w:sz w:val="24"/>
                <w:highlight w:val="none"/>
              </w:rPr>
            </w:pPr>
          </w:p>
        </w:tc>
      </w:tr>
      <w:tr w14:paraId="29A39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596" w:type="dxa"/>
            <w:vAlign w:val="center"/>
          </w:tcPr>
          <w:p w14:paraId="6881134F">
            <w:pPr>
              <w:spacing w:line="276" w:lineRule="auto"/>
              <w:rPr>
                <w:rFonts w:hint="eastAsia" w:ascii="宋体" w:hAnsi="宋体" w:cs="宋体"/>
                <w:color w:val="auto"/>
                <w:sz w:val="24"/>
                <w:highlight w:val="none"/>
              </w:rPr>
            </w:pPr>
          </w:p>
          <w:p w14:paraId="52B16534">
            <w:pPr>
              <w:spacing w:line="276" w:lineRule="auto"/>
              <w:rPr>
                <w:rFonts w:hint="eastAsia" w:ascii="宋体" w:hAnsi="宋体" w:cs="宋体"/>
                <w:color w:val="auto"/>
                <w:sz w:val="24"/>
                <w:highlight w:val="none"/>
              </w:rPr>
            </w:pPr>
          </w:p>
        </w:tc>
        <w:tc>
          <w:tcPr>
            <w:tcW w:w="1438" w:type="dxa"/>
            <w:vAlign w:val="center"/>
          </w:tcPr>
          <w:p w14:paraId="20CE94C7">
            <w:pPr>
              <w:widowControl/>
              <w:spacing w:line="276" w:lineRule="auto"/>
              <w:rPr>
                <w:rFonts w:hint="eastAsia" w:ascii="宋体" w:hAnsi="宋体" w:cs="宋体"/>
                <w:color w:val="auto"/>
                <w:sz w:val="24"/>
                <w:highlight w:val="none"/>
              </w:rPr>
            </w:pPr>
          </w:p>
          <w:p w14:paraId="7B32CCBE">
            <w:pPr>
              <w:spacing w:line="276" w:lineRule="auto"/>
              <w:rPr>
                <w:rFonts w:hint="eastAsia" w:ascii="宋体" w:hAnsi="宋体" w:cs="宋体"/>
                <w:color w:val="auto"/>
                <w:sz w:val="24"/>
                <w:highlight w:val="none"/>
              </w:rPr>
            </w:pPr>
          </w:p>
        </w:tc>
        <w:tc>
          <w:tcPr>
            <w:tcW w:w="2552" w:type="dxa"/>
            <w:vAlign w:val="center"/>
          </w:tcPr>
          <w:p w14:paraId="0839F1DE">
            <w:pPr>
              <w:spacing w:line="276" w:lineRule="auto"/>
              <w:rPr>
                <w:rFonts w:hint="eastAsia" w:ascii="宋体" w:hAnsi="宋体" w:cs="宋体"/>
                <w:color w:val="auto"/>
                <w:sz w:val="24"/>
                <w:highlight w:val="none"/>
              </w:rPr>
            </w:pPr>
          </w:p>
        </w:tc>
        <w:tc>
          <w:tcPr>
            <w:tcW w:w="2835" w:type="dxa"/>
            <w:vAlign w:val="center"/>
          </w:tcPr>
          <w:p w14:paraId="2B3955F8">
            <w:pPr>
              <w:spacing w:line="276" w:lineRule="auto"/>
              <w:rPr>
                <w:rFonts w:hint="eastAsia" w:ascii="宋体" w:hAnsi="宋体" w:cs="宋体"/>
                <w:color w:val="auto"/>
                <w:sz w:val="24"/>
                <w:highlight w:val="none"/>
              </w:rPr>
            </w:pPr>
          </w:p>
        </w:tc>
        <w:tc>
          <w:tcPr>
            <w:tcW w:w="1984" w:type="dxa"/>
            <w:vAlign w:val="center"/>
          </w:tcPr>
          <w:p w14:paraId="37337BEB">
            <w:pPr>
              <w:spacing w:line="276" w:lineRule="auto"/>
              <w:rPr>
                <w:rFonts w:hint="eastAsia" w:ascii="宋体" w:hAnsi="宋体" w:cs="宋体"/>
                <w:color w:val="auto"/>
                <w:sz w:val="24"/>
                <w:highlight w:val="none"/>
              </w:rPr>
            </w:pPr>
          </w:p>
        </w:tc>
      </w:tr>
      <w:tr w14:paraId="5016B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596" w:type="dxa"/>
            <w:vAlign w:val="center"/>
          </w:tcPr>
          <w:p w14:paraId="7DF88A55">
            <w:pPr>
              <w:spacing w:line="276" w:lineRule="auto"/>
              <w:rPr>
                <w:rFonts w:hint="eastAsia" w:ascii="宋体" w:hAnsi="宋体" w:cs="宋体"/>
                <w:color w:val="auto"/>
                <w:sz w:val="24"/>
                <w:highlight w:val="none"/>
              </w:rPr>
            </w:pPr>
          </w:p>
          <w:p w14:paraId="225194CB">
            <w:pPr>
              <w:spacing w:line="276" w:lineRule="auto"/>
              <w:rPr>
                <w:rFonts w:hint="eastAsia" w:ascii="宋体" w:hAnsi="宋体" w:cs="宋体"/>
                <w:color w:val="auto"/>
                <w:sz w:val="24"/>
                <w:highlight w:val="none"/>
              </w:rPr>
            </w:pPr>
          </w:p>
        </w:tc>
        <w:tc>
          <w:tcPr>
            <w:tcW w:w="1438" w:type="dxa"/>
            <w:vAlign w:val="center"/>
          </w:tcPr>
          <w:p w14:paraId="5EDACFD8">
            <w:pPr>
              <w:widowControl/>
              <w:spacing w:line="276" w:lineRule="auto"/>
              <w:rPr>
                <w:rFonts w:hint="eastAsia" w:ascii="宋体" w:hAnsi="宋体" w:cs="宋体"/>
                <w:color w:val="auto"/>
                <w:sz w:val="24"/>
                <w:highlight w:val="none"/>
              </w:rPr>
            </w:pPr>
          </w:p>
          <w:p w14:paraId="71A9FF18">
            <w:pPr>
              <w:spacing w:line="276" w:lineRule="auto"/>
              <w:rPr>
                <w:rFonts w:hint="eastAsia" w:ascii="宋体" w:hAnsi="宋体" w:cs="宋体"/>
                <w:color w:val="auto"/>
                <w:sz w:val="24"/>
                <w:highlight w:val="none"/>
              </w:rPr>
            </w:pPr>
          </w:p>
        </w:tc>
        <w:tc>
          <w:tcPr>
            <w:tcW w:w="2552" w:type="dxa"/>
            <w:vAlign w:val="center"/>
          </w:tcPr>
          <w:p w14:paraId="0C9C7652">
            <w:pPr>
              <w:spacing w:line="276" w:lineRule="auto"/>
              <w:rPr>
                <w:rFonts w:hint="eastAsia" w:ascii="宋体" w:hAnsi="宋体" w:cs="宋体"/>
                <w:color w:val="auto"/>
                <w:sz w:val="24"/>
                <w:highlight w:val="none"/>
              </w:rPr>
            </w:pPr>
          </w:p>
        </w:tc>
        <w:tc>
          <w:tcPr>
            <w:tcW w:w="2835" w:type="dxa"/>
            <w:vAlign w:val="center"/>
          </w:tcPr>
          <w:p w14:paraId="1972A613">
            <w:pPr>
              <w:spacing w:line="276" w:lineRule="auto"/>
              <w:rPr>
                <w:rFonts w:hint="eastAsia" w:ascii="宋体" w:hAnsi="宋体" w:cs="宋体"/>
                <w:color w:val="auto"/>
                <w:sz w:val="24"/>
                <w:highlight w:val="none"/>
              </w:rPr>
            </w:pPr>
          </w:p>
        </w:tc>
        <w:tc>
          <w:tcPr>
            <w:tcW w:w="1984" w:type="dxa"/>
            <w:vAlign w:val="center"/>
          </w:tcPr>
          <w:p w14:paraId="1DC0FA60">
            <w:pPr>
              <w:spacing w:line="276" w:lineRule="auto"/>
              <w:rPr>
                <w:rFonts w:hint="eastAsia" w:ascii="宋体" w:hAnsi="宋体" w:cs="宋体"/>
                <w:color w:val="auto"/>
                <w:sz w:val="24"/>
                <w:highlight w:val="none"/>
              </w:rPr>
            </w:pPr>
          </w:p>
        </w:tc>
      </w:tr>
      <w:tr w14:paraId="7CFF7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596" w:type="dxa"/>
            <w:vAlign w:val="center"/>
          </w:tcPr>
          <w:p w14:paraId="79C92C9A">
            <w:pPr>
              <w:spacing w:line="276" w:lineRule="auto"/>
              <w:rPr>
                <w:rFonts w:hint="eastAsia" w:ascii="宋体" w:hAnsi="宋体" w:cs="宋体"/>
                <w:color w:val="auto"/>
                <w:sz w:val="24"/>
                <w:highlight w:val="none"/>
              </w:rPr>
            </w:pPr>
          </w:p>
          <w:p w14:paraId="5B141D2C">
            <w:pPr>
              <w:spacing w:line="276" w:lineRule="auto"/>
              <w:rPr>
                <w:rFonts w:hint="eastAsia" w:ascii="宋体" w:hAnsi="宋体" w:cs="宋体"/>
                <w:color w:val="auto"/>
                <w:sz w:val="24"/>
                <w:highlight w:val="none"/>
              </w:rPr>
            </w:pPr>
          </w:p>
        </w:tc>
        <w:tc>
          <w:tcPr>
            <w:tcW w:w="1438" w:type="dxa"/>
            <w:vAlign w:val="center"/>
          </w:tcPr>
          <w:p w14:paraId="2B987E0F">
            <w:pPr>
              <w:widowControl/>
              <w:spacing w:line="276" w:lineRule="auto"/>
              <w:rPr>
                <w:rFonts w:hint="eastAsia" w:ascii="宋体" w:hAnsi="宋体" w:cs="宋体"/>
                <w:color w:val="auto"/>
                <w:sz w:val="24"/>
                <w:highlight w:val="none"/>
              </w:rPr>
            </w:pPr>
          </w:p>
          <w:p w14:paraId="36002AFE">
            <w:pPr>
              <w:spacing w:line="276" w:lineRule="auto"/>
              <w:rPr>
                <w:rFonts w:hint="eastAsia" w:ascii="宋体" w:hAnsi="宋体" w:cs="宋体"/>
                <w:color w:val="auto"/>
                <w:sz w:val="24"/>
                <w:highlight w:val="none"/>
              </w:rPr>
            </w:pPr>
          </w:p>
        </w:tc>
        <w:tc>
          <w:tcPr>
            <w:tcW w:w="2552" w:type="dxa"/>
            <w:vAlign w:val="center"/>
          </w:tcPr>
          <w:p w14:paraId="7349B7C2">
            <w:pPr>
              <w:spacing w:line="276" w:lineRule="auto"/>
              <w:rPr>
                <w:rFonts w:hint="eastAsia" w:ascii="宋体" w:hAnsi="宋体" w:cs="宋体"/>
                <w:color w:val="auto"/>
                <w:sz w:val="24"/>
                <w:highlight w:val="none"/>
              </w:rPr>
            </w:pPr>
          </w:p>
        </w:tc>
        <w:tc>
          <w:tcPr>
            <w:tcW w:w="2835" w:type="dxa"/>
            <w:vAlign w:val="center"/>
          </w:tcPr>
          <w:p w14:paraId="74008EFA">
            <w:pPr>
              <w:spacing w:line="276" w:lineRule="auto"/>
              <w:rPr>
                <w:rFonts w:hint="eastAsia" w:ascii="宋体" w:hAnsi="宋体" w:cs="宋体"/>
                <w:color w:val="auto"/>
                <w:sz w:val="24"/>
                <w:highlight w:val="none"/>
              </w:rPr>
            </w:pPr>
          </w:p>
        </w:tc>
        <w:tc>
          <w:tcPr>
            <w:tcW w:w="1984" w:type="dxa"/>
            <w:vAlign w:val="center"/>
          </w:tcPr>
          <w:p w14:paraId="291147C3">
            <w:pPr>
              <w:spacing w:line="276" w:lineRule="auto"/>
              <w:rPr>
                <w:rFonts w:hint="eastAsia" w:ascii="宋体" w:hAnsi="宋体" w:cs="宋体"/>
                <w:color w:val="auto"/>
                <w:sz w:val="24"/>
                <w:highlight w:val="none"/>
              </w:rPr>
            </w:pPr>
          </w:p>
        </w:tc>
      </w:tr>
      <w:tr w14:paraId="3D171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596" w:type="dxa"/>
            <w:vAlign w:val="center"/>
          </w:tcPr>
          <w:p w14:paraId="1867941D">
            <w:pPr>
              <w:spacing w:line="276" w:lineRule="auto"/>
              <w:rPr>
                <w:rFonts w:hint="eastAsia" w:ascii="宋体" w:hAnsi="宋体" w:cs="宋体"/>
                <w:color w:val="auto"/>
                <w:sz w:val="24"/>
                <w:highlight w:val="none"/>
              </w:rPr>
            </w:pPr>
          </w:p>
          <w:p w14:paraId="3D7F3703">
            <w:pPr>
              <w:spacing w:line="276" w:lineRule="auto"/>
              <w:rPr>
                <w:rFonts w:hint="eastAsia" w:ascii="宋体" w:hAnsi="宋体" w:cs="宋体"/>
                <w:color w:val="auto"/>
                <w:sz w:val="24"/>
                <w:highlight w:val="none"/>
              </w:rPr>
            </w:pPr>
          </w:p>
        </w:tc>
        <w:tc>
          <w:tcPr>
            <w:tcW w:w="1438" w:type="dxa"/>
            <w:vAlign w:val="center"/>
          </w:tcPr>
          <w:p w14:paraId="0EA1F5F8">
            <w:pPr>
              <w:widowControl/>
              <w:spacing w:line="276" w:lineRule="auto"/>
              <w:rPr>
                <w:rFonts w:hint="eastAsia" w:ascii="宋体" w:hAnsi="宋体" w:cs="宋体"/>
                <w:color w:val="auto"/>
                <w:sz w:val="24"/>
                <w:highlight w:val="none"/>
              </w:rPr>
            </w:pPr>
          </w:p>
          <w:p w14:paraId="3E3FFF5E">
            <w:pPr>
              <w:spacing w:line="276" w:lineRule="auto"/>
              <w:rPr>
                <w:rFonts w:hint="eastAsia" w:ascii="宋体" w:hAnsi="宋体" w:cs="宋体"/>
                <w:color w:val="auto"/>
                <w:sz w:val="24"/>
                <w:highlight w:val="none"/>
              </w:rPr>
            </w:pPr>
          </w:p>
        </w:tc>
        <w:tc>
          <w:tcPr>
            <w:tcW w:w="2552" w:type="dxa"/>
            <w:vAlign w:val="center"/>
          </w:tcPr>
          <w:p w14:paraId="2F7E60A3">
            <w:pPr>
              <w:spacing w:line="276" w:lineRule="auto"/>
              <w:rPr>
                <w:rFonts w:hint="eastAsia" w:ascii="宋体" w:hAnsi="宋体" w:cs="宋体"/>
                <w:color w:val="auto"/>
                <w:sz w:val="24"/>
                <w:highlight w:val="none"/>
              </w:rPr>
            </w:pPr>
          </w:p>
        </w:tc>
        <w:tc>
          <w:tcPr>
            <w:tcW w:w="2835" w:type="dxa"/>
            <w:vAlign w:val="center"/>
          </w:tcPr>
          <w:p w14:paraId="2CF09B31">
            <w:pPr>
              <w:spacing w:line="276" w:lineRule="auto"/>
              <w:rPr>
                <w:rFonts w:hint="eastAsia" w:ascii="宋体" w:hAnsi="宋体" w:cs="宋体"/>
                <w:color w:val="auto"/>
                <w:sz w:val="24"/>
                <w:highlight w:val="none"/>
              </w:rPr>
            </w:pPr>
          </w:p>
        </w:tc>
        <w:tc>
          <w:tcPr>
            <w:tcW w:w="1984" w:type="dxa"/>
            <w:vAlign w:val="center"/>
          </w:tcPr>
          <w:p w14:paraId="3B957D99">
            <w:pPr>
              <w:spacing w:line="276" w:lineRule="auto"/>
              <w:rPr>
                <w:rFonts w:hint="eastAsia" w:ascii="宋体" w:hAnsi="宋体" w:cs="宋体"/>
                <w:color w:val="auto"/>
                <w:sz w:val="24"/>
                <w:highlight w:val="none"/>
              </w:rPr>
            </w:pPr>
          </w:p>
        </w:tc>
      </w:tr>
      <w:tr w14:paraId="02D91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596" w:type="dxa"/>
            <w:vAlign w:val="center"/>
          </w:tcPr>
          <w:p w14:paraId="59131B6E">
            <w:pPr>
              <w:spacing w:line="276" w:lineRule="auto"/>
              <w:rPr>
                <w:rFonts w:hint="eastAsia" w:ascii="宋体" w:hAnsi="宋体" w:cs="宋体"/>
                <w:color w:val="auto"/>
                <w:sz w:val="24"/>
                <w:highlight w:val="none"/>
              </w:rPr>
            </w:pPr>
          </w:p>
          <w:p w14:paraId="193ACBDD">
            <w:pPr>
              <w:spacing w:line="276" w:lineRule="auto"/>
              <w:rPr>
                <w:rFonts w:hint="eastAsia" w:ascii="宋体" w:hAnsi="宋体" w:cs="宋体"/>
                <w:color w:val="auto"/>
                <w:sz w:val="24"/>
                <w:highlight w:val="none"/>
              </w:rPr>
            </w:pPr>
          </w:p>
        </w:tc>
        <w:tc>
          <w:tcPr>
            <w:tcW w:w="1438" w:type="dxa"/>
            <w:vAlign w:val="center"/>
          </w:tcPr>
          <w:p w14:paraId="3579A008">
            <w:pPr>
              <w:widowControl/>
              <w:spacing w:line="276" w:lineRule="auto"/>
              <w:rPr>
                <w:rFonts w:hint="eastAsia" w:ascii="宋体" w:hAnsi="宋体" w:cs="宋体"/>
                <w:color w:val="auto"/>
                <w:sz w:val="24"/>
                <w:highlight w:val="none"/>
              </w:rPr>
            </w:pPr>
          </w:p>
          <w:p w14:paraId="555BF01E">
            <w:pPr>
              <w:spacing w:line="276" w:lineRule="auto"/>
              <w:rPr>
                <w:rFonts w:hint="eastAsia" w:ascii="宋体" w:hAnsi="宋体" w:cs="宋体"/>
                <w:color w:val="auto"/>
                <w:sz w:val="24"/>
                <w:highlight w:val="none"/>
              </w:rPr>
            </w:pPr>
          </w:p>
        </w:tc>
        <w:tc>
          <w:tcPr>
            <w:tcW w:w="2552" w:type="dxa"/>
            <w:vAlign w:val="center"/>
          </w:tcPr>
          <w:p w14:paraId="4FAFE737">
            <w:pPr>
              <w:spacing w:line="276" w:lineRule="auto"/>
              <w:rPr>
                <w:rFonts w:hint="eastAsia" w:ascii="宋体" w:hAnsi="宋体" w:cs="宋体"/>
                <w:color w:val="auto"/>
                <w:sz w:val="24"/>
                <w:highlight w:val="none"/>
              </w:rPr>
            </w:pPr>
          </w:p>
        </w:tc>
        <w:tc>
          <w:tcPr>
            <w:tcW w:w="2835" w:type="dxa"/>
            <w:vAlign w:val="center"/>
          </w:tcPr>
          <w:p w14:paraId="09BBEF89">
            <w:pPr>
              <w:spacing w:line="276" w:lineRule="auto"/>
              <w:rPr>
                <w:rFonts w:hint="eastAsia" w:ascii="宋体" w:hAnsi="宋体" w:cs="宋体"/>
                <w:color w:val="auto"/>
                <w:sz w:val="24"/>
                <w:highlight w:val="none"/>
              </w:rPr>
            </w:pPr>
          </w:p>
        </w:tc>
        <w:tc>
          <w:tcPr>
            <w:tcW w:w="1984" w:type="dxa"/>
            <w:vAlign w:val="center"/>
          </w:tcPr>
          <w:p w14:paraId="7FAA57FA">
            <w:pPr>
              <w:spacing w:line="276" w:lineRule="auto"/>
              <w:rPr>
                <w:rFonts w:hint="eastAsia" w:ascii="宋体" w:hAnsi="宋体" w:cs="宋体"/>
                <w:color w:val="auto"/>
                <w:sz w:val="24"/>
                <w:highlight w:val="none"/>
              </w:rPr>
            </w:pPr>
          </w:p>
        </w:tc>
      </w:tr>
      <w:tr w14:paraId="55E39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596" w:type="dxa"/>
            <w:vAlign w:val="center"/>
          </w:tcPr>
          <w:p w14:paraId="797070E0">
            <w:pPr>
              <w:spacing w:line="276" w:lineRule="auto"/>
              <w:rPr>
                <w:rFonts w:hint="eastAsia" w:ascii="宋体" w:hAnsi="宋体" w:cs="宋体"/>
                <w:color w:val="auto"/>
                <w:sz w:val="24"/>
                <w:highlight w:val="none"/>
              </w:rPr>
            </w:pPr>
          </w:p>
          <w:p w14:paraId="5385EE2A">
            <w:pPr>
              <w:spacing w:line="276" w:lineRule="auto"/>
              <w:rPr>
                <w:rFonts w:hint="eastAsia" w:ascii="宋体" w:hAnsi="宋体" w:cs="宋体"/>
                <w:color w:val="auto"/>
                <w:sz w:val="24"/>
                <w:highlight w:val="none"/>
              </w:rPr>
            </w:pPr>
          </w:p>
        </w:tc>
        <w:tc>
          <w:tcPr>
            <w:tcW w:w="1438" w:type="dxa"/>
            <w:vAlign w:val="center"/>
          </w:tcPr>
          <w:p w14:paraId="60F1F52C">
            <w:pPr>
              <w:widowControl/>
              <w:spacing w:line="276" w:lineRule="auto"/>
              <w:rPr>
                <w:rFonts w:hint="eastAsia" w:ascii="宋体" w:hAnsi="宋体" w:cs="宋体"/>
                <w:color w:val="auto"/>
                <w:sz w:val="24"/>
                <w:highlight w:val="none"/>
              </w:rPr>
            </w:pPr>
          </w:p>
          <w:p w14:paraId="3D80457D">
            <w:pPr>
              <w:spacing w:line="276" w:lineRule="auto"/>
              <w:rPr>
                <w:rFonts w:hint="eastAsia" w:ascii="宋体" w:hAnsi="宋体" w:cs="宋体"/>
                <w:color w:val="auto"/>
                <w:sz w:val="24"/>
                <w:highlight w:val="none"/>
              </w:rPr>
            </w:pPr>
          </w:p>
        </w:tc>
        <w:tc>
          <w:tcPr>
            <w:tcW w:w="2552" w:type="dxa"/>
            <w:vAlign w:val="center"/>
          </w:tcPr>
          <w:p w14:paraId="6E144025">
            <w:pPr>
              <w:spacing w:line="276" w:lineRule="auto"/>
              <w:rPr>
                <w:rFonts w:hint="eastAsia" w:ascii="宋体" w:hAnsi="宋体" w:cs="宋体"/>
                <w:color w:val="auto"/>
                <w:sz w:val="24"/>
                <w:highlight w:val="none"/>
              </w:rPr>
            </w:pPr>
          </w:p>
        </w:tc>
        <w:tc>
          <w:tcPr>
            <w:tcW w:w="2835" w:type="dxa"/>
            <w:vAlign w:val="center"/>
          </w:tcPr>
          <w:p w14:paraId="0FE4B299">
            <w:pPr>
              <w:spacing w:line="276" w:lineRule="auto"/>
              <w:rPr>
                <w:rFonts w:hint="eastAsia" w:ascii="宋体" w:hAnsi="宋体" w:cs="宋体"/>
                <w:color w:val="auto"/>
                <w:sz w:val="24"/>
                <w:highlight w:val="none"/>
              </w:rPr>
            </w:pPr>
          </w:p>
        </w:tc>
        <w:tc>
          <w:tcPr>
            <w:tcW w:w="1984" w:type="dxa"/>
            <w:vAlign w:val="center"/>
          </w:tcPr>
          <w:p w14:paraId="425D0D04">
            <w:pPr>
              <w:spacing w:line="276" w:lineRule="auto"/>
              <w:rPr>
                <w:rFonts w:hint="eastAsia" w:ascii="宋体" w:hAnsi="宋体" w:cs="宋体"/>
                <w:color w:val="auto"/>
                <w:sz w:val="24"/>
                <w:highlight w:val="none"/>
              </w:rPr>
            </w:pPr>
          </w:p>
        </w:tc>
      </w:tr>
      <w:tr w14:paraId="2BC03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596" w:type="dxa"/>
            <w:vAlign w:val="center"/>
          </w:tcPr>
          <w:p w14:paraId="67A7F3C0">
            <w:pPr>
              <w:spacing w:line="276" w:lineRule="auto"/>
              <w:rPr>
                <w:rFonts w:hint="eastAsia" w:ascii="宋体" w:hAnsi="宋体" w:cs="宋体"/>
                <w:color w:val="auto"/>
                <w:sz w:val="24"/>
                <w:highlight w:val="none"/>
              </w:rPr>
            </w:pPr>
          </w:p>
          <w:p w14:paraId="14380AD0">
            <w:pPr>
              <w:spacing w:line="276" w:lineRule="auto"/>
              <w:rPr>
                <w:rFonts w:hint="eastAsia" w:ascii="宋体" w:hAnsi="宋体" w:cs="宋体"/>
                <w:color w:val="auto"/>
                <w:sz w:val="24"/>
                <w:highlight w:val="none"/>
              </w:rPr>
            </w:pPr>
          </w:p>
        </w:tc>
        <w:tc>
          <w:tcPr>
            <w:tcW w:w="1438" w:type="dxa"/>
            <w:vAlign w:val="center"/>
          </w:tcPr>
          <w:p w14:paraId="02DDDBCB">
            <w:pPr>
              <w:widowControl/>
              <w:spacing w:line="276" w:lineRule="auto"/>
              <w:rPr>
                <w:rFonts w:hint="eastAsia" w:ascii="宋体" w:hAnsi="宋体" w:cs="宋体"/>
                <w:color w:val="auto"/>
                <w:sz w:val="24"/>
                <w:highlight w:val="none"/>
              </w:rPr>
            </w:pPr>
          </w:p>
          <w:p w14:paraId="2C214F41">
            <w:pPr>
              <w:spacing w:line="276" w:lineRule="auto"/>
              <w:rPr>
                <w:rFonts w:hint="eastAsia" w:ascii="宋体" w:hAnsi="宋体" w:cs="宋体"/>
                <w:color w:val="auto"/>
                <w:sz w:val="24"/>
                <w:highlight w:val="none"/>
              </w:rPr>
            </w:pPr>
          </w:p>
        </w:tc>
        <w:tc>
          <w:tcPr>
            <w:tcW w:w="2552" w:type="dxa"/>
            <w:vAlign w:val="center"/>
          </w:tcPr>
          <w:p w14:paraId="286C11AD">
            <w:pPr>
              <w:spacing w:line="276" w:lineRule="auto"/>
              <w:rPr>
                <w:rFonts w:hint="eastAsia" w:ascii="宋体" w:hAnsi="宋体" w:cs="宋体"/>
                <w:color w:val="auto"/>
                <w:sz w:val="24"/>
                <w:highlight w:val="none"/>
              </w:rPr>
            </w:pPr>
          </w:p>
        </w:tc>
        <w:tc>
          <w:tcPr>
            <w:tcW w:w="2835" w:type="dxa"/>
            <w:vAlign w:val="center"/>
          </w:tcPr>
          <w:p w14:paraId="69260314">
            <w:pPr>
              <w:spacing w:line="276" w:lineRule="auto"/>
              <w:rPr>
                <w:rFonts w:hint="eastAsia" w:ascii="宋体" w:hAnsi="宋体" w:cs="宋体"/>
                <w:color w:val="auto"/>
                <w:sz w:val="24"/>
                <w:highlight w:val="none"/>
              </w:rPr>
            </w:pPr>
          </w:p>
        </w:tc>
        <w:tc>
          <w:tcPr>
            <w:tcW w:w="1984" w:type="dxa"/>
            <w:vAlign w:val="center"/>
          </w:tcPr>
          <w:p w14:paraId="1896C1E1">
            <w:pPr>
              <w:spacing w:line="276" w:lineRule="auto"/>
              <w:rPr>
                <w:rFonts w:hint="eastAsia" w:ascii="宋体" w:hAnsi="宋体" w:cs="宋体"/>
                <w:color w:val="auto"/>
                <w:sz w:val="24"/>
                <w:highlight w:val="none"/>
              </w:rPr>
            </w:pPr>
          </w:p>
        </w:tc>
      </w:tr>
      <w:tr w14:paraId="1A617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596" w:type="dxa"/>
            <w:vAlign w:val="center"/>
          </w:tcPr>
          <w:p w14:paraId="46F7E0DA">
            <w:pPr>
              <w:spacing w:line="276" w:lineRule="auto"/>
              <w:rPr>
                <w:rFonts w:hint="eastAsia" w:ascii="宋体" w:hAnsi="宋体" w:cs="宋体"/>
                <w:color w:val="auto"/>
                <w:sz w:val="24"/>
                <w:highlight w:val="none"/>
              </w:rPr>
            </w:pPr>
          </w:p>
          <w:p w14:paraId="09E8B8D7">
            <w:pPr>
              <w:spacing w:line="276" w:lineRule="auto"/>
              <w:rPr>
                <w:rFonts w:hint="eastAsia" w:ascii="宋体" w:hAnsi="宋体" w:cs="宋体"/>
                <w:color w:val="auto"/>
                <w:sz w:val="24"/>
                <w:highlight w:val="none"/>
              </w:rPr>
            </w:pPr>
          </w:p>
        </w:tc>
        <w:tc>
          <w:tcPr>
            <w:tcW w:w="1438" w:type="dxa"/>
            <w:vAlign w:val="center"/>
          </w:tcPr>
          <w:p w14:paraId="3FF0CBA7">
            <w:pPr>
              <w:widowControl/>
              <w:spacing w:line="276" w:lineRule="auto"/>
              <w:rPr>
                <w:rFonts w:hint="eastAsia" w:ascii="宋体" w:hAnsi="宋体" w:cs="宋体"/>
                <w:color w:val="auto"/>
                <w:sz w:val="24"/>
                <w:highlight w:val="none"/>
              </w:rPr>
            </w:pPr>
          </w:p>
          <w:p w14:paraId="1313ED44">
            <w:pPr>
              <w:spacing w:line="276" w:lineRule="auto"/>
              <w:rPr>
                <w:rFonts w:hint="eastAsia" w:ascii="宋体" w:hAnsi="宋体" w:cs="宋体"/>
                <w:color w:val="auto"/>
                <w:sz w:val="24"/>
                <w:highlight w:val="none"/>
              </w:rPr>
            </w:pPr>
          </w:p>
        </w:tc>
        <w:tc>
          <w:tcPr>
            <w:tcW w:w="2552" w:type="dxa"/>
            <w:vAlign w:val="center"/>
          </w:tcPr>
          <w:p w14:paraId="3FE7A9C4">
            <w:pPr>
              <w:spacing w:line="276" w:lineRule="auto"/>
              <w:rPr>
                <w:rFonts w:hint="eastAsia" w:ascii="宋体" w:hAnsi="宋体" w:cs="宋体"/>
                <w:color w:val="auto"/>
                <w:sz w:val="24"/>
                <w:highlight w:val="none"/>
              </w:rPr>
            </w:pPr>
          </w:p>
        </w:tc>
        <w:tc>
          <w:tcPr>
            <w:tcW w:w="2835" w:type="dxa"/>
            <w:vAlign w:val="center"/>
          </w:tcPr>
          <w:p w14:paraId="19A50DA1">
            <w:pPr>
              <w:spacing w:line="276" w:lineRule="auto"/>
              <w:rPr>
                <w:rFonts w:hint="eastAsia" w:ascii="宋体" w:hAnsi="宋体" w:cs="宋体"/>
                <w:color w:val="auto"/>
                <w:sz w:val="24"/>
                <w:highlight w:val="none"/>
              </w:rPr>
            </w:pPr>
          </w:p>
        </w:tc>
        <w:tc>
          <w:tcPr>
            <w:tcW w:w="1984" w:type="dxa"/>
            <w:vAlign w:val="center"/>
          </w:tcPr>
          <w:p w14:paraId="7BE51257">
            <w:pPr>
              <w:spacing w:line="276" w:lineRule="auto"/>
              <w:rPr>
                <w:rFonts w:hint="eastAsia" w:ascii="宋体" w:hAnsi="宋体" w:cs="宋体"/>
                <w:color w:val="auto"/>
                <w:sz w:val="24"/>
                <w:highlight w:val="none"/>
              </w:rPr>
            </w:pPr>
          </w:p>
        </w:tc>
      </w:tr>
      <w:tr w14:paraId="1E097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596" w:type="dxa"/>
            <w:vAlign w:val="center"/>
          </w:tcPr>
          <w:p w14:paraId="3B15BFDE">
            <w:pPr>
              <w:spacing w:line="276" w:lineRule="auto"/>
              <w:rPr>
                <w:rFonts w:hint="eastAsia" w:ascii="宋体" w:hAnsi="宋体" w:cs="宋体"/>
                <w:color w:val="auto"/>
                <w:sz w:val="24"/>
                <w:highlight w:val="none"/>
              </w:rPr>
            </w:pPr>
          </w:p>
          <w:p w14:paraId="5AB7AC1F">
            <w:pPr>
              <w:spacing w:line="276" w:lineRule="auto"/>
              <w:rPr>
                <w:rFonts w:hint="eastAsia" w:ascii="宋体" w:hAnsi="宋体" w:cs="宋体"/>
                <w:color w:val="auto"/>
                <w:sz w:val="24"/>
                <w:highlight w:val="none"/>
              </w:rPr>
            </w:pPr>
          </w:p>
        </w:tc>
        <w:tc>
          <w:tcPr>
            <w:tcW w:w="1438" w:type="dxa"/>
            <w:vAlign w:val="center"/>
          </w:tcPr>
          <w:p w14:paraId="4C3E9126">
            <w:pPr>
              <w:widowControl/>
              <w:spacing w:line="276" w:lineRule="auto"/>
              <w:rPr>
                <w:rFonts w:hint="eastAsia" w:ascii="宋体" w:hAnsi="宋体" w:cs="宋体"/>
                <w:color w:val="auto"/>
                <w:sz w:val="24"/>
                <w:highlight w:val="none"/>
              </w:rPr>
            </w:pPr>
          </w:p>
          <w:p w14:paraId="6074EA4A">
            <w:pPr>
              <w:spacing w:line="276" w:lineRule="auto"/>
              <w:rPr>
                <w:rFonts w:hint="eastAsia" w:ascii="宋体" w:hAnsi="宋体" w:cs="宋体"/>
                <w:color w:val="auto"/>
                <w:sz w:val="24"/>
                <w:highlight w:val="none"/>
              </w:rPr>
            </w:pPr>
          </w:p>
        </w:tc>
        <w:tc>
          <w:tcPr>
            <w:tcW w:w="2552" w:type="dxa"/>
            <w:vAlign w:val="center"/>
          </w:tcPr>
          <w:p w14:paraId="56BEF026">
            <w:pPr>
              <w:spacing w:line="276" w:lineRule="auto"/>
              <w:rPr>
                <w:rFonts w:hint="eastAsia" w:ascii="宋体" w:hAnsi="宋体" w:cs="宋体"/>
                <w:color w:val="auto"/>
                <w:sz w:val="24"/>
                <w:highlight w:val="none"/>
              </w:rPr>
            </w:pPr>
          </w:p>
        </w:tc>
        <w:tc>
          <w:tcPr>
            <w:tcW w:w="2835" w:type="dxa"/>
            <w:vAlign w:val="center"/>
          </w:tcPr>
          <w:p w14:paraId="61584425">
            <w:pPr>
              <w:spacing w:line="276" w:lineRule="auto"/>
              <w:rPr>
                <w:rFonts w:hint="eastAsia" w:ascii="宋体" w:hAnsi="宋体" w:cs="宋体"/>
                <w:color w:val="auto"/>
                <w:sz w:val="24"/>
                <w:highlight w:val="none"/>
              </w:rPr>
            </w:pPr>
          </w:p>
        </w:tc>
        <w:tc>
          <w:tcPr>
            <w:tcW w:w="1984" w:type="dxa"/>
            <w:vAlign w:val="center"/>
          </w:tcPr>
          <w:p w14:paraId="13248C3F">
            <w:pPr>
              <w:spacing w:line="276" w:lineRule="auto"/>
              <w:rPr>
                <w:rFonts w:hint="eastAsia" w:ascii="宋体" w:hAnsi="宋体" w:cs="宋体"/>
                <w:color w:val="auto"/>
                <w:sz w:val="24"/>
                <w:highlight w:val="none"/>
              </w:rPr>
            </w:pPr>
          </w:p>
        </w:tc>
      </w:tr>
      <w:tr w14:paraId="15585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596" w:type="dxa"/>
            <w:vAlign w:val="center"/>
          </w:tcPr>
          <w:p w14:paraId="672B6598">
            <w:pPr>
              <w:spacing w:line="276" w:lineRule="auto"/>
              <w:rPr>
                <w:rFonts w:hint="eastAsia" w:ascii="宋体" w:hAnsi="宋体" w:cs="宋体"/>
                <w:color w:val="auto"/>
                <w:sz w:val="24"/>
                <w:highlight w:val="none"/>
              </w:rPr>
            </w:pPr>
          </w:p>
          <w:p w14:paraId="0B557DB9">
            <w:pPr>
              <w:spacing w:line="276" w:lineRule="auto"/>
              <w:rPr>
                <w:rFonts w:hint="eastAsia" w:ascii="宋体" w:hAnsi="宋体" w:cs="宋体"/>
                <w:color w:val="auto"/>
                <w:sz w:val="24"/>
                <w:highlight w:val="none"/>
              </w:rPr>
            </w:pPr>
          </w:p>
        </w:tc>
        <w:tc>
          <w:tcPr>
            <w:tcW w:w="1438" w:type="dxa"/>
            <w:vAlign w:val="center"/>
          </w:tcPr>
          <w:p w14:paraId="5F545A9B">
            <w:pPr>
              <w:widowControl/>
              <w:spacing w:line="276" w:lineRule="auto"/>
              <w:rPr>
                <w:rFonts w:hint="eastAsia" w:ascii="宋体" w:hAnsi="宋体" w:cs="宋体"/>
                <w:color w:val="auto"/>
                <w:sz w:val="24"/>
                <w:highlight w:val="none"/>
              </w:rPr>
            </w:pPr>
          </w:p>
          <w:p w14:paraId="4B92E97D">
            <w:pPr>
              <w:spacing w:line="276" w:lineRule="auto"/>
              <w:rPr>
                <w:rFonts w:hint="eastAsia" w:ascii="宋体" w:hAnsi="宋体" w:cs="宋体"/>
                <w:color w:val="auto"/>
                <w:sz w:val="24"/>
                <w:highlight w:val="none"/>
              </w:rPr>
            </w:pPr>
          </w:p>
        </w:tc>
        <w:tc>
          <w:tcPr>
            <w:tcW w:w="2552" w:type="dxa"/>
            <w:vAlign w:val="center"/>
          </w:tcPr>
          <w:p w14:paraId="3AB270AF">
            <w:pPr>
              <w:spacing w:line="276" w:lineRule="auto"/>
              <w:rPr>
                <w:rFonts w:hint="eastAsia" w:ascii="宋体" w:hAnsi="宋体" w:cs="宋体"/>
                <w:color w:val="auto"/>
                <w:sz w:val="24"/>
                <w:highlight w:val="none"/>
              </w:rPr>
            </w:pPr>
          </w:p>
        </w:tc>
        <w:tc>
          <w:tcPr>
            <w:tcW w:w="2835" w:type="dxa"/>
            <w:vAlign w:val="center"/>
          </w:tcPr>
          <w:p w14:paraId="0B37B53B">
            <w:pPr>
              <w:spacing w:line="276" w:lineRule="auto"/>
              <w:rPr>
                <w:rFonts w:hint="eastAsia" w:ascii="宋体" w:hAnsi="宋体" w:cs="宋体"/>
                <w:color w:val="auto"/>
                <w:sz w:val="24"/>
                <w:highlight w:val="none"/>
              </w:rPr>
            </w:pPr>
          </w:p>
        </w:tc>
        <w:tc>
          <w:tcPr>
            <w:tcW w:w="1984" w:type="dxa"/>
            <w:vAlign w:val="center"/>
          </w:tcPr>
          <w:p w14:paraId="11EB9B49">
            <w:pPr>
              <w:spacing w:line="276" w:lineRule="auto"/>
              <w:rPr>
                <w:rFonts w:hint="eastAsia" w:ascii="宋体" w:hAnsi="宋体" w:cs="宋体"/>
                <w:color w:val="auto"/>
                <w:sz w:val="24"/>
                <w:highlight w:val="none"/>
              </w:rPr>
            </w:pPr>
          </w:p>
        </w:tc>
      </w:tr>
      <w:tr w14:paraId="6A20C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596" w:type="dxa"/>
            <w:vAlign w:val="center"/>
          </w:tcPr>
          <w:p w14:paraId="10E3870B">
            <w:pPr>
              <w:spacing w:line="276" w:lineRule="auto"/>
              <w:rPr>
                <w:rFonts w:hint="eastAsia" w:ascii="宋体" w:hAnsi="宋体" w:cs="宋体"/>
                <w:color w:val="auto"/>
                <w:sz w:val="24"/>
                <w:highlight w:val="none"/>
              </w:rPr>
            </w:pPr>
          </w:p>
          <w:p w14:paraId="3EE42160">
            <w:pPr>
              <w:spacing w:line="276" w:lineRule="auto"/>
              <w:rPr>
                <w:rFonts w:hint="eastAsia" w:ascii="宋体" w:hAnsi="宋体" w:cs="宋体"/>
                <w:color w:val="auto"/>
                <w:sz w:val="24"/>
                <w:highlight w:val="none"/>
              </w:rPr>
            </w:pPr>
          </w:p>
        </w:tc>
        <w:tc>
          <w:tcPr>
            <w:tcW w:w="1438" w:type="dxa"/>
            <w:vAlign w:val="center"/>
          </w:tcPr>
          <w:p w14:paraId="01019709">
            <w:pPr>
              <w:widowControl/>
              <w:spacing w:line="276" w:lineRule="auto"/>
              <w:rPr>
                <w:rFonts w:hint="eastAsia" w:ascii="宋体" w:hAnsi="宋体" w:cs="宋体"/>
                <w:color w:val="auto"/>
                <w:sz w:val="24"/>
                <w:highlight w:val="none"/>
              </w:rPr>
            </w:pPr>
          </w:p>
          <w:p w14:paraId="0F11409A">
            <w:pPr>
              <w:spacing w:line="276" w:lineRule="auto"/>
              <w:rPr>
                <w:rFonts w:hint="eastAsia" w:ascii="宋体" w:hAnsi="宋体" w:cs="宋体"/>
                <w:color w:val="auto"/>
                <w:sz w:val="24"/>
                <w:highlight w:val="none"/>
              </w:rPr>
            </w:pPr>
          </w:p>
        </w:tc>
        <w:tc>
          <w:tcPr>
            <w:tcW w:w="2552" w:type="dxa"/>
            <w:vAlign w:val="center"/>
          </w:tcPr>
          <w:p w14:paraId="3A00FEAF">
            <w:pPr>
              <w:spacing w:line="276" w:lineRule="auto"/>
              <w:rPr>
                <w:rFonts w:hint="eastAsia" w:ascii="宋体" w:hAnsi="宋体" w:cs="宋体"/>
                <w:color w:val="auto"/>
                <w:sz w:val="24"/>
                <w:highlight w:val="none"/>
              </w:rPr>
            </w:pPr>
          </w:p>
        </w:tc>
        <w:tc>
          <w:tcPr>
            <w:tcW w:w="2835" w:type="dxa"/>
            <w:vAlign w:val="center"/>
          </w:tcPr>
          <w:p w14:paraId="71597613">
            <w:pPr>
              <w:spacing w:line="276" w:lineRule="auto"/>
              <w:rPr>
                <w:rFonts w:hint="eastAsia" w:ascii="宋体" w:hAnsi="宋体" w:cs="宋体"/>
                <w:color w:val="auto"/>
                <w:sz w:val="24"/>
                <w:highlight w:val="none"/>
              </w:rPr>
            </w:pPr>
          </w:p>
        </w:tc>
        <w:tc>
          <w:tcPr>
            <w:tcW w:w="1984" w:type="dxa"/>
            <w:vAlign w:val="center"/>
          </w:tcPr>
          <w:p w14:paraId="34F55D09">
            <w:pPr>
              <w:spacing w:line="276" w:lineRule="auto"/>
              <w:rPr>
                <w:rFonts w:hint="eastAsia" w:ascii="宋体" w:hAnsi="宋体" w:cs="宋体"/>
                <w:color w:val="auto"/>
                <w:sz w:val="24"/>
                <w:highlight w:val="none"/>
              </w:rPr>
            </w:pPr>
          </w:p>
        </w:tc>
      </w:tr>
      <w:tr w14:paraId="0ADF0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596" w:type="dxa"/>
            <w:vAlign w:val="center"/>
          </w:tcPr>
          <w:p w14:paraId="7F689A45">
            <w:pPr>
              <w:spacing w:line="276" w:lineRule="auto"/>
              <w:rPr>
                <w:rFonts w:hint="eastAsia" w:ascii="宋体" w:hAnsi="宋体" w:cs="宋体"/>
                <w:color w:val="auto"/>
                <w:sz w:val="24"/>
                <w:highlight w:val="none"/>
              </w:rPr>
            </w:pPr>
          </w:p>
          <w:p w14:paraId="56E5B14B">
            <w:pPr>
              <w:spacing w:line="276" w:lineRule="auto"/>
              <w:rPr>
                <w:rFonts w:hint="eastAsia" w:ascii="宋体" w:hAnsi="宋体" w:cs="宋体"/>
                <w:color w:val="auto"/>
                <w:sz w:val="24"/>
                <w:highlight w:val="none"/>
              </w:rPr>
            </w:pPr>
          </w:p>
        </w:tc>
        <w:tc>
          <w:tcPr>
            <w:tcW w:w="1438" w:type="dxa"/>
            <w:vAlign w:val="center"/>
          </w:tcPr>
          <w:p w14:paraId="2B59B309">
            <w:pPr>
              <w:widowControl/>
              <w:spacing w:line="276" w:lineRule="auto"/>
              <w:rPr>
                <w:rFonts w:hint="eastAsia" w:ascii="宋体" w:hAnsi="宋体" w:cs="宋体"/>
                <w:color w:val="auto"/>
                <w:sz w:val="24"/>
                <w:highlight w:val="none"/>
              </w:rPr>
            </w:pPr>
          </w:p>
          <w:p w14:paraId="163919DF">
            <w:pPr>
              <w:spacing w:line="276" w:lineRule="auto"/>
              <w:rPr>
                <w:rFonts w:hint="eastAsia" w:ascii="宋体" w:hAnsi="宋体" w:cs="宋体"/>
                <w:color w:val="auto"/>
                <w:sz w:val="24"/>
                <w:highlight w:val="none"/>
              </w:rPr>
            </w:pPr>
          </w:p>
        </w:tc>
        <w:tc>
          <w:tcPr>
            <w:tcW w:w="2552" w:type="dxa"/>
            <w:vAlign w:val="center"/>
          </w:tcPr>
          <w:p w14:paraId="6F5FD28C">
            <w:pPr>
              <w:spacing w:line="276" w:lineRule="auto"/>
              <w:rPr>
                <w:rFonts w:hint="eastAsia" w:ascii="宋体" w:hAnsi="宋体" w:cs="宋体"/>
                <w:color w:val="auto"/>
                <w:sz w:val="24"/>
                <w:highlight w:val="none"/>
              </w:rPr>
            </w:pPr>
          </w:p>
        </w:tc>
        <w:tc>
          <w:tcPr>
            <w:tcW w:w="2835" w:type="dxa"/>
            <w:vAlign w:val="center"/>
          </w:tcPr>
          <w:p w14:paraId="6D5E1A1D">
            <w:pPr>
              <w:spacing w:line="276" w:lineRule="auto"/>
              <w:rPr>
                <w:rFonts w:hint="eastAsia" w:ascii="宋体" w:hAnsi="宋体" w:cs="宋体"/>
                <w:color w:val="auto"/>
                <w:sz w:val="24"/>
                <w:highlight w:val="none"/>
              </w:rPr>
            </w:pPr>
          </w:p>
        </w:tc>
        <w:tc>
          <w:tcPr>
            <w:tcW w:w="1984" w:type="dxa"/>
            <w:vAlign w:val="center"/>
          </w:tcPr>
          <w:p w14:paraId="0E13975C">
            <w:pPr>
              <w:spacing w:line="276" w:lineRule="auto"/>
              <w:rPr>
                <w:rFonts w:hint="eastAsia" w:ascii="宋体" w:hAnsi="宋体" w:cs="宋体"/>
                <w:color w:val="auto"/>
                <w:sz w:val="24"/>
                <w:highlight w:val="none"/>
              </w:rPr>
            </w:pPr>
          </w:p>
        </w:tc>
      </w:tr>
      <w:tr w14:paraId="6280A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596" w:type="dxa"/>
            <w:vAlign w:val="center"/>
          </w:tcPr>
          <w:p w14:paraId="7C54F8BA">
            <w:pPr>
              <w:spacing w:line="276" w:lineRule="auto"/>
              <w:rPr>
                <w:rFonts w:hint="eastAsia" w:ascii="宋体" w:hAnsi="宋体" w:cs="宋体"/>
                <w:color w:val="auto"/>
                <w:sz w:val="24"/>
                <w:highlight w:val="none"/>
              </w:rPr>
            </w:pPr>
          </w:p>
          <w:p w14:paraId="73BA6379">
            <w:pPr>
              <w:spacing w:line="276" w:lineRule="auto"/>
              <w:rPr>
                <w:rFonts w:hint="eastAsia" w:ascii="宋体" w:hAnsi="宋体" w:cs="宋体"/>
                <w:color w:val="auto"/>
                <w:sz w:val="24"/>
                <w:highlight w:val="none"/>
              </w:rPr>
            </w:pPr>
          </w:p>
        </w:tc>
        <w:tc>
          <w:tcPr>
            <w:tcW w:w="1438" w:type="dxa"/>
            <w:vAlign w:val="center"/>
          </w:tcPr>
          <w:p w14:paraId="7A44EA02">
            <w:pPr>
              <w:widowControl/>
              <w:spacing w:line="276" w:lineRule="auto"/>
              <w:rPr>
                <w:rFonts w:hint="eastAsia" w:ascii="宋体" w:hAnsi="宋体" w:cs="宋体"/>
                <w:color w:val="auto"/>
                <w:sz w:val="24"/>
                <w:highlight w:val="none"/>
              </w:rPr>
            </w:pPr>
          </w:p>
          <w:p w14:paraId="19E4FBB7">
            <w:pPr>
              <w:spacing w:line="276" w:lineRule="auto"/>
              <w:rPr>
                <w:rFonts w:hint="eastAsia" w:ascii="宋体" w:hAnsi="宋体" w:cs="宋体"/>
                <w:color w:val="auto"/>
                <w:sz w:val="24"/>
                <w:highlight w:val="none"/>
              </w:rPr>
            </w:pPr>
          </w:p>
        </w:tc>
        <w:tc>
          <w:tcPr>
            <w:tcW w:w="2552" w:type="dxa"/>
            <w:vAlign w:val="center"/>
          </w:tcPr>
          <w:p w14:paraId="646A4946">
            <w:pPr>
              <w:spacing w:line="276" w:lineRule="auto"/>
              <w:rPr>
                <w:rFonts w:hint="eastAsia" w:ascii="宋体" w:hAnsi="宋体" w:cs="宋体"/>
                <w:color w:val="auto"/>
                <w:sz w:val="24"/>
                <w:highlight w:val="none"/>
              </w:rPr>
            </w:pPr>
          </w:p>
        </w:tc>
        <w:tc>
          <w:tcPr>
            <w:tcW w:w="2835" w:type="dxa"/>
            <w:vAlign w:val="center"/>
          </w:tcPr>
          <w:p w14:paraId="00AD3A83">
            <w:pPr>
              <w:spacing w:line="276" w:lineRule="auto"/>
              <w:rPr>
                <w:rFonts w:hint="eastAsia" w:ascii="宋体" w:hAnsi="宋体" w:cs="宋体"/>
                <w:color w:val="auto"/>
                <w:sz w:val="24"/>
                <w:highlight w:val="none"/>
              </w:rPr>
            </w:pPr>
          </w:p>
        </w:tc>
        <w:tc>
          <w:tcPr>
            <w:tcW w:w="1984" w:type="dxa"/>
            <w:vAlign w:val="center"/>
          </w:tcPr>
          <w:p w14:paraId="1AF9DDDB">
            <w:pPr>
              <w:spacing w:line="276" w:lineRule="auto"/>
              <w:rPr>
                <w:rFonts w:hint="eastAsia" w:ascii="宋体" w:hAnsi="宋体" w:cs="宋体"/>
                <w:color w:val="auto"/>
                <w:sz w:val="24"/>
                <w:highlight w:val="none"/>
              </w:rPr>
            </w:pPr>
          </w:p>
        </w:tc>
      </w:tr>
      <w:tr w14:paraId="54AAC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596" w:type="dxa"/>
            <w:vAlign w:val="center"/>
          </w:tcPr>
          <w:p w14:paraId="68A2A9EB">
            <w:pPr>
              <w:spacing w:line="276" w:lineRule="auto"/>
              <w:rPr>
                <w:rFonts w:hint="eastAsia" w:ascii="宋体" w:hAnsi="宋体" w:cs="宋体"/>
                <w:color w:val="auto"/>
                <w:sz w:val="24"/>
                <w:highlight w:val="none"/>
              </w:rPr>
            </w:pPr>
          </w:p>
        </w:tc>
        <w:tc>
          <w:tcPr>
            <w:tcW w:w="1438" w:type="dxa"/>
            <w:vAlign w:val="center"/>
          </w:tcPr>
          <w:p w14:paraId="76AC66BE">
            <w:pPr>
              <w:spacing w:line="276" w:lineRule="auto"/>
              <w:rPr>
                <w:rFonts w:hint="eastAsia" w:ascii="宋体" w:hAnsi="宋体" w:cs="宋体"/>
                <w:color w:val="auto"/>
                <w:sz w:val="24"/>
                <w:highlight w:val="none"/>
              </w:rPr>
            </w:pPr>
          </w:p>
        </w:tc>
        <w:tc>
          <w:tcPr>
            <w:tcW w:w="2552" w:type="dxa"/>
            <w:vAlign w:val="center"/>
          </w:tcPr>
          <w:p w14:paraId="675487A0">
            <w:pPr>
              <w:spacing w:line="276" w:lineRule="auto"/>
              <w:rPr>
                <w:rFonts w:hint="eastAsia" w:ascii="宋体" w:hAnsi="宋体" w:cs="宋体"/>
                <w:color w:val="auto"/>
                <w:sz w:val="24"/>
                <w:highlight w:val="none"/>
              </w:rPr>
            </w:pPr>
          </w:p>
        </w:tc>
        <w:tc>
          <w:tcPr>
            <w:tcW w:w="2835" w:type="dxa"/>
            <w:vAlign w:val="center"/>
          </w:tcPr>
          <w:p w14:paraId="75DE9242">
            <w:pPr>
              <w:spacing w:line="276" w:lineRule="auto"/>
              <w:rPr>
                <w:rFonts w:hint="eastAsia" w:ascii="宋体" w:hAnsi="宋体" w:cs="宋体"/>
                <w:color w:val="auto"/>
                <w:sz w:val="24"/>
                <w:highlight w:val="none"/>
              </w:rPr>
            </w:pPr>
          </w:p>
        </w:tc>
        <w:tc>
          <w:tcPr>
            <w:tcW w:w="1984" w:type="dxa"/>
            <w:vAlign w:val="center"/>
          </w:tcPr>
          <w:p w14:paraId="136649A4">
            <w:pPr>
              <w:spacing w:line="276" w:lineRule="auto"/>
              <w:rPr>
                <w:rFonts w:hint="eastAsia" w:ascii="宋体" w:hAnsi="宋体" w:cs="宋体"/>
                <w:color w:val="auto"/>
                <w:sz w:val="24"/>
                <w:highlight w:val="none"/>
              </w:rPr>
            </w:pPr>
          </w:p>
        </w:tc>
      </w:tr>
      <w:tr w14:paraId="7E9A4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596" w:type="dxa"/>
            <w:vAlign w:val="center"/>
          </w:tcPr>
          <w:p w14:paraId="0FA55A2A">
            <w:pPr>
              <w:spacing w:line="276" w:lineRule="auto"/>
              <w:rPr>
                <w:rFonts w:hint="eastAsia" w:ascii="宋体" w:hAnsi="宋体" w:cs="宋体"/>
                <w:color w:val="auto"/>
                <w:sz w:val="24"/>
                <w:highlight w:val="none"/>
              </w:rPr>
            </w:pPr>
          </w:p>
        </w:tc>
        <w:tc>
          <w:tcPr>
            <w:tcW w:w="1438" w:type="dxa"/>
            <w:vAlign w:val="center"/>
          </w:tcPr>
          <w:p w14:paraId="4A57369E">
            <w:pPr>
              <w:spacing w:line="276" w:lineRule="auto"/>
              <w:rPr>
                <w:rFonts w:hint="eastAsia" w:ascii="宋体" w:hAnsi="宋体" w:cs="宋体"/>
                <w:color w:val="auto"/>
                <w:sz w:val="24"/>
                <w:highlight w:val="none"/>
              </w:rPr>
            </w:pPr>
          </w:p>
        </w:tc>
        <w:tc>
          <w:tcPr>
            <w:tcW w:w="2552" w:type="dxa"/>
            <w:vAlign w:val="center"/>
          </w:tcPr>
          <w:p w14:paraId="73065437">
            <w:pPr>
              <w:spacing w:line="276" w:lineRule="auto"/>
              <w:rPr>
                <w:rFonts w:hint="eastAsia" w:ascii="宋体" w:hAnsi="宋体" w:cs="宋体"/>
                <w:color w:val="auto"/>
                <w:sz w:val="24"/>
                <w:highlight w:val="none"/>
              </w:rPr>
            </w:pPr>
          </w:p>
          <w:p w14:paraId="5D1B0AED">
            <w:pPr>
              <w:spacing w:line="276" w:lineRule="auto"/>
              <w:rPr>
                <w:rFonts w:hint="eastAsia" w:ascii="宋体" w:hAnsi="宋体" w:cs="宋体"/>
                <w:color w:val="auto"/>
                <w:sz w:val="24"/>
                <w:highlight w:val="none"/>
              </w:rPr>
            </w:pPr>
          </w:p>
        </w:tc>
        <w:tc>
          <w:tcPr>
            <w:tcW w:w="2835" w:type="dxa"/>
            <w:vAlign w:val="center"/>
          </w:tcPr>
          <w:p w14:paraId="1757903C">
            <w:pPr>
              <w:widowControl/>
              <w:spacing w:line="276" w:lineRule="auto"/>
              <w:rPr>
                <w:rFonts w:hint="eastAsia" w:ascii="宋体" w:hAnsi="宋体" w:cs="宋体"/>
                <w:color w:val="auto"/>
                <w:sz w:val="24"/>
                <w:highlight w:val="none"/>
              </w:rPr>
            </w:pPr>
          </w:p>
          <w:p w14:paraId="0DA39041">
            <w:pPr>
              <w:spacing w:line="276" w:lineRule="auto"/>
              <w:rPr>
                <w:rFonts w:hint="eastAsia" w:ascii="宋体" w:hAnsi="宋体" w:cs="宋体"/>
                <w:color w:val="auto"/>
                <w:sz w:val="24"/>
                <w:highlight w:val="none"/>
              </w:rPr>
            </w:pPr>
          </w:p>
        </w:tc>
        <w:tc>
          <w:tcPr>
            <w:tcW w:w="1984" w:type="dxa"/>
            <w:vAlign w:val="center"/>
          </w:tcPr>
          <w:p w14:paraId="42C3151B">
            <w:pPr>
              <w:spacing w:line="276" w:lineRule="auto"/>
              <w:rPr>
                <w:rFonts w:hint="eastAsia" w:ascii="宋体" w:hAnsi="宋体" w:cs="宋体"/>
                <w:color w:val="auto"/>
                <w:sz w:val="24"/>
                <w:highlight w:val="none"/>
              </w:rPr>
            </w:pPr>
          </w:p>
        </w:tc>
      </w:tr>
      <w:tr w14:paraId="527AC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596" w:type="dxa"/>
            <w:vAlign w:val="center"/>
          </w:tcPr>
          <w:p w14:paraId="6B187909">
            <w:pPr>
              <w:spacing w:line="276" w:lineRule="auto"/>
              <w:rPr>
                <w:rFonts w:hint="eastAsia" w:ascii="宋体" w:hAnsi="宋体" w:cs="宋体"/>
                <w:color w:val="auto"/>
                <w:sz w:val="24"/>
                <w:highlight w:val="none"/>
              </w:rPr>
            </w:pPr>
          </w:p>
        </w:tc>
        <w:tc>
          <w:tcPr>
            <w:tcW w:w="1438" w:type="dxa"/>
            <w:vAlign w:val="center"/>
          </w:tcPr>
          <w:p w14:paraId="0D28A26F">
            <w:pPr>
              <w:spacing w:line="276" w:lineRule="auto"/>
              <w:rPr>
                <w:rFonts w:hint="eastAsia" w:ascii="宋体" w:hAnsi="宋体" w:cs="宋体"/>
                <w:color w:val="auto"/>
                <w:sz w:val="24"/>
                <w:highlight w:val="none"/>
              </w:rPr>
            </w:pPr>
          </w:p>
        </w:tc>
        <w:tc>
          <w:tcPr>
            <w:tcW w:w="2552" w:type="dxa"/>
            <w:vAlign w:val="center"/>
          </w:tcPr>
          <w:p w14:paraId="2AC13F87">
            <w:pPr>
              <w:spacing w:line="276" w:lineRule="auto"/>
              <w:rPr>
                <w:rFonts w:hint="eastAsia" w:ascii="宋体" w:hAnsi="宋体" w:cs="宋体"/>
                <w:color w:val="auto"/>
                <w:sz w:val="24"/>
                <w:highlight w:val="none"/>
              </w:rPr>
            </w:pPr>
          </w:p>
        </w:tc>
        <w:tc>
          <w:tcPr>
            <w:tcW w:w="2835" w:type="dxa"/>
            <w:vAlign w:val="center"/>
          </w:tcPr>
          <w:p w14:paraId="52E70289">
            <w:pPr>
              <w:spacing w:line="276" w:lineRule="auto"/>
              <w:rPr>
                <w:rFonts w:hint="eastAsia" w:ascii="宋体" w:hAnsi="宋体" w:cs="宋体"/>
                <w:color w:val="auto"/>
                <w:sz w:val="24"/>
                <w:highlight w:val="none"/>
              </w:rPr>
            </w:pPr>
          </w:p>
        </w:tc>
        <w:tc>
          <w:tcPr>
            <w:tcW w:w="1984" w:type="dxa"/>
            <w:vAlign w:val="center"/>
          </w:tcPr>
          <w:p w14:paraId="75CBC9BA">
            <w:pPr>
              <w:spacing w:line="276" w:lineRule="auto"/>
              <w:rPr>
                <w:rFonts w:hint="eastAsia" w:ascii="宋体" w:hAnsi="宋体" w:cs="宋体"/>
                <w:color w:val="auto"/>
                <w:sz w:val="24"/>
                <w:highlight w:val="none"/>
              </w:rPr>
            </w:pPr>
          </w:p>
        </w:tc>
      </w:tr>
    </w:tbl>
    <w:p w14:paraId="052C6A40">
      <w:pPr>
        <w:spacing w:line="276" w:lineRule="auto"/>
        <w:rPr>
          <w:rFonts w:hint="eastAsia" w:ascii="宋体" w:hAnsi="宋体" w:cs="宋体"/>
          <w:color w:val="auto"/>
          <w:highlight w:val="none"/>
        </w:rPr>
      </w:pPr>
      <w:r>
        <w:rPr>
          <w:rFonts w:hint="eastAsia" w:ascii="宋体" w:hAnsi="宋体" w:cs="宋体"/>
          <w:color w:val="auto"/>
          <w:sz w:val="32"/>
          <w:szCs w:val="22"/>
          <w:highlight w:val="none"/>
        </w:rPr>
        <w:t>　</w:t>
      </w:r>
      <w:r>
        <w:rPr>
          <w:rFonts w:hint="eastAsia" w:ascii="宋体" w:hAnsi="宋体" w:cs="宋体"/>
          <w:bCs/>
          <w:color w:val="auto"/>
          <w:kern w:val="0"/>
          <w:sz w:val="24"/>
          <w:szCs w:val="22"/>
          <w:highlight w:val="none"/>
          <w:lang w:val="zh-CN"/>
        </w:rPr>
        <w:t>法定代表人或委托代理人</w:t>
      </w:r>
      <w:r>
        <w:rPr>
          <w:rFonts w:hint="eastAsia" w:ascii="宋体" w:hAnsi="宋体" w:cs="宋体"/>
          <w:color w:val="auto"/>
          <w:sz w:val="24"/>
          <w:szCs w:val="22"/>
          <w:highlight w:val="none"/>
        </w:rPr>
        <w:t>：　　　</w:t>
      </w:r>
      <w:r>
        <w:rPr>
          <w:rFonts w:hint="eastAsia" w:ascii="宋体" w:hAnsi="宋体" w:cs="宋体"/>
          <w:color w:val="auto"/>
          <w:highlight w:val="none"/>
        </w:rPr>
        <w:t>　　　　　　　　　　　　　</w:t>
      </w:r>
    </w:p>
    <w:p w14:paraId="477F6E9D">
      <w:pPr>
        <w:spacing w:line="276" w:lineRule="auto"/>
        <w:rPr>
          <w:rFonts w:hint="eastAsia" w:ascii="宋体" w:hAnsi="宋体" w:cs="宋体"/>
          <w:color w:val="auto"/>
          <w:sz w:val="24"/>
          <w:highlight w:val="none"/>
        </w:rPr>
      </w:pPr>
    </w:p>
    <w:p w14:paraId="6B162B01">
      <w:pPr>
        <w:spacing w:line="276" w:lineRule="auto"/>
        <w:rPr>
          <w:rFonts w:hint="eastAsia" w:ascii="宋体" w:hAnsi="宋体" w:cs="宋体"/>
          <w:color w:val="auto"/>
          <w:sz w:val="24"/>
          <w:highlight w:val="none"/>
        </w:rPr>
      </w:pPr>
    </w:p>
    <w:p w14:paraId="26212ABA">
      <w:pPr>
        <w:spacing w:line="276" w:lineRule="auto"/>
        <w:jc w:val="center"/>
        <w:rPr>
          <w:rFonts w:hint="eastAsia" w:ascii="宋体" w:hAnsi="宋体" w:cs="宋体"/>
          <w:color w:val="auto"/>
          <w:sz w:val="24"/>
          <w:highlight w:val="none"/>
        </w:rPr>
      </w:pPr>
      <w:r>
        <w:rPr>
          <w:rFonts w:hint="eastAsia" w:ascii="宋体" w:hAnsi="宋体" w:cs="宋体"/>
          <w:color w:val="auto"/>
          <w:sz w:val="24"/>
          <w:highlight w:val="none"/>
        </w:rPr>
        <w:t>9、资格证明文件</w:t>
      </w:r>
    </w:p>
    <w:p w14:paraId="5691585B">
      <w:pPr>
        <w:spacing w:line="276" w:lineRule="auto"/>
        <w:rPr>
          <w:rFonts w:hint="eastAsia" w:ascii="宋体" w:hAnsi="宋体" w:cs="宋体"/>
          <w:color w:val="auto"/>
          <w:sz w:val="24"/>
          <w:highlight w:val="none"/>
        </w:rPr>
      </w:pPr>
      <w:r>
        <w:rPr>
          <w:rFonts w:hint="eastAsia" w:ascii="宋体" w:hAnsi="宋体" w:cs="宋体"/>
          <w:color w:val="auto"/>
          <w:sz w:val="24"/>
          <w:highlight w:val="none"/>
        </w:rPr>
        <w:t xml:space="preserve">1、内容见“供应商须知”。 </w:t>
      </w:r>
    </w:p>
    <w:p w14:paraId="0F82C20B">
      <w:pPr>
        <w:spacing w:line="276" w:lineRule="auto"/>
        <w:rPr>
          <w:rFonts w:hint="eastAsia" w:ascii="宋体" w:hAnsi="宋体" w:cs="宋体"/>
          <w:color w:val="auto"/>
          <w:sz w:val="24"/>
          <w:highlight w:val="none"/>
        </w:rPr>
      </w:pPr>
      <w:r>
        <w:rPr>
          <w:rFonts w:hint="eastAsia" w:ascii="宋体" w:hAnsi="宋体" w:cs="宋体"/>
          <w:color w:val="auto"/>
          <w:sz w:val="24"/>
          <w:highlight w:val="none"/>
        </w:rPr>
        <w:t>2、其它一切有利于服务和供应商的证明材料。</w:t>
      </w:r>
    </w:p>
    <w:p w14:paraId="1FF53A97">
      <w:pPr>
        <w:spacing w:line="276" w:lineRule="auto"/>
        <w:rPr>
          <w:rFonts w:hint="eastAsia" w:ascii="宋体" w:hAnsi="宋体" w:cs="宋体"/>
          <w:color w:val="auto"/>
          <w:sz w:val="24"/>
          <w:highlight w:val="none"/>
        </w:rPr>
      </w:pPr>
    </w:p>
    <w:p w14:paraId="7EA4625C">
      <w:pPr>
        <w:spacing w:line="276" w:lineRule="auto"/>
        <w:rPr>
          <w:rFonts w:hint="eastAsia" w:ascii="宋体" w:hAnsi="宋体" w:cs="宋体"/>
          <w:color w:val="auto"/>
          <w:sz w:val="24"/>
          <w:highlight w:val="none"/>
        </w:rPr>
      </w:pPr>
    </w:p>
    <w:p w14:paraId="6912421B">
      <w:pPr>
        <w:spacing w:line="276" w:lineRule="auto"/>
        <w:rPr>
          <w:rFonts w:hint="eastAsia" w:ascii="宋体" w:hAnsi="宋体" w:cs="宋体"/>
          <w:color w:val="auto"/>
          <w:sz w:val="24"/>
          <w:highlight w:val="none"/>
        </w:rPr>
      </w:pPr>
    </w:p>
    <w:bookmarkEnd w:id="69"/>
    <w:p w14:paraId="71F8DE4C">
      <w:pPr>
        <w:spacing w:line="276" w:lineRule="auto"/>
        <w:jc w:val="center"/>
        <w:rPr>
          <w:rFonts w:hint="eastAsia" w:ascii="宋体" w:hAnsi="宋体" w:cs="宋体"/>
          <w:bCs/>
          <w:color w:val="auto"/>
          <w:sz w:val="24"/>
          <w:highlight w:val="none"/>
        </w:rPr>
      </w:pPr>
    </w:p>
    <w:p w14:paraId="387592A3">
      <w:pPr>
        <w:spacing w:line="276" w:lineRule="auto"/>
        <w:jc w:val="center"/>
        <w:rPr>
          <w:rFonts w:hint="eastAsia" w:ascii="宋体" w:hAnsi="宋体" w:cs="宋体"/>
          <w:bCs/>
          <w:color w:val="auto"/>
          <w:sz w:val="24"/>
          <w:highlight w:val="none"/>
        </w:rPr>
      </w:pPr>
    </w:p>
    <w:p w14:paraId="1F527EFC">
      <w:pPr>
        <w:spacing w:line="276" w:lineRule="auto"/>
        <w:jc w:val="center"/>
        <w:rPr>
          <w:rFonts w:hint="eastAsia" w:ascii="宋体" w:hAnsi="宋体" w:cs="宋体"/>
          <w:bCs/>
          <w:color w:val="auto"/>
          <w:sz w:val="24"/>
          <w:highlight w:val="none"/>
        </w:rPr>
      </w:pPr>
    </w:p>
    <w:p w14:paraId="64B0B3E5">
      <w:pPr>
        <w:pageBreakBefore/>
        <w:spacing w:line="276" w:lineRule="auto"/>
        <w:jc w:val="center"/>
        <w:rPr>
          <w:rFonts w:hint="eastAsia" w:ascii="宋体" w:hAnsi="宋体" w:cs="宋体"/>
          <w:color w:val="auto"/>
          <w:sz w:val="24"/>
          <w:highlight w:val="none"/>
        </w:rPr>
      </w:pPr>
      <w:r>
        <w:rPr>
          <w:rFonts w:hint="eastAsia" w:ascii="宋体" w:hAnsi="宋体" w:cs="宋体"/>
          <w:color w:val="auto"/>
          <w:sz w:val="24"/>
          <w:szCs w:val="24"/>
          <w:highlight w:val="none"/>
          <w:lang w:val="en-US" w:eastAsia="zh-CN"/>
        </w:rPr>
        <w:t>10</w:t>
      </w:r>
      <w:r>
        <w:rPr>
          <w:rFonts w:hint="eastAsia" w:ascii="宋体" w:hAnsi="宋体" w:cs="宋体"/>
          <w:color w:val="auto"/>
          <w:sz w:val="24"/>
          <w:szCs w:val="24"/>
          <w:highlight w:val="none"/>
        </w:rPr>
        <w:t>、（一）项目负责人基本情况表</w:t>
      </w:r>
    </w:p>
    <w:tbl>
      <w:tblPr>
        <w:tblStyle w:val="38"/>
        <w:tblW w:w="96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9"/>
        <w:gridCol w:w="511"/>
        <w:gridCol w:w="1244"/>
        <w:gridCol w:w="980"/>
        <w:gridCol w:w="801"/>
        <w:gridCol w:w="505"/>
        <w:gridCol w:w="1101"/>
        <w:gridCol w:w="651"/>
        <w:gridCol w:w="2728"/>
      </w:tblGrid>
      <w:tr w14:paraId="45B84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650" w:type="dxa"/>
            <w:gridSpan w:val="2"/>
            <w:vAlign w:val="center"/>
          </w:tcPr>
          <w:p w14:paraId="4D449A7B">
            <w:pPr>
              <w:spacing w:line="276"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姓名</w:t>
            </w:r>
          </w:p>
        </w:tc>
        <w:tc>
          <w:tcPr>
            <w:tcW w:w="1244" w:type="dxa"/>
            <w:vAlign w:val="center"/>
          </w:tcPr>
          <w:p w14:paraId="6FD937DA">
            <w:pPr>
              <w:spacing w:line="276" w:lineRule="auto"/>
              <w:ind w:firstLine="480" w:firstLineChars="200"/>
              <w:jc w:val="left"/>
              <w:rPr>
                <w:rFonts w:hint="eastAsia" w:ascii="宋体" w:hAnsi="宋体" w:cs="宋体"/>
                <w:color w:val="auto"/>
                <w:sz w:val="24"/>
                <w:szCs w:val="24"/>
                <w:highlight w:val="none"/>
              </w:rPr>
            </w:pPr>
          </w:p>
        </w:tc>
        <w:tc>
          <w:tcPr>
            <w:tcW w:w="980" w:type="dxa"/>
            <w:vAlign w:val="center"/>
          </w:tcPr>
          <w:p w14:paraId="2B03802C">
            <w:pPr>
              <w:spacing w:line="276" w:lineRule="auto"/>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年龄</w:t>
            </w:r>
          </w:p>
        </w:tc>
        <w:tc>
          <w:tcPr>
            <w:tcW w:w="1306" w:type="dxa"/>
            <w:gridSpan w:val="2"/>
            <w:vAlign w:val="center"/>
          </w:tcPr>
          <w:p w14:paraId="2130B5C1">
            <w:pPr>
              <w:spacing w:line="276" w:lineRule="auto"/>
              <w:ind w:firstLine="480" w:firstLineChars="200"/>
              <w:jc w:val="left"/>
              <w:rPr>
                <w:rFonts w:hint="eastAsia" w:ascii="宋体" w:hAnsi="宋体" w:cs="宋体"/>
                <w:color w:val="auto"/>
                <w:sz w:val="24"/>
                <w:szCs w:val="24"/>
                <w:highlight w:val="none"/>
              </w:rPr>
            </w:pPr>
          </w:p>
        </w:tc>
        <w:tc>
          <w:tcPr>
            <w:tcW w:w="1752" w:type="dxa"/>
            <w:gridSpan w:val="2"/>
            <w:vAlign w:val="center"/>
          </w:tcPr>
          <w:p w14:paraId="31B13065">
            <w:pPr>
              <w:spacing w:line="276"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学历</w:t>
            </w:r>
          </w:p>
        </w:tc>
        <w:tc>
          <w:tcPr>
            <w:tcW w:w="2728" w:type="dxa"/>
            <w:vAlign w:val="center"/>
          </w:tcPr>
          <w:p w14:paraId="6D5611D6">
            <w:pPr>
              <w:spacing w:line="276" w:lineRule="auto"/>
              <w:ind w:firstLine="480" w:firstLineChars="200"/>
              <w:jc w:val="center"/>
              <w:rPr>
                <w:rFonts w:hint="eastAsia" w:ascii="宋体" w:hAnsi="宋体" w:cs="宋体"/>
                <w:color w:val="auto"/>
                <w:sz w:val="24"/>
                <w:szCs w:val="24"/>
                <w:highlight w:val="none"/>
              </w:rPr>
            </w:pPr>
          </w:p>
        </w:tc>
      </w:tr>
      <w:tr w14:paraId="57232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50" w:type="dxa"/>
            <w:gridSpan w:val="2"/>
            <w:vAlign w:val="center"/>
          </w:tcPr>
          <w:p w14:paraId="2315EA35">
            <w:pPr>
              <w:spacing w:line="276"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毕业学校</w:t>
            </w:r>
          </w:p>
        </w:tc>
        <w:tc>
          <w:tcPr>
            <w:tcW w:w="8010" w:type="dxa"/>
            <w:gridSpan w:val="7"/>
            <w:vAlign w:val="center"/>
          </w:tcPr>
          <w:p w14:paraId="620BFD0E">
            <w:pPr>
              <w:spacing w:line="276" w:lineRule="auto"/>
              <w:ind w:firstLine="480" w:firstLineChars="20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年毕业于                 学校         专业</w:t>
            </w:r>
          </w:p>
        </w:tc>
      </w:tr>
      <w:tr w14:paraId="4D91C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jc w:val="center"/>
        </w:trPr>
        <w:tc>
          <w:tcPr>
            <w:tcW w:w="1650" w:type="dxa"/>
            <w:gridSpan w:val="2"/>
            <w:vAlign w:val="center"/>
          </w:tcPr>
          <w:p w14:paraId="304697AA">
            <w:pPr>
              <w:spacing w:line="276"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从事本专业时间</w:t>
            </w:r>
          </w:p>
        </w:tc>
        <w:tc>
          <w:tcPr>
            <w:tcW w:w="3530" w:type="dxa"/>
            <w:gridSpan w:val="4"/>
            <w:vAlign w:val="center"/>
          </w:tcPr>
          <w:p w14:paraId="0218FB49">
            <w:pPr>
              <w:spacing w:line="276" w:lineRule="auto"/>
              <w:ind w:firstLine="480" w:firstLineChars="200"/>
              <w:jc w:val="center"/>
              <w:rPr>
                <w:rFonts w:hint="eastAsia" w:ascii="宋体" w:hAnsi="宋体" w:cs="宋体"/>
                <w:color w:val="auto"/>
                <w:sz w:val="24"/>
                <w:szCs w:val="24"/>
                <w:highlight w:val="none"/>
              </w:rPr>
            </w:pPr>
          </w:p>
        </w:tc>
        <w:tc>
          <w:tcPr>
            <w:tcW w:w="1752" w:type="dxa"/>
            <w:gridSpan w:val="2"/>
            <w:vAlign w:val="center"/>
          </w:tcPr>
          <w:p w14:paraId="385F18BC">
            <w:pPr>
              <w:spacing w:line="276"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职    称</w:t>
            </w:r>
          </w:p>
        </w:tc>
        <w:tc>
          <w:tcPr>
            <w:tcW w:w="2728" w:type="dxa"/>
            <w:vAlign w:val="center"/>
          </w:tcPr>
          <w:p w14:paraId="21045BA2">
            <w:pPr>
              <w:spacing w:line="276" w:lineRule="auto"/>
              <w:ind w:firstLine="480" w:firstLineChars="200"/>
              <w:jc w:val="center"/>
              <w:rPr>
                <w:rFonts w:hint="eastAsia" w:ascii="宋体" w:hAnsi="宋体" w:cs="宋体"/>
                <w:color w:val="auto"/>
                <w:sz w:val="24"/>
                <w:szCs w:val="24"/>
                <w:highlight w:val="none"/>
              </w:rPr>
            </w:pPr>
          </w:p>
        </w:tc>
      </w:tr>
      <w:tr w14:paraId="64542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1650" w:type="dxa"/>
            <w:gridSpan w:val="2"/>
            <w:vAlign w:val="center"/>
          </w:tcPr>
          <w:p w14:paraId="42BE6783">
            <w:pPr>
              <w:spacing w:line="276"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在本项目中担任任务</w:t>
            </w:r>
          </w:p>
        </w:tc>
        <w:tc>
          <w:tcPr>
            <w:tcW w:w="8010" w:type="dxa"/>
            <w:gridSpan w:val="7"/>
            <w:vAlign w:val="center"/>
          </w:tcPr>
          <w:p w14:paraId="45DB52A2">
            <w:pPr>
              <w:spacing w:line="276" w:lineRule="auto"/>
              <w:ind w:firstLine="480" w:firstLineChars="200"/>
              <w:jc w:val="center"/>
              <w:rPr>
                <w:rFonts w:hint="eastAsia" w:ascii="宋体" w:hAnsi="宋体" w:cs="宋体"/>
                <w:color w:val="auto"/>
                <w:sz w:val="24"/>
                <w:szCs w:val="24"/>
                <w:highlight w:val="none"/>
              </w:rPr>
            </w:pPr>
          </w:p>
        </w:tc>
      </w:tr>
      <w:tr w14:paraId="2A0CB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9660" w:type="dxa"/>
            <w:gridSpan w:val="9"/>
            <w:vAlign w:val="center"/>
          </w:tcPr>
          <w:p w14:paraId="6833DE5E">
            <w:pPr>
              <w:spacing w:line="276" w:lineRule="auto"/>
              <w:ind w:firstLine="480" w:firstLineChars="20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本人主要成果</w:t>
            </w:r>
          </w:p>
        </w:tc>
      </w:tr>
      <w:tr w14:paraId="3BA3C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39" w:type="dxa"/>
            <w:vAlign w:val="center"/>
          </w:tcPr>
          <w:p w14:paraId="388104B1">
            <w:pPr>
              <w:spacing w:line="276"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时间</w:t>
            </w:r>
          </w:p>
        </w:tc>
        <w:tc>
          <w:tcPr>
            <w:tcW w:w="3536" w:type="dxa"/>
            <w:gridSpan w:val="4"/>
            <w:vAlign w:val="center"/>
          </w:tcPr>
          <w:p w14:paraId="74337E2E">
            <w:pPr>
              <w:spacing w:line="276" w:lineRule="auto"/>
              <w:ind w:firstLine="480" w:firstLineChars="20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参加过的类似项目</w:t>
            </w:r>
          </w:p>
        </w:tc>
        <w:tc>
          <w:tcPr>
            <w:tcW w:w="1606" w:type="dxa"/>
            <w:gridSpan w:val="2"/>
            <w:vAlign w:val="center"/>
          </w:tcPr>
          <w:p w14:paraId="758C1823">
            <w:pPr>
              <w:spacing w:line="276"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担任职务</w:t>
            </w:r>
          </w:p>
        </w:tc>
        <w:tc>
          <w:tcPr>
            <w:tcW w:w="3379" w:type="dxa"/>
            <w:gridSpan w:val="2"/>
            <w:vAlign w:val="center"/>
          </w:tcPr>
          <w:p w14:paraId="589823EB">
            <w:pPr>
              <w:spacing w:line="276"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采购人及联系电话</w:t>
            </w:r>
          </w:p>
        </w:tc>
      </w:tr>
      <w:tr w14:paraId="07D0B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139" w:type="dxa"/>
            <w:vAlign w:val="center"/>
          </w:tcPr>
          <w:p w14:paraId="25929C90">
            <w:pPr>
              <w:spacing w:line="276" w:lineRule="auto"/>
              <w:jc w:val="center"/>
              <w:rPr>
                <w:rFonts w:hint="eastAsia" w:ascii="宋体" w:hAnsi="宋体" w:cs="宋体"/>
                <w:color w:val="auto"/>
                <w:sz w:val="24"/>
                <w:szCs w:val="24"/>
                <w:highlight w:val="none"/>
              </w:rPr>
            </w:pPr>
          </w:p>
        </w:tc>
        <w:tc>
          <w:tcPr>
            <w:tcW w:w="3536" w:type="dxa"/>
            <w:gridSpan w:val="4"/>
            <w:vAlign w:val="center"/>
          </w:tcPr>
          <w:p w14:paraId="4E69BDCF">
            <w:pPr>
              <w:spacing w:line="276" w:lineRule="auto"/>
              <w:jc w:val="center"/>
              <w:rPr>
                <w:rFonts w:hint="eastAsia" w:ascii="宋体" w:hAnsi="宋体" w:cs="宋体"/>
                <w:color w:val="auto"/>
                <w:sz w:val="24"/>
                <w:szCs w:val="24"/>
                <w:highlight w:val="none"/>
              </w:rPr>
            </w:pPr>
          </w:p>
        </w:tc>
        <w:tc>
          <w:tcPr>
            <w:tcW w:w="1606" w:type="dxa"/>
            <w:gridSpan w:val="2"/>
            <w:vAlign w:val="center"/>
          </w:tcPr>
          <w:p w14:paraId="676B2927">
            <w:pPr>
              <w:spacing w:line="276" w:lineRule="auto"/>
              <w:jc w:val="center"/>
              <w:rPr>
                <w:rFonts w:hint="eastAsia" w:ascii="宋体" w:hAnsi="宋体" w:cs="宋体"/>
                <w:color w:val="auto"/>
                <w:sz w:val="24"/>
                <w:szCs w:val="24"/>
                <w:highlight w:val="none"/>
              </w:rPr>
            </w:pPr>
          </w:p>
        </w:tc>
        <w:tc>
          <w:tcPr>
            <w:tcW w:w="3379" w:type="dxa"/>
            <w:gridSpan w:val="2"/>
            <w:vAlign w:val="center"/>
          </w:tcPr>
          <w:p w14:paraId="563D3C6B">
            <w:pPr>
              <w:spacing w:line="276" w:lineRule="auto"/>
              <w:jc w:val="center"/>
              <w:rPr>
                <w:rFonts w:hint="eastAsia" w:ascii="宋体" w:hAnsi="宋体" w:cs="宋体"/>
                <w:color w:val="auto"/>
                <w:sz w:val="24"/>
                <w:szCs w:val="24"/>
                <w:highlight w:val="none"/>
              </w:rPr>
            </w:pPr>
          </w:p>
        </w:tc>
      </w:tr>
      <w:tr w14:paraId="4D633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139" w:type="dxa"/>
            <w:vAlign w:val="center"/>
          </w:tcPr>
          <w:p w14:paraId="22A3FF7A">
            <w:pPr>
              <w:spacing w:line="276" w:lineRule="auto"/>
              <w:jc w:val="center"/>
              <w:rPr>
                <w:rFonts w:hint="eastAsia" w:ascii="宋体" w:hAnsi="宋体" w:cs="宋体"/>
                <w:color w:val="auto"/>
                <w:sz w:val="24"/>
                <w:szCs w:val="24"/>
                <w:highlight w:val="none"/>
              </w:rPr>
            </w:pPr>
          </w:p>
        </w:tc>
        <w:tc>
          <w:tcPr>
            <w:tcW w:w="3536" w:type="dxa"/>
            <w:gridSpan w:val="4"/>
            <w:vAlign w:val="center"/>
          </w:tcPr>
          <w:p w14:paraId="716F12D2">
            <w:pPr>
              <w:spacing w:line="276" w:lineRule="auto"/>
              <w:jc w:val="center"/>
              <w:rPr>
                <w:rFonts w:hint="eastAsia" w:ascii="宋体" w:hAnsi="宋体" w:cs="宋体"/>
                <w:color w:val="auto"/>
                <w:sz w:val="24"/>
                <w:szCs w:val="24"/>
                <w:highlight w:val="none"/>
              </w:rPr>
            </w:pPr>
          </w:p>
        </w:tc>
        <w:tc>
          <w:tcPr>
            <w:tcW w:w="1606" w:type="dxa"/>
            <w:gridSpan w:val="2"/>
            <w:vAlign w:val="center"/>
          </w:tcPr>
          <w:p w14:paraId="754FDCB2">
            <w:pPr>
              <w:spacing w:line="276" w:lineRule="auto"/>
              <w:jc w:val="center"/>
              <w:rPr>
                <w:rFonts w:hint="eastAsia" w:ascii="宋体" w:hAnsi="宋体" w:cs="宋体"/>
                <w:color w:val="auto"/>
                <w:sz w:val="24"/>
                <w:szCs w:val="24"/>
                <w:highlight w:val="none"/>
              </w:rPr>
            </w:pPr>
          </w:p>
        </w:tc>
        <w:tc>
          <w:tcPr>
            <w:tcW w:w="3379" w:type="dxa"/>
            <w:gridSpan w:val="2"/>
            <w:vAlign w:val="center"/>
          </w:tcPr>
          <w:p w14:paraId="57468701">
            <w:pPr>
              <w:spacing w:line="276" w:lineRule="auto"/>
              <w:jc w:val="center"/>
              <w:rPr>
                <w:rFonts w:hint="eastAsia" w:ascii="宋体" w:hAnsi="宋体" w:cs="宋体"/>
                <w:color w:val="auto"/>
                <w:sz w:val="24"/>
                <w:szCs w:val="24"/>
                <w:highlight w:val="none"/>
              </w:rPr>
            </w:pPr>
          </w:p>
        </w:tc>
      </w:tr>
      <w:tr w14:paraId="6327D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6" w:hRule="atLeast"/>
          <w:jc w:val="center"/>
        </w:trPr>
        <w:tc>
          <w:tcPr>
            <w:tcW w:w="1139" w:type="dxa"/>
            <w:vAlign w:val="center"/>
          </w:tcPr>
          <w:p w14:paraId="07296847">
            <w:pPr>
              <w:spacing w:line="276" w:lineRule="auto"/>
              <w:jc w:val="center"/>
              <w:rPr>
                <w:rFonts w:hint="eastAsia" w:ascii="宋体" w:hAnsi="宋体" w:cs="宋体"/>
                <w:color w:val="auto"/>
                <w:sz w:val="24"/>
                <w:szCs w:val="24"/>
                <w:highlight w:val="none"/>
              </w:rPr>
            </w:pPr>
          </w:p>
        </w:tc>
        <w:tc>
          <w:tcPr>
            <w:tcW w:w="3536" w:type="dxa"/>
            <w:gridSpan w:val="4"/>
            <w:vAlign w:val="center"/>
          </w:tcPr>
          <w:p w14:paraId="4D64CA29">
            <w:pPr>
              <w:spacing w:line="276" w:lineRule="auto"/>
              <w:jc w:val="center"/>
              <w:rPr>
                <w:rFonts w:hint="eastAsia" w:ascii="宋体" w:hAnsi="宋体" w:cs="宋体"/>
                <w:color w:val="auto"/>
                <w:sz w:val="24"/>
                <w:szCs w:val="24"/>
                <w:highlight w:val="none"/>
              </w:rPr>
            </w:pPr>
          </w:p>
        </w:tc>
        <w:tc>
          <w:tcPr>
            <w:tcW w:w="1606" w:type="dxa"/>
            <w:gridSpan w:val="2"/>
            <w:vAlign w:val="center"/>
          </w:tcPr>
          <w:p w14:paraId="376232E2">
            <w:pPr>
              <w:spacing w:line="276" w:lineRule="auto"/>
              <w:jc w:val="center"/>
              <w:rPr>
                <w:rFonts w:hint="eastAsia" w:ascii="宋体" w:hAnsi="宋体" w:cs="宋体"/>
                <w:color w:val="auto"/>
                <w:sz w:val="24"/>
                <w:szCs w:val="24"/>
                <w:highlight w:val="none"/>
              </w:rPr>
            </w:pPr>
          </w:p>
        </w:tc>
        <w:tc>
          <w:tcPr>
            <w:tcW w:w="3379" w:type="dxa"/>
            <w:gridSpan w:val="2"/>
            <w:vAlign w:val="center"/>
          </w:tcPr>
          <w:p w14:paraId="35EC7CF3">
            <w:pPr>
              <w:spacing w:line="276" w:lineRule="auto"/>
              <w:jc w:val="center"/>
              <w:rPr>
                <w:rFonts w:hint="eastAsia" w:ascii="宋体" w:hAnsi="宋体" w:cs="宋体"/>
                <w:color w:val="auto"/>
                <w:sz w:val="24"/>
                <w:szCs w:val="24"/>
                <w:highlight w:val="none"/>
              </w:rPr>
            </w:pPr>
          </w:p>
        </w:tc>
      </w:tr>
      <w:tr w14:paraId="2E316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139" w:type="dxa"/>
            <w:vAlign w:val="center"/>
          </w:tcPr>
          <w:p w14:paraId="1D87CF50">
            <w:pPr>
              <w:spacing w:line="276" w:lineRule="auto"/>
              <w:jc w:val="center"/>
              <w:rPr>
                <w:rFonts w:hint="eastAsia" w:ascii="宋体" w:hAnsi="宋体" w:cs="宋体"/>
                <w:color w:val="auto"/>
                <w:sz w:val="24"/>
                <w:szCs w:val="24"/>
                <w:highlight w:val="none"/>
              </w:rPr>
            </w:pPr>
          </w:p>
        </w:tc>
        <w:tc>
          <w:tcPr>
            <w:tcW w:w="3536" w:type="dxa"/>
            <w:gridSpan w:val="4"/>
            <w:vAlign w:val="center"/>
          </w:tcPr>
          <w:p w14:paraId="3F07FA4D">
            <w:pPr>
              <w:spacing w:line="276" w:lineRule="auto"/>
              <w:jc w:val="center"/>
              <w:rPr>
                <w:rFonts w:hint="eastAsia" w:ascii="宋体" w:hAnsi="宋体" w:cs="宋体"/>
                <w:color w:val="auto"/>
                <w:sz w:val="24"/>
                <w:szCs w:val="24"/>
                <w:highlight w:val="none"/>
              </w:rPr>
            </w:pPr>
          </w:p>
        </w:tc>
        <w:tc>
          <w:tcPr>
            <w:tcW w:w="1606" w:type="dxa"/>
            <w:gridSpan w:val="2"/>
            <w:vAlign w:val="center"/>
          </w:tcPr>
          <w:p w14:paraId="38D358DA">
            <w:pPr>
              <w:spacing w:line="276" w:lineRule="auto"/>
              <w:jc w:val="center"/>
              <w:rPr>
                <w:rFonts w:hint="eastAsia" w:ascii="宋体" w:hAnsi="宋体" w:cs="宋体"/>
                <w:color w:val="auto"/>
                <w:sz w:val="24"/>
                <w:szCs w:val="24"/>
                <w:highlight w:val="none"/>
              </w:rPr>
            </w:pPr>
          </w:p>
        </w:tc>
        <w:tc>
          <w:tcPr>
            <w:tcW w:w="3379" w:type="dxa"/>
            <w:gridSpan w:val="2"/>
            <w:vAlign w:val="center"/>
          </w:tcPr>
          <w:p w14:paraId="77F5092F">
            <w:pPr>
              <w:spacing w:line="276" w:lineRule="auto"/>
              <w:jc w:val="center"/>
              <w:rPr>
                <w:rFonts w:hint="eastAsia" w:ascii="宋体" w:hAnsi="宋体" w:cs="宋体"/>
                <w:color w:val="auto"/>
                <w:sz w:val="24"/>
                <w:szCs w:val="24"/>
                <w:highlight w:val="none"/>
              </w:rPr>
            </w:pPr>
          </w:p>
        </w:tc>
      </w:tr>
      <w:tr w14:paraId="28228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139" w:type="dxa"/>
            <w:vAlign w:val="center"/>
          </w:tcPr>
          <w:p w14:paraId="1FEC97CE">
            <w:pPr>
              <w:spacing w:line="276" w:lineRule="auto"/>
              <w:jc w:val="center"/>
              <w:rPr>
                <w:rFonts w:hint="eastAsia" w:ascii="宋体" w:hAnsi="宋体" w:cs="宋体"/>
                <w:color w:val="auto"/>
                <w:sz w:val="24"/>
                <w:szCs w:val="24"/>
                <w:highlight w:val="none"/>
              </w:rPr>
            </w:pPr>
          </w:p>
        </w:tc>
        <w:tc>
          <w:tcPr>
            <w:tcW w:w="3536" w:type="dxa"/>
            <w:gridSpan w:val="4"/>
            <w:vAlign w:val="center"/>
          </w:tcPr>
          <w:p w14:paraId="6BFB5109">
            <w:pPr>
              <w:spacing w:line="276" w:lineRule="auto"/>
              <w:jc w:val="center"/>
              <w:rPr>
                <w:rFonts w:hint="eastAsia" w:ascii="宋体" w:hAnsi="宋体" w:cs="宋体"/>
                <w:color w:val="auto"/>
                <w:sz w:val="24"/>
                <w:szCs w:val="24"/>
                <w:highlight w:val="none"/>
              </w:rPr>
            </w:pPr>
          </w:p>
        </w:tc>
        <w:tc>
          <w:tcPr>
            <w:tcW w:w="1606" w:type="dxa"/>
            <w:gridSpan w:val="2"/>
            <w:vAlign w:val="center"/>
          </w:tcPr>
          <w:p w14:paraId="335ABA23">
            <w:pPr>
              <w:spacing w:line="276" w:lineRule="auto"/>
              <w:jc w:val="center"/>
              <w:rPr>
                <w:rFonts w:hint="eastAsia" w:ascii="宋体" w:hAnsi="宋体" w:cs="宋体"/>
                <w:color w:val="auto"/>
                <w:sz w:val="24"/>
                <w:szCs w:val="24"/>
                <w:highlight w:val="none"/>
              </w:rPr>
            </w:pPr>
          </w:p>
        </w:tc>
        <w:tc>
          <w:tcPr>
            <w:tcW w:w="3379" w:type="dxa"/>
            <w:gridSpan w:val="2"/>
            <w:vAlign w:val="center"/>
          </w:tcPr>
          <w:p w14:paraId="611F3C5E">
            <w:pPr>
              <w:spacing w:line="276" w:lineRule="auto"/>
              <w:jc w:val="center"/>
              <w:rPr>
                <w:rFonts w:hint="eastAsia" w:ascii="宋体" w:hAnsi="宋体" w:cs="宋体"/>
                <w:color w:val="auto"/>
                <w:sz w:val="24"/>
                <w:szCs w:val="24"/>
                <w:highlight w:val="none"/>
              </w:rPr>
            </w:pPr>
          </w:p>
        </w:tc>
      </w:tr>
      <w:tr w14:paraId="313C4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139" w:type="dxa"/>
            <w:vAlign w:val="center"/>
          </w:tcPr>
          <w:p w14:paraId="290D8B8B">
            <w:pPr>
              <w:spacing w:line="276" w:lineRule="auto"/>
              <w:jc w:val="center"/>
              <w:rPr>
                <w:rFonts w:hint="eastAsia" w:ascii="宋体" w:hAnsi="宋体" w:cs="宋体"/>
                <w:color w:val="auto"/>
                <w:sz w:val="24"/>
                <w:szCs w:val="24"/>
                <w:highlight w:val="none"/>
              </w:rPr>
            </w:pPr>
          </w:p>
        </w:tc>
        <w:tc>
          <w:tcPr>
            <w:tcW w:w="3536" w:type="dxa"/>
            <w:gridSpan w:val="4"/>
            <w:vAlign w:val="center"/>
          </w:tcPr>
          <w:p w14:paraId="2284004D">
            <w:pPr>
              <w:spacing w:line="276" w:lineRule="auto"/>
              <w:jc w:val="center"/>
              <w:rPr>
                <w:rFonts w:hint="eastAsia" w:ascii="宋体" w:hAnsi="宋体" w:cs="宋体"/>
                <w:color w:val="auto"/>
                <w:sz w:val="24"/>
                <w:szCs w:val="24"/>
                <w:highlight w:val="none"/>
              </w:rPr>
            </w:pPr>
          </w:p>
        </w:tc>
        <w:tc>
          <w:tcPr>
            <w:tcW w:w="1606" w:type="dxa"/>
            <w:gridSpan w:val="2"/>
            <w:vAlign w:val="center"/>
          </w:tcPr>
          <w:p w14:paraId="22094AFC">
            <w:pPr>
              <w:spacing w:line="276" w:lineRule="auto"/>
              <w:jc w:val="center"/>
              <w:rPr>
                <w:rFonts w:hint="eastAsia" w:ascii="宋体" w:hAnsi="宋体" w:cs="宋体"/>
                <w:color w:val="auto"/>
                <w:sz w:val="24"/>
                <w:szCs w:val="24"/>
                <w:highlight w:val="none"/>
              </w:rPr>
            </w:pPr>
          </w:p>
        </w:tc>
        <w:tc>
          <w:tcPr>
            <w:tcW w:w="3379" w:type="dxa"/>
            <w:gridSpan w:val="2"/>
            <w:vAlign w:val="center"/>
          </w:tcPr>
          <w:p w14:paraId="4D6C399F">
            <w:pPr>
              <w:spacing w:line="276" w:lineRule="auto"/>
              <w:jc w:val="center"/>
              <w:rPr>
                <w:rFonts w:hint="eastAsia" w:ascii="宋体" w:hAnsi="宋体" w:cs="宋体"/>
                <w:color w:val="auto"/>
                <w:sz w:val="24"/>
                <w:szCs w:val="24"/>
                <w:highlight w:val="none"/>
              </w:rPr>
            </w:pPr>
          </w:p>
        </w:tc>
      </w:tr>
      <w:tr w14:paraId="52A6C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139" w:type="dxa"/>
            <w:vAlign w:val="center"/>
          </w:tcPr>
          <w:p w14:paraId="21C8BC20">
            <w:pPr>
              <w:spacing w:line="276" w:lineRule="auto"/>
              <w:jc w:val="center"/>
              <w:rPr>
                <w:rFonts w:hint="eastAsia" w:ascii="宋体" w:hAnsi="宋体" w:cs="宋体"/>
                <w:color w:val="auto"/>
                <w:sz w:val="24"/>
                <w:szCs w:val="24"/>
                <w:highlight w:val="none"/>
              </w:rPr>
            </w:pPr>
          </w:p>
        </w:tc>
        <w:tc>
          <w:tcPr>
            <w:tcW w:w="3536" w:type="dxa"/>
            <w:gridSpan w:val="4"/>
            <w:vAlign w:val="center"/>
          </w:tcPr>
          <w:p w14:paraId="2A5F31E0">
            <w:pPr>
              <w:spacing w:line="276" w:lineRule="auto"/>
              <w:jc w:val="center"/>
              <w:rPr>
                <w:rFonts w:hint="eastAsia" w:ascii="宋体" w:hAnsi="宋体" w:cs="宋体"/>
                <w:color w:val="auto"/>
                <w:sz w:val="24"/>
                <w:szCs w:val="24"/>
                <w:highlight w:val="none"/>
              </w:rPr>
            </w:pPr>
          </w:p>
        </w:tc>
        <w:tc>
          <w:tcPr>
            <w:tcW w:w="1606" w:type="dxa"/>
            <w:gridSpan w:val="2"/>
            <w:vAlign w:val="center"/>
          </w:tcPr>
          <w:p w14:paraId="42528E85">
            <w:pPr>
              <w:spacing w:line="276" w:lineRule="auto"/>
              <w:jc w:val="center"/>
              <w:rPr>
                <w:rFonts w:hint="eastAsia" w:ascii="宋体" w:hAnsi="宋体" w:cs="宋体"/>
                <w:color w:val="auto"/>
                <w:sz w:val="24"/>
                <w:szCs w:val="24"/>
                <w:highlight w:val="none"/>
              </w:rPr>
            </w:pPr>
          </w:p>
        </w:tc>
        <w:tc>
          <w:tcPr>
            <w:tcW w:w="3379" w:type="dxa"/>
            <w:gridSpan w:val="2"/>
            <w:vAlign w:val="center"/>
          </w:tcPr>
          <w:p w14:paraId="4E0F8935">
            <w:pPr>
              <w:spacing w:line="276" w:lineRule="auto"/>
              <w:jc w:val="center"/>
              <w:rPr>
                <w:rFonts w:hint="eastAsia" w:ascii="宋体" w:hAnsi="宋体" w:cs="宋体"/>
                <w:color w:val="auto"/>
                <w:sz w:val="24"/>
                <w:szCs w:val="24"/>
                <w:highlight w:val="none"/>
              </w:rPr>
            </w:pPr>
          </w:p>
        </w:tc>
      </w:tr>
      <w:tr w14:paraId="34507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6" w:hRule="atLeast"/>
          <w:jc w:val="center"/>
        </w:trPr>
        <w:tc>
          <w:tcPr>
            <w:tcW w:w="1139" w:type="dxa"/>
            <w:vAlign w:val="center"/>
          </w:tcPr>
          <w:p w14:paraId="50F10919">
            <w:pPr>
              <w:spacing w:line="276" w:lineRule="auto"/>
              <w:jc w:val="center"/>
              <w:rPr>
                <w:rFonts w:hint="eastAsia" w:ascii="宋体" w:hAnsi="宋体" w:cs="宋体"/>
                <w:color w:val="auto"/>
                <w:sz w:val="24"/>
                <w:szCs w:val="24"/>
                <w:highlight w:val="none"/>
              </w:rPr>
            </w:pPr>
          </w:p>
        </w:tc>
        <w:tc>
          <w:tcPr>
            <w:tcW w:w="3536" w:type="dxa"/>
            <w:gridSpan w:val="4"/>
            <w:vAlign w:val="center"/>
          </w:tcPr>
          <w:p w14:paraId="0B44D57A">
            <w:pPr>
              <w:spacing w:line="276" w:lineRule="auto"/>
              <w:jc w:val="center"/>
              <w:rPr>
                <w:rFonts w:hint="eastAsia" w:ascii="宋体" w:hAnsi="宋体" w:cs="宋体"/>
                <w:color w:val="auto"/>
                <w:sz w:val="24"/>
                <w:szCs w:val="24"/>
                <w:highlight w:val="none"/>
              </w:rPr>
            </w:pPr>
          </w:p>
        </w:tc>
        <w:tc>
          <w:tcPr>
            <w:tcW w:w="1606" w:type="dxa"/>
            <w:gridSpan w:val="2"/>
            <w:vAlign w:val="center"/>
          </w:tcPr>
          <w:p w14:paraId="20F79CBB">
            <w:pPr>
              <w:spacing w:line="276" w:lineRule="auto"/>
              <w:jc w:val="center"/>
              <w:rPr>
                <w:rFonts w:hint="eastAsia" w:ascii="宋体" w:hAnsi="宋体" w:cs="宋体"/>
                <w:color w:val="auto"/>
                <w:sz w:val="24"/>
                <w:szCs w:val="24"/>
                <w:highlight w:val="none"/>
              </w:rPr>
            </w:pPr>
          </w:p>
        </w:tc>
        <w:tc>
          <w:tcPr>
            <w:tcW w:w="3379" w:type="dxa"/>
            <w:gridSpan w:val="2"/>
            <w:vAlign w:val="center"/>
          </w:tcPr>
          <w:p w14:paraId="453CE600">
            <w:pPr>
              <w:spacing w:line="276" w:lineRule="auto"/>
              <w:jc w:val="center"/>
              <w:rPr>
                <w:rFonts w:hint="eastAsia" w:ascii="宋体" w:hAnsi="宋体" w:cs="宋体"/>
                <w:color w:val="auto"/>
                <w:sz w:val="24"/>
                <w:szCs w:val="24"/>
                <w:highlight w:val="none"/>
              </w:rPr>
            </w:pPr>
          </w:p>
        </w:tc>
      </w:tr>
      <w:tr w14:paraId="5A11C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139" w:type="dxa"/>
            <w:vAlign w:val="center"/>
          </w:tcPr>
          <w:p w14:paraId="018337ED">
            <w:pPr>
              <w:spacing w:line="276" w:lineRule="auto"/>
              <w:jc w:val="center"/>
              <w:rPr>
                <w:rFonts w:hint="eastAsia" w:ascii="宋体" w:hAnsi="宋体" w:cs="宋体"/>
                <w:color w:val="auto"/>
                <w:sz w:val="24"/>
                <w:szCs w:val="24"/>
                <w:highlight w:val="none"/>
              </w:rPr>
            </w:pPr>
          </w:p>
        </w:tc>
        <w:tc>
          <w:tcPr>
            <w:tcW w:w="3536" w:type="dxa"/>
            <w:gridSpan w:val="4"/>
            <w:vAlign w:val="center"/>
          </w:tcPr>
          <w:p w14:paraId="5D904C7A">
            <w:pPr>
              <w:spacing w:line="276" w:lineRule="auto"/>
              <w:jc w:val="center"/>
              <w:rPr>
                <w:rFonts w:hint="eastAsia" w:ascii="宋体" w:hAnsi="宋体" w:cs="宋体"/>
                <w:color w:val="auto"/>
                <w:sz w:val="24"/>
                <w:szCs w:val="24"/>
                <w:highlight w:val="none"/>
              </w:rPr>
            </w:pPr>
          </w:p>
        </w:tc>
        <w:tc>
          <w:tcPr>
            <w:tcW w:w="1606" w:type="dxa"/>
            <w:gridSpan w:val="2"/>
            <w:vAlign w:val="center"/>
          </w:tcPr>
          <w:p w14:paraId="7F8E29DC">
            <w:pPr>
              <w:spacing w:line="276" w:lineRule="auto"/>
              <w:jc w:val="center"/>
              <w:rPr>
                <w:rFonts w:hint="eastAsia" w:ascii="宋体" w:hAnsi="宋体" w:cs="宋体"/>
                <w:color w:val="auto"/>
                <w:sz w:val="24"/>
                <w:szCs w:val="24"/>
                <w:highlight w:val="none"/>
              </w:rPr>
            </w:pPr>
          </w:p>
        </w:tc>
        <w:tc>
          <w:tcPr>
            <w:tcW w:w="3379" w:type="dxa"/>
            <w:gridSpan w:val="2"/>
            <w:vAlign w:val="center"/>
          </w:tcPr>
          <w:p w14:paraId="6CA98CE6">
            <w:pPr>
              <w:spacing w:line="276" w:lineRule="auto"/>
              <w:jc w:val="center"/>
              <w:rPr>
                <w:rFonts w:hint="eastAsia" w:ascii="宋体" w:hAnsi="宋体" w:cs="宋体"/>
                <w:color w:val="auto"/>
                <w:sz w:val="24"/>
                <w:szCs w:val="24"/>
                <w:highlight w:val="none"/>
              </w:rPr>
            </w:pPr>
          </w:p>
        </w:tc>
      </w:tr>
      <w:tr w14:paraId="4CAE9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6" w:hRule="atLeast"/>
          <w:jc w:val="center"/>
        </w:trPr>
        <w:tc>
          <w:tcPr>
            <w:tcW w:w="1139" w:type="dxa"/>
            <w:vAlign w:val="center"/>
          </w:tcPr>
          <w:p w14:paraId="3997F4E4">
            <w:pPr>
              <w:spacing w:line="276" w:lineRule="auto"/>
              <w:jc w:val="center"/>
              <w:rPr>
                <w:rFonts w:hint="eastAsia" w:ascii="宋体" w:hAnsi="宋体" w:cs="宋体"/>
                <w:color w:val="auto"/>
                <w:sz w:val="24"/>
                <w:szCs w:val="24"/>
                <w:highlight w:val="none"/>
              </w:rPr>
            </w:pPr>
          </w:p>
        </w:tc>
        <w:tc>
          <w:tcPr>
            <w:tcW w:w="3536" w:type="dxa"/>
            <w:gridSpan w:val="4"/>
            <w:vAlign w:val="center"/>
          </w:tcPr>
          <w:p w14:paraId="792831D0">
            <w:pPr>
              <w:spacing w:line="276" w:lineRule="auto"/>
              <w:jc w:val="center"/>
              <w:rPr>
                <w:rFonts w:hint="eastAsia" w:ascii="宋体" w:hAnsi="宋体" w:cs="宋体"/>
                <w:color w:val="auto"/>
                <w:sz w:val="24"/>
                <w:szCs w:val="24"/>
                <w:highlight w:val="none"/>
              </w:rPr>
            </w:pPr>
          </w:p>
        </w:tc>
        <w:tc>
          <w:tcPr>
            <w:tcW w:w="1606" w:type="dxa"/>
            <w:gridSpan w:val="2"/>
            <w:vAlign w:val="center"/>
          </w:tcPr>
          <w:p w14:paraId="01026D96">
            <w:pPr>
              <w:spacing w:line="276" w:lineRule="auto"/>
              <w:jc w:val="center"/>
              <w:rPr>
                <w:rFonts w:hint="eastAsia" w:ascii="宋体" w:hAnsi="宋体" w:cs="宋体"/>
                <w:color w:val="auto"/>
                <w:sz w:val="24"/>
                <w:szCs w:val="24"/>
                <w:highlight w:val="none"/>
              </w:rPr>
            </w:pPr>
          </w:p>
        </w:tc>
        <w:tc>
          <w:tcPr>
            <w:tcW w:w="3379" w:type="dxa"/>
            <w:gridSpan w:val="2"/>
            <w:vAlign w:val="center"/>
          </w:tcPr>
          <w:p w14:paraId="336C2548">
            <w:pPr>
              <w:spacing w:line="276" w:lineRule="auto"/>
              <w:jc w:val="center"/>
              <w:rPr>
                <w:rFonts w:hint="eastAsia" w:ascii="宋体" w:hAnsi="宋体" w:cs="宋体"/>
                <w:color w:val="auto"/>
                <w:sz w:val="24"/>
                <w:szCs w:val="24"/>
                <w:highlight w:val="none"/>
              </w:rPr>
            </w:pPr>
          </w:p>
        </w:tc>
      </w:tr>
      <w:tr w14:paraId="0ABDC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6" w:hRule="atLeast"/>
          <w:jc w:val="center"/>
        </w:trPr>
        <w:tc>
          <w:tcPr>
            <w:tcW w:w="1139" w:type="dxa"/>
            <w:vAlign w:val="center"/>
          </w:tcPr>
          <w:p w14:paraId="52FAF4E3">
            <w:pPr>
              <w:spacing w:line="276" w:lineRule="auto"/>
              <w:jc w:val="center"/>
              <w:rPr>
                <w:rFonts w:hint="eastAsia" w:ascii="宋体" w:hAnsi="宋体" w:cs="宋体"/>
                <w:color w:val="auto"/>
                <w:sz w:val="24"/>
                <w:szCs w:val="24"/>
                <w:highlight w:val="none"/>
              </w:rPr>
            </w:pPr>
          </w:p>
        </w:tc>
        <w:tc>
          <w:tcPr>
            <w:tcW w:w="3536" w:type="dxa"/>
            <w:gridSpan w:val="4"/>
            <w:vAlign w:val="center"/>
          </w:tcPr>
          <w:p w14:paraId="1322EA5F">
            <w:pPr>
              <w:spacing w:line="276" w:lineRule="auto"/>
              <w:jc w:val="center"/>
              <w:rPr>
                <w:rFonts w:hint="eastAsia" w:ascii="宋体" w:hAnsi="宋体" w:cs="宋体"/>
                <w:color w:val="auto"/>
                <w:sz w:val="24"/>
                <w:szCs w:val="24"/>
                <w:highlight w:val="none"/>
              </w:rPr>
            </w:pPr>
          </w:p>
        </w:tc>
        <w:tc>
          <w:tcPr>
            <w:tcW w:w="1606" w:type="dxa"/>
            <w:gridSpan w:val="2"/>
            <w:vAlign w:val="center"/>
          </w:tcPr>
          <w:p w14:paraId="1BE95A40">
            <w:pPr>
              <w:spacing w:line="276" w:lineRule="auto"/>
              <w:jc w:val="center"/>
              <w:rPr>
                <w:rFonts w:hint="eastAsia" w:ascii="宋体" w:hAnsi="宋体" w:cs="宋体"/>
                <w:color w:val="auto"/>
                <w:sz w:val="24"/>
                <w:szCs w:val="24"/>
                <w:highlight w:val="none"/>
              </w:rPr>
            </w:pPr>
          </w:p>
        </w:tc>
        <w:tc>
          <w:tcPr>
            <w:tcW w:w="3379" w:type="dxa"/>
            <w:gridSpan w:val="2"/>
            <w:vAlign w:val="center"/>
          </w:tcPr>
          <w:p w14:paraId="49604D67">
            <w:pPr>
              <w:spacing w:line="276" w:lineRule="auto"/>
              <w:jc w:val="center"/>
              <w:rPr>
                <w:rFonts w:hint="eastAsia" w:ascii="宋体" w:hAnsi="宋体" w:cs="宋体"/>
                <w:color w:val="auto"/>
                <w:sz w:val="24"/>
                <w:szCs w:val="24"/>
                <w:highlight w:val="none"/>
              </w:rPr>
            </w:pPr>
          </w:p>
        </w:tc>
      </w:tr>
    </w:tbl>
    <w:p w14:paraId="54C7443D">
      <w:pPr>
        <w:spacing w:line="276" w:lineRule="auto"/>
        <w:jc w:val="center"/>
        <w:rPr>
          <w:rFonts w:hint="eastAsia" w:ascii="宋体" w:hAnsi="宋体" w:cs="宋体"/>
          <w:color w:val="auto"/>
          <w:sz w:val="24"/>
          <w:highlight w:val="none"/>
        </w:rPr>
      </w:pPr>
      <w:r>
        <w:rPr>
          <w:rFonts w:hint="eastAsia" w:ascii="宋体" w:hAnsi="宋体" w:cs="宋体"/>
          <w:color w:val="auto"/>
          <w:sz w:val="24"/>
          <w:szCs w:val="24"/>
          <w:highlight w:val="none"/>
        </w:rPr>
        <w:t xml:space="preserve">        说明：本表中的项目负责人应附</w:t>
      </w:r>
      <w:r>
        <w:rPr>
          <w:rFonts w:hint="eastAsia" w:ascii="宋体" w:hAnsi="宋体" w:cs="宋体"/>
          <w:color w:val="auto"/>
          <w:sz w:val="24"/>
          <w:szCs w:val="24"/>
          <w:highlight w:val="none"/>
          <w:lang w:val="en-US" w:eastAsia="zh-CN"/>
        </w:rPr>
        <w:t>有效的人员</w:t>
      </w:r>
      <w:r>
        <w:rPr>
          <w:rFonts w:hint="eastAsia" w:ascii="宋体" w:hAnsi="宋体" w:cs="宋体"/>
          <w:color w:val="auto"/>
          <w:sz w:val="24"/>
          <w:szCs w:val="24"/>
          <w:highlight w:val="none"/>
        </w:rPr>
        <w:t>证书、身份证、</w:t>
      </w:r>
      <w:r>
        <w:rPr>
          <w:rFonts w:hint="eastAsia" w:ascii="宋体" w:hAnsi="宋体" w:cs="宋体"/>
          <w:color w:val="auto"/>
          <w:sz w:val="24"/>
          <w:szCs w:val="24"/>
          <w:highlight w:val="none"/>
          <w:lang w:val="en-US" w:eastAsia="zh-CN"/>
        </w:rPr>
        <w:t>社保证明等</w:t>
      </w:r>
      <w:r>
        <w:rPr>
          <w:rFonts w:hint="eastAsia" w:ascii="宋体" w:hAnsi="宋体" w:cs="宋体"/>
          <w:color w:val="auto"/>
          <w:sz w:val="24"/>
          <w:szCs w:val="24"/>
          <w:highlight w:val="none"/>
        </w:rPr>
        <w:t>。</w:t>
      </w:r>
    </w:p>
    <w:p w14:paraId="0B7A2CF7">
      <w:pPr>
        <w:spacing w:line="276" w:lineRule="auto"/>
        <w:jc w:val="center"/>
        <w:rPr>
          <w:rFonts w:hint="eastAsia" w:ascii="宋体" w:hAnsi="宋体" w:cs="宋体"/>
          <w:color w:val="auto"/>
          <w:sz w:val="24"/>
          <w:highlight w:val="none"/>
        </w:rPr>
      </w:pPr>
    </w:p>
    <w:p w14:paraId="5AA2A2A3">
      <w:pPr>
        <w:spacing w:line="276" w:lineRule="auto"/>
        <w:jc w:val="center"/>
        <w:rPr>
          <w:rFonts w:hint="eastAsia" w:ascii="宋体" w:hAnsi="宋体" w:cs="宋体"/>
          <w:color w:val="auto"/>
          <w:sz w:val="24"/>
          <w:highlight w:val="none"/>
        </w:rPr>
      </w:pPr>
    </w:p>
    <w:p w14:paraId="691B8C2F">
      <w:pPr>
        <w:spacing w:line="276" w:lineRule="auto"/>
        <w:jc w:val="center"/>
        <w:rPr>
          <w:rFonts w:hint="eastAsia" w:ascii="宋体" w:hAnsi="宋体" w:cs="宋体"/>
          <w:color w:val="auto"/>
          <w:sz w:val="24"/>
          <w:highlight w:val="none"/>
        </w:rPr>
      </w:pPr>
    </w:p>
    <w:p w14:paraId="09ABDB3E">
      <w:pPr>
        <w:spacing w:line="276" w:lineRule="auto"/>
        <w:jc w:val="center"/>
        <w:rPr>
          <w:rFonts w:hint="eastAsia" w:ascii="宋体" w:hAnsi="宋体" w:cs="宋体"/>
          <w:color w:val="auto"/>
          <w:sz w:val="24"/>
          <w:highlight w:val="none"/>
        </w:rPr>
      </w:pPr>
    </w:p>
    <w:p w14:paraId="48FFFA52">
      <w:pPr>
        <w:spacing w:line="276"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br w:type="page"/>
      </w:r>
      <w:r>
        <w:rPr>
          <w:rFonts w:hint="eastAsia" w:ascii="宋体" w:hAnsi="宋体" w:cs="宋体"/>
          <w:color w:val="auto"/>
          <w:sz w:val="24"/>
          <w:szCs w:val="24"/>
          <w:highlight w:val="none"/>
        </w:rPr>
        <w:t>（二）拟投入本项目的主要成员表</w:t>
      </w:r>
    </w:p>
    <w:tbl>
      <w:tblPr>
        <w:tblStyle w:val="38"/>
        <w:tblW w:w="10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4"/>
        <w:gridCol w:w="1330"/>
        <w:gridCol w:w="1202"/>
        <w:gridCol w:w="1939"/>
        <w:gridCol w:w="1328"/>
        <w:gridCol w:w="1799"/>
        <w:gridCol w:w="1354"/>
      </w:tblGrid>
      <w:tr w14:paraId="16F60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404" w:type="dxa"/>
            <w:vAlign w:val="center"/>
          </w:tcPr>
          <w:p w14:paraId="38898BCE">
            <w:pPr>
              <w:spacing w:line="276" w:lineRule="auto"/>
              <w:jc w:val="center"/>
              <w:rPr>
                <w:rFonts w:hint="eastAsia" w:ascii="宋体" w:hAnsi="宋体" w:cs="宋体"/>
                <w:color w:val="auto"/>
                <w:sz w:val="24"/>
                <w:highlight w:val="none"/>
              </w:rPr>
            </w:pPr>
            <w:r>
              <w:rPr>
                <w:rFonts w:hint="eastAsia" w:ascii="宋体" w:hAnsi="宋体" w:cs="宋体"/>
                <w:color w:val="auto"/>
                <w:sz w:val="24"/>
                <w:highlight w:val="none"/>
              </w:rPr>
              <w:t>序号</w:t>
            </w:r>
          </w:p>
        </w:tc>
        <w:tc>
          <w:tcPr>
            <w:tcW w:w="1330" w:type="dxa"/>
            <w:vAlign w:val="center"/>
          </w:tcPr>
          <w:p w14:paraId="566DE6FD">
            <w:pPr>
              <w:spacing w:line="276" w:lineRule="auto"/>
              <w:jc w:val="center"/>
              <w:rPr>
                <w:rFonts w:hint="eastAsia" w:ascii="宋体" w:hAnsi="宋体" w:cs="宋体"/>
                <w:color w:val="auto"/>
                <w:sz w:val="24"/>
                <w:highlight w:val="none"/>
              </w:rPr>
            </w:pPr>
            <w:r>
              <w:rPr>
                <w:rFonts w:hint="eastAsia" w:ascii="宋体" w:hAnsi="宋体" w:cs="宋体"/>
                <w:color w:val="auto"/>
                <w:sz w:val="24"/>
                <w:highlight w:val="none"/>
              </w:rPr>
              <w:t>姓名</w:t>
            </w:r>
          </w:p>
        </w:tc>
        <w:tc>
          <w:tcPr>
            <w:tcW w:w="1202" w:type="dxa"/>
            <w:vAlign w:val="center"/>
          </w:tcPr>
          <w:p w14:paraId="59FFCF95">
            <w:pPr>
              <w:spacing w:line="276" w:lineRule="auto"/>
              <w:jc w:val="center"/>
              <w:rPr>
                <w:rFonts w:hint="eastAsia" w:ascii="宋体" w:hAnsi="宋体" w:cs="宋体"/>
                <w:color w:val="auto"/>
                <w:sz w:val="24"/>
                <w:highlight w:val="none"/>
              </w:rPr>
            </w:pPr>
            <w:r>
              <w:rPr>
                <w:rFonts w:hint="eastAsia" w:ascii="宋体" w:hAnsi="宋体" w:cs="宋体"/>
                <w:color w:val="auto"/>
                <w:sz w:val="24"/>
                <w:highlight w:val="none"/>
              </w:rPr>
              <w:t>性别</w:t>
            </w:r>
          </w:p>
        </w:tc>
        <w:tc>
          <w:tcPr>
            <w:tcW w:w="1939" w:type="dxa"/>
            <w:vAlign w:val="center"/>
          </w:tcPr>
          <w:p w14:paraId="4E375A8D">
            <w:pPr>
              <w:spacing w:line="276" w:lineRule="auto"/>
              <w:jc w:val="center"/>
              <w:rPr>
                <w:rFonts w:hint="eastAsia" w:ascii="宋体" w:hAnsi="宋体" w:cs="宋体"/>
                <w:color w:val="auto"/>
                <w:sz w:val="24"/>
                <w:highlight w:val="none"/>
              </w:rPr>
            </w:pPr>
            <w:r>
              <w:rPr>
                <w:rFonts w:hint="eastAsia" w:ascii="宋体" w:hAnsi="宋体" w:cs="宋体"/>
                <w:color w:val="auto"/>
                <w:sz w:val="24"/>
                <w:highlight w:val="none"/>
              </w:rPr>
              <w:t>身份证号</w:t>
            </w:r>
          </w:p>
        </w:tc>
        <w:tc>
          <w:tcPr>
            <w:tcW w:w="1328" w:type="dxa"/>
            <w:vAlign w:val="center"/>
          </w:tcPr>
          <w:p w14:paraId="44A30769">
            <w:pPr>
              <w:spacing w:line="276" w:lineRule="auto"/>
              <w:jc w:val="center"/>
              <w:rPr>
                <w:rFonts w:hint="eastAsia" w:ascii="宋体" w:hAnsi="宋体" w:cs="宋体"/>
                <w:color w:val="auto"/>
                <w:sz w:val="24"/>
                <w:highlight w:val="none"/>
              </w:rPr>
            </w:pPr>
            <w:r>
              <w:rPr>
                <w:rFonts w:hint="eastAsia" w:ascii="宋体" w:hAnsi="宋体" w:cs="宋体"/>
                <w:color w:val="auto"/>
                <w:sz w:val="24"/>
                <w:highlight w:val="none"/>
              </w:rPr>
              <w:t>职称</w:t>
            </w:r>
          </w:p>
        </w:tc>
        <w:tc>
          <w:tcPr>
            <w:tcW w:w="1799" w:type="dxa"/>
            <w:vAlign w:val="center"/>
          </w:tcPr>
          <w:p w14:paraId="4707B938">
            <w:pPr>
              <w:spacing w:line="276" w:lineRule="auto"/>
              <w:jc w:val="center"/>
              <w:rPr>
                <w:rFonts w:hint="eastAsia" w:ascii="宋体" w:hAnsi="宋体" w:cs="宋体"/>
                <w:color w:val="auto"/>
                <w:sz w:val="24"/>
                <w:highlight w:val="none"/>
              </w:rPr>
            </w:pPr>
            <w:r>
              <w:rPr>
                <w:rFonts w:hint="eastAsia" w:ascii="宋体" w:hAnsi="宋体" w:cs="宋体"/>
                <w:color w:val="auto"/>
                <w:sz w:val="24"/>
                <w:highlight w:val="none"/>
              </w:rPr>
              <w:t>岗位</w:t>
            </w:r>
          </w:p>
        </w:tc>
        <w:tc>
          <w:tcPr>
            <w:tcW w:w="1354" w:type="dxa"/>
            <w:vAlign w:val="center"/>
          </w:tcPr>
          <w:p w14:paraId="1CE860D0">
            <w:pPr>
              <w:spacing w:line="276" w:lineRule="auto"/>
              <w:jc w:val="center"/>
              <w:rPr>
                <w:rFonts w:hint="eastAsia" w:ascii="宋体" w:hAnsi="宋体" w:cs="宋体"/>
                <w:color w:val="auto"/>
                <w:sz w:val="24"/>
                <w:highlight w:val="none"/>
              </w:rPr>
            </w:pPr>
            <w:r>
              <w:rPr>
                <w:rFonts w:hint="eastAsia" w:ascii="宋体" w:hAnsi="宋体" w:cs="宋体"/>
                <w:color w:val="auto"/>
                <w:sz w:val="24"/>
                <w:highlight w:val="none"/>
              </w:rPr>
              <w:t>从事该岗位时间</w:t>
            </w:r>
          </w:p>
        </w:tc>
      </w:tr>
      <w:tr w14:paraId="5BBC6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1404" w:type="dxa"/>
          </w:tcPr>
          <w:p w14:paraId="026A7E6B">
            <w:pPr>
              <w:spacing w:line="276" w:lineRule="auto"/>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1330" w:type="dxa"/>
          </w:tcPr>
          <w:p w14:paraId="573B6DA1">
            <w:pPr>
              <w:spacing w:line="276" w:lineRule="auto"/>
              <w:jc w:val="center"/>
              <w:rPr>
                <w:rFonts w:hint="eastAsia" w:ascii="宋体" w:hAnsi="宋体" w:cs="宋体"/>
                <w:color w:val="auto"/>
                <w:sz w:val="24"/>
                <w:highlight w:val="none"/>
              </w:rPr>
            </w:pPr>
          </w:p>
        </w:tc>
        <w:tc>
          <w:tcPr>
            <w:tcW w:w="1202" w:type="dxa"/>
          </w:tcPr>
          <w:p w14:paraId="2E6AF269">
            <w:pPr>
              <w:spacing w:line="276" w:lineRule="auto"/>
              <w:jc w:val="center"/>
              <w:rPr>
                <w:rFonts w:hint="eastAsia" w:ascii="宋体" w:hAnsi="宋体" w:cs="宋体"/>
                <w:color w:val="auto"/>
                <w:sz w:val="24"/>
                <w:highlight w:val="none"/>
              </w:rPr>
            </w:pPr>
          </w:p>
        </w:tc>
        <w:tc>
          <w:tcPr>
            <w:tcW w:w="1939" w:type="dxa"/>
          </w:tcPr>
          <w:p w14:paraId="01645AE6">
            <w:pPr>
              <w:spacing w:line="276" w:lineRule="auto"/>
              <w:jc w:val="center"/>
              <w:rPr>
                <w:rFonts w:hint="eastAsia" w:ascii="宋体" w:hAnsi="宋体" w:cs="宋体"/>
                <w:color w:val="auto"/>
                <w:sz w:val="24"/>
                <w:highlight w:val="none"/>
              </w:rPr>
            </w:pPr>
          </w:p>
        </w:tc>
        <w:tc>
          <w:tcPr>
            <w:tcW w:w="1328" w:type="dxa"/>
          </w:tcPr>
          <w:p w14:paraId="5CBD3779">
            <w:pPr>
              <w:spacing w:line="276" w:lineRule="auto"/>
              <w:jc w:val="center"/>
              <w:rPr>
                <w:rFonts w:hint="eastAsia" w:ascii="宋体" w:hAnsi="宋体" w:cs="宋体"/>
                <w:color w:val="auto"/>
                <w:sz w:val="24"/>
                <w:highlight w:val="none"/>
              </w:rPr>
            </w:pPr>
          </w:p>
        </w:tc>
        <w:tc>
          <w:tcPr>
            <w:tcW w:w="1799" w:type="dxa"/>
          </w:tcPr>
          <w:p w14:paraId="0E934133">
            <w:pPr>
              <w:spacing w:line="276" w:lineRule="auto"/>
              <w:jc w:val="center"/>
              <w:rPr>
                <w:rFonts w:hint="eastAsia" w:ascii="宋体" w:hAnsi="宋体" w:cs="宋体"/>
                <w:color w:val="auto"/>
                <w:sz w:val="24"/>
                <w:highlight w:val="none"/>
              </w:rPr>
            </w:pPr>
          </w:p>
        </w:tc>
        <w:tc>
          <w:tcPr>
            <w:tcW w:w="1354" w:type="dxa"/>
          </w:tcPr>
          <w:p w14:paraId="088E611C">
            <w:pPr>
              <w:spacing w:line="276" w:lineRule="auto"/>
              <w:jc w:val="center"/>
              <w:rPr>
                <w:rFonts w:hint="eastAsia" w:ascii="宋体" w:hAnsi="宋体" w:cs="宋体"/>
                <w:color w:val="auto"/>
                <w:sz w:val="24"/>
                <w:highlight w:val="none"/>
              </w:rPr>
            </w:pPr>
          </w:p>
        </w:tc>
      </w:tr>
      <w:tr w14:paraId="5266F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jc w:val="center"/>
        </w:trPr>
        <w:tc>
          <w:tcPr>
            <w:tcW w:w="1404" w:type="dxa"/>
          </w:tcPr>
          <w:p w14:paraId="77444E1E">
            <w:pPr>
              <w:spacing w:line="276" w:lineRule="auto"/>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1330" w:type="dxa"/>
          </w:tcPr>
          <w:p w14:paraId="12091608">
            <w:pPr>
              <w:spacing w:line="276" w:lineRule="auto"/>
              <w:jc w:val="center"/>
              <w:rPr>
                <w:rFonts w:hint="eastAsia" w:ascii="宋体" w:hAnsi="宋体" w:cs="宋体"/>
                <w:color w:val="auto"/>
                <w:sz w:val="24"/>
                <w:highlight w:val="none"/>
              </w:rPr>
            </w:pPr>
          </w:p>
        </w:tc>
        <w:tc>
          <w:tcPr>
            <w:tcW w:w="1202" w:type="dxa"/>
          </w:tcPr>
          <w:p w14:paraId="1D5C9DCB">
            <w:pPr>
              <w:spacing w:line="276" w:lineRule="auto"/>
              <w:jc w:val="center"/>
              <w:rPr>
                <w:rFonts w:hint="eastAsia" w:ascii="宋体" w:hAnsi="宋体" w:cs="宋体"/>
                <w:color w:val="auto"/>
                <w:sz w:val="24"/>
                <w:highlight w:val="none"/>
              </w:rPr>
            </w:pPr>
          </w:p>
        </w:tc>
        <w:tc>
          <w:tcPr>
            <w:tcW w:w="1939" w:type="dxa"/>
          </w:tcPr>
          <w:p w14:paraId="28B59118">
            <w:pPr>
              <w:spacing w:line="276" w:lineRule="auto"/>
              <w:jc w:val="center"/>
              <w:rPr>
                <w:rFonts w:hint="eastAsia" w:ascii="宋体" w:hAnsi="宋体" w:cs="宋体"/>
                <w:color w:val="auto"/>
                <w:sz w:val="24"/>
                <w:highlight w:val="none"/>
              </w:rPr>
            </w:pPr>
          </w:p>
        </w:tc>
        <w:tc>
          <w:tcPr>
            <w:tcW w:w="1328" w:type="dxa"/>
          </w:tcPr>
          <w:p w14:paraId="19C53376">
            <w:pPr>
              <w:spacing w:line="276" w:lineRule="auto"/>
              <w:jc w:val="center"/>
              <w:rPr>
                <w:rFonts w:hint="eastAsia" w:ascii="宋体" w:hAnsi="宋体" w:cs="宋体"/>
                <w:color w:val="auto"/>
                <w:sz w:val="24"/>
                <w:highlight w:val="none"/>
              </w:rPr>
            </w:pPr>
          </w:p>
        </w:tc>
        <w:tc>
          <w:tcPr>
            <w:tcW w:w="1799" w:type="dxa"/>
          </w:tcPr>
          <w:p w14:paraId="79FFB02C">
            <w:pPr>
              <w:spacing w:line="276" w:lineRule="auto"/>
              <w:jc w:val="center"/>
              <w:rPr>
                <w:rFonts w:hint="eastAsia" w:ascii="宋体" w:hAnsi="宋体" w:cs="宋体"/>
                <w:color w:val="auto"/>
                <w:sz w:val="24"/>
                <w:highlight w:val="none"/>
              </w:rPr>
            </w:pPr>
          </w:p>
        </w:tc>
        <w:tc>
          <w:tcPr>
            <w:tcW w:w="1354" w:type="dxa"/>
          </w:tcPr>
          <w:p w14:paraId="60B2F540">
            <w:pPr>
              <w:spacing w:line="276" w:lineRule="auto"/>
              <w:jc w:val="center"/>
              <w:rPr>
                <w:rFonts w:hint="eastAsia" w:ascii="宋体" w:hAnsi="宋体" w:cs="宋体"/>
                <w:color w:val="auto"/>
                <w:sz w:val="24"/>
                <w:highlight w:val="none"/>
              </w:rPr>
            </w:pPr>
          </w:p>
        </w:tc>
      </w:tr>
      <w:tr w14:paraId="0635C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1404" w:type="dxa"/>
          </w:tcPr>
          <w:p w14:paraId="0F0FF4F3">
            <w:pPr>
              <w:spacing w:line="276" w:lineRule="auto"/>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1330" w:type="dxa"/>
          </w:tcPr>
          <w:p w14:paraId="78D25E97">
            <w:pPr>
              <w:spacing w:line="276" w:lineRule="auto"/>
              <w:jc w:val="center"/>
              <w:rPr>
                <w:rFonts w:hint="eastAsia" w:ascii="宋体" w:hAnsi="宋体" w:cs="宋体"/>
                <w:color w:val="auto"/>
                <w:sz w:val="24"/>
                <w:highlight w:val="none"/>
              </w:rPr>
            </w:pPr>
          </w:p>
        </w:tc>
        <w:tc>
          <w:tcPr>
            <w:tcW w:w="1202" w:type="dxa"/>
          </w:tcPr>
          <w:p w14:paraId="6AC091EC">
            <w:pPr>
              <w:spacing w:line="276" w:lineRule="auto"/>
              <w:jc w:val="center"/>
              <w:rPr>
                <w:rFonts w:hint="eastAsia" w:ascii="宋体" w:hAnsi="宋体" w:cs="宋体"/>
                <w:color w:val="auto"/>
                <w:sz w:val="24"/>
                <w:highlight w:val="none"/>
              </w:rPr>
            </w:pPr>
          </w:p>
        </w:tc>
        <w:tc>
          <w:tcPr>
            <w:tcW w:w="1939" w:type="dxa"/>
          </w:tcPr>
          <w:p w14:paraId="2B326BDF">
            <w:pPr>
              <w:spacing w:line="276" w:lineRule="auto"/>
              <w:jc w:val="center"/>
              <w:rPr>
                <w:rFonts w:hint="eastAsia" w:ascii="宋体" w:hAnsi="宋体" w:cs="宋体"/>
                <w:color w:val="auto"/>
                <w:sz w:val="24"/>
                <w:highlight w:val="none"/>
              </w:rPr>
            </w:pPr>
          </w:p>
        </w:tc>
        <w:tc>
          <w:tcPr>
            <w:tcW w:w="1328" w:type="dxa"/>
          </w:tcPr>
          <w:p w14:paraId="2DFAC8BA">
            <w:pPr>
              <w:spacing w:line="276" w:lineRule="auto"/>
              <w:jc w:val="center"/>
              <w:rPr>
                <w:rFonts w:hint="eastAsia" w:ascii="宋体" w:hAnsi="宋体" w:cs="宋体"/>
                <w:color w:val="auto"/>
                <w:sz w:val="24"/>
                <w:highlight w:val="none"/>
              </w:rPr>
            </w:pPr>
          </w:p>
        </w:tc>
        <w:tc>
          <w:tcPr>
            <w:tcW w:w="1799" w:type="dxa"/>
          </w:tcPr>
          <w:p w14:paraId="38A185CC">
            <w:pPr>
              <w:spacing w:line="276" w:lineRule="auto"/>
              <w:jc w:val="center"/>
              <w:rPr>
                <w:rFonts w:hint="eastAsia" w:ascii="宋体" w:hAnsi="宋体" w:cs="宋体"/>
                <w:color w:val="auto"/>
                <w:sz w:val="24"/>
                <w:highlight w:val="none"/>
              </w:rPr>
            </w:pPr>
          </w:p>
        </w:tc>
        <w:tc>
          <w:tcPr>
            <w:tcW w:w="1354" w:type="dxa"/>
          </w:tcPr>
          <w:p w14:paraId="61754758">
            <w:pPr>
              <w:spacing w:line="276" w:lineRule="auto"/>
              <w:jc w:val="center"/>
              <w:rPr>
                <w:rFonts w:hint="eastAsia" w:ascii="宋体" w:hAnsi="宋体" w:cs="宋体"/>
                <w:color w:val="auto"/>
                <w:sz w:val="24"/>
                <w:highlight w:val="none"/>
              </w:rPr>
            </w:pPr>
          </w:p>
        </w:tc>
      </w:tr>
      <w:tr w14:paraId="645D5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1404" w:type="dxa"/>
          </w:tcPr>
          <w:p w14:paraId="4D77FE2B">
            <w:pPr>
              <w:spacing w:line="276" w:lineRule="auto"/>
              <w:jc w:val="center"/>
              <w:rPr>
                <w:rFonts w:hint="eastAsia" w:ascii="宋体" w:hAnsi="宋体" w:cs="宋体"/>
                <w:color w:val="auto"/>
                <w:sz w:val="24"/>
                <w:highlight w:val="none"/>
              </w:rPr>
            </w:pPr>
            <w:r>
              <w:rPr>
                <w:rFonts w:hint="eastAsia" w:ascii="宋体" w:hAnsi="宋体" w:cs="宋体"/>
                <w:color w:val="auto"/>
                <w:sz w:val="24"/>
                <w:highlight w:val="none"/>
              </w:rPr>
              <w:t>…</w:t>
            </w:r>
          </w:p>
        </w:tc>
        <w:tc>
          <w:tcPr>
            <w:tcW w:w="1330" w:type="dxa"/>
          </w:tcPr>
          <w:p w14:paraId="42CA76A5">
            <w:pPr>
              <w:spacing w:line="276" w:lineRule="auto"/>
              <w:jc w:val="center"/>
              <w:rPr>
                <w:rFonts w:hint="eastAsia" w:ascii="宋体" w:hAnsi="宋体" w:cs="宋体"/>
                <w:color w:val="auto"/>
                <w:sz w:val="24"/>
                <w:highlight w:val="none"/>
              </w:rPr>
            </w:pPr>
          </w:p>
        </w:tc>
        <w:tc>
          <w:tcPr>
            <w:tcW w:w="1202" w:type="dxa"/>
          </w:tcPr>
          <w:p w14:paraId="6ED61AFE">
            <w:pPr>
              <w:spacing w:line="276" w:lineRule="auto"/>
              <w:jc w:val="center"/>
              <w:rPr>
                <w:rFonts w:hint="eastAsia" w:ascii="宋体" w:hAnsi="宋体" w:cs="宋体"/>
                <w:color w:val="auto"/>
                <w:sz w:val="24"/>
                <w:highlight w:val="none"/>
              </w:rPr>
            </w:pPr>
          </w:p>
        </w:tc>
        <w:tc>
          <w:tcPr>
            <w:tcW w:w="1939" w:type="dxa"/>
          </w:tcPr>
          <w:p w14:paraId="343585D3">
            <w:pPr>
              <w:spacing w:line="276" w:lineRule="auto"/>
              <w:jc w:val="center"/>
              <w:rPr>
                <w:rFonts w:hint="eastAsia" w:ascii="宋体" w:hAnsi="宋体" w:cs="宋体"/>
                <w:color w:val="auto"/>
                <w:sz w:val="24"/>
                <w:highlight w:val="none"/>
              </w:rPr>
            </w:pPr>
          </w:p>
        </w:tc>
        <w:tc>
          <w:tcPr>
            <w:tcW w:w="1328" w:type="dxa"/>
          </w:tcPr>
          <w:p w14:paraId="5F0DC5EC">
            <w:pPr>
              <w:spacing w:line="276" w:lineRule="auto"/>
              <w:jc w:val="center"/>
              <w:rPr>
                <w:rFonts w:hint="eastAsia" w:ascii="宋体" w:hAnsi="宋体" w:cs="宋体"/>
                <w:color w:val="auto"/>
                <w:sz w:val="24"/>
                <w:highlight w:val="none"/>
              </w:rPr>
            </w:pPr>
          </w:p>
        </w:tc>
        <w:tc>
          <w:tcPr>
            <w:tcW w:w="1799" w:type="dxa"/>
          </w:tcPr>
          <w:p w14:paraId="25F90175">
            <w:pPr>
              <w:spacing w:line="276" w:lineRule="auto"/>
              <w:jc w:val="center"/>
              <w:rPr>
                <w:rFonts w:hint="eastAsia" w:ascii="宋体" w:hAnsi="宋体" w:cs="宋体"/>
                <w:color w:val="auto"/>
                <w:sz w:val="24"/>
                <w:highlight w:val="none"/>
              </w:rPr>
            </w:pPr>
          </w:p>
        </w:tc>
        <w:tc>
          <w:tcPr>
            <w:tcW w:w="1354" w:type="dxa"/>
          </w:tcPr>
          <w:p w14:paraId="7A3F4C08">
            <w:pPr>
              <w:spacing w:line="276" w:lineRule="auto"/>
              <w:jc w:val="center"/>
              <w:rPr>
                <w:rFonts w:hint="eastAsia" w:ascii="宋体" w:hAnsi="宋体" w:cs="宋体"/>
                <w:color w:val="auto"/>
                <w:sz w:val="24"/>
                <w:highlight w:val="none"/>
              </w:rPr>
            </w:pPr>
          </w:p>
        </w:tc>
      </w:tr>
    </w:tbl>
    <w:p w14:paraId="7FB374DF">
      <w:pPr>
        <w:spacing w:line="276" w:lineRule="auto"/>
        <w:rPr>
          <w:rFonts w:hint="eastAsia" w:ascii="宋体" w:hAnsi="宋体" w:cs="宋体"/>
          <w:color w:val="auto"/>
          <w:sz w:val="24"/>
          <w:highlight w:val="none"/>
        </w:rPr>
      </w:pPr>
      <w:r>
        <w:rPr>
          <w:rFonts w:hint="eastAsia" w:ascii="宋体" w:hAnsi="宋体" w:cs="宋体"/>
          <w:color w:val="auto"/>
          <w:sz w:val="24"/>
          <w:highlight w:val="none"/>
          <w:lang w:val="zh-CN"/>
        </w:rPr>
        <w:t>注：</w:t>
      </w:r>
      <w:r>
        <w:rPr>
          <w:rFonts w:ascii="宋体" w:hAnsi="宋体" w:cs="宋体"/>
          <w:color w:val="auto"/>
          <w:sz w:val="24"/>
          <w:highlight w:val="none"/>
        </w:rPr>
        <w:t>1</w:t>
      </w:r>
      <w:r>
        <w:rPr>
          <w:rFonts w:hint="eastAsia" w:ascii="宋体" w:hAnsi="宋体" w:cs="宋体"/>
          <w:color w:val="auto"/>
          <w:sz w:val="24"/>
          <w:highlight w:val="none"/>
        </w:rPr>
        <w:t>）</w:t>
      </w:r>
      <w:r>
        <w:rPr>
          <w:rFonts w:hint="eastAsia" w:ascii="宋体" w:hAnsi="宋体" w:cs="宋体"/>
          <w:color w:val="auto"/>
          <w:sz w:val="24"/>
          <w:highlight w:val="none"/>
          <w:lang w:val="zh-CN"/>
        </w:rPr>
        <w:t>在填写时，如本表格不适合供应商的实际情况，可根据本表格式自行制表填写。</w:t>
      </w:r>
    </w:p>
    <w:p w14:paraId="3F4CF330">
      <w:pPr>
        <w:spacing w:line="276" w:lineRule="auto"/>
        <w:ind w:firstLine="480" w:firstLineChars="200"/>
        <w:rPr>
          <w:rFonts w:hint="eastAsia" w:ascii="宋体" w:hAnsi="宋体" w:cs="宋体"/>
          <w:color w:val="auto"/>
          <w:sz w:val="24"/>
          <w:highlight w:val="none"/>
        </w:rPr>
      </w:pPr>
    </w:p>
    <w:p w14:paraId="692E595C">
      <w:pPr>
        <w:widowControl/>
        <w:jc w:val="left"/>
        <w:rPr>
          <w:rFonts w:hint="eastAsia" w:ascii="宋体" w:hAnsi="宋体" w:cs="宋体"/>
          <w:color w:val="auto"/>
          <w:sz w:val="24"/>
          <w:highlight w:val="none"/>
        </w:rPr>
      </w:pPr>
      <w:r>
        <w:rPr>
          <w:rFonts w:hint="eastAsia" w:ascii="宋体" w:hAnsi="宋体" w:cs="宋体"/>
          <w:color w:val="auto"/>
          <w:sz w:val="24"/>
          <w:highlight w:val="none"/>
        </w:rPr>
        <w:br w:type="page"/>
      </w:r>
    </w:p>
    <w:p w14:paraId="51F971D8">
      <w:pPr>
        <w:autoSpaceDE w:val="0"/>
        <w:autoSpaceDN w:val="0"/>
        <w:adjustRightInd w:val="0"/>
        <w:spacing w:line="276" w:lineRule="auto"/>
        <w:jc w:val="center"/>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lang w:val="en-US" w:eastAsia="zh-CN"/>
        </w:rPr>
        <w:t>1</w:t>
      </w:r>
      <w:r>
        <w:rPr>
          <w:rFonts w:hint="eastAsia" w:ascii="宋体" w:hAnsi="宋体" w:cs="宋体"/>
          <w:color w:val="auto"/>
          <w:sz w:val="24"/>
          <w:highlight w:val="none"/>
        </w:rPr>
        <w:t>、供应商诚信承诺书</w:t>
      </w:r>
    </w:p>
    <w:p w14:paraId="6ED8A1AB">
      <w:pPr>
        <w:autoSpaceDE w:val="0"/>
        <w:autoSpaceDN w:val="0"/>
        <w:adjustRightInd w:val="0"/>
        <w:spacing w:line="276" w:lineRule="auto"/>
        <w:ind w:firstLine="48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为了诚实、客观、有序地参与</w:t>
      </w:r>
      <w:r>
        <w:rPr>
          <w:rFonts w:hint="eastAsia" w:ascii="宋体" w:hAnsi="宋体" w:cs="宋体"/>
          <w:color w:val="auto"/>
          <w:sz w:val="24"/>
          <w:szCs w:val="24"/>
          <w:highlight w:val="none"/>
          <w:u w:val="single"/>
        </w:rPr>
        <w:t xml:space="preserve">                    </w:t>
      </w:r>
      <w:r>
        <w:rPr>
          <w:rFonts w:hint="eastAsia" w:ascii="宋体" w:hAnsi="宋体" w:cs="宋体"/>
          <w:color w:val="auto"/>
          <w:kern w:val="0"/>
          <w:sz w:val="24"/>
          <w:highlight w:val="none"/>
          <w:lang w:val="zh-CN"/>
        </w:rPr>
        <w:t>采购活动，愿就以下内容作出承诺：</w:t>
      </w:r>
    </w:p>
    <w:p w14:paraId="24862887">
      <w:pPr>
        <w:autoSpaceDE w:val="0"/>
        <w:autoSpaceDN w:val="0"/>
        <w:adjustRightInd w:val="0"/>
        <w:spacing w:line="276" w:lineRule="auto"/>
        <w:ind w:firstLine="48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一、自觉遵守各项法律、法规、规章、制度以及社会公德，维护廉洁环境，与同场竞争的供应商平等参加招采购活动。</w:t>
      </w:r>
    </w:p>
    <w:p w14:paraId="0C4317F1">
      <w:pPr>
        <w:autoSpaceDE w:val="0"/>
        <w:autoSpaceDN w:val="0"/>
        <w:adjustRightInd w:val="0"/>
        <w:spacing w:line="276" w:lineRule="auto"/>
        <w:ind w:firstLine="48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二、参加采购代理机构组织的采购活动时，严格按照磋商文件的规定和要求提供所需的相关材料，并对所提供的各类资料的真实性负责，不虚假应标，不虚列业绩。</w:t>
      </w:r>
    </w:p>
    <w:p w14:paraId="40636B29">
      <w:pPr>
        <w:autoSpaceDE w:val="0"/>
        <w:autoSpaceDN w:val="0"/>
        <w:adjustRightInd w:val="0"/>
        <w:spacing w:line="276" w:lineRule="auto"/>
        <w:ind w:firstLine="48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三、尊重参与采购活动各相关方的合法行为，接受采购活动依法形成的意见、结果。</w:t>
      </w:r>
    </w:p>
    <w:p w14:paraId="48E102BC">
      <w:pPr>
        <w:autoSpaceDE w:val="0"/>
        <w:autoSpaceDN w:val="0"/>
        <w:adjustRightInd w:val="0"/>
        <w:spacing w:line="276" w:lineRule="auto"/>
        <w:ind w:firstLine="48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四、依法参加采购活动，不围标、串标，维护市场秩序，不提供“三无”产品、以次充好。</w:t>
      </w:r>
    </w:p>
    <w:p w14:paraId="5F267623">
      <w:pPr>
        <w:autoSpaceDE w:val="0"/>
        <w:autoSpaceDN w:val="0"/>
        <w:adjustRightInd w:val="0"/>
        <w:spacing w:line="276" w:lineRule="auto"/>
        <w:ind w:firstLine="48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五、积极推动采购活动健康开展，对采购活动有疑问、异议时，按法律规定的程序实名（加盖单位章和法定代表人签名）反映情况，不恶意中伤、无事生非，以和谐、平等的心态参加采购活动。</w:t>
      </w:r>
    </w:p>
    <w:p w14:paraId="321D0BDD">
      <w:pPr>
        <w:autoSpaceDE w:val="0"/>
        <w:autoSpaceDN w:val="0"/>
        <w:adjustRightInd w:val="0"/>
        <w:spacing w:line="276" w:lineRule="auto"/>
        <w:ind w:firstLine="48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六、认真履行成交人应承担的责任和义务，全面执行采购合同规定的各项内容，保质保量地按时提供采购物品。</w:t>
      </w:r>
    </w:p>
    <w:p w14:paraId="10376142">
      <w:pPr>
        <w:autoSpaceDE w:val="0"/>
        <w:autoSpaceDN w:val="0"/>
        <w:adjustRightInd w:val="0"/>
        <w:spacing w:line="276" w:lineRule="auto"/>
        <w:ind w:firstLine="480" w:firstLineChars="20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若本企业（单位）发生有悖于上述承诺的行为，愿意接受《政府采购法》等有关法律法规中对供应商的相关处理。</w:t>
      </w:r>
    </w:p>
    <w:p w14:paraId="59657886">
      <w:pPr>
        <w:autoSpaceDE w:val="0"/>
        <w:autoSpaceDN w:val="0"/>
        <w:adjustRightInd w:val="0"/>
        <w:spacing w:line="276" w:lineRule="auto"/>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本承诺是采购项目磋商响应文件的组成部分。</w:t>
      </w:r>
    </w:p>
    <w:p w14:paraId="61862A67">
      <w:pPr>
        <w:autoSpaceDE w:val="0"/>
        <w:autoSpaceDN w:val="0"/>
        <w:adjustRightInd w:val="0"/>
        <w:spacing w:line="276" w:lineRule="auto"/>
        <w:rPr>
          <w:rFonts w:hint="eastAsia" w:ascii="宋体" w:hAnsi="宋体" w:cs="宋体"/>
          <w:color w:val="auto"/>
          <w:kern w:val="0"/>
          <w:sz w:val="24"/>
          <w:highlight w:val="none"/>
          <w:lang w:val="zh-CN"/>
        </w:rPr>
      </w:pPr>
    </w:p>
    <w:p w14:paraId="2C3C6609">
      <w:pPr>
        <w:autoSpaceDE w:val="0"/>
        <w:autoSpaceDN w:val="0"/>
        <w:adjustRightInd w:val="0"/>
        <w:spacing w:line="276" w:lineRule="auto"/>
        <w:ind w:firstLine="4435" w:firstLineChars="1848"/>
        <w:rPr>
          <w:rFonts w:hint="eastAsia" w:ascii="宋体" w:hAnsi="宋体" w:cs="宋体"/>
          <w:bCs/>
          <w:color w:val="auto"/>
          <w:kern w:val="0"/>
          <w:sz w:val="24"/>
          <w:highlight w:val="none"/>
          <w:lang w:val="zh-CN"/>
        </w:rPr>
      </w:pPr>
      <w:r>
        <w:rPr>
          <w:rFonts w:hint="eastAsia" w:ascii="宋体" w:hAnsi="宋体" w:cs="宋体"/>
          <w:bCs/>
          <w:color w:val="auto"/>
          <w:kern w:val="0"/>
          <w:sz w:val="24"/>
          <w:highlight w:val="none"/>
          <w:lang w:val="zh-CN"/>
        </w:rPr>
        <w:t>供应商：             （公章）</w:t>
      </w:r>
    </w:p>
    <w:p w14:paraId="45409D79">
      <w:pPr>
        <w:autoSpaceDE w:val="0"/>
        <w:autoSpaceDN w:val="0"/>
        <w:adjustRightInd w:val="0"/>
        <w:spacing w:line="276" w:lineRule="auto"/>
        <w:rPr>
          <w:rFonts w:hint="eastAsia" w:ascii="宋体" w:hAnsi="宋体" w:cs="宋体"/>
          <w:bCs/>
          <w:color w:val="auto"/>
          <w:kern w:val="0"/>
          <w:sz w:val="24"/>
          <w:highlight w:val="none"/>
          <w:lang w:val="zh-CN"/>
        </w:rPr>
      </w:pPr>
      <w:r>
        <w:rPr>
          <w:rFonts w:hint="eastAsia" w:ascii="宋体" w:hAnsi="宋体" w:cs="宋体"/>
          <w:bCs/>
          <w:color w:val="auto"/>
          <w:kern w:val="0"/>
          <w:sz w:val="24"/>
          <w:highlight w:val="none"/>
          <w:lang w:val="zh-CN"/>
        </w:rPr>
        <w:t xml:space="preserve">                     法定代表人或委托代理人：             （签字）</w:t>
      </w:r>
    </w:p>
    <w:p w14:paraId="463F74B4">
      <w:pPr>
        <w:spacing w:line="276" w:lineRule="auto"/>
        <w:rPr>
          <w:rFonts w:hint="eastAsia" w:ascii="宋体" w:hAnsi="宋体" w:cs="宋体"/>
          <w:bCs/>
          <w:color w:val="auto"/>
          <w:kern w:val="0"/>
          <w:sz w:val="24"/>
          <w:highlight w:val="none"/>
          <w:lang w:val="zh-CN"/>
        </w:rPr>
      </w:pPr>
      <w:r>
        <w:rPr>
          <w:rFonts w:hint="eastAsia" w:ascii="宋体" w:hAnsi="宋体" w:cs="宋体"/>
          <w:bCs/>
          <w:color w:val="auto"/>
          <w:kern w:val="0"/>
          <w:sz w:val="24"/>
          <w:highlight w:val="none"/>
          <w:lang w:val="zh-CN"/>
        </w:rPr>
        <w:t xml:space="preserve">                                         年   月   日</w:t>
      </w:r>
    </w:p>
    <w:p w14:paraId="267586DB">
      <w:pPr>
        <w:autoSpaceDE w:val="0"/>
        <w:autoSpaceDN w:val="0"/>
        <w:adjustRightInd w:val="0"/>
        <w:spacing w:line="276" w:lineRule="auto"/>
        <w:jc w:val="left"/>
        <w:rPr>
          <w:rFonts w:hint="eastAsia" w:ascii="宋体" w:hAnsi="宋体" w:cs="宋体"/>
          <w:color w:val="auto"/>
          <w:highlight w:val="none"/>
          <w:lang w:val="zh-CN"/>
        </w:rPr>
      </w:pPr>
      <w:r>
        <w:rPr>
          <w:rFonts w:hint="eastAsia" w:ascii="宋体" w:hAnsi="宋体" w:cs="宋体"/>
          <w:color w:val="auto"/>
          <w:sz w:val="24"/>
          <w:highlight w:val="none"/>
        </w:rPr>
        <w:br w:type="page"/>
      </w:r>
      <w:r>
        <w:rPr>
          <w:rFonts w:hint="eastAsia" w:ascii="宋体" w:hAnsi="宋体" w:cs="宋体"/>
          <w:color w:val="auto"/>
          <w:sz w:val="24"/>
          <w:highlight w:val="none"/>
        </w:rPr>
        <w:t>1</w:t>
      </w:r>
      <w:r>
        <w:rPr>
          <w:rFonts w:hint="eastAsia" w:ascii="宋体" w:hAnsi="宋体" w:cs="宋体"/>
          <w:color w:val="auto"/>
          <w:sz w:val="24"/>
          <w:highlight w:val="none"/>
          <w:lang w:val="en-US" w:eastAsia="zh-CN"/>
        </w:rPr>
        <w:t>2</w:t>
      </w:r>
      <w:r>
        <w:rPr>
          <w:rFonts w:hint="eastAsia" w:ascii="宋体" w:hAnsi="宋体" w:cs="宋体"/>
          <w:color w:val="auto"/>
          <w:sz w:val="24"/>
          <w:highlight w:val="none"/>
        </w:rPr>
        <w:t>、监狱企业证明文件（如有）、残疾人福利性单位声明函（如有）、中小企业声明函（如有）。</w:t>
      </w:r>
    </w:p>
    <w:p w14:paraId="3A7D6250">
      <w:pPr>
        <w:autoSpaceDE w:val="0"/>
        <w:autoSpaceDN w:val="0"/>
        <w:adjustRightInd w:val="0"/>
        <w:snapToGrid w:val="0"/>
        <w:spacing w:line="276"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1.监狱企业证明文件</w:t>
      </w:r>
    </w:p>
    <w:p w14:paraId="246E6F46">
      <w:pPr>
        <w:adjustRightInd w:val="0"/>
        <w:snapToGrid w:val="0"/>
        <w:spacing w:line="276" w:lineRule="auto"/>
        <w:ind w:left="1680"/>
        <w:rPr>
          <w:rFonts w:hint="eastAsia" w:ascii="宋体" w:hAnsi="宋体" w:cs="宋体"/>
          <w:color w:val="auto"/>
          <w:szCs w:val="21"/>
          <w:highlight w:val="none"/>
        </w:rPr>
      </w:pPr>
    </w:p>
    <w:p w14:paraId="2E1C4F23">
      <w:pPr>
        <w:adjustRightInd w:val="0"/>
        <w:snapToGrid w:val="0"/>
        <w:spacing w:line="276" w:lineRule="auto"/>
        <w:ind w:firstLine="480" w:firstLineChars="20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2.残疾人福利性单位声明函</w:t>
      </w:r>
    </w:p>
    <w:p w14:paraId="1C599201">
      <w:pPr>
        <w:adjustRightInd w:val="0"/>
        <w:snapToGrid w:val="0"/>
        <w:spacing w:line="276"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本公司郑重声明，根据《财政部 民政部 中国残疾人联合会关于促进残疾人就业政府采购政策的通知》（财库（2017）141号）的规定，本单位为符合条件的残疾人福利性单位，且本单位参加的</w:t>
      </w:r>
    </w:p>
    <w:p w14:paraId="043E4542">
      <w:pPr>
        <w:adjustRightInd w:val="0"/>
        <w:snapToGrid w:val="0"/>
        <w:spacing w:line="276"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u w:val="single"/>
        </w:rPr>
        <w:t xml:space="preserve">                 单位的                        </w:t>
      </w:r>
      <w:r>
        <w:rPr>
          <w:rFonts w:hint="eastAsia" w:ascii="宋体" w:hAnsi="宋体" w:cs="宋体"/>
          <w:color w:val="auto"/>
          <w:sz w:val="24"/>
          <w:szCs w:val="24"/>
          <w:highlight w:val="none"/>
        </w:rPr>
        <w:t>项目采购活动提供本单位制造的货物（由本单位承担工程/提供服务），或者提供其他残疾人福利性单位制造的货物（不包括使用非残疾人福利性单位注册商标的货物）。</w:t>
      </w:r>
    </w:p>
    <w:p w14:paraId="28894512">
      <w:pPr>
        <w:adjustRightInd w:val="0"/>
        <w:snapToGrid w:val="0"/>
        <w:spacing w:line="276"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本单位对上述声明的真实性负责，如有虚假，将依法承担相应责任。</w:t>
      </w:r>
    </w:p>
    <w:p w14:paraId="7E9439CC">
      <w:pPr>
        <w:adjustRightInd w:val="0"/>
        <w:snapToGrid w:val="0"/>
        <w:spacing w:line="276" w:lineRule="auto"/>
        <w:ind w:firstLine="480" w:firstLineChars="200"/>
        <w:jc w:val="center"/>
        <w:rPr>
          <w:rFonts w:hint="eastAsia" w:ascii="宋体" w:hAnsi="宋体" w:cs="宋体"/>
          <w:color w:val="auto"/>
          <w:sz w:val="24"/>
          <w:szCs w:val="24"/>
          <w:highlight w:val="none"/>
        </w:rPr>
      </w:pPr>
    </w:p>
    <w:p w14:paraId="6416F676">
      <w:pPr>
        <w:adjustRightInd w:val="0"/>
        <w:snapToGrid w:val="0"/>
        <w:spacing w:line="276" w:lineRule="auto"/>
        <w:ind w:firstLine="7200" w:firstLineChars="3000"/>
        <w:rPr>
          <w:rFonts w:hint="eastAsia" w:ascii="宋体" w:hAnsi="宋体" w:cs="宋体"/>
          <w:color w:val="auto"/>
          <w:sz w:val="24"/>
          <w:szCs w:val="24"/>
          <w:highlight w:val="none"/>
        </w:rPr>
      </w:pPr>
      <w:r>
        <w:rPr>
          <w:rFonts w:hint="eastAsia" w:ascii="宋体" w:hAnsi="宋体" w:cs="宋体"/>
          <w:color w:val="auto"/>
          <w:sz w:val="24"/>
          <w:szCs w:val="24"/>
          <w:highlight w:val="none"/>
        </w:rPr>
        <w:t>企业名称（公章）：</w:t>
      </w:r>
    </w:p>
    <w:p w14:paraId="327D7E4C">
      <w:pPr>
        <w:adjustRightInd w:val="0"/>
        <w:snapToGrid w:val="0"/>
        <w:spacing w:line="276"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日  期：</w:t>
      </w:r>
    </w:p>
    <w:p w14:paraId="740765DE">
      <w:pPr>
        <w:spacing w:line="276" w:lineRule="auto"/>
        <w:jc w:val="center"/>
        <w:rPr>
          <w:rFonts w:hint="eastAsia" w:ascii="宋体" w:hAnsi="宋体" w:cs="宋体"/>
          <w:b/>
          <w:color w:val="auto"/>
          <w:sz w:val="24"/>
          <w:highlight w:val="none"/>
        </w:rPr>
      </w:pPr>
    </w:p>
    <w:p w14:paraId="72F817ED">
      <w:pPr>
        <w:spacing w:line="276" w:lineRule="auto"/>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3、中</w:t>
      </w:r>
      <w:r>
        <w:rPr>
          <w:rFonts w:hint="eastAsia" w:ascii="宋体" w:hAnsi="宋体" w:cs="宋体"/>
          <w:color w:val="auto"/>
          <w:sz w:val="24"/>
          <w:szCs w:val="24"/>
          <w:highlight w:val="none"/>
        </w:rPr>
        <w:t>小企业声明函（服务）</w:t>
      </w:r>
    </w:p>
    <w:p w14:paraId="0022D137">
      <w:pPr>
        <w:widowControl/>
        <w:spacing w:line="276" w:lineRule="auto"/>
        <w:ind w:firstLine="480" w:firstLineChars="200"/>
        <w:jc w:val="left"/>
        <w:rPr>
          <w:rFonts w:hint="eastAsia" w:ascii="宋体" w:hAnsi="宋体" w:cs="宋体"/>
          <w:color w:val="auto"/>
          <w:kern w:val="0"/>
          <w:sz w:val="24"/>
          <w:szCs w:val="24"/>
          <w:highlight w:val="none"/>
        </w:rPr>
      </w:pPr>
      <w:r>
        <w:rPr>
          <w:rFonts w:ascii="宋体" w:hAnsi="宋体" w:cs="宋体"/>
          <w:color w:val="auto"/>
          <w:kern w:val="0"/>
          <w:sz w:val="24"/>
          <w:szCs w:val="24"/>
          <w:highlight w:val="none"/>
        </w:rPr>
        <w:t>本公司郑重声明，根据《政府采购促进中小企业发展管理办法》（财库﹝2020﹞ 46 号）的规定，本公司参加</w:t>
      </w:r>
      <w:r>
        <w:rPr>
          <w:rFonts w:ascii="宋体" w:hAnsi="宋体" w:cs="宋体"/>
          <w:color w:val="auto"/>
          <w:kern w:val="0"/>
          <w:sz w:val="24"/>
          <w:szCs w:val="24"/>
          <w:highlight w:val="none"/>
          <w:u w:val="single"/>
        </w:rPr>
        <w:t xml:space="preserve">                     </w:t>
      </w:r>
      <w:r>
        <w:rPr>
          <w:rFonts w:ascii="宋体" w:hAnsi="宋体" w:cs="宋体"/>
          <w:color w:val="auto"/>
          <w:kern w:val="0"/>
          <w:sz w:val="24"/>
          <w:szCs w:val="24"/>
          <w:highlight w:val="none"/>
        </w:rPr>
        <w:t>采购活动，</w:t>
      </w:r>
      <w:r>
        <w:rPr>
          <w:rFonts w:hint="eastAsia" w:ascii="宋体" w:hAnsi="宋体" w:cs="宋体"/>
          <w:color w:val="auto"/>
          <w:kern w:val="0"/>
          <w:sz w:val="24"/>
          <w:szCs w:val="24"/>
          <w:highlight w:val="none"/>
        </w:rPr>
        <w:t>服务全部由符合政策要求的中小企业承接。</w:t>
      </w:r>
      <w:r>
        <w:rPr>
          <w:rFonts w:ascii="宋体" w:hAnsi="宋体" w:cs="宋体"/>
          <w:color w:val="auto"/>
          <w:kern w:val="0"/>
          <w:sz w:val="24"/>
          <w:szCs w:val="24"/>
          <w:highlight w:val="none"/>
        </w:rPr>
        <w:t>企业的具体情况如下：</w:t>
      </w:r>
    </w:p>
    <w:p w14:paraId="3E96F68B">
      <w:pPr>
        <w:widowControl/>
        <w:spacing w:line="276" w:lineRule="auto"/>
        <w:ind w:firstLine="480" w:firstLineChars="200"/>
        <w:jc w:val="left"/>
        <w:rPr>
          <w:rFonts w:hint="eastAsia" w:ascii="宋体" w:hAnsi="宋体" w:cs="宋体"/>
          <w:color w:val="auto"/>
          <w:kern w:val="0"/>
          <w:sz w:val="24"/>
          <w:szCs w:val="24"/>
          <w:highlight w:val="none"/>
        </w:rPr>
      </w:pPr>
      <w:r>
        <w:rPr>
          <w:rFonts w:ascii="宋体" w:hAnsi="宋体" w:cs="宋体"/>
          <w:color w:val="auto"/>
          <w:kern w:val="0"/>
          <w:sz w:val="24"/>
          <w:szCs w:val="24"/>
          <w:highlight w:val="none"/>
        </w:rPr>
        <w:t xml:space="preserve">1. </w:t>
      </w:r>
      <w:r>
        <w:rPr>
          <w:rFonts w:ascii="宋体" w:hAnsi="宋体" w:cs="宋体"/>
          <w:color w:val="auto"/>
          <w:kern w:val="0"/>
          <w:sz w:val="24"/>
          <w:szCs w:val="24"/>
          <w:highlight w:val="none"/>
          <w:u w:val="single"/>
        </w:rPr>
        <w:t>（标的名称）</w:t>
      </w:r>
      <w:r>
        <w:rPr>
          <w:rFonts w:ascii="宋体" w:hAnsi="宋体" w:cs="宋体"/>
          <w:color w:val="auto"/>
          <w:kern w:val="0"/>
          <w:sz w:val="24"/>
          <w:szCs w:val="24"/>
          <w:highlight w:val="none"/>
        </w:rPr>
        <w:t>，属于</w:t>
      </w:r>
      <w:r>
        <w:rPr>
          <w:rFonts w:ascii="宋体" w:hAnsi="宋体" w:cs="宋体"/>
          <w:color w:val="auto"/>
          <w:kern w:val="0"/>
          <w:sz w:val="24"/>
          <w:szCs w:val="24"/>
          <w:highlight w:val="none"/>
          <w:u w:val="single"/>
        </w:rPr>
        <w:t>（采购文件中明确的所属行业）行业</w:t>
      </w:r>
      <w:r>
        <w:rPr>
          <w:rFonts w:ascii="宋体" w:hAnsi="宋体" w:cs="宋体"/>
          <w:color w:val="auto"/>
          <w:kern w:val="0"/>
          <w:sz w:val="24"/>
          <w:szCs w:val="24"/>
          <w:highlight w:val="none"/>
        </w:rPr>
        <w:t>；承接企业为</w:t>
      </w:r>
      <w:r>
        <w:rPr>
          <w:rFonts w:ascii="宋体" w:hAnsi="宋体" w:cs="宋体"/>
          <w:color w:val="auto"/>
          <w:kern w:val="0"/>
          <w:sz w:val="24"/>
          <w:szCs w:val="24"/>
          <w:highlight w:val="none"/>
          <w:u w:val="single"/>
        </w:rPr>
        <w:t>（企业名称）</w:t>
      </w:r>
      <w:r>
        <w:rPr>
          <w:rFonts w:ascii="宋体" w:hAnsi="宋体" w:cs="宋体"/>
          <w:color w:val="auto"/>
          <w:kern w:val="0"/>
          <w:sz w:val="24"/>
          <w:szCs w:val="24"/>
          <w:highlight w:val="none"/>
        </w:rPr>
        <w:t>，从业人员</w:t>
      </w:r>
      <w:r>
        <w:rPr>
          <w:rFonts w:hint="eastAsia" w:ascii="宋体" w:hAnsi="宋体" w:cs="宋体"/>
          <w:color w:val="auto"/>
          <w:kern w:val="0"/>
          <w:sz w:val="24"/>
          <w:szCs w:val="24"/>
          <w:highlight w:val="none"/>
          <w:u w:val="single"/>
        </w:rPr>
        <w:t xml:space="preserve"> </w:t>
      </w:r>
      <w:r>
        <w:rPr>
          <w:rFonts w:ascii="宋体" w:hAnsi="宋体" w:cs="宋体"/>
          <w:color w:val="auto"/>
          <w:kern w:val="0"/>
          <w:sz w:val="24"/>
          <w:szCs w:val="24"/>
          <w:highlight w:val="none"/>
          <w:u w:val="single"/>
        </w:rPr>
        <w:t xml:space="preserve">  </w:t>
      </w:r>
      <w:r>
        <w:rPr>
          <w:rFonts w:ascii="宋体" w:hAnsi="宋体" w:cs="宋体"/>
          <w:color w:val="auto"/>
          <w:kern w:val="0"/>
          <w:sz w:val="24"/>
          <w:szCs w:val="24"/>
          <w:highlight w:val="none"/>
        </w:rPr>
        <w:t>人，营业收入为</w:t>
      </w:r>
      <w:r>
        <w:rPr>
          <w:rFonts w:ascii="宋体" w:hAnsi="宋体" w:cs="宋体"/>
          <w:color w:val="auto"/>
          <w:kern w:val="0"/>
          <w:sz w:val="24"/>
          <w:szCs w:val="24"/>
          <w:highlight w:val="none"/>
          <w:u w:val="single"/>
        </w:rPr>
        <w:t xml:space="preserve">  </w:t>
      </w:r>
      <w:r>
        <w:rPr>
          <w:rFonts w:ascii="宋体" w:hAnsi="宋体" w:cs="宋体"/>
          <w:color w:val="auto"/>
          <w:kern w:val="0"/>
          <w:sz w:val="24"/>
          <w:szCs w:val="24"/>
          <w:highlight w:val="none"/>
        </w:rPr>
        <w:t>万元，资产总额为</w:t>
      </w:r>
      <w:r>
        <w:rPr>
          <w:rFonts w:hint="eastAsia" w:ascii="宋体" w:hAnsi="宋体" w:cs="宋体"/>
          <w:color w:val="auto"/>
          <w:kern w:val="0"/>
          <w:sz w:val="24"/>
          <w:szCs w:val="24"/>
          <w:highlight w:val="none"/>
          <w:u w:val="single"/>
        </w:rPr>
        <w:t xml:space="preserve"> </w:t>
      </w:r>
      <w:r>
        <w:rPr>
          <w:rFonts w:ascii="宋体" w:hAnsi="宋体" w:cs="宋体"/>
          <w:color w:val="auto"/>
          <w:kern w:val="0"/>
          <w:sz w:val="24"/>
          <w:szCs w:val="24"/>
          <w:highlight w:val="none"/>
          <w:u w:val="single"/>
        </w:rPr>
        <w:t xml:space="preserve"> </w:t>
      </w:r>
      <w:r>
        <w:rPr>
          <w:rFonts w:ascii="宋体" w:hAnsi="宋体" w:cs="宋体"/>
          <w:color w:val="auto"/>
          <w:kern w:val="0"/>
          <w:sz w:val="24"/>
          <w:szCs w:val="24"/>
          <w:highlight w:val="none"/>
        </w:rPr>
        <w:t>万元</w:t>
      </w:r>
      <w:r>
        <w:rPr>
          <w:rFonts w:ascii="宋体" w:hAnsi="宋体" w:cs="宋体"/>
          <w:color w:val="auto"/>
          <w:kern w:val="0"/>
          <w:sz w:val="24"/>
          <w:szCs w:val="24"/>
          <w:highlight w:val="none"/>
          <w:vertAlign w:val="superscript"/>
        </w:rPr>
        <w:t>1</w:t>
      </w:r>
      <w:r>
        <w:rPr>
          <w:rFonts w:ascii="宋体" w:hAnsi="宋体" w:cs="宋体"/>
          <w:color w:val="auto"/>
          <w:kern w:val="0"/>
          <w:sz w:val="24"/>
          <w:szCs w:val="24"/>
          <w:highlight w:val="none"/>
        </w:rPr>
        <w:t>，属于</w:t>
      </w:r>
      <w:r>
        <w:rPr>
          <w:rFonts w:hint="eastAsia" w:ascii="宋体" w:hAnsi="宋体" w:cs="宋体"/>
          <w:color w:val="auto"/>
          <w:kern w:val="0"/>
          <w:sz w:val="24"/>
          <w:szCs w:val="24"/>
          <w:highlight w:val="none"/>
          <w:u w:val="single"/>
        </w:rPr>
        <w:t xml:space="preserve"> </w:t>
      </w:r>
      <w:r>
        <w:rPr>
          <w:rFonts w:ascii="宋体" w:hAnsi="宋体" w:cs="宋体"/>
          <w:color w:val="auto"/>
          <w:kern w:val="0"/>
          <w:sz w:val="24"/>
          <w:szCs w:val="24"/>
          <w:highlight w:val="none"/>
          <w:u w:val="single"/>
        </w:rPr>
        <w:t xml:space="preserve">   </w:t>
      </w:r>
      <w:r>
        <w:rPr>
          <w:rFonts w:ascii="宋体" w:hAnsi="宋体" w:cs="宋体"/>
          <w:color w:val="auto"/>
          <w:kern w:val="0"/>
          <w:sz w:val="24"/>
          <w:szCs w:val="24"/>
          <w:highlight w:val="none"/>
        </w:rPr>
        <w:t>（</w:t>
      </w:r>
      <w:r>
        <w:rPr>
          <w:rFonts w:ascii="宋体" w:hAnsi="宋体" w:cs="宋体"/>
          <w:color w:val="auto"/>
          <w:kern w:val="0"/>
          <w:sz w:val="24"/>
          <w:szCs w:val="24"/>
          <w:highlight w:val="none"/>
          <w:u w:val="single"/>
        </w:rPr>
        <w:t>中型企业、小型企业、微型企业</w:t>
      </w:r>
      <w:r>
        <w:rPr>
          <w:rFonts w:ascii="宋体" w:hAnsi="宋体" w:cs="宋体"/>
          <w:color w:val="auto"/>
          <w:kern w:val="0"/>
          <w:sz w:val="24"/>
          <w:szCs w:val="24"/>
          <w:highlight w:val="none"/>
        </w:rPr>
        <w:t>）；</w:t>
      </w:r>
    </w:p>
    <w:p w14:paraId="0143B5F2">
      <w:pPr>
        <w:widowControl/>
        <w:spacing w:line="276" w:lineRule="auto"/>
        <w:ind w:firstLine="480" w:firstLineChars="200"/>
        <w:jc w:val="left"/>
        <w:rPr>
          <w:rFonts w:hint="eastAsia" w:ascii="宋体" w:hAnsi="宋体" w:cs="宋体"/>
          <w:color w:val="auto"/>
          <w:kern w:val="0"/>
          <w:sz w:val="24"/>
          <w:szCs w:val="24"/>
          <w:highlight w:val="none"/>
        </w:rPr>
      </w:pPr>
      <w:r>
        <w:rPr>
          <w:rFonts w:ascii="宋体" w:hAnsi="宋体" w:cs="宋体"/>
          <w:color w:val="auto"/>
          <w:kern w:val="0"/>
          <w:sz w:val="24"/>
          <w:szCs w:val="24"/>
          <w:highlight w:val="none"/>
        </w:rPr>
        <w:t>以上企业，不属于大企业的分支机构，不存在控股股东为大企业的情形，也不存在与大企业的负责人为同一人的情形。</w:t>
      </w:r>
    </w:p>
    <w:p w14:paraId="088425E5">
      <w:pPr>
        <w:widowControl/>
        <w:spacing w:line="276" w:lineRule="auto"/>
        <w:ind w:firstLine="480" w:firstLineChars="200"/>
        <w:jc w:val="left"/>
        <w:rPr>
          <w:rFonts w:hint="eastAsia" w:ascii="宋体" w:hAnsi="宋体" w:cs="宋体"/>
          <w:color w:val="auto"/>
          <w:kern w:val="0"/>
          <w:sz w:val="24"/>
          <w:szCs w:val="24"/>
          <w:highlight w:val="none"/>
        </w:rPr>
      </w:pPr>
      <w:r>
        <w:rPr>
          <w:rFonts w:ascii="宋体" w:hAnsi="宋体" w:cs="宋体"/>
          <w:color w:val="auto"/>
          <w:kern w:val="0"/>
          <w:sz w:val="24"/>
          <w:szCs w:val="24"/>
          <w:highlight w:val="none"/>
        </w:rPr>
        <w:t>本企业对上述声明内容的真实性负责。如有虚假，将依法承担相应责任。</w:t>
      </w:r>
    </w:p>
    <w:p w14:paraId="7714A94E">
      <w:pPr>
        <w:widowControl/>
        <w:wordWrap w:val="0"/>
        <w:spacing w:line="276" w:lineRule="auto"/>
        <w:ind w:right="960" w:firstLine="5040" w:firstLineChars="2100"/>
        <w:rPr>
          <w:rFonts w:hint="eastAsia" w:ascii="宋体" w:hAnsi="宋体" w:cs="宋体"/>
          <w:color w:val="auto"/>
          <w:kern w:val="0"/>
          <w:sz w:val="24"/>
          <w:szCs w:val="24"/>
          <w:highlight w:val="none"/>
        </w:rPr>
      </w:pPr>
      <w:r>
        <w:rPr>
          <w:rFonts w:ascii="宋体" w:hAnsi="宋体" w:cs="宋体"/>
          <w:color w:val="auto"/>
          <w:kern w:val="0"/>
          <w:sz w:val="24"/>
          <w:szCs w:val="24"/>
          <w:highlight w:val="none"/>
        </w:rPr>
        <w:t>企业名称（盖章）：</w:t>
      </w:r>
    </w:p>
    <w:p w14:paraId="008DC337">
      <w:pPr>
        <w:widowControl/>
        <w:wordWrap w:val="0"/>
        <w:spacing w:line="276" w:lineRule="auto"/>
        <w:ind w:firstLine="480" w:firstLineChars="200"/>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 xml:space="preserve"> </w:t>
      </w:r>
      <w:r>
        <w:rPr>
          <w:rFonts w:ascii="宋体" w:hAnsi="宋体" w:cs="宋体"/>
          <w:color w:val="auto"/>
          <w:kern w:val="0"/>
          <w:sz w:val="24"/>
          <w:szCs w:val="24"/>
          <w:highlight w:val="none"/>
        </w:rPr>
        <w:t xml:space="preserve">    日期：</w:t>
      </w:r>
    </w:p>
    <w:p w14:paraId="27A24A74">
      <w:pPr>
        <w:spacing w:line="276" w:lineRule="auto"/>
        <w:ind w:firstLine="480" w:firstLineChars="200"/>
        <w:rPr>
          <w:rFonts w:hint="eastAsia" w:ascii="宋体" w:hAnsi="宋体" w:cs="宋体"/>
          <w:color w:val="auto"/>
          <w:kern w:val="0"/>
          <w:sz w:val="24"/>
          <w:szCs w:val="24"/>
          <w:highlight w:val="none"/>
        </w:rPr>
      </w:pPr>
      <w:r>
        <w:rPr>
          <w:rFonts w:ascii="宋体" w:hAnsi="宋体" w:cs="宋体"/>
          <w:color w:val="auto"/>
          <w:kern w:val="0"/>
          <w:sz w:val="24"/>
          <w:szCs w:val="24"/>
          <w:highlight w:val="none"/>
          <w:vertAlign w:val="superscript"/>
        </w:rPr>
        <w:t>1</w:t>
      </w:r>
      <w:r>
        <w:rPr>
          <w:rFonts w:ascii="宋体" w:hAnsi="宋体" w:cs="宋体"/>
          <w:color w:val="auto"/>
          <w:kern w:val="0"/>
          <w:sz w:val="24"/>
          <w:szCs w:val="24"/>
          <w:highlight w:val="none"/>
        </w:rPr>
        <w:t>从业人员、营业收入、资产总额填报上一年度数据，无上一年度数据的新成立企业可不填报。</w:t>
      </w:r>
    </w:p>
    <w:p w14:paraId="09BB5C19">
      <w:pPr>
        <w:autoSpaceDE w:val="0"/>
        <w:autoSpaceDN w:val="0"/>
        <w:adjustRightInd w:val="0"/>
        <w:spacing w:line="276" w:lineRule="auto"/>
        <w:jc w:val="center"/>
        <w:rPr>
          <w:rFonts w:hint="eastAsia" w:ascii="宋体" w:hAnsi="宋体" w:cs="宋体"/>
          <w:b/>
          <w:color w:val="auto"/>
          <w:sz w:val="32"/>
          <w:szCs w:val="32"/>
          <w:highlight w:val="none"/>
        </w:rPr>
      </w:pPr>
    </w:p>
    <w:p w14:paraId="5962722A">
      <w:pPr>
        <w:pStyle w:val="27"/>
        <w:spacing w:line="276" w:lineRule="auto"/>
        <w:rPr>
          <w:rFonts w:hint="eastAsia" w:ascii="宋体" w:hAnsi="宋体" w:cs="宋体"/>
          <w:color w:val="auto"/>
          <w:highlight w:val="none"/>
        </w:rPr>
      </w:pPr>
    </w:p>
    <w:p w14:paraId="57C60965">
      <w:pPr>
        <w:widowControl/>
        <w:wordWrap w:val="0"/>
        <w:spacing w:line="276" w:lineRule="auto"/>
        <w:ind w:right="960" w:firstLine="0" w:firstLineChars="0"/>
        <w:jc w:val="both"/>
        <w:rPr>
          <w:rFonts w:hint="default" w:ascii="宋体" w:hAnsi="宋体" w:cs="宋体"/>
          <w:b w:val="0"/>
          <w:color w:val="auto"/>
          <w:kern w:val="0"/>
          <w:sz w:val="24"/>
          <w:szCs w:val="24"/>
          <w:highlight w:val="none"/>
          <w:lang w:val="en-US" w:eastAsia="zh-CN"/>
        </w:rPr>
      </w:pPr>
      <w:r>
        <w:rPr>
          <w:rFonts w:hint="default" w:ascii="宋体" w:hAnsi="宋体" w:cs="宋体"/>
          <w:b w:val="0"/>
          <w:color w:val="auto"/>
          <w:kern w:val="0"/>
          <w:sz w:val="24"/>
          <w:szCs w:val="24"/>
          <w:highlight w:val="none"/>
          <w:lang w:val="en-US" w:eastAsia="zh-CN"/>
        </w:rPr>
        <w:t>13技术方案：</w:t>
      </w:r>
    </w:p>
    <w:p w14:paraId="71923F9F">
      <w:pPr>
        <w:widowControl/>
        <w:wordWrap w:val="0"/>
        <w:spacing w:line="276" w:lineRule="auto"/>
        <w:ind w:right="960" w:firstLine="0" w:firstLineChars="0"/>
        <w:rPr>
          <w:rFonts w:hint="eastAsia" w:ascii="宋体" w:hAnsi="宋体" w:cs="宋体"/>
          <w:b w:val="0"/>
          <w:color w:val="auto"/>
          <w:kern w:val="0"/>
          <w:sz w:val="24"/>
          <w:szCs w:val="24"/>
          <w:highlight w:val="none"/>
          <w:lang w:val="en-US" w:eastAsia="zh-CN"/>
        </w:rPr>
      </w:pPr>
      <w:r>
        <w:rPr>
          <w:rFonts w:hint="default" w:ascii="宋体" w:hAnsi="宋体" w:cs="宋体"/>
          <w:b w:val="0"/>
          <w:color w:val="auto"/>
          <w:kern w:val="0"/>
          <w:sz w:val="24"/>
          <w:szCs w:val="24"/>
          <w:highlight w:val="none"/>
          <w:lang w:val="en-US" w:eastAsia="zh-CN"/>
        </w:rPr>
        <w:t>包括但不限于</w:t>
      </w:r>
      <w:r>
        <w:rPr>
          <w:rFonts w:hint="eastAsia" w:ascii="宋体" w:hAnsi="宋体" w:cs="宋体"/>
          <w:b w:val="0"/>
          <w:color w:val="auto"/>
          <w:kern w:val="0"/>
          <w:sz w:val="24"/>
          <w:szCs w:val="24"/>
          <w:highlight w:val="none"/>
          <w:lang w:val="en-US" w:eastAsia="zh-CN"/>
        </w:rPr>
        <w:t>：</w:t>
      </w:r>
    </w:p>
    <w:p w14:paraId="5034C6EB">
      <w:pPr>
        <w:widowControl/>
        <w:wordWrap w:val="0"/>
        <w:spacing w:line="276" w:lineRule="auto"/>
        <w:ind w:right="960" w:firstLine="0" w:firstLineChars="0"/>
        <w:rPr>
          <w:rFonts w:hint="default" w:ascii="宋体" w:hAnsi="宋体" w:cs="宋体"/>
          <w:b w:val="0"/>
          <w:color w:val="auto"/>
          <w:kern w:val="0"/>
          <w:sz w:val="24"/>
          <w:szCs w:val="24"/>
          <w:highlight w:val="none"/>
          <w:lang w:val="en-US" w:eastAsia="zh-CN"/>
        </w:rPr>
      </w:pPr>
    </w:p>
    <w:p w14:paraId="4FF59499">
      <w:pPr>
        <w:widowControl/>
        <w:numPr>
          <w:ilvl w:val="0"/>
          <w:numId w:val="31"/>
        </w:numPr>
        <w:wordWrap w:val="0"/>
        <w:spacing w:line="276" w:lineRule="auto"/>
        <w:ind w:right="960" w:firstLine="400" w:firstLineChars="0"/>
        <w:rPr>
          <w:rFonts w:hint="default" w:ascii="宋体" w:hAnsi="宋体" w:cs="宋体"/>
          <w:color w:val="auto"/>
          <w:kern w:val="0"/>
          <w:sz w:val="24"/>
          <w:szCs w:val="24"/>
          <w:highlight w:val="none"/>
          <w:lang w:val="en-US" w:eastAsia="zh-CN"/>
        </w:rPr>
      </w:pPr>
      <w:r>
        <w:rPr>
          <w:rFonts w:hint="default" w:ascii="宋体" w:hAnsi="宋体" w:cs="宋体"/>
          <w:color w:val="auto"/>
          <w:kern w:val="0"/>
          <w:sz w:val="24"/>
          <w:szCs w:val="24"/>
          <w:highlight w:val="none"/>
          <w:lang w:val="en-US" w:eastAsia="zh-CN"/>
        </w:rPr>
        <w:t>渗透测试服务方案</w:t>
      </w:r>
    </w:p>
    <w:p w14:paraId="53C2E391">
      <w:pPr>
        <w:widowControl/>
        <w:numPr>
          <w:ilvl w:val="0"/>
          <w:numId w:val="31"/>
        </w:numPr>
        <w:wordWrap w:val="0"/>
        <w:spacing w:line="276" w:lineRule="auto"/>
        <w:ind w:right="960" w:firstLine="400" w:firstLineChars="0"/>
        <w:rPr>
          <w:rFonts w:hint="default" w:ascii="宋体" w:hAnsi="宋体" w:cs="宋体"/>
          <w:color w:val="auto"/>
          <w:kern w:val="0"/>
          <w:sz w:val="24"/>
          <w:szCs w:val="24"/>
          <w:highlight w:val="none"/>
          <w:lang w:val="en-US" w:eastAsia="zh-CN"/>
        </w:rPr>
      </w:pPr>
      <w:r>
        <w:rPr>
          <w:rFonts w:hint="default" w:ascii="宋体" w:hAnsi="宋体" w:cs="宋体"/>
          <w:color w:val="auto"/>
          <w:kern w:val="0"/>
          <w:sz w:val="24"/>
          <w:szCs w:val="24"/>
          <w:highlight w:val="none"/>
          <w:lang w:val="en-US" w:eastAsia="zh-CN"/>
        </w:rPr>
        <w:t>网络安全等级保护方案</w:t>
      </w:r>
    </w:p>
    <w:p w14:paraId="79DC8257">
      <w:pPr>
        <w:widowControl/>
        <w:numPr>
          <w:ilvl w:val="0"/>
          <w:numId w:val="31"/>
        </w:numPr>
        <w:wordWrap w:val="0"/>
        <w:spacing w:line="276" w:lineRule="auto"/>
        <w:ind w:right="960" w:firstLine="400" w:firstLineChars="0"/>
        <w:rPr>
          <w:rFonts w:hint="default" w:ascii="宋体" w:hAnsi="宋体" w:cs="宋体"/>
          <w:color w:val="auto"/>
          <w:kern w:val="0"/>
          <w:sz w:val="24"/>
          <w:szCs w:val="24"/>
          <w:highlight w:val="none"/>
          <w:lang w:val="en-US" w:eastAsia="zh-CN"/>
        </w:rPr>
      </w:pPr>
      <w:r>
        <w:rPr>
          <w:rFonts w:hint="default" w:ascii="宋体" w:hAnsi="宋体" w:cs="宋体"/>
          <w:color w:val="auto"/>
          <w:kern w:val="0"/>
          <w:sz w:val="24"/>
          <w:szCs w:val="24"/>
          <w:highlight w:val="none"/>
          <w:lang w:val="en-US" w:eastAsia="zh-CN"/>
        </w:rPr>
        <w:t>安全服务工具先进性说明</w:t>
      </w:r>
    </w:p>
    <w:p w14:paraId="072C1D1C">
      <w:pPr>
        <w:widowControl/>
        <w:numPr>
          <w:ilvl w:val="0"/>
          <w:numId w:val="31"/>
        </w:numPr>
        <w:wordWrap w:val="0"/>
        <w:spacing w:line="276" w:lineRule="auto"/>
        <w:ind w:right="960" w:firstLine="400" w:firstLineChars="0"/>
        <w:rPr>
          <w:rFonts w:hint="default" w:ascii="宋体" w:hAnsi="宋体" w:cs="宋体"/>
          <w:color w:val="auto"/>
          <w:kern w:val="0"/>
          <w:sz w:val="24"/>
          <w:szCs w:val="24"/>
          <w:highlight w:val="none"/>
          <w:lang w:val="en-US" w:eastAsia="zh-CN"/>
        </w:rPr>
      </w:pPr>
      <w:r>
        <w:rPr>
          <w:rFonts w:hint="default" w:ascii="宋体" w:hAnsi="宋体" w:cs="宋体"/>
          <w:color w:val="auto"/>
          <w:kern w:val="0"/>
          <w:sz w:val="24"/>
          <w:szCs w:val="24"/>
          <w:highlight w:val="none"/>
          <w:lang w:val="en-US" w:eastAsia="zh-CN"/>
        </w:rPr>
        <w:t>培训方案</w:t>
      </w:r>
    </w:p>
    <w:p w14:paraId="4D651BBB">
      <w:pPr>
        <w:widowControl/>
        <w:numPr>
          <w:ilvl w:val="0"/>
          <w:numId w:val="31"/>
        </w:numPr>
        <w:wordWrap w:val="0"/>
        <w:spacing w:line="276" w:lineRule="auto"/>
        <w:ind w:right="960" w:firstLine="400" w:firstLineChars="0"/>
        <w:rPr>
          <w:rFonts w:hint="default" w:ascii="宋体" w:hAnsi="宋体" w:cs="宋体"/>
          <w:color w:val="auto"/>
          <w:kern w:val="0"/>
          <w:sz w:val="24"/>
          <w:szCs w:val="24"/>
          <w:highlight w:val="none"/>
          <w:lang w:val="en-US" w:eastAsia="zh-CN"/>
        </w:rPr>
      </w:pPr>
      <w:r>
        <w:rPr>
          <w:rFonts w:hint="default" w:ascii="宋体" w:hAnsi="宋体" w:cs="宋体"/>
          <w:color w:val="auto"/>
          <w:kern w:val="0"/>
          <w:sz w:val="24"/>
          <w:szCs w:val="24"/>
          <w:highlight w:val="none"/>
          <w:lang w:val="en-US" w:eastAsia="zh-CN"/>
        </w:rPr>
        <w:t>应急保障方案</w:t>
      </w:r>
    </w:p>
    <w:p w14:paraId="527F545D">
      <w:pPr>
        <w:widowControl/>
        <w:numPr>
          <w:ilvl w:val="0"/>
          <w:numId w:val="31"/>
        </w:numPr>
        <w:wordWrap w:val="0"/>
        <w:spacing w:line="276" w:lineRule="auto"/>
        <w:ind w:right="960" w:firstLine="400" w:firstLineChars="0"/>
        <w:rPr>
          <w:rFonts w:hint="default" w:ascii="宋体" w:hAnsi="宋体" w:cs="宋体"/>
          <w:color w:val="auto"/>
          <w:kern w:val="0"/>
          <w:sz w:val="24"/>
          <w:szCs w:val="24"/>
          <w:highlight w:val="none"/>
          <w:lang w:val="en-US" w:eastAsia="zh-CN"/>
        </w:rPr>
      </w:pPr>
      <w:r>
        <w:rPr>
          <w:rFonts w:hint="default" w:ascii="宋体" w:hAnsi="宋体" w:cs="宋体"/>
          <w:color w:val="auto"/>
          <w:kern w:val="0"/>
          <w:sz w:val="24"/>
          <w:szCs w:val="24"/>
          <w:highlight w:val="none"/>
          <w:lang w:val="en-US" w:eastAsia="zh-CN"/>
        </w:rPr>
        <w:t>售后服务承诺</w:t>
      </w:r>
    </w:p>
    <w:p w14:paraId="36B634EC">
      <w:pPr>
        <w:pageBreakBefore/>
        <w:spacing w:line="276" w:lineRule="auto"/>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 xml:space="preserve">附表：退磋商响应保证金的函 </w:t>
      </w:r>
    </w:p>
    <w:p w14:paraId="70906AE7">
      <w:pPr>
        <w:spacing w:line="276" w:lineRule="auto"/>
        <w:rPr>
          <w:rFonts w:hint="eastAsia" w:ascii="宋体" w:hAnsi="宋体" w:cs="宋体"/>
          <w:color w:val="auto"/>
          <w:sz w:val="28"/>
          <w:szCs w:val="28"/>
          <w:highlight w:val="none"/>
        </w:rPr>
      </w:pPr>
    </w:p>
    <w:p w14:paraId="35D156DD">
      <w:pPr>
        <w:spacing w:line="276"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招标一部（收）：</w:t>
      </w:r>
    </w:p>
    <w:p w14:paraId="01595E2C">
      <w:pPr>
        <w:spacing w:line="276" w:lineRule="auto"/>
        <w:rPr>
          <w:rFonts w:hint="eastAsia" w:ascii="宋体" w:hAnsi="宋体" w:cs="宋体"/>
          <w:color w:val="auto"/>
          <w:sz w:val="24"/>
          <w:szCs w:val="24"/>
          <w:highlight w:val="none"/>
        </w:rPr>
      </w:pPr>
    </w:p>
    <w:p w14:paraId="5FA67F63">
      <w:pPr>
        <w:spacing w:line="276"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公司名称：                                            </w:t>
      </w:r>
    </w:p>
    <w:p w14:paraId="3045BC7B">
      <w:pPr>
        <w:spacing w:line="276"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开户行名称：                                          </w:t>
      </w:r>
    </w:p>
    <w:p w14:paraId="24C8EFFC">
      <w:pPr>
        <w:spacing w:line="276"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账号（基本账户）：                                     </w:t>
      </w:r>
    </w:p>
    <w:p w14:paraId="7A44176A">
      <w:pPr>
        <w:spacing w:line="276"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税      号：                                          </w:t>
      </w:r>
    </w:p>
    <w:p w14:paraId="3AA84E43">
      <w:pPr>
        <w:spacing w:line="276"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联系人姓名：                                          </w:t>
      </w:r>
    </w:p>
    <w:p w14:paraId="1898F62C">
      <w:pPr>
        <w:spacing w:line="276"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联系电话：                                            </w:t>
      </w:r>
    </w:p>
    <w:p w14:paraId="01178AFF">
      <w:pPr>
        <w:spacing w:line="276"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磋商项目名称：                                        </w:t>
      </w:r>
    </w:p>
    <w:p w14:paraId="5BFCA553">
      <w:pPr>
        <w:spacing w:line="276"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磋商项目编号：                                        </w:t>
      </w:r>
    </w:p>
    <w:p w14:paraId="258A630A">
      <w:pPr>
        <w:spacing w:line="276"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磋商响应保证金的形式：              </w:t>
      </w:r>
    </w:p>
    <w:p w14:paraId="42154CB2">
      <w:pPr>
        <w:spacing w:line="276"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磋商响应保证金的金额：                                          </w:t>
      </w:r>
    </w:p>
    <w:p w14:paraId="3537168A">
      <w:pPr>
        <w:spacing w:line="276"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（注：如果是个人姓名的汇款，请附汇款人的身份证复印件）</w:t>
      </w:r>
    </w:p>
    <w:p w14:paraId="23393486">
      <w:pPr>
        <w:spacing w:line="276"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w:t>
      </w:r>
    </w:p>
    <w:p w14:paraId="76949172">
      <w:pPr>
        <w:spacing w:line="276"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备注：成交结果公示期满后，请将以上退款信息</w:t>
      </w:r>
    </w:p>
    <w:p w14:paraId="6598AA7F">
      <w:pPr>
        <w:spacing w:line="276" w:lineRule="auto"/>
        <w:rPr>
          <w:rFonts w:hint="eastAsia" w:ascii="宋体" w:hAnsi="宋体" w:cs="宋体"/>
          <w:color w:val="auto"/>
          <w:sz w:val="22"/>
          <w:szCs w:val="18"/>
          <w:highlight w:val="none"/>
        </w:rPr>
      </w:pPr>
      <w:r>
        <w:rPr>
          <w:rFonts w:hint="eastAsia" w:ascii="宋体" w:hAnsi="宋体" w:cs="宋体"/>
          <w:color w:val="auto"/>
          <w:sz w:val="24"/>
          <w:szCs w:val="24"/>
          <w:highlight w:val="none"/>
        </w:rPr>
        <w:t>加盖公章邮件至新疆招标有限公司，邮箱：</w:t>
      </w:r>
      <w:r>
        <w:rPr>
          <w:rFonts w:hint="eastAsia" w:ascii="宋体" w:hAnsi="宋体" w:cs="宋体"/>
          <w:color w:val="auto"/>
          <w:sz w:val="24"/>
          <w:szCs w:val="24"/>
          <w:highlight w:val="none"/>
          <w:lang w:eastAsia="zh-CN"/>
        </w:rPr>
        <w:t>1459486195</w:t>
      </w:r>
      <w:r>
        <w:rPr>
          <w:rFonts w:hint="eastAsia" w:ascii="宋体" w:hAnsi="宋体" w:cs="宋体"/>
          <w:color w:val="auto"/>
          <w:sz w:val="24"/>
          <w:szCs w:val="24"/>
          <w:highlight w:val="none"/>
        </w:rPr>
        <w:t>@qq.com，我公司收到退款信息后，在3～5个工作日内，将磋商响应保证金余额电汇至磋商单位的基本账户，附开户许可证。</w:t>
      </w:r>
    </w:p>
    <w:sectPr>
      <w:headerReference r:id="rId7" w:type="default"/>
      <w:pgSz w:w="11907" w:h="16840"/>
      <w:pgMar w:top="1440" w:right="1080" w:bottom="1440" w:left="1080" w:header="851" w:footer="68" w:gutter="0"/>
      <w:pgNumType w:fmt="decimal"/>
      <w:cols w:space="720" w:num="1"/>
      <w:titlePg/>
      <w:docGrid w:type="lines" w:linePitch="40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Cambria">
    <w:panose1 w:val="02040503050406030204"/>
    <w:charset w:val="00"/>
    <w:family w:val="roman"/>
    <w:pitch w:val="default"/>
    <w:sig w:usb0="E00006FF" w:usb1="420024FF" w:usb2="02000000" w:usb3="00000000" w:csb0="2000019F" w:csb1="00000000"/>
  </w:font>
  <w:font w:name="Helvetica">
    <w:altName w:val="Arial"/>
    <w:panose1 w:val="020B0604020202020204"/>
    <w:charset w:val="00"/>
    <w:family w:val="swiss"/>
    <w:pitch w:val="default"/>
    <w:sig w:usb0="00000000" w:usb1="00000000" w:usb2="00000009" w:usb3="00000000" w:csb0="000001F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013C6D">
    <w:pPr>
      <w:pStyle w:val="26"/>
      <w:ind w:right="360"/>
      <w:jc w:val="right"/>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93FCBA">
                          <w:pPr>
                            <w:pStyle w:val="26"/>
                            <w:rPr>
                              <w:rStyle w:val="42"/>
                            </w:rPr>
                          </w:pPr>
                          <w:r>
                            <w:fldChar w:fldCharType="begin"/>
                          </w:r>
                          <w:r>
                            <w:rPr>
                              <w:rStyle w:val="42"/>
                            </w:rPr>
                            <w:instrText xml:space="preserve">PAGE  </w:instrText>
                          </w:r>
                          <w:r>
                            <w:fldChar w:fldCharType="separate"/>
                          </w:r>
                          <w:r>
                            <w:rPr>
                              <w:rStyle w:val="42"/>
                            </w:rP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093FCBA">
                    <w:pPr>
                      <w:pStyle w:val="26"/>
                      <w:rPr>
                        <w:rStyle w:val="42"/>
                      </w:rPr>
                    </w:pPr>
                    <w:r>
                      <w:fldChar w:fldCharType="begin"/>
                    </w:r>
                    <w:r>
                      <w:rPr>
                        <w:rStyle w:val="42"/>
                      </w:rPr>
                      <w:instrText xml:space="preserve">PAGE  </w:instrText>
                    </w:r>
                    <w:r>
                      <w:fldChar w:fldCharType="separate"/>
                    </w:r>
                    <w:r>
                      <w:rPr>
                        <w:rStyle w:val="42"/>
                      </w:rPr>
                      <w:t>10</w:t>
                    </w:r>
                    <w:r>
                      <w:fldChar w:fldCharType="end"/>
                    </w:r>
                  </w:p>
                </w:txbxContent>
              </v:textbox>
            </v:shape>
          </w:pict>
        </mc:Fallback>
      </mc:AlternateContent>
    </w:r>
    <w:r>
      <w:rPr>
        <w:lang w:val="zh-CN"/>
      </w:rPr>
      <w:t xml:space="preserve">  </w:t>
    </w:r>
  </w:p>
  <w:p w14:paraId="7EC49FEE">
    <w:pPr>
      <w:pStyle w:val="26"/>
    </w:pPr>
  </w:p>
  <w:p w14:paraId="485E594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E728A">
    <w:pPr>
      <w:pStyle w:val="26"/>
      <w:framePr w:wrap="around" w:vAnchor="text" w:hAnchor="margin" w:xAlign="right" w:y="1"/>
      <w:rPr>
        <w:rStyle w:val="42"/>
      </w:rPr>
    </w:pPr>
    <w:r>
      <w:fldChar w:fldCharType="begin"/>
    </w:r>
    <w:r>
      <w:rPr>
        <w:rStyle w:val="42"/>
      </w:rPr>
      <w:instrText xml:space="preserve">PAGE  </w:instrText>
    </w:r>
    <w:r>
      <w:fldChar w:fldCharType="end"/>
    </w:r>
  </w:p>
  <w:p w14:paraId="46FA2AD3">
    <w:pPr>
      <w:pStyle w:val="26"/>
      <w:ind w:right="360"/>
    </w:pPr>
  </w:p>
  <w:p w14:paraId="6598ADFB"/>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FCE401">
    <w:pPr>
      <w:pStyle w:val="26"/>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29A74E">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229A74E">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A90E1E">
    <w:pPr>
      <w:pStyle w:val="27"/>
    </w:pPr>
    <w:r>
      <w:rPr>
        <w:rFonts w:hint="eastAsia"/>
        <w:b/>
      </w:rPr>
      <w:t xml:space="preserve">磋商文件   　　　　　　                  　　　　　　　　　　　　　　　新疆招标有限公司                                      </w:t>
    </w:r>
  </w:p>
  <w:p w14:paraId="1588074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7008CA">
    <w:pPr>
      <w:pStyle w:val="27"/>
      <w:rPr>
        <w:sz w:val="21"/>
      </w:rPr>
    </w:pPr>
    <w:r>
      <w:rPr>
        <w:rFonts w:hint="eastAsia"/>
        <w:sz w:val="21"/>
      </w:rPr>
      <w:t xml:space="preserve">磋商文件                                                       新疆招标有限公司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D6EFFA"/>
    <w:multiLevelType w:val="singleLevel"/>
    <w:tmpl w:val="86D6EFFA"/>
    <w:lvl w:ilvl="0" w:tentative="0">
      <w:start w:val="1"/>
      <w:numFmt w:val="chineseCounting"/>
      <w:lvlText w:val="第%1条"/>
      <w:lvlJc w:val="left"/>
      <w:pPr>
        <w:tabs>
          <w:tab w:val="left" w:pos="210"/>
        </w:tabs>
        <w:ind w:left="0" w:firstLine="480"/>
      </w:pPr>
      <w:rPr>
        <w:rFonts w:hint="eastAsia"/>
      </w:rPr>
    </w:lvl>
  </w:abstractNum>
  <w:abstractNum w:abstractNumId="1">
    <w:nsid w:val="9A193B81"/>
    <w:multiLevelType w:val="singleLevel"/>
    <w:tmpl w:val="9A193B81"/>
    <w:lvl w:ilvl="0" w:tentative="0">
      <w:start w:val="1"/>
      <w:numFmt w:val="chineseCounting"/>
      <w:suff w:val="nothing"/>
      <w:lvlText w:val="%1、"/>
      <w:lvlJc w:val="left"/>
      <w:pPr>
        <w:ind w:left="0" w:firstLine="0"/>
      </w:pPr>
      <w:rPr>
        <w:rFonts w:hint="eastAsia"/>
      </w:rPr>
    </w:lvl>
  </w:abstractNum>
  <w:abstractNum w:abstractNumId="2">
    <w:nsid w:val="9CD0F72C"/>
    <w:multiLevelType w:val="singleLevel"/>
    <w:tmpl w:val="9CD0F72C"/>
    <w:lvl w:ilvl="0" w:tentative="0">
      <w:start w:val="1"/>
      <w:numFmt w:val="decimal"/>
      <w:lvlText w:val="%1."/>
      <w:lvlJc w:val="left"/>
      <w:pPr>
        <w:tabs>
          <w:tab w:val="left" w:pos="210"/>
        </w:tabs>
        <w:ind w:left="0" w:firstLine="480"/>
      </w:pPr>
      <w:rPr>
        <w:rFonts w:hint="default"/>
      </w:rPr>
    </w:lvl>
  </w:abstractNum>
  <w:abstractNum w:abstractNumId="3">
    <w:nsid w:val="9F5A32CB"/>
    <w:multiLevelType w:val="singleLevel"/>
    <w:tmpl w:val="9F5A32CB"/>
    <w:lvl w:ilvl="0" w:tentative="0">
      <w:start w:val="1"/>
      <w:numFmt w:val="decimal"/>
      <w:suff w:val="nothing"/>
      <w:lvlText w:val="（%1）"/>
      <w:lvlJc w:val="left"/>
      <w:pPr>
        <w:ind w:left="0" w:firstLine="480"/>
      </w:pPr>
      <w:rPr>
        <w:rFonts w:hint="default"/>
      </w:rPr>
    </w:lvl>
  </w:abstractNum>
  <w:abstractNum w:abstractNumId="4">
    <w:nsid w:val="BD23C7FA"/>
    <w:multiLevelType w:val="singleLevel"/>
    <w:tmpl w:val="BD23C7FA"/>
    <w:lvl w:ilvl="0" w:tentative="0">
      <w:start w:val="1"/>
      <w:numFmt w:val="decimal"/>
      <w:lvlText w:val="%1."/>
      <w:lvlJc w:val="left"/>
      <w:pPr>
        <w:tabs>
          <w:tab w:val="left" w:pos="210"/>
        </w:tabs>
        <w:ind w:left="0" w:firstLine="480"/>
      </w:pPr>
      <w:rPr>
        <w:rFonts w:hint="default"/>
      </w:rPr>
    </w:lvl>
  </w:abstractNum>
  <w:abstractNum w:abstractNumId="5">
    <w:nsid w:val="C5A72090"/>
    <w:multiLevelType w:val="singleLevel"/>
    <w:tmpl w:val="C5A72090"/>
    <w:lvl w:ilvl="0" w:tentative="0">
      <w:start w:val="1"/>
      <w:numFmt w:val="decimal"/>
      <w:suff w:val="nothing"/>
      <w:lvlText w:val="%1、"/>
      <w:lvlJc w:val="left"/>
    </w:lvl>
  </w:abstractNum>
  <w:abstractNum w:abstractNumId="6">
    <w:nsid w:val="C9CFFABC"/>
    <w:multiLevelType w:val="singleLevel"/>
    <w:tmpl w:val="C9CFFABC"/>
    <w:lvl w:ilvl="0" w:tentative="0">
      <w:start w:val="1"/>
      <w:numFmt w:val="decimalEnclosedCircleChinese"/>
      <w:suff w:val="nothing"/>
      <w:lvlText w:val="%1　"/>
      <w:lvlJc w:val="left"/>
      <w:pPr>
        <w:ind w:left="0" w:firstLine="400"/>
      </w:pPr>
      <w:rPr>
        <w:rFonts w:hint="eastAsia"/>
      </w:rPr>
    </w:lvl>
  </w:abstractNum>
  <w:abstractNum w:abstractNumId="7">
    <w:nsid w:val="CDF4C256"/>
    <w:multiLevelType w:val="singleLevel"/>
    <w:tmpl w:val="CDF4C256"/>
    <w:lvl w:ilvl="0" w:tentative="0">
      <w:start w:val="1"/>
      <w:numFmt w:val="decimal"/>
      <w:lvlText w:val="%1."/>
      <w:lvlJc w:val="left"/>
      <w:pPr>
        <w:tabs>
          <w:tab w:val="left" w:pos="210"/>
        </w:tabs>
        <w:ind w:left="0" w:firstLine="480"/>
      </w:pPr>
      <w:rPr>
        <w:rFonts w:hint="default"/>
      </w:rPr>
    </w:lvl>
  </w:abstractNum>
  <w:abstractNum w:abstractNumId="8">
    <w:nsid w:val="D6D377A7"/>
    <w:multiLevelType w:val="singleLevel"/>
    <w:tmpl w:val="D6D377A7"/>
    <w:lvl w:ilvl="0" w:tentative="0">
      <w:start w:val="1"/>
      <w:numFmt w:val="decimal"/>
      <w:lvlText w:val="%1."/>
      <w:lvlJc w:val="left"/>
      <w:pPr>
        <w:tabs>
          <w:tab w:val="left" w:pos="210"/>
        </w:tabs>
        <w:ind w:left="0" w:firstLine="480"/>
      </w:pPr>
      <w:rPr>
        <w:rFonts w:hint="default"/>
      </w:rPr>
    </w:lvl>
  </w:abstractNum>
  <w:abstractNum w:abstractNumId="9">
    <w:nsid w:val="DDCE796D"/>
    <w:multiLevelType w:val="multilevel"/>
    <w:tmpl w:val="DDCE796D"/>
    <w:lvl w:ilvl="0" w:tentative="0">
      <w:start w:val="1"/>
      <w:numFmt w:val="chineseCounting"/>
      <w:suff w:val="nothing"/>
      <w:lvlText w:val="（%1）"/>
      <w:lvlJc w:val="left"/>
      <w:pPr>
        <w:ind w:left="0" w:firstLine="400"/>
      </w:pPr>
      <w:rPr>
        <w:rFonts w:hint="eastAsia"/>
      </w:rPr>
    </w:lvl>
    <w:lvl w:ilvl="1" w:tentative="0">
      <w:start w:val="1"/>
      <w:numFmt w:val="decimal"/>
      <w:suff w:val="nothing"/>
      <w:lvlText w:val="%2．"/>
      <w:lvlJc w:val="left"/>
      <w:pPr>
        <w:ind w:left="0" w:firstLine="400"/>
      </w:pPr>
      <w:rPr>
        <w:rFonts w:hint="eastAsia"/>
      </w:rPr>
    </w:lvl>
    <w:lvl w:ilvl="2" w:tentative="0">
      <w:start w:val="1"/>
      <w:numFmt w:val="decimal"/>
      <w:suff w:val="nothing"/>
      <w:lvlText w:val="（%3）"/>
      <w:lvlJc w:val="left"/>
      <w:pPr>
        <w:ind w:left="0" w:firstLine="402"/>
      </w:pPr>
      <w:rPr>
        <w:rFonts w:hint="eastAsia"/>
      </w:rPr>
    </w:lvl>
    <w:lvl w:ilvl="3" w:tentative="0">
      <w:start w:val="1"/>
      <w:numFmt w:val="decimalEnclosedCircleChinese"/>
      <w:suff w:val="nothing"/>
      <w:lvlText w:val="%4 "/>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upperLetter"/>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abstractNum w:abstractNumId="10">
    <w:nsid w:val="E7FAE14F"/>
    <w:multiLevelType w:val="singleLevel"/>
    <w:tmpl w:val="E7FAE14F"/>
    <w:lvl w:ilvl="0" w:tentative="0">
      <w:start w:val="2"/>
      <w:numFmt w:val="chineseCounting"/>
      <w:suff w:val="nothing"/>
      <w:lvlText w:val="（%1）"/>
      <w:lvlJc w:val="left"/>
      <w:rPr>
        <w:rFonts w:hint="eastAsia"/>
      </w:rPr>
    </w:lvl>
  </w:abstractNum>
  <w:abstractNum w:abstractNumId="11">
    <w:nsid w:val="04AAFE75"/>
    <w:multiLevelType w:val="singleLevel"/>
    <w:tmpl w:val="04AAFE75"/>
    <w:lvl w:ilvl="0" w:tentative="0">
      <w:start w:val="1"/>
      <w:numFmt w:val="decimal"/>
      <w:suff w:val="space"/>
      <w:lvlText w:val="%1."/>
      <w:lvlJc w:val="left"/>
    </w:lvl>
  </w:abstractNum>
  <w:abstractNum w:abstractNumId="12">
    <w:nsid w:val="0682AC8B"/>
    <w:multiLevelType w:val="singleLevel"/>
    <w:tmpl w:val="0682AC8B"/>
    <w:lvl w:ilvl="0" w:tentative="0">
      <w:start w:val="1"/>
      <w:numFmt w:val="decimal"/>
      <w:lvlText w:val="%1."/>
      <w:lvlJc w:val="left"/>
      <w:pPr>
        <w:tabs>
          <w:tab w:val="left" w:pos="210"/>
        </w:tabs>
        <w:ind w:left="0" w:firstLine="480"/>
      </w:pPr>
      <w:rPr>
        <w:rFonts w:hint="default"/>
      </w:rPr>
    </w:lvl>
  </w:abstractNum>
  <w:abstractNum w:abstractNumId="13">
    <w:nsid w:val="13A95EE0"/>
    <w:multiLevelType w:val="singleLevel"/>
    <w:tmpl w:val="13A95EE0"/>
    <w:lvl w:ilvl="0" w:tentative="0">
      <w:start w:val="1"/>
      <w:numFmt w:val="decimal"/>
      <w:lvlText w:val="（%1）"/>
      <w:lvlJc w:val="left"/>
      <w:pPr>
        <w:tabs>
          <w:tab w:val="left" w:pos="1440"/>
        </w:tabs>
        <w:ind w:left="1440" w:hanging="900"/>
      </w:pPr>
      <w:rPr>
        <w:rFonts w:hint="eastAsia"/>
      </w:rPr>
    </w:lvl>
  </w:abstractNum>
  <w:abstractNum w:abstractNumId="14">
    <w:nsid w:val="157561C5"/>
    <w:multiLevelType w:val="multilevel"/>
    <w:tmpl w:val="157561C5"/>
    <w:lvl w:ilvl="0" w:tentative="0">
      <w:start w:val="1"/>
      <w:numFmt w:val="bullet"/>
      <w:pStyle w:val="72"/>
      <w:lvlText w:val=""/>
      <w:lvlJc w:val="left"/>
      <w:pPr>
        <w:ind w:left="900" w:hanging="420"/>
      </w:pPr>
      <w:rPr>
        <w:rFonts w:hint="default" w:ascii="Wingdings" w:hAnsi="Wingdings"/>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5">
    <w:nsid w:val="1D2F48D5"/>
    <w:multiLevelType w:val="multilevel"/>
    <w:tmpl w:val="1D2F48D5"/>
    <w:lvl w:ilvl="0" w:tentative="0">
      <w:start w:val="1"/>
      <w:numFmt w:val="decimal"/>
      <w:pStyle w:val="94"/>
      <w:lvlText w:val="图%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1E52A60F"/>
    <w:multiLevelType w:val="singleLevel"/>
    <w:tmpl w:val="1E52A60F"/>
    <w:lvl w:ilvl="0" w:tentative="0">
      <w:start w:val="1"/>
      <w:numFmt w:val="decimalEnclosedCircleChinese"/>
      <w:suff w:val="nothing"/>
      <w:lvlText w:val="%1　"/>
      <w:lvlJc w:val="left"/>
      <w:pPr>
        <w:ind w:left="0" w:firstLine="400"/>
      </w:pPr>
      <w:rPr>
        <w:rFonts w:hint="eastAsia"/>
      </w:rPr>
    </w:lvl>
  </w:abstractNum>
  <w:abstractNum w:abstractNumId="17">
    <w:nsid w:val="38E72660"/>
    <w:multiLevelType w:val="multilevel"/>
    <w:tmpl w:val="38E72660"/>
    <w:lvl w:ilvl="0" w:tentative="0">
      <w:start w:val="1"/>
      <w:numFmt w:val="decimal"/>
      <w:lvlText w:val="%1"/>
      <w:lvlJc w:val="left"/>
      <w:pPr>
        <w:tabs>
          <w:tab w:val="left" w:pos="360"/>
        </w:tabs>
        <w:ind w:left="360" w:hanging="360"/>
      </w:pPr>
      <w:rPr>
        <w:rFonts w:hint="default"/>
      </w:rPr>
    </w:lvl>
    <w:lvl w:ilvl="1" w:tentative="0">
      <w:start w:val="1"/>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18">
    <w:nsid w:val="455B68EC"/>
    <w:multiLevelType w:val="multilevel"/>
    <w:tmpl w:val="455B68EC"/>
    <w:lvl w:ilvl="0" w:tentative="0">
      <w:start w:val="1"/>
      <w:numFmt w:val="upperLetter"/>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9">
    <w:nsid w:val="4843A8CD"/>
    <w:multiLevelType w:val="singleLevel"/>
    <w:tmpl w:val="4843A8CD"/>
    <w:lvl w:ilvl="0" w:tentative="0">
      <w:start w:val="1"/>
      <w:numFmt w:val="decimal"/>
      <w:lvlText w:val="%1."/>
      <w:lvlJc w:val="left"/>
      <w:pPr>
        <w:tabs>
          <w:tab w:val="left" w:pos="210"/>
        </w:tabs>
        <w:ind w:left="0" w:firstLine="480"/>
      </w:pPr>
      <w:rPr>
        <w:rFonts w:hint="default"/>
      </w:rPr>
    </w:lvl>
  </w:abstractNum>
  <w:abstractNum w:abstractNumId="20">
    <w:nsid w:val="49C6B732"/>
    <w:multiLevelType w:val="singleLevel"/>
    <w:tmpl w:val="49C6B732"/>
    <w:lvl w:ilvl="0" w:tentative="0">
      <w:start w:val="1"/>
      <w:numFmt w:val="chineseCounting"/>
      <w:pStyle w:val="131"/>
      <w:lvlText w:val="第%1章"/>
      <w:lvlJc w:val="left"/>
      <w:pPr>
        <w:tabs>
          <w:tab w:val="left" w:pos="210"/>
        </w:tabs>
        <w:ind w:left="-640" w:firstLine="0"/>
      </w:pPr>
      <w:rPr>
        <w:rFonts w:hint="eastAsia"/>
        <w:b/>
        <w:bCs/>
      </w:rPr>
    </w:lvl>
  </w:abstractNum>
  <w:abstractNum w:abstractNumId="21">
    <w:nsid w:val="55612CAB"/>
    <w:multiLevelType w:val="singleLevel"/>
    <w:tmpl w:val="55612CAB"/>
    <w:lvl w:ilvl="0" w:tentative="0">
      <w:start w:val="1"/>
      <w:numFmt w:val="lowerLetter"/>
      <w:lvlText w:val="%1."/>
      <w:lvlJc w:val="left"/>
      <w:pPr>
        <w:tabs>
          <w:tab w:val="left" w:pos="210"/>
        </w:tabs>
        <w:ind w:left="0" w:firstLine="480"/>
      </w:pPr>
      <w:rPr>
        <w:rFonts w:hint="default"/>
      </w:rPr>
    </w:lvl>
  </w:abstractNum>
  <w:abstractNum w:abstractNumId="22">
    <w:nsid w:val="586EFAB4"/>
    <w:multiLevelType w:val="singleLevel"/>
    <w:tmpl w:val="586EFAB4"/>
    <w:lvl w:ilvl="0" w:tentative="0">
      <w:start w:val="1"/>
      <w:numFmt w:val="decimal"/>
      <w:lvlText w:val="%1."/>
      <w:lvlJc w:val="left"/>
      <w:pPr>
        <w:tabs>
          <w:tab w:val="left" w:pos="210"/>
        </w:tabs>
        <w:ind w:left="0" w:firstLine="480"/>
      </w:pPr>
      <w:rPr>
        <w:rFonts w:hint="default"/>
      </w:rPr>
    </w:lvl>
  </w:abstractNum>
  <w:abstractNum w:abstractNumId="23">
    <w:nsid w:val="60A55D4B"/>
    <w:multiLevelType w:val="singleLevel"/>
    <w:tmpl w:val="60A55D4B"/>
    <w:lvl w:ilvl="0" w:tentative="0">
      <w:start w:val="1"/>
      <w:numFmt w:val="decimal"/>
      <w:lvlText w:val="（%1）"/>
      <w:lvlJc w:val="left"/>
      <w:pPr>
        <w:tabs>
          <w:tab w:val="left" w:pos="1260"/>
        </w:tabs>
        <w:ind w:left="1260" w:hanging="900"/>
      </w:pPr>
      <w:rPr>
        <w:rFonts w:hint="eastAsia"/>
      </w:rPr>
    </w:lvl>
  </w:abstractNum>
  <w:abstractNum w:abstractNumId="24">
    <w:nsid w:val="63EAAB11"/>
    <w:multiLevelType w:val="singleLevel"/>
    <w:tmpl w:val="63EAAB11"/>
    <w:lvl w:ilvl="0" w:tentative="0">
      <w:start w:val="1"/>
      <w:numFmt w:val="decimal"/>
      <w:lvlText w:val="%1."/>
      <w:lvlJc w:val="left"/>
      <w:pPr>
        <w:tabs>
          <w:tab w:val="left" w:pos="210"/>
        </w:tabs>
        <w:ind w:left="0" w:firstLine="480"/>
      </w:pPr>
      <w:rPr>
        <w:rFonts w:hint="default"/>
      </w:rPr>
    </w:lvl>
  </w:abstractNum>
  <w:abstractNum w:abstractNumId="25">
    <w:nsid w:val="6744AA2F"/>
    <w:multiLevelType w:val="singleLevel"/>
    <w:tmpl w:val="6744AA2F"/>
    <w:lvl w:ilvl="0" w:tentative="0">
      <w:start w:val="1"/>
      <w:numFmt w:val="decimal"/>
      <w:lvlText w:val="%1."/>
      <w:lvlJc w:val="left"/>
      <w:pPr>
        <w:tabs>
          <w:tab w:val="left" w:pos="210"/>
        </w:tabs>
        <w:ind w:left="0" w:firstLine="480"/>
      </w:pPr>
      <w:rPr>
        <w:rFonts w:hint="default"/>
      </w:rPr>
    </w:lvl>
  </w:abstractNum>
  <w:abstractNum w:abstractNumId="26">
    <w:nsid w:val="6CBE045D"/>
    <w:multiLevelType w:val="singleLevel"/>
    <w:tmpl w:val="6CBE045D"/>
    <w:lvl w:ilvl="0" w:tentative="0">
      <w:start w:val="1"/>
      <w:numFmt w:val="decimal"/>
      <w:suff w:val="nothing"/>
      <w:lvlText w:val="%1．"/>
      <w:lvlJc w:val="left"/>
      <w:pPr>
        <w:ind w:left="0" w:firstLine="480"/>
      </w:pPr>
      <w:rPr>
        <w:rFonts w:hint="default"/>
      </w:rPr>
    </w:lvl>
  </w:abstractNum>
  <w:abstractNum w:abstractNumId="27">
    <w:nsid w:val="6E760602"/>
    <w:multiLevelType w:val="multilevel"/>
    <w:tmpl w:val="6E760602"/>
    <w:lvl w:ilvl="0" w:tentative="0">
      <w:start w:val="1"/>
      <w:numFmt w:val="bullet"/>
      <w:pStyle w:val="12"/>
      <w:lvlText w:val=""/>
      <w:lvlJc w:val="left"/>
      <w:pPr>
        <w:ind w:left="620" w:hanging="420"/>
      </w:pPr>
      <w:rPr>
        <w:rFonts w:hint="default" w:ascii="Wingdings" w:hAnsi="Wingdings"/>
      </w:rPr>
    </w:lvl>
    <w:lvl w:ilvl="1" w:tentative="0">
      <w:start w:val="1"/>
      <w:numFmt w:val="bullet"/>
      <w:lvlText w:val=""/>
      <w:lvlJc w:val="left"/>
      <w:pPr>
        <w:ind w:left="1040" w:hanging="420"/>
      </w:pPr>
      <w:rPr>
        <w:rFonts w:hint="default" w:ascii="Wingdings" w:hAnsi="Wingdings"/>
      </w:rPr>
    </w:lvl>
    <w:lvl w:ilvl="2" w:tentative="0">
      <w:start w:val="1"/>
      <w:numFmt w:val="bullet"/>
      <w:lvlText w:val=""/>
      <w:lvlJc w:val="left"/>
      <w:pPr>
        <w:ind w:left="1460" w:hanging="420"/>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8">
    <w:nsid w:val="6F9A0521"/>
    <w:multiLevelType w:val="singleLevel"/>
    <w:tmpl w:val="6F9A0521"/>
    <w:lvl w:ilvl="0" w:tentative="0">
      <w:start w:val="1"/>
      <w:numFmt w:val="decimal"/>
      <w:lvlText w:val="%1."/>
      <w:lvlJc w:val="left"/>
      <w:pPr>
        <w:tabs>
          <w:tab w:val="left" w:pos="210"/>
        </w:tabs>
        <w:ind w:left="0" w:firstLine="480"/>
      </w:pPr>
      <w:rPr>
        <w:rFonts w:hint="default"/>
      </w:rPr>
    </w:lvl>
  </w:abstractNum>
  <w:abstractNum w:abstractNumId="29">
    <w:nsid w:val="7A612D68"/>
    <w:multiLevelType w:val="multilevel"/>
    <w:tmpl w:val="7A612D68"/>
    <w:lvl w:ilvl="0" w:tentative="0">
      <w:start w:val="1"/>
      <w:numFmt w:val="decimal"/>
      <w:pStyle w:val="49"/>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0">
    <w:nsid w:val="7BA16C35"/>
    <w:multiLevelType w:val="singleLevel"/>
    <w:tmpl w:val="7BA16C35"/>
    <w:lvl w:ilvl="0" w:tentative="0">
      <w:start w:val="1"/>
      <w:numFmt w:val="decimalEnclosedCircleChinese"/>
      <w:suff w:val="nothing"/>
      <w:lvlText w:val="%1　"/>
      <w:lvlJc w:val="left"/>
      <w:pPr>
        <w:ind w:left="0" w:firstLine="400"/>
      </w:pPr>
      <w:rPr>
        <w:rFonts w:hint="eastAsia"/>
      </w:rPr>
    </w:lvl>
  </w:abstractNum>
  <w:num w:numId="1">
    <w:abstractNumId w:val="27"/>
  </w:num>
  <w:num w:numId="2">
    <w:abstractNumId w:val="29"/>
  </w:num>
  <w:num w:numId="3">
    <w:abstractNumId w:val="14"/>
  </w:num>
  <w:num w:numId="4">
    <w:abstractNumId w:val="15"/>
  </w:num>
  <w:num w:numId="5">
    <w:abstractNumId w:val="20"/>
  </w:num>
  <w:num w:numId="6">
    <w:abstractNumId w:val="18"/>
  </w:num>
  <w:num w:numId="7">
    <w:abstractNumId w:val="5"/>
  </w:num>
  <w:num w:numId="8">
    <w:abstractNumId w:val="17"/>
  </w:num>
  <w:num w:numId="9">
    <w:abstractNumId w:val="13"/>
  </w:num>
  <w:num w:numId="10">
    <w:abstractNumId w:val="23"/>
  </w:num>
  <w:num w:numId="11">
    <w:abstractNumId w:val="1"/>
  </w:num>
  <w:num w:numId="12">
    <w:abstractNumId w:val="30"/>
  </w:num>
  <w:num w:numId="13">
    <w:abstractNumId w:val="16"/>
  </w:num>
  <w:num w:numId="14">
    <w:abstractNumId w:val="6"/>
  </w:num>
  <w:num w:numId="15">
    <w:abstractNumId w:val="0"/>
  </w:num>
  <w:num w:numId="16">
    <w:abstractNumId w:val="7"/>
  </w:num>
  <w:num w:numId="17">
    <w:abstractNumId w:val="10"/>
  </w:num>
  <w:num w:numId="18">
    <w:abstractNumId w:val="11"/>
  </w:num>
  <w:num w:numId="19">
    <w:abstractNumId w:val="22"/>
  </w:num>
  <w:num w:numId="20">
    <w:abstractNumId w:val="4"/>
  </w:num>
  <w:num w:numId="21">
    <w:abstractNumId w:val="3"/>
  </w:num>
  <w:num w:numId="22">
    <w:abstractNumId w:val="24"/>
  </w:num>
  <w:num w:numId="23">
    <w:abstractNumId w:val="26"/>
  </w:num>
  <w:num w:numId="24">
    <w:abstractNumId w:val="8"/>
  </w:num>
  <w:num w:numId="25">
    <w:abstractNumId w:val="12"/>
  </w:num>
  <w:num w:numId="26">
    <w:abstractNumId w:val="2"/>
  </w:num>
  <w:num w:numId="27">
    <w:abstractNumId w:val="21"/>
  </w:num>
  <w:num w:numId="28">
    <w:abstractNumId w:val="28"/>
  </w:num>
  <w:num w:numId="29">
    <w:abstractNumId w:val="25"/>
  </w:num>
  <w:num w:numId="30">
    <w:abstractNumId w:val="19"/>
  </w:num>
  <w:num w:numId="31">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KTL">
    <w15:presenceInfo w15:providerId="None" w15:userId="KT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trackRevisions w:val="1"/>
  <w:documentProtection w:enforcement="0"/>
  <w:defaultTabStop w:val="419"/>
  <w:drawingGridHorizontalSpacing w:val="105"/>
  <w:drawingGridVerticalSpacing w:val="409"/>
  <w:displayHorizontalDrawingGridEvery w:val="1"/>
  <w:displayVerticalDrawingGridEvery w:val="1"/>
  <w:noPunctuationKerning w:val="1"/>
  <w:characterSpacingControl w:val="compressPunctuation"/>
  <w:compat>
    <w:spaceForUL/>
    <w:balanceSingleByteDoubleByteWidth/>
    <w:doNotLeaveBackslashAlone/>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MzYzcxNmFjOWU0MDU0NjVlZWM4NTczMTA1ZTYwMDYifQ=="/>
  </w:docVars>
  <w:rsids>
    <w:rsidRoot w:val="001820A0"/>
    <w:rsid w:val="000002A6"/>
    <w:rsid w:val="00000564"/>
    <w:rsid w:val="00000D6C"/>
    <w:rsid w:val="00001415"/>
    <w:rsid w:val="00001DB3"/>
    <w:rsid w:val="000046C4"/>
    <w:rsid w:val="00004FFE"/>
    <w:rsid w:val="000057E7"/>
    <w:rsid w:val="000061C7"/>
    <w:rsid w:val="0000668E"/>
    <w:rsid w:val="00006E4D"/>
    <w:rsid w:val="000074FB"/>
    <w:rsid w:val="00011CAB"/>
    <w:rsid w:val="0001239A"/>
    <w:rsid w:val="00013111"/>
    <w:rsid w:val="000132BE"/>
    <w:rsid w:val="00013B18"/>
    <w:rsid w:val="00013EB5"/>
    <w:rsid w:val="00014512"/>
    <w:rsid w:val="00015207"/>
    <w:rsid w:val="0001535D"/>
    <w:rsid w:val="000160EB"/>
    <w:rsid w:val="00016364"/>
    <w:rsid w:val="0001645D"/>
    <w:rsid w:val="00016644"/>
    <w:rsid w:val="00016C3D"/>
    <w:rsid w:val="00017B7B"/>
    <w:rsid w:val="000207F9"/>
    <w:rsid w:val="00021A39"/>
    <w:rsid w:val="00021F14"/>
    <w:rsid w:val="00022A13"/>
    <w:rsid w:val="00022A77"/>
    <w:rsid w:val="00022B65"/>
    <w:rsid w:val="00023081"/>
    <w:rsid w:val="0002373F"/>
    <w:rsid w:val="00024614"/>
    <w:rsid w:val="00024722"/>
    <w:rsid w:val="00025601"/>
    <w:rsid w:val="000258A3"/>
    <w:rsid w:val="00025A8F"/>
    <w:rsid w:val="00026159"/>
    <w:rsid w:val="00026DE8"/>
    <w:rsid w:val="00027FD0"/>
    <w:rsid w:val="00031738"/>
    <w:rsid w:val="00031CF4"/>
    <w:rsid w:val="000324AA"/>
    <w:rsid w:val="0003351D"/>
    <w:rsid w:val="00033B07"/>
    <w:rsid w:val="00033DB9"/>
    <w:rsid w:val="00036F08"/>
    <w:rsid w:val="00037569"/>
    <w:rsid w:val="00040908"/>
    <w:rsid w:val="0004132A"/>
    <w:rsid w:val="0004183F"/>
    <w:rsid w:val="0004199F"/>
    <w:rsid w:val="000420D2"/>
    <w:rsid w:val="00043722"/>
    <w:rsid w:val="00045744"/>
    <w:rsid w:val="00045BC1"/>
    <w:rsid w:val="00046E58"/>
    <w:rsid w:val="0005039F"/>
    <w:rsid w:val="000504FA"/>
    <w:rsid w:val="00051458"/>
    <w:rsid w:val="00052A5C"/>
    <w:rsid w:val="00052B27"/>
    <w:rsid w:val="00055905"/>
    <w:rsid w:val="0005613E"/>
    <w:rsid w:val="000562F3"/>
    <w:rsid w:val="000574C2"/>
    <w:rsid w:val="000579EB"/>
    <w:rsid w:val="000608D3"/>
    <w:rsid w:val="000623FD"/>
    <w:rsid w:val="00062451"/>
    <w:rsid w:val="00063C32"/>
    <w:rsid w:val="00063E46"/>
    <w:rsid w:val="000656E2"/>
    <w:rsid w:val="000657D2"/>
    <w:rsid w:val="00065C12"/>
    <w:rsid w:val="00065E88"/>
    <w:rsid w:val="000667D3"/>
    <w:rsid w:val="000669CF"/>
    <w:rsid w:val="00066A99"/>
    <w:rsid w:val="00066EBC"/>
    <w:rsid w:val="00066F32"/>
    <w:rsid w:val="00067023"/>
    <w:rsid w:val="000673CD"/>
    <w:rsid w:val="000677BD"/>
    <w:rsid w:val="00067BFD"/>
    <w:rsid w:val="000712E9"/>
    <w:rsid w:val="00071499"/>
    <w:rsid w:val="0007366A"/>
    <w:rsid w:val="000739D8"/>
    <w:rsid w:val="000744A4"/>
    <w:rsid w:val="00074697"/>
    <w:rsid w:val="00075355"/>
    <w:rsid w:val="00075A54"/>
    <w:rsid w:val="00076AC6"/>
    <w:rsid w:val="00077498"/>
    <w:rsid w:val="00077D65"/>
    <w:rsid w:val="00080470"/>
    <w:rsid w:val="000804B5"/>
    <w:rsid w:val="00081D39"/>
    <w:rsid w:val="00082075"/>
    <w:rsid w:val="00082EA1"/>
    <w:rsid w:val="00083749"/>
    <w:rsid w:val="00083DBB"/>
    <w:rsid w:val="0008449E"/>
    <w:rsid w:val="00084519"/>
    <w:rsid w:val="000847A3"/>
    <w:rsid w:val="000851D4"/>
    <w:rsid w:val="00085A4A"/>
    <w:rsid w:val="00085E62"/>
    <w:rsid w:val="00087555"/>
    <w:rsid w:val="00087D47"/>
    <w:rsid w:val="00091451"/>
    <w:rsid w:val="0009212B"/>
    <w:rsid w:val="000921BB"/>
    <w:rsid w:val="000923DD"/>
    <w:rsid w:val="000926E2"/>
    <w:rsid w:val="0009315F"/>
    <w:rsid w:val="000937AF"/>
    <w:rsid w:val="00094DDA"/>
    <w:rsid w:val="00095289"/>
    <w:rsid w:val="0009671A"/>
    <w:rsid w:val="0009691E"/>
    <w:rsid w:val="00096948"/>
    <w:rsid w:val="00096BE6"/>
    <w:rsid w:val="00097172"/>
    <w:rsid w:val="0009719C"/>
    <w:rsid w:val="0009754F"/>
    <w:rsid w:val="000977C9"/>
    <w:rsid w:val="00097902"/>
    <w:rsid w:val="000A37E0"/>
    <w:rsid w:val="000A3ACD"/>
    <w:rsid w:val="000A43DE"/>
    <w:rsid w:val="000A5C03"/>
    <w:rsid w:val="000A6078"/>
    <w:rsid w:val="000A6640"/>
    <w:rsid w:val="000B01AC"/>
    <w:rsid w:val="000B0988"/>
    <w:rsid w:val="000B1082"/>
    <w:rsid w:val="000B1143"/>
    <w:rsid w:val="000B2118"/>
    <w:rsid w:val="000B255B"/>
    <w:rsid w:val="000B4E76"/>
    <w:rsid w:val="000B5A32"/>
    <w:rsid w:val="000C0B27"/>
    <w:rsid w:val="000C1ADA"/>
    <w:rsid w:val="000C1DAD"/>
    <w:rsid w:val="000C236F"/>
    <w:rsid w:val="000C260D"/>
    <w:rsid w:val="000C2D4E"/>
    <w:rsid w:val="000C2FF0"/>
    <w:rsid w:val="000C3422"/>
    <w:rsid w:val="000C377A"/>
    <w:rsid w:val="000C39CC"/>
    <w:rsid w:val="000C4196"/>
    <w:rsid w:val="000C45C3"/>
    <w:rsid w:val="000C4A7C"/>
    <w:rsid w:val="000C589F"/>
    <w:rsid w:val="000D03D8"/>
    <w:rsid w:val="000D1F33"/>
    <w:rsid w:val="000D204E"/>
    <w:rsid w:val="000D2780"/>
    <w:rsid w:val="000D29BD"/>
    <w:rsid w:val="000D307D"/>
    <w:rsid w:val="000D3437"/>
    <w:rsid w:val="000D3DEE"/>
    <w:rsid w:val="000D41E9"/>
    <w:rsid w:val="000D421C"/>
    <w:rsid w:val="000D4C73"/>
    <w:rsid w:val="000D54F9"/>
    <w:rsid w:val="000D6738"/>
    <w:rsid w:val="000D73D0"/>
    <w:rsid w:val="000E0305"/>
    <w:rsid w:val="000E1273"/>
    <w:rsid w:val="000E14CF"/>
    <w:rsid w:val="000E2BCA"/>
    <w:rsid w:val="000E3501"/>
    <w:rsid w:val="000E3D02"/>
    <w:rsid w:val="000E4648"/>
    <w:rsid w:val="000E6AD9"/>
    <w:rsid w:val="000F061A"/>
    <w:rsid w:val="000F1DAD"/>
    <w:rsid w:val="000F4D32"/>
    <w:rsid w:val="000F4FAE"/>
    <w:rsid w:val="000F5672"/>
    <w:rsid w:val="000F67AB"/>
    <w:rsid w:val="000F68E7"/>
    <w:rsid w:val="000F6F63"/>
    <w:rsid w:val="000F71FA"/>
    <w:rsid w:val="00100BA3"/>
    <w:rsid w:val="001014DB"/>
    <w:rsid w:val="0010192E"/>
    <w:rsid w:val="00103CB8"/>
    <w:rsid w:val="001041B5"/>
    <w:rsid w:val="001041FC"/>
    <w:rsid w:val="001056EF"/>
    <w:rsid w:val="001058EB"/>
    <w:rsid w:val="0010590C"/>
    <w:rsid w:val="00107EEF"/>
    <w:rsid w:val="001104A9"/>
    <w:rsid w:val="00110C27"/>
    <w:rsid w:val="001129CD"/>
    <w:rsid w:val="00113266"/>
    <w:rsid w:val="00113AD1"/>
    <w:rsid w:val="00113E34"/>
    <w:rsid w:val="0011522D"/>
    <w:rsid w:val="001158D6"/>
    <w:rsid w:val="00116020"/>
    <w:rsid w:val="00116D47"/>
    <w:rsid w:val="0011740B"/>
    <w:rsid w:val="00117C39"/>
    <w:rsid w:val="0012076F"/>
    <w:rsid w:val="00120E7F"/>
    <w:rsid w:val="0012115D"/>
    <w:rsid w:val="0012132C"/>
    <w:rsid w:val="0012251C"/>
    <w:rsid w:val="00122E31"/>
    <w:rsid w:val="00123CFB"/>
    <w:rsid w:val="00123D52"/>
    <w:rsid w:val="00125070"/>
    <w:rsid w:val="001275EE"/>
    <w:rsid w:val="00127777"/>
    <w:rsid w:val="00127C49"/>
    <w:rsid w:val="00130B0D"/>
    <w:rsid w:val="00130D71"/>
    <w:rsid w:val="00130FAA"/>
    <w:rsid w:val="0013288D"/>
    <w:rsid w:val="001329F0"/>
    <w:rsid w:val="00132EA3"/>
    <w:rsid w:val="001346EF"/>
    <w:rsid w:val="00134925"/>
    <w:rsid w:val="00135378"/>
    <w:rsid w:val="0013560F"/>
    <w:rsid w:val="00136D24"/>
    <w:rsid w:val="00136DFE"/>
    <w:rsid w:val="00137BA7"/>
    <w:rsid w:val="001401FD"/>
    <w:rsid w:val="00140319"/>
    <w:rsid w:val="00140544"/>
    <w:rsid w:val="001405F6"/>
    <w:rsid w:val="00140C37"/>
    <w:rsid w:val="001410D3"/>
    <w:rsid w:val="001411BE"/>
    <w:rsid w:val="0014138E"/>
    <w:rsid w:val="001427B7"/>
    <w:rsid w:val="00143710"/>
    <w:rsid w:val="001442E0"/>
    <w:rsid w:val="00145298"/>
    <w:rsid w:val="00146D6C"/>
    <w:rsid w:val="00146DFE"/>
    <w:rsid w:val="00146FDF"/>
    <w:rsid w:val="00146FF4"/>
    <w:rsid w:val="001476EC"/>
    <w:rsid w:val="00147E61"/>
    <w:rsid w:val="00150084"/>
    <w:rsid w:val="00150AFD"/>
    <w:rsid w:val="00150CFA"/>
    <w:rsid w:val="00151B74"/>
    <w:rsid w:val="00152625"/>
    <w:rsid w:val="001529D8"/>
    <w:rsid w:val="00152BEF"/>
    <w:rsid w:val="001533A7"/>
    <w:rsid w:val="001553F4"/>
    <w:rsid w:val="001566ED"/>
    <w:rsid w:val="0015692C"/>
    <w:rsid w:val="0015750A"/>
    <w:rsid w:val="00157A3C"/>
    <w:rsid w:val="00160BBB"/>
    <w:rsid w:val="00162827"/>
    <w:rsid w:val="001629A2"/>
    <w:rsid w:val="00163571"/>
    <w:rsid w:val="0016389F"/>
    <w:rsid w:val="00163B87"/>
    <w:rsid w:val="00164078"/>
    <w:rsid w:val="0016425B"/>
    <w:rsid w:val="00164751"/>
    <w:rsid w:val="00164C57"/>
    <w:rsid w:val="00166347"/>
    <w:rsid w:val="0017298A"/>
    <w:rsid w:val="00172A0F"/>
    <w:rsid w:val="00172B77"/>
    <w:rsid w:val="0017302B"/>
    <w:rsid w:val="001738AF"/>
    <w:rsid w:val="001739FB"/>
    <w:rsid w:val="00173D1D"/>
    <w:rsid w:val="001757B7"/>
    <w:rsid w:val="001775D6"/>
    <w:rsid w:val="00177913"/>
    <w:rsid w:val="0018068C"/>
    <w:rsid w:val="001807F4"/>
    <w:rsid w:val="00181FE0"/>
    <w:rsid w:val="001820A0"/>
    <w:rsid w:val="001833CB"/>
    <w:rsid w:val="00183889"/>
    <w:rsid w:val="00183E66"/>
    <w:rsid w:val="0018429E"/>
    <w:rsid w:val="001846BB"/>
    <w:rsid w:val="001848B1"/>
    <w:rsid w:val="001849C3"/>
    <w:rsid w:val="00184C6D"/>
    <w:rsid w:val="00184CD3"/>
    <w:rsid w:val="0018566D"/>
    <w:rsid w:val="00186831"/>
    <w:rsid w:val="00186992"/>
    <w:rsid w:val="001908E9"/>
    <w:rsid w:val="001919A0"/>
    <w:rsid w:val="00193895"/>
    <w:rsid w:val="00193F76"/>
    <w:rsid w:val="001956A8"/>
    <w:rsid w:val="00195910"/>
    <w:rsid w:val="001A1048"/>
    <w:rsid w:val="001A14FB"/>
    <w:rsid w:val="001A1A49"/>
    <w:rsid w:val="001A22C7"/>
    <w:rsid w:val="001A26D6"/>
    <w:rsid w:val="001A346E"/>
    <w:rsid w:val="001A5271"/>
    <w:rsid w:val="001A6932"/>
    <w:rsid w:val="001A75E7"/>
    <w:rsid w:val="001A7E1D"/>
    <w:rsid w:val="001B33EB"/>
    <w:rsid w:val="001B4BB1"/>
    <w:rsid w:val="001B55DF"/>
    <w:rsid w:val="001B5D75"/>
    <w:rsid w:val="001B6EDE"/>
    <w:rsid w:val="001B7646"/>
    <w:rsid w:val="001C0FEC"/>
    <w:rsid w:val="001C11F2"/>
    <w:rsid w:val="001C2B0C"/>
    <w:rsid w:val="001C2D64"/>
    <w:rsid w:val="001C2FED"/>
    <w:rsid w:val="001C3DBC"/>
    <w:rsid w:val="001C4125"/>
    <w:rsid w:val="001C5D46"/>
    <w:rsid w:val="001C67D2"/>
    <w:rsid w:val="001C7B10"/>
    <w:rsid w:val="001D055D"/>
    <w:rsid w:val="001D0A8F"/>
    <w:rsid w:val="001D1C64"/>
    <w:rsid w:val="001D30A4"/>
    <w:rsid w:val="001D3347"/>
    <w:rsid w:val="001D355E"/>
    <w:rsid w:val="001D3855"/>
    <w:rsid w:val="001D47B6"/>
    <w:rsid w:val="001D4A9D"/>
    <w:rsid w:val="001D4FEC"/>
    <w:rsid w:val="001D6204"/>
    <w:rsid w:val="001D64AB"/>
    <w:rsid w:val="001D7AEB"/>
    <w:rsid w:val="001E09BE"/>
    <w:rsid w:val="001E2E85"/>
    <w:rsid w:val="001E3104"/>
    <w:rsid w:val="001E494B"/>
    <w:rsid w:val="001E4DFE"/>
    <w:rsid w:val="001E4E9F"/>
    <w:rsid w:val="001E57A9"/>
    <w:rsid w:val="001E62EF"/>
    <w:rsid w:val="001E664C"/>
    <w:rsid w:val="001E7D13"/>
    <w:rsid w:val="001F0CD7"/>
    <w:rsid w:val="001F1978"/>
    <w:rsid w:val="001F1AD1"/>
    <w:rsid w:val="001F3FF3"/>
    <w:rsid w:val="001F483E"/>
    <w:rsid w:val="001F5128"/>
    <w:rsid w:val="001F515F"/>
    <w:rsid w:val="001F7278"/>
    <w:rsid w:val="001F7B69"/>
    <w:rsid w:val="001F7CA9"/>
    <w:rsid w:val="002014A8"/>
    <w:rsid w:val="00201802"/>
    <w:rsid w:val="0020256F"/>
    <w:rsid w:val="00202C97"/>
    <w:rsid w:val="00203FDA"/>
    <w:rsid w:val="00204E18"/>
    <w:rsid w:val="00204EC4"/>
    <w:rsid w:val="0020518C"/>
    <w:rsid w:val="002052BE"/>
    <w:rsid w:val="00207C72"/>
    <w:rsid w:val="00207F36"/>
    <w:rsid w:val="00210326"/>
    <w:rsid w:val="002121F5"/>
    <w:rsid w:val="00212876"/>
    <w:rsid w:val="00213F50"/>
    <w:rsid w:val="002146AA"/>
    <w:rsid w:val="002146D2"/>
    <w:rsid w:val="00214AE9"/>
    <w:rsid w:val="00215F75"/>
    <w:rsid w:val="00216485"/>
    <w:rsid w:val="00217905"/>
    <w:rsid w:val="00217FD3"/>
    <w:rsid w:val="002204B5"/>
    <w:rsid w:val="00220C65"/>
    <w:rsid w:val="00220DF0"/>
    <w:rsid w:val="00221512"/>
    <w:rsid w:val="00221BC8"/>
    <w:rsid w:val="00224391"/>
    <w:rsid w:val="0022443F"/>
    <w:rsid w:val="00225308"/>
    <w:rsid w:val="002270B2"/>
    <w:rsid w:val="00227318"/>
    <w:rsid w:val="0022788B"/>
    <w:rsid w:val="00230413"/>
    <w:rsid w:val="002305B8"/>
    <w:rsid w:val="00230B34"/>
    <w:rsid w:val="002311F7"/>
    <w:rsid w:val="00231698"/>
    <w:rsid w:val="00232411"/>
    <w:rsid w:val="002324DE"/>
    <w:rsid w:val="00232570"/>
    <w:rsid w:val="002327C9"/>
    <w:rsid w:val="00232990"/>
    <w:rsid w:val="002330CB"/>
    <w:rsid w:val="00234A23"/>
    <w:rsid w:val="002358F8"/>
    <w:rsid w:val="00235B48"/>
    <w:rsid w:val="00235BF2"/>
    <w:rsid w:val="00236E63"/>
    <w:rsid w:val="002375CC"/>
    <w:rsid w:val="00237B8E"/>
    <w:rsid w:val="0024028B"/>
    <w:rsid w:val="00240845"/>
    <w:rsid w:val="0024159B"/>
    <w:rsid w:val="002421BC"/>
    <w:rsid w:val="00242440"/>
    <w:rsid w:val="002431DC"/>
    <w:rsid w:val="00243AED"/>
    <w:rsid w:val="002442BE"/>
    <w:rsid w:val="0024527C"/>
    <w:rsid w:val="002455AB"/>
    <w:rsid w:val="00246026"/>
    <w:rsid w:val="00246541"/>
    <w:rsid w:val="00246777"/>
    <w:rsid w:val="002469E3"/>
    <w:rsid w:val="00246BD4"/>
    <w:rsid w:val="00247761"/>
    <w:rsid w:val="00247E63"/>
    <w:rsid w:val="00247FD0"/>
    <w:rsid w:val="00251208"/>
    <w:rsid w:val="00251625"/>
    <w:rsid w:val="00253CDC"/>
    <w:rsid w:val="0025420B"/>
    <w:rsid w:val="002555DE"/>
    <w:rsid w:val="00256FA0"/>
    <w:rsid w:val="0025771B"/>
    <w:rsid w:val="00260551"/>
    <w:rsid w:val="0026288F"/>
    <w:rsid w:val="00262AF8"/>
    <w:rsid w:val="002631FB"/>
    <w:rsid w:val="002655F3"/>
    <w:rsid w:val="00265D48"/>
    <w:rsid w:val="00265FE4"/>
    <w:rsid w:val="0026704A"/>
    <w:rsid w:val="00267698"/>
    <w:rsid w:val="00270AC6"/>
    <w:rsid w:val="00270BE1"/>
    <w:rsid w:val="0027179E"/>
    <w:rsid w:val="00271DFD"/>
    <w:rsid w:val="002724F7"/>
    <w:rsid w:val="00272554"/>
    <w:rsid w:val="0027352A"/>
    <w:rsid w:val="00274750"/>
    <w:rsid w:val="00274EAD"/>
    <w:rsid w:val="00275DEC"/>
    <w:rsid w:val="00275E07"/>
    <w:rsid w:val="00276345"/>
    <w:rsid w:val="002775DB"/>
    <w:rsid w:val="00282C57"/>
    <w:rsid w:val="002837D9"/>
    <w:rsid w:val="00284B8C"/>
    <w:rsid w:val="00284B8D"/>
    <w:rsid w:val="00284C37"/>
    <w:rsid w:val="00284ED2"/>
    <w:rsid w:val="0028585C"/>
    <w:rsid w:val="002861D6"/>
    <w:rsid w:val="0028631A"/>
    <w:rsid w:val="002863C4"/>
    <w:rsid w:val="00291181"/>
    <w:rsid w:val="00291F33"/>
    <w:rsid w:val="00291F40"/>
    <w:rsid w:val="00292039"/>
    <w:rsid w:val="00293346"/>
    <w:rsid w:val="00293C30"/>
    <w:rsid w:val="00294ABC"/>
    <w:rsid w:val="00294C22"/>
    <w:rsid w:val="00295682"/>
    <w:rsid w:val="002965B7"/>
    <w:rsid w:val="002A1705"/>
    <w:rsid w:val="002A270D"/>
    <w:rsid w:val="002A3060"/>
    <w:rsid w:val="002A3994"/>
    <w:rsid w:val="002A42A1"/>
    <w:rsid w:val="002A43A4"/>
    <w:rsid w:val="002A511F"/>
    <w:rsid w:val="002A538D"/>
    <w:rsid w:val="002B062F"/>
    <w:rsid w:val="002B09D8"/>
    <w:rsid w:val="002B0BB3"/>
    <w:rsid w:val="002B1965"/>
    <w:rsid w:val="002B2283"/>
    <w:rsid w:val="002B25C8"/>
    <w:rsid w:val="002B319B"/>
    <w:rsid w:val="002B4212"/>
    <w:rsid w:val="002B4C1E"/>
    <w:rsid w:val="002B4E6D"/>
    <w:rsid w:val="002B59AD"/>
    <w:rsid w:val="002B59C8"/>
    <w:rsid w:val="002B67AD"/>
    <w:rsid w:val="002B6F09"/>
    <w:rsid w:val="002C16FA"/>
    <w:rsid w:val="002C1863"/>
    <w:rsid w:val="002C1EA9"/>
    <w:rsid w:val="002C210F"/>
    <w:rsid w:val="002C2E48"/>
    <w:rsid w:val="002C31C3"/>
    <w:rsid w:val="002C3211"/>
    <w:rsid w:val="002C39A6"/>
    <w:rsid w:val="002C4D6F"/>
    <w:rsid w:val="002C5031"/>
    <w:rsid w:val="002C738E"/>
    <w:rsid w:val="002C77EF"/>
    <w:rsid w:val="002C7E11"/>
    <w:rsid w:val="002D0231"/>
    <w:rsid w:val="002D0DD3"/>
    <w:rsid w:val="002D1F15"/>
    <w:rsid w:val="002D3DE1"/>
    <w:rsid w:val="002D418B"/>
    <w:rsid w:val="002D4E79"/>
    <w:rsid w:val="002D578B"/>
    <w:rsid w:val="002D68DA"/>
    <w:rsid w:val="002D77AF"/>
    <w:rsid w:val="002E0435"/>
    <w:rsid w:val="002E0A8B"/>
    <w:rsid w:val="002E1021"/>
    <w:rsid w:val="002E124C"/>
    <w:rsid w:val="002E1FDB"/>
    <w:rsid w:val="002E21AC"/>
    <w:rsid w:val="002E381B"/>
    <w:rsid w:val="002E3892"/>
    <w:rsid w:val="002E4538"/>
    <w:rsid w:val="002E49BE"/>
    <w:rsid w:val="002E4A47"/>
    <w:rsid w:val="002E4AAE"/>
    <w:rsid w:val="002E5EF8"/>
    <w:rsid w:val="002E6155"/>
    <w:rsid w:val="002E683A"/>
    <w:rsid w:val="002E70AE"/>
    <w:rsid w:val="002E71EF"/>
    <w:rsid w:val="002E7895"/>
    <w:rsid w:val="002F145B"/>
    <w:rsid w:val="002F21FF"/>
    <w:rsid w:val="002F24DB"/>
    <w:rsid w:val="002F37E7"/>
    <w:rsid w:val="002F38A2"/>
    <w:rsid w:val="002F3F7A"/>
    <w:rsid w:val="002F4B22"/>
    <w:rsid w:val="002F5180"/>
    <w:rsid w:val="002F521A"/>
    <w:rsid w:val="002F5F0A"/>
    <w:rsid w:val="002F6023"/>
    <w:rsid w:val="002F713A"/>
    <w:rsid w:val="002F7535"/>
    <w:rsid w:val="00300339"/>
    <w:rsid w:val="00301244"/>
    <w:rsid w:val="00301CEF"/>
    <w:rsid w:val="00302FDC"/>
    <w:rsid w:val="003038C1"/>
    <w:rsid w:val="00303C10"/>
    <w:rsid w:val="003057B3"/>
    <w:rsid w:val="00306BED"/>
    <w:rsid w:val="00306EBF"/>
    <w:rsid w:val="00306FC9"/>
    <w:rsid w:val="00307B53"/>
    <w:rsid w:val="00310D72"/>
    <w:rsid w:val="003118D4"/>
    <w:rsid w:val="0031265E"/>
    <w:rsid w:val="00313319"/>
    <w:rsid w:val="003149D4"/>
    <w:rsid w:val="00315781"/>
    <w:rsid w:val="00316BF2"/>
    <w:rsid w:val="00316D56"/>
    <w:rsid w:val="00321387"/>
    <w:rsid w:val="00321529"/>
    <w:rsid w:val="00322A48"/>
    <w:rsid w:val="003231FA"/>
    <w:rsid w:val="00324891"/>
    <w:rsid w:val="00325624"/>
    <w:rsid w:val="00327D5F"/>
    <w:rsid w:val="003302DE"/>
    <w:rsid w:val="00330779"/>
    <w:rsid w:val="00331DA5"/>
    <w:rsid w:val="0033266E"/>
    <w:rsid w:val="0033420B"/>
    <w:rsid w:val="00335422"/>
    <w:rsid w:val="0033584C"/>
    <w:rsid w:val="0033645A"/>
    <w:rsid w:val="00336493"/>
    <w:rsid w:val="00337785"/>
    <w:rsid w:val="00337DE9"/>
    <w:rsid w:val="0034142A"/>
    <w:rsid w:val="003425AB"/>
    <w:rsid w:val="00343ACD"/>
    <w:rsid w:val="00344614"/>
    <w:rsid w:val="0034473F"/>
    <w:rsid w:val="00344F6B"/>
    <w:rsid w:val="00345E2B"/>
    <w:rsid w:val="00345F8B"/>
    <w:rsid w:val="00346363"/>
    <w:rsid w:val="0034659B"/>
    <w:rsid w:val="0034673C"/>
    <w:rsid w:val="00346C0B"/>
    <w:rsid w:val="00350083"/>
    <w:rsid w:val="00350E43"/>
    <w:rsid w:val="0035242A"/>
    <w:rsid w:val="003526E2"/>
    <w:rsid w:val="0035291E"/>
    <w:rsid w:val="00352EEA"/>
    <w:rsid w:val="0035415D"/>
    <w:rsid w:val="003547F1"/>
    <w:rsid w:val="0035572B"/>
    <w:rsid w:val="00355F11"/>
    <w:rsid w:val="003603F9"/>
    <w:rsid w:val="00360474"/>
    <w:rsid w:val="003608F1"/>
    <w:rsid w:val="00360A30"/>
    <w:rsid w:val="00361079"/>
    <w:rsid w:val="00361516"/>
    <w:rsid w:val="003619C4"/>
    <w:rsid w:val="00362B54"/>
    <w:rsid w:val="00363912"/>
    <w:rsid w:val="0036399E"/>
    <w:rsid w:val="003642E8"/>
    <w:rsid w:val="00364772"/>
    <w:rsid w:val="00364DFC"/>
    <w:rsid w:val="0036507A"/>
    <w:rsid w:val="00365900"/>
    <w:rsid w:val="00365A58"/>
    <w:rsid w:val="00366846"/>
    <w:rsid w:val="003675A0"/>
    <w:rsid w:val="00367984"/>
    <w:rsid w:val="00367AD5"/>
    <w:rsid w:val="00371393"/>
    <w:rsid w:val="00372F00"/>
    <w:rsid w:val="0037374B"/>
    <w:rsid w:val="003744F0"/>
    <w:rsid w:val="003756A8"/>
    <w:rsid w:val="00376644"/>
    <w:rsid w:val="0037763B"/>
    <w:rsid w:val="00377BCC"/>
    <w:rsid w:val="0038000D"/>
    <w:rsid w:val="003808A7"/>
    <w:rsid w:val="00381D3C"/>
    <w:rsid w:val="003826E2"/>
    <w:rsid w:val="00382BF5"/>
    <w:rsid w:val="0038383E"/>
    <w:rsid w:val="00385F89"/>
    <w:rsid w:val="00387B8D"/>
    <w:rsid w:val="00387FDA"/>
    <w:rsid w:val="00390FC1"/>
    <w:rsid w:val="003912BF"/>
    <w:rsid w:val="00391931"/>
    <w:rsid w:val="003924CC"/>
    <w:rsid w:val="00392619"/>
    <w:rsid w:val="003937E9"/>
    <w:rsid w:val="00393ED4"/>
    <w:rsid w:val="00394435"/>
    <w:rsid w:val="003948C1"/>
    <w:rsid w:val="003951FC"/>
    <w:rsid w:val="00396300"/>
    <w:rsid w:val="003968FC"/>
    <w:rsid w:val="003972BE"/>
    <w:rsid w:val="00397604"/>
    <w:rsid w:val="00397A52"/>
    <w:rsid w:val="003A0200"/>
    <w:rsid w:val="003A17E8"/>
    <w:rsid w:val="003A184A"/>
    <w:rsid w:val="003A1FB5"/>
    <w:rsid w:val="003A2BDE"/>
    <w:rsid w:val="003A36A0"/>
    <w:rsid w:val="003A382A"/>
    <w:rsid w:val="003A389A"/>
    <w:rsid w:val="003A3CBC"/>
    <w:rsid w:val="003A46DF"/>
    <w:rsid w:val="003A65BA"/>
    <w:rsid w:val="003A7163"/>
    <w:rsid w:val="003A77B1"/>
    <w:rsid w:val="003A7980"/>
    <w:rsid w:val="003A7E9B"/>
    <w:rsid w:val="003B00AD"/>
    <w:rsid w:val="003B00EB"/>
    <w:rsid w:val="003B0835"/>
    <w:rsid w:val="003B1142"/>
    <w:rsid w:val="003B21D0"/>
    <w:rsid w:val="003B241A"/>
    <w:rsid w:val="003B3700"/>
    <w:rsid w:val="003B4363"/>
    <w:rsid w:val="003B58E6"/>
    <w:rsid w:val="003B5AA8"/>
    <w:rsid w:val="003B5B58"/>
    <w:rsid w:val="003B6405"/>
    <w:rsid w:val="003C09BC"/>
    <w:rsid w:val="003C1193"/>
    <w:rsid w:val="003C13F8"/>
    <w:rsid w:val="003C17F8"/>
    <w:rsid w:val="003C19D0"/>
    <w:rsid w:val="003C1C86"/>
    <w:rsid w:val="003C2A6C"/>
    <w:rsid w:val="003C321B"/>
    <w:rsid w:val="003C375F"/>
    <w:rsid w:val="003C3976"/>
    <w:rsid w:val="003C4371"/>
    <w:rsid w:val="003C4D8E"/>
    <w:rsid w:val="003C58FF"/>
    <w:rsid w:val="003C62B5"/>
    <w:rsid w:val="003C75A7"/>
    <w:rsid w:val="003C7861"/>
    <w:rsid w:val="003D0064"/>
    <w:rsid w:val="003D0406"/>
    <w:rsid w:val="003D0AFF"/>
    <w:rsid w:val="003D19D3"/>
    <w:rsid w:val="003D27E1"/>
    <w:rsid w:val="003D28CE"/>
    <w:rsid w:val="003D43CA"/>
    <w:rsid w:val="003D4769"/>
    <w:rsid w:val="003D50CD"/>
    <w:rsid w:val="003D5E84"/>
    <w:rsid w:val="003D5F2B"/>
    <w:rsid w:val="003D617B"/>
    <w:rsid w:val="003E0598"/>
    <w:rsid w:val="003E25A9"/>
    <w:rsid w:val="003E2D1F"/>
    <w:rsid w:val="003E33B7"/>
    <w:rsid w:val="003E3A1B"/>
    <w:rsid w:val="003E46C4"/>
    <w:rsid w:val="003E4E44"/>
    <w:rsid w:val="003E5F98"/>
    <w:rsid w:val="003E60A4"/>
    <w:rsid w:val="003E6316"/>
    <w:rsid w:val="003E7862"/>
    <w:rsid w:val="003E7ADC"/>
    <w:rsid w:val="003F2BD0"/>
    <w:rsid w:val="003F314B"/>
    <w:rsid w:val="003F4091"/>
    <w:rsid w:val="003F41C1"/>
    <w:rsid w:val="003F42C9"/>
    <w:rsid w:val="003F48BA"/>
    <w:rsid w:val="003F4A0B"/>
    <w:rsid w:val="003F4C05"/>
    <w:rsid w:val="003F6914"/>
    <w:rsid w:val="003F733C"/>
    <w:rsid w:val="003F73E5"/>
    <w:rsid w:val="003F7C3B"/>
    <w:rsid w:val="003F7F8B"/>
    <w:rsid w:val="00400D38"/>
    <w:rsid w:val="00401037"/>
    <w:rsid w:val="00401498"/>
    <w:rsid w:val="004030F6"/>
    <w:rsid w:val="004039A4"/>
    <w:rsid w:val="00403A64"/>
    <w:rsid w:val="004045B8"/>
    <w:rsid w:val="004048B0"/>
    <w:rsid w:val="0040499A"/>
    <w:rsid w:val="00404AED"/>
    <w:rsid w:val="00405362"/>
    <w:rsid w:val="00405B55"/>
    <w:rsid w:val="0040770F"/>
    <w:rsid w:val="00407D4A"/>
    <w:rsid w:val="004102C8"/>
    <w:rsid w:val="0041033C"/>
    <w:rsid w:val="00410A28"/>
    <w:rsid w:val="00411460"/>
    <w:rsid w:val="004124D9"/>
    <w:rsid w:val="00413221"/>
    <w:rsid w:val="0041407B"/>
    <w:rsid w:val="00414B8F"/>
    <w:rsid w:val="00416703"/>
    <w:rsid w:val="00421FE8"/>
    <w:rsid w:val="00423480"/>
    <w:rsid w:val="00423637"/>
    <w:rsid w:val="00423AA7"/>
    <w:rsid w:val="00423C43"/>
    <w:rsid w:val="00425A54"/>
    <w:rsid w:val="00426824"/>
    <w:rsid w:val="00427848"/>
    <w:rsid w:val="00427E29"/>
    <w:rsid w:val="00430A9F"/>
    <w:rsid w:val="00432008"/>
    <w:rsid w:val="004325A6"/>
    <w:rsid w:val="0043373D"/>
    <w:rsid w:val="00434AAD"/>
    <w:rsid w:val="00434BDC"/>
    <w:rsid w:val="00435C66"/>
    <w:rsid w:val="00436897"/>
    <w:rsid w:val="00440898"/>
    <w:rsid w:val="00442571"/>
    <w:rsid w:val="00442A7A"/>
    <w:rsid w:val="00445E97"/>
    <w:rsid w:val="004476E3"/>
    <w:rsid w:val="004478BF"/>
    <w:rsid w:val="00447BDB"/>
    <w:rsid w:val="0045043E"/>
    <w:rsid w:val="004508B2"/>
    <w:rsid w:val="00450C50"/>
    <w:rsid w:val="0045375D"/>
    <w:rsid w:val="004537CC"/>
    <w:rsid w:val="00457B0D"/>
    <w:rsid w:val="00457F24"/>
    <w:rsid w:val="00460A25"/>
    <w:rsid w:val="004618E5"/>
    <w:rsid w:val="00461B12"/>
    <w:rsid w:val="0046211C"/>
    <w:rsid w:val="00462522"/>
    <w:rsid w:val="004643A7"/>
    <w:rsid w:val="00464698"/>
    <w:rsid w:val="0046478C"/>
    <w:rsid w:val="00467B73"/>
    <w:rsid w:val="00467E18"/>
    <w:rsid w:val="004710E3"/>
    <w:rsid w:val="004721A0"/>
    <w:rsid w:val="004721D2"/>
    <w:rsid w:val="00472CA4"/>
    <w:rsid w:val="00472F21"/>
    <w:rsid w:val="00473254"/>
    <w:rsid w:val="0047360D"/>
    <w:rsid w:val="00473BC3"/>
    <w:rsid w:val="00474D9E"/>
    <w:rsid w:val="00476233"/>
    <w:rsid w:val="0047627C"/>
    <w:rsid w:val="00476821"/>
    <w:rsid w:val="00477990"/>
    <w:rsid w:val="00477A40"/>
    <w:rsid w:val="00477FFC"/>
    <w:rsid w:val="00480050"/>
    <w:rsid w:val="004800D8"/>
    <w:rsid w:val="0048102F"/>
    <w:rsid w:val="00481759"/>
    <w:rsid w:val="004822F6"/>
    <w:rsid w:val="0048236C"/>
    <w:rsid w:val="0048347B"/>
    <w:rsid w:val="00483A75"/>
    <w:rsid w:val="004853CB"/>
    <w:rsid w:val="00485F5B"/>
    <w:rsid w:val="004878A1"/>
    <w:rsid w:val="0049017C"/>
    <w:rsid w:val="0049077A"/>
    <w:rsid w:val="00490CB4"/>
    <w:rsid w:val="00491FD5"/>
    <w:rsid w:val="00492D7E"/>
    <w:rsid w:val="004939B3"/>
    <w:rsid w:val="0049495C"/>
    <w:rsid w:val="00494EB4"/>
    <w:rsid w:val="00495183"/>
    <w:rsid w:val="0049676C"/>
    <w:rsid w:val="004967E6"/>
    <w:rsid w:val="0049731E"/>
    <w:rsid w:val="00497332"/>
    <w:rsid w:val="004A132B"/>
    <w:rsid w:val="004A233B"/>
    <w:rsid w:val="004A36AC"/>
    <w:rsid w:val="004A3BCB"/>
    <w:rsid w:val="004A3F08"/>
    <w:rsid w:val="004A3FF2"/>
    <w:rsid w:val="004A4B37"/>
    <w:rsid w:val="004A52DB"/>
    <w:rsid w:val="004A5368"/>
    <w:rsid w:val="004A61A6"/>
    <w:rsid w:val="004A67D8"/>
    <w:rsid w:val="004A6BA3"/>
    <w:rsid w:val="004B0B3B"/>
    <w:rsid w:val="004B0D0B"/>
    <w:rsid w:val="004B1418"/>
    <w:rsid w:val="004B1DA0"/>
    <w:rsid w:val="004B2E04"/>
    <w:rsid w:val="004B59D4"/>
    <w:rsid w:val="004B661D"/>
    <w:rsid w:val="004B6A1A"/>
    <w:rsid w:val="004B7D2B"/>
    <w:rsid w:val="004B7D44"/>
    <w:rsid w:val="004C0184"/>
    <w:rsid w:val="004C0461"/>
    <w:rsid w:val="004C0B9A"/>
    <w:rsid w:val="004C0C90"/>
    <w:rsid w:val="004C0FE0"/>
    <w:rsid w:val="004C26AA"/>
    <w:rsid w:val="004C26AD"/>
    <w:rsid w:val="004C2B51"/>
    <w:rsid w:val="004C2D72"/>
    <w:rsid w:val="004C31AE"/>
    <w:rsid w:val="004C3C28"/>
    <w:rsid w:val="004C4696"/>
    <w:rsid w:val="004C49BE"/>
    <w:rsid w:val="004C4B7E"/>
    <w:rsid w:val="004C4D0C"/>
    <w:rsid w:val="004C5065"/>
    <w:rsid w:val="004C59CE"/>
    <w:rsid w:val="004C7082"/>
    <w:rsid w:val="004C7148"/>
    <w:rsid w:val="004C7473"/>
    <w:rsid w:val="004C77B1"/>
    <w:rsid w:val="004D01B8"/>
    <w:rsid w:val="004D3D38"/>
    <w:rsid w:val="004D3FC8"/>
    <w:rsid w:val="004D4DFC"/>
    <w:rsid w:val="004D54D2"/>
    <w:rsid w:val="004D5FBB"/>
    <w:rsid w:val="004D754F"/>
    <w:rsid w:val="004E0F00"/>
    <w:rsid w:val="004E10F6"/>
    <w:rsid w:val="004E13E1"/>
    <w:rsid w:val="004E4189"/>
    <w:rsid w:val="004E4FA4"/>
    <w:rsid w:val="004E6296"/>
    <w:rsid w:val="004E678F"/>
    <w:rsid w:val="004E6A5B"/>
    <w:rsid w:val="004E72D6"/>
    <w:rsid w:val="004E742C"/>
    <w:rsid w:val="004E7917"/>
    <w:rsid w:val="004F044B"/>
    <w:rsid w:val="004F13E8"/>
    <w:rsid w:val="004F2C05"/>
    <w:rsid w:val="004F33CE"/>
    <w:rsid w:val="004F3768"/>
    <w:rsid w:val="004F3F8B"/>
    <w:rsid w:val="004F4CBE"/>
    <w:rsid w:val="004F555C"/>
    <w:rsid w:val="004F59B0"/>
    <w:rsid w:val="004F625B"/>
    <w:rsid w:val="00500B78"/>
    <w:rsid w:val="00500FF4"/>
    <w:rsid w:val="00501251"/>
    <w:rsid w:val="00501932"/>
    <w:rsid w:val="00501A26"/>
    <w:rsid w:val="00501C7D"/>
    <w:rsid w:val="00501CB6"/>
    <w:rsid w:val="005025AF"/>
    <w:rsid w:val="0050278F"/>
    <w:rsid w:val="005028A5"/>
    <w:rsid w:val="005039C3"/>
    <w:rsid w:val="00504C2D"/>
    <w:rsid w:val="00505AEE"/>
    <w:rsid w:val="00505B00"/>
    <w:rsid w:val="00505EDE"/>
    <w:rsid w:val="005062E0"/>
    <w:rsid w:val="00506806"/>
    <w:rsid w:val="00506BB6"/>
    <w:rsid w:val="0051182A"/>
    <w:rsid w:val="00512896"/>
    <w:rsid w:val="00512D8B"/>
    <w:rsid w:val="0051456A"/>
    <w:rsid w:val="00514D45"/>
    <w:rsid w:val="005157DE"/>
    <w:rsid w:val="00517420"/>
    <w:rsid w:val="00520C48"/>
    <w:rsid w:val="00521B76"/>
    <w:rsid w:val="00522726"/>
    <w:rsid w:val="005228CA"/>
    <w:rsid w:val="00522E32"/>
    <w:rsid w:val="005231C8"/>
    <w:rsid w:val="00523CE9"/>
    <w:rsid w:val="00523DEB"/>
    <w:rsid w:val="00523DFC"/>
    <w:rsid w:val="005248D1"/>
    <w:rsid w:val="00526DFD"/>
    <w:rsid w:val="00527463"/>
    <w:rsid w:val="005277EE"/>
    <w:rsid w:val="00527D35"/>
    <w:rsid w:val="0053055D"/>
    <w:rsid w:val="005309D2"/>
    <w:rsid w:val="00530DD1"/>
    <w:rsid w:val="005319AD"/>
    <w:rsid w:val="00531C26"/>
    <w:rsid w:val="00531EF8"/>
    <w:rsid w:val="00532F2D"/>
    <w:rsid w:val="00533296"/>
    <w:rsid w:val="005341F0"/>
    <w:rsid w:val="0053451C"/>
    <w:rsid w:val="00535154"/>
    <w:rsid w:val="005352DC"/>
    <w:rsid w:val="00535B66"/>
    <w:rsid w:val="00536796"/>
    <w:rsid w:val="005368B4"/>
    <w:rsid w:val="0053772E"/>
    <w:rsid w:val="005378B3"/>
    <w:rsid w:val="00537FA2"/>
    <w:rsid w:val="00541970"/>
    <w:rsid w:val="00541C8B"/>
    <w:rsid w:val="005423CC"/>
    <w:rsid w:val="005429C1"/>
    <w:rsid w:val="0054306F"/>
    <w:rsid w:val="00543F91"/>
    <w:rsid w:val="005440E5"/>
    <w:rsid w:val="005444FD"/>
    <w:rsid w:val="00544891"/>
    <w:rsid w:val="005449DD"/>
    <w:rsid w:val="00544B99"/>
    <w:rsid w:val="00544D9B"/>
    <w:rsid w:val="0054543A"/>
    <w:rsid w:val="00545866"/>
    <w:rsid w:val="0054665F"/>
    <w:rsid w:val="005473E2"/>
    <w:rsid w:val="00547CE8"/>
    <w:rsid w:val="00551689"/>
    <w:rsid w:val="0055223B"/>
    <w:rsid w:val="005522A0"/>
    <w:rsid w:val="00552E19"/>
    <w:rsid w:val="0055351C"/>
    <w:rsid w:val="005536E7"/>
    <w:rsid w:val="005552C3"/>
    <w:rsid w:val="0055557B"/>
    <w:rsid w:val="005561A0"/>
    <w:rsid w:val="00556462"/>
    <w:rsid w:val="00556661"/>
    <w:rsid w:val="005567CE"/>
    <w:rsid w:val="00556E34"/>
    <w:rsid w:val="00556EA4"/>
    <w:rsid w:val="00557878"/>
    <w:rsid w:val="00557C28"/>
    <w:rsid w:val="00562333"/>
    <w:rsid w:val="00563A09"/>
    <w:rsid w:val="00563BDC"/>
    <w:rsid w:val="005647B2"/>
    <w:rsid w:val="005660EF"/>
    <w:rsid w:val="005665DA"/>
    <w:rsid w:val="00570C3B"/>
    <w:rsid w:val="00571E4E"/>
    <w:rsid w:val="005723AE"/>
    <w:rsid w:val="00572F55"/>
    <w:rsid w:val="00574862"/>
    <w:rsid w:val="005756CD"/>
    <w:rsid w:val="00575D5A"/>
    <w:rsid w:val="00576C5B"/>
    <w:rsid w:val="00577DEE"/>
    <w:rsid w:val="005817C9"/>
    <w:rsid w:val="00582C85"/>
    <w:rsid w:val="00583B04"/>
    <w:rsid w:val="00583FD1"/>
    <w:rsid w:val="005844AF"/>
    <w:rsid w:val="00585641"/>
    <w:rsid w:val="00585D5E"/>
    <w:rsid w:val="00585EC8"/>
    <w:rsid w:val="005877A7"/>
    <w:rsid w:val="0059134E"/>
    <w:rsid w:val="005915CF"/>
    <w:rsid w:val="00591EB0"/>
    <w:rsid w:val="00592246"/>
    <w:rsid w:val="00592993"/>
    <w:rsid w:val="00594816"/>
    <w:rsid w:val="00595282"/>
    <w:rsid w:val="005953FB"/>
    <w:rsid w:val="00595641"/>
    <w:rsid w:val="005A20F7"/>
    <w:rsid w:val="005A277D"/>
    <w:rsid w:val="005A3C5C"/>
    <w:rsid w:val="005A3FA7"/>
    <w:rsid w:val="005A4194"/>
    <w:rsid w:val="005A44F9"/>
    <w:rsid w:val="005A4515"/>
    <w:rsid w:val="005A462D"/>
    <w:rsid w:val="005A4D72"/>
    <w:rsid w:val="005A58CD"/>
    <w:rsid w:val="005A5EFE"/>
    <w:rsid w:val="005A6E27"/>
    <w:rsid w:val="005A7535"/>
    <w:rsid w:val="005B06F0"/>
    <w:rsid w:val="005B14A1"/>
    <w:rsid w:val="005B189C"/>
    <w:rsid w:val="005B412A"/>
    <w:rsid w:val="005B48E1"/>
    <w:rsid w:val="005B5920"/>
    <w:rsid w:val="005B6B05"/>
    <w:rsid w:val="005B7788"/>
    <w:rsid w:val="005B7B7A"/>
    <w:rsid w:val="005B7C07"/>
    <w:rsid w:val="005C1246"/>
    <w:rsid w:val="005C1257"/>
    <w:rsid w:val="005C167C"/>
    <w:rsid w:val="005C23B4"/>
    <w:rsid w:val="005C2866"/>
    <w:rsid w:val="005C2871"/>
    <w:rsid w:val="005C29C8"/>
    <w:rsid w:val="005C317A"/>
    <w:rsid w:val="005C41CC"/>
    <w:rsid w:val="005C4218"/>
    <w:rsid w:val="005C4A66"/>
    <w:rsid w:val="005C5504"/>
    <w:rsid w:val="005C6FE1"/>
    <w:rsid w:val="005C7273"/>
    <w:rsid w:val="005C7604"/>
    <w:rsid w:val="005C79D2"/>
    <w:rsid w:val="005D1316"/>
    <w:rsid w:val="005D34BD"/>
    <w:rsid w:val="005D3C4E"/>
    <w:rsid w:val="005D3F3A"/>
    <w:rsid w:val="005D5ADF"/>
    <w:rsid w:val="005D5B8C"/>
    <w:rsid w:val="005D6176"/>
    <w:rsid w:val="005D64B4"/>
    <w:rsid w:val="005D6910"/>
    <w:rsid w:val="005D6929"/>
    <w:rsid w:val="005D6A86"/>
    <w:rsid w:val="005D6CF3"/>
    <w:rsid w:val="005D6FFD"/>
    <w:rsid w:val="005D7837"/>
    <w:rsid w:val="005D7A4D"/>
    <w:rsid w:val="005E12CB"/>
    <w:rsid w:val="005E2DA3"/>
    <w:rsid w:val="005E4264"/>
    <w:rsid w:val="005E4BF3"/>
    <w:rsid w:val="005E4CCD"/>
    <w:rsid w:val="005E540D"/>
    <w:rsid w:val="005E7554"/>
    <w:rsid w:val="005E7DEA"/>
    <w:rsid w:val="005F0142"/>
    <w:rsid w:val="005F08CA"/>
    <w:rsid w:val="005F0BC8"/>
    <w:rsid w:val="005F162B"/>
    <w:rsid w:val="005F1B8D"/>
    <w:rsid w:val="005F20F2"/>
    <w:rsid w:val="005F2857"/>
    <w:rsid w:val="005F65B7"/>
    <w:rsid w:val="005F7422"/>
    <w:rsid w:val="005F7D4C"/>
    <w:rsid w:val="005F7E8A"/>
    <w:rsid w:val="00600387"/>
    <w:rsid w:val="00600F66"/>
    <w:rsid w:val="00603239"/>
    <w:rsid w:val="006032DC"/>
    <w:rsid w:val="00603A31"/>
    <w:rsid w:val="00603AB3"/>
    <w:rsid w:val="006048B0"/>
    <w:rsid w:val="00610976"/>
    <w:rsid w:val="006126B4"/>
    <w:rsid w:val="00612854"/>
    <w:rsid w:val="0061359C"/>
    <w:rsid w:val="006135D6"/>
    <w:rsid w:val="006149D4"/>
    <w:rsid w:val="00615418"/>
    <w:rsid w:val="00615DA3"/>
    <w:rsid w:val="00616AB4"/>
    <w:rsid w:val="0061764E"/>
    <w:rsid w:val="00617DB3"/>
    <w:rsid w:val="00620CB7"/>
    <w:rsid w:val="006212A8"/>
    <w:rsid w:val="00621BED"/>
    <w:rsid w:val="00621BF6"/>
    <w:rsid w:val="0062273C"/>
    <w:rsid w:val="006231BF"/>
    <w:rsid w:val="00623E76"/>
    <w:rsid w:val="00623EF9"/>
    <w:rsid w:val="00624BD4"/>
    <w:rsid w:val="006264B3"/>
    <w:rsid w:val="00627521"/>
    <w:rsid w:val="00627819"/>
    <w:rsid w:val="006306CB"/>
    <w:rsid w:val="006306D9"/>
    <w:rsid w:val="006308D2"/>
    <w:rsid w:val="00631209"/>
    <w:rsid w:val="00632AFD"/>
    <w:rsid w:val="0063483F"/>
    <w:rsid w:val="00635EB1"/>
    <w:rsid w:val="00635EB7"/>
    <w:rsid w:val="00636C26"/>
    <w:rsid w:val="00636DF3"/>
    <w:rsid w:val="00637B8F"/>
    <w:rsid w:val="00637FA5"/>
    <w:rsid w:val="006400AF"/>
    <w:rsid w:val="0064181D"/>
    <w:rsid w:val="00642E4B"/>
    <w:rsid w:val="00645429"/>
    <w:rsid w:val="00645617"/>
    <w:rsid w:val="00645B95"/>
    <w:rsid w:val="00646F0F"/>
    <w:rsid w:val="0064716B"/>
    <w:rsid w:val="006471F2"/>
    <w:rsid w:val="0064784A"/>
    <w:rsid w:val="006513B7"/>
    <w:rsid w:val="006520B0"/>
    <w:rsid w:val="006521C9"/>
    <w:rsid w:val="006535AC"/>
    <w:rsid w:val="006538C2"/>
    <w:rsid w:val="00653912"/>
    <w:rsid w:val="0065524D"/>
    <w:rsid w:val="0065558D"/>
    <w:rsid w:val="006556A5"/>
    <w:rsid w:val="00655985"/>
    <w:rsid w:val="00655B7C"/>
    <w:rsid w:val="00655C10"/>
    <w:rsid w:val="00655E0F"/>
    <w:rsid w:val="006567C2"/>
    <w:rsid w:val="00656A06"/>
    <w:rsid w:val="00657E8D"/>
    <w:rsid w:val="0066014D"/>
    <w:rsid w:val="00660392"/>
    <w:rsid w:val="006607A4"/>
    <w:rsid w:val="00660925"/>
    <w:rsid w:val="00661D53"/>
    <w:rsid w:val="00662C04"/>
    <w:rsid w:val="00664F5A"/>
    <w:rsid w:val="006652A5"/>
    <w:rsid w:val="00666E2E"/>
    <w:rsid w:val="00667112"/>
    <w:rsid w:val="00670600"/>
    <w:rsid w:val="00670B37"/>
    <w:rsid w:val="00672123"/>
    <w:rsid w:val="006730BD"/>
    <w:rsid w:val="00675A02"/>
    <w:rsid w:val="00676227"/>
    <w:rsid w:val="00677534"/>
    <w:rsid w:val="00677613"/>
    <w:rsid w:val="00677F3D"/>
    <w:rsid w:val="006804C6"/>
    <w:rsid w:val="006805E0"/>
    <w:rsid w:val="00681D1C"/>
    <w:rsid w:val="0068257A"/>
    <w:rsid w:val="006829B7"/>
    <w:rsid w:val="00682F29"/>
    <w:rsid w:val="00684159"/>
    <w:rsid w:val="00684ABA"/>
    <w:rsid w:val="00684B23"/>
    <w:rsid w:val="00684D86"/>
    <w:rsid w:val="0068508A"/>
    <w:rsid w:val="006851F1"/>
    <w:rsid w:val="00685A9B"/>
    <w:rsid w:val="00686871"/>
    <w:rsid w:val="00686E65"/>
    <w:rsid w:val="00686F07"/>
    <w:rsid w:val="006875A3"/>
    <w:rsid w:val="00690603"/>
    <w:rsid w:val="00692A72"/>
    <w:rsid w:val="006930F0"/>
    <w:rsid w:val="00693121"/>
    <w:rsid w:val="00693565"/>
    <w:rsid w:val="006935C5"/>
    <w:rsid w:val="0069398C"/>
    <w:rsid w:val="00693EBA"/>
    <w:rsid w:val="0069437E"/>
    <w:rsid w:val="006950F4"/>
    <w:rsid w:val="006955A3"/>
    <w:rsid w:val="0069611E"/>
    <w:rsid w:val="006962D9"/>
    <w:rsid w:val="0069719E"/>
    <w:rsid w:val="00697258"/>
    <w:rsid w:val="006A0991"/>
    <w:rsid w:val="006A0EF2"/>
    <w:rsid w:val="006A1569"/>
    <w:rsid w:val="006A3247"/>
    <w:rsid w:val="006A405D"/>
    <w:rsid w:val="006A41BA"/>
    <w:rsid w:val="006A428C"/>
    <w:rsid w:val="006A507E"/>
    <w:rsid w:val="006A546F"/>
    <w:rsid w:val="006A5567"/>
    <w:rsid w:val="006A5908"/>
    <w:rsid w:val="006A5FF9"/>
    <w:rsid w:val="006A626F"/>
    <w:rsid w:val="006A62C0"/>
    <w:rsid w:val="006A749C"/>
    <w:rsid w:val="006A767C"/>
    <w:rsid w:val="006B0154"/>
    <w:rsid w:val="006B02C2"/>
    <w:rsid w:val="006B0F98"/>
    <w:rsid w:val="006B201A"/>
    <w:rsid w:val="006B21B0"/>
    <w:rsid w:val="006B367E"/>
    <w:rsid w:val="006B4CFC"/>
    <w:rsid w:val="006B512C"/>
    <w:rsid w:val="006B543F"/>
    <w:rsid w:val="006B562D"/>
    <w:rsid w:val="006B67D1"/>
    <w:rsid w:val="006B7946"/>
    <w:rsid w:val="006C044E"/>
    <w:rsid w:val="006C082D"/>
    <w:rsid w:val="006C280B"/>
    <w:rsid w:val="006C6E33"/>
    <w:rsid w:val="006C78AE"/>
    <w:rsid w:val="006C7AED"/>
    <w:rsid w:val="006C7E43"/>
    <w:rsid w:val="006D0D54"/>
    <w:rsid w:val="006D1284"/>
    <w:rsid w:val="006D26B6"/>
    <w:rsid w:val="006D353A"/>
    <w:rsid w:val="006D3726"/>
    <w:rsid w:val="006D4A26"/>
    <w:rsid w:val="006D5885"/>
    <w:rsid w:val="006D5B5E"/>
    <w:rsid w:val="006D66A6"/>
    <w:rsid w:val="006D6F4A"/>
    <w:rsid w:val="006D7327"/>
    <w:rsid w:val="006E0480"/>
    <w:rsid w:val="006E148D"/>
    <w:rsid w:val="006E23FC"/>
    <w:rsid w:val="006E28F2"/>
    <w:rsid w:val="006E2D36"/>
    <w:rsid w:val="006E30DE"/>
    <w:rsid w:val="006E32EA"/>
    <w:rsid w:val="006E4717"/>
    <w:rsid w:val="006E4AF4"/>
    <w:rsid w:val="006E4D33"/>
    <w:rsid w:val="006E5D15"/>
    <w:rsid w:val="006E76D8"/>
    <w:rsid w:val="006F2924"/>
    <w:rsid w:val="006F3DFB"/>
    <w:rsid w:val="006F43DE"/>
    <w:rsid w:val="006F459A"/>
    <w:rsid w:val="006F4F63"/>
    <w:rsid w:val="006F5630"/>
    <w:rsid w:val="006F5782"/>
    <w:rsid w:val="006F5857"/>
    <w:rsid w:val="006F777A"/>
    <w:rsid w:val="00700627"/>
    <w:rsid w:val="0070077C"/>
    <w:rsid w:val="00700B94"/>
    <w:rsid w:val="00700EEB"/>
    <w:rsid w:val="00701294"/>
    <w:rsid w:val="00701EF0"/>
    <w:rsid w:val="0070254A"/>
    <w:rsid w:val="007025AD"/>
    <w:rsid w:val="007027C9"/>
    <w:rsid w:val="007038B3"/>
    <w:rsid w:val="00703D4E"/>
    <w:rsid w:val="00705719"/>
    <w:rsid w:val="00705B7A"/>
    <w:rsid w:val="00706A1B"/>
    <w:rsid w:val="00706D84"/>
    <w:rsid w:val="00707CA7"/>
    <w:rsid w:val="007109CB"/>
    <w:rsid w:val="00710CC1"/>
    <w:rsid w:val="00710D09"/>
    <w:rsid w:val="0071141B"/>
    <w:rsid w:val="00711606"/>
    <w:rsid w:val="00711BCD"/>
    <w:rsid w:val="007135AE"/>
    <w:rsid w:val="00715482"/>
    <w:rsid w:val="007159A3"/>
    <w:rsid w:val="00715A28"/>
    <w:rsid w:val="00717038"/>
    <w:rsid w:val="007179BA"/>
    <w:rsid w:val="00720141"/>
    <w:rsid w:val="00720A4F"/>
    <w:rsid w:val="00720F58"/>
    <w:rsid w:val="00721AB9"/>
    <w:rsid w:val="00721F45"/>
    <w:rsid w:val="007221C8"/>
    <w:rsid w:val="00724C22"/>
    <w:rsid w:val="00725B82"/>
    <w:rsid w:val="0072614B"/>
    <w:rsid w:val="0072669D"/>
    <w:rsid w:val="0072766F"/>
    <w:rsid w:val="007278D1"/>
    <w:rsid w:val="00730094"/>
    <w:rsid w:val="00730694"/>
    <w:rsid w:val="00730C3A"/>
    <w:rsid w:val="00731319"/>
    <w:rsid w:val="00732CA3"/>
    <w:rsid w:val="00732D75"/>
    <w:rsid w:val="0073372F"/>
    <w:rsid w:val="00733B64"/>
    <w:rsid w:val="00734681"/>
    <w:rsid w:val="0073755F"/>
    <w:rsid w:val="0074029A"/>
    <w:rsid w:val="00741D4B"/>
    <w:rsid w:val="00742389"/>
    <w:rsid w:val="00742CF7"/>
    <w:rsid w:val="0074305B"/>
    <w:rsid w:val="00743566"/>
    <w:rsid w:val="00743B53"/>
    <w:rsid w:val="00743F3C"/>
    <w:rsid w:val="00744927"/>
    <w:rsid w:val="00745A1D"/>
    <w:rsid w:val="007460B2"/>
    <w:rsid w:val="00746853"/>
    <w:rsid w:val="00746C63"/>
    <w:rsid w:val="007472D6"/>
    <w:rsid w:val="00747824"/>
    <w:rsid w:val="00750265"/>
    <w:rsid w:val="007516F4"/>
    <w:rsid w:val="00751853"/>
    <w:rsid w:val="00751E56"/>
    <w:rsid w:val="007522EB"/>
    <w:rsid w:val="00752350"/>
    <w:rsid w:val="00752C59"/>
    <w:rsid w:val="007537C6"/>
    <w:rsid w:val="007541EF"/>
    <w:rsid w:val="00754592"/>
    <w:rsid w:val="00754C42"/>
    <w:rsid w:val="00756273"/>
    <w:rsid w:val="00756284"/>
    <w:rsid w:val="0075712C"/>
    <w:rsid w:val="00760826"/>
    <w:rsid w:val="00760831"/>
    <w:rsid w:val="0076105A"/>
    <w:rsid w:val="00761A6B"/>
    <w:rsid w:val="00762F90"/>
    <w:rsid w:val="0076371A"/>
    <w:rsid w:val="00763CF4"/>
    <w:rsid w:val="00763F13"/>
    <w:rsid w:val="007643FF"/>
    <w:rsid w:val="0076462F"/>
    <w:rsid w:val="00764816"/>
    <w:rsid w:val="00764914"/>
    <w:rsid w:val="007651BB"/>
    <w:rsid w:val="00766784"/>
    <w:rsid w:val="007671F5"/>
    <w:rsid w:val="007675D2"/>
    <w:rsid w:val="007676BF"/>
    <w:rsid w:val="00770CB7"/>
    <w:rsid w:val="007710AC"/>
    <w:rsid w:val="0077159C"/>
    <w:rsid w:val="007724A4"/>
    <w:rsid w:val="00772E0F"/>
    <w:rsid w:val="007733C8"/>
    <w:rsid w:val="007734C6"/>
    <w:rsid w:val="00774FDB"/>
    <w:rsid w:val="00775091"/>
    <w:rsid w:val="007751EC"/>
    <w:rsid w:val="00775A38"/>
    <w:rsid w:val="00775A41"/>
    <w:rsid w:val="00776770"/>
    <w:rsid w:val="00776889"/>
    <w:rsid w:val="00776FD7"/>
    <w:rsid w:val="00777929"/>
    <w:rsid w:val="00777BCF"/>
    <w:rsid w:val="00782C61"/>
    <w:rsid w:val="0078326C"/>
    <w:rsid w:val="00785152"/>
    <w:rsid w:val="007853B8"/>
    <w:rsid w:val="0078572D"/>
    <w:rsid w:val="007860D8"/>
    <w:rsid w:val="007862B7"/>
    <w:rsid w:val="00786468"/>
    <w:rsid w:val="00787B6E"/>
    <w:rsid w:val="007923C8"/>
    <w:rsid w:val="0079247D"/>
    <w:rsid w:val="00792DF8"/>
    <w:rsid w:val="007958AF"/>
    <w:rsid w:val="00796D6D"/>
    <w:rsid w:val="0079779F"/>
    <w:rsid w:val="00797A49"/>
    <w:rsid w:val="00797FCC"/>
    <w:rsid w:val="007A03CE"/>
    <w:rsid w:val="007A057C"/>
    <w:rsid w:val="007A076E"/>
    <w:rsid w:val="007A1872"/>
    <w:rsid w:val="007A1D0E"/>
    <w:rsid w:val="007A3D21"/>
    <w:rsid w:val="007A4236"/>
    <w:rsid w:val="007A4583"/>
    <w:rsid w:val="007A4E72"/>
    <w:rsid w:val="007A5674"/>
    <w:rsid w:val="007A5928"/>
    <w:rsid w:val="007A61B2"/>
    <w:rsid w:val="007B0944"/>
    <w:rsid w:val="007B0CD8"/>
    <w:rsid w:val="007B2B3E"/>
    <w:rsid w:val="007B3EA9"/>
    <w:rsid w:val="007B4B88"/>
    <w:rsid w:val="007B5365"/>
    <w:rsid w:val="007B5DCB"/>
    <w:rsid w:val="007B5E03"/>
    <w:rsid w:val="007B61B8"/>
    <w:rsid w:val="007B642D"/>
    <w:rsid w:val="007B7768"/>
    <w:rsid w:val="007B7A69"/>
    <w:rsid w:val="007C0113"/>
    <w:rsid w:val="007C0209"/>
    <w:rsid w:val="007C0CCC"/>
    <w:rsid w:val="007C179B"/>
    <w:rsid w:val="007C1FED"/>
    <w:rsid w:val="007C241C"/>
    <w:rsid w:val="007C3ADE"/>
    <w:rsid w:val="007C3B11"/>
    <w:rsid w:val="007C473D"/>
    <w:rsid w:val="007C4919"/>
    <w:rsid w:val="007C4CD3"/>
    <w:rsid w:val="007C4E6A"/>
    <w:rsid w:val="007C58CF"/>
    <w:rsid w:val="007C6916"/>
    <w:rsid w:val="007C7050"/>
    <w:rsid w:val="007D01FC"/>
    <w:rsid w:val="007D04EA"/>
    <w:rsid w:val="007D0801"/>
    <w:rsid w:val="007D0AE5"/>
    <w:rsid w:val="007D0B71"/>
    <w:rsid w:val="007D0D05"/>
    <w:rsid w:val="007D2AA7"/>
    <w:rsid w:val="007D2CFA"/>
    <w:rsid w:val="007D3333"/>
    <w:rsid w:val="007D3649"/>
    <w:rsid w:val="007D39DA"/>
    <w:rsid w:val="007D43C3"/>
    <w:rsid w:val="007D4C01"/>
    <w:rsid w:val="007D4C15"/>
    <w:rsid w:val="007D6FA7"/>
    <w:rsid w:val="007D7D09"/>
    <w:rsid w:val="007E0813"/>
    <w:rsid w:val="007E1CF0"/>
    <w:rsid w:val="007E25A7"/>
    <w:rsid w:val="007E2F18"/>
    <w:rsid w:val="007E310E"/>
    <w:rsid w:val="007E37A2"/>
    <w:rsid w:val="007E4346"/>
    <w:rsid w:val="007E43C8"/>
    <w:rsid w:val="007E4B44"/>
    <w:rsid w:val="007E5429"/>
    <w:rsid w:val="007E70FC"/>
    <w:rsid w:val="007F06E2"/>
    <w:rsid w:val="007F09FD"/>
    <w:rsid w:val="007F0E8A"/>
    <w:rsid w:val="007F0F88"/>
    <w:rsid w:val="007F2285"/>
    <w:rsid w:val="007F461B"/>
    <w:rsid w:val="007F6C89"/>
    <w:rsid w:val="007F6E5B"/>
    <w:rsid w:val="007F7789"/>
    <w:rsid w:val="007F7AFA"/>
    <w:rsid w:val="00800328"/>
    <w:rsid w:val="008012AF"/>
    <w:rsid w:val="00802739"/>
    <w:rsid w:val="00802765"/>
    <w:rsid w:val="00803199"/>
    <w:rsid w:val="0080534B"/>
    <w:rsid w:val="00805389"/>
    <w:rsid w:val="00805491"/>
    <w:rsid w:val="00805ECD"/>
    <w:rsid w:val="008061F9"/>
    <w:rsid w:val="00806447"/>
    <w:rsid w:val="0080647B"/>
    <w:rsid w:val="0080679B"/>
    <w:rsid w:val="008068A6"/>
    <w:rsid w:val="00806922"/>
    <w:rsid w:val="0080721A"/>
    <w:rsid w:val="008079EA"/>
    <w:rsid w:val="008106AB"/>
    <w:rsid w:val="0081096E"/>
    <w:rsid w:val="0081111A"/>
    <w:rsid w:val="00811481"/>
    <w:rsid w:val="008114EC"/>
    <w:rsid w:val="00811A9B"/>
    <w:rsid w:val="00812590"/>
    <w:rsid w:val="00813DF2"/>
    <w:rsid w:val="008143ED"/>
    <w:rsid w:val="00816731"/>
    <w:rsid w:val="00820700"/>
    <w:rsid w:val="008214BA"/>
    <w:rsid w:val="00821850"/>
    <w:rsid w:val="008223E9"/>
    <w:rsid w:val="00822877"/>
    <w:rsid w:val="00822BC3"/>
    <w:rsid w:val="00824B33"/>
    <w:rsid w:val="00825230"/>
    <w:rsid w:val="00827634"/>
    <w:rsid w:val="00827A29"/>
    <w:rsid w:val="00827F0E"/>
    <w:rsid w:val="00830EA4"/>
    <w:rsid w:val="00831067"/>
    <w:rsid w:val="00831470"/>
    <w:rsid w:val="0083148C"/>
    <w:rsid w:val="00832FCD"/>
    <w:rsid w:val="00835237"/>
    <w:rsid w:val="008371F6"/>
    <w:rsid w:val="00837230"/>
    <w:rsid w:val="00837E74"/>
    <w:rsid w:val="0084027D"/>
    <w:rsid w:val="0084092C"/>
    <w:rsid w:val="0084100F"/>
    <w:rsid w:val="00841478"/>
    <w:rsid w:val="00841717"/>
    <w:rsid w:val="00841E47"/>
    <w:rsid w:val="0084376F"/>
    <w:rsid w:val="00844363"/>
    <w:rsid w:val="00844C23"/>
    <w:rsid w:val="00845A98"/>
    <w:rsid w:val="00845EB3"/>
    <w:rsid w:val="00846D39"/>
    <w:rsid w:val="0084705C"/>
    <w:rsid w:val="00847947"/>
    <w:rsid w:val="00847B6A"/>
    <w:rsid w:val="0085021F"/>
    <w:rsid w:val="00850978"/>
    <w:rsid w:val="00852E24"/>
    <w:rsid w:val="008532E9"/>
    <w:rsid w:val="008536AC"/>
    <w:rsid w:val="00855364"/>
    <w:rsid w:val="00855C26"/>
    <w:rsid w:val="00856BF1"/>
    <w:rsid w:val="008572A6"/>
    <w:rsid w:val="0085771C"/>
    <w:rsid w:val="00857794"/>
    <w:rsid w:val="00860BCF"/>
    <w:rsid w:val="00860E5B"/>
    <w:rsid w:val="00860F51"/>
    <w:rsid w:val="008615F9"/>
    <w:rsid w:val="00861D79"/>
    <w:rsid w:val="00862A97"/>
    <w:rsid w:val="00862C3E"/>
    <w:rsid w:val="00863159"/>
    <w:rsid w:val="008633D2"/>
    <w:rsid w:val="00863692"/>
    <w:rsid w:val="00863BDA"/>
    <w:rsid w:val="00863F7E"/>
    <w:rsid w:val="00864629"/>
    <w:rsid w:val="00864A30"/>
    <w:rsid w:val="00865003"/>
    <w:rsid w:val="008651BC"/>
    <w:rsid w:val="00865D01"/>
    <w:rsid w:val="00866B73"/>
    <w:rsid w:val="00866C1F"/>
    <w:rsid w:val="00866C53"/>
    <w:rsid w:val="0086783A"/>
    <w:rsid w:val="0087044C"/>
    <w:rsid w:val="008706A6"/>
    <w:rsid w:val="00871D25"/>
    <w:rsid w:val="00871F74"/>
    <w:rsid w:val="00872CAA"/>
    <w:rsid w:val="00873852"/>
    <w:rsid w:val="00873D78"/>
    <w:rsid w:val="00874040"/>
    <w:rsid w:val="00874D9F"/>
    <w:rsid w:val="008757BF"/>
    <w:rsid w:val="00875DC4"/>
    <w:rsid w:val="008762EE"/>
    <w:rsid w:val="00876E67"/>
    <w:rsid w:val="00877ADF"/>
    <w:rsid w:val="00880111"/>
    <w:rsid w:val="00880C64"/>
    <w:rsid w:val="00882C63"/>
    <w:rsid w:val="00882FA1"/>
    <w:rsid w:val="008835AA"/>
    <w:rsid w:val="008846E2"/>
    <w:rsid w:val="00885F4D"/>
    <w:rsid w:val="00886755"/>
    <w:rsid w:val="00886DE8"/>
    <w:rsid w:val="0088707F"/>
    <w:rsid w:val="00890A55"/>
    <w:rsid w:val="00890CE7"/>
    <w:rsid w:val="0089244D"/>
    <w:rsid w:val="00893129"/>
    <w:rsid w:val="00893FC9"/>
    <w:rsid w:val="00894071"/>
    <w:rsid w:val="008947C5"/>
    <w:rsid w:val="00894A1A"/>
    <w:rsid w:val="00895609"/>
    <w:rsid w:val="00895628"/>
    <w:rsid w:val="00895C7E"/>
    <w:rsid w:val="008965BB"/>
    <w:rsid w:val="0089684B"/>
    <w:rsid w:val="00896CA7"/>
    <w:rsid w:val="00896FAF"/>
    <w:rsid w:val="00897A2E"/>
    <w:rsid w:val="008A1D3C"/>
    <w:rsid w:val="008A1EF9"/>
    <w:rsid w:val="008A2F67"/>
    <w:rsid w:val="008A33A6"/>
    <w:rsid w:val="008A3FDE"/>
    <w:rsid w:val="008A410A"/>
    <w:rsid w:val="008A419E"/>
    <w:rsid w:val="008A4ABD"/>
    <w:rsid w:val="008A5337"/>
    <w:rsid w:val="008A58C2"/>
    <w:rsid w:val="008A7AE2"/>
    <w:rsid w:val="008B11E7"/>
    <w:rsid w:val="008B214C"/>
    <w:rsid w:val="008B2417"/>
    <w:rsid w:val="008B37A1"/>
    <w:rsid w:val="008B420E"/>
    <w:rsid w:val="008B43A8"/>
    <w:rsid w:val="008B5B52"/>
    <w:rsid w:val="008B5BAF"/>
    <w:rsid w:val="008B5EE5"/>
    <w:rsid w:val="008B5F7A"/>
    <w:rsid w:val="008B698C"/>
    <w:rsid w:val="008B6B03"/>
    <w:rsid w:val="008B7105"/>
    <w:rsid w:val="008B71A9"/>
    <w:rsid w:val="008B7FD9"/>
    <w:rsid w:val="008C101E"/>
    <w:rsid w:val="008C180E"/>
    <w:rsid w:val="008C3561"/>
    <w:rsid w:val="008C5192"/>
    <w:rsid w:val="008C59F0"/>
    <w:rsid w:val="008C62A7"/>
    <w:rsid w:val="008C6A29"/>
    <w:rsid w:val="008C7237"/>
    <w:rsid w:val="008C7F03"/>
    <w:rsid w:val="008D0866"/>
    <w:rsid w:val="008D086F"/>
    <w:rsid w:val="008D0DCB"/>
    <w:rsid w:val="008D1A29"/>
    <w:rsid w:val="008D4FB0"/>
    <w:rsid w:val="008D51B5"/>
    <w:rsid w:val="008D5B16"/>
    <w:rsid w:val="008D5FCD"/>
    <w:rsid w:val="008D73B7"/>
    <w:rsid w:val="008E015E"/>
    <w:rsid w:val="008E0D46"/>
    <w:rsid w:val="008E37D8"/>
    <w:rsid w:val="008E387D"/>
    <w:rsid w:val="008E3A79"/>
    <w:rsid w:val="008E4920"/>
    <w:rsid w:val="008E4968"/>
    <w:rsid w:val="008E4ACE"/>
    <w:rsid w:val="008E5241"/>
    <w:rsid w:val="008E54AD"/>
    <w:rsid w:val="008E5FFF"/>
    <w:rsid w:val="008E636F"/>
    <w:rsid w:val="008E697A"/>
    <w:rsid w:val="008E6A60"/>
    <w:rsid w:val="008E6EA3"/>
    <w:rsid w:val="008E77A6"/>
    <w:rsid w:val="008F0098"/>
    <w:rsid w:val="008F1342"/>
    <w:rsid w:val="008F25DD"/>
    <w:rsid w:val="008F26D0"/>
    <w:rsid w:val="008F29EE"/>
    <w:rsid w:val="008F398D"/>
    <w:rsid w:val="008F3EE9"/>
    <w:rsid w:val="008F4526"/>
    <w:rsid w:val="008F5D41"/>
    <w:rsid w:val="008F65E3"/>
    <w:rsid w:val="008F6756"/>
    <w:rsid w:val="008F7169"/>
    <w:rsid w:val="00901294"/>
    <w:rsid w:val="00901488"/>
    <w:rsid w:val="00902374"/>
    <w:rsid w:val="00903F14"/>
    <w:rsid w:val="009041FB"/>
    <w:rsid w:val="0090502B"/>
    <w:rsid w:val="0090518F"/>
    <w:rsid w:val="0090546C"/>
    <w:rsid w:val="009063F5"/>
    <w:rsid w:val="009078A8"/>
    <w:rsid w:val="00907931"/>
    <w:rsid w:val="00907B75"/>
    <w:rsid w:val="00907E76"/>
    <w:rsid w:val="00907FED"/>
    <w:rsid w:val="009106E6"/>
    <w:rsid w:val="009118D7"/>
    <w:rsid w:val="009122BA"/>
    <w:rsid w:val="00912EB6"/>
    <w:rsid w:val="009140B0"/>
    <w:rsid w:val="00916D12"/>
    <w:rsid w:val="00916F15"/>
    <w:rsid w:val="0092076F"/>
    <w:rsid w:val="00920AE8"/>
    <w:rsid w:val="00921230"/>
    <w:rsid w:val="00921C59"/>
    <w:rsid w:val="00923A6D"/>
    <w:rsid w:val="00923EDA"/>
    <w:rsid w:val="0092444F"/>
    <w:rsid w:val="00924B3A"/>
    <w:rsid w:val="009255C6"/>
    <w:rsid w:val="00926053"/>
    <w:rsid w:val="00926B3D"/>
    <w:rsid w:val="009271AA"/>
    <w:rsid w:val="0093008C"/>
    <w:rsid w:val="00930631"/>
    <w:rsid w:val="00931042"/>
    <w:rsid w:val="00931253"/>
    <w:rsid w:val="009312DF"/>
    <w:rsid w:val="009316EE"/>
    <w:rsid w:val="00931B5D"/>
    <w:rsid w:val="009323F9"/>
    <w:rsid w:val="0093243A"/>
    <w:rsid w:val="00932A28"/>
    <w:rsid w:val="00932ABE"/>
    <w:rsid w:val="00933197"/>
    <w:rsid w:val="00933F28"/>
    <w:rsid w:val="009343D3"/>
    <w:rsid w:val="00935851"/>
    <w:rsid w:val="00936160"/>
    <w:rsid w:val="00942008"/>
    <w:rsid w:val="009429D2"/>
    <w:rsid w:val="00944ACA"/>
    <w:rsid w:val="00946620"/>
    <w:rsid w:val="00946ECB"/>
    <w:rsid w:val="00947343"/>
    <w:rsid w:val="0094798E"/>
    <w:rsid w:val="00950507"/>
    <w:rsid w:val="00950AE6"/>
    <w:rsid w:val="00951774"/>
    <w:rsid w:val="00951CD9"/>
    <w:rsid w:val="00953710"/>
    <w:rsid w:val="00954368"/>
    <w:rsid w:val="00954864"/>
    <w:rsid w:val="00954B56"/>
    <w:rsid w:val="009551B5"/>
    <w:rsid w:val="00955F33"/>
    <w:rsid w:val="009573EB"/>
    <w:rsid w:val="0095743D"/>
    <w:rsid w:val="00957E2F"/>
    <w:rsid w:val="00960652"/>
    <w:rsid w:val="00961228"/>
    <w:rsid w:val="00961489"/>
    <w:rsid w:val="009616E9"/>
    <w:rsid w:val="00962647"/>
    <w:rsid w:val="00962A63"/>
    <w:rsid w:val="009632F7"/>
    <w:rsid w:val="009651E7"/>
    <w:rsid w:val="009654FF"/>
    <w:rsid w:val="009663BB"/>
    <w:rsid w:val="00966F94"/>
    <w:rsid w:val="00970050"/>
    <w:rsid w:val="00970CFB"/>
    <w:rsid w:val="00972625"/>
    <w:rsid w:val="009728C8"/>
    <w:rsid w:val="00972D7C"/>
    <w:rsid w:val="009742AB"/>
    <w:rsid w:val="009753EF"/>
    <w:rsid w:val="009762F2"/>
    <w:rsid w:val="00976E5C"/>
    <w:rsid w:val="00977708"/>
    <w:rsid w:val="00977BCA"/>
    <w:rsid w:val="0098113B"/>
    <w:rsid w:val="009816E2"/>
    <w:rsid w:val="00981CC7"/>
    <w:rsid w:val="009820C5"/>
    <w:rsid w:val="00982CC1"/>
    <w:rsid w:val="009831A9"/>
    <w:rsid w:val="009833D0"/>
    <w:rsid w:val="009837E5"/>
    <w:rsid w:val="00983977"/>
    <w:rsid w:val="009839E7"/>
    <w:rsid w:val="00984215"/>
    <w:rsid w:val="00984AB1"/>
    <w:rsid w:val="00985A74"/>
    <w:rsid w:val="00986727"/>
    <w:rsid w:val="00987206"/>
    <w:rsid w:val="0099088C"/>
    <w:rsid w:val="00991325"/>
    <w:rsid w:val="00991F9A"/>
    <w:rsid w:val="00991FDA"/>
    <w:rsid w:val="00993311"/>
    <w:rsid w:val="009946CB"/>
    <w:rsid w:val="0099478B"/>
    <w:rsid w:val="00994B24"/>
    <w:rsid w:val="00994BCC"/>
    <w:rsid w:val="00995B88"/>
    <w:rsid w:val="009971E0"/>
    <w:rsid w:val="009971ED"/>
    <w:rsid w:val="009972C6"/>
    <w:rsid w:val="00997F76"/>
    <w:rsid w:val="009A00E3"/>
    <w:rsid w:val="009A075B"/>
    <w:rsid w:val="009A0FCC"/>
    <w:rsid w:val="009A15CA"/>
    <w:rsid w:val="009A211A"/>
    <w:rsid w:val="009A2843"/>
    <w:rsid w:val="009A2FC1"/>
    <w:rsid w:val="009A41D7"/>
    <w:rsid w:val="009A46D9"/>
    <w:rsid w:val="009A4DCA"/>
    <w:rsid w:val="009A5857"/>
    <w:rsid w:val="009A6379"/>
    <w:rsid w:val="009A648D"/>
    <w:rsid w:val="009A6740"/>
    <w:rsid w:val="009A786D"/>
    <w:rsid w:val="009B2212"/>
    <w:rsid w:val="009B2532"/>
    <w:rsid w:val="009B2997"/>
    <w:rsid w:val="009B350E"/>
    <w:rsid w:val="009B59E3"/>
    <w:rsid w:val="009B6D2C"/>
    <w:rsid w:val="009B6F62"/>
    <w:rsid w:val="009B715B"/>
    <w:rsid w:val="009B763C"/>
    <w:rsid w:val="009B76AA"/>
    <w:rsid w:val="009C0104"/>
    <w:rsid w:val="009C091C"/>
    <w:rsid w:val="009C1F11"/>
    <w:rsid w:val="009C1F74"/>
    <w:rsid w:val="009C25C1"/>
    <w:rsid w:val="009C326A"/>
    <w:rsid w:val="009C33F2"/>
    <w:rsid w:val="009C3E9C"/>
    <w:rsid w:val="009C5979"/>
    <w:rsid w:val="009C59FD"/>
    <w:rsid w:val="009C5CB1"/>
    <w:rsid w:val="009C5FC2"/>
    <w:rsid w:val="009C6A45"/>
    <w:rsid w:val="009C7C31"/>
    <w:rsid w:val="009C7ED5"/>
    <w:rsid w:val="009D0B7F"/>
    <w:rsid w:val="009D0BEF"/>
    <w:rsid w:val="009D1756"/>
    <w:rsid w:val="009D39B7"/>
    <w:rsid w:val="009D4233"/>
    <w:rsid w:val="009D4E4B"/>
    <w:rsid w:val="009D5163"/>
    <w:rsid w:val="009D59F7"/>
    <w:rsid w:val="009D6E23"/>
    <w:rsid w:val="009D6EC2"/>
    <w:rsid w:val="009D7530"/>
    <w:rsid w:val="009D7844"/>
    <w:rsid w:val="009D7F28"/>
    <w:rsid w:val="009E03C4"/>
    <w:rsid w:val="009E0826"/>
    <w:rsid w:val="009E126F"/>
    <w:rsid w:val="009E1B1B"/>
    <w:rsid w:val="009E1C48"/>
    <w:rsid w:val="009E23ED"/>
    <w:rsid w:val="009E25B9"/>
    <w:rsid w:val="009E382E"/>
    <w:rsid w:val="009E3D31"/>
    <w:rsid w:val="009E4170"/>
    <w:rsid w:val="009E5D72"/>
    <w:rsid w:val="009E62AB"/>
    <w:rsid w:val="009E7223"/>
    <w:rsid w:val="009E7747"/>
    <w:rsid w:val="009F04F5"/>
    <w:rsid w:val="009F0BA3"/>
    <w:rsid w:val="009F0C54"/>
    <w:rsid w:val="009F2797"/>
    <w:rsid w:val="009F39C3"/>
    <w:rsid w:val="009F3BBF"/>
    <w:rsid w:val="009F6A8C"/>
    <w:rsid w:val="009F7064"/>
    <w:rsid w:val="009F7802"/>
    <w:rsid w:val="009F7FC5"/>
    <w:rsid w:val="00A000F3"/>
    <w:rsid w:val="00A01EBB"/>
    <w:rsid w:val="00A02F00"/>
    <w:rsid w:val="00A03065"/>
    <w:rsid w:val="00A036F8"/>
    <w:rsid w:val="00A03A38"/>
    <w:rsid w:val="00A040B7"/>
    <w:rsid w:val="00A041B3"/>
    <w:rsid w:val="00A050AE"/>
    <w:rsid w:val="00A05716"/>
    <w:rsid w:val="00A05C20"/>
    <w:rsid w:val="00A0613D"/>
    <w:rsid w:val="00A072AF"/>
    <w:rsid w:val="00A0751E"/>
    <w:rsid w:val="00A07A4C"/>
    <w:rsid w:val="00A07F35"/>
    <w:rsid w:val="00A1026A"/>
    <w:rsid w:val="00A10FF6"/>
    <w:rsid w:val="00A1125B"/>
    <w:rsid w:val="00A115A5"/>
    <w:rsid w:val="00A119E3"/>
    <w:rsid w:val="00A11BCD"/>
    <w:rsid w:val="00A11C21"/>
    <w:rsid w:val="00A126C1"/>
    <w:rsid w:val="00A134C9"/>
    <w:rsid w:val="00A14E97"/>
    <w:rsid w:val="00A15AE6"/>
    <w:rsid w:val="00A16CEC"/>
    <w:rsid w:val="00A2368E"/>
    <w:rsid w:val="00A23A8E"/>
    <w:rsid w:val="00A23E9D"/>
    <w:rsid w:val="00A2409D"/>
    <w:rsid w:val="00A24F9B"/>
    <w:rsid w:val="00A255F6"/>
    <w:rsid w:val="00A26527"/>
    <w:rsid w:val="00A26B26"/>
    <w:rsid w:val="00A2720A"/>
    <w:rsid w:val="00A27644"/>
    <w:rsid w:val="00A300A3"/>
    <w:rsid w:val="00A30DE7"/>
    <w:rsid w:val="00A3100C"/>
    <w:rsid w:val="00A31035"/>
    <w:rsid w:val="00A322F3"/>
    <w:rsid w:val="00A33BA4"/>
    <w:rsid w:val="00A348AC"/>
    <w:rsid w:val="00A348DD"/>
    <w:rsid w:val="00A34A95"/>
    <w:rsid w:val="00A34C21"/>
    <w:rsid w:val="00A35333"/>
    <w:rsid w:val="00A3594D"/>
    <w:rsid w:val="00A35D85"/>
    <w:rsid w:val="00A35F41"/>
    <w:rsid w:val="00A36037"/>
    <w:rsid w:val="00A36323"/>
    <w:rsid w:val="00A363A3"/>
    <w:rsid w:val="00A37C26"/>
    <w:rsid w:val="00A41AD1"/>
    <w:rsid w:val="00A42CE6"/>
    <w:rsid w:val="00A43DDE"/>
    <w:rsid w:val="00A43E8D"/>
    <w:rsid w:val="00A45008"/>
    <w:rsid w:val="00A45E92"/>
    <w:rsid w:val="00A46355"/>
    <w:rsid w:val="00A463DD"/>
    <w:rsid w:val="00A51253"/>
    <w:rsid w:val="00A52AFF"/>
    <w:rsid w:val="00A53198"/>
    <w:rsid w:val="00A53374"/>
    <w:rsid w:val="00A53959"/>
    <w:rsid w:val="00A53A10"/>
    <w:rsid w:val="00A555C2"/>
    <w:rsid w:val="00A556D9"/>
    <w:rsid w:val="00A568FB"/>
    <w:rsid w:val="00A576EE"/>
    <w:rsid w:val="00A57CE5"/>
    <w:rsid w:val="00A57D4E"/>
    <w:rsid w:val="00A57EB6"/>
    <w:rsid w:val="00A60E86"/>
    <w:rsid w:val="00A6105F"/>
    <w:rsid w:val="00A6162F"/>
    <w:rsid w:val="00A62978"/>
    <w:rsid w:val="00A62DD3"/>
    <w:rsid w:val="00A634C5"/>
    <w:rsid w:val="00A64958"/>
    <w:rsid w:val="00A64E8C"/>
    <w:rsid w:val="00A665AF"/>
    <w:rsid w:val="00A672A8"/>
    <w:rsid w:val="00A673AB"/>
    <w:rsid w:val="00A71197"/>
    <w:rsid w:val="00A71219"/>
    <w:rsid w:val="00A7155D"/>
    <w:rsid w:val="00A71B30"/>
    <w:rsid w:val="00A71D20"/>
    <w:rsid w:val="00A71FB7"/>
    <w:rsid w:val="00A72227"/>
    <w:rsid w:val="00A7235A"/>
    <w:rsid w:val="00A72EA6"/>
    <w:rsid w:val="00A745EE"/>
    <w:rsid w:val="00A74D0C"/>
    <w:rsid w:val="00A74E64"/>
    <w:rsid w:val="00A7539D"/>
    <w:rsid w:val="00A77C3C"/>
    <w:rsid w:val="00A803ED"/>
    <w:rsid w:val="00A80879"/>
    <w:rsid w:val="00A814EC"/>
    <w:rsid w:val="00A816C4"/>
    <w:rsid w:val="00A81D58"/>
    <w:rsid w:val="00A81F1D"/>
    <w:rsid w:val="00A83057"/>
    <w:rsid w:val="00A835C8"/>
    <w:rsid w:val="00A8383B"/>
    <w:rsid w:val="00A83A19"/>
    <w:rsid w:val="00A840BC"/>
    <w:rsid w:val="00A847D5"/>
    <w:rsid w:val="00A84A83"/>
    <w:rsid w:val="00A85F58"/>
    <w:rsid w:val="00A865E2"/>
    <w:rsid w:val="00A90240"/>
    <w:rsid w:val="00A902F3"/>
    <w:rsid w:val="00A9049E"/>
    <w:rsid w:val="00A912BE"/>
    <w:rsid w:val="00A91468"/>
    <w:rsid w:val="00A91E76"/>
    <w:rsid w:val="00A92310"/>
    <w:rsid w:val="00A935D4"/>
    <w:rsid w:val="00A938FB"/>
    <w:rsid w:val="00A93A26"/>
    <w:rsid w:val="00A949CB"/>
    <w:rsid w:val="00A94D9A"/>
    <w:rsid w:val="00A956A7"/>
    <w:rsid w:val="00AA0BC7"/>
    <w:rsid w:val="00AA0C0A"/>
    <w:rsid w:val="00AA14B0"/>
    <w:rsid w:val="00AA171F"/>
    <w:rsid w:val="00AA17E5"/>
    <w:rsid w:val="00AA1DE6"/>
    <w:rsid w:val="00AA209E"/>
    <w:rsid w:val="00AA61A4"/>
    <w:rsid w:val="00AA6BC0"/>
    <w:rsid w:val="00AA7851"/>
    <w:rsid w:val="00AA796F"/>
    <w:rsid w:val="00AB0A25"/>
    <w:rsid w:val="00AB23D8"/>
    <w:rsid w:val="00AB2C81"/>
    <w:rsid w:val="00AB3226"/>
    <w:rsid w:val="00AB376C"/>
    <w:rsid w:val="00AB3C47"/>
    <w:rsid w:val="00AB408F"/>
    <w:rsid w:val="00AB4166"/>
    <w:rsid w:val="00AB456B"/>
    <w:rsid w:val="00AB4DE8"/>
    <w:rsid w:val="00AB584F"/>
    <w:rsid w:val="00AB5DAC"/>
    <w:rsid w:val="00AB5DC4"/>
    <w:rsid w:val="00AB66D1"/>
    <w:rsid w:val="00AB6A86"/>
    <w:rsid w:val="00AB7420"/>
    <w:rsid w:val="00AB7D5F"/>
    <w:rsid w:val="00AC0AFA"/>
    <w:rsid w:val="00AC10D4"/>
    <w:rsid w:val="00AC17AD"/>
    <w:rsid w:val="00AC1C28"/>
    <w:rsid w:val="00AC222E"/>
    <w:rsid w:val="00AC2F29"/>
    <w:rsid w:val="00AC3B92"/>
    <w:rsid w:val="00AC59F8"/>
    <w:rsid w:val="00AC5D65"/>
    <w:rsid w:val="00AC6152"/>
    <w:rsid w:val="00AC62A3"/>
    <w:rsid w:val="00AC661C"/>
    <w:rsid w:val="00AC76F0"/>
    <w:rsid w:val="00AC7D38"/>
    <w:rsid w:val="00AD0F95"/>
    <w:rsid w:val="00AD17B1"/>
    <w:rsid w:val="00AD2390"/>
    <w:rsid w:val="00AD27E1"/>
    <w:rsid w:val="00AD2C4F"/>
    <w:rsid w:val="00AD2D5E"/>
    <w:rsid w:val="00AD2D75"/>
    <w:rsid w:val="00AD2E80"/>
    <w:rsid w:val="00AD3DF7"/>
    <w:rsid w:val="00AD46DE"/>
    <w:rsid w:val="00AD534D"/>
    <w:rsid w:val="00AD652D"/>
    <w:rsid w:val="00AD671E"/>
    <w:rsid w:val="00AD74B4"/>
    <w:rsid w:val="00AD7C78"/>
    <w:rsid w:val="00AD7DA3"/>
    <w:rsid w:val="00AE082D"/>
    <w:rsid w:val="00AE0CCA"/>
    <w:rsid w:val="00AE11DB"/>
    <w:rsid w:val="00AE13B6"/>
    <w:rsid w:val="00AE13CD"/>
    <w:rsid w:val="00AE268A"/>
    <w:rsid w:val="00AE356D"/>
    <w:rsid w:val="00AE373A"/>
    <w:rsid w:val="00AE44EF"/>
    <w:rsid w:val="00AE46C2"/>
    <w:rsid w:val="00AE6D90"/>
    <w:rsid w:val="00AE6ECA"/>
    <w:rsid w:val="00AF14C5"/>
    <w:rsid w:val="00AF249B"/>
    <w:rsid w:val="00AF2FE0"/>
    <w:rsid w:val="00AF3445"/>
    <w:rsid w:val="00AF3A99"/>
    <w:rsid w:val="00AF416B"/>
    <w:rsid w:val="00AF5047"/>
    <w:rsid w:val="00AF5DEF"/>
    <w:rsid w:val="00AF682A"/>
    <w:rsid w:val="00AF7252"/>
    <w:rsid w:val="00AF7C2D"/>
    <w:rsid w:val="00B00BC0"/>
    <w:rsid w:val="00B00E72"/>
    <w:rsid w:val="00B00F39"/>
    <w:rsid w:val="00B024BC"/>
    <w:rsid w:val="00B0261B"/>
    <w:rsid w:val="00B02EA3"/>
    <w:rsid w:val="00B03361"/>
    <w:rsid w:val="00B03727"/>
    <w:rsid w:val="00B0401E"/>
    <w:rsid w:val="00B0491A"/>
    <w:rsid w:val="00B05A33"/>
    <w:rsid w:val="00B075FC"/>
    <w:rsid w:val="00B118F1"/>
    <w:rsid w:val="00B122D8"/>
    <w:rsid w:val="00B1272C"/>
    <w:rsid w:val="00B1299D"/>
    <w:rsid w:val="00B138FC"/>
    <w:rsid w:val="00B1405D"/>
    <w:rsid w:val="00B14BDF"/>
    <w:rsid w:val="00B16A5A"/>
    <w:rsid w:val="00B21D9C"/>
    <w:rsid w:val="00B22266"/>
    <w:rsid w:val="00B223E4"/>
    <w:rsid w:val="00B233CB"/>
    <w:rsid w:val="00B23724"/>
    <w:rsid w:val="00B23D60"/>
    <w:rsid w:val="00B23F09"/>
    <w:rsid w:val="00B24004"/>
    <w:rsid w:val="00B24086"/>
    <w:rsid w:val="00B2572D"/>
    <w:rsid w:val="00B25F9D"/>
    <w:rsid w:val="00B262E7"/>
    <w:rsid w:val="00B26306"/>
    <w:rsid w:val="00B265AC"/>
    <w:rsid w:val="00B26880"/>
    <w:rsid w:val="00B27E39"/>
    <w:rsid w:val="00B308E0"/>
    <w:rsid w:val="00B30D03"/>
    <w:rsid w:val="00B32210"/>
    <w:rsid w:val="00B32E0E"/>
    <w:rsid w:val="00B35F3B"/>
    <w:rsid w:val="00B3614D"/>
    <w:rsid w:val="00B3647C"/>
    <w:rsid w:val="00B366D3"/>
    <w:rsid w:val="00B36891"/>
    <w:rsid w:val="00B37274"/>
    <w:rsid w:val="00B37BDA"/>
    <w:rsid w:val="00B40198"/>
    <w:rsid w:val="00B40495"/>
    <w:rsid w:val="00B411A3"/>
    <w:rsid w:val="00B411B7"/>
    <w:rsid w:val="00B426D1"/>
    <w:rsid w:val="00B42F88"/>
    <w:rsid w:val="00B43336"/>
    <w:rsid w:val="00B439CA"/>
    <w:rsid w:val="00B44469"/>
    <w:rsid w:val="00B4618F"/>
    <w:rsid w:val="00B46809"/>
    <w:rsid w:val="00B4736D"/>
    <w:rsid w:val="00B50BEC"/>
    <w:rsid w:val="00B50D5E"/>
    <w:rsid w:val="00B510A4"/>
    <w:rsid w:val="00B52668"/>
    <w:rsid w:val="00B53B89"/>
    <w:rsid w:val="00B53C8D"/>
    <w:rsid w:val="00B543A3"/>
    <w:rsid w:val="00B5519A"/>
    <w:rsid w:val="00B55363"/>
    <w:rsid w:val="00B5658F"/>
    <w:rsid w:val="00B56E60"/>
    <w:rsid w:val="00B57B47"/>
    <w:rsid w:val="00B57E77"/>
    <w:rsid w:val="00B60019"/>
    <w:rsid w:val="00B615E7"/>
    <w:rsid w:val="00B63AD1"/>
    <w:rsid w:val="00B641DE"/>
    <w:rsid w:val="00B6506B"/>
    <w:rsid w:val="00B6598B"/>
    <w:rsid w:val="00B65EB1"/>
    <w:rsid w:val="00B6696A"/>
    <w:rsid w:val="00B66A7F"/>
    <w:rsid w:val="00B66C8A"/>
    <w:rsid w:val="00B66CF6"/>
    <w:rsid w:val="00B676C0"/>
    <w:rsid w:val="00B708FD"/>
    <w:rsid w:val="00B70A95"/>
    <w:rsid w:val="00B71AEB"/>
    <w:rsid w:val="00B7312D"/>
    <w:rsid w:val="00B7331C"/>
    <w:rsid w:val="00B737CF"/>
    <w:rsid w:val="00B73E41"/>
    <w:rsid w:val="00B742C5"/>
    <w:rsid w:val="00B74773"/>
    <w:rsid w:val="00B7548A"/>
    <w:rsid w:val="00B7585F"/>
    <w:rsid w:val="00B80146"/>
    <w:rsid w:val="00B8047D"/>
    <w:rsid w:val="00B804F8"/>
    <w:rsid w:val="00B80BCC"/>
    <w:rsid w:val="00B8160E"/>
    <w:rsid w:val="00B826E3"/>
    <w:rsid w:val="00B82ED4"/>
    <w:rsid w:val="00B83C8D"/>
    <w:rsid w:val="00B84ED1"/>
    <w:rsid w:val="00B858E0"/>
    <w:rsid w:val="00B85B71"/>
    <w:rsid w:val="00B86257"/>
    <w:rsid w:val="00B86D7B"/>
    <w:rsid w:val="00B86E8E"/>
    <w:rsid w:val="00B86F99"/>
    <w:rsid w:val="00B8752B"/>
    <w:rsid w:val="00B87731"/>
    <w:rsid w:val="00B932C0"/>
    <w:rsid w:val="00B93D0F"/>
    <w:rsid w:val="00B93E19"/>
    <w:rsid w:val="00B94427"/>
    <w:rsid w:val="00B94678"/>
    <w:rsid w:val="00B96386"/>
    <w:rsid w:val="00B96C69"/>
    <w:rsid w:val="00B975B0"/>
    <w:rsid w:val="00BA0860"/>
    <w:rsid w:val="00BA123E"/>
    <w:rsid w:val="00BA1490"/>
    <w:rsid w:val="00BA1F66"/>
    <w:rsid w:val="00BA3006"/>
    <w:rsid w:val="00BA3A37"/>
    <w:rsid w:val="00BA527D"/>
    <w:rsid w:val="00BA673E"/>
    <w:rsid w:val="00BA6D26"/>
    <w:rsid w:val="00BA6E4D"/>
    <w:rsid w:val="00BA7B65"/>
    <w:rsid w:val="00BA7CC8"/>
    <w:rsid w:val="00BB16B9"/>
    <w:rsid w:val="00BB2910"/>
    <w:rsid w:val="00BB37E1"/>
    <w:rsid w:val="00BB395D"/>
    <w:rsid w:val="00BB40A3"/>
    <w:rsid w:val="00BB4833"/>
    <w:rsid w:val="00BB4A7A"/>
    <w:rsid w:val="00BB4CDE"/>
    <w:rsid w:val="00BB5897"/>
    <w:rsid w:val="00BB6C45"/>
    <w:rsid w:val="00BB6CFE"/>
    <w:rsid w:val="00BB6E7A"/>
    <w:rsid w:val="00BB713F"/>
    <w:rsid w:val="00BB7156"/>
    <w:rsid w:val="00BB727F"/>
    <w:rsid w:val="00BB7CED"/>
    <w:rsid w:val="00BC0ED4"/>
    <w:rsid w:val="00BC147C"/>
    <w:rsid w:val="00BC1D74"/>
    <w:rsid w:val="00BC2A04"/>
    <w:rsid w:val="00BC37AA"/>
    <w:rsid w:val="00BC4B07"/>
    <w:rsid w:val="00BC4F3C"/>
    <w:rsid w:val="00BC508D"/>
    <w:rsid w:val="00BC58C4"/>
    <w:rsid w:val="00BC606C"/>
    <w:rsid w:val="00BC6172"/>
    <w:rsid w:val="00BC6305"/>
    <w:rsid w:val="00BC6519"/>
    <w:rsid w:val="00BC67D4"/>
    <w:rsid w:val="00BC6FC4"/>
    <w:rsid w:val="00BD03F2"/>
    <w:rsid w:val="00BD2012"/>
    <w:rsid w:val="00BD29D3"/>
    <w:rsid w:val="00BD35AB"/>
    <w:rsid w:val="00BD457C"/>
    <w:rsid w:val="00BD59E3"/>
    <w:rsid w:val="00BD5BEE"/>
    <w:rsid w:val="00BD6509"/>
    <w:rsid w:val="00BD7BB0"/>
    <w:rsid w:val="00BE01C3"/>
    <w:rsid w:val="00BE13BD"/>
    <w:rsid w:val="00BE1ECE"/>
    <w:rsid w:val="00BE2E49"/>
    <w:rsid w:val="00BE2F76"/>
    <w:rsid w:val="00BE3273"/>
    <w:rsid w:val="00BE411C"/>
    <w:rsid w:val="00BE4504"/>
    <w:rsid w:val="00BE4682"/>
    <w:rsid w:val="00BE59D2"/>
    <w:rsid w:val="00BE6656"/>
    <w:rsid w:val="00BE6AA6"/>
    <w:rsid w:val="00BF115B"/>
    <w:rsid w:val="00BF171F"/>
    <w:rsid w:val="00BF235A"/>
    <w:rsid w:val="00BF3633"/>
    <w:rsid w:val="00BF384C"/>
    <w:rsid w:val="00BF3C70"/>
    <w:rsid w:val="00BF4A3E"/>
    <w:rsid w:val="00BF550B"/>
    <w:rsid w:val="00BF65E2"/>
    <w:rsid w:val="00BF7386"/>
    <w:rsid w:val="00BF769F"/>
    <w:rsid w:val="00C00192"/>
    <w:rsid w:val="00C016D0"/>
    <w:rsid w:val="00C01B3A"/>
    <w:rsid w:val="00C0533F"/>
    <w:rsid w:val="00C06811"/>
    <w:rsid w:val="00C06DBF"/>
    <w:rsid w:val="00C071F7"/>
    <w:rsid w:val="00C07289"/>
    <w:rsid w:val="00C10250"/>
    <w:rsid w:val="00C1074F"/>
    <w:rsid w:val="00C11AD1"/>
    <w:rsid w:val="00C14FEF"/>
    <w:rsid w:val="00C15594"/>
    <w:rsid w:val="00C1634C"/>
    <w:rsid w:val="00C16D4D"/>
    <w:rsid w:val="00C17E31"/>
    <w:rsid w:val="00C20201"/>
    <w:rsid w:val="00C211B0"/>
    <w:rsid w:val="00C21A4B"/>
    <w:rsid w:val="00C223F7"/>
    <w:rsid w:val="00C23228"/>
    <w:rsid w:val="00C23BC0"/>
    <w:rsid w:val="00C23DAF"/>
    <w:rsid w:val="00C254D3"/>
    <w:rsid w:val="00C26564"/>
    <w:rsid w:val="00C2668A"/>
    <w:rsid w:val="00C26C9E"/>
    <w:rsid w:val="00C31694"/>
    <w:rsid w:val="00C3176D"/>
    <w:rsid w:val="00C321D9"/>
    <w:rsid w:val="00C3222A"/>
    <w:rsid w:val="00C32B36"/>
    <w:rsid w:val="00C32D4B"/>
    <w:rsid w:val="00C32F97"/>
    <w:rsid w:val="00C33A46"/>
    <w:rsid w:val="00C33CF6"/>
    <w:rsid w:val="00C34181"/>
    <w:rsid w:val="00C34381"/>
    <w:rsid w:val="00C349DB"/>
    <w:rsid w:val="00C3574F"/>
    <w:rsid w:val="00C36AF7"/>
    <w:rsid w:val="00C36B02"/>
    <w:rsid w:val="00C36CE5"/>
    <w:rsid w:val="00C36ECE"/>
    <w:rsid w:val="00C37F43"/>
    <w:rsid w:val="00C4000A"/>
    <w:rsid w:val="00C4268E"/>
    <w:rsid w:val="00C42769"/>
    <w:rsid w:val="00C44B07"/>
    <w:rsid w:val="00C450BD"/>
    <w:rsid w:val="00C46171"/>
    <w:rsid w:val="00C46501"/>
    <w:rsid w:val="00C467F0"/>
    <w:rsid w:val="00C47D6C"/>
    <w:rsid w:val="00C47E88"/>
    <w:rsid w:val="00C501BB"/>
    <w:rsid w:val="00C512C9"/>
    <w:rsid w:val="00C515DE"/>
    <w:rsid w:val="00C52399"/>
    <w:rsid w:val="00C537E5"/>
    <w:rsid w:val="00C53CB6"/>
    <w:rsid w:val="00C543E3"/>
    <w:rsid w:val="00C552D4"/>
    <w:rsid w:val="00C56433"/>
    <w:rsid w:val="00C564AE"/>
    <w:rsid w:val="00C56A9C"/>
    <w:rsid w:val="00C56E45"/>
    <w:rsid w:val="00C56EF1"/>
    <w:rsid w:val="00C61D62"/>
    <w:rsid w:val="00C6203F"/>
    <w:rsid w:val="00C62367"/>
    <w:rsid w:val="00C6260E"/>
    <w:rsid w:val="00C62EFA"/>
    <w:rsid w:val="00C6309B"/>
    <w:rsid w:val="00C63C69"/>
    <w:rsid w:val="00C643B2"/>
    <w:rsid w:val="00C64756"/>
    <w:rsid w:val="00C64B31"/>
    <w:rsid w:val="00C64FA2"/>
    <w:rsid w:val="00C661CD"/>
    <w:rsid w:val="00C66533"/>
    <w:rsid w:val="00C6721E"/>
    <w:rsid w:val="00C67C2C"/>
    <w:rsid w:val="00C70193"/>
    <w:rsid w:val="00C70274"/>
    <w:rsid w:val="00C70958"/>
    <w:rsid w:val="00C713D8"/>
    <w:rsid w:val="00C71814"/>
    <w:rsid w:val="00C71E6F"/>
    <w:rsid w:val="00C73269"/>
    <w:rsid w:val="00C73351"/>
    <w:rsid w:val="00C7442F"/>
    <w:rsid w:val="00C7497A"/>
    <w:rsid w:val="00C74ED7"/>
    <w:rsid w:val="00C75FDF"/>
    <w:rsid w:val="00C76393"/>
    <w:rsid w:val="00C7783D"/>
    <w:rsid w:val="00C77E9A"/>
    <w:rsid w:val="00C80657"/>
    <w:rsid w:val="00C8160A"/>
    <w:rsid w:val="00C81CCF"/>
    <w:rsid w:val="00C8203E"/>
    <w:rsid w:val="00C820E9"/>
    <w:rsid w:val="00C830B0"/>
    <w:rsid w:val="00C85225"/>
    <w:rsid w:val="00C858E8"/>
    <w:rsid w:val="00C863ED"/>
    <w:rsid w:val="00C87249"/>
    <w:rsid w:val="00C87C2E"/>
    <w:rsid w:val="00C90376"/>
    <w:rsid w:val="00C916F1"/>
    <w:rsid w:val="00C91756"/>
    <w:rsid w:val="00C9187C"/>
    <w:rsid w:val="00C91AED"/>
    <w:rsid w:val="00C92EA9"/>
    <w:rsid w:val="00C93A36"/>
    <w:rsid w:val="00C95613"/>
    <w:rsid w:val="00C96CD0"/>
    <w:rsid w:val="00C96E8C"/>
    <w:rsid w:val="00C96F64"/>
    <w:rsid w:val="00CA01E4"/>
    <w:rsid w:val="00CA0A67"/>
    <w:rsid w:val="00CA1150"/>
    <w:rsid w:val="00CA3310"/>
    <w:rsid w:val="00CA34EE"/>
    <w:rsid w:val="00CA36A0"/>
    <w:rsid w:val="00CA404E"/>
    <w:rsid w:val="00CB1068"/>
    <w:rsid w:val="00CB1837"/>
    <w:rsid w:val="00CB3A76"/>
    <w:rsid w:val="00CB43BC"/>
    <w:rsid w:val="00CB4B69"/>
    <w:rsid w:val="00CB52F6"/>
    <w:rsid w:val="00CB5DEA"/>
    <w:rsid w:val="00CB5E55"/>
    <w:rsid w:val="00CB6A24"/>
    <w:rsid w:val="00CB7F45"/>
    <w:rsid w:val="00CC05EC"/>
    <w:rsid w:val="00CC24DD"/>
    <w:rsid w:val="00CC2A3C"/>
    <w:rsid w:val="00CC3348"/>
    <w:rsid w:val="00CC4B48"/>
    <w:rsid w:val="00CC4F86"/>
    <w:rsid w:val="00CC772D"/>
    <w:rsid w:val="00CD0779"/>
    <w:rsid w:val="00CD0E67"/>
    <w:rsid w:val="00CD0FDE"/>
    <w:rsid w:val="00CD10B8"/>
    <w:rsid w:val="00CD1B44"/>
    <w:rsid w:val="00CD2B7E"/>
    <w:rsid w:val="00CD4096"/>
    <w:rsid w:val="00CD5F29"/>
    <w:rsid w:val="00CD70C9"/>
    <w:rsid w:val="00CD7416"/>
    <w:rsid w:val="00CD7E8E"/>
    <w:rsid w:val="00CD7EFC"/>
    <w:rsid w:val="00CE0182"/>
    <w:rsid w:val="00CE09D7"/>
    <w:rsid w:val="00CE1992"/>
    <w:rsid w:val="00CE1ED2"/>
    <w:rsid w:val="00CE28B5"/>
    <w:rsid w:val="00CE2D22"/>
    <w:rsid w:val="00CE3243"/>
    <w:rsid w:val="00CE395B"/>
    <w:rsid w:val="00CE4564"/>
    <w:rsid w:val="00CE52E0"/>
    <w:rsid w:val="00CE5323"/>
    <w:rsid w:val="00CE6965"/>
    <w:rsid w:val="00CF14B7"/>
    <w:rsid w:val="00CF301F"/>
    <w:rsid w:val="00CF3635"/>
    <w:rsid w:val="00CF3AE7"/>
    <w:rsid w:val="00CF4050"/>
    <w:rsid w:val="00CF50F2"/>
    <w:rsid w:val="00CF5182"/>
    <w:rsid w:val="00CF5D15"/>
    <w:rsid w:val="00CF7FFC"/>
    <w:rsid w:val="00D00EC7"/>
    <w:rsid w:val="00D016A9"/>
    <w:rsid w:val="00D027AE"/>
    <w:rsid w:val="00D02BEF"/>
    <w:rsid w:val="00D031A9"/>
    <w:rsid w:val="00D03B67"/>
    <w:rsid w:val="00D04C0F"/>
    <w:rsid w:val="00D04E62"/>
    <w:rsid w:val="00D0533E"/>
    <w:rsid w:val="00D057A9"/>
    <w:rsid w:val="00D06270"/>
    <w:rsid w:val="00D06F06"/>
    <w:rsid w:val="00D0772F"/>
    <w:rsid w:val="00D10396"/>
    <w:rsid w:val="00D10571"/>
    <w:rsid w:val="00D11CC7"/>
    <w:rsid w:val="00D12F57"/>
    <w:rsid w:val="00D13BC3"/>
    <w:rsid w:val="00D1494A"/>
    <w:rsid w:val="00D14BC4"/>
    <w:rsid w:val="00D150A9"/>
    <w:rsid w:val="00D154E3"/>
    <w:rsid w:val="00D1600D"/>
    <w:rsid w:val="00D16713"/>
    <w:rsid w:val="00D16FFF"/>
    <w:rsid w:val="00D2024E"/>
    <w:rsid w:val="00D2079E"/>
    <w:rsid w:val="00D21012"/>
    <w:rsid w:val="00D21678"/>
    <w:rsid w:val="00D21BB1"/>
    <w:rsid w:val="00D21F10"/>
    <w:rsid w:val="00D2234A"/>
    <w:rsid w:val="00D22E91"/>
    <w:rsid w:val="00D23818"/>
    <w:rsid w:val="00D23850"/>
    <w:rsid w:val="00D24564"/>
    <w:rsid w:val="00D24FD6"/>
    <w:rsid w:val="00D25E94"/>
    <w:rsid w:val="00D26B59"/>
    <w:rsid w:val="00D26FDA"/>
    <w:rsid w:val="00D2723D"/>
    <w:rsid w:val="00D2734F"/>
    <w:rsid w:val="00D27F14"/>
    <w:rsid w:val="00D30054"/>
    <w:rsid w:val="00D308D4"/>
    <w:rsid w:val="00D31521"/>
    <w:rsid w:val="00D31B1D"/>
    <w:rsid w:val="00D32E15"/>
    <w:rsid w:val="00D32EEF"/>
    <w:rsid w:val="00D3581D"/>
    <w:rsid w:val="00D366A9"/>
    <w:rsid w:val="00D37239"/>
    <w:rsid w:val="00D374BD"/>
    <w:rsid w:val="00D378A9"/>
    <w:rsid w:val="00D400BC"/>
    <w:rsid w:val="00D40315"/>
    <w:rsid w:val="00D41B6D"/>
    <w:rsid w:val="00D41E57"/>
    <w:rsid w:val="00D42C6F"/>
    <w:rsid w:val="00D43948"/>
    <w:rsid w:val="00D449A0"/>
    <w:rsid w:val="00D45830"/>
    <w:rsid w:val="00D45B50"/>
    <w:rsid w:val="00D47362"/>
    <w:rsid w:val="00D477DA"/>
    <w:rsid w:val="00D5016C"/>
    <w:rsid w:val="00D51F53"/>
    <w:rsid w:val="00D53064"/>
    <w:rsid w:val="00D54B37"/>
    <w:rsid w:val="00D54E5C"/>
    <w:rsid w:val="00D55A7F"/>
    <w:rsid w:val="00D563E7"/>
    <w:rsid w:val="00D569C5"/>
    <w:rsid w:val="00D57C53"/>
    <w:rsid w:val="00D60ED0"/>
    <w:rsid w:val="00D619D2"/>
    <w:rsid w:val="00D623CF"/>
    <w:rsid w:val="00D628E6"/>
    <w:rsid w:val="00D62B5A"/>
    <w:rsid w:val="00D63565"/>
    <w:rsid w:val="00D6393F"/>
    <w:rsid w:val="00D63CCC"/>
    <w:rsid w:val="00D645F6"/>
    <w:rsid w:val="00D648C4"/>
    <w:rsid w:val="00D64E02"/>
    <w:rsid w:val="00D65A96"/>
    <w:rsid w:val="00D67A65"/>
    <w:rsid w:val="00D704F4"/>
    <w:rsid w:val="00D71304"/>
    <w:rsid w:val="00D71959"/>
    <w:rsid w:val="00D72AD1"/>
    <w:rsid w:val="00D72C2D"/>
    <w:rsid w:val="00D72EB4"/>
    <w:rsid w:val="00D73374"/>
    <w:rsid w:val="00D734EE"/>
    <w:rsid w:val="00D73CB7"/>
    <w:rsid w:val="00D73FB1"/>
    <w:rsid w:val="00D743F0"/>
    <w:rsid w:val="00D74E88"/>
    <w:rsid w:val="00D75037"/>
    <w:rsid w:val="00D76348"/>
    <w:rsid w:val="00D81671"/>
    <w:rsid w:val="00D82533"/>
    <w:rsid w:val="00D83250"/>
    <w:rsid w:val="00D84DA9"/>
    <w:rsid w:val="00D857EB"/>
    <w:rsid w:val="00D87150"/>
    <w:rsid w:val="00D87911"/>
    <w:rsid w:val="00D9048B"/>
    <w:rsid w:val="00D9054D"/>
    <w:rsid w:val="00D91DAF"/>
    <w:rsid w:val="00D940B1"/>
    <w:rsid w:val="00D94440"/>
    <w:rsid w:val="00D950A3"/>
    <w:rsid w:val="00D95507"/>
    <w:rsid w:val="00D968D5"/>
    <w:rsid w:val="00D96B05"/>
    <w:rsid w:val="00DA15A8"/>
    <w:rsid w:val="00DA423D"/>
    <w:rsid w:val="00DA5790"/>
    <w:rsid w:val="00DA5D19"/>
    <w:rsid w:val="00DA65B9"/>
    <w:rsid w:val="00DA6D40"/>
    <w:rsid w:val="00DA7813"/>
    <w:rsid w:val="00DB0F5A"/>
    <w:rsid w:val="00DB0F90"/>
    <w:rsid w:val="00DB1305"/>
    <w:rsid w:val="00DB268B"/>
    <w:rsid w:val="00DB309F"/>
    <w:rsid w:val="00DB4020"/>
    <w:rsid w:val="00DB4230"/>
    <w:rsid w:val="00DB68D5"/>
    <w:rsid w:val="00DB6BFB"/>
    <w:rsid w:val="00DB6D34"/>
    <w:rsid w:val="00DB76FA"/>
    <w:rsid w:val="00DC0AA9"/>
    <w:rsid w:val="00DC1D35"/>
    <w:rsid w:val="00DC4157"/>
    <w:rsid w:val="00DC477E"/>
    <w:rsid w:val="00DC4874"/>
    <w:rsid w:val="00DC5292"/>
    <w:rsid w:val="00DC6ABE"/>
    <w:rsid w:val="00DC6CFB"/>
    <w:rsid w:val="00DD04A7"/>
    <w:rsid w:val="00DD04E6"/>
    <w:rsid w:val="00DD07FB"/>
    <w:rsid w:val="00DD1C55"/>
    <w:rsid w:val="00DD28F3"/>
    <w:rsid w:val="00DD514D"/>
    <w:rsid w:val="00DD5790"/>
    <w:rsid w:val="00DD5C36"/>
    <w:rsid w:val="00DD6CE4"/>
    <w:rsid w:val="00DD76C1"/>
    <w:rsid w:val="00DE3264"/>
    <w:rsid w:val="00DE3364"/>
    <w:rsid w:val="00DE3A51"/>
    <w:rsid w:val="00DE3B8E"/>
    <w:rsid w:val="00DE3D66"/>
    <w:rsid w:val="00DE3E50"/>
    <w:rsid w:val="00DE4117"/>
    <w:rsid w:val="00DE6459"/>
    <w:rsid w:val="00DE7DF1"/>
    <w:rsid w:val="00DF0EDC"/>
    <w:rsid w:val="00DF1397"/>
    <w:rsid w:val="00DF2044"/>
    <w:rsid w:val="00DF22B5"/>
    <w:rsid w:val="00DF392F"/>
    <w:rsid w:val="00DF4299"/>
    <w:rsid w:val="00DF4CFD"/>
    <w:rsid w:val="00DF516C"/>
    <w:rsid w:val="00DF5820"/>
    <w:rsid w:val="00DF6ED1"/>
    <w:rsid w:val="00DF74EA"/>
    <w:rsid w:val="00DF760C"/>
    <w:rsid w:val="00DF78AD"/>
    <w:rsid w:val="00DF7A88"/>
    <w:rsid w:val="00E0070A"/>
    <w:rsid w:val="00E0240E"/>
    <w:rsid w:val="00E02DE2"/>
    <w:rsid w:val="00E03290"/>
    <w:rsid w:val="00E03539"/>
    <w:rsid w:val="00E03839"/>
    <w:rsid w:val="00E04EA8"/>
    <w:rsid w:val="00E05BDD"/>
    <w:rsid w:val="00E07605"/>
    <w:rsid w:val="00E07F3E"/>
    <w:rsid w:val="00E1203F"/>
    <w:rsid w:val="00E123DD"/>
    <w:rsid w:val="00E130D7"/>
    <w:rsid w:val="00E13102"/>
    <w:rsid w:val="00E1413F"/>
    <w:rsid w:val="00E14552"/>
    <w:rsid w:val="00E14EA4"/>
    <w:rsid w:val="00E159E0"/>
    <w:rsid w:val="00E16202"/>
    <w:rsid w:val="00E16A70"/>
    <w:rsid w:val="00E16B7D"/>
    <w:rsid w:val="00E174E8"/>
    <w:rsid w:val="00E17AC8"/>
    <w:rsid w:val="00E21CD4"/>
    <w:rsid w:val="00E22404"/>
    <w:rsid w:val="00E22AFC"/>
    <w:rsid w:val="00E22EBB"/>
    <w:rsid w:val="00E235E7"/>
    <w:rsid w:val="00E24945"/>
    <w:rsid w:val="00E24B25"/>
    <w:rsid w:val="00E24E1F"/>
    <w:rsid w:val="00E25A0C"/>
    <w:rsid w:val="00E25EE8"/>
    <w:rsid w:val="00E2613D"/>
    <w:rsid w:val="00E27C9A"/>
    <w:rsid w:val="00E3282B"/>
    <w:rsid w:val="00E329D2"/>
    <w:rsid w:val="00E32ECA"/>
    <w:rsid w:val="00E332E8"/>
    <w:rsid w:val="00E33DE8"/>
    <w:rsid w:val="00E34369"/>
    <w:rsid w:val="00E352FE"/>
    <w:rsid w:val="00E363BB"/>
    <w:rsid w:val="00E3691E"/>
    <w:rsid w:val="00E36948"/>
    <w:rsid w:val="00E36EF7"/>
    <w:rsid w:val="00E37A55"/>
    <w:rsid w:val="00E404DE"/>
    <w:rsid w:val="00E41245"/>
    <w:rsid w:val="00E41D7D"/>
    <w:rsid w:val="00E41DBE"/>
    <w:rsid w:val="00E4283C"/>
    <w:rsid w:val="00E4330F"/>
    <w:rsid w:val="00E4438F"/>
    <w:rsid w:val="00E446E4"/>
    <w:rsid w:val="00E448F7"/>
    <w:rsid w:val="00E44BAD"/>
    <w:rsid w:val="00E4629E"/>
    <w:rsid w:val="00E466BB"/>
    <w:rsid w:val="00E47924"/>
    <w:rsid w:val="00E511CD"/>
    <w:rsid w:val="00E51AA6"/>
    <w:rsid w:val="00E5221C"/>
    <w:rsid w:val="00E52899"/>
    <w:rsid w:val="00E54412"/>
    <w:rsid w:val="00E548A9"/>
    <w:rsid w:val="00E54A61"/>
    <w:rsid w:val="00E556A1"/>
    <w:rsid w:val="00E55749"/>
    <w:rsid w:val="00E55E5B"/>
    <w:rsid w:val="00E567EC"/>
    <w:rsid w:val="00E56DCF"/>
    <w:rsid w:val="00E57AFE"/>
    <w:rsid w:val="00E6001F"/>
    <w:rsid w:val="00E60823"/>
    <w:rsid w:val="00E60BC8"/>
    <w:rsid w:val="00E613DF"/>
    <w:rsid w:val="00E62667"/>
    <w:rsid w:val="00E62713"/>
    <w:rsid w:val="00E62942"/>
    <w:rsid w:val="00E62FDB"/>
    <w:rsid w:val="00E65D06"/>
    <w:rsid w:val="00E703D1"/>
    <w:rsid w:val="00E704B0"/>
    <w:rsid w:val="00E7064E"/>
    <w:rsid w:val="00E70CCD"/>
    <w:rsid w:val="00E70F8A"/>
    <w:rsid w:val="00E7141E"/>
    <w:rsid w:val="00E71AF1"/>
    <w:rsid w:val="00E71B9C"/>
    <w:rsid w:val="00E7312C"/>
    <w:rsid w:val="00E748C4"/>
    <w:rsid w:val="00E74A17"/>
    <w:rsid w:val="00E74F6B"/>
    <w:rsid w:val="00E74F74"/>
    <w:rsid w:val="00E75AC5"/>
    <w:rsid w:val="00E75BB5"/>
    <w:rsid w:val="00E760AF"/>
    <w:rsid w:val="00E7634D"/>
    <w:rsid w:val="00E77B13"/>
    <w:rsid w:val="00E77E66"/>
    <w:rsid w:val="00E80F9A"/>
    <w:rsid w:val="00E815D1"/>
    <w:rsid w:val="00E81FC5"/>
    <w:rsid w:val="00E83A93"/>
    <w:rsid w:val="00E83D10"/>
    <w:rsid w:val="00E84198"/>
    <w:rsid w:val="00E84712"/>
    <w:rsid w:val="00E849E9"/>
    <w:rsid w:val="00E84F31"/>
    <w:rsid w:val="00E85ADD"/>
    <w:rsid w:val="00E86B51"/>
    <w:rsid w:val="00E86F2F"/>
    <w:rsid w:val="00E8756F"/>
    <w:rsid w:val="00E902E7"/>
    <w:rsid w:val="00E91D38"/>
    <w:rsid w:val="00E926AB"/>
    <w:rsid w:val="00E927A5"/>
    <w:rsid w:val="00E93B96"/>
    <w:rsid w:val="00E93C5E"/>
    <w:rsid w:val="00E94189"/>
    <w:rsid w:val="00E944B1"/>
    <w:rsid w:val="00E957D8"/>
    <w:rsid w:val="00E96D6D"/>
    <w:rsid w:val="00E97B51"/>
    <w:rsid w:val="00EA5949"/>
    <w:rsid w:val="00EA5CC8"/>
    <w:rsid w:val="00EA5F40"/>
    <w:rsid w:val="00EA5F87"/>
    <w:rsid w:val="00EA61E3"/>
    <w:rsid w:val="00EB0A56"/>
    <w:rsid w:val="00EB0E81"/>
    <w:rsid w:val="00EB0F3C"/>
    <w:rsid w:val="00EB1B9A"/>
    <w:rsid w:val="00EB1C3D"/>
    <w:rsid w:val="00EB20E5"/>
    <w:rsid w:val="00EB2EDB"/>
    <w:rsid w:val="00EB3826"/>
    <w:rsid w:val="00EB4A6A"/>
    <w:rsid w:val="00EB500D"/>
    <w:rsid w:val="00EB5EE1"/>
    <w:rsid w:val="00EB6551"/>
    <w:rsid w:val="00EB681F"/>
    <w:rsid w:val="00EB7284"/>
    <w:rsid w:val="00EC09BE"/>
    <w:rsid w:val="00EC1021"/>
    <w:rsid w:val="00EC51A9"/>
    <w:rsid w:val="00EC5989"/>
    <w:rsid w:val="00EC5998"/>
    <w:rsid w:val="00EC59AB"/>
    <w:rsid w:val="00EC5E9B"/>
    <w:rsid w:val="00EC7AC5"/>
    <w:rsid w:val="00EC7BF0"/>
    <w:rsid w:val="00EC7DE9"/>
    <w:rsid w:val="00ED0342"/>
    <w:rsid w:val="00ED044D"/>
    <w:rsid w:val="00ED108C"/>
    <w:rsid w:val="00ED1716"/>
    <w:rsid w:val="00ED173F"/>
    <w:rsid w:val="00ED1CF0"/>
    <w:rsid w:val="00ED2604"/>
    <w:rsid w:val="00ED26FF"/>
    <w:rsid w:val="00ED419E"/>
    <w:rsid w:val="00ED480A"/>
    <w:rsid w:val="00ED53D0"/>
    <w:rsid w:val="00ED7546"/>
    <w:rsid w:val="00ED7B00"/>
    <w:rsid w:val="00EE08BF"/>
    <w:rsid w:val="00EE23BE"/>
    <w:rsid w:val="00EE3CF2"/>
    <w:rsid w:val="00EE4495"/>
    <w:rsid w:val="00EE4B79"/>
    <w:rsid w:val="00EE6DA1"/>
    <w:rsid w:val="00EE736D"/>
    <w:rsid w:val="00EE793B"/>
    <w:rsid w:val="00EF1DFA"/>
    <w:rsid w:val="00EF37A2"/>
    <w:rsid w:val="00EF3EE0"/>
    <w:rsid w:val="00EF3F20"/>
    <w:rsid w:val="00EF41FE"/>
    <w:rsid w:val="00EF4677"/>
    <w:rsid w:val="00EF4D7A"/>
    <w:rsid w:val="00EF4ED7"/>
    <w:rsid w:val="00EF5343"/>
    <w:rsid w:val="00EF640A"/>
    <w:rsid w:val="00EF7AD5"/>
    <w:rsid w:val="00F00891"/>
    <w:rsid w:val="00F02293"/>
    <w:rsid w:val="00F036C9"/>
    <w:rsid w:val="00F03D26"/>
    <w:rsid w:val="00F042C6"/>
    <w:rsid w:val="00F06799"/>
    <w:rsid w:val="00F07E3B"/>
    <w:rsid w:val="00F102F9"/>
    <w:rsid w:val="00F109FE"/>
    <w:rsid w:val="00F111D4"/>
    <w:rsid w:val="00F11BB5"/>
    <w:rsid w:val="00F1208F"/>
    <w:rsid w:val="00F1233A"/>
    <w:rsid w:val="00F1293C"/>
    <w:rsid w:val="00F129D7"/>
    <w:rsid w:val="00F13363"/>
    <w:rsid w:val="00F14FB0"/>
    <w:rsid w:val="00F153B2"/>
    <w:rsid w:val="00F15557"/>
    <w:rsid w:val="00F155F9"/>
    <w:rsid w:val="00F1571F"/>
    <w:rsid w:val="00F1604F"/>
    <w:rsid w:val="00F170B8"/>
    <w:rsid w:val="00F17E54"/>
    <w:rsid w:val="00F20A92"/>
    <w:rsid w:val="00F20F3E"/>
    <w:rsid w:val="00F21112"/>
    <w:rsid w:val="00F2120E"/>
    <w:rsid w:val="00F22F53"/>
    <w:rsid w:val="00F24C93"/>
    <w:rsid w:val="00F25AC9"/>
    <w:rsid w:val="00F2607A"/>
    <w:rsid w:val="00F26747"/>
    <w:rsid w:val="00F26834"/>
    <w:rsid w:val="00F26B6E"/>
    <w:rsid w:val="00F2718A"/>
    <w:rsid w:val="00F2754F"/>
    <w:rsid w:val="00F27FA9"/>
    <w:rsid w:val="00F3280E"/>
    <w:rsid w:val="00F328AF"/>
    <w:rsid w:val="00F344FB"/>
    <w:rsid w:val="00F3458E"/>
    <w:rsid w:val="00F350F2"/>
    <w:rsid w:val="00F3517A"/>
    <w:rsid w:val="00F3712D"/>
    <w:rsid w:val="00F40112"/>
    <w:rsid w:val="00F40317"/>
    <w:rsid w:val="00F40816"/>
    <w:rsid w:val="00F41AAE"/>
    <w:rsid w:val="00F41EAF"/>
    <w:rsid w:val="00F42575"/>
    <w:rsid w:val="00F42B65"/>
    <w:rsid w:val="00F42CF0"/>
    <w:rsid w:val="00F431D5"/>
    <w:rsid w:val="00F44235"/>
    <w:rsid w:val="00F448DB"/>
    <w:rsid w:val="00F45022"/>
    <w:rsid w:val="00F45FFC"/>
    <w:rsid w:val="00F473C9"/>
    <w:rsid w:val="00F47E17"/>
    <w:rsid w:val="00F500C5"/>
    <w:rsid w:val="00F506E9"/>
    <w:rsid w:val="00F50A3D"/>
    <w:rsid w:val="00F50FC7"/>
    <w:rsid w:val="00F51B3C"/>
    <w:rsid w:val="00F52F71"/>
    <w:rsid w:val="00F536CC"/>
    <w:rsid w:val="00F53EAB"/>
    <w:rsid w:val="00F54079"/>
    <w:rsid w:val="00F54A8F"/>
    <w:rsid w:val="00F559E2"/>
    <w:rsid w:val="00F56090"/>
    <w:rsid w:val="00F56482"/>
    <w:rsid w:val="00F56C71"/>
    <w:rsid w:val="00F5731A"/>
    <w:rsid w:val="00F604FB"/>
    <w:rsid w:val="00F623A5"/>
    <w:rsid w:val="00F629D6"/>
    <w:rsid w:val="00F63B2B"/>
    <w:rsid w:val="00F642C9"/>
    <w:rsid w:val="00F65ACE"/>
    <w:rsid w:val="00F65D9C"/>
    <w:rsid w:val="00F65F72"/>
    <w:rsid w:val="00F66791"/>
    <w:rsid w:val="00F6772F"/>
    <w:rsid w:val="00F67A04"/>
    <w:rsid w:val="00F71173"/>
    <w:rsid w:val="00F71336"/>
    <w:rsid w:val="00F714B7"/>
    <w:rsid w:val="00F7197D"/>
    <w:rsid w:val="00F7221A"/>
    <w:rsid w:val="00F726C4"/>
    <w:rsid w:val="00F72705"/>
    <w:rsid w:val="00F72B5A"/>
    <w:rsid w:val="00F72E2D"/>
    <w:rsid w:val="00F74260"/>
    <w:rsid w:val="00F7526F"/>
    <w:rsid w:val="00F75B04"/>
    <w:rsid w:val="00F75FA4"/>
    <w:rsid w:val="00F77830"/>
    <w:rsid w:val="00F80967"/>
    <w:rsid w:val="00F814CC"/>
    <w:rsid w:val="00F81507"/>
    <w:rsid w:val="00F81542"/>
    <w:rsid w:val="00F817DC"/>
    <w:rsid w:val="00F8239E"/>
    <w:rsid w:val="00F823DC"/>
    <w:rsid w:val="00F82537"/>
    <w:rsid w:val="00F82CD7"/>
    <w:rsid w:val="00F82F87"/>
    <w:rsid w:val="00F82FBE"/>
    <w:rsid w:val="00F83A07"/>
    <w:rsid w:val="00F85309"/>
    <w:rsid w:val="00F858B3"/>
    <w:rsid w:val="00F85B77"/>
    <w:rsid w:val="00F86312"/>
    <w:rsid w:val="00F869A2"/>
    <w:rsid w:val="00F86A17"/>
    <w:rsid w:val="00F87216"/>
    <w:rsid w:val="00F90797"/>
    <w:rsid w:val="00F91180"/>
    <w:rsid w:val="00F91A9E"/>
    <w:rsid w:val="00F91EEC"/>
    <w:rsid w:val="00F93547"/>
    <w:rsid w:val="00F94004"/>
    <w:rsid w:val="00F94A87"/>
    <w:rsid w:val="00F951A0"/>
    <w:rsid w:val="00F95AFC"/>
    <w:rsid w:val="00F97B74"/>
    <w:rsid w:val="00FA00C4"/>
    <w:rsid w:val="00FA0231"/>
    <w:rsid w:val="00FA0388"/>
    <w:rsid w:val="00FA0CD7"/>
    <w:rsid w:val="00FA0CF8"/>
    <w:rsid w:val="00FA2919"/>
    <w:rsid w:val="00FA35B4"/>
    <w:rsid w:val="00FA3C10"/>
    <w:rsid w:val="00FA4DF1"/>
    <w:rsid w:val="00FA7046"/>
    <w:rsid w:val="00FA7E64"/>
    <w:rsid w:val="00FA7F0E"/>
    <w:rsid w:val="00FB0716"/>
    <w:rsid w:val="00FB08AD"/>
    <w:rsid w:val="00FB28FA"/>
    <w:rsid w:val="00FB3308"/>
    <w:rsid w:val="00FB3AC9"/>
    <w:rsid w:val="00FB3F61"/>
    <w:rsid w:val="00FB48FB"/>
    <w:rsid w:val="00FB4B19"/>
    <w:rsid w:val="00FB6B78"/>
    <w:rsid w:val="00FB7D36"/>
    <w:rsid w:val="00FC01CD"/>
    <w:rsid w:val="00FC0659"/>
    <w:rsid w:val="00FC09EF"/>
    <w:rsid w:val="00FC0F49"/>
    <w:rsid w:val="00FC11EA"/>
    <w:rsid w:val="00FC1265"/>
    <w:rsid w:val="00FC217E"/>
    <w:rsid w:val="00FC3556"/>
    <w:rsid w:val="00FC38BE"/>
    <w:rsid w:val="00FC3F77"/>
    <w:rsid w:val="00FC53B7"/>
    <w:rsid w:val="00FC55AA"/>
    <w:rsid w:val="00FC5DEB"/>
    <w:rsid w:val="00FC5F03"/>
    <w:rsid w:val="00FC6DB5"/>
    <w:rsid w:val="00FC72AB"/>
    <w:rsid w:val="00FD25F0"/>
    <w:rsid w:val="00FD2E0D"/>
    <w:rsid w:val="00FD3FA0"/>
    <w:rsid w:val="00FD546E"/>
    <w:rsid w:val="00FD7BA4"/>
    <w:rsid w:val="00FD7F4C"/>
    <w:rsid w:val="00FE00FC"/>
    <w:rsid w:val="00FE1934"/>
    <w:rsid w:val="00FE1C92"/>
    <w:rsid w:val="00FE1DBF"/>
    <w:rsid w:val="00FE22A9"/>
    <w:rsid w:val="00FE2306"/>
    <w:rsid w:val="00FE28B6"/>
    <w:rsid w:val="00FE2FE6"/>
    <w:rsid w:val="00FE3901"/>
    <w:rsid w:val="00FE3941"/>
    <w:rsid w:val="00FE3B49"/>
    <w:rsid w:val="00FE449F"/>
    <w:rsid w:val="00FE5373"/>
    <w:rsid w:val="00FE59B5"/>
    <w:rsid w:val="00FE5CBF"/>
    <w:rsid w:val="00FE5E7D"/>
    <w:rsid w:val="00FE6816"/>
    <w:rsid w:val="00FE6ACF"/>
    <w:rsid w:val="00FE7021"/>
    <w:rsid w:val="00FE727E"/>
    <w:rsid w:val="00FE7945"/>
    <w:rsid w:val="00FE7D2B"/>
    <w:rsid w:val="00FF0281"/>
    <w:rsid w:val="00FF19AD"/>
    <w:rsid w:val="00FF2E17"/>
    <w:rsid w:val="00FF3CF6"/>
    <w:rsid w:val="00FF3E2E"/>
    <w:rsid w:val="00FF55E6"/>
    <w:rsid w:val="00FF5C1C"/>
    <w:rsid w:val="00FF5D0C"/>
    <w:rsid w:val="00FF62E4"/>
    <w:rsid w:val="00FF700E"/>
    <w:rsid w:val="00FF7607"/>
    <w:rsid w:val="00FF762C"/>
    <w:rsid w:val="013712F7"/>
    <w:rsid w:val="014C1402"/>
    <w:rsid w:val="01754239"/>
    <w:rsid w:val="01CF7782"/>
    <w:rsid w:val="02111B48"/>
    <w:rsid w:val="021D1000"/>
    <w:rsid w:val="028D4AE0"/>
    <w:rsid w:val="03327FC8"/>
    <w:rsid w:val="037944DE"/>
    <w:rsid w:val="03AD764F"/>
    <w:rsid w:val="03D00BDF"/>
    <w:rsid w:val="03D2664B"/>
    <w:rsid w:val="041A1188"/>
    <w:rsid w:val="041F679F"/>
    <w:rsid w:val="046917C8"/>
    <w:rsid w:val="04A62A1C"/>
    <w:rsid w:val="052D73B6"/>
    <w:rsid w:val="0530678A"/>
    <w:rsid w:val="05917228"/>
    <w:rsid w:val="05A01219"/>
    <w:rsid w:val="05E355AA"/>
    <w:rsid w:val="062956B3"/>
    <w:rsid w:val="06732DD2"/>
    <w:rsid w:val="06F061D0"/>
    <w:rsid w:val="07214E72"/>
    <w:rsid w:val="07350087"/>
    <w:rsid w:val="0778561B"/>
    <w:rsid w:val="07973764"/>
    <w:rsid w:val="07CB4548"/>
    <w:rsid w:val="07D72EEC"/>
    <w:rsid w:val="083B105A"/>
    <w:rsid w:val="08433A9A"/>
    <w:rsid w:val="08534C69"/>
    <w:rsid w:val="085B58CB"/>
    <w:rsid w:val="08713AAF"/>
    <w:rsid w:val="08983A08"/>
    <w:rsid w:val="089F261F"/>
    <w:rsid w:val="08BA6A96"/>
    <w:rsid w:val="08C711B3"/>
    <w:rsid w:val="08C9422C"/>
    <w:rsid w:val="08F31FA8"/>
    <w:rsid w:val="09570591"/>
    <w:rsid w:val="095C40C9"/>
    <w:rsid w:val="09977F1A"/>
    <w:rsid w:val="09AC6A33"/>
    <w:rsid w:val="09DA37A8"/>
    <w:rsid w:val="0A486323"/>
    <w:rsid w:val="0A99282A"/>
    <w:rsid w:val="0A9B6453"/>
    <w:rsid w:val="0AB84332"/>
    <w:rsid w:val="0B275F39"/>
    <w:rsid w:val="0B2B3C7B"/>
    <w:rsid w:val="0B352404"/>
    <w:rsid w:val="0B5320D1"/>
    <w:rsid w:val="0C0629CA"/>
    <w:rsid w:val="0C3D530F"/>
    <w:rsid w:val="0C6B7D63"/>
    <w:rsid w:val="0CD21ED4"/>
    <w:rsid w:val="0D067F6E"/>
    <w:rsid w:val="0D3E0A4B"/>
    <w:rsid w:val="0D70006B"/>
    <w:rsid w:val="0D8E66C6"/>
    <w:rsid w:val="0D9F3D04"/>
    <w:rsid w:val="0DE46363"/>
    <w:rsid w:val="0E1B19BD"/>
    <w:rsid w:val="0E3177FA"/>
    <w:rsid w:val="0E5427C8"/>
    <w:rsid w:val="0E586BF9"/>
    <w:rsid w:val="0ED168E7"/>
    <w:rsid w:val="0EDD34DE"/>
    <w:rsid w:val="0EE7435D"/>
    <w:rsid w:val="0EE909E1"/>
    <w:rsid w:val="0EF96E94"/>
    <w:rsid w:val="0F8B4A18"/>
    <w:rsid w:val="0FE91C90"/>
    <w:rsid w:val="106A0DA2"/>
    <w:rsid w:val="108856CC"/>
    <w:rsid w:val="10B379BE"/>
    <w:rsid w:val="10C00D2F"/>
    <w:rsid w:val="10C27F2F"/>
    <w:rsid w:val="11511F61"/>
    <w:rsid w:val="11AA3420"/>
    <w:rsid w:val="11FC011F"/>
    <w:rsid w:val="12486EC1"/>
    <w:rsid w:val="12527D3F"/>
    <w:rsid w:val="126F6B43"/>
    <w:rsid w:val="12B554A4"/>
    <w:rsid w:val="12BF5F19"/>
    <w:rsid w:val="12E35254"/>
    <w:rsid w:val="12EA441C"/>
    <w:rsid w:val="1346335D"/>
    <w:rsid w:val="135605B0"/>
    <w:rsid w:val="135B1411"/>
    <w:rsid w:val="139B3968"/>
    <w:rsid w:val="14077DCC"/>
    <w:rsid w:val="143403FC"/>
    <w:rsid w:val="143D67CD"/>
    <w:rsid w:val="14424A8E"/>
    <w:rsid w:val="149F7C10"/>
    <w:rsid w:val="14B75AB0"/>
    <w:rsid w:val="155039AD"/>
    <w:rsid w:val="156264EB"/>
    <w:rsid w:val="15787E8C"/>
    <w:rsid w:val="159643E7"/>
    <w:rsid w:val="15F07D1B"/>
    <w:rsid w:val="162E461F"/>
    <w:rsid w:val="16351E52"/>
    <w:rsid w:val="166A7E0D"/>
    <w:rsid w:val="166E0EC0"/>
    <w:rsid w:val="16783AEC"/>
    <w:rsid w:val="16816E45"/>
    <w:rsid w:val="16C64858"/>
    <w:rsid w:val="16DC407B"/>
    <w:rsid w:val="16E3365C"/>
    <w:rsid w:val="1701104A"/>
    <w:rsid w:val="173A4D94"/>
    <w:rsid w:val="178E7A6B"/>
    <w:rsid w:val="18023FB5"/>
    <w:rsid w:val="18462707"/>
    <w:rsid w:val="18610CDC"/>
    <w:rsid w:val="186407CC"/>
    <w:rsid w:val="18FE477D"/>
    <w:rsid w:val="19030826"/>
    <w:rsid w:val="190D49C0"/>
    <w:rsid w:val="195D42F9"/>
    <w:rsid w:val="198F3627"/>
    <w:rsid w:val="19BD63E6"/>
    <w:rsid w:val="1A3366A8"/>
    <w:rsid w:val="1ABE5CF0"/>
    <w:rsid w:val="1AC11F06"/>
    <w:rsid w:val="1ACD1B79"/>
    <w:rsid w:val="1ACD5C66"/>
    <w:rsid w:val="1B154000"/>
    <w:rsid w:val="1B2B737F"/>
    <w:rsid w:val="1B697EA8"/>
    <w:rsid w:val="1B7B7F68"/>
    <w:rsid w:val="1BAB04C0"/>
    <w:rsid w:val="1BDF040E"/>
    <w:rsid w:val="1BE7599C"/>
    <w:rsid w:val="1BEC6B0F"/>
    <w:rsid w:val="1BF400B9"/>
    <w:rsid w:val="1C302E5D"/>
    <w:rsid w:val="1C6F7846"/>
    <w:rsid w:val="1C8B7959"/>
    <w:rsid w:val="1C915908"/>
    <w:rsid w:val="1CD35255"/>
    <w:rsid w:val="1D04257E"/>
    <w:rsid w:val="1D0C4F8F"/>
    <w:rsid w:val="1D4569D5"/>
    <w:rsid w:val="1D554B87"/>
    <w:rsid w:val="1D5C5F16"/>
    <w:rsid w:val="1DB0155C"/>
    <w:rsid w:val="1DC85359"/>
    <w:rsid w:val="1DE2466D"/>
    <w:rsid w:val="1DE5415D"/>
    <w:rsid w:val="1DF919B7"/>
    <w:rsid w:val="1E3429EF"/>
    <w:rsid w:val="1E4470D6"/>
    <w:rsid w:val="1E766B63"/>
    <w:rsid w:val="1E7E1EBC"/>
    <w:rsid w:val="1F1A1BE5"/>
    <w:rsid w:val="1F703EFB"/>
    <w:rsid w:val="1F8B2AE2"/>
    <w:rsid w:val="1FAD78F8"/>
    <w:rsid w:val="1FEA15B7"/>
    <w:rsid w:val="1FFA185A"/>
    <w:rsid w:val="200A102D"/>
    <w:rsid w:val="20142543"/>
    <w:rsid w:val="2040567B"/>
    <w:rsid w:val="20E2791F"/>
    <w:rsid w:val="20FF5536"/>
    <w:rsid w:val="21696EC0"/>
    <w:rsid w:val="21843C8D"/>
    <w:rsid w:val="21F4671D"/>
    <w:rsid w:val="22244D06"/>
    <w:rsid w:val="22280ABD"/>
    <w:rsid w:val="222A213F"/>
    <w:rsid w:val="225C18EF"/>
    <w:rsid w:val="230A1F70"/>
    <w:rsid w:val="233F7E6C"/>
    <w:rsid w:val="23686D57"/>
    <w:rsid w:val="23E5682D"/>
    <w:rsid w:val="24074FE6"/>
    <w:rsid w:val="24180C41"/>
    <w:rsid w:val="241E73F0"/>
    <w:rsid w:val="246F652F"/>
    <w:rsid w:val="24AD52A9"/>
    <w:rsid w:val="24D52000"/>
    <w:rsid w:val="24DB4D82"/>
    <w:rsid w:val="24E30CCB"/>
    <w:rsid w:val="2505221B"/>
    <w:rsid w:val="25254147"/>
    <w:rsid w:val="25356E75"/>
    <w:rsid w:val="256B13EC"/>
    <w:rsid w:val="259049AF"/>
    <w:rsid w:val="259341C4"/>
    <w:rsid w:val="26021D1D"/>
    <w:rsid w:val="263A0DBE"/>
    <w:rsid w:val="265E4AAD"/>
    <w:rsid w:val="2714160F"/>
    <w:rsid w:val="271909D4"/>
    <w:rsid w:val="27361485"/>
    <w:rsid w:val="276E2ACE"/>
    <w:rsid w:val="27765E26"/>
    <w:rsid w:val="278C389C"/>
    <w:rsid w:val="27A95C55"/>
    <w:rsid w:val="27B626C7"/>
    <w:rsid w:val="27BB2307"/>
    <w:rsid w:val="28094EEC"/>
    <w:rsid w:val="284611E4"/>
    <w:rsid w:val="2849332A"/>
    <w:rsid w:val="2854287F"/>
    <w:rsid w:val="2879797C"/>
    <w:rsid w:val="28A50EF2"/>
    <w:rsid w:val="28B5297E"/>
    <w:rsid w:val="28C97D64"/>
    <w:rsid w:val="292B4D54"/>
    <w:rsid w:val="296879F1"/>
    <w:rsid w:val="298760C9"/>
    <w:rsid w:val="29B23F98"/>
    <w:rsid w:val="29ED5020"/>
    <w:rsid w:val="2A0E67EA"/>
    <w:rsid w:val="2A3E7670"/>
    <w:rsid w:val="2A554419"/>
    <w:rsid w:val="2A81520E"/>
    <w:rsid w:val="2AA43F19"/>
    <w:rsid w:val="2AAB5DE7"/>
    <w:rsid w:val="2AFC6642"/>
    <w:rsid w:val="2B0A5203"/>
    <w:rsid w:val="2B163BA8"/>
    <w:rsid w:val="2B33475A"/>
    <w:rsid w:val="2B7663F5"/>
    <w:rsid w:val="2BEE094C"/>
    <w:rsid w:val="2C240D6F"/>
    <w:rsid w:val="2C271DE5"/>
    <w:rsid w:val="2C4C35F9"/>
    <w:rsid w:val="2CB651C1"/>
    <w:rsid w:val="2CC3566A"/>
    <w:rsid w:val="2CE44D3D"/>
    <w:rsid w:val="2CF62FBE"/>
    <w:rsid w:val="2D0D0FDB"/>
    <w:rsid w:val="2D1C3D8C"/>
    <w:rsid w:val="2D6055AE"/>
    <w:rsid w:val="2D9406F0"/>
    <w:rsid w:val="2D94765A"/>
    <w:rsid w:val="2DAA05D8"/>
    <w:rsid w:val="2DEB4E1E"/>
    <w:rsid w:val="2E6E5EBA"/>
    <w:rsid w:val="2E9F7997"/>
    <w:rsid w:val="2ED0406E"/>
    <w:rsid w:val="2F076FBD"/>
    <w:rsid w:val="2F376146"/>
    <w:rsid w:val="2F4874EF"/>
    <w:rsid w:val="2F8378FF"/>
    <w:rsid w:val="30B95F1A"/>
    <w:rsid w:val="30BA73F7"/>
    <w:rsid w:val="30DD2A72"/>
    <w:rsid w:val="30E433EC"/>
    <w:rsid w:val="310D3357"/>
    <w:rsid w:val="31462D0D"/>
    <w:rsid w:val="31653193"/>
    <w:rsid w:val="31835228"/>
    <w:rsid w:val="31856B33"/>
    <w:rsid w:val="31B1462B"/>
    <w:rsid w:val="31D200FD"/>
    <w:rsid w:val="320771F2"/>
    <w:rsid w:val="3222052F"/>
    <w:rsid w:val="324D5E95"/>
    <w:rsid w:val="325F5E35"/>
    <w:rsid w:val="32983DAA"/>
    <w:rsid w:val="32987598"/>
    <w:rsid w:val="32A04E80"/>
    <w:rsid w:val="32AE04FD"/>
    <w:rsid w:val="33356589"/>
    <w:rsid w:val="336264BF"/>
    <w:rsid w:val="33B421B0"/>
    <w:rsid w:val="349B6ECC"/>
    <w:rsid w:val="34C71A6F"/>
    <w:rsid w:val="34F767F8"/>
    <w:rsid w:val="3507020E"/>
    <w:rsid w:val="350E6FCA"/>
    <w:rsid w:val="35727C2D"/>
    <w:rsid w:val="357C6CFE"/>
    <w:rsid w:val="3586192A"/>
    <w:rsid w:val="35E00BFF"/>
    <w:rsid w:val="35E07F3C"/>
    <w:rsid w:val="35F93F25"/>
    <w:rsid w:val="36070CBD"/>
    <w:rsid w:val="3646496C"/>
    <w:rsid w:val="365F1412"/>
    <w:rsid w:val="36603A33"/>
    <w:rsid w:val="366F0694"/>
    <w:rsid w:val="36B17200"/>
    <w:rsid w:val="36B9188B"/>
    <w:rsid w:val="3700570C"/>
    <w:rsid w:val="373F0574"/>
    <w:rsid w:val="37403D5B"/>
    <w:rsid w:val="374750E9"/>
    <w:rsid w:val="37585548"/>
    <w:rsid w:val="378A49A6"/>
    <w:rsid w:val="37A62074"/>
    <w:rsid w:val="37AF1ABA"/>
    <w:rsid w:val="37F848EE"/>
    <w:rsid w:val="38240021"/>
    <w:rsid w:val="384109E7"/>
    <w:rsid w:val="38673C95"/>
    <w:rsid w:val="387C0DC3"/>
    <w:rsid w:val="388F6D48"/>
    <w:rsid w:val="38B642D4"/>
    <w:rsid w:val="38D17360"/>
    <w:rsid w:val="38F92413"/>
    <w:rsid w:val="39761CB6"/>
    <w:rsid w:val="39A57F58"/>
    <w:rsid w:val="39A700C1"/>
    <w:rsid w:val="39AE2859"/>
    <w:rsid w:val="39B141B2"/>
    <w:rsid w:val="39B76556"/>
    <w:rsid w:val="39EA4849"/>
    <w:rsid w:val="3A3A4525"/>
    <w:rsid w:val="3A541FF7"/>
    <w:rsid w:val="3A6A7A6C"/>
    <w:rsid w:val="3ABD5DEE"/>
    <w:rsid w:val="3AE72AE5"/>
    <w:rsid w:val="3AFD7590"/>
    <w:rsid w:val="3B07350D"/>
    <w:rsid w:val="3B585B17"/>
    <w:rsid w:val="3BFF52EA"/>
    <w:rsid w:val="3C2A5735"/>
    <w:rsid w:val="3C2D1349"/>
    <w:rsid w:val="3C5207B8"/>
    <w:rsid w:val="3CCD3621"/>
    <w:rsid w:val="3CDB07AE"/>
    <w:rsid w:val="3D0025CD"/>
    <w:rsid w:val="3D583BB8"/>
    <w:rsid w:val="3D995D21"/>
    <w:rsid w:val="3DCE0312"/>
    <w:rsid w:val="3DD73184"/>
    <w:rsid w:val="3E970704"/>
    <w:rsid w:val="3E9E1A93"/>
    <w:rsid w:val="3EC207BE"/>
    <w:rsid w:val="3EDE4585"/>
    <w:rsid w:val="3F165ACD"/>
    <w:rsid w:val="3F6E3B5B"/>
    <w:rsid w:val="3F742E84"/>
    <w:rsid w:val="3FF7DA85"/>
    <w:rsid w:val="3FFD4EDF"/>
    <w:rsid w:val="401A6EC9"/>
    <w:rsid w:val="40251D40"/>
    <w:rsid w:val="405B0AE5"/>
    <w:rsid w:val="40D23C76"/>
    <w:rsid w:val="414347CC"/>
    <w:rsid w:val="41456B3D"/>
    <w:rsid w:val="41A3623A"/>
    <w:rsid w:val="42731488"/>
    <w:rsid w:val="42733236"/>
    <w:rsid w:val="429513FF"/>
    <w:rsid w:val="42B16259"/>
    <w:rsid w:val="42DB1674"/>
    <w:rsid w:val="42DC702D"/>
    <w:rsid w:val="42E14644"/>
    <w:rsid w:val="43244531"/>
    <w:rsid w:val="437F2ECA"/>
    <w:rsid w:val="43813C21"/>
    <w:rsid w:val="44276B53"/>
    <w:rsid w:val="448741DA"/>
    <w:rsid w:val="44A122DD"/>
    <w:rsid w:val="44C80A9F"/>
    <w:rsid w:val="44E66F99"/>
    <w:rsid w:val="44ED71B6"/>
    <w:rsid w:val="45117CC0"/>
    <w:rsid w:val="452A0524"/>
    <w:rsid w:val="45886FF9"/>
    <w:rsid w:val="458F3AFE"/>
    <w:rsid w:val="45A51959"/>
    <w:rsid w:val="45A755F8"/>
    <w:rsid w:val="462D74A7"/>
    <w:rsid w:val="468A0B4E"/>
    <w:rsid w:val="46B34549"/>
    <w:rsid w:val="46C15FBB"/>
    <w:rsid w:val="46F9441E"/>
    <w:rsid w:val="47060B1D"/>
    <w:rsid w:val="4739367F"/>
    <w:rsid w:val="474D493C"/>
    <w:rsid w:val="48401E0D"/>
    <w:rsid w:val="48515DC8"/>
    <w:rsid w:val="48711E75"/>
    <w:rsid w:val="48945CB4"/>
    <w:rsid w:val="48A72F7A"/>
    <w:rsid w:val="494B2817"/>
    <w:rsid w:val="49524A8F"/>
    <w:rsid w:val="49793828"/>
    <w:rsid w:val="498E4EBE"/>
    <w:rsid w:val="49C36FDD"/>
    <w:rsid w:val="4A11580F"/>
    <w:rsid w:val="4A49144C"/>
    <w:rsid w:val="4A6C513B"/>
    <w:rsid w:val="4ABE526B"/>
    <w:rsid w:val="4AE40A60"/>
    <w:rsid w:val="4AFD0CC2"/>
    <w:rsid w:val="4B1650A7"/>
    <w:rsid w:val="4B271062"/>
    <w:rsid w:val="4BC002BD"/>
    <w:rsid w:val="4BEF235C"/>
    <w:rsid w:val="4C793B3F"/>
    <w:rsid w:val="4CA5270A"/>
    <w:rsid w:val="4CA961D2"/>
    <w:rsid w:val="4CD54922"/>
    <w:rsid w:val="4D3315D8"/>
    <w:rsid w:val="4D661307"/>
    <w:rsid w:val="4D810EFD"/>
    <w:rsid w:val="4DE33966"/>
    <w:rsid w:val="4E1A7775"/>
    <w:rsid w:val="4E6E4AD1"/>
    <w:rsid w:val="4E846E55"/>
    <w:rsid w:val="4E962786"/>
    <w:rsid w:val="4EA01857"/>
    <w:rsid w:val="4EEB5031"/>
    <w:rsid w:val="4EEE4370"/>
    <w:rsid w:val="50681F00"/>
    <w:rsid w:val="507C02E4"/>
    <w:rsid w:val="5093526A"/>
    <w:rsid w:val="516052CE"/>
    <w:rsid w:val="51A76C82"/>
    <w:rsid w:val="51B3364F"/>
    <w:rsid w:val="520243BE"/>
    <w:rsid w:val="521265C8"/>
    <w:rsid w:val="52B25B3B"/>
    <w:rsid w:val="53501FAF"/>
    <w:rsid w:val="53596D41"/>
    <w:rsid w:val="53764934"/>
    <w:rsid w:val="53AE40CE"/>
    <w:rsid w:val="54024E0A"/>
    <w:rsid w:val="541C54DC"/>
    <w:rsid w:val="542D593B"/>
    <w:rsid w:val="543C3DD0"/>
    <w:rsid w:val="54910B85"/>
    <w:rsid w:val="54C448B5"/>
    <w:rsid w:val="54E26CD8"/>
    <w:rsid w:val="54F45A77"/>
    <w:rsid w:val="55344AA7"/>
    <w:rsid w:val="557E74D1"/>
    <w:rsid w:val="558F7F2F"/>
    <w:rsid w:val="55CF5C89"/>
    <w:rsid w:val="55D818D6"/>
    <w:rsid w:val="56083D8A"/>
    <w:rsid w:val="561D553B"/>
    <w:rsid w:val="5651542C"/>
    <w:rsid w:val="56A42C52"/>
    <w:rsid w:val="56F62AFE"/>
    <w:rsid w:val="571D3AA1"/>
    <w:rsid w:val="576D604E"/>
    <w:rsid w:val="57A71560"/>
    <w:rsid w:val="57B7306E"/>
    <w:rsid w:val="57C2283E"/>
    <w:rsid w:val="57D61E46"/>
    <w:rsid w:val="58044C05"/>
    <w:rsid w:val="58436DD1"/>
    <w:rsid w:val="58652DF2"/>
    <w:rsid w:val="58BE10D1"/>
    <w:rsid w:val="59012EF2"/>
    <w:rsid w:val="59205A6E"/>
    <w:rsid w:val="59206BA0"/>
    <w:rsid w:val="59665758"/>
    <w:rsid w:val="59853B23"/>
    <w:rsid w:val="59AF0BA0"/>
    <w:rsid w:val="59E52814"/>
    <w:rsid w:val="59ED1C4B"/>
    <w:rsid w:val="5A1924BD"/>
    <w:rsid w:val="5A1F5D26"/>
    <w:rsid w:val="5A5654C0"/>
    <w:rsid w:val="5A8A39A1"/>
    <w:rsid w:val="5AF2476D"/>
    <w:rsid w:val="5B4D345E"/>
    <w:rsid w:val="5B9E0ECC"/>
    <w:rsid w:val="5C1D45E7"/>
    <w:rsid w:val="5C427AAA"/>
    <w:rsid w:val="5C45759A"/>
    <w:rsid w:val="5C4C0928"/>
    <w:rsid w:val="5C965A8F"/>
    <w:rsid w:val="5CA92F07"/>
    <w:rsid w:val="5CA93FCD"/>
    <w:rsid w:val="5CDE20A4"/>
    <w:rsid w:val="5CE40B61"/>
    <w:rsid w:val="5CF76AE6"/>
    <w:rsid w:val="5D157323"/>
    <w:rsid w:val="5D333896"/>
    <w:rsid w:val="5D3933F3"/>
    <w:rsid w:val="5DCD5A99"/>
    <w:rsid w:val="5E9A1EDD"/>
    <w:rsid w:val="5EA7453C"/>
    <w:rsid w:val="5F685A79"/>
    <w:rsid w:val="5FA56F34"/>
    <w:rsid w:val="5FA62A45"/>
    <w:rsid w:val="5FDA70EC"/>
    <w:rsid w:val="5FE92B45"/>
    <w:rsid w:val="5FEA0B84"/>
    <w:rsid w:val="5FFDE0F1"/>
    <w:rsid w:val="60254B25"/>
    <w:rsid w:val="603D5158"/>
    <w:rsid w:val="60565A8A"/>
    <w:rsid w:val="609D5BF6"/>
    <w:rsid w:val="60D04E21"/>
    <w:rsid w:val="61047A23"/>
    <w:rsid w:val="61243C22"/>
    <w:rsid w:val="61412A26"/>
    <w:rsid w:val="61443C20"/>
    <w:rsid w:val="61515999"/>
    <w:rsid w:val="61573FF7"/>
    <w:rsid w:val="61CB6793"/>
    <w:rsid w:val="623B7475"/>
    <w:rsid w:val="624E6E3D"/>
    <w:rsid w:val="62586279"/>
    <w:rsid w:val="6267026A"/>
    <w:rsid w:val="626E59C8"/>
    <w:rsid w:val="62970423"/>
    <w:rsid w:val="62A241F2"/>
    <w:rsid w:val="62B611F1"/>
    <w:rsid w:val="62D00C75"/>
    <w:rsid w:val="633E268D"/>
    <w:rsid w:val="635C46B8"/>
    <w:rsid w:val="640D1A88"/>
    <w:rsid w:val="644B5969"/>
    <w:rsid w:val="647E189B"/>
    <w:rsid w:val="64ED2360"/>
    <w:rsid w:val="65006754"/>
    <w:rsid w:val="65185833"/>
    <w:rsid w:val="652A1A23"/>
    <w:rsid w:val="65501489"/>
    <w:rsid w:val="65787B70"/>
    <w:rsid w:val="65821AD6"/>
    <w:rsid w:val="65E240AB"/>
    <w:rsid w:val="6603474E"/>
    <w:rsid w:val="660737FC"/>
    <w:rsid w:val="661A55F3"/>
    <w:rsid w:val="66310506"/>
    <w:rsid w:val="664E26D1"/>
    <w:rsid w:val="66A17AC3"/>
    <w:rsid w:val="66B27F22"/>
    <w:rsid w:val="673E55A5"/>
    <w:rsid w:val="67A05FCC"/>
    <w:rsid w:val="67A573BF"/>
    <w:rsid w:val="67F72090"/>
    <w:rsid w:val="680B1984"/>
    <w:rsid w:val="68A36D6D"/>
    <w:rsid w:val="68CB7079"/>
    <w:rsid w:val="68F62414"/>
    <w:rsid w:val="694110E9"/>
    <w:rsid w:val="69470DF5"/>
    <w:rsid w:val="6A0F0A3D"/>
    <w:rsid w:val="6A827DE9"/>
    <w:rsid w:val="6A9E2C97"/>
    <w:rsid w:val="6AA87672"/>
    <w:rsid w:val="6AB75B07"/>
    <w:rsid w:val="6AF2738A"/>
    <w:rsid w:val="6B1A1D3A"/>
    <w:rsid w:val="6B217BC0"/>
    <w:rsid w:val="6BBB1626"/>
    <w:rsid w:val="6C042FCD"/>
    <w:rsid w:val="6C046B2A"/>
    <w:rsid w:val="6C225202"/>
    <w:rsid w:val="6C232936"/>
    <w:rsid w:val="6CB46E74"/>
    <w:rsid w:val="6CB87914"/>
    <w:rsid w:val="6CC664D5"/>
    <w:rsid w:val="6CC87B57"/>
    <w:rsid w:val="6CD86F61"/>
    <w:rsid w:val="6D06067F"/>
    <w:rsid w:val="6D176D30"/>
    <w:rsid w:val="6D21195D"/>
    <w:rsid w:val="6D45389E"/>
    <w:rsid w:val="6DFB21AE"/>
    <w:rsid w:val="6E0F7A08"/>
    <w:rsid w:val="6E173013"/>
    <w:rsid w:val="6E531FEA"/>
    <w:rsid w:val="6EE13152"/>
    <w:rsid w:val="6EE95E98"/>
    <w:rsid w:val="6F0A4F8F"/>
    <w:rsid w:val="6F1E713A"/>
    <w:rsid w:val="6F1F1BBC"/>
    <w:rsid w:val="6F2105FA"/>
    <w:rsid w:val="6F525DFE"/>
    <w:rsid w:val="6F586D7F"/>
    <w:rsid w:val="6F5D2A4B"/>
    <w:rsid w:val="6F6B7964"/>
    <w:rsid w:val="6F75770F"/>
    <w:rsid w:val="6FB24AEE"/>
    <w:rsid w:val="6FE532C9"/>
    <w:rsid w:val="6FF868DE"/>
    <w:rsid w:val="6FFD3FBC"/>
    <w:rsid w:val="70513ACE"/>
    <w:rsid w:val="70B825D8"/>
    <w:rsid w:val="70C13529"/>
    <w:rsid w:val="70D32CFC"/>
    <w:rsid w:val="710567E9"/>
    <w:rsid w:val="71233EF6"/>
    <w:rsid w:val="7141437C"/>
    <w:rsid w:val="71505AF6"/>
    <w:rsid w:val="718D53F5"/>
    <w:rsid w:val="71A060C9"/>
    <w:rsid w:val="71CE2EB7"/>
    <w:rsid w:val="72320A43"/>
    <w:rsid w:val="72477148"/>
    <w:rsid w:val="725D5C2C"/>
    <w:rsid w:val="726522EC"/>
    <w:rsid w:val="72AC1CC9"/>
    <w:rsid w:val="72C15774"/>
    <w:rsid w:val="72C74D55"/>
    <w:rsid w:val="72E727AC"/>
    <w:rsid w:val="72E94CCB"/>
    <w:rsid w:val="73703B87"/>
    <w:rsid w:val="73734595"/>
    <w:rsid w:val="7393309E"/>
    <w:rsid w:val="73B13A3B"/>
    <w:rsid w:val="73C51294"/>
    <w:rsid w:val="73C973A1"/>
    <w:rsid w:val="747466E4"/>
    <w:rsid w:val="748979DC"/>
    <w:rsid w:val="74A63379"/>
    <w:rsid w:val="74C94DB4"/>
    <w:rsid w:val="74DA0D6F"/>
    <w:rsid w:val="75395B4E"/>
    <w:rsid w:val="754E0E15"/>
    <w:rsid w:val="75907680"/>
    <w:rsid w:val="75B07996"/>
    <w:rsid w:val="760953C8"/>
    <w:rsid w:val="76296D51"/>
    <w:rsid w:val="76312C11"/>
    <w:rsid w:val="76432944"/>
    <w:rsid w:val="765608C9"/>
    <w:rsid w:val="76B6521B"/>
    <w:rsid w:val="770E4D00"/>
    <w:rsid w:val="77184E73"/>
    <w:rsid w:val="773A6661"/>
    <w:rsid w:val="77416E84"/>
    <w:rsid w:val="7772528F"/>
    <w:rsid w:val="77743CE1"/>
    <w:rsid w:val="777F5BFE"/>
    <w:rsid w:val="77E837A3"/>
    <w:rsid w:val="77EC1993"/>
    <w:rsid w:val="78110A63"/>
    <w:rsid w:val="781225CE"/>
    <w:rsid w:val="781F7D81"/>
    <w:rsid w:val="782A3DBC"/>
    <w:rsid w:val="78491F11"/>
    <w:rsid w:val="78745037"/>
    <w:rsid w:val="78FE2B52"/>
    <w:rsid w:val="7904460D"/>
    <w:rsid w:val="79116D2A"/>
    <w:rsid w:val="791218EC"/>
    <w:rsid w:val="793E2FA9"/>
    <w:rsid w:val="79733540"/>
    <w:rsid w:val="798778C7"/>
    <w:rsid w:val="79AD5C78"/>
    <w:rsid w:val="79C82CC6"/>
    <w:rsid w:val="7AA53D46"/>
    <w:rsid w:val="7AA95429"/>
    <w:rsid w:val="7AB63F89"/>
    <w:rsid w:val="7B27685D"/>
    <w:rsid w:val="7B2820ED"/>
    <w:rsid w:val="7B2F16E9"/>
    <w:rsid w:val="7B855B76"/>
    <w:rsid w:val="7BAC2BD6"/>
    <w:rsid w:val="7BF85F7F"/>
    <w:rsid w:val="7C4A349B"/>
    <w:rsid w:val="7C653614"/>
    <w:rsid w:val="7C727760"/>
    <w:rsid w:val="7C8418B8"/>
    <w:rsid w:val="7C85533B"/>
    <w:rsid w:val="7D5C7632"/>
    <w:rsid w:val="7D6D7B78"/>
    <w:rsid w:val="7D800494"/>
    <w:rsid w:val="7E4B2482"/>
    <w:rsid w:val="7E527FF6"/>
    <w:rsid w:val="7E6E3A12"/>
    <w:rsid w:val="7E7421DD"/>
    <w:rsid w:val="7E8F7F05"/>
    <w:rsid w:val="7EC10816"/>
    <w:rsid w:val="7ED40246"/>
    <w:rsid w:val="7F670A8E"/>
    <w:rsid w:val="7F752917"/>
    <w:rsid w:val="7F8E2E82"/>
    <w:rsid w:val="7FCE14D1"/>
    <w:rsid w:val="7FFF5B2E"/>
    <w:rsid w:val="BDA605EE"/>
    <w:rsid w:val="EDECAB1E"/>
    <w:rsid w:val="EFFDF7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99"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iPriority="99"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50"/>
    <w:qFormat/>
    <w:uiPriority w:val="0"/>
    <w:pPr>
      <w:keepNext/>
      <w:tabs>
        <w:tab w:val="left" w:pos="360"/>
      </w:tabs>
      <w:spacing w:line="560" w:lineRule="exact"/>
      <w:jc w:val="center"/>
      <w:outlineLvl w:val="0"/>
    </w:pPr>
    <w:rPr>
      <w:rFonts w:ascii="宋体" w:hAnsi="宋体" w:cs="仿宋_GB2312"/>
      <w:b/>
      <w:sz w:val="32"/>
      <w:szCs w:val="32"/>
    </w:rPr>
  </w:style>
  <w:style w:type="paragraph" w:styleId="4">
    <w:name w:val="heading 2"/>
    <w:basedOn w:val="1"/>
    <w:next w:val="1"/>
    <w:link w:val="48"/>
    <w:qFormat/>
    <w:uiPriority w:val="0"/>
    <w:pPr>
      <w:keepNext/>
      <w:keepLines/>
      <w:spacing w:before="260" w:after="260" w:line="416" w:lineRule="auto"/>
      <w:outlineLvl w:val="1"/>
    </w:pPr>
    <w:rPr>
      <w:rFonts w:ascii="Arial" w:hAnsi="Arial" w:eastAsia="黑体"/>
      <w:b/>
      <w:sz w:val="32"/>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paragraph" w:styleId="6">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51"/>
    <w:qFormat/>
    <w:uiPriority w:val="0"/>
    <w:pPr>
      <w:keepNext/>
      <w:keepLines/>
      <w:tabs>
        <w:tab w:val="left" w:pos="1440"/>
      </w:tabs>
      <w:spacing w:before="280" w:after="290" w:line="372" w:lineRule="auto"/>
      <w:ind w:left="1440" w:hanging="900"/>
      <w:outlineLvl w:val="4"/>
    </w:pPr>
    <w:rPr>
      <w:b/>
      <w:sz w:val="28"/>
    </w:rPr>
  </w:style>
  <w:style w:type="paragraph" w:styleId="8">
    <w:name w:val="heading 6"/>
    <w:basedOn w:val="1"/>
    <w:next w:val="1"/>
    <w:link w:val="52"/>
    <w:qFormat/>
    <w:uiPriority w:val="0"/>
    <w:pPr>
      <w:keepNext/>
      <w:keepLines/>
      <w:tabs>
        <w:tab w:val="left" w:pos="1440"/>
      </w:tabs>
      <w:spacing w:before="240" w:after="64" w:line="317" w:lineRule="auto"/>
      <w:ind w:left="1440" w:hanging="900"/>
      <w:outlineLvl w:val="5"/>
    </w:pPr>
    <w:rPr>
      <w:rFonts w:ascii="Arial" w:hAnsi="Arial" w:eastAsia="黑体"/>
      <w:b/>
      <w:sz w:val="24"/>
    </w:rPr>
  </w:style>
  <w:style w:type="paragraph" w:styleId="9">
    <w:name w:val="heading 7"/>
    <w:basedOn w:val="1"/>
    <w:next w:val="1"/>
    <w:link w:val="53"/>
    <w:qFormat/>
    <w:uiPriority w:val="0"/>
    <w:pPr>
      <w:keepNext/>
      <w:keepLines/>
      <w:tabs>
        <w:tab w:val="left" w:pos="1440"/>
      </w:tabs>
      <w:spacing w:before="240" w:after="64" w:line="317" w:lineRule="auto"/>
      <w:ind w:left="1440" w:hanging="900"/>
      <w:outlineLvl w:val="6"/>
    </w:pPr>
    <w:rPr>
      <w:b/>
      <w:sz w:val="24"/>
    </w:rPr>
  </w:style>
  <w:style w:type="paragraph" w:styleId="10">
    <w:name w:val="heading 8"/>
    <w:basedOn w:val="1"/>
    <w:next w:val="1"/>
    <w:link w:val="54"/>
    <w:qFormat/>
    <w:uiPriority w:val="0"/>
    <w:pPr>
      <w:keepNext/>
      <w:keepLines/>
      <w:tabs>
        <w:tab w:val="left" w:pos="1440"/>
      </w:tabs>
      <w:spacing w:before="240" w:after="64" w:line="317" w:lineRule="auto"/>
      <w:ind w:left="1440" w:hanging="900"/>
      <w:outlineLvl w:val="7"/>
    </w:pPr>
    <w:rPr>
      <w:rFonts w:ascii="Arial" w:hAnsi="Arial" w:eastAsia="黑体"/>
      <w:sz w:val="24"/>
    </w:rPr>
  </w:style>
  <w:style w:type="paragraph" w:styleId="11">
    <w:name w:val="heading 9"/>
    <w:basedOn w:val="1"/>
    <w:next w:val="1"/>
    <w:link w:val="55"/>
    <w:qFormat/>
    <w:uiPriority w:val="0"/>
    <w:pPr>
      <w:keepNext/>
      <w:keepLines/>
      <w:tabs>
        <w:tab w:val="left" w:pos="1440"/>
      </w:tabs>
      <w:spacing w:before="240" w:after="64" w:line="317" w:lineRule="auto"/>
      <w:ind w:left="1440" w:hanging="900"/>
      <w:outlineLvl w:val="8"/>
    </w:pPr>
    <w:rPr>
      <w:rFonts w:ascii="Arial" w:hAnsi="Arial" w:eastAsia="黑体"/>
    </w:rPr>
  </w:style>
  <w:style w:type="character" w:default="1" w:styleId="40">
    <w:name w:val="Default Paragraph Font"/>
    <w:semiHidden/>
    <w:unhideWhenUsed/>
    <w:qFormat/>
    <w:uiPriority w:val="1"/>
  </w:style>
  <w:style w:type="table" w:default="1" w:styleId="38">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qFormat/>
    <w:uiPriority w:val="99"/>
    <w:pPr>
      <w:ind w:left="420" w:leftChars="200"/>
    </w:pPr>
  </w:style>
  <w:style w:type="paragraph" w:styleId="12">
    <w:name w:val="List Number 2"/>
    <w:basedOn w:val="1"/>
    <w:unhideWhenUsed/>
    <w:qFormat/>
    <w:uiPriority w:val="99"/>
    <w:pPr>
      <w:numPr>
        <w:ilvl w:val="0"/>
        <w:numId w:val="1"/>
      </w:numPr>
      <w:spacing w:line="360" w:lineRule="auto"/>
      <w:ind w:firstLine="200" w:firstLineChars="200"/>
      <w:contextualSpacing/>
    </w:pPr>
    <w:rPr>
      <w:sz w:val="24"/>
      <w:szCs w:val="22"/>
    </w:rPr>
  </w:style>
  <w:style w:type="paragraph" w:styleId="13">
    <w:name w:val="Normal Indent"/>
    <w:basedOn w:val="1"/>
    <w:qFormat/>
    <w:uiPriority w:val="99"/>
    <w:pPr>
      <w:ind w:firstLine="420" w:firstLineChars="200"/>
    </w:pPr>
    <w:rPr>
      <w:szCs w:val="24"/>
    </w:rPr>
  </w:style>
  <w:style w:type="paragraph" w:styleId="14">
    <w:name w:val="Document Map"/>
    <w:basedOn w:val="1"/>
    <w:link w:val="56"/>
    <w:qFormat/>
    <w:uiPriority w:val="0"/>
    <w:pPr>
      <w:shd w:val="clear" w:color="auto" w:fill="000080"/>
    </w:pPr>
  </w:style>
  <w:style w:type="paragraph" w:styleId="15">
    <w:name w:val="annotation text"/>
    <w:basedOn w:val="1"/>
    <w:link w:val="57"/>
    <w:qFormat/>
    <w:uiPriority w:val="0"/>
    <w:pPr>
      <w:jc w:val="left"/>
    </w:pPr>
  </w:style>
  <w:style w:type="paragraph" w:styleId="16">
    <w:name w:val="Salutation"/>
    <w:basedOn w:val="1"/>
    <w:next w:val="1"/>
    <w:qFormat/>
    <w:uiPriority w:val="0"/>
    <w:rPr>
      <w:rFonts w:ascii="宋体"/>
      <w:b/>
      <w:sz w:val="28"/>
    </w:rPr>
  </w:style>
  <w:style w:type="paragraph" w:styleId="17">
    <w:name w:val="Body Text"/>
    <w:basedOn w:val="1"/>
    <w:link w:val="58"/>
    <w:qFormat/>
    <w:uiPriority w:val="0"/>
    <w:rPr>
      <w:rFonts w:ascii="Arial" w:hAnsi="Arial"/>
      <w:sz w:val="24"/>
    </w:rPr>
  </w:style>
  <w:style w:type="paragraph" w:styleId="18">
    <w:name w:val="Body Text Indent"/>
    <w:basedOn w:val="1"/>
    <w:qFormat/>
    <w:uiPriority w:val="0"/>
    <w:pPr>
      <w:ind w:firstLine="480"/>
    </w:pPr>
    <w:rPr>
      <w:rFonts w:ascii="宋体" w:hAnsi="宋体"/>
      <w:sz w:val="24"/>
    </w:rPr>
  </w:style>
  <w:style w:type="paragraph" w:styleId="19">
    <w:name w:val="Block Text"/>
    <w:qFormat/>
    <w:uiPriority w:val="0"/>
    <w:pPr>
      <w:widowControl w:val="0"/>
      <w:autoSpaceDE w:val="0"/>
      <w:autoSpaceDN w:val="0"/>
      <w:adjustRightInd w:val="0"/>
      <w:spacing w:line="500" w:lineRule="exact"/>
      <w:ind w:left="391" w:right="246"/>
      <w:jc w:val="both"/>
    </w:pPr>
    <w:rPr>
      <w:rFonts w:ascii="仿宋_GB2312" w:hAnsi="Times New Roman" w:eastAsia="仿宋_GB2312" w:cs="Times New Roman"/>
      <w:sz w:val="24"/>
      <w:szCs w:val="22"/>
      <w:lang w:val="en-US" w:eastAsia="zh-CN" w:bidi="ar-SA"/>
    </w:rPr>
  </w:style>
  <w:style w:type="paragraph" w:styleId="20">
    <w:name w:val="toc 3"/>
    <w:basedOn w:val="1"/>
    <w:next w:val="1"/>
    <w:qFormat/>
    <w:uiPriority w:val="39"/>
    <w:pPr>
      <w:ind w:left="840" w:leftChars="400"/>
    </w:pPr>
  </w:style>
  <w:style w:type="paragraph" w:styleId="21">
    <w:name w:val="Plain Text"/>
    <w:basedOn w:val="1"/>
    <w:next w:val="22"/>
    <w:link w:val="59"/>
    <w:qFormat/>
    <w:uiPriority w:val="0"/>
    <w:rPr>
      <w:rFonts w:ascii="宋体" w:hAnsi="Courier New"/>
      <w:snapToGrid w:val="0"/>
      <w:spacing w:val="6"/>
      <w:sz w:val="24"/>
      <w:szCs w:val="22"/>
    </w:rPr>
  </w:style>
  <w:style w:type="paragraph" w:customStyle="1" w:styleId="22">
    <w:name w:val="目录 62"/>
    <w:next w:val="1"/>
    <w:qFormat/>
    <w:uiPriority w:val="0"/>
    <w:rPr>
      <w:rFonts w:ascii="Times New Roman" w:hAnsi="Times New Roman" w:eastAsia="宋体" w:cs="Times New Roman"/>
      <w:sz w:val="21"/>
      <w:lang w:val="en-US" w:eastAsia="zh-CN" w:bidi="ar-SA"/>
    </w:rPr>
  </w:style>
  <w:style w:type="paragraph" w:styleId="23">
    <w:name w:val="Date"/>
    <w:basedOn w:val="1"/>
    <w:next w:val="1"/>
    <w:link w:val="60"/>
    <w:qFormat/>
    <w:uiPriority w:val="0"/>
    <w:pPr>
      <w:ind w:left="100"/>
    </w:pPr>
    <w:rPr>
      <w:sz w:val="24"/>
    </w:rPr>
  </w:style>
  <w:style w:type="paragraph" w:styleId="24">
    <w:name w:val="Body Text Indent 2"/>
    <w:basedOn w:val="1"/>
    <w:qFormat/>
    <w:uiPriority w:val="0"/>
    <w:pPr>
      <w:ind w:firstLine="435"/>
    </w:pPr>
    <w:rPr>
      <w:rFonts w:ascii="宋体" w:hAnsi="宋体"/>
      <w:sz w:val="24"/>
    </w:rPr>
  </w:style>
  <w:style w:type="paragraph" w:styleId="25">
    <w:name w:val="Balloon Text"/>
    <w:basedOn w:val="1"/>
    <w:semiHidden/>
    <w:qFormat/>
    <w:uiPriority w:val="0"/>
    <w:rPr>
      <w:sz w:val="18"/>
      <w:szCs w:val="18"/>
    </w:rPr>
  </w:style>
  <w:style w:type="paragraph" w:styleId="26">
    <w:name w:val="footer"/>
    <w:basedOn w:val="1"/>
    <w:link w:val="61"/>
    <w:qFormat/>
    <w:uiPriority w:val="99"/>
    <w:pPr>
      <w:tabs>
        <w:tab w:val="center" w:pos="4153"/>
        <w:tab w:val="right" w:pos="8306"/>
      </w:tabs>
      <w:snapToGrid w:val="0"/>
      <w:jc w:val="left"/>
    </w:pPr>
    <w:rPr>
      <w:sz w:val="18"/>
    </w:rPr>
  </w:style>
  <w:style w:type="paragraph" w:styleId="27">
    <w:name w:val="header"/>
    <w:basedOn w:val="1"/>
    <w:link w:val="62"/>
    <w:qFormat/>
    <w:uiPriority w:val="0"/>
    <w:pPr>
      <w:pBdr>
        <w:bottom w:val="single" w:color="auto" w:sz="6" w:space="1"/>
      </w:pBdr>
      <w:tabs>
        <w:tab w:val="center" w:pos="4153"/>
        <w:tab w:val="right" w:pos="8306"/>
      </w:tabs>
      <w:snapToGrid w:val="0"/>
      <w:jc w:val="center"/>
    </w:pPr>
    <w:rPr>
      <w:sz w:val="18"/>
    </w:rPr>
  </w:style>
  <w:style w:type="paragraph" w:styleId="28">
    <w:name w:val="toc 1"/>
    <w:basedOn w:val="1"/>
    <w:next w:val="1"/>
    <w:qFormat/>
    <w:uiPriority w:val="39"/>
  </w:style>
  <w:style w:type="paragraph" w:styleId="29">
    <w:name w:val="footnote text"/>
    <w:basedOn w:val="1"/>
    <w:link w:val="63"/>
    <w:qFormat/>
    <w:uiPriority w:val="0"/>
    <w:pPr>
      <w:snapToGrid w:val="0"/>
      <w:spacing w:line="360" w:lineRule="auto"/>
      <w:ind w:firstLine="200" w:firstLineChars="200"/>
      <w:jc w:val="left"/>
    </w:pPr>
    <w:rPr>
      <w:sz w:val="18"/>
      <w:szCs w:val="18"/>
    </w:rPr>
  </w:style>
  <w:style w:type="paragraph" w:styleId="30">
    <w:name w:val="Body Text Indent 3"/>
    <w:basedOn w:val="1"/>
    <w:qFormat/>
    <w:uiPriority w:val="0"/>
    <w:pPr>
      <w:ind w:left="471" w:hanging="471" w:hangingChars="200"/>
    </w:pPr>
    <w:rPr>
      <w:rFonts w:ascii="Arial" w:hAnsi="Arial" w:cs="Arial"/>
      <w:b/>
      <w:bCs/>
      <w:sz w:val="24"/>
    </w:rPr>
  </w:style>
  <w:style w:type="paragraph" w:styleId="31">
    <w:name w:val="toc 2"/>
    <w:basedOn w:val="1"/>
    <w:next w:val="1"/>
    <w:qFormat/>
    <w:uiPriority w:val="39"/>
    <w:pPr>
      <w:ind w:left="420" w:leftChars="200"/>
    </w:pPr>
  </w:style>
  <w:style w:type="paragraph" w:styleId="32">
    <w:name w:val="Body Text 2"/>
    <w:basedOn w:val="1"/>
    <w:qFormat/>
    <w:uiPriority w:val="0"/>
    <w:pPr>
      <w:spacing w:line="360" w:lineRule="auto"/>
    </w:pPr>
    <w:rPr>
      <w:b/>
      <w:sz w:val="28"/>
      <w:szCs w:val="21"/>
    </w:rPr>
  </w:style>
  <w:style w:type="paragraph" w:styleId="33">
    <w:name w:val="Normal (Web)"/>
    <w:basedOn w:val="1"/>
    <w:link w:val="124"/>
    <w:qFormat/>
    <w:uiPriority w:val="99"/>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styleId="34">
    <w:name w:val="Title"/>
    <w:basedOn w:val="1"/>
    <w:next w:val="1"/>
    <w:link w:val="64"/>
    <w:qFormat/>
    <w:uiPriority w:val="0"/>
    <w:pPr>
      <w:spacing w:before="240" w:after="60"/>
      <w:jc w:val="center"/>
      <w:outlineLvl w:val="0"/>
    </w:pPr>
    <w:rPr>
      <w:rFonts w:ascii="Cambria" w:hAnsi="Cambria"/>
      <w:b/>
      <w:bCs/>
      <w:sz w:val="36"/>
      <w:szCs w:val="32"/>
    </w:rPr>
  </w:style>
  <w:style w:type="paragraph" w:styleId="35">
    <w:name w:val="annotation subject"/>
    <w:basedOn w:val="15"/>
    <w:next w:val="15"/>
    <w:link w:val="65"/>
    <w:qFormat/>
    <w:uiPriority w:val="0"/>
    <w:rPr>
      <w:b/>
      <w:bCs/>
    </w:rPr>
  </w:style>
  <w:style w:type="paragraph" w:styleId="36">
    <w:name w:val="Body Text First Indent"/>
    <w:basedOn w:val="17"/>
    <w:link w:val="66"/>
    <w:qFormat/>
    <w:uiPriority w:val="0"/>
    <w:pPr>
      <w:spacing w:after="120"/>
      <w:ind w:firstLine="420" w:firstLineChars="100"/>
    </w:pPr>
    <w:rPr>
      <w:rFonts w:ascii="Times New Roman" w:hAnsi="Times New Roman"/>
      <w:sz w:val="21"/>
    </w:rPr>
  </w:style>
  <w:style w:type="paragraph" w:styleId="37">
    <w:name w:val="Body Text First Indent 2"/>
    <w:basedOn w:val="18"/>
    <w:next w:val="18"/>
    <w:qFormat/>
    <w:uiPriority w:val="0"/>
    <w:pPr>
      <w:spacing w:after="120"/>
      <w:ind w:left="420" w:leftChars="200" w:firstLine="420" w:firstLineChars="200"/>
    </w:pPr>
    <w:rPr>
      <w:sz w:val="21"/>
      <w:szCs w:val="24"/>
    </w:rPr>
  </w:style>
  <w:style w:type="table" w:styleId="39">
    <w:name w:val="Table Grid"/>
    <w:basedOn w:val="3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Strong"/>
    <w:qFormat/>
    <w:uiPriority w:val="0"/>
    <w:rPr>
      <w:b/>
      <w:bCs/>
    </w:rPr>
  </w:style>
  <w:style w:type="character" w:styleId="42">
    <w:name w:val="page number"/>
    <w:qFormat/>
    <w:uiPriority w:val="0"/>
  </w:style>
  <w:style w:type="character" w:styleId="43">
    <w:name w:val="FollowedHyperlink"/>
    <w:qFormat/>
    <w:uiPriority w:val="99"/>
    <w:rPr>
      <w:color w:val="800080"/>
      <w:u w:val="single"/>
    </w:rPr>
  </w:style>
  <w:style w:type="character" w:styleId="44">
    <w:name w:val="Emphasis"/>
    <w:qFormat/>
    <w:uiPriority w:val="20"/>
    <w:rPr>
      <w:color w:val="CC0033"/>
    </w:rPr>
  </w:style>
  <w:style w:type="character" w:styleId="45">
    <w:name w:val="Hyperlink"/>
    <w:qFormat/>
    <w:uiPriority w:val="99"/>
    <w:rPr>
      <w:color w:val="0000FF"/>
      <w:u w:val="single"/>
    </w:rPr>
  </w:style>
  <w:style w:type="character" w:styleId="46">
    <w:name w:val="annotation reference"/>
    <w:qFormat/>
    <w:uiPriority w:val="0"/>
    <w:rPr>
      <w:sz w:val="21"/>
      <w:szCs w:val="21"/>
    </w:rPr>
  </w:style>
  <w:style w:type="character" w:styleId="47">
    <w:name w:val="footnote reference"/>
    <w:qFormat/>
    <w:uiPriority w:val="99"/>
    <w:rPr>
      <w:vertAlign w:val="superscript"/>
    </w:rPr>
  </w:style>
  <w:style w:type="character" w:customStyle="1" w:styleId="48">
    <w:name w:val="标题 2 字符"/>
    <w:link w:val="4"/>
    <w:qFormat/>
    <w:uiPriority w:val="0"/>
    <w:rPr>
      <w:rFonts w:ascii="Arial" w:hAnsi="Arial" w:eastAsia="黑体"/>
      <w:b/>
      <w:kern w:val="2"/>
      <w:sz w:val="32"/>
    </w:rPr>
  </w:style>
  <w:style w:type="paragraph" w:customStyle="1" w:styleId="49">
    <w:name w:val="样式1"/>
    <w:basedOn w:val="1"/>
    <w:qFormat/>
    <w:uiPriority w:val="0"/>
    <w:pPr>
      <w:numPr>
        <w:ilvl w:val="0"/>
        <w:numId w:val="2"/>
      </w:numPr>
      <w:tabs>
        <w:tab w:val="left" w:pos="709"/>
      </w:tabs>
      <w:adjustRightInd w:val="0"/>
    </w:pPr>
    <w:rPr>
      <w:rFonts w:ascii="宋体" w:hAnsi="宋体"/>
      <w:kern w:val="0"/>
      <w:szCs w:val="21"/>
    </w:rPr>
  </w:style>
  <w:style w:type="character" w:customStyle="1" w:styleId="50">
    <w:name w:val="标题 1 字符"/>
    <w:link w:val="3"/>
    <w:qFormat/>
    <w:uiPriority w:val="0"/>
    <w:rPr>
      <w:rFonts w:ascii="宋体" w:hAnsi="宋体" w:cs="仿宋_GB2312"/>
      <w:b/>
      <w:kern w:val="2"/>
      <w:sz w:val="32"/>
      <w:szCs w:val="32"/>
    </w:rPr>
  </w:style>
  <w:style w:type="character" w:customStyle="1" w:styleId="51">
    <w:name w:val="标题 5 字符"/>
    <w:link w:val="7"/>
    <w:qFormat/>
    <w:uiPriority w:val="0"/>
    <w:rPr>
      <w:b/>
      <w:kern w:val="2"/>
      <w:sz w:val="28"/>
    </w:rPr>
  </w:style>
  <w:style w:type="character" w:customStyle="1" w:styleId="52">
    <w:name w:val="标题 6 字符"/>
    <w:link w:val="8"/>
    <w:qFormat/>
    <w:uiPriority w:val="0"/>
    <w:rPr>
      <w:rFonts w:ascii="Arial" w:hAnsi="Arial" w:eastAsia="黑体"/>
      <w:b/>
      <w:kern w:val="2"/>
      <w:sz w:val="24"/>
    </w:rPr>
  </w:style>
  <w:style w:type="character" w:customStyle="1" w:styleId="53">
    <w:name w:val="标题 7 字符"/>
    <w:link w:val="9"/>
    <w:qFormat/>
    <w:uiPriority w:val="0"/>
    <w:rPr>
      <w:b/>
      <w:kern w:val="2"/>
      <w:sz w:val="24"/>
    </w:rPr>
  </w:style>
  <w:style w:type="character" w:customStyle="1" w:styleId="54">
    <w:name w:val="标题 8 字符"/>
    <w:link w:val="10"/>
    <w:qFormat/>
    <w:uiPriority w:val="0"/>
    <w:rPr>
      <w:rFonts w:ascii="Arial" w:hAnsi="Arial" w:eastAsia="黑体"/>
      <w:kern w:val="2"/>
      <w:sz w:val="24"/>
    </w:rPr>
  </w:style>
  <w:style w:type="character" w:customStyle="1" w:styleId="55">
    <w:name w:val="标题 9 字符"/>
    <w:link w:val="11"/>
    <w:qFormat/>
    <w:uiPriority w:val="0"/>
    <w:rPr>
      <w:rFonts w:ascii="Arial" w:hAnsi="Arial" w:eastAsia="黑体"/>
      <w:kern w:val="2"/>
      <w:sz w:val="21"/>
    </w:rPr>
  </w:style>
  <w:style w:type="character" w:customStyle="1" w:styleId="56">
    <w:name w:val="文档结构图 字符"/>
    <w:link w:val="14"/>
    <w:qFormat/>
    <w:uiPriority w:val="0"/>
    <w:rPr>
      <w:kern w:val="2"/>
      <w:sz w:val="21"/>
      <w:shd w:val="clear" w:color="auto" w:fill="000080"/>
    </w:rPr>
  </w:style>
  <w:style w:type="character" w:customStyle="1" w:styleId="57">
    <w:name w:val="批注文字 字符"/>
    <w:link w:val="15"/>
    <w:qFormat/>
    <w:uiPriority w:val="0"/>
    <w:rPr>
      <w:kern w:val="2"/>
      <w:sz w:val="21"/>
    </w:rPr>
  </w:style>
  <w:style w:type="character" w:customStyle="1" w:styleId="58">
    <w:name w:val="正文文本 字符"/>
    <w:link w:val="17"/>
    <w:qFormat/>
    <w:uiPriority w:val="0"/>
    <w:rPr>
      <w:rFonts w:ascii="Arial" w:hAnsi="Arial" w:cs="Arial"/>
      <w:kern w:val="2"/>
      <w:sz w:val="24"/>
    </w:rPr>
  </w:style>
  <w:style w:type="character" w:customStyle="1" w:styleId="59">
    <w:name w:val="纯文本 字符"/>
    <w:link w:val="21"/>
    <w:qFormat/>
    <w:uiPriority w:val="0"/>
    <w:rPr>
      <w:rFonts w:ascii="宋体" w:hAnsi="Courier New"/>
      <w:snapToGrid w:val="0"/>
      <w:spacing w:val="6"/>
      <w:kern w:val="2"/>
      <w:sz w:val="24"/>
      <w:szCs w:val="22"/>
    </w:rPr>
  </w:style>
  <w:style w:type="character" w:customStyle="1" w:styleId="60">
    <w:name w:val="日期 字符"/>
    <w:link w:val="23"/>
    <w:qFormat/>
    <w:uiPriority w:val="0"/>
    <w:rPr>
      <w:kern w:val="2"/>
      <w:sz w:val="24"/>
    </w:rPr>
  </w:style>
  <w:style w:type="character" w:customStyle="1" w:styleId="61">
    <w:name w:val="页脚 字符"/>
    <w:link w:val="26"/>
    <w:qFormat/>
    <w:uiPriority w:val="99"/>
    <w:rPr>
      <w:kern w:val="2"/>
      <w:sz w:val="18"/>
    </w:rPr>
  </w:style>
  <w:style w:type="character" w:customStyle="1" w:styleId="62">
    <w:name w:val="页眉 字符"/>
    <w:link w:val="27"/>
    <w:qFormat/>
    <w:uiPriority w:val="0"/>
    <w:rPr>
      <w:kern w:val="2"/>
      <w:sz w:val="18"/>
    </w:rPr>
  </w:style>
  <w:style w:type="character" w:customStyle="1" w:styleId="63">
    <w:name w:val="脚注文本 字符1"/>
    <w:link w:val="29"/>
    <w:qFormat/>
    <w:uiPriority w:val="0"/>
    <w:rPr>
      <w:kern w:val="2"/>
      <w:sz w:val="18"/>
      <w:szCs w:val="18"/>
    </w:rPr>
  </w:style>
  <w:style w:type="character" w:customStyle="1" w:styleId="64">
    <w:name w:val="标题 字符"/>
    <w:link w:val="34"/>
    <w:qFormat/>
    <w:uiPriority w:val="0"/>
    <w:rPr>
      <w:rFonts w:ascii="Cambria" w:hAnsi="Cambria"/>
      <w:b/>
      <w:bCs/>
      <w:kern w:val="2"/>
      <w:sz w:val="36"/>
      <w:szCs w:val="32"/>
    </w:rPr>
  </w:style>
  <w:style w:type="character" w:customStyle="1" w:styleId="65">
    <w:name w:val="批注主题 字符"/>
    <w:link w:val="35"/>
    <w:qFormat/>
    <w:uiPriority w:val="0"/>
    <w:rPr>
      <w:b/>
      <w:bCs/>
      <w:kern w:val="2"/>
      <w:sz w:val="21"/>
    </w:rPr>
  </w:style>
  <w:style w:type="character" w:customStyle="1" w:styleId="66">
    <w:name w:val="正文文本首行缩进 字符"/>
    <w:link w:val="36"/>
    <w:qFormat/>
    <w:uiPriority w:val="0"/>
  </w:style>
  <w:style w:type="character" w:customStyle="1" w:styleId="67">
    <w:name w:val="列表段落 字符"/>
    <w:qFormat/>
    <w:uiPriority w:val="34"/>
    <w:rPr>
      <w:rFonts w:ascii="Calibri" w:hAnsi="Calibri"/>
      <w:kern w:val="2"/>
      <w:sz w:val="21"/>
      <w:szCs w:val="22"/>
    </w:rPr>
  </w:style>
  <w:style w:type="character" w:customStyle="1" w:styleId="68">
    <w:name w:val="明显参考1"/>
    <w:qFormat/>
    <w:uiPriority w:val="0"/>
    <w:rPr>
      <w:b/>
      <w:bCs/>
      <w:smallCaps/>
      <w:color w:val="C0504D"/>
      <w:spacing w:val="5"/>
      <w:u w:val="single"/>
    </w:rPr>
  </w:style>
  <w:style w:type="character" w:customStyle="1" w:styleId="69">
    <w:name w:val="列表段落 字符1"/>
    <w:link w:val="70"/>
    <w:qFormat/>
    <w:uiPriority w:val="34"/>
    <w:rPr>
      <w:rFonts w:ascii="Calibri" w:hAnsi="Calibri"/>
      <w:kern w:val="2"/>
      <w:sz w:val="21"/>
      <w:szCs w:val="22"/>
    </w:rPr>
  </w:style>
  <w:style w:type="paragraph" w:customStyle="1" w:styleId="70">
    <w:name w:val="列表段落1"/>
    <w:basedOn w:val="1"/>
    <w:link w:val="69"/>
    <w:qFormat/>
    <w:uiPriority w:val="34"/>
    <w:pPr>
      <w:ind w:firstLine="420" w:firstLineChars="200"/>
    </w:pPr>
    <w:rPr>
      <w:rFonts w:ascii="Calibri" w:hAnsi="Calibri"/>
      <w:szCs w:val="22"/>
    </w:rPr>
  </w:style>
  <w:style w:type="character" w:customStyle="1" w:styleId="71">
    <w:name w:val="三角形编号 Char"/>
    <w:link w:val="72"/>
    <w:qFormat/>
    <w:uiPriority w:val="0"/>
    <w:rPr>
      <w:rFonts w:cs="Times New Roman"/>
      <w:kern w:val="2"/>
      <w:sz w:val="24"/>
      <w:szCs w:val="24"/>
    </w:rPr>
  </w:style>
  <w:style w:type="paragraph" w:customStyle="1" w:styleId="72">
    <w:name w:val="三角形编号"/>
    <w:basedOn w:val="1"/>
    <w:link w:val="71"/>
    <w:qFormat/>
    <w:uiPriority w:val="0"/>
    <w:pPr>
      <w:numPr>
        <w:ilvl w:val="0"/>
        <w:numId w:val="3"/>
      </w:numPr>
      <w:spacing w:line="360" w:lineRule="auto"/>
      <w:ind w:firstLine="0"/>
    </w:pPr>
    <w:rPr>
      <w:sz w:val="24"/>
      <w:szCs w:val="24"/>
    </w:rPr>
  </w:style>
  <w:style w:type="character" w:customStyle="1" w:styleId="73">
    <w:name w:val="p21"/>
    <w:qFormat/>
    <w:uiPriority w:val="0"/>
    <w:rPr>
      <w:rFonts w:hint="default" w:ascii="Arial" w:hAnsi="Arial" w:cs="Arial"/>
      <w:color w:val="333333"/>
      <w:sz w:val="18"/>
      <w:szCs w:val="18"/>
      <w:u w:val="none"/>
    </w:rPr>
  </w:style>
  <w:style w:type="character" w:customStyle="1" w:styleId="74">
    <w:name w:val="书籍标题1"/>
    <w:qFormat/>
    <w:uiPriority w:val="0"/>
    <w:rPr>
      <w:b/>
      <w:bCs/>
      <w:smallCaps/>
      <w:spacing w:val="5"/>
    </w:rPr>
  </w:style>
  <w:style w:type="character" w:customStyle="1" w:styleId="75">
    <w:name w:val="样式 正文缩进 + 首行缩进:  2 字符 Char"/>
    <w:link w:val="76"/>
    <w:qFormat/>
    <w:uiPriority w:val="0"/>
    <w:rPr>
      <w:sz w:val="24"/>
    </w:rPr>
  </w:style>
  <w:style w:type="paragraph" w:customStyle="1" w:styleId="76">
    <w:name w:val="样式 正文缩进 + 首行缩进:  2 字符"/>
    <w:basedOn w:val="13"/>
    <w:link w:val="75"/>
    <w:qFormat/>
    <w:uiPriority w:val="0"/>
    <w:pPr>
      <w:spacing w:line="360" w:lineRule="auto"/>
      <w:ind w:firstLine="200"/>
    </w:pPr>
    <w:rPr>
      <w:kern w:val="0"/>
      <w:sz w:val="24"/>
      <w:szCs w:val="20"/>
    </w:rPr>
  </w:style>
  <w:style w:type="character" w:customStyle="1" w:styleId="77">
    <w:name w:val="纯文本 Char Char Char Char Char Char"/>
    <w:qFormat/>
    <w:locked/>
    <w:uiPriority w:val="0"/>
    <w:rPr>
      <w:rFonts w:ascii="宋体" w:hAnsi="Courier New" w:eastAsia="宋体"/>
      <w:kern w:val="2"/>
      <w:sz w:val="21"/>
      <w:lang w:val="en-US" w:eastAsia="zh-CN" w:bidi="ar-SA"/>
    </w:rPr>
  </w:style>
  <w:style w:type="character" w:customStyle="1" w:styleId="78">
    <w:name w:val="列表格式 Char"/>
    <w:link w:val="79"/>
    <w:qFormat/>
    <w:uiPriority w:val="0"/>
    <w:rPr>
      <w:rFonts w:eastAsia="宋体"/>
      <w:kern w:val="2"/>
      <w:sz w:val="24"/>
      <w:szCs w:val="24"/>
    </w:rPr>
  </w:style>
  <w:style w:type="paragraph" w:customStyle="1" w:styleId="79">
    <w:name w:val="列表格式"/>
    <w:basedOn w:val="12"/>
    <w:link w:val="78"/>
    <w:qFormat/>
    <w:uiPriority w:val="0"/>
    <w:pPr>
      <w:ind w:firstLine="0" w:firstLineChars="0"/>
      <w:jc w:val="left"/>
    </w:pPr>
    <w:rPr>
      <w:szCs w:val="24"/>
    </w:rPr>
  </w:style>
  <w:style w:type="character" w:customStyle="1" w:styleId="80">
    <w:name w:val="unnamed1"/>
    <w:qFormat/>
    <w:uiPriority w:val="0"/>
  </w:style>
  <w:style w:type="character" w:customStyle="1" w:styleId="81">
    <w:name w:val="marklong"/>
    <w:qFormat/>
    <w:uiPriority w:val="0"/>
  </w:style>
  <w:style w:type="character" w:customStyle="1" w:styleId="82">
    <w:name w:val="css21"/>
    <w:qFormat/>
    <w:uiPriority w:val="0"/>
    <w:rPr>
      <w:sz w:val="18"/>
      <w:szCs w:val="18"/>
    </w:rPr>
  </w:style>
  <w:style w:type="character" w:customStyle="1" w:styleId="83">
    <w:name w:val="普通 (Web) Char"/>
    <w:link w:val="84"/>
    <w:qFormat/>
    <w:uiPriority w:val="0"/>
    <w:rPr>
      <w:rFonts w:ascii="宋体" w:hAnsi="宋体"/>
      <w:sz w:val="24"/>
      <w:szCs w:val="24"/>
    </w:rPr>
  </w:style>
  <w:style w:type="paragraph" w:customStyle="1" w:styleId="84">
    <w:name w:val="普通 (Web)"/>
    <w:basedOn w:val="1"/>
    <w:link w:val="83"/>
    <w:qFormat/>
    <w:uiPriority w:val="0"/>
    <w:pPr>
      <w:widowControl/>
      <w:spacing w:before="100" w:beforeAutospacing="1" w:after="100" w:afterAutospacing="1"/>
      <w:jc w:val="left"/>
    </w:pPr>
    <w:rPr>
      <w:rFonts w:ascii="宋体" w:hAnsi="宋体"/>
      <w:kern w:val="0"/>
      <w:sz w:val="24"/>
      <w:szCs w:val="24"/>
    </w:rPr>
  </w:style>
  <w:style w:type="character" w:customStyle="1" w:styleId="85">
    <w:name w:val="正文文字 Char1"/>
    <w:link w:val="86"/>
    <w:qFormat/>
    <w:uiPriority w:val="0"/>
    <w:rPr>
      <w:rFonts w:ascii="宋体" w:eastAsia="宋体"/>
      <w:color w:val="000000"/>
      <w:sz w:val="28"/>
      <w:u w:val="none" w:color="000000"/>
      <w:lang w:val="en-US" w:eastAsia="zh-CN" w:bidi="ar-SA"/>
    </w:rPr>
  </w:style>
  <w:style w:type="paragraph" w:customStyle="1" w:styleId="86">
    <w:name w:val="正文文字"/>
    <w:basedOn w:val="1"/>
    <w:link w:val="85"/>
    <w:qFormat/>
    <w:uiPriority w:val="0"/>
    <w:pPr>
      <w:widowControl/>
      <w:spacing w:line="2375" w:lineRule="atLeast"/>
      <w:ind w:firstLine="419"/>
      <w:textAlignment w:val="baseline"/>
    </w:pPr>
    <w:rPr>
      <w:rFonts w:ascii="宋体"/>
      <w:color w:val="000000"/>
      <w:kern w:val="0"/>
      <w:sz w:val="28"/>
      <w:u w:color="000000"/>
    </w:rPr>
  </w:style>
  <w:style w:type="character" w:customStyle="1" w:styleId="87">
    <w:name w:val="列出段落 Char"/>
    <w:link w:val="88"/>
    <w:qFormat/>
    <w:uiPriority w:val="34"/>
    <w:rPr>
      <w:rFonts w:ascii="Calibri" w:hAnsi="Calibri"/>
      <w:kern w:val="2"/>
      <w:sz w:val="21"/>
      <w:szCs w:val="22"/>
    </w:rPr>
  </w:style>
  <w:style w:type="paragraph" w:customStyle="1" w:styleId="88">
    <w:name w:val="_Style 110"/>
    <w:basedOn w:val="1"/>
    <w:next w:val="70"/>
    <w:link w:val="87"/>
    <w:qFormat/>
    <w:uiPriority w:val="34"/>
    <w:pPr>
      <w:ind w:firstLine="420" w:firstLineChars="200"/>
    </w:pPr>
    <w:rPr>
      <w:rFonts w:ascii="Calibri" w:hAnsi="Calibri"/>
      <w:szCs w:val="22"/>
    </w:rPr>
  </w:style>
  <w:style w:type="character" w:customStyle="1" w:styleId="89">
    <w:name w:val="Default Text Char"/>
    <w:link w:val="90"/>
    <w:qFormat/>
    <w:uiPriority w:val="0"/>
    <w:rPr>
      <w:color w:val="000000"/>
      <w:sz w:val="24"/>
      <w:szCs w:val="24"/>
      <w:lang w:val="en-US" w:eastAsia="zh-CN" w:bidi="ar-SA"/>
    </w:rPr>
  </w:style>
  <w:style w:type="paragraph" w:customStyle="1" w:styleId="90">
    <w:name w:val="Default Text"/>
    <w:link w:val="89"/>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91">
    <w:name w:val="图片 Char"/>
    <w:link w:val="92"/>
    <w:qFormat/>
    <w:uiPriority w:val="0"/>
    <w:rPr>
      <w:rFonts w:ascii="宋体" w:hAnsi="宋体" w:cs="Times New Roman"/>
      <w:kern w:val="2"/>
      <w:sz w:val="24"/>
      <w:szCs w:val="24"/>
    </w:rPr>
  </w:style>
  <w:style w:type="paragraph" w:customStyle="1" w:styleId="92">
    <w:name w:val="图片"/>
    <w:basedOn w:val="1"/>
    <w:link w:val="91"/>
    <w:qFormat/>
    <w:uiPriority w:val="0"/>
    <w:pPr>
      <w:spacing w:line="360" w:lineRule="auto"/>
      <w:jc w:val="center"/>
    </w:pPr>
    <w:rPr>
      <w:rFonts w:ascii="宋体" w:hAnsi="宋体"/>
      <w:sz w:val="24"/>
      <w:szCs w:val="24"/>
    </w:rPr>
  </w:style>
  <w:style w:type="character" w:customStyle="1" w:styleId="93">
    <w:name w:val="图片标题 Char"/>
    <w:link w:val="94"/>
    <w:qFormat/>
    <w:uiPriority w:val="0"/>
    <w:rPr>
      <w:rFonts w:ascii="宋体" w:hAnsi="宋体" w:eastAsia="黑体" w:cs="Times New Roman"/>
      <w:b/>
      <w:kern w:val="2"/>
      <w:sz w:val="21"/>
      <w:szCs w:val="21"/>
    </w:rPr>
  </w:style>
  <w:style w:type="paragraph" w:customStyle="1" w:styleId="94">
    <w:name w:val="图片标题"/>
    <w:basedOn w:val="1"/>
    <w:link w:val="93"/>
    <w:qFormat/>
    <w:uiPriority w:val="0"/>
    <w:pPr>
      <w:numPr>
        <w:ilvl w:val="0"/>
        <w:numId w:val="4"/>
      </w:numPr>
      <w:spacing w:line="360" w:lineRule="auto"/>
      <w:ind w:firstLine="0"/>
      <w:jc w:val="center"/>
    </w:pPr>
    <w:rPr>
      <w:rFonts w:ascii="宋体" w:hAnsi="宋体" w:eastAsia="黑体"/>
      <w:b/>
      <w:szCs w:val="21"/>
    </w:rPr>
  </w:style>
  <w:style w:type="character" w:customStyle="1" w:styleId="95">
    <w:name w:val="grame"/>
    <w:qFormat/>
    <w:uiPriority w:val="0"/>
  </w:style>
  <w:style w:type="character" w:customStyle="1" w:styleId="96">
    <w:name w:val="正文文字 Char"/>
    <w:qFormat/>
    <w:uiPriority w:val="0"/>
    <w:rPr>
      <w:rFonts w:ascii="Arial" w:hAnsi="Arial" w:eastAsia="宋体" w:cs="Arial"/>
      <w:kern w:val="2"/>
      <w:sz w:val="24"/>
      <w:lang w:val="en-US" w:eastAsia="zh-CN" w:bidi="ar-SA"/>
    </w:rPr>
  </w:style>
  <w:style w:type="character" w:customStyle="1" w:styleId="97">
    <w:name w:val="脚注文本 字符"/>
    <w:qFormat/>
    <w:uiPriority w:val="0"/>
    <w:rPr>
      <w:kern w:val="2"/>
      <w:sz w:val="18"/>
      <w:szCs w:val="18"/>
    </w:rPr>
  </w:style>
  <w:style w:type="paragraph" w:customStyle="1" w:styleId="98">
    <w:name w:val="_Style 94"/>
    <w:unhideWhenUsed/>
    <w:qFormat/>
    <w:uiPriority w:val="99"/>
    <w:rPr>
      <w:rFonts w:ascii="Times New Roman" w:hAnsi="Times New Roman" w:eastAsia="宋体" w:cs="Times New Roman"/>
      <w:kern w:val="2"/>
      <w:sz w:val="21"/>
      <w:lang w:val="en-US" w:eastAsia="zh-CN" w:bidi="ar-SA"/>
    </w:rPr>
  </w:style>
  <w:style w:type="paragraph" w:customStyle="1" w:styleId="99">
    <w:name w:val="Body text|1"/>
    <w:basedOn w:val="1"/>
    <w:qFormat/>
    <w:uiPriority w:val="0"/>
    <w:pPr>
      <w:spacing w:line="437" w:lineRule="auto"/>
      <w:ind w:firstLine="400"/>
    </w:pPr>
    <w:rPr>
      <w:rFonts w:ascii="宋体" w:hAnsi="宋体" w:cs="宋体"/>
      <w:sz w:val="26"/>
      <w:szCs w:val="26"/>
      <w:lang w:val="zh-TW" w:eastAsia="zh-TW" w:bidi="zh-TW"/>
    </w:rPr>
  </w:style>
  <w:style w:type="paragraph" w:customStyle="1" w:styleId="100">
    <w:name w:val="List Paragraph1"/>
    <w:basedOn w:val="1"/>
    <w:qFormat/>
    <w:uiPriority w:val="0"/>
    <w:pPr>
      <w:ind w:firstLine="420" w:firstLineChars="200"/>
    </w:pPr>
  </w:style>
  <w:style w:type="paragraph" w:customStyle="1" w:styleId="101">
    <w:name w:val="È±Ê¡ÎÄ±¾"/>
    <w:basedOn w:val="1"/>
    <w:qFormat/>
    <w:uiPriority w:val="0"/>
    <w:pPr>
      <w:widowControl/>
      <w:overflowPunct w:val="0"/>
      <w:autoSpaceDE w:val="0"/>
      <w:autoSpaceDN w:val="0"/>
      <w:adjustRightInd w:val="0"/>
      <w:jc w:val="left"/>
    </w:pPr>
    <w:rPr>
      <w:kern w:val="0"/>
      <w:sz w:val="24"/>
    </w:rPr>
  </w:style>
  <w:style w:type="paragraph" w:customStyle="1" w:styleId="102">
    <w:name w:val="正文缩进1"/>
    <w:basedOn w:val="1"/>
    <w:qFormat/>
    <w:uiPriority w:val="0"/>
    <w:pPr>
      <w:ind w:firstLine="420" w:firstLineChars="200"/>
    </w:pPr>
    <w:rPr>
      <w:rFonts w:ascii="Calibri" w:hAnsi="Calibri"/>
    </w:rPr>
  </w:style>
  <w:style w:type="paragraph" w:customStyle="1" w:styleId="103">
    <w:name w:val="缺省文本"/>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04">
    <w:name w:val="条目2"/>
    <w:basedOn w:val="21"/>
    <w:qFormat/>
    <w:uiPriority w:val="0"/>
    <w:pPr>
      <w:tabs>
        <w:tab w:val="left" w:pos="420"/>
      </w:tabs>
      <w:spacing w:line="360" w:lineRule="auto"/>
      <w:ind w:left="420" w:hanging="420"/>
    </w:pPr>
    <w:rPr>
      <w:color w:val="000000"/>
      <w:sz w:val="30"/>
    </w:rPr>
  </w:style>
  <w:style w:type="paragraph" w:customStyle="1" w:styleId="105">
    <w:name w:val="列出段落3"/>
    <w:basedOn w:val="1"/>
    <w:qFormat/>
    <w:uiPriority w:val="0"/>
    <w:pPr>
      <w:ind w:firstLine="420" w:firstLineChars="200"/>
    </w:pPr>
  </w:style>
  <w:style w:type="paragraph" w:customStyle="1" w:styleId="106">
    <w:name w:val="标题二、"/>
    <w:basedOn w:val="1"/>
    <w:qFormat/>
    <w:uiPriority w:val="0"/>
    <w:pPr>
      <w:spacing w:line="360" w:lineRule="auto"/>
      <w:ind w:firstLine="200" w:firstLineChars="200"/>
      <w:outlineLvl w:val="2"/>
    </w:pPr>
    <w:rPr>
      <w:rFonts w:ascii="宋体" w:hAnsi="宋体"/>
      <w:b/>
      <w:szCs w:val="21"/>
    </w:rPr>
  </w:style>
  <w:style w:type="paragraph" w:customStyle="1" w:styleId="107">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08">
    <w:name w:val="Default"/>
    <w:qFormat/>
    <w:uiPriority w:val="0"/>
    <w:pPr>
      <w:widowControl w:val="0"/>
      <w:autoSpaceDE w:val="0"/>
      <w:autoSpaceDN w:val="0"/>
      <w:adjustRightInd w:val="0"/>
    </w:pPr>
    <w:rPr>
      <w:rFonts w:ascii="Helvetica" w:hAnsi="Helvetica" w:eastAsia="宋体" w:cs="Helvetica"/>
      <w:color w:val="000000"/>
      <w:sz w:val="24"/>
      <w:szCs w:val="24"/>
      <w:lang w:val="en-US" w:eastAsia="zh-CN" w:bidi="ar-SA"/>
    </w:rPr>
  </w:style>
  <w:style w:type="paragraph" w:customStyle="1" w:styleId="109">
    <w:name w:val="正文（首行缩进2字符）"/>
    <w:basedOn w:val="1"/>
    <w:qFormat/>
    <w:uiPriority w:val="0"/>
    <w:pPr>
      <w:widowControl/>
      <w:ind w:left="420" w:firstLine="420"/>
    </w:pPr>
    <w:rPr>
      <w:szCs w:val="21"/>
    </w:rPr>
  </w:style>
  <w:style w:type="paragraph" w:customStyle="1" w:styleId="110">
    <w:name w:val="列出段落2"/>
    <w:basedOn w:val="1"/>
    <w:qFormat/>
    <w:uiPriority w:val="0"/>
    <w:pPr>
      <w:spacing w:line="360" w:lineRule="auto"/>
      <w:ind w:left="-2" w:leftChars="-1" w:firstLine="427" w:firstLineChars="200"/>
    </w:pPr>
    <w:rPr>
      <w:rFonts w:ascii="宋体" w:hAnsi="宋体"/>
      <w:bCs/>
      <w:kern w:val="0"/>
      <w:sz w:val="24"/>
      <w:szCs w:val="22"/>
    </w:rPr>
  </w:style>
  <w:style w:type="paragraph" w:customStyle="1" w:styleId="111">
    <w:name w:val="p0"/>
    <w:basedOn w:val="1"/>
    <w:qFormat/>
    <w:uiPriority w:val="0"/>
    <w:pPr>
      <w:widowControl/>
    </w:pPr>
    <w:rPr>
      <w:kern w:val="0"/>
      <w:szCs w:val="21"/>
    </w:rPr>
  </w:style>
  <w:style w:type="paragraph" w:customStyle="1" w:styleId="112">
    <w:name w:val="1 Char Char Char Char"/>
    <w:basedOn w:val="1"/>
    <w:qFormat/>
    <w:uiPriority w:val="0"/>
    <w:rPr>
      <w:rFonts w:ascii="Tahoma" w:hAnsi="Tahoma"/>
      <w:sz w:val="24"/>
    </w:rPr>
  </w:style>
  <w:style w:type="paragraph" w:customStyle="1" w:styleId="113">
    <w:name w:val="列出段落1"/>
    <w:basedOn w:val="1"/>
    <w:qFormat/>
    <w:uiPriority w:val="34"/>
    <w:pPr>
      <w:ind w:firstLine="420" w:firstLineChars="200"/>
    </w:pPr>
    <w:rPr>
      <w:rFonts w:ascii="Calibri" w:hAnsi="Calibri"/>
      <w:szCs w:val="22"/>
    </w:rPr>
  </w:style>
  <w:style w:type="paragraph" w:customStyle="1" w:styleId="114">
    <w:name w:val="Char"/>
    <w:basedOn w:val="1"/>
    <w:semiHidden/>
    <w:qFormat/>
    <w:uiPriority w:val="0"/>
    <w:rPr>
      <w:rFonts w:ascii="Tahoma" w:hAnsi="Tahoma" w:cs="仿宋_GB2312"/>
      <w:sz w:val="24"/>
      <w:szCs w:val="28"/>
    </w:rPr>
  </w:style>
  <w:style w:type="paragraph" w:customStyle="1" w:styleId="115">
    <w:name w:val="Char1"/>
    <w:basedOn w:val="1"/>
    <w:qFormat/>
    <w:uiPriority w:val="0"/>
    <w:pPr>
      <w:widowControl/>
      <w:spacing w:after="160" w:line="240" w:lineRule="exact"/>
      <w:jc w:val="left"/>
    </w:pPr>
    <w:rPr>
      <w:rFonts w:ascii="Verdana" w:hAnsi="Verdana"/>
      <w:kern w:val="0"/>
      <w:sz w:val="20"/>
      <w:lang w:eastAsia="en-US"/>
    </w:rPr>
  </w:style>
  <w:style w:type="paragraph" w:customStyle="1" w:styleId="116">
    <w:name w:val="正文内容"/>
    <w:basedOn w:val="1"/>
    <w:qFormat/>
    <w:uiPriority w:val="0"/>
    <w:pPr>
      <w:spacing w:line="360" w:lineRule="auto"/>
      <w:ind w:firstLine="480" w:firstLineChars="200"/>
    </w:pPr>
    <w:rPr>
      <w:rFonts w:cs="宋体"/>
      <w:sz w:val="24"/>
    </w:rPr>
  </w:style>
  <w:style w:type="paragraph" w:customStyle="1" w:styleId="117">
    <w:name w:val="条目3"/>
    <w:basedOn w:val="21"/>
    <w:qFormat/>
    <w:uiPriority w:val="0"/>
    <w:pPr>
      <w:tabs>
        <w:tab w:val="left" w:pos="960"/>
        <w:tab w:val="left" w:pos="2940"/>
      </w:tabs>
      <w:spacing w:line="360" w:lineRule="auto"/>
      <w:ind w:left="2940" w:hanging="420"/>
    </w:pPr>
    <w:rPr>
      <w:color w:val="000000"/>
      <w:sz w:val="30"/>
    </w:rPr>
  </w:style>
  <w:style w:type="paragraph" w:customStyle="1" w:styleId="118">
    <w:name w:val="xl32"/>
    <w:basedOn w:val="1"/>
    <w:qFormat/>
    <w:uiPriority w:val="0"/>
    <w:pPr>
      <w:widowControl/>
      <w:pBdr>
        <w:left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sz w:val="28"/>
      <w:szCs w:val="28"/>
    </w:rPr>
  </w:style>
  <w:style w:type="paragraph" w:customStyle="1" w:styleId="119">
    <w:name w:val="13、表格内居中正文"/>
    <w:basedOn w:val="1"/>
    <w:qFormat/>
    <w:uiPriority w:val="0"/>
    <w:pPr>
      <w:tabs>
        <w:tab w:val="left" w:pos="0"/>
      </w:tabs>
      <w:wordWrap w:val="0"/>
      <w:topLinePunct/>
      <w:spacing w:line="360" w:lineRule="exact"/>
      <w:jc w:val="center"/>
    </w:pPr>
  </w:style>
  <w:style w:type="paragraph" w:customStyle="1" w:styleId="120">
    <w:name w:val="GP正文(无首行缩进)"/>
    <w:basedOn w:val="121"/>
    <w:qFormat/>
    <w:uiPriority w:val="0"/>
    <w:pPr>
      <w:tabs>
        <w:tab w:val="left" w:pos="0"/>
      </w:tabs>
    </w:pPr>
  </w:style>
  <w:style w:type="paragraph" w:customStyle="1" w:styleId="121">
    <w:name w:val="GP正文(首行缩进)"/>
    <w:basedOn w:val="1"/>
    <w:qFormat/>
    <w:uiPriority w:val="0"/>
    <w:pPr>
      <w:tabs>
        <w:tab w:val="left" w:pos="0"/>
      </w:tabs>
      <w:spacing w:line="360" w:lineRule="auto"/>
      <w:ind w:firstLine="480" w:firstLineChars="200"/>
    </w:pPr>
  </w:style>
  <w:style w:type="paragraph" w:customStyle="1" w:styleId="122">
    <w:name w:val="12、表格内左对齐正文"/>
    <w:basedOn w:val="1"/>
    <w:qFormat/>
    <w:uiPriority w:val="0"/>
    <w:pPr>
      <w:tabs>
        <w:tab w:val="left" w:pos="0"/>
      </w:tabs>
      <w:wordWrap w:val="0"/>
      <w:topLinePunct/>
      <w:ind w:left="42" w:leftChars="20" w:firstLine="21" w:firstLineChars="10"/>
    </w:pPr>
    <w:rPr>
      <w:snapToGrid w:val="0"/>
    </w:rPr>
  </w:style>
  <w:style w:type="table" w:customStyle="1" w:styleId="123">
    <w:name w:val="Table Normal"/>
    <w:unhideWhenUsed/>
    <w:qFormat/>
    <w:uiPriority w:val="0"/>
    <w:tblPr>
      <w:tblCellMar>
        <w:top w:w="0" w:type="dxa"/>
        <w:left w:w="0" w:type="dxa"/>
        <w:bottom w:w="0" w:type="dxa"/>
        <w:right w:w="0" w:type="dxa"/>
      </w:tblCellMar>
    </w:tblPr>
  </w:style>
  <w:style w:type="character" w:customStyle="1" w:styleId="124">
    <w:name w:val="普通(网站) 字符"/>
    <w:link w:val="33"/>
    <w:qFormat/>
    <w:uiPriority w:val="99"/>
    <w:rPr>
      <w:rFonts w:ascii="Arial Unicode MS" w:hAnsi="Arial Unicode MS" w:eastAsia="Arial Unicode MS" w:cs="Arial Unicode MS"/>
      <w:sz w:val="24"/>
      <w:szCs w:val="24"/>
    </w:rPr>
  </w:style>
  <w:style w:type="character" w:customStyle="1" w:styleId="125">
    <w:name w:val="*正文 Char"/>
    <w:link w:val="126"/>
    <w:qFormat/>
    <w:uiPriority w:val="0"/>
    <w:rPr>
      <w:rFonts w:ascii="宋体" w:hAnsi="宋体"/>
      <w:kern w:val="2"/>
      <w:sz w:val="24"/>
      <w:szCs w:val="24"/>
    </w:rPr>
  </w:style>
  <w:style w:type="paragraph" w:customStyle="1" w:styleId="126">
    <w:name w:val="*正文"/>
    <w:basedOn w:val="1"/>
    <w:link w:val="125"/>
    <w:qFormat/>
    <w:uiPriority w:val="0"/>
    <w:pPr>
      <w:spacing w:line="360" w:lineRule="auto"/>
      <w:ind w:firstLine="200" w:firstLineChars="200"/>
    </w:pPr>
    <w:rPr>
      <w:rFonts w:ascii="宋体" w:hAnsi="宋体"/>
      <w:sz w:val="24"/>
      <w:szCs w:val="24"/>
    </w:rPr>
  </w:style>
  <w:style w:type="paragraph" w:customStyle="1" w:styleId="127">
    <w:name w:val="5）标书正文 首行缩进2字符"/>
    <w:basedOn w:val="1"/>
    <w:qFormat/>
    <w:uiPriority w:val="0"/>
    <w:pPr>
      <w:spacing w:line="480" w:lineRule="exact"/>
      <w:ind w:firstLine="200" w:firstLineChars="200"/>
    </w:pPr>
    <w:rPr>
      <w:rFonts w:ascii="仿宋_GB2312" w:eastAsia="仿宋_GB2312"/>
      <w:sz w:val="28"/>
    </w:rPr>
  </w:style>
  <w:style w:type="paragraph" w:customStyle="1" w:styleId="128">
    <w:name w:val="正文1"/>
    <w:next w:val="129"/>
    <w:qFormat/>
    <w:uiPriority w:val="99"/>
    <w:pPr>
      <w:widowControl w:val="0"/>
      <w:jc w:val="both"/>
    </w:pPr>
    <w:rPr>
      <w:rFonts w:ascii="Arial Unicode MS" w:hAnsi="Arial Unicode MS" w:eastAsia="宋体" w:cs="Times New Roman"/>
      <w:kern w:val="2"/>
      <w:sz w:val="21"/>
      <w:szCs w:val="24"/>
      <w:lang w:val="en-US" w:eastAsia="zh-CN" w:bidi="ar-SA"/>
    </w:rPr>
  </w:style>
  <w:style w:type="paragraph" w:customStyle="1" w:styleId="129">
    <w:name w:val="正文文本1"/>
    <w:basedOn w:val="128"/>
    <w:unhideWhenUsed/>
    <w:qFormat/>
    <w:uiPriority w:val="0"/>
    <w:pPr>
      <w:spacing w:after="120"/>
    </w:pPr>
    <w:rPr>
      <w:rFonts w:ascii="Calibri" w:hAnsi="Calibri"/>
      <w:szCs w:val="22"/>
    </w:rPr>
  </w:style>
  <w:style w:type="paragraph" w:customStyle="1" w:styleId="130">
    <w:name w:val="_Style 74"/>
    <w:qFormat/>
    <w:uiPriority w:val="0"/>
    <w:pPr>
      <w:widowControl w:val="0"/>
      <w:ind w:firstLine="200" w:firstLineChars="200"/>
      <w:jc w:val="both"/>
    </w:pPr>
    <w:rPr>
      <w:rFonts w:ascii="Times New Roman" w:hAnsi="Times New Roman" w:eastAsia="宋体" w:cs="Times New Roman"/>
      <w:kern w:val="2"/>
      <w:sz w:val="21"/>
      <w:szCs w:val="22"/>
      <w:lang w:val="en-US" w:eastAsia="zh-CN" w:bidi="ar-SA"/>
    </w:rPr>
  </w:style>
  <w:style w:type="paragraph" w:customStyle="1" w:styleId="131">
    <w:name w:val="章前标题"/>
    <w:next w:val="1"/>
    <w:qFormat/>
    <w:uiPriority w:val="0"/>
    <w:pPr>
      <w:keepNext w:val="0"/>
      <w:keepLines w:val="0"/>
      <w:pageBreakBefore w:val="0"/>
      <w:widowControl w:val="0"/>
      <w:numPr>
        <w:ilvl w:val="0"/>
        <w:numId w:val="5"/>
      </w:numPr>
      <w:kinsoku/>
      <w:wordWrap/>
      <w:overflowPunct/>
      <w:topLinePunct w:val="0"/>
      <w:autoSpaceDE/>
      <w:autoSpaceDN/>
      <w:bidi w:val="0"/>
      <w:adjustRightInd/>
      <w:spacing w:before="240" w:after="240" w:line="240" w:lineRule="auto"/>
      <w:ind w:left="-640" w:leftChars="0" w:firstLine="0" w:firstLineChars="0"/>
      <w:jc w:val="center"/>
      <w:textAlignment w:val="auto"/>
      <w:outlineLvl w:val="9"/>
    </w:pPr>
    <w:rPr>
      <w:rFonts w:ascii="Times New Roman" w:hAnsi="Times New Roman" w:eastAsia="黑体" w:cs="Times New Roman"/>
      <w:kern w:val="44"/>
      <w:sz w:val="32"/>
      <w:szCs w:val="36"/>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xjtc</Company>
  <Pages>56</Pages>
  <Words>4970</Words>
  <Characters>5473</Characters>
  <Lines>172</Lines>
  <Paragraphs>48</Paragraphs>
  <TotalTime>6</TotalTime>
  <ScaleCrop>false</ScaleCrop>
  <LinksUpToDate>false</LinksUpToDate>
  <CharactersWithSpaces>5604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2026-03-25T09:08:00Z</dcterms:created>
  <dc:creator>xt</dc:creator>
  <cp:lastModifiedBy>WPS_1482847601</cp:lastModifiedBy>
  <cp:lastPrinted>2025-03-11T11:39:00Z</cp:lastPrinted>
  <dcterms:modified xsi:type="dcterms:W3CDTF">2026-06-02T02:19:34Z</dcterms:modified>
  <dc:title>第一部份 投标邀请</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1C7BE5EBEA27420594006F595EB6D690_13</vt:lpwstr>
  </property>
  <property fmtid="{D5CDD505-2E9C-101B-9397-08002B2CF9AE}" pid="4" name="KSOTemplateDocerSaveRecord">
    <vt:lpwstr>eyJoZGlkIjoiMDM2YzkyYWY4YTY4ZGNjYTlmMGM2NjNmYzdjODdiNmEiLCJ1c2VySWQiOiIyNTg3Mzg1NDMifQ==</vt:lpwstr>
  </property>
</Properties>
</file>