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项目名称：无锡商业职业技术学院</w:t>
      </w:r>
      <w:r>
        <w:rPr>
          <w:rFonts w:hint="eastAsia" w:ascii="Arial" w:hAnsi="Arial"/>
          <w:b/>
          <w:bCs/>
          <w:color w:val="000000"/>
          <w:sz w:val="32"/>
          <w:szCs w:val="24"/>
        </w:rPr>
        <w:t xml:space="preserve">2025</w:t>
      </w:r>
      <w:r>
        <w:rPr>
          <w:rFonts w:hint="eastAsia" w:ascii="Arial" w:hAnsi="Arial"/>
          <w:b/>
          <w:bCs/>
          <w:color w:val="000000"/>
          <w:sz w:val="32"/>
          <w:szCs w:val="24"/>
        </w:rPr>
        <w:t xml:space="preserve">年实训室计算机设备采购</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JSZC-320000-SCZX-G2026-0167</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u w:val="single"/>
        </w:rPr>
        <w:t xml:space="preserve"> 2026 </w:t>
      </w:r>
      <w:r>
        <w:rPr>
          <w:rFonts w:hint="eastAsia" w:ascii="Arial" w:hAnsi="Arial"/>
          <w:b/>
          <w:bCs/>
          <w:color w:val="000000"/>
          <w:sz w:val="32"/>
          <w:szCs w:val="24"/>
        </w:rPr>
        <w:t xml:space="preserve">年</w:t>
      </w:r>
      <w:r>
        <w:rPr>
          <w:rFonts w:hint="eastAsia" w:ascii="Arial" w:hAnsi="Arial"/>
          <w:b/>
          <w:bCs/>
          <w:color w:val="000000"/>
          <w:sz w:val="32"/>
          <w:szCs w:val="24"/>
        </w:rPr>
        <w:t xml:space="preserve">5</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228282797"/>
      <w:r/>
      <w:bookmarkStart w:id="1" w:name="_Toc120614210"/>
      <w:r/>
      <w:bookmarkStart w:id="2" w:name="_Toc20823272"/>
      <w:r/>
      <w:bookmarkStart w:id="3" w:name="_Toc523127445"/>
      <w:r/>
      <w:bookmarkStart w:id="4" w:name="_Toc479757206"/>
      <w:r/>
      <w:bookmarkStart w:id="5" w:name="_Toc16938516"/>
      <w:r/>
      <w:bookmarkStart w:id="6" w:name="_Toc513029200"/>
      <w:r>
        <w:rPr>
          <w:rFonts w:hint="eastAsia" w:ascii="黑体" w:hAnsi="Arial" w:eastAsia="黑体"/>
          <w:b/>
          <w:color w:val="000000"/>
          <w:sz w:val="44"/>
          <w:szCs w:val="21"/>
        </w:rPr>
        <w:t xml:space="preserve">总  目  录</w:t>
      </w:r>
      <w:bookmarkEnd w:id="0"/>
      <w:r/>
      <w:r/>
    </w:p>
    <w:p>
      <w:pPr>
        <w:spacing w:line="480" w:lineRule="auto"/>
        <w:rPr>
          <w:rFonts w:ascii="仿宋_GB2312" w:hAnsi="Arial" w:eastAsia="仿宋_GB2312"/>
          <w:b/>
          <w:sz w:val="28"/>
        </w:rPr>
      </w:pPr>
      <w:r>
        <w:rPr>
          <w:rFonts w:ascii="仿宋_GB2312" w:hAnsi="Arial" w:eastAsia="仿宋_GB2312"/>
          <w:b/>
          <w:sz w:val="28"/>
        </w:rPr>
      </w:r>
      <w:r/>
    </w:p>
    <w:p>
      <w:pPr>
        <w:pStyle w:val="779"/>
        <w:rPr>
          <w:rFonts w:asciiTheme="minorHAnsi" w:hAnsiTheme="minorHAnsi" w:eastAsiaTheme="minorEastAsia" w:cstheme="minorBidi"/>
          <w:caps w:val="0"/>
          <w:sz w:val="22"/>
          <w14:ligatures w14:val="standardContextual"/>
        </w:rPr>
      </w:pPr>
      <w:r>
        <w:rPr>
          <w:rFonts w:ascii="等线" w:hAnsi="等线" w:eastAsia="等线"/>
        </w:rPr>
        <w:fldChar w:fldCharType="begin"/>
      </w:r>
      <w:r>
        <w:rPr>
          <w:rFonts w:ascii="等线" w:hAnsi="等线" w:eastAsia="等线"/>
        </w:rPr>
        <w:instrText xml:space="preserve"> TOC \o "1-3" \h \z \u </w:instrText>
      </w:r>
      <w:r>
        <w:rPr>
          <w:rFonts w:ascii="等线" w:hAnsi="等线" w:eastAsia="等线"/>
        </w:rPr>
        <w:fldChar w:fldCharType="separate"/>
      </w:r>
      <w:hyperlink w:tooltip="#_Toc228282797" w:anchor="_Toc228282797" w:history="1">
        <w:r>
          <w:rPr>
            <w:rStyle w:val="793"/>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_Toc228282797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28282798" w:anchor="_Toc228282798" w:history="1">
        <w:r>
          <w:rPr>
            <w:rStyle w:val="793"/>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_Toc228282798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799" w:anchor="_Toc228282799" w:history="1">
        <w:r>
          <w:rPr>
            <w:rStyle w:val="793"/>
            <w:rFonts w:hint="eastAsia"/>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_Toc228282799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0" w:anchor="_Toc228282800" w:history="1">
        <w:r>
          <w:rPr>
            <w:rStyle w:val="793"/>
            <w:rFonts w:hint="eastAsia"/>
            <w:b/>
            <w:bCs/>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_Toc228282800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1" w:anchor="_Toc228282801" w:history="1">
        <w:r>
          <w:rPr>
            <w:rStyle w:val="793"/>
            <w:rFonts w:hint="eastAsia"/>
            <w:b/>
            <w:bCs/>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_Toc228282801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2" w:anchor="_Toc228282802" w:history="1">
        <w:r>
          <w:rPr>
            <w:rStyle w:val="793"/>
            <w:rFonts w:hint="eastAsia"/>
            <w:b/>
            <w:bCs/>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_Toc228282802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3" w:anchor="_Toc228282803" w:history="1">
        <w:r>
          <w:rPr>
            <w:rStyle w:val="793"/>
            <w:rFonts w:hint="eastAsia"/>
            <w:b/>
            <w:bCs/>
          </w:rPr>
          <w:t xml:space="preserve">五、公告期限</w:t>
        </w:r>
        <w:r>
          <w:rPr>
            <w:rFonts w:hint="eastAsia"/>
          </w:rPr>
          <w:tab/>
        </w:r>
        <w:r>
          <w:rPr>
            <w:rFonts w:hint="eastAsia"/>
          </w:rPr>
          <w:fldChar w:fldCharType="begin"/>
        </w:r>
        <w:r>
          <w:rPr>
            <w:rFonts w:hint="eastAsia"/>
          </w:rPr>
          <w:instrText xml:space="preserve"> </w:instrText>
        </w:r>
        <w:r>
          <w:instrText xml:space="preserve">PAGEREF _Toc228282803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4" w:anchor="_Toc228282804" w:history="1">
        <w:r>
          <w:rPr>
            <w:rStyle w:val="793"/>
            <w:rFonts w:hint="eastAsia"/>
            <w:b/>
            <w:bCs/>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_Toc228282804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5" w:anchor="_Toc228282805" w:history="1">
        <w:r>
          <w:rPr>
            <w:rStyle w:val="793"/>
            <w:rFonts w:hint="eastAsia"/>
            <w:b/>
            <w:bCs/>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_Toc228282805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6" w:anchor="_Toc228282806" w:history="1">
        <w:r>
          <w:rPr>
            <w:rStyle w:val="793"/>
            <w:rFonts w:hint="eastAsia"/>
            <w:b/>
            <w:bCs/>
          </w:rPr>
          <w:t xml:space="preserve">八、其他</w:t>
        </w:r>
        <w:r>
          <w:rPr>
            <w:rFonts w:hint="eastAsia"/>
          </w:rPr>
          <w:tab/>
        </w:r>
        <w:r>
          <w:rPr>
            <w:rFonts w:hint="eastAsia"/>
          </w:rPr>
          <w:fldChar w:fldCharType="begin"/>
        </w:r>
        <w:r>
          <w:rPr>
            <w:rFonts w:hint="eastAsia"/>
          </w:rPr>
          <w:instrText xml:space="preserve"> </w:instrText>
        </w:r>
        <w:r>
          <w:instrText xml:space="preserve">PAGEREF _Toc228282806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5"/>
        <w:tabs>
          <w:tab w:val="right" w:pos="8302" w:leader="dot"/>
        </w:tabs>
        <w:rPr>
          <w:rFonts w:asciiTheme="minorHAnsi" w:hAnsiTheme="minorHAnsi" w:eastAsiaTheme="minorEastAsia" w:cstheme="minorBidi"/>
          <w:smallCaps w:val="0"/>
          <w:sz w:val="22"/>
          <w14:ligatures w14:val="standardContextual"/>
        </w:rPr>
      </w:pPr>
      <w:r/>
      <w:hyperlink w:tooltip="#_Toc228282807" w:anchor="_Toc228282807" w:history="1">
        <w:r>
          <w:rPr>
            <w:rStyle w:val="793"/>
            <w:rFonts w:hint="eastAsia" w:ascii="黑体" w:hAnsi="Arial" w:eastAsia="黑体" w:cs="Arial"/>
            <w:b/>
            <w:bCs/>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_Toc228282807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8" w:anchor="_Toc228282808" w:history="1">
        <w:r>
          <w:rPr>
            <w:rStyle w:val="793"/>
            <w:rFonts w:hint="eastAsia"/>
            <w:b/>
            <w:bCs/>
          </w:rPr>
          <w:t xml:space="preserve">一、总则</w:t>
        </w:r>
        <w:r>
          <w:rPr>
            <w:rFonts w:hint="eastAsia"/>
          </w:rPr>
          <w:tab/>
        </w:r>
        <w:r>
          <w:rPr>
            <w:rFonts w:hint="eastAsia"/>
          </w:rPr>
          <w:fldChar w:fldCharType="begin"/>
        </w:r>
        <w:r>
          <w:rPr>
            <w:rFonts w:hint="eastAsia"/>
          </w:rPr>
          <w:instrText xml:space="preserve"> </w:instrText>
        </w:r>
        <w:r>
          <w:instrText xml:space="preserve">PAGEREF _Toc228282808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09" w:anchor="_Toc228282809" w:history="1">
        <w:r>
          <w:rPr>
            <w:rStyle w:val="793"/>
            <w:rFonts w:hint="eastAsia"/>
            <w:b/>
            <w:bCs/>
          </w:rPr>
          <w:t xml:space="preserve">二、招标文件</w:t>
        </w:r>
        <w:r>
          <w:rPr>
            <w:rFonts w:hint="eastAsia"/>
          </w:rPr>
          <w:tab/>
        </w:r>
        <w:r>
          <w:rPr>
            <w:rFonts w:hint="eastAsia"/>
          </w:rPr>
          <w:fldChar w:fldCharType="begin"/>
        </w:r>
        <w:r>
          <w:rPr>
            <w:rFonts w:hint="eastAsia"/>
          </w:rPr>
          <w:instrText xml:space="preserve"> </w:instrText>
        </w:r>
        <w:r>
          <w:instrText xml:space="preserve">PAGEREF _Toc228282809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10" w:anchor="_Toc228282810" w:history="1">
        <w:r>
          <w:rPr>
            <w:rStyle w:val="793"/>
            <w:rFonts w:hint="eastAsia"/>
            <w:b/>
            <w:bCs/>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_Toc228282810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11" w:anchor="_Toc228282811" w:history="1">
        <w:r>
          <w:rPr>
            <w:rStyle w:val="793"/>
            <w:rFonts w:hint="eastAsia"/>
            <w:b/>
            <w:bCs/>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_Toc228282811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12" w:anchor="_Toc228282812" w:history="1">
        <w:r>
          <w:rPr>
            <w:rStyle w:val="793"/>
            <w:rFonts w:hint="eastAsia"/>
            <w:b/>
            <w:bCs/>
          </w:rPr>
          <w:t xml:space="preserve">五、开标与评标</w:t>
        </w:r>
        <w:r>
          <w:rPr>
            <w:rFonts w:hint="eastAsia"/>
          </w:rPr>
          <w:tab/>
        </w:r>
        <w:r>
          <w:rPr>
            <w:rFonts w:hint="eastAsia"/>
          </w:rPr>
          <w:fldChar w:fldCharType="begin"/>
        </w:r>
        <w:r>
          <w:rPr>
            <w:rFonts w:hint="eastAsia"/>
          </w:rPr>
          <w:instrText xml:space="preserve"> </w:instrText>
        </w:r>
        <w:r>
          <w:instrText xml:space="preserve">PAGEREF _Toc228282812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13" w:anchor="_Toc228282813" w:history="1">
        <w:r>
          <w:rPr>
            <w:rStyle w:val="793"/>
            <w:rFonts w:hint="eastAsia"/>
            <w:b/>
            <w:bCs/>
          </w:rPr>
          <w:t xml:space="preserve">六、定标</w:t>
        </w:r>
        <w:r>
          <w:rPr>
            <w:rFonts w:hint="eastAsia"/>
          </w:rPr>
          <w:tab/>
        </w:r>
        <w:r>
          <w:rPr>
            <w:rFonts w:hint="eastAsia"/>
          </w:rPr>
          <w:fldChar w:fldCharType="begin"/>
        </w:r>
        <w:r>
          <w:rPr>
            <w:rFonts w:hint="eastAsia"/>
          </w:rPr>
          <w:instrText xml:space="preserve"> </w:instrText>
        </w:r>
        <w:r>
          <w:instrText xml:space="preserve">PAGEREF _Toc228282813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74"/>
        <w:tabs>
          <w:tab w:val="right" w:pos="8302" w:leader="dot"/>
        </w:tabs>
        <w:rPr>
          <w:rFonts w:asciiTheme="minorHAnsi" w:hAnsiTheme="minorHAnsi" w:eastAsiaTheme="minorEastAsia" w:cstheme="minorBidi"/>
          <w:i w:val="0"/>
          <w:iCs w:val="0"/>
          <w:sz w:val="22"/>
          <w14:ligatures w14:val="standardContextual"/>
        </w:rPr>
      </w:pPr>
      <w:r/>
      <w:hyperlink w:tooltip="#_Toc228282814" w:anchor="_Toc228282814" w:history="1">
        <w:r>
          <w:rPr>
            <w:rStyle w:val="793"/>
            <w:rFonts w:hint="eastAsia"/>
            <w:b/>
            <w:bCs/>
          </w:rPr>
          <w:t xml:space="preserve">七、授予合同</w:t>
        </w:r>
        <w:r>
          <w:rPr>
            <w:rFonts w:hint="eastAsia"/>
          </w:rPr>
          <w:tab/>
        </w:r>
        <w:r>
          <w:rPr>
            <w:rFonts w:hint="eastAsia"/>
          </w:rPr>
          <w:fldChar w:fldCharType="begin"/>
        </w:r>
        <w:r>
          <w:rPr>
            <w:rFonts w:hint="eastAsia"/>
          </w:rPr>
          <w:instrText xml:space="preserve"> </w:instrText>
        </w:r>
        <w:r>
          <w:instrText xml:space="preserve">PAGEREF _Toc228282814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28282815" w:anchor="_Toc228282815" w:history="1">
        <w:r>
          <w:rPr>
            <w:rStyle w:val="793"/>
            <w:rFonts w:hint="eastAsia" w:ascii="黑体"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_Toc228282815 \h</w:instrText>
        </w:r>
        <w:r>
          <w:rPr>
            <w:rFonts w:hint="eastAsia"/>
          </w:rPr>
          <w:instrText xml:space="preserve"> </w:instrText>
        </w:r>
        <w:r>
          <w:rPr>
            <w:rFonts w:hint="eastAsia"/>
          </w:rPr>
        </w:r>
        <w:r>
          <w:rPr>
            <w:rFonts w:hint="eastAsia"/>
          </w:rPr>
          <w:fldChar w:fldCharType="separate"/>
        </w:r>
        <w:r>
          <w:rPr>
            <w:rFonts w:hint="eastAsia"/>
          </w:rPr>
          <w:t xml:space="preserve">16</w:t>
        </w:r>
        <w:r>
          <w:rPr>
            <w:rFonts w:hint="eastAsia"/>
          </w:rPr>
          <w:fldChar w:fldCharType="end"/>
        </w:r>
      </w:hyperlink>
      <w:r/>
      <w:r/>
    </w:p>
    <w:p>
      <w:pPr>
        <w:pStyle w:val="785"/>
        <w:tabs>
          <w:tab w:val="right" w:pos="8302" w:leader="dot"/>
        </w:tabs>
        <w:rPr>
          <w:rFonts w:asciiTheme="minorHAnsi" w:hAnsiTheme="minorHAnsi" w:eastAsiaTheme="minorEastAsia" w:cstheme="minorBidi"/>
          <w:smallCaps w:val="0"/>
          <w:sz w:val="22"/>
          <w14:ligatures w14:val="standardContextual"/>
        </w:rPr>
      </w:pPr>
      <w:r/>
      <w:hyperlink w:tooltip="#_Toc228282816" w:anchor="_Toc228282816" w:history="1">
        <w:r>
          <w:rPr>
            <w:rStyle w:val="793"/>
            <w:rFonts w:hint="eastAsia" w:ascii="黑体" w:hAnsi="黑体" w:eastAsia="黑体"/>
          </w:rPr>
          <w:t xml:space="preserve">第一节 </w:t>
        </w:r>
        <w:r>
          <w:rPr>
            <w:rStyle w:val="793"/>
            <w:rFonts w:hint="eastAsia" w:ascii="黑体" w:hAnsi="华文中宋" w:eastAsia="黑体"/>
          </w:rPr>
          <w:t xml:space="preserve">政府采购合同协议书</w:t>
        </w:r>
        <w:r>
          <w:rPr>
            <w:rFonts w:hint="eastAsia"/>
          </w:rPr>
          <w:tab/>
        </w:r>
        <w:r>
          <w:rPr>
            <w:rFonts w:hint="eastAsia"/>
          </w:rPr>
          <w:fldChar w:fldCharType="begin"/>
        </w:r>
        <w:r>
          <w:rPr>
            <w:rFonts w:hint="eastAsia"/>
          </w:rPr>
          <w:instrText xml:space="preserve"> </w:instrText>
        </w:r>
        <w:r>
          <w:instrText xml:space="preserve">PAGEREF _Toc228282816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85"/>
        <w:tabs>
          <w:tab w:val="right" w:pos="8302" w:leader="dot"/>
        </w:tabs>
        <w:rPr>
          <w:rFonts w:asciiTheme="minorHAnsi" w:hAnsiTheme="minorHAnsi" w:eastAsiaTheme="minorEastAsia" w:cstheme="minorBidi"/>
          <w:smallCaps w:val="0"/>
          <w:sz w:val="22"/>
          <w14:ligatures w14:val="standardContextual"/>
        </w:rPr>
      </w:pPr>
      <w:r/>
      <w:hyperlink w:tooltip="#_Toc228282817" w:anchor="_Toc228282817" w:history="1">
        <w:r>
          <w:rPr>
            <w:rStyle w:val="793"/>
            <w:rFonts w:hint="eastAsia" w:ascii="黑体" w:hAnsi="黑体" w:eastAsia="黑体"/>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_Toc228282817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85"/>
        <w:tabs>
          <w:tab w:val="right" w:pos="8302" w:leader="dot"/>
        </w:tabs>
        <w:rPr>
          <w:rFonts w:asciiTheme="minorHAnsi" w:hAnsiTheme="minorHAnsi" w:eastAsiaTheme="minorEastAsia" w:cstheme="minorBidi"/>
          <w:smallCaps w:val="0"/>
          <w:sz w:val="22"/>
          <w14:ligatures w14:val="standardContextual"/>
        </w:rPr>
      </w:pPr>
      <w:r/>
      <w:hyperlink w:tooltip="#_Toc228282818" w:anchor="_Toc228282818" w:history="1">
        <w:r>
          <w:rPr>
            <w:rStyle w:val="793"/>
            <w:rFonts w:hint="eastAsia" w:ascii="黑体" w:hAnsi="华文中宋" w:eastAsia="黑体"/>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_Toc228282818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28282819" w:anchor="_Toc228282819" w:history="1">
        <w:r>
          <w:rPr>
            <w:rStyle w:val="793"/>
            <w:rFonts w:hint="eastAsia" w:ascii="黑体" w:eastAsia="黑体"/>
            <w:b/>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_Toc228282819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28282820" w:anchor="_Toc228282820" w:history="1">
        <w:r>
          <w:rPr>
            <w:rStyle w:val="793"/>
            <w:rFonts w:hint="eastAsia" w:ascii="黑体" w:eastAsia="黑体"/>
            <w:bCs/>
          </w:rPr>
          <w:t xml:space="preserve">第五章  </w:t>
        </w:r>
        <w:r>
          <w:rPr>
            <w:rStyle w:val="793"/>
            <w:rFonts w:hint="eastAsia" w:ascii="黑体" w:eastAsia="黑体"/>
            <w:b/>
            <w:bCs/>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_Toc228282820 \h</w:instrText>
        </w:r>
        <w:r>
          <w:rPr>
            <w:rFonts w:hint="eastAsia"/>
          </w:rPr>
          <w:instrText xml:space="preserve"> </w:instrText>
        </w:r>
        <w:r>
          <w:rPr>
            <w:rFonts w:hint="eastAsia"/>
          </w:rPr>
        </w:r>
        <w:r>
          <w:rPr>
            <w:rFonts w:hint="eastAsia"/>
          </w:rPr>
          <w:fldChar w:fldCharType="separate"/>
        </w:r>
        <w:r>
          <w:rPr>
            <w:rFonts w:hint="eastAsia"/>
          </w:rPr>
          <w:t xml:space="preserve">70</w:t>
        </w:r>
        <w:r>
          <w:rPr>
            <w:rFonts w:hint="eastAsia"/>
          </w:rPr>
          <w:fldChar w:fldCharType="end"/>
        </w:r>
      </w:hyperlink>
      <w:r/>
      <w:r/>
    </w:p>
    <w:p>
      <w:pPr>
        <w:pStyle w:val="779"/>
        <w:rPr>
          <w:rFonts w:asciiTheme="minorHAnsi" w:hAnsiTheme="minorHAnsi" w:eastAsiaTheme="minorEastAsia" w:cstheme="minorBidi"/>
          <w:caps w:val="0"/>
          <w:sz w:val="22"/>
          <w14:ligatures w14:val="standardContextual"/>
        </w:rPr>
      </w:pPr>
      <w:r/>
      <w:hyperlink w:tooltip="#_Toc228282821" w:anchor="_Toc228282821" w:history="1">
        <w:r>
          <w:rPr>
            <w:rStyle w:val="793"/>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_Toc228282821 \h</w:instrText>
        </w:r>
        <w:r>
          <w:rPr>
            <w:rFonts w:hint="eastAsia"/>
          </w:rPr>
          <w:instrText xml:space="preserve"> </w:instrText>
        </w:r>
        <w:r>
          <w:rPr>
            <w:rFonts w:hint="eastAsia"/>
          </w:rPr>
        </w:r>
        <w:r>
          <w:rPr>
            <w:rFonts w:hint="eastAsia"/>
          </w:rPr>
          <w:fldChar w:fldCharType="separate"/>
        </w:r>
        <w:r>
          <w:rPr>
            <w:rFonts w:hint="eastAsia"/>
          </w:rPr>
          <w:t xml:space="preserve">78</w:t>
        </w:r>
        <w:r>
          <w:rPr>
            <w:rFonts w:hint="eastAsia"/>
          </w:rPr>
          <w:fldChar w:fldCharType="end"/>
        </w:r>
      </w:hyperlink>
      <w:r/>
      <w:r/>
    </w:p>
    <w:p>
      <w:pPr>
        <w:rPr>
          <w:color w:val="000000"/>
          <w:szCs w:val="21"/>
        </w:rPr>
      </w:pPr>
      <w:r>
        <w:rPr>
          <w:rFonts w:ascii="等线" w:hAnsi="等线" w:eastAsia="等线"/>
          <w:bCs/>
          <w:lang w:val="zh-CN"/>
        </w:rPr>
        <w:fldChar w:fldCharType="end"/>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bookmarkStart w:id="7" w:name="_Toc228282798"/>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bookmarkEnd w:id="7"/>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受无锡商业职业技术学院的委托，江苏省政府采购中心就无锡商业职业技术学院2025年实训室计算机设备采购(</w:t>
      </w:r>
      <w:r>
        <w:rPr>
          <w:rFonts w:ascii="宋体" w:hAnsi="宋体"/>
          <w:color w:val="000000"/>
          <w:sz w:val="24"/>
          <w:szCs w:val="24"/>
        </w:rPr>
        <w:t xml:space="preserve">JSZC-320000-SCZX-G2026-0167</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无锡商业职业技术学院2025年实训室计算机设备采购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年6月11日14点30分（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8" w:name="_Toc228282799"/>
      <w:r/>
      <w:bookmarkStart w:id="9" w:name="_Toc38985263"/>
      <w:r/>
      <w:bookmarkStart w:id="10" w:name="_Toc35393621"/>
      <w:r/>
      <w:bookmarkStart w:id="11" w:name="_Toc28359079"/>
      <w:r/>
      <w:bookmarkStart w:id="12" w:name="_Toc35393790"/>
      <w:r/>
      <w:bookmarkStart w:id="13" w:name="_Toc28359002"/>
      <w:r/>
      <w:bookmarkStart w:id="14" w:name="_Hlk24379207"/>
      <w:r>
        <w:rPr>
          <w:rFonts w:hint="eastAsia"/>
          <w:b/>
          <w:bCs/>
          <w:color w:val="000000"/>
          <w:sz w:val="32"/>
          <w:szCs w:val="32"/>
        </w:rPr>
        <w:t xml:space="preserve">一、项目基本情况</w:t>
      </w:r>
      <w:bookmarkEnd w:id="8"/>
      <w:r/>
      <w:bookmarkEnd w:id="9"/>
      <w:r/>
      <w:bookmarkEnd w:id="10"/>
      <w:r/>
      <w:bookmarkEnd w:id="11"/>
      <w:r/>
      <w:bookmarkEnd w:id="12"/>
      <w:r/>
      <w:bookmarkEnd w:id="13"/>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JSZC-320000-SCZX-G2026-0167</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2.项目名称：无锡商业职业技术学院2025年实训室计算机设备采购</w:t>
      </w:r>
      <w:bookmarkEnd w:id="14"/>
      <w:r/>
      <w:r/>
    </w:p>
    <w:p>
      <w:pPr>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135"/>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171.6</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60.48</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171.6</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60.48</w:t>
            </w:r>
            <w:r/>
          </w:p>
        </w:tc>
      </w:tr>
    </w:tbl>
    <w:p>
      <w:p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u w:val="single"/>
        </w:rPr>
      </w:r>
      <w:r/>
    </w:p>
    <w:p>
      <w:pPr>
        <w:ind w:firstLine="496"/>
        <w:keepLines/>
        <w:keepNext/>
        <w:spacing w:before="156" w:after="156" w:line="360" w:lineRule="auto"/>
        <w:rPr>
          <w:b/>
          <w:bCs/>
          <w:color w:val="000000"/>
          <w:sz w:val="32"/>
          <w:szCs w:val="32"/>
        </w:rPr>
        <w:outlineLvl w:val="2"/>
      </w:pPr>
      <w:r/>
      <w:bookmarkStart w:id="15" w:name="_Toc28359003"/>
      <w:r/>
      <w:bookmarkStart w:id="16" w:name="_Toc38985264"/>
      <w:r/>
      <w:bookmarkStart w:id="17" w:name="_Toc28359080"/>
      <w:r/>
      <w:bookmarkStart w:id="18" w:name="_Toc35393791"/>
      <w:r/>
      <w:bookmarkStart w:id="19" w:name="_Toc228282800"/>
      <w:r/>
      <w:bookmarkStart w:id="20" w:name="_Toc35393622"/>
      <w:r>
        <w:rPr>
          <w:rFonts w:hint="eastAsia"/>
          <w:b/>
          <w:bCs/>
          <w:color w:val="000000"/>
          <w:sz w:val="32"/>
          <w:szCs w:val="32"/>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宋体" w:hAnsi="宋体"/>
          <w:color w:val="000000"/>
          <w:sz w:val="28"/>
          <w:szCs w:val="28"/>
        </w:rPr>
      </w:pPr>
      <w:r/>
      <w:bookmarkStart w:id="21" w:name="_Toc28359081"/>
      <w:r/>
      <w:bookmarkStart w:id="22" w:name="_Toc28359004"/>
      <w:r/>
      <w:bookmarkStart w:id="23" w:name="_Toc35393623"/>
      <w:r/>
      <w:bookmarkStart w:id="24" w:name="_Toc38985265"/>
      <w:r/>
      <w:bookmarkStart w:id="25"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560"/>
        <w:spacing w:line="400" w:lineRule="exact"/>
        <w:rPr>
          <w:rFonts w:hint="eastAsia" w:ascii="宋体" w:hAnsi="宋体"/>
          <w:color w:val="000000"/>
          <w:sz w:val="28"/>
          <w:szCs w:val="28"/>
        </w:rPr>
      </w:pPr>
      <w:r>
        <w:rPr>
          <w:rFonts w:hint="eastAsia" w:ascii="宋体" w:hAnsi="宋体"/>
          <w:color w:val="000000"/>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color w:val="000000" w:themeColor="text1"/>
                <w:sz w:val="24"/>
                <w:szCs w:val="24"/>
              </w:rPr>
              <w:t xml:space="preserve">1</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96"/>
        <w:keepLines/>
        <w:keepNext/>
        <w:spacing w:before="156" w:after="156" w:line="360" w:lineRule="auto"/>
        <w:rPr>
          <w:b/>
          <w:bCs/>
          <w:color w:val="000000"/>
          <w:sz w:val="32"/>
          <w:szCs w:val="32"/>
        </w:rPr>
        <w:outlineLvl w:val="2"/>
      </w:pPr>
      <w:r/>
      <w:bookmarkStart w:id="26" w:name="_Toc228282801"/>
      <w:r>
        <w:rPr>
          <w:rFonts w:hint="eastAsia"/>
          <w:b/>
          <w:bCs/>
          <w:color w:val="000000"/>
          <w:sz w:val="32"/>
          <w:szCs w:val="32"/>
        </w:rPr>
        <w:t xml:space="preserve">三、获取招标文件</w:t>
      </w:r>
      <w:bookmarkEnd w:id="26"/>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21"/>
      <w:r/>
      <w:bookmarkEnd w:id="22"/>
      <w:r/>
      <w:bookmarkEnd w:id="23"/>
      <w:r/>
      <w:bookmarkEnd w:id="24"/>
      <w:r/>
      <w:bookmarkEnd w:id="25"/>
      <w:r/>
      <w:r/>
    </w:p>
    <w:p>
      <w:pPr>
        <w:ind w:firstLine="496"/>
        <w:keepLines/>
        <w:keepNext/>
        <w:spacing w:before="156" w:after="156" w:line="400" w:lineRule="exact"/>
        <w:rPr>
          <w:b/>
          <w:bCs/>
          <w:color w:val="000000"/>
          <w:sz w:val="32"/>
          <w:szCs w:val="32"/>
        </w:rPr>
        <w:outlineLvl w:val="2"/>
      </w:pPr>
      <w:r/>
      <w:bookmarkStart w:id="27" w:name="_Toc28359005"/>
      <w:r/>
      <w:bookmarkStart w:id="28" w:name="_Toc28359082"/>
      <w:r/>
      <w:bookmarkStart w:id="29" w:name="_Toc228282802"/>
      <w:r/>
      <w:bookmarkStart w:id="30" w:name="_Toc35393793"/>
      <w:r/>
      <w:bookmarkStart w:id="31" w:name="_Toc35393624"/>
      <w:r/>
      <w:bookmarkStart w:id="32" w:name="_Toc38985266"/>
      <w:r>
        <w:rPr>
          <w:rFonts w:hint="eastAsia"/>
          <w:b/>
          <w:bCs/>
          <w:color w:val="000000"/>
          <w:sz w:val="32"/>
          <w:szCs w:val="32"/>
        </w:rPr>
        <w:t xml:space="preserve">四、提交投标文件</w:t>
      </w:r>
      <w:bookmarkEnd w:id="27"/>
      <w:r/>
      <w:bookmarkEnd w:id="28"/>
      <w:r>
        <w:rPr>
          <w:rFonts w:hint="eastAsia"/>
          <w:b/>
          <w:bCs/>
          <w:color w:val="000000"/>
          <w:sz w:val="32"/>
          <w:szCs w:val="32"/>
        </w:rPr>
        <w:t xml:space="preserve">截止时间、开标时间和地点</w:t>
      </w:r>
      <w:bookmarkEnd w:id="29"/>
      <w:r/>
      <w:bookmarkEnd w:id="30"/>
      <w:r/>
      <w:bookmarkEnd w:id="31"/>
      <w:r/>
      <w:bookmarkEnd w:id="32"/>
      <w:r/>
      <w:r/>
    </w:p>
    <w:p>
      <w:pPr>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年6</w:t>
      </w:r>
      <w:r>
        <w:rPr>
          <w:rFonts w:hint="eastAsia" w:ascii="宋体" w:hAnsi="宋体"/>
          <w:bCs/>
          <w:color w:val="000000"/>
          <w:sz w:val="24"/>
          <w:szCs w:val="24"/>
          <w:u w:val="single"/>
        </w:rPr>
        <w:t xml:space="preserve">月11</w:t>
      </w:r>
      <w:r>
        <w:rPr>
          <w:rFonts w:hint="eastAsia" w:ascii="宋体" w:hAnsi="宋体"/>
          <w:bCs/>
          <w:color w:val="000000"/>
          <w:sz w:val="24"/>
          <w:szCs w:val="24"/>
          <w:u w:val="single"/>
        </w:rPr>
        <w:t xml:space="preserve">日14</w:t>
      </w:r>
      <w:r>
        <w:rPr>
          <w:rFonts w:hint="eastAsia" w:ascii="宋体" w:hAnsi="宋体"/>
          <w:bCs/>
          <w:color w:val="000000"/>
          <w:sz w:val="24"/>
          <w:szCs w:val="24"/>
          <w:u w:val="single"/>
        </w:rPr>
        <w:t xml:space="preserve">点30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33" w:name="_Toc28359084"/>
      <w:r/>
      <w:bookmarkStart w:id="34" w:name="_Toc228282803"/>
      <w:r/>
      <w:bookmarkStart w:id="35" w:name="_Toc38985267"/>
      <w:r/>
      <w:bookmarkStart w:id="36" w:name="_Toc35393625"/>
      <w:r/>
      <w:bookmarkStart w:id="37" w:name="_Toc28359007"/>
      <w:r/>
      <w:bookmarkStart w:id="38" w:name="_Toc35393794"/>
      <w:r>
        <w:rPr>
          <w:rFonts w:hint="eastAsia"/>
          <w:b/>
          <w:bCs/>
          <w:color w:val="000000"/>
          <w:sz w:val="32"/>
          <w:szCs w:val="32"/>
        </w:rPr>
        <w:t xml:space="preserve">五、公告期限</w:t>
      </w:r>
      <w:bookmarkEnd w:id="33"/>
      <w:r/>
      <w:bookmarkEnd w:id="34"/>
      <w:r/>
      <w:bookmarkEnd w:id="35"/>
      <w:r/>
      <w:bookmarkEnd w:id="36"/>
      <w:r/>
      <w:bookmarkEnd w:id="37"/>
      <w:r/>
      <w:bookmarkEnd w:id="38"/>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9" w:name="_Toc35393795"/>
      <w:r/>
      <w:bookmarkStart w:id="40" w:name="_Toc35393626"/>
      <w:r/>
      <w:bookmarkStart w:id="41" w:name="_Toc38985268"/>
      <w:r/>
      <w:bookmarkStart w:id="42" w:name="_Toc228282804"/>
      <w:r>
        <w:rPr>
          <w:rFonts w:hint="eastAsia"/>
          <w:b/>
          <w:bCs/>
          <w:color w:val="000000"/>
          <w:sz w:val="32"/>
          <w:szCs w:val="32"/>
        </w:rPr>
        <w:t xml:space="preserve">六、其他补充事宜</w:t>
      </w:r>
      <w:bookmarkEnd w:id="39"/>
      <w:r/>
      <w:bookmarkEnd w:id="40"/>
      <w:r/>
      <w:bookmarkEnd w:id="41"/>
      <w:r/>
      <w:bookmarkEnd w:id="42"/>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43" w:name="_Toc35393796"/>
      <w:r/>
      <w:bookmarkStart w:id="44" w:name="_Toc28359085"/>
      <w:r/>
      <w:bookmarkStart w:id="45" w:name="_Toc35393627"/>
      <w:r/>
      <w:bookmarkStart w:id="46" w:name="_Toc28359008"/>
      <w:r/>
      <w:bookmarkStart w:id="47" w:name="_Toc228282805"/>
      <w:r/>
      <w:bookmarkStart w:id="48" w:name="_Toc38985269"/>
      <w:r>
        <w:rPr>
          <w:rFonts w:hint="eastAsia"/>
          <w:b/>
          <w:bCs/>
          <w:color w:val="000000"/>
          <w:sz w:val="32"/>
          <w:szCs w:val="32"/>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无锡商业职业技术学院　　　　　　　　　　</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无锡市钱胡公路809号　　　　　　　　　　</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俞老师                </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0510-81017672　　  　　　　　 </w:t>
      </w:r>
      <w:bookmarkStart w:id="49" w:name="_Toc28359086"/>
      <w:r/>
      <w:bookmarkStart w:id="50" w:name="_Toc28359009"/>
      <w:r/>
      <w:r/>
    </w:p>
    <w:p>
      <w:pPr>
        <w:ind w:firstLine="480"/>
        <w:jc w:val="left"/>
        <w:spacing w:line="400" w:lineRule="exact"/>
        <w:rPr>
          <w:rFonts w:hint="eastAsia" w:ascii="宋体" w:hAnsi="宋体"/>
          <w:color w:val="000000"/>
          <w:sz w:val="24"/>
          <w:szCs w:val="24"/>
        </w:rPr>
      </w:pPr>
      <w:r>
        <w:rPr>
          <w:rFonts w:hint="eastAsia" w:ascii="宋体" w:hAnsi="宋体" w:cs="宋体"/>
          <w:color w:val="000000"/>
          <w:sz w:val="24"/>
          <w:szCs w:val="24"/>
        </w:rPr>
        <w:t xml:space="preserve">2.江苏省政府采购中心信息</w:t>
      </w:r>
      <w:bookmarkEnd w:id="49"/>
      <w:r/>
      <w:bookmarkEnd w:id="50"/>
      <w:r/>
      <w:r/>
    </w:p>
    <w:p>
      <w:pPr>
        <w:ind w:firstLine="420"/>
        <w:spacing w:line="460" w:lineRule="exact"/>
        <w:rPr>
          <w:rFonts w:hint="eastAsia" w:ascii="宋体" w:hAnsi="宋体"/>
          <w:sz w:val="24"/>
          <w:szCs w:val="24"/>
        </w:rPr>
      </w:pPr>
      <w:r>
        <w:rPr>
          <w:rFonts w:hint="eastAsia" w:ascii="宋体" w:hAnsi="宋体"/>
          <w:sz w:val="24"/>
          <w:szCs w:val="24"/>
        </w:rPr>
        <w:t xml:space="preserve">地　址：南京市汉中门大街145号省政务中心3楼南区</w:t>
      </w:r>
      <w:r/>
    </w:p>
    <w:p>
      <w:pPr>
        <w:ind w:firstLine="420"/>
        <w:spacing w:line="460" w:lineRule="exact"/>
        <w:rPr>
          <w:rFonts w:hint="eastAsia" w:ascii="宋体" w:hAnsi="宋体"/>
          <w:sz w:val="24"/>
          <w:szCs w:val="24"/>
        </w:rPr>
      </w:pPr>
      <w:r>
        <w:rPr>
          <w:rFonts w:hint="eastAsia" w:ascii="宋体" w:hAnsi="宋体"/>
          <w:sz w:val="24"/>
          <w:szCs w:val="24"/>
        </w:rPr>
        <w:t xml:space="preserve">联系人：付钢、唐文   </w:t>
      </w:r>
      <w:r/>
    </w:p>
    <w:p>
      <w:pPr>
        <w:ind w:firstLine="420"/>
        <w:spacing w:line="460" w:lineRule="exact"/>
        <w:rPr>
          <w:rFonts w:hint="eastAsia" w:ascii="宋体" w:hAnsi="宋体"/>
          <w:sz w:val="24"/>
          <w:szCs w:val="24"/>
        </w:rPr>
      </w:pPr>
      <w:r>
        <w:rPr>
          <w:rFonts w:hint="eastAsia" w:ascii="宋体" w:hAnsi="宋体"/>
          <w:sz w:val="24"/>
          <w:szCs w:val="24"/>
        </w:rPr>
        <w:t xml:space="preserve">联系方式：025-</w:t>
      </w:r>
      <w:bookmarkStart w:id="51" w:name="OLE_LINK6"/>
      <w:r>
        <w:rPr>
          <w:rFonts w:hint="eastAsia" w:ascii="宋体" w:hAnsi="宋体"/>
          <w:sz w:val="24"/>
          <w:szCs w:val="24"/>
        </w:rPr>
        <w:t xml:space="preserve">83668520</w:t>
      </w:r>
      <w:bookmarkEnd w:id="51"/>
      <w:r>
        <w:rPr>
          <w:rFonts w:hint="eastAsia" w:ascii="宋体" w:hAnsi="宋体"/>
          <w:sz w:val="24"/>
          <w:szCs w:val="24"/>
        </w:rPr>
        <w:t xml:space="preserve">、83668519</w:t>
      </w:r>
      <w:r/>
    </w:p>
    <w:p>
      <w:pPr>
        <w:ind w:firstLine="496"/>
        <w:keepLines/>
        <w:keepNext/>
        <w:spacing w:before="156" w:after="156" w:line="360" w:lineRule="auto"/>
        <w:rPr>
          <w:b/>
          <w:bCs/>
          <w:color w:val="000000"/>
          <w:sz w:val="32"/>
          <w:szCs w:val="32"/>
        </w:rPr>
        <w:outlineLvl w:val="2"/>
      </w:pPr>
      <w:r/>
      <w:bookmarkStart w:id="52" w:name="_Toc228282806"/>
      <w:r>
        <w:rPr>
          <w:rFonts w:hint="eastAsia"/>
          <w:b/>
          <w:bCs/>
          <w:color w:val="000000"/>
          <w:sz w:val="32"/>
          <w:szCs w:val="32"/>
        </w:rPr>
        <w:t xml:space="preserve">八、其他</w:t>
      </w:r>
      <w:bookmarkEnd w:id="52"/>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944"/>
            <w:bCs/>
            <w:szCs w:val="21"/>
          </w:rPr>
          <w:t xml:space="preserve">http://www.ccgp-jiangsu.gov.cn/jiangsu/zlxz/ee/ee3a4bc5a3454aa2b0d9312230633ce9.html</w:t>
        </w:r>
      </w:hyperlink>
      <w:r>
        <w:rPr>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t>
      </w:r>
      <w:r>
        <w:rPr>
          <w:bCs/>
          <w:szCs w:val="21"/>
        </w:rPr>
        <w:t xml:space="preserve">www.ccgp-jiangsu.gov.cn</w:t>
      </w:r>
      <w:r>
        <w:rPr>
          <w:bCs/>
          <w:szCs w:val="21"/>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53" w:name="_Toc120614211"/>
      <w:r/>
      <w:bookmarkStart w:id="54" w:name="_Toc228282807"/>
      <w:r>
        <w:rPr>
          <w:rFonts w:hint="eastAsia" w:ascii="黑体" w:hAnsi="Arial" w:eastAsia="黑体" w:cs="Arial"/>
          <w:b/>
          <w:bCs/>
          <w:color w:val="000000"/>
          <w:sz w:val="44"/>
          <w:szCs w:val="44"/>
        </w:rPr>
        <w:t xml:space="preserve">第二章  </w:t>
      </w:r>
      <w:bookmarkStart w:id="55" w:name="_Toc513029202"/>
      <w:r/>
      <w:bookmarkStart w:id="56" w:name="_Toc20823274"/>
      <w:r/>
      <w:bookmarkStart w:id="57" w:name="_Toc120614213"/>
      <w:r/>
      <w:bookmarkStart w:id="58" w:name="_Toc16938518"/>
      <w:r/>
      <w:bookmarkEnd w:id="2"/>
      <w:r/>
      <w:bookmarkEnd w:id="3"/>
      <w:r/>
      <w:bookmarkEnd w:id="4"/>
      <w:r/>
      <w:bookmarkEnd w:id="5"/>
      <w:r/>
      <w:bookmarkEnd w:id="6"/>
      <w:r/>
      <w:bookmarkEnd w:id="53"/>
      <w:r>
        <w:rPr>
          <w:rFonts w:hint="eastAsia" w:ascii="黑体" w:hAnsi="Arial" w:eastAsia="黑体" w:cs="Arial"/>
          <w:b/>
          <w:bCs/>
          <w:color w:val="000000"/>
          <w:sz w:val="44"/>
          <w:szCs w:val="44"/>
        </w:rPr>
        <w:t xml:space="preserve">投标人须知</w:t>
      </w:r>
      <w:bookmarkEnd w:id="54"/>
      <w:r/>
      <w:bookmarkEnd w:id="55"/>
      <w:r/>
      <w:bookmarkEnd w:id="56"/>
      <w:r/>
      <w:bookmarkEnd w:id="57"/>
      <w:r/>
      <w:bookmarkEnd w:id="58"/>
      <w:r/>
      <w:r/>
    </w:p>
    <w:p>
      <w:pPr>
        <w:ind w:firstLine="496"/>
        <w:keepLines/>
        <w:keepNext/>
        <w:spacing w:before="156" w:after="156" w:line="400" w:lineRule="exact"/>
        <w:rPr>
          <w:b/>
          <w:bCs/>
          <w:color w:val="000000"/>
          <w:sz w:val="32"/>
          <w:szCs w:val="32"/>
        </w:rPr>
        <w:outlineLvl w:val="2"/>
      </w:pPr>
      <w:r/>
      <w:bookmarkStart w:id="59" w:name="_Toc513029203"/>
      <w:r/>
      <w:bookmarkStart w:id="60" w:name="_Toc228282808"/>
      <w:r/>
      <w:bookmarkStart w:id="61" w:name="_Toc120614214"/>
      <w:r/>
      <w:bookmarkStart w:id="62" w:name="_Toc20823275"/>
      <w:r/>
      <w:bookmarkStart w:id="63" w:name="_Toc16938519"/>
      <w:r>
        <w:rPr>
          <w:rFonts w:hint="eastAsia"/>
          <w:b/>
          <w:bCs/>
          <w:color w:val="000000"/>
          <w:sz w:val="32"/>
          <w:szCs w:val="32"/>
        </w:rPr>
        <w:t xml:space="preserve">一、总则</w:t>
      </w:r>
      <w:bookmarkEnd w:id="59"/>
      <w:r/>
      <w:bookmarkEnd w:id="60"/>
      <w:r/>
      <w:bookmarkEnd w:id="61"/>
      <w:r/>
      <w:bookmarkEnd w:id="62"/>
      <w:r/>
      <w:bookmarkEnd w:id="63"/>
      <w:r/>
      <w:r/>
    </w:p>
    <w:p>
      <w:pPr>
        <w:ind w:firstLine="420"/>
        <w:keepLines/>
        <w:keepNext/>
        <w:spacing w:line="400" w:lineRule="exact"/>
        <w:rPr>
          <w:rFonts w:ascii="Arial" w:hAnsi="Arial" w:eastAsia="黑体" w:cs="Arial"/>
          <w:color w:val="000000"/>
          <w:sz w:val="28"/>
          <w:szCs w:val="28"/>
        </w:rPr>
        <w:outlineLvl w:val="3"/>
      </w:pPr>
      <w:r/>
      <w:bookmarkStart w:id="64" w:name="_Hlt16619475"/>
      <w:r/>
      <w:bookmarkStart w:id="65" w:name="_Toc458694821"/>
      <w:r/>
      <w:bookmarkStart w:id="66" w:name="_Toc16938520"/>
      <w:r/>
      <w:bookmarkStart w:id="67" w:name="_Toc513029204"/>
      <w:r/>
      <w:bookmarkStart w:id="68" w:name="_Toc20823276"/>
      <w:r/>
      <w:bookmarkEnd w:id="64"/>
      <w:r>
        <w:rPr>
          <w:rFonts w:hint="eastAsia" w:ascii="Arial" w:hAnsi="Arial" w:eastAsia="黑体" w:cs="Arial"/>
          <w:color w:val="000000"/>
          <w:sz w:val="28"/>
          <w:szCs w:val="28"/>
        </w:rPr>
        <w:t xml:space="preserve">1</w:t>
      </w:r>
      <w:bookmarkEnd w:id="65"/>
      <w:r>
        <w:rPr>
          <w:rFonts w:hint="eastAsia" w:ascii="Arial" w:hAnsi="Arial" w:eastAsia="黑体" w:cs="Arial"/>
          <w:color w:val="000000"/>
          <w:sz w:val="28"/>
          <w:szCs w:val="28"/>
        </w:rPr>
        <w:t xml:space="preserve">、招标方式</w:t>
      </w:r>
      <w:bookmarkEnd w:id="66"/>
      <w:r/>
      <w:bookmarkEnd w:id="67"/>
      <w:r/>
      <w:bookmarkEnd w:id="68"/>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69" w:name="_Toc16938521"/>
      <w:r/>
      <w:bookmarkStart w:id="70" w:name="_Toc20823277"/>
      <w:r/>
      <w:bookmarkStart w:id="71" w:name="_Toc513029205"/>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69"/>
      <w:r/>
      <w:bookmarkEnd w:id="70"/>
      <w:r/>
      <w:bookmarkEnd w:id="7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72" w:name="_Toc513029206"/>
      <w:r/>
      <w:bookmarkStart w:id="73" w:name="_Toc16938522"/>
      <w:r/>
      <w:bookmarkStart w:id="74" w:name="_Toc20823278"/>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72"/>
      <w:r/>
      <w:bookmarkEnd w:id="73"/>
      <w:r/>
      <w:bookmarkEnd w:id="74"/>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75" w:name="_Toc16938523"/>
      <w:r/>
      <w:bookmarkStart w:id="76" w:name="_Toc462564067"/>
      <w:r/>
      <w:bookmarkStart w:id="77" w:name="_Toc513029207"/>
      <w:r/>
      <w:bookmarkStart w:id="78" w:name="_Toc20823279"/>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79" w:name="_Toc120614215"/>
      <w:r/>
      <w:bookmarkStart w:id="80" w:name="_Toc16938525"/>
      <w:r/>
      <w:bookmarkStart w:id="81" w:name="_Toc20823281"/>
      <w:r/>
      <w:bookmarkStart w:id="82" w:name="_Toc228282809"/>
      <w:r/>
      <w:bookmarkStart w:id="83" w:name="_Toc513029209"/>
      <w:r>
        <w:rPr>
          <w:rFonts w:hint="eastAsia"/>
          <w:b/>
          <w:bCs/>
          <w:color w:val="000000"/>
          <w:sz w:val="32"/>
          <w:szCs w:val="32"/>
        </w:rPr>
        <w:t xml:space="preserve">二、招标文件</w:t>
      </w:r>
      <w:bookmarkEnd w:id="79"/>
      <w:r/>
      <w:bookmarkEnd w:id="80"/>
      <w:r/>
      <w:bookmarkEnd w:id="81"/>
      <w:r/>
      <w:bookmarkEnd w:id="82"/>
      <w:r/>
      <w:bookmarkEnd w:id="83"/>
      <w:r/>
      <w:r/>
    </w:p>
    <w:p>
      <w:pPr>
        <w:ind w:firstLine="420"/>
        <w:keepLines/>
        <w:keepNext/>
        <w:spacing w:line="400" w:lineRule="exact"/>
        <w:rPr>
          <w:rFonts w:ascii="Arial" w:hAnsi="Arial" w:eastAsia="黑体" w:cs="Arial"/>
          <w:color w:val="000000"/>
          <w:sz w:val="28"/>
          <w:szCs w:val="28"/>
        </w:rPr>
        <w:outlineLvl w:val="3"/>
      </w:pPr>
      <w:r/>
      <w:bookmarkStart w:id="84" w:name="_Toc20823282"/>
      <w:r/>
      <w:bookmarkStart w:id="85" w:name="_Toc16938526"/>
      <w:r/>
      <w:bookmarkStart w:id="86"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84"/>
      <w:r/>
      <w:bookmarkEnd w:id="85"/>
      <w:r/>
      <w:bookmarkEnd w:id="86"/>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w:t>
      </w:r>
      <w:r>
        <w:rPr>
          <w:rFonts w:hint="eastAsia" w:ascii="宋体" w:hAnsi="宋体"/>
          <w:color w:val="000000"/>
          <w:sz w:val="24"/>
          <w:szCs w:val="21"/>
        </w:rPr>
        <w:t xml:space="preserve">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87" w:name="_Toc462564071"/>
      <w:r/>
      <w:bookmarkStart w:id="88" w:name="_Toc20823284"/>
      <w:r/>
      <w:bookmarkStart w:id="89" w:name="_Toc513029212"/>
      <w:r/>
      <w:bookmarkStart w:id="90"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7"/>
      <w:r/>
      <w:bookmarkEnd w:id="88"/>
      <w:r/>
      <w:bookmarkEnd w:id="89"/>
      <w:r/>
      <w:bookmarkEnd w:id="90"/>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91" w:name="_Toc513029213"/>
      <w:r/>
      <w:bookmarkStart w:id="92" w:name="_Toc120614216"/>
      <w:r/>
      <w:bookmarkStart w:id="93" w:name="_Toc228282810"/>
      <w:r/>
      <w:bookmarkStart w:id="94" w:name="_Toc20823285"/>
      <w:r/>
      <w:bookmarkStart w:id="95" w:name="_Toc462564072"/>
      <w:r/>
      <w:bookmarkStart w:id="96" w:name="_Toc16938529"/>
      <w:r>
        <w:rPr>
          <w:rFonts w:hint="eastAsia"/>
          <w:b/>
          <w:bCs/>
          <w:color w:val="000000"/>
          <w:sz w:val="32"/>
          <w:szCs w:val="32"/>
        </w:rPr>
        <w:t xml:space="preserve">三、投标文件的编制</w:t>
      </w:r>
      <w:bookmarkEnd w:id="91"/>
      <w:r/>
      <w:bookmarkEnd w:id="92"/>
      <w:r/>
      <w:bookmarkEnd w:id="93"/>
      <w:r/>
      <w:bookmarkEnd w:id="94"/>
      <w:r/>
      <w:bookmarkEnd w:id="95"/>
      <w:r/>
      <w:bookmarkEnd w:id="96"/>
      <w:r/>
      <w:r/>
    </w:p>
    <w:p>
      <w:pPr>
        <w:ind w:firstLine="560"/>
        <w:keepLines/>
        <w:keepNext/>
        <w:spacing w:line="400" w:lineRule="exact"/>
        <w:rPr>
          <w:rFonts w:ascii="Arial" w:hAnsi="Arial" w:eastAsia="黑体" w:cs="Arial"/>
          <w:b/>
          <w:color w:val="000000"/>
          <w:sz w:val="28"/>
          <w:szCs w:val="28"/>
        </w:rPr>
        <w:outlineLvl w:val="3"/>
      </w:pPr>
      <w:r/>
      <w:bookmarkStart w:id="97" w:name="_Toc20823286"/>
      <w:r/>
      <w:bookmarkStart w:id="98" w:name="_Toc16938530"/>
      <w:r/>
      <w:bookmarkStart w:id="99" w:name="_Toc513029214"/>
      <w:r/>
      <w:bookmarkStart w:id="100"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97"/>
      <w:r/>
      <w:bookmarkEnd w:id="98"/>
      <w:r/>
      <w:bookmarkEnd w:id="99"/>
      <w:r/>
      <w:bookmarkEnd w:id="100"/>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101" w:name="_Toc462564074"/>
      <w:r/>
      <w:bookmarkStart w:id="102" w:name="_Toc20823287"/>
      <w:r/>
      <w:bookmarkStart w:id="103" w:name="_Toc513029215"/>
      <w:r/>
      <w:bookmarkStart w:id="104"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01"/>
      <w:r/>
      <w:bookmarkEnd w:id="102"/>
      <w:r/>
      <w:bookmarkEnd w:id="103"/>
      <w:r/>
      <w:bookmarkEnd w:id="104"/>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105" w:name="_Hlt26670360"/>
      <w:r/>
      <w:bookmarkStart w:id="106" w:name="_Hlt26954838"/>
      <w:r/>
      <w:bookmarkStart w:id="107" w:name="_Hlt26668975"/>
      <w:r/>
      <w:bookmarkStart w:id="108" w:name="_Toc49090507"/>
      <w:r/>
      <w:bookmarkStart w:id="109" w:name="_Toc513029219"/>
      <w:r/>
      <w:bookmarkStart w:id="110" w:name="_Toc49090509"/>
      <w:r/>
      <w:bookmarkStart w:id="111" w:name="_Toc14577357"/>
      <w:r/>
      <w:bookmarkStart w:id="112" w:name="_Toc14577354"/>
      <w:r/>
      <w:bookmarkStart w:id="113" w:name="_Toc513029216"/>
      <w:r/>
      <w:bookmarkStart w:id="114" w:name="_Toc14577355"/>
      <w:r/>
      <w:bookmarkStart w:id="115" w:name="_Toc49090508"/>
      <w:r/>
      <w:bookmarkEnd w:id="105"/>
      <w:r/>
      <w:bookmarkEnd w:id="106"/>
      <w:r/>
      <w:bookmarkEnd w:id="10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8"/>
      <w:r/>
      <w:bookmarkEnd w:id="109"/>
      <w:r/>
      <w:bookmarkEnd w:id="110"/>
      <w:r/>
      <w:bookmarkEnd w:id="111"/>
      <w:r/>
      <w:bookmarkEnd w:id="112"/>
      <w:r/>
      <w:bookmarkEnd w:id="113"/>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14"/>
      <w:r/>
      <w:bookmarkEnd w:id="115"/>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6" w:name="_Hlt26954840"/>
      <w:r/>
      <w:bookmarkEnd w:id="116"/>
      <w:r>
        <w:rPr>
          <w:rFonts w:hint="eastAsia" w:ascii="宋体" w:hAnsi="宋体"/>
          <w:sz w:val="24"/>
          <w:szCs w:val="21"/>
        </w:rPr>
        <w:t xml:space="preserve">标人按照招标文件规定格式填报投标分项报价表</w:t>
      </w:r>
      <w:bookmarkStart w:id="117" w:name="_Hlt26670399"/>
      <w:r/>
      <w:bookmarkEnd w:id="117"/>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18" w:name="_Hlt26670482"/>
      <w:r/>
      <w:bookmarkStart w:id="119" w:name="_Hlt26954846"/>
      <w:r/>
      <w:bookmarkStart w:id="120" w:name="_Hlt26954731"/>
      <w:r/>
      <w:bookmarkStart w:id="121" w:name="_Hlt26670486"/>
      <w:r/>
      <w:bookmarkStart w:id="122" w:name="_Hlt26954848"/>
      <w:r/>
      <w:bookmarkEnd w:id="118"/>
      <w:r/>
      <w:bookmarkEnd w:id="119"/>
      <w:r/>
      <w:bookmarkEnd w:id="120"/>
      <w:r/>
      <w:bookmarkEnd w:id="121"/>
      <w:r/>
      <w:bookmarkEnd w:id="12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w:t>
      </w:r>
      <w:r>
        <w:rPr>
          <w:rFonts w:hint="eastAsia" w:ascii="宋体" w:hAnsi="宋体"/>
          <w:color w:val="000000"/>
          <w:sz w:val="24"/>
          <w:szCs w:val="24"/>
        </w:rPr>
        <w:t xml:space="preserve">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23" w:name="_Toc14577359"/>
      <w:r/>
      <w:bookmarkStart w:id="12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23"/>
      <w:r/>
      <w:bookmarkEnd w:id="124"/>
      <w:r/>
      <w:r/>
    </w:p>
    <w:p>
      <w:pPr>
        <w:ind w:firstLine="420"/>
        <w:keepLines/>
        <w:keepNext/>
        <w:spacing w:line="400" w:lineRule="exact"/>
        <w:rPr>
          <w:rFonts w:ascii="Arial" w:hAnsi="Arial" w:eastAsia="黑体" w:cs="Arial"/>
          <w:color w:val="000000"/>
          <w:sz w:val="28"/>
          <w:szCs w:val="28"/>
        </w:rPr>
        <w:outlineLvl w:val="3"/>
      </w:pPr>
      <w:r/>
      <w:bookmarkStart w:id="125" w:name="_Toc49090511"/>
      <w:r/>
      <w:bookmarkStart w:id="126"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25"/>
      <w:r/>
      <w:bookmarkEnd w:id="126"/>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27" w:name="_Hlt26954852"/>
      <w:r/>
      <w:bookmarkStart w:id="128" w:name="_Hlt26954739"/>
      <w:r/>
      <w:bookmarkStart w:id="129" w:name="_Toc228282811"/>
      <w:r/>
      <w:bookmarkStart w:id="130" w:name="_Toc513029224"/>
      <w:r/>
      <w:bookmarkStart w:id="131" w:name="_Toc120614217"/>
      <w:r/>
      <w:bookmarkStart w:id="132" w:name="_Toc20823296"/>
      <w:r/>
      <w:bookmarkStart w:id="133" w:name="_Toc16938540"/>
      <w:r/>
      <w:bookmarkEnd w:id="127"/>
      <w:r/>
      <w:bookmarkEnd w:id="128"/>
      <w:r>
        <w:rPr>
          <w:rFonts w:hint="eastAsia"/>
          <w:b/>
          <w:bCs/>
          <w:color w:val="000000"/>
          <w:sz w:val="32"/>
          <w:szCs w:val="32"/>
        </w:rPr>
        <w:t xml:space="preserve">四、投标文件的递交</w:t>
      </w:r>
      <w:bookmarkEnd w:id="129"/>
      <w:r/>
      <w:bookmarkEnd w:id="130"/>
      <w:r/>
      <w:bookmarkEnd w:id="131"/>
      <w:r/>
      <w:bookmarkEnd w:id="132"/>
      <w:r/>
      <w:bookmarkEnd w:id="133"/>
      <w:r/>
      <w:r/>
    </w:p>
    <w:p>
      <w:pPr>
        <w:ind w:firstLine="420"/>
        <w:keepLines/>
        <w:keepNext/>
        <w:spacing w:line="400" w:lineRule="exact"/>
        <w:rPr>
          <w:rFonts w:ascii="黑体" w:hAnsi="Arial" w:eastAsia="黑体" w:cs="Arial"/>
          <w:color w:val="000000"/>
          <w:sz w:val="28"/>
          <w:szCs w:val="28"/>
        </w:rPr>
        <w:outlineLvl w:val="3"/>
      </w:pPr>
      <w:r/>
      <w:bookmarkStart w:id="134" w:name="_Toc462564084"/>
      <w:r/>
      <w:bookmarkStart w:id="135" w:name="_Toc20823297"/>
      <w:r/>
      <w:bookmarkStart w:id="136" w:name="_Toc513029225"/>
      <w:r/>
      <w:bookmarkStart w:id="137"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34"/>
      <w:r/>
      <w:bookmarkEnd w:id="135"/>
      <w:r/>
      <w:bookmarkEnd w:id="136"/>
      <w:r/>
      <w:bookmarkEnd w:id="137"/>
      <w:r>
        <w:rPr>
          <w:rFonts w:hint="eastAsia" w:ascii="黑体" w:hAnsi="Arial" w:eastAsia="黑体" w:cs="Arial"/>
          <w:color w:val="000000"/>
          <w:sz w:val="28"/>
          <w:szCs w:val="28"/>
        </w:rPr>
        <w:t xml:space="preserve">的递交</w:t>
      </w:r>
      <w:r/>
    </w:p>
    <w:p>
      <w:pPr>
        <w:ind w:left="52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hint="eastAsia" w:ascii="宋体" w:hAnsi="宋体"/>
          <w:bCs/>
          <w:color w:val="000000"/>
          <w:sz w:val="24"/>
          <w:szCs w:val="21"/>
        </w:rPr>
      </w:pPr>
      <w:r>
        <w:rPr>
          <w:rFonts w:hint="eastAsia" w:ascii="宋体" w:hAnsi="宋体"/>
          <w:bCs/>
          <w:color w:val="000000"/>
          <w:sz w:val="24"/>
          <w:szCs w:val="21"/>
        </w:rPr>
        <w:t xml:space="preserve">子投标文件。</w:t>
      </w:r>
      <w:bookmarkStart w:id="138" w:name="_Toc16938542"/>
      <w:r/>
      <w:bookmarkStart w:id="139" w:name="_Toc20823298"/>
      <w:r/>
      <w:bookmarkStart w:id="140"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38"/>
      <w:r/>
      <w:bookmarkEnd w:id="139"/>
      <w:r/>
      <w:bookmarkEnd w:id="140"/>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w:t>
      </w:r>
      <w:r>
        <w:rPr>
          <w:rFonts w:hint="eastAsia" w:ascii="宋体" w:hAnsi="宋体"/>
          <w:bCs/>
          <w:color w:val="000000"/>
          <w:sz w:val="24"/>
          <w:szCs w:val="21"/>
        </w:rPr>
        <w:t xml:space="preserve">后新的截止日期为准。</w:t>
      </w:r>
      <w:r/>
    </w:p>
    <w:p>
      <w:pPr>
        <w:ind w:firstLine="420"/>
        <w:keepLines/>
        <w:keepNext/>
        <w:spacing w:line="400" w:lineRule="exact"/>
        <w:rPr>
          <w:rFonts w:ascii="Arial" w:hAnsi="Arial" w:eastAsia="黑体" w:cs="Arial"/>
          <w:color w:val="000000"/>
          <w:sz w:val="28"/>
          <w:szCs w:val="28"/>
        </w:rPr>
        <w:outlineLvl w:val="3"/>
      </w:pPr>
      <w:r/>
      <w:bookmarkStart w:id="141" w:name="_Toc20823299"/>
      <w:r/>
      <w:bookmarkStart w:id="142" w:name="_Toc513029227"/>
      <w:r/>
      <w:bookmarkStart w:id="143"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41"/>
      <w:r/>
      <w:bookmarkEnd w:id="142"/>
      <w:r/>
      <w:bookmarkEnd w:id="143"/>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44" w:name="_Toc513029228"/>
      <w:r/>
      <w:bookmarkStart w:id="145" w:name="_Toc16938544"/>
      <w:r/>
      <w:bookmarkStart w:id="146"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44"/>
      <w:r/>
      <w:bookmarkEnd w:id="145"/>
      <w:r/>
      <w:bookmarkEnd w:id="146"/>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47" w:name="_Toc228282812"/>
      <w:r/>
      <w:bookmarkStart w:id="148" w:name="_Toc16938545"/>
      <w:r/>
      <w:bookmarkStart w:id="149" w:name="_Toc120614218"/>
      <w:r/>
      <w:bookmarkStart w:id="150" w:name="_Toc513029229"/>
      <w:r/>
      <w:bookmarkStart w:id="151" w:name="_Toc20823301"/>
      <w:r>
        <w:rPr>
          <w:rFonts w:hint="eastAsia"/>
          <w:b/>
          <w:bCs/>
          <w:color w:val="000000"/>
          <w:sz w:val="32"/>
          <w:szCs w:val="32"/>
        </w:rPr>
        <w:t xml:space="preserve">五、开标与评标</w:t>
      </w:r>
      <w:bookmarkEnd w:id="147"/>
      <w:r/>
      <w:bookmarkEnd w:id="148"/>
      <w:r/>
      <w:bookmarkEnd w:id="149"/>
      <w:r/>
      <w:bookmarkEnd w:id="150"/>
      <w:r/>
      <w:bookmarkEnd w:id="151"/>
      <w:r/>
      <w:r/>
    </w:p>
    <w:p>
      <w:pPr>
        <w:ind w:firstLine="420"/>
        <w:keepLines/>
        <w:keepNext/>
        <w:spacing w:line="400" w:lineRule="exact"/>
        <w:rPr>
          <w:rFonts w:ascii="Arial" w:hAnsi="Arial" w:eastAsia="黑体" w:cs="Arial"/>
          <w:color w:val="000000"/>
          <w:sz w:val="28"/>
          <w:szCs w:val="28"/>
        </w:rPr>
        <w:outlineLvl w:val="3"/>
      </w:pPr>
      <w:r/>
      <w:bookmarkStart w:id="152" w:name="_Toc16938546"/>
      <w:r/>
      <w:bookmarkStart w:id="153" w:name="_Toc20823302"/>
      <w:r/>
      <w:bookmarkStart w:id="154"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52"/>
      <w:r/>
      <w:bookmarkEnd w:id="153"/>
      <w:r/>
      <w:bookmarkEnd w:id="154"/>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55" w:name="_Toc16938547"/>
      <w:r/>
      <w:bookmarkStart w:id="156" w:name="_Toc513029231"/>
      <w:r/>
      <w:bookmarkStart w:id="157"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55"/>
      <w:r/>
      <w:bookmarkEnd w:id="156"/>
      <w:r/>
      <w:bookmarkEnd w:id="157"/>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58" w:name="_Toc513029232"/>
      <w:r/>
      <w:bookmarkStart w:id="159" w:name="_Toc20823304"/>
      <w:r/>
      <w:bookmarkStart w:id="16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58"/>
      <w:r/>
      <w:bookmarkEnd w:id="159"/>
      <w:r/>
      <w:bookmarkEnd w:id="160"/>
      <w:r/>
      <w:r/>
    </w:p>
    <w:p>
      <w:pPr>
        <w:ind w:firstLine="480"/>
        <w:spacing w:line="400" w:lineRule="exact"/>
        <w:rPr>
          <w:rFonts w:hint="eastAsia" w:ascii="宋体" w:hAnsi="宋体"/>
          <w:color w:val="000000"/>
          <w:sz w:val="24"/>
          <w:szCs w:val="24"/>
        </w:rPr>
      </w:pPr>
      <w:r/>
      <w:bookmarkStart w:id="161" w:name="_Toc20823305"/>
      <w:r/>
      <w:bookmarkStart w:id="162" w:name="_Toc513029233"/>
      <w:r/>
      <w:bookmarkStart w:id="163"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61"/>
      <w:r/>
      <w:bookmarkEnd w:id="162"/>
      <w:r/>
      <w:bookmarkEnd w:id="163"/>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t>
      </w:r>
      <w:r>
        <w:rPr>
          <w:bCs/>
          <w:color w:val="000000"/>
          <w:szCs w:val="21"/>
        </w:rPr>
        <w:t xml:space="preserve">www.creditchina.gov.cn</w:t>
      </w:r>
      <w:r>
        <w:rPr>
          <w:bCs/>
          <w:color w:val="000000"/>
          <w:szCs w:val="21"/>
        </w:rPr>
        <w:t xml:space="preserve">）</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w:t>
      </w:r>
      <w:r>
        <w:rPr>
          <w:rFonts w:hint="eastAsia" w:ascii="宋体" w:hAnsi="宋体"/>
          <w:bCs/>
          <w:color w:val="000000"/>
          <w:sz w:val="24"/>
          <w:szCs w:val="21"/>
        </w:rPr>
        <w:t xml:space="preserve">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color w:val="000000"/>
          <w:sz w:val="24"/>
          <w:szCs w:val="21"/>
        </w:rPr>
      </w:pPr>
      <w:r/>
      <w:bookmarkStart w:id="164" w:name="_Toc16938550"/>
      <w:r/>
      <w:bookmarkStart w:id="165" w:name="_Toc513029234"/>
      <w:r/>
      <w:bookmarkStart w:id="166"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w:t>
      </w:r>
      <w:r>
        <w:rPr>
          <w:rFonts w:ascii="宋体" w:hAnsi="宋体"/>
          <w:color w:val="000000"/>
          <w:sz w:val="24"/>
          <w:szCs w:val="21"/>
        </w:rPr>
        <w:t xml:space="preserve">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25.8</w:t>
      </w:r>
      <w:r>
        <w:rPr>
          <w:rFonts w:hint="eastAsia" w:ascii="宋体" w:hAnsi="宋体" w:cs="宋体"/>
          <w:color w:val="000000"/>
          <w:sz w:val="24"/>
          <w:szCs w:val="24"/>
        </w:rPr>
        <w:t xml:space="preserve"> 异常低价投标审查</w:t>
      </w:r>
      <w:r/>
    </w:p>
    <w:p>
      <w:pPr>
        <w:ind w:firstLine="420"/>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25.8.1</w:t>
      </w:r>
      <w:r>
        <w:rPr>
          <w:rFonts w:hint="eastAsia" w:ascii="宋体" w:hAnsi="宋体" w:cs="宋体"/>
          <w:color w:val="000000"/>
          <w:sz w:val="24"/>
          <w:szCs w:val="24"/>
        </w:rPr>
        <w:t xml:space="preserve"> 评标过程中出现下列情形之一的，评标委员会应当启动异常低价投标审查程序：</w:t>
      </w:r>
      <w:r/>
    </w:p>
    <w:p>
      <w:pPr>
        <w:ind w:firstLine="420"/>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（1）</w:t>
      </w:r>
      <w:r>
        <w:rPr>
          <w:rFonts w:hint="eastAsia" w:ascii="宋体" w:hAnsi="宋体" w:cs="宋体"/>
          <w:color w:val="000000"/>
          <w:sz w:val="24"/>
          <w:szCs w:val="24"/>
        </w:rPr>
        <w:t xml:space="preserve">投标报价低于采购项目预算50%的，即投标报价＜采购项目预算×50%；</w:t>
      </w:r>
      <w:r/>
    </w:p>
    <w:p>
      <w:pPr>
        <w:ind w:firstLine="420"/>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（2）</w:t>
      </w:r>
      <w:r>
        <w:rPr>
          <w:rFonts w:hint="eastAsia" w:ascii="宋体" w:hAnsi="宋体" w:cs="宋体"/>
          <w:color w:val="000000"/>
          <w:sz w:val="24"/>
          <w:szCs w:val="24"/>
        </w:rPr>
        <w:t xml:space="preserve">投标报价低于采购项目最高限价45%的，即投标报价＜采购项目最高限价×45%；</w:t>
      </w:r>
      <w:r/>
    </w:p>
    <w:p>
      <w:pPr>
        <w:ind w:firstLine="420"/>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color w:val="000000"/>
          <w:sz w:val="24"/>
          <w:szCs w:val="24"/>
        </w:rPr>
        <w:t xml:space="preserve">评标委员会认定的供应商报价过低、有可能影响产品质量或者不能诚信履约的其他情形。</w:t>
      </w:r>
      <w:r/>
    </w:p>
    <w:p>
      <w:pPr>
        <w:ind w:firstLine="420"/>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25.8.2</w:t>
      </w:r>
      <w:r>
        <w:rPr>
          <w:rFonts w:hint="eastAsia" w:ascii="宋体" w:hAnsi="宋体" w:cs="宋体"/>
          <w:color w:val="000000"/>
          <w:sz w:val="24"/>
          <w:szCs w:val="24"/>
        </w:rPr>
        <w:t xml:space="preserve">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4"/>
      <w:r/>
      <w:bookmarkEnd w:id="165"/>
      <w:r/>
      <w:bookmarkEnd w:id="166"/>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67" w:name="_Toc20823307"/>
      <w:r/>
      <w:bookmarkStart w:id="168" w:name="_Toc513029235"/>
      <w:r/>
      <w:bookmarkStart w:id="169"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w:t>
      </w:r>
      <w:r>
        <w:rPr>
          <w:rFonts w:hint="eastAsia" w:ascii="宋体" w:hAnsi="宋体"/>
          <w:bCs/>
          <w:color w:val="000000"/>
          <w:sz w:val="24"/>
          <w:szCs w:val="21"/>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ascii="方正魏碑_GBK" w:hAnsi="方正魏碑_GBK" w:eastAsia="方正魏碑_GBK" w:cs="方正魏碑_GBK"/>
          <w:color w:val="000000"/>
          <w:sz w:val="30"/>
          <w:szCs w:val="30"/>
        </w:rPr>
      </w:pPr>
      <w:r>
        <w:rPr>
          <w:rFonts w:hint="eastAsia" w:ascii="宋体" w:hAnsi="宋体" w:cs="宋体"/>
          <w:b/>
          <w:bCs/>
          <w:color w:val="000000"/>
          <w:sz w:val="24"/>
          <w:szCs w:val="24"/>
        </w:rPr>
        <w:t xml:space="preserve">26.1.10 </w:t>
      </w:r>
      <w:r>
        <w:rPr>
          <w:rFonts w:hint="eastAsia" w:ascii="宋体" w:hAnsi="宋体" w:cs="宋体"/>
          <w:color w:val="000000"/>
          <w:sz w:val="24"/>
          <w:szCs w:val="24"/>
        </w:rPr>
        <w:t xml:space="preserve">评标委员会按照本招标文件规定对投标人进行异常低价投标审查后，认为投标人不能证明其报价合理性的。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如本项目采</w:t>
      </w:r>
      <w:r>
        <w:rPr>
          <w:rFonts w:hint="eastAsia" w:ascii="宋体" w:hAnsi="宋体"/>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hint="eastAsia"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hint="eastAsia"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70" w:name="_Toc120614219"/>
      <w:r/>
      <w:bookmarkStart w:id="171" w:name="_Toc228282813"/>
      <w:r>
        <w:rPr>
          <w:rFonts w:hint="eastAsia"/>
          <w:b/>
          <w:bCs/>
          <w:color w:val="000000"/>
          <w:sz w:val="32"/>
          <w:szCs w:val="32"/>
        </w:rPr>
        <w:t xml:space="preserve">六、</w:t>
      </w:r>
      <w:bookmarkEnd w:id="167"/>
      <w:r/>
      <w:bookmarkEnd w:id="168"/>
      <w:r/>
      <w:bookmarkEnd w:id="169"/>
      <w:r>
        <w:rPr>
          <w:rFonts w:hint="eastAsia"/>
          <w:b/>
          <w:bCs/>
          <w:color w:val="000000"/>
          <w:sz w:val="32"/>
          <w:szCs w:val="32"/>
        </w:rPr>
        <w:t xml:space="preserve">定标</w:t>
      </w:r>
      <w:bookmarkEnd w:id="170"/>
      <w:r/>
      <w:bookmarkEnd w:id="171"/>
      <w:r/>
      <w:r/>
    </w:p>
    <w:p>
      <w:pPr>
        <w:ind w:firstLine="600"/>
        <w:keepLines/>
        <w:keepNext/>
        <w:spacing w:line="400" w:lineRule="exact"/>
        <w:rPr>
          <w:rFonts w:hint="eastAsia" w:ascii="黑体" w:hAnsi="宋体" w:eastAsia="黑体"/>
          <w:bCs/>
          <w:color w:val="000000"/>
          <w:sz w:val="30"/>
          <w:szCs w:val="30"/>
        </w:rPr>
        <w:outlineLvl w:val="3"/>
      </w:pPr>
      <w:r/>
      <w:bookmarkStart w:id="172" w:name="_Toc513029238"/>
      <w:r/>
      <w:bookmarkStart w:id="173" w:name="_Toc16938554"/>
      <w:r/>
      <w:bookmarkStart w:id="174"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72"/>
      <w:r>
        <w:rPr>
          <w:rFonts w:hint="eastAsia" w:ascii="黑体" w:hAnsi="宋体" w:eastAsia="黑体"/>
          <w:bCs/>
          <w:color w:val="000000"/>
          <w:sz w:val="30"/>
          <w:szCs w:val="30"/>
        </w:rPr>
        <w:t xml:space="preserve">确定</w:t>
      </w:r>
      <w:bookmarkEnd w:id="173"/>
      <w:r/>
      <w:bookmarkEnd w:id="174"/>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hint="eastAsia" w:ascii="宋体" w:hAnsi="宋体"/>
          <w:color w:val="000000"/>
          <w:sz w:val="24"/>
          <w:szCs w:val="24"/>
        </w:rPr>
      </w:pPr>
      <w:r/>
      <w:bookmarkStart w:id="17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75"/>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76" w:name="_Toc20823308"/>
      <w:r/>
      <w:bookmarkStart w:id="177" w:name="_Toc16938552"/>
      <w:r/>
      <w:bookmarkStart w:id="178" w:name="_Toc513029236"/>
      <w:r/>
      <w:bookmarkStart w:id="179" w:name="_Toc228282814"/>
      <w:r/>
      <w:bookmarkStart w:id="180" w:name="_Toc120614220"/>
      <w:r>
        <w:rPr>
          <w:rFonts w:hint="eastAsia"/>
          <w:b/>
          <w:bCs/>
          <w:color w:val="000000"/>
          <w:sz w:val="32"/>
          <w:szCs w:val="32"/>
        </w:rPr>
        <w:t xml:space="preserve">七、授予合同</w:t>
      </w:r>
      <w:bookmarkEnd w:id="176"/>
      <w:r/>
      <w:bookmarkEnd w:id="177"/>
      <w:r/>
      <w:bookmarkEnd w:id="178"/>
      <w:r/>
      <w:bookmarkEnd w:id="179"/>
      <w:r/>
      <w:bookmarkEnd w:id="180"/>
      <w:r/>
      <w:r/>
    </w:p>
    <w:p>
      <w:pPr>
        <w:ind w:firstLine="600"/>
        <w:keepLines/>
        <w:keepNext/>
        <w:spacing w:line="400" w:lineRule="exact"/>
        <w:rPr>
          <w:rFonts w:hint="eastAsia" w:ascii="黑体" w:hAnsi="宋体" w:eastAsia="黑体"/>
          <w:bCs/>
          <w:color w:val="000000"/>
          <w:sz w:val="30"/>
          <w:szCs w:val="30"/>
        </w:rPr>
        <w:outlineLvl w:val="3"/>
      </w:pPr>
      <w:r/>
      <w:bookmarkStart w:id="181" w:name="_Toc513029237"/>
      <w:r/>
      <w:bookmarkStart w:id="182" w:name="_Toc20823309"/>
      <w:r/>
      <w:bookmarkStart w:id="183"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w:t>
      </w:r>
      <w:r>
        <w:rPr>
          <w:rFonts w:hint="eastAsia" w:ascii="宋体" w:hAnsi="宋体"/>
          <w:color w:val="000000"/>
          <w:sz w:val="24"/>
          <w:szCs w:val="24"/>
        </w:rPr>
        <w:t xml:space="preserve">货物相关的服务）的，在不改变合同其他条款的前提下，可以与中标供应商协商签订补充合同，但所有补充合同的采购金额不超过原合同金额10%。</w:t>
      </w:r>
      <w:bookmarkEnd w:id="181"/>
      <w:r/>
      <w:bookmarkEnd w:id="182"/>
      <w:r/>
      <w:bookmarkEnd w:id="183"/>
      <w:r/>
      <w:r/>
    </w:p>
    <w:p>
      <w:pPr>
        <w:ind w:firstLine="600"/>
        <w:keepLines/>
        <w:keepNext/>
        <w:spacing w:line="400" w:lineRule="exact"/>
        <w:rPr>
          <w:rFonts w:hint="eastAsia" w:ascii="黑体" w:hAnsi="宋体" w:eastAsia="黑体"/>
          <w:bCs/>
          <w:color w:val="000000"/>
          <w:sz w:val="30"/>
          <w:szCs w:val="30"/>
        </w:rPr>
        <w:outlineLvl w:val="3"/>
      </w:pPr>
      <w:r/>
      <w:bookmarkStart w:id="184" w:name="_Toc120614221"/>
      <w:r/>
      <w:bookmarkStart w:id="185" w:name="_Toc513029242"/>
      <w:r/>
      <w:bookmarkStart w:id="186" w:name="_Toc479757207"/>
      <w:r/>
      <w:bookmarkStart w:id="187" w:name="_Toc20823314"/>
      <w:r/>
      <w:bookmarkStart w:id="188"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ind w:firstLine="2640"/>
        <w:jc w:val="left"/>
        <w:keepNext/>
        <w:rPr>
          <w:rFonts w:ascii="黑体" w:eastAsia="黑体"/>
          <w:bCs/>
          <w:color w:val="000000"/>
          <w:sz w:val="44"/>
          <w:szCs w:val="28"/>
        </w:rPr>
        <w:outlineLvl w:val="0"/>
      </w:pPr>
      <w:r/>
      <w:bookmarkStart w:id="189" w:name="_Toc228282815"/>
      <w:r>
        <w:rPr>
          <w:rFonts w:hint="eastAsia" w:ascii="黑体" w:eastAsia="黑体"/>
          <w:bCs/>
          <w:color w:val="000000"/>
          <w:sz w:val="44"/>
          <w:szCs w:val="28"/>
        </w:rPr>
        <w:t xml:space="preserve">第三章  合同</w:t>
      </w:r>
      <w:bookmarkEnd w:id="184"/>
      <w:r/>
      <w:bookmarkEnd w:id="185"/>
      <w:r/>
      <w:bookmarkEnd w:id="186"/>
      <w:r/>
      <w:bookmarkEnd w:id="187"/>
      <w:r/>
      <w:bookmarkEnd w:id="188"/>
      <w:r>
        <w:rPr>
          <w:rFonts w:hint="eastAsia" w:ascii="黑体" w:eastAsia="黑体"/>
          <w:bCs/>
          <w:color w:val="000000"/>
          <w:sz w:val="44"/>
          <w:szCs w:val="28"/>
        </w:rPr>
        <w:t xml:space="preserve">文本</w:t>
      </w:r>
      <w:bookmarkEnd w:id="189"/>
      <w:r/>
      <w:r/>
    </w:p>
    <w:p>
      <w:pPr>
        <w:spacing w:line="400" w:lineRule="exact"/>
        <w:rPr>
          <w:rFonts w:hint="eastAsia" w:ascii="宋体" w:hAnsi="宋体"/>
          <w:bCs/>
          <w:color w:val="ff0000"/>
          <w:sz w:val="24"/>
          <w:szCs w:val="24"/>
        </w:rPr>
      </w:pPr>
      <w:r/>
      <w:bookmarkStart w:id="190" w:name="_Toc16938559"/>
      <w:r/>
      <w:bookmarkStart w:id="191" w:name="_Toc20823315"/>
      <w:r/>
      <w:bookmarkStart w:id="192" w:name="_Toc513029243"/>
      <w:r/>
      <w:bookmarkStart w:id="193" w:name="_Toc3995"/>
      <w:r/>
      <w:bookmarkStart w:id="194" w:name="_Hlt16619350"/>
      <w:r/>
      <w:bookmarkStart w:id="195" w:name="_Toc20823346"/>
      <w:r/>
      <w:bookmarkStart w:id="196" w:name="_Toc16938590"/>
      <w:r/>
      <w:bookmarkStart w:id="197" w:name="_Toc120614244"/>
      <w:r/>
      <w:bookmarkStart w:id="198" w:name="_Toc479757211"/>
      <w:r/>
      <w:bookmarkStart w:id="199" w:name="_Toc462564139"/>
      <w:r/>
      <w:bookmarkEnd w:id="190"/>
      <w:r/>
      <w:bookmarkEnd w:id="191"/>
      <w:r/>
      <w:bookmarkEnd w:id="192"/>
      <w:r/>
      <w:bookmarkEnd w:id="193"/>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4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4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4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w:t>
      </w:r>
      <w:r>
        <w:rPr>
          <w:rFonts w:hint="eastAsia" w:ascii="宋体" w:hAnsi="宋体" w:cs="仿宋_GB2312"/>
          <w:sz w:val="28"/>
          <w:szCs w:val="28"/>
        </w:rPr>
        <w:t xml:space="preserve">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46"/>
        <w:spacing w:line="400" w:lineRule="exact"/>
        <w:rPr>
          <w:rFonts w:hint="eastAsia" w:ascii="黑体" w:hAnsi="华文中宋" w:eastAsia="黑体"/>
          <w:b w:val="0"/>
          <w:bCs w:val="0"/>
          <w:sz w:val="28"/>
          <w:szCs w:val="28"/>
        </w:rPr>
      </w:pPr>
      <w:r/>
      <w:bookmarkStart w:id="200" w:name="_Toc228282816"/>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00"/>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48"/>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项目信息</w:t>
      </w:r>
      <w:r/>
    </w:p>
    <w:p>
      <w:pPr>
        <w:pStyle w:val="948"/>
        <w:numPr>
          <w:ilvl w:val="0"/>
          <w:numId w:val="2"/>
        </w:numPr>
        <w:ind w:left="0" w:firstLine="420"/>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48"/>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48"/>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9"/>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9"/>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9"/>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9"/>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9"/>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9"/>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9"/>
        <w:ind w:firstLine="220"/>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9"/>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9"/>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w:t>
      </w:r>
      <w:r>
        <w:rPr>
          <w:rFonts w:hint="eastAsia" w:ascii="宋体" w:hAnsi="宋体"/>
          <w:szCs w:val="21"/>
        </w:rPr>
        <w:t xml:space="preserve">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0"/>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spacing w:before="120" w:after="120"/>
        <w:rPr>
          <w:rFonts w:hint="eastAsia" w:ascii="宋体" w:hAnsi="宋体" w:cs="Courier New"/>
          <w:bCs/>
          <w:sz w:val="24"/>
          <w:szCs w:val="24"/>
        </w:rPr>
      </w:pPr>
      <w:r>
        <w:rPr>
          <w:rFonts w:hint="eastAsia" w:ascii="宋体" w:hAnsi="宋体" w:cs="Courier New"/>
          <w:bCs/>
          <w:sz w:val="24"/>
          <w:szCs w:val="24"/>
        </w:rPr>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49"/>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9"/>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949"/>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50"/>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46"/>
        <w:spacing w:before="156"/>
        <w:rPr>
          <w:rFonts w:hint="eastAsia" w:ascii="黑体" w:hAnsi="黑体" w:eastAsia="黑体"/>
          <w:sz w:val="28"/>
          <w:szCs w:val="28"/>
        </w:rPr>
      </w:pPr>
      <w:r>
        <w:rPr>
          <w:rFonts w:ascii="宋体" w:hAnsi="宋体"/>
          <w:sz w:val="21"/>
          <w:szCs w:val="21"/>
          <w:u w:val="single"/>
        </w:rPr>
        <w:br w:type="page" w:clear="all"/>
      </w:r>
      <w:bookmarkStart w:id="201" w:name="_Toc228282817"/>
      <w:r>
        <w:rPr>
          <w:rFonts w:hint="eastAsia" w:ascii="黑体" w:hAnsi="黑体" w:eastAsia="黑体"/>
          <w:b w:val="0"/>
          <w:bCs w:val="0"/>
          <w:sz w:val="28"/>
          <w:szCs w:val="28"/>
        </w:rPr>
        <w:t xml:space="preserve">第二节 政府采购合同通用条款</w:t>
      </w:r>
      <w:bookmarkEnd w:id="201"/>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w:t>
      </w:r>
      <w:r>
        <w:rPr>
          <w:rFonts w:hint="eastAsia" w:ascii="宋体" w:hAnsi="宋体"/>
          <w:color w:val="000000"/>
          <w:szCs w:val="21"/>
        </w:rPr>
        <w:t xml:space="preserve">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9"/>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51"/>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1"/>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w:t>
      </w:r>
      <w:r>
        <w:rPr>
          <w:rFonts w:hint="eastAsia" w:ascii="宋体" w:hAnsi="宋体"/>
          <w:szCs w:val="21"/>
        </w:rPr>
        <w:t xml:space="preserve">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9"/>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9"/>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4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4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49"/>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9"/>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pStyle w:val="946"/>
        <w:spacing w:line="400" w:lineRule="exact"/>
        <w:rPr>
          <w:rFonts w:hint="eastAsia" w:ascii="黑体" w:hAnsi="华文中宋" w:eastAsia="黑体"/>
          <w:b w:val="0"/>
          <w:bCs w:val="0"/>
          <w:sz w:val="28"/>
          <w:szCs w:val="28"/>
        </w:rPr>
      </w:pPr>
      <w:r>
        <w:rPr>
          <w:rFonts w:hint="eastAsia" w:ascii="黑体" w:hAnsi="华文中宋" w:eastAsia="黑体"/>
          <w:sz w:val="28"/>
          <w:szCs w:val="28"/>
        </w:rPr>
        <w:br w:type="page" w:clear="all"/>
      </w:r>
      <w:bookmarkStart w:id="202" w:name="_Toc228282818"/>
      <w:r>
        <w:rPr>
          <w:rFonts w:hint="eastAsia" w:ascii="黑体" w:hAnsi="华文中宋" w:eastAsia="黑体"/>
          <w:b w:val="0"/>
          <w:bCs w:val="0"/>
          <w:sz w:val="28"/>
          <w:szCs w:val="28"/>
        </w:rPr>
        <w:t xml:space="preserve">第三节 政府采购合同专用条款</w:t>
      </w:r>
      <w:bookmarkEnd w:id="202"/>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949"/>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pStyle w:val="94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5"/>
        <w:jc w:val="center"/>
        <w:rPr>
          <w:rFonts w:ascii="宋体" w:hAnsi="宋体" w:cs="宋体"/>
          <w:b/>
          <w:bCs/>
          <w:spacing w:val="-20"/>
          <w:sz w:val="48"/>
          <w:szCs w:val="48"/>
        </w:rPr>
      </w:pPr>
      <w:r>
        <w:rPr>
          <w:rFonts w:ascii="宋体" w:hAnsi="宋体"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r>
      <w:r/>
    </w:p>
    <w:p>
      <w:pPr>
        <w:jc w:val="left"/>
        <w:rPr>
          <w:rFonts w:ascii="宋体" w:hAnsi="宋体" w:eastAsia="楷体_GB2312" w:cs="宋体"/>
          <w:b/>
          <w:bCs/>
          <w:spacing w:val="-20"/>
          <w:sz w:val="48"/>
          <w:szCs w:val="48"/>
        </w:rPr>
      </w:pPr>
      <w:r>
        <w:rPr>
          <w:rFonts w:ascii="宋体" w:hAnsi="宋体" w:eastAsia="楷体_GB2312" w:cs="宋体"/>
          <w:b/>
          <w:bCs/>
          <w:spacing w:val="-20"/>
          <w:sz w:val="48"/>
          <w:szCs w:val="48"/>
        </w:rPr>
        <w:t xml:space="preserve">附</w:t>
      </w:r>
      <w:r>
        <w:rPr>
          <w:rFonts w:hint="eastAsia" w:ascii="宋体" w:hAnsi="宋体" w:eastAsia="楷体_GB2312" w:cs="宋体"/>
          <w:b/>
          <w:bCs/>
          <w:spacing w:val="-20"/>
          <w:sz w:val="48"/>
          <w:szCs w:val="48"/>
        </w:rPr>
        <w:t xml:space="preserve">：</w:t>
      </w:r>
      <w:r/>
    </w:p>
    <w:p>
      <w:pPr>
        <w:jc w:val="center"/>
        <w:rPr>
          <w:rFonts w:ascii="宋体" w:hAnsi="Courier New" w:cs="Courier New"/>
          <w:b/>
          <w:sz w:val="36"/>
          <w:szCs w:val="36"/>
        </w:rPr>
      </w:pPr>
      <w:r>
        <w:rPr>
          <w:rFonts w:hint="eastAsia" w:ascii="宋体" w:hAnsi="Courier New" w:cs="Courier New"/>
          <w:b/>
          <w:sz w:val="36"/>
          <w:szCs w:val="36"/>
        </w:rPr>
        <w:t xml:space="preserve">无锡商业职业技术学院国内采购安装合同</w:t>
      </w:r>
      <w:r/>
    </w:p>
    <w:p>
      <w:pPr>
        <w:rPr>
          <w:rFonts w:hint="eastAsia" w:ascii="宋体" w:hAnsi="宋体"/>
          <w:b/>
          <w:bCs/>
          <w:sz w:val="24"/>
          <w:szCs w:val="24"/>
        </w:rPr>
      </w:pPr>
      <w:r>
        <w:rPr>
          <w:rFonts w:hint="eastAsia" w:ascii="宋体" w:hAnsi="宋体"/>
          <w:b/>
          <w:bCs/>
          <w:sz w:val="24"/>
          <w:szCs w:val="24"/>
        </w:rPr>
        <w:t xml:space="preserve">甲方：无锡商业职业技术学院</w:t>
      </w:r>
      <w:r/>
    </w:p>
    <w:p>
      <w:pPr>
        <w:rPr>
          <w:rFonts w:hint="eastAsia" w:ascii="宋体" w:hAnsi="宋体"/>
          <w:b/>
          <w:sz w:val="24"/>
          <w:szCs w:val="24"/>
        </w:rPr>
      </w:pPr>
      <w:r>
        <w:rPr>
          <w:rFonts w:hint="eastAsia" w:ascii="宋体" w:hAnsi="宋体"/>
          <w:b/>
          <w:bCs/>
          <w:sz w:val="24"/>
          <w:szCs w:val="24"/>
        </w:rPr>
        <w:t xml:space="preserve">乙方：</w:t>
      </w:r>
      <w:r>
        <w:rPr>
          <w:rFonts w:hint="eastAsia" w:ascii="宋体" w:hAnsi="宋体"/>
          <w:b/>
          <w:sz w:val="24"/>
          <w:szCs w:val="24"/>
        </w:rPr>
        <w:t xml:space="preserve">XXXXXXXXXXXX公司</w:t>
      </w:r>
      <w:r/>
    </w:p>
    <w:tbl>
      <w:tblPr>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9"/>
        <w:gridCol w:w="1530"/>
        <w:gridCol w:w="3593"/>
        <w:gridCol w:w="1368"/>
        <w:gridCol w:w="2445"/>
      </w:tblGrid>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甲</w:t>
            </w:r>
            <w:r/>
          </w:p>
          <w:p>
            <w:pPr>
              <w:jc w:val="center"/>
              <w:rPr>
                <w:rFonts w:hint="eastAsia" w:ascii="宋体" w:hAnsi="宋体"/>
                <w:szCs w:val="21"/>
              </w:rPr>
            </w:pPr>
            <w:r>
              <w:rPr>
                <w:rFonts w:hint="eastAsia" w:ascii="宋体" w:hAnsi="宋体"/>
                <w:szCs w:val="21"/>
              </w:rPr>
              <w:t xml:space="preserve">方</w:t>
            </w:r>
            <w:r/>
          </w:p>
        </w:tc>
        <w:tc>
          <w:tcPr>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单位名称：</w:t>
            </w:r>
            <w:r/>
          </w:p>
          <w:p>
            <w:pPr>
              <w:jc w:val="center"/>
              <w:rPr>
                <w:rFonts w:hint="eastAsia" w:ascii="宋体" w:hAnsi="宋体"/>
                <w:szCs w:val="21"/>
              </w:rPr>
            </w:pPr>
            <w:r>
              <w:rPr>
                <w:rFonts w:hint="eastAsia" w:ascii="宋体" w:hAnsi="宋体"/>
                <w:szCs w:val="21"/>
              </w:rPr>
              <w:t xml:space="preserve">地　　址：</w:t>
            </w:r>
            <w:r/>
          </w:p>
          <w:p>
            <w:pPr>
              <w:jc w:val="center"/>
              <w:rPr>
                <w:rFonts w:hint="eastAsia" w:ascii="宋体" w:hAnsi="宋体"/>
                <w:szCs w:val="21"/>
              </w:rPr>
            </w:pPr>
            <w:r>
              <w:rPr>
                <w:rFonts w:hint="eastAsia" w:ascii="宋体" w:hAnsi="宋体"/>
                <w:szCs w:val="21"/>
              </w:rPr>
              <w:t xml:space="preserve">邮　　编：</w:t>
            </w:r>
            <w:r/>
          </w:p>
          <w:p>
            <w:pPr>
              <w:jc w:val="center"/>
              <w:rPr>
                <w:rFonts w:hint="eastAsia" w:ascii="宋体" w:hAnsi="宋体"/>
                <w:szCs w:val="21"/>
              </w:rPr>
            </w:pPr>
            <w:r>
              <w:rPr>
                <w:rFonts w:hint="eastAsia" w:ascii="宋体" w:hAnsi="宋体"/>
                <w:szCs w:val="21"/>
              </w:rPr>
              <w:t xml:space="preserve">电　　话：</w:t>
            </w:r>
            <w:r/>
          </w:p>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4" w:type="dxa"/>
            <w:vMerge w:val="restart"/>
            <w:textDirection w:val="lrTb"/>
            <w:noWrap w:val="false"/>
          </w:tcPr>
          <w:p>
            <w:pPr>
              <w:rPr>
                <w:rFonts w:hint="eastAsia" w:ascii="宋体" w:hAnsi="宋体"/>
                <w:szCs w:val="21"/>
              </w:rPr>
            </w:pPr>
            <w:r>
              <w:rPr>
                <w:rFonts w:hint="eastAsia" w:ascii="宋体" w:hAnsi="宋体"/>
                <w:szCs w:val="21"/>
              </w:rPr>
              <w:t xml:space="preserve">无锡商业职业技术学院</w:t>
            </w:r>
            <w:r/>
          </w:p>
          <w:p>
            <w:pPr>
              <w:ind w:firstLine="735"/>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none" w:color="000000" w:sz="4" w:space="0"/>
              <w:right w:val="none" w:color="000000" w:sz="4" w:space="0"/>
            </w:tcBorders>
            <w:tcW w:w="1368" w:type="dxa"/>
            <w:vAlign w:val="center"/>
            <w:textDirection w:val="lrTb"/>
            <w:noWrap w:val="false"/>
          </w:tcPr>
          <w:p>
            <w:pPr>
              <w:jc w:val="right"/>
              <w:rPr>
                <w:rFonts w:hint="eastAsia" w:ascii="宋体" w:hAnsi="宋体"/>
                <w:szCs w:val="21"/>
              </w:rPr>
            </w:pPr>
            <w:r>
              <w:rPr>
                <w:rFonts w:hint="eastAsia" w:ascii="宋体" w:hAnsi="宋体"/>
                <w:szCs w:val="21"/>
              </w:rPr>
              <w:t xml:space="preserve">项目号码：</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b/>
                <w:szCs w:val="21"/>
              </w:rPr>
            </w:pPr>
            <w:r>
              <w:rPr>
                <w:rFonts w:hint="eastAsia" w:ascii="宋体" w:hAnsi="宋体"/>
                <w:b/>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合同号码：</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签订地点：</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40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none" w:color="000000" w:sz="4" w:space="0"/>
              <w:left w:val="single" w:color="000000" w:sz="4" w:space="0"/>
              <w:bottom w:val="none" w:color="000000" w:sz="4" w:space="0"/>
              <w:right w:val="none" w:color="000000" w:sz="4" w:space="0"/>
            </w:tcBorders>
            <w:tcW w:w="1368" w:type="dxa"/>
            <w:textDirection w:val="lrTb"/>
            <w:noWrap w:val="false"/>
          </w:tcPr>
          <w:p>
            <w:pPr>
              <w:jc w:val="right"/>
              <w:rPr>
                <w:rFonts w:hint="eastAsia" w:ascii="宋体" w:hAnsi="宋体"/>
                <w:szCs w:val="21"/>
              </w:rPr>
            </w:pPr>
            <w:r>
              <w:rPr>
                <w:rFonts w:hint="eastAsia" w:ascii="宋体" w:hAnsi="宋体"/>
                <w:szCs w:val="21"/>
              </w:rPr>
              <w:t xml:space="preserve">签订时间：</w:t>
            </w:r>
            <w:r/>
          </w:p>
        </w:tc>
        <w:tc>
          <w:tcPr>
            <w:tcBorders>
              <w:top w:val="single" w:color="000000" w:sz="4" w:space="0"/>
              <w:left w:val="none" w:color="000000" w:sz="4" w:space="0"/>
              <w:bottom w:val="single" w:color="000000" w:sz="4" w:space="0"/>
              <w:right w:val="single" w:color="000000" w:sz="4" w:space="0"/>
            </w:tcBorders>
            <w:tcW w:w="2446" w:type="dxa"/>
            <w:textDirection w:val="lrTb"/>
            <w:noWrap w:val="false"/>
          </w:tcPr>
          <w:p>
            <w:pPr>
              <w:jc w:val="center"/>
              <w:rPr>
                <w:rFonts w:hint="eastAsia" w:ascii="宋体" w:hAnsi="宋体"/>
                <w:b/>
                <w:szCs w:val="21"/>
              </w:rPr>
            </w:pPr>
            <w:r>
              <w:rPr>
                <w:rFonts w:hint="eastAsia" w:ascii="宋体" w:hAnsi="宋体"/>
                <w:b/>
                <w:szCs w:val="21"/>
              </w:rPr>
              <w:t xml:space="preserve">202 年  月   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hint="eastAsia" w:ascii="宋体" w:hAnsi="宋体"/>
                <w:szCs w:val="21"/>
              </w:rPr>
            </w:pPr>
            <w:r>
              <w:rPr>
                <w:rFonts w:hint="eastAsia" w:ascii="宋体" w:hAnsi="宋体"/>
                <w:szCs w:val="21"/>
              </w:rPr>
              <w:t xml:space="preserve">乙</w:t>
            </w:r>
            <w:r/>
          </w:p>
          <w:p>
            <w:pPr>
              <w:jc w:val="center"/>
              <w:rPr>
                <w:rFonts w:hint="eastAsia" w:ascii="宋体" w:hAnsi="宋体"/>
                <w:szCs w:val="21"/>
              </w:rPr>
            </w:pPr>
            <w:r>
              <w:rPr>
                <w:rFonts w:hint="eastAsia" w:ascii="宋体" w:hAnsi="宋体"/>
                <w:szCs w:val="21"/>
              </w:rPr>
              <w:t xml:space="preserve">方</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szCs w:val="21"/>
              </w:rPr>
            </w:pPr>
            <w:r>
              <w:rPr>
                <w:rFonts w:hint="eastAsia" w:ascii="宋体" w:hAnsi="宋体"/>
                <w:szCs w:val="21"/>
              </w:rPr>
              <w:t xml:space="preserve">单位名称：</w:t>
            </w:r>
            <w:r/>
          </w:p>
          <w:p>
            <w:pPr>
              <w:jc w:val="center"/>
              <w:rPr>
                <w:rFonts w:hint="eastAsia" w:ascii="宋体" w:hAnsi="宋体"/>
                <w:szCs w:val="21"/>
              </w:rPr>
            </w:pPr>
            <w:r>
              <w:rPr>
                <w:rFonts w:hint="eastAsia" w:ascii="宋体" w:hAnsi="宋体"/>
                <w:szCs w:val="21"/>
              </w:rPr>
              <w:t xml:space="preserve">地　　址：</w:t>
            </w:r>
            <w:r/>
          </w:p>
          <w:p>
            <w:pPr>
              <w:jc w:val="center"/>
              <w:rPr>
                <w:rFonts w:hint="eastAsia" w:ascii="宋体" w:hAnsi="宋体"/>
                <w:szCs w:val="21"/>
              </w:rPr>
            </w:pPr>
            <w:r>
              <w:rPr>
                <w:rFonts w:hint="eastAsia" w:ascii="宋体" w:hAnsi="宋体"/>
                <w:szCs w:val="21"/>
              </w:rPr>
              <w:t xml:space="preserve">邮　　编：</w:t>
            </w:r>
            <w:r/>
          </w:p>
          <w:p>
            <w:pPr>
              <w:jc w:val="center"/>
              <w:rPr>
                <w:rFonts w:hint="eastAsia" w:ascii="宋体" w:hAnsi="宋体"/>
                <w:szCs w:val="21"/>
              </w:rPr>
            </w:pPr>
            <w:r>
              <w:rPr>
                <w:rFonts w:hint="eastAsia" w:ascii="宋体" w:hAnsi="宋体"/>
                <w:szCs w:val="21"/>
              </w:rPr>
              <w:t xml:space="preserve">电话传真：</w:t>
            </w:r>
            <w:r/>
          </w:p>
          <w:p>
            <w:pPr>
              <w:jc w:val="center"/>
              <w:rPr>
                <w:rFonts w:hint="eastAsia" w:ascii="宋体" w:hAnsi="宋体"/>
                <w:szCs w:val="21"/>
              </w:rPr>
            </w:pPr>
            <w:r>
              <w:rPr>
                <w:rFonts w:hint="eastAsia" w:ascii="宋体" w:hAnsi="宋体"/>
                <w:szCs w:val="21"/>
              </w:rPr>
              <w:t xml:space="preserve">开 户 行：</w:t>
            </w:r>
            <w:r/>
          </w:p>
          <w:p>
            <w:pPr>
              <w:jc w:val="center"/>
              <w:rPr>
                <w:rFonts w:hint="eastAsia" w:ascii="宋体" w:hAnsi="宋体"/>
                <w:szCs w:val="21"/>
              </w:rPr>
            </w:pPr>
            <w:r>
              <w:rPr>
                <w:rFonts w:hint="eastAsia" w:ascii="宋体" w:hAnsi="宋体"/>
                <w:szCs w:val="21"/>
              </w:rPr>
              <w:t xml:space="preserve">账　　号：</w:t>
            </w:r>
            <w:r/>
          </w:p>
        </w:tc>
        <w:tc>
          <w:tcPr>
            <w:gridSpan w:val="3"/>
            <w:tcBorders>
              <w:top w:val="single" w:color="000000" w:sz="4" w:space="0"/>
              <w:left w:val="single" w:color="000000" w:sz="4" w:space="0"/>
              <w:bottom w:val="single" w:color="000000" w:sz="4" w:space="0"/>
              <w:right w:val="single" w:color="000000" w:sz="4" w:space="0"/>
            </w:tcBorders>
            <w:tcW w:w="7408" w:type="dxa"/>
            <w:textDirection w:val="lrTb"/>
            <w:noWrap w:val="false"/>
          </w:tcPr>
          <w:p>
            <w:pPr>
              <w:rPr>
                <w:rFonts w:hint="eastAsia" w:ascii="宋体" w:hAnsi="宋体"/>
                <w:b/>
                <w:szCs w:val="21"/>
              </w:rPr>
            </w:pPr>
            <w:r>
              <w:rPr>
                <w:rFonts w:hint="eastAsia" w:ascii="宋体" w:hAnsi="宋体"/>
                <w:b/>
                <w:szCs w:val="21"/>
              </w:rPr>
              <w:t xml:space="preserve">乙方填写</w:t>
            </w:r>
            <w:r/>
          </w:p>
        </w:tc>
      </w:tr>
    </w:tbl>
    <w:p>
      <w:pPr>
        <w:ind w:firstLine="412"/>
        <w:spacing w:line="320" w:lineRule="exact"/>
        <w:rPr>
          <w:rFonts w:hint="eastAsia" w:ascii="宋体" w:hAnsi="宋体"/>
          <w:bCs/>
          <w:szCs w:val="21"/>
        </w:rPr>
      </w:pPr>
      <w:r>
        <w:rPr>
          <w:rFonts w:hint="eastAsia" w:ascii="宋体" w:hAnsi="宋体"/>
          <w:bCs/>
          <w:szCs w:val="21"/>
        </w:rPr>
      </w:r>
      <w:r/>
    </w:p>
    <w:p>
      <w:pPr>
        <w:ind w:firstLine="412"/>
        <w:spacing w:line="320" w:lineRule="exact"/>
        <w:rPr>
          <w:rFonts w:hint="eastAsia" w:ascii="宋体" w:hAnsi="宋体"/>
          <w:bCs/>
          <w:szCs w:val="21"/>
        </w:rPr>
      </w:pPr>
      <w:r>
        <w:rPr>
          <w:rFonts w:hint="eastAsia" w:ascii="宋体" w:hAnsi="宋体"/>
          <w:bCs/>
          <w:szCs w:val="21"/>
        </w:rPr>
        <w:t xml:space="preserve">根据《中华人民共和国民法典》，甲乙双方经友好协商，就甲方向乙方订购如下仪器设备，签订本合同，双方共同遵守执行。</w:t>
      </w:r>
      <w:r/>
    </w:p>
    <w:p>
      <w:pPr>
        <w:numPr>
          <w:ilvl w:val="0"/>
          <w:numId w:val="8"/>
        </w:numPr>
        <w:spacing w:line="240" w:lineRule="exact"/>
        <w:tabs>
          <w:tab w:val="left" w:pos="540" w:leader="none"/>
        </w:tabs>
        <w:rPr>
          <w:rFonts w:hint="eastAsia" w:ascii="黑体" w:hAnsi="宋体" w:eastAsia="黑体"/>
          <w:bCs/>
          <w:szCs w:val="21"/>
        </w:rPr>
      </w:pPr>
      <w:r>
        <w:rPr>
          <w:rFonts w:hint="eastAsia" w:ascii="黑体" w:hAnsi="宋体" w:eastAsia="黑体"/>
          <w:bCs/>
          <w:szCs w:val="21"/>
        </w:rPr>
        <w:t xml:space="preserve">货物名称、规格型号、数量、单价及合同总价等</w:t>
      </w:r>
      <w:r/>
    </w:p>
    <w:tbl>
      <w:tblPr>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9"/>
        <w:gridCol w:w="1221"/>
        <w:gridCol w:w="1079"/>
        <w:gridCol w:w="1440"/>
        <w:gridCol w:w="1226"/>
        <w:gridCol w:w="720"/>
        <w:gridCol w:w="720"/>
        <w:gridCol w:w="1080"/>
        <w:gridCol w:w="1080"/>
      </w:tblGrid>
      <w:tr>
        <w:trPr>
          <w:jc w:val="center"/>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设备名称</w:t>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型号规格</w:t>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品牌</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配置清单</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厂商/产地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单价（元）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exact"/>
              <w:rPr>
                <w:rFonts w:hint="eastAsia" w:ascii="宋体" w:hAnsi="宋体"/>
                <w:bCs/>
                <w:szCs w:val="21"/>
              </w:rPr>
            </w:pPr>
            <w:r>
              <w:rPr>
                <w:rFonts w:hint="eastAsia" w:ascii="宋体" w:hAnsi="宋体"/>
                <w:bCs/>
                <w:szCs w:val="21"/>
              </w:rPr>
              <w:t xml:space="preserve">总价(元)</w:t>
            </w:r>
            <w:r/>
          </w:p>
        </w:tc>
      </w:tr>
      <w:tr>
        <w:trPr>
          <w:jc w:val="center"/>
        </w:trPr>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222"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spacing w:line="240" w:lineRule="exact"/>
              <w:rPr>
                <w:rFonts w:hint="eastAsia" w:hAnsi="宋体"/>
                <w:b/>
                <w:bCs/>
                <w:szCs w:val="21"/>
              </w:rPr>
            </w:pPr>
            <w:r>
              <w:rPr>
                <w:rFonts w:hint="eastAsia" w:hAnsi="宋体"/>
                <w:b/>
                <w:bCs/>
                <w:szCs w:val="21"/>
              </w:rPr>
              <w:t xml:space="preserve">直接填写。</w:t>
            </w:r>
            <w:r>
              <w:rPr>
                <w:rFonts w:hAnsi="宋体"/>
                <w:b/>
                <w:bCs/>
                <w:szCs w:val="21"/>
              </w:rPr>
              <w:t xml:space="preserve"> </w:t>
            </w:r>
            <w:r/>
          </w:p>
        </w:tc>
        <w:tc>
          <w:tcPr>
            <w:tcBorders>
              <w:top w:val="single" w:color="000000" w:sz="4" w:space="0"/>
              <w:left w:val="single" w:color="000000" w:sz="4" w:space="0"/>
              <w:bottom w:val="single" w:color="000000" w:sz="4" w:space="0"/>
              <w:right w:val="single" w:color="000000" w:sz="4" w:space="0"/>
            </w:tcBorders>
            <w:tcW w:w="1226"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222"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line="240" w:lineRule="exact"/>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exact"/>
              <w:rPr>
                <w:rFonts w:hint="eastAsia" w:hAnsi="宋体"/>
                <w:b/>
                <w:bCs/>
                <w:szCs w:val="21"/>
              </w:rPr>
            </w:pPr>
            <w:r>
              <w:rPr>
                <w:rFonts w:hint="eastAsia" w:hAnsi="宋体"/>
                <w:b/>
                <w:bCs/>
                <w:szCs w:val="21"/>
              </w:rPr>
            </w:r>
            <w:r/>
          </w:p>
        </w:tc>
        <w:tc>
          <w:tcPr>
            <w:tcBorders>
              <w:top w:val="single" w:color="000000" w:sz="4" w:space="0"/>
              <w:left w:val="single" w:color="000000" w:sz="4" w:space="0"/>
              <w:bottom w:val="single" w:color="000000" w:sz="4" w:space="0"/>
              <w:right w:val="single" w:color="000000" w:sz="4" w:space="0"/>
            </w:tcBorders>
            <w:tcW w:w="1226"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line="240" w:lineRule="exact"/>
              <w:rPr>
                <w:rFonts w:hint="eastAsia" w:ascii="宋体" w:hAnsi="宋体"/>
                <w:bCs/>
                <w:szCs w:val="21"/>
              </w:rPr>
            </w:pPr>
            <w:r>
              <w:rPr>
                <w:rFonts w:hint="eastAsia" w:ascii="宋体" w:hAnsi="宋体"/>
                <w:bCs/>
                <w:szCs w:val="21"/>
              </w:rPr>
            </w:r>
            <w:r/>
          </w:p>
        </w:tc>
      </w:tr>
      <w:tr>
        <w:trPr>
          <w:jc w:val="center"/>
        </w:trPr>
        <w:tc>
          <w:tcPr>
            <w:gridSpan w:val="9"/>
            <w:tcBorders>
              <w:top w:val="single" w:color="000000" w:sz="4" w:space="0"/>
              <w:left w:val="single" w:color="000000" w:sz="4" w:space="0"/>
              <w:bottom w:val="single" w:color="000000" w:sz="4" w:space="0"/>
              <w:right w:val="single" w:color="000000" w:sz="4" w:space="0"/>
            </w:tcBorders>
            <w:tcW w:w="9648" w:type="dxa"/>
            <w:textDirection w:val="lrTb"/>
            <w:noWrap w:val="false"/>
          </w:tcPr>
          <w:p>
            <w:pPr>
              <w:jc w:val="center"/>
              <w:spacing w:line="240" w:lineRule="exact"/>
              <w:rPr>
                <w:rFonts w:hint="eastAsia" w:ascii="宋体" w:hAnsi="宋体"/>
                <w:bCs/>
                <w:szCs w:val="21"/>
              </w:rPr>
            </w:pPr>
            <w:r>
              <w:rPr>
                <w:rFonts w:hint="eastAsia" w:ascii="黑体" w:hAnsi="宋体" w:eastAsia="黑体"/>
                <w:bCs/>
                <w:szCs w:val="21"/>
              </w:rPr>
              <w:t xml:space="preserve">合同总价（大写</w:t>
            </w:r>
            <w:r>
              <w:rPr>
                <w:rFonts w:hint="eastAsia" w:ascii="黑体" w:hAnsi="宋体" w:eastAsia="黑体"/>
                <w:b/>
                <w:bCs/>
                <w:szCs w:val="21"/>
              </w:rPr>
              <w:t xml:space="preserve">人民</w:t>
            </w:r>
            <w:r>
              <w:rPr>
                <w:rFonts w:hint="eastAsia" w:ascii="黑体" w:hAnsi="宋体" w:eastAsia="黑体"/>
                <w:bCs/>
                <w:szCs w:val="21"/>
              </w:rPr>
              <w:t xml:space="preserve">币）：</w:t>
            </w:r>
            <w:r>
              <w:rPr>
                <w:rFonts w:hint="eastAsia" w:ascii="黑体" w:hAnsi="宋体" w:eastAsia="黑体"/>
                <w:b/>
                <w:bCs/>
                <w:szCs w:val="21"/>
              </w:rPr>
              <w:t xml:space="preserve">XXX万XXX仟XXX佰XXX拾XXX</w:t>
            </w:r>
            <w:r>
              <w:rPr>
                <w:rFonts w:hint="eastAsia" w:ascii="黑体" w:hAnsi="宋体" w:eastAsia="黑体"/>
                <w:bCs/>
                <w:szCs w:val="21"/>
              </w:rPr>
              <w:t xml:space="preserve">元整（￥</w:t>
            </w:r>
            <w:r>
              <w:rPr>
                <w:rFonts w:hint="eastAsia" w:ascii="黑体" w:hAnsi="宋体" w:eastAsia="黑体"/>
                <w:b/>
                <w:bCs/>
                <w:szCs w:val="21"/>
              </w:rPr>
              <w:t xml:space="preserve">XXXXXXXX</w:t>
            </w:r>
            <w:r>
              <w:rPr>
                <w:rFonts w:hint="eastAsia" w:ascii="黑体" w:hAnsi="宋体" w:eastAsia="黑体"/>
                <w:bCs/>
                <w:szCs w:val="21"/>
              </w:rPr>
              <w:t xml:space="preserve">）</w:t>
            </w:r>
            <w:r/>
          </w:p>
        </w:tc>
      </w:tr>
    </w:tbl>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货物质量要求</w:t>
      </w:r>
      <w:r/>
    </w:p>
    <w:p>
      <w:pPr>
        <w:numPr>
          <w:ilvl w:val="1"/>
          <w:numId w:val="8"/>
        </w:numPr>
        <w:spacing w:line="320" w:lineRule="exact"/>
        <w:tabs>
          <w:tab w:val="left" w:pos="540" w:leader="none"/>
          <w:tab w:val="left" w:pos="900" w:leader="none"/>
        </w:tabs>
        <w:rPr>
          <w:rFonts w:hint="eastAsia" w:ascii="宋体" w:hAnsi="宋体"/>
          <w:bCs/>
          <w:szCs w:val="21"/>
        </w:rPr>
      </w:pPr>
      <w:r>
        <w:rPr>
          <w:rFonts w:hint="eastAsia" w:ascii="宋体" w:hAnsi="宋体"/>
          <w:bCs/>
          <w:szCs w:val="21"/>
        </w:rPr>
        <w:t xml:space="preserve">乙方提供的货物必须是符合相关的国家和行业标准、符合甲方招标文件技术参数要求、符合乙方的投标文件及承诺、符合产品说明书的质量状况及性能要求的合法全新的合格产品。</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项目完成过程中所产生的技术成果、申请专利的权利归无锡商业职业技术学院所有。</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货物交付、运费承担</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交货（具体）地点：</w:t>
      </w:r>
      <w:r>
        <w:rPr>
          <w:rFonts w:hint="eastAsia" w:hAnsi="宋体"/>
          <w:b/>
          <w:bCs/>
          <w:szCs w:val="21"/>
          <w:u w:val="single"/>
        </w:rPr>
        <w:t xml:space="preserve">无锡商业职业技术学院</w:t>
      </w:r>
      <w:r>
        <w:rPr>
          <w:rFonts w:hAnsi="宋体"/>
          <w:b/>
          <w:bCs/>
          <w:szCs w:val="21"/>
          <w:u w:val="single"/>
        </w:rPr>
        <w:t xml:space="preserve">_______</w:t>
      </w:r>
      <w:r>
        <w:rPr>
          <w:rFonts w:hint="eastAsia" w:hAnsi="宋体"/>
          <w:b/>
          <w:bCs/>
          <w:szCs w:val="21"/>
        </w:rPr>
        <w:t xml:space="preserve">。</w:t>
      </w:r>
      <w:r/>
    </w:p>
    <w:p>
      <w:pPr>
        <w:numPr>
          <w:ilvl w:val="1"/>
          <w:numId w:val="8"/>
        </w:numPr>
        <w:spacing w:line="320" w:lineRule="exact"/>
        <w:tabs>
          <w:tab w:val="left" w:pos="900" w:leader="none"/>
        </w:tabs>
        <w:rPr>
          <w:rFonts w:hint="eastAsia" w:ascii="宋体" w:hAnsi="宋体"/>
          <w:bCs/>
          <w:szCs w:val="21"/>
          <w:u w:val="single"/>
        </w:rPr>
      </w:pPr>
      <w:r>
        <w:rPr>
          <w:rFonts w:hint="eastAsia" w:ascii="宋体" w:hAnsi="宋体"/>
          <w:bCs/>
          <w:szCs w:val="21"/>
        </w:rPr>
        <w:t xml:space="preserve">交货日期：合同签定后</w:t>
      </w:r>
      <w:r>
        <w:rPr>
          <w:rFonts w:hint="eastAsia"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乙方应在交货时同时向甲方提供与本合同项下货物相符且完整的技术资料，技术资料必须以简体中文书写。</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乙方应保证货物的包装符合运输的要求，足以保护货物在运输过程中不受锈蚀、损坏或灭失。</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乙方负责将货物运输至约定的交货地点交付予甲方，并承担运、保费。</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安装调试及验收</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乙方应在协议生效后一周内向甲方提供货物安装准备条件的书面要求。</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乙方应委派专业技术人员进行现场安装、调试，并提供货物安装调试的一切技术支持。安装调试的具体时间由甲方提前3天通知乙方。</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乙方接甲方通知后</w:t>
      </w:r>
      <w:r>
        <w:rPr>
          <w:rFonts w:hint="eastAsia" w:hAnsi="宋体"/>
          <w:b/>
          <w:bCs/>
          <w:szCs w:val="21"/>
          <w:u w:val="single"/>
        </w:rPr>
        <w:t xml:space="preserve">　　　　</w:t>
      </w:r>
      <w:r>
        <w:rPr>
          <w:rFonts w:hint="eastAsia" w:ascii="宋体" w:hAnsi="宋体"/>
          <w:bCs/>
          <w:szCs w:val="21"/>
        </w:rPr>
        <w:t xml:space="preserve">日内安装、调试结束。逾期，按乙方逾期交货处理。 </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在货物安装调试完毕后，甲方在</w:t>
      </w:r>
      <w:r>
        <w:rPr>
          <w:rFonts w:hint="eastAsia" w:hAnsi="宋体"/>
          <w:b/>
          <w:bCs/>
          <w:szCs w:val="21"/>
        </w:rPr>
        <w:t xml:space="preserve">五个工作日内组织</w:t>
      </w:r>
      <w:r>
        <w:rPr>
          <w:rFonts w:hint="eastAsia" w:ascii="宋体" w:hAnsi="宋体"/>
          <w:bCs/>
          <w:szCs w:val="21"/>
        </w:rPr>
        <w:t xml:space="preserve">对货物进行验收。验收内容包括：</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对照合同及装箱单验收货物的型号、数量、及外观；</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货物所附技术资料、货物组件及配置；</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货物功能、性能及各项技术参数指标；</w:t>
      </w:r>
      <w:r/>
    </w:p>
    <w:p>
      <w:pPr>
        <w:numPr>
          <w:ilvl w:val="2"/>
          <w:numId w:val="8"/>
        </w:numPr>
        <w:spacing w:line="320" w:lineRule="exact"/>
        <w:tabs>
          <w:tab w:val="left" w:pos="899" w:leader="none"/>
        </w:tabs>
        <w:rPr>
          <w:rFonts w:hint="eastAsia" w:ascii="宋体" w:hAnsi="宋体"/>
          <w:bCs/>
          <w:szCs w:val="21"/>
        </w:rPr>
      </w:pPr>
      <w:r>
        <w:rPr>
          <w:rFonts w:hint="eastAsia" w:ascii="宋体" w:hAnsi="宋体"/>
          <w:bCs/>
          <w:szCs w:val="21"/>
        </w:rPr>
        <w:t xml:space="preserve">其它</w:t>
      </w:r>
      <w:r>
        <w:rPr>
          <w:rFonts w:hint="eastAsia"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验收标准：按甲方的招标文件的技术要求、乙方投标文件及承诺、产品说明书以及国家相关标准，由甲方组织验收，乙方提交样品的按样品质量标准验收。</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甲方所购货物全部通过验收，甲方确认并出具验收合格证明，视为验收合格。</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甲方在验收中如发现货物不符合合同的约定，有权拒绝接受货物，并在</w:t>
      </w:r>
      <w:r>
        <w:rPr>
          <w:rFonts w:hint="eastAsia" w:ascii="宋体" w:hAnsi="宋体"/>
          <w:b/>
          <w:bCs/>
          <w:szCs w:val="21"/>
        </w:rPr>
        <w:t xml:space="preserve">十个工作日内</w:t>
      </w:r>
      <w:r>
        <w:rPr>
          <w:rFonts w:hint="eastAsia" w:ascii="宋体" w:hAnsi="宋体"/>
          <w:bCs/>
          <w:szCs w:val="21"/>
        </w:rPr>
        <w:t xml:space="preserve">签发拒绝收货通知书。乙方必须在</w:t>
      </w:r>
      <w:r>
        <w:rPr>
          <w:rFonts w:hint="eastAsia" w:ascii="宋体" w:hAnsi="宋体"/>
          <w:b/>
          <w:bCs/>
          <w:szCs w:val="21"/>
        </w:rPr>
        <w:t xml:space="preserve">十个工作日内</w:t>
      </w:r>
      <w:r>
        <w:rPr>
          <w:rFonts w:hint="eastAsia" w:ascii="宋体" w:hAnsi="宋体"/>
          <w:bCs/>
          <w:szCs w:val="21"/>
        </w:rPr>
        <w:t xml:space="preserve">重新提供符合合同约定的货物，逾期，按乙方逾期交货处理。</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如乙方对验收结果有异议，可以委托甲方所在地商检部门进行复检。商检部门的检验结果表明货物不符合合同约定的，因复检发生的费用由乙方承担；检验结果表明货物符合合同约定的，因复检发生的费用由甲方承担。</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付款方式</w:t>
      </w:r>
      <w:r/>
    </w:p>
    <w:p>
      <w:pPr>
        <w:numPr>
          <w:ilvl w:val="1"/>
          <w:numId w:val="8"/>
        </w:numPr>
        <w:spacing w:line="320" w:lineRule="exact"/>
        <w:tabs>
          <w:tab w:val="left" w:pos="900" w:leader="none"/>
        </w:tabs>
        <w:rPr>
          <w:rFonts w:hint="eastAsia" w:ascii="宋体" w:hAnsi="宋体"/>
          <w:b/>
          <w:bCs/>
          <w:szCs w:val="21"/>
        </w:rPr>
      </w:pPr>
      <w:r>
        <w:rPr>
          <w:rFonts w:hint="eastAsia" w:ascii="宋体" w:hAnsi="宋体"/>
          <w:b/>
          <w:bCs/>
          <w:szCs w:val="21"/>
        </w:rPr>
        <w:t xml:space="preserve">签订合同后X个工作日，甲方向乙方支付合同总额的X%预付款；货物安装调试完成并经甲方验收合后X个工作日内，甲方向乙方支付合同总额的X%。</w:t>
      </w:r>
      <w:r/>
    </w:p>
    <w:p>
      <w:pPr>
        <w:numPr>
          <w:ilvl w:val="1"/>
          <w:numId w:val="8"/>
        </w:numPr>
        <w:spacing w:line="320" w:lineRule="exact"/>
        <w:tabs>
          <w:tab w:val="left" w:pos="900" w:leader="none"/>
        </w:tabs>
        <w:rPr>
          <w:rFonts w:hint="eastAsia" w:ascii="宋体" w:hAnsi="宋体"/>
          <w:b/>
          <w:bCs/>
          <w:szCs w:val="21"/>
        </w:rPr>
      </w:pPr>
      <w:r>
        <w:rPr>
          <w:rFonts w:hint="eastAsia" w:ascii="宋体" w:hAnsi="宋体"/>
          <w:b/>
          <w:bCs/>
          <w:szCs w:val="21"/>
        </w:rPr>
        <w:t xml:space="preserve">乙方在收取甲方X%货款前须提供X%的增值税专用发票。甲方开票信息如下：</w:t>
      </w:r>
      <w:r/>
    </w:p>
    <w:p>
      <w:pPr>
        <w:ind w:left="480"/>
        <w:spacing w:line="320" w:lineRule="exact"/>
        <w:rPr>
          <w:rFonts w:hint="eastAsia" w:ascii="宋体" w:hAnsi="宋体"/>
          <w:bCs/>
          <w:szCs w:val="21"/>
        </w:rPr>
      </w:pPr>
      <w:r>
        <w:rPr>
          <w:rFonts w:hint="eastAsia" w:ascii="宋体" w:hAnsi="宋体"/>
          <w:bCs/>
          <w:szCs w:val="21"/>
        </w:rPr>
        <w:t xml:space="preserve">单位名称：无锡商业职业技术学院</w:t>
      </w:r>
      <w:r/>
    </w:p>
    <w:p>
      <w:pPr>
        <w:ind w:left="480"/>
        <w:spacing w:line="320" w:lineRule="exact"/>
        <w:rPr>
          <w:rFonts w:hint="eastAsia" w:ascii="宋体" w:hAnsi="宋体"/>
          <w:szCs w:val="21"/>
        </w:rPr>
      </w:pPr>
      <w:r>
        <w:rPr>
          <w:rFonts w:hint="eastAsia" w:ascii="宋体" w:hAnsi="宋体"/>
          <w:szCs w:val="21"/>
        </w:rPr>
        <w:t xml:space="preserve">统一社会信用代码：          </w:t>
      </w:r>
      <w:r/>
    </w:p>
    <w:p>
      <w:pPr>
        <w:ind w:left="480"/>
        <w:spacing w:line="320" w:lineRule="exact"/>
        <w:rPr>
          <w:rFonts w:hint="eastAsia" w:ascii="宋体" w:hAnsi="宋体"/>
          <w:bCs/>
          <w:szCs w:val="21"/>
        </w:rPr>
      </w:pPr>
      <w:r>
        <w:rPr>
          <w:rFonts w:hint="eastAsia" w:ascii="宋体" w:hAnsi="宋体"/>
          <w:bCs/>
          <w:szCs w:val="21"/>
        </w:rPr>
        <w:t xml:space="preserve">地址：                       　（</w:t>
      </w:r>
      <w:r>
        <w:rPr>
          <w:rFonts w:hint="eastAsia" w:ascii="楷体_GB2312" w:hAnsi="宋体" w:eastAsia="楷体_GB2312"/>
          <w:b/>
          <w:bCs/>
          <w:szCs w:val="21"/>
        </w:rPr>
        <w:t xml:space="preserve">发票直接寄给用户，并在发票上注明甲方合同号码</w:t>
      </w:r>
      <w:r>
        <w:rPr>
          <w:rFonts w:hint="eastAsia" w:ascii="宋体" w:hAnsi="宋体"/>
          <w:bCs/>
          <w:szCs w:val="21"/>
        </w:rPr>
        <w:t xml:space="preserve">）</w:t>
      </w:r>
      <w:r/>
    </w:p>
    <w:p>
      <w:pPr>
        <w:ind w:left="480"/>
        <w:spacing w:line="320" w:lineRule="exact"/>
        <w:rPr>
          <w:rFonts w:hint="eastAsia" w:ascii="宋体" w:hAnsi="宋体"/>
          <w:bCs/>
          <w:szCs w:val="21"/>
        </w:rPr>
      </w:pPr>
      <w:r>
        <w:rPr>
          <w:rFonts w:hint="eastAsia" w:ascii="宋体" w:hAnsi="宋体"/>
          <w:bCs/>
          <w:szCs w:val="21"/>
        </w:rPr>
        <w:t xml:space="preserve">电话：           　　　　　　　</w:t>
      </w:r>
      <w:r>
        <w:rPr>
          <w:rFonts w:hint="eastAsia" w:ascii="楷体_GB2312" w:hAnsi="宋体" w:eastAsia="楷体_GB2312"/>
          <w:b/>
          <w:bCs/>
          <w:szCs w:val="21"/>
        </w:rPr>
        <w:t xml:space="preserve">（同时，提供所供设备图片，随发票一并交用户）</w:t>
      </w:r>
      <w:r/>
    </w:p>
    <w:p>
      <w:pPr>
        <w:ind w:left="480"/>
        <w:spacing w:line="320" w:lineRule="exact"/>
        <w:rPr>
          <w:rFonts w:hint="eastAsia" w:ascii="宋体" w:hAnsi="宋体"/>
          <w:bCs/>
          <w:szCs w:val="21"/>
        </w:rPr>
      </w:pPr>
      <w:r>
        <w:rPr>
          <w:rFonts w:hint="eastAsia" w:ascii="宋体" w:hAnsi="宋体"/>
          <w:bCs/>
          <w:szCs w:val="21"/>
        </w:rPr>
        <w:t xml:space="preserve">开户行：                   </w:t>
      </w:r>
      <w:r/>
    </w:p>
    <w:p>
      <w:pPr>
        <w:ind w:left="480"/>
        <w:spacing w:line="320" w:lineRule="exact"/>
        <w:rPr>
          <w:rFonts w:hint="eastAsia" w:ascii="宋体" w:hAnsi="宋体"/>
          <w:bCs/>
          <w:szCs w:val="21"/>
        </w:rPr>
      </w:pPr>
      <w:r>
        <w:rPr>
          <w:rFonts w:hint="eastAsia" w:ascii="宋体" w:hAnsi="宋体"/>
          <w:bCs/>
          <w:szCs w:val="21"/>
        </w:rPr>
        <w:t xml:space="preserve">帐号：                    </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售后服务条款</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保修期限：</w:t>
      </w:r>
      <w:r>
        <w:rPr>
          <w:rFonts w:hint="eastAsia"/>
          <w:bCs/>
          <w:szCs w:val="21"/>
        </w:rPr>
        <w:t xml:space="preserve">乙方承诺本合同项下货物的</w:t>
      </w:r>
      <w:r>
        <w:rPr>
          <w:rFonts w:hint="eastAsia" w:ascii="宋体" w:hAnsi="宋体"/>
          <w:bCs/>
          <w:szCs w:val="21"/>
        </w:rPr>
        <w:t xml:space="preserve">免费保修期为</w:t>
      </w:r>
      <w:r>
        <w:rPr>
          <w:rFonts w:hAnsi="宋体"/>
          <w:b/>
          <w:bCs/>
          <w:szCs w:val="21"/>
          <w:u w:val="single"/>
        </w:rPr>
        <w:t xml:space="preserve">_</w:t>
      </w:r>
      <w:r>
        <w:rPr>
          <w:rFonts w:hint="eastAsia" w:hAnsi="宋体"/>
          <w:b/>
          <w:bCs/>
          <w:szCs w:val="21"/>
          <w:u w:val="single"/>
        </w:rPr>
        <w:t xml:space="preserve"> </w:t>
      </w:r>
      <w:r>
        <w:rPr>
          <w:rFonts w:hAnsi="宋体"/>
          <w:b/>
          <w:bCs/>
          <w:szCs w:val="21"/>
          <w:u w:val="single"/>
        </w:rPr>
        <w:t xml:space="preserve">_</w:t>
      </w:r>
      <w:r>
        <w:rPr>
          <w:rFonts w:hint="eastAsia" w:hAnsi="宋体"/>
          <w:b/>
          <w:bCs/>
          <w:szCs w:val="21"/>
        </w:rPr>
        <w:t xml:space="preserve">年</w:t>
      </w:r>
      <w:r>
        <w:rPr>
          <w:rFonts w:hint="eastAsia" w:ascii="宋体" w:hAnsi="宋体"/>
          <w:bCs/>
          <w:szCs w:val="21"/>
        </w:rPr>
        <w:t xml:space="preserve">，保修期限自验收合格签字之日起算。</w:t>
      </w:r>
      <w:r/>
    </w:p>
    <w:p>
      <w:pPr>
        <w:numPr>
          <w:ilvl w:val="1"/>
          <w:numId w:val="8"/>
        </w:numPr>
        <w:spacing w:line="320" w:lineRule="exact"/>
        <w:tabs>
          <w:tab w:val="left" w:pos="900" w:leader="none"/>
        </w:tabs>
        <w:rPr>
          <w:rFonts w:hint="eastAsia" w:ascii="宋体" w:hAnsi="宋体"/>
          <w:bCs/>
          <w:szCs w:val="21"/>
          <w:u w:val="single"/>
        </w:rPr>
      </w:pPr>
      <w:r>
        <w:rPr>
          <w:rFonts w:hint="eastAsia" w:ascii="宋体" w:hAnsi="宋体"/>
          <w:bCs/>
          <w:szCs w:val="21"/>
        </w:rPr>
        <w:t xml:space="preserve">保修范围包括</w:t>
      </w:r>
      <w:r>
        <w:rPr>
          <w:rFonts w:hint="eastAsia" w:ascii="宋体" w:hAnsi="宋体"/>
          <w:bCs/>
          <w:szCs w:val="21"/>
          <w:u w:val="single"/>
        </w:rPr>
        <w:t xml:space="preserve">    硬件设备、操作系统、第三方应用软件在内的各种硬件或者软件问题， 免费提供送货上门、安装调试、X小时现场响应等服务，免费上门维修服务       </w:t>
      </w:r>
      <w:r>
        <w:rPr>
          <w:rFonts w:hint="eastAsia" w:ascii="宋体" w:hAnsi="宋体"/>
          <w:bCs/>
          <w:szCs w:val="21"/>
        </w:rPr>
        <w:t xml:space="preserve">。</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保修责任：</w:t>
      </w:r>
      <w:r/>
    </w:p>
    <w:p>
      <w:pPr>
        <w:ind w:left="-120" w:firstLine="840"/>
        <w:spacing w:line="320" w:lineRule="exact"/>
        <w:rPr>
          <w:rFonts w:hint="eastAsia" w:ascii="宋体" w:hAnsi="宋体"/>
          <w:bCs/>
          <w:szCs w:val="21"/>
        </w:rPr>
      </w:pPr>
      <w:r>
        <w:rPr>
          <w:rFonts w:hint="eastAsia" w:ascii="宋体" w:hAnsi="宋体"/>
          <w:bCs/>
          <w:szCs w:val="21"/>
        </w:rPr>
        <w:t xml:space="preserve">（1）在保修期内，乙方应在接到甲方通知之日后</w:t>
      </w:r>
      <w:r>
        <w:rPr>
          <w:rFonts w:hint="eastAsia" w:ascii="宋体" w:hAnsi="宋体"/>
          <w:bCs/>
          <w:szCs w:val="21"/>
          <w:u w:val="single"/>
        </w:rPr>
        <w:t xml:space="preserve">  X </w:t>
      </w:r>
      <w:r>
        <w:rPr>
          <w:rFonts w:hint="eastAsia" w:ascii="宋体" w:hAnsi="宋体"/>
          <w:bCs/>
          <w:szCs w:val="21"/>
        </w:rPr>
        <w:t xml:space="preserve">天内派人到甲方提供保修服务（包修、包换、包退），并承担所发生的费用。逾期，甲方有权自行委托第三方提供甲方所需要的技术支持和售后服务，所发生的费用由乙方承担，甲方直接从应付乙方的未结合同款项中扣除或另向乙方追索；如因此造成甲方经济损失的，乙方还应承担赔偿责任。</w:t>
      </w:r>
      <w:r/>
    </w:p>
    <w:p>
      <w:pPr>
        <w:ind w:left="-120" w:firstLine="840"/>
        <w:spacing w:line="320" w:lineRule="exact"/>
        <w:rPr>
          <w:rFonts w:hint="eastAsia" w:ascii="宋体" w:hAnsi="宋体"/>
          <w:bCs/>
          <w:szCs w:val="21"/>
        </w:rPr>
      </w:pPr>
      <w:r>
        <w:rPr>
          <w:rFonts w:hint="eastAsia" w:ascii="宋体" w:hAnsi="宋体"/>
          <w:bCs/>
          <w:szCs w:val="21"/>
        </w:rPr>
        <w:t xml:space="preserve">（2）保修期满后，乙方对设备负责终身维护，只收取成本费。</w:t>
      </w:r>
      <w:r/>
    </w:p>
    <w:p>
      <w:pPr>
        <w:ind w:left="-120" w:firstLine="840"/>
        <w:spacing w:line="320" w:lineRule="exact"/>
        <w:rPr>
          <w:rFonts w:hint="eastAsia" w:ascii="宋体" w:hAnsi="宋体"/>
          <w:bCs/>
          <w:szCs w:val="21"/>
        </w:rPr>
      </w:pPr>
      <w:r>
        <w:rPr>
          <w:rFonts w:hint="eastAsia" w:ascii="宋体" w:hAnsi="宋体"/>
          <w:bCs/>
          <w:szCs w:val="21"/>
        </w:rPr>
        <w:t xml:space="preserve">（3）在国家规定的设备合理使用期限内，乙方应确保设备的质量；如因乙方原因致使设备在合理使用期限内造成人身和财产损失的，乙方应承担损害赔偿责任。</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双方约定的设备保修其他事项：乙方提供维修服务时的人员姓名为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：联系电话为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。乙方如改变维修服务人、联系方法时应及时通知甲方。</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违约责任</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甲乙双方均应全面履行本合同，任何一方未能按照本合同的约定履行自己的义务，应当承担违约责任。违约方应当赔偿守约方因此遭受的损失。</w:t>
      </w:r>
      <w:r/>
    </w:p>
    <w:p>
      <w:pPr>
        <w:numPr>
          <w:ilvl w:val="1"/>
          <w:numId w:val="8"/>
        </w:numPr>
        <w:spacing w:line="320" w:lineRule="exact"/>
        <w:tabs>
          <w:tab w:val="left" w:pos="900" w:leader="none"/>
        </w:tabs>
        <w:rPr>
          <w:rFonts w:hint="eastAsia" w:ascii="宋体" w:hAnsi="宋体"/>
          <w:bCs/>
          <w:szCs w:val="21"/>
        </w:rPr>
      </w:pPr>
      <w:r>
        <w:rPr>
          <w:rFonts w:hint="eastAsia" w:ascii="宋体" w:hAnsi="宋体"/>
          <w:szCs w:val="21"/>
        </w:rPr>
        <w:t xml:space="preserve">乙</w:t>
      </w:r>
      <w:r>
        <w:rPr>
          <w:rFonts w:hint="eastAsia" w:ascii="宋体" w:hAnsi="宋体"/>
          <w:bCs/>
          <w:szCs w:val="21"/>
        </w:rPr>
        <w:t xml:space="preserve">方交付的货物不符合合同规定，甲方除有权按本合同第四条约定处理外，</w:t>
      </w:r>
      <w:r>
        <w:rPr>
          <w:rFonts w:hint="eastAsia" w:ascii="宋体" w:hAnsi="宋体"/>
          <w:szCs w:val="21"/>
        </w:rPr>
        <w:t xml:space="preserve">乙</w:t>
      </w:r>
      <w:r>
        <w:rPr>
          <w:rFonts w:hint="eastAsia" w:ascii="宋体" w:hAnsi="宋体"/>
          <w:bCs/>
          <w:szCs w:val="21"/>
        </w:rPr>
        <w:t xml:space="preserve">方还需向甲方支付合同总额的5%违约金，甲方有权直接从应付给乙方的合同款项中扣除该违约金或另向乙方追索。</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甲方逾期支付货款的，自逾期一个月后，每天按应付金额的3‰向</w:t>
      </w:r>
      <w:r>
        <w:rPr>
          <w:rFonts w:hint="eastAsia" w:ascii="宋体" w:hAnsi="宋体"/>
          <w:szCs w:val="21"/>
        </w:rPr>
        <w:t xml:space="preserve">乙</w:t>
      </w:r>
      <w:r>
        <w:rPr>
          <w:rFonts w:hint="eastAsia" w:ascii="宋体" w:hAnsi="宋体"/>
          <w:bCs/>
          <w:szCs w:val="21"/>
        </w:rPr>
        <w:t xml:space="preserve">方支付违约金，违约金最高不超过合同总额的5%。</w:t>
      </w:r>
      <w:r/>
    </w:p>
    <w:p>
      <w:pPr>
        <w:numPr>
          <w:ilvl w:val="1"/>
          <w:numId w:val="8"/>
        </w:numPr>
        <w:spacing w:line="320" w:lineRule="exact"/>
        <w:tabs>
          <w:tab w:val="left" w:pos="900" w:leader="none"/>
        </w:tabs>
        <w:rPr>
          <w:rFonts w:hint="eastAsia" w:ascii="宋体" w:hAnsi="宋体"/>
          <w:bCs/>
          <w:szCs w:val="21"/>
        </w:rPr>
      </w:pPr>
      <w:r>
        <w:rPr>
          <w:rFonts w:hint="eastAsia" w:ascii="宋体" w:hAnsi="宋体" w:cs="宋体"/>
          <w:bCs/>
          <w:szCs w:val="21"/>
        </w:rPr>
        <w:t xml:space="preserve">乙方逾期交付货物的，则每天按合同总额的3‰向甲方支付违约金，甲方有权直接从应付给乙方的合同款项中扣除该违约金。逾期交付货物超过</w:t>
      </w:r>
      <w:r>
        <w:rPr>
          <w:rFonts w:hint="eastAsia" w:ascii="宋体" w:hAnsi="宋体" w:cs="宋体"/>
          <w:bCs/>
          <w:szCs w:val="21"/>
          <w:u w:val="single"/>
        </w:rPr>
        <w:t xml:space="preserve">  </w:t>
      </w:r>
      <w:r>
        <w:rPr>
          <w:rFonts w:hint="eastAsia" w:ascii="宋体" w:hAnsi="宋体" w:cs="宋体"/>
          <w:b/>
          <w:bCs/>
          <w:szCs w:val="21"/>
          <w:u w:val="single"/>
        </w:rPr>
        <w:t xml:space="preserve">天</w:t>
      </w:r>
      <w:r>
        <w:rPr>
          <w:rFonts w:hint="eastAsia" w:ascii="宋体" w:hAnsi="宋体" w:cs="宋体"/>
          <w:bCs/>
          <w:szCs w:val="21"/>
        </w:rPr>
        <w:t xml:space="preserve">，甲方有权解除合同，乙方除需支付已发生的违约金外还应赔偿由此给甲方造成的全部经济损失。</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风险承担</w:t>
      </w:r>
      <w:r/>
    </w:p>
    <w:p>
      <w:pPr>
        <w:numPr>
          <w:ilvl w:val="1"/>
          <w:numId w:val="8"/>
        </w:numPr>
        <w:spacing w:line="320" w:lineRule="exact"/>
        <w:tabs>
          <w:tab w:val="left" w:pos="900" w:leader="none"/>
        </w:tabs>
        <w:rPr>
          <w:bCs/>
          <w:szCs w:val="21"/>
        </w:rPr>
      </w:pPr>
      <w:r>
        <w:rPr>
          <w:rFonts w:hint="eastAsia"/>
          <w:bCs/>
          <w:szCs w:val="21"/>
        </w:rPr>
        <w:t xml:space="preserve">货物毁损、灭失的风险，在货物经甲方验收合格以前由乙方承担，在货物经甲方验收合格以后由甲方承担。</w:t>
      </w:r>
      <w:r/>
    </w:p>
    <w:p>
      <w:pPr>
        <w:numPr>
          <w:ilvl w:val="1"/>
          <w:numId w:val="8"/>
        </w:numPr>
        <w:spacing w:line="320" w:lineRule="exact"/>
        <w:tabs>
          <w:tab w:val="left" w:pos="900" w:leader="none"/>
        </w:tabs>
        <w:rPr>
          <w:bCs/>
          <w:szCs w:val="21"/>
        </w:rPr>
      </w:pPr>
      <w:r>
        <w:rPr>
          <w:rFonts w:hint="eastAsia"/>
          <w:bCs/>
          <w:szCs w:val="21"/>
        </w:rPr>
        <w:t xml:space="preserve">甲方因货物质量不符合约定的质量要求而拒绝接受货物或解除合同的，货物毁损、灭失的风险由乙方承担。</w:t>
      </w:r>
      <w:r/>
    </w:p>
    <w:p>
      <w:pPr>
        <w:numPr>
          <w:ilvl w:val="1"/>
          <w:numId w:val="8"/>
        </w:numPr>
        <w:spacing w:line="320" w:lineRule="exact"/>
        <w:tabs>
          <w:tab w:val="left" w:pos="900" w:leader="none"/>
        </w:tabs>
        <w:rPr>
          <w:bCs/>
          <w:szCs w:val="21"/>
        </w:rPr>
      </w:pPr>
      <w:r>
        <w:rPr>
          <w:rFonts w:hint="eastAsia"/>
          <w:bCs/>
          <w:szCs w:val="21"/>
        </w:rPr>
        <w:t xml:space="preserve">货物毁损、灭失的风险由甲方承担的，不影响因乙方履行合同义务不符合约定甲方要求其承担违约责任的权利。</w:t>
      </w:r>
      <w:r/>
    </w:p>
    <w:p>
      <w:pPr>
        <w:numPr>
          <w:ilvl w:val="1"/>
          <w:numId w:val="8"/>
        </w:numPr>
        <w:spacing w:line="320" w:lineRule="exact"/>
        <w:tabs>
          <w:tab w:val="left" w:pos="900" w:leader="none"/>
        </w:tabs>
        <w:rPr>
          <w:bCs/>
          <w:szCs w:val="21"/>
        </w:rPr>
      </w:pPr>
      <w:r>
        <w:rPr>
          <w:rFonts w:hint="eastAsia"/>
          <w:bCs/>
          <w:szCs w:val="21"/>
        </w:rPr>
        <w:t xml:space="preserve">由</w:t>
      </w:r>
      <w:r>
        <w:rPr>
          <w:rFonts w:hint="eastAsia" w:ascii="宋体" w:hAnsi="宋体"/>
          <w:bCs/>
          <w:szCs w:val="21"/>
        </w:rPr>
        <w:t xml:space="preserve">乙方</w:t>
      </w:r>
      <w:r>
        <w:rPr>
          <w:rFonts w:hint="eastAsia"/>
          <w:bCs/>
          <w:szCs w:val="21"/>
        </w:rPr>
        <w:t xml:space="preserve">承担货物毁损、灭失风险的，如货物毁损或灭失的，乙方应于</w:t>
      </w:r>
      <w:r>
        <w:rPr>
          <w:rFonts w:hAnsi="宋体"/>
          <w:b/>
          <w:bCs/>
          <w:szCs w:val="21"/>
          <w:u w:val="single"/>
        </w:rPr>
        <w:t xml:space="preserve">___</w:t>
      </w:r>
      <w:r>
        <w:rPr>
          <w:rFonts w:hint="eastAsia"/>
          <w:b/>
          <w:bCs/>
          <w:szCs w:val="21"/>
        </w:rPr>
        <w:t xml:space="preserve">天</w:t>
      </w:r>
      <w:r>
        <w:rPr>
          <w:rFonts w:hint="eastAsia"/>
          <w:bCs/>
          <w:szCs w:val="21"/>
        </w:rPr>
        <w:t xml:space="preserve">内重新提供符合合同规定的货物，否则，按乙方逾期交货处理。</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争议解决</w:t>
      </w:r>
      <w:r/>
    </w:p>
    <w:p>
      <w:pPr>
        <w:ind w:left="-120" w:firstLine="420"/>
        <w:spacing w:line="320" w:lineRule="exact"/>
        <w:rPr>
          <w:rFonts w:hint="eastAsia" w:ascii="宋体" w:hAnsi="宋体"/>
          <w:bCs/>
          <w:szCs w:val="21"/>
        </w:rPr>
      </w:pPr>
      <w:r>
        <w:rPr>
          <w:rFonts w:hint="eastAsia" w:ascii="宋体" w:hAnsi="宋体"/>
          <w:bCs/>
          <w:szCs w:val="21"/>
        </w:rPr>
        <w:t xml:space="preserve">合同发生争议，由双方协商或调解解决；协商或调解不成时，向甲方所在地人民法院起诉解决。</w:t>
      </w:r>
      <w:r/>
    </w:p>
    <w:p>
      <w:pPr>
        <w:numPr>
          <w:ilvl w:val="0"/>
          <w:numId w:val="8"/>
        </w:numPr>
        <w:spacing w:line="320" w:lineRule="exact"/>
        <w:tabs>
          <w:tab w:val="left" w:pos="540" w:leader="none"/>
        </w:tabs>
        <w:rPr>
          <w:rFonts w:hint="eastAsia" w:ascii="黑体" w:hAnsi="宋体" w:eastAsia="黑体"/>
          <w:bCs/>
          <w:szCs w:val="21"/>
        </w:rPr>
      </w:pPr>
      <w:r>
        <w:rPr>
          <w:rFonts w:hint="eastAsia" w:ascii="黑体" w:hAnsi="宋体" w:eastAsia="黑体"/>
          <w:bCs/>
          <w:szCs w:val="21"/>
        </w:rPr>
        <w:t xml:space="preserve">其他</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本合同一式五份(甲方职能部门3份、甲方用户1份；乙方执1份)，均为正本，与合同附件、甲方招标文件、乙方投标文件及投标承诺作为合同的共同组成，具有同等法律效力。</w:t>
      </w:r>
      <w:r/>
    </w:p>
    <w:p>
      <w:pPr>
        <w:numPr>
          <w:ilvl w:val="1"/>
          <w:numId w:val="8"/>
        </w:numPr>
        <w:spacing w:line="320" w:lineRule="exact"/>
        <w:tabs>
          <w:tab w:val="left" w:pos="900" w:leader="none"/>
        </w:tabs>
        <w:rPr>
          <w:rFonts w:hint="eastAsia" w:ascii="宋体" w:hAnsi="宋体"/>
          <w:bCs/>
          <w:szCs w:val="21"/>
        </w:rPr>
      </w:pPr>
      <w:r>
        <w:rPr>
          <w:rFonts w:hint="eastAsia" w:ascii="宋体" w:hAnsi="宋体"/>
          <w:bCs/>
          <w:szCs w:val="21"/>
        </w:rPr>
        <w:t xml:space="preserve">本合同以双方</w:t>
      </w:r>
      <w:r>
        <w:rPr>
          <w:rFonts w:hint="eastAsia" w:ascii="ˎ̥" w:hAnsi="ˎ̥"/>
          <w:szCs w:val="21"/>
        </w:rPr>
        <w:t xml:space="preserve">法定代表人（委托代理人）</w:t>
      </w:r>
      <w:r>
        <w:rPr>
          <w:rFonts w:hint="eastAsia" w:ascii="宋体" w:hAnsi="宋体"/>
          <w:bCs/>
          <w:szCs w:val="21"/>
        </w:rPr>
        <w:t xml:space="preserve">签字并加盖单位印章之日起生效。</w:t>
      </w:r>
      <w:r/>
    </w:p>
    <w:p>
      <w:pPr>
        <w:numPr>
          <w:ilvl w:val="1"/>
          <w:numId w:val="8"/>
        </w:numPr>
        <w:spacing w:line="320" w:lineRule="exact"/>
        <w:tabs>
          <w:tab w:val="left" w:pos="900" w:leader="none"/>
        </w:tabs>
        <w:rPr>
          <w:rFonts w:hint="eastAsia" w:ascii="黑体" w:hAnsi="宋体" w:eastAsia="黑体"/>
          <w:bCs/>
          <w:szCs w:val="21"/>
          <w:u w:val="single"/>
        </w:rPr>
      </w:pPr>
      <w:r>
        <w:rPr>
          <w:rFonts w:hint="eastAsia" w:ascii="宋体" w:hAnsi="宋体"/>
          <w:bCs/>
          <w:szCs w:val="21"/>
        </w:rPr>
        <w:t xml:space="preserve">甲方收货人信息：</w:t>
      </w:r>
      <w:r/>
    </w:p>
    <w:p>
      <w:pPr>
        <w:ind w:left="-120" w:firstLine="840"/>
        <w:spacing w:line="320" w:lineRule="exact"/>
        <w:rPr>
          <w:rFonts w:hint="eastAsia" w:ascii="黑体" w:hAnsi="宋体" w:eastAsia="黑体"/>
          <w:bCs/>
          <w:szCs w:val="21"/>
        </w:rPr>
      </w:pPr>
      <w:r>
        <w:rPr>
          <w:rFonts w:hint="eastAsia" w:ascii="黑体" w:hAnsi="宋体" w:eastAsia="黑体"/>
          <w:bCs/>
          <w:szCs w:val="21"/>
        </w:rPr>
        <w:t xml:space="preserve">地　址：               </w:t>
      </w:r>
      <w:r/>
    </w:p>
    <w:p>
      <w:pPr>
        <w:ind w:left="-120" w:firstLine="840"/>
        <w:spacing w:line="320" w:lineRule="exact"/>
        <w:rPr>
          <w:rFonts w:hint="eastAsia" w:ascii="黑体" w:hAnsi="宋体" w:eastAsia="黑体"/>
          <w:bCs/>
          <w:szCs w:val="21"/>
          <w:u w:val="single"/>
        </w:rPr>
      </w:pPr>
      <w:r>
        <w:rPr>
          <w:rFonts w:hint="eastAsia" w:ascii="黑体" w:hAnsi="宋体" w:eastAsia="黑体"/>
          <w:bCs/>
          <w:szCs w:val="21"/>
          <w:u w:val="single"/>
        </w:rPr>
        <w:t xml:space="preserve">收货人：</w:t>
      </w:r>
      <w:r>
        <w:rPr>
          <w:rFonts w:hint="eastAsia" w:ascii="黑体" w:hAnsi="宋体" w:eastAsia="黑体"/>
          <w:b/>
          <w:bCs/>
          <w:szCs w:val="21"/>
          <w:u w:val="single"/>
        </w:rPr>
        <w:t xml:space="preserve">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学院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老师（电话：</w:t>
      </w:r>
      <w:r>
        <w:rPr>
          <w:rFonts w:hint="eastAsia" w:ascii="宋体" w:hAnsi="宋体"/>
          <w:b/>
          <w:szCs w:val="21"/>
        </w:rPr>
        <w:t xml:space="preserve">XXXXXXX</w:t>
      </w:r>
      <w:r>
        <w:rPr>
          <w:rFonts w:hint="eastAsia" w:ascii="黑体" w:hAnsi="宋体" w:eastAsia="黑体"/>
          <w:bCs/>
          <w:szCs w:val="21"/>
          <w:u w:val="single"/>
        </w:rPr>
        <w:t xml:space="preserve">）。</w:t>
      </w:r>
      <w:r/>
    </w:p>
    <w:p>
      <w:pPr>
        <w:ind w:firstLine="630"/>
        <w:spacing w:before="62" w:after="62" w:line="320" w:lineRule="exact"/>
        <w:rPr>
          <w:szCs w:val="21"/>
        </w:rPr>
      </w:pPr>
      <w:r>
        <w:rPr>
          <w:rFonts w:hint="eastAsia" w:ascii="宋体" w:hAnsi="宋体"/>
          <w:bCs/>
          <w:szCs w:val="21"/>
        </w:rPr>
        <w:t xml:space="preserve">使用单位对合同上述条款已认真阅读，对设备名称、规格型号、配置、数量、价格、售后服务、送货地点、</w:t>
      </w:r>
      <w:r>
        <w:rPr>
          <w:rFonts w:hint="eastAsia" w:ascii="宋体" w:hAnsi="宋体"/>
          <w:b/>
          <w:bCs/>
          <w:szCs w:val="21"/>
          <w:u w:val="single"/>
        </w:rPr>
        <w:t xml:space="preserve">项目名称、项目号码</w:t>
      </w:r>
      <w:r>
        <w:rPr>
          <w:rFonts w:hint="eastAsia" w:ascii="宋体" w:hAnsi="宋体"/>
          <w:bCs/>
          <w:szCs w:val="21"/>
        </w:rPr>
        <w:t xml:space="preserve">等要素确认无误。</w:t>
      </w:r>
      <w:r/>
    </w:p>
    <w:p>
      <w:pPr>
        <w:ind w:firstLine="420"/>
        <w:spacing w:before="156" w:after="156"/>
        <w:rPr>
          <w:rFonts w:hint="eastAsia" w:ascii="宋体" w:hAnsi="宋体"/>
          <w:bCs/>
          <w:szCs w:val="21"/>
        </w:rPr>
      </w:pPr>
      <w:r>
        <w:rPr>
          <w:rFonts w:hint="eastAsia" w:ascii="宋体" w:hAnsi="宋体"/>
          <w:bCs/>
          <w:szCs w:val="21"/>
        </w:rPr>
        <w:t xml:space="preserve">使用单位盖章：  </w:t>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t xml:space="preserve">                    </w:t>
      </w:r>
      <w:r>
        <w:rPr>
          <w:rFonts w:hint="eastAsia"/>
          <w:szCs w:val="24"/>
        </w:rPr>
        <w:t xml:space="preserve">使用人签名：</w:t>
      </w:r>
      <w:r>
        <w:rPr>
          <w:rFonts w:hint="eastAsia" w:ascii="宋体" w:hAnsi="宋体"/>
          <w:bCs/>
          <w:szCs w:val="21"/>
        </w:rPr>
        <w:t xml:space="preserve"> </w:t>
      </w:r>
      <w:r/>
    </w:p>
    <w:p>
      <w:pPr>
        <w:ind w:firstLine="420"/>
        <w:spacing w:before="156" w:after="156"/>
        <w:rPr>
          <w:rFonts w:hint="eastAsia" w:ascii="宋体" w:hAnsi="宋体"/>
          <w:bCs/>
          <w:szCs w:val="21"/>
        </w:rPr>
      </w:pPr>
      <w:r>
        <w:rPr>
          <w:rFonts w:hint="eastAsia"/>
          <w:szCs w:val="24"/>
        </w:rPr>
        <w:t xml:space="preserve">使用单位分管领导签名</w:t>
      </w:r>
      <w:r>
        <w:rPr>
          <w:szCs w:val="24"/>
        </w:rPr>
        <w:t xml:space="preserve">:                                  </w:t>
      </w:r>
      <w:r/>
    </w:p>
    <w:tbl>
      <w:tblPr>
        <w:tblW w:w="90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4902"/>
        <w:gridCol w:w="4143"/>
      </w:tblGrid>
      <w:tr>
        <w:trPr>
          <w:cantSplit/>
        </w:trPr>
        <w:tc>
          <w:tcPr>
            <w:tcBorders>
              <w:top w:val="single" w:color="000000" w:sz="6" w:space="0"/>
              <w:left w:val="single" w:color="000000" w:sz="6" w:space="0"/>
              <w:bottom w:val="single" w:color="000000" w:sz="6" w:space="0"/>
              <w:right w:val="single" w:color="000000" w:sz="6" w:space="0"/>
            </w:tcBorders>
            <w:tcW w:w="4899"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bCs/>
                <w:szCs w:val="21"/>
              </w:rPr>
              <w:tab/>
              <w:t xml:space="preserve">              </w:t>
            </w:r>
            <w:r>
              <w:rPr>
                <w:rFonts w:hint="eastAsia" w:ascii="宋体" w:hAnsi="宋体"/>
                <w:bCs/>
                <w:szCs w:val="21"/>
              </w:rPr>
              <w:tab/>
            </w:r>
            <w:r>
              <w:rPr>
                <w:rFonts w:hint="eastAsia" w:ascii="宋体" w:hAnsi="宋体"/>
                <w:szCs w:val="21"/>
              </w:rPr>
              <w:t xml:space="preserve">甲    方</w:t>
            </w:r>
            <w:r/>
          </w:p>
        </w:tc>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t xml:space="preserve">乙    方</w:t>
            </w:r>
            <w:r/>
          </w:p>
        </w:tc>
      </w:tr>
      <w:tr>
        <w:trPr>
          <w:cantSplit/>
        </w:trPr>
        <w:tc>
          <w:tcPr>
            <w:tcBorders>
              <w:top w:val="single" w:color="000000" w:sz="6" w:space="0"/>
              <w:left w:val="single" w:color="000000" w:sz="6" w:space="0"/>
              <w:bottom w:val="single" w:color="000000" w:sz="6" w:space="0"/>
              <w:right w:val="single" w:color="000000" w:sz="6" w:space="0"/>
            </w:tcBorders>
            <w:tcW w:w="4899" w:type="dxa"/>
            <w:textDirection w:val="lrTb"/>
            <w:noWrap w:val="false"/>
          </w:tcPr>
          <w:p>
            <w:pPr>
              <w:jc w:val="left"/>
              <w:spacing w:line="240" w:lineRule="exact"/>
              <w:widowControl/>
              <w:rPr>
                <w:rFonts w:hint="eastAsia" w:ascii="宋体" w:hAnsi="宋体"/>
                <w:szCs w:val="21"/>
              </w:rPr>
            </w:pPr>
            <w:r>
              <w:rPr>
                <w:rFonts w:hint="eastAsia" w:ascii="宋体" w:hAnsi="宋体"/>
                <w:szCs w:val="21"/>
              </w:rPr>
              <w:t xml:space="preserve">单位名称：无锡商业职业技术学院</w:t>
            </w:r>
            <w:r/>
          </w:p>
          <w:p>
            <w:pPr>
              <w:jc w:val="left"/>
              <w:spacing w:line="240" w:lineRule="exact"/>
              <w:widowControl/>
              <w:rPr>
                <w:rFonts w:hint="eastAsia" w:ascii="宋体" w:hAnsi="宋体"/>
                <w:szCs w:val="21"/>
              </w:rPr>
            </w:pPr>
            <w:r>
              <w:rPr>
                <w:rFonts w:hint="eastAsia" w:ascii="宋体" w:hAnsi="宋体"/>
                <w:szCs w:val="21"/>
              </w:rPr>
              <w:t xml:space="preserve">（盖章）</w:t>
            </w:r>
            <w:r/>
          </w:p>
          <w:p>
            <w:pPr>
              <w:jc w:val="left"/>
              <w:spacing w:line="240" w:lineRule="exact"/>
              <w:widowControl/>
              <w:rPr>
                <w:rFonts w:hint="eastAsia" w:ascii="宋体" w:hAnsi="宋体"/>
                <w:szCs w:val="21"/>
              </w:rPr>
            </w:pPr>
            <w:r>
              <w:rPr>
                <w:rFonts w:hint="eastAsia" w:ascii="宋体" w:hAnsi="宋体"/>
                <w:szCs w:val="21"/>
              </w:rPr>
              <w:t xml:space="preserve">代表人（签字）：</w:t>
            </w:r>
            <w:r/>
          </w:p>
          <w:p>
            <w:pPr>
              <w:jc w:val="left"/>
              <w:spacing w:line="240" w:lineRule="exact"/>
              <w:widowControl/>
              <w:rPr>
                <w:rFonts w:hint="eastAsia" w:ascii="宋体" w:hAnsi="宋体"/>
                <w:szCs w:val="21"/>
              </w:rPr>
            </w:pPr>
            <w:r>
              <w:rPr>
                <w:rFonts w:hint="eastAsia" w:ascii="宋体" w:hAnsi="宋体"/>
                <w:szCs w:val="21"/>
              </w:rPr>
            </w:r>
            <w:r/>
          </w:p>
          <w:p>
            <w:pPr>
              <w:jc w:val="left"/>
              <w:spacing w:line="240" w:lineRule="exact"/>
              <w:widowControl/>
              <w:rPr>
                <w:rFonts w:hint="eastAsia" w:ascii="宋体" w:hAnsi="宋体"/>
                <w:szCs w:val="21"/>
              </w:rPr>
            </w:pPr>
            <w:r>
              <w:rPr>
                <w:rFonts w:hint="eastAsia" w:ascii="宋体" w:hAnsi="宋体"/>
                <w:szCs w:val="21"/>
              </w:rPr>
              <w:t xml:space="preserve">经 办 人：XXXXX</w:t>
            </w:r>
            <w:r/>
          </w:p>
        </w:tc>
        <w:tc>
          <w:tcPr>
            <w:tcBorders>
              <w:top w:val="single" w:color="000000" w:sz="6" w:space="0"/>
              <w:left w:val="single" w:color="000000" w:sz="6" w:space="0"/>
              <w:bottom w:val="single" w:color="000000" w:sz="6" w:space="0"/>
              <w:right w:val="single" w:color="000000" w:sz="6" w:space="0"/>
            </w:tcBorders>
            <w:tcW w:w="4140" w:type="dxa"/>
            <w:textDirection w:val="lrTb"/>
            <w:noWrap w:val="false"/>
          </w:tcPr>
          <w:p>
            <w:pPr>
              <w:jc w:val="left"/>
              <w:spacing w:line="240" w:lineRule="exact"/>
              <w:widowControl/>
              <w:rPr>
                <w:rFonts w:hint="eastAsia" w:ascii="宋体" w:hAnsi="宋体"/>
                <w:szCs w:val="21"/>
              </w:rPr>
            </w:pPr>
            <w:r>
              <w:rPr>
                <w:rFonts w:hint="eastAsia" w:ascii="宋体" w:hAnsi="宋体"/>
                <w:szCs w:val="21"/>
              </w:rPr>
              <w:t xml:space="preserve">单位名称： </w:t>
            </w:r>
            <w:r/>
          </w:p>
          <w:p>
            <w:pPr>
              <w:jc w:val="left"/>
              <w:spacing w:line="240" w:lineRule="exact"/>
              <w:widowControl/>
              <w:rPr>
                <w:rFonts w:hint="eastAsia" w:ascii="宋体" w:hAnsi="宋体"/>
                <w:szCs w:val="21"/>
              </w:rPr>
            </w:pPr>
            <w:r>
              <w:rPr>
                <w:rFonts w:hint="eastAsia" w:ascii="宋体" w:hAnsi="宋体"/>
                <w:szCs w:val="21"/>
              </w:rPr>
              <w:t xml:space="preserve">（盖章）</w:t>
            </w:r>
            <w:r/>
          </w:p>
          <w:p>
            <w:pPr>
              <w:jc w:val="left"/>
              <w:spacing w:line="240" w:lineRule="exact"/>
              <w:widowControl/>
              <w:rPr>
                <w:rFonts w:hint="eastAsia" w:ascii="宋体" w:hAnsi="宋体"/>
                <w:szCs w:val="21"/>
              </w:rPr>
            </w:pPr>
            <w:r>
              <w:rPr>
                <w:rFonts w:hint="eastAsia" w:ascii="宋体" w:hAnsi="宋体"/>
                <w:szCs w:val="21"/>
              </w:rPr>
              <w:t xml:space="preserve">代表人（签字）：</w:t>
            </w:r>
            <w:r/>
          </w:p>
          <w:p>
            <w:pPr>
              <w:jc w:val="left"/>
              <w:spacing w:line="240" w:lineRule="exact"/>
              <w:widowControl/>
              <w:rPr>
                <w:rFonts w:hint="eastAsia" w:ascii="宋体" w:hAnsi="宋体"/>
                <w:szCs w:val="21"/>
              </w:rPr>
            </w:pPr>
            <w:r>
              <w:rPr>
                <w:rFonts w:hint="eastAsia" w:ascii="宋体" w:hAnsi="宋体"/>
                <w:szCs w:val="21"/>
              </w:rPr>
            </w:r>
            <w:r/>
          </w:p>
          <w:p>
            <w:pPr>
              <w:jc w:val="left"/>
              <w:spacing w:line="240" w:lineRule="exact"/>
              <w:widowControl/>
              <w:rPr>
                <w:rFonts w:hint="eastAsia" w:ascii="宋体" w:hAnsi="宋体"/>
                <w:szCs w:val="21"/>
              </w:rPr>
            </w:pPr>
            <w:r>
              <w:rPr>
                <w:rFonts w:hint="eastAsia" w:ascii="宋体" w:hAnsi="宋体"/>
                <w:szCs w:val="21"/>
              </w:rPr>
              <w:t xml:space="preserve">联 系 人：XXX/手机XXXX</w:t>
            </w:r>
            <w:r/>
          </w:p>
        </w:tc>
      </w:tr>
    </w:tbl>
    <w:p>
      <w:r/>
      <w:r/>
    </w:p>
    <w:p>
      <w:pPr>
        <w:rPr>
          <w:rFonts w:hint="eastAsia" w:ascii="宋体" w:hAnsi="宋体"/>
          <w:b/>
          <w:bCs/>
          <w:sz w:val="28"/>
          <w:szCs w:val="28"/>
        </w:rPr>
      </w:pPr>
      <w:r>
        <w:rPr>
          <w:rFonts w:hint="eastAsia" w:ascii="宋体" w:hAnsi="宋体"/>
          <w:b/>
          <w:bCs/>
          <w:sz w:val="28"/>
          <w:szCs w:val="28"/>
        </w:rPr>
        <w:t xml:space="preserve">附件一： 配置清单</w:t>
      </w:r>
      <w:r/>
    </w:p>
    <w:p>
      <w:pPr>
        <w:spacing w:before="156" w:after="156"/>
        <w:rPr>
          <w:rFonts w:ascii="方正大标宋简体" w:hAnsi="宋体" w:eastAsia="方正大标宋简体"/>
          <w:bCs/>
          <w:szCs w:val="21"/>
        </w:rPr>
      </w:pPr>
      <w:r>
        <w:rPr>
          <w:rFonts w:hint="eastAsia" w:ascii="宋体" w:hAnsi="宋体"/>
          <w:bCs/>
          <w:szCs w:val="21"/>
        </w:rPr>
        <w:t xml:space="preserve">一、设备名称：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7"/>
        <w:gridCol w:w="2141"/>
        <w:gridCol w:w="1253"/>
        <w:gridCol w:w="613"/>
        <w:gridCol w:w="613"/>
        <w:gridCol w:w="684"/>
        <w:gridCol w:w="1000"/>
        <w:gridCol w:w="1269"/>
      </w:tblGrid>
      <w:tr>
        <w:trPr>
          <w:trHeight w:val="763"/>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bl>
    <w:p>
      <w:pPr>
        <w:rPr>
          <w:szCs w:val="21"/>
        </w:rPr>
      </w:pPr>
      <w:r>
        <w:rPr>
          <w:szCs w:val="21"/>
        </w:rPr>
      </w:r>
      <w:r/>
    </w:p>
    <w:p>
      <w:pPr>
        <w:spacing w:before="156" w:after="156"/>
        <w:rPr>
          <w:rFonts w:ascii="方正大标宋简体" w:hAnsi="宋体" w:eastAsia="方正大标宋简体"/>
          <w:bCs/>
          <w:szCs w:val="21"/>
        </w:rPr>
      </w:pPr>
      <w:r>
        <w:rPr>
          <w:rFonts w:hint="eastAsia" w:ascii="宋体" w:hAnsi="宋体"/>
          <w:bCs/>
          <w:szCs w:val="21"/>
        </w:rPr>
        <w:t xml:space="preserve">二 、备件名称：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7"/>
        <w:gridCol w:w="2141"/>
        <w:gridCol w:w="1253"/>
        <w:gridCol w:w="613"/>
        <w:gridCol w:w="613"/>
        <w:gridCol w:w="684"/>
        <w:gridCol w:w="1000"/>
        <w:gridCol w:w="1269"/>
      </w:tblGrid>
      <w:tr>
        <w:trPr>
          <w:trHeight w:val="763"/>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Borders>
              <w:top w:val="single" w:color="000000" w:sz="4" w:space="0"/>
              <w:left w:val="single" w:color="000000" w:sz="4" w:space="0"/>
              <w:bottom w:val="single" w:color="000000" w:sz="4" w:space="0"/>
              <w:right w:val="single" w:color="000000" w:sz="4" w:space="0"/>
            </w:tcBorders>
            <w:tcW w:w="237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639"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spacing w:before="156" w:after="156"/>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textDirection w:val="lrTb"/>
            <w:noWrap w:val="false"/>
          </w:tcPr>
          <w:p>
            <w:pPr>
              <w:spacing w:before="156" w:after="156"/>
              <w:rPr>
                <w:rFonts w:ascii="方正大标宋简体" w:hAnsi="宋体" w:eastAsia="方正大标宋简体"/>
                <w:bCs/>
                <w:szCs w:val="21"/>
              </w:rPr>
            </w:pPr>
            <w:r>
              <w:rPr>
                <w:rFonts w:ascii="方正大标宋简体" w:hAnsi="宋体" w:eastAsia="方正大标宋简体"/>
                <w:bCs/>
                <w:szCs w:val="21"/>
              </w:rPr>
            </w:r>
            <w:r/>
          </w:p>
        </w:tc>
      </w:tr>
    </w:tbl>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keepNext/>
        <w:rPr>
          <w:rFonts w:ascii="黑体" w:eastAsia="黑体"/>
          <w:b/>
          <w:bCs/>
          <w:color w:val="000000"/>
          <w:sz w:val="44"/>
          <w:szCs w:val="28"/>
        </w:rPr>
        <w:outlineLvl w:val="0"/>
      </w:pPr>
      <w:r/>
      <w:bookmarkStart w:id="203" w:name="_Toc228282819"/>
      <w:r>
        <w:rPr>
          <w:rFonts w:hint="eastAsia" w:ascii="黑体" w:eastAsia="黑体"/>
          <w:b/>
          <w:bCs/>
          <w:color w:val="000000"/>
          <w:sz w:val="44"/>
          <w:szCs w:val="28"/>
        </w:rPr>
        <w:t xml:space="preserve">第</w:t>
      </w:r>
      <w:bookmarkEnd w:id="194"/>
      <w:r>
        <w:rPr>
          <w:rFonts w:hint="eastAsia" w:ascii="黑体" w:eastAsia="黑体"/>
          <w:b/>
          <w:bCs/>
          <w:color w:val="000000"/>
          <w:sz w:val="44"/>
          <w:szCs w:val="28"/>
        </w:rPr>
        <w:t xml:space="preserve">四章 采购需求</w:t>
      </w:r>
      <w:bookmarkEnd w:id="195"/>
      <w:r/>
      <w:bookmarkEnd w:id="196"/>
      <w:r/>
      <w:bookmarkEnd w:id="197"/>
      <w:r/>
      <w:bookmarkEnd w:id="203"/>
      <w:r/>
      <w:r/>
    </w:p>
    <w:p>
      <w:pPr>
        <w:spacing w:line="0" w:lineRule="atLeast"/>
        <w:rPr>
          <w:rFonts w:hint="eastAsia" w:ascii="宋体" w:hAnsi="宋体"/>
          <w:color w:val="000000"/>
          <w:sz w:val="24"/>
          <w:szCs w:val="24"/>
        </w:rPr>
      </w:pPr>
      <w:r/>
      <w:bookmarkStart w:id="204" w:name="_Toc49090575"/>
      <w:r/>
      <w:bookmarkStart w:id="205" w:name="_Toc26554093"/>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pPr w:horzAnchor="page" w:tblpX="1747" w:vertAnchor="text" w:tblpY="234" w:leftFromText="180" w:topFromText="0" w:rightFromText="180" w:bottomFromText="0"/>
        <w:tblW w:w="9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2580"/>
        <w:gridCol w:w="1335"/>
        <w:gridCol w:w="4125"/>
      </w:tblGrid>
      <w:tr>
        <w:trPr>
          <w:cantSplit/>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133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41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80" w:type="dxa"/>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台式计算机</w:t>
            </w:r>
            <w:r/>
          </w:p>
        </w:tc>
        <w:tc>
          <w:tcPr>
            <w:tcW w:w="13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264套</w:t>
            </w:r>
            <w:r/>
          </w:p>
        </w:tc>
        <w:tc>
          <w:tcPr>
            <w:tcW w:w="412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91"/>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80" w:type="dxa"/>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图形工作站</w:t>
            </w:r>
            <w:r/>
          </w:p>
        </w:tc>
        <w:tc>
          <w:tcPr>
            <w:tcW w:w="13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45套</w:t>
            </w:r>
            <w:r/>
          </w:p>
        </w:tc>
        <w:tc>
          <w:tcPr>
            <w:tcW w:w="412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ind w:firstLine="482"/>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注：台式计算机、</w:t>
      </w:r>
      <w:r>
        <w:rPr>
          <w:rFonts w:hint="eastAsia" w:asciiTheme="minorEastAsia" w:hAnsiTheme="minorEastAsia" w:cstheme="minorEastAsia"/>
          <w:b/>
          <w:bCs/>
          <w:color w:val="000000"/>
          <w:sz w:val="24"/>
          <w:szCs w:val="24"/>
        </w:rPr>
        <w:t xml:space="preserve">图形</w:t>
      </w:r>
      <w:r>
        <w:rPr>
          <w:rFonts w:hint="eastAsia" w:asciiTheme="minorEastAsia" w:hAnsiTheme="minorEastAsia" w:eastAsiaTheme="minorEastAsia" w:cstheme="minorEastAsia"/>
          <w:b/>
          <w:bCs/>
          <w:color w:val="000000"/>
          <w:sz w:val="24"/>
          <w:szCs w:val="24"/>
        </w:rPr>
        <w:t xml:space="preserve">工作站和液晶显示器所报产品官网可查相关信息，具备3C认证。</w:t>
      </w:r>
      <w:r/>
    </w:p>
    <w:p>
      <w:pPr>
        <w:ind w:firstLine="482"/>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依据财政部、发展改革委发布的《节能产品政府采购品目清单》，本项目采购的台式计算机、</w:t>
      </w:r>
      <w:r>
        <w:rPr>
          <w:rFonts w:hint="eastAsia" w:asciiTheme="minorEastAsia" w:hAnsiTheme="minorEastAsia" w:cstheme="minorEastAsia"/>
          <w:b/>
          <w:bCs/>
          <w:color w:val="000000"/>
          <w:sz w:val="24"/>
          <w:szCs w:val="24"/>
        </w:rPr>
        <w:t xml:space="preserve">图形</w:t>
      </w:r>
      <w:r>
        <w:rPr>
          <w:rFonts w:hint="eastAsia" w:asciiTheme="minorEastAsia" w:hAnsiTheme="minorEastAsia" w:eastAsiaTheme="minorEastAsia" w:cstheme="minorEastAsia"/>
          <w:b/>
          <w:bCs/>
          <w:color w:val="000000"/>
          <w:sz w:val="24"/>
          <w:szCs w:val="24"/>
        </w:rPr>
        <w:t xml:space="preserve">工作站和液晶显示器为政府强制采购节能产品，报价人只能选择具有节能产品认证证书的产品进行报价；报价时须提供所报设备由国家确定的认证机构出具的、处于有效期之内的节能产品认证证书复印件（或扫描件）。</w:t>
      </w:r>
      <w:r/>
    </w:p>
    <w:p>
      <w:pPr>
        <w:spacing w:line="0" w:lineRule="atLeast"/>
        <w:rPr>
          <w:rFonts w:hint="eastAsia" w:ascii="宋体" w:hAnsi="宋体"/>
          <w:b/>
          <w:color w:val="000000"/>
          <w:sz w:val="24"/>
          <w:szCs w:val="24"/>
        </w:rPr>
      </w:pPr>
      <w:r>
        <w:rPr>
          <w:rFonts w:hint="eastAsia" w:ascii="宋体" w:hAnsi="宋体"/>
          <w:b/>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二、政府采购中实施本国产品标准及相关政策</w:t>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Theme="minorEastAsia" w:hAnsiTheme="minorEastAsia" w:eastAsiaTheme="minorEastAsia" w:cstheme="minorEastAsia"/>
          <w:b/>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4"/>
          <w:szCs w:val="24"/>
        </w:rPr>
      </w:pPr>
      <w:r>
        <w:rPr>
          <w:rFonts w:hint="eastAsia" w:ascii="宋体" w:hAnsi="宋体"/>
          <w:b/>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spacing w:line="0" w:lineRule="atLeast"/>
        <w:rPr>
          <w:rFonts w:hint="eastAsia" w:ascii="宋体" w:hAnsi="宋体"/>
          <w:b/>
          <w:bCs/>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p>
    <w:p>
      <w:pPr>
        <w:ind w:firstLine="480"/>
        <w:spacing w:line="0" w:lineRule="atLeast"/>
        <w:rPr>
          <w:rFonts w:hint="eastAsia" w:ascii="宋体" w:hAnsi="宋体" w:cs="宋体"/>
          <w:b/>
          <w:bCs/>
          <w:sz w:val="28"/>
          <w:szCs w:val="28"/>
        </w:rPr>
      </w:pPr>
      <w:r>
        <w:rPr>
          <w:rFonts w:hint="eastAsia" w:ascii="宋体" w:hAnsi="宋体" w:cs="宋体"/>
          <w:b/>
          <w:bCs/>
          <w:sz w:val="28"/>
          <w:szCs w:val="28"/>
        </w:rPr>
        <w:t xml:space="preserve">采购包1：台式计算机</w:t>
      </w:r>
      <w:r/>
    </w:p>
    <w:tbl>
      <w:tblPr>
        <w:tblW w:w="8217" w:type="dxa"/>
        <w:jc w:val="center"/>
        <w:tblLook w:val="04A0" w:firstRow="1" w:lastRow="0" w:firstColumn="1" w:lastColumn="0" w:noHBand="0" w:noVBand="1"/>
      </w:tblPr>
      <w:tblGrid>
        <w:gridCol w:w="622"/>
        <w:gridCol w:w="1058"/>
        <w:gridCol w:w="1100"/>
        <w:gridCol w:w="1540"/>
        <w:gridCol w:w="3897"/>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一级指标1</w:t>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二级指标1</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w:t>
            </w:r>
            <w:r>
              <w:rPr>
                <w:rFonts w:hint="eastAsia" w:ascii="宋体" w:hAnsi="宋体" w:cs="宋体"/>
                <w:sz w:val="24"/>
                <w:szCs w:val="24"/>
              </w:rPr>
              <w:t xml:space="preserve">格</w:t>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CPU规</w:t>
            </w:r>
            <w:r>
              <w:rPr>
                <w:rFonts w:hint="eastAsia" w:ascii="宋体" w:hAnsi="宋体" w:cs="宋体"/>
                <w:sz w:val="24"/>
                <w:szCs w:val="24"/>
              </w:rPr>
              <w:t xml:space="preserve">格</w:t>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CPU信息</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i/>
                <w:iCs/>
                <w:sz w:val="24"/>
                <w:szCs w:val="24"/>
                <w:u w:val="single"/>
              </w:rPr>
              <w:t xml:space="preserve">物理内核数≥10核；处理器基本主</w:t>
            </w:r>
            <w:r>
              <w:rPr>
                <w:rFonts w:hint="eastAsia" w:ascii="宋体" w:hAnsi="宋体" w:cs="宋体"/>
                <w:b/>
                <w:i/>
                <w:iCs/>
                <w:sz w:val="24"/>
                <w:szCs w:val="24"/>
                <w:u w:val="single"/>
              </w:rPr>
              <w:t xml:space="preserve">频≥2.5GHz；最高睿频≥4.6GHz；三级缓存容量≥20MB；制作工艺≤10nm，≥16线程；</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color w:val="ff0000"/>
                <w:sz w:val="24"/>
                <w:szCs w:val="24"/>
              </w:rPr>
            </w:pPr>
            <w:r>
              <w:rPr>
                <w:rFonts w:hint="eastAsia" w:ascii="宋体" w:hAnsi="宋体" w:cs="宋体"/>
                <w:sz w:val="24"/>
                <w:szCs w:val="24"/>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支持DDR4 2666/3200 及以上内存类型</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主板规格</w:t>
            </w:r>
            <w:r/>
          </w:p>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760及以上芯片组、集成资源扩展模块、计算处理模块、音频扩展模块等，主板的互联拓扑可通过处理器或交换电路实现</w:t>
            </w:r>
            <w:r/>
          </w:p>
        </w:tc>
      </w:tr>
      <w:tr>
        <w:trPr>
          <w:jc w:val="center"/>
          <w:trHeight w:val="24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主板支持的CPU和内存情况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lang w:bidi="ar"/>
              </w:rPr>
              <w:t xml:space="preserve">支持第13代/14代酷睿处理器（LGA 1700接口），支持DDR4(3200)或DDR5(5600)内存</w:t>
            </w:r>
            <w:r/>
          </w:p>
        </w:tc>
      </w:tr>
      <w:tr>
        <w:trPr>
          <w:jc w:val="center"/>
          <w:trHeight w:val="107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主板内置PCIe插槽数量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rPr>
                <w:rFonts w:hint="eastAsia" w:ascii="宋体" w:hAnsi="宋体" w:cs="宋体"/>
                <w:b/>
                <w:bCs/>
                <w:sz w:val="24"/>
                <w:szCs w:val="24"/>
              </w:rPr>
            </w:pPr>
            <w:r>
              <w:rPr>
                <w:rFonts w:hint="eastAsia" w:ascii="宋体" w:hAnsi="宋体" w:cs="宋体"/>
                <w:b/>
                <w:bCs/>
                <w:i/>
                <w:iCs/>
                <w:sz w:val="24"/>
                <w:szCs w:val="24"/>
                <w:u w:val="single"/>
              </w:rPr>
              <w:t xml:space="preserve">≥</w:t>
            </w:r>
            <w:r>
              <w:rPr>
                <w:rFonts w:hint="eastAsia" w:ascii="宋体" w:hAnsi="宋体" w:cs="宋体"/>
                <w:b/>
                <w:bCs/>
                <w:i/>
                <w:iCs/>
                <w:sz w:val="24"/>
                <w:szCs w:val="24"/>
                <w:u w:val="single"/>
                <w:lang w:bidi="ar"/>
              </w:rPr>
              <w:t xml:space="preserve">2个PCIE槽位，其中至少包含1个1* PCIe x16 Gen5</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a）预留满足 USB3.0 数据传输规范的接口，工作电压5V，最大过电流应不小于 3A；</w:t>
            </w:r>
            <w:r>
              <w:rPr>
                <w:rFonts w:hint="eastAsia" w:ascii="宋体" w:hAnsi="宋体" w:cs="宋体"/>
                <w:color w:val="000000"/>
                <w:sz w:val="24"/>
                <w:szCs w:val="24"/>
                <w:lang w:bidi="ar"/>
              </w:rPr>
              <w:br/>
              <w:t xml:space="preserve">b) 预留多功能导入装置板卡安装孔位，采用内置方式与主机一体化集成，容量不小于145mm×125mm×16.5mm（长×宽×高）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color w:val="000000"/>
                <w:sz w:val="24"/>
                <w:szCs w:val="24"/>
                <w:u w:val="single"/>
                <w:lang w:bidi="ar"/>
              </w:rPr>
              <w:t xml:space="preserve">预留≥3个SATA3.0硬盘扩展槽位、USB 接口≥11个USB接口（其中至少8个USB 3.2 G1接口、1个TYPE-C G2接口)，</w:t>
            </w:r>
            <w:r>
              <w:rPr>
                <w:rFonts w:hint="eastAsia" w:ascii="宋体" w:hAnsi="宋体" w:cs="宋体"/>
                <w:b/>
                <w:bCs/>
                <w:i/>
                <w:iCs/>
                <w:sz w:val="24"/>
                <w:szCs w:val="24"/>
                <w:u w:val="single"/>
              </w:rPr>
              <w:t xml:space="preserve">≥3个M.2接口（其中一个为无线网卡扩展口）</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▲≥64GB</w:t>
            </w:r>
            <w:r/>
          </w:p>
        </w:tc>
      </w:tr>
      <w:tr>
        <w:trPr>
          <w:jc w:val="center"/>
          <w:trHeight w:val="36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w:t>
            </w:r>
            <w:r>
              <w:rPr>
                <w:rFonts w:hint="eastAsia" w:ascii="宋体" w:hAnsi="宋体" w:cs="宋体"/>
                <w:sz w:val="24"/>
                <w:szCs w:val="24"/>
              </w:rPr>
              <w:t xml:space="preserve">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存储设</w:t>
            </w:r>
            <w:r>
              <w:rPr>
                <w:rFonts w:hint="eastAsia" w:ascii="宋体" w:hAnsi="宋体" w:cs="宋体"/>
                <w:sz w:val="24"/>
                <w:szCs w:val="24"/>
              </w:rPr>
              <w:t xml:space="preserve">备规格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color w:val="ff0000"/>
                <w:sz w:val="24"/>
                <w:szCs w:val="24"/>
              </w:rPr>
            </w:pPr>
            <w:r>
              <w:rPr>
                <w:rFonts w:hint="eastAsia" w:ascii="宋体" w:hAnsi="宋体" w:cs="宋体"/>
                <w:sz w:val="24"/>
                <w:szCs w:val="24"/>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color w:val="ff0000"/>
                <w:sz w:val="24"/>
                <w:szCs w:val="24"/>
                <w:u w:val="single"/>
              </w:rPr>
            </w:pPr>
            <w:r>
              <w:rPr>
                <w:rFonts w:hint="eastAsia" w:ascii="宋体" w:hAnsi="宋体" w:cs="宋体"/>
                <w:b/>
                <w:bCs/>
                <w:i/>
                <w:iCs/>
                <w:sz w:val="24"/>
                <w:szCs w:val="24"/>
                <w:u w:val="single"/>
              </w:rPr>
              <w:t xml:space="preserve">≥1T SSD M.2 2280 PCIe NVMe</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i/>
                <w:iCs/>
                <w:sz w:val="24"/>
                <w:szCs w:val="24"/>
                <w:u w:val="single"/>
              </w:rPr>
            </w:pPr>
            <w:r>
              <w:rPr>
                <w:rFonts w:hint="eastAsia" w:ascii="宋体" w:hAnsi="宋体" w:cs="宋体"/>
                <w:sz w:val="24"/>
                <w:szCs w:val="24"/>
              </w:rPr>
              <w:t xml:space="preserve">≥0个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≥0TB</w:t>
            </w:r>
            <w:r/>
          </w:p>
        </w:tc>
      </w:tr>
      <w:tr>
        <w:trPr>
          <w:jc w:val="center"/>
          <w:trHeight w:val="12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i/>
                <w:iCs/>
                <w:sz w:val="24"/>
                <w:szCs w:val="24"/>
                <w:u w:val="single"/>
              </w:rPr>
            </w:pPr>
            <w:r>
              <w:rPr>
                <w:rFonts w:hint="eastAsia" w:ascii="宋体" w:hAnsi="宋体" w:cs="宋体"/>
                <w:sz w:val="24"/>
                <w:szCs w:val="24"/>
              </w:rPr>
              <w:t xml:space="preserve">支持SATA3.0及以上或SAS3.0及以上接口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2.5英寸或3.5英寸等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color w:val="000000"/>
                <w:sz w:val="24"/>
                <w:szCs w:val="24"/>
                <w:u w:val="single"/>
                <w:lang w:bidi="ar"/>
              </w:rPr>
              <w:t xml:space="preserve">M.2 2280 Key-M(Nvme)</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采用插卡或板载等形态，可选用符合M.2或2.5寸SATA或mSATA等标准的插卡形态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a)固态盘应符合SJ/T11654相关规定；</w:t>
            </w:r>
            <w:r>
              <w:rPr>
                <w:rFonts w:hint="eastAsia" w:ascii="宋体" w:hAnsi="宋体" w:cs="宋体"/>
                <w:b/>
                <w:bCs/>
                <w:i/>
                <w:iCs/>
                <w:sz w:val="24"/>
                <w:szCs w:val="24"/>
                <w:u w:val="single"/>
              </w:rPr>
              <w:br w:type="textWrapping" w:clear="all"/>
            </w:r>
            <w:r>
              <w:rPr>
                <w:rFonts w:hint="eastAsia" w:ascii="宋体" w:hAnsi="宋体" w:cs="宋体"/>
                <w:sz w:val="24"/>
                <w:szCs w:val="24"/>
              </w:rPr>
              <w:t xml:space="preserve">b)机械硬盘准备时间应不大于30s；侧面固定螺丝孔数量可为4孔或6孔；工作状态环境温度应满足5℃~55℃；其它参数应符合GB/T12628相关规定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显卡规格</w:t>
            </w:r>
            <w:r/>
          </w:p>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集成显卡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若配置独立显卡，显存类型应为</w:t>
            </w:r>
            <w:r>
              <w:rPr>
                <w:rFonts w:hint="eastAsia" w:ascii="宋体" w:hAnsi="宋体" w:cs="宋体"/>
                <w:color w:val="000000"/>
                <w:sz w:val="24"/>
                <w:szCs w:val="24"/>
                <w:lang w:bidi="ar"/>
              </w:rPr>
              <w:br/>
              <w:t xml:space="preserve">DDR3/DDR4/GDDR5/GDDR6/LPDDR4</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支持PCIe协议版本大于等于2.0或HT（HyperTransport）协议版本大于等于3.0的独立显卡接口协议</w:t>
            </w:r>
            <w:r/>
          </w:p>
        </w:tc>
      </w:tr>
      <w:tr>
        <w:trPr>
          <w:jc w:val="center"/>
          <w:trHeight w:val="113"/>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显示屏屏占比</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≥85%</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显示屏分辨率</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≥1920x1080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w:t>
            </w:r>
            <w:r>
              <w:rPr>
                <w:rFonts w:hint="eastAsia" w:ascii="宋体" w:hAnsi="宋体" w:cs="宋体"/>
                <w:sz w:val="24"/>
                <w:szCs w:val="24"/>
              </w:rPr>
              <w:t xml:space="preserve">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显示屏像素</w:t>
            </w:r>
            <w:r>
              <w:rPr>
                <w:rFonts w:hint="eastAsia" w:ascii="宋体" w:hAnsi="宋体" w:cs="宋体"/>
                <w:sz w:val="24"/>
                <w:szCs w:val="24"/>
              </w:rPr>
              <w:t xml:space="preserve">密度</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▲≥92像素/英寸</w:t>
            </w:r>
            <w:r/>
          </w:p>
        </w:tc>
      </w:tr>
      <w:tr>
        <w:trPr>
          <w:jc w:val="center"/>
          <w:trHeight w:val="218"/>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显示屏可视角度</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▲水平≥178°</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显示屏尺寸</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≥23.8英寸</w:t>
            </w:r>
            <w:r/>
          </w:p>
        </w:tc>
      </w:tr>
      <w:tr>
        <w:trPr>
          <w:jc w:val="center"/>
          <w:trHeight w:val="186"/>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显示屏屏幕比例</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16:9</w:t>
            </w:r>
            <w:r/>
          </w:p>
        </w:tc>
      </w:tr>
      <w:tr>
        <w:trPr>
          <w:jc w:val="center"/>
          <w:trHeight w:val="165"/>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显示器外观颜色</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黑色系</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显示屏防蓝光</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支持防蓝光模式，蓝光加权辐射亮度比应≤0.0012W/(·cd·sr)（瓦每坎特拉每球面度）</w:t>
            </w:r>
            <w:r/>
          </w:p>
        </w:tc>
      </w:tr>
      <w:tr>
        <w:trPr>
          <w:jc w:val="center"/>
          <w:trHeight w:val="52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显示屏低频闪</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显示屏应支持低频闪≤-35dB</w:t>
            </w:r>
            <w:r/>
          </w:p>
        </w:tc>
      </w:tr>
      <w:tr>
        <w:trPr>
          <w:jc w:val="center"/>
          <w:trHeight w:val="52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显示屏防炫目</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显示屏镜面反射率≤10%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外设规格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101键/104键等</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按键压力应在0.54N±0.14N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黑色/白色/银色等商务色系</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键盘外观结构、连接方式、主要功能、安全、电磁兼容性、可靠性应符合GB/T14081的相关规定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有线或无线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鼠标DPI分辨率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黑色/银色/白色等商务色系</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其它参数应符合GB/T26245的相关规定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支持扩展内置光驱</w:t>
            </w:r>
            <w:r/>
          </w:p>
        </w:tc>
      </w:tr>
      <w:tr>
        <w:trPr>
          <w:jc w:val="center"/>
          <w:trHeight w:val="16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外部接口规格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USB接口数量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机箱应提供不少于 11 个 USB 接 口（含 8 个 USB 3.2 及以上接口，1个TYPE-C G2接口）</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USB母座接口要求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机箱前面板额外预留2个专用USB母座接口孔位和1个通用A型USB母座接口孔位，采用横向排列中心间距应不小于27mm</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≥2</w:t>
            </w:r>
            <w:r/>
          </w:p>
        </w:tc>
      </w:tr>
      <w:tr>
        <w:trPr>
          <w:jc w:val="center"/>
          <w:trHeight w:val="9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≥5（至少包含前置1个耳机和1个麦克风插孔）</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整机基础规格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a)产品表面不应有凹痕、划伤、裂缝、变形和污染等。表面涂层均匀，不应起泡、龟裂、脱落和磨损，金属零部件无锈蚀及其它机械损伤；</w:t>
            </w:r>
            <w:r>
              <w:rPr>
                <w:rFonts w:hint="eastAsia" w:ascii="宋体" w:hAnsi="宋体" w:cs="宋体"/>
                <w:sz w:val="24"/>
                <w:szCs w:val="24"/>
              </w:rPr>
              <w:br w:type="textWrapping" w:clear="all"/>
              <w:t xml:space="preserve">b)产品表面说明功能的文字、符号、标志，应清晰、端正、牢固</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状态指示灯</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在产品显著位置提供状态指示功能，如运行状态，并由供应商提供详细参数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a)机箱应符合GB/T4208、GB/T26246的相关规定；</w:t>
            </w:r>
            <w:r>
              <w:rPr>
                <w:rFonts w:hint="eastAsia" w:ascii="宋体" w:hAnsi="宋体" w:cs="宋体"/>
                <w:b/>
                <w:bCs/>
                <w:i/>
                <w:iCs/>
                <w:sz w:val="24"/>
                <w:szCs w:val="24"/>
                <w:u w:val="single"/>
              </w:rPr>
              <w:br w:type="textWrapping" w:clear="all"/>
              <w:t xml:space="preserve">b)产品内部结构应符合通用部件的安装需求；</w:t>
            </w:r>
            <w:r>
              <w:rPr>
                <w:rFonts w:hint="eastAsia" w:ascii="宋体" w:hAnsi="宋体" w:cs="宋体"/>
                <w:b/>
                <w:bCs/>
                <w:i/>
                <w:iCs/>
                <w:sz w:val="24"/>
                <w:szCs w:val="24"/>
                <w:u w:val="single"/>
              </w:rPr>
              <w:br w:type="textWrapping" w:clear="all"/>
              <w:t xml:space="preserve">c)所有输入输出接口应符合相关国家或行业标准；</w:t>
            </w:r>
            <w:r>
              <w:rPr>
                <w:rFonts w:hint="eastAsia" w:ascii="宋体" w:hAnsi="宋体" w:cs="宋体"/>
                <w:b/>
                <w:bCs/>
                <w:i/>
                <w:iCs/>
                <w:sz w:val="24"/>
                <w:szCs w:val="24"/>
                <w:u w:val="single"/>
              </w:rPr>
              <w:br w:type="textWrapping" w:clear="all"/>
              <w:t xml:space="preserve">d)产品零部件应紧固无松动，可插拔部件应可靠连接，开关、按钮和其它控制部件应灵活可靠，布局应方便使用；</w:t>
            </w:r>
            <w:r>
              <w:rPr>
                <w:rFonts w:hint="eastAsia" w:ascii="宋体" w:hAnsi="宋体" w:cs="宋体"/>
                <w:b/>
                <w:bCs/>
                <w:i/>
                <w:iCs/>
                <w:sz w:val="24"/>
                <w:szCs w:val="24"/>
                <w:u w:val="single"/>
              </w:rPr>
              <w:br w:type="textWrapping" w:clear="all"/>
              <w:t xml:space="preserve">e)所有I/O连接器及需插接线缆的部位应预留采购人操作空间，方便插拔解锁与插拔线缆；</w:t>
            </w:r>
            <w:r>
              <w:rPr>
                <w:rFonts w:hint="eastAsia" w:ascii="宋体" w:hAnsi="宋体" w:cs="宋体"/>
                <w:b/>
                <w:bCs/>
                <w:i/>
                <w:iCs/>
                <w:sz w:val="24"/>
                <w:szCs w:val="24"/>
                <w:u w:val="single"/>
              </w:rPr>
              <w:br w:type="textWrapping" w:clear="all"/>
              <w:t xml:space="preserve">f)可插拔板卡插槽部位应预留安装、拆卸或更换板卡空间；</w:t>
            </w:r>
            <w:r>
              <w:rPr>
                <w:rFonts w:hint="eastAsia" w:ascii="宋体" w:hAnsi="宋体" w:cs="宋体"/>
                <w:b/>
                <w:bCs/>
                <w:i/>
                <w:iCs/>
                <w:sz w:val="24"/>
                <w:szCs w:val="24"/>
                <w:u w:val="single"/>
              </w:rPr>
              <w:br w:type="textWrapping" w:clear="all"/>
              <w:t xml:space="preserve">g)拆装可能接触到的金属剪口或金属尖角部位应做防划伤处理，以保证安全；</w:t>
            </w:r>
            <w:r>
              <w:rPr>
                <w:rFonts w:hint="eastAsia" w:ascii="宋体" w:hAnsi="宋体" w:cs="宋体"/>
                <w:b/>
                <w:bCs/>
                <w:i/>
                <w:iCs/>
                <w:sz w:val="24"/>
                <w:szCs w:val="24"/>
                <w:u w:val="single"/>
              </w:rPr>
              <w:br w:type="textWrapping" w:clear="all"/>
              <w:t xml:space="preserve">h)整机内部走线应规整，固线结构和位置要合理可靠并做防割线处理，需便于理线和插拔操作，走线应不影响系统各主要部件组装和拆卸；</w:t>
            </w:r>
            <w:r>
              <w:rPr>
                <w:rFonts w:hint="eastAsia" w:ascii="宋体" w:hAnsi="宋体" w:cs="宋体"/>
                <w:b/>
                <w:bCs/>
                <w:i/>
                <w:iCs/>
                <w:sz w:val="24"/>
                <w:szCs w:val="24"/>
                <w:u w:val="single"/>
              </w:rPr>
              <w:br w:type="textWrapping" w:clear="all"/>
              <w:t xml:space="preserve">i)如需通过孔走线，过线孔应做防割线处理；</w:t>
            </w:r>
            <w:r>
              <w:rPr>
                <w:rFonts w:hint="eastAsia" w:ascii="宋体" w:hAnsi="宋体" w:cs="宋体"/>
                <w:b/>
                <w:bCs/>
                <w:i/>
                <w:iCs/>
                <w:sz w:val="24"/>
                <w:szCs w:val="24"/>
                <w:u w:val="single"/>
              </w:rPr>
              <w:br w:type="textWrapping" w:clear="all"/>
              <w:t xml:space="preserve">j)各插头位置和插拔方向应合理，应做到插拔无障碍设计，具备防呆设计，有效避免误操作；</w:t>
            </w:r>
            <w:r>
              <w:rPr>
                <w:rFonts w:hint="eastAsia" w:ascii="宋体" w:hAnsi="宋体" w:cs="宋体"/>
                <w:b/>
                <w:bCs/>
                <w:i/>
                <w:iCs/>
                <w:sz w:val="24"/>
                <w:szCs w:val="24"/>
                <w:u w:val="single"/>
              </w:rPr>
              <w:br w:type="textWrapping" w:clear="all"/>
              <w:t xml:space="preserve">k)各主要部件拆装无障碍，使用常规工具拆装，无特殊拆装工具需求；</w:t>
            </w:r>
            <w:r>
              <w:rPr>
                <w:rFonts w:hint="eastAsia" w:ascii="宋体" w:hAnsi="宋体" w:cs="宋体"/>
                <w:b/>
                <w:bCs/>
                <w:i/>
                <w:iCs/>
                <w:sz w:val="24"/>
                <w:szCs w:val="24"/>
                <w:u w:val="single"/>
              </w:rPr>
              <w:br w:type="textWrapping" w:clear="all"/>
              <w:t xml:space="preserve">l)各主要部件拆装步骤要少，各自拆装需避免相互干扰；</w:t>
            </w:r>
            <w:r>
              <w:rPr>
                <w:rFonts w:hint="eastAsia" w:ascii="宋体" w:hAnsi="宋体" w:cs="宋体"/>
                <w:b/>
                <w:bCs/>
                <w:i/>
                <w:iCs/>
                <w:sz w:val="24"/>
                <w:szCs w:val="24"/>
                <w:u w:val="single"/>
              </w:rPr>
              <w:br w:type="textWrapping" w:clear="all"/>
              <w:t xml:space="preserve">m)对于整机或零部件外表面为高亮</w:t>
            </w:r>
            <w:r>
              <w:rPr>
                <w:rFonts w:hint="eastAsia" w:ascii="宋体" w:hAnsi="宋体" w:cs="宋体"/>
                <w:b/>
                <w:bCs/>
                <w:i/>
                <w:iCs/>
                <w:sz w:val="24"/>
                <w:szCs w:val="24"/>
                <w:u w:val="single"/>
              </w:rPr>
              <w:t xml:space="preserve">面的，应粘贴保护膜，保护膜需粘贴牢固，运输、组装等过程不易脱落，撕下无残留；</w:t>
            </w:r>
            <w:r>
              <w:rPr>
                <w:rFonts w:hint="eastAsia" w:ascii="宋体" w:hAnsi="宋体" w:cs="宋体"/>
                <w:b/>
                <w:bCs/>
                <w:i/>
                <w:iCs/>
                <w:sz w:val="24"/>
                <w:szCs w:val="24"/>
                <w:u w:val="single"/>
              </w:rPr>
              <w:br w:type="textWrapping" w:clear="all"/>
              <w:t xml:space="preserve">n)其它要求应符合GB/T9813.1的相关规定</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机箱应符合GB/T4208中IP20防护要求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★产品工作在空闲状态下，产品的声功率级应不超过4.5 Bel（提供检测报告）</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整机散热</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在环境温度25℃及处理器满载情况下，产品表面温度应符合如下要求：a)出风口在机箱后面板情况下，出风口温度不高于55℃；</w:t>
            </w:r>
            <w:r>
              <w:rPr>
                <w:rFonts w:hint="eastAsia" w:ascii="宋体" w:hAnsi="宋体" w:cs="宋体"/>
                <w:sz w:val="24"/>
                <w:szCs w:val="24"/>
              </w:rPr>
              <w:br w:type="textWrapping" w:clear="all"/>
              <w:t xml:space="preserve">b)可触及面温度不高于45℃；</w:t>
            </w:r>
            <w:r>
              <w:rPr>
                <w:rFonts w:hint="eastAsia" w:ascii="宋体" w:hAnsi="宋体" w:cs="宋体"/>
                <w:sz w:val="24"/>
                <w:szCs w:val="24"/>
              </w:rPr>
              <w:br w:type="textWrapping" w:clear="all"/>
              <w:t xml:space="preserve">c)显示器表面温度：显示屏不高于38℃，显示屏上下灯带位置温度（如涉及）不高于40℃，出风口温度不高于45℃</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产品能效限定值应达到GB28380-2012标准中能效等级2级及以上</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塑料/金属等</w:t>
            </w:r>
            <w:r/>
          </w:p>
        </w:tc>
      </w:tr>
      <w:tr>
        <w:trPr>
          <w:jc w:val="cente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灰色/黑色等商务色系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机箱体积≤15L</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CPU性能</w:t>
            </w:r>
            <w:r/>
          </w:p>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CPU物理核数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≥10 </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CPU主频</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≥2.5GHz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▲≥20MB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▲≥3200MT/s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≥2666/3200MT/s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显卡性能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≥1920x1080</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≥300MHz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≥1000MT/s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显卡应支持2块屏幕同时显示，分辨率应不低于1920×1080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显示设备性能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▲≥100Hz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≥8位</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≥99%sRGB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▲△E≤4</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▲≤8ms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≥250尼特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≥70%</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bCs/>
                <w:i/>
                <w:iCs/>
                <w:sz w:val="24"/>
                <w:szCs w:val="24"/>
                <w:u w:val="single"/>
              </w:rPr>
              <w:t xml:space="preserve">≥3000：1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其它参数应符合SJ/T11292的相关规定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网络设备性能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最高速率应不低于1000Mbps，应支持10Mbps、100Mbps、1000Mbps速率自适应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≥20MHz</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≥2个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供应商给出主板支持存储扩展接口类型，如UFS3.0、SATA3.0、SAS3.0、M.2等类型接口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主板USB瞬间过流保护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支持防静电保护功能，主板直流供电电压大于设计值拉偏±6%</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I/O接口功能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提供基于标准USB接口外设连接功能、基于音频输入输出接口的音频扩展功能、基于PCIe接口板卡扩展功能、基于HDMI或VGA或Type-C或DVI或DP等接口外接显示器扩</w:t>
            </w:r>
            <w:r>
              <w:rPr>
                <w:rFonts w:hint="eastAsia" w:ascii="宋体" w:hAnsi="宋体" w:cs="宋体"/>
                <w:sz w:val="24"/>
                <w:szCs w:val="24"/>
              </w:rPr>
              <w:t xml:space="preserve">展功能、基于存储接口对产品进行增容功能等。产品I/O接口，应具备外接标准USB设备、显示器、音频设备等内外部设备能力</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singl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显卡至少支持VGA、HDMI、DVI、DP、Type-C中1种显示接口，并与显示器接口相匹配</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singl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显示器应与显卡外接显示接口匹配</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显示器应提供显示器支架，根据采购</w:t>
            </w:r>
            <w:r/>
          </w:p>
          <w:p>
            <w:pPr>
              <w:jc w:val="left"/>
              <w:widowControl/>
              <w:rPr>
                <w:rFonts w:hint="eastAsia" w:ascii="宋体" w:hAnsi="宋体" w:cs="宋体"/>
                <w:sz w:val="24"/>
                <w:szCs w:val="24"/>
              </w:rPr>
            </w:pPr>
            <w:r>
              <w:rPr>
                <w:rFonts w:hint="eastAsia" w:ascii="宋体" w:hAnsi="宋体" w:cs="宋体"/>
                <w:sz w:val="24"/>
                <w:szCs w:val="24"/>
              </w:rPr>
              <w:t xml:space="preserve">人需求支持屏幕旋转、升降等</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a)提供OSD选单按钮用于调节色彩、模式等；b)支持色温、亮度、对比度调节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外设功能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通过SATA固态存储/PCIe固态存储/UFS固态存储/SATA硬磁盘等存储部件提供存储功能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固态存储通过内置控制器硬件支持加密，不依赖处理器，保障数据安全性，但不得影响存储性能。</w:t>
            </w:r>
            <w:r>
              <w:rPr>
                <w:rFonts w:hint="eastAsia" w:ascii="宋体" w:hAnsi="宋体" w:cs="宋体"/>
                <w:sz w:val="24"/>
                <w:szCs w:val="24"/>
              </w:rPr>
              <w:br w:type="textWrapping" w:clear="all"/>
              <w:t xml:space="preserve">a)支持加密功能，且加密功能开启不影响SSD读写性能；</w:t>
            </w:r>
            <w:r>
              <w:rPr>
                <w:rFonts w:hint="eastAsia" w:ascii="宋体" w:hAnsi="宋体" w:cs="宋体"/>
                <w:sz w:val="24"/>
                <w:szCs w:val="24"/>
              </w:rPr>
              <w:br w:type="textWrapping" w:clear="all"/>
              <w:t xml:space="preserve">b)支持固件加密、安全启动和安全升级；</w:t>
            </w:r>
            <w:r>
              <w:rPr>
                <w:rFonts w:hint="eastAsia" w:ascii="宋体" w:hAnsi="宋体" w:cs="宋体"/>
                <w:sz w:val="24"/>
                <w:szCs w:val="24"/>
              </w:rPr>
              <w:br w:type="textWrapping" w:clear="all"/>
              <w:t xml:space="preserve">c)支持数据的安全擦除</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numPr>
                <w:ilvl w:val="0"/>
                <w:numId w:val="9"/>
              </w:numPr>
              <w:jc w:val="left"/>
              <w:widowControl/>
              <w:rPr>
                <w:rFonts w:hint="eastAsia" w:ascii="宋体" w:hAnsi="宋体" w:cs="宋体"/>
                <w:sz w:val="24"/>
                <w:szCs w:val="24"/>
              </w:rPr>
            </w:pPr>
            <w:r>
              <w:rPr>
                <w:rFonts w:hint="eastAsia" w:ascii="宋体" w:hAnsi="宋体" w:cs="宋体"/>
                <w:sz w:val="24"/>
                <w:szCs w:val="24"/>
              </w:rPr>
              <w:t xml:space="preserve">支持网络连接、网络开启/关闭功能；</w:t>
            </w:r>
            <w:r/>
          </w:p>
          <w:p>
            <w:pPr>
              <w:numPr>
                <w:ilvl w:val="0"/>
                <w:numId w:val="9"/>
              </w:numPr>
              <w:jc w:val="left"/>
              <w:widowControl/>
              <w:rPr>
                <w:rFonts w:hint="eastAsia" w:ascii="宋体" w:hAnsi="宋体" w:cs="宋体"/>
                <w:sz w:val="24"/>
                <w:szCs w:val="24"/>
              </w:rPr>
            </w:pPr>
            <w:r>
              <w:rPr>
                <w:rFonts w:hint="eastAsia" w:ascii="宋体" w:hAnsi="宋体" w:cs="宋体"/>
                <w:sz w:val="24"/>
                <w:szCs w:val="24"/>
              </w:rPr>
              <w:t xml:space="preserve">支持访问网络和数据交换功能</w:t>
            </w:r>
            <w:r/>
          </w:p>
        </w:tc>
      </w:tr>
      <w:tr>
        <w:trPr>
          <w:jc w:val="center"/>
          <w:trHeight w:val="10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支持双频段</w:t>
            </w:r>
            <w:r/>
          </w:p>
        </w:tc>
      </w:tr>
      <w:tr>
        <w:trPr>
          <w:jc w:val="center"/>
          <w:trHeight w:val="10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w:t>
            </w:r>
            <w:r>
              <w:rPr>
                <w:rFonts w:hint="eastAsia" w:ascii="宋体" w:hAnsi="宋体" w:cs="宋体"/>
                <w:sz w:val="24"/>
                <w:szCs w:val="24"/>
              </w:rPr>
              <w:t xml:space="preserve">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支持网络设备物理开关</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支持数据传输能力，并提供数据流量和异常日志记录功能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支持RJ45接口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若配备无线网卡，产品应符合GB15629.11所有部分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网络设备支持物理拆装，包括无线网卡和蓝牙模块等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外部接口功能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支持3.5mm孔径3段式或4段式接口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至少支持VGA、HDMI、DVI、DP、Type-C中2种显示接口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HDMI、DP、Type-C显示接口要求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若提供HDMI或DP或Type-C作为显示接口，应支持音频和视频同步输出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a)支持串行接口，可实现GB/T6107的功能；</w:t>
            </w:r>
            <w:r>
              <w:rPr>
                <w:rFonts w:hint="eastAsia" w:ascii="宋体" w:hAnsi="宋体" w:cs="宋体"/>
                <w:sz w:val="24"/>
                <w:szCs w:val="24"/>
              </w:rPr>
              <w:br w:type="textWrapping" w:clear="all"/>
              <w:t xml:space="preserve">b)支持并行接口，可实现GB/T18235.1的功能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支持SD、TF等存储卡接口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电源适配器电线组件应符合GB/T15934的要求，电源≥500W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操作系统及软件功能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符合GB18030的相关规定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预装机房主机同品牌云部署和教室管理软件，备份及还原功能需满足：</w:t>
            </w:r>
            <w:r/>
          </w:p>
          <w:p>
            <w:pPr>
              <w:jc w:val="left"/>
              <w:widowControl/>
              <w:rPr>
                <w:rFonts w:hint="eastAsia" w:ascii="宋体" w:hAnsi="宋体" w:cs="宋体"/>
                <w:b/>
                <w:bCs/>
                <w:i/>
                <w:iCs/>
                <w:color w:val="000000"/>
                <w:sz w:val="24"/>
                <w:szCs w:val="24"/>
                <w:u w:val="single"/>
              </w:rPr>
            </w:pPr>
            <w:r>
              <w:rPr>
                <w:rFonts w:hint="eastAsia" w:ascii="宋体" w:hAnsi="宋体" w:cs="宋体"/>
                <w:b/>
                <w:bCs/>
                <w:i/>
                <w:iCs/>
                <w:sz w:val="24"/>
                <w:szCs w:val="24"/>
                <w:u w:val="single"/>
              </w:rPr>
              <w:t xml:space="preserve">1</w:t>
            </w:r>
            <w:r>
              <w:rPr>
                <w:rFonts w:hint="eastAsia" w:ascii="宋体" w:hAnsi="宋体" w:cs="宋体"/>
                <w:b/>
                <w:bCs/>
                <w:i/>
                <w:iCs/>
                <w:color w:val="000000"/>
                <w:sz w:val="24"/>
                <w:szCs w:val="24"/>
                <w:u w:val="single"/>
              </w:rPr>
              <w:t xml:space="preserve">所投台式电脑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w:t>
            </w:r>
            <w:r/>
          </w:p>
          <w:p>
            <w:pPr>
              <w:jc w:val="left"/>
              <w:widowControl/>
              <w:rPr>
                <w:rFonts w:hint="eastAsia" w:ascii="宋体" w:hAnsi="宋体" w:cs="宋体"/>
                <w:b/>
                <w:bCs/>
                <w:i/>
                <w:iCs/>
                <w:color w:val="000000" w:themeColor="text1"/>
                <w:sz w:val="24"/>
                <w:szCs w:val="24"/>
                <w:u w:val="single"/>
              </w:rPr>
            </w:pPr>
            <w:r>
              <w:rPr>
                <w:rFonts w:hint="eastAsia" w:ascii="宋体" w:hAnsi="宋体" w:cs="宋体"/>
                <w:b/>
                <w:bCs/>
                <w:i/>
                <w:iCs/>
                <w:color w:val="000000"/>
                <w:sz w:val="24"/>
                <w:szCs w:val="24"/>
                <w:u w:val="single"/>
              </w:rPr>
              <w:t xml:space="preserve">2</w:t>
            </w:r>
            <w:r>
              <w:rPr>
                <w:rFonts w:hint="eastAsia" w:ascii="宋体" w:hAnsi="宋体" w:cs="宋体"/>
                <w:b/>
                <w:bCs/>
                <w:i/>
                <w:iCs/>
                <w:color w:val="000000" w:themeColor="text1"/>
                <w:sz w:val="24"/>
                <w:szCs w:val="24"/>
                <w:u w:val="single"/>
              </w:rPr>
              <w:t xml:space="preserve">所投台式电脑支持硬件状态管理</w:t>
            </w:r>
            <w:r>
              <w:rPr>
                <w:rFonts w:hint="eastAsia" w:ascii="宋体" w:hAnsi="宋体" w:cs="宋体"/>
                <w:b/>
                <w:bCs/>
                <w:i/>
                <w:iCs/>
                <w:color w:val="000000" w:themeColor="text1"/>
                <w:sz w:val="24"/>
                <w:szCs w:val="24"/>
                <w:u w:val="single"/>
              </w:rPr>
              <w:t xml:space="preserve">功能，可收集平台中所有终端的运行状态信息，包含但不限于终端名称、CPU温度、开机时间、硬盘信息等，支持提供终端设备的在保服务状态提醒，支持大数据展示。可展示包括但不限于资产统计、设备详情、开关机对比、日志、系统使用情况等信息。</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themeColor="text1"/>
                <w:sz w:val="24"/>
                <w:szCs w:val="24"/>
                <w:u w:val="single"/>
              </w:rPr>
              <w:t xml:space="preserve">3</w:t>
            </w:r>
            <w:r>
              <w:rPr>
                <w:rFonts w:hint="eastAsia" w:ascii="宋体" w:hAnsi="宋体" w:cs="宋体"/>
                <w:b/>
                <w:bCs/>
                <w:i/>
                <w:iCs/>
                <w:color w:val="000000"/>
                <w:sz w:val="24"/>
                <w:szCs w:val="24"/>
                <w:u w:val="single"/>
              </w:rPr>
              <w:t xml:space="preserve">所投台式电脑支持Legacy与UEFI两种方式启动系统，支持管理双网卡、双硬盘，支持NVME、M.2新型高速固态硬盘，同时兼容新老机型部署，支持批量管理终端计算机名、IP地址、分辨率、时间同步等配置信息，同时支持针对不同的终端群组设置不同的安全管控策略，多角色高效管理与教学，云桌面管理平台支持在专业模式和导航模式随意切换；专业模式适用于信息管理员精细化管理；导航模式适用于任课老师常用功能快捷操作。</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4为满足学校的复杂网络使用场景，简化网络结构，</w:t>
            </w:r>
            <w:r>
              <w:rPr>
                <w:rFonts w:hint="eastAsia" w:ascii="宋体" w:hAnsi="宋体" w:cs="宋体"/>
                <w:b/>
                <w:bCs/>
                <w:i/>
                <w:iCs/>
                <w:sz w:val="24"/>
                <w:szCs w:val="24"/>
                <w:u w:val="single"/>
              </w:rPr>
              <w:t xml:space="preserve">支持跨校区、跨广域网部署，IP可达即可部署，支持通过WIFI更新与管理桌面，支持不同楼宇、学科设备进行分组管理，用户可根据配置好的镜像分配给相应的用户或用户组，可在正常上课的同时完成镜像缓存下载，同一局域网内的设备可互相分享文档、镜像支持断点续传，避免网络中断等情况需要重复传输，可以大幅提升传输效率</w:t>
            </w:r>
            <w:r>
              <w:rPr>
                <w:rFonts w:hint="eastAsia" w:ascii="宋体" w:hAnsi="宋体" w:cs="宋体"/>
                <w:b/>
                <w:bCs/>
                <w:i/>
                <w:iCs/>
                <w:color w:val="000000"/>
                <w:sz w:val="24"/>
                <w:szCs w:val="24"/>
                <w:u w:val="single"/>
              </w:rPr>
              <w:t xml:space="preserve">。</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5所投台式电脑可以将本地的操作和讲解过程录制为ASF文件，可以用系统自带的 Media Player 直接播放，支持学生端屏幕录制、回放，学生端接收教师端广播的时候可以自动录制教师机广播教学的过程，课后可以重复观看学习，支持≥30个频道，教师可对单个班级或多个班级同时教学，多个教师可同时对多个班级进行不同内容的教学，学生端遇到问题可请求帮助，</w:t>
            </w:r>
            <w:r>
              <w:rPr>
                <w:rFonts w:hint="eastAsia" w:ascii="宋体" w:hAnsi="宋体" w:cs="宋体"/>
                <w:b/>
                <w:bCs/>
                <w:i/>
                <w:iCs/>
                <w:color w:val="000000"/>
                <w:sz w:val="24"/>
                <w:szCs w:val="24"/>
                <w:u w:val="single"/>
              </w:rPr>
              <w:t xml:space="preserve">教师端可远程遥控帮助学生解决问题。</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所投台式电脑支持上网限制，支持对学生访问网站的黑名单或白名单设置，支持对学生可以访问的Internet站点进行管理，支持多浏览器限制，须支持主流浏览器，支持程序限制，为防止学生在教学过程中游戏或使用聊天工具，支持通过策略限制学生使用程序，支持收集平台中所有终端的软件信息，包含但不限于程序名称、运行次数、运行时长、版本、程序大小等。</w:t>
            </w:r>
            <w:r/>
          </w:p>
          <w:p>
            <w:pPr>
              <w:jc w:val="left"/>
              <w:widowControl/>
              <w:rPr>
                <w:rFonts w:hint="eastAsia" w:ascii="宋体" w:hAnsi="宋体" w:cs="宋体"/>
                <w:b/>
                <w:bCs/>
                <w:i/>
                <w:iCs/>
                <w:color w:val="000000" w:themeColor="text1"/>
                <w:sz w:val="24"/>
                <w:szCs w:val="24"/>
                <w:u w:val="single"/>
              </w:rPr>
            </w:pPr>
            <w:r>
              <w:rPr>
                <w:rFonts w:hint="eastAsia" w:ascii="宋体" w:hAnsi="宋体" w:cs="宋体"/>
                <w:b/>
                <w:bCs/>
                <w:i/>
                <w:iCs/>
                <w:color w:val="000000"/>
                <w:sz w:val="24"/>
                <w:szCs w:val="24"/>
                <w:u w:val="single"/>
              </w:rPr>
              <w:t xml:space="preserve">7</w:t>
            </w:r>
            <w:r>
              <w:rPr>
                <w:rFonts w:hint="eastAsia" w:ascii="宋体" w:hAnsi="宋体" w:cs="宋体"/>
                <w:b/>
                <w:bCs/>
                <w:i/>
                <w:iCs/>
                <w:color w:val="000000" w:themeColor="text1"/>
                <w:sz w:val="24"/>
                <w:szCs w:val="24"/>
                <w:u w:val="single"/>
              </w:rPr>
              <w:t xml:space="preserve">所投台式电脑支持各类考试需求，如国家计算机一、二级等级考试、社会职称考试等，支持ATA、NCRE等考试模式，支持设置考试专属镜像并在考试开始前将考试镜像设置为隐藏模式，避免被破坏，为方便后期溯源备查考试结果并可快速进入下一场考试，支持管理员自定义保留考试桌面保留的周期时间，即在保留学生完整桌面、系统环境、文件数据的同时，可快速部署下一场考试。</w:t>
            </w:r>
            <w:r/>
          </w:p>
          <w:p>
            <w:pPr>
              <w:jc w:val="left"/>
              <w:widowControl/>
              <w:rPr>
                <w:rFonts w:hint="eastAsia"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（中标后签到合同前提供以上功能要求的截图）</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BIOS支持关闭通讯接口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支持BIOS关闭以太网及USB接口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支持网络引导启动和关闭功能</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生物识别功能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指纹识别功能符合GB/T37742的相关规定</w:t>
            </w:r>
            <w:r/>
          </w:p>
        </w:tc>
      </w:tr>
      <w:tr>
        <w:trPr>
          <w:jc w:val="center"/>
          <w:trHeight w:val="24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人脸识别功能符合GB/T37036.3的相关规定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指静脉识别功能符合GB/T33135的相关规定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硬件加速功能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NPU/GPU等AI加速模块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支持NPU/GPU等AI加速模块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支持视频编解码加速模块</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支持影像处理加速模块</w:t>
            </w:r>
            <w:r/>
          </w:p>
        </w:tc>
      </w:tr>
      <w:tr>
        <w:trPr>
          <w:jc w:val="center"/>
          <w:trHeight w:val="5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TBW≥80TB（条件：240GB硬盘容量）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通电时间≥5 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符合GB/T9813.2的要求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外设可靠性</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≥1000万次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≥500万次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键盘鼠标所用线材经±60°弯折不低于3000次，功能、外观完好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single" w:color="000000" w:sz="4" w:space="0"/>
              <w:left w:val="singl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整机可靠性要求</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符合GB/T9254.2的规定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MTBF测试</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i/>
                <w:iCs/>
                <w:sz w:val="24"/>
                <w:szCs w:val="24"/>
                <w:u w:val="single"/>
              </w:rPr>
            </w:pPr>
            <w:r>
              <w:rPr>
                <w:rFonts w:hint="eastAsia" w:ascii="宋体" w:hAnsi="宋体" w:cs="宋体"/>
                <w:b/>
                <w:bCs/>
                <w:i/>
                <w:iCs/>
                <w:sz w:val="24"/>
                <w:szCs w:val="24"/>
                <w:u w:val="single"/>
              </w:rPr>
              <w:t xml:space="preserve">MTBF(m1)≥100万小时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兼容3个及以上厂商的数据库产品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兼容3个及以上厂商中间件产品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兼容3个及以上厂商云计算及大数据平台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color w:val="000000"/>
                <w:sz w:val="24"/>
                <w:szCs w:val="24"/>
                <w:u w:val="single"/>
                <w:lang w:bidi="ar"/>
              </w:rPr>
              <w:t xml:space="preserve">自带管理功能，具有a)查看设备信息，全局看板 , 可视化的模块展现b)设备运行看板，直观了解当前PC 设备运行的状态c)SSD硬盘健康度检测，展示状态分为正常和异常两档，异常时提醒用户硬盘可能存在问题，建议进行排查或者联系客服热线d)BIOS管理设置，根据工作要求变更BIOS设置时，在Windows系统中操作即可e)软件应用（文件保险箱、数据粉碎、系统升级、BitLocker等）f)关键设置导入导出，快速导出该设备上的策略文件并导入到其他设备</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服务响应</w:t>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numPr>
                <w:ilvl w:val="0"/>
                <w:numId w:val="10"/>
              </w:numPr>
              <w:jc w:val="left"/>
              <w:widowControl/>
              <w:rPr>
                <w:rFonts w:hint="eastAsia" w:ascii="宋体" w:hAnsi="宋体" w:cs="宋体"/>
                <w:color w:val="000000"/>
                <w:sz w:val="24"/>
                <w:szCs w:val="24"/>
                <w:lang w:bidi="ar"/>
              </w:rPr>
            </w:pPr>
            <w:r>
              <w:rPr>
                <w:rFonts w:hint="eastAsia" w:ascii="宋体" w:hAnsi="宋体" w:cs="宋体"/>
                <w:b/>
                <w:bCs/>
                <w:i/>
                <w:iCs/>
                <w:color w:val="000000"/>
                <w:sz w:val="24"/>
                <w:szCs w:val="24"/>
                <w:u w:val="single"/>
                <w:lang w:bidi="ar"/>
              </w:rPr>
              <w:t xml:space="preserve">供应商提供电话、电子邮件、远程连接等多种形式服务；</w:t>
            </w:r>
            <w:r>
              <w:rPr>
                <w:rFonts w:hint="eastAsia" w:ascii="宋体" w:hAnsi="宋体" w:cs="宋体"/>
                <w:b/>
                <w:bCs/>
                <w:i/>
                <w:iCs/>
                <w:color w:val="000000"/>
                <w:sz w:val="24"/>
                <w:szCs w:val="24"/>
                <w:u w:val="single"/>
                <w:lang w:bidi="ar"/>
              </w:rPr>
              <w:br/>
              <w:t xml:space="preserve">b)供应商提供同城4h、异地 12h 技术响应服务，2 个工作日解决问题，对于未能解决的问题和故障应提供可行的升级方案，并提供周转设备或更换设备；</w:t>
            </w:r>
            <w:r>
              <w:rPr>
                <w:rFonts w:hint="eastAsia" w:ascii="宋体" w:hAnsi="宋体" w:cs="宋体"/>
                <w:b/>
                <w:bCs/>
                <w:i/>
                <w:iCs/>
                <w:color w:val="000000"/>
                <w:sz w:val="24"/>
                <w:szCs w:val="24"/>
                <w:u w:val="single"/>
                <w:lang w:bidi="ar"/>
              </w:rPr>
              <w:br/>
              <w:t xml:space="preserve">c)建立全国技术服务体系和服务团体，符合专业服务体系标准要求，提供原厂中文服务；</w:t>
            </w:r>
            <w:r>
              <w:rPr>
                <w:rFonts w:hint="eastAsia" w:ascii="宋体" w:hAnsi="宋体" w:cs="宋体"/>
                <w:b/>
                <w:bCs/>
                <w:i/>
                <w:iCs/>
                <w:color w:val="000000"/>
                <w:sz w:val="24"/>
                <w:szCs w:val="24"/>
                <w:u w:val="single"/>
                <w:lang w:bidi="ar"/>
              </w:rPr>
              <w:br/>
              <w:t xml:space="preserve">d)服务周期内提供产品的维修、换件和升级服务</w:t>
            </w:r>
            <w:r/>
          </w:p>
        </w:tc>
      </w:tr>
      <w:tr>
        <w:trPr>
          <w:jc w:val="center"/>
          <w:trHeight w:val="130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a)设备停产后应继续提供质量保障服务（含备品备件），服务终止时间与最后一批设备交付时间间隔不低于6年；</w:t>
            </w:r>
            <w:r>
              <w:rPr>
                <w:rFonts w:hint="eastAsia" w:ascii="宋体" w:hAnsi="宋体" w:cs="宋体"/>
                <w:b/>
                <w:bCs/>
                <w:i/>
                <w:iCs/>
                <w:sz w:val="24"/>
                <w:szCs w:val="24"/>
                <w:u w:val="single"/>
              </w:rPr>
              <w:br w:type="textWrapping" w:clear="all"/>
              <w:t xml:space="preserve">b)产品停止服务时间应提前1年告知；</w:t>
            </w:r>
            <w:r>
              <w:rPr>
                <w:rFonts w:hint="eastAsia" w:ascii="宋体" w:hAnsi="宋体" w:cs="宋体"/>
                <w:b/>
                <w:bCs/>
                <w:i/>
                <w:iCs/>
                <w:sz w:val="24"/>
                <w:szCs w:val="24"/>
                <w:u w:val="single"/>
              </w:rPr>
              <w:br w:type="textWrapping" w:clear="all"/>
              <w:t xml:space="preserve">c)应明确产品发布日期</w:t>
            </w:r>
            <w:r/>
          </w:p>
        </w:tc>
      </w:tr>
      <w:tr>
        <w:trPr>
          <w:jc w:val="center"/>
          <w:trHeight w:val="227"/>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供应商提供上门升级部件/软件与扩容的增值服务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免费服务周期（含换件和维修）应不小于3年</w:t>
            </w:r>
            <w:bookmarkStart w:id="206" w:name="OLE_LINK4"/>
            <w:r>
              <w:rPr>
                <w:rFonts w:hint="eastAsia" w:ascii="宋体" w:hAnsi="宋体" w:cs="宋体"/>
                <w:b/>
                <w:bCs/>
                <w:i/>
                <w:iCs/>
                <w:sz w:val="24"/>
                <w:szCs w:val="24"/>
                <w:u w:val="single"/>
              </w:rPr>
              <w:t xml:space="preserve">（供应商承诺中标后提供并加盖公章）</w:t>
            </w:r>
            <w:bookmarkEnd w:id="206"/>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供应商提供开箱组装/使用指导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供应商提供兼容适配软件下载渠道</w:t>
            </w:r>
            <w:r>
              <w:rPr>
                <w:rFonts w:hint="eastAsia" w:ascii="宋体" w:hAnsi="宋体" w:cs="宋体"/>
                <w:b/>
                <w:bCs/>
                <w:i/>
                <w:iCs/>
                <w:sz w:val="24"/>
                <w:szCs w:val="24"/>
                <w:u w:val="single"/>
              </w:rPr>
              <w:br w:type="textWrapping" w:clear="all"/>
              <w:t xml:space="preserve">（光盘、网站）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供应商提供跨架构平台的应用兼容工具，支持一种或者一种以上不同架构平台的应用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供应保障要求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供应商保障产品主要部件，提供6年的备件服务能力（自购买之日起），或提供可兼容原设备的升级换代产品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供应保障要求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供应保障要求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供应商提供供应链稳定承诺书，确保产品的部件在产品服务周期内稳定供货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sz w:val="24"/>
                <w:szCs w:val="24"/>
              </w:rPr>
              <w:t xml:space="preserve">无要求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USB端口管控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支持USB端口管控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符合GB/T26572中规定</w:t>
            </w:r>
            <w:r/>
          </w:p>
        </w:tc>
      </w:tr>
    </w:tbl>
    <w:p>
      <w:pPr>
        <w:spacing w:line="360" w:lineRule="auto"/>
        <w:rPr>
          <w:rFonts w:hint="eastAsia" w:ascii="宋体" w:hAnsi="宋体" w:cs="宋体"/>
          <w:b/>
          <w:iCs/>
          <w:color w:val="000000"/>
          <w:sz w:val="24"/>
          <w:szCs w:val="24"/>
        </w:rPr>
      </w:pPr>
      <w:r>
        <w:rPr>
          <w:rFonts w:hint="eastAsia" w:ascii="宋体" w:hAnsi="宋体" w:cs="宋体"/>
          <w:b/>
          <w:bCs/>
          <w:iCs/>
          <w:color w:val="000000"/>
          <w:sz w:val="24"/>
          <w:szCs w:val="24"/>
        </w:rPr>
        <w:t xml:space="preserve">说明：1、显示器与主机为同一品牌，非子品牌。（供应商提供承诺函并加盖公章）</w:t>
      </w:r>
      <w:r/>
    </w:p>
    <w:p>
      <w:pPr>
        <w:ind w:firstLine="660"/>
        <w:spacing w:line="360" w:lineRule="auto"/>
        <w:rPr>
          <w:rFonts w:hint="eastAsia" w:ascii="宋体" w:hAnsi="宋体" w:cs="宋体"/>
          <w:b/>
          <w:bCs/>
          <w:iCs/>
          <w:color w:val="000000"/>
          <w:sz w:val="24"/>
          <w:szCs w:val="24"/>
        </w:rPr>
      </w:pPr>
      <w:r>
        <w:rPr>
          <w:rFonts w:hint="eastAsia" w:ascii="宋体" w:hAnsi="宋体" w:cs="宋体"/>
          <w:b/>
          <w:bCs/>
          <w:iCs/>
          <w:color w:val="000000"/>
          <w:sz w:val="24"/>
          <w:szCs w:val="24"/>
        </w:rPr>
        <w:t xml:space="preserve">2、供应商需要提供承诺书以确保所有实质性参数满足招标人实质性产品需求，否则投标人作无效投标处理。（供应商提供承诺函并加盖公章）</w:t>
      </w:r>
      <w:r/>
    </w:p>
    <w:p>
      <w:pPr>
        <w:ind w:firstLine="281"/>
        <w:rPr>
          <w:rFonts w:hint="eastAsia" w:ascii="宋体" w:hAnsi="宋体" w:cs="宋体"/>
          <w:b/>
          <w:bCs/>
          <w:sz w:val="28"/>
          <w:szCs w:val="28"/>
        </w:rPr>
      </w:pPr>
      <w:r>
        <w:rPr>
          <w:rFonts w:hint="eastAsia" w:ascii="宋体" w:hAnsi="宋体" w:cs="宋体"/>
          <w:b/>
          <w:bCs/>
          <w:sz w:val="28"/>
          <w:szCs w:val="28"/>
        </w:rPr>
      </w:r>
      <w:r/>
    </w:p>
    <w:p>
      <w:pPr>
        <w:ind w:firstLine="281"/>
        <w:rPr>
          <w:rFonts w:hint="eastAsia" w:ascii="宋体" w:hAnsi="宋体" w:cs="宋体"/>
          <w:b/>
          <w:bCs/>
          <w:sz w:val="28"/>
          <w:szCs w:val="28"/>
        </w:rPr>
      </w:pPr>
      <w:r>
        <w:rPr>
          <w:rFonts w:hint="eastAsia" w:ascii="宋体" w:hAnsi="宋体" w:cs="宋体"/>
          <w:b/>
          <w:bCs/>
          <w:sz w:val="28"/>
          <w:szCs w:val="28"/>
        </w:rPr>
      </w:r>
      <w:r/>
    </w:p>
    <w:p>
      <w:pPr>
        <w:ind w:firstLine="281"/>
        <w:rPr>
          <w:rFonts w:hint="eastAsia" w:ascii="宋体" w:hAnsi="宋体" w:cs="宋体"/>
          <w:b/>
          <w:bCs/>
          <w:sz w:val="28"/>
          <w:szCs w:val="28"/>
        </w:rPr>
      </w:pPr>
      <w:r>
        <w:rPr>
          <w:rFonts w:hint="eastAsia" w:ascii="宋体" w:hAnsi="宋体" w:cs="宋体"/>
          <w:b/>
          <w:bCs/>
          <w:sz w:val="28"/>
          <w:szCs w:val="28"/>
        </w:rPr>
        <w:t xml:space="preserve">采购包2：图形工作站</w:t>
      </w:r>
      <w:r/>
    </w:p>
    <w:p>
      <w:pPr>
        <w:ind w:firstLine="281"/>
        <w:rPr>
          <w:rFonts w:hint="eastAsia" w:ascii="宋体" w:hAnsi="宋体" w:cs="宋体"/>
          <w:b/>
          <w:bCs/>
          <w:sz w:val="28"/>
          <w:szCs w:val="28"/>
        </w:rPr>
      </w:pPr>
      <w:r>
        <w:rPr>
          <w:rFonts w:hint="eastAsia" w:ascii="宋体" w:hAnsi="宋体" w:cs="宋体"/>
          <w:b/>
          <w:bCs/>
          <w:sz w:val="28"/>
          <w:szCs w:val="28"/>
        </w:rPr>
      </w:r>
      <w:r/>
    </w:p>
    <w:tbl>
      <w:tblPr>
        <w:tblW w:w="8217" w:type="dxa"/>
        <w:jc w:val="center"/>
        <w:tblLook w:val="04A0" w:firstRow="1" w:lastRow="0" w:firstColumn="1" w:lastColumn="0" w:noHBand="0" w:noVBand="1"/>
      </w:tblPr>
      <w:tblGrid>
        <w:gridCol w:w="622"/>
        <w:gridCol w:w="1058"/>
        <w:gridCol w:w="1100"/>
        <w:gridCol w:w="1540"/>
        <w:gridCol w:w="3897"/>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一级指标1</w:t>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二级指标1</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CPU规格</w:t>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CPU信息</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物理核心数≥20个；主频≥2.1GHz，线程数≥28个线程；缓存≥33MB；内存最高速率 DDR5 5600 MT/s、通道数≥2、位宽≥64bit</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内存规格</w:t>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支持DDR5 4800/5600 及以上内存类型</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主板规格</w:t>
            </w:r>
            <w:r/>
          </w:p>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集成资源扩展模块、计算处理模块、音频扩展模块等，主板的互联拓扑可通过处理器或交换电路实现</w:t>
            </w:r>
            <w:r/>
          </w:p>
        </w:tc>
      </w:tr>
      <w:tr>
        <w:trPr>
          <w:jc w:val="cente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主板支持的CPU和内存情况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lang w:bidi="ar"/>
              </w:rPr>
              <w:t xml:space="preserve">支持第13代/14代酷睿处理器（LGA 1700接口），最高可搭配24核处理器，PCI Express 通道数的最大值28，支持ECC内存</w:t>
            </w:r>
            <w:r/>
          </w:p>
        </w:tc>
      </w:tr>
      <w:tr>
        <w:trPr>
          <w:jc w:val="cente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主板内置PCIe插槽数量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w:t>
            </w:r>
            <w:r>
              <w:rPr>
                <w:rFonts w:hint="eastAsia" w:ascii="宋体" w:hAnsi="宋体" w:cs="宋体"/>
                <w:sz w:val="24"/>
                <w:szCs w:val="24"/>
                <w:lang w:bidi="ar"/>
              </w:rPr>
              <w:t xml:space="preserve">≥2个PCIE*16插槽，≥2个PCIE*1插槽</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a）预留满足 USB3.0 数据传输规范的接口，工作电压5V，最大过电流应不小于 3A；</w:t>
            </w:r>
            <w:r>
              <w:rPr>
                <w:rFonts w:hint="eastAsia" w:ascii="宋体" w:hAnsi="宋体" w:cs="宋体"/>
                <w:color w:val="000000"/>
                <w:sz w:val="24"/>
                <w:szCs w:val="24"/>
                <w:lang w:bidi="ar"/>
              </w:rPr>
              <w:br/>
              <w:t xml:space="preserve">b) 预留多功能导入装置板卡安装孔位，采用内置方式与主机一体化集成，容量不小于145mm×125mm×16.5mm（长×宽×高）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color w:val="000000"/>
                <w:sz w:val="24"/>
                <w:szCs w:val="24"/>
                <w:u w:val="single"/>
                <w:lang w:bidi="ar"/>
              </w:rPr>
              <w:t xml:space="preserve">预留第2块M.2 SSD硬盘以及2个3.5寸硬盘，1个2.5寸盘扩展槽位、USB 接口≥9个USB接口（其中至少7个USB 3.2 G1接口)</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≥128GB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存储设备规格</w:t>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≥1个</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≥2TB M.2 NVME 固态硬盘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i/>
                <w:iCs/>
                <w:sz w:val="24"/>
                <w:szCs w:val="24"/>
                <w:u w:val="single"/>
              </w:rPr>
            </w:pPr>
            <w:r>
              <w:rPr>
                <w:rFonts w:hint="eastAsia" w:ascii="宋体" w:hAnsi="宋体" w:cs="宋体"/>
                <w:sz w:val="24"/>
                <w:szCs w:val="24"/>
              </w:rPr>
              <w:t xml:space="preserve">≥0个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≥0TB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i/>
                <w:iCs/>
                <w:sz w:val="24"/>
                <w:szCs w:val="24"/>
                <w:u w:val="single"/>
              </w:rPr>
            </w:pPr>
            <w:r>
              <w:rPr>
                <w:rFonts w:hint="eastAsia" w:ascii="宋体" w:hAnsi="宋体" w:cs="宋体"/>
                <w:sz w:val="24"/>
                <w:szCs w:val="24"/>
              </w:rPr>
              <w:t xml:space="preserve">支持SATA3.0及以上或SAS3.0及以上接口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2.5英寸或3.5英寸等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UFS/SATA/PCIe/NVMe等类型接口协议</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采用插卡或板载等形态，可选用符合M.2或2.5寸SATA或mSATA等标准的插卡形态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a)固态盘应符合SJ/T11654相关规定；</w:t>
            </w:r>
            <w:r>
              <w:rPr>
                <w:rFonts w:hint="eastAsia" w:ascii="宋体" w:hAnsi="宋体" w:cs="宋体"/>
                <w:b/>
                <w:bCs/>
                <w:i/>
                <w:iCs/>
                <w:sz w:val="24"/>
                <w:szCs w:val="24"/>
                <w:u w:val="single"/>
              </w:rPr>
              <w:br w:type="textWrapping" w:clear="all"/>
            </w:r>
            <w:r>
              <w:rPr>
                <w:rFonts w:hint="eastAsia" w:ascii="宋体" w:hAnsi="宋体" w:cs="宋体"/>
                <w:sz w:val="24"/>
                <w:szCs w:val="24"/>
              </w:rPr>
              <w:t xml:space="preserve">b)机械硬盘准备时间应不大于30s；侧面固定螺丝孔数量可为4孔或6孔；工作状态环境温度应满足5℃~55℃；其它参数应符合GB/T12628相关规定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显卡规格</w:t>
            </w:r>
            <w:r/>
          </w:p>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独立显卡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显存类型应为DDR3/DDR4/GDDR5/GDDR6/LPDDR4</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显存位宽≥192 位</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sz w:val="24"/>
                <w:szCs w:val="24"/>
              </w:rPr>
              <w:t xml:space="preserve">▲显存容量≥12GB</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支持PCIe协议版本大于等于2.0或HT（HyperTransport）协议版本大于等于3.0的独立显卡接口协议</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显示屏屏占比</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≥85%</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显示屏分辨率</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≥1920x1080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显示屏像素密度</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▲≥92像素/英寸</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显示屏可视角度</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▲水平≥178°</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显示屏尺寸</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≥23.8英寸</w:t>
            </w:r>
            <w:r/>
          </w:p>
        </w:tc>
      </w:tr>
      <w:tr>
        <w:trPr>
          <w:jc w:val="center"/>
          <w:trHeight w:val="186"/>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显示屏屏幕比例</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16:9</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显示器外观颜色</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黑色系</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显示屏防蓝光</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sz w:val="24"/>
                <w:szCs w:val="24"/>
              </w:rPr>
              <w:t xml:space="preserve">支持防蓝光模式，蓝光加权辐射亮度比应≤0.0012W/(·cd·sr)（瓦每坎特拉每球面度）</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显示屏低频闪</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显示屏应支持低频闪≤-35dB</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显示屏防炫目</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显示屏镜面反射率≤10%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外设规格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≥1个（内置）</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101键/104键等</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≥1瓦/个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不低于（100Hz-8kHz）范围</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谐波失真在 100Hz-7kHz 频率范围内不高于 10%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最大声压级在粉红噪声播放场景下，工作距离处声压级不低于70dB</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按键压力应在0.54N±0.14N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黑色/白色/银色等商务色系</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键盘外观结构、连接方式、主要功能、安全、电磁兼容性、可靠性应符合GB/T14081的相关规定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有线或无线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鼠标DPI分辨率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黑色/银色/白色等商务色系</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w:t>
            </w:r>
            <w:r>
              <w:rPr>
                <w:rFonts w:hint="eastAsia" w:ascii="宋体" w:hAnsi="宋体" w:cs="宋体"/>
                <w:sz w:val="24"/>
                <w:szCs w:val="24"/>
              </w:rPr>
              <w:t xml:space="preserve">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鼠标其他要</w:t>
            </w:r>
            <w:r>
              <w:rPr>
                <w:rFonts w:hint="eastAsia" w:ascii="宋体" w:hAnsi="宋体" w:cs="宋体"/>
                <w:sz w:val="24"/>
                <w:szCs w:val="24"/>
              </w:rPr>
              <w:t xml:space="preserve">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其它参数应符合GB/T26245的相关</w:t>
            </w:r>
            <w:r>
              <w:rPr>
                <w:rFonts w:hint="eastAsia" w:ascii="宋体" w:hAnsi="宋体" w:cs="宋体"/>
                <w:sz w:val="24"/>
                <w:szCs w:val="24"/>
              </w:rPr>
              <w:t xml:space="preserve">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支持扩展内置光驱</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外部接口规格</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USB接口数量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≥9  前置：5个USB 3.2接口（至少1个USB Type-C）后置：4个USB 3.2接口</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USB母座接口要求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机箱前面板额外预留2个专用USB母座接口孔位和1个通用A型USB母座接口孔位，采用横向排列中心间距应不小于27mm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≥2</w:t>
            </w:r>
            <w:r/>
          </w:p>
        </w:tc>
      </w:tr>
      <w:tr>
        <w:trPr>
          <w:jc w:val="cente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≥3（至少包含前置1个耳机和1个麦克风插孔）</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整机基础规格</w:t>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a)产品表面不应有凹痕、划伤、裂缝、变形和污染等。表面涂层均匀，不应起泡、龟裂、脱落和磨损，金属零部件无锈蚀及其它机械损伤；</w:t>
            </w:r>
            <w:r>
              <w:rPr>
                <w:rFonts w:hint="eastAsia" w:ascii="宋体" w:hAnsi="宋体" w:cs="宋体"/>
                <w:sz w:val="24"/>
                <w:szCs w:val="24"/>
              </w:rPr>
              <w:br w:type="textWrapping" w:clear="all"/>
              <w:t xml:space="preserve">b)产品表面说明功能的文字、符号、标志，应清晰、端正、牢固</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状态指示灯</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在产品显著位置提供状态指示功能，如运行状态，并由供应商提供详细参数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a)机箱应符合GB/T4208、GB/T26246的相关规定；</w:t>
            </w:r>
            <w:r>
              <w:rPr>
                <w:rFonts w:hint="eastAsia" w:ascii="宋体" w:hAnsi="宋体" w:cs="宋体"/>
                <w:b/>
                <w:bCs/>
                <w:i/>
                <w:iCs/>
                <w:sz w:val="24"/>
                <w:szCs w:val="24"/>
                <w:u w:val="single"/>
              </w:rPr>
              <w:br w:type="textWrapping" w:clear="all"/>
              <w:t xml:space="preserve">b)产品内部结构应符合通用部件的安装需求；</w:t>
            </w:r>
            <w:r>
              <w:rPr>
                <w:rFonts w:hint="eastAsia" w:ascii="宋体" w:hAnsi="宋体" w:cs="宋体"/>
                <w:b/>
                <w:bCs/>
                <w:i/>
                <w:iCs/>
                <w:sz w:val="24"/>
                <w:szCs w:val="24"/>
                <w:u w:val="single"/>
              </w:rPr>
              <w:br w:type="textWrapping" w:clear="all"/>
              <w:t xml:space="preserve">c)所有输入输出接口应符合相关国家或行业标准；</w:t>
            </w:r>
            <w:r>
              <w:rPr>
                <w:rFonts w:hint="eastAsia" w:ascii="宋体" w:hAnsi="宋体" w:cs="宋体"/>
                <w:b/>
                <w:bCs/>
                <w:i/>
                <w:iCs/>
                <w:sz w:val="24"/>
                <w:szCs w:val="24"/>
                <w:u w:val="single"/>
              </w:rPr>
              <w:br w:type="textWrapping" w:clear="all"/>
              <w:t xml:space="preserve">d)产品零部件应紧固无松动，可插拔部件应可靠连接，开关、按钮和其它控制部件应灵活可靠，布局应方便使用；</w:t>
            </w:r>
            <w:r>
              <w:rPr>
                <w:rFonts w:hint="eastAsia" w:ascii="宋体" w:hAnsi="宋体" w:cs="宋体"/>
                <w:b/>
                <w:bCs/>
                <w:i/>
                <w:iCs/>
                <w:sz w:val="24"/>
                <w:szCs w:val="24"/>
                <w:u w:val="single"/>
              </w:rPr>
              <w:br w:type="textWrapping" w:clear="all"/>
              <w:t xml:space="preserve">e)所有I/O连接器及需插接线缆的部位应预留采购人操作空间，方便</w:t>
            </w:r>
            <w:r>
              <w:rPr>
                <w:rFonts w:hint="eastAsia" w:ascii="宋体" w:hAnsi="宋体" w:cs="宋体"/>
                <w:b/>
                <w:bCs/>
                <w:i/>
                <w:iCs/>
                <w:sz w:val="24"/>
                <w:szCs w:val="24"/>
                <w:u w:val="single"/>
              </w:rPr>
              <w:t xml:space="preserve">插拔解锁与插拔线缆；</w:t>
            </w:r>
            <w:r>
              <w:rPr>
                <w:rFonts w:hint="eastAsia" w:ascii="宋体" w:hAnsi="宋体" w:cs="宋体"/>
                <w:b/>
                <w:bCs/>
                <w:i/>
                <w:iCs/>
                <w:sz w:val="24"/>
                <w:szCs w:val="24"/>
                <w:u w:val="single"/>
              </w:rPr>
              <w:br w:type="textWrapping" w:clear="all"/>
              <w:t xml:space="preserve">f)可插拔板卡插槽部位应预留安装、拆卸或更换板卡空间；</w:t>
            </w:r>
            <w:r>
              <w:rPr>
                <w:rFonts w:hint="eastAsia" w:ascii="宋体" w:hAnsi="宋体" w:cs="宋体"/>
                <w:b/>
                <w:bCs/>
                <w:i/>
                <w:iCs/>
                <w:sz w:val="24"/>
                <w:szCs w:val="24"/>
                <w:u w:val="single"/>
              </w:rPr>
              <w:br w:type="textWrapping" w:clear="all"/>
              <w:t xml:space="preserve">g)拆装可能接触到的金属剪口或金属尖角部位应做防划伤处理，以保证安全；</w:t>
            </w:r>
            <w:r>
              <w:rPr>
                <w:rFonts w:hint="eastAsia" w:ascii="宋体" w:hAnsi="宋体" w:cs="宋体"/>
                <w:b/>
                <w:bCs/>
                <w:i/>
                <w:iCs/>
                <w:sz w:val="24"/>
                <w:szCs w:val="24"/>
                <w:u w:val="single"/>
              </w:rPr>
              <w:br w:type="textWrapping" w:clear="all"/>
              <w:t xml:space="preserve">h)整机内部走线应规整，固线结构和位置要合理可靠并做防割线处理，需便于理线和插拔操作，走线应不影响系统各主要部件组装和拆卸；</w:t>
            </w:r>
            <w:r>
              <w:rPr>
                <w:rFonts w:hint="eastAsia" w:ascii="宋体" w:hAnsi="宋体" w:cs="宋体"/>
                <w:b/>
                <w:bCs/>
                <w:i/>
                <w:iCs/>
                <w:sz w:val="24"/>
                <w:szCs w:val="24"/>
                <w:u w:val="single"/>
              </w:rPr>
              <w:br w:type="textWrapping" w:clear="all"/>
              <w:t xml:space="preserve">i)如需通过孔走线，过线孔应做防割线处理；</w:t>
            </w:r>
            <w:r>
              <w:rPr>
                <w:rFonts w:hint="eastAsia" w:ascii="宋体" w:hAnsi="宋体" w:cs="宋体"/>
                <w:b/>
                <w:bCs/>
                <w:i/>
                <w:iCs/>
                <w:sz w:val="24"/>
                <w:szCs w:val="24"/>
                <w:u w:val="single"/>
              </w:rPr>
              <w:br w:type="textWrapping" w:clear="all"/>
              <w:t xml:space="preserve">j)各插头位置和插拔方向应合理，应做到插拔无障碍设计，具备防呆设计，有效避免误操作；</w:t>
            </w:r>
            <w:r>
              <w:rPr>
                <w:rFonts w:hint="eastAsia" w:ascii="宋体" w:hAnsi="宋体" w:cs="宋体"/>
                <w:b/>
                <w:bCs/>
                <w:i/>
                <w:iCs/>
                <w:sz w:val="24"/>
                <w:szCs w:val="24"/>
                <w:u w:val="single"/>
              </w:rPr>
              <w:br w:type="textWrapping" w:clear="all"/>
              <w:t xml:space="preserve">k)各主要部件拆装无障碍，使用常规工具拆装，无特殊拆装工具需求；</w:t>
            </w:r>
            <w:r>
              <w:rPr>
                <w:rFonts w:hint="eastAsia" w:ascii="宋体" w:hAnsi="宋体" w:cs="宋体"/>
                <w:b/>
                <w:bCs/>
                <w:i/>
                <w:iCs/>
                <w:sz w:val="24"/>
                <w:szCs w:val="24"/>
                <w:u w:val="single"/>
              </w:rPr>
              <w:br w:type="textWrapping" w:clear="all"/>
              <w:t xml:space="preserve">l)各主要部件拆装步骤要少，各自拆装需避免相互干扰；</w:t>
            </w:r>
            <w:r>
              <w:rPr>
                <w:rFonts w:hint="eastAsia" w:ascii="宋体" w:hAnsi="宋体" w:cs="宋体"/>
                <w:b/>
                <w:bCs/>
                <w:i/>
                <w:iCs/>
                <w:sz w:val="24"/>
                <w:szCs w:val="24"/>
                <w:u w:val="single"/>
              </w:rPr>
              <w:br w:type="textWrapping" w:clear="all"/>
              <w:t xml:space="preserve">m)对于整机或零部件外表面为高亮面的，应粘贴保护膜，保护膜需粘贴牢固，运输、组装等过程不易脱落，撕下无残留；</w:t>
            </w:r>
            <w:r>
              <w:rPr>
                <w:rFonts w:hint="eastAsia" w:ascii="宋体" w:hAnsi="宋体" w:cs="宋体"/>
                <w:b/>
                <w:bCs/>
                <w:i/>
                <w:iCs/>
                <w:sz w:val="24"/>
                <w:szCs w:val="24"/>
                <w:u w:val="single"/>
              </w:rPr>
              <w:br w:type="textWrapping" w:clear="all"/>
              <w:t xml:space="preserve">n)其它要求应符合GB/T9813.1的相关规定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机箱应符合GB/T4208中IP20防护要求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color w:val="ff0000"/>
                <w:sz w:val="24"/>
                <w:szCs w:val="24"/>
              </w:rPr>
            </w:pPr>
            <w:r>
              <w:rPr>
                <w:rFonts w:hint="eastAsia" w:ascii="宋体" w:hAnsi="宋体" w:cs="宋体"/>
                <w:b/>
                <w:bCs/>
                <w:i/>
                <w:iCs/>
                <w:sz w:val="24"/>
                <w:szCs w:val="24"/>
                <w:u w:val="single"/>
              </w:rPr>
              <w:t xml:space="preserve">产品工作在空闲状态下，产品的声功率级应不超过4.5 Bel（提供检测报告）</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整机散热</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在环境温度25℃及处理器满载情况下，产品表面温度应符合如下要求：a)出风口在机箱后面板情况下，出风口温度不高于55℃；</w:t>
            </w:r>
            <w:r>
              <w:rPr>
                <w:rFonts w:hint="eastAsia" w:ascii="宋体" w:hAnsi="宋体" w:cs="宋体"/>
                <w:sz w:val="24"/>
                <w:szCs w:val="24"/>
              </w:rPr>
              <w:br w:type="textWrapping" w:clear="all"/>
              <w:t xml:space="preserve">b)可触及面温度不高于45℃；</w:t>
            </w:r>
            <w:r>
              <w:rPr>
                <w:rFonts w:hint="eastAsia" w:ascii="宋体" w:hAnsi="宋体" w:cs="宋体"/>
                <w:sz w:val="24"/>
                <w:szCs w:val="24"/>
              </w:rPr>
              <w:br w:type="textWrapping" w:clear="all"/>
              <w:t xml:space="preserve">c)显示器表面温度：显示屏不高于38℃，显示屏上下灯带位置温度（如涉及）不高于40℃，出风口温度不高于45℃</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产品能效限定值应达到GB28380-2012标准中能效等级2级及以上</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w:t>
            </w:r>
            <w:r>
              <w:rPr>
                <w:rFonts w:hint="eastAsia" w:ascii="宋体" w:hAnsi="宋体" w:cs="宋体"/>
                <w:sz w:val="24"/>
                <w:szCs w:val="24"/>
              </w:rPr>
              <w:t xml:space="preserve">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塑料/金属等</w:t>
            </w:r>
            <w:r/>
          </w:p>
        </w:tc>
      </w:tr>
      <w:tr>
        <w:trPr>
          <w:jc w:val="cente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灰色/黑色等商务色系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产品规格</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机箱体积≤25L</w:t>
            </w:r>
            <w:r/>
          </w:p>
        </w:tc>
      </w:tr>
      <w:tr>
        <w:trPr>
          <w:jc w:val="cente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CPU性能</w:t>
            </w:r>
            <w:r/>
          </w:p>
          <w:p>
            <w:pPr>
              <w:jc w:val="center"/>
              <w:widowControl/>
              <w:rPr>
                <w:rFonts w:hint="eastAsia" w:ascii="宋体" w:hAnsi="宋体" w:cs="宋体"/>
                <w:color w:val="ff0000"/>
                <w:sz w:val="24"/>
                <w:szCs w:val="24"/>
              </w:rPr>
            </w:pPr>
            <w:r>
              <w:rPr>
                <w:rFonts w:hint="eastAsia" w:ascii="宋体" w:hAnsi="宋体" w:cs="宋体"/>
                <w:color w:val="ff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CPU物理核数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≥20 </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CPU主频</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≥2.1GHz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▲≥33MB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CPU支持的内存最高速率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▲≥5600MT/s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≥4800/5600MT/s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最大支持7680x4320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sz w:val="24"/>
                <w:szCs w:val="24"/>
              </w:rPr>
              <w:t xml:space="preserve">▲≥1320MHz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≥12000MT/s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显卡应支持2块屏幕同时显示，分辨率最大支持2560×1440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▲≥100Hz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≥8位</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≥99%sRGB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△E≤4</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★≤4ms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≥250尼特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≥70%</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≥1300：1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其它参数应符合SJ/T11292的相关规定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w:t>
            </w:r>
            <w:r>
              <w:rPr>
                <w:rFonts w:hint="eastAsia" w:ascii="宋体" w:hAnsi="宋体" w:cs="宋体"/>
                <w:sz w:val="24"/>
                <w:szCs w:val="24"/>
              </w:rPr>
              <w:t xml:space="preserve">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w:t>
            </w:r>
            <w:r>
              <w:rPr>
                <w:rFonts w:hint="eastAsia" w:ascii="宋体" w:hAnsi="宋体" w:cs="宋体"/>
                <w:sz w:val="24"/>
                <w:szCs w:val="24"/>
              </w:rPr>
              <w:t xml:space="preserve">备性能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有线网卡速</w:t>
            </w:r>
            <w:r>
              <w:rPr>
                <w:rFonts w:hint="eastAsia" w:ascii="宋体" w:hAnsi="宋体" w:cs="宋体"/>
                <w:sz w:val="24"/>
                <w:szCs w:val="24"/>
              </w:rPr>
              <w:t xml:space="preserve">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最高速率应不低于1000Mbps，应支</w:t>
            </w:r>
            <w:r>
              <w:rPr>
                <w:rFonts w:hint="eastAsia" w:ascii="宋体" w:hAnsi="宋体" w:cs="宋体"/>
                <w:sz w:val="24"/>
                <w:szCs w:val="24"/>
              </w:rPr>
              <w:t xml:space="preserve">持10Mbps、100Mbps、1000Mbps速率自适应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性能要求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≥20MHz</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i/>
                <w:iCs/>
                <w:sz w:val="24"/>
                <w:szCs w:val="24"/>
                <w:u w:val="single"/>
              </w:rPr>
              <w:t xml:space="preserve">≥4个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支持存储设备扩展接口≥2 个，如UFS3.0、SATA3.0、SAS3.0、M.2 等接口类型</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主板USB瞬间过流保护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color w:val="000000"/>
                <w:sz w:val="24"/>
                <w:szCs w:val="24"/>
                <w:lang w:bidi="ar"/>
              </w:rPr>
              <w:t xml:space="preserve">支持防静电保护功能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I/O接口功能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singl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显卡功能</w:t>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显卡至少支持VGA、HDMI、DVI、DP、Type-C中2种显示接口，并与显示器接口相匹配</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singl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w:t>
            </w:r>
            <w:r/>
          </w:p>
        </w:tc>
      </w:tr>
      <w:tr>
        <w:trPr>
          <w:jc w:val="center"/>
          <w:trHeight w:val="134"/>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color w:val="000000"/>
                <w:sz w:val="24"/>
                <w:szCs w:val="24"/>
                <w:u w:val="single"/>
                <w:lang w:bidi="ar"/>
              </w:rPr>
              <w:t xml:space="preserve">1xDP1.2  1xVGA 1xHDMI1.4</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显示器应提供显示器支架，根据采购人需求支持屏幕旋转、升降等</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a)提供OSD选单按钮用于调节色彩、模式等；b)支持色温、亮度、对比度调节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外设功能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w:t>
            </w:r>
            <w:r>
              <w:rPr>
                <w:rFonts w:hint="eastAsia" w:ascii="宋体" w:hAnsi="宋体" w:cs="宋体"/>
                <w:sz w:val="24"/>
                <w:szCs w:val="24"/>
              </w:rPr>
              <w:t xml:space="preserve">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通过SATA固态存储/PCIe固态存储/UFS固态存储/SATA硬磁盘等存储部件提供存储功能</w:t>
            </w:r>
            <w:r/>
          </w:p>
        </w:tc>
      </w:tr>
      <w:tr>
        <w:trPr>
          <w:jc w:val="cente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固态存储通过内置控制器硬件支持加密，不依赖处理器，保障数据安全性，但不得影响存储性能。</w:t>
            </w:r>
            <w:r>
              <w:rPr>
                <w:rFonts w:hint="eastAsia" w:ascii="宋体" w:hAnsi="宋体" w:cs="宋体"/>
                <w:sz w:val="24"/>
                <w:szCs w:val="24"/>
              </w:rPr>
              <w:br w:type="textWrapping" w:clear="all"/>
              <w:t xml:space="preserve">a)支持加密功能，且加密功能开启不影响SSD读写性能；</w:t>
            </w:r>
            <w:r>
              <w:rPr>
                <w:rFonts w:hint="eastAsia" w:ascii="宋体" w:hAnsi="宋体" w:cs="宋体"/>
                <w:sz w:val="24"/>
                <w:szCs w:val="24"/>
              </w:rPr>
              <w:br w:type="textWrapping" w:clear="all"/>
              <w:t xml:space="preserve">b)支持固件加密、安全启动和安全升级；</w:t>
            </w:r>
            <w:r>
              <w:rPr>
                <w:rFonts w:hint="eastAsia" w:ascii="宋体" w:hAnsi="宋体" w:cs="宋体"/>
                <w:sz w:val="24"/>
                <w:szCs w:val="24"/>
              </w:rPr>
              <w:br w:type="textWrapping" w:clear="all"/>
              <w:t xml:space="preserve">c)支持数据的安全擦除</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网络设备功能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a)支持网络连接、网络开启/关闭功能；b)支持访问网络和数据交换功能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支持双频段</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支持网络设备物理开关</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支持数据传输能力，并提供数据流量和异常日志记录功能</w:t>
            </w:r>
            <w:r/>
          </w:p>
        </w:tc>
      </w:tr>
      <w:tr>
        <w:trPr>
          <w:jc w:val="cente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支持RJ45接口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若配备无线网卡，产品应符合GB15629.11所有部分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网络设备支持物理拆装，包括无线网卡和蓝牙模块等</w:t>
            </w:r>
            <w:r/>
          </w:p>
        </w:tc>
      </w:tr>
      <w:tr>
        <w:trPr>
          <w:jc w:val="cente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外部接口功能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支持3.5mm孔径3段式或4段式接口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至少支持VGA、HDMI、DVI、DP、Type-C中2种显示接口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HDMI、DP、Type-C显示接口要求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若提供HDMI或DP或Type-C作为显示接口，应支持音频和视频同步输出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a)支持串行接口，可实现GB/T6107的功能；</w:t>
            </w:r>
            <w:r>
              <w:rPr>
                <w:rFonts w:hint="eastAsia" w:ascii="宋体" w:hAnsi="宋体" w:cs="宋体"/>
                <w:sz w:val="24"/>
                <w:szCs w:val="24"/>
              </w:rPr>
              <w:br w:type="textWrapping" w:clear="all"/>
              <w:t xml:space="preserve">b)支持并行接口，可实现GB/T18235.1的功能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支持SD、TF等存储卡接口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sz w:val="24"/>
                <w:szCs w:val="24"/>
                <w:u w:val="single"/>
              </w:rPr>
              <w:t xml:space="preserve">电源适配器电线组件应符合GB/T15934的要求，电源≥750W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操作系统及软件功能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符合GB18030的相关规定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预装机房主机同品牌云部署和教室管理软件，备份及还原功能需满足：</w:t>
            </w:r>
            <w:r/>
          </w:p>
          <w:p>
            <w:pPr>
              <w:jc w:val="left"/>
              <w:widowControl/>
              <w:rPr>
                <w:rFonts w:hint="eastAsia" w:ascii="宋体" w:hAnsi="宋体" w:cs="宋体"/>
                <w:b/>
                <w:bCs/>
                <w:i/>
                <w:iCs/>
                <w:color w:val="000000"/>
                <w:sz w:val="24"/>
                <w:szCs w:val="24"/>
                <w:u w:val="single"/>
              </w:rPr>
            </w:pPr>
            <w:r>
              <w:rPr>
                <w:rFonts w:hint="eastAsia" w:ascii="宋体" w:hAnsi="宋体" w:cs="宋体"/>
                <w:b/>
                <w:bCs/>
                <w:i/>
                <w:iCs/>
                <w:sz w:val="24"/>
                <w:szCs w:val="24"/>
                <w:u w:val="single"/>
              </w:rPr>
              <w:t xml:space="preserve">1</w:t>
            </w:r>
            <w:r>
              <w:rPr>
                <w:rFonts w:hint="eastAsia" w:ascii="宋体" w:hAnsi="宋体" w:cs="宋体"/>
                <w:b/>
                <w:bCs/>
                <w:i/>
                <w:iCs/>
                <w:color w:val="000000"/>
                <w:sz w:val="24"/>
                <w:szCs w:val="24"/>
                <w:u w:val="single"/>
              </w:rPr>
              <w:t xml:space="preserve">所投台式电脑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w:t>
            </w:r>
            <w:r/>
          </w:p>
          <w:p>
            <w:pPr>
              <w:jc w:val="left"/>
              <w:widowControl/>
              <w:rPr>
                <w:rFonts w:hint="eastAsia" w:ascii="宋体" w:hAnsi="宋体" w:cs="宋体"/>
                <w:b/>
                <w:bCs/>
                <w:i/>
                <w:iCs/>
                <w:color w:val="000000" w:themeColor="text1"/>
                <w:sz w:val="24"/>
                <w:szCs w:val="24"/>
                <w:u w:val="single"/>
              </w:rPr>
            </w:pPr>
            <w:r>
              <w:rPr>
                <w:rFonts w:hint="eastAsia" w:ascii="宋体" w:hAnsi="宋体" w:cs="宋体"/>
                <w:b/>
                <w:bCs/>
                <w:i/>
                <w:iCs/>
                <w:color w:val="000000"/>
                <w:sz w:val="24"/>
                <w:szCs w:val="24"/>
                <w:u w:val="single"/>
              </w:rPr>
              <w:t xml:space="preserve">2</w:t>
            </w:r>
            <w:r>
              <w:rPr>
                <w:rFonts w:hint="eastAsia" w:ascii="宋体" w:hAnsi="宋体" w:cs="宋体"/>
                <w:b/>
                <w:bCs/>
                <w:i/>
                <w:iCs/>
                <w:color w:val="000000" w:themeColor="text1"/>
                <w:sz w:val="24"/>
                <w:szCs w:val="24"/>
                <w:u w:val="single"/>
              </w:rPr>
              <w:t xml:space="preserve">所投台式电脑支持硬件状态管理功能，可收集平台中所有终端的运行状态信息，包含但不限于终端名称、CPU温度、开机时间、硬盘信息等，支持提供终端设备的在保服务状态提醒，支持大数据展示。可展示包括但不限于资产统计、设备详情、开关机对比、日志、系统使用情况等信息。</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themeColor="text1"/>
                <w:sz w:val="24"/>
                <w:szCs w:val="24"/>
                <w:u w:val="single"/>
              </w:rPr>
              <w:t xml:space="preserve">3</w:t>
            </w:r>
            <w:r>
              <w:rPr>
                <w:rFonts w:hint="eastAsia" w:ascii="宋体" w:hAnsi="宋体" w:cs="宋体"/>
                <w:b/>
                <w:bCs/>
                <w:i/>
                <w:iCs/>
                <w:color w:val="000000"/>
                <w:sz w:val="24"/>
                <w:szCs w:val="24"/>
                <w:u w:val="single"/>
              </w:rPr>
              <w:t xml:space="preserve">所投台式电脑支持Legacy与UEFI两种方式启动系统，支持管理双网卡、双硬盘，支持NVME、M.2新型高速固态硬盘，同时兼容新老机型部署，支持批量管理终端计算机名、IP地址、分辨率、时间同步等配置信息，同时支持针对不同的终端群组设置不同的安全管控策略，多角色高效管理与教学，云桌面管理平台支持在专业模式和导航模式随意切换；专业模式适用于信息管理员精细化管理；导航模式适用于任课老师常用功能快捷操作。</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4为满足学校的复杂网络使用场景，简化网络结构，</w:t>
            </w:r>
            <w:r>
              <w:rPr>
                <w:rFonts w:hint="eastAsia" w:ascii="宋体" w:hAnsi="宋体" w:cs="宋体"/>
                <w:b/>
                <w:bCs/>
                <w:i/>
                <w:iCs/>
                <w:sz w:val="24"/>
                <w:szCs w:val="24"/>
                <w:u w:val="single"/>
              </w:rPr>
              <w:t xml:space="preserve">支持跨校区、跨广域网部署，IP可达即可部署，</w:t>
            </w:r>
            <w:r>
              <w:rPr>
                <w:rFonts w:hint="eastAsia" w:ascii="宋体" w:hAnsi="宋体" w:cs="宋体"/>
                <w:b/>
                <w:bCs/>
                <w:i/>
                <w:iCs/>
                <w:sz w:val="24"/>
                <w:szCs w:val="24"/>
                <w:u w:val="single"/>
              </w:rPr>
              <w:t xml:space="preserve">支持通过WIFI更新与管理桌面，支持不同楼宇、学科设备进行分组管理，用户可根据配置好的镜像分配给相应的用户或用户组，可在正常上课的同时完成镜像缓存下载，同一局域网内的设备可互相分享文档、镜像支持断点续传，避免网络中断等情况需要重复传输，可以大幅提升传输效率</w:t>
            </w:r>
            <w:r>
              <w:rPr>
                <w:rFonts w:hint="eastAsia" w:ascii="宋体" w:hAnsi="宋体" w:cs="宋体"/>
                <w:b/>
                <w:bCs/>
                <w:i/>
                <w:iCs/>
                <w:color w:val="000000"/>
                <w:sz w:val="24"/>
                <w:szCs w:val="24"/>
                <w:u w:val="single"/>
              </w:rPr>
              <w:t xml:space="preserve">。</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5所投台式电脑可以将本地的操作和讲解过程录制为ASF文件，可以用系统自带的 Media Player 直接播放，支持学生端屏幕录制、回放，学生端接收教师端广播的时候可以自动录制教师机广播教学的过程，课后可以重复观看学习，支持≥30个频道，教师可对单个班级或多个班级同时教学，多个教师可同时对多个班级进行不同内容的教学，学生端遇到问题可请求帮助，教师端可远程遥控帮助学生解决问题。</w:t>
            </w:r>
            <w:r/>
          </w:p>
          <w:p>
            <w:pPr>
              <w:jc w:val="lef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所投台式电脑支持上网限制，支持对学生访问网站的黑名单或白名单设置，支持对学生可以访问的Internet站点进行管理，支持多浏览器限制，须支持主流浏览器，支持程序限制，为防止学生在教学过程中游戏或使用聊天工具，支持通过策略限制学生使用程序，支持收集平台中所有终端的软件信息，包含但不限于程序名称、运行次数、运行时长、版本、程序大小等。</w:t>
            </w:r>
            <w:r/>
          </w:p>
          <w:p>
            <w:pPr>
              <w:jc w:val="left"/>
              <w:widowControl/>
              <w:rPr>
                <w:rFonts w:hint="eastAsia" w:ascii="宋体" w:hAnsi="宋体" w:cs="宋体"/>
                <w:b/>
                <w:bCs/>
                <w:i/>
                <w:iCs/>
                <w:color w:val="000000" w:themeColor="text1"/>
                <w:sz w:val="24"/>
                <w:szCs w:val="24"/>
                <w:u w:val="single"/>
              </w:rPr>
            </w:pPr>
            <w:r>
              <w:rPr>
                <w:rFonts w:hint="eastAsia" w:ascii="宋体" w:hAnsi="宋体" w:cs="宋体"/>
                <w:b/>
                <w:bCs/>
                <w:i/>
                <w:iCs/>
                <w:color w:val="000000"/>
                <w:sz w:val="24"/>
                <w:szCs w:val="24"/>
                <w:u w:val="single"/>
              </w:rPr>
              <w:t xml:space="preserve">7</w:t>
            </w:r>
            <w:r>
              <w:rPr>
                <w:rFonts w:hint="eastAsia" w:ascii="宋体" w:hAnsi="宋体" w:cs="宋体"/>
                <w:b/>
                <w:bCs/>
                <w:i/>
                <w:iCs/>
                <w:color w:val="000000" w:themeColor="text1"/>
                <w:sz w:val="24"/>
                <w:szCs w:val="24"/>
                <w:u w:val="single"/>
              </w:rPr>
              <w:t xml:space="preserve">所投台式电脑支持各类考试需求，如国家计算机一、二级等级考试、社会职称考试等，支持ATA、NCRE等考试模式，支持设置考试专属镜像并在考试开始前将考试镜像设置为隐藏模式，避免被破坏，为方便后期溯源备查考试结果并可快速进入下一场考试，支持管理员自定义保留考试桌面保留的周期时间，即在保留学生完整桌面、系统环境、文件数据的同时，可快速部</w:t>
            </w:r>
            <w:r>
              <w:rPr>
                <w:rFonts w:hint="eastAsia" w:ascii="宋体" w:hAnsi="宋体" w:cs="宋体"/>
                <w:b/>
                <w:bCs/>
                <w:i/>
                <w:iCs/>
                <w:color w:val="000000" w:themeColor="text1"/>
                <w:sz w:val="24"/>
                <w:szCs w:val="24"/>
                <w:u w:val="single"/>
              </w:rPr>
              <w:t xml:space="preserve">署下一场考试。</w:t>
            </w:r>
            <w:r/>
          </w:p>
          <w:p>
            <w:pPr>
              <w:jc w:val="left"/>
              <w:widowControl/>
              <w:rPr>
                <w:rFonts w:hint="eastAsia" w:ascii="宋体" w:hAnsi="宋体" w:cs="宋体"/>
                <w:b/>
                <w:bCs/>
                <w:i/>
                <w:iCs/>
                <w:color w:val="000000" w:themeColor="text1"/>
                <w:sz w:val="24"/>
                <w:szCs w:val="24"/>
                <w:u w:val="single"/>
              </w:rPr>
            </w:pPr>
            <w:r>
              <w:rPr>
                <w:rFonts w:hint="eastAsia" w:ascii="宋体" w:hAnsi="宋体" w:cs="宋体"/>
                <w:b/>
                <w:bCs/>
                <w:i/>
                <w:iCs/>
                <w:color w:val="000000" w:themeColor="text1"/>
                <w:sz w:val="24"/>
                <w:szCs w:val="24"/>
                <w:u w:val="single"/>
              </w:rPr>
              <w:t xml:space="preserve">（中标后签订合同前提供以上功能要求的截图）</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BIOS支持关闭通讯接口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sz w:val="24"/>
                <w:szCs w:val="24"/>
              </w:rPr>
              <w:t xml:space="preserve">支持BIOS关闭以太网及USB接口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支持网络引导启动和关闭功能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生物识别功能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指纹识别功能符合GB/T37742的相关规定</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人脸识别功能符合GB/T37036.3的相关规定</w:t>
            </w:r>
            <w:r/>
          </w:p>
        </w:tc>
      </w:tr>
      <w:tr>
        <w:trPr>
          <w:jc w:val="cente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指静脉识别功能符合GB/T33135的相关规定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硬件加速功能</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NPU/GPU等AI加速模块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支持NPU/GPU等AI加速模块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支持视频编解码加速模块</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功能要求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支持影像处理加速模块</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存储设备可靠性</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sz w:val="24"/>
                <w:szCs w:val="24"/>
              </w:rPr>
              <w:t xml:space="preserve">TBW≥80TB（条件：240GB硬盘容量）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通电时间≥5 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符合GB/T9813.2的要求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外设可靠性</w:t>
            </w:r>
            <w:r/>
          </w:p>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≥1000万次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≥500万次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键盘鼠标所用线材经±60°弯折不低于3000次，功能、外观完好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≥4万小时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top w:val="single" w:color="000000" w:sz="4" w:space="0"/>
              <w:left w:val="singl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整机可靠性要求</w:t>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符合GB/T9254.2的规定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符合GB/T9813.1中规定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可靠性要求</w:t>
            </w:r>
            <w:r/>
          </w:p>
        </w:tc>
        <w:tc>
          <w:tcPr>
            <w:shd w:val="clear" w:color="000000" w:fill="ffffff"/>
            <w:tcBorders>
              <w:left w:val="singl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MTBF测试</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i/>
                <w:iCs/>
                <w:sz w:val="24"/>
                <w:szCs w:val="24"/>
                <w:u w:val="single"/>
              </w:rPr>
            </w:pPr>
            <w:r>
              <w:rPr>
                <w:rFonts w:hint="eastAsia" w:ascii="宋体" w:hAnsi="宋体" w:cs="宋体"/>
                <w:sz w:val="24"/>
                <w:szCs w:val="24"/>
              </w:rPr>
              <w:t xml:space="preserve">★MTBF(m1)≥100万小时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兼容3个及以上厂商的数据库产品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兼容3个及以上厂商中间件产品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兼容3个及以上厂商云计算及大数据平台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符合GB/T9813.1和商品包装政府采购需求标准的相关规定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服务要</w:t>
            </w:r>
            <w:r>
              <w:rPr>
                <w:rFonts w:hint="eastAsia" w:ascii="宋体" w:hAnsi="宋体" w:cs="宋体"/>
                <w:sz w:val="24"/>
                <w:szCs w:val="24"/>
              </w:rPr>
              <w:t xml:space="preserve">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i/>
                <w:iCs/>
                <w:color w:val="000000"/>
                <w:sz w:val="24"/>
                <w:szCs w:val="24"/>
                <w:u w:val="single"/>
              </w:rPr>
              <w:t xml:space="preserve">提供配置检查工具：a）硬件主要参数检测，优化加速， b）系统垃圾清理，c）病毒查杀，d）原厂驱动更新，e）网络测速、网络诊断，f）自动识别品牌型号，自动识别序列号，自动识别保修开始至截止信息（投标文件中提供1-6项</w:t>
            </w:r>
            <w:r>
              <w:rPr>
                <w:rFonts w:hint="eastAsia" w:ascii="宋体" w:hAnsi="宋体" w:cs="宋体"/>
                <w:b/>
                <w:bCs/>
                <w:i/>
                <w:iCs/>
                <w:color w:val="000000"/>
                <w:sz w:val="24"/>
                <w:szCs w:val="24"/>
                <w:u w:val="single"/>
              </w:rPr>
              <w:t xml:space="preserve">功能截图及该软件的软著登记证书扫描件）</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服务响应</w:t>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numPr>
                <w:ilvl w:val="0"/>
                <w:numId w:val="11"/>
              </w:numPr>
              <w:jc w:val="left"/>
              <w:widowControl/>
              <w:rPr>
                <w:rFonts w:hint="eastAsia" w:ascii="宋体" w:hAnsi="宋体" w:cs="宋体"/>
                <w:color w:val="000000"/>
                <w:sz w:val="24"/>
                <w:szCs w:val="24"/>
                <w:lang w:bidi="ar"/>
              </w:rPr>
            </w:pPr>
            <w:r>
              <w:rPr>
                <w:rFonts w:hint="eastAsia" w:ascii="宋体" w:hAnsi="宋体" w:cs="宋体"/>
                <w:b/>
                <w:bCs/>
                <w:i/>
                <w:iCs/>
                <w:color w:val="000000"/>
                <w:sz w:val="24"/>
                <w:szCs w:val="24"/>
                <w:u w:val="single"/>
                <w:lang w:bidi="ar"/>
              </w:rPr>
              <w:t xml:space="preserve">提供产品3 年维保及上门服务（满足同城4 小时、异地 12 小时响应要求）；</w:t>
            </w:r>
            <w:r>
              <w:rPr>
                <w:rFonts w:hint="eastAsia" w:ascii="宋体" w:hAnsi="宋体" w:cs="宋体"/>
                <w:b/>
                <w:bCs/>
                <w:i/>
                <w:iCs/>
                <w:color w:val="000000"/>
                <w:sz w:val="24"/>
                <w:szCs w:val="24"/>
                <w:u w:val="single"/>
                <w:lang w:bidi="ar"/>
              </w:rPr>
              <w:br/>
              <w:t xml:space="preserve">b）提供政企专线 7*24 在线服务；</w:t>
            </w:r>
            <w:r>
              <w:rPr>
                <w:rFonts w:hint="eastAsia" w:ascii="宋体" w:hAnsi="宋体" w:cs="宋体"/>
                <w:b/>
                <w:bCs/>
                <w:i/>
                <w:iCs/>
                <w:color w:val="000000"/>
                <w:sz w:val="24"/>
                <w:szCs w:val="24"/>
                <w:u w:val="single"/>
                <w:lang w:bidi="ar"/>
              </w:rPr>
              <w:br/>
              <w:t xml:space="preserve">c）现场保障技术服务团队员，国内上门服务地级市覆盖率达 100%</w:t>
            </w:r>
            <w:r/>
          </w:p>
        </w:tc>
      </w:tr>
      <w:tr>
        <w:trPr>
          <w:jc w:val="cente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color w:val="000000"/>
                <w:sz w:val="24"/>
                <w:szCs w:val="24"/>
                <w:u w:val="single"/>
                <w:lang w:bidi="ar"/>
              </w:rPr>
              <w:t xml:space="preserve">支持产品延保≥3 年提供每年延保服务报价提供备件服务能力≥6 年（自购买之日起）</w:t>
            </w:r>
            <w:r/>
          </w:p>
        </w:tc>
      </w:tr>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供应商提供上门升级部件/软件与扩容的增值服务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免费服务周期（含换件和维修）应不小于3年（供应商承诺中标后提供并加盖公章）</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供应商提供开箱组装/使用指导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供应商提供兼容适配软件下载渠道</w:t>
            </w:r>
            <w:r>
              <w:rPr>
                <w:rFonts w:hint="eastAsia" w:ascii="宋体" w:hAnsi="宋体" w:cs="宋体"/>
                <w:b/>
                <w:bCs/>
                <w:i/>
                <w:iCs/>
                <w:sz w:val="24"/>
                <w:szCs w:val="24"/>
                <w:u w:val="single"/>
              </w:rPr>
              <w:br w:type="textWrapping" w:clear="all"/>
              <w:t xml:space="preserve">（光盘、网站）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供应商提供跨架构平台的应用兼容工具，支持一种或者一种以上不同架构平台的应用</w:t>
            </w:r>
            <w:r/>
          </w:p>
        </w:tc>
      </w:tr>
      <w:tr>
        <w:trPr>
          <w:jc w:val="cente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供应保障要求</w:t>
            </w:r>
            <w:r/>
          </w:p>
        </w:tc>
        <w:tc>
          <w:tcPr>
            <w:shd w:val="clear" w:color="000000" w:fill="ffffff"/>
            <w:tcBorders>
              <w:top w:val="singl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color w:val="ff0000"/>
                <w:sz w:val="24"/>
                <w:szCs w:val="24"/>
              </w:rPr>
            </w:pPr>
            <w:r>
              <w:rPr>
                <w:rFonts w:hint="eastAsia" w:ascii="宋体" w:hAnsi="宋体" w:cs="宋体"/>
                <w:sz w:val="24"/>
                <w:szCs w:val="24"/>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color w:val="ff0000"/>
                <w:sz w:val="24"/>
                <w:szCs w:val="24"/>
                <w:u w:val="single"/>
              </w:rPr>
            </w:pPr>
            <w:r>
              <w:rPr>
                <w:rFonts w:hint="eastAsia" w:ascii="宋体" w:hAnsi="宋体" w:cs="宋体"/>
                <w:b/>
                <w:bCs/>
                <w:i/>
                <w:iCs/>
                <w:sz w:val="24"/>
                <w:szCs w:val="24"/>
                <w:u w:val="single"/>
              </w:rPr>
              <w:t xml:space="preserve">供应商保障产品主要部件，提供6年的备件服务能力（自购买之日起），或提供可兼容原设备的升级换代产品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供应保障要求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供应保障要求</w:t>
            </w:r>
            <w:r/>
          </w:p>
        </w:tc>
        <w:tc>
          <w:tcPr>
            <w:shd w:val="clear" w:color="000000" w:fill="ffffff"/>
            <w:tcBorders>
              <w:left w:val="none" w:color="000000" w:sz="4" w:space="0"/>
              <w:bottom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供应商提供供应链稳定承诺书，确保产品的部件在产品服务周期内稳定供货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b/>
                <w:bCs/>
                <w:i/>
                <w:iCs/>
                <w:sz w:val="24"/>
                <w:szCs w:val="24"/>
                <w:u w:val="single"/>
              </w:rPr>
            </w:pPr>
            <w:r>
              <w:rPr>
                <w:rFonts w:hint="eastAsia" w:ascii="宋体" w:hAnsi="宋体" w:cs="宋体"/>
                <w:sz w:val="24"/>
                <w:szCs w:val="24"/>
              </w:rPr>
              <w:t xml:space="preserve">无要求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top w:val="none" w:color="000000" w:sz="4" w:space="0"/>
              <w:left w:val="none" w:color="000000" w:sz="4" w:space="0"/>
              <w:right w:val="single" w:color="000000" w:sz="4" w:space="0"/>
            </w:tcBorders>
            <w:tcW w:w="1100"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sz w:val="24"/>
                <w:szCs w:val="24"/>
              </w:rPr>
            </w:pPr>
            <w:r>
              <w:rPr>
                <w:rFonts w:hint="eastAsia" w:ascii="宋体" w:hAnsi="宋体" w:cs="宋体"/>
                <w:sz w:val="24"/>
                <w:szCs w:val="24"/>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USB端口管控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支持USB端口管控</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无要求</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189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安全要求</w:t>
            </w:r>
            <w:r/>
          </w:p>
        </w:tc>
        <w:tc>
          <w:tcPr>
            <w:shd w:val="clear" w:color="000000" w:fill="ffffff"/>
            <w:tcBorders>
              <w:left w:val="none" w:color="000000" w:sz="4" w:space="0"/>
              <w:bottom w:val="single" w:color="000000" w:sz="4" w:space="0"/>
              <w:right w:val="single" w:color="000000" w:sz="4" w:space="0"/>
            </w:tcBorders>
            <w:tcW w:w="1100"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5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符合GB/T26572中规定</w:t>
            </w:r>
            <w:r/>
          </w:p>
        </w:tc>
      </w:tr>
    </w:tbl>
    <w:p>
      <w:pPr>
        <w:spacing w:line="360" w:lineRule="auto"/>
        <w:rPr>
          <w:rFonts w:hint="eastAsia" w:ascii="宋体" w:hAnsi="宋体" w:cs="宋体"/>
          <w:b/>
          <w:iCs/>
          <w:color w:val="000000"/>
          <w:sz w:val="24"/>
          <w:szCs w:val="24"/>
        </w:rPr>
      </w:pPr>
      <w:r>
        <w:rPr>
          <w:rFonts w:hint="eastAsia" w:ascii="宋体" w:hAnsi="宋体" w:cs="宋体"/>
          <w:b/>
          <w:bCs/>
          <w:iCs/>
          <w:color w:val="000000"/>
          <w:sz w:val="24"/>
          <w:szCs w:val="24"/>
        </w:rPr>
        <w:t xml:space="preserve">说明：1、显示器与主机为同一品牌，非子品牌。（供应商提供承诺函并加盖公章）</w:t>
      </w:r>
      <w:r/>
    </w:p>
    <w:p>
      <w:pPr>
        <w:ind w:firstLine="660"/>
        <w:spacing w:line="360" w:lineRule="auto"/>
        <w:rPr>
          <w:rFonts w:hint="eastAsia" w:ascii="宋体" w:hAnsi="宋体" w:cs="宋体"/>
          <w:b/>
          <w:bCs/>
          <w:iCs/>
          <w:color w:val="000000"/>
          <w:sz w:val="24"/>
          <w:szCs w:val="24"/>
        </w:rPr>
      </w:pPr>
      <w:r>
        <w:rPr>
          <w:rFonts w:hint="eastAsia" w:ascii="宋体" w:hAnsi="宋体" w:cs="宋体"/>
          <w:b/>
          <w:bCs/>
          <w:iCs/>
          <w:color w:val="000000"/>
          <w:sz w:val="24"/>
          <w:szCs w:val="24"/>
        </w:rPr>
        <w:t xml:space="preserve">2、供应商需要提供承诺书以确保所有实质性参数满足招标人实质性产品需求，否则投标人作无效投标处理。（供应商提供承诺函并加盖公章）</w:t>
      </w:r>
      <w:r/>
    </w:p>
    <w:p>
      <w:pPr>
        <w:ind w:firstLine="660"/>
        <w:spacing w:line="360" w:lineRule="auto"/>
        <w:rPr>
          <w:rFonts w:hint="eastAsia" w:ascii="宋体" w:hAnsi="宋体" w:cs="宋体"/>
          <w:b/>
          <w:bCs/>
          <w:iCs/>
          <w:color w:val="000000"/>
          <w:sz w:val="24"/>
          <w:szCs w:val="24"/>
        </w:rPr>
      </w:pPr>
      <w:r>
        <w:rPr>
          <w:rFonts w:hint="eastAsia" w:ascii="宋体" w:hAnsi="宋体" w:cs="宋体"/>
          <w:b/>
          <w:bCs/>
          <w:iCs/>
          <w:color w:val="000000"/>
          <w:sz w:val="24"/>
          <w:szCs w:val="24"/>
        </w:rPr>
        <w:t xml:space="preserve">3、供应商需要提供所投产品的官网截图证明为图形工作站而非游戏电脑等高端台式计算机。（供应商提供官网截图并加盖公章）</w:t>
      </w:r>
      <w:r/>
    </w:p>
    <w:p>
      <w:pPr>
        <w:jc w:val="left"/>
        <w:widowControl/>
        <w:rPr>
          <w:rFonts w:hint="eastAsia" w:ascii="宋体" w:hAnsi="宋体" w:cs="宋体"/>
          <w:b/>
          <w:bCs/>
          <w:sz w:val="24"/>
          <w:szCs w:val="24"/>
        </w:rPr>
      </w:pPr>
      <w:r>
        <w:rPr>
          <w:rFonts w:hint="eastAsia" w:ascii="宋体" w:hAnsi="宋体" w:cs="宋体"/>
          <w:b/>
          <w:bCs/>
          <w:sz w:val="24"/>
          <w:szCs w:val="24"/>
        </w:rPr>
        <w:br w:type="page" w:clear="all"/>
      </w:r>
      <w:r/>
    </w:p>
    <w:p>
      <w:pPr>
        <w:ind w:firstLine="482"/>
        <w:spacing w:line="0" w:lineRule="atLeast"/>
        <w:rPr>
          <w:rFonts w:hint="eastAsia" w:ascii="宋体" w:hAnsi="宋体" w:cs="宋体"/>
          <w:b/>
          <w:bCs/>
          <w:sz w:val="24"/>
          <w:szCs w:val="24"/>
        </w:rPr>
      </w:pPr>
      <w:r>
        <w:rPr>
          <w:rFonts w:hint="eastAsia" w:ascii="宋体" w:hAnsi="宋体" w:cs="宋体"/>
          <w:b/>
          <w:bCs/>
          <w:sz w:val="24"/>
          <w:szCs w:val="24"/>
        </w:rPr>
        <w:t xml:space="preserve">四、商务要求</w:t>
      </w:r>
      <w:r/>
    </w:p>
    <w:p>
      <w:pPr>
        <w:ind w:firstLine="480"/>
        <w:spacing w:line="0" w:lineRule="atLeas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ind w:firstLine="420"/>
        <w:rPr>
          <w:rFonts w:hint="eastAsia" w:ascii="宋体" w:hAnsi="宋体" w:cs="宋体"/>
          <w:color w:val="000000"/>
          <w:sz w:val="24"/>
          <w:szCs w:val="24"/>
        </w:rPr>
      </w:pPr>
      <w:r>
        <w:rPr>
          <w:rFonts w:hint="eastAsia" w:ascii="宋体" w:hAnsi="宋体" w:cs="宋体"/>
          <w:b/>
          <w:color w:val="000000"/>
          <w:sz w:val="24"/>
          <w:szCs w:val="24"/>
        </w:rPr>
        <w:t xml:space="preserve">（一）</w:t>
      </w:r>
      <w:r>
        <w:rPr>
          <w:rFonts w:hint="eastAsia" w:ascii="宋体" w:hAnsi="宋体" w:cs="宋体"/>
          <w:b/>
          <w:bCs/>
          <w:color w:val="000000"/>
          <w:sz w:val="24"/>
          <w:szCs w:val="24"/>
        </w:rPr>
        <w:t xml:space="preserve">服务要求</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1.1及时完成设备的组装、调试、试运行。</w:t>
      </w:r>
      <w:r/>
    </w:p>
    <w:p>
      <w:pPr>
        <w:ind w:left="480"/>
        <w:jc w:val="left"/>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1.2项目整体质保期：自项目验收合格之日起，所报货物台式计算机（含鼠标键盘）、图形工作站整机（含鼠标键盘）、显示器提供原厂三年免费质保及上门服务，所有机器必须为原厂整机出厂不得拆改配。</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1.3质保期内免费提供学校指定软件的安装和调试服务。</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1.4技术支持方式：正常工作时间电话支持，特殊情况现场技术支持。</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1.5实时技术支持：提供7*24小时技术支持服务，通过技术人员驻场、客服系统、远程协助、服务热线、Email等多渠道提供实时响应和技术支持服务。</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1.6故障响应：在平台运行发生异常时，正常工作时间，提出维护后2小时内给予响应；非正常工作时间，4小时内给予响应；严重故障时，2小时内到达现场处理。工作现场严格遵守学校的规定。</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1.7定期跟踪：每三个月进行一次检测服务，每半年进行一次问题总结和回访。48小时内解决巡检过程中发现的各类问题。</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1.8培训服务：提供原厂技术培训服务，使采购方相关技术人员能够熟练使用、维护该系统。</w:t>
      </w:r>
      <w:r/>
    </w:p>
    <w:p>
      <w:pPr>
        <w:ind w:left="480"/>
        <w:spacing w:line="360" w:lineRule="auto"/>
        <w:tabs>
          <w:tab w:val="left" w:pos="1050" w:leader="none"/>
        </w:tabs>
        <w:rPr>
          <w:rFonts w:hint="eastAsia" w:ascii="宋体" w:hAnsi="宋体" w:cs="宋体"/>
          <w:color w:val="000000"/>
          <w:sz w:val="24"/>
          <w:szCs w:val="24"/>
        </w:rPr>
      </w:pPr>
      <w:r>
        <w:rPr>
          <w:rFonts w:hint="eastAsia" w:ascii="宋体" w:hAnsi="宋体" w:cs="宋体"/>
          <w:color w:val="000000"/>
          <w:sz w:val="24"/>
          <w:szCs w:val="24"/>
        </w:rPr>
        <w:t xml:space="preserve">1.9须有完善的运行维护机制和充足的人员保证项目的正常运行。</w:t>
      </w:r>
      <w:r/>
    </w:p>
    <w:p>
      <w:pPr>
        <w:ind w:left="42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952"/>
        <w:ind w:left="0" w:firstLine="241"/>
        <w:spacing w:line="360" w:lineRule="auto"/>
        <w:rPr>
          <w:rFonts w:hint="eastAsia" w:ascii="宋体" w:hAnsi="宋体" w:cs="宋体"/>
          <w:b/>
          <w:color w:val="000000"/>
          <w:lang w:eastAsia="zh-CN"/>
        </w:rPr>
      </w:pPr>
      <w:r>
        <w:rPr>
          <w:rFonts w:hint="eastAsia" w:ascii="宋体" w:hAnsi="宋体" w:cs="宋体"/>
          <w:b/>
          <w:color w:val="000000"/>
          <w:lang w:eastAsia="zh-CN"/>
        </w:rPr>
        <w:t xml:space="preserve">（二）交货期、交货方式及交货地点</w:t>
      </w:r>
      <w:r/>
    </w:p>
    <w:p>
      <w:pPr>
        <w:ind w:firstLine="420"/>
        <w:rPr>
          <w:rFonts w:hint="eastAsia" w:ascii="宋体" w:hAnsi="宋体" w:cs="宋体"/>
          <w:bCs/>
          <w:color w:val="000000"/>
          <w:sz w:val="24"/>
          <w:szCs w:val="24"/>
        </w:rPr>
      </w:pPr>
      <w:r>
        <w:rPr>
          <w:rFonts w:hint="eastAsia" w:ascii="宋体" w:hAnsi="宋体" w:cs="宋体"/>
          <w:bCs/>
          <w:color w:val="000000"/>
          <w:sz w:val="24"/>
          <w:szCs w:val="24"/>
        </w:rPr>
        <w:t xml:space="preserve">2.1 交货期：所有设备必须在接到采购人供货通知后十个工作日内完成交货。</w:t>
      </w:r>
      <w:r/>
    </w:p>
    <w:p>
      <w:pPr>
        <w:ind w:firstLine="42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 交货方式：供应商在采购人指定地点交货，并完成安装、调试。</w:t>
      </w:r>
      <w:r/>
    </w:p>
    <w:p>
      <w:pPr>
        <w:ind w:firstLine="42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2.3 交货地点：采购人指定交货地点，由供货商负责办理运输和装卸等，费用由供货商负责，采购人组织验收，验收不合格或不符合质量要求，供应商除无条件退货，返工外，还应承担采购人造成的一切损失。</w:t>
      </w:r>
      <w:r/>
    </w:p>
    <w:p>
      <w:pPr>
        <w:pStyle w:val="945"/>
        <w:ind w:firstLine="241"/>
        <w:tabs>
          <w:tab w:val="center" w:pos="4476"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（三）验收要求</w:t>
      </w:r>
      <w:r>
        <w:rPr>
          <w:rFonts w:hint="eastAsia" w:ascii="宋体" w:hAnsi="宋体" w:eastAsia="宋体" w:cs="宋体"/>
          <w:b/>
          <w:color w:val="000000"/>
          <w:sz w:val="24"/>
          <w:szCs w:val="24"/>
        </w:rPr>
        <w:tab/>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3.1中标单位最终交付的产品须完全符合投标文件中所响应的硬件参数，</w:t>
      </w:r>
      <w:r>
        <w:rPr>
          <w:rFonts w:hint="eastAsia" w:ascii="宋体" w:hAnsi="宋体" w:eastAsia="宋体" w:cs="宋体"/>
          <w:color w:val="000000"/>
          <w:sz w:val="24"/>
          <w:szCs w:val="24"/>
        </w:rPr>
        <w:t xml:space="preserve">如不满足招标文件要求的，采购人有权依照法律程序解除合同，并追究中标方的违约责任。</w:t>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为明确履约验收的主体、时间、方式、程序、内容和验收标准等事项，参数要求中明确的备查材料，供应商在中标后需根据交付产品如实提交，如若不提供材料或提供虚假材料的，视为虚假应标，按相关法律法规进行处理并追责。</w:t>
      </w:r>
      <w:r/>
    </w:p>
    <w:p>
      <w:pPr>
        <w:pStyle w:val="94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3.3为确保投标文件中原厂承诺有效兑现，中标单位在签订合同后正式供货前，提供厂家官方400服务热线和服务网站供查询核实，如不满足招标文件要求的，按相关法律法规进行处理并追责。</w:t>
      </w:r>
      <w:r/>
    </w:p>
    <w:p>
      <w:pPr>
        <w:ind w:firstLine="480"/>
        <w:jc w:val="left"/>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3.4中标单位在签订合同后正式供货前需对投标文件中所响应的软件功能逐条演示验收，如不满足招标文件要求的，按相关法律法规进行处理并追责。</w:t>
      </w:r>
      <w:r/>
    </w:p>
    <w:p>
      <w:pPr>
        <w:ind w:firstLine="482"/>
        <w:jc w:val="left"/>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（四）付款方式</w:t>
      </w:r>
      <w:r/>
    </w:p>
    <w:p>
      <w:pPr>
        <w:ind w:firstLine="480"/>
        <w:jc w:val="left"/>
        <w:spacing w:line="360" w:lineRule="auto"/>
        <w:rPr>
          <w:rFonts w:hint="eastAsia" w:ascii="宋体" w:hAnsi="宋体" w:cs="宋体"/>
          <w:bCs/>
          <w:sz w:val="24"/>
          <w:szCs w:val="24"/>
        </w:rPr>
      </w:pPr>
      <w:r>
        <w:rPr>
          <w:rFonts w:hint="eastAsia" w:ascii="宋体" w:hAnsi="宋体" w:cs="宋体"/>
          <w:color w:val="000000"/>
          <w:sz w:val="24"/>
          <w:szCs w:val="24"/>
        </w:rPr>
        <w:t xml:space="preserve">4.1 签订合同后5个工作日，甲方向乙方支付合同总额的40%预付款；货物安装调试完成并经甲方验收合后5个工作日内，甲方向乙方支付合同总额的</w:t>
      </w:r>
      <w:r>
        <w:rPr>
          <w:rFonts w:hint="eastAsia" w:ascii="宋体" w:hAnsi="宋体" w:cs="宋体"/>
          <w:color w:val="000000"/>
          <w:sz w:val="24"/>
          <w:szCs w:val="24"/>
        </w:rPr>
        <w:t xml:space="preserve">60</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p>
    <w:p>
      <w:pPr>
        <w:ind w:firstLine="482"/>
        <w:jc w:val="left"/>
        <w:spacing w:line="360" w:lineRule="auto"/>
        <w:rPr>
          <w:rFonts w:hint="eastAsia" w:ascii="宋体" w:hAnsi="宋体" w:cs="宋体"/>
          <w:b/>
          <w:bCs/>
          <w:color w:val="000000"/>
          <w:sz w:val="24"/>
          <w:szCs w:val="24"/>
        </w:rPr>
      </w:pPr>
      <w:r>
        <w:rPr>
          <w:rFonts w:hint="eastAsia" w:ascii="宋体" w:hAnsi="宋体" w:cs="宋体"/>
          <w:b/>
          <w:bCs/>
          <w:sz w:val="24"/>
          <w:szCs w:val="24"/>
        </w:rPr>
        <w:t xml:space="preserve">五、</w:t>
      </w:r>
      <w:r>
        <w:rPr>
          <w:rFonts w:hint="eastAsia" w:ascii="宋体" w:hAnsi="宋体" w:cs="宋体"/>
          <w:b/>
          <w:bCs/>
          <w:color w:val="000000"/>
          <w:sz w:val="24"/>
          <w:szCs w:val="24"/>
        </w:rPr>
        <w:t xml:space="preserve">技术方案要求</w:t>
      </w:r>
      <w:r/>
    </w:p>
    <w:p>
      <w:pPr>
        <w:ind w:firstLine="480"/>
        <w:jc w:val="left"/>
        <w:spacing w:line="360" w:lineRule="auto"/>
        <w:rPr>
          <w:rFonts w:hint="eastAsia" w:ascii="宋体" w:hAnsi="宋体" w:cs="宋体"/>
          <w:bCs/>
          <w:color w:val="000000" w:themeColor="text1"/>
          <w:sz w:val="24"/>
        </w:rPr>
      </w:pPr>
      <w:r/>
      <w:bookmarkStart w:id="207" w:name="_Toc120614281"/>
      <w:r>
        <w:rPr>
          <w:rFonts w:hint="eastAsia" w:ascii="宋体" w:hAnsi="宋体" w:cs="宋体"/>
          <w:color w:val="000000"/>
          <w:sz w:val="24"/>
          <w:szCs w:val="24"/>
        </w:rPr>
        <w:t xml:space="preserve">5.1团队及进度控制：针对现场环境供应商组织成立物流配送、安装实施技术团队制定详细可行的供货、配送计划与项目整体组装、调试、投入运行的时间进度计划。</w:t>
      </w:r>
      <w:r>
        <w:rPr>
          <w:rFonts w:hint="eastAsia" w:ascii="宋体" w:hAnsi="宋体" w:cs="宋体"/>
          <w:bCs/>
          <w:color w:val="000000" w:themeColor="text1"/>
          <w:sz w:val="24"/>
        </w:rPr>
        <w:t xml:space="preserve">供应商针对本项目成立的专门施技术团队，具有同类的项目实施经验，能积极主动与用户单位进行协调沟通，在规定的时间内，保证质量完成投标所提供设备的规划、安装、调试及投入运行，达成项目建设目标。</w:t>
      </w:r>
      <w:r/>
    </w:p>
    <w:p>
      <w:pPr>
        <w:ind w:firstLine="480"/>
        <w:spacing w:line="520" w:lineRule="exact"/>
        <w:rPr>
          <w:rFonts w:hint="eastAsia" w:ascii="宋体" w:hAnsi="宋体" w:cs="宋体"/>
          <w:color w:val="000000" w:themeColor="text1"/>
          <w:sz w:val="24"/>
        </w:rPr>
      </w:pPr>
      <w:r>
        <w:rPr>
          <w:rFonts w:hint="eastAsia" w:ascii="宋体" w:hAnsi="宋体" w:cs="宋体"/>
          <w:color w:val="000000" w:themeColor="text1"/>
          <w:sz w:val="24"/>
        </w:rPr>
        <w:t xml:space="preserve">5.2产品安装、调试、运行及技术支撑：供应商在提供所投设备的同时必须提供对于本次招标软硬件的系统安装、集成服务，且相关服务费用包含在总价中。供应商须承担本项目实施过程涉及的全部费用</w:t>
      </w:r>
      <w:r>
        <w:rPr>
          <w:rFonts w:hint="eastAsia" w:ascii="宋体" w:hAnsi="宋体"/>
          <w:bCs/>
          <w:color w:val="000000"/>
          <w:sz w:val="24"/>
          <w:szCs w:val="24"/>
        </w:rPr>
        <w:t xml:space="preserve">（包括设备、辅材、测试和验收等），项</w:t>
      </w:r>
      <w:r>
        <w:rPr>
          <w:rFonts w:hint="eastAsia" w:ascii="宋体" w:hAnsi="宋体" w:cs="宋体"/>
          <w:color w:val="000000" w:themeColor="text1"/>
          <w:sz w:val="24"/>
        </w:rPr>
        <w:t xml:space="preserve">目实施过程必须接受监督。</w:t>
      </w:r>
      <w:r/>
    </w:p>
    <w:p>
      <w:pPr>
        <w:ind w:firstLine="480"/>
        <w:spacing w:line="52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在项目实施调试、运行过程中，需要对现有机房进行强弱电环境检查，应安全、规范、高效地将新电脑物理安装到位，完成基础硬件连接、固件配置和操作系统部署，并提供相关技术人员解决环境检查中发现的问题。</w:t>
      </w:r>
      <w:r/>
    </w:p>
    <w:p>
      <w:pPr>
        <w:ind w:firstLine="480"/>
        <w:spacing w:line="520" w:lineRule="exact"/>
        <w:rPr>
          <w:rFonts w:hint="eastAsia" w:ascii="宋体" w:hAnsi="宋体" w:cs="宋体"/>
          <w:color w:val="000000" w:themeColor="text1"/>
          <w:sz w:val="24"/>
        </w:rPr>
      </w:pPr>
      <w:r>
        <w:rPr>
          <w:rFonts w:hint="eastAsia" w:ascii="宋体" w:hAnsi="宋体" w:cs="宋体"/>
          <w:color w:val="000000" w:themeColor="text1"/>
          <w:sz w:val="24"/>
        </w:rPr>
        <w:t xml:space="preserve">安装调试期间，采购人有权派技术人员参加，供应商有义务对其提出问题进行解答。</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5.3</w:t>
      </w:r>
      <w:r>
        <w:rPr>
          <w:rFonts w:hint="eastAsia" w:asciiTheme="minorEastAsia" w:hAnsiTheme="minorEastAsia" w:eastAsiaTheme="minorEastAsia" w:cstheme="minorEastAsia"/>
          <w:bCs/>
          <w:sz w:val="24"/>
          <w:szCs w:val="24"/>
        </w:rPr>
        <w:t xml:space="preserve">现场管理质量保证措施：</w:t>
      </w:r>
      <w:r>
        <w:rPr>
          <w:rFonts w:hint="eastAsia" w:ascii="宋体" w:hAnsi="宋体" w:cs="宋体"/>
          <w:bCs/>
          <w:color w:val="000000" w:themeColor="text1"/>
          <w:sz w:val="24"/>
        </w:rPr>
        <w:t xml:space="preserve">供应商需安排至少1名专人从项目开始到完全交付负责现场质量管理明确工作内容与职责。</w:t>
      </w:r>
      <w:r/>
    </w:p>
    <w:p>
      <w:pPr>
        <w:ind w:firstLine="480"/>
        <w:spacing w:line="520" w:lineRule="exact"/>
        <w:rPr>
          <w:rFonts w:hint="eastAsia" w:ascii="宋体" w:hAnsi="宋体" w:cs="宋体"/>
          <w:bCs/>
          <w:color w:val="000000" w:themeColor="text1"/>
          <w:sz w:val="24"/>
        </w:rPr>
      </w:pPr>
      <w:r>
        <w:rPr>
          <w:rFonts w:hint="eastAsia" w:ascii="宋体" w:hAnsi="宋体" w:cs="宋体"/>
          <w:bCs/>
          <w:sz w:val="24"/>
          <w:szCs w:val="24"/>
        </w:rPr>
        <w:t xml:space="preserve">所供货物必须是全新的，同一批次，完全符合国家规定的质量标准。因产品质量或安装不当导致验收不合格，应及时处理直至验收合格，期间产生的一切费用由中标人承担；若二次验收不合格，采购人有权退货。采购人在此期间保留对中标人的索赔权利。投标人必须满足所有功能要求，有义务保证采购人系统的功能性和完整性。</w:t>
      </w:r>
      <w:r>
        <w:rPr>
          <w:rFonts w:hint="eastAsia" w:ascii="宋体" w:hAnsi="宋体" w:cs="宋体"/>
          <w:bCs/>
          <w:color w:val="000000" w:themeColor="text1"/>
          <w:sz w:val="24"/>
        </w:rPr>
        <w:t xml:space="preserve">所投产品的生产厂家具备IS09001质量管理体系认证证书的预先考虑。</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5.4</w:t>
      </w:r>
      <w:r>
        <w:rPr>
          <w:rFonts w:hint="eastAsia" w:ascii="宋体" w:hAnsi="宋体" w:cs="仿宋"/>
          <w:sz w:val="24"/>
          <w:szCs w:val="24"/>
        </w:rPr>
        <w:t xml:space="preserve">履约及验收：</w:t>
      </w:r>
      <w:r>
        <w:rPr>
          <w:rFonts w:hint="eastAsia" w:ascii="宋体" w:hAnsi="宋体" w:cs="宋体"/>
          <w:bCs/>
          <w:color w:val="000000" w:themeColor="text1"/>
          <w:sz w:val="24"/>
        </w:rPr>
        <w:t xml:space="preserve">供应商应制订项目验收方案，由</w:t>
      </w:r>
      <w:r>
        <w:rPr>
          <w:rFonts w:hint="eastAsia" w:ascii="宋体" w:hAnsi="宋体" w:cs="宋体"/>
          <w:bCs/>
          <w:sz w:val="24"/>
          <w:szCs w:val="24"/>
        </w:rPr>
        <w:t xml:space="preserve">采购人组织验收，</w:t>
      </w:r>
      <w:r>
        <w:rPr>
          <w:rFonts w:hint="eastAsia" w:ascii="宋体" w:hAnsi="宋体" w:cs="宋体"/>
          <w:bCs/>
          <w:color w:val="000000" w:themeColor="text1"/>
          <w:sz w:val="24"/>
        </w:rPr>
        <w:t xml:space="preserve">包括设备进场验收、设备安装验收、设备调试验收、项目最终验收等，验收方案要体现全过程质量控制理念，确保项目高质量完成。供应商根据项目验收要求制定验收依据清单并提供招标文件、投标文件、厂家货物技术标准说明及有关国家的质量标准规定便于验收</w:t>
      </w:r>
      <w:r/>
    </w:p>
    <w:p>
      <w:pPr>
        <w:ind w:firstLine="480"/>
        <w:spacing w:line="520" w:lineRule="exact"/>
        <w:rPr>
          <w:rFonts w:hint="eastAsia" w:ascii="宋体" w:hAnsi="宋体" w:cs="宋体"/>
          <w:sz w:val="24"/>
          <w:szCs w:val="24"/>
        </w:rPr>
      </w:pPr>
      <w:r>
        <w:rPr>
          <w:rFonts w:hint="eastAsia" w:ascii="宋体" w:hAnsi="宋体" w:cs="宋体"/>
          <w:bCs/>
          <w:color w:val="000000" w:themeColor="text1"/>
          <w:sz w:val="24"/>
        </w:rPr>
        <w:t xml:space="preserve">5.5安全文明作业及环境保护措施：为确保项目安全、有序、规范进行，中标人必须严格遵守安全文明操作要求。中标人必须将安全置于首要位置，建立健</w:t>
      </w:r>
      <w:r>
        <w:rPr>
          <w:rFonts w:hint="eastAsia" w:ascii="宋体" w:hAnsi="宋体" w:cs="宋体"/>
          <w:sz w:val="24"/>
          <w:szCs w:val="24"/>
        </w:rPr>
        <w:t xml:space="preserve">全安全管理制度和应急预案，并对所有参与人员进行充分的安全教育和交底。严格遵守采购人制定的所有安全管理规定、进出登记制度、操作流程和应急预案。服从采购人现场管理人员的指挥和管理。工作结束后，必须对作业区域进行彻底清扫，恢复机房洁净环境，中标人应承诺，因其施工人员违反上述安全文明规定或操作不当，造成采购人人员伤亡、设备损坏、数据丢失、业务中断、机房环境污染等一切损失，均由中标人承担全部责任和赔偿责任。采购人有权对违反规定的行为进行制止、处罚（如罚款、暂停作业权限），直至终止合同。</w:t>
      </w:r>
      <w:r/>
    </w:p>
    <w:p>
      <w:pPr>
        <w:ind w:firstLine="480"/>
        <w:spacing w:line="520" w:lineRule="exact"/>
        <w:rPr>
          <w:rFonts w:hint="eastAsia" w:ascii="宋体" w:hAnsi="宋体" w:cs="宋体"/>
          <w:color w:val="000000" w:themeColor="text1"/>
          <w:sz w:val="24"/>
        </w:rPr>
      </w:pPr>
      <w:r>
        <w:rPr>
          <w:rFonts w:hint="eastAsia" w:ascii="宋体" w:hAnsi="宋体" w:cs="宋体"/>
          <w:sz w:val="24"/>
          <w:szCs w:val="24"/>
        </w:rPr>
        <w:t xml:space="preserve">5.6售后跟踪方案及服务响应时限：供应商根据本项目服务要求制定在日</w:t>
      </w:r>
      <w:r>
        <w:rPr>
          <w:rFonts w:hint="eastAsia" w:ascii="宋体" w:hAnsi="宋体" w:cs="宋体"/>
          <w:sz w:val="24"/>
          <w:szCs w:val="24"/>
        </w:rPr>
        <w:t xml:space="preserve">常维修、巡检和紧急抢修等情况下自身及所投货物品牌原厂质保周期、售后跟踪服务</w:t>
      </w:r>
      <w:r>
        <w:rPr>
          <w:rFonts w:hint="eastAsia" w:ascii="宋体" w:hAnsi="宋体" w:cs="宋体"/>
          <w:color w:val="000000" w:themeColor="text1"/>
          <w:sz w:val="24"/>
        </w:rPr>
        <w:t xml:space="preserve">方案及服务响应时限，并且能够提供多渠道联系方式。</w:t>
      </w:r>
      <w:r/>
    </w:p>
    <w:p>
      <w:pPr>
        <w:ind w:firstLine="480"/>
        <w:spacing w:line="520" w:lineRule="exact"/>
        <w:rPr>
          <w:rFonts w:hint="eastAsia" w:ascii="宋体" w:hAnsi="宋体" w:cs="宋体"/>
          <w:sz w:val="24"/>
          <w:szCs w:val="24"/>
        </w:rPr>
      </w:pPr>
      <w:r>
        <w:rPr>
          <w:rFonts w:hint="eastAsia" w:ascii="宋体" w:hAnsi="宋体" w:cs="宋体"/>
          <w:color w:val="000000" w:themeColor="text1"/>
          <w:sz w:val="24"/>
        </w:rPr>
        <w:t xml:space="preserve">5.7售后技术服务及服务体系：供应商根据本项目服务要求配备本单位在职技术人员及所投货物品牌原厂专业技术人员提供巡检维护、故障维修、等技术服务并出具报告。</w:t>
      </w:r>
      <w:r>
        <w:rPr>
          <w:rFonts w:hint="eastAsia" w:ascii="宋体" w:hAnsi="宋体" w:cs="宋体"/>
          <w:sz w:val="24"/>
          <w:szCs w:val="24"/>
        </w:rPr>
        <w:t xml:space="preserve">供应商与所投产品的生产厂家具备完善的售后服务体系，同时在备品备件上都能做到符合招标文件的要求和投标文件</w:t>
      </w:r>
      <w:r>
        <w:rPr>
          <w:rFonts w:hint="eastAsia" w:ascii="宋体" w:hAnsi="宋体" w:cs="宋体"/>
          <w:color w:val="000000" w:themeColor="text1"/>
          <w:sz w:val="24"/>
        </w:rPr>
        <w:t xml:space="preserve">的承诺，为采购单位提供双重保障。</w:t>
      </w:r>
      <w:r>
        <w:rPr>
          <w:rFonts w:hint="eastAsia" w:ascii="宋体" w:hAnsi="宋体" w:cs="宋体"/>
          <w:sz w:val="24"/>
          <w:szCs w:val="24"/>
        </w:rPr>
        <w:t xml:space="preserve">具备IS027001信息安全管理体系认证证书、IS020000信息技术服务管理体系认证证书的优先考虑。供应商本单位在职技术人员及所投货物品牌原厂技术人员现场进行维修服务等业务时需遵守采购人相</w:t>
      </w:r>
      <w:r>
        <w:rPr>
          <w:rFonts w:hint="eastAsia" w:ascii="宋体" w:hAnsi="宋体" w:cs="宋体"/>
          <w:color w:val="000000" w:themeColor="text1"/>
          <w:sz w:val="24"/>
        </w:rPr>
        <w:t xml:space="preserve">关部门的规定要求，做到安全、有</w:t>
      </w:r>
      <w:r>
        <w:rPr>
          <w:rFonts w:hint="eastAsia" w:ascii="宋体" w:hAnsi="宋体" w:cs="宋体"/>
          <w:sz w:val="24"/>
          <w:szCs w:val="24"/>
        </w:rPr>
        <w:t xml:space="preserve">序、规范。根据本项目服务要求及招投标的要求承诺，对服务过程中遇到的问题能给出妥善的解决方案。</w:t>
      </w:r>
      <w:r/>
    </w:p>
    <w:p>
      <w:pPr>
        <w:ind w:firstLine="480"/>
        <w:spacing w:line="520" w:lineRule="exact"/>
        <w:rPr>
          <w:rFonts w:hint="eastAsia" w:ascii="宋体" w:hAnsi="宋体"/>
          <w:bCs/>
          <w:color w:val="000000"/>
          <w:sz w:val="24"/>
          <w:szCs w:val="24"/>
        </w:rPr>
      </w:pPr>
      <w:r>
        <w:rPr>
          <w:rFonts w:hint="eastAsia" w:ascii="宋体" w:hAnsi="宋体" w:cs="宋体"/>
          <w:sz w:val="24"/>
          <w:szCs w:val="24"/>
        </w:rPr>
        <w:t xml:space="preserve">5.8技术培训：成交供应商在项目实施过程中，需要对采购人相关管理人员进行免费现场培训，培训内容包括所投产品相关设备的基本操作原理、调试、操作使用和保养维修等，通过培训确保采购人的管理人</w:t>
      </w:r>
      <w:r>
        <w:rPr>
          <w:rFonts w:hint="eastAsia" w:ascii="宋体" w:hAnsi="宋体"/>
          <w:bCs/>
          <w:color w:val="000000"/>
          <w:sz w:val="24"/>
          <w:szCs w:val="24"/>
        </w:rPr>
        <w:t xml:space="preserve">员能够了解系统的安装及配置，掌握各种软件安装调试及使用、常见故障的解决办法、系统的简易性恢复等技能。投标文件中须提供详细的培训计划及方案。</w:t>
      </w:r>
      <w:r/>
    </w:p>
    <w:p>
      <w:pPr>
        <w:spacing w:line="0" w:lineRule="atLeast"/>
        <w:rPr>
          <w:rFonts w:hint="eastAsia" w:ascii="宋体" w:hAnsi="宋体"/>
          <w:b/>
          <w:color w:val="000000"/>
          <w:sz w:val="24"/>
          <w:szCs w:val="24"/>
        </w:rPr>
      </w:pPr>
      <w:r>
        <w:rPr>
          <w:rFonts w:hint="eastAsia" w:ascii="宋体" w:hAnsi="宋体"/>
          <w:b/>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hint="eastAsia"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896"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3052" w:type="dxa"/>
            <w:textDirection w:val="lrTb"/>
            <w:noWrap w:val="false"/>
          </w:tcPr>
          <w:p>
            <w:pPr>
              <w:jc w:val="center"/>
              <w:rPr>
                <w:rFonts w:hint="eastAsia" w:ascii="宋体" w:hAnsi="宋体"/>
                <w:szCs w:val="21"/>
              </w:rPr>
            </w:pPr>
            <w:r>
              <w:rPr>
                <w:rFonts w:hint="eastAsia" w:ascii="宋体" w:hAnsi="宋体"/>
                <w:szCs w:val="21"/>
              </w:rPr>
              <w:t xml:space="preserve">台式计算机</w:t>
            </w:r>
            <w:r/>
          </w:p>
        </w:tc>
      </w:tr>
      <w:tr>
        <w:trPr/>
        <w:tc>
          <w:tcPr>
            <w:tcW w:w="896"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3052" w:type="dxa"/>
            <w:textDirection w:val="lrTb"/>
            <w:noWrap w:val="false"/>
          </w:tcPr>
          <w:p>
            <w:pPr>
              <w:jc w:val="center"/>
              <w:rPr>
                <w:rFonts w:hint="eastAsia" w:ascii="宋体" w:hAnsi="宋体"/>
                <w:szCs w:val="21"/>
              </w:rPr>
            </w:pPr>
            <w:r>
              <w:rPr>
                <w:rFonts w:hint="eastAsia" w:ascii="宋体" w:hAnsi="宋体"/>
                <w:szCs w:val="21"/>
              </w:rPr>
              <w:t xml:space="preserve">图形工作站</w:t>
            </w:r>
            <w:r/>
          </w:p>
        </w:tc>
      </w:tr>
    </w:tbl>
    <w:p>
      <w:pPr>
        <w:spacing w:line="0" w:lineRule="atLeast"/>
        <w:rPr>
          <w:rFonts w:hint="eastAsia"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hint="eastAsia"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3052" w:type="dxa"/>
            <w:textDirection w:val="lrTb"/>
            <w:noWrap w:val="false"/>
          </w:tcPr>
          <w:p>
            <w:pPr>
              <w:jc w:val="center"/>
              <w:rPr>
                <w:rFonts w:hint="eastAsia" w:ascii="宋体" w:hAnsi="宋体"/>
                <w:szCs w:val="21"/>
              </w:rPr>
            </w:pPr>
            <w:r>
              <w:rPr>
                <w:rFonts w:hint="eastAsia" w:ascii="宋体" w:hAnsi="宋体"/>
                <w:szCs w:val="21"/>
              </w:rPr>
              <w:t xml:space="preserve">否</w:t>
            </w:r>
            <w:r/>
          </w:p>
        </w:tc>
      </w:tr>
      <w:tr>
        <w:trPr/>
        <w:tc>
          <w:tcPr>
            <w:tcW w:w="896"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3052" w:type="dxa"/>
            <w:textDirection w:val="lrTb"/>
            <w:noWrap w:val="false"/>
          </w:tcPr>
          <w:p>
            <w:pPr>
              <w:jc w:val="center"/>
              <w:rPr>
                <w:rFonts w:hint="eastAsia" w:ascii="宋体" w:hAnsi="宋体"/>
                <w:szCs w:val="21"/>
              </w:rPr>
            </w:pPr>
            <w:r>
              <w:rPr>
                <w:rFonts w:hint="eastAsia" w:ascii="宋体" w:hAnsi="宋体"/>
                <w:szCs w:val="21"/>
              </w:rPr>
              <w:t xml:space="preserve">否</w:t>
            </w:r>
            <w:r/>
          </w:p>
        </w:tc>
      </w:tr>
    </w:tbl>
    <w:p>
      <w:pPr>
        <w:jc w:val="left"/>
        <w:widowControl/>
        <w:rPr>
          <w:rFonts w:hint="eastAsia" w:ascii="宋体" w:hAnsi="宋体"/>
          <w:bCs/>
          <w:color w:val="000000"/>
          <w:sz w:val="24"/>
          <w:szCs w:val="24"/>
        </w:rPr>
      </w:pPr>
      <w:r>
        <w:rPr>
          <w:rFonts w:hint="eastAsia" w:ascii="宋体" w:hAnsi="宋体"/>
          <w:bCs/>
          <w:color w:val="000000"/>
          <w:sz w:val="24"/>
          <w:szCs w:val="24"/>
        </w:rPr>
        <w:br w:type="page" w:clear="all"/>
      </w:r>
      <w:r/>
    </w:p>
    <w:p>
      <w:pPr>
        <w:ind w:firstLine="480"/>
        <w:spacing w:line="520" w:lineRule="exact"/>
        <w:rPr>
          <w:rFonts w:hint="eastAsia" w:ascii="宋体" w:hAnsi="宋体"/>
          <w:bCs/>
          <w:color w:val="000000"/>
          <w:sz w:val="24"/>
          <w:szCs w:val="24"/>
        </w:rPr>
      </w:pPr>
      <w:r>
        <w:rPr>
          <w:rFonts w:hint="eastAsia" w:ascii="宋体" w:hAnsi="宋体"/>
          <w:bCs/>
          <w:color w:val="000000"/>
          <w:sz w:val="24"/>
          <w:szCs w:val="24"/>
        </w:rPr>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jc w:val="center"/>
        <w:keepNext/>
        <w:rPr>
          <w:rFonts w:ascii="黑体" w:eastAsia="黑体"/>
          <w:bCs/>
          <w:color w:val="000000"/>
          <w:sz w:val="44"/>
          <w:szCs w:val="28"/>
        </w:rPr>
        <w:outlineLvl w:val="0"/>
      </w:pPr>
      <w:r/>
      <w:bookmarkStart w:id="208" w:name="_Toc228282820"/>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08"/>
      <w:r/>
      <w:r/>
    </w:p>
    <w:p>
      <w:pPr>
        <w:rPr>
          <w:color w:val="000000"/>
          <w:szCs w:val="21"/>
        </w:rPr>
      </w:pPr>
      <w:r>
        <w:rPr>
          <w:color w:val="000000"/>
          <w:szCs w:val="21"/>
        </w:rPr>
      </w:r>
      <w:r/>
    </w:p>
    <w:p>
      <w:pPr>
        <w:ind w:firstLine="480"/>
        <w:spacing w:line="0" w:lineRule="atLeast"/>
        <w:rPr>
          <w:rFonts w:hint="eastAsia"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采购包号</w:t>
            </w:r>
            <w:r/>
          </w:p>
        </w:tc>
        <w:tc>
          <w:tcPr>
            <w:tcW w:w="1610"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p>
        </w:tc>
        <w:tc>
          <w:tcPr>
            <w:tcW w:w="4325"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p>
        </w:tc>
      </w:tr>
      <w:tr>
        <w:trPr/>
        <w:tc>
          <w:tcPr>
            <w:tcW w:w="1148"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610"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4325" w:type="dxa"/>
            <w:textDirection w:val="lrTb"/>
            <w:noWrap w:val="false"/>
          </w:tcPr>
          <w:p>
            <w:pPr>
              <w:jc w:val="left"/>
              <w:rPr>
                <w:rFonts w:hint="eastAsia"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Arial" w:hAnsi="Arial" w:cs="Arial"/>
          <w:sz w:val="24"/>
          <w:szCs w:val="24"/>
        </w:rPr>
      </w:pPr>
      <w:r>
        <w:rPr>
          <w:rFonts w:ascii="Arial" w:hAnsi="Arial" w:cs="Arial"/>
          <w:sz w:val="24"/>
          <w:szCs w:val="24"/>
        </w:rPr>
      </w:r>
      <w:r/>
    </w:p>
    <w:p>
      <w:pPr>
        <w:ind w:firstLine="439"/>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（2）供应商需按照采购文件的要求提供相应的《中小微企业声明函》。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7、采购本国产品的支持政策</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7.4 供应商需在《声明函》中逐一、</w:t>
      </w:r>
      <w:r>
        <w:rPr>
          <w:rFonts w:ascii="宋体" w:hAnsi="宋体"/>
          <w:sz w:val="24"/>
          <w:szCs w:val="24"/>
        </w:rPr>
        <w:t xml:space="preserve">准确</w:t>
      </w:r>
      <w:r>
        <w:rPr>
          <w:rFonts w:hint="eastAsia" w:ascii="宋体" w:hAnsi="宋体"/>
          <w:sz w:val="24"/>
          <w:szCs w:val="24"/>
        </w:rPr>
        <w:t xml:space="preserve">填写产品名称、厂名、生产厂址三项信息（《声明函》中标注“ / ”的地方无需填写），三</w:t>
      </w:r>
      <w:r>
        <w:rPr>
          <w:rFonts w:ascii="宋体" w:hAnsi="宋体"/>
          <w:sz w:val="24"/>
          <w:szCs w:val="24"/>
        </w:rPr>
        <w:t xml:space="preserve">项信息中</w:t>
      </w:r>
      <w:r>
        <w:rPr>
          <w:rFonts w:hint="eastAsia" w:ascii="宋体" w:hAnsi="宋体"/>
          <w:sz w:val="24"/>
          <w:szCs w:val="24"/>
        </w:rPr>
        <w:t xml:space="preserve">任意一项未填写的视为该项产品不符合本国产品标准，不享受本国产品价格评审优惠。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7.5 评标过程中如发现供应商在《声明函》内容</w:t>
      </w:r>
      <w:r>
        <w:rPr>
          <w:rFonts w:ascii="宋体" w:hAnsi="宋体"/>
          <w:sz w:val="24"/>
          <w:szCs w:val="24"/>
        </w:rPr>
        <w:t xml:space="preserve">含义不明确、同类事项与投</w:t>
      </w:r>
      <w:r>
        <w:rPr>
          <w:rFonts w:hint="eastAsia" w:ascii="宋体" w:hAnsi="宋体"/>
          <w:sz w:val="24"/>
          <w:szCs w:val="24"/>
        </w:rPr>
        <w:t xml:space="preserve">标</w:t>
      </w:r>
      <w:r>
        <w:rPr>
          <w:rFonts w:ascii="宋体" w:hAnsi="宋体"/>
          <w:sz w:val="24"/>
          <w:szCs w:val="24"/>
        </w:rPr>
        <w:t xml:space="preserve">（</w:t>
      </w:r>
      <w:r>
        <w:rPr>
          <w:rFonts w:hint="eastAsia" w:ascii="宋体" w:hAnsi="宋体"/>
          <w:sz w:val="24"/>
          <w:szCs w:val="24"/>
        </w:rPr>
        <w:t xml:space="preserve">响应</w:t>
      </w:r>
      <w:r>
        <w:rPr>
          <w:rFonts w:ascii="宋体" w:hAnsi="宋体"/>
          <w:sz w:val="24"/>
          <w:szCs w:val="24"/>
        </w:rPr>
        <w:t xml:space="preserve">）</w:t>
      </w:r>
      <w:r>
        <w:rPr>
          <w:rFonts w:hint="eastAsia" w:ascii="宋体" w:hAnsi="宋体"/>
          <w:sz w:val="24"/>
          <w:szCs w:val="24"/>
        </w:rPr>
        <w:t xml:space="preserve">文件</w:t>
      </w:r>
      <w:r>
        <w:rPr>
          <w:rFonts w:ascii="宋体" w:hAnsi="宋体"/>
          <w:sz w:val="24"/>
          <w:szCs w:val="24"/>
        </w:rPr>
        <w:t xml:space="preserve">表述不一致或者有</w:t>
      </w:r>
      <w:r>
        <w:rPr>
          <w:rFonts w:hint="eastAsia" w:ascii="宋体" w:hAnsi="宋体"/>
          <w:sz w:val="24"/>
          <w:szCs w:val="24"/>
        </w:rPr>
        <w:t xml:space="preserve">明显</w:t>
      </w:r>
      <w:r>
        <w:rPr>
          <w:rFonts w:ascii="宋体" w:hAnsi="宋体"/>
          <w:sz w:val="24"/>
          <w:szCs w:val="24"/>
        </w:rPr>
        <w:t xml:space="preserve">文字错误等情况的</w:t>
      </w:r>
      <w:r>
        <w:rPr>
          <w:rFonts w:hint="eastAsia" w:ascii="宋体" w:hAnsi="宋体"/>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r>
      <w:r/>
    </w:p>
    <w:p>
      <w:pPr>
        <w:ind w:firstLine="480"/>
        <w:jc w:val="left"/>
        <w:spacing w:before="120" w:after="120" w:line="0" w:lineRule="atLeast"/>
        <w:rPr>
          <w:rFonts w:hint="eastAsia" w:ascii="宋体" w:hAnsi="宋体"/>
          <w:color w:val="000000"/>
          <w:sz w:val="24"/>
          <w:szCs w:val="24"/>
        </w:rPr>
      </w:pPr>
      <w:r>
        <w:rPr>
          <w:rFonts w:hint="eastAsia" w:ascii="宋体" w:hAnsi="宋体"/>
          <w:b/>
          <w:color w:val="000000"/>
          <w:sz w:val="24"/>
          <w:szCs w:val="24"/>
        </w:rPr>
        <w:t xml:space="preserve">评标方法与评标标准</w:t>
      </w:r>
      <w:r/>
    </w:p>
    <w:p>
      <w:pPr>
        <w:ind w:firstLine="480"/>
        <w:spacing w:line="360" w:lineRule="auto"/>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w:t>
      </w:r>
      <w:r>
        <w:rPr>
          <w:rFonts w:hint="eastAsia" w:ascii="宋体" w:hAnsi="宋体"/>
          <w:b/>
          <w:bCs/>
          <w:color w:val="000000"/>
          <w:sz w:val="24"/>
          <w:szCs w:val="24"/>
        </w:rPr>
        <w:t xml:space="preserve">价格（30分）：</w:t>
      </w:r>
      <w:r/>
    </w:p>
    <w:p>
      <w:pPr>
        <w:ind w:firstLine="480"/>
        <w:spacing w:line="360" w:lineRule="auto"/>
        <w:tabs>
          <w:tab w:val="left" w:pos="945" w:leader="none"/>
          <w:tab w:val="left" w:pos="1155" w:leader="none"/>
        </w:tabs>
        <w:rPr>
          <w:rFonts w:ascii="宋体"/>
          <w:bCs/>
          <w:color w:val="000000"/>
          <w:sz w:val="24"/>
          <w:szCs w:val="24"/>
        </w:rPr>
      </w:pPr>
      <w:r/>
      <w:bookmarkStart w:id="209" w:name="OLE_LINK32"/>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×30。</w:t>
      </w:r>
      <w:r>
        <w:rPr>
          <w:rFonts w:hint="eastAsia" w:ascii="宋体" w:hAnsi="宋体"/>
          <w:color w:val="000000"/>
          <w:sz w:val="24"/>
          <w:szCs w:val="24"/>
        </w:rPr>
        <w:t xml:space="preserve">分值保留小数点后2位。</w:t>
      </w:r>
      <w:r/>
    </w:p>
    <w:p>
      <w:pPr>
        <w:ind w:firstLine="480"/>
        <w:jc w:val="left"/>
        <w:spacing w:line="360" w:lineRule="auto"/>
        <w:rPr>
          <w:rFonts w:ascii="黑体" w:eastAsia="黑体"/>
          <w:bCs/>
          <w:color w:val="000000"/>
          <w:sz w:val="24"/>
          <w:szCs w:val="24"/>
        </w:rPr>
      </w:pPr>
      <w:r>
        <w:rPr>
          <w:rFonts w:hint="eastAsia" w:ascii="宋体" w:hAnsi="宋体"/>
          <w:bCs/>
          <w:color w:val="000000"/>
          <w:sz w:val="24"/>
          <w:szCs w:val="24"/>
        </w:rPr>
        <w:t xml:space="preserve">关于价格扣除详见本章第二部分“一、落实政府采购政策的价格调整”。</w:t>
      </w:r>
      <w:bookmarkEnd w:id="209"/>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cs="宋体"/>
          <w:b/>
          <w:bCs/>
          <w:sz w:val="28"/>
          <w:szCs w:val="28"/>
        </w:rPr>
      </w:pPr>
      <w:r/>
      <w:bookmarkStart w:id="210" w:name="OLE_LINK2"/>
      <w:r>
        <w:rPr>
          <w:rFonts w:hint="eastAsia" w:ascii="宋体" w:hAnsi="宋体" w:cs="宋体"/>
          <w:b/>
          <w:bCs/>
          <w:sz w:val="28"/>
          <w:szCs w:val="28"/>
        </w:rPr>
        <w:t xml:space="preserve">采购包1：台式计算机</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2. </w:t>
      </w:r>
      <w:bookmarkStart w:id="211" w:name="OLE_LINK33"/>
      <w:r>
        <w:rPr>
          <w:rFonts w:hint="eastAsia" w:ascii="宋体" w:hAnsi="宋体"/>
          <w:b/>
          <w:bCs/>
          <w:color w:val="000000"/>
          <w:sz w:val="24"/>
          <w:szCs w:val="24"/>
        </w:rPr>
        <w:t xml:space="preserve">设备性能</w:t>
      </w:r>
      <w:bookmarkEnd w:id="211"/>
      <w:r>
        <w:rPr>
          <w:rFonts w:hint="eastAsia" w:ascii="宋体" w:hAnsi="宋体"/>
          <w:b/>
          <w:bCs/>
          <w:color w:val="000000"/>
          <w:sz w:val="24"/>
          <w:szCs w:val="24"/>
        </w:rPr>
        <w:t xml:space="preserve">（24分）：</w:t>
      </w:r>
      <w:bookmarkEnd w:id="210"/>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第一部分采购需求中有带“</w:t>
      </w:r>
      <w:r>
        <w:rPr>
          <w:rFonts w:hint="eastAsia" w:ascii="宋体" w:hAnsi="宋体" w:cs="宋体"/>
          <w:sz w:val="24"/>
          <w:szCs w:val="24"/>
        </w:rPr>
        <w:t xml:space="preserve">★</w:t>
      </w:r>
      <w:r>
        <w:rPr>
          <w:rFonts w:hint="eastAsia" w:asciiTheme="minorEastAsia" w:hAnsiTheme="minorEastAsia" w:eastAsiaTheme="minorEastAsia" w:cstheme="minorEastAsia"/>
          <w:bCs/>
          <w:color w:val="000000"/>
          <w:sz w:val="24"/>
          <w:szCs w:val="24"/>
        </w:rPr>
        <w:t xml:space="preserve">”标志负偏离的每项扣</w:t>
      </w:r>
      <w:r>
        <w:rPr>
          <w:rFonts w:hint="eastAsia" w:asciiTheme="minorEastAsia" w:hAnsi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rPr>
        <w:t xml:space="preserve">分</w:t>
      </w:r>
      <w:r>
        <w:rPr>
          <w:rFonts w:hint="eastAsia" w:asciiTheme="minorEastAsia" w:hAnsiTheme="minorEastAsia" w:eastAsiaTheme="minorEastAsia" w:cstheme="minorEastAsia"/>
          <w:color w:val="000000"/>
          <w:sz w:val="24"/>
          <w:szCs w:val="24"/>
        </w:rPr>
        <w:t xml:space="preserve">（共2项）</w:t>
      </w:r>
      <w:r>
        <w:rPr>
          <w:rFonts w:hint="eastAsia" w:asciiTheme="minorEastAsia" w:hAnsiTheme="minorEastAsia" w:eastAsiaTheme="minorEastAsia" w:cstheme="minorEastAsia"/>
          <w:bCs/>
          <w:color w:val="000000"/>
          <w:sz w:val="24"/>
          <w:szCs w:val="24"/>
        </w:rPr>
        <w:t xml:space="preserve">，其他标注“▲”项的指标每有一项负偏离扣2分（</w:t>
      </w:r>
      <w:r>
        <w:rPr>
          <w:rFonts w:hint="eastAsia" w:asciiTheme="minorEastAsia" w:hAnsiTheme="minorEastAsia" w:eastAsiaTheme="minorEastAsia" w:cstheme="minorEastAsia"/>
          <w:color w:val="000000"/>
          <w:sz w:val="24"/>
          <w:szCs w:val="24"/>
        </w:rPr>
        <w:t xml:space="preserve">共8</w:t>
      </w:r>
      <w:r>
        <w:rPr>
          <w:rFonts w:hint="eastAsia" w:asciiTheme="minorEastAsia" w:hAnsiTheme="minorEastAsia" w:eastAsiaTheme="minorEastAsia" w:cstheme="minorEastAsia"/>
          <w:bCs/>
          <w:color w:val="000000"/>
          <w:sz w:val="24"/>
          <w:szCs w:val="24"/>
        </w:rPr>
        <w:t xml:space="preserve">项）。（投标人需按照本采购文件具体功能技术要求等，在“技术参数响应及偏离表”中如实详细填列所投产品的参数，并按采购文件要求“</w:t>
      </w:r>
      <w:r>
        <w:rPr>
          <w:rFonts w:hint="eastAsia" w:ascii="宋体" w:hAnsi="宋体" w:cs="宋体"/>
          <w:sz w:val="24"/>
          <w:szCs w:val="24"/>
        </w:rPr>
        <w:t xml:space="preserve">★</w:t>
      </w:r>
      <w:r>
        <w:rPr>
          <w:rFonts w:hint="eastAsia" w:asciiTheme="minorEastAsia" w:hAnsiTheme="minorEastAsia" w:eastAsiaTheme="minorEastAsia" w:cstheme="minorEastAsia"/>
          <w:bCs/>
          <w:color w:val="000000"/>
          <w:sz w:val="24"/>
          <w:szCs w:val="24"/>
        </w:rPr>
        <w:t xml:space="preserve">”和“▲”项提供产品彩页或功能截图等证明材料并在偏离表中标明所在页码）</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3、投标人综合评价（12分）：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（1）企业业绩（3分）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供应商近三年（自开标之日起往前倒推，以合同签订日期为准）起至今承担过同类业务的，每个得1分，最高得3分（投标文件中提供合同、验收合格证明资料的原件扫描件并加盖公章或签电子公章，不提供或提供不符合要求的均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（2）投标人综合评价（4分）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供应商提供的主机所预装的具有备份及还原功能的云部署和教室管理软件应具有软件著作权证书的，得1分（须提供软件著作权证书扫描件并加盖投标人公章）；供应商承诺所供主机预装软件由主机厂商统一提供售后技术支撑，并明确写进原厂售后服务标准中，提供说明材料的得1分（投标文件中提供供应商承诺函）最高得2分（须提供软件著作权证书扫描件并加盖投标人公章）</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投标供应商针对本项目所配备的售后工程师具备其所投产品的计算机厂商颁发的技术工程师资质认证证书，每提供一名得1分， 最高得2分。（须出具投标人为其缴纳的近六个月中任意一个月的社保证明并加盖投标人公章、中标供应商在合同签订前需提供官方APP或官网的证书查询界面截图并加改公章）</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注：提供以上证明材料扫描件并加盖投标人公章或签电子公章上传至投标文件中，不提供不得分。</w:t>
      </w:r>
      <w:r/>
    </w:p>
    <w:p>
      <w:pPr>
        <w:ind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质保服务（5分）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本地化服务：投标人提供本地化服务承诺函，投标人不在本地的，承诺中标后将在本地设立常驻售后服务机构或派驻本地服务人员（以投标人自拟的《项目人员配置清单》为准），得1分，否则不得分。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投标人承诺质保期内提供原厂快速维修响应服务, 报修后2小时内响应，一个日历天内完成修复，若没有完成修复，则为客户提供备用机的得1分；如能免费赠送与延迟日数相等的月度延保服务的得2分。（须提供加盖投标人公章的服务承诺函扫描件。未提供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投标人承诺质保期内，本次项目交付的所有计算机，如果硬盘出现故障，均享有提供1次原厂数据恢复服务，若未恢复则不计次数的得1分。（须提供加盖投标人公章的服务承诺函扫描件。未提供不得分。）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注：提供以上证明材料扫描件并加盖投标人公章或签电子公章上传至投标文件中，不提供不得分。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4、技术方案（32分）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（1）团队及进度控制方案（4分）</w:t>
      </w:r>
      <w:bookmarkStart w:id="212" w:name="OLE_LINK44"/>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bookmarkEnd w:id="212"/>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（2）产品安装、调试、运行及技术支撑（4分）</w:t>
      </w:r>
      <w:bookmarkStart w:id="213" w:name="OLE_LINK45"/>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bookmarkEnd w:id="213"/>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（3）现场管理质量保证措施（4分）：</w:t>
      </w:r>
      <w:bookmarkStart w:id="214" w:name="OLE_LINK46"/>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bookmarkEnd w:id="214"/>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（4）履约及验收方案（4分）：</w:t>
      </w:r>
      <w:bookmarkStart w:id="215" w:name="OLE_LINK53"/>
      <w:r/>
      <w:bookmarkEnd w:id="215"/>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w:t>
      </w:r>
      <w:r>
        <w:rPr>
          <w:rFonts w:hint="eastAsia" w:asciiTheme="minorEastAsia" w:hAnsiTheme="minorEastAsia" w:eastAsiaTheme="minorEastAsia" w:cstheme="minorEastAsia"/>
          <w:bCs/>
          <w:color w:val="000000"/>
          <w:sz w:val="24"/>
          <w:szCs w:val="24"/>
        </w:rPr>
        <w:t xml:space="preserve">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（5）安全文明作业及环境保护措施（4分）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（6）售后跟踪方案及服务响应时限（4分）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（7）售后技术服务及服务体系（4分）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（8）培训方案（4）</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5、</w:t>
      </w:r>
      <w:bookmarkStart w:id="216" w:name="OLE_LINK54"/>
      <w:r>
        <w:rPr>
          <w:rFonts w:hint="eastAsia" w:ascii="宋体" w:hAnsi="宋体"/>
          <w:b/>
          <w:bCs/>
          <w:color w:val="000000"/>
          <w:sz w:val="24"/>
          <w:szCs w:val="24"/>
        </w:rPr>
        <w:t xml:space="preserve">节能环保（2分）</w:t>
      </w:r>
      <w:bookmarkEnd w:id="216"/>
      <w:r>
        <w:rPr>
          <w:rFonts w:hint="eastAsia" w:ascii="宋体" w:hAnsi="宋体"/>
          <w:b/>
          <w:bCs/>
          <w:color w:val="000000"/>
          <w:sz w:val="24"/>
          <w:szCs w:val="24"/>
        </w:rPr>
        <w:t xml:space="preserve">：</w:t>
      </w:r>
      <w:r/>
    </w:p>
    <w:p>
      <w:pPr>
        <w:ind w:firstLine="482"/>
        <w:spacing w:line="360" w:lineRule="auto"/>
        <w:rPr>
          <w:rFonts w:hint="eastAsia" w:asciiTheme="minorEastAsia" w:hAnsiTheme="minorEastAsia" w:eastAsiaTheme="minorEastAsia" w:cstheme="minorEastAsia"/>
          <w:bCs/>
          <w:color w:val="000000"/>
          <w:sz w:val="24"/>
          <w:szCs w:val="24"/>
        </w:rPr>
      </w:pPr>
      <w:r/>
      <w:bookmarkStart w:id="217" w:name="OLE_LINK55"/>
      <w:r>
        <w:rPr>
          <w:rFonts w:hint="eastAsia" w:asciiTheme="minorEastAsia" w:hAnsiTheme="minorEastAsia" w:eastAsiaTheme="minorEastAsia" w:cstheme="minorEastAsia"/>
          <w:bCs/>
          <w:color w:val="000000"/>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投标产品属于财政部、生态环境部公布的“环境标志产品品目清单”范围内的，投标人提供国家确定的认证机构出具的、处于有效期内的该投标产品环境标志产品认证证书复印件的，有1个得1分，最多得2分。</w:t>
      </w:r>
      <w:bookmarkEnd w:id="217"/>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281"/>
        <w:rPr>
          <w:rFonts w:hint="eastAsia" w:ascii="宋体" w:hAnsi="宋体" w:cs="宋体"/>
          <w:b/>
          <w:bCs/>
          <w:sz w:val="28"/>
          <w:szCs w:val="28"/>
        </w:rPr>
      </w:pPr>
      <w:r>
        <w:rPr>
          <w:rFonts w:hint="eastAsia" w:ascii="宋体" w:hAnsi="宋体" w:cs="宋体"/>
          <w:b/>
          <w:bCs/>
          <w:sz w:val="28"/>
          <w:szCs w:val="28"/>
        </w:rPr>
        <w:t xml:space="preserve">采购包2：图形工作站</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2. 设备性能（24分）：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第一部分采购需求中有带“</w:t>
      </w:r>
      <w:r>
        <w:rPr>
          <w:rFonts w:hint="eastAsia" w:ascii="宋体" w:hAnsi="宋体" w:cs="宋体"/>
          <w:sz w:val="24"/>
          <w:szCs w:val="24"/>
        </w:rPr>
        <w:t xml:space="preserve">★</w:t>
      </w:r>
      <w:r>
        <w:rPr>
          <w:rFonts w:hint="eastAsia" w:asciiTheme="minorEastAsia" w:hAnsiTheme="minorEastAsia" w:eastAsiaTheme="minorEastAsia" w:cstheme="minorEastAsia"/>
          <w:bCs/>
          <w:color w:val="000000"/>
          <w:sz w:val="24"/>
          <w:szCs w:val="24"/>
        </w:rPr>
        <w:t xml:space="preserve">”标志负偏离的每项扣</w:t>
      </w:r>
      <w:r>
        <w:rPr>
          <w:rFonts w:hint="eastAsia" w:asciiTheme="minorEastAsia" w:hAnsi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rPr>
        <w:t xml:space="preserve">分</w:t>
      </w:r>
      <w:r>
        <w:rPr>
          <w:rFonts w:hint="eastAsia" w:asciiTheme="minorEastAsia" w:hAnsiTheme="minorEastAsia" w:eastAsiaTheme="minorEastAsia" w:cstheme="minorEastAsia"/>
          <w:color w:val="000000"/>
          <w:sz w:val="24"/>
          <w:szCs w:val="24"/>
        </w:rPr>
        <w:t xml:space="preserve">（共2项）</w:t>
      </w:r>
      <w:r>
        <w:rPr>
          <w:rFonts w:hint="eastAsia" w:asciiTheme="minorEastAsia" w:hAnsiTheme="minorEastAsia" w:eastAsiaTheme="minorEastAsia" w:cstheme="minorEastAsia"/>
          <w:bCs/>
          <w:color w:val="000000"/>
          <w:sz w:val="24"/>
          <w:szCs w:val="24"/>
        </w:rPr>
        <w:t xml:space="preserve">，其他标注“▲”项的指标每有一项负偏离扣2分（</w:t>
      </w:r>
      <w:r>
        <w:rPr>
          <w:rFonts w:hint="eastAsia" w:asciiTheme="minorEastAsia" w:hAnsiTheme="minorEastAsia" w:eastAsiaTheme="minorEastAsia" w:cstheme="minorEastAsia"/>
          <w:color w:val="000000"/>
          <w:sz w:val="24"/>
          <w:szCs w:val="24"/>
        </w:rPr>
        <w:t xml:space="preserve">共8</w:t>
      </w:r>
      <w:r>
        <w:rPr>
          <w:rFonts w:hint="eastAsia" w:asciiTheme="minorEastAsia" w:hAnsiTheme="minorEastAsia" w:eastAsiaTheme="minorEastAsia" w:cstheme="minorEastAsia"/>
          <w:bCs/>
          <w:color w:val="000000"/>
          <w:sz w:val="24"/>
          <w:szCs w:val="24"/>
        </w:rPr>
        <w:t xml:space="preserve">项）。（投标人需按照本采购文件具体功能技术要求等，在“技术参数响应及偏离表”中如实详细填列所投产品的参数，并按采购文件要求“</w:t>
      </w:r>
      <w:r>
        <w:rPr>
          <w:rFonts w:hint="eastAsia" w:ascii="宋体" w:hAnsi="宋体" w:cs="宋体"/>
          <w:sz w:val="24"/>
          <w:szCs w:val="24"/>
        </w:rPr>
        <w:t xml:space="preserve">★</w:t>
      </w:r>
      <w:r>
        <w:rPr>
          <w:rFonts w:hint="eastAsia" w:asciiTheme="minorEastAsia" w:hAnsiTheme="minorEastAsia" w:eastAsiaTheme="minorEastAsia" w:cstheme="minorEastAsia"/>
          <w:bCs/>
          <w:color w:val="000000"/>
          <w:sz w:val="24"/>
          <w:szCs w:val="24"/>
        </w:rPr>
        <w:t xml:space="preserve">”和“▲”项提供产品彩页或功能截图等证明材料并在偏离表中标明所在页码）</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3、投标人综合评价（12分）：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（1）企业业绩（3分）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供应商近三年（自开标之日起往前倒推，以合同签订日期为准）起至今承担过同类业务的，每个得1分，最高得3分（投标文件中提供合同、验收合格证明资料的原件扫描件并加盖公章或签电子公章，不提供或提供不符合要求的均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（2）投标人综合评价（4分）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供应商提供的主机所预装的具有备份及还原功能的云部署和教室管理软件应具有软件著作权证书的，得1分（须提供软件著作权证书扫描件并加盖投标人公章）；供应商承诺所供主机预装软件由主机厂商统一提供售后技术支撑，并明确写进原厂售后服务标准中，提供说明材料的得1分（投标文件中提供供应商承诺函）；最高得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 投标供应商承诺在项目实施过程中由所投品牌的原厂工程师现场安装调试并培训，直至本项目验收完毕，每提供一名得1分， 最高得2分。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注：提供以上证明材料扫描件并加盖投标人公章或签电子公章上传至投标文件中，不提供不得分。</w:t>
      </w:r>
      <w:r/>
    </w:p>
    <w:p>
      <w:pPr>
        <w:ind w:firstLine="48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质保服务（5分）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 本地化服务：投标人提供本地化服务承诺函，投标人不在本地的，承诺中标后将在本地设立常驻售后服务机构或派驻本地服务人员（以投标人自拟的《项目人员配置清单》为准），得1分，否则不得分。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投标人承诺质保期内提供原厂快速维修响应服务, 报修后2小时内响应，一个日历天内完成修复，若没有完成修复，则为客户提供备用机的得1分；如能免费赠送与延迟日数相等的月度延保服务的得2分。（须提供加盖投标人公章的服务承诺函扫描件。未提供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投标人承诺质保期内，本次项目交付的所有计算机，如果硬盘出现故障，均享有提供1次原厂数据恢复服务，若未恢复则不计次数的得1分。（须提供加盖投标人公章的服务承诺函扫描件。未提供不得分。）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注：提供以上证明材料扫描件并加盖投标人公章或签电子公章上传至投标文件中，不提供不得分。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4、技术方案（32分）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（1）团队及进度控制方案（4分）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（2）产品安装、调试、运行及技术支撑（4分）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（3）现场管理质量保证措施（4分）：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（4）履约及验收方案（4分）：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（5）安全文明作业及环境保护措施（4分）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（6）售后跟踪方案及服务响应时限（4分）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    （7）售后技术服务及服务体系（4分）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投标人须依据招标文件要求及项目实际需求，编制完整详实、科学可行的售后及质保服务专项方案，据此进行综合评审。优于采购需求的得4分，符合采购需求的得2分，不符合采购需求的不得分。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（8）培训方案（4）</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投标人须依据招标文件要求及项目实际需求，编制完整详实、科学可行的</w:t>
      </w:r>
      <w:r>
        <w:rPr>
          <w:rFonts w:hint="eastAsia" w:asciiTheme="minorEastAsia" w:hAnsiTheme="minorEastAsia" w:eastAsiaTheme="minorEastAsia" w:cstheme="minorEastAsia"/>
          <w:bCs/>
          <w:color w:val="000000"/>
          <w:sz w:val="24"/>
          <w:szCs w:val="24"/>
        </w:rPr>
        <w:t xml:space="preserve">售后及质保服务专项方案，据此进行综合评审。优于采购需求的得4分，符合采购需求的得2分，不符合采购需求的不得分。</w:t>
      </w:r>
      <w:r/>
    </w:p>
    <w:p>
      <w:pPr>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5、节能环保（2分）：</w:t>
      </w:r>
      <w:r/>
    </w:p>
    <w:p>
      <w:pPr>
        <w:ind w:firstLine="482"/>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投标产品属于财政部、生态环境部公布的“环境标志产品品目清单”范围内的，投标人提供国家确定的认证机构出具的、处于有效期内的该投标产品环境标志产品认证证书复印件的，有1个得1分，最多得2分。</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left"/>
        <w:widowControl/>
        <w:rPr>
          <w:rFonts w:ascii="黑体" w:eastAsia="黑体"/>
          <w:bCs/>
          <w:color w:val="000000"/>
          <w:sz w:val="44"/>
          <w:szCs w:val="28"/>
        </w:rPr>
      </w:pPr>
      <w:r/>
      <w:bookmarkStart w:id="218" w:name="_Toc228282821"/>
      <w:r>
        <w:rPr>
          <w:rFonts w:ascii="黑体" w:eastAsia="黑体"/>
          <w:bCs/>
          <w:color w:val="000000"/>
          <w:sz w:val="44"/>
          <w:szCs w:val="28"/>
        </w:rPr>
        <w:br w:type="page" w:clear="all"/>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204"/>
      <w:r/>
      <w:bookmarkEnd w:id="205"/>
      <w:r/>
      <w:bookmarkEnd w:id="207"/>
      <w:r>
        <w:rPr>
          <w:rFonts w:hint="eastAsia" w:ascii="黑体" w:eastAsia="黑体"/>
          <w:bCs/>
          <w:color w:val="000000"/>
          <w:sz w:val="44"/>
          <w:szCs w:val="28"/>
        </w:rPr>
        <w:t xml:space="preserve">文件格式</w:t>
      </w:r>
      <w:bookmarkEnd w:id="218"/>
      <w:r>
        <w:rPr>
          <w:rFonts w:hint="eastAsia" w:ascii="黑体" w:eastAsia="黑体"/>
          <w:bCs/>
          <w:color w:val="000000"/>
          <w:sz w:val="44"/>
          <w:szCs w:val="28"/>
        </w:rPr>
        <w:t xml:space="preserve"> </w:t>
      </w:r>
      <w:r/>
    </w:p>
    <w:p>
      <w:pPr>
        <w:jc w:val="center"/>
        <w:rPr>
          <w:rFonts w:hint="eastAsia" w:ascii="宋体" w:hAnsi="宋体"/>
          <w:b/>
          <w:color w:val="000000"/>
          <w:sz w:val="72"/>
          <w:szCs w:val="21"/>
        </w:rPr>
      </w:pPr>
      <w:r/>
      <w:bookmarkStart w:id="219" w:name="_Hlt26955039"/>
      <w:r/>
      <w:bookmarkStart w:id="220" w:name="_Hlt26671244"/>
      <w:r/>
      <w:bookmarkStart w:id="221" w:name="_Toc120614282"/>
      <w:r/>
      <w:bookmarkStart w:id="222" w:name="_Toc26554094"/>
      <w:r/>
      <w:bookmarkStart w:id="223" w:name="_Toc49090576"/>
      <w:r/>
      <w:bookmarkEnd w:id="219"/>
      <w:r/>
      <w:bookmarkEnd w:id="220"/>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w:t>
      </w:r>
      <w:r>
        <w:rPr>
          <w:rFonts w:hint="eastAsia" w:ascii="宋体" w:hAnsi="宋体"/>
          <w:sz w:val="24"/>
          <w:szCs w:val="24"/>
        </w:rPr>
        <w:t xml:space="preserve">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方正魏碑_GBK" w:hAnsi="方正魏碑_GBK" w:eastAsia="方正魏碑_GBK" w:cs="方正魏碑_GBK"/>
          <w:sz w:val="24"/>
          <w:szCs w:val="21"/>
        </w:rPr>
      </w:pPr>
      <w:r>
        <w:rPr>
          <w:rFonts w:hint="eastAsia" w:ascii="宋体" w:hAnsi="宋体"/>
          <w:sz w:val="24"/>
          <w:szCs w:val="21"/>
        </w:rPr>
        <w:t xml:space="preserve">3. </w:t>
      </w:r>
      <w:r>
        <w:rPr>
          <w:rFonts w:hint="eastAsia" w:ascii="方正魏碑_GBK" w:hAnsi="方正魏碑_GBK" w:eastAsia="方正魏碑_GBK" w:cs="方正魏碑_GBK"/>
          <w:sz w:val="24"/>
          <w:szCs w:val="21"/>
        </w:rPr>
        <w:t xml:space="preserve">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hint="eastAsia" w:ascii="宋体" w:hAnsi="宋体"/>
          <w:b/>
          <w:sz w:val="24"/>
          <w:szCs w:val="21"/>
        </w:rPr>
      </w:pPr>
      <w:r>
        <w:rPr>
          <w:rFonts w:hint="eastAsia"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49"/>
        </w:trPr>
        <w:tc>
          <w:tcPr>
            <w:gridSpan w:val="10"/>
            <w:tcW w:w="9263" w:type="dxa"/>
            <w:textDirection w:val="lrTb"/>
            <w:noWrap w:val="false"/>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宋体" w:hAnsi="宋体"/>
          <w:sz w:val="24"/>
          <w:szCs w:val="21"/>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宋体" w:hAnsi="宋体"/>
          <w:sz w:val="24"/>
          <w:szCs w:val="21"/>
        </w:rPr>
        <w:t xml:space="preserve">4</w:t>
      </w:r>
      <w:r>
        <w:rPr>
          <w:rFonts w:hint="eastAsia" w:ascii="方正黑体_GBK" w:hAnsi="宋体" w:eastAsia="方正黑体_GBK"/>
          <w:b/>
          <w:sz w:val="32"/>
          <w:szCs w:val="32"/>
        </w:rPr>
        <w:t xml:space="preserve">.投标人需认真填写本报价表，尤其注意规格型号的准确填写。</w:t>
      </w:r>
      <w:r/>
    </w:p>
    <w:p>
      <w:pPr>
        <w:jc w:val="left"/>
        <w:widowControl/>
        <w:rPr>
          <w:rFonts w:hint="eastAsia" w:ascii="宋体" w:hAnsi="宋体"/>
          <w:sz w:val="24"/>
          <w:szCs w:val="21"/>
        </w:rPr>
      </w:pPr>
      <w:r>
        <w:rPr>
          <w:rFonts w:hint="eastAsia" w:ascii="宋体" w:hAnsi="宋体"/>
          <w:sz w:val="24"/>
          <w:szCs w:val="21"/>
        </w:rPr>
        <w:br w:type="page" w:clear="all"/>
      </w:r>
      <w:r/>
    </w:p>
    <w:p>
      <w:pPr>
        <w:jc w:val="left"/>
        <w:widowControl/>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olor w:val="000000"/>
          <w:sz w:val="24"/>
          <w:szCs w:val="24"/>
        </w:rPr>
      </w:pPr>
      <w:r>
        <w:rPr>
          <w:rFonts w:hint="eastAsia" w:ascii="方正魏碑_GBK" w:hAnsi="方正魏碑_GBK" w:eastAsia="方正魏碑_GBK" w:cs="方正魏碑_GBK"/>
          <w:color w:val="000000"/>
          <w:sz w:val="30"/>
          <w:szCs w:val="30"/>
        </w:rPr>
        <w:t xml:space="preserve">1.投标人需对招标文件技术要求中非实质性要求（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或未加*号条款</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方正魏碑_GBK" w:hAnsi="方正魏碑_GBK" w:eastAsia="方正魏碑_GBK" w:cs="方正魏碑_GBK"/>
          <w:color w:val="000000"/>
          <w:sz w:val="30"/>
          <w:szCs w:val="30"/>
        </w:rPr>
        <w:t xml:space="preserve">1.投标人需对招标文件商务要求中非实质性要求（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或未加*号条款</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jc w:val="left"/>
        <w:widowControl/>
        <w:rPr>
          <w:rFonts w:hint="eastAsia" w:ascii="宋体" w:hAnsi="宋体"/>
          <w:b/>
          <w:color w:val="000000"/>
          <w:sz w:val="24"/>
          <w:szCs w:val="21"/>
        </w:rPr>
      </w:pPr>
      <w:r>
        <w:rPr>
          <w:rFonts w:hint="eastAsia" w:ascii="宋体" w:hAnsi="宋体"/>
          <w:b/>
          <w:color w:val="000000"/>
          <w:sz w:val="24"/>
          <w:szCs w:val="21"/>
        </w:rPr>
        <w:br w:type="page" w:clear="all"/>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24" w:name="_Toc120614284"/>
      <w:r/>
      <w:bookmarkEnd w:id="221"/>
      <w:r/>
      <w:bookmarkEnd w:id="222"/>
      <w:r/>
      <w:bookmarkEnd w:id="223"/>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225" w:name="_Hlt26955070"/>
      <w:r/>
      <w:bookmarkStart w:id="226" w:name="_Hlt26671380"/>
      <w:r/>
      <w:bookmarkStart w:id="227" w:name="_格式3__银行出具的资信证明"/>
      <w:r/>
      <w:bookmarkEnd w:id="225"/>
      <w:r/>
      <w:bookmarkEnd w:id="226"/>
      <w:r/>
      <w:bookmarkEnd w:id="227"/>
      <w:r>
        <w:rPr>
          <w:rFonts w:hint="eastAsia"/>
          <w:color w:val="000000"/>
          <w:sz w:val="24"/>
          <w:szCs w:val="24"/>
          <w:u w:val="single"/>
        </w:rPr>
        <w:t xml:space="preserve">                                         </w:t>
      </w:r>
      <w:r/>
    </w:p>
    <w:p>
      <w:pPr>
        <w:ind w:firstLine="360"/>
        <w:spacing w:line="400" w:lineRule="exact"/>
        <w:rPr>
          <w:color w:val="000000"/>
          <w:sz w:val="24"/>
          <w:szCs w:val="24"/>
        </w:rPr>
      </w:pPr>
      <w:r>
        <w:rPr>
          <w:color w:val="000000"/>
          <w:sz w:val="24"/>
          <w:szCs w:val="24"/>
        </w:rPr>
      </w:r>
      <w:r/>
    </w:p>
    <w:p>
      <w:pPr>
        <w:ind w:firstLine="480"/>
        <w:spacing w:line="400" w:lineRule="exact"/>
        <w:rPr>
          <w:color w:val="000000"/>
          <w:sz w:val="24"/>
          <w:szCs w:val="24"/>
        </w:rPr>
      </w:pPr>
      <w:r>
        <w:rPr>
          <w:color w:val="000000"/>
          <w:sz w:val="24"/>
          <w:szCs w:val="24"/>
        </w:rPr>
      </w:r>
      <w:r/>
    </w:p>
    <w:p>
      <w:pPr>
        <w:ind w:left="480"/>
        <w:rPr>
          <w:rFonts w:hint="eastAsia"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spacing w:line="560" w:lineRule="exact"/>
        <w:rPr>
          <w:rFonts w:hint="eastAsia" w:ascii="宋体" w:hAnsi="宋体"/>
          <w:b/>
          <w:color w:val="ff0000"/>
          <w:sz w:val="24"/>
          <w:szCs w:val="21"/>
        </w:rPr>
      </w:pPr>
      <w:r>
        <w:rPr>
          <w:rFonts w:hint="eastAsia" w:ascii="宋体" w:hAnsi="宋体"/>
          <w:b/>
          <w:color w:val="ff0000"/>
          <w:sz w:val="24"/>
          <w:szCs w:val="21"/>
        </w:rPr>
      </w:r>
      <w:r/>
    </w:p>
    <w:p>
      <w:pPr>
        <w:jc w:val="left"/>
        <w:widowControl/>
        <w:rPr>
          <w:rFonts w:hint="eastAsia" w:ascii="宋体" w:hAnsi="宋体"/>
          <w:b/>
          <w:sz w:val="24"/>
          <w:szCs w:val="21"/>
        </w:rPr>
      </w:pPr>
      <w:r>
        <w:rPr>
          <w:rFonts w:hint="eastAsia" w:ascii="宋体" w:hAnsi="宋体"/>
          <w:b/>
          <w:sz w:val="24"/>
          <w:szCs w:val="21"/>
        </w:rPr>
        <w:br w:type="page" w:clear="all"/>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40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sz w:val="24"/>
          <w:szCs w:val="24"/>
        </w:rPr>
      </w:pPr>
      <w:r>
        <w:rPr>
          <w:rFonts w:hint="eastAsia" w:ascii="宋体" w:hAnsi="宋体"/>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87"/>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792"/>
          <w:rFonts w:hint="eastAsia" w:ascii="方正魏碑_GBK" w:hAnsi="方正魏碑_GBK" w:eastAsia="方正魏碑_GBK" w:cs="方正魏碑_GBK"/>
          <w:i w:val="0"/>
          <w:u w:val="single"/>
          <w:shd w:val="clear" w:color="auto" w:fill="ffffff"/>
        </w:rPr>
        <w:t xml:space="preserve">（产品名称1）</w:t>
      </w:r>
      <w:r>
        <w:rPr>
          <w:rStyle w:val="79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92"/>
          <w:rFonts w:hint="eastAsia" w:ascii="方正魏碑_GBK" w:hAnsi="方正魏碑_GBK" w:eastAsia="方正魏碑_GBK" w:cs="方正魏碑_GBK"/>
          <w:i w:val="0"/>
          <w:u w:val="single"/>
          <w:shd w:val="clear" w:color="auto" w:fill="ffffff"/>
        </w:rPr>
        <w:t xml:space="preserve">（厂名）</w:t>
      </w:r>
      <w:r>
        <w:rPr>
          <w:rStyle w:val="79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9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Style w:val="79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Style w:val="79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Style w:val="79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8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79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92"/>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9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在中国境内完成。</w:t>
      </w:r>
      <w:r/>
    </w:p>
    <w:p>
      <w:pPr>
        <w:pStyle w:val="78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87"/>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87"/>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87"/>
        <w:jc w:val="right"/>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公司（单位）名称（加盖CA电子公章）：　        </w:t>
      </w:r>
      <w:r/>
    </w:p>
    <w:p>
      <w:pPr>
        <w:pStyle w:val="787"/>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p>
    <w:p>
      <w:pPr>
        <w:pStyle w:val="78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8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1.产品如有型号，请在“产品名称”栏一并填写。</w:t>
      </w:r>
      <w:r/>
    </w:p>
    <w:p>
      <w:pPr>
        <w:pStyle w:val="78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2.生产厂名与厂址应与生产厂营业执照载明的相关信息保持一致。</w:t>
      </w:r>
      <w:r/>
    </w:p>
    <w:p>
      <w:pPr>
        <w:pStyle w:val="78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3.该产品的中国境内生产的组件成本占比相关要求实施前，“规定比例”栏可不填，下同。</w:t>
      </w:r>
      <w:r/>
    </w:p>
    <w:p>
      <w:pPr>
        <w:pStyle w:val="787"/>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4.该产品的关键组件要求实施前，“关键组件”栏可不填，下同。</w:t>
      </w:r>
      <w:r/>
    </w:p>
    <w:p>
      <w:pPr>
        <w:pStyle w:val="787"/>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5.该产品的关键工序要求实施前，“关键工序”栏可不填，下同。</w:t>
      </w:r>
      <w:r/>
    </w:p>
    <w:p>
      <w:pPr>
        <w:pStyle w:val="787"/>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6.《声明函》中标注“</w:t>
      </w:r>
      <w:r>
        <w:rPr>
          <w:rFonts w:hint="eastAsia" w:ascii="方正魏碑_GBK" w:hAnsi="方正魏碑_GBK" w:eastAsia="方正魏碑_GBK" w:cs="方正魏碑_GBK"/>
          <w:u w:val="single"/>
          <w:shd w:val="clear" w:color="auto" w:fill="ffffff"/>
        </w:rPr>
        <w:t xml:space="preserve">  </w:t>
      </w:r>
      <w:r>
        <w:rPr>
          <w:rStyle w:val="79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98"/>
      <w:r/>
      <w:bookmarkEnd w:id="199"/>
      <w:r/>
      <w:bookmarkEnd w:id="224"/>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left"/>
        <w:widowControl/>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大标宋简体">
    <w:panose1 w:val="020B0503020202020204"/>
  </w:font>
  <w:font w:name="汉仪书宋二S">
    <w:panose1 w:val="020B0503020202020204"/>
  </w:font>
  <w:font w:name="方正魏碑_GBK">
    <w:panose1 w:val="020B0503020202020204"/>
  </w:font>
  <w:font w:name="华文新魏">
    <w:panose1 w:val="02010800040101010101"/>
  </w:font>
  <w:font w:name="等线">
    <w:panose1 w:val="02010600030101010101"/>
  </w:font>
  <w:font w:name="仿宋">
    <w:panose1 w:val="02010609060101010101"/>
  </w:font>
  <w:font w:name="Symbol">
    <w:panose1 w:val="05050102010706020507"/>
  </w:font>
  <w:font w:name="Courier New">
    <w:panose1 w:val="02070309020205020404"/>
  </w:font>
  <w:font w:name="Calibri">
    <w:panose1 w:val="020F0502020204030204"/>
  </w:font>
  <w:font w:name="华文楷体">
    <w:panose1 w:val="02010600040101010101"/>
  </w:font>
  <w:font w:name="Wingdings">
    <w:panose1 w:val="05000000000000000000"/>
  </w:font>
  <w:font w:name="仿宋_GB2312">
    <w:panose1 w:val="02010609060101010101"/>
  </w:font>
  <w:font w:name="华文中宋">
    <w:panose1 w:val="02010600040101010101"/>
  </w:font>
  <w:font w:name="幼圆">
    <w:panose1 w:val="02010509060101010101"/>
  </w:font>
  <w:font w:name="黑体">
    <w:panose1 w:val="02010609060101010101"/>
  </w:font>
  <w:font w:name="ˎ̥">
    <w:panose1 w:val="020B0503020202020204"/>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instrText xml:space="preserve">PAGE   \* MERGEFORMAT</w:instrText>
    </w:r>
    <w:r>
      <w:fldChar w:fldCharType="separate"/>
    </w:r>
    <w:r>
      <w:rPr>
        <w:lang w:val="zh-CN"/>
      </w:rPr>
      <w:t xml:space="preserve">19</w:t>
    </w:r>
    <w:r>
      <w:fldChar w:fldCharType="end"/>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55"/>
        <w:rFonts w:hint="eastAsia"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22</w:t>
    </w:r>
    <w:r>
      <w:rPr>
        <w:rFonts w:ascii="宋体" w:hAnsi="宋体"/>
      </w:rPr>
      <w:fldChar w:fldCharType="end"/>
    </w:r>
    <w:r/>
  </w:p>
  <w:p>
    <w:pPr>
      <w:pStyle w:val="953"/>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0"/>
  </w:num>
  <w:num w:numId="4">
    <w:abstractNumId w:val="9"/>
  </w:num>
  <w:num w:numId="5">
    <w:abstractNumId w:val="6"/>
  </w:num>
  <w:num w:numId="6">
    <w:abstractNumId w:val="7"/>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767"/>
    <w:link w:val="758"/>
    <w:uiPriority w:val="9"/>
    <w:rPr>
      <w:rFonts w:ascii="Arial" w:hAnsi="Arial" w:eastAsia="Arial" w:cs="Arial"/>
      <w:sz w:val="40"/>
      <w:szCs w:val="40"/>
    </w:rPr>
  </w:style>
  <w:style w:type="character" w:styleId="721">
    <w:name w:val="Heading 2 Char"/>
    <w:basedOn w:val="767"/>
    <w:link w:val="759"/>
    <w:uiPriority w:val="9"/>
    <w:rPr>
      <w:rFonts w:ascii="Arial" w:hAnsi="Arial" w:eastAsia="Arial" w:cs="Arial"/>
      <w:sz w:val="34"/>
    </w:rPr>
  </w:style>
  <w:style w:type="character" w:styleId="722">
    <w:name w:val="Heading 3 Char"/>
    <w:basedOn w:val="767"/>
    <w:link w:val="760"/>
    <w:uiPriority w:val="9"/>
    <w:rPr>
      <w:rFonts w:ascii="Arial" w:hAnsi="Arial" w:eastAsia="Arial" w:cs="Arial"/>
      <w:sz w:val="30"/>
      <w:szCs w:val="30"/>
    </w:rPr>
  </w:style>
  <w:style w:type="character" w:styleId="723">
    <w:name w:val="Heading 4 Char"/>
    <w:basedOn w:val="767"/>
    <w:link w:val="761"/>
    <w:uiPriority w:val="9"/>
    <w:rPr>
      <w:rFonts w:ascii="Arial" w:hAnsi="Arial" w:eastAsia="Arial" w:cs="Arial"/>
      <w:b/>
      <w:bCs/>
      <w:sz w:val="26"/>
      <w:szCs w:val="26"/>
    </w:rPr>
  </w:style>
  <w:style w:type="character" w:styleId="724">
    <w:name w:val="Heading 5 Char"/>
    <w:basedOn w:val="767"/>
    <w:link w:val="762"/>
    <w:uiPriority w:val="9"/>
    <w:rPr>
      <w:rFonts w:ascii="Arial" w:hAnsi="Arial" w:eastAsia="Arial" w:cs="Arial"/>
      <w:b/>
      <w:bCs/>
      <w:sz w:val="24"/>
      <w:szCs w:val="24"/>
    </w:rPr>
  </w:style>
  <w:style w:type="character" w:styleId="725">
    <w:name w:val="Heading 6 Char"/>
    <w:basedOn w:val="767"/>
    <w:link w:val="763"/>
    <w:uiPriority w:val="9"/>
    <w:rPr>
      <w:rFonts w:ascii="Arial" w:hAnsi="Arial" w:eastAsia="Arial" w:cs="Arial"/>
      <w:b/>
      <w:bCs/>
      <w:sz w:val="22"/>
      <w:szCs w:val="22"/>
    </w:rPr>
  </w:style>
  <w:style w:type="character" w:styleId="726">
    <w:name w:val="Heading 7 Char"/>
    <w:basedOn w:val="767"/>
    <w:link w:val="764"/>
    <w:uiPriority w:val="9"/>
    <w:rPr>
      <w:rFonts w:ascii="Arial" w:hAnsi="Arial" w:eastAsia="Arial" w:cs="Arial"/>
      <w:b/>
      <w:bCs/>
      <w:i/>
      <w:iCs/>
      <w:sz w:val="22"/>
      <w:szCs w:val="22"/>
    </w:rPr>
  </w:style>
  <w:style w:type="character" w:styleId="727">
    <w:name w:val="Heading 8 Char"/>
    <w:basedOn w:val="767"/>
    <w:link w:val="765"/>
    <w:uiPriority w:val="9"/>
    <w:rPr>
      <w:rFonts w:ascii="Arial" w:hAnsi="Arial" w:eastAsia="Arial" w:cs="Arial"/>
      <w:i/>
      <w:iCs/>
      <w:sz w:val="22"/>
      <w:szCs w:val="22"/>
    </w:rPr>
  </w:style>
  <w:style w:type="character" w:styleId="728">
    <w:name w:val="Heading 9 Char"/>
    <w:basedOn w:val="767"/>
    <w:link w:val="766"/>
    <w:uiPriority w:val="9"/>
    <w:rPr>
      <w:rFonts w:ascii="Arial" w:hAnsi="Arial" w:eastAsia="Arial" w:cs="Arial"/>
      <w:i/>
      <w:iCs/>
      <w:sz w:val="21"/>
      <w:szCs w:val="21"/>
    </w:rPr>
  </w:style>
  <w:style w:type="character" w:styleId="729">
    <w:name w:val="Title Char"/>
    <w:basedOn w:val="767"/>
    <w:link w:val="788"/>
    <w:uiPriority w:val="10"/>
    <w:rPr>
      <w:sz w:val="48"/>
      <w:szCs w:val="48"/>
    </w:rPr>
  </w:style>
  <w:style w:type="character" w:styleId="730">
    <w:name w:val="Subtitle Char"/>
    <w:basedOn w:val="767"/>
    <w:link w:val="781"/>
    <w:uiPriority w:val="11"/>
    <w:rPr>
      <w:sz w:val="24"/>
      <w:szCs w:val="24"/>
    </w:rPr>
  </w:style>
  <w:style w:type="character" w:styleId="731">
    <w:name w:val="Quote Char"/>
    <w:link w:val="809"/>
    <w:uiPriority w:val="29"/>
    <w:rPr>
      <w:i/>
    </w:rPr>
  </w:style>
  <w:style w:type="character" w:styleId="732">
    <w:name w:val="Intense Quote Char"/>
    <w:link w:val="811"/>
    <w:uiPriority w:val="30"/>
    <w:rPr>
      <w:i/>
    </w:rPr>
  </w:style>
  <w:style w:type="character" w:styleId="733">
    <w:name w:val="Header Char"/>
    <w:basedOn w:val="767"/>
    <w:link w:val="778"/>
    <w:uiPriority w:val="99"/>
  </w:style>
  <w:style w:type="character" w:styleId="734">
    <w:name w:val="Caption Char"/>
    <w:basedOn w:val="771"/>
    <w:link w:val="777"/>
    <w:uiPriority w:val="99"/>
  </w:style>
  <w:style w:type="table" w:styleId="735">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4">
    <w:name w:val="Footnote Text Char"/>
    <w:link w:val="782"/>
    <w:uiPriority w:val="99"/>
    <w:rPr>
      <w:sz w:val="18"/>
    </w:rPr>
  </w:style>
  <w:style w:type="character" w:styleId="755">
    <w:name w:val="Endnote Text Char"/>
    <w:link w:val="776"/>
    <w:uiPriority w:val="99"/>
    <w:rPr>
      <w:sz w:val="20"/>
    </w:rPr>
  </w:style>
  <w:style w:type="paragraph" w:styleId="756">
    <w:name w:val="TOC Heading"/>
    <w:uiPriority w:val="39"/>
    <w:unhideWhenUsed/>
  </w:style>
  <w:style w:type="paragraph" w:styleId="757" w:default="1">
    <w:name w:val="Normal"/>
    <w:qFormat/>
    <w:pPr>
      <w:jc w:val="both"/>
      <w:widowControl w:val="off"/>
    </w:pPr>
    <w:rPr>
      <w:rFonts w:ascii="Times New Roman" w:hAnsi="Times New Roman" w:eastAsia="宋体" w:cs="Times New Roman"/>
      <w:sz w:val="21"/>
      <w:szCs w:val="22"/>
    </w:rPr>
  </w:style>
  <w:style w:type="paragraph" w:styleId="758">
    <w:name w:val="Heading 1"/>
    <w:basedOn w:val="757"/>
    <w:next w:val="757"/>
    <w:link w:val="796"/>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7"/>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8"/>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9"/>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0"/>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01"/>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02"/>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03"/>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04"/>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toc 7"/>
    <w:basedOn w:val="757"/>
    <w:next w:val="757"/>
    <w:uiPriority w:val="39"/>
    <w:unhideWhenUsed/>
    <w:pPr>
      <w:ind w:left="1701"/>
      <w:spacing w:after="57"/>
    </w:pPr>
  </w:style>
  <w:style w:type="paragraph" w:styleId="771">
    <w:name w:val="Caption"/>
    <w:basedOn w:val="757"/>
    <w:next w:val="757"/>
    <w:uiPriority w:val="35"/>
    <w:semiHidden/>
    <w:unhideWhenUsed/>
    <w:qFormat/>
    <w:pPr>
      <w:spacing w:line="276" w:lineRule="auto"/>
    </w:pPr>
    <w:rPr>
      <w:b/>
      <w:bCs/>
      <w:color w:val="4874cb" w:themeColor="accent1"/>
      <w:sz w:val="18"/>
      <w:szCs w:val="18"/>
    </w:rPr>
  </w:style>
  <w:style w:type="paragraph" w:styleId="772">
    <w:name w:val="annotation text"/>
    <w:basedOn w:val="757"/>
    <w:link w:val="957"/>
    <w:qFormat/>
    <w:pPr>
      <w:jc w:val="left"/>
    </w:pPr>
  </w:style>
  <w:style w:type="paragraph" w:styleId="773">
    <w:name w:val="toc 5"/>
    <w:basedOn w:val="757"/>
    <w:next w:val="757"/>
    <w:uiPriority w:val="39"/>
    <w:unhideWhenUsed/>
    <w:qFormat/>
    <w:pPr>
      <w:ind w:left="1134"/>
      <w:spacing w:after="57"/>
    </w:pPr>
  </w:style>
  <w:style w:type="paragraph" w:styleId="774">
    <w:name w:val="toc 3"/>
    <w:basedOn w:val="757"/>
    <w:next w:val="757"/>
    <w:uiPriority w:val="39"/>
    <w:qFormat/>
    <w:pPr>
      <w:ind w:left="420"/>
      <w:jc w:val="left"/>
    </w:pPr>
    <w:rPr>
      <w:i/>
      <w:iCs/>
      <w:szCs w:val="24"/>
    </w:rPr>
  </w:style>
  <w:style w:type="paragraph" w:styleId="775">
    <w:name w:val="toc 8"/>
    <w:basedOn w:val="757"/>
    <w:next w:val="757"/>
    <w:uiPriority w:val="39"/>
    <w:unhideWhenUsed/>
    <w:qFormat/>
    <w:pPr>
      <w:ind w:left="1984"/>
      <w:spacing w:after="57"/>
    </w:pPr>
  </w:style>
  <w:style w:type="paragraph" w:styleId="776">
    <w:name w:val="endnote text"/>
    <w:basedOn w:val="757"/>
    <w:link w:val="942"/>
    <w:uiPriority w:val="99"/>
    <w:semiHidden/>
    <w:unhideWhenUsed/>
    <w:qFormat/>
    <w:rPr>
      <w:sz w:val="20"/>
    </w:rPr>
  </w:style>
  <w:style w:type="paragraph" w:styleId="777">
    <w:name w:val="Footer"/>
    <w:basedOn w:val="757"/>
    <w:link w:val="815"/>
    <w:uiPriority w:val="99"/>
    <w:unhideWhenUsed/>
    <w:qFormat/>
    <w:pPr>
      <w:tabs>
        <w:tab w:val="center" w:pos="7143" w:leader="none"/>
        <w:tab w:val="right" w:pos="14287" w:leader="none"/>
      </w:tabs>
    </w:pPr>
  </w:style>
  <w:style w:type="paragraph" w:styleId="778">
    <w:name w:val="Header"/>
    <w:basedOn w:val="757"/>
    <w:link w:val="813"/>
    <w:uiPriority w:val="99"/>
    <w:unhideWhenUsed/>
    <w:qFormat/>
    <w:pPr>
      <w:tabs>
        <w:tab w:val="center" w:pos="7143" w:leader="none"/>
        <w:tab w:val="right" w:pos="14287" w:leader="none"/>
      </w:tabs>
    </w:pPr>
  </w:style>
  <w:style w:type="paragraph" w:styleId="779">
    <w:name w:val="toc 1"/>
    <w:basedOn w:val="757"/>
    <w:next w:val="757"/>
    <w:uiPriority w:val="39"/>
    <w:qFormat/>
    <w:pPr>
      <w:jc w:val="left"/>
      <w:spacing w:before="120" w:after="120" w:line="400" w:lineRule="exact"/>
      <w:tabs>
        <w:tab w:val="right" w:pos="8720" w:leader="dot"/>
      </w:tabs>
    </w:pPr>
    <w:rPr>
      <w:rFonts w:ascii="宋体" w:hAnsi="宋体"/>
      <w:caps/>
      <w:sz w:val="24"/>
      <w:szCs w:val="24"/>
    </w:rPr>
  </w:style>
  <w:style w:type="paragraph" w:styleId="780">
    <w:name w:val="toc 4"/>
    <w:basedOn w:val="757"/>
    <w:next w:val="757"/>
    <w:uiPriority w:val="39"/>
    <w:unhideWhenUsed/>
    <w:qFormat/>
    <w:pPr>
      <w:ind w:left="850"/>
      <w:spacing w:after="57"/>
    </w:pPr>
  </w:style>
  <w:style w:type="paragraph" w:styleId="781">
    <w:name w:val="Subtitle"/>
    <w:basedOn w:val="757"/>
    <w:next w:val="757"/>
    <w:link w:val="808"/>
    <w:uiPriority w:val="11"/>
    <w:qFormat/>
    <w:pPr>
      <w:spacing w:before="200" w:after="200"/>
    </w:pPr>
    <w:rPr>
      <w:sz w:val="24"/>
      <w:szCs w:val="24"/>
    </w:rPr>
  </w:style>
  <w:style w:type="paragraph" w:styleId="782">
    <w:name w:val="footnote text"/>
    <w:basedOn w:val="757"/>
    <w:link w:val="941"/>
    <w:uiPriority w:val="99"/>
    <w:semiHidden/>
    <w:unhideWhenUsed/>
    <w:qFormat/>
    <w:pPr>
      <w:spacing w:after="40"/>
    </w:pPr>
    <w:rPr>
      <w:sz w:val="18"/>
    </w:rPr>
  </w:style>
  <w:style w:type="paragraph" w:styleId="783">
    <w:name w:val="toc 6"/>
    <w:basedOn w:val="757"/>
    <w:next w:val="757"/>
    <w:uiPriority w:val="39"/>
    <w:unhideWhenUsed/>
    <w:qFormat/>
    <w:pPr>
      <w:ind w:left="1417"/>
      <w:spacing w:after="57"/>
    </w:pPr>
  </w:style>
  <w:style w:type="paragraph" w:styleId="784">
    <w:name w:val="table of figures"/>
    <w:basedOn w:val="757"/>
    <w:next w:val="757"/>
    <w:uiPriority w:val="99"/>
    <w:unhideWhenUsed/>
    <w:qFormat/>
  </w:style>
  <w:style w:type="paragraph" w:styleId="785">
    <w:name w:val="toc 2"/>
    <w:basedOn w:val="757"/>
    <w:next w:val="757"/>
    <w:uiPriority w:val="39"/>
    <w:qFormat/>
    <w:pPr>
      <w:ind w:left="210"/>
      <w:jc w:val="left"/>
    </w:pPr>
    <w:rPr>
      <w:smallCaps/>
      <w:szCs w:val="24"/>
    </w:rPr>
  </w:style>
  <w:style w:type="paragraph" w:styleId="786">
    <w:name w:val="toc 9"/>
    <w:basedOn w:val="757"/>
    <w:next w:val="757"/>
    <w:uiPriority w:val="39"/>
    <w:unhideWhenUsed/>
    <w:qFormat/>
    <w:pPr>
      <w:ind w:left="2268"/>
      <w:spacing w:after="57"/>
    </w:pPr>
  </w:style>
  <w:style w:type="paragraph" w:styleId="787">
    <w:name w:val="Normal (Web)"/>
    <w:basedOn w:val="757"/>
    <w:uiPriority w:val="99"/>
    <w:qFormat/>
    <w:pPr>
      <w:jc w:val="left"/>
      <w:spacing w:before="100" w:beforeAutospacing="1" w:after="100" w:afterAutospacing="1"/>
      <w:widowControl/>
    </w:pPr>
    <w:rPr>
      <w:rFonts w:ascii="宋体" w:hAnsi="宋体" w:cs="宋体"/>
      <w:sz w:val="24"/>
      <w:szCs w:val="24"/>
    </w:rPr>
  </w:style>
  <w:style w:type="paragraph" w:styleId="788">
    <w:name w:val="Title"/>
    <w:basedOn w:val="757"/>
    <w:next w:val="757"/>
    <w:link w:val="807"/>
    <w:uiPriority w:val="10"/>
    <w:qFormat/>
    <w:pPr>
      <w:contextualSpacing/>
      <w:spacing w:before="300" w:after="200"/>
    </w:pPr>
    <w:rPr>
      <w:sz w:val="48"/>
      <w:szCs w:val="48"/>
    </w:rPr>
  </w:style>
  <w:style w:type="paragraph" w:styleId="789">
    <w:name w:val="annotation subject"/>
    <w:basedOn w:val="772"/>
    <w:next w:val="772"/>
    <w:link w:val="958"/>
    <w:qFormat/>
    <w:rPr>
      <w:b/>
      <w:bCs/>
    </w:rPr>
  </w:style>
  <w:style w:type="table" w:styleId="790">
    <w:name w:val="Table Grid"/>
    <w:basedOn w:val="7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endnote reference"/>
    <w:basedOn w:val="767"/>
    <w:uiPriority w:val="99"/>
    <w:semiHidden/>
    <w:unhideWhenUsed/>
    <w:qFormat/>
    <w:rPr>
      <w:vertAlign w:val="superscript"/>
    </w:rPr>
  </w:style>
  <w:style w:type="character" w:styleId="792">
    <w:name w:val="Emphasis"/>
    <w:qFormat/>
    <w:rPr>
      <w:i/>
    </w:rPr>
  </w:style>
  <w:style w:type="character" w:styleId="793">
    <w:name w:val="Hyperlink"/>
    <w:uiPriority w:val="99"/>
    <w:qFormat/>
    <w:rPr>
      <w:color w:val="0000ff"/>
      <w:u w:val="single"/>
    </w:rPr>
  </w:style>
  <w:style w:type="character" w:styleId="794">
    <w:name w:val="annotation reference"/>
    <w:basedOn w:val="767"/>
    <w:qFormat/>
    <w:rPr>
      <w:sz w:val="21"/>
      <w:szCs w:val="21"/>
    </w:rPr>
  </w:style>
  <w:style w:type="character" w:styleId="795">
    <w:name w:val="footnote reference"/>
    <w:basedOn w:val="767"/>
    <w:uiPriority w:val="99"/>
    <w:unhideWhenUsed/>
    <w:qFormat/>
    <w:rPr>
      <w:vertAlign w:val="superscript"/>
    </w:rPr>
  </w:style>
  <w:style w:type="character" w:styleId="796" w:customStyle="1">
    <w:name w:val="标题 1 字符"/>
    <w:basedOn w:val="767"/>
    <w:link w:val="758"/>
    <w:uiPriority w:val="9"/>
    <w:qFormat/>
    <w:rPr>
      <w:rFonts w:ascii="Arial" w:hAnsi="Arial" w:eastAsia="Arial" w:cs="Arial"/>
      <w:sz w:val="40"/>
      <w:szCs w:val="40"/>
    </w:rPr>
  </w:style>
  <w:style w:type="character" w:styleId="797" w:customStyle="1">
    <w:name w:val="标题 2 字符"/>
    <w:basedOn w:val="767"/>
    <w:link w:val="759"/>
    <w:uiPriority w:val="9"/>
    <w:qFormat/>
    <w:rPr>
      <w:rFonts w:ascii="Arial" w:hAnsi="Arial" w:eastAsia="Arial" w:cs="Arial"/>
      <w:sz w:val="34"/>
    </w:rPr>
  </w:style>
  <w:style w:type="character" w:styleId="798" w:customStyle="1">
    <w:name w:val="标题 3 字符"/>
    <w:basedOn w:val="767"/>
    <w:link w:val="760"/>
    <w:uiPriority w:val="9"/>
    <w:qFormat/>
    <w:rPr>
      <w:rFonts w:ascii="Arial" w:hAnsi="Arial" w:eastAsia="Arial" w:cs="Arial"/>
      <w:sz w:val="30"/>
      <w:szCs w:val="30"/>
    </w:rPr>
  </w:style>
  <w:style w:type="character" w:styleId="799" w:customStyle="1">
    <w:name w:val="标题 4 字符"/>
    <w:basedOn w:val="767"/>
    <w:link w:val="761"/>
    <w:uiPriority w:val="9"/>
    <w:qFormat/>
    <w:rPr>
      <w:rFonts w:ascii="Arial" w:hAnsi="Arial" w:eastAsia="Arial" w:cs="Arial"/>
      <w:b/>
      <w:bCs/>
      <w:sz w:val="26"/>
      <w:szCs w:val="26"/>
    </w:rPr>
  </w:style>
  <w:style w:type="character" w:styleId="800" w:customStyle="1">
    <w:name w:val="标题 5 字符"/>
    <w:basedOn w:val="767"/>
    <w:link w:val="762"/>
    <w:uiPriority w:val="9"/>
    <w:qFormat/>
    <w:rPr>
      <w:rFonts w:ascii="Arial" w:hAnsi="Arial" w:eastAsia="Arial" w:cs="Arial"/>
      <w:b/>
      <w:bCs/>
      <w:sz w:val="24"/>
      <w:szCs w:val="24"/>
    </w:rPr>
  </w:style>
  <w:style w:type="character" w:styleId="801" w:customStyle="1">
    <w:name w:val="标题 6 字符"/>
    <w:basedOn w:val="767"/>
    <w:link w:val="763"/>
    <w:uiPriority w:val="9"/>
    <w:qFormat/>
    <w:rPr>
      <w:rFonts w:ascii="Arial" w:hAnsi="Arial" w:eastAsia="Arial" w:cs="Arial"/>
      <w:b/>
      <w:bCs/>
      <w:sz w:val="22"/>
      <w:szCs w:val="22"/>
    </w:rPr>
  </w:style>
  <w:style w:type="character" w:styleId="802" w:customStyle="1">
    <w:name w:val="标题 7 字符"/>
    <w:basedOn w:val="767"/>
    <w:link w:val="764"/>
    <w:uiPriority w:val="9"/>
    <w:qFormat/>
    <w:rPr>
      <w:rFonts w:ascii="Arial" w:hAnsi="Arial" w:eastAsia="Arial" w:cs="Arial"/>
      <w:b/>
      <w:bCs/>
      <w:i/>
      <w:iCs/>
      <w:sz w:val="22"/>
      <w:szCs w:val="22"/>
    </w:rPr>
  </w:style>
  <w:style w:type="character" w:styleId="803" w:customStyle="1">
    <w:name w:val="标题 8 字符"/>
    <w:basedOn w:val="767"/>
    <w:link w:val="765"/>
    <w:uiPriority w:val="9"/>
    <w:qFormat/>
    <w:rPr>
      <w:rFonts w:ascii="Arial" w:hAnsi="Arial" w:eastAsia="Arial" w:cs="Arial"/>
      <w:i/>
      <w:iCs/>
      <w:sz w:val="22"/>
      <w:szCs w:val="22"/>
    </w:rPr>
  </w:style>
  <w:style w:type="character" w:styleId="804" w:customStyle="1">
    <w:name w:val="标题 9 字符"/>
    <w:basedOn w:val="767"/>
    <w:link w:val="766"/>
    <w:uiPriority w:val="9"/>
    <w:qFormat/>
    <w:rPr>
      <w:rFonts w:ascii="Arial" w:hAnsi="Arial" w:eastAsia="Arial" w:cs="Arial"/>
      <w:i/>
      <w:iCs/>
      <w:sz w:val="21"/>
      <w:szCs w:val="21"/>
    </w:rPr>
  </w:style>
  <w:style w:type="paragraph" w:styleId="805">
    <w:name w:val="List Paragraph"/>
    <w:basedOn w:val="757"/>
    <w:uiPriority w:val="34"/>
    <w:qFormat/>
    <w:pPr>
      <w:contextualSpacing/>
      <w:ind w:left="720"/>
    </w:pPr>
  </w:style>
  <w:style w:type="paragraph" w:styleId="806">
    <w:name w:val="No Spacing"/>
    <w:uiPriority w:val="1"/>
    <w:qFormat/>
  </w:style>
  <w:style w:type="character" w:styleId="807" w:customStyle="1">
    <w:name w:val="标题 字符"/>
    <w:basedOn w:val="767"/>
    <w:link w:val="788"/>
    <w:uiPriority w:val="10"/>
    <w:qFormat/>
    <w:rPr>
      <w:sz w:val="48"/>
      <w:szCs w:val="48"/>
    </w:rPr>
  </w:style>
  <w:style w:type="character" w:styleId="808" w:customStyle="1">
    <w:name w:val="副标题 字符"/>
    <w:basedOn w:val="767"/>
    <w:link w:val="781"/>
    <w:uiPriority w:val="11"/>
    <w:qFormat/>
    <w:rPr>
      <w:sz w:val="24"/>
      <w:szCs w:val="24"/>
    </w:rPr>
  </w:style>
  <w:style w:type="paragraph" w:styleId="809">
    <w:name w:val="Quote"/>
    <w:basedOn w:val="757"/>
    <w:next w:val="757"/>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57"/>
    <w:next w:val="757"/>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basedOn w:val="767"/>
    <w:link w:val="778"/>
    <w:uiPriority w:val="99"/>
    <w:qFormat/>
  </w:style>
  <w:style w:type="character" w:styleId="814" w:customStyle="1">
    <w:name w:val="Footer Char"/>
    <w:basedOn w:val="767"/>
    <w:uiPriority w:val="99"/>
    <w:qFormat/>
  </w:style>
  <w:style w:type="character" w:styleId="815" w:customStyle="1">
    <w:name w:val="页脚 字符"/>
    <w:link w:val="777"/>
    <w:uiPriority w:val="99"/>
    <w:qFormat/>
  </w:style>
  <w:style w:type="table" w:styleId="816" w:customStyle="1">
    <w:name w:val="Table Grid Light"/>
    <w:basedOn w:val="7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7" w:customStyle="1">
    <w:name w:val="无格式表格 11"/>
    <w:basedOn w:val="7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6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68"/>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6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6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6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6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6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6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68"/>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68"/>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6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6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6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6" w:customStyle="1">
    <w:name w:val="网格表 31"/>
    <w:basedOn w:val="7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6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68"/>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68"/>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6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6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6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6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6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5" w:customStyle="1">
    <w:name w:val="Grid Table 4 - Accent 2"/>
    <w:basedOn w:val="768"/>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46" w:customStyle="1">
    <w:name w:val="Grid Table 4 - Accent 3"/>
    <w:basedOn w:val="768"/>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47" w:customStyle="1">
    <w:name w:val="Grid Table 4 - Accent 4"/>
    <w:basedOn w:val="768"/>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8" w:customStyle="1">
    <w:name w:val="Grid Table 4 - Accent 5"/>
    <w:basedOn w:val="768"/>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9" w:customStyle="1">
    <w:name w:val="Grid Table 4 - Accent 6"/>
    <w:basedOn w:val="768"/>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0"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2"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3"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4"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5"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6"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7" w:customStyle="1">
    <w:name w:val="网格表 6 彩色1"/>
    <w:basedOn w:val="7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8" w:customStyle="1">
    <w:name w:val="Grid Table 6 Colorful - Accent 1"/>
    <w:basedOn w:val="768"/>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59" w:customStyle="1">
    <w:name w:val="Grid Table 6 Colorful - Accent 2"/>
    <w:basedOn w:val="768"/>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60" w:customStyle="1">
    <w:name w:val="Grid Table 6 Colorful - Accent 3"/>
    <w:basedOn w:val="768"/>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61" w:customStyle="1">
    <w:name w:val="Grid Table 6 Colorful - Accent 4"/>
    <w:basedOn w:val="76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62" w:customStyle="1">
    <w:name w:val="Grid Table 6 Colorful - Accent 5"/>
    <w:basedOn w:val="76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3" w:customStyle="1">
    <w:name w:val="Grid Table 6 Colorful - Accent 6"/>
    <w:basedOn w:val="76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4" w:customStyle="1">
    <w:name w:val="网格表 7 彩色1"/>
    <w:basedOn w:val="76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68"/>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68"/>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68"/>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6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68"/>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68"/>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6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68"/>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6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68"/>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6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68"/>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68"/>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清单表 21"/>
    <w:basedOn w:val="7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9" w:customStyle="1">
    <w:name w:val="List Table 2 - Accent 1"/>
    <w:basedOn w:val="76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0" w:customStyle="1">
    <w:name w:val="List Table 2 - Accent 2"/>
    <w:basedOn w:val="768"/>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81" w:customStyle="1">
    <w:name w:val="List Table 2 - Accent 3"/>
    <w:basedOn w:val="768"/>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82" w:customStyle="1">
    <w:name w:val="List Table 2 - Accent 4"/>
    <w:basedOn w:val="768"/>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83" w:customStyle="1">
    <w:name w:val="List Table 2 - Accent 5"/>
    <w:basedOn w:val="768"/>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84" w:customStyle="1">
    <w:name w:val="List Table 2 - Accent 6"/>
    <w:basedOn w:val="768"/>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85"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6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7" w:customStyle="1">
    <w:name w:val="List Table 3 - Accent 2"/>
    <w:basedOn w:val="768"/>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68"/>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6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68"/>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68"/>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92"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6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4 - Accent 2"/>
    <w:basedOn w:val="768"/>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5" w:customStyle="1">
    <w:name w:val="List Table 4 - Accent 3"/>
    <w:basedOn w:val="768"/>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6" w:customStyle="1">
    <w:name w:val="List Table 4 - Accent 4"/>
    <w:basedOn w:val="768"/>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7" w:customStyle="1">
    <w:name w:val="List Table 4 - Accent 5"/>
    <w:basedOn w:val="768"/>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8" w:customStyle="1">
    <w:name w:val="List Table 4 - Accent 6"/>
    <w:basedOn w:val="768"/>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9" w:customStyle="1">
    <w:name w:val="清单表 5 深色1"/>
    <w:basedOn w:val="7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basedOn w:val="76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basedOn w:val="768"/>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basedOn w:val="768"/>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basedOn w:val="76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basedOn w:val="768"/>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basedOn w:val="768"/>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06" w:customStyle="1">
    <w:name w:val="清单表 6 彩色1"/>
    <w:basedOn w:val="76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List Table 6 Colorful - Accent 1"/>
    <w:basedOn w:val="768"/>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08" w:customStyle="1">
    <w:name w:val="List Table 6 Colorful - Accent 2"/>
    <w:basedOn w:val="768"/>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09" w:customStyle="1">
    <w:name w:val="List Table 6 Colorful - Accent 3"/>
    <w:basedOn w:val="768"/>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10" w:customStyle="1">
    <w:name w:val="List Table 6 Colorful - Accent 4"/>
    <w:basedOn w:val="76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11" w:customStyle="1">
    <w:name w:val="List Table 6 Colorful - Accent 5"/>
    <w:basedOn w:val="768"/>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12" w:customStyle="1">
    <w:name w:val="List Table 6 Colorful - Accent 6"/>
    <w:basedOn w:val="768"/>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13" w:customStyle="1">
    <w:name w:val="清单表 7 彩色1"/>
    <w:basedOn w:val="76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68"/>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68"/>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68"/>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68"/>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68"/>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68"/>
    <w:uiPriority w:val="99"/>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Lined - Accent 1"/>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2" w:customStyle="1">
    <w:name w:val="Lined - Accent 2"/>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23" w:customStyle="1">
    <w:name w:val="Lined - Accent 3"/>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4" w:customStyle="1">
    <w:name w:val="Lined - Accent 4"/>
    <w:basedOn w:val="7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5" w:customStyle="1">
    <w:name w:val="Lined - Accent 5"/>
    <w:basedOn w:val="76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6" w:customStyle="1">
    <w:name w:val="Lined - Accent 6"/>
    <w:basedOn w:val="76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7" w:customStyle="1">
    <w:name w:val="Bordered &amp; Lined - Accent"/>
    <w:basedOn w:val="76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Bordered &amp; Lined - Accent 1"/>
    <w:basedOn w:val="76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Bordered &amp; Lined - Accent 2"/>
    <w:basedOn w:val="768"/>
    <w:uiPriority w:val="99"/>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30" w:customStyle="1">
    <w:name w:val="Bordered &amp; Lined - Accent 3"/>
    <w:basedOn w:val="76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31" w:customStyle="1">
    <w:name w:val="Bordered &amp; Lined - Accent 4"/>
    <w:basedOn w:val="76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Bordered &amp; Lined - Accent 5"/>
    <w:basedOn w:val="768"/>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Bordered &amp; Lined - Accent 6"/>
    <w:basedOn w:val="76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w:basedOn w:val="76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5" w:customStyle="1">
    <w:name w:val="Bordered - Accent 1"/>
    <w:basedOn w:val="768"/>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6" w:customStyle="1">
    <w:name w:val="Bordered - Accent 2"/>
    <w:basedOn w:val="76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37" w:customStyle="1">
    <w:name w:val="Bordered - Accent 3"/>
    <w:basedOn w:val="76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38" w:customStyle="1">
    <w:name w:val="Bordered - Accent 4"/>
    <w:basedOn w:val="768"/>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9" w:customStyle="1">
    <w:name w:val="Bordered - Accent 5"/>
    <w:basedOn w:val="76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40" w:customStyle="1">
    <w:name w:val="Bordered - Accent 6"/>
    <w:basedOn w:val="76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41" w:customStyle="1">
    <w:name w:val="脚注文本 字符"/>
    <w:link w:val="782"/>
    <w:uiPriority w:val="99"/>
    <w:qFormat/>
    <w:rPr>
      <w:sz w:val="18"/>
    </w:rPr>
  </w:style>
  <w:style w:type="character" w:styleId="942" w:customStyle="1">
    <w:name w:val="尾注文本 字符"/>
    <w:link w:val="776"/>
    <w:uiPriority w:val="99"/>
    <w:rPr>
      <w:sz w:val="20"/>
    </w:rPr>
  </w:style>
  <w:style w:type="paragraph" w:styleId="943" w:customStyle="1">
    <w:name w:val="TOC 标题1"/>
    <w:uiPriority w:val="39"/>
    <w:unhideWhenUsed/>
  </w:style>
  <w:style w:type="character" w:styleId="944" w:customStyle="1">
    <w:name w:val="超链接1"/>
    <w:qFormat/>
    <w:rPr>
      <w:rFonts w:hint="default" w:ascii="Times New Roman" w:hAnsi="Times New Roman" w:eastAsia="宋体" w:cs="Times New Roman"/>
      <w:sz w:val="21"/>
      <w:szCs w:val="22"/>
      <w:lang w:val="en-US" w:eastAsia="zh-CN" w:bidi="ar-SA"/>
    </w:rPr>
  </w:style>
  <w:style w:type="paragraph" w:styleId="945" w:customStyle="1">
    <w:name w:val="正文文本1"/>
    <w:basedOn w:val="757"/>
    <w:qFormat/>
    <w:rPr>
      <w:rFonts w:ascii="楷体_GB2312" w:hAnsi="Arial" w:eastAsia="楷体_GB2312"/>
      <w:sz w:val="28"/>
      <w:szCs w:val="28"/>
    </w:rPr>
  </w:style>
  <w:style w:type="paragraph" w:styleId="946" w:customStyle="1">
    <w:name w:val="标题 21"/>
    <w:basedOn w:val="757"/>
    <w:next w:val="947"/>
    <w:qFormat/>
    <w:pPr>
      <w:jc w:val="center"/>
      <w:keepLines/>
      <w:keepNext/>
      <w:spacing w:before="260" w:after="260" w:line="416" w:lineRule="auto"/>
      <w:outlineLvl w:val="1"/>
    </w:pPr>
    <w:rPr>
      <w:rFonts w:ascii="Arial" w:hAnsi="Arial" w:eastAsia="幼圆" w:cs="Arial"/>
      <w:b/>
      <w:bCs/>
      <w:sz w:val="44"/>
      <w:szCs w:val="44"/>
    </w:rPr>
  </w:style>
  <w:style w:type="paragraph" w:styleId="947" w:customStyle="1">
    <w:name w:val="正文缩进1"/>
    <w:basedOn w:val="757"/>
    <w:qFormat/>
    <w:pPr>
      <w:ind w:firstLine="420"/>
    </w:pPr>
    <w:rPr>
      <w:szCs w:val="21"/>
    </w:rPr>
  </w:style>
  <w:style w:type="paragraph" w:styleId="948" w:customStyle="1">
    <w:name w:val="正文文本缩进1"/>
    <w:basedOn w:val="757"/>
    <w:unhideWhenUsed/>
    <w:qFormat/>
    <w:pPr>
      <w:ind w:left="420"/>
      <w:spacing w:after="120"/>
    </w:pPr>
  </w:style>
  <w:style w:type="paragraph" w:styleId="949" w:customStyle="1">
    <w:name w:val="AONormal"/>
    <w:qFormat/>
    <w:pPr>
      <w:ind w:firstLine="440"/>
      <w:spacing w:line="400" w:lineRule="exact"/>
    </w:pPr>
    <w:rPr>
      <w:rFonts w:ascii="华文楷体" w:hAnsi="华文楷体" w:eastAsia="华文楷体" w:cs="华文楷体"/>
      <w:sz w:val="22"/>
      <w:szCs w:val="21"/>
    </w:rPr>
  </w:style>
  <w:style w:type="paragraph" w:styleId="950" w:customStyle="1">
    <w:name w:val="列出段落1"/>
    <w:basedOn w:val="757"/>
    <w:qFormat/>
    <w:pPr>
      <w:contextualSpacing/>
      <w:ind w:left="720"/>
      <w:jc w:val="left"/>
      <w:widowControl/>
    </w:pPr>
    <w:rPr>
      <w:rFonts w:ascii="Calibri" w:hAnsi="Calibri"/>
      <w:sz w:val="24"/>
      <w:szCs w:val="24"/>
      <w:lang w:eastAsia="en-US" w:bidi="en-US"/>
    </w:rPr>
  </w:style>
  <w:style w:type="paragraph" w:styleId="951" w:customStyle="1">
    <w:name w:val="纯文本1"/>
    <w:basedOn w:val="757"/>
    <w:qFormat/>
    <w:rPr>
      <w:rFonts w:ascii="宋体" w:hAnsi="Courier New" w:cs="Courier New"/>
      <w:szCs w:val="21"/>
    </w:rPr>
  </w:style>
  <w:style w:type="paragraph" w:styleId="952" w:customStyle="1">
    <w:name w:val="列出段落"/>
    <w:basedOn w:val="757"/>
    <w:qFormat/>
    <w:pPr>
      <w:contextualSpacing/>
      <w:ind w:left="720"/>
      <w:jc w:val="left"/>
      <w:widowControl/>
    </w:pPr>
    <w:rPr>
      <w:rFonts w:ascii="Calibri" w:hAnsi="Calibri"/>
      <w:sz w:val="24"/>
      <w:szCs w:val="24"/>
      <w:lang w:eastAsia="en-US" w:bidi="en-US"/>
    </w:rPr>
  </w:style>
  <w:style w:type="paragraph" w:styleId="953" w:customStyle="1">
    <w:name w:val="页脚1"/>
    <w:basedOn w:val="757"/>
    <w:uiPriority w:val="99"/>
    <w:qFormat/>
    <w:pPr>
      <w:jc w:val="left"/>
      <w:tabs>
        <w:tab w:val="center" w:pos="4153" w:leader="none"/>
        <w:tab w:val="right" w:pos="8306" w:leader="none"/>
      </w:tabs>
    </w:pPr>
    <w:rPr>
      <w:sz w:val="18"/>
      <w:szCs w:val="18"/>
    </w:rPr>
  </w:style>
  <w:style w:type="paragraph" w:styleId="954" w:customStyle="1">
    <w:name w:val="页眉1"/>
    <w:basedOn w:val="757"/>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码1"/>
    <w:qFormat/>
  </w:style>
  <w:style w:type="paragraph" w:styleId="956" w:customStyle="1">
    <w:name w:val="修订1"/>
    <w:hidden/>
    <w:uiPriority w:val="99"/>
    <w:unhideWhenUsed/>
    <w:qFormat/>
    <w:rPr>
      <w:rFonts w:ascii="Times New Roman" w:hAnsi="Times New Roman" w:eastAsia="宋体" w:cs="Times New Roman"/>
      <w:sz w:val="21"/>
      <w:szCs w:val="22"/>
    </w:rPr>
  </w:style>
  <w:style w:type="character" w:styleId="957" w:customStyle="1">
    <w:name w:val="批注文字 字符"/>
    <w:basedOn w:val="767"/>
    <w:link w:val="772"/>
    <w:qFormat/>
    <w:rPr>
      <w:rFonts w:ascii="Times New Roman" w:hAnsi="Times New Roman" w:eastAsia="宋体" w:cs="Times New Roman"/>
      <w:sz w:val="21"/>
      <w:szCs w:val="22"/>
    </w:rPr>
  </w:style>
  <w:style w:type="character" w:styleId="958" w:customStyle="1">
    <w:name w:val="批注主题 字符"/>
    <w:basedOn w:val="957"/>
    <w:link w:val="789"/>
    <w:qFormat/>
    <w:rPr>
      <w:rFonts w:ascii="Times New Roman" w:hAnsi="Times New Roman" w:eastAsia="宋体" w:cs="Times New Roman"/>
      <w:b/>
      <w:bCs/>
      <w:sz w:val="21"/>
      <w:szCs w:val="22"/>
    </w:rPr>
  </w:style>
  <w:style w:type="paragraph" w:styleId="959" w:customStyle="1">
    <w:name w:val="修订2"/>
    <w:hidden/>
    <w:uiPriority w:val="99"/>
    <w:unhideWhenUsed/>
    <w:qFormat/>
    <w:rPr>
      <w:rFonts w:ascii="Times New Roman" w:hAnsi="Times New Roman" w:eastAsia="宋体" w:cs="Times New Roman"/>
      <w:sz w:val="21"/>
      <w:szCs w:val="22"/>
    </w:rPr>
  </w:style>
  <w:style w:type="paragraph" w:styleId="960" w:customStyle="1">
    <w:name w:val="修订3"/>
    <w:hidden/>
    <w:uiPriority w:val="99"/>
    <w:semiHidden/>
    <w:qFormat/>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鱼</dc:creator>
  <cp:lastModifiedBy>付钢</cp:lastModifiedBy>
  <cp:revision>27</cp:revision>
  <dcterms:created xsi:type="dcterms:W3CDTF">2026-03-16T05:25:00Z</dcterms:created>
  <dcterms:modified xsi:type="dcterms:W3CDTF">2026-05-21T01:19:34Z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73E395FFE9864E43A0948C577953FF40_13</vt:lpwstr>
  </property>
  <property fmtid="{D5CDD505-2E9C-101B-9397-08002B2CF9AE}" pid="4" name="KSOTemplateDocerSaveRecord">
    <vt:lpwstr>eyJoZGlkIjoiZGQ5NDZjYTc2Y2E2ZGFiMTA5ZjhlOTdjNGQzZDVmNWUiLCJ1c2VySWQiOiI3Mzg5NzY4NDUifQ==</vt:lpwstr>
  </property>
</Properties>
</file>