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22"/>
      </w:pPr>
      <w:r/>
      <w:r/>
    </w:p>
    <w:p>
      <w:pPr>
        <w:pStyle w:val="935"/>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南京鼓楼医院台式计算机</w:t>
      </w:r>
      <w:r/>
    </w:p>
    <w:p>
      <w:pPr>
        <w:ind w:firstLine="1506"/>
        <w:rPr>
          <w:b/>
          <w:sz w:val="30"/>
          <w:szCs w:val="30"/>
        </w:rPr>
      </w:pPr>
      <w:r>
        <w:rPr>
          <w:rFonts w:hint="eastAsia"/>
          <w:b/>
          <w:sz w:val="30"/>
          <w:szCs w:val="30"/>
        </w:rPr>
        <w:t xml:space="preserve">项目编号：</w:t>
      </w:r>
      <w:r>
        <w:rPr>
          <w:rFonts w:hint="eastAsia"/>
          <w:b/>
          <w:sz w:val="32"/>
          <w:szCs w:val="32"/>
        </w:rPr>
        <w:t xml:space="preserve">JSZC-320100-JZCG-G2026-0157 </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35"/>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2026年6月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2</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4</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合同文本……………………………………14</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采购需求……………………………………18</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评标方法与评标标准………………………22</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投标文件格式………………………………25</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ascii="宋体" w:hAnsi="宋体"/>
          <w:sz w:val="24"/>
          <w:szCs w:val="24"/>
        </w:rPr>
        <w:t xml:space="preserve">受南京鼓楼医院委托，南京市公共资源交易中心（以下简称“交易中心”）就南京鼓楼医院台式计算机进行公开招标采购，欢迎符合条件的供应商投标。</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sz w:val="24"/>
          <w:szCs w:val="24"/>
        </w:rPr>
      </w:pPr>
      <w:r/>
      <w:bookmarkStart w:id="12" w:name="_Toc28359080"/>
      <w:r/>
      <w:bookmarkStart w:id="13" w:name="_Toc28359003"/>
      <w:r/>
      <w:bookmarkStart w:id="14" w:name="_Toc35393622"/>
      <w:r/>
      <w:bookmarkStart w:id="15" w:name="_Toc38985264"/>
      <w:r/>
      <w:bookmarkStart w:id="16" w:name="_Toc35393791"/>
      <w:r>
        <w:rPr>
          <w:rFonts w:hint="eastAsia" w:ascii="宋体" w:hAnsi="宋体"/>
          <w:sz w:val="24"/>
          <w:szCs w:val="24"/>
        </w:rPr>
        <w:t xml:space="preserve">1.项目编号：JSZC-320100-JZCG-G2026-0157 </w:t>
      </w:r>
      <w:r/>
    </w:p>
    <w:p>
      <w:pPr>
        <w:ind w:firstLine="480"/>
        <w:spacing w:line="264" w:lineRule="auto"/>
        <w:rPr>
          <w:rFonts w:ascii="宋体" w:hAnsi="宋体"/>
          <w:sz w:val="24"/>
          <w:szCs w:val="24"/>
        </w:rPr>
      </w:pPr>
      <w:r>
        <w:rPr>
          <w:rFonts w:hint="eastAsia" w:ascii="宋体" w:hAnsi="宋体"/>
          <w:sz w:val="24"/>
          <w:szCs w:val="24"/>
        </w:rPr>
        <w:t xml:space="preserve">2.项目名称：南京鼓楼医院台式计算机</w:t>
      </w:r>
      <w:r/>
    </w:p>
    <w:p>
      <w:pPr>
        <w:ind w:firstLine="480"/>
        <w:spacing w:line="264" w:lineRule="auto"/>
        <w:rPr>
          <w:rFonts w:ascii="宋体" w:hAnsi="宋体"/>
          <w:sz w:val="24"/>
          <w:szCs w:val="24"/>
        </w:rPr>
      </w:pPr>
      <w:r>
        <w:rPr>
          <w:rFonts w:hint="eastAsia" w:ascii="宋体" w:hAnsi="宋体"/>
          <w:sz w:val="24"/>
          <w:szCs w:val="24"/>
        </w:rPr>
        <w:t xml:space="preserve">3.预算金额：125万</w:t>
      </w:r>
      <w:r/>
    </w:p>
    <w:p>
      <w:pPr>
        <w:ind w:firstLine="480"/>
        <w:spacing w:line="264" w:lineRule="auto"/>
        <w:rPr>
          <w:rFonts w:ascii="宋体" w:hAnsi="宋体"/>
          <w:sz w:val="24"/>
          <w:szCs w:val="24"/>
        </w:rPr>
      </w:pPr>
      <w:r>
        <w:rPr>
          <w:rFonts w:hint="eastAsia" w:ascii="宋体" w:hAnsi="宋体"/>
          <w:sz w:val="24"/>
          <w:szCs w:val="24"/>
        </w:rPr>
        <w:t xml:space="preserve">4.最高限价：125万</w:t>
      </w:r>
      <w:r/>
    </w:p>
    <w:p>
      <w:pPr>
        <w:ind w:firstLine="480"/>
        <w:spacing w:line="264" w:lineRule="auto"/>
        <w:rPr>
          <w:rFonts w:ascii="宋体" w:hAnsi="宋体"/>
          <w:sz w:val="24"/>
          <w:szCs w:val="24"/>
        </w:rPr>
      </w:pPr>
      <w:r>
        <w:rPr>
          <w:rFonts w:hint="eastAsia" w:ascii="宋体" w:hAnsi="宋体"/>
          <w:sz w:val="24"/>
          <w:szCs w:val="24"/>
        </w:rPr>
        <w:t xml:space="preserve">5.采购需求（简介）：</w:t>
      </w:r>
      <w:r/>
    </w:p>
    <w:p>
      <w:pPr>
        <w:ind w:firstLine="480"/>
        <w:spacing w:line="264" w:lineRule="auto"/>
        <w:rPr>
          <w:rFonts w:ascii="宋体" w:hAnsi="宋体"/>
          <w:sz w:val="24"/>
          <w:szCs w:val="24"/>
        </w:rPr>
      </w:pPr>
      <w:r>
        <w:rPr>
          <w:rFonts w:hint="eastAsia" w:ascii="宋体" w:hAnsi="宋体"/>
          <w:sz w:val="24"/>
          <w:szCs w:val="24"/>
        </w:rPr>
        <w:t xml:space="preserve">随着信息化的发展，为了满足办公设备的新增与更迭需求现需采购一批办公电脑。（详细内容见本招标文件第四章）</w:t>
      </w:r>
      <w:r/>
    </w:p>
    <w:p>
      <w:pPr>
        <w:ind w:firstLine="480"/>
        <w:spacing w:line="264" w:lineRule="auto"/>
        <w:rPr>
          <w:rFonts w:ascii="宋体" w:hAnsi="宋体"/>
          <w:sz w:val="24"/>
          <w:szCs w:val="24"/>
        </w:rPr>
      </w:pPr>
      <w:r>
        <w:rPr>
          <w:rFonts w:hint="eastAsia" w:ascii="宋体" w:hAnsi="宋体"/>
          <w:sz w:val="24"/>
          <w:szCs w:val="24"/>
        </w:rPr>
        <w:t xml:space="preserve">6.合同履行期限：</w:t>
      </w:r>
      <w:r/>
    </w:p>
    <w:p>
      <w:pPr>
        <w:ind w:firstLine="480"/>
        <w:spacing w:line="264" w:lineRule="auto"/>
        <w:rPr>
          <w:rFonts w:ascii="宋体" w:hAnsi="宋体"/>
          <w:sz w:val="24"/>
          <w:szCs w:val="24"/>
        </w:rPr>
      </w:pPr>
      <w:r>
        <w:rPr>
          <w:rFonts w:hint="eastAsia" w:ascii="宋体" w:hAnsi="宋体"/>
          <w:sz w:val="24"/>
          <w:szCs w:val="24"/>
        </w:rPr>
        <w:t xml:space="preserve">采用分批送货的形式，第一批到货时间为合同签订后5天内完成项目清单（台式计算机1）中50台台式计算机及项目清单（台式计算机2）中50台台式计算机（合计100台）的交付并完成安装调试；后续每批次到货时间为接到采购人通知后5天内到货。所有台式计算机自合同签订之日起1年内全部到货完成。</w:t>
      </w:r>
      <w:r/>
    </w:p>
    <w:p>
      <w:pPr>
        <w:ind w:firstLine="480"/>
        <w:spacing w:line="264"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64" w:lineRule="auto"/>
        <w:rPr>
          <w:rFonts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38985265"/>
      <w:r/>
      <w:bookmarkStart w:id="18" w:name="_Toc35393623"/>
      <w:r/>
      <w:bookmarkStart w:id="19" w:name="_Toc35393792"/>
      <w:r/>
      <w:bookmarkStart w:id="20" w:name="_Toc28359004"/>
      <w:r/>
      <w:bookmarkStart w:id="21" w:name="_Toc28359081"/>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ascii="宋体" w:hAnsi="宋体"/>
          <w:sz w:val="24"/>
          <w:szCs w:val="24"/>
        </w:rPr>
      </w:pPr>
      <w:r>
        <w:rPr>
          <w:rFonts w:hint="eastAsia" w:ascii="宋体" w:hAnsi="宋体"/>
          <w:sz w:val="24"/>
          <w:szCs w:val="24"/>
        </w:rPr>
        <w:t xml:space="preserve">2.落实政府采购政策需满足的资格要求：无</w:t>
      </w:r>
      <w:r/>
    </w:p>
    <w:p>
      <w:pPr>
        <w:ind w:firstLine="480"/>
        <w:rPr>
          <w:rFonts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ascii="宋体" w:hAnsi="宋体"/>
          <w:sz w:val="24"/>
          <w:szCs w:val="24"/>
          <w:lang w:val="zh-CN"/>
        </w:rPr>
      </w:pPr>
      <w:r>
        <w:rPr>
          <w:rFonts w:hint="eastAsia" w:ascii="宋体" w:hAnsi="宋体" w:cs="宋体"/>
          <w:sz w:val="24"/>
          <w:szCs w:val="24"/>
        </w:rPr>
        <w:t xml:space="preserve">（二）本项目特定资格要求：</w:t>
      </w:r>
      <w:r>
        <w:rPr>
          <w:rFonts w:hint="eastAsia" w:ascii="宋体" w:hAnsi="宋体"/>
          <w:sz w:val="24"/>
          <w:szCs w:val="24"/>
          <w:lang w:val="zh-CN"/>
        </w:rPr>
        <w:t xml:space="preserve">无</w:t>
      </w:r>
      <w:r/>
    </w:p>
    <w:p>
      <w:pPr>
        <w:ind w:firstLine="480"/>
        <w:spacing w:line="440" w:lineRule="exact"/>
        <w:widowControl/>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28359007"/>
      <w:r/>
      <w:bookmarkStart w:id="28" w:name="_Toc35393625"/>
      <w:r/>
      <w:bookmarkStart w:id="29" w:name="_Toc28359084"/>
      <w:r/>
      <w:bookmarkStart w:id="30" w:name="_Toc38985267"/>
      <w:r/>
      <w:bookmarkStart w:id="31" w:name="_Toc35393794"/>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年7</w:t>
      </w:r>
      <w:r>
        <w:rPr>
          <w:rFonts w:hint="eastAsia" w:ascii="宋体" w:hAnsi="宋体"/>
          <w:bCs/>
          <w:color w:val="000000" w:themeColor="text1"/>
          <w:sz w:val="24"/>
          <w:szCs w:val="24"/>
        </w:rPr>
        <w:t xml:space="preserve">月7</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844"/>
        <w:ind w:firstLine="498"/>
        <w:spacing w:before="145" w:after="145" w:line="264" w:lineRule="auto"/>
      </w:pPr>
      <w:r>
        <w:rPr>
          <w:rFonts w:hint="eastAsia"/>
        </w:rPr>
        <w:t xml:space="preserve">六、其他事宜</w:t>
      </w:r>
      <w:bookmarkEnd w:id="32"/>
      <w:r/>
      <w:bookmarkEnd w:id="33"/>
      <w:r/>
      <w:bookmarkEnd w:id="34"/>
      <w:r/>
      <w:r/>
    </w:p>
    <w:p>
      <w:pPr>
        <w:ind w:firstLine="480"/>
        <w:spacing w:line="264" w:lineRule="auto"/>
        <w:tabs>
          <w:tab w:val="left" w:pos="900" w:leader="none"/>
        </w:tabs>
        <w:rPr>
          <w:rFonts w:ascii="宋体" w:hAnsi="宋体"/>
          <w:bCs/>
          <w:sz w:val="24"/>
          <w:szCs w:val="24"/>
        </w:rPr>
      </w:pPr>
      <w:r/>
      <w:bookmarkStart w:id="35" w:name="_Toc38985269"/>
      <w:r/>
      <w:bookmarkStart w:id="36" w:name="_Toc28359008"/>
      <w:r/>
      <w:bookmarkStart w:id="37" w:name="_Toc28359085"/>
      <w:r/>
      <w:bookmarkStart w:id="38" w:name="_Toc35393627"/>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64" w:lineRule="auto"/>
        <w:rPr>
          <w:rFonts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64" w:lineRule="auto"/>
        <w:rPr>
          <w:rFonts w:ascii="宋体" w:hAnsi="宋体"/>
          <w:sz w:val="24"/>
        </w:rPr>
      </w:pPr>
      <w:r>
        <w:rPr>
          <w:rFonts w:hint="eastAsia" w:ascii="宋体" w:hAnsi="宋体"/>
          <w:sz w:val="24"/>
        </w:rPr>
        <w:t xml:space="preserve">采购人《质疑函》收件人：</w:t>
      </w:r>
      <w:r>
        <w:rPr>
          <w:rFonts w:hint="eastAsia" w:ascii="宋体" w:hAnsi="宋体"/>
          <w:sz w:val="24"/>
          <w:szCs w:val="24"/>
        </w:rPr>
        <w:t xml:space="preserve">张老师</w:t>
      </w:r>
      <w:r>
        <w:rPr>
          <w:rFonts w:hint="eastAsia" w:ascii="宋体" w:hAnsi="宋体"/>
          <w:sz w:val="24"/>
        </w:rPr>
        <w:t xml:space="preserve">，收件地址：</w:t>
      </w:r>
      <w:r>
        <w:rPr>
          <w:rFonts w:hint="eastAsia" w:ascii="宋体" w:hAnsi="宋体" w:cs="宋体"/>
          <w:sz w:val="24"/>
          <w:szCs w:val="24"/>
        </w:rPr>
        <w:t xml:space="preserve">南京市玄武区双龙巷5号4楼410，</w:t>
      </w:r>
      <w:r>
        <w:rPr>
          <w:rFonts w:hint="eastAsia" w:ascii="宋体" w:hAnsi="宋体"/>
          <w:sz w:val="24"/>
        </w:rPr>
        <w:t xml:space="preserve">联系电话：</w:t>
      </w:r>
      <w:r>
        <w:rPr>
          <w:rFonts w:hint="eastAsia" w:ascii="宋体" w:hAnsi="宋体"/>
          <w:sz w:val="24"/>
          <w:szCs w:val="24"/>
        </w:rPr>
        <w:t xml:space="preserve">025-83105006</w:t>
      </w:r>
      <w:r>
        <w:rPr>
          <w:rFonts w:hint="eastAsia" w:ascii="宋体" w:hAnsi="宋体"/>
          <w:sz w:val="24"/>
        </w:rPr>
        <w:t xml:space="preserve">。</w:t>
      </w:r>
      <w:r/>
    </w:p>
    <w:p>
      <w:pPr>
        <w:ind w:firstLine="480"/>
        <w:spacing w:line="264" w:lineRule="auto"/>
        <w:widowControl/>
        <w:rPr>
          <w:rFonts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lang w:val="zh-CN"/>
        </w:rPr>
        <w:t xml:space="preserve">建邺区</w:t>
      </w:r>
      <w:r>
        <w:rPr>
          <w:rFonts w:hint="eastAsia" w:ascii="宋体" w:hAnsi="宋体"/>
          <w:sz w:val="24"/>
          <w:lang w:val="zh-CN"/>
        </w:rPr>
        <w:t xml:space="preserve">江东中路265号南京市公共资源交易中心北门，联系电话：025-68505926。</w:t>
      </w:r>
      <w:r/>
    </w:p>
    <w:p>
      <w:pPr>
        <w:pStyle w:val="844"/>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称：南京鼓楼医院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鼓楼区</w:t>
      </w:r>
      <w:r>
        <w:rPr>
          <w:rFonts w:hint="eastAsia" w:ascii="宋体" w:hAnsi="宋体"/>
          <w:sz w:val="24"/>
          <w:szCs w:val="24"/>
        </w:rPr>
        <w:t xml:space="preserve">中山路3</w:t>
      </w:r>
      <w:r>
        <w:rPr>
          <w:rFonts w:ascii="宋体" w:hAnsi="宋体"/>
          <w:sz w:val="24"/>
          <w:szCs w:val="24"/>
        </w:rPr>
        <w:t xml:space="preserve">21号</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联系人：张老师</w:t>
      </w:r>
      <w:r/>
    </w:p>
    <w:p>
      <w:pPr>
        <w:ind w:firstLine="480"/>
        <w:spacing w:line="264" w:lineRule="auto"/>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83105006</w:t>
      </w:r>
      <w:r>
        <w:rPr>
          <w:rFonts w:hint="eastAsia" w:ascii="宋体" w:hAnsi="宋体"/>
          <w:sz w:val="24"/>
          <w:szCs w:val="24"/>
        </w:rPr>
        <w:t xml:space="preserve"> </w:t>
      </w:r>
      <w:bookmarkStart w:id="40" w:name="_Toc28359009"/>
      <w:r/>
      <w:bookmarkStart w:id="41" w:name="_Toc28359086"/>
      <w:r/>
      <w:r/>
    </w:p>
    <w:p>
      <w:pPr>
        <w:ind w:firstLine="480"/>
        <w:spacing w:line="264" w:lineRule="auto"/>
        <w:rPr>
          <w:rFonts w:ascii="宋体" w:hAnsi="宋体"/>
          <w:sz w:val="24"/>
          <w:szCs w:val="24"/>
        </w:rPr>
      </w:pPr>
      <w:r>
        <w:rPr>
          <w:rFonts w:hint="eastAsia" w:ascii="宋体" w:hAnsi="宋体"/>
          <w:sz w:val="24"/>
          <w:szCs w:val="24"/>
        </w:rPr>
        <w:t xml:space="preserve">2.交易中心</w:t>
      </w:r>
      <w:bookmarkEnd w:id="40"/>
      <w:r/>
      <w:bookmarkEnd w:id="41"/>
      <w:r/>
      <w:r/>
    </w:p>
    <w:p>
      <w:pPr>
        <w:ind w:firstLine="480"/>
        <w:spacing w:line="264" w:lineRule="auto"/>
        <w:rPr>
          <w:rFonts w:ascii="宋体" w:hAnsi="宋体"/>
          <w:sz w:val="24"/>
          <w:szCs w:val="24"/>
        </w:rPr>
      </w:pPr>
      <w:r>
        <w:rPr>
          <w:rFonts w:hint="eastAsia" w:ascii="宋体" w:hAnsi="宋体"/>
          <w:sz w:val="24"/>
          <w:szCs w:val="24"/>
        </w:rPr>
        <w:t xml:space="preserve">地　址：南京市建邺区江东中路265号  　　　　　　　　　　　</w:t>
      </w:r>
      <w:r/>
    </w:p>
    <w:p>
      <w:pPr>
        <w:ind w:firstLine="480"/>
        <w:spacing w:line="264" w:lineRule="auto"/>
        <w:rPr>
          <w:rFonts w:ascii="宋体" w:hAnsi="宋体"/>
          <w:sz w:val="24"/>
          <w:szCs w:val="24"/>
        </w:rPr>
      </w:pPr>
      <w:r>
        <w:rPr>
          <w:rFonts w:hint="eastAsia" w:ascii="宋体" w:hAnsi="宋体"/>
          <w:sz w:val="24"/>
          <w:szCs w:val="24"/>
        </w:rPr>
        <w:t xml:space="preserve">联系人：李先生                             </w:t>
      </w:r>
      <w:r/>
    </w:p>
    <w:p>
      <w:pPr>
        <w:ind w:firstLine="480"/>
        <w:spacing w:line="264" w:lineRule="auto"/>
      </w:pPr>
      <w:r>
        <w:rPr>
          <w:rFonts w:hint="eastAsia" w:ascii="宋体" w:hAnsi="宋体"/>
          <w:sz w:val="24"/>
          <w:szCs w:val="24"/>
        </w:rPr>
        <w:t xml:space="preserve">联系电话：025-68505991 </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44"/>
        <w:ind w:firstLine="465"/>
        <w:spacing w:before="145" w:after="145" w:line="240" w:lineRule="auto"/>
        <w:rPr>
          <w:rFonts w:ascii="方正黑体_GBK" w:hAnsi="方正黑体_GBK" w:eastAsia="方正黑体_GBK" w:cs="方正黑体_GBK"/>
          <w:b w:val="0"/>
          <w:bCs w:val="0"/>
          <w:sz w:val="30"/>
          <w:szCs w:val="30"/>
        </w:rPr>
      </w:pPr>
      <w:r/>
      <w:bookmarkStart w:id="47" w:name="_Toc513029203"/>
      <w:r/>
      <w:bookmarkStart w:id="48" w:name="_Toc20823275"/>
      <w:r/>
      <w:bookmarkStart w:id="49" w:name="_Toc120614214"/>
      <w:r/>
      <w:bookmarkStart w:id="50" w:name="_Toc16938519"/>
      <w:r/>
      <w:bookmarkStart w:id="51" w:name="_Toc16938558"/>
      <w:r/>
      <w:bookmarkStart w:id="52" w:name="_Toc479757207"/>
      <w:r/>
      <w:bookmarkStart w:id="53" w:name="_Toc513029242"/>
      <w:r/>
      <w:bookmarkStart w:id="54" w:name="_Toc20823314"/>
      <w:r/>
      <w:bookmarkStart w:id="55" w:name="_Toc120614221"/>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845"/>
        <w:ind w:firstLine="422"/>
        <w:spacing w:before="0" w:after="0" w:line="240" w:lineRule="auto"/>
        <w:rPr>
          <w:rFonts w:ascii="方正楷体_GBK" w:hAnsi="方正楷体_GBK" w:eastAsia="方正楷体_GBK" w:cs="方正楷体_GBK"/>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845"/>
        <w:ind w:firstLine="422"/>
        <w:spacing w:before="0" w:after="0" w:line="240" w:lineRule="auto"/>
        <w:rPr>
          <w:rFonts w:ascii="方正楷体_GBK" w:hAnsi="方正楷体_GBK" w:eastAsia="方正楷体_GBK" w:cs="方正楷体_GBK"/>
        </w:rPr>
      </w:pPr>
      <w:r/>
      <w:bookmarkStart w:id="61" w:name="_Toc513029205"/>
      <w:r/>
      <w:bookmarkStart w:id="62" w:name="_Toc20823277"/>
      <w:r/>
      <w:bookmarkStart w:id="63" w:name="_Toc16938521"/>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845"/>
        <w:ind w:firstLine="422"/>
        <w:spacing w:before="0" w:after="0" w:line="240" w:lineRule="auto"/>
        <w:rPr>
          <w:rFonts w:ascii="方正楷体_GBK" w:hAnsi="方正楷体_GBK" w:eastAsia="方正楷体_GBK" w:cs="方正楷体_GBK"/>
        </w:rPr>
      </w:pPr>
      <w:r/>
      <w:bookmarkStart w:id="64" w:name="_Toc513029206"/>
      <w:r/>
      <w:bookmarkStart w:id="65" w:name="_Toc20823278"/>
      <w:r/>
      <w:bookmarkStart w:id="66" w:name="_Toc16938522"/>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45"/>
        <w:ind w:firstLine="422"/>
        <w:spacing w:before="0" w:after="0" w:line="240" w:lineRule="auto"/>
        <w:rPr>
          <w:rFonts w:ascii="方正楷体_GBK" w:hAnsi="方正楷体_GBK" w:eastAsia="方正楷体_GBK" w:cs="方正楷体_GBK"/>
        </w:rPr>
      </w:pPr>
      <w:r/>
      <w:bookmarkStart w:id="67" w:name="_Toc462564067"/>
      <w:r/>
      <w:bookmarkStart w:id="68" w:name="_Toc16938523"/>
      <w:r/>
      <w:bookmarkStart w:id="69" w:name="_Toc513029207"/>
      <w:r/>
      <w:bookmarkStart w:id="70" w:name="_Toc20823279"/>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844"/>
        <w:ind w:firstLine="465"/>
        <w:spacing w:before="145" w:after="145" w:line="240" w:lineRule="auto"/>
        <w:rPr>
          <w:rFonts w:ascii="方正黑体_GBK" w:hAnsi="方正黑体_GBK" w:eastAsia="方正黑体_GBK" w:cs="方正黑体_GBK"/>
          <w:b w:val="0"/>
          <w:bCs w:val="0"/>
          <w:sz w:val="30"/>
          <w:szCs w:val="30"/>
        </w:rPr>
      </w:pPr>
      <w:r/>
      <w:bookmarkStart w:id="71" w:name="_Toc20823281"/>
      <w:r/>
      <w:bookmarkStart w:id="72" w:name="_Toc16938525"/>
      <w:r/>
      <w:bookmarkStart w:id="73" w:name="_Toc513029209"/>
      <w:r/>
      <w:bookmarkStart w:id="74" w:name="_Toc120614215"/>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
    </w:p>
    <w:p>
      <w:pPr>
        <w:pStyle w:val="845"/>
        <w:ind w:firstLine="422"/>
        <w:spacing w:before="0" w:after="0" w:line="240" w:lineRule="auto"/>
        <w:rPr>
          <w:rFonts w:ascii="方正楷体_GBK" w:hAnsi="方正楷体_GBK" w:eastAsia="方正楷体_GBK" w:cs="方正楷体_GBK"/>
        </w:rPr>
      </w:pPr>
      <w:r/>
      <w:bookmarkStart w:id="75" w:name="_Toc16938526"/>
      <w:r/>
      <w:bookmarkStart w:id="76" w:name="_Toc20823282"/>
      <w:r/>
      <w:bookmarkStart w:id="77" w:name="_Toc513029210"/>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spacing w:before="0" w:after="0" w:line="240" w:lineRule="auto"/>
        <w:rPr>
          <w:rFonts w:ascii="方正楷体_GBK" w:hAnsi="方正楷体_GBK" w:eastAsia="方正楷体_GBK" w:cs="方正楷体_GBK"/>
        </w:rPr>
      </w:pPr>
      <w:r/>
      <w:bookmarkStart w:id="78" w:name="_Toc513029211"/>
      <w:r/>
      <w:bookmarkStart w:id="79" w:name="_Toc16938527"/>
      <w:r/>
      <w:bookmarkStart w:id="80" w:name="_Toc20823283"/>
      <w:r/>
      <w:bookmarkStart w:id="81" w:name="_Toc462564070"/>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45"/>
        <w:ind w:firstLine="422"/>
        <w:spacing w:before="0" w:after="0" w:line="240" w:lineRule="auto"/>
        <w:rPr>
          <w:rFonts w:ascii="方正楷体_GBK" w:hAnsi="方正楷体_GBK" w:eastAsia="方正楷体_GBK" w:cs="方正楷体_GBK"/>
        </w:rPr>
      </w:pPr>
      <w:r/>
      <w:bookmarkStart w:id="82" w:name="_Toc513029212"/>
      <w:r/>
      <w:bookmarkStart w:id="83" w:name="_Toc462564071"/>
      <w:r/>
      <w:bookmarkStart w:id="84" w:name="_Toc16938528"/>
      <w:r/>
      <w:bookmarkStart w:id="85" w:name="_Toc20823284"/>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ascii="宋体" w:hAnsi="宋体"/>
          <w:sz w:val="24"/>
        </w:rPr>
      </w:pPr>
      <w:r/>
      <w:bookmarkStart w:id="86" w:name="_Toc16938529"/>
      <w:r/>
      <w:bookmarkStart w:id="87" w:name="_Toc20823285"/>
      <w:r/>
      <w:bookmarkStart w:id="88" w:name="_Toc120614216"/>
      <w:r/>
      <w:bookmarkStart w:id="89" w:name="_Toc462564072"/>
      <w:r/>
      <w:bookmarkStart w:id="90"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
    </w:p>
    <w:p>
      <w:pPr>
        <w:pStyle w:val="845"/>
        <w:ind w:firstLine="422"/>
        <w:spacing w:before="0" w:after="0" w:line="240" w:lineRule="auto"/>
        <w:rPr>
          <w:rFonts w:ascii="方正楷体_GBK" w:hAnsi="方正楷体_GBK" w:eastAsia="方正楷体_GBK" w:cs="方正楷体_GBK"/>
        </w:rPr>
      </w:pPr>
      <w:r/>
      <w:bookmarkStart w:id="91" w:name="_Toc462564073"/>
      <w:r/>
      <w:bookmarkStart w:id="92" w:name="_Toc513029214"/>
      <w:r/>
      <w:bookmarkStart w:id="93" w:name="_Toc16938530"/>
      <w:r/>
      <w:bookmarkStart w:id="94" w:name="_Toc20823286"/>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45"/>
        <w:ind w:firstLine="422"/>
        <w:spacing w:before="0" w:after="0" w:line="240" w:lineRule="auto"/>
        <w:rPr>
          <w:rFonts w:ascii="方正楷体_GBK" w:hAnsi="方正楷体_GBK" w:eastAsia="方正楷体_GBK" w:cs="方正楷体_GBK"/>
        </w:rPr>
      </w:pPr>
      <w:r/>
      <w:bookmarkStart w:id="95" w:name="_Toc20823287"/>
      <w:r/>
      <w:bookmarkStart w:id="96" w:name="_Toc513029215"/>
      <w:r/>
      <w:bookmarkStart w:id="97" w:name="_Toc462564074"/>
      <w:r/>
      <w:bookmarkStart w:id="98" w:name="_Toc16938531"/>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45"/>
        <w:ind w:firstLine="422"/>
        <w:spacing w:before="0" w:after="0" w:line="240" w:lineRule="auto"/>
        <w:rPr>
          <w:rFonts w:ascii="方正楷体_GBK" w:hAnsi="方正楷体_GBK" w:eastAsia="方正楷体_GBK" w:cs="方正楷体_GBK"/>
        </w:rPr>
      </w:pPr>
      <w:r/>
      <w:bookmarkStart w:id="99" w:name="_Hlt26668975"/>
      <w:r/>
      <w:bookmarkEnd w:id="99"/>
      <w:r/>
      <w:bookmarkStart w:id="100" w:name="_Hlt26670360"/>
      <w:r/>
      <w:bookmarkEnd w:id="100"/>
      <w:r/>
      <w:bookmarkStart w:id="101" w:name="_Hlt26954838"/>
      <w:r/>
      <w:bookmarkEnd w:id="101"/>
      <w:r/>
      <w:bookmarkStart w:id="102" w:name="_Toc14577357"/>
      <w:r/>
      <w:bookmarkStart w:id="103" w:name="_Toc513029219"/>
      <w:r/>
      <w:bookmarkStart w:id="104" w:name="_Toc49090509"/>
      <w:r/>
      <w:bookmarkStart w:id="105" w:name="_Toc14577354"/>
      <w:r/>
      <w:bookmarkStart w:id="106" w:name="_Toc513029216"/>
      <w:r/>
      <w:bookmarkStart w:id="107" w:name="_Toc49090507"/>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45"/>
        <w:ind w:firstLine="422"/>
        <w:spacing w:before="0" w:after="0" w:line="240" w:lineRule="auto"/>
        <w:rPr>
          <w:rFonts w:ascii="方正楷体_GBK" w:hAnsi="方正楷体_GBK" w:eastAsia="方正楷体_GBK" w:cs="方正楷体_GBK"/>
        </w:rPr>
      </w:pPr>
      <w:r/>
      <w:bookmarkStart w:id="113" w:name="_Hlt26670482"/>
      <w:r/>
      <w:bookmarkEnd w:id="113"/>
      <w:r/>
      <w:bookmarkStart w:id="114" w:name="_Hlt26954846"/>
      <w:r/>
      <w:bookmarkEnd w:id="114"/>
      <w:r/>
      <w:bookmarkStart w:id="115" w:name="_Hlt26954844"/>
      <w:r/>
      <w:bookmarkEnd w:id="115"/>
      <w:r/>
      <w:bookmarkStart w:id="116" w:name="_Hlt26670425"/>
      <w:r/>
      <w:bookmarkEnd w:id="116"/>
      <w:r/>
      <w:bookmarkStart w:id="117" w:name="_Hlt26954848"/>
      <w:r/>
      <w:bookmarkEnd w:id="117"/>
      <w:r/>
      <w:bookmarkStart w:id="118" w:name="_Hlt26954842"/>
      <w:r/>
      <w:bookmarkEnd w:id="118"/>
      <w:r/>
      <w:bookmarkStart w:id="119" w:name="_Hlt26670486"/>
      <w:r/>
      <w:bookmarkEnd w:id="119"/>
      <w:r/>
      <w:bookmarkStart w:id="120" w:name="_Hlt26954731"/>
      <w:r/>
      <w:bookmarkEnd w:id="120"/>
      <w:r/>
      <w:bookmarkStart w:id="121" w:name="_Hlt26670403"/>
      <w:r/>
      <w:bookmarkEnd w:id="121"/>
      <w:r/>
      <w:bookmarkStart w:id="122" w:name="_Hlt26668983"/>
      <w:r/>
      <w:bookmarkEnd w:id="122"/>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45"/>
        <w:ind w:firstLine="422"/>
        <w:spacing w:before="0" w:after="0" w:line="240" w:lineRule="auto"/>
        <w:rPr>
          <w:rFonts w:ascii="方正楷体_GBK" w:hAnsi="方正楷体_GBK" w:eastAsia="方正楷体_GBK" w:cs="方正楷体_GBK"/>
        </w:rPr>
      </w:pPr>
      <w:r/>
      <w:bookmarkStart w:id="123" w:name="_Toc49090510"/>
      <w:r/>
      <w:bookmarkStart w:id="124"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3"/>
      <w:r/>
      <w:bookmarkEnd w:id="124"/>
      <w:r/>
      <w:r/>
    </w:p>
    <w:p>
      <w:pPr>
        <w:pStyle w:val="845"/>
        <w:ind w:firstLine="422"/>
        <w:spacing w:before="0" w:after="0" w:line="240" w:lineRule="auto"/>
        <w:rPr>
          <w:rFonts w:ascii="方正楷体_GBK" w:hAnsi="方正楷体_GBK" w:eastAsia="方正楷体_GBK" w:cs="方正楷体_GBK"/>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rPr>
        <w:t xml:space="preserve">15.投标有效期</w:t>
      </w:r>
      <w:bookmarkEnd w:id="128"/>
      <w:r/>
      <w:bookmarkEnd w:id="129"/>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44"/>
        <w:ind w:firstLine="465"/>
        <w:spacing w:before="145" w:after="145" w:line="240" w:lineRule="auto"/>
        <w:rPr>
          <w:rFonts w:ascii="方正黑体_GBK" w:hAnsi="方正黑体_GBK" w:eastAsia="方正黑体_GBK" w:cs="方正黑体_GBK"/>
          <w:b w:val="0"/>
          <w:bCs w:val="0"/>
          <w:sz w:val="30"/>
          <w:szCs w:val="30"/>
        </w:rPr>
      </w:pPr>
      <w:r/>
      <w:bookmarkStart w:id="130" w:name="_Hlt26954852"/>
      <w:r/>
      <w:bookmarkEnd w:id="130"/>
      <w:r/>
      <w:bookmarkStart w:id="131" w:name="_Hlt26954739"/>
      <w:r/>
      <w:bookmarkEnd w:id="131"/>
      <w:r/>
      <w:bookmarkStart w:id="132" w:name="_Toc20823296"/>
      <w:r/>
      <w:bookmarkStart w:id="133" w:name="_Toc513029224"/>
      <w:r/>
      <w:bookmarkStart w:id="134" w:name="_Toc16938540"/>
      <w:r/>
      <w:bookmarkStart w:id="135" w:name="_Toc120614217"/>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
    </w:p>
    <w:p>
      <w:pPr>
        <w:pStyle w:val="845"/>
        <w:ind w:firstLine="422"/>
        <w:spacing w:before="0" w:after="0" w:line="240" w:lineRule="auto"/>
        <w:rPr>
          <w:rFonts w:ascii="方正楷体_GBK" w:hAnsi="方正楷体_GBK" w:eastAsia="方正楷体_GBK" w:cs="方正楷体_GBK"/>
        </w:rPr>
      </w:pPr>
      <w:r/>
      <w:bookmarkStart w:id="136" w:name="_Toc16938541"/>
      <w:r/>
      <w:bookmarkStart w:id="137" w:name="_Toc462564084"/>
      <w:r/>
      <w:bookmarkStart w:id="138" w:name="_Toc20823297"/>
      <w:r/>
      <w:bookmarkStart w:id="139" w:name="_Toc513029225"/>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bookmarkEnd w:id="140"/>
      <w:r/>
      <w:bookmarkEnd w:id="141"/>
      <w:r/>
      <w:bookmarkEnd w:id="142"/>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45"/>
        <w:ind w:firstLine="422"/>
        <w:spacing w:before="0" w:after="0" w:line="240" w:lineRule="auto"/>
        <w:rPr>
          <w:rFonts w:ascii="方正楷体_GBK" w:hAnsi="方正楷体_GBK" w:eastAsia="方正楷体_GBK" w:cs="方正楷体_GBK"/>
        </w:rPr>
      </w:pPr>
      <w:r/>
      <w:bookmarkStart w:id="143" w:name="_Toc20823299"/>
      <w:r/>
      <w:bookmarkStart w:id="144" w:name="_Toc16938543"/>
      <w:r/>
      <w:bookmarkStart w:id="145" w:name="_Toc513029227"/>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w:t>
      </w:r>
      <w:r>
        <w:rPr>
          <w:rFonts w:hint="eastAsia" w:ascii="宋体" w:hAnsi="宋体"/>
          <w:sz w:val="24"/>
        </w:rPr>
        <w:t xml:space="preserve">将被</w:t>
      </w:r>
      <w:r>
        <w:rPr>
          <w:rFonts w:hint="eastAsia" w:ascii="宋体" w:hAnsi="宋体"/>
          <w:sz w:val="24"/>
          <w:lang w:val="zh-CN"/>
        </w:rPr>
        <w:t xml:space="preserve">拒绝。</w:t>
      </w:r>
      <w:r/>
    </w:p>
    <w:p>
      <w:pPr>
        <w:pStyle w:val="845"/>
        <w:ind w:firstLine="422"/>
        <w:spacing w:before="0" w:after="0" w:line="240" w:lineRule="auto"/>
        <w:rPr>
          <w:rFonts w:ascii="方正楷体_GBK" w:hAnsi="方正楷体_GBK" w:eastAsia="方正楷体_GBK" w:cs="方正楷体_GBK"/>
        </w:rPr>
      </w:pPr>
      <w:r/>
      <w:bookmarkStart w:id="146" w:name="_Toc16938544"/>
      <w:r/>
      <w:bookmarkStart w:id="147" w:name="_Toc20823300"/>
      <w:r/>
      <w:bookmarkStart w:id="148" w:name="_Toc513029228"/>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20823301"/>
      <w:r/>
      <w:bookmarkStart w:id="150" w:name="_Toc16938545"/>
      <w:r/>
      <w:bookmarkStart w:id="151" w:name="_Toc513029229"/>
      <w:r/>
      <w:bookmarkStart w:id="152" w:name="_Toc120614218"/>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
    </w:p>
    <w:p>
      <w:pPr>
        <w:pStyle w:val="845"/>
        <w:ind w:firstLine="422"/>
        <w:spacing w:before="0" w:after="0" w:line="240" w:lineRule="auto"/>
        <w:rPr>
          <w:rFonts w:ascii="方正楷体_GBK" w:hAnsi="方正楷体_GBK" w:eastAsia="方正楷体_GBK" w:cs="方正楷体_GBK"/>
        </w:rPr>
      </w:pPr>
      <w:r/>
      <w:bookmarkStart w:id="153" w:name="_Toc513029230"/>
      <w:r/>
      <w:bookmarkStart w:id="154" w:name="_Toc16938546"/>
      <w:r/>
      <w:bookmarkStart w:id="155" w:name="_Toc20823302"/>
      <w:r>
        <w:rPr>
          <w:rFonts w:hint="eastAsia" w:ascii="方正楷体_GBK" w:hAnsi="方正楷体_GBK" w:eastAsia="方正楷体_GBK" w:cs="方正楷体_GBK"/>
        </w:rPr>
        <w:t xml:space="preserve">20.开标</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45"/>
        <w:ind w:firstLine="422"/>
        <w:spacing w:before="0" w:after="0" w:line="240" w:lineRule="auto"/>
        <w:rPr>
          <w:rFonts w:ascii="方正楷体_GBK" w:hAnsi="方正楷体_GBK" w:eastAsia="方正楷体_GBK" w:cs="方正楷体_GBK"/>
        </w:rPr>
      </w:pPr>
      <w:r/>
      <w:bookmarkStart w:id="156" w:name="_Toc16938547"/>
      <w:r/>
      <w:bookmarkStart w:id="157" w:name="_Toc20823303"/>
      <w:r/>
      <w:bookmarkStart w:id="158" w:name="_Toc513029231"/>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845"/>
        <w:ind w:firstLine="422"/>
        <w:spacing w:before="0" w:after="0" w:line="240" w:lineRule="auto"/>
        <w:rPr>
          <w:rFonts w:ascii="方正楷体_GBK" w:hAnsi="方正楷体_GBK" w:eastAsia="方正楷体_GBK" w:cs="方正楷体_GBK"/>
        </w:rPr>
      </w:pPr>
      <w:r/>
      <w:bookmarkStart w:id="159" w:name="_Toc20823304"/>
      <w:r/>
      <w:bookmarkStart w:id="160" w:name="_Toc16938548"/>
      <w:r/>
      <w:bookmarkStart w:id="161" w:name="_Toc513029232"/>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45"/>
        <w:ind w:firstLine="422"/>
        <w:spacing w:before="0" w:after="0" w:line="240" w:lineRule="auto"/>
        <w:rPr>
          <w:rFonts w:ascii="方正楷体_GBK" w:hAnsi="方正楷体_GBK" w:eastAsia="方正楷体_GBK" w:cs="方正楷体_GBK"/>
        </w:rPr>
      </w:pPr>
      <w:r/>
      <w:bookmarkStart w:id="162" w:name="_Toc513029233"/>
      <w:r/>
      <w:bookmarkStart w:id="163" w:name="_Toc20823305"/>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5" w:name="_Toc513029234"/>
      <w:r/>
      <w:bookmarkStart w:id="166" w:name="_Toc16938550"/>
      <w:r/>
      <w:bookmarkStart w:id="167"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color w:val="auto"/>
          <w:sz w:val="24"/>
          <w:lang w:val="zh-CN"/>
        </w:rPr>
      </w:pPr>
      <w:r>
        <w:rPr>
          <w:rFonts w:hint="eastAsia" w:ascii="宋体" w:hAnsi="宋体"/>
          <w:sz w:val="24"/>
          <w:lang w:val="zh-CN"/>
        </w:rPr>
        <w:t xml:space="preserve">（1）投标报价低于全部</w:t>
      </w:r>
      <w:r>
        <w:rPr>
          <w:rFonts w:hint="eastAsia" w:ascii="宋体" w:hAnsi="宋体"/>
          <w:color w:val="auto"/>
          <w:sz w:val="24"/>
          <w:lang w:val="zh-CN"/>
        </w:rPr>
        <w:t xml:space="preserve">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（2）投标报价低于通过符合性审查的次低报价供应商投标报价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（3）投标报价低于采购项目最高限价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的，即投标报价&lt;采购项目最高限价×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（4）评委会基于专业判断，认为供应商报价过低，有可能影响产品质量或者不能诚信履约的其他情形。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评委会启动异常低价审查后，属于前述第（1）项至第（4）项情形的，应当要求相关供应商在评审现场合理的时间内对投标价格作出解释，提供</w:t>
      </w:r>
      <w:bookmarkStart w:id="210" w:name="_GoBack"/>
      <w:r/>
      <w:bookmarkEnd w:id="210"/>
      <w:r>
        <w:rPr>
          <w:rFonts w:hint="eastAsia" w:ascii="宋体" w:hAnsi="宋体"/>
          <w:color w:val="auto"/>
          <w:sz w:val="24"/>
          <w:lang w:val="zh-CN"/>
        </w:rPr>
        <w:t xml:space="preserve">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color w:val="auto"/>
          <w:sz w:val="24"/>
          <w:lang w:val="zh-CN"/>
        </w:rPr>
        <w:t xml:space="preserve">供应商已随投标文件一并提交相关书面说明及必要的证明材料的，在评标现场可不再重复提交</w:t>
      </w:r>
      <w:bookmarkEnd w:id="168"/>
      <w:r>
        <w:rPr>
          <w:rFonts w:hint="eastAsia" w:ascii="宋体" w:hAnsi="宋体"/>
          <w:color w:val="auto"/>
          <w:sz w:val="24"/>
          <w:lang w:val="zh-CN"/>
        </w:rPr>
        <w:t xml:space="preserve">。</w:t>
      </w:r>
      <w:r/>
    </w:p>
    <w:p>
      <w:pPr>
        <w:ind w:firstLine="420"/>
        <w:rPr>
          <w:color w:val="auto"/>
          <w:lang w:val="zh-CN"/>
        </w:rPr>
      </w:pPr>
      <w:r>
        <w:rPr>
          <w:rFonts w:hint="eastAsia" w:ascii="宋体" w:hAnsi="宋体"/>
          <w:color w:val="auto"/>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45"/>
        <w:ind w:firstLine="422"/>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bookmarkEnd w:id="165"/>
      <w:r/>
      <w:bookmarkEnd w:id="166"/>
      <w:r/>
      <w:bookmarkEnd w:id="167"/>
      <w:r>
        <w:rPr>
          <w:rFonts w:hint="eastAsia" w:ascii="方正楷体_GBK" w:hAnsi="方正楷体_GBK" w:eastAsia="方正楷体_GBK" w:cs="方正楷体_GBK"/>
          <w:color w:val="auto"/>
        </w:rPr>
        <w:t xml:space="preserve">5.无效投标和废标</w:t>
      </w:r>
      <w:r/>
    </w:p>
    <w:p>
      <w:pPr>
        <w:ind w:firstLine="420"/>
        <w:rPr>
          <w:rFonts w:ascii="宋体" w:hAnsi="宋体"/>
          <w:color w:val="auto"/>
          <w:sz w:val="24"/>
          <w:lang w:val="zh-CN"/>
        </w:rPr>
      </w:pPr>
      <w:r/>
      <w:bookmarkStart w:id="169" w:name="_Toc20823307"/>
      <w:r/>
      <w:bookmarkStart w:id="170" w:name="_Toc513029235"/>
      <w:r/>
      <w:bookmarkStart w:id="171" w:name="_Toc16938551"/>
      <w:r/>
      <w:bookmarkStart w:id="172" w:name="_Toc120614219"/>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无效投标情形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投标人在苏采云系统规定的时间内未成功解密电子投标文件。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投标人未按照招标文件要求上传电子投标文件。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同一投标人提交两个（含两个）以上不同的投标报价。</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.1.4</w:t>
      </w:r>
      <w:r>
        <w:rPr>
          <w:rFonts w:hint="eastAsia" w:ascii="宋体" w:hAnsi="宋体"/>
          <w:color w:val="auto"/>
          <w:sz w:val="24"/>
        </w:rPr>
        <w:t xml:space="preserve"> </w:t>
      </w:r>
      <w:r>
        <w:rPr>
          <w:rFonts w:hint="eastAsia" w:ascii="宋体" w:hAnsi="宋体"/>
          <w:color w:val="auto"/>
          <w:sz w:val="24"/>
          <w:lang w:val="zh-CN"/>
        </w:rPr>
        <w:t xml:space="preserve">投标人不具备招标文件中规定资格要求。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.1.5</w:t>
      </w:r>
      <w:r>
        <w:rPr>
          <w:rFonts w:hint="eastAsia" w:ascii="宋体" w:hAnsi="宋体"/>
          <w:color w:val="auto"/>
          <w:sz w:val="24"/>
        </w:rPr>
        <w:t xml:space="preserve"> </w:t>
      </w:r>
      <w:r>
        <w:rPr>
          <w:rFonts w:hint="eastAsia" w:ascii="宋体" w:hAnsi="宋体"/>
          <w:color w:val="auto"/>
          <w:sz w:val="24"/>
          <w:lang w:val="zh-CN"/>
        </w:rPr>
        <w:t xml:space="preserve">投标人的报价超过了采购预算或最高限价</w:t>
      </w:r>
      <w:r>
        <w:rPr>
          <w:rFonts w:hint="eastAsia" w:ascii="宋体" w:hAnsi="宋体"/>
          <w:color w:val="auto"/>
          <w:sz w:val="24"/>
        </w:rPr>
        <w:t xml:space="preserve">或单价上限</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.1.6</w:t>
      </w:r>
      <w:r>
        <w:rPr>
          <w:rFonts w:hint="eastAsia" w:ascii="宋体" w:hAnsi="宋体"/>
          <w:color w:val="auto"/>
          <w:sz w:val="24"/>
        </w:rPr>
        <w:t xml:space="preserve"> </w:t>
      </w:r>
      <w:r>
        <w:rPr>
          <w:rFonts w:hint="eastAsia" w:ascii="宋体" w:hAnsi="宋体"/>
          <w:color w:val="auto"/>
          <w:sz w:val="24"/>
          <w:lang w:val="zh-CN"/>
        </w:rPr>
        <w:t xml:space="preserve">未通过符合性审查。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.1.7</w:t>
      </w:r>
      <w:r>
        <w:rPr>
          <w:rFonts w:hint="eastAsia" w:ascii="宋体" w:hAnsi="宋体"/>
          <w:color w:val="auto"/>
          <w:sz w:val="24"/>
        </w:rPr>
        <w:t xml:space="preserve"> </w:t>
      </w:r>
      <w:r>
        <w:rPr>
          <w:rFonts w:hint="eastAsia" w:ascii="宋体" w:hAnsi="宋体"/>
          <w:color w:val="auto"/>
          <w:sz w:val="24"/>
          <w:lang w:val="zh-CN"/>
        </w:rPr>
        <w:t xml:space="preserve">不符合招标文件中实质性要求和条件（</w:t>
      </w:r>
      <w:r>
        <w:rPr>
          <w:rFonts w:hint="eastAsia" w:ascii="宋体" w:hAnsi="宋体"/>
          <w:b/>
          <w:bCs/>
          <w:color w:val="auto"/>
          <w:sz w:val="24"/>
          <w:lang w:val="zh-CN"/>
        </w:rPr>
        <w:t xml:space="preserve">本文件中斜体且有下划线部分，或者打“</w:t>
      </w:r>
      <w:r>
        <w:rPr>
          <w:rFonts w:hint="eastAsia" w:ascii="宋体" w:hAnsi="宋体"/>
          <w:b/>
          <w:bCs/>
          <w:color w:val="auto"/>
          <w:sz w:val="24"/>
        </w:rPr>
        <w:t xml:space="preserve">★</w:t>
      </w:r>
      <w:r>
        <w:rPr>
          <w:rFonts w:hint="eastAsia" w:ascii="宋体" w:hAnsi="宋体"/>
          <w:b/>
          <w:bCs/>
          <w:color w:val="auto"/>
          <w:sz w:val="24"/>
          <w:lang w:val="zh-CN"/>
        </w:rPr>
        <w:t xml:space="preserve">”内容为实质性要求和条件</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.1.8</w:t>
      </w:r>
      <w:r>
        <w:rPr>
          <w:rFonts w:hint="eastAsia" w:ascii="宋体" w:hAnsi="宋体"/>
          <w:color w:val="auto"/>
          <w:sz w:val="24"/>
        </w:rPr>
        <w:t xml:space="preserve"> </w:t>
      </w:r>
      <w:r>
        <w:rPr>
          <w:rFonts w:hint="eastAsia" w:ascii="宋体" w:hAnsi="宋体"/>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.1.9</w:t>
      </w:r>
      <w:r>
        <w:rPr>
          <w:rFonts w:hint="eastAsia" w:ascii="宋体" w:hAnsi="宋体"/>
          <w:color w:val="auto"/>
          <w:sz w:val="24"/>
        </w:rPr>
        <w:t xml:space="preserve"> </w:t>
      </w:r>
      <w:r>
        <w:rPr>
          <w:rFonts w:hint="eastAsia" w:ascii="宋体" w:hAnsi="宋体"/>
          <w:color w:val="auto"/>
          <w:sz w:val="24"/>
          <w:lang w:val="zh-CN"/>
        </w:rPr>
        <w:t xml:space="preserve">投标文件含有采购人不能接受的附加条件。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.1.10</w:t>
      </w:r>
      <w:r>
        <w:rPr>
          <w:rFonts w:hint="eastAsia" w:ascii="宋体" w:hAnsi="宋体"/>
          <w:color w:val="auto"/>
          <w:sz w:val="24"/>
        </w:rPr>
        <w:t xml:space="preserve"> </w:t>
      </w:r>
      <w:r>
        <w:rPr>
          <w:rFonts w:hint="eastAsia" w:ascii="宋体" w:hAnsi="宋体"/>
          <w:color w:val="auto"/>
          <w:sz w:val="24"/>
          <w:lang w:val="zh-CN"/>
        </w:rPr>
        <w:t xml:space="preserve">评委会</w:t>
      </w:r>
      <w:r>
        <w:rPr>
          <w:rFonts w:hint="eastAsia" w:ascii="宋体" w:hAnsi="宋体"/>
          <w:color w:val="auto"/>
          <w:sz w:val="24"/>
          <w:szCs w:val="21"/>
        </w:rPr>
        <w:t xml:space="preserve">按照本招标文件规定对投标人进行异常低价审查后，认为投标人不能证明其报价合理性的。</w:t>
      </w:r>
      <w:r/>
    </w:p>
    <w:p>
      <w:pPr>
        <w:ind w:firstLine="420"/>
        <w:rPr>
          <w:rFonts w:ascii="宋体" w:hAnsi="宋体"/>
          <w:color w:val="auto"/>
          <w:sz w:val="24"/>
          <w:lang w:val="zh-CN"/>
        </w:rPr>
      </w:pPr>
      <w:r>
        <w:rPr>
          <w:rFonts w:hint="eastAsia" w:ascii="宋体" w:hAnsi="宋体"/>
          <w:color w:val="auto"/>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2 </w:t>
      </w:r>
      <w:r>
        <w:rPr>
          <w:rFonts w:hint="eastAsia" w:ascii="宋体" w:hAnsi="宋体"/>
          <w:color w:val="auto"/>
          <w:sz w:val="24"/>
          <w:lang w:val="zh-CN"/>
        </w:rPr>
        <w:t xml:space="preserve">投标文件未按照招标文件要求加盖电子公章。</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3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废标情形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符合资格条件的供应商或者对招标文件作实质响应的供应商不足三家。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出现影响采购公正的违法、违规行为。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因重大变故采购任务取消。</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.2.4</w:t>
      </w:r>
      <w:r>
        <w:rPr>
          <w:rFonts w:hint="eastAsia" w:ascii="宋体" w:hAnsi="宋体"/>
          <w:color w:val="auto"/>
          <w:sz w:val="24"/>
        </w:rPr>
        <w:t xml:space="preserve"> </w:t>
      </w:r>
      <w:r>
        <w:rPr>
          <w:rFonts w:hint="eastAsia" w:ascii="宋体" w:hAnsi="宋体"/>
          <w:color w:val="auto"/>
          <w:sz w:val="24"/>
          <w:lang w:val="zh-CN"/>
        </w:rPr>
        <w:t xml:space="preserve">评委会认定招标文件存在歧义、重大缺陷导致评审工作无法进行。</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.2.5</w:t>
      </w:r>
      <w:r>
        <w:rPr>
          <w:rFonts w:hint="eastAsia" w:ascii="宋体" w:hAnsi="宋体"/>
          <w:color w:val="auto"/>
          <w:sz w:val="24"/>
        </w:rPr>
        <w:t xml:space="preserve"> </w:t>
      </w:r>
      <w:r>
        <w:rPr>
          <w:rFonts w:hint="eastAsia" w:ascii="宋体" w:hAnsi="宋体"/>
          <w:color w:val="auto"/>
          <w:sz w:val="24"/>
          <w:lang w:val="zh-CN"/>
        </w:rPr>
        <w:t xml:space="preserve">因苏采云系统故障造成开标不成功。</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.3 如出现投标截止时间后参加投标的供应商或者对招标文件作出实质</w:t>
      </w:r>
      <w:r>
        <w:rPr>
          <w:rFonts w:hint="eastAsia" w:ascii="宋体" w:hAnsi="宋体"/>
          <w:color w:val="auto"/>
          <w:sz w:val="24"/>
        </w:rPr>
        <w:t xml:space="preserve">性</w:t>
      </w:r>
      <w:r>
        <w:rPr>
          <w:rFonts w:hint="eastAsia" w:ascii="宋体" w:hAnsi="宋体"/>
          <w:color w:val="auto"/>
          <w:sz w:val="24"/>
          <w:lang w:val="zh-CN"/>
        </w:rPr>
        <w:t xml:space="preserve">响应的供应商不足三家</w:t>
      </w:r>
      <w:r>
        <w:rPr>
          <w:rFonts w:hint="eastAsia" w:ascii="宋体" w:hAnsi="宋体"/>
          <w:color w:val="auto"/>
          <w:sz w:val="24"/>
        </w:rPr>
        <w:t xml:space="preserve">的</w:t>
      </w:r>
      <w:r>
        <w:rPr>
          <w:rFonts w:hint="eastAsia" w:ascii="宋体" w:hAnsi="宋体"/>
          <w:color w:val="auto"/>
          <w:sz w:val="24"/>
          <w:lang w:val="zh-CN"/>
        </w:rPr>
        <w:t xml:space="preserve">情况，按政府采购相关规定执行。</w:t>
      </w:r>
      <w:r/>
    </w:p>
    <w:p>
      <w:pPr>
        <w:ind w:firstLine="422"/>
        <w:rPr>
          <w:rFonts w:ascii="宋体" w:hAnsi="宋体"/>
          <w:b/>
          <w:bCs/>
          <w:color w:val="auto"/>
          <w:sz w:val="24"/>
        </w:rPr>
      </w:pPr>
      <w:r>
        <w:rPr>
          <w:rFonts w:hint="eastAsia" w:ascii="宋体" w:hAnsi="宋体"/>
          <w:b/>
          <w:bCs/>
          <w:color w:val="auto"/>
          <w:sz w:val="24"/>
          <w:lang w:val="zh-CN"/>
        </w:rPr>
        <w:t xml:space="preserve">25.4 如出现25.2.1或25.3情形，招标活动失败，评审委员会</w:t>
      </w:r>
      <w:r>
        <w:rPr>
          <w:rFonts w:hint="eastAsia" w:ascii="宋体" w:hAnsi="宋体"/>
          <w:b/>
          <w:bCs/>
          <w:color w:val="auto"/>
          <w:sz w:val="24"/>
        </w:rPr>
        <w:t xml:space="preserve">应</w:t>
      </w:r>
      <w:r>
        <w:rPr>
          <w:rFonts w:hint="eastAsia" w:ascii="宋体" w:hAnsi="宋体"/>
          <w:b/>
          <w:bCs/>
          <w:color w:val="auto"/>
          <w:sz w:val="24"/>
          <w:lang w:bidi="ar"/>
        </w:rPr>
        <w:t xml:space="preserve">对</w:t>
      </w:r>
      <w:r>
        <w:rPr>
          <w:rFonts w:hint="eastAsia" w:ascii="宋体" w:hAnsi="宋体"/>
          <w:b/>
          <w:bCs/>
          <w:color w:val="auto"/>
          <w:sz w:val="24"/>
          <w:lang w:val="zh-CN" w:bidi="ar"/>
        </w:rPr>
        <w:t xml:space="preserve">招标文件是否存在不合理条款</w:t>
      </w:r>
      <w:r>
        <w:rPr>
          <w:rFonts w:hint="eastAsia" w:ascii="宋体" w:hAnsi="宋体"/>
          <w:b/>
          <w:bCs/>
          <w:color w:val="auto"/>
          <w:sz w:val="24"/>
          <w:lang w:bidi="ar"/>
        </w:rPr>
        <w:t xml:space="preserve">进行论证，并在评审报告中写明</w:t>
      </w:r>
      <w:r>
        <w:rPr>
          <w:rFonts w:hint="eastAsia" w:ascii="宋体" w:hAnsi="宋体"/>
          <w:b/>
          <w:bCs/>
          <w:color w:val="auto"/>
          <w:sz w:val="24"/>
          <w:lang w:val="zh-CN" w:bidi="ar"/>
        </w:rPr>
        <w:t xml:space="preserve">论证意见。</w:t>
      </w:r>
      <w:r/>
    </w:p>
    <w:p>
      <w:pPr>
        <w:pStyle w:val="844"/>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69"/>
      <w:r/>
      <w:bookmarkEnd w:id="170"/>
      <w:r/>
      <w:bookmarkEnd w:id="171"/>
      <w:r>
        <w:rPr>
          <w:rFonts w:hint="eastAsia" w:ascii="方正黑体_GBK" w:hAnsi="方正黑体_GBK" w:eastAsia="方正黑体_GBK" w:cs="方正黑体_GBK"/>
          <w:b w:val="0"/>
          <w:bCs w:val="0"/>
          <w:color w:val="auto"/>
          <w:sz w:val="30"/>
          <w:szCs w:val="30"/>
        </w:rPr>
        <w:t xml:space="preserve">定标</w:t>
      </w:r>
      <w:bookmarkEnd w:id="172"/>
      <w:r/>
      <w:r/>
    </w:p>
    <w:p>
      <w:pPr>
        <w:pStyle w:val="845"/>
        <w:ind w:firstLine="422"/>
        <w:spacing w:before="0" w:after="0" w:line="240" w:lineRule="auto"/>
        <w:rPr>
          <w:rFonts w:ascii="方正楷体_GBK" w:hAnsi="方正楷体_GBK" w:eastAsia="方正楷体_GBK" w:cs="方正楷体_GBK"/>
        </w:rPr>
      </w:pPr>
      <w:r/>
      <w:bookmarkStart w:id="173" w:name="_Toc513029238"/>
      <w:r/>
      <w:bookmarkStart w:id="174" w:name="_Toc16938554"/>
      <w:r/>
      <w:bookmarkStart w:id="175" w:name="_Toc20823310"/>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26.4.1 提供虚假材料谋取中标。</w:t>
      </w:r>
      <w:r/>
    </w:p>
    <w:p>
      <w:pPr>
        <w:ind w:firstLine="420"/>
        <w:rPr>
          <w:rFonts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26.4.5 采取不正当手段诋毁、排挤其他供应商。</w:t>
      </w:r>
      <w:r/>
    </w:p>
    <w:p>
      <w:pPr>
        <w:ind w:firstLine="420"/>
        <w:rPr>
          <w:rFonts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6"/>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44"/>
        <w:ind w:firstLine="465"/>
        <w:spacing w:before="145" w:after="145" w:line="240" w:lineRule="auto"/>
        <w:rPr>
          <w:rFonts w:ascii="方正黑体_GBK" w:hAnsi="方正黑体_GBK" w:eastAsia="方正黑体_GBK" w:cs="方正黑体_GBK"/>
          <w:b w:val="0"/>
          <w:bCs w:val="0"/>
          <w:sz w:val="30"/>
          <w:szCs w:val="30"/>
        </w:rPr>
      </w:pPr>
      <w:r/>
      <w:bookmarkStart w:id="177" w:name="_Toc120614220"/>
      <w:r/>
      <w:bookmarkStart w:id="178" w:name="_Toc513029236"/>
      <w:r/>
      <w:bookmarkStart w:id="179" w:name="_Toc16938552"/>
      <w:r/>
      <w:bookmarkStart w:id="180" w:name="_Toc20823308"/>
      <w:r>
        <w:rPr>
          <w:rFonts w:hint="eastAsia" w:ascii="方正黑体_GBK" w:hAnsi="方正黑体_GBK" w:eastAsia="方正黑体_GBK" w:cs="方正黑体_GBK"/>
          <w:b w:val="0"/>
          <w:bCs w:val="0"/>
          <w:sz w:val="30"/>
          <w:szCs w:val="30"/>
        </w:rPr>
        <w:t xml:space="preserve">七、授予合同</w:t>
      </w:r>
      <w:bookmarkEnd w:id="177"/>
      <w:r/>
      <w:bookmarkEnd w:id="178"/>
      <w:r/>
      <w:bookmarkEnd w:id="179"/>
      <w:r/>
      <w:bookmarkEnd w:id="180"/>
      <w:r/>
      <w:r/>
    </w:p>
    <w:p>
      <w:pPr>
        <w:pStyle w:val="845"/>
        <w:ind w:firstLine="422"/>
        <w:spacing w:before="0" w:after="0" w:line="240" w:lineRule="auto"/>
        <w:rPr>
          <w:rFonts w:ascii="方正楷体_GBK" w:hAnsi="方正楷体_GBK" w:eastAsia="方正楷体_GBK" w:cs="方正楷体_GBK"/>
        </w:rPr>
      </w:pPr>
      <w:r/>
      <w:bookmarkStart w:id="181" w:name="_Toc20823309"/>
      <w:r/>
      <w:bookmarkStart w:id="182" w:name="_Toc16938553"/>
      <w:r/>
      <w:bookmarkStart w:id="183" w:name="_Toc513029237"/>
      <w:r>
        <w:rPr>
          <w:rFonts w:hint="eastAsia" w:ascii="方正楷体_GBK" w:hAnsi="方正楷体_GBK" w:eastAsia="方正楷体_GBK" w:cs="方正楷体_GBK"/>
        </w:rPr>
        <w:t xml:space="preserve">28.签订合同</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w:t>
      </w:r>
      <w:r>
        <w:rPr>
          <w:rFonts w:hint="eastAsia" w:ascii="宋体" w:hAnsi="宋体"/>
          <w:sz w:val="24"/>
        </w:rPr>
        <w:t xml:space="preserve">分</w:t>
      </w:r>
      <w:r>
        <w:rPr>
          <w:rFonts w:hint="eastAsia" w:ascii="宋体" w:hAnsi="宋体"/>
          <w:sz w:val="24"/>
          <w:lang w:val="zh-CN"/>
        </w:rPr>
        <w:t xml:space="preserve">包的形式履行合同，否则采购人有权终止合同。转包或</w:t>
      </w:r>
      <w:r>
        <w:rPr>
          <w:rFonts w:hint="eastAsia" w:ascii="宋体" w:hAnsi="宋体"/>
          <w:sz w:val="24"/>
        </w:rPr>
        <w:t xml:space="preserve">分</w:t>
      </w:r>
      <w:r>
        <w:rPr>
          <w:rFonts w:hint="eastAsia" w:ascii="宋体" w:hAnsi="宋体"/>
          <w:sz w:val="24"/>
          <w:lang w:val="zh-CN"/>
        </w:rPr>
        <w:t xml:space="preserve">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1"/>
      <w:r/>
      <w:bookmarkEnd w:id="182"/>
      <w:r/>
      <w:bookmarkEnd w:id="183"/>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w:t>
      </w:r>
      <w:r>
        <w:rPr>
          <w:rFonts w:ascii="宋体" w:hAnsi="宋体"/>
          <w:sz w:val="24"/>
        </w:rPr>
        <w:t xml:space="preserve">且</w:t>
      </w:r>
      <w:r>
        <w:rPr>
          <w:rFonts w:hint="eastAsia" w:ascii="宋体" w:hAnsi="宋体"/>
          <w:sz w:val="24"/>
          <w:lang w:val="zh-CN"/>
        </w:rPr>
        <w:t xml:space="preserve">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供应商根据质疑事项向相应的质疑答复主体提出质疑，联系人：张老师 </w:t>
      </w:r>
      <w:r>
        <w:rPr>
          <w:rFonts w:ascii="宋体" w:hAnsi="宋体"/>
          <w:b/>
          <w:bCs/>
          <w:sz w:val="24"/>
        </w:rPr>
        <w:t xml:space="preserve">025-83105006，联系地址：南京市玄武区双龙巷</w:t>
      </w:r>
      <w:r>
        <w:rPr>
          <w:rFonts w:hint="eastAsia" w:ascii="宋体" w:hAnsi="宋体"/>
          <w:b/>
          <w:bCs/>
          <w:sz w:val="24"/>
        </w:rPr>
        <w:t xml:space="preserve">5号4楼4</w:t>
      </w:r>
      <w:r>
        <w:rPr>
          <w:rFonts w:ascii="宋体" w:hAnsi="宋体"/>
          <w:b/>
          <w:bCs/>
          <w:sz w:val="24"/>
        </w:rPr>
        <w:t xml:space="preserve">10</w:t>
      </w:r>
      <w:r>
        <w:rPr>
          <w:rFonts w:hint="eastAsia" w:ascii="宋体" w:hAnsi="宋体"/>
          <w:b/>
          <w:bCs/>
          <w:sz w:val="24"/>
        </w:rPr>
        <w:t xml:space="preserve">。由采购人负责答复的质疑，采购人将《质疑函》《质疑答复函》抄送交易中心。</w:t>
      </w:r>
      <w:r>
        <w:rPr>
          <w:rFonts w:hint="eastAsia" w:ascii="宋体" w:hAnsi="宋体"/>
          <w:b/>
          <w:bCs/>
          <w:sz w:val="24"/>
          <w:lang w:val="zh-CN"/>
        </w:rPr>
        <w:t xml:space="preserve">  </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w:t>
      </w:r>
      <w:r>
        <w:rPr>
          <w:rFonts w:hint="eastAsia" w:ascii="宋体" w:hAnsi="宋体"/>
          <w:sz w:val="24"/>
          <w:lang w:val="zh-CN"/>
        </w:rPr>
        <w:t xml:space="preserve">本项目中的货物全部由中小企业制造的，投标供应商享受中小企业扶持政策。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5"/>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22"/>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22"/>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22"/>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922"/>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84" w:name="_Toc16938559"/>
      <w:r/>
      <w:bookmarkStart w:id="185" w:name="_Toc20823315"/>
      <w:r/>
      <w:bookmarkStart w:id="186" w:name="_Toc513029243"/>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66"/>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w:t>
      </w:r>
      <w:r>
        <w:rPr>
          <w:rFonts w:hint="eastAsia" w:ascii="宋体" w:hAnsi="宋体" w:cs="Courier New"/>
          <w:color w:val="000000"/>
          <w:sz w:val="24"/>
          <w:szCs w:val="24"/>
        </w:rPr>
        <w:t xml:space="preserve">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66"/>
        <w:spacing w:line="264" w:lineRule="auto"/>
        <w:rPr>
          <w:rFonts w:hAnsi="宋体"/>
          <w:sz w:val="24"/>
          <w:szCs w:val="24"/>
        </w:rPr>
        <w:outlineLvl w:val="3"/>
      </w:pPr>
      <w:r>
        <w:rPr>
          <w:rFonts w:hint="eastAsia" w:hAnsi="宋体"/>
          <w:sz w:val="24"/>
          <w:szCs w:val="24"/>
        </w:rPr>
        <w:t xml:space="preserve">8.1 合同款项的支付方式及时间</w:t>
      </w:r>
      <w:r/>
    </w:p>
    <w:p>
      <w:pPr>
        <w:pStyle w:val="866"/>
        <w:spacing w:line="264" w:lineRule="auto"/>
        <w:rPr>
          <w:rFonts w:hAnsi="宋体"/>
          <w:sz w:val="24"/>
          <w:szCs w:val="24"/>
        </w:rPr>
      </w:pPr>
      <w:r>
        <w:rPr>
          <w:rFonts w:hint="eastAsia" w:hAnsi="宋体"/>
          <w:sz w:val="24"/>
          <w:szCs w:val="24"/>
        </w:rPr>
        <w:t xml:space="preserve">8.1.1 合同签订后，甲方支付合同总价款的30%作为预付款。</w:t>
      </w:r>
      <w:r/>
    </w:p>
    <w:p>
      <w:pPr>
        <w:pStyle w:val="866"/>
        <w:spacing w:line="264" w:lineRule="auto"/>
        <w:rPr>
          <w:rFonts w:hAnsi="宋体"/>
          <w:sz w:val="24"/>
          <w:szCs w:val="24"/>
        </w:rPr>
      </w:pPr>
      <w:r>
        <w:rPr>
          <w:rFonts w:hint="eastAsia" w:hAnsi="宋体"/>
          <w:sz w:val="24"/>
          <w:szCs w:val="24"/>
        </w:rPr>
        <w:t xml:space="preserve">8.1.2 全部货到并验收合格后，甲方支付合同总价款的70%。</w:t>
      </w:r>
      <w:r/>
    </w:p>
    <w:p>
      <w:pPr>
        <w:pStyle w:val="866"/>
        <w:spacing w:line="264" w:lineRule="auto"/>
        <w:rPr>
          <w:rFonts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866"/>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66"/>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宋体" w:hAnsi="宋体"/>
          <w:sz w:val="24"/>
          <w:szCs w:val="24"/>
        </w:rPr>
      </w:pPr>
      <w:r>
        <w:rPr>
          <w:rFonts w:hint="eastAsia" w:ascii="宋体" w:hAnsi="宋体" w:cs="Courier New"/>
          <w:sz w:val="24"/>
          <w:szCs w:val="24"/>
        </w:rPr>
        <w:t xml:space="preserve">11.7</w:t>
      </w:r>
      <w:r>
        <w:rPr>
          <w:rFonts w:hint="eastAsia" w:ascii="宋体" w:hAnsi="宋体" w:cs="Courier New"/>
          <w:color w:val="0000ff"/>
          <w:sz w:val="24"/>
          <w:szCs w:val="24"/>
        </w:rPr>
        <w:t xml:space="preserve">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sz w:val="24"/>
          <w:szCs w:val="24"/>
        </w:rPr>
        <w:t xml:space="preserve">遵循国家、行业及地方现行的规范和标准。</w:t>
      </w:r>
      <w:r/>
    </w:p>
    <w:p>
      <w:pPr>
        <w:spacing w:line="264" w:lineRule="auto"/>
        <w:rPr>
          <w:rFonts w:ascii="宋体" w:hAnsi="宋体"/>
          <w:sz w:val="24"/>
          <w:szCs w:val="24"/>
        </w:rPr>
      </w:pPr>
      <w:r>
        <w:rPr>
          <w:rFonts w:ascii="宋体" w:hAnsi="宋体"/>
          <w:sz w:val="24"/>
          <w:szCs w:val="24"/>
        </w:rPr>
        <w:t xml:space="preserve">11.8 </w:t>
      </w:r>
      <w:r>
        <w:rPr>
          <w:rFonts w:hint="eastAsia" w:ascii="宋体" w:hAnsi="宋体"/>
          <w:sz w:val="24"/>
          <w:szCs w:val="24"/>
        </w:rPr>
        <w:t xml:space="preserve">签订合同后，乙方提供样机到采购人处进行每项功能、参数、证明文件的审核，运行医院软件，对使用中各指标的性能和系统流畅度进行测试，检测不合格允许在甲方规定时间内整改一次，如仍未满足甲方要求，甲方有权追究乙方违约责任，并终止合同，并顺延第二中标候选人。</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ascii="宋体" w:hAnsi="宋体" w:cs="Courier New"/>
          <w:sz w:val="24"/>
          <w:szCs w:val="24"/>
          <w:u w:val="single"/>
        </w:rPr>
        <w:t xml:space="preserve">0.1%</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ascii="宋体" w:hAnsi="宋体" w:cs="Courier New"/>
          <w:sz w:val="24"/>
          <w:szCs w:val="24"/>
          <w:u w:val="single"/>
        </w:rPr>
        <w:t xml:space="preserve">0.01%</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ascii="宋体" w:hAnsi="宋体" w:cs="Courier New"/>
          <w:sz w:val="24"/>
          <w:szCs w:val="24"/>
          <w:u w:val="single"/>
        </w:rPr>
        <w:t xml:space="preserve">0.1</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ascii="宋体" w:hAnsi="宋体" w:cs="Courier New"/>
          <w:sz w:val="24"/>
          <w:szCs w:val="24"/>
          <w:u w:val="single"/>
        </w:rPr>
        <w:t xml:space="preserve">0.1%</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4"/>
      <w:r/>
      <w:bookmarkEnd w:id="185"/>
      <w:r/>
      <w:bookmarkEnd w:id="186"/>
      <w:r/>
      <w:r/>
    </w:p>
    <w:p>
      <w:pPr>
        <w:pStyle w:val="866"/>
        <w:spacing w:before="120" w:after="120" w:line="264" w:lineRule="auto"/>
        <w:rPr>
          <w:rFonts w:hAnsi="宋体"/>
          <w:sz w:val="24"/>
          <w:szCs w:val="24"/>
        </w:rPr>
      </w:pPr>
      <w:r/>
      <w:bookmarkStart w:id="193" w:name="_Hlt16619369"/>
      <w:r/>
      <w:bookmarkEnd w:id="193"/>
      <w:r>
        <w:rPr>
          <w:rFonts w:hint="eastAsia" w:hAnsi="宋体"/>
          <w:sz w:val="24"/>
          <w:szCs w:val="24"/>
        </w:rPr>
        <w:t xml:space="preserve">  </w:t>
      </w:r>
      <w:r/>
    </w:p>
    <w:p>
      <w:pPr>
        <w:pStyle w:val="866"/>
        <w:spacing w:before="120" w:after="120" w:line="264" w:lineRule="auto"/>
        <w:rPr>
          <w:rFonts w:hAnsi="宋体"/>
          <w:sz w:val="24"/>
          <w:szCs w:val="24"/>
        </w:rPr>
      </w:pPr>
      <w:r>
        <w:rPr>
          <w:rFonts w:hint="eastAsia" w:hAnsi="宋体"/>
          <w:sz w:val="24"/>
          <w:szCs w:val="24"/>
        </w:rPr>
        <w:t xml:space="preserve">甲  方：（公章）                       乙  方：（公章） </w:t>
      </w:r>
      <w:r/>
    </w:p>
    <w:p>
      <w:pPr>
        <w:pStyle w:val="866"/>
        <w:spacing w:before="120" w:after="120" w:line="264" w:lineRule="auto"/>
        <w:rPr>
          <w:rFonts w:hAnsi="宋体"/>
          <w:sz w:val="24"/>
          <w:szCs w:val="24"/>
        </w:rPr>
      </w:pPr>
      <w:r>
        <w:rPr>
          <w:rFonts w:hint="eastAsia" w:hAnsi="宋体"/>
          <w:sz w:val="24"/>
          <w:szCs w:val="24"/>
        </w:rPr>
        <w:t xml:space="preserve">地  址：                               地  址： </w:t>
      </w:r>
      <w:r/>
    </w:p>
    <w:p>
      <w:pPr>
        <w:pStyle w:val="866"/>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866"/>
        <w:spacing w:before="120" w:after="120" w:line="264" w:lineRule="auto"/>
        <w:rPr>
          <w:rFonts w:hAnsi="宋体"/>
          <w:sz w:val="24"/>
          <w:szCs w:val="24"/>
        </w:rPr>
      </w:pPr>
      <w:r>
        <w:rPr>
          <w:rFonts w:hint="eastAsia" w:hAnsi="宋体"/>
          <w:sz w:val="24"/>
          <w:szCs w:val="24"/>
        </w:rPr>
        <w:t xml:space="preserve">联系电话：                             联系电话：          </w:t>
      </w:r>
      <w:r/>
    </w:p>
    <w:p>
      <w:pPr>
        <w:pStyle w:val="866"/>
        <w:spacing w:before="120" w:after="120" w:line="264" w:lineRule="auto"/>
        <w:rPr>
          <w:rFonts w:hAnsi="宋体"/>
          <w:sz w:val="24"/>
          <w:szCs w:val="24"/>
        </w:rPr>
      </w:pPr>
      <w:r>
        <w:rPr>
          <w:rFonts w:hint="eastAsia" w:hAnsi="宋体"/>
          <w:sz w:val="24"/>
          <w:szCs w:val="24"/>
        </w:rPr>
        <w:t xml:space="preserve">                                          </w:t>
      </w:r>
      <w:r/>
    </w:p>
    <w:p>
      <w:pPr>
        <w:pStyle w:val="866"/>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866"/>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  采购需求</w:t>
      </w:r>
      <w:bookmarkEnd w:id="188"/>
      <w:r/>
      <w:bookmarkEnd w:id="189"/>
      <w:r/>
      <w:bookmarkEnd w:id="190"/>
      <w:r/>
      <w:r/>
    </w:p>
    <w:p>
      <w:pPr>
        <w:ind w:firstLine="480"/>
        <w:spacing w:line="264" w:lineRule="auto"/>
        <w:rPr>
          <w:rFonts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南京鼓楼医院（南京大学医学院附属鼓楼医院），建于1892年，为中国最早的西医院之一。鼓楼医院医教研管各方面取得快速发展，目前已发展成为学科门类齐全、师资力量雄厚、医疗技术精湛、科研实力较强的大型研究型综合性三级甲等医院。随着信息化的发展，为了满足办公设备的新增与更迭需求现需采购250台办公电脑（其中50台为信创电脑）。</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sz w:val="24"/>
          <w:szCs w:val="24"/>
        </w:rPr>
      </w:pPr>
      <w:r>
        <w:rPr>
          <w:rFonts w:hint="eastAsia" w:ascii="宋体" w:hAnsi="宋体"/>
          <w:sz w:val="24"/>
          <w:szCs w:val="24"/>
        </w:rPr>
        <w:t xml:space="preserve">1.遵循国家、行业及地方现行的规范和标准。</w:t>
      </w:r>
      <w:r/>
    </w:p>
    <w:p>
      <w:pPr>
        <w:ind w:firstLine="480"/>
        <w:spacing w:line="264" w:lineRule="auto"/>
        <w:rPr>
          <w:rFonts w:ascii="宋体" w:hAnsi="宋体"/>
          <w:sz w:val="24"/>
          <w:szCs w:val="24"/>
        </w:rPr>
      </w:pPr>
      <w:r>
        <w:rPr>
          <w:rFonts w:hint="eastAsia" w:ascii="宋体" w:hAnsi="宋体"/>
          <w:sz w:val="24"/>
          <w:szCs w:val="24"/>
        </w:rPr>
        <w:t xml:space="preserve">《台式计算机政府采购需求标准（2023年版）》（财库〔2023〕29号）</w:t>
      </w:r>
      <w:r/>
    </w:p>
    <w:p>
      <w:pPr>
        <w:ind w:firstLine="480"/>
        <w:spacing w:line="264" w:lineRule="auto"/>
        <w:rPr>
          <w:rFonts w:ascii="宋体" w:hAnsi="宋体"/>
          <w:color w:val="0000ff"/>
          <w:sz w:val="24"/>
          <w:szCs w:val="24"/>
        </w:rPr>
      </w:pPr>
      <w:r>
        <w:rPr>
          <w:rFonts w:hint="eastAsia" w:ascii="宋体" w:hAnsi="宋体"/>
          <w:sz w:val="24"/>
          <w:szCs w:val="24"/>
        </w:rPr>
        <w:t xml:space="preserve">2.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ind w:firstLine="480"/>
        <w:spacing w:line="264" w:lineRule="auto"/>
        <w:rPr>
          <w:rFonts w:ascii="宋体" w:hAnsi="宋体"/>
          <w:sz w:val="24"/>
          <w:szCs w:val="24"/>
        </w:rPr>
        <w:outlineLvl w:val="1"/>
      </w:pPr>
      <w:r>
        <w:rPr>
          <w:rFonts w:hint="eastAsia" w:ascii="黑体" w:hAnsi="黑体" w:eastAsia="黑体" w:cs="黑体"/>
          <w:color w:val="000000"/>
          <w:sz w:val="24"/>
          <w:szCs w:val="24"/>
        </w:rPr>
        <w:t xml:space="preserve">三、项目清单</w:t>
      </w:r>
      <w:r/>
    </w:p>
    <w:tbl>
      <w:tblPr>
        <w:tblStyle w:val="961"/>
        <w:tblW w:w="5187" w:type="pct"/>
        <w:tblInd w:w="4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4"/>
        <w:gridCol w:w="1476"/>
        <w:gridCol w:w="709"/>
        <w:gridCol w:w="709"/>
        <w:gridCol w:w="850"/>
        <w:gridCol w:w="1178"/>
        <w:gridCol w:w="1085"/>
        <w:gridCol w:w="1130"/>
        <w:gridCol w:w="1294"/>
        <w:gridCol w:w="1016"/>
      </w:tblGrid>
      <w:tr>
        <w:trPr>
          <w:trHeight w:val="470"/>
        </w:trPr>
        <w:tc>
          <w:tcPr>
            <w:tcW w:w="66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序号</w:t>
            </w:r>
            <w:r/>
          </w:p>
        </w:tc>
        <w:tc>
          <w:tcPr>
            <w:tcW w:w="1476"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分项名称</w:t>
            </w:r>
            <w:r/>
          </w:p>
        </w:tc>
        <w:tc>
          <w:tcPr>
            <w:tcW w:w="70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数量</w:t>
            </w:r>
            <w:r/>
          </w:p>
        </w:tc>
        <w:tc>
          <w:tcPr>
            <w:tcW w:w="70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单位</w:t>
            </w:r>
            <w:r/>
          </w:p>
        </w:tc>
        <w:tc>
          <w:tcPr>
            <w:tcW w:w="850" w:type="dxa"/>
            <w:vAlign w:val="center"/>
            <w:textDirection w:val="lrTb"/>
            <w:noWrap w:val="false"/>
          </w:tcPr>
          <w:p>
            <w:pPr>
              <w:jc w:val="center"/>
              <w:spacing w:line="264" w:lineRule="auto"/>
            </w:pPr>
            <w:r>
              <w:rPr>
                <w:rFonts w:hint="eastAsia"/>
              </w:rPr>
              <w:t xml:space="preserve">单价上限</w:t>
            </w:r>
            <w:r/>
          </w:p>
          <w:p>
            <w:pPr>
              <w:pStyle w:val="853"/>
              <w:ind w:firstLine="0"/>
              <w:jc w:val="center"/>
              <w:spacing w:line="400" w:lineRule="exact"/>
            </w:pPr>
            <w:r>
              <w:rPr>
                <w:rFonts w:hint="eastAsia" w:cs="宋体"/>
                <w:bCs/>
                <w:sz w:val="24"/>
                <w:szCs w:val="24"/>
              </w:rPr>
              <w:t xml:space="preserve">（元）</w:t>
            </w:r>
            <w:r/>
          </w:p>
        </w:tc>
        <w:tc>
          <w:tcPr>
            <w:tcW w:w="117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产品类型</w:t>
            </w:r>
            <w:r/>
          </w:p>
        </w:tc>
        <w:tc>
          <w:tcPr>
            <w:tcW w:w="1085"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所属行业</w:t>
            </w:r>
            <w:r/>
          </w:p>
        </w:tc>
        <w:tc>
          <w:tcPr>
            <w:tcW w:w="113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产品属性</w:t>
            </w:r>
            <w:r/>
          </w:p>
        </w:tc>
        <w:tc>
          <w:tcPr>
            <w:tcW w:w="1294" w:type="dxa"/>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政府强制采购节能产品</w:t>
            </w:r>
            <w:r/>
          </w:p>
        </w:tc>
        <w:tc>
          <w:tcPr>
            <w:tcW w:w="1016" w:type="dxa"/>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备注</w:t>
            </w:r>
            <w:r/>
          </w:p>
        </w:tc>
      </w:tr>
      <w:tr>
        <w:trPr>
          <w:trHeight w:val="414"/>
        </w:trPr>
        <w:tc>
          <w:tcPr>
            <w:tcW w:w="66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1476" w:type="dxa"/>
            <w:vAlign w:val="center"/>
            <w:textDirection w:val="lrTb"/>
            <w:noWrap w:val="false"/>
          </w:tcPr>
          <w:p>
            <w:pPr>
              <w:jc w:val="left"/>
              <w:spacing w:line="264" w:lineRule="auto"/>
              <w:rPr>
                <w:rFonts w:ascii="宋体" w:hAnsi="宋体"/>
              </w:rPr>
            </w:pPr>
            <w:r>
              <w:rPr>
                <w:rFonts w:hint="eastAsia" w:ascii="宋体" w:hAnsi="宋体" w:cs="宋体"/>
                <w:bCs/>
                <w:sz w:val="24"/>
                <w:szCs w:val="24"/>
                <w:lang w:val="zh-CN"/>
              </w:rPr>
              <w:t xml:space="preserve">台式计算机</w:t>
            </w: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bCs/>
                <w:sz w:val="24"/>
                <w:szCs w:val="24"/>
              </w:rPr>
              <w:t xml:space="preserve">信</w:t>
            </w:r>
            <w:r>
              <w:rPr>
                <w:rFonts w:hint="eastAsia" w:ascii="宋体" w:hAnsi="宋体"/>
                <w:bCs/>
                <w:sz w:val="24"/>
                <w:szCs w:val="24"/>
              </w:rPr>
              <w:t xml:space="preserve">创</w:t>
            </w:r>
            <w:r>
              <w:rPr>
                <w:rFonts w:hint="eastAsia" w:ascii="宋体" w:hAnsi="宋体"/>
                <w:bCs/>
                <w:sz w:val="24"/>
                <w:szCs w:val="24"/>
              </w:rPr>
              <w:t xml:space="preserve">）</w:t>
            </w:r>
            <w:r>
              <w:rPr>
                <w:rFonts w:ascii="宋体" w:hAnsi="宋体"/>
                <w:bCs/>
                <w:sz w:val="24"/>
                <w:szCs w:val="24"/>
              </w:rPr>
            </w:r>
            <w:r/>
          </w:p>
        </w:tc>
        <w:tc>
          <w:tcPr>
            <w:tcW w:w="709"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t xml:space="preserve">50</w:t>
            </w:r>
            <w:r/>
          </w:p>
        </w:tc>
        <w:tc>
          <w:tcPr>
            <w:tcW w:w="70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台</w:t>
            </w:r>
            <w:r/>
          </w:p>
        </w:tc>
        <w:tc>
          <w:tcPr>
            <w:tcW w:w="85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5000</w:t>
            </w:r>
            <w:r/>
          </w:p>
        </w:tc>
        <w:tc>
          <w:tcPr>
            <w:tcW w:w="1178"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1085"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c>
          <w:tcPr>
            <w:tcW w:w="113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1294" w:type="dxa"/>
            <w:vAlign w:val="center"/>
            <w:textDirection w:val="lrTb"/>
            <w:noWrap w:val="false"/>
          </w:tcPr>
          <w:p>
            <w:pPr>
              <w:jc w:val="center"/>
              <w:spacing w:line="264" w:lineRule="auto"/>
              <w:rPr>
                <w:rFonts w:ascii="宋体" w:hAnsi="宋体" w:cs="宋体"/>
                <w:bCs/>
                <w:sz w:val="24"/>
                <w:szCs w:val="24"/>
              </w:rPr>
            </w:pPr>
            <w:r>
              <w:rPr>
                <w:rFonts w:hint="eastAsia" w:ascii="宋体" w:hAnsi="宋体"/>
                <w:bCs/>
                <w:sz w:val="24"/>
                <w:szCs w:val="24"/>
              </w:rPr>
              <w:t xml:space="preserve">是</w:t>
            </w:r>
            <w:r/>
          </w:p>
        </w:tc>
        <w:tc>
          <w:tcPr>
            <w:tcW w:w="1016" w:type="dxa"/>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r>
            <w:r/>
          </w:p>
        </w:tc>
      </w:tr>
      <w:tr>
        <w:trPr>
          <w:trHeight w:val="414"/>
        </w:trPr>
        <w:tc>
          <w:tcPr>
            <w:tcW w:w="664"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tcW w:w="1476" w:type="dxa"/>
            <w:vAlign w:val="center"/>
            <w:textDirection w:val="lrTb"/>
            <w:noWrap w:val="false"/>
          </w:tcPr>
          <w:p>
            <w:pPr>
              <w:spacing w:line="264" w:lineRule="auto"/>
              <w:rPr>
                <w:rFonts w:ascii="宋体" w:hAnsi="宋体" w:cs="宋体"/>
                <w:bCs/>
                <w:sz w:val="24"/>
                <w:szCs w:val="24"/>
              </w:rPr>
            </w:pPr>
            <w:r>
              <w:rPr>
                <w:rFonts w:hint="eastAsia" w:ascii="宋体" w:hAnsi="宋体" w:cs="宋体"/>
                <w:bCs/>
                <w:sz w:val="24"/>
                <w:szCs w:val="24"/>
                <w:lang w:val="zh-CN"/>
              </w:rPr>
              <w:t xml:space="preserve">台式计算机</w:t>
            </w:r>
            <w:r>
              <w:rPr>
                <w:rFonts w:hint="eastAsia" w:ascii="宋体" w:hAnsi="宋体" w:cs="宋体"/>
                <w:bCs/>
                <w:sz w:val="24"/>
                <w:szCs w:val="24"/>
              </w:rPr>
              <w:t xml:space="preserve">2</w:t>
            </w:r>
            <w:r/>
          </w:p>
        </w:tc>
        <w:tc>
          <w:tcPr>
            <w:tcW w:w="709" w:type="dxa"/>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t xml:space="preserve">200</w:t>
            </w:r>
            <w:r/>
          </w:p>
        </w:tc>
        <w:tc>
          <w:tcPr>
            <w:tcW w:w="709"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台</w:t>
            </w:r>
            <w:r/>
          </w:p>
        </w:tc>
        <w:tc>
          <w:tcPr>
            <w:tcW w:w="85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5000</w:t>
            </w:r>
            <w:r/>
          </w:p>
        </w:tc>
        <w:tc>
          <w:tcPr>
            <w:tcW w:w="1178"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
                <w:bCs/>
                <w:sz w:val="24"/>
                <w:szCs w:val="24"/>
              </w:rPr>
              <w:t xml:space="preserve">核心产品</w:t>
            </w:r>
            <w:r>
              <w:rPr>
                <w:rFonts w:hint="eastAsia" w:ascii="宋体" w:hAnsi="宋体" w:cs="宋体"/>
                <w:bCs/>
                <w:sz w:val="24"/>
                <w:szCs w:val="24"/>
              </w:rPr>
            </w:r>
            <w:r/>
          </w:p>
        </w:tc>
        <w:tc>
          <w:tcPr>
            <w:tcW w:w="1085"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工业</w:t>
            </w:r>
            <w:r/>
          </w:p>
        </w:tc>
        <w:tc>
          <w:tcPr>
            <w:tcW w:w="113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货物</w:t>
            </w:r>
            <w:r/>
          </w:p>
        </w:tc>
        <w:tc>
          <w:tcPr>
            <w:tcW w:w="1294" w:type="dxa"/>
            <w:vAlign w:val="center"/>
            <w:textDirection w:val="lrTb"/>
            <w:noWrap w:val="false"/>
          </w:tcPr>
          <w:p>
            <w:pPr>
              <w:jc w:val="center"/>
              <w:spacing w:line="264" w:lineRule="auto"/>
              <w:rPr>
                <w:rFonts w:ascii="宋体" w:hAnsi="宋体" w:cs="宋体"/>
                <w:bCs/>
                <w:sz w:val="24"/>
                <w:szCs w:val="24"/>
              </w:rPr>
            </w:pPr>
            <w:r>
              <w:rPr>
                <w:rFonts w:hint="eastAsia" w:ascii="宋体" w:hAnsi="宋体"/>
                <w:bCs/>
                <w:sz w:val="24"/>
                <w:szCs w:val="24"/>
              </w:rPr>
              <w:t xml:space="preserve">是</w:t>
            </w:r>
            <w:r/>
          </w:p>
        </w:tc>
        <w:tc>
          <w:tcPr>
            <w:tcW w:w="1016" w:type="dxa"/>
            <w:vAlign w:val="center"/>
            <w:textDirection w:val="lrTb"/>
            <w:noWrap w:val="false"/>
          </w:tcPr>
          <w:p>
            <w:pPr>
              <w:jc w:val="center"/>
              <w:spacing w:line="264" w:lineRule="auto"/>
              <w:rPr>
                <w:rFonts w:ascii="宋体" w:hAnsi="宋体"/>
                <w:bCs/>
                <w:sz w:val="24"/>
                <w:szCs w:val="24"/>
              </w:rPr>
            </w:pPr>
            <w:r>
              <w:rPr>
                <w:rFonts w:ascii="宋体" w:hAnsi="宋体"/>
                <w:bCs/>
                <w:sz w:val="24"/>
                <w:szCs w:val="24"/>
              </w:rPr>
            </w:r>
            <w:r/>
          </w:p>
        </w:tc>
      </w:tr>
    </w:tbl>
    <w:p>
      <w:pPr>
        <w:ind w:firstLine="480"/>
        <w:spacing w:line="264" w:lineRule="auto"/>
        <w:rPr>
          <w:rFonts w:ascii="宋体" w:hAnsi="宋体" w:cs="宋体"/>
          <w:bCs/>
          <w:sz w:val="24"/>
          <w:szCs w:val="24"/>
        </w:rPr>
      </w:pPr>
      <w:r>
        <w:rPr>
          <w:rFonts w:ascii="宋体" w:hAnsi="宋体" w:cs="宋体"/>
          <w:bCs/>
          <w:sz w:val="24"/>
          <w:szCs w:val="24"/>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Style w:val="852"/>
        <w:tblW w:w="9804"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0"/>
        <w:gridCol w:w="7794"/>
      </w:tblGrid>
      <w:tr>
        <w:trPr/>
        <w:tc>
          <w:tcPr>
            <w:tcW w:w="660" w:type="dxa"/>
            <w:vAlign w:val="center"/>
            <w:textDirection w:val="lrTb"/>
            <w:noWrap w:val="false"/>
          </w:tcPr>
          <w:p>
            <w:pPr>
              <w:jc w:val="center"/>
              <w:spacing w:line="264" w:lineRule="auto"/>
              <w:rPr>
                <w:rFonts w:ascii="宋体" w:hAnsi="宋体" w:cs="宋体"/>
                <w:b/>
                <w:sz w:val="24"/>
                <w:szCs w:val="24"/>
              </w:rPr>
            </w:pPr>
            <w:r>
              <w:rPr>
                <w:rFonts w:hint="eastAsia" w:ascii="宋体" w:hAnsi="宋体" w:cs="宋体"/>
                <w:b/>
                <w:sz w:val="24"/>
                <w:szCs w:val="24"/>
              </w:rPr>
              <w:t xml:space="preserve">序号</w:t>
            </w:r>
            <w:r/>
          </w:p>
        </w:tc>
        <w:tc>
          <w:tcPr>
            <w:tcW w:w="1350" w:type="dxa"/>
            <w:vAlign w:val="center"/>
            <w:textDirection w:val="lrTb"/>
            <w:noWrap w:val="false"/>
          </w:tcPr>
          <w:p>
            <w:pPr>
              <w:jc w:val="center"/>
              <w:spacing w:line="264" w:lineRule="auto"/>
              <w:rPr>
                <w:rFonts w:ascii="宋体" w:hAnsi="宋体" w:cs="宋体"/>
                <w:b/>
                <w:sz w:val="24"/>
                <w:szCs w:val="24"/>
              </w:rPr>
            </w:pPr>
            <w:r>
              <w:rPr>
                <w:rFonts w:hint="eastAsia" w:ascii="宋体" w:hAnsi="宋体" w:cs="宋体"/>
                <w:b/>
                <w:sz w:val="24"/>
                <w:szCs w:val="24"/>
              </w:rPr>
              <w:t xml:space="preserve">产品名称</w:t>
            </w:r>
            <w:r/>
          </w:p>
        </w:tc>
        <w:tc>
          <w:tcPr>
            <w:tcW w:w="7794" w:type="dxa"/>
            <w:vAlign w:val="center"/>
            <w:textDirection w:val="lrTb"/>
            <w:noWrap w:val="false"/>
          </w:tcPr>
          <w:p>
            <w:pPr>
              <w:jc w:val="center"/>
              <w:spacing w:line="264" w:lineRule="auto"/>
              <w:rPr>
                <w:rFonts w:ascii="宋体" w:hAnsi="宋体" w:cs="宋体"/>
                <w:b/>
                <w:sz w:val="24"/>
                <w:szCs w:val="24"/>
              </w:rPr>
            </w:pPr>
            <w:r>
              <w:rPr>
                <w:rFonts w:hint="eastAsia" w:ascii="宋体" w:hAnsi="宋体" w:cs="宋体"/>
                <w:b/>
                <w:sz w:val="24"/>
                <w:szCs w:val="24"/>
              </w:rPr>
              <w:t xml:space="preserve">功能、性能、配置要求不低于以下要求</w:t>
            </w:r>
            <w:r/>
          </w:p>
        </w:tc>
      </w:tr>
      <w:tr>
        <w:trPr>
          <w:trHeight w:val="90"/>
        </w:trPr>
        <w:tc>
          <w:tcPr>
            <w:tcW w:w="66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tcW w:w="1350" w:type="dxa"/>
            <w:vAlign w:val="center"/>
            <w:textDirection w:val="lrTb"/>
            <w:noWrap w:val="false"/>
          </w:tcPr>
          <w:p>
            <w:pPr>
              <w:jc w:val="left"/>
              <w:spacing w:line="264" w:lineRule="auto"/>
              <w:rPr>
                <w:rFonts w:ascii="宋体" w:hAnsi="宋体" w:cs="宋体"/>
                <w:bCs/>
                <w:sz w:val="24"/>
                <w:szCs w:val="24"/>
              </w:rPr>
            </w:pPr>
            <w:r>
              <w:rPr>
                <w:rFonts w:hint="eastAsia" w:ascii="宋体" w:hAnsi="宋体" w:cs="宋体"/>
                <w:bCs/>
                <w:sz w:val="24"/>
                <w:szCs w:val="24"/>
                <w:lang w:val="zh-CN"/>
              </w:rPr>
              <w:t xml:space="preserve">台式计算机</w:t>
            </w:r>
            <w:r>
              <w:rPr>
                <w:rFonts w:hint="eastAsia" w:ascii="宋体" w:hAnsi="宋体" w:cs="宋体"/>
                <w:bCs/>
                <w:sz w:val="24"/>
                <w:szCs w:val="24"/>
              </w:rPr>
              <w:t xml:space="preserve">1（信创）</w:t>
            </w:r>
            <w:r/>
          </w:p>
        </w:tc>
        <w:tc>
          <w:tcPr>
            <w:tcW w:w="7794" w:type="dxa"/>
            <w:vAlign w:val="center"/>
            <w:textDirection w:val="lrTb"/>
            <w:noWrap w:val="false"/>
          </w:tcPr>
          <w:p>
            <w:pPr>
              <w:spacing w:line="264" w:lineRule="auto"/>
              <w:rPr>
                <w:rFonts w:ascii="宋体" w:hAnsi="宋体" w:cs="宋体"/>
                <w:bCs/>
                <w:sz w:val="24"/>
                <w:szCs w:val="24"/>
              </w:rPr>
            </w:pPr>
            <w:r>
              <w:rPr>
                <w:rFonts w:hint="eastAsia" w:ascii="宋体" w:hAnsi="宋体" w:cs="宋体"/>
                <w:bCs/>
                <w:sz w:val="24"/>
                <w:szCs w:val="24"/>
              </w:rPr>
              <w:t xml:space="preserve">★政府强制采购节能产品，签订合同时提供国家确定的认证机构出具的、处于有效期之内的节能产品认证证书。</w:t>
            </w:r>
            <w:r/>
          </w:p>
          <w:p>
            <w:pPr>
              <w:spacing w:line="264" w:lineRule="auto"/>
              <w:rPr>
                <w:rFonts w:ascii="宋体" w:hAnsi="宋体" w:cs="宋体"/>
                <w:bCs/>
                <w:sz w:val="24"/>
                <w:szCs w:val="24"/>
              </w:rPr>
            </w:pPr>
            <w:r>
              <w:rPr>
                <w:rFonts w:hint="eastAsia" w:ascii="宋体" w:hAnsi="宋体" w:cs="宋体"/>
                <w:bCs/>
                <w:sz w:val="24"/>
                <w:szCs w:val="24"/>
              </w:rPr>
              <w:t xml:space="preserve">配置要求：</w:t>
            </w:r>
            <w:r/>
          </w:p>
          <w:p>
            <w:pPr>
              <w:spacing w:line="264" w:lineRule="auto"/>
              <w:rPr>
                <w:rFonts w:ascii="宋体" w:hAnsi="宋体" w:cs="宋体"/>
                <w:bCs/>
                <w:sz w:val="24"/>
                <w:szCs w:val="24"/>
              </w:rPr>
            </w:pPr>
            <w:r>
              <w:rPr>
                <w:rFonts w:hint="eastAsia" w:ascii="宋体" w:hAnsi="宋体" w:cs="宋体"/>
                <w:bCs/>
                <w:sz w:val="24"/>
                <w:szCs w:val="24"/>
              </w:rPr>
              <w:t xml:space="preserve">★1、处理器：采用国产X86处理器：≥8核，主频≥3.0GHz，支持睿频，支持双线程，16nm制程，三级缓存16MB，TDP 90W，支持3200MHz内存频率； </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主板：全固态电容主板。主板需集成模块、CPU内存兼容情况、可扩展接口见其他参数。</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内存：≥16G DDR4 3200MHz，配置≥4个内存插槽，最大可扩展至64GB；</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4、</w:t>
            </w:r>
            <w:r>
              <w:rPr>
                <w:rFonts w:hint="eastAsia" w:ascii="宋体" w:hAnsi="宋体" w:cs="宋体"/>
                <w:bCs/>
                <w:sz w:val="24"/>
                <w:szCs w:val="24"/>
              </w:rPr>
              <w:t xml:space="preserve">硬盘：≥512GB SSD  M.2 2280 PCIe NVMe</w:t>
            </w:r>
            <w:r/>
          </w:p>
          <w:p>
            <w:pPr>
              <w:spacing w:line="264" w:lineRule="auto"/>
              <w:rPr>
                <w:rFonts w:ascii="宋体" w:hAnsi="宋体" w:cs="宋体"/>
                <w:bCs/>
                <w:sz w:val="24"/>
                <w:szCs w:val="24"/>
              </w:rPr>
            </w:pPr>
            <w:r>
              <w:rPr>
                <w:rFonts w:hint="eastAsia" w:ascii="宋体" w:hAnsi="宋体" w:cs="宋体"/>
                <w:bCs/>
                <w:sz w:val="24"/>
                <w:szCs w:val="24"/>
              </w:rPr>
              <w:t xml:space="preserve">★5、显卡：容量≥2Gb国产独立显卡，显存类型DDR4，位宽≥16 分辨率≥1920x1080 VGA+HDMI视频输出接口</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6、</w:t>
            </w:r>
            <w:r>
              <w:rPr>
                <w:rFonts w:hint="eastAsia" w:ascii="宋体" w:hAnsi="宋体" w:cs="宋体"/>
                <w:bCs/>
                <w:sz w:val="24"/>
                <w:szCs w:val="24"/>
              </w:rPr>
              <w:t xml:space="preserve">网卡：板载单口千兆网卡，1000/100M自适应</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7、</w:t>
            </w:r>
            <w:r>
              <w:rPr>
                <w:rFonts w:hint="eastAsia" w:ascii="宋体" w:hAnsi="宋体" w:cs="宋体"/>
                <w:bCs/>
                <w:sz w:val="24"/>
                <w:szCs w:val="24"/>
              </w:rPr>
              <w:t xml:space="preserve">声卡：配置声卡</w:t>
            </w:r>
            <w:r/>
          </w:p>
          <w:p>
            <w:pPr>
              <w:spacing w:line="264" w:lineRule="auto"/>
              <w:rPr>
                <w:rFonts w:ascii="宋体" w:hAnsi="宋体" w:cs="宋体"/>
                <w:bCs/>
                <w:sz w:val="24"/>
                <w:szCs w:val="24"/>
              </w:rPr>
            </w:pPr>
            <w:r>
              <w:rPr>
                <w:rFonts w:hint="eastAsia" w:ascii="宋体" w:hAnsi="宋体" w:cs="宋体"/>
                <w:bCs/>
                <w:sz w:val="24"/>
                <w:szCs w:val="24"/>
              </w:rPr>
              <w:t xml:space="preserve">▲8、键盘鼠标：原厂有线键盘鼠标</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9、</w:t>
            </w:r>
            <w:r>
              <w:rPr>
                <w:rFonts w:hint="eastAsia" w:ascii="宋体" w:hAnsi="宋体" w:cs="宋体"/>
                <w:bCs/>
                <w:sz w:val="24"/>
                <w:szCs w:val="24"/>
              </w:rPr>
              <w:t xml:space="preserve">接口：≥原生6个USB（≥4个USB3.0接口，≥2个USB2.0接口，非外接扩展）；≥1个HDMI、≥1个VGA、1个RJ-45端口</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10、</w:t>
            </w:r>
            <w:r>
              <w:rPr>
                <w:rFonts w:hint="eastAsia" w:ascii="宋体" w:hAnsi="宋体" w:cs="宋体"/>
                <w:bCs/>
                <w:sz w:val="24"/>
                <w:szCs w:val="24"/>
              </w:rPr>
              <w:t xml:space="preserve">扩展槽：≥1个PCIe*16, ≥1个PCIe*4， ≥1个PCIe*1</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11、</w:t>
            </w:r>
            <w:r>
              <w:rPr>
                <w:rFonts w:hint="eastAsia" w:ascii="宋体" w:hAnsi="宋体" w:cs="宋体"/>
                <w:bCs/>
                <w:sz w:val="24"/>
                <w:szCs w:val="24"/>
              </w:rPr>
              <w:t xml:space="preserve">电源：≥180W 80PLUS认证电源</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12、</w:t>
            </w:r>
            <w:r>
              <w:rPr>
                <w:rFonts w:hint="eastAsia" w:ascii="宋体" w:hAnsi="宋体" w:cs="宋体"/>
                <w:bCs/>
                <w:sz w:val="24"/>
                <w:szCs w:val="24"/>
              </w:rPr>
              <w:t xml:space="preserve">机箱：≥13L，支持PCIE扩展</w:t>
            </w:r>
            <w:r/>
          </w:p>
          <w:p>
            <w:pP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13、</w:t>
            </w:r>
            <w:r>
              <w:rPr>
                <w:rFonts w:hint="eastAsia" w:ascii="宋体" w:hAnsi="宋体" w:cs="宋体"/>
                <w:bCs/>
                <w:sz w:val="24"/>
                <w:szCs w:val="24"/>
              </w:rPr>
              <w:t xml:space="preserve">显示器：同品牌商用显示器，响应时间：4ms；≥23.8"窄边框 LED背光液晶，≥1920x1080分辨率，带HDMI线缆；VGA+HDMI或DP接口；支持VESA标准；≥250nits，3000:1，屏占比≥80%，支持防蓝光模式</w:t>
            </w:r>
            <w:r/>
          </w:p>
          <w:p>
            <w:pPr>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操作系统：出厂预装列入工信部安全可靠测评名录中的国产正式授权操作系统，带原厂激活 / 授权证明；硬件基于国产 X86 架构。</w:t>
            </w:r>
            <w:r/>
          </w:p>
          <w:p>
            <w:pPr>
              <w:jc w:val="left"/>
              <w:spacing w:line="264" w:lineRule="auto"/>
              <w:widowControl/>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5、</w:t>
            </w:r>
            <w:r>
              <w:rPr>
                <w:rFonts w:hint="eastAsia" w:ascii="宋体" w:hAnsi="宋体" w:cs="宋体"/>
                <w:bCs/>
                <w:sz w:val="24"/>
                <w:szCs w:val="24"/>
              </w:rPr>
              <w:t xml:space="preserve">产品可靠性：投标设备通过MTBF平均无故障时间100万小时认证、电磁兼容性B级认证，噪声声压不高于11dB。</w:t>
            </w:r>
            <w:r/>
          </w:p>
          <w:p>
            <w:pPr>
              <w:jc w:val="left"/>
              <w:spacing w:line="264" w:lineRule="auto"/>
              <w:widowControl/>
              <w:rPr>
                <w:rFonts w:ascii="宋体" w:hAnsi="宋体" w:cs="宋体"/>
                <w:b/>
                <w:sz w:val="24"/>
                <w:szCs w:val="24"/>
              </w:rPr>
            </w:pPr>
            <w:r>
              <w:rPr>
                <w:rFonts w:hint="eastAsia" w:ascii="宋体" w:hAnsi="宋体" w:cs="宋体"/>
                <w:bCs/>
                <w:sz w:val="24"/>
                <w:szCs w:val="24"/>
              </w:rPr>
              <w:t xml:space="preserve">★</w:t>
            </w:r>
            <w:r>
              <w:rPr>
                <w:rFonts w:ascii="宋体" w:hAnsi="宋体" w:cs="宋体"/>
                <w:b/>
                <w:sz w:val="24"/>
                <w:szCs w:val="24"/>
              </w:rPr>
              <w:t xml:space="preserve">16</w:t>
            </w:r>
            <w:r>
              <w:rPr>
                <w:rFonts w:hint="eastAsia" w:ascii="宋体" w:hAnsi="宋体" w:cs="宋体"/>
                <w:b/>
                <w:sz w:val="24"/>
                <w:szCs w:val="24"/>
              </w:rPr>
              <w:t xml:space="preserve">：其他参数：除上述产品技术参数外，《台式计算机政府采购需求标准（2023年版）》（财库〔2023〕29号）中其他加“*”指标，应满足需求标准中最低要求。</w:t>
            </w:r>
            <w:r/>
          </w:p>
          <w:p>
            <w:pPr>
              <w:jc w:val="left"/>
              <w:spacing w:line="264" w:lineRule="auto"/>
              <w:widowControl/>
            </w:pPr>
            <w:r>
              <w:rPr>
                <w:rFonts w:hint="eastAsia" w:ascii="宋体" w:hAnsi="宋体" w:cs="宋体"/>
                <w:b/>
                <w:sz w:val="24"/>
                <w:szCs w:val="24"/>
              </w:rPr>
              <w:t xml:space="preserve">（</w:t>
            </w:r>
            <w:r>
              <w:rPr>
                <w:rFonts w:ascii="宋体" w:hAnsi="宋体" w:cs="宋体"/>
                <w:b/>
                <w:bCs/>
                <w:sz w:val="24"/>
                <w:szCs w:val="24"/>
              </w:rPr>
              <w:t xml:space="preserve">以上内容均</w:t>
            </w:r>
            <w:r>
              <w:rPr>
                <w:rFonts w:hint="eastAsia" w:ascii="宋体" w:hAnsi="宋体" w:cs="宋体"/>
                <w:b/>
                <w:bCs/>
                <w:sz w:val="24"/>
                <w:szCs w:val="24"/>
              </w:rPr>
              <w:t xml:space="preserve">须</w:t>
            </w:r>
            <w:r>
              <w:rPr>
                <w:rFonts w:ascii="宋体" w:hAnsi="宋体" w:cs="宋体"/>
                <w:b/>
                <w:bCs/>
                <w:sz w:val="24"/>
                <w:szCs w:val="24"/>
              </w:rPr>
              <w:t xml:space="preserve">在中标后</w:t>
            </w:r>
            <w:r>
              <w:rPr>
                <w:rFonts w:hint="eastAsia" w:ascii="宋体" w:hAnsi="宋体" w:cs="宋体"/>
                <w:b/>
                <w:bCs/>
                <w:sz w:val="24"/>
                <w:szCs w:val="24"/>
              </w:rPr>
              <w:t xml:space="preserve">签订合同时</w:t>
            </w:r>
            <w:r>
              <w:rPr>
                <w:rFonts w:ascii="宋体" w:hAnsi="宋体" w:cs="宋体"/>
                <w:b/>
                <w:bCs/>
                <w:sz w:val="24"/>
                <w:szCs w:val="24"/>
              </w:rPr>
              <w:t xml:space="preserve">提供加盖公章的白皮书或彩页或技术文档或其他证明材料）</w:t>
            </w:r>
            <w:r/>
          </w:p>
        </w:tc>
      </w:tr>
      <w:tr>
        <w:trPr>
          <w:trHeight w:val="349"/>
        </w:trPr>
        <w:tc>
          <w:tcPr>
            <w:tcW w:w="66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tcW w:w="1350" w:type="dxa"/>
            <w:vAlign w:val="center"/>
            <w:textDirection w:val="lrTb"/>
            <w:noWrap w:val="false"/>
          </w:tcPr>
          <w:p>
            <w:pPr>
              <w:spacing w:line="264" w:lineRule="auto"/>
              <w:rPr>
                <w:rFonts w:ascii="宋体" w:hAnsi="宋体" w:cs="宋体"/>
                <w:bCs/>
                <w:sz w:val="24"/>
                <w:szCs w:val="24"/>
              </w:rPr>
            </w:pPr>
            <w:r>
              <w:rPr>
                <w:rFonts w:hint="eastAsia" w:ascii="宋体" w:hAnsi="宋体" w:cs="宋体"/>
                <w:bCs/>
                <w:sz w:val="24"/>
                <w:szCs w:val="24"/>
                <w:lang w:val="zh-CN"/>
              </w:rPr>
              <w:t xml:space="preserve">台式计算机</w:t>
            </w:r>
            <w:r>
              <w:rPr>
                <w:rFonts w:hint="eastAsia" w:ascii="宋体" w:hAnsi="宋体" w:cs="宋体"/>
                <w:bCs/>
                <w:sz w:val="24"/>
                <w:szCs w:val="24"/>
              </w:rPr>
              <w:t xml:space="preserve">2</w:t>
            </w:r>
            <w:r/>
          </w:p>
        </w:tc>
        <w:tc>
          <w:tcPr>
            <w:tcW w:w="7794" w:type="dxa"/>
            <w:vAlign w:val="center"/>
            <w:textDirection w:val="lrTb"/>
            <w:noWrap w:val="false"/>
          </w:tcPr>
          <w:p>
            <w:pPr>
              <w:spacing w:line="264" w:lineRule="auto"/>
              <w:rPr>
                <w:rFonts w:ascii="宋体" w:hAnsi="宋体" w:cs="宋体"/>
                <w:bCs/>
                <w:sz w:val="24"/>
                <w:szCs w:val="24"/>
              </w:rPr>
            </w:pPr>
            <w:r>
              <w:rPr>
                <w:rFonts w:hint="eastAsia" w:ascii="宋体" w:hAnsi="宋体" w:cs="宋体"/>
                <w:bCs/>
                <w:sz w:val="24"/>
                <w:szCs w:val="24"/>
              </w:rPr>
              <w:t xml:space="preserve">★政府强制采购节能产品，签订合同时提供国家确定的认证机构出具的、处于有效期之内的节能产品认证证书。</w:t>
            </w:r>
            <w:r/>
          </w:p>
          <w:p>
            <w:pPr>
              <w:spacing w:line="264" w:lineRule="auto"/>
              <w:rPr>
                <w:rFonts w:ascii="宋体" w:hAnsi="宋体" w:cs="宋体"/>
                <w:bCs/>
                <w:sz w:val="24"/>
                <w:szCs w:val="24"/>
              </w:rPr>
            </w:pPr>
            <w:r>
              <w:rPr>
                <w:rFonts w:hint="eastAsia" w:ascii="宋体" w:hAnsi="宋体" w:cs="宋体"/>
                <w:bCs/>
                <w:sz w:val="24"/>
                <w:szCs w:val="24"/>
              </w:rPr>
              <w:t xml:space="preserve">配置要求：</w:t>
            </w:r>
            <w:r/>
          </w:p>
          <w:p>
            <w:pPr>
              <w:spacing w:line="264" w:lineRule="auto"/>
              <w:rPr>
                <w:rFonts w:ascii="宋体" w:hAnsi="宋体" w:cs="宋体"/>
                <w:bCs/>
                <w:sz w:val="24"/>
                <w:szCs w:val="24"/>
              </w:rPr>
            </w:pPr>
            <w:r>
              <w:rPr>
                <w:rFonts w:hint="eastAsia" w:ascii="宋体" w:hAnsi="宋体" w:cs="宋体"/>
                <w:bCs/>
                <w:sz w:val="24"/>
                <w:szCs w:val="24"/>
              </w:rPr>
              <w:t xml:space="preserve">★1、处理器：核数≥8核；处理器基本主频≥3.6GHz；最高睿频≥4.7GHz；TDP≤125W；三级缓存容量≥16MB；制作工艺≤14nm，≥16线程； </w:t>
            </w:r>
            <w:r/>
          </w:p>
          <w:p>
            <w:pPr>
              <w:spacing w:line="264" w:lineRule="auto"/>
              <w:rPr>
                <w:rFonts w:ascii="宋体" w:hAnsi="宋体" w:cs="宋体"/>
                <w:bCs/>
                <w:sz w:val="24"/>
                <w:szCs w:val="24"/>
              </w:rPr>
            </w:pPr>
            <w:r>
              <w:rPr>
                <w:rFonts w:hint="eastAsia" w:ascii="宋体" w:hAnsi="宋体" w:cs="宋体"/>
                <w:bCs/>
                <w:sz w:val="24"/>
                <w:szCs w:val="24"/>
              </w:rPr>
              <w:t xml:space="preserve">★2、主板：工作站级高配商用芯片组，支持ECC，主板需集成模块、CPU内存兼容情况、可扩展接口见其他参数。</w:t>
            </w:r>
            <w:r/>
          </w:p>
          <w:p>
            <w:pPr>
              <w:spacing w:line="264" w:lineRule="auto"/>
              <w:rPr>
                <w:rFonts w:ascii="宋体" w:hAnsi="宋体" w:cs="宋体"/>
                <w:bCs/>
                <w:sz w:val="24"/>
                <w:szCs w:val="24"/>
              </w:rPr>
            </w:pPr>
            <w:r>
              <w:rPr>
                <w:rFonts w:hint="eastAsia" w:ascii="宋体" w:hAnsi="宋体" w:cs="宋体"/>
                <w:bCs/>
                <w:sz w:val="24"/>
                <w:szCs w:val="24"/>
              </w:rPr>
              <w:t xml:space="preserve">★3、内存：≥16G DDR4 3200MHz，配置≥4个内存插槽，最大可扩展至64GB；</w:t>
            </w:r>
            <w:r/>
          </w:p>
          <w:p>
            <w:pPr>
              <w:spacing w:line="264" w:lineRule="auto"/>
              <w:rPr>
                <w:rFonts w:ascii="宋体" w:hAnsi="宋体" w:cs="宋体"/>
                <w:bCs/>
                <w:sz w:val="24"/>
                <w:szCs w:val="24"/>
              </w:rPr>
            </w:pPr>
            <w:r>
              <w:rPr>
                <w:rFonts w:hint="eastAsia" w:ascii="宋体" w:hAnsi="宋体" w:cs="宋体"/>
                <w:bCs/>
                <w:sz w:val="24"/>
                <w:szCs w:val="24"/>
              </w:rPr>
              <w:t xml:space="preserve">★4、硬盘：512GB SSD  M.2 2280 PCIe NVMe</w:t>
            </w:r>
            <w:r/>
          </w:p>
          <w:p>
            <w:pPr>
              <w:spacing w:line="264" w:lineRule="auto"/>
              <w:rPr>
                <w:rFonts w:ascii="宋体" w:hAnsi="宋体" w:cs="宋体"/>
                <w:bCs/>
                <w:sz w:val="24"/>
                <w:szCs w:val="24"/>
              </w:rPr>
            </w:pPr>
            <w:r>
              <w:rPr>
                <w:rFonts w:hint="eastAsia" w:ascii="宋体" w:hAnsi="宋体" w:cs="宋体"/>
                <w:bCs/>
                <w:sz w:val="24"/>
                <w:szCs w:val="24"/>
              </w:rPr>
              <w:t xml:space="preserve">★5、显卡：分辨率≥1920x1080，VGA+HDMI视频输出接口</w:t>
            </w:r>
            <w:r/>
          </w:p>
          <w:p>
            <w:pPr>
              <w:spacing w:line="264" w:lineRule="auto"/>
              <w:rPr>
                <w:rFonts w:ascii="宋体" w:hAnsi="宋体" w:cs="宋体"/>
                <w:bCs/>
                <w:sz w:val="24"/>
                <w:szCs w:val="24"/>
              </w:rPr>
            </w:pPr>
            <w:r>
              <w:rPr>
                <w:rFonts w:hint="eastAsia" w:ascii="宋体" w:hAnsi="宋体" w:cs="宋体"/>
                <w:bCs/>
                <w:sz w:val="24"/>
                <w:szCs w:val="24"/>
              </w:rPr>
              <w:t xml:space="preserve">★6、网卡：板载单口千兆网卡，1000/100M自适应</w:t>
            </w:r>
            <w:r/>
          </w:p>
          <w:p>
            <w:pPr>
              <w:spacing w:line="264" w:lineRule="auto"/>
              <w:rPr>
                <w:rFonts w:ascii="宋体" w:hAnsi="宋体" w:cs="宋体"/>
                <w:bCs/>
                <w:sz w:val="24"/>
                <w:szCs w:val="24"/>
              </w:rPr>
            </w:pPr>
            <w:r>
              <w:rPr>
                <w:rFonts w:hint="eastAsia" w:ascii="宋体" w:hAnsi="宋体" w:cs="宋体"/>
                <w:bCs/>
                <w:sz w:val="24"/>
                <w:szCs w:val="24"/>
              </w:rPr>
              <w:t xml:space="preserve">★7、声卡：配置声卡</w:t>
            </w:r>
            <w:r/>
          </w:p>
          <w:p>
            <w:pPr>
              <w:spacing w:line="264" w:lineRule="auto"/>
              <w:rPr>
                <w:rFonts w:ascii="宋体" w:hAnsi="宋体" w:cs="宋体"/>
                <w:bCs/>
                <w:sz w:val="24"/>
                <w:szCs w:val="24"/>
              </w:rPr>
            </w:pPr>
            <w:r>
              <w:rPr>
                <w:rFonts w:hint="eastAsia" w:ascii="宋体" w:hAnsi="宋体" w:cs="宋体"/>
                <w:bCs/>
                <w:sz w:val="24"/>
                <w:szCs w:val="24"/>
              </w:rPr>
              <w:t xml:space="preserve">★8、键盘鼠标：原厂有线键盘鼠标</w:t>
            </w:r>
            <w:r/>
          </w:p>
          <w:p>
            <w:pPr>
              <w:spacing w:line="264" w:lineRule="auto"/>
              <w:rPr>
                <w:rFonts w:ascii="宋体" w:hAnsi="宋体" w:cs="宋体"/>
                <w:bCs/>
                <w:sz w:val="24"/>
                <w:szCs w:val="24"/>
              </w:rPr>
            </w:pPr>
            <w:r>
              <w:rPr>
                <w:rFonts w:hint="eastAsia" w:ascii="宋体" w:hAnsi="宋体" w:cs="宋体"/>
                <w:bCs/>
                <w:sz w:val="24"/>
                <w:szCs w:val="24"/>
              </w:rPr>
              <w:t xml:space="preserve">★9、接口：≥原生10个USB（≥8个USB3.0接口，≥2个USB2.0接口，非外接扩展），≥1个HDMI、≥1个VGA、1个RJ-45端口</w:t>
            </w:r>
            <w:r/>
          </w:p>
          <w:p>
            <w:pPr>
              <w:spacing w:line="264" w:lineRule="auto"/>
              <w:rPr>
                <w:rFonts w:ascii="宋体" w:hAnsi="宋体" w:cs="宋体"/>
                <w:bCs/>
                <w:sz w:val="24"/>
                <w:szCs w:val="24"/>
              </w:rPr>
            </w:pPr>
            <w:r>
              <w:rPr>
                <w:rFonts w:hint="eastAsia" w:ascii="宋体" w:hAnsi="宋体" w:cs="宋体"/>
                <w:bCs/>
                <w:sz w:val="24"/>
                <w:szCs w:val="24"/>
              </w:rPr>
              <w:t xml:space="preserve">★10、扩展槽：≥1个PCIe*16, ≥1个PCIe*4， ≥1个PCIe*1</w:t>
            </w:r>
            <w:r/>
          </w:p>
          <w:p>
            <w:pPr>
              <w:spacing w:line="264" w:lineRule="auto"/>
              <w:rPr>
                <w:rFonts w:ascii="宋体" w:hAnsi="宋体" w:cs="宋体"/>
                <w:bCs/>
                <w:sz w:val="24"/>
                <w:szCs w:val="24"/>
              </w:rPr>
            </w:pPr>
            <w:r>
              <w:rPr>
                <w:rFonts w:hint="eastAsia" w:ascii="宋体" w:hAnsi="宋体" w:cs="宋体"/>
                <w:bCs/>
                <w:sz w:val="24"/>
                <w:szCs w:val="24"/>
              </w:rPr>
              <w:t xml:space="preserve">★11、电源：≥350W高效节能电源</w:t>
            </w:r>
            <w:r/>
          </w:p>
          <w:p>
            <w:pPr>
              <w:spacing w:line="264" w:lineRule="auto"/>
              <w:rPr>
                <w:rFonts w:ascii="宋体" w:hAnsi="宋体" w:cs="宋体"/>
                <w:bCs/>
                <w:sz w:val="24"/>
                <w:szCs w:val="24"/>
              </w:rPr>
            </w:pPr>
            <w:r>
              <w:rPr>
                <w:rFonts w:hint="eastAsia" w:ascii="宋体" w:hAnsi="宋体" w:cs="宋体"/>
                <w:bCs/>
                <w:sz w:val="24"/>
                <w:szCs w:val="24"/>
              </w:rPr>
              <w:t xml:space="preserve">★12、机箱：≥17L，支持PCIE扩展</w:t>
            </w:r>
            <w:r/>
          </w:p>
          <w:p>
            <w:pPr>
              <w:spacing w:line="264" w:lineRule="auto"/>
              <w:rPr>
                <w:rFonts w:ascii="宋体" w:hAnsi="宋体" w:cs="宋体"/>
                <w:bCs/>
                <w:sz w:val="24"/>
                <w:szCs w:val="24"/>
              </w:rPr>
            </w:pPr>
            <w:r>
              <w:rPr>
                <w:rFonts w:hint="eastAsia" w:ascii="宋体" w:hAnsi="宋体" w:cs="宋体"/>
                <w:bCs/>
                <w:sz w:val="24"/>
                <w:szCs w:val="24"/>
              </w:rPr>
              <w:t xml:space="preserve">▲13、显示器：同品牌商用显示器，响应时间：4ms；≥23.8"窄边框 LED背光液晶，≥1920x1080分辨率，带HDMI线缆；VGA+HDMI或DP接口；支持VESA标准；≥250nits，3000:1屏占比≥80%，支持防蓝光模式</w:t>
            </w:r>
            <w:r/>
          </w:p>
          <w:p>
            <w:pPr>
              <w:spacing w:line="264" w:lineRule="auto"/>
              <w:rPr>
                <w:rFonts w:ascii="宋体" w:hAnsi="宋体" w:cs="宋体"/>
                <w:bCs/>
                <w:sz w:val="24"/>
                <w:szCs w:val="24"/>
              </w:rPr>
            </w:pPr>
            <w:r>
              <w:rPr>
                <w:rFonts w:hint="eastAsia" w:ascii="宋体" w:hAnsi="宋体" w:cs="宋体"/>
                <w:bCs/>
                <w:sz w:val="24"/>
                <w:szCs w:val="24"/>
              </w:rPr>
              <w:t xml:space="preserve">▲14、</w:t>
            </w:r>
            <w:bookmarkStart w:id="196" w:name="OLE_LINK3"/>
            <w:r>
              <w:rPr>
                <w:rFonts w:hint="eastAsia" w:ascii="宋体" w:hAnsi="宋体" w:cs="宋体"/>
                <w:bCs/>
                <w:sz w:val="24"/>
                <w:szCs w:val="24"/>
              </w:rPr>
              <w:t xml:space="preserve">操作系统：出厂预装正版 Windows 系统，OEM 授权，机身带正版标签，支持联网自动激活及原厂一键恢复</w:t>
            </w:r>
            <w:r>
              <w:rPr>
                <w:rFonts w:hint="eastAsia" w:ascii="宋体" w:hAnsi="宋体" w:cs="宋体"/>
                <w:bCs/>
                <w:sz w:val="24"/>
                <w:szCs w:val="24"/>
              </w:rPr>
              <w:t xml:space="preserve">。</w:t>
            </w:r>
            <w:bookmarkEnd w:id="196"/>
            <w:r/>
            <w:r/>
          </w:p>
          <w:p>
            <w:pPr>
              <w:spacing w:line="264" w:lineRule="auto"/>
              <w:rPr>
                <w:rFonts w:ascii="宋体" w:hAnsi="宋体" w:cs="宋体"/>
                <w:bCs/>
                <w:sz w:val="24"/>
                <w:szCs w:val="24"/>
              </w:rPr>
            </w:pPr>
            <w:r>
              <w:rPr>
                <w:rFonts w:hint="eastAsia" w:ascii="宋体" w:hAnsi="宋体" w:cs="宋体"/>
                <w:bCs/>
                <w:sz w:val="24"/>
                <w:szCs w:val="24"/>
              </w:rPr>
              <w:t xml:space="preserve">★15、产品可靠性：投标设备通过MTBF平均无故障时间100万小时认证、电磁兼容性B级认证，噪声声压不高于11dB。</w:t>
            </w:r>
            <w:r/>
          </w:p>
          <w:p>
            <w:pPr>
              <w:spacing w:line="264" w:lineRule="auto"/>
              <w:rPr>
                <w:rFonts w:ascii="宋体" w:hAnsi="宋体" w:cs="宋体"/>
                <w:b/>
                <w:bCs/>
                <w:sz w:val="24"/>
                <w:szCs w:val="24"/>
              </w:rPr>
            </w:pPr>
            <w:r>
              <w:rPr>
                <w:rFonts w:hint="eastAsia" w:ascii="宋体" w:hAnsi="宋体" w:cs="宋体"/>
                <w:bCs/>
                <w:sz w:val="24"/>
                <w:szCs w:val="24"/>
              </w:rPr>
              <w:t xml:space="preserve">★</w:t>
            </w:r>
            <w:r>
              <w:rPr>
                <w:rFonts w:ascii="宋体" w:hAnsi="宋体" w:cs="宋体"/>
                <w:bCs/>
                <w:sz w:val="24"/>
                <w:szCs w:val="24"/>
              </w:rPr>
              <w:t xml:space="preserve">16</w:t>
            </w:r>
            <w:r>
              <w:rPr>
                <w:rFonts w:hint="eastAsia" w:ascii="宋体" w:hAnsi="宋体" w:cs="宋体"/>
                <w:bCs/>
                <w:sz w:val="24"/>
                <w:szCs w:val="24"/>
              </w:rPr>
              <w:t xml:space="preserve">：</w:t>
            </w:r>
            <w:r>
              <w:rPr>
                <w:rFonts w:hint="eastAsia" w:ascii="宋体" w:hAnsi="宋体" w:cs="宋体"/>
                <w:b/>
                <w:bCs/>
                <w:sz w:val="24"/>
                <w:szCs w:val="24"/>
              </w:rPr>
              <w:t xml:space="preserve">其他参数：</w:t>
            </w:r>
            <w:r>
              <w:rPr>
                <w:rFonts w:hint="eastAsia"/>
                <w:b/>
                <w:bCs/>
                <w:sz w:val="24"/>
                <w:szCs w:val="24"/>
              </w:rPr>
              <w:t xml:space="preserve">除上述产品技术参数外，</w:t>
            </w:r>
            <w:r>
              <w:rPr>
                <w:rFonts w:hint="eastAsia" w:ascii="宋体" w:hAnsi="宋体" w:cs="宋体"/>
                <w:b/>
                <w:sz w:val="24"/>
                <w:szCs w:val="24"/>
              </w:rPr>
              <w:t xml:space="preserve">《台式计算机政府采购需求标准（2023年版）》（财库〔2023〕29号）</w:t>
            </w:r>
            <w:r>
              <w:rPr>
                <w:rFonts w:hint="eastAsia" w:ascii="宋体" w:hAnsi="宋体" w:cs="宋体"/>
                <w:b/>
                <w:bCs/>
                <w:sz w:val="24"/>
                <w:szCs w:val="24"/>
              </w:rPr>
              <w:t xml:space="preserve">中其他加“*”指标，应满足需求标准中最低要求。</w:t>
            </w:r>
            <w:r/>
          </w:p>
          <w:p>
            <w:pPr>
              <w:spacing w:line="264" w:lineRule="auto"/>
              <w:rPr>
                <w:rFonts w:ascii="宋体" w:hAnsi="宋体" w:cs="宋体"/>
                <w:bCs/>
                <w:sz w:val="24"/>
                <w:szCs w:val="24"/>
              </w:rPr>
            </w:pPr>
            <w:r>
              <w:rPr>
                <w:rFonts w:hint="eastAsia" w:ascii="宋体" w:hAnsi="宋体" w:cs="宋体"/>
                <w:b/>
                <w:sz w:val="24"/>
                <w:szCs w:val="24"/>
              </w:rPr>
              <w:t xml:space="preserve">（</w:t>
            </w:r>
            <w:r>
              <w:rPr>
                <w:rFonts w:ascii="宋体" w:hAnsi="宋体" w:cs="宋体"/>
                <w:b/>
                <w:bCs/>
                <w:sz w:val="24"/>
                <w:szCs w:val="24"/>
              </w:rPr>
              <w:t xml:space="preserve">以上内容均</w:t>
            </w:r>
            <w:r>
              <w:rPr>
                <w:rFonts w:hint="eastAsia" w:ascii="宋体" w:hAnsi="宋体" w:cs="宋体"/>
                <w:b/>
                <w:bCs/>
                <w:sz w:val="24"/>
                <w:szCs w:val="24"/>
              </w:rPr>
              <w:t xml:space="preserve">须</w:t>
            </w:r>
            <w:r>
              <w:rPr>
                <w:rFonts w:ascii="宋体" w:hAnsi="宋体" w:cs="宋体"/>
                <w:b/>
                <w:bCs/>
                <w:sz w:val="24"/>
                <w:szCs w:val="24"/>
              </w:rPr>
              <w:t xml:space="preserve">在中标后</w:t>
            </w:r>
            <w:r>
              <w:rPr>
                <w:rFonts w:hint="eastAsia" w:ascii="宋体" w:hAnsi="宋体" w:cs="宋体"/>
                <w:b/>
                <w:bCs/>
                <w:sz w:val="24"/>
                <w:szCs w:val="24"/>
              </w:rPr>
              <w:t xml:space="preserve">签订合同时</w:t>
            </w:r>
            <w:r>
              <w:rPr>
                <w:rFonts w:ascii="宋体" w:hAnsi="宋体" w:cs="宋体"/>
                <w:b/>
                <w:bCs/>
                <w:sz w:val="24"/>
                <w:szCs w:val="24"/>
              </w:rPr>
              <w:t xml:space="preserve">提供加盖公章的白皮书或彩页或技术文档或其他证明材料）</w:t>
            </w:r>
            <w:r/>
          </w:p>
        </w:tc>
      </w:tr>
    </w:tbl>
    <w:p>
      <w:pPr>
        <w:ind w:firstLine="480"/>
        <w:spacing w:line="264" w:lineRule="auto"/>
        <w:rPr>
          <w:rFonts w:ascii="宋体" w:hAnsi="宋体"/>
          <w:sz w:val="24"/>
        </w:rPr>
      </w:pPr>
      <w:r>
        <w:rPr>
          <w:rFonts w:hint="eastAsia" w:ascii="宋体" w:hAnsi="宋体"/>
          <w:sz w:val="24"/>
        </w:rPr>
        <w:t xml:space="preserve">★2、</w:t>
      </w:r>
      <w:r>
        <w:rPr>
          <w:rFonts w:hint="eastAsia" w:ascii="宋体" w:hAnsi="宋体"/>
          <w:b/>
          <w:bCs/>
          <w:sz w:val="24"/>
        </w:rPr>
        <w:t xml:space="preserve">其他要求</w:t>
      </w:r>
      <w:r>
        <w:rPr>
          <w:rFonts w:hint="eastAsia" w:ascii="宋体" w:hAnsi="宋体"/>
          <w:sz w:val="24"/>
        </w:rPr>
        <w:t xml:space="preserve">：签订合同后，中标供应商需提供样机到采购人处进行每项功能、参数、证明文件的审核，运行医院软件，对使用中各指标的性能和系统流畅度进行测试，不通过测试按照合同相关条款执行。</w:t>
      </w:r>
      <w:r/>
    </w:p>
    <w:p>
      <w:pPr>
        <w:ind w:firstLine="480"/>
        <w:spacing w:line="264" w:lineRule="auto"/>
        <w:rPr>
          <w:rFonts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2.质保及售后要求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整机原厂质保（含换件和维修）5年，原厂提供5年上门服务；所有配件均须出厂预装，不接受任何改配；中标后签订合同时提供原厂售后服务承诺函原件。</w:t>
      </w:r>
      <w:r/>
    </w:p>
    <w:p>
      <w:pPr>
        <w:ind w:firstLine="480"/>
        <w:spacing w:line="264" w:lineRule="auto"/>
        <w:rPr>
          <w:rFonts w:ascii="宋体" w:hAnsi="宋体" w:cs="宋体"/>
          <w:sz w:val="24"/>
          <w:szCs w:val="24"/>
        </w:rPr>
      </w:pPr>
      <w:r>
        <w:rPr>
          <w:rFonts w:hint="eastAsia" w:ascii="宋体" w:hAnsi="宋体" w:cs="宋体"/>
          <w:sz w:val="24"/>
          <w:szCs w:val="24"/>
        </w:rPr>
        <w:t xml:space="preserve">①服务响应：</w:t>
      </w:r>
      <w:r/>
    </w:p>
    <w:p>
      <w:pPr>
        <w:ind w:firstLine="480"/>
        <w:spacing w:line="264" w:lineRule="auto"/>
        <w:rPr>
          <w:rFonts w:ascii="宋体" w:hAnsi="宋体" w:cs="宋体"/>
          <w:sz w:val="24"/>
          <w:szCs w:val="24"/>
        </w:rPr>
      </w:pPr>
      <w:r>
        <w:rPr>
          <w:rFonts w:hint="eastAsia" w:ascii="宋体" w:hAnsi="宋体" w:cs="宋体"/>
          <w:sz w:val="24"/>
          <w:szCs w:val="24"/>
        </w:rPr>
        <w:t xml:space="preserve">a)供应商提供电话、电子邮件、远程连接等多种形式服务； </w:t>
      </w:r>
      <w:r/>
    </w:p>
    <w:p>
      <w:pPr>
        <w:ind w:firstLine="480"/>
        <w:spacing w:line="264" w:lineRule="auto"/>
        <w:rPr>
          <w:rFonts w:ascii="宋体" w:hAnsi="宋体" w:cs="宋体"/>
          <w:sz w:val="24"/>
          <w:szCs w:val="24"/>
        </w:rPr>
      </w:pPr>
      <w:r>
        <w:rPr>
          <w:rFonts w:hint="eastAsia" w:ascii="宋体" w:hAnsi="宋体" w:cs="宋体"/>
          <w:sz w:val="24"/>
          <w:szCs w:val="24"/>
        </w:rPr>
        <w:t xml:space="preserve">b)供应商提供同城4H、异地12H技术响应服务，2个工作日解决问题，对于未能解决的问题和故障应提供可行的升级方案，并提供周转设备或更换设备； </w:t>
      </w:r>
      <w:r/>
    </w:p>
    <w:p>
      <w:pPr>
        <w:ind w:firstLine="480"/>
        <w:spacing w:line="264" w:lineRule="auto"/>
        <w:rPr>
          <w:rFonts w:ascii="宋体" w:hAnsi="宋体" w:cs="宋体"/>
          <w:sz w:val="24"/>
          <w:szCs w:val="24"/>
        </w:rPr>
      </w:pPr>
      <w:r>
        <w:rPr>
          <w:rFonts w:hint="eastAsia" w:ascii="宋体" w:hAnsi="宋体" w:cs="宋体"/>
          <w:sz w:val="24"/>
          <w:szCs w:val="24"/>
        </w:rPr>
        <w:t xml:space="preserve">c)建立全国技术服务体系和服务团体，符合专业服务体系标准要求，提供原厂中文服务；</w:t>
      </w:r>
      <w:r/>
    </w:p>
    <w:p>
      <w:pPr>
        <w:ind w:firstLine="480"/>
        <w:spacing w:line="264" w:lineRule="auto"/>
        <w:rPr>
          <w:rFonts w:ascii="宋体" w:hAnsi="宋体" w:cs="宋体"/>
          <w:sz w:val="24"/>
          <w:szCs w:val="24"/>
        </w:rPr>
      </w:pPr>
      <w:r>
        <w:rPr>
          <w:rFonts w:hint="eastAsia" w:ascii="宋体" w:hAnsi="宋体" w:cs="宋体"/>
          <w:sz w:val="24"/>
          <w:szCs w:val="24"/>
        </w:rPr>
        <w:t xml:space="preserve">d)服务周期内提供产品的维修、换件和升级服务。</w:t>
      </w:r>
      <w:r/>
    </w:p>
    <w:p>
      <w:pPr>
        <w:ind w:firstLine="480"/>
        <w:spacing w:line="264" w:lineRule="auto"/>
        <w:rPr>
          <w:rFonts w:ascii="宋体" w:hAnsi="宋体" w:cs="宋体"/>
          <w:sz w:val="24"/>
          <w:szCs w:val="24"/>
        </w:rPr>
      </w:pPr>
      <w:r>
        <w:rPr>
          <w:rFonts w:hint="eastAsia" w:ascii="宋体" w:hAnsi="宋体" w:cs="宋体"/>
          <w:sz w:val="24"/>
          <w:szCs w:val="24"/>
        </w:rPr>
        <w:t xml:space="preserve">②服务周期：</w:t>
      </w:r>
      <w:r/>
    </w:p>
    <w:p>
      <w:pPr>
        <w:ind w:firstLine="480"/>
        <w:spacing w:line="264" w:lineRule="auto"/>
        <w:rPr>
          <w:rFonts w:ascii="宋体" w:hAnsi="宋体" w:cs="宋体"/>
          <w:sz w:val="24"/>
          <w:szCs w:val="24"/>
        </w:rPr>
      </w:pPr>
      <w:r>
        <w:rPr>
          <w:rFonts w:hint="eastAsia" w:ascii="宋体" w:hAnsi="宋体" w:cs="宋体"/>
          <w:sz w:val="24"/>
          <w:szCs w:val="24"/>
        </w:rPr>
        <w:t xml:space="preserve">a) 设备停产后供应商应继续提供质量保障服务（含备品备件），服务终止时间与最后一批设备交付时间间隔不低于6年； </w:t>
      </w:r>
      <w:r/>
    </w:p>
    <w:p>
      <w:pPr>
        <w:ind w:firstLine="480"/>
        <w:spacing w:line="264" w:lineRule="auto"/>
        <w:rPr>
          <w:rFonts w:ascii="宋体" w:hAnsi="宋体" w:cs="宋体"/>
          <w:sz w:val="24"/>
          <w:szCs w:val="24"/>
        </w:rPr>
      </w:pPr>
      <w:r>
        <w:rPr>
          <w:rFonts w:hint="eastAsia" w:ascii="宋体" w:hAnsi="宋体" w:cs="宋体"/>
          <w:sz w:val="24"/>
          <w:szCs w:val="24"/>
        </w:rPr>
        <w:t xml:space="preserve">b)产品停止服务时间供应商应提前1年告知； </w:t>
      </w:r>
      <w:r/>
    </w:p>
    <w:p>
      <w:pPr>
        <w:ind w:firstLine="480"/>
        <w:spacing w:line="264" w:lineRule="auto"/>
        <w:rPr>
          <w:rFonts w:ascii="宋体" w:hAnsi="宋体" w:cs="宋体"/>
          <w:sz w:val="24"/>
          <w:szCs w:val="24"/>
        </w:rPr>
      </w:pPr>
      <w:r>
        <w:rPr>
          <w:rFonts w:hint="eastAsia" w:ascii="宋体" w:hAnsi="宋体" w:cs="宋体"/>
          <w:sz w:val="24"/>
          <w:szCs w:val="24"/>
        </w:rPr>
        <w:t xml:space="preserve">c)供应商应明确产品发布日期。</w:t>
      </w:r>
      <w:r/>
    </w:p>
    <w:p>
      <w:pPr>
        <w:ind w:firstLine="480"/>
        <w:spacing w:line="264" w:lineRule="auto"/>
        <w:rPr>
          <w:rFonts w:ascii="宋体" w:hAnsi="宋体" w:cs="宋体"/>
          <w:sz w:val="24"/>
          <w:szCs w:val="24"/>
        </w:rPr>
      </w:pPr>
      <w:r>
        <w:rPr>
          <w:rFonts w:hint="eastAsia" w:ascii="宋体" w:hAnsi="宋体" w:cs="宋体"/>
          <w:sz w:val="24"/>
          <w:szCs w:val="24"/>
        </w:rPr>
        <w:t xml:space="preserve">③质保期内换件和维修（人为因素除外）费用包含在总报价中，质保期外提供不高于市场价格的终身维护。中标后签订合同时提供质保期外配件价格明细表。</w:t>
      </w:r>
      <w:r/>
    </w:p>
    <w:p>
      <w:pPr>
        <w:spacing w:line="264" w:lineRule="auto"/>
        <w:rPr>
          <w:rFonts w:hint="eastAsia" w:ascii="宋体" w:hAnsi="宋体" w:cs="宋体"/>
          <w:sz w:val="24"/>
          <w:szCs w:val="24"/>
        </w:rPr>
      </w:pPr>
      <w:r>
        <w:rPr>
          <w:rFonts w:hint="default" w:ascii="宋体" w:hAnsi="宋体" w:cs="宋体"/>
          <w:sz w:val="24"/>
          <w:szCs w:val="24"/>
        </w:rPr>
        <w:t xml:space="preserve">    ④服务人员：供应商针对本项目提供不低于</w:t>
      </w:r>
      <w:r>
        <w:rPr>
          <w:rFonts w:hint="eastAsia" w:ascii="宋体" w:hAnsi="宋体" w:cs="宋体"/>
          <w:sz w:val="24"/>
          <w:szCs w:val="24"/>
        </w:rPr>
        <w:t xml:space="preserve">3</w:t>
      </w:r>
      <w:r>
        <w:rPr>
          <w:rFonts w:hint="default" w:ascii="宋体" w:hAnsi="宋体" w:cs="宋体"/>
          <w:sz w:val="24"/>
          <w:szCs w:val="24"/>
        </w:rPr>
        <w:t xml:space="preserve">名维修</w:t>
      </w:r>
      <w:r>
        <w:rPr>
          <w:rFonts w:hint="default" w:ascii="宋体" w:hAnsi="宋体" w:cs="宋体"/>
          <w:sz w:val="24"/>
          <w:szCs w:val="24"/>
          <w:lang w:val="en-US" w:eastAsia="zh-CN"/>
        </w:rPr>
        <w:t xml:space="preserve">售后</w:t>
      </w:r>
      <w:r>
        <w:rPr>
          <w:rFonts w:hint="default" w:ascii="宋体" w:hAnsi="宋体" w:cs="宋体"/>
          <w:sz w:val="24"/>
          <w:szCs w:val="24"/>
        </w:rPr>
        <w:t xml:space="preserve">人员。</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w:t>
      </w:r>
      <w:r/>
    </w:p>
    <w:p>
      <w:pPr>
        <w:ind w:firstLine="480"/>
        <w:spacing w:line="264" w:lineRule="auto"/>
        <w:rPr>
          <w:rFonts w:ascii="宋体" w:hAnsi="宋体"/>
          <w:sz w:val="24"/>
          <w:szCs w:val="24"/>
        </w:rPr>
      </w:pPr>
      <w:r>
        <w:rPr>
          <w:rFonts w:hint="eastAsia" w:ascii="宋体" w:hAnsi="宋体"/>
          <w:sz w:val="24"/>
          <w:szCs w:val="24"/>
        </w:rPr>
        <w:t xml:space="preserve">采用分批送货的形式，第一批到货时间为合同签订后5天内完成采购清单1中50台台式计算机及需求清单2中50台台式计算机（合计100台）的交付并完成安装调试；后续每批次到货时间为接到采购人通知后5天内到货。所有台式计算机自合同签订之日起1年内全部到货完成。</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197" w:name="OLE_LINK1"/>
      <w:r/>
      <w:bookmarkStart w:id="198" w:name="_Toc120614281"/>
      <w:r>
        <w:rPr>
          <w:rFonts w:hint="eastAsia" w:ascii="宋体" w:hAnsi="宋体" w:cs="宋体"/>
          <w:sz w:val="24"/>
          <w:szCs w:val="24"/>
        </w:rPr>
        <w:t xml:space="preserve">6.其他要求</w:t>
      </w:r>
      <w:bookmarkEnd w:id="197"/>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jc w:val="center"/>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53"/>
      </w:pPr>
      <w:r/>
      <w:r/>
    </w:p>
    <w:p>
      <w:pPr>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2.技术项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ascii="宋体" w:hAnsi="宋体" w:cs="宋体"/>
          <w:b/>
          <w:bCs/>
          <w:color w:val="0000ff"/>
          <w:sz w:val="24"/>
          <w:szCs w:val="24"/>
        </w:rPr>
      </w:pPr>
      <w:r>
        <w:rPr>
          <w:rFonts w:hint="eastAsia" w:ascii="宋体" w:hAnsi="宋体"/>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pPr>
      <w:r>
        <w:rPr>
          <w:rFonts w:hint="eastAsia" w:ascii="黑体" w:hAnsi="黑体" w:eastAsia="黑体" w:cs="黑体"/>
          <w:color w:val="000000"/>
          <w:sz w:val="24"/>
          <w:szCs w:val="24"/>
        </w:rPr>
        <w:t xml:space="preserve">四、评标标准</w:t>
      </w:r>
      <w:r/>
    </w:p>
    <w:tbl>
      <w:tblPr>
        <w:tblStyle w:val="961"/>
        <w:tblW w:w="95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4"/>
        <w:gridCol w:w="647"/>
        <w:gridCol w:w="900"/>
      </w:tblGrid>
      <w:tr>
        <w:trPr>
          <w:jc w:val="center"/>
          <w:trHeight w:val="483"/>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评审因素</w:t>
            </w:r>
            <w:r/>
          </w:p>
        </w:tc>
        <w:tc>
          <w:tcPr>
            <w:tcBorders>
              <w:top w:val="single" w:color="000000" w:sz="2" w:space="0"/>
              <w:bottom w:val="single" w:color="000000" w:sz="2" w:space="0"/>
            </w:tcBorders>
            <w:tcW w:w="6334" w:type="dxa"/>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ascii="宋体" w:hAnsi="宋体" w:cs="宋体"/>
                <w:b/>
                <w:bCs/>
                <w:spacing w:val="-3"/>
                <w:szCs w:val="21"/>
              </w:rPr>
            </w:pPr>
            <w:r>
              <w:rPr>
                <w:rFonts w:hint="eastAsia" w:ascii="宋体" w:hAnsi="宋体" w:cs="宋体"/>
                <w:b/>
                <w:bCs/>
                <w:spacing w:val="-3"/>
                <w:szCs w:val="21"/>
              </w:rPr>
              <w:t xml:space="preserve">类型</w:t>
            </w:r>
            <w:r/>
          </w:p>
        </w:tc>
      </w:tr>
      <w:tr>
        <w:trPr>
          <w:jc w:val="center"/>
          <w:trHeight w:val="468"/>
        </w:trPr>
        <w:tc>
          <w:tcPr>
            <w:gridSpan w:val="5"/>
            <w:tcBorders>
              <w:top w:val="single" w:color="000000" w:sz="2" w:space="0"/>
              <w:bottom w:val="single" w:color="000000" w:sz="2" w:space="0"/>
            </w:tcBorders>
            <w:tcW w:w="9579" w:type="dxa"/>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20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6334"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40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价格分</w:t>
            </w:r>
            <w:r/>
          </w:p>
        </w:tc>
      </w:tr>
      <w:tr>
        <w:trPr>
          <w:jc w:val="center"/>
          <w:trHeight w:val="468"/>
        </w:trPr>
        <w:tc>
          <w:tcPr>
            <w:gridSpan w:val="5"/>
            <w:tcBorders>
              <w:top w:val="single" w:color="000000" w:sz="2" w:space="0"/>
              <w:bottom w:val="single" w:color="000000" w:sz="2" w:space="0"/>
            </w:tcBorders>
            <w:tcW w:w="9579" w:type="dxa"/>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2.技术</w:t>
            </w:r>
            <w:r/>
          </w:p>
        </w:tc>
      </w:tr>
      <w:tr>
        <w:trPr>
          <w:jc w:val="center"/>
          <w:trHeight w:val="90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4"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w:t>
            </w:r>
            <w:r>
              <w:rPr>
                <w:rFonts w:ascii="宋体" w:hAnsi="宋体" w:cs="宋体"/>
                <w:szCs w:val="21"/>
              </w:rPr>
              <w:t xml:space="preserve">4</w:t>
            </w:r>
            <w:r>
              <w:rPr>
                <w:rFonts w:hint="eastAsia" w:ascii="宋体" w:hAnsi="宋体" w:cs="宋体"/>
                <w:szCs w:val="21"/>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ascii="宋体" w:hAnsi="宋体" w:cs="宋体"/>
                <w:szCs w:val="21"/>
              </w:rPr>
              <w:t xml:space="preserve">12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zCs w:val="21"/>
              </w:rPr>
              <w:t xml:space="preserve">项目实施方案</w:t>
            </w:r>
            <w:r/>
          </w:p>
        </w:tc>
        <w:tc>
          <w:tcPr>
            <w:tcBorders>
              <w:top w:val="single" w:color="000000" w:sz="2" w:space="0"/>
              <w:bottom w:val="single" w:color="000000" w:sz="2" w:space="0"/>
            </w:tcBorders>
            <w:tcW w:w="6334" w:type="dxa"/>
            <w:vAlign w:val="center"/>
            <w:textDirection w:val="lrTb"/>
            <w:noWrap w:val="false"/>
          </w:tcPr>
          <w:p>
            <w:pPr>
              <w:rPr>
                <w:szCs w:val="21"/>
              </w:rPr>
            </w:pPr>
            <w:r>
              <w:rPr>
                <w:rFonts w:hint="eastAsia"/>
                <w:szCs w:val="21"/>
              </w:rPr>
              <w:t xml:space="preserve">根据本项目采购需求编制方案，内容包含：1.实施流程；2.实施进度安排；3.保障措施；4.验收措施。以上每项内容逐项评分：</w:t>
            </w:r>
            <w:r/>
          </w:p>
          <w:p>
            <w:r>
              <w:t xml:space="preserve">方案内容专门针对本项目，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rPr>
                <w:rFonts w:ascii="宋体" w:hAnsi="宋体" w:cs="宋体"/>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Arial" w:hAnsi="Arial" w:cs="Arial"/>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主观分</w:t>
            </w:r>
            <w:r/>
          </w:p>
        </w:tc>
      </w:tr>
      <w:tr>
        <w:trPr>
          <w:jc w:val="center"/>
          <w:trHeight w:val="2161"/>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zCs w:val="21"/>
              </w:rPr>
              <w:t xml:space="preserve">显示器功能</w:t>
            </w:r>
            <w:r/>
          </w:p>
        </w:tc>
        <w:tc>
          <w:tcPr>
            <w:tcBorders>
              <w:top w:val="single" w:color="000000" w:sz="2" w:space="0"/>
              <w:bottom w:val="single" w:color="000000" w:sz="2" w:space="0"/>
            </w:tcBorders>
            <w:tcW w:w="6334"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1.投标人所投台式计算机显示屏防蓝光，蓝光加权辐射亮度比＜0.0012W/(·cd·sr)（瓦每坎特拉每球面度），符合要求得2分。</w:t>
            </w:r>
            <w:r/>
          </w:p>
          <w:p>
            <w:pPr>
              <w:jc w:val="left"/>
              <w:spacing w:line="264" w:lineRule="auto"/>
              <w:rPr>
                <w:rFonts w:ascii="宋体" w:hAnsi="宋体" w:cs="宋体"/>
                <w:szCs w:val="21"/>
              </w:rPr>
            </w:pPr>
            <w:r>
              <w:rPr>
                <w:rFonts w:hint="eastAsia" w:ascii="宋体" w:hAnsi="宋体" w:cs="宋体"/>
                <w:szCs w:val="21"/>
              </w:rPr>
              <w:t xml:space="preserve">2.投标人所投台式计算机显示屏低频闪，显示屏支持低频闪＜-35dB，符合要求得2分。</w:t>
            </w:r>
            <w:r/>
          </w:p>
          <w:p>
            <w:pPr>
              <w:jc w:val="left"/>
              <w:spacing w:line="264" w:lineRule="auto"/>
              <w:rPr>
                <w:rFonts w:ascii="宋体" w:hAnsi="宋体" w:cs="宋体"/>
                <w:szCs w:val="21"/>
              </w:rPr>
            </w:pPr>
            <w:r>
              <w:rPr>
                <w:rFonts w:hint="eastAsia" w:ascii="宋体" w:hAnsi="宋体" w:cs="宋体"/>
                <w:szCs w:val="21"/>
              </w:rPr>
              <w:t xml:space="preserve">3.投标人所投台式计算机显示屏防炫目，显示屏镜面反射率＜10%，符合要求得2分。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w:t>
            </w:r>
            <w:r>
              <w:rPr>
                <w:rFonts w:ascii="SimSun" w:hAnsi="SimSun" w:eastAsia="SimSun" w:cs="SimSun"/>
                <w:color w:val="000000"/>
                <w:sz w:val="21"/>
              </w:rPr>
              <w:t xml:space="preserve">提供技术证明材料，且明确标明证明材料所在页码，证明材料包括但不限于公开发行的产品彩页、产品说明书或白皮书（注：功能参数应进行明显标注，采用如箭头、标红或下划线等标注方式，方便评委查看），未按要求提供的，不得分。</w:t>
            </w:r>
            <w:r>
              <w:rPr>
                <w:rFonts w:hint="eastAsia" w:ascii="宋体" w:hAnsi="宋体" w:cs="宋体"/>
                <w:szCs w:val="21"/>
              </w:rPr>
              <w:t xml:space="preserve">）</w:t>
            </w:r>
            <w:r>
              <w:rPr>
                <w:sz w:val="21"/>
              </w:rPr>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90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zCs w:val="21"/>
              </w:rPr>
              <w:t xml:space="preserve">整机噪音水平</w:t>
            </w:r>
            <w:r/>
          </w:p>
        </w:tc>
        <w:tc>
          <w:tcPr>
            <w:tcBorders>
              <w:top w:val="single" w:color="000000" w:sz="2" w:space="0"/>
              <w:bottom w:val="single" w:color="000000" w:sz="2" w:space="0"/>
            </w:tcBorders>
            <w:tcW w:w="6334"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投标人所投台式计算机工作在空闲状态下，声功率级≤1贝尔，得2分。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w:t>
            </w:r>
            <w:r>
              <w:rPr>
                <w:rFonts w:ascii="SimSun" w:hAnsi="SimSun" w:eastAsia="SimSun" w:cs="SimSun"/>
                <w:color w:val="000000"/>
                <w:sz w:val="21"/>
              </w:rPr>
              <w:t xml:space="preserve">提供技术证明材料，且明确标明证明材料所在页码，证明材料包括但不限于公开发行的产品彩页、产品说明书或白皮书（注：功能参数应进行明显标注，采用如箭头、标红或下划线等标注方式，方便评委查看），未按要求提供的，不得分。</w:t>
            </w:r>
            <w:r>
              <w:rPr>
                <w:rFonts w:hint="eastAsia" w:ascii="宋体" w:hAnsi="宋体" w:cs="宋体"/>
                <w:szCs w:val="21"/>
              </w:rPr>
              <w:t xml:space="preserve">）</w:t>
            </w:r>
            <w:r>
              <w:rPr>
                <w:sz w:val="21"/>
              </w:rPr>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90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zCs w:val="21"/>
              </w:rPr>
              <w:t xml:space="preserve">产品认证</w:t>
            </w:r>
            <w:r/>
          </w:p>
        </w:tc>
        <w:tc>
          <w:tcPr>
            <w:tcBorders>
              <w:top w:val="single" w:color="000000" w:sz="2" w:space="0"/>
              <w:bottom w:val="single" w:color="000000" w:sz="2" w:space="0"/>
            </w:tcBorders>
            <w:tcW w:w="6334"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投标人所投产品具有防雷、防火、防腐、IP5X 防尘、90-265宽压、辐射骚扰检测认证，每具备1项得1.5分，最多得9分。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1"/>
              </w:rPr>
              <w:t xml:space="preserve">提供技术证明材料，且明确标明证明材料所在页码，证明材料包括但不限于公开发行的产品彩页、产品说明书或白皮书（注：功能参数应进行明显标注，采用如箭头、标红或下划线等标注方式，方便评委查看），未按要求提供的，不得分。</w:t>
            </w:r>
            <w:r>
              <w:rPr>
                <w:rFonts w:hint="eastAsia" w:ascii="宋体" w:hAnsi="宋体" w:cs="宋体"/>
                <w:szCs w:val="21"/>
              </w:rPr>
              <w:t xml:space="preserve">） </w:t>
            </w:r>
            <w:r>
              <w:rPr>
                <w:sz w:val="21"/>
              </w:rPr>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80"/>
        </w:trPr>
        <w:tc>
          <w:tcPr>
            <w:gridSpan w:val="5"/>
            <w:tcBorders>
              <w:top w:val="single" w:color="000000" w:sz="2" w:space="0"/>
              <w:bottom w:val="single" w:color="000000" w:sz="2" w:space="0"/>
            </w:tcBorders>
            <w:tcW w:w="9579" w:type="dxa"/>
            <w:vAlign w:val="center"/>
            <w:textDirection w:val="lrTb"/>
            <w:noWrap w:val="false"/>
          </w:tcPr>
          <w:p>
            <w:pPr>
              <w:spacing w:before="68" w:line="264" w:lineRule="auto"/>
              <w:rPr>
                <w:rFonts w:ascii="宋体" w:hAnsi="宋体" w:cs="宋体"/>
                <w:szCs w:val="21"/>
              </w:rPr>
            </w:pPr>
            <w:r>
              <w:rPr>
                <w:rFonts w:hint="eastAsia" w:ascii="宋体" w:hAnsi="宋体" w:cs="宋体"/>
                <w:b/>
                <w:bCs/>
                <w:spacing w:val="-3"/>
                <w:szCs w:val="21"/>
              </w:rPr>
              <w:t xml:space="preserve">3.服务</w:t>
            </w:r>
            <w:r/>
          </w:p>
        </w:tc>
      </w:tr>
      <w:tr>
        <w:trPr>
          <w:jc w:val="center"/>
          <w:trHeight w:val="67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zCs w:val="21"/>
              </w:rPr>
              <w:t xml:space="preserve">本地化服务能力</w:t>
            </w:r>
            <w:r/>
          </w:p>
        </w:tc>
        <w:tc>
          <w:tcPr>
            <w:tcBorders>
              <w:top w:val="single" w:color="000000" w:sz="2" w:space="0"/>
              <w:bottom w:val="single" w:color="000000" w:sz="2" w:space="0"/>
            </w:tcBorders>
            <w:tcW w:w="6334" w:type="dxa"/>
            <w:vAlign w:val="center"/>
            <w:textDirection w:val="lrTb"/>
            <w:noWrap w:val="false"/>
          </w:tcPr>
          <w:p>
            <w:pPr>
              <w:jc w:val="left"/>
              <w:spacing w:line="264" w:lineRule="auto"/>
              <w:rPr>
                <w:rFonts w:ascii="宋体" w:hAnsi="宋体" w:cs="宋体"/>
                <w:szCs w:val="21"/>
              </w:rPr>
            </w:pPr>
            <w:r>
              <w:rPr>
                <w:rFonts w:hint="eastAsia" w:ascii="宋体" w:hAnsi="宋体" w:cs="宋体"/>
                <w:szCs w:val="21"/>
              </w:rPr>
              <w:t xml:space="preserve">投标人具有本地化服务能力的得</w:t>
            </w:r>
            <w:r>
              <w:rPr>
                <w:rFonts w:ascii="宋体" w:hAnsi="宋体" w:cs="宋体"/>
                <w:szCs w:val="21"/>
              </w:rPr>
              <w:t xml:space="preserve">2</w:t>
            </w:r>
            <w:r>
              <w:rPr>
                <w:rFonts w:hint="eastAsia" w:ascii="宋体" w:hAnsi="宋体" w:cs="宋体"/>
                <w:szCs w:val="21"/>
              </w:rPr>
              <w:t xml:space="preserve">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客观分</w:t>
            </w:r>
            <w:r/>
          </w:p>
        </w:tc>
      </w:tr>
      <w:tr>
        <w:trPr>
          <w:jc w:val="center"/>
          <w:trHeight w:val="90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zCs w:val="21"/>
              </w:rPr>
              <w:t xml:space="preserve">售后服务方案</w:t>
            </w:r>
            <w:r/>
          </w:p>
        </w:tc>
        <w:tc>
          <w:tcPr>
            <w:tcBorders>
              <w:top w:val="single" w:color="000000" w:sz="2" w:space="0"/>
              <w:bottom w:val="single" w:color="000000" w:sz="2" w:space="0"/>
            </w:tcBorders>
            <w:tcW w:w="6334" w:type="dxa"/>
            <w:vAlign w:val="center"/>
            <w:textDirection w:val="lrTb"/>
            <w:noWrap w:val="false"/>
          </w:tcPr>
          <w:p>
            <w:pPr>
              <w:rPr>
                <w:szCs w:val="21"/>
              </w:rPr>
            </w:pPr>
            <w:r>
              <w:rPr>
                <w:rFonts w:hint="eastAsia"/>
                <w:szCs w:val="21"/>
              </w:rPr>
              <w:t xml:space="preserve">根据本项目采购需求编制方案，内容包含：</w:t>
            </w:r>
            <w:r>
              <w:rPr>
                <w:rFonts w:hint="eastAsia" w:ascii="宋体" w:hAnsi="宋体" w:cs="宋体"/>
                <w:szCs w:val="21"/>
              </w:rPr>
              <w:t xml:space="preserve">1、应急故障处理； </w:t>
            </w:r>
            <w:r>
              <w:rPr>
                <w:rFonts w:ascii="宋体" w:hAnsi="宋体" w:cs="宋体"/>
                <w:szCs w:val="21"/>
              </w:rPr>
              <w:t xml:space="preserve">2</w:t>
            </w:r>
            <w:r>
              <w:rPr>
                <w:rFonts w:hint="eastAsia" w:ascii="宋体" w:hAnsi="宋体" w:cs="宋体"/>
                <w:szCs w:val="21"/>
              </w:rPr>
              <w:t xml:space="preserve">、备品备件方案；</w:t>
            </w:r>
            <w:r>
              <w:rPr>
                <w:rFonts w:ascii="宋体" w:hAnsi="宋体" w:cs="宋体"/>
                <w:szCs w:val="21"/>
              </w:rPr>
              <w:t xml:space="preserve">3</w:t>
            </w:r>
            <w:r>
              <w:rPr>
                <w:rFonts w:hint="eastAsia" w:ascii="宋体" w:hAnsi="宋体" w:cs="宋体"/>
                <w:szCs w:val="21"/>
              </w:rPr>
              <w:t xml:space="preserve">、制造商原厂技术支持</w:t>
            </w:r>
            <w:r>
              <w:rPr>
                <w:rFonts w:hint="eastAsia"/>
                <w:szCs w:val="21"/>
              </w:rPr>
              <w:t xml:space="preserve">。以上每项内容逐项评分：</w:t>
            </w:r>
            <w:r/>
          </w:p>
          <w:p>
            <w:r>
              <w:t xml:space="preserve">方案内容专门针对本项目，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jc w:val="left"/>
              <w:spacing w:line="264" w:lineRule="auto"/>
              <w:rPr>
                <w:rFonts w:ascii="宋体" w:hAnsi="宋体" w:cs="宋体"/>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主观分</w:t>
            </w:r>
            <w:r/>
          </w:p>
        </w:tc>
      </w:tr>
      <w:tr>
        <w:trPr>
          <w:jc w:val="center"/>
          <w:trHeight w:val="463"/>
        </w:trPr>
        <w:tc>
          <w:tcPr>
            <w:gridSpan w:val="5"/>
            <w:tcBorders>
              <w:top w:val="single" w:color="000000" w:sz="2" w:space="0"/>
              <w:bottom w:val="single" w:color="000000" w:sz="2" w:space="0"/>
            </w:tcBorders>
            <w:tcW w:w="9579" w:type="dxa"/>
            <w:vAlign w:val="center"/>
            <w:textDirection w:val="lrTb"/>
            <w:noWrap w:val="false"/>
          </w:tcPr>
          <w:p>
            <w:pPr>
              <w:spacing w:line="264" w:lineRule="auto"/>
              <w:rPr>
                <w:rFonts w:ascii="宋体" w:hAnsi="宋体" w:cs="宋体"/>
                <w:szCs w:val="21"/>
              </w:rPr>
            </w:pPr>
            <w:r>
              <w:rPr>
                <w:rFonts w:hint="eastAsia" w:ascii="宋体" w:hAnsi="宋体" w:cs="宋体"/>
                <w:b/>
                <w:bCs/>
                <w:spacing w:val="-3"/>
                <w:szCs w:val="21"/>
              </w:rPr>
              <w:t xml:space="preserve">4.业绩</w:t>
            </w:r>
            <w:r/>
          </w:p>
        </w:tc>
      </w:tr>
      <w:tr>
        <w:trPr>
          <w:jc w:val="center"/>
          <w:trHeight w:val="96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Cs w:val="21"/>
              </w:rPr>
            </w:pPr>
            <w:r>
              <w:rPr>
                <w:rFonts w:hint="eastAsia" w:ascii="宋体" w:hAnsi="宋体" w:cs="宋体"/>
                <w:spacing w:val="-1"/>
              </w:rPr>
              <w:t xml:space="preserve">投标人业绩</w:t>
            </w:r>
            <w:r/>
          </w:p>
        </w:tc>
        <w:tc>
          <w:tcPr>
            <w:tcBorders>
              <w:top w:val="single" w:color="000000" w:sz="2" w:space="0"/>
              <w:bottom w:val="single" w:color="000000" w:sz="2" w:space="0"/>
            </w:tcBorders>
            <w:tcW w:w="6334" w:type="dxa"/>
            <w:vAlign w:val="center"/>
            <w:textDirection w:val="lrTb"/>
            <w:noWrap w:val="false"/>
          </w:tcPr>
          <w:p>
            <w:pPr>
              <w:spacing w:line="264" w:lineRule="auto"/>
              <w:rPr>
                <w:rFonts w:ascii="宋体" w:hAnsi="宋体" w:cs="宋体"/>
                <w:szCs w:val="21"/>
              </w:rPr>
            </w:pPr>
            <w:r>
              <w:rPr>
                <w:rFonts w:hint="eastAsia" w:ascii="宋体" w:hAnsi="宋体" w:cs="宋体"/>
              </w:rPr>
              <w:t xml:space="preserve">投标人提供2023年1月1日（含）以来类似项目业绩（须包含台式计算机），每提供1个得3分，最多得9分。（时间以合同签订时间为准，提供有效合同，合同页须清晰可见相应内容）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30"/>
        </w:trPr>
        <w:tc>
          <w:tcPr>
            <w:gridSpan w:val="5"/>
            <w:tcBorders>
              <w:top w:val="single" w:color="000000" w:sz="2" w:space="0"/>
              <w:bottom w:val="single" w:color="000000" w:sz="2" w:space="0"/>
            </w:tcBorders>
            <w:tcW w:w="9579" w:type="dxa"/>
            <w:textDirection w:val="lrTb"/>
            <w:noWrap w:val="false"/>
          </w:tcPr>
          <w:p>
            <w:pPr>
              <w:spacing w:before="123" w:line="264" w:lineRule="auto"/>
              <w:rPr>
                <w:rFonts w:ascii="宋体" w:hAnsi="宋体" w:cs="宋体"/>
                <w:szCs w:val="21"/>
              </w:rPr>
            </w:pPr>
            <w:r>
              <w:rPr>
                <w:rFonts w:hint="eastAsia" w:ascii="宋体" w:hAnsi="宋体" w:cs="宋体"/>
                <w:b/>
                <w:bCs/>
                <w:spacing w:val="-3"/>
                <w:szCs w:val="21"/>
              </w:rPr>
              <w:t xml:space="preserve">5.履约能力</w:t>
            </w:r>
            <w:r/>
          </w:p>
        </w:tc>
      </w:tr>
      <w:tr>
        <w:trPr>
          <w:jc w:val="center"/>
          <w:trHeight w:val="378"/>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5.1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1"/>
                <w:szCs w:val="21"/>
              </w:rPr>
            </w:pPr>
            <w:r>
              <w:rPr>
                <w:rFonts w:hint="eastAsia" w:ascii="宋体" w:hAnsi="宋体" w:cs="宋体"/>
                <w:spacing w:val="-1"/>
                <w:szCs w:val="21"/>
              </w:rPr>
              <w:t xml:space="preserve">履约能力1</w:t>
            </w:r>
            <w:r/>
          </w:p>
        </w:tc>
        <w:tc>
          <w:tcPr>
            <w:tcBorders>
              <w:top w:val="single" w:color="000000" w:sz="2" w:space="0"/>
              <w:bottom w:val="single" w:color="000000" w:sz="2" w:space="0"/>
            </w:tcBorders>
            <w:tcW w:w="6334" w:type="dxa"/>
            <w:vAlign w:val="center"/>
            <w:textDirection w:val="lrTb"/>
            <w:noWrap w:val="false"/>
          </w:tcPr>
          <w:p>
            <w:pPr>
              <w:pStyle w:val="969"/>
              <w:jc w:val="both"/>
              <w:rPr>
                <w:color w:val="auto"/>
                <w:sz w:val="21"/>
                <w:szCs w:val="21"/>
              </w:rPr>
            </w:pPr>
            <w:r>
              <w:rPr>
                <w:rFonts w:hint="eastAsia"/>
                <w:color w:val="auto"/>
                <w:sz w:val="21"/>
                <w:szCs w:val="21"/>
              </w:rPr>
              <w:t xml:space="preserve">投标人拟投入本项目的维修售后人员具有所投品牌厂商维修认证证书的，每提供一人得</w:t>
            </w:r>
            <w:r>
              <w:rPr>
                <w:color w:val="auto"/>
                <w:sz w:val="21"/>
                <w:szCs w:val="21"/>
              </w:rPr>
              <w:t xml:space="preserve">2</w:t>
            </w:r>
            <w:r>
              <w:rPr>
                <w:rFonts w:hint="eastAsia"/>
                <w:color w:val="auto"/>
                <w:sz w:val="21"/>
                <w:szCs w:val="21"/>
              </w:rPr>
              <w:t xml:space="preserve">分，最高得</w:t>
            </w:r>
            <w:r>
              <w:rPr>
                <w:color w:val="auto"/>
                <w:sz w:val="21"/>
                <w:szCs w:val="21"/>
              </w:rPr>
              <w:t xml:space="preserve">4</w:t>
            </w:r>
            <w:r>
              <w:rPr>
                <w:rFonts w:hint="eastAsia"/>
                <w:color w:val="auto"/>
                <w:sz w:val="21"/>
                <w:szCs w:val="21"/>
              </w:rPr>
              <w:t xml:space="preserve">分。</w:t>
            </w:r>
            <w:r/>
          </w:p>
          <w:p>
            <w:pPr>
              <w:spacing w:line="264" w:lineRule="auto"/>
              <w:rPr>
                <w:rFonts w:ascii="宋体" w:hAnsi="宋体" w:cs="宋体"/>
                <w:szCs w:val="21"/>
              </w:rPr>
            </w:pPr>
            <w:r>
              <w:rPr>
                <w:rFonts w:hint="eastAsia"/>
                <w:szCs w:val="21"/>
              </w:rPr>
              <w:t xml:space="preserve">（提供维修人员名单、人员证书以及2</w:t>
            </w:r>
            <w:r>
              <w:rPr>
                <w:szCs w:val="21"/>
              </w:rPr>
              <w:t xml:space="preserve">026年</w:t>
            </w:r>
            <w:r>
              <w:rPr>
                <w:rFonts w:hint="eastAsia"/>
                <w:szCs w:val="21"/>
              </w:rPr>
              <w:t xml:space="preserve">1月以来任意1个月的社保证明材料，未提供不得分）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39"/>
        </w:trPr>
        <w:tc>
          <w:tcPr>
            <w:gridSpan w:val="5"/>
            <w:tcBorders>
              <w:top w:val="single" w:color="000000" w:sz="2" w:space="0"/>
              <w:bottom w:val="single" w:color="000000" w:sz="2" w:space="0"/>
            </w:tcBorders>
            <w:tcW w:w="9579" w:type="dxa"/>
            <w:vAlign w:val="center"/>
            <w:textDirection w:val="lrTb"/>
            <w:noWrap w:val="false"/>
          </w:tcPr>
          <w:p>
            <w:pPr>
              <w:spacing w:before="68" w:line="264" w:lineRule="auto"/>
              <w:rPr>
                <w:rFonts w:ascii="宋体" w:hAnsi="宋体" w:cs="宋体"/>
                <w:spacing w:val="-6"/>
                <w:szCs w:val="21"/>
              </w:rPr>
            </w:pPr>
            <w:r>
              <w:rPr>
                <w:rFonts w:hint="eastAsia" w:ascii="宋体" w:hAnsi="宋体" w:cs="宋体"/>
                <w:b/>
                <w:bCs/>
                <w:spacing w:val="-3"/>
                <w:szCs w:val="21"/>
              </w:rPr>
              <w:t xml:space="preserve">6.节能环保</w:t>
            </w:r>
            <w:r/>
          </w:p>
        </w:tc>
      </w:tr>
      <w:tr>
        <w:trPr>
          <w:jc w:val="center"/>
          <w:trHeight w:val="120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6.1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1"/>
                <w:szCs w:val="21"/>
              </w:rPr>
            </w:pPr>
            <w:r>
              <w:rPr>
                <w:rFonts w:hint="eastAsia" w:ascii="宋体" w:hAnsi="宋体" w:cs="宋体"/>
                <w:spacing w:val="-1"/>
                <w:szCs w:val="21"/>
              </w:rPr>
              <w:t xml:space="preserve">节能环保</w:t>
            </w:r>
            <w:r/>
          </w:p>
        </w:tc>
        <w:tc>
          <w:tcPr>
            <w:tcBorders>
              <w:top w:val="single" w:color="000000" w:sz="2" w:space="0"/>
              <w:bottom w:val="single" w:color="000000" w:sz="2" w:space="0"/>
            </w:tcBorders>
            <w:tcW w:w="6334"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投标产品属于财政部、生态环境部公布的《环境标志产品品目清单》（财库〔2019〕18号）范围内的，投标人提供国家确定的认证机构出具的、处于有效期内的该环境标志产品认证证书的，有1个得1分，最多得2分。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82"/>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513" w:type="dxa"/>
            <w:vAlign w:val="center"/>
            <w:textDirection w:val="lrTb"/>
            <w:noWrap w:val="false"/>
          </w:tcPr>
          <w:p>
            <w:pPr>
              <w:ind w:left="172"/>
              <w:jc w:val="center"/>
              <w:spacing w:before="123" w:line="264" w:lineRule="auto"/>
              <w:rPr>
                <w:rFonts w:ascii="宋体" w:hAnsi="宋体" w:cs="宋体"/>
                <w:color w:val="ff0000"/>
                <w:spacing w:val="-2"/>
                <w:szCs w:val="21"/>
              </w:rPr>
            </w:pPr>
            <w:r>
              <w:rPr>
                <w:rFonts w:ascii="宋体" w:hAnsi="宋体" w:cs="宋体"/>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ascii="宋体" w:hAnsi="宋体" w:cs="宋体"/>
                <w:szCs w:val="21"/>
              </w:rPr>
            </w:pPr>
            <w:r>
              <w:rPr>
                <w:rFonts w:hint="eastAsia" w:ascii="宋体" w:hAnsi="宋体" w:cs="宋体"/>
                <w:spacing w:val="-11"/>
                <w:szCs w:val="21"/>
              </w:rPr>
              <w:t xml:space="preserve">100分</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spacing w:line="48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53"/>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53"/>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53"/>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53"/>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53"/>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853"/>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r/>
      <w:r/>
    </w:p>
    <w:p>
      <w:pPr>
        <w:pStyle w:val="923"/>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924"/>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924"/>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jc w:val="lef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8"/>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199" w:name="_Hlt26671244"/>
      <w:r/>
      <w:bookmarkEnd w:id="199"/>
      <w:r/>
      <w:bookmarkStart w:id="200" w:name="_Hlt26955039"/>
      <w:r/>
      <w:bookmarkEnd w:id="200"/>
      <w:r/>
      <w:bookmarkStart w:id="201" w:name="_Toc26554094"/>
      <w:r/>
      <w:bookmarkStart w:id="202" w:name="_Toc49090576"/>
      <w:r/>
      <w:bookmarkStart w:id="203" w:name="_Toc12061428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04"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十三、关于符合本国产品标准的声明函（如有）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62"/>
        <w:rPr>
          <w:sz w:val="24"/>
        </w:rPr>
      </w:pPr>
      <w:r>
        <w:rPr>
          <w:sz w:val="24"/>
        </w:rPr>
      </w:r>
      <w:r/>
    </w:p>
    <w:p>
      <w:pPr>
        <w:pStyle w:val="962"/>
        <w:rPr>
          <w:sz w:val="24"/>
        </w:rPr>
      </w:pPr>
      <w:r>
        <w:rPr>
          <w:sz w:val="24"/>
        </w:rPr>
      </w:r>
      <w:r/>
    </w:p>
    <w:p>
      <w:pPr>
        <w:pStyle w:val="962"/>
        <w:rPr>
          <w:sz w:val="24"/>
        </w:rPr>
      </w:pPr>
      <w:r>
        <w:rPr>
          <w:sz w:val="24"/>
        </w:rPr>
      </w:r>
      <w:r/>
    </w:p>
    <w:p>
      <w:pPr>
        <w:pStyle w:val="962"/>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bookmarkStart w:id="205" w:name="OLE_LINK4"/>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bookmarkEnd w:id="205"/>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3"/>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ascii="黑体" w:hAnsi="黑体" w:eastAsia="黑体"/>
          <w:i/>
          <w:sz w:val="32"/>
          <w:szCs w:val="32"/>
          <w:u w:val="single"/>
        </w:rPr>
      </w:r>
      <w:r/>
    </w:p>
    <w:p>
      <w:pPr>
        <w:pStyle w:val="923"/>
      </w:pPr>
      <w:r/>
      <w:r/>
    </w:p>
    <w:p>
      <w:pPr>
        <w:pStyle w:val="924"/>
        <w:rPr>
          <w:lang w:eastAsia="zh-CN"/>
        </w:rPr>
      </w:pPr>
      <w:r>
        <w:rPr>
          <w:lang w:eastAsia="zh-CN"/>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33"/>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64"/>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33"/>
        <w:ind w:firstLine="480"/>
        <w:spacing w:line="420" w:lineRule="exact"/>
        <w:rPr>
          <w:sz w:val="24"/>
          <w:szCs w:val="24"/>
        </w:rPr>
      </w:pPr>
      <w:r>
        <w:rPr>
          <w:sz w:val="24"/>
          <w:szCs w:val="24"/>
        </w:rPr>
      </w:r>
      <w:r/>
    </w:p>
    <w:p>
      <w:pPr>
        <w:pStyle w:val="933"/>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3"/>
        <w:ind w:firstLine="480"/>
        <w:spacing w:line="480" w:lineRule="exact"/>
        <w:rPr>
          <w:sz w:val="24"/>
          <w:szCs w:val="24"/>
        </w:rPr>
      </w:pPr>
      <w:r>
        <w:rPr>
          <w:rFonts w:hint="eastAsia"/>
          <w:sz w:val="24"/>
          <w:szCs w:val="24"/>
        </w:rPr>
        <w:t xml:space="preserve">本授权书自______年____月____日起生效，特此声明。</w:t>
      </w:r>
      <w:r/>
    </w:p>
    <w:p>
      <w:pPr>
        <w:pStyle w:val="933"/>
        <w:ind w:firstLine="480"/>
        <w:spacing w:line="480" w:lineRule="exact"/>
        <w:rPr>
          <w:sz w:val="24"/>
          <w:szCs w:val="24"/>
        </w:rPr>
      </w:pPr>
      <w:r>
        <w:rPr>
          <w:rFonts w:hint="eastAsia"/>
          <w:sz w:val="24"/>
          <w:szCs w:val="24"/>
        </w:rPr>
        <w:t xml:space="preserve">被授权人身份证号码：</w:t>
      </w:r>
      <w:r/>
    </w:p>
    <w:p>
      <w:pPr>
        <w:pStyle w:val="933"/>
        <w:ind w:firstLine="480"/>
        <w:spacing w:line="480" w:lineRule="exact"/>
        <w:rPr>
          <w:sz w:val="24"/>
          <w:szCs w:val="24"/>
          <w:u w:val="single"/>
        </w:rPr>
      </w:pPr>
      <w:r>
        <w:rPr>
          <w:rFonts w:hint="eastAsia"/>
          <w:sz w:val="24"/>
          <w:szCs w:val="24"/>
        </w:rPr>
        <w:t xml:space="preserve">被授权人联系电话：（手机）</w:t>
      </w:r>
      <w:r/>
    </w:p>
    <w:p>
      <w:pPr>
        <w:pStyle w:val="933"/>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33"/>
        <w:ind w:firstLine="480"/>
        <w:spacing w:line="480" w:lineRule="exact"/>
        <w:rPr>
          <w:sz w:val="24"/>
          <w:szCs w:val="24"/>
          <w:u w:val="single"/>
        </w:rPr>
      </w:pPr>
      <w:r>
        <w:rPr>
          <w:rFonts w:hint="eastAsia"/>
          <w:sz w:val="24"/>
          <w:szCs w:val="24"/>
        </w:rPr>
        <w:t xml:space="preserve">单位地址：</w:t>
      </w:r>
      <w:r/>
    </w:p>
    <w:p>
      <w:pPr>
        <w:pStyle w:val="933"/>
        <w:ind w:firstLine="480"/>
        <w:spacing w:line="480" w:lineRule="exact"/>
        <w:rPr>
          <w:sz w:val="24"/>
          <w:szCs w:val="24"/>
        </w:rPr>
      </w:pPr>
      <w:r>
        <w:rPr>
          <w:rFonts w:hint="eastAsia"/>
          <w:sz w:val="24"/>
          <w:szCs w:val="24"/>
        </w:rPr>
        <w:t xml:space="preserve">日    期：</w:t>
      </w:r>
      <w:bookmarkStart w:id="206" w:name="_Hlt26955070"/>
      <w:r/>
      <w:bookmarkEnd w:id="206"/>
      <w:r/>
      <w:bookmarkStart w:id="207" w:name="_格式3__银行出具的资信证明"/>
      <w:r/>
      <w:bookmarkEnd w:id="207"/>
      <w:r/>
      <w:bookmarkStart w:id="208" w:name="_Hlt26671380"/>
      <w:r/>
      <w:bookmarkEnd w:id="208"/>
      <w:r/>
      <w:r/>
    </w:p>
    <w:p>
      <w:pPr>
        <w:pStyle w:val="856"/>
        <w:rPr>
          <w:i/>
          <w:sz w:val="24"/>
          <w:szCs w:val="24"/>
          <w:u w:val="single"/>
        </w:rPr>
      </w:pPr>
      <w:r>
        <w:rPr>
          <w:i/>
          <w:sz w:val="24"/>
          <w:szCs w:val="24"/>
          <w:u w:val="single"/>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35"/>
        <w:spacing w:before="0" w:after="0" w:line="420" w:lineRule="exact"/>
        <w:rPr>
          <w:rFonts w:ascii="宋体" w:hAnsi="宋体"/>
          <w:szCs w:val="21"/>
        </w:rPr>
      </w:pPr>
      <w:r>
        <w:rPr>
          <w:rFonts w:hint="eastAsia" w:ascii="宋体" w:hAnsi="宋体"/>
          <w:szCs w:val="21"/>
        </w:rPr>
        <w:t xml:space="preserve">致：南京市公共资源交易中心</w:t>
      </w:r>
      <w:r/>
    </w:p>
    <w:p>
      <w:pPr>
        <w:pStyle w:val="935"/>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5"/>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3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3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53"/>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35"/>
        <w:spacing w:before="0" w:after="0" w:line="420" w:lineRule="exact"/>
        <w:rPr>
          <w:rFonts w:ascii="宋体" w:hAnsi="宋体"/>
          <w:szCs w:val="21"/>
        </w:rPr>
      </w:pPr>
      <w:r>
        <w:rPr>
          <w:rFonts w:hint="eastAsia" w:ascii="宋体" w:hAnsi="宋体"/>
          <w:szCs w:val="21"/>
        </w:rPr>
        <w:t xml:space="preserve">9.我方与本次投标有关信息</w:t>
      </w:r>
      <w:r/>
    </w:p>
    <w:p>
      <w:pPr>
        <w:pStyle w:val="935"/>
        <w:spacing w:before="0" w:after="0" w:line="420" w:lineRule="exact"/>
        <w:rPr>
          <w:rFonts w:ascii="宋体" w:hAnsi="宋体"/>
          <w:szCs w:val="21"/>
        </w:rPr>
      </w:pPr>
      <w:r>
        <w:rPr>
          <w:rFonts w:hint="eastAsia" w:ascii="宋体" w:hAnsi="宋体"/>
          <w:szCs w:val="21"/>
        </w:rPr>
        <w:t xml:space="preserve">地  址：</w:t>
      </w:r>
      <w:r/>
    </w:p>
    <w:p>
      <w:pPr>
        <w:pStyle w:val="935"/>
        <w:spacing w:before="0" w:after="0" w:line="420" w:lineRule="exact"/>
        <w:rPr>
          <w:rFonts w:ascii="宋体" w:hAnsi="宋体"/>
          <w:szCs w:val="21"/>
        </w:rPr>
      </w:pPr>
      <w:r>
        <w:rPr>
          <w:rFonts w:hint="eastAsia" w:ascii="宋体" w:hAnsi="宋体"/>
          <w:szCs w:val="21"/>
        </w:rPr>
        <w:t xml:space="preserve">邮  编：</w:t>
      </w:r>
      <w:r/>
    </w:p>
    <w:p>
      <w:pPr>
        <w:pStyle w:val="935"/>
        <w:spacing w:before="0" w:after="0" w:line="420" w:lineRule="exact"/>
        <w:rPr>
          <w:rFonts w:ascii="宋体" w:hAnsi="宋体"/>
          <w:szCs w:val="21"/>
          <w:u w:val="single"/>
        </w:rPr>
      </w:pPr>
      <w:r>
        <w:rPr>
          <w:rFonts w:hint="eastAsia" w:ascii="宋体" w:hAnsi="宋体"/>
          <w:szCs w:val="21"/>
        </w:rPr>
        <w:t xml:space="preserve">电  话：</w:t>
      </w:r>
      <w:r/>
    </w:p>
    <w:p>
      <w:pPr>
        <w:pStyle w:val="935"/>
        <w:spacing w:before="0" w:after="0" w:line="420" w:lineRule="exact"/>
        <w:rPr>
          <w:rFonts w:ascii="宋体" w:hAnsi="宋体"/>
          <w:szCs w:val="21"/>
          <w:u w:val="single"/>
        </w:rPr>
      </w:pPr>
      <w:r>
        <w:rPr>
          <w:rFonts w:hint="eastAsia" w:ascii="宋体" w:hAnsi="宋体"/>
          <w:szCs w:val="21"/>
        </w:rPr>
        <w:t xml:space="preserve">传  真：</w:t>
      </w:r>
      <w:r/>
    </w:p>
    <w:p>
      <w:pPr>
        <w:pStyle w:val="935"/>
        <w:spacing w:before="0" w:after="0" w:line="420" w:lineRule="exact"/>
        <w:rPr>
          <w:rFonts w:ascii="宋体" w:hAnsi="宋体"/>
          <w:szCs w:val="21"/>
          <w:u w:val="single"/>
        </w:rPr>
      </w:pPr>
      <w:r>
        <w:rPr>
          <w:rFonts w:hint="eastAsia" w:ascii="宋体" w:hAnsi="宋体"/>
          <w:szCs w:val="21"/>
        </w:rPr>
        <w:t xml:space="preserve">开户行：</w:t>
      </w:r>
      <w:r/>
    </w:p>
    <w:p>
      <w:pPr>
        <w:pStyle w:val="935"/>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35"/>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85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35"/>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922"/>
      </w:pPr>
      <w:r/>
      <w:r/>
    </w:p>
    <w:p>
      <w:pPr>
        <w:pStyle w:val="922"/>
      </w:pPr>
      <w:r/>
      <w:r/>
    </w:p>
    <w:p>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853"/>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853"/>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852"/>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39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r>
        <w:rPr>
          <w:rFonts w:hint="eastAsia" w:ascii="宋体" w:hAnsi="宋体"/>
          <w:sz w:val="24"/>
          <w:szCs w:val="24"/>
        </w:rPr>
        <w:t xml:space="preserve">项目编号：                                   采购包号：</w:t>
      </w:r>
      <w:r/>
    </w:p>
    <w:tbl>
      <w:tblPr>
        <w:tblStyle w:val="85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882"/>
        <w:ind w:firstLine="480"/>
        <w:jc w:val="both"/>
        <w:spacing w:before="0" w:beforeAutospacing="0" w:after="0" w:afterAutospacing="0" w:line="360" w:lineRule="auto"/>
        <w:rPr>
          <w:color w:val="000000"/>
        </w:rPr>
      </w:pPr>
      <w:r>
        <w:rPr>
          <w:color w:val="000000"/>
        </w:rPr>
        <w:t xml:space="preserve">备注： </w:t>
      </w:r>
      <w:r/>
    </w:p>
    <w:p>
      <w:pPr>
        <w:pStyle w:val="882"/>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882"/>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882"/>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882"/>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882"/>
        <w:ind w:firstLine="482"/>
        <w:jc w:val="both"/>
        <w:spacing w:before="0" w:beforeAutospacing="0" w:after="0" w:afterAutospacing="0" w:line="360" w:lineRule="auto"/>
        <w:rPr>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882"/>
        <w:ind w:firstLine="480"/>
        <w:jc w:val="both"/>
        <w:spacing w:before="0" w:beforeAutospacing="0" w:after="0" w:afterAutospacing="0" w:line="360" w:lineRule="auto"/>
        <w:rPr>
          <w:color w:val="000000"/>
        </w:rPr>
      </w:pPr>
      <w:r>
        <w:rPr>
          <w:color w:val="000000"/>
        </w:rPr>
      </w:r>
      <w:r/>
    </w:p>
    <w:p>
      <w:pPr>
        <w:jc w:val="left"/>
        <w:spacing w:line="360" w:lineRule="auto"/>
        <w:rPr>
          <w:rFonts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pPr>
            <w:r/>
            <w:r/>
          </w:p>
          <w:p>
            <w:pPr>
              <w:pStyle w:val="853"/>
            </w:p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882"/>
        <w:ind w:firstLine="480"/>
        <w:jc w:val="both"/>
        <w:spacing w:before="0" w:beforeAutospacing="0" w:after="0" w:afterAutospacing="0"/>
        <w:rPr>
          <w:color w:val="000000"/>
        </w:rPr>
      </w:pPr>
      <w:r>
        <w:rPr>
          <w:color w:val="000000"/>
        </w:rPr>
      </w:r>
      <w:r/>
    </w:p>
    <w:p>
      <w:pPr>
        <w:pStyle w:val="882"/>
        <w:ind w:firstLine="480"/>
        <w:jc w:val="both"/>
        <w:spacing w:before="0" w:beforeAutospacing="0" w:after="0" w:afterAutospacing="0" w:line="360" w:lineRule="auto"/>
      </w:pPr>
      <w:r>
        <w:t xml:space="preserve">备注： </w:t>
      </w:r>
      <w:r/>
    </w:p>
    <w:p>
      <w:pPr>
        <w:pStyle w:val="882"/>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882"/>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82"/>
        <w:ind w:firstLine="480"/>
        <w:jc w:val="both"/>
        <w:spacing w:before="0" w:beforeAutospacing="0" w:after="0" w:afterAutospacing="0" w:line="360" w:lineRule="auto"/>
      </w:pPr>
      <w:r>
        <w:rPr>
          <w:rFonts w:hint="eastAsia"/>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pPr>
            <w:r/>
            <w:r/>
          </w:p>
          <w:p>
            <w:pPr>
              <w:pStyle w:val="853"/>
            </w:p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882"/>
        <w:ind w:firstLine="480"/>
        <w:jc w:val="both"/>
        <w:spacing w:before="0" w:beforeAutospacing="0" w:after="0" w:afterAutospacing="0" w:line="360" w:lineRule="auto"/>
      </w:pPr>
      <w:r>
        <w:rPr>
          <w:rFonts w:hint="eastAsia"/>
        </w:rPr>
        <w:t xml:space="preserve">备注： </w:t>
      </w:r>
      <w:r/>
    </w:p>
    <w:p>
      <w:pPr>
        <w:pStyle w:val="882"/>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82"/>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2"/>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922"/>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22"/>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62"/>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ascii="宋体" w:hAnsi="宋体"/>
          <w:sz w:val="24"/>
          <w:szCs w:val="24"/>
        </w:rPr>
      </w:pPr>
      <w:r>
        <w:rPr>
          <w:rFonts w:hint="eastAsia"/>
          <w:color w:val="000000"/>
          <w:sz w:val="24"/>
          <w:szCs w:val="24"/>
        </w:rPr>
        <w:t xml:space="preserve">日   期：</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1.牵头单位必须为联合体成员。</w:t>
      </w:r>
      <w:r/>
    </w:p>
    <w:p>
      <w:pPr>
        <w:ind w:firstLine="480"/>
        <w:spacing w:line="480" w:lineRule="exact"/>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ascii="宋体" w:hAnsi="宋体"/>
          <w:sz w:val="24"/>
        </w:rPr>
      </w:pPr>
      <w:r>
        <w:rPr>
          <w:rFonts w:hint="eastAsia" w:ascii="宋体" w:hAnsi="宋体"/>
          <w:sz w:val="24"/>
        </w:rPr>
        <w:t xml:space="preserve">3.除另有说明外，本招标文件要求加盖电子公章之处，加盖牵头单位的电子公章即可。</w:t>
      </w:r>
      <w:r/>
    </w:p>
    <w:p>
      <w:pPr>
        <w:pStyle w:val="853"/>
        <w:ind w:firstLine="480"/>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bookmarkEnd w:id="204"/>
      <w:r/>
      <w:r/>
    </w:p>
    <w:p>
      <w:pPr>
        <w:jc w:val="left"/>
        <w:spacing w:line="360" w:lineRule="auto"/>
        <w:rPr>
          <w:rFonts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十三、关于符合本国产品标准的声明函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882"/>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2"/>
        <w:ind w:firstLine="420"/>
        <w:spacing w:before="24" w:beforeAutospacing="0" w:after="24" w:afterAutospacing="0" w:line="360" w:lineRule="auto"/>
        <w:shd w:val="clear" w:color="auto" w:fill="ffffff"/>
      </w:pPr>
      <w:r>
        <w:rPr>
          <w:rFonts w:hint="eastAsia"/>
          <w:shd w:val="clear" w:color="auto" w:fill="ffffff"/>
        </w:rPr>
        <w:t xml:space="preserve">1.</w:t>
      </w:r>
      <w:r>
        <w:rPr>
          <w:rStyle w:val="890"/>
          <w:rFonts w:hint="eastAsia"/>
          <w:i w:val="0"/>
          <w:u w:val="single"/>
          <w:shd w:val="clear" w:color="auto" w:fill="ffffff"/>
        </w:rPr>
        <w:t xml:space="preserve">（产品名称1）</w:t>
      </w:r>
      <w:r>
        <w:rPr>
          <w:rStyle w:val="89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90"/>
          <w:rFonts w:hint="eastAsia"/>
          <w:i w:val="0"/>
          <w:u w:val="single"/>
          <w:shd w:val="clear" w:color="auto" w:fill="ffffff"/>
        </w:rPr>
        <w:t xml:space="preserve">（厂名）</w:t>
      </w:r>
      <w:r>
        <w:rPr>
          <w:rStyle w:val="890"/>
          <w:rFonts w:hint="eastAsia"/>
          <w:i w:val="0"/>
          <w:shd w:val="clear" w:color="auto" w:fill="ffffff"/>
          <w:vertAlign w:val="superscript"/>
        </w:rPr>
        <w:t xml:space="preserve">2</w:t>
      </w:r>
      <w:r>
        <w:rPr>
          <w:rFonts w:hint="eastAsia"/>
          <w:shd w:val="clear" w:color="auto" w:fill="ffffff"/>
        </w:rPr>
        <w:t xml:space="preserve">，厂址为</w:t>
      </w:r>
      <w:r>
        <w:rPr>
          <w:rStyle w:val="890"/>
          <w:rFonts w:hint="eastAsia"/>
          <w:i w:val="0"/>
          <w:u w:val="single"/>
          <w:shd w:val="clear" w:color="auto" w:fill="ffffff"/>
        </w:rPr>
        <w:t xml:space="preserve">（生产厂址）</w:t>
      </w:r>
      <w:r>
        <w:rPr>
          <w:rFonts w:hint="eastAsia"/>
          <w:shd w:val="clear" w:color="auto" w:fill="ffffff"/>
        </w:rPr>
        <w:t xml:space="preserve">。</w:t>
      </w:r>
      <w:r>
        <w:rPr>
          <w:rStyle w:val="890"/>
          <w:rFonts w:hint="eastAsia"/>
          <w:u w:val="single"/>
          <w:shd w:val="clear" w:color="auto" w:fill="ffffff"/>
        </w:rPr>
        <w:t xml:space="preserve">（产品名称1）</w:t>
      </w:r>
      <w:r>
        <w:rPr>
          <w:rFonts w:hint="eastAsia"/>
          <w:shd w:val="clear" w:color="auto" w:fill="ffffff"/>
        </w:rPr>
        <w:t xml:space="preserve">的中国境内生产的组件成本占比≥</w:t>
      </w:r>
      <w:r>
        <w:rPr>
          <w:rStyle w:val="890"/>
          <w:rFonts w:hint="eastAsia"/>
          <w:u w:val="single"/>
          <w:shd w:val="clear" w:color="auto" w:fill="ffffff"/>
        </w:rPr>
        <w:t xml:space="preserve">（规定比例）</w:t>
      </w:r>
      <w:r>
        <w:rPr>
          <w:rStyle w:val="890"/>
          <w:rFonts w:hint="eastAsia"/>
          <w:i w:val="0"/>
          <w:shd w:val="clear" w:color="auto" w:fill="ffffff"/>
          <w:vertAlign w:val="superscript"/>
        </w:rPr>
        <w:t xml:space="preserve">3</w:t>
      </w:r>
      <w:r>
        <w:rPr>
          <w:rFonts w:hint="eastAsia"/>
          <w:shd w:val="clear" w:color="auto" w:fill="ffffff"/>
        </w:rPr>
        <w:t xml:space="preserve">。</w:t>
      </w:r>
      <w:r>
        <w:rPr>
          <w:rStyle w:val="890"/>
          <w:rFonts w:hint="eastAsia"/>
          <w:u w:val="single"/>
          <w:shd w:val="clear" w:color="auto" w:fill="ffffff"/>
        </w:rPr>
        <w:t xml:space="preserve">（产品名称1）</w:t>
      </w:r>
      <w:r>
        <w:rPr>
          <w:rFonts w:hint="eastAsia"/>
          <w:shd w:val="clear" w:color="auto" w:fill="ffffff"/>
        </w:rPr>
        <w:t xml:space="preserve">的</w:t>
      </w:r>
      <w:r>
        <w:rPr>
          <w:rStyle w:val="890"/>
          <w:rFonts w:hint="eastAsia"/>
          <w:u w:val="single"/>
          <w:shd w:val="clear" w:color="auto" w:fill="ffffff"/>
        </w:rPr>
        <w:t xml:space="preserve">（关键组件）</w:t>
      </w:r>
      <w:r>
        <w:rPr>
          <w:rStyle w:val="890"/>
          <w:rFonts w:hint="eastAsia"/>
          <w:i w:val="0"/>
          <w:shd w:val="clear" w:color="auto" w:fill="ffffff"/>
          <w:vertAlign w:val="superscript"/>
        </w:rPr>
        <w:t xml:space="preserve">4</w:t>
      </w:r>
      <w:r>
        <w:rPr>
          <w:rFonts w:hint="eastAsia"/>
          <w:shd w:val="clear" w:color="auto" w:fill="ffffff"/>
        </w:rPr>
        <w:t xml:space="preserve">在中国境内生产。</w:t>
      </w:r>
      <w:r>
        <w:rPr>
          <w:rStyle w:val="890"/>
          <w:rFonts w:hint="eastAsia"/>
          <w:u w:val="single"/>
          <w:shd w:val="clear" w:color="auto" w:fill="ffffff"/>
        </w:rPr>
        <w:t xml:space="preserve">（产品名称1）</w:t>
      </w:r>
      <w:r>
        <w:rPr>
          <w:rFonts w:hint="eastAsia"/>
          <w:shd w:val="clear" w:color="auto" w:fill="ffffff"/>
        </w:rPr>
        <w:t xml:space="preserve">的</w:t>
      </w:r>
      <w:r>
        <w:rPr>
          <w:rStyle w:val="890"/>
          <w:rFonts w:hint="eastAsia"/>
          <w:u w:val="single"/>
          <w:shd w:val="clear" w:color="auto" w:fill="ffffff"/>
        </w:rPr>
        <w:t xml:space="preserve">（关键工序）</w:t>
      </w:r>
      <w:r>
        <w:rPr>
          <w:rStyle w:val="890"/>
          <w:rFonts w:hint="eastAsia"/>
          <w:i w:val="0"/>
          <w:shd w:val="clear" w:color="auto" w:fill="ffffff"/>
          <w:vertAlign w:val="superscript"/>
        </w:rPr>
        <w:t xml:space="preserve">5</w:t>
      </w:r>
      <w:r>
        <w:rPr>
          <w:rFonts w:hint="eastAsia"/>
          <w:shd w:val="clear" w:color="auto" w:fill="ffffff"/>
        </w:rPr>
        <w:t xml:space="preserve">在中国境内完成。</w:t>
      </w:r>
      <w:r/>
    </w:p>
    <w:p>
      <w:pPr>
        <w:pStyle w:val="882"/>
        <w:ind w:firstLine="420"/>
        <w:spacing w:before="24" w:beforeAutospacing="0" w:after="24" w:afterAutospacing="0" w:line="360" w:lineRule="auto"/>
        <w:shd w:val="clear" w:color="auto" w:fill="ffffff"/>
      </w:pPr>
      <w:r>
        <w:rPr>
          <w:rFonts w:hint="eastAsia"/>
          <w:shd w:val="clear" w:color="auto" w:fill="ffffff"/>
        </w:rPr>
        <w:t xml:space="preserve">2.</w:t>
      </w:r>
      <w:r>
        <w:rPr>
          <w:rStyle w:val="890"/>
          <w:rFonts w:hint="eastAsia"/>
          <w:i w:val="0"/>
          <w:u w:val="single"/>
          <w:shd w:val="clear" w:color="auto" w:fill="ffffff"/>
        </w:rPr>
        <w:t xml:space="preserve">（产品名称2）</w:t>
      </w:r>
      <w:r>
        <w:rPr>
          <w:rFonts w:hint="eastAsia"/>
          <w:shd w:val="clear" w:color="auto" w:fill="ffffff"/>
        </w:rPr>
        <w:t xml:space="preserve">，生产厂为</w:t>
      </w:r>
      <w:r>
        <w:rPr>
          <w:rStyle w:val="890"/>
          <w:rFonts w:hint="eastAsia"/>
          <w:i w:val="0"/>
          <w:u w:val="single"/>
          <w:shd w:val="clear" w:color="auto" w:fill="ffffff"/>
        </w:rPr>
        <w:t xml:space="preserve">（厂名）</w:t>
      </w:r>
      <w:r>
        <w:rPr>
          <w:rFonts w:hint="eastAsia"/>
          <w:shd w:val="clear" w:color="auto" w:fill="ffffff"/>
        </w:rPr>
        <w:t xml:space="preserve">，厂址为</w:t>
      </w:r>
      <w:r>
        <w:rPr>
          <w:rStyle w:val="890"/>
          <w:rFonts w:hint="eastAsia"/>
          <w:i w:val="0"/>
          <w:u w:val="single"/>
          <w:shd w:val="clear" w:color="auto" w:fill="ffffff"/>
        </w:rPr>
        <w:t xml:space="preserve">（生产厂址）</w:t>
      </w:r>
      <w:r>
        <w:rPr>
          <w:rFonts w:hint="eastAsia"/>
          <w:shd w:val="clear" w:color="auto" w:fill="ffffff"/>
        </w:rPr>
        <w:t xml:space="preserve">。</w:t>
      </w:r>
      <w:r>
        <w:rPr>
          <w:rStyle w:val="890"/>
          <w:rFonts w:hint="eastAsia"/>
          <w:u w:val="single"/>
          <w:shd w:val="clear" w:color="auto" w:fill="ffffff"/>
        </w:rPr>
        <w:t xml:space="preserve">（产品名称2）</w:t>
      </w:r>
      <w:r>
        <w:rPr>
          <w:rFonts w:hint="eastAsia"/>
          <w:shd w:val="clear" w:color="auto" w:fill="ffffff"/>
        </w:rPr>
        <w:t xml:space="preserve">的中国境内生产的组件成本占比≥</w:t>
      </w:r>
      <w:r>
        <w:rPr>
          <w:rStyle w:val="890"/>
          <w:rFonts w:hint="eastAsia"/>
          <w:u w:val="single"/>
          <w:shd w:val="clear" w:color="auto" w:fill="ffffff"/>
        </w:rPr>
        <w:t xml:space="preserve">（规定比例）</w:t>
      </w:r>
      <w:r>
        <w:rPr>
          <w:rFonts w:hint="eastAsia"/>
          <w:shd w:val="clear" w:color="auto" w:fill="ffffff"/>
        </w:rPr>
        <w:t xml:space="preserve">。</w:t>
      </w:r>
      <w:r>
        <w:rPr>
          <w:rStyle w:val="890"/>
          <w:rFonts w:hint="eastAsia"/>
          <w:u w:val="single"/>
          <w:shd w:val="clear" w:color="auto" w:fill="ffffff"/>
        </w:rPr>
        <w:t xml:space="preserve">（产品名称2）</w:t>
      </w:r>
      <w:r>
        <w:rPr>
          <w:rFonts w:hint="eastAsia"/>
          <w:shd w:val="clear" w:color="auto" w:fill="ffffff"/>
        </w:rPr>
        <w:t xml:space="preserve">的</w:t>
      </w:r>
      <w:r>
        <w:rPr>
          <w:rStyle w:val="890"/>
          <w:rFonts w:hint="eastAsia"/>
          <w:u w:val="single"/>
          <w:shd w:val="clear" w:color="auto" w:fill="ffffff"/>
        </w:rPr>
        <w:t xml:space="preserve">（关键组件）</w:t>
      </w:r>
      <w:r>
        <w:rPr>
          <w:rFonts w:hint="eastAsia"/>
          <w:shd w:val="clear" w:color="auto" w:fill="ffffff"/>
        </w:rPr>
        <w:t xml:space="preserve">在中国境内生产。</w:t>
      </w:r>
      <w:r>
        <w:rPr>
          <w:rStyle w:val="890"/>
          <w:rFonts w:hint="eastAsia"/>
          <w:u w:val="single"/>
          <w:shd w:val="clear" w:color="auto" w:fill="ffffff"/>
        </w:rPr>
        <w:t xml:space="preserve">（产品名称2）</w:t>
      </w:r>
      <w:r>
        <w:rPr>
          <w:rFonts w:hint="eastAsia"/>
          <w:shd w:val="clear" w:color="auto" w:fill="ffffff"/>
        </w:rPr>
        <w:t xml:space="preserve">的</w:t>
      </w:r>
      <w:r>
        <w:rPr>
          <w:rStyle w:val="890"/>
          <w:rFonts w:hint="eastAsia"/>
          <w:u w:val="single"/>
          <w:shd w:val="clear" w:color="auto" w:fill="ffffff"/>
        </w:rPr>
        <w:t xml:space="preserve">（关键工序）</w:t>
      </w:r>
      <w:r>
        <w:rPr>
          <w:rFonts w:hint="eastAsia"/>
          <w:shd w:val="clear" w:color="auto" w:fill="ffffff"/>
        </w:rPr>
        <w:t xml:space="preserve">在中国境内完成。</w:t>
      </w:r>
      <w:r/>
    </w:p>
    <w:p>
      <w:pPr>
        <w:pStyle w:val="882"/>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882"/>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882"/>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882"/>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82"/>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88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88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882"/>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82"/>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82"/>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5.该产品的关键工序要求实施前，“关键工序”栏可不填。</w:t>
      </w:r>
      <w:bookmarkStart w:id="209" w:name="OLE_LINK8"/>
      <w:r/>
      <w:bookmarkEnd w:id="209"/>
      <w:r/>
      <w:r/>
    </w:p>
    <w:p>
      <w:pPr>
        <w:pStyle w:val="882"/>
        <w:ind w:firstLine="420"/>
        <w:spacing w:before="24" w:beforeAutospacing="0" w:after="24" w:afterAutospacing="0" w:line="360" w:lineRule="auto"/>
        <w:shd w:val="clear" w:color="auto" w:fill="ffffff"/>
        <w:rPr>
          <w:sz w:val="21"/>
          <w:szCs w:val="21"/>
          <w:shd w:val="clear" w:color="auto" w:fill="ffffff"/>
        </w:rPr>
      </w:pPr>
      <w:r>
        <w:rPr>
          <w:sz w:val="21"/>
          <w:szCs w:val="21"/>
          <w:shd w:val="clear" w:color="auto" w:fill="ffffff"/>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Fonts w:ascii="宋体" w:hAnsi="宋体"/>
      </w:rPr>
      <w:framePr w:wrap="around" w:vAnchor="text" w:hAnchor="margin" w:xAlign="center" w:y="1"/>
    </w:pPr>
    <w:r>
      <w:rPr>
        <w:rFonts w:ascii="宋体" w:hAnsi="宋体"/>
      </w:rPr>
      <w:fldChar w:fldCharType="begin"/>
    </w:r>
    <w:r>
      <w:rPr>
        <w:rStyle w:val="888"/>
        <w:rFonts w:ascii="宋体" w:hAnsi="宋体"/>
      </w:rPr>
      <w:instrText xml:space="preserve">PAGE  </w:instrText>
    </w:r>
    <w:r>
      <w:rPr>
        <w:rFonts w:ascii="宋体" w:hAnsi="宋体"/>
      </w:rPr>
      <w:fldChar w:fldCharType="separate"/>
    </w:r>
    <w:r>
      <w:rPr>
        <w:rStyle w:val="888"/>
        <w:rFonts w:ascii="宋体" w:hAnsi="宋体"/>
      </w:rPr>
      <w:t xml:space="preserve">２０</w:t>
    </w:r>
    <w:r>
      <w:rPr>
        <w:rFonts w:ascii="宋体" w:hAnsi="宋体"/>
      </w:rPr>
      <w:fldChar w:fldCharType="end"/>
    </w:r>
    <w:r/>
  </w:p>
  <w:p>
    <w:pPr>
      <w:pStyle w:val="87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2"/>
    <w:uiPriority w:val="99"/>
  </w:style>
  <w:style w:type="character" w:styleId="706">
    <w:name w:val="Footer Char"/>
    <w:basedOn w:val="851"/>
    <w:link w:val="871"/>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1"/>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5"/>
    <w:uiPriority w:val="0"/>
    <w:qFormat/>
    <w:pPr>
      <w:jc w:val="center"/>
      <w:keepNext/>
      <w:outlineLvl w:val="0"/>
    </w:pPr>
    <w:rPr>
      <w:rFonts w:ascii="楷体_GB2312" w:eastAsia="楷体_GB2312"/>
      <w:sz w:val="28"/>
      <w:szCs w:val="28"/>
    </w:rPr>
  </w:style>
  <w:style w:type="paragraph" w:styleId="843">
    <w:name w:val="Heading 2"/>
    <w:basedOn w:val="841"/>
    <w:next w:val="856"/>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8"/>
    <w:uiPriority w:val="0"/>
    <w:qFormat/>
    <w:pPr>
      <w:keepLines/>
      <w:keepNext/>
      <w:spacing w:before="260" w:after="260" w:line="416" w:lineRule="auto"/>
      <w:outlineLvl w:val="2"/>
    </w:pPr>
    <w:rPr>
      <w:b/>
      <w:bCs/>
      <w:sz w:val="32"/>
      <w:szCs w:val="32"/>
    </w:rPr>
  </w:style>
  <w:style w:type="paragraph" w:styleId="845">
    <w:name w:val="Heading 4"/>
    <w:basedOn w:val="841"/>
    <w:next w:val="856"/>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0"/>
    <w:uiPriority w:val="0"/>
    <w:qFormat/>
    <w:pPr>
      <w:keepNext/>
      <w:outlineLvl w:val="4"/>
    </w:pPr>
    <w:rPr>
      <w:rFonts w:ascii="宋体"/>
      <w:color w:val="000000"/>
      <w:sz w:val="28"/>
      <w:szCs w:val="28"/>
    </w:rPr>
  </w:style>
  <w:style w:type="paragraph" w:styleId="847">
    <w:name w:val="Heading 6"/>
    <w:basedOn w:val="841"/>
    <w:next w:val="841"/>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2"/>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4"/>
    <w:uiPriority w:val="0"/>
    <w:qFormat/>
    <w:pPr>
      <w:numPr>
        <w:ilvl w:val="8"/>
        <w:numId w:val="1"/>
      </w:numPr>
      <w:keepLines/>
      <w:keepNext/>
      <w:spacing w:before="240" w:after="64" w:line="320" w:lineRule="auto"/>
      <w:outlineLvl w:val="8"/>
    </w:pPr>
    <w:rPr>
      <w:rFonts w:ascii="Arial" w:hAnsi="Arial" w:eastAsia="黑体"/>
      <w:szCs w:val="21"/>
    </w:rPr>
  </w:style>
  <w:style w:type="character" w:styleId="851" w:default="1">
    <w:name w:val="Default Paragraph Font"/>
    <w:uiPriority w:val="1"/>
    <w:semiHidden/>
    <w:unhideWhenUsed/>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Body Text First Indent 2"/>
    <w:basedOn w:val="854"/>
    <w:next w:val="841"/>
    <w:link w:val="894"/>
    <w:uiPriority w:val="0"/>
    <w:qFormat/>
    <w:pPr>
      <w:ind w:left="0" w:firstLine="420"/>
      <w:spacing w:after="0" w:line="360" w:lineRule="auto"/>
    </w:pPr>
    <w:rPr>
      <w:rFonts w:ascii="宋体" w:hAnsi="宋体"/>
      <w:szCs w:val="20"/>
    </w:rPr>
  </w:style>
  <w:style w:type="paragraph" w:styleId="854">
    <w:name w:val="Body Text Indent"/>
    <w:basedOn w:val="841"/>
    <w:next w:val="855"/>
    <w:link w:val="893"/>
    <w:uiPriority w:val="0"/>
    <w:unhideWhenUsed/>
    <w:qFormat/>
    <w:pPr>
      <w:ind w:left="420"/>
      <w:spacing w:after="120"/>
    </w:pPr>
  </w:style>
  <w:style w:type="paragraph" w:styleId="855">
    <w:name w:val="envelope return"/>
    <w:basedOn w:val="841"/>
    <w:uiPriority w:val="0"/>
    <w:qFormat/>
    <w:rPr>
      <w:rFonts w:ascii="Arial" w:hAnsi="Arial" w:cs="宋体"/>
    </w:rPr>
  </w:style>
  <w:style w:type="paragraph" w:styleId="856">
    <w:name w:val="Normal Indent"/>
    <w:basedOn w:val="841"/>
    <w:link w:val="897"/>
    <w:uiPriority w:val="0"/>
    <w:qFormat/>
    <w:pPr>
      <w:ind w:firstLine="420"/>
    </w:pPr>
    <w:rPr>
      <w:szCs w:val="21"/>
    </w:rPr>
  </w:style>
  <w:style w:type="paragraph" w:styleId="857">
    <w:name w:val="List 3"/>
    <w:basedOn w:val="841"/>
    <w:uiPriority w:val="0"/>
    <w:qFormat/>
    <w:pPr>
      <w:ind w:left="100" w:hanging="200"/>
    </w:pPr>
    <w:rPr>
      <w:szCs w:val="21"/>
    </w:rPr>
  </w:style>
  <w:style w:type="paragraph" w:styleId="858">
    <w:name w:val="toc 7"/>
    <w:basedOn w:val="841"/>
    <w:next w:val="841"/>
    <w:uiPriority w:val="0"/>
    <w:semiHidden/>
    <w:qFormat/>
    <w:pPr>
      <w:ind w:left="1260"/>
      <w:jc w:val="left"/>
    </w:pPr>
    <w:rPr>
      <w:szCs w:val="21"/>
    </w:rPr>
  </w:style>
  <w:style w:type="paragraph" w:styleId="859">
    <w:name w:val="Document Map"/>
    <w:basedOn w:val="841"/>
    <w:link w:val="905"/>
    <w:uiPriority w:val="0"/>
    <w:semiHidden/>
    <w:qFormat/>
    <w:pPr>
      <w:shd w:val="clear" w:color="auto" w:fill="000080"/>
    </w:pPr>
    <w:rPr>
      <w:szCs w:val="21"/>
    </w:rPr>
  </w:style>
  <w:style w:type="paragraph" w:styleId="860">
    <w:name w:val="annotation text"/>
    <w:basedOn w:val="841"/>
    <w:link w:val="906"/>
    <w:uiPriority w:val="0"/>
    <w:unhideWhenUsed/>
    <w:qFormat/>
    <w:pPr>
      <w:jc w:val="left"/>
    </w:pPr>
  </w:style>
  <w:style w:type="paragraph" w:styleId="861">
    <w:name w:val="Body Text 3"/>
    <w:basedOn w:val="841"/>
    <w:link w:val="907"/>
    <w:uiPriority w:val="0"/>
    <w:qFormat/>
    <w:rPr>
      <w:rFonts w:ascii="仿宋_GB2312" w:hAnsi="Arial" w:eastAsia="仿宋_GB2312"/>
      <w:sz w:val="32"/>
      <w:szCs w:val="32"/>
    </w:rPr>
  </w:style>
  <w:style w:type="paragraph" w:styleId="862">
    <w:name w:val="Body Text"/>
    <w:basedOn w:val="841"/>
    <w:link w:val="908"/>
    <w:uiPriority w:val="0"/>
    <w:qFormat/>
    <w:rPr>
      <w:rFonts w:ascii="楷体_GB2312" w:hAnsi="Arial" w:eastAsia="楷体_GB2312"/>
      <w:sz w:val="28"/>
      <w:szCs w:val="28"/>
    </w:rPr>
  </w:style>
  <w:style w:type="paragraph" w:styleId="863">
    <w:name w:val="List 2"/>
    <w:basedOn w:val="841"/>
    <w:uiPriority w:val="0"/>
    <w:qFormat/>
    <w:pPr>
      <w:ind w:left="100" w:hanging="200"/>
    </w:pPr>
    <w:rPr>
      <w:szCs w:val="21"/>
    </w:rPr>
  </w:style>
  <w:style w:type="paragraph" w:styleId="864">
    <w:name w:val="toc 5"/>
    <w:basedOn w:val="841"/>
    <w:next w:val="841"/>
    <w:uiPriority w:val="0"/>
    <w:semiHidden/>
    <w:qFormat/>
    <w:pPr>
      <w:ind w:left="840"/>
      <w:jc w:val="left"/>
    </w:pPr>
    <w:rPr>
      <w:szCs w:val="21"/>
    </w:rPr>
  </w:style>
  <w:style w:type="paragraph" w:styleId="865">
    <w:name w:val="toc 3"/>
    <w:basedOn w:val="841"/>
    <w:next w:val="841"/>
    <w:uiPriority w:val="0"/>
    <w:semiHidden/>
    <w:qFormat/>
    <w:pPr>
      <w:ind w:left="420"/>
      <w:jc w:val="left"/>
    </w:pPr>
    <w:rPr>
      <w:i/>
      <w:iCs/>
      <w:szCs w:val="24"/>
    </w:rPr>
  </w:style>
  <w:style w:type="paragraph" w:styleId="866">
    <w:name w:val="Plain Text"/>
    <w:basedOn w:val="841"/>
    <w:link w:val="909"/>
    <w:uiPriority w:val="0"/>
    <w:qFormat/>
    <w:rPr>
      <w:rFonts w:ascii="宋体" w:hAnsi="Courier New" w:cs="Courier New"/>
      <w:szCs w:val="21"/>
    </w:rPr>
  </w:style>
  <w:style w:type="paragraph" w:styleId="867">
    <w:name w:val="toc 8"/>
    <w:basedOn w:val="841"/>
    <w:next w:val="841"/>
    <w:uiPriority w:val="0"/>
    <w:semiHidden/>
    <w:qFormat/>
    <w:pPr>
      <w:ind w:left="1470"/>
      <w:jc w:val="left"/>
    </w:pPr>
    <w:rPr>
      <w:szCs w:val="21"/>
    </w:rPr>
  </w:style>
  <w:style w:type="paragraph" w:styleId="868">
    <w:name w:val="Date"/>
    <w:basedOn w:val="841"/>
    <w:next w:val="841"/>
    <w:link w:val="910"/>
    <w:uiPriority w:val="0"/>
    <w:qFormat/>
    <w:rPr>
      <w:sz w:val="24"/>
      <w:szCs w:val="24"/>
    </w:rPr>
  </w:style>
  <w:style w:type="paragraph" w:styleId="869">
    <w:name w:val="Body Text Indent 2"/>
    <w:basedOn w:val="841"/>
    <w:link w:val="911"/>
    <w:uiPriority w:val="0"/>
    <w:qFormat/>
    <w:pPr>
      <w:ind w:left="630" w:firstLine="645"/>
    </w:pPr>
    <w:rPr>
      <w:rFonts w:ascii="Arial" w:hAnsi="Arial" w:eastAsia="仿宋_GB2312" w:cs="Arial"/>
      <w:sz w:val="32"/>
      <w:szCs w:val="32"/>
    </w:rPr>
  </w:style>
  <w:style w:type="paragraph" w:styleId="870">
    <w:name w:val="Balloon Text"/>
    <w:basedOn w:val="841"/>
    <w:link w:val="912"/>
    <w:uiPriority w:val="0"/>
    <w:semiHidden/>
    <w:qFormat/>
    <w:rPr>
      <w:sz w:val="18"/>
      <w:szCs w:val="18"/>
    </w:rPr>
  </w:style>
  <w:style w:type="paragraph" w:styleId="871">
    <w:name w:val="Footer"/>
    <w:basedOn w:val="841"/>
    <w:link w:val="913"/>
    <w:uiPriority w:val="0"/>
    <w:qFormat/>
    <w:pPr>
      <w:jc w:val="left"/>
      <w:tabs>
        <w:tab w:val="center" w:pos="4153" w:leader="none"/>
        <w:tab w:val="right" w:pos="8306" w:leader="none"/>
      </w:tabs>
    </w:pPr>
    <w:rPr>
      <w:sz w:val="18"/>
      <w:szCs w:val="18"/>
    </w:rPr>
  </w:style>
  <w:style w:type="paragraph" w:styleId="872">
    <w:name w:val="Header"/>
    <w:basedOn w:val="841"/>
    <w:link w:val="914"/>
    <w:uiPriority w:val="0"/>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4">
    <w:name w:val="toc 4"/>
    <w:basedOn w:val="841"/>
    <w:next w:val="841"/>
    <w:uiPriority w:val="0"/>
    <w:semiHidden/>
    <w:qFormat/>
    <w:pPr>
      <w:ind w:left="630"/>
      <w:jc w:val="left"/>
    </w:pPr>
    <w:rPr>
      <w:szCs w:val="21"/>
    </w:rPr>
  </w:style>
  <w:style w:type="paragraph" w:styleId="875">
    <w:name w:val="List"/>
    <w:basedOn w:val="841"/>
    <w:uiPriority w:val="0"/>
    <w:qFormat/>
    <w:pPr>
      <w:ind w:left="200" w:hanging="200"/>
    </w:pPr>
    <w:rPr>
      <w:szCs w:val="21"/>
    </w:rPr>
  </w:style>
  <w:style w:type="paragraph" w:styleId="876">
    <w:name w:val="toc 6"/>
    <w:basedOn w:val="841"/>
    <w:next w:val="841"/>
    <w:uiPriority w:val="0"/>
    <w:semiHidden/>
    <w:qFormat/>
    <w:pPr>
      <w:ind w:left="1050"/>
      <w:jc w:val="left"/>
    </w:pPr>
    <w:rPr>
      <w:szCs w:val="21"/>
    </w:rPr>
  </w:style>
  <w:style w:type="paragraph" w:styleId="877">
    <w:name w:val="Body Text Indent 3"/>
    <w:basedOn w:val="841"/>
    <w:link w:val="915"/>
    <w:uiPriority w:val="0"/>
    <w:qFormat/>
    <w:pPr>
      <w:ind w:left="645" w:firstLine="645"/>
    </w:pPr>
    <w:rPr>
      <w:rFonts w:ascii="Arial" w:hAnsi="Arial" w:eastAsia="仿宋_GB2312" w:cs="Arial"/>
      <w:color w:val="ffff00"/>
      <w:sz w:val="32"/>
      <w:szCs w:val="32"/>
    </w:rPr>
  </w:style>
  <w:style w:type="paragraph" w:styleId="878">
    <w:name w:val="table of figures"/>
    <w:basedOn w:val="841"/>
    <w:next w:val="841"/>
    <w:uiPriority w:val="0"/>
    <w:semiHidden/>
    <w:qFormat/>
    <w:pPr>
      <w:ind w:left="840" w:hanging="420"/>
    </w:pPr>
    <w:rPr>
      <w:szCs w:val="21"/>
    </w:rPr>
  </w:style>
  <w:style w:type="paragraph" w:styleId="879">
    <w:name w:val="toc 2"/>
    <w:basedOn w:val="841"/>
    <w:next w:val="841"/>
    <w:uiPriority w:val="0"/>
    <w:semiHidden/>
    <w:qFormat/>
    <w:pPr>
      <w:ind w:left="210"/>
      <w:jc w:val="left"/>
    </w:pPr>
    <w:rPr>
      <w:smallCaps/>
      <w:szCs w:val="24"/>
    </w:rPr>
  </w:style>
  <w:style w:type="paragraph" w:styleId="880">
    <w:name w:val="toc 9"/>
    <w:basedOn w:val="841"/>
    <w:next w:val="841"/>
    <w:uiPriority w:val="0"/>
    <w:semiHidden/>
    <w:qFormat/>
    <w:pPr>
      <w:ind w:left="1680"/>
      <w:jc w:val="left"/>
    </w:pPr>
    <w:rPr>
      <w:szCs w:val="21"/>
    </w:rPr>
  </w:style>
  <w:style w:type="paragraph" w:styleId="881">
    <w:name w:val="Body Text 2"/>
    <w:basedOn w:val="841"/>
    <w:link w:val="916"/>
    <w:uiPriority w:val="0"/>
    <w:qFormat/>
    <w:pPr>
      <w:jc w:val="center"/>
      <w:widowControl/>
    </w:pPr>
    <w:rPr>
      <w:rFonts w:ascii="楷体_GB2312" w:eastAsia="楷体_GB2312"/>
      <w:sz w:val="28"/>
      <w:szCs w:val="28"/>
    </w:rPr>
  </w:style>
  <w:style w:type="paragraph" w:styleId="882">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3">
    <w:name w:val="index 1"/>
    <w:basedOn w:val="841"/>
    <w:next w:val="841"/>
    <w:uiPriority w:val="0"/>
    <w:semiHidden/>
    <w:qFormat/>
    <w:pPr>
      <w:spacing w:line="240" w:lineRule="atLeast"/>
    </w:pPr>
    <w:rPr>
      <w:b/>
      <w:bCs/>
      <w:szCs w:val="21"/>
    </w:rPr>
  </w:style>
  <w:style w:type="paragraph" w:styleId="884">
    <w:name w:val="annotation subject"/>
    <w:basedOn w:val="860"/>
    <w:next w:val="860"/>
    <w:link w:val="917"/>
    <w:uiPriority w:val="0"/>
    <w:semiHidden/>
    <w:qFormat/>
    <w:rPr>
      <w:b/>
      <w:bCs/>
      <w:szCs w:val="21"/>
    </w:rPr>
  </w:style>
  <w:style w:type="paragraph" w:styleId="885">
    <w:name w:val="Body Text First Indent"/>
    <w:basedOn w:val="841"/>
    <w:link w:val="918"/>
    <w:uiPriority w:val="0"/>
    <w:qFormat/>
    <w:pPr>
      <w:ind w:firstLine="200"/>
      <w:spacing w:line="360" w:lineRule="auto"/>
    </w:pPr>
    <w:rPr>
      <w:rFonts w:ascii="仿宋_GB2312" w:eastAsia="仿宋_GB2312"/>
      <w:sz w:val="30"/>
      <w:szCs w:val="30"/>
    </w:rPr>
  </w:style>
  <w:style w:type="table" w:styleId="886">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character" w:styleId="888">
    <w:name w:val="page number"/>
    <w:uiPriority w:val="0"/>
    <w:qFormat/>
  </w:style>
  <w:style w:type="character" w:styleId="889">
    <w:name w:val="FollowedHyperlink"/>
    <w:uiPriority w:val="0"/>
    <w:qFormat/>
    <w:rPr>
      <w:color w:val="800080"/>
      <w:u w:val="single"/>
    </w:rPr>
  </w:style>
  <w:style w:type="character" w:styleId="890">
    <w:name w:val="Emphasis"/>
    <w:uiPriority w:val="0"/>
    <w:qFormat/>
    <w:rPr>
      <w:i/>
    </w:rPr>
  </w:style>
  <w:style w:type="character" w:styleId="891">
    <w:name w:val="Hyperlink"/>
    <w:uiPriority w:val="0"/>
    <w:qFormat/>
    <w:rPr>
      <w:color w:val="0000ff"/>
      <w:u w:val="single"/>
    </w:rPr>
  </w:style>
  <w:style w:type="character" w:styleId="892">
    <w:name w:val="annotation reference"/>
    <w:uiPriority w:val="0"/>
    <w:semiHidden/>
    <w:qFormat/>
    <w:rPr>
      <w:sz w:val="21"/>
      <w:szCs w:val="21"/>
    </w:rPr>
  </w:style>
  <w:style w:type="character" w:styleId="893" w:customStyle="1">
    <w:name w:val="正文文本缩进 Char"/>
    <w:basedOn w:val="851"/>
    <w:link w:val="854"/>
    <w:uiPriority w:val="99"/>
    <w:semiHidden/>
    <w:qFormat/>
  </w:style>
  <w:style w:type="character" w:styleId="894" w:customStyle="1">
    <w:name w:val="正文首行缩进 2 Char"/>
    <w:link w:val="853"/>
    <w:uiPriority w:val="0"/>
    <w:qFormat/>
    <w:rPr>
      <w:rFonts w:ascii="宋体" w:hAnsi="宋体" w:eastAsia="宋体" w:cs="Times New Roman"/>
      <w:szCs w:val="20"/>
    </w:rPr>
  </w:style>
  <w:style w:type="character" w:styleId="895" w:customStyle="1">
    <w:name w:val="标题 1 Char"/>
    <w:link w:val="842"/>
    <w:uiPriority w:val="0"/>
    <w:qFormat/>
    <w:rPr>
      <w:rFonts w:ascii="楷体_GB2312" w:hAnsi="Times New Roman" w:eastAsia="楷体_GB2312" w:cs="Times New Roman"/>
      <w:sz w:val="28"/>
      <w:szCs w:val="28"/>
    </w:rPr>
  </w:style>
  <w:style w:type="character" w:styleId="896" w:customStyle="1">
    <w:name w:val="标题 2 Char"/>
    <w:link w:val="843"/>
    <w:uiPriority w:val="0"/>
    <w:qFormat/>
    <w:rPr>
      <w:rFonts w:ascii="Arial" w:hAnsi="Arial" w:eastAsia="幼圆" w:cs="Arial"/>
      <w:b/>
      <w:bCs/>
      <w:sz w:val="44"/>
      <w:szCs w:val="44"/>
    </w:rPr>
  </w:style>
  <w:style w:type="character" w:styleId="897" w:customStyle="1">
    <w:name w:val="正文缩进 Char"/>
    <w:link w:val="856"/>
    <w:uiPriority w:val="0"/>
    <w:qFormat/>
    <w:rPr>
      <w:szCs w:val="21"/>
    </w:rPr>
  </w:style>
  <w:style w:type="character" w:styleId="898" w:customStyle="1">
    <w:name w:val="标题 3 Char"/>
    <w:link w:val="844"/>
    <w:uiPriority w:val="0"/>
    <w:qFormat/>
    <w:rPr>
      <w:rFonts w:ascii="Times New Roman" w:hAnsi="Times New Roman" w:eastAsia="宋体" w:cs="Times New Roman"/>
      <w:b/>
      <w:bCs/>
      <w:sz w:val="32"/>
      <w:szCs w:val="32"/>
    </w:rPr>
  </w:style>
  <w:style w:type="character" w:styleId="899" w:customStyle="1">
    <w:name w:val="标题 4 Char"/>
    <w:link w:val="845"/>
    <w:uiPriority w:val="0"/>
    <w:qFormat/>
    <w:rPr>
      <w:rFonts w:ascii="Arial" w:hAnsi="Arial" w:eastAsia="黑体" w:cs="Arial"/>
      <w:b/>
      <w:bCs/>
      <w:sz w:val="28"/>
      <w:szCs w:val="28"/>
    </w:rPr>
  </w:style>
  <w:style w:type="character" w:styleId="900" w:customStyle="1">
    <w:name w:val="标题 5 Char"/>
    <w:link w:val="846"/>
    <w:uiPriority w:val="0"/>
    <w:qFormat/>
    <w:rPr>
      <w:rFonts w:ascii="宋体" w:hAnsi="Times New Roman" w:eastAsia="宋体" w:cs="Times New Roman"/>
      <w:color w:val="000000"/>
      <w:sz w:val="28"/>
      <w:szCs w:val="28"/>
    </w:rPr>
  </w:style>
  <w:style w:type="character" w:styleId="901" w:customStyle="1">
    <w:name w:val="标题 6 Char"/>
    <w:link w:val="847"/>
    <w:uiPriority w:val="0"/>
    <w:qFormat/>
    <w:rPr>
      <w:rFonts w:ascii="Arial" w:hAnsi="Arial" w:eastAsia="黑体" w:cs="Times New Roman"/>
      <w:b/>
      <w:bCs/>
      <w:sz w:val="24"/>
      <w:szCs w:val="24"/>
    </w:rPr>
  </w:style>
  <w:style w:type="character" w:styleId="902" w:customStyle="1">
    <w:name w:val="标题 7 Char"/>
    <w:link w:val="848"/>
    <w:uiPriority w:val="0"/>
    <w:qFormat/>
    <w:rPr>
      <w:rFonts w:ascii="Times New Roman" w:hAnsi="Times New Roman" w:eastAsia="宋体" w:cs="Times New Roman"/>
      <w:b/>
      <w:bCs/>
      <w:sz w:val="24"/>
      <w:szCs w:val="24"/>
    </w:rPr>
  </w:style>
  <w:style w:type="character" w:styleId="903" w:customStyle="1">
    <w:name w:val="标题 8 Char"/>
    <w:link w:val="849"/>
    <w:uiPriority w:val="0"/>
    <w:qFormat/>
    <w:rPr>
      <w:rFonts w:ascii="Arial" w:hAnsi="Arial" w:eastAsia="黑体" w:cs="Times New Roman"/>
      <w:sz w:val="24"/>
      <w:szCs w:val="24"/>
    </w:rPr>
  </w:style>
  <w:style w:type="character" w:styleId="904" w:customStyle="1">
    <w:name w:val="标题 9 Char"/>
    <w:link w:val="850"/>
    <w:uiPriority w:val="0"/>
    <w:qFormat/>
    <w:rPr>
      <w:rFonts w:ascii="Arial" w:hAnsi="Arial" w:eastAsia="黑体" w:cs="Times New Roman"/>
      <w:szCs w:val="21"/>
    </w:rPr>
  </w:style>
  <w:style w:type="character" w:styleId="905" w:customStyle="1">
    <w:name w:val="文档结构图 Char"/>
    <w:link w:val="859"/>
    <w:uiPriority w:val="0"/>
    <w:semiHidden/>
    <w:qFormat/>
    <w:rPr>
      <w:rFonts w:ascii="Times New Roman" w:hAnsi="Times New Roman" w:eastAsia="宋体" w:cs="Times New Roman"/>
      <w:szCs w:val="21"/>
      <w:shd w:val="clear" w:color="auto" w:fill="000080"/>
    </w:rPr>
  </w:style>
  <w:style w:type="character" w:styleId="906" w:customStyle="1">
    <w:name w:val="批注文字 Char"/>
    <w:basedOn w:val="851"/>
    <w:link w:val="860"/>
    <w:uiPriority w:val="99"/>
    <w:semiHidden/>
    <w:qFormat/>
  </w:style>
  <w:style w:type="character" w:styleId="907" w:customStyle="1">
    <w:name w:val="正文文本 3 Char"/>
    <w:link w:val="861"/>
    <w:uiPriority w:val="0"/>
    <w:qFormat/>
    <w:rPr>
      <w:rFonts w:ascii="仿宋_GB2312" w:hAnsi="Arial" w:eastAsia="仿宋_GB2312" w:cs="Times New Roman"/>
      <w:sz w:val="32"/>
      <w:szCs w:val="32"/>
    </w:rPr>
  </w:style>
  <w:style w:type="character" w:styleId="908" w:customStyle="1">
    <w:name w:val="正文文本 Char"/>
    <w:link w:val="862"/>
    <w:uiPriority w:val="0"/>
    <w:qFormat/>
    <w:rPr>
      <w:rFonts w:ascii="楷体_GB2312" w:hAnsi="Arial" w:eastAsia="楷体_GB2312" w:cs="Times New Roman"/>
      <w:sz w:val="28"/>
      <w:szCs w:val="28"/>
    </w:rPr>
  </w:style>
  <w:style w:type="character" w:styleId="909" w:customStyle="1">
    <w:name w:val="纯文本 Char"/>
    <w:link w:val="866"/>
    <w:uiPriority w:val="0"/>
    <w:qFormat/>
    <w:rPr>
      <w:rFonts w:ascii="宋体" w:hAnsi="Courier New" w:eastAsia="宋体" w:cs="Courier New"/>
      <w:szCs w:val="21"/>
    </w:rPr>
  </w:style>
  <w:style w:type="character" w:styleId="910" w:customStyle="1">
    <w:name w:val="日期 Char"/>
    <w:link w:val="868"/>
    <w:uiPriority w:val="0"/>
    <w:qFormat/>
    <w:rPr>
      <w:rFonts w:ascii="Times New Roman" w:hAnsi="Times New Roman" w:eastAsia="宋体" w:cs="Times New Roman"/>
      <w:sz w:val="24"/>
      <w:szCs w:val="24"/>
    </w:rPr>
  </w:style>
  <w:style w:type="character" w:styleId="911" w:customStyle="1">
    <w:name w:val="正文文本缩进 2 Char"/>
    <w:link w:val="869"/>
    <w:uiPriority w:val="0"/>
    <w:qFormat/>
    <w:rPr>
      <w:rFonts w:ascii="Arial" w:hAnsi="Arial" w:eastAsia="仿宋_GB2312" w:cs="Arial"/>
      <w:sz w:val="32"/>
      <w:szCs w:val="32"/>
    </w:rPr>
  </w:style>
  <w:style w:type="character" w:styleId="912" w:customStyle="1">
    <w:name w:val="批注框文本 Char"/>
    <w:link w:val="870"/>
    <w:uiPriority w:val="0"/>
    <w:semiHidden/>
    <w:qFormat/>
    <w:rPr>
      <w:rFonts w:ascii="Times New Roman" w:hAnsi="Times New Roman" w:eastAsia="宋体" w:cs="Times New Roman"/>
      <w:sz w:val="18"/>
      <w:szCs w:val="18"/>
    </w:rPr>
  </w:style>
  <w:style w:type="character" w:styleId="913" w:customStyle="1">
    <w:name w:val="页脚 Char"/>
    <w:link w:val="871"/>
    <w:uiPriority w:val="0"/>
    <w:qFormat/>
    <w:rPr>
      <w:rFonts w:ascii="Times New Roman" w:hAnsi="Times New Roman" w:eastAsia="宋体" w:cs="Times New Roman"/>
      <w:sz w:val="18"/>
      <w:szCs w:val="18"/>
    </w:rPr>
  </w:style>
  <w:style w:type="character" w:styleId="914" w:customStyle="1">
    <w:name w:val="页眉 Char"/>
    <w:link w:val="872"/>
    <w:uiPriority w:val="0"/>
    <w:qFormat/>
    <w:rPr>
      <w:rFonts w:ascii="Times New Roman" w:hAnsi="Times New Roman" w:eastAsia="宋体" w:cs="Times New Roman"/>
      <w:sz w:val="18"/>
      <w:szCs w:val="18"/>
    </w:rPr>
  </w:style>
  <w:style w:type="character" w:styleId="915" w:customStyle="1">
    <w:name w:val="正文文本缩进 3 Char"/>
    <w:link w:val="877"/>
    <w:uiPriority w:val="0"/>
    <w:qFormat/>
    <w:rPr>
      <w:rFonts w:ascii="Arial" w:hAnsi="Arial" w:eastAsia="仿宋_GB2312" w:cs="Arial"/>
      <w:color w:val="ffff00"/>
      <w:sz w:val="32"/>
      <w:szCs w:val="32"/>
    </w:rPr>
  </w:style>
  <w:style w:type="character" w:styleId="916" w:customStyle="1">
    <w:name w:val="正文文本 2 Char"/>
    <w:link w:val="881"/>
    <w:uiPriority w:val="0"/>
    <w:qFormat/>
    <w:rPr>
      <w:rFonts w:ascii="楷体_GB2312" w:hAnsi="Times New Roman" w:eastAsia="楷体_GB2312" w:cs="Times New Roman"/>
      <w:sz w:val="28"/>
      <w:szCs w:val="28"/>
    </w:rPr>
  </w:style>
  <w:style w:type="character" w:styleId="917" w:customStyle="1">
    <w:name w:val="批注主题 Char"/>
    <w:link w:val="884"/>
    <w:uiPriority w:val="0"/>
    <w:semiHidden/>
    <w:qFormat/>
    <w:rPr>
      <w:rFonts w:ascii="Times New Roman" w:hAnsi="Times New Roman" w:eastAsia="宋体" w:cs="Times New Roman"/>
      <w:b/>
      <w:bCs/>
      <w:szCs w:val="21"/>
    </w:rPr>
  </w:style>
  <w:style w:type="character" w:styleId="918" w:customStyle="1">
    <w:name w:val="正文首行缩进 Char"/>
    <w:link w:val="885"/>
    <w:uiPriority w:val="0"/>
    <w:qFormat/>
    <w:rPr>
      <w:rFonts w:ascii="仿宋_GB2312" w:hAnsi="Times New Roman" w:eastAsia="仿宋_GB2312" w:cs="Times New Roman"/>
      <w:sz w:val="30"/>
      <w:szCs w:val="30"/>
    </w:rPr>
  </w:style>
  <w:style w:type="paragraph" w:styleId="919" w:customStyle="1">
    <w:name w:val="正文首行缩进 211"/>
    <w:basedOn w:val="920"/>
    <w:next w:val="841"/>
    <w:uiPriority w:val="0"/>
    <w:qFormat/>
    <w:pPr>
      <w:ind w:left="0" w:firstLine="420"/>
      <w:spacing w:after="0" w:line="360" w:lineRule="auto"/>
    </w:pPr>
    <w:rPr>
      <w:rFonts w:ascii="宋体" w:hAnsi="宋体"/>
      <w:szCs w:val="20"/>
    </w:rPr>
  </w:style>
  <w:style w:type="paragraph" w:styleId="920" w:customStyle="1">
    <w:name w:val="正文文本缩进11"/>
    <w:basedOn w:val="841"/>
    <w:next w:val="921"/>
    <w:uiPriority w:val="0"/>
    <w:unhideWhenUsed/>
    <w:qFormat/>
    <w:pPr>
      <w:ind w:left="420"/>
      <w:spacing w:after="120"/>
    </w:pPr>
  </w:style>
  <w:style w:type="paragraph" w:styleId="921" w:customStyle="1">
    <w:name w:val="寄信人地址1"/>
    <w:basedOn w:val="841"/>
    <w:uiPriority w:val="0"/>
    <w:qFormat/>
    <w:rPr>
      <w:rFonts w:ascii="Arial" w:hAnsi="Arial" w:cs="宋体"/>
    </w:rPr>
  </w:style>
  <w:style w:type="paragraph" w:styleId="922" w:customStyle="1">
    <w:name w:val="索引 41"/>
    <w:basedOn w:val="841"/>
    <w:next w:val="841"/>
    <w:uiPriority w:val="0"/>
    <w:semiHidden/>
    <w:qFormat/>
    <w:pPr>
      <w:ind w:left="1260"/>
    </w:pPr>
    <w:rPr>
      <w:rFonts w:ascii="Calibri" w:hAnsi="Calibri" w:eastAsia="Calibri" w:cs="宋体"/>
      <w:sz w:val="20"/>
      <w:lang w:val="zh-CN"/>
    </w:rPr>
  </w:style>
  <w:style w:type="paragraph" w:styleId="923" w:customStyle="1">
    <w:name w:val="正文文本缩进1"/>
    <w:basedOn w:val="841"/>
    <w:next w:val="924"/>
    <w:uiPriority w:val="0"/>
    <w:unhideWhenUsed/>
    <w:qFormat/>
    <w:pPr>
      <w:ind w:left="420"/>
      <w:spacing w:after="120"/>
    </w:pPr>
  </w:style>
  <w:style w:type="paragraph" w:styleId="924" w:customStyle="1">
    <w:name w:val="正文文本首行缩进 2"/>
    <w:basedOn w:val="923"/>
    <w:uiPriority w:val="0"/>
    <w:qFormat/>
    <w:pPr>
      <w:ind w:left="0" w:firstLine="420"/>
      <w:spacing w:after="0" w:line="360" w:lineRule="auto"/>
    </w:pPr>
    <w:rPr>
      <w:rFonts w:ascii="宋体" w:hAnsi="宋体"/>
      <w:sz w:val="20"/>
      <w:szCs w:val="20"/>
      <w:lang w:eastAsia="en-US"/>
    </w:rPr>
  </w:style>
  <w:style w:type="character" w:styleId="925" w:customStyle="1">
    <w:name w:val="font5 Char"/>
    <w:uiPriority w:val="0"/>
    <w:qFormat/>
    <w:rPr>
      <w:rFonts w:ascii="宋体" w:hAnsi="宋体" w:eastAsia="宋体"/>
      <w:sz w:val="28"/>
      <w:szCs w:val="28"/>
      <w:lang w:val="en-US" w:eastAsia="zh-CN" w:bidi="ar-SA"/>
    </w:rPr>
  </w:style>
  <w:style w:type="character" w:styleId="926" w:customStyle="1">
    <w:name w:val="二级目录 Char"/>
    <w:link w:val="927"/>
    <w:uiPriority w:val="0"/>
    <w:qFormat/>
    <w:rPr>
      <w:b/>
      <w:sz w:val="30"/>
      <w:szCs w:val="28"/>
    </w:rPr>
  </w:style>
  <w:style w:type="paragraph" w:styleId="927" w:customStyle="1">
    <w:name w:val="二级目录"/>
    <w:next w:val="841"/>
    <w:link w:val="92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8" w:customStyle="1">
    <w:name w:val="列出段落 Char"/>
    <w:link w:val="929"/>
    <w:uiPriority w:val="0"/>
    <w:qFormat/>
    <w:rPr>
      <w:rFonts w:ascii="Calibri" w:hAnsi="Calibri"/>
      <w:sz w:val="24"/>
      <w:szCs w:val="24"/>
      <w:lang w:eastAsia="en-US" w:bidi="en-US"/>
    </w:rPr>
  </w:style>
  <w:style w:type="paragraph" w:styleId="929" w:customStyle="1">
    <w:name w:val="列出段落1"/>
    <w:basedOn w:val="841"/>
    <w:link w:val="928"/>
    <w:uiPriority w:val="0"/>
    <w:qFormat/>
    <w:pPr>
      <w:contextualSpacing/>
      <w:ind w:left="720"/>
      <w:jc w:val="left"/>
      <w:widowControl/>
    </w:pPr>
    <w:rPr>
      <w:rFonts w:ascii="Calibri" w:hAnsi="Calibri"/>
      <w:sz w:val="24"/>
      <w:szCs w:val="24"/>
      <w:lang w:eastAsia="en-US" w:bidi="en-US"/>
    </w:rPr>
  </w:style>
  <w:style w:type="paragraph" w:styleId="930" w:customStyle="1">
    <w:name w:val="Body Text(ch)"/>
    <w:basedOn w:val="841"/>
    <w:next w:val="862"/>
    <w:uiPriority w:val="0"/>
    <w:qFormat/>
    <w:pPr>
      <w:spacing w:after="120"/>
    </w:pPr>
    <w:rPr>
      <w:rFonts w:ascii="宋体" w:hAnsi="Arial"/>
      <w:bCs/>
      <w:iCs/>
      <w:szCs w:val="24"/>
    </w:rPr>
  </w:style>
  <w:style w:type="paragraph" w:styleId="931"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2"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3" w:customStyle="1">
    <w:name w:val="Char"/>
    <w:basedOn w:val="841"/>
    <w:uiPriority w:val="0"/>
    <w:qFormat/>
    <w:pPr>
      <w:ind w:firstLine="200"/>
      <w:tabs>
        <w:tab w:val="left" w:pos="360" w:leader="none"/>
      </w:tabs>
    </w:pPr>
    <w:rPr>
      <w:sz w:val="28"/>
      <w:szCs w:val="30"/>
    </w:rPr>
  </w:style>
  <w:style w:type="paragraph" w:styleId="934" w:customStyle="1">
    <w:name w:val="Char1"/>
    <w:basedOn w:val="859"/>
    <w:uiPriority w:val="0"/>
    <w:qFormat/>
    <w:rPr>
      <w:rFonts w:ascii="Tahoma" w:hAnsi="Tahoma"/>
      <w:sz w:val="24"/>
      <w:szCs w:val="24"/>
    </w:rPr>
  </w:style>
  <w:style w:type="paragraph" w:styleId="935"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6" w:customStyle="1">
    <w:name w:val="table_lines"/>
    <w:basedOn w:val="841"/>
    <w:uiPriority w:val="0"/>
    <w:qFormat/>
    <w:pPr>
      <w:jc w:val="left"/>
      <w:widowControl/>
    </w:pPr>
    <w:rPr>
      <w:sz w:val="20"/>
      <w:szCs w:val="20"/>
      <w:lang w:val="de-DE" w:eastAsia="de-DE"/>
    </w:rPr>
  </w:style>
  <w:style w:type="paragraph" w:styleId="93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8"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39" w:customStyle="1">
    <w:name w:val="Char Char Char Char"/>
    <w:basedOn w:val="859"/>
    <w:uiPriority w:val="0"/>
    <w:qFormat/>
    <w:pPr>
      <w:spacing w:line="360" w:lineRule="auto"/>
    </w:pPr>
    <w:rPr>
      <w:rFonts w:ascii="Tahoma" w:hAnsi="Tahoma"/>
      <w:sz w:val="24"/>
      <w:szCs w:val="24"/>
    </w:rPr>
  </w:style>
  <w:style w:type="paragraph" w:styleId="940">
    <w:name w:val="List Paragraph"/>
    <w:basedOn w:val="841"/>
    <w:uiPriority w:val="0"/>
    <w:qFormat/>
    <w:pPr>
      <w:contextualSpacing/>
      <w:ind w:left="720"/>
      <w:jc w:val="left"/>
      <w:widowControl/>
    </w:pPr>
    <w:rPr>
      <w:rFonts w:ascii="Calibri" w:hAnsi="Calibri"/>
      <w:sz w:val="24"/>
      <w:szCs w:val="24"/>
      <w:lang w:eastAsia="en-US" w:bidi="en-US"/>
    </w:rPr>
  </w:style>
  <w:style w:type="paragraph" w:styleId="941" w:customStyle="1">
    <w:name w:val="4"/>
    <w:basedOn w:val="841"/>
    <w:next w:val="877"/>
    <w:uiPriority w:val="0"/>
    <w:qFormat/>
    <w:pPr>
      <w:ind w:firstLine="420"/>
      <w:spacing w:line="360" w:lineRule="auto"/>
    </w:pPr>
    <w:rPr>
      <w:color w:val="ff0000"/>
      <w:sz w:val="24"/>
      <w:szCs w:val="24"/>
    </w:rPr>
  </w:style>
  <w:style w:type="paragraph" w:styleId="942"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3" w:customStyle="1">
    <w:name w:val="Char Char Char Char Char Char Char Char Char Char"/>
    <w:basedOn w:val="841"/>
    <w:uiPriority w:val="0"/>
    <w:qFormat/>
    <w:pPr>
      <w:spacing w:line="360" w:lineRule="auto"/>
    </w:pPr>
    <w:rPr>
      <w:sz w:val="24"/>
      <w:szCs w:val="20"/>
    </w:rPr>
  </w:style>
  <w:style w:type="paragraph" w:styleId="944" w:customStyle="1">
    <w:name w:val="样式1"/>
    <w:basedOn w:val="841"/>
    <w:uiPriority w:val="0"/>
    <w:qFormat/>
    <w:pPr>
      <w:numPr>
        <w:ilvl w:val="0"/>
        <w:numId w:val="3"/>
      </w:numPr>
    </w:pPr>
    <w:rPr>
      <w:rFonts w:ascii="宋体" w:hAnsi="宋体"/>
      <w:szCs w:val="21"/>
    </w:rPr>
  </w:style>
  <w:style w:type="paragraph" w:styleId="945"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6"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7"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8"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49"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0"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1"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2"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3"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4"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5" w:customStyle="1">
    <w:name w:val="Char Char Char Char1"/>
    <w:basedOn w:val="859"/>
    <w:uiPriority w:val="0"/>
    <w:qFormat/>
    <w:pPr>
      <w:spacing w:line="360" w:lineRule="auto"/>
    </w:pPr>
    <w:rPr>
      <w:rFonts w:ascii="Tahoma" w:hAnsi="Tahoma"/>
      <w:sz w:val="24"/>
      <w:szCs w:val="24"/>
    </w:rPr>
  </w:style>
  <w:style w:type="paragraph" w:styleId="956" w:customStyle="1">
    <w:name w:val="table_1stline"/>
    <w:basedOn w:val="841"/>
    <w:uiPriority w:val="0"/>
    <w:qFormat/>
    <w:pPr>
      <w:jc w:val="left"/>
      <w:spacing w:before="120"/>
      <w:widowControl/>
    </w:pPr>
    <w:rPr>
      <w:bCs/>
      <w:sz w:val="20"/>
      <w:szCs w:val="20"/>
      <w:lang w:val="de-DE" w:eastAsia="de-DE"/>
    </w:rPr>
  </w:style>
  <w:style w:type="paragraph" w:styleId="957"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8"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9" w:customStyle="1">
    <w:name w:val="修订1"/>
    <w:uiPriority w:val="99"/>
    <w:semiHidden/>
    <w:qFormat/>
    <w:rPr>
      <w:rFonts w:ascii="Times New Roman" w:hAnsi="Times New Roman" w:eastAsia="宋体" w:cs="Times New Roman"/>
      <w:sz w:val="21"/>
      <w:szCs w:val="21"/>
      <w:lang w:val="en-US" w:eastAsia="zh-CN" w:bidi="ar-SA"/>
    </w:rPr>
  </w:style>
  <w:style w:type="paragraph" w:styleId="960">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61" w:customStyle="1">
    <w:name w:val="Table Normal"/>
    <w:uiPriority w:val="0"/>
    <w:qFormat/>
    <w:tblPr>
      <w:tblCellMar>
        <w:left w:w="0" w:type="dxa"/>
        <w:top w:w="0" w:type="dxa"/>
        <w:right w:w="0" w:type="dxa"/>
        <w:bottom w:w="0" w:type="dxa"/>
      </w:tblCellMar>
    </w:tblPr>
  </w:style>
  <w:style w:type="paragraph" w:styleId="962" w:customStyle="1">
    <w:name w:val="正文文本12"/>
    <w:basedOn w:val="841"/>
    <w:uiPriority w:val="1"/>
    <w:qFormat/>
    <w:pPr>
      <w:ind w:left="120"/>
    </w:pPr>
    <w:rPr>
      <w:rFonts w:ascii="宋体" w:hAnsi="宋体" w:cs="宋体"/>
      <w:szCs w:val="21"/>
      <w:lang w:val="zh-CN" w:bidi="zh-CN"/>
    </w:rPr>
  </w:style>
  <w:style w:type="paragraph" w:styleId="963" w:customStyle="1">
    <w:name w:val="正文文本 211"/>
    <w:basedOn w:val="841"/>
    <w:uiPriority w:val="99"/>
    <w:qFormat/>
    <w:pPr>
      <w:jc w:val="center"/>
    </w:pPr>
    <w:rPr>
      <w:b/>
      <w:bCs/>
      <w:sz w:val="20"/>
      <w:szCs w:val="20"/>
    </w:rPr>
  </w:style>
  <w:style w:type="paragraph" w:styleId="964" w:customStyle="1">
    <w:name w:val="正文文本1"/>
    <w:basedOn w:val="841"/>
    <w:next w:val="841"/>
    <w:uiPriority w:val="0"/>
    <w:semiHidden/>
    <w:qFormat/>
    <w:rPr>
      <w:rFonts w:ascii="Arial" w:hAnsi="Arial" w:eastAsia="Arial" w:cs="Arial"/>
      <w:szCs w:val="21"/>
      <w:lang w:eastAsia="en-US"/>
    </w:rPr>
  </w:style>
  <w:style w:type="paragraph" w:styleId="965" w:customStyle="1">
    <w:name w:val="Table Paragraph"/>
    <w:basedOn w:val="841"/>
    <w:uiPriority w:val="1"/>
    <w:qFormat/>
    <w:pPr>
      <w:jc w:val="left"/>
    </w:pPr>
    <w:rPr>
      <w:rFonts w:ascii="宋体" w:hAnsi="宋体" w:cs="宋体"/>
      <w:sz w:val="22"/>
      <w:lang w:val="zh-CN" w:bidi="zh-CN"/>
    </w:rPr>
  </w:style>
  <w:style w:type="table" w:styleId="966" w:customStyle="1">
    <w:name w:val="网格型1"/>
    <w:basedOn w:val="967"/>
    <w:uiPriority w:val="0"/>
    <w:qFormat/>
    <w:pPr>
      <w:jc w:val="both"/>
      <w:widowControl w:val="off"/>
    </w:pPr>
    <w:tblPr/>
  </w:style>
  <w:style w:type="table" w:styleId="967" w:customStyle="1">
    <w:name w:val="普通表格1"/>
    <w:uiPriority w:val="99"/>
    <w:unhideWhenUsed/>
    <w:qFormat/>
    <w:tblPr>
      <w:tblCellMar>
        <w:left w:w="0" w:type="dxa"/>
        <w:top w:w="0" w:type="dxa"/>
        <w:right w:w="0" w:type="dxa"/>
        <w:bottom w:w="0" w:type="dxa"/>
      </w:tblCellMar>
    </w:tblPr>
  </w:style>
  <w:style w:type="character" w:styleId="968" w:customStyle="1">
    <w:name w:val="15"/>
    <w:basedOn w:val="851"/>
    <w:uiPriority w:val="0"/>
    <w:qFormat/>
    <w:rPr>
      <w:rFonts w:hint="default" w:ascii="Times New Roman" w:hAnsi="Times New Roman" w:cs="Times New Roman"/>
    </w:rPr>
  </w:style>
  <w:style w:type="paragraph" w:styleId="969" w:customStyle="1">
    <w:name w:val="Default"/>
    <w:uiPriority w:val="0"/>
    <w:qFormat/>
    <w:pPr>
      <w:widowControl w:val="off"/>
    </w:pPr>
    <w:rPr>
      <w:rFonts w:ascii="宋体" w:hAnsi="Times New Roman" w:eastAsia="宋体" w:cs="宋体"/>
      <w:color w:val="000000"/>
      <w:sz w:val="24"/>
      <w:szCs w:val="24"/>
      <w:lang w:val="en-US" w:eastAsia="zh-CN" w:bidi="ar-SA"/>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ZLY</dc:creator>
  <cp:lastModifiedBy>李彦</cp:lastModifiedBy>
  <cp:revision>7</cp:revision>
  <dcterms:created xsi:type="dcterms:W3CDTF">2026-06-10T00:54:00Z</dcterms:created>
  <dcterms:modified xsi:type="dcterms:W3CDTF">2026-06-15T06:55:54Z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01D9B694A2A641EC8A800949C3147CE8</vt:lpwstr>
  </property>
  <property fmtid="{D5CDD505-2E9C-101B-9397-08002B2CF9AE}" pid="4" name="KSOTemplateDocerSaveRecord">
    <vt:lpwstr>eyJoZGlkIjoiMTRlMmVlZTU2NWJmNjYyYzFlYzdmMWQyZjY2MjgwOWUiLCJ1c2VySWQiOiIxMjA3OTU4OTE4In0=</vt:lpwstr>
  </property>
</Properties>
</file>