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仿宋_GB2312" w:hAnsi="仿宋_GB2312" w:eastAsia="仿宋_GB2312" w:cs="仿宋_GB2312"/>
          <w:color w:val="000000" w:themeColor="text1"/>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jc w:val="center"/>
        <w:rPr>
          <w:rFonts w:hint="eastAsia" w:ascii="仿宋_GB2312" w:hAnsi="仿宋_GB2312" w:eastAsia="仿宋_GB2312" w:cs="仿宋_GB2312"/>
          <w:b/>
          <w:color w:val="000000" w:themeColor="text1"/>
          <w:sz w:val="36"/>
          <w:szCs w:val="36"/>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6"/>
          <w:szCs w:val="36"/>
          <w:highlight w:val="none"/>
          <w:lang w:eastAsia="zh-CN"/>
          <w14:textFill>
            <w14:solidFill>
              <w14:schemeClr w14:val="tx1"/>
            </w14:solidFill>
          </w14:textFill>
        </w:rPr>
        <w:t>舟山高新区职业学校新建项目（舟山航海学校迁建）触控一体机、机房设备采购（重新采购）</w:t>
      </w:r>
    </w:p>
    <w:p>
      <w:pPr>
        <w:tabs>
          <w:tab w:val="left" w:pos="5985"/>
        </w:tabs>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ab/>
      </w:r>
    </w:p>
    <w:p>
      <w:pPr>
        <w:pStyle w:val="3"/>
        <w:jc w:val="center"/>
        <w:rPr>
          <w:rFonts w:hint="eastAsia" w:ascii="仿宋_GB2312" w:hAnsi="仿宋_GB2312" w:eastAsia="仿宋_GB2312" w:cs="仿宋_GB2312"/>
          <w:color w:val="000000" w:themeColor="text1"/>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公开招标文件</w:t>
      </w: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（电子招投标）</w:t>
      </w:r>
    </w:p>
    <w:p>
      <w:pPr>
        <w:spacing w:line="600" w:lineRule="exact"/>
        <w:jc w:val="cente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编号:</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ZSZFCG2026-ZB-039</w:t>
      </w: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adjustRightInd w:val="0"/>
        <w:snapToGrid w:val="0"/>
        <w:spacing w:line="600" w:lineRule="exact"/>
        <w:jc w:val="center"/>
        <w:rPr>
          <w:rFonts w:hint="eastAsia" w:ascii="仿宋_GB2312" w:hAnsi="仿宋_GB2312" w:eastAsia="仿宋_GB2312" w:cs="仿宋_GB2312"/>
          <w:color w:val="000000" w:themeColor="text1"/>
          <w:sz w:val="30"/>
          <w:szCs w:val="30"/>
          <w:highlight w:val="none"/>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FFFFFF"/>
          <w:lang w:eastAsia="zh-CN"/>
          <w14:textFill>
            <w14:solidFill>
              <w14:schemeClr w14:val="tx1"/>
            </w14:solidFill>
          </w14:textFill>
        </w:rPr>
        <w:t>舟山航海学校</w:t>
      </w:r>
    </w:p>
    <w:p>
      <w:pPr>
        <w:adjustRightInd w:val="0"/>
        <w:snapToGrid w:val="0"/>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舟山市公共资源交易中心</w:t>
      </w:r>
    </w:p>
    <w:p>
      <w:pPr>
        <w:adjustRightInd w:val="0"/>
        <w:snapToGrid w:val="0"/>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202</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0"/>
          <w:szCs w:val="30"/>
          <w:highlight w:val="none"/>
          <w14:textFill>
            <w14:solidFill>
              <w14:schemeClr w14:val="tx1"/>
            </w14:solidFill>
          </w14:textFill>
        </w:rPr>
        <w:t>年</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0"/>
          <w:szCs w:val="30"/>
          <w:highlight w:val="none"/>
          <w14:textFill>
            <w14:solidFill>
              <w14:schemeClr w14:val="tx1"/>
            </w14:solidFill>
          </w14:textFill>
        </w:rPr>
        <w:t>月</w:t>
      </w:r>
    </w:p>
    <w:p>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bookmarkStart w:id="0" w:name="_Hlt67893495"/>
      <w:bookmarkEnd w:id="0"/>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目录</w:t>
      </w:r>
    </w:p>
    <w:p>
      <w:pPr>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360" w:lineRule="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第一部分  招标公告</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第二部分  投标人须知</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第三部分  采购需求</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第四部分  评标办法</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第五部分  拟签订的合同文本</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第六部分  应提交的有关格式范例</w:t>
      </w: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1" w:name="_Hlt91233176"/>
      <w:bookmarkEnd w:id="1"/>
      <w:bookmarkStart w:id="2" w:name="_Toc91899869"/>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ind w:firstLine="3360" w:firstLineChars="1400"/>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bookmarkStart w:id="3" w:name="第一部分"/>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bookmarkEnd w:id="2"/>
      <w:bookmarkEnd w:id="3"/>
      <w:bookmarkStart w:id="4" w:name="_Hlt74728647"/>
      <w:bookmarkEnd w:id="4"/>
      <w:bookmarkStart w:id="5" w:name="_Hlt74649545"/>
      <w:bookmarkEnd w:id="5"/>
      <w:bookmarkStart w:id="6" w:name="_Hlt74707423"/>
      <w:bookmarkEnd w:id="6"/>
      <w:bookmarkStart w:id="7" w:name="_Hlt74729822"/>
      <w:bookmarkEnd w:id="7"/>
      <w:bookmarkStart w:id="8" w:name="第二部分"/>
      <w:bookmarkStart w:id="9" w:name="_Toc91899870"/>
      <w:bookmarkStart w:id="10" w:name="_Toc91899871"/>
      <w:r>
        <w:rPr>
          <w:rFonts w:hint="eastAsia" w:ascii="仿宋_GB2312" w:hAnsi="仿宋_GB2312" w:eastAsia="仿宋_GB2312" w:cs="仿宋_GB2312"/>
          <w:color w:val="000000" w:themeColor="text1"/>
          <w:sz w:val="32"/>
          <w:szCs w:val="32"/>
          <w:highlight w:val="none"/>
          <w14:textFill>
            <w14:solidFill>
              <w14:schemeClr w14:val="tx1"/>
            </w14:solidFill>
          </w14:textFill>
        </w:rPr>
        <w:t>第一部分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招标公告</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舟山高新区职业学校新建项目（舟山航海学校迁建）触控一体机、机房设备采购（重新采购）</w:t>
      </w:r>
      <w:r>
        <w:rPr>
          <w:rFonts w:hint="eastAsia" w:ascii="仿宋_GB2312" w:hAnsi="仿宋_GB2312" w:eastAsia="仿宋_GB2312" w:cs="仿宋_GB2312"/>
          <w:color w:val="000000" w:themeColor="text1"/>
          <w:sz w:val="24"/>
          <w:szCs w:val="24"/>
          <w:highlight w:val="none"/>
          <w14:textFill>
            <w14:solidFill>
              <w14:schemeClr w14:val="tx1"/>
            </w14:solidFill>
          </w14:textFill>
        </w:rPr>
        <w:t>的潜在投标人应在政采云平台</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highlight w:val="none"/>
          <w14:textFill>
            <w14:solidFill>
              <w14:schemeClr w14:val="tx1"/>
            </w14:solidFill>
          </w14:textFill>
        </w:rPr>
        <w:fldChar w:fldCharType="begin"/>
      </w:r>
      <w:r>
        <w:rPr>
          <w:rFonts w:hint="eastAsia" w:ascii="仿宋_GB2312" w:hAnsi="仿宋_GB2312" w:eastAsia="仿宋_GB2312" w:cs="仿宋_GB2312"/>
          <w:b w:val="0"/>
          <w:bCs w:val="0"/>
          <w:color w:val="000000" w:themeColor="text1"/>
          <w:highlight w:val="none"/>
          <w14:textFill>
            <w14:solidFill>
              <w14:schemeClr w14:val="tx1"/>
            </w14:solidFill>
          </w14:textFill>
        </w:rPr>
        <w:instrText xml:space="preserve"> HYPERLINK "https://www.zcygov.cn/）获取（下载）招标文件，并于2024年8月9日9点%2015分00秒" </w:instrText>
      </w:r>
      <w:r>
        <w:rPr>
          <w:rFonts w:hint="eastAsia" w:ascii="仿宋_GB2312" w:hAnsi="仿宋_GB2312" w:eastAsia="仿宋_GB2312" w:cs="仿宋_GB2312"/>
          <w:b w:val="0"/>
          <w:bCs w:val="0"/>
          <w:color w:val="000000" w:themeColor="text1"/>
          <w:highlight w:val="none"/>
          <w14:textFill>
            <w14:solidFill>
              <w14:schemeClr w14:val="tx1"/>
            </w14:solidFill>
          </w14:textFill>
        </w:rPr>
        <w:fldChar w:fldCharType="separate"/>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https://www.zcygov.cn/）获取（下载）招标文件，并于202</w:t>
      </w:r>
      <w:r>
        <w:rPr>
          <w:rStyle w:val="32"/>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6</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年</w:t>
      </w:r>
      <w:r>
        <w:rPr>
          <w:rStyle w:val="32"/>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6</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月</w:t>
      </w:r>
      <w:r>
        <w:rPr>
          <w:rStyle w:val="32"/>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16</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日9点 15分00秒</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szCs w:val="24"/>
          <w:highlight w:val="none"/>
          <w14:textFill>
            <w14:solidFill>
              <w14:schemeClr w14:val="tx1"/>
            </w14:solidFill>
          </w14:textFill>
        </w:rPr>
        <w:t>（北京时间）前递交（上传）投标文件。</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一、项目基本情况</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ZSZFCG2026-ZB-039</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舟山高新区职业学校新建项目（舟山航海学校迁建）触控一体机、机房设备采购（重新采购）</w:t>
      </w:r>
    </w:p>
    <w:p>
      <w:pPr>
        <w:spacing w:line="420" w:lineRule="exact"/>
        <w:ind w:firstLine="480" w:firstLineChars="200"/>
        <w:contextualSpacing/>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预算金额（元）:</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3740000</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 xml:space="preserve">       </w:t>
      </w:r>
    </w:p>
    <w:p>
      <w:pPr>
        <w:spacing w:line="420" w:lineRule="exact"/>
        <w:ind w:firstLine="480" w:firstLineChars="200"/>
        <w:contextualSpacing/>
        <w:rPr>
          <w:rFonts w:hint="eastAsia" w:ascii="仿宋_GB2312" w:hAnsi="仿宋_GB2312" w:eastAsia="仿宋_GB2312" w:cs="仿宋_GB2312"/>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最高限价（元）:</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3740000</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采购需求：详见招标文件第三部分采购需求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合同履约期限：详见采购文件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本项目接受联合体投标：</w:t>
      </w:r>
      <w:r>
        <w:rPr>
          <w:rFonts w:hint="eastAsia" w:ascii="仿宋_GB2312" w:hAnsi="仿宋_GB2312" w:eastAsia="仿宋_GB2312" w:cs="仿宋_GB2312"/>
          <w:color w:val="000000" w:themeColor="text1"/>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sz w:val="24"/>
          <w:szCs w:val="24"/>
          <w:highlight w:val="none"/>
          <w14:textFill>
            <w14:solidFill>
              <w14:schemeClr w14:val="tx1"/>
            </w14:solidFill>
          </w14:textFill>
        </w:rPr>
        <w:t>否，</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是。</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二、申请人的资格要求：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pPr>
        <w:spacing w:line="420" w:lineRule="exact"/>
        <w:ind w:firstLine="552"/>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2.落实政府采购政策需满足的资格要求：</w:t>
      </w:r>
    </w:p>
    <w:p>
      <w:pPr>
        <w:spacing w:line="420" w:lineRule="exact"/>
        <w:ind w:firstLine="42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☐专门面向中小企业</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☐货物全部由符合政策要求的中小企业制造，提供中小企业声明函；</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☐货物全部由符合政策要求的小微企业制造，提供中小企业声明函；</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☐服务全部由符合政策要求的中小企业承接，提供中小企业声明函；</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☐服务全部由符合政策要求的小微企业承接，提供中小企业声明函；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☐要求以联合体形式参加，提供联合协议和中小企业声明函，联合协议中中小企业合同金额应当达到</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其中，</w:t>
      </w:r>
      <w:r>
        <w:rPr>
          <w:rFonts w:hint="eastAsia" w:ascii="仿宋_GB2312" w:hAnsi="仿宋_GB2312" w:eastAsia="仿宋_GB2312" w:cs="仿宋_GB2312"/>
          <w:color w:val="000000" w:themeColor="text1"/>
          <w:sz w:val="24"/>
          <w:szCs w:val="24"/>
          <w:highlight w:val="none"/>
          <w14:textFill>
            <w14:solidFill>
              <w14:schemeClr w14:val="tx1"/>
            </w14:solidFill>
          </w14:textFill>
        </w:rPr>
        <w:t>小微企业合同金额应当达到</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%;如果供应商本身提供所有标的均由小微企业制造、承建或承接，视同符合了资格条件，无需再与其他中小企业组成联合体参加政府采购活动，无需提供联合协议；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☐要求合同分包，提供分包意向协议和中小企业声明函，分包意向协议中，中小微企业合同份额应当</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不低于</w:t>
      </w:r>
      <w:r>
        <w:rPr>
          <w:rFonts w:hint="eastAsia" w:ascii="仿宋_GB2312" w:hAnsi="仿宋_GB2312" w:eastAsia="仿宋_GB2312" w:cs="仿宋_GB2312"/>
          <w:color w:val="000000" w:themeColor="text1"/>
          <w:sz w:val="24"/>
          <w:szCs w:val="24"/>
          <w:highlight w:val="none"/>
          <w14:textFill>
            <w14:solidFill>
              <w14:schemeClr w14:val="tx1"/>
            </w14:solidFill>
          </w14:textFill>
        </w:rPr>
        <w:t>合同总金额的</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%，如果供应商本身提供所有标的均由中小微企业制造、承建或承接，视同符合了资格条件，无需再向中小微企业分包，无需提供分包意向协议；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3.本项目的特定资格要求：无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三、获取招标文件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时间：/至202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6</w:t>
      </w:r>
      <w:r>
        <w:rPr>
          <w:rFonts w:hint="eastAsia" w:ascii="仿宋_GB2312" w:hAnsi="仿宋_GB2312" w:eastAsia="仿宋_GB2312" w:cs="仿宋_GB2312"/>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16</w:t>
      </w:r>
      <w:bookmarkStart w:id="508" w:name="_GoBack"/>
      <w:bookmarkEnd w:id="508"/>
      <w:r>
        <w:rPr>
          <w:rFonts w:hint="eastAsia" w:ascii="仿宋_GB2312" w:hAnsi="仿宋_GB2312" w:eastAsia="仿宋_GB2312" w:cs="仿宋_GB2312"/>
          <w:color w:val="000000" w:themeColor="text1"/>
          <w:sz w:val="24"/>
          <w:szCs w:val="24"/>
          <w:highlight w:val="none"/>
          <w14:textFill>
            <w14:solidFill>
              <w14:schemeClr w14:val="tx1"/>
            </w14:solidFill>
          </w14:textFill>
        </w:rPr>
        <w:t>日</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，每天上午00:00至12:00 ，下午12:00至23:59（北京时间，线上获取法定节假日均可，线下获取文件法定节假日除外的工作时间）</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地点（网址）：政采云平台（https://www.zcygov.cn/）</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方式：供应商登录政采云平台https://www.zcygov.cn/在线申请获取采购文件（进入“项目采购”应用，在获取采购文件菜单中选择项目，申请获取采购文件）。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售价（元）：0 </w:t>
      </w:r>
      <w:r>
        <w:rPr>
          <w:rFonts w:hint="eastAsia" w:ascii="仿宋_GB2312" w:hAnsi="仿宋_GB2312" w:eastAsia="仿宋_GB2312" w:cs="仿宋_GB2312"/>
          <w:color w:val="000000" w:themeColor="text1"/>
          <w:sz w:val="24"/>
          <w:szCs w:val="24"/>
          <w:highlight w:val="none"/>
          <w14:textFill>
            <w14:solidFill>
              <w14:schemeClr w14:val="tx1"/>
            </w14:solidFill>
          </w14:textFill>
        </w:rPr>
        <w:tab/>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四、提交投标文件截止时间、开标时间和地点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提交投标文件截止时间：202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24"/>
          <w:szCs w:val="24"/>
          <w:highlight w:val="none"/>
          <w14:textFill>
            <w14:solidFill>
              <w14:schemeClr w14:val="tx1"/>
            </w14:solidFill>
          </w14:textFill>
        </w:rPr>
        <w:t>日9点15分 （北京时间）</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投标地点（网址）：政采云平台（https://www.zcygov.cn/）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开标时间：202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日9点15分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开标地点（网址）：政采云平台（https://www.zcygov.cn/）</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五、公告期限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自本公告发布之日起5个工作日。</w:t>
      </w:r>
    </w:p>
    <w:p>
      <w:pPr>
        <w:spacing w:line="420" w:lineRule="exact"/>
        <w:ind w:firstLine="482"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六、其他补充事宜</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pPr>
        <w:spacing w:line="420" w:lineRule="exact"/>
        <w:ind w:firstLine="602" w:firstLineChars="25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七、对本次采购提出询问、质疑、投诉，请按以下方式联系</w:t>
      </w:r>
    </w:p>
    <w:p>
      <w:pPr>
        <w:spacing w:line="360" w:lineRule="auto"/>
        <w:ind w:left="479" w:leftChars="228"/>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名称:舟山航海学校</w:t>
      </w:r>
    </w:p>
    <w:p>
      <w:pPr>
        <w:spacing w:line="360" w:lineRule="auto"/>
        <w:ind w:left="479" w:leftChars="228"/>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舟山</w:t>
      </w:r>
      <w:r>
        <w:rPr>
          <w:rFonts w:hint="eastAsia" w:ascii="仿宋_GB2312" w:hAnsi="仿宋_GB2312" w:eastAsia="仿宋_GB2312" w:cs="仿宋_GB2312"/>
          <w:color w:val="000000" w:themeColor="text1"/>
          <w:sz w:val="24"/>
          <w:szCs w:val="24"/>
          <w:highlight w:val="none"/>
          <w14:textFill>
            <w14:solidFill>
              <w14:schemeClr w14:val="tx1"/>
            </w14:solidFill>
          </w14:textFill>
        </w:rPr>
        <w:t>高新区职业学校</w:t>
      </w:r>
    </w:p>
    <w:p>
      <w:pPr>
        <w:spacing w:line="360" w:lineRule="auto"/>
        <w:ind w:left="479" w:leftChars="228"/>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传真:</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项目联系人（询问）: 陈老师</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项目联系方式（询问）：0580-8232097 </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质疑联系人： 陈老师</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质疑联系方式：0580-8232199 </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名称：舟山市公共资源交易中心</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地址：舟山市新城翁山路555号四楼（大宗商品交易中心同幢西边）</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传真：/             </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项目联系人（询问）：</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陈女士</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0580-2280948</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质疑联系人：丁先生</w:t>
      </w:r>
    </w:p>
    <w:p>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质疑联系方式：0580-2280948　</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同级政府采购监督管理部门</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名称：舟山市财政局政府采购监管处</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地址：舟山市定海区新城海天大道681号</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传真：0580-2282591</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联系人：王女士</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监督投诉电话：0580-2282591</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CA问题联系电话（人工）：汇信CA 400-888-4636；天谷CA 400-087-8198。</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ind w:firstLine="2380" w:firstLineChars="850"/>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br w:type="page"/>
      </w:r>
      <w:r>
        <w:rPr>
          <w:rFonts w:hint="eastAsia" w:ascii="仿宋_GB2312" w:hAnsi="仿宋_GB2312" w:eastAsia="仿宋_GB2312" w:cs="仿宋_GB2312"/>
          <w:color w:val="000000" w:themeColor="text1"/>
          <w:sz w:val="32"/>
          <w:szCs w:val="32"/>
          <w:highlight w:val="none"/>
          <w14:textFill>
            <w14:solidFill>
              <w14:schemeClr w14:val="tx1"/>
            </w14:solidFill>
          </w14:textFill>
        </w:rPr>
        <w:t>第二部分</w:t>
      </w:r>
      <w:bookmarkEnd w:id="8"/>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投标人须知</w:t>
      </w:r>
      <w:bookmarkEnd w:id="9"/>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noWrap w:val="0"/>
            <w:vAlign w:val="top"/>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事项</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报价要求</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有关本项目实施所需的所有费用（含税费）均计入报价。</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投标文件中价格全部采用人民币报价。招标文件未列明，而投标人认为必需的费用也需列入报价。</w:t>
            </w:r>
            <w:r>
              <w:rPr>
                <w:rFonts w:hint="eastAsia" w:ascii="仿宋_GB2312" w:hAnsi="仿宋_GB2312" w:eastAsia="仿宋_GB2312" w:cs="仿宋_GB2312"/>
                <w:b/>
                <w:color w:val="000000" w:themeColor="text1"/>
                <w:sz w:val="24"/>
                <w:szCs w:val="24"/>
                <w:highlight w:val="none"/>
                <w14:textFill>
                  <w14:solidFill>
                    <w14:schemeClr w14:val="tx1"/>
                  </w14:solidFill>
                </w14:textFill>
              </w:rPr>
              <w:t>提醒：验收时检测费用由采购人承担，不包含在投标总价中。</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highlight w:val="none"/>
                <w:lang w:eastAsia="zh-CN"/>
              </w:rPr>
              <w:t>（</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2）政府采购评审中出现下列情形之一的，评审委员会应当启动异常低价投标（响应）审查程序：</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1.投标（响应）报价低于全部通过符合性审查供应商投标（响应）报价平均值 50 %的，即投标（响应）报价&lt;全部通过符合性审查供应商投标（响应）报价平均值× 50 %；</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2.投标（响应）报价低于通过符合性审查的次低报价供应商投标（响应）报价 50 %的，即投标（响应）报价&lt;通过符合性审查的次低报价供应商投标（响应）报价× 50 %；</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3.投标（响应）报价低于采购项目最高限价 45 %的，即投标（响应）报价&lt;采购项目最高限价× 45 %；</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4.评审委员会基于专业判断，认为供应商报价过低，有可能影响产品质量或者不能诚信履约的其他情形。</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（3）投标报价出现下列情形的，投标无效：</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1.投标文件出现不是唯一的、有选择性投标报价的；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2.投标报价超过招标文件中规定的预算金额或者最高限价的;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3.报价明显低于其他通过符合性审查投标人的报价，有可能影响产品质量或者不能诚信履约的，未能按要求提供书面说明或者提交相关证明材料证明其报价合理性的;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4.启动异常低价审查后，投标人不能在合理的时间内提供书面说明、证明材料，或者提供的书面说明、证明材料不能证明其报价合理性的。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5.投标人对根据修正原则修正后的报价不确认的。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分包</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A同意将非主、非关键性的</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学生桌</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分</w:t>
            </w:r>
            <w:r>
              <w:rPr>
                <w:rFonts w:hint="eastAsia" w:ascii="仿宋_GB2312" w:hAnsi="仿宋_GB2312" w:eastAsia="仿宋_GB2312" w:cs="仿宋_GB2312"/>
                <w:color w:val="000000" w:themeColor="text1"/>
                <w:sz w:val="24"/>
                <w:szCs w:val="24"/>
                <w:highlight w:val="none"/>
                <w14:textFill>
                  <w14:solidFill>
                    <w14:schemeClr w14:val="tx1"/>
                  </w14:solidFill>
                </w14:textFill>
              </w:rPr>
              <w:t>包。</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sz w:val="24"/>
                <w:highlight w:val="none"/>
              </w:rPr>
              <w:t>本项目上述允许分包的合同份额所占合同总金额小于30%。</w:t>
            </w:r>
          </w:p>
          <w:p>
            <w:pPr>
              <w:spacing w:line="400" w:lineRule="exact"/>
              <w:contextualSpacing/>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sz w:val="24"/>
                <w:szCs w:val="24"/>
                <w:highlight w:val="none"/>
                <w14:textFill>
                  <w14:solidFill>
                    <w14:schemeClr w14:val="tx1"/>
                  </w14:solidFill>
                </w14:textFill>
              </w:rPr>
              <w:t>B不同意分包。</w:t>
            </w:r>
          </w:p>
          <w:p>
            <w:pPr>
              <w:pStyle w:val="3"/>
              <w:ind w:firstLine="0" w:firstLineChars="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1843" w:type="dxa"/>
            <w:vMerge w:val="restart"/>
            <w:tcBorders>
              <w:top w:val="single" w:color="000000" w:sz="8" w:space="0"/>
              <w:left w:val="single" w:color="auto" w:sz="4" w:space="0"/>
              <w:right w:val="single" w:color="000000" w:sz="8"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（1）资格证明文件：见招标文件第二部分11.1。</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noWrap w:val="0"/>
            <w:vAlign w:val="top"/>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43" w:type="dxa"/>
            <w:vMerge w:val="continue"/>
            <w:tcBorders>
              <w:left w:val="single" w:color="auto" w:sz="4"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6095" w:type="dxa"/>
            <w:tcBorders>
              <w:top w:val="single" w:color="auto" w:sz="4"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（2）资信证明文件：根据招标文件第四部分评标标准提供。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A不组织。</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☐B组织，时间： ,地点：，联系人：，联系方式：。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样品提供</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A不要求提供。</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☐B要求提供，</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（1）</w:t>
            </w:r>
            <w:r>
              <w:rPr>
                <w:rFonts w:hint="eastAsia" w:ascii="仿宋_GB2312" w:hAnsi="仿宋_GB2312" w:eastAsia="仿宋_GB2312" w:cs="仿宋_GB2312"/>
                <w:snapToGrid w:val="0"/>
                <w:color w:val="000000" w:themeColor="text1"/>
                <w:kern w:val="28"/>
                <w:sz w:val="24"/>
                <w:highlight w:val="none"/>
                <w14:textFill>
                  <w14:solidFill>
                    <w14:schemeClr w14:val="tx1"/>
                  </w14:solidFill>
                </w14:textFill>
              </w:rPr>
              <w:t>样品</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（2）</w:t>
            </w:r>
            <w:r>
              <w:rPr>
                <w:rFonts w:hint="eastAsia" w:ascii="仿宋_GB2312" w:hAnsi="仿宋_GB2312" w:eastAsia="仿宋_GB2312" w:cs="仿宋_GB2312"/>
                <w:snapToGrid w:val="0"/>
                <w:color w:val="000000" w:themeColor="text1"/>
                <w:kern w:val="28"/>
                <w:sz w:val="24"/>
                <w:highlight w:val="none"/>
                <w14:textFill>
                  <w14:solidFill>
                    <w14:schemeClr w14:val="tx1"/>
                  </w14:solidFill>
                </w14:textFill>
              </w:rPr>
              <w:t>样品制作的标准和要求</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（3）样品的评审方法以及评审标准</w:t>
            </w:r>
            <w:r>
              <w:rPr>
                <w:rFonts w:hint="eastAsia" w:ascii="仿宋_GB2312" w:hAnsi="仿宋_GB2312" w:eastAsia="仿宋_GB2312" w:cs="仿宋_GB2312"/>
                <w:snapToGrid w:val="0"/>
                <w:color w:val="000000" w:themeColor="text1"/>
                <w:kern w:val="28"/>
                <w:sz w:val="24"/>
                <w:highlight w:val="none"/>
                <w14:textFill>
                  <w14:solidFill>
                    <w14:schemeClr w14:val="tx1"/>
                  </w14:solidFill>
                </w14:textFill>
              </w:rPr>
              <w:t>：详见</w:t>
            </w:r>
            <w:r>
              <w:rPr>
                <w:rFonts w:hint="eastAsia" w:ascii="仿宋_GB2312" w:hAnsi="仿宋_GB2312" w:eastAsia="仿宋_GB2312" w:cs="仿宋_GB2312"/>
                <w:color w:val="000000" w:themeColor="text1"/>
                <w:sz w:val="24"/>
                <w:highlight w:val="none"/>
                <w:u w:val="single"/>
                <w14:textFill>
                  <w14:solidFill>
                    <w14:schemeClr w14:val="tx1"/>
                  </w14:solidFill>
                </w14:textFill>
              </w:rPr>
              <w:t>评标办法</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（4）是否需要随样品提交检测报告：☐否；☐是，检测机构的要求</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；检测内容</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（5）提供样品的时间：</w:t>
            </w:r>
            <w:r>
              <w:rPr>
                <w:rFonts w:hint="eastAsia" w:ascii="仿宋_GB2312" w:hAnsi="仿宋_GB2312" w:eastAsia="仿宋_GB2312" w:cs="仿宋_GB2312"/>
                <w:color w:val="000000" w:themeColor="text1"/>
                <w:kern w:val="0"/>
                <w:sz w:val="24"/>
                <w:highlight w:val="none"/>
                <w14:textFill>
                  <w14:solidFill>
                    <w14:schemeClr w14:val="tx1"/>
                  </w14:solidFill>
                </w14:textFill>
              </w:rPr>
              <w:t>；地点：；联系人</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kern w:val="28"/>
                <w:sz w:val="24"/>
                <w:highlight w:val="none"/>
                <w14:textFill>
                  <w14:solidFill>
                    <w14:schemeClr w14:val="tx1"/>
                  </w14:solidFill>
                </w14:textFill>
              </w:rPr>
              <w:t>联系电话：</w:t>
            </w:r>
            <w:r>
              <w:rPr>
                <w:rFonts w:hint="eastAsia" w:ascii="仿宋_GB2312" w:hAnsi="仿宋_GB2312" w:eastAsia="仿宋_GB2312" w:cs="仿宋_GB2312"/>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（7）制作、运输、安装和保管样品所发生的一切费用由投标人自理。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方案讲解演示</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☐A不组织。</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B组织。</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（1）在评标时安排每个投标人进行方案讲解演示。每个投标人时间不超过</w:t>
            </w:r>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15</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（编制时可根据项目情况进行调整）</w:t>
            </w:r>
            <w:r>
              <w:rPr>
                <w:rFonts w:hint="eastAsia" w:ascii="仿宋_GB2312" w:hAnsi="仿宋_GB2312" w:eastAsia="仿宋_GB2312" w:cs="仿宋_GB2312"/>
                <w:color w:val="000000" w:themeColor="text1"/>
                <w:sz w:val="24"/>
                <w:szCs w:val="24"/>
                <w:highlight w:val="none"/>
                <w14:textFill>
                  <w14:solidFill>
                    <w14:schemeClr w14:val="tx1"/>
                  </w14:solidFill>
                </w14:textFill>
              </w:rPr>
              <w:t>分钟，讲解次序以投标文件解密时间先后次序为准，讲解演示人员不超过</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3（编制时可根据项目情况进行调整）</w:t>
            </w:r>
            <w:r>
              <w:rPr>
                <w:rFonts w:hint="eastAsia" w:ascii="仿宋_GB2312" w:hAnsi="仿宋_GB2312" w:eastAsia="仿宋_GB2312" w:cs="仿宋_GB2312"/>
                <w:color w:val="000000" w:themeColor="text1"/>
                <w:sz w:val="24"/>
                <w:szCs w:val="24"/>
                <w:highlight w:val="none"/>
                <w14:textFill>
                  <w14:solidFill>
                    <w14:schemeClr w14:val="tx1"/>
                  </w14:solidFill>
                </w14:textFill>
              </w:rPr>
              <w:t>人。讲解演示结束后按要求解答评标委员会提问。</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（2）方案讲解演示可选择以下其中一种方式：</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政采云平台在线讲解演示。政采云平台在线讲解需投标人根据政采云平台操作要求做好准备工作，提前完善软硬件配置环境。</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☐交易中心现场讲解演示。现场讲解地点为，讲解演示所用电脑等设备由投标人自备。现场讲解演示人员进场时提供讲解人员名单（加盖公章）及身份证明，否则不得讲解演示。</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注：因投标人自身原因导致无法演示或者演示效果不理想的，责任自负。因平台原因导致本项目方案讲解演示环节无法顺利开展，按照《浙江省政府采购项目电子交易管理暂行办法》相关规定执行。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是否允许采购进口产品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本项目不允许采购进口产品。</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本国产品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000000" w:themeColor="text1"/>
                <w:szCs w:val="24"/>
                <w:highlight w:val="none"/>
                <w:lang w:val="en-US"/>
                <w14:textFill>
                  <w14:solidFill>
                    <w14:schemeClr w14:val="tx1"/>
                  </w14:solidFill>
                </w14:textFill>
              </w:rPr>
            </w:pPr>
            <w:r>
              <w:rPr>
                <w:rFonts w:hint="eastAsia" w:ascii="仿宋_GB2312" w:hAnsi="仿宋_GB2312" w:eastAsia="仿宋_GB2312" w:cs="仿宋_GB2312"/>
                <w:color w:val="auto"/>
                <w:kern w:val="0"/>
                <w:sz w:val="24"/>
                <w:highlight w:val="none"/>
                <w:lang w:eastAsia="zh-CN"/>
              </w:rPr>
              <w:sym w:font="Wingdings 2" w:char="00A3"/>
            </w:r>
            <w:r>
              <w:rPr>
                <w:rFonts w:hint="eastAsia" w:ascii="仿宋_GB2312" w:hAnsi="仿宋_GB2312" w:eastAsia="仿宋_GB2312" w:cs="仿宋_GB2312"/>
                <w:color w:val="auto"/>
                <w:kern w:val="0"/>
                <w:sz w:val="24"/>
                <w:highlight w:val="none"/>
              </w:rPr>
              <w:t>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pStyle w:val="3"/>
              <w:ind w:firstLine="480" w:firstLineChars="20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货物类，单一产品或核心产品为：</w:t>
            </w:r>
            <w:r>
              <w:rPr>
                <w:rFonts w:hint="eastAsia" w:ascii="仿宋_GB2312" w:hAnsi="仿宋_GB2312" w:eastAsia="仿宋_GB2312" w:cs="仿宋_GB2312"/>
                <w:kern w:val="0"/>
                <w:szCs w:val="24"/>
                <w:highlight w:val="none"/>
              </w:rPr>
              <w:t>交互智能一体机、信创台式计算机、台式计算机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napToGrid w:val="0"/>
              <w:spacing w:line="360" w:lineRule="auto"/>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采购标的：详见采购需求，所属行业：详见采购需求。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w:t>
            </w:r>
          </w:p>
        </w:tc>
        <w:tc>
          <w:tcPr>
            <w:tcW w:w="1843" w:type="dxa"/>
            <w:tcBorders>
              <w:top w:val="single" w:color="000000" w:sz="8" w:space="0"/>
              <w:left w:val="single" w:color="000000" w:sz="2"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节能产品、环境标志产品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依据国家确定的认证机构出具的、处于有效期之内的节能产品认证证书，对获得证书的产品实施政府优先采购或强制采购；其中，</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对</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交互智能一体机</w:t>
            </w:r>
            <w:r>
              <w:rPr>
                <w:rFonts w:hint="eastAsia" w:ascii="仿宋_GB2312" w:hAnsi="仿宋_GB2312" w:eastAsia="仿宋_GB2312" w:cs="仿宋_GB2312"/>
                <w:color w:val="000000" w:themeColor="text1"/>
                <w:sz w:val="24"/>
                <w:szCs w:val="24"/>
                <w:highlight w:val="none"/>
                <w14:textFill>
                  <w14:solidFill>
                    <w14:schemeClr w14:val="tx1"/>
                  </w14:solidFill>
                </w14:textFill>
              </w:rPr>
              <w:t>实施政府优先采购，详见评分标准；</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▲对</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信创台式计算机、信创台式计算机</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显示器、</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台式计算机</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台式计算机</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显示器</w:t>
            </w:r>
            <w:r>
              <w:rPr>
                <w:rFonts w:hint="eastAsia" w:ascii="仿宋_GB2312" w:hAnsi="仿宋_GB2312" w:eastAsia="仿宋_GB2312" w:cs="仿宋_GB2312"/>
                <w:color w:val="000000" w:themeColor="text1"/>
                <w:sz w:val="24"/>
                <w:szCs w:val="24"/>
                <w:highlight w:val="none"/>
                <w14:textFill>
                  <w14:solidFill>
                    <w14:schemeClr w14:val="tx1"/>
                  </w14:solidFill>
                </w14:textFill>
              </w:rPr>
              <w:t>实施政府强制采购，投标人就相应的投标产品未提供国家确定的认证机构出具的、处于有效期之内的节能产品认证证书的，投标无效。</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依据国家确定的认证机构出具的、处于有效期之内的环境标志产品认证证书，对获得证书的</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交互智能一体机、信创台式计算机、台式计算机、教师桌、学生桌</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学生桌(六边型含椅子)</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教师讲台</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学生桌（双人桌含方凳）</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学生电脑桌凳</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u w:val="single"/>
                <w14:textFill>
                  <w14:solidFill>
                    <w14:schemeClr w14:val="tx1"/>
                  </w14:solidFill>
                </w14:textFill>
              </w:rPr>
              <w:t>教师电脑桌椅</w:t>
            </w:r>
            <w:r>
              <w:rPr>
                <w:rFonts w:hint="eastAsia" w:ascii="仿宋_GB2312" w:hAnsi="仿宋_GB2312" w:eastAsia="仿宋_GB2312" w:cs="仿宋_GB2312"/>
                <w:color w:val="000000" w:themeColor="text1"/>
                <w:sz w:val="24"/>
                <w:szCs w:val="24"/>
                <w:highlight w:val="none"/>
                <w14:textFill>
                  <w14:solidFill>
                    <w14:schemeClr w14:val="tx1"/>
                  </w14:solidFill>
                </w14:textFill>
              </w:rPr>
              <w:t>实施政府优先采购，详见评分标准。</w:t>
            </w:r>
          </w:p>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政采贷</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pPr>
              <w:pStyle w:val="4"/>
              <w:spacing w:line="400" w:lineRule="exac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备份投标文件的送达地点和签收人员详见招标文件第二部分15.3；15.4。采购人、采购代理机构不强制或变相强制投标人提交备份投标文件。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w:t>
            </w:r>
          </w:p>
        </w:tc>
        <w:tc>
          <w:tcPr>
            <w:tcW w:w="1843"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履约保证金</w:t>
            </w:r>
          </w:p>
        </w:tc>
        <w:tc>
          <w:tcPr>
            <w:tcW w:w="6095"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是否需要履约保证金: </w:t>
            </w:r>
            <w:r>
              <w:rPr>
                <w:rFonts w:hint="eastAsia" w:ascii="仿宋_GB2312" w:hAnsi="仿宋_GB2312" w:eastAsia="仿宋_GB2312" w:cs="仿宋_GB2312"/>
                <w:color w:val="000000" w:themeColor="text1"/>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sz w:val="24"/>
                <w:szCs w:val="24"/>
                <w:highlight w:val="none"/>
                <w14:textFill>
                  <w14:solidFill>
                    <w14:schemeClr w14:val="tx1"/>
                  </w14:solidFill>
                </w14:textFill>
              </w:rPr>
              <w:t>是</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bookmarkStart w:id="11" w:name="第三部分"/>
            <w:bookmarkStart w:id="12" w:name="_Toc164416483"/>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15</w:t>
            </w:r>
          </w:p>
        </w:tc>
        <w:tc>
          <w:tcPr>
            <w:tcW w:w="1843"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特别说明</w:t>
            </w:r>
          </w:p>
        </w:tc>
        <w:tc>
          <w:tcPr>
            <w:tcW w:w="6095"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联合体投标的，联合体各方分别提供与联合体协议中规定的分工内容相应的业绩证明材料，业绩数量以提供材料较少的一方为准。</w:t>
            </w:r>
          </w:p>
          <w:p>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☐联合体投标的，联合体各方均需按招标文件第四部分评标办法提供资信证明文件，否则视为不符合相关要求。</w:t>
            </w:r>
          </w:p>
          <w:p>
            <w:pPr>
              <w:pStyle w:val="4"/>
              <w:spacing w:line="400" w:lineRule="exact"/>
              <w:rPr>
                <w:rFonts w:hint="eastAsia" w:ascii="仿宋_GB2312" w:hAnsi="仿宋_GB2312" w:eastAsia="仿宋_GB2312" w:cs="仿宋_GB2312"/>
                <w:kern w:val="2"/>
                <w:sz w:val="21"/>
                <w:szCs w:val="22"/>
                <w:highlight w:val="none"/>
                <w:lang w:val="en-US" w:eastAsia="zh-CN" w:bidi="ar-SA"/>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联合体投标的，联合体中有一方或者联合体成员根据分工按招标文件第四部分评标办法提供资信证明文件的，视为符合了相关要求。</w:t>
            </w:r>
          </w:p>
        </w:tc>
      </w:tr>
      <w:bookmarkEnd w:id="10"/>
    </w:tbl>
    <w:p>
      <w:pPr>
        <w:spacing w:line="420" w:lineRule="exact"/>
        <w:ind w:firstLine="472" w:firstLineChars="196"/>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一、总则</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1.适用范围</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2.定义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 “采购人”系指招标公告中载明的本项目的采购人。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 “采购代理机构”系指招标公告中载明的本项目的采购代理机构。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 “投标人”系指是指响应招标、参加投标竞争的法人、其他组织或者自然人。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 “负责人”系指法人企业的法定负责人，或其他组织为法律、行政法规规定代表单位行使职权的主要负责人，或自然人本人。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2.6“电子交易平台”是指本项目政府采购活动所依托的政府采购云平台（https://www.zcygov.cn/）。</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2.7 “▲”系指实质性要求条款，“</w:t>
      </w:r>
      <w:r>
        <w:rPr>
          <w:rFonts w:hint="eastAsia" w:ascii="仿宋_GB2312" w:hAnsi="仿宋_GB2312" w:eastAsia="仿宋_GB2312" w:cs="仿宋_GB2312"/>
          <w:color w:val="000000" w:themeColor="text1"/>
          <w:szCs w:val="21"/>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”系产品采购项目中单一产品或核心产品，“</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”系指适用本项目的要求，“☐”系指不适用本项目的要求。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 采购项目需要落实的政府采购政策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 支持绿色发展。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3.2.2 修缮、装修类项目采购建材的，采购人应将绿色建筑和绿色建材性能、指标等作为实质性条件纳入招标文件和合同。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pStyle w:val="4"/>
        <w:spacing w:line="42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3.3支持中小企业发展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符合中小企业划分标准的个体工商户，在政府采购活动中视同中小企业。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3.3.2在政府采购活动中，投标人提供的货物、工程或者服务符合下列情形的，享受中小企业扶持政策：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3.3.2.1在货物采购项目中，货物由中小企业制造，即货物由中小企业生产且使用该中小企业商号或者注册商标；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3.3.2.2在工程采购项目中，工程由中小企业承建，即工程施工单位为中小企业；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3.3.2.3在服务采购项目中，服务由中小企业承接，即提供服务的人员为中小企业依照《中华人民共和国劳动合同法》订立劳动合同的从业人员。</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在货物采购项目中，投标人提供的货物既有中小企业制造货物，也有大型企业制造货物的，不享受中小企业扶持政策。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10%</w:t>
      </w:r>
      <w:r>
        <w:rPr>
          <w:rFonts w:hint="eastAsia" w:ascii="仿宋_GB2312" w:hAnsi="仿宋_GB2312" w:eastAsia="仿宋_GB2312" w:cs="仿宋_GB2312"/>
          <w:color w:val="000000" w:themeColor="text1"/>
          <w:sz w:val="24"/>
          <w:szCs w:val="24"/>
          <w:highlight w:val="none"/>
          <w14:textFill>
            <w14:solidFill>
              <w14:schemeClr w14:val="tx1"/>
            </w14:solidFill>
          </w14:textFill>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3.3.4符合《关于促进残疾人就业政府采购政策的通知》（财库〔2017〕141号）规定的条件并提供《残疾人福利性单位声明函》（附件1）的残疾人福利性单位视同小型、微型企业；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3.3.7中小企业享受扶持政策获得政府采购合同的，小微企业不得将合同分包给大中型企业，中型企业不得将合同分包给大型企业。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3.4支持创新发展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 采购人优先采购被认定为首台套产品和“制造精品”的自主创新产品。</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3.5平等对待内外资企业和符合条件的破产重整企业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平等对待内外资企业和符合条件的破产重整企业，切实保障企业公平竞争，平等维护企业的合法利益。</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3.7 支持本国产品</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3.7.1 本项目既有本国产品又有非本国产品参与竞争的，对本国产品的报价给予20%的价格扣除，用扣除后的价格参与评审。</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 询问、质疑、投诉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4.2供应商询问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4.3供应商质疑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4.3.1提出质疑的供应商应当是参与所质疑项目采购活动的供应商。潜在供应商已依法获取其可质疑的招标文件的，可以对该文件提出质疑。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pPr>
        <w:spacing w:line="360" w:lineRule="auto"/>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pPr>
        <w:spacing w:line="360" w:lineRule="auto"/>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4.3.2.3对采购结果提出质疑的，质疑期限自采购结果公告期限届满之日起计算。对采购结果提出质疑的，采购代理机构负责答复。</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4.3.3供应商提出质疑应当提交质疑函和必要的证明材料。质疑函应当包括下列内容：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4.3.3.1供应商的姓名或者名称、地址、邮编、联系人及联系电话；</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4.3.3.2质疑项目的名称、编号；</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4.3.3.3具体、明确的质疑事项和与质疑事项相关的请求；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4.3.3.4事实依据；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4.3.3.5必要的法律依据；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4.3.3.6提出质疑的日期。</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供应商线下提交质疑函的，质疑函需一式三份。供应商为自然人的，应当由本人签字；供应商为法人或者其他组织的，应当由法定代表人、主要负责人，或者其授权代表签字或者盖章，并加盖公章。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质疑函范本及制作说明详见附件2。</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4.3.5询问或者质疑事项可能影响采购结果的，采购人应当暂停签订合同，已经签订合同的，应当中止履行合同。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4.4供应商投诉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4.4.1质疑供应商对采购人、采购代理机构的答复不满意或者采购人、采购代理机构未在规定的时间内作出答复的，可以在答复期满后十五个工作日内向同级政府采购监督管理部门提出投诉。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4.4.2供应商投诉的事项不得超出已质疑事项的范围，基于质疑答复内容提出的投诉事项除外。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4.4.3供应商投诉应当有明确的请求和必要的证明材料。</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4.4.5 以联合体形式参加政府采购活动的，其投诉应当由组成联合体的所有供应商共同提出。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投诉书范本及制作说明详见附件3。</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二、招标文件的构成、澄清、修改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5．招标文件的构成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 招标文件包括下列文件及附件：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5.1.1招标公告；</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5.1.2投标人须知；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5.1.3采购需求；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5.1.4评标办法；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5.1.5拟签订的合同文本；</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5.1.6应提交的有关格式范例。</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5.2与本项目有关的澄清或者修改的内容为招标文件的组成部分。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 招标文件的澄清、修改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6.1已获取招标文件的潜在投标人，若有问题需要澄清，应于投标截止时间前，以书面形式向采购代理机构提出。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spacing w:line="420" w:lineRule="exact"/>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三、投标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 招标文件的获取</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详见招标公告中获取招标文件的时间期限、地点、方式及招标文件售价。</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8.开标前答疑会或现场考察</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采购人组织潜在投标人现场考察或者召开开标前答疑会的，潜在投标人按第二部分投标人须知前附表的规定参加现场考察或者开标前答疑会。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9.投标保证金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本项目不需缴纳投标保证金。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 投标文件的语言</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投标文件及投标人与采购有关的来往通知、函件和文件均应使用中文。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 投标文件的组成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 投标文件的组成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11.1资格文件：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11.1.1符合参加政府采购活动应当具备的一般条件的承诺函；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11.1.2联合协议（如果有）；</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11.1.3落实政府采购政策需满足的资格要求（如果有）;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11.1.4本项目的特定资格要求（如果有）。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  商务技术文件：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11.2.1投标函；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11.2.2联合协议（如果有）；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11.2.3分包意向协议（如果有）；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11.2.4符合性审查资料；</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11.2.5拟投入的项目班子格式；</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11.2.6评标标准相应的商务技术资料；</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11.2.7投标标的清单（如果有）；</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11.2.8商务技术偏离表；</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11.2.9政府采购供应商廉洁自律承诺书。</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11.3报价文件：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11.3.1开标一览表（报价表）；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11.3.2中小企业声明函；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11.3.3 关于符合本国产品标准的声明函（如果有）；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11.3.4详细阐述关于不影响产品质量或者诚信履约的具体原因（如果报价低于项目预算50%的）。”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12.投标文件的编制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12.2投标人进行电子投标应安装客户端软件—“政采云电子交易客户端”，并按照招标文件和电子交易平台的要求编制并加密投标文件。投标人未按规定加密的投标文件，电子交易平台将拒收并提示。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12.3使用“政采云电子交易客户端”需要提前申领CA数字证书，申领流程请自行前往“浙江政府采购网-下载专区-电子交易客户端-CA驱动和申领流程”进行查阅。</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13.投标文件的签署、盖章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13.1投标文件按照招标文件第六部分格式要求进行签署、盖章。▲</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投标人的投标文件未按照招标文件要求签署、盖章的，其投标无效</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13.2为确保网上操作合法、有效和安全，投标人应当在投标截止时间前完成在“政府采购云平台”的身份认证，确保在电子投标过程中能够对相关数据电文进行加密和使用电子签名。</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13.3招标文件对投标文件签署、盖章的要求适用于电子签名。</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14.投标文件的提交、补充、修改、撤回</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14.2电子交易平台收到投标文件，将妥善保存并即时向供应商发出确认回执通知。在投标截止时间前，除供应商补充、修改或者撤回投标文件外，任何单位和个人不得解密或提取投标文件。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14.3采购人、采购代理机构可以视情况延长投标文件提交的截止时间。在上述情况下，采购代理机构与投标人以前在投标截止期方面的全部权利、责任和义务，将适用于延长至新的投标截止期。</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15.备份投标文件</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15.5投标人仅提交备份投标文件，没有在电子交易平台传输递交投标文件的，投标无效。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16.投标文件的无效处理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有招标文件第四部分4.2项规定的情形之一的，投标无效。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17.投标有效期</w:t>
      </w:r>
    </w:p>
    <w:p>
      <w:pPr>
        <w:spacing w:line="420" w:lineRule="exact"/>
        <w:ind w:firstLine="480"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17.1投标有效期为从提交投标文件的截止之日起90天。▲</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投标人的投标文件中承诺的投标有效期少于招标文件中载明的投标有效期的，投标无效。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17.2投标文件合格投递后，自投标截止日期起，在投标有效期内有效。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17.3在原定投标有效期满之前，如果出现特殊情况，采购代理机构可以以书面形式通知投标人延长投标有效期。投标人同意延长的，不得要求或被允许修改其投标文件，投标人拒绝延长的，其投标无效。</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四、开标、资格审查与信用信息查询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18.开标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18.1采购代理机构按照招标文件规定的时间通过电子交易平台组织开标，所有投标人均应当准时在线参加。</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18.2开标时，电子交易平台按开标时间自动提取所有投标文件。采购代理机构依托电子交易平台发起开始解密指令，投标人按照平台提示和招标文件的规定在半小时内完成在线解密。</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18.3</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投标文件未按时解密，投标人提供了备份投标文件的，以备份投标文件作为依据，否则视为投标文件撤回。投标文件已按时解密的，备份投标文件自动失效。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19.资格审查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19.1开标后，采购人将依法对投标人的资格进行审查。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19.2采购人依据法律法规和招标文件的规定，对投标人的基本资格条件、特定资格条件进行审查。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19.3投标人未按照招标文件要求提供与基本资格条件、特定资格条件相应的有效资格证明材料的，视为投标人不具备招标文件中规定的资格要求，其投标无效。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19.4对未通过资格审查的投标人，采购人或采购代理机构告知其未通过的原因。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19.5合格投标人不足3家的，不再评标。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20.信用信息查询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20.1信用信息查询渠道及截止时间：采购代理机构将通过“信用中国”网站(www.creditchina.gov.cn)、中国政府采购网(www.ccgp.gov.cn)渠道查询投标人投标截止时间当天的信用记录。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20.2信用信息查询记录和证据留存的具体方式：现场查询的投标人的信用记录、查询结果经确认后将与采购文件一起存档。</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五、评标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13" w:name="_Toc91899903"/>
      <w:r>
        <w:rPr>
          <w:rFonts w:hint="eastAsia" w:ascii="仿宋_GB2312" w:hAnsi="仿宋_GB2312" w:eastAsia="仿宋_GB2312" w:cs="仿宋_GB2312"/>
          <w:color w:val="000000" w:themeColor="text1"/>
          <w:sz w:val="24"/>
          <w:szCs w:val="24"/>
          <w:highlight w:val="none"/>
          <w14:textFill>
            <w14:solidFill>
              <w14:schemeClr w14:val="tx1"/>
            </w14:solidFill>
          </w14:textFill>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六、定标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22.确定中标供应商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23.中标通知与中标结果公告</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23.1自中标人确定之日起2个工作日内，采购代理机构通过电子交易平台向中标人发出中标通知书，同时编制发布采购结果公告。采购代理机构也可以以纸质形式进行中标通知。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23.3公告期限为1个工作日。</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七、合同授予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 合同主要条款详见第五部分拟签订的合同文本。</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 合同的签订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25.2中标人按规定的日期、时间、地点，由法定代表人或其授权代表与采购人代表签订合同。如中标人为联合体的，由联合体成员各方法定代表人或其授权代表与采购人代表签订合同。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25.3中标供应商拒绝与采购人签订合同的，采购人可以按照评审报告推荐的中标或者成交候选人名单排序，确定下一候选人为中标供应商，也可以重新开展政府采购活动。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25.4中标供应商放弃中标资格导致重新采购的，应当承担支付专家评审费等费用在内的赔偿责任。</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25.5采购合同由采购人与中标供应商根据招标文件、投标文件等内容通过政府采购电子交易平台在线签订，自动备案。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 履约保证金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27. 预付款</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八、电子交易活动的中止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 电子交易活动的中止。采购过程中出现以下情形，导致电子交易平台无法正常运行，或者无法保证电子交易的公平、公正和安全时，采购代理机构可中止电子交易活动：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28.1电子交易平台发生故障而无法登录访问的；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28.2电子交易平台应用或数据库出现错误，不能进行正常操作的；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28.3电子交易平台发现严重安全漏洞，有潜在泄密危险的；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28.4病毒发作导致不能进行正常操作的；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28.5其他无法保证电子交易的公平、公正和安全的情况。</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29.出现以上情形，不影响采购公平、公正性的，采购组织机构可以待上述情形消除后继续组织电子交易活动，也可以决定某些环节以纸质形式进行；影响或可能影响采购公平、公正性的，应当重新采购。</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九、验收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30.验收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30.2采购人可以邀请参加本项目的其他投标人或者第三方机构参与验收。参与验收的投标人或者第三方机构的意见作为验收书的参考资料一并存档。</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74729768"/>
      <w:bookmarkEnd w:id="14"/>
      <w:bookmarkStart w:id="15" w:name="_Hlt68072990"/>
      <w:bookmarkEnd w:id="15"/>
      <w:bookmarkStart w:id="16" w:name="_Hlt68057669"/>
      <w:bookmarkEnd w:id="16"/>
      <w:bookmarkStart w:id="17" w:name="_Hlt75236011"/>
      <w:bookmarkEnd w:id="17"/>
      <w:bookmarkStart w:id="18" w:name="_Hlt68403820"/>
      <w:bookmarkEnd w:id="18"/>
      <w:bookmarkStart w:id="19" w:name="_Hlt75236101"/>
      <w:bookmarkEnd w:id="19"/>
      <w:bookmarkStart w:id="20" w:name="_Hlt68073093"/>
      <w:bookmarkEnd w:id="20"/>
      <w:bookmarkStart w:id="21" w:name="_Hlt74707468"/>
      <w:bookmarkEnd w:id="21"/>
      <w:bookmarkStart w:id="22" w:name="_Hlt68072998"/>
      <w:bookmarkEnd w:id="22"/>
      <w:bookmarkStart w:id="23" w:name="_Hlt74730295"/>
      <w:bookmarkEnd w:id="23"/>
      <w:bookmarkStart w:id="24" w:name="_Hlt75236290"/>
      <w:bookmarkEnd w:id="24"/>
      <w:bookmarkStart w:id="25" w:name="_Hlt74714665"/>
      <w:bookmarkEnd w:id="25"/>
    </w:p>
    <w:bookmarkEnd w:id="11"/>
    <w:bookmarkEnd w:id="12"/>
    <w:p>
      <w:pPr>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6" w:name="第四部分"/>
      <w:r>
        <w:rPr>
          <w:rFonts w:hint="eastAsia" w:ascii="仿宋_GB2312" w:hAnsi="仿宋_GB2312" w:eastAsia="仿宋_GB2312" w:cs="仿宋_GB2312"/>
          <w:b/>
          <w:color w:val="000000" w:themeColor="text1"/>
          <w:sz w:val="32"/>
          <w:szCs w:val="32"/>
          <w:highlight w:val="none"/>
          <w14:textFill>
            <w14:solidFill>
              <w14:schemeClr w14:val="tx1"/>
            </w14:solidFill>
          </w14:textFill>
        </w:rPr>
        <w:t>第三部分</w:t>
      </w: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采购需求</w:t>
      </w:r>
    </w:p>
    <w:p>
      <w:pPr>
        <w:pStyle w:val="6"/>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一、采购设备清单</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采购标的</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p>
    <w:tbl>
      <w:tblPr>
        <w:tblStyle w:val="27"/>
        <w:tblW w:w="8605" w:type="dxa"/>
        <w:tblInd w:w="-289" w:type="dxa"/>
        <w:tblLayout w:type="fixed"/>
        <w:tblCellMar>
          <w:top w:w="0" w:type="dxa"/>
          <w:left w:w="108" w:type="dxa"/>
          <w:bottom w:w="0" w:type="dxa"/>
          <w:right w:w="108" w:type="dxa"/>
        </w:tblCellMar>
      </w:tblPr>
      <w:tblGrid>
        <w:gridCol w:w="1135"/>
        <w:gridCol w:w="850"/>
        <w:gridCol w:w="2312"/>
        <w:gridCol w:w="709"/>
        <w:gridCol w:w="732"/>
        <w:gridCol w:w="1480"/>
        <w:gridCol w:w="1387"/>
      </w:tblGrid>
      <w:tr>
        <w:tblPrEx>
          <w:tblCellMar>
            <w:top w:w="0" w:type="dxa"/>
            <w:left w:w="108" w:type="dxa"/>
            <w:bottom w:w="0" w:type="dxa"/>
            <w:right w:w="108" w:type="dxa"/>
          </w:tblCellMar>
        </w:tblPrEx>
        <w:trPr>
          <w:trHeight w:val="451" w:hRule="atLeast"/>
        </w:trPr>
        <w:tc>
          <w:tcPr>
            <w:tcW w:w="1135" w:type="dxa"/>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pPr>
              <w:widowControl/>
              <w:jc w:val="center"/>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kern w:val="0"/>
                <w:sz w:val="24"/>
                <w:szCs w:val="24"/>
                <w:highlight w:val="none"/>
              </w:rPr>
              <w:t>类别</w:t>
            </w:r>
          </w:p>
        </w:tc>
        <w:tc>
          <w:tcPr>
            <w:tcW w:w="850"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pPr>
              <w:widowControl/>
              <w:jc w:val="center"/>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kern w:val="0"/>
                <w:sz w:val="24"/>
                <w:szCs w:val="24"/>
                <w:highlight w:val="none"/>
              </w:rPr>
              <w:t>序号</w:t>
            </w:r>
          </w:p>
        </w:tc>
        <w:tc>
          <w:tcPr>
            <w:tcW w:w="2312"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pPr>
              <w:widowControl/>
              <w:jc w:val="center"/>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kern w:val="0"/>
                <w:sz w:val="24"/>
                <w:szCs w:val="24"/>
                <w:highlight w:val="none"/>
              </w:rPr>
              <w:t>产品名称</w:t>
            </w:r>
          </w:p>
        </w:tc>
        <w:tc>
          <w:tcPr>
            <w:tcW w:w="709"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pPr>
              <w:widowControl/>
              <w:jc w:val="center"/>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kern w:val="0"/>
                <w:sz w:val="24"/>
                <w:szCs w:val="24"/>
                <w:highlight w:val="none"/>
              </w:rPr>
              <w:t>数量</w:t>
            </w:r>
          </w:p>
        </w:tc>
        <w:tc>
          <w:tcPr>
            <w:tcW w:w="732" w:type="dxa"/>
            <w:tcBorders>
              <w:top w:val="single" w:color="auto" w:sz="4" w:space="0"/>
              <w:left w:val="nil"/>
              <w:bottom w:val="single" w:color="auto" w:sz="4" w:space="0"/>
              <w:right w:val="single" w:color="auto" w:sz="4" w:space="0"/>
            </w:tcBorders>
            <w:shd w:val="clear" w:color="auto" w:fill="D8D8D8" w:themeFill="background1" w:themeFillShade="D9"/>
            <w:noWrap/>
            <w:vAlign w:val="center"/>
          </w:tcPr>
          <w:p>
            <w:pPr>
              <w:widowControl/>
              <w:jc w:val="center"/>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kern w:val="0"/>
                <w:sz w:val="24"/>
                <w:szCs w:val="24"/>
                <w:highlight w:val="none"/>
              </w:rPr>
              <w:t>单位</w:t>
            </w:r>
          </w:p>
        </w:tc>
        <w:tc>
          <w:tcPr>
            <w:tcW w:w="1480" w:type="dxa"/>
            <w:tcBorders>
              <w:top w:val="single" w:color="auto" w:sz="4" w:space="0"/>
              <w:bottom w:val="single" w:color="auto" w:sz="4" w:space="0"/>
              <w:right w:val="single" w:color="auto" w:sz="4" w:space="0"/>
            </w:tcBorders>
            <w:shd w:val="clear" w:color="auto" w:fill="D8D8D8" w:themeFill="background1" w:themeFillShade="D9"/>
            <w:vAlign w:val="center"/>
          </w:tcPr>
          <w:p>
            <w:pPr>
              <w:widowControl/>
              <w:jc w:val="center"/>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kern w:val="0"/>
                <w:sz w:val="24"/>
                <w:szCs w:val="24"/>
                <w:highlight w:val="none"/>
              </w:rPr>
              <w:t>质保要求</w:t>
            </w:r>
          </w:p>
        </w:tc>
        <w:tc>
          <w:tcPr>
            <w:tcW w:w="1387" w:type="dxa"/>
            <w:tcBorders>
              <w:top w:val="single" w:color="auto" w:sz="4" w:space="0"/>
              <w:bottom w:val="single" w:color="auto" w:sz="4" w:space="0"/>
              <w:right w:val="single" w:color="auto" w:sz="4" w:space="0"/>
            </w:tcBorders>
            <w:shd w:val="clear" w:color="auto" w:fill="D8D8D8" w:themeFill="background1" w:themeFillShade="D9"/>
            <w:vAlign w:val="center"/>
          </w:tcPr>
          <w:p>
            <w:pPr>
              <w:widowControl/>
              <w:jc w:val="center"/>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sz w:val="24"/>
                <w:szCs w:val="24"/>
                <w:highlight w:val="none"/>
              </w:rPr>
              <w:t>所属行业</w:t>
            </w:r>
          </w:p>
        </w:tc>
      </w:tr>
      <w:tr>
        <w:tblPrEx>
          <w:tblCellMar>
            <w:top w:w="0" w:type="dxa"/>
            <w:left w:w="108" w:type="dxa"/>
            <w:bottom w:w="0" w:type="dxa"/>
            <w:right w:w="108" w:type="dxa"/>
          </w:tblCellMar>
        </w:tblPrEx>
        <w:trPr>
          <w:trHeight w:val="20" w:hRule="atLeast"/>
        </w:trPr>
        <w:tc>
          <w:tcPr>
            <w:tcW w:w="1135" w:type="dxa"/>
            <w:vMerge w:val="restart"/>
            <w:tcBorders>
              <w:top w:val="nil"/>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一、教学多媒体</w:t>
            </w:r>
          </w:p>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w:t>
            </w:r>
          </w:p>
        </w:tc>
        <w:tc>
          <w:tcPr>
            <w:tcW w:w="231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★交互智能一体机</w:t>
            </w:r>
          </w:p>
        </w:tc>
        <w:tc>
          <w:tcPr>
            <w:tcW w:w="70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40</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推拉黑板</w:t>
            </w:r>
          </w:p>
        </w:tc>
        <w:tc>
          <w:tcPr>
            <w:tcW w:w="709" w:type="dxa"/>
            <w:tcBorders>
              <w:top w:val="nil"/>
              <w:left w:val="nil"/>
              <w:bottom w:val="single" w:color="auto" w:sz="4" w:space="0"/>
              <w:right w:val="single" w:color="auto" w:sz="4" w:space="0"/>
            </w:tcBorders>
            <w:noWrap/>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40</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restart"/>
            <w:tcBorders>
              <w:top w:val="nil"/>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二、信创计算机房</w:t>
            </w:r>
          </w:p>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kern w:val="0"/>
                <w:sz w:val="24"/>
                <w:szCs w:val="24"/>
                <w:highlight w:val="none"/>
              </w:rPr>
              <w:t>信创台式计算机</w:t>
            </w:r>
          </w:p>
        </w:tc>
        <w:tc>
          <w:tcPr>
            <w:tcW w:w="709" w:type="dxa"/>
            <w:tcBorders>
              <w:top w:val="nil"/>
              <w:left w:val="nil"/>
              <w:bottom w:val="nil"/>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164</w:t>
            </w:r>
          </w:p>
        </w:tc>
        <w:tc>
          <w:tcPr>
            <w:tcW w:w="732" w:type="dxa"/>
            <w:tcBorders>
              <w:top w:val="nil"/>
              <w:left w:val="nil"/>
              <w:bottom w:val="nil"/>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套</w:t>
            </w:r>
          </w:p>
        </w:tc>
        <w:tc>
          <w:tcPr>
            <w:tcW w:w="1480" w:type="dxa"/>
            <w:tcBorders>
              <w:top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硬件三年质保</w:t>
            </w:r>
          </w:p>
        </w:tc>
        <w:tc>
          <w:tcPr>
            <w:tcW w:w="1387" w:type="dxa"/>
            <w:tcBorders>
              <w:top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流式软件</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164</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三年免费更新</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软件和信息技术服务业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教育应用</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4</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三年免费更新</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软件和信息技术服务业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6</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教师桌</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sz w:val="24"/>
                <w:szCs w:val="24"/>
                <w:highlight w:val="none"/>
              </w:rPr>
              <w:t>4</w:t>
            </w:r>
            <w:r>
              <w:rPr>
                <w:rFonts w:hint="eastAsia" w:ascii="仿宋_GB2312" w:hAnsi="仿宋_GB2312" w:eastAsia="仿宋_GB2312" w:cs="仿宋_GB2312"/>
                <w:color w:val="000000"/>
                <w:kern w:val="0"/>
                <w:sz w:val="24"/>
                <w:szCs w:val="24"/>
                <w:highlight w:val="none"/>
              </w:rPr>
              <w:t xml:space="preserve"> </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张</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7</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学生桌（</w:t>
            </w:r>
            <w:r>
              <w:rPr>
                <w:rFonts w:hint="eastAsia" w:ascii="仿宋_GB2312" w:hAnsi="仿宋_GB2312" w:eastAsia="仿宋_GB2312" w:cs="仿宋_GB2312"/>
                <w:color w:val="000000"/>
                <w:sz w:val="24"/>
                <w:szCs w:val="24"/>
                <w:highlight w:val="none"/>
              </w:rPr>
              <w:t>双人桌</w:t>
            </w:r>
            <w:r>
              <w:rPr>
                <w:rFonts w:hint="eastAsia" w:ascii="仿宋_GB2312" w:hAnsi="仿宋_GB2312" w:eastAsia="仿宋_GB2312" w:cs="仿宋_GB2312"/>
                <w:kern w:val="0"/>
                <w:sz w:val="24"/>
                <w:szCs w:val="24"/>
                <w:highlight w:val="none"/>
              </w:rPr>
              <w:t>含方凳）</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sz w:val="24"/>
                <w:szCs w:val="24"/>
                <w:highlight w:val="none"/>
              </w:rPr>
              <w:t>80</w:t>
            </w:r>
            <w:r>
              <w:rPr>
                <w:rFonts w:hint="eastAsia" w:ascii="仿宋_GB2312" w:hAnsi="仿宋_GB2312" w:eastAsia="仿宋_GB2312" w:cs="仿宋_GB2312"/>
                <w:color w:val="000000"/>
                <w:kern w:val="0"/>
                <w:sz w:val="24"/>
                <w:szCs w:val="24"/>
                <w:highlight w:val="none"/>
              </w:rPr>
              <w:t xml:space="preserve"> </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8</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音频系统</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4</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9</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交换机</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4</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台</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10</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综合布线、安装调试</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项</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三年免费维护</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软件和信息技术服务业</w:t>
            </w:r>
          </w:p>
        </w:tc>
      </w:tr>
      <w:tr>
        <w:tblPrEx>
          <w:tblCellMar>
            <w:top w:w="0" w:type="dxa"/>
            <w:left w:w="108" w:type="dxa"/>
            <w:bottom w:w="0" w:type="dxa"/>
            <w:right w:w="108" w:type="dxa"/>
          </w:tblCellMar>
        </w:tblPrEx>
        <w:trPr>
          <w:trHeight w:val="501" w:hRule="atLeast"/>
        </w:trPr>
        <w:tc>
          <w:tcPr>
            <w:tcW w:w="1135" w:type="dxa"/>
            <w:vMerge w:val="restart"/>
            <w:tcBorders>
              <w:top w:val="single" w:color="auto" w:sz="4" w:space="0"/>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三、会计事务专业机房计算机</w:t>
            </w: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11</w:t>
            </w:r>
          </w:p>
        </w:tc>
        <w:tc>
          <w:tcPr>
            <w:tcW w:w="231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kern w:val="0"/>
                <w:sz w:val="24"/>
                <w:szCs w:val="24"/>
                <w:highlight w:val="none"/>
              </w:rPr>
              <w:t>台式计算机</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48</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463"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12</w:t>
            </w:r>
          </w:p>
        </w:tc>
        <w:tc>
          <w:tcPr>
            <w:tcW w:w="231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学生桌(六边型含椅子)</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8</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张</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525"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13</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教师讲台</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张</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703" w:hRule="atLeast"/>
        </w:trPr>
        <w:tc>
          <w:tcPr>
            <w:tcW w:w="1135" w:type="dxa"/>
            <w:vMerge w:val="continue"/>
            <w:tcBorders>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14</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学生桌</w:t>
            </w:r>
            <w:r>
              <w:rPr>
                <w:rFonts w:hint="eastAsia" w:ascii="仿宋_GB2312" w:hAnsi="仿宋_GB2312" w:eastAsia="仿宋_GB2312" w:cs="仿宋_GB2312"/>
                <w:kern w:val="0"/>
                <w:sz w:val="24"/>
                <w:szCs w:val="24"/>
                <w:highlight w:val="none"/>
              </w:rPr>
              <w:t>（</w:t>
            </w:r>
            <w:r>
              <w:rPr>
                <w:rFonts w:hint="eastAsia" w:ascii="仿宋_GB2312" w:hAnsi="仿宋_GB2312" w:eastAsia="仿宋_GB2312" w:cs="仿宋_GB2312"/>
                <w:color w:val="000000"/>
                <w:sz w:val="24"/>
                <w:szCs w:val="24"/>
                <w:highlight w:val="none"/>
              </w:rPr>
              <w:t>双人桌</w:t>
            </w:r>
            <w:r>
              <w:rPr>
                <w:rFonts w:hint="eastAsia" w:ascii="仿宋_GB2312" w:hAnsi="仿宋_GB2312" w:eastAsia="仿宋_GB2312" w:cs="仿宋_GB2312"/>
                <w:kern w:val="0"/>
                <w:sz w:val="24"/>
                <w:szCs w:val="24"/>
                <w:highlight w:val="none"/>
              </w:rPr>
              <w:t>含方凳）</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24</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四、建筑实训机房</w:t>
            </w:r>
          </w:p>
        </w:tc>
        <w:tc>
          <w:tcPr>
            <w:tcW w:w="85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15</w:t>
            </w:r>
          </w:p>
        </w:tc>
        <w:tc>
          <w:tcPr>
            <w:tcW w:w="231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比赛用图形工作站</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12</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16</w:t>
            </w:r>
          </w:p>
        </w:tc>
        <w:tc>
          <w:tcPr>
            <w:tcW w:w="231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建筑专业图形工作站</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82</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17</w:t>
            </w:r>
          </w:p>
        </w:tc>
        <w:tc>
          <w:tcPr>
            <w:tcW w:w="231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图形工作站显示器</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82</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台</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416" w:hRule="atLeast"/>
        </w:trPr>
        <w:tc>
          <w:tcPr>
            <w:tcW w:w="1135" w:type="dxa"/>
            <w:vMerge w:val="continue"/>
            <w:tcBorders>
              <w:top w:val="single" w:color="auto" w:sz="4" w:space="0"/>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18</w:t>
            </w:r>
          </w:p>
        </w:tc>
        <w:tc>
          <w:tcPr>
            <w:tcW w:w="231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学生电脑桌凳</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50</w:t>
            </w:r>
          </w:p>
        </w:tc>
        <w:tc>
          <w:tcPr>
            <w:tcW w:w="732"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408"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19</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教师电脑桌椅</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20</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万兆接入交换机</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台</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21</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千兆接入交换机</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台</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22</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教学管理软件</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软件和信息技术服务业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23</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同传还原软件</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sz w:val="24"/>
                <w:szCs w:val="24"/>
                <w:highlight w:val="none"/>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软件和信息技术服务业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24</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智能互动终端</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工业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25</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rPr>
              <w:t>智能互动软件</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套</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软件和信息技术服务业</w:t>
            </w:r>
          </w:p>
        </w:tc>
      </w:tr>
      <w:tr>
        <w:tblPrEx>
          <w:tblCellMar>
            <w:top w:w="0" w:type="dxa"/>
            <w:left w:w="108" w:type="dxa"/>
            <w:bottom w:w="0" w:type="dxa"/>
            <w:right w:w="108" w:type="dxa"/>
          </w:tblCellMar>
        </w:tblPrEx>
        <w:trPr>
          <w:trHeight w:val="20" w:hRule="atLeast"/>
        </w:trPr>
        <w:tc>
          <w:tcPr>
            <w:tcW w:w="1135" w:type="dxa"/>
            <w:vMerge w:val="continue"/>
            <w:tcBorders>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p>
        </w:tc>
        <w:tc>
          <w:tcPr>
            <w:tcW w:w="85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26</w:t>
            </w:r>
          </w:p>
        </w:tc>
        <w:tc>
          <w:tcPr>
            <w:tcW w:w="23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综合布线、安装调试</w:t>
            </w:r>
          </w:p>
        </w:tc>
        <w:tc>
          <w:tcPr>
            <w:tcW w:w="70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3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highlight w:val="none"/>
                <w:lang w:bidi="ar"/>
              </w:rPr>
              <w:t>项</w:t>
            </w:r>
          </w:p>
        </w:tc>
        <w:tc>
          <w:tcPr>
            <w:tcW w:w="1480"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三年</w:t>
            </w:r>
          </w:p>
        </w:tc>
        <w:tc>
          <w:tcPr>
            <w:tcW w:w="1387" w:type="dxa"/>
            <w:tcBorders>
              <w:top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软件和信息技术服务业</w:t>
            </w:r>
          </w:p>
        </w:tc>
      </w:tr>
    </w:tbl>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注：标记有“★”的本项目核心产品。</w:t>
      </w:r>
    </w:p>
    <w:p>
      <w:pPr>
        <w:pStyle w:val="6"/>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二、技术需求</w:t>
      </w:r>
    </w:p>
    <w:p>
      <w:pPr>
        <w:pStyle w:val="23"/>
        <w:spacing w:beforeAutospacing="0" w:afterAutospacing="0" w:line="276" w:lineRule="auto"/>
        <w:jc w:val="both"/>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备注：标有“▲”的技术参数为实质性响应要求，投标人要特别加以注意，必须对此响应并完全满足这些要求，否则将按无效投标处理，标有“△”的技术参数为重要技术要求，负偏离导致扣分。</w:t>
      </w:r>
    </w:p>
    <w:p>
      <w:pPr>
        <w:pStyle w:val="9"/>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2.1、教学多媒体</w:t>
      </w:r>
    </w:p>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2.1.1、★交互智能一体机</w:t>
      </w:r>
    </w:p>
    <w:tbl>
      <w:tblPr>
        <w:tblStyle w:val="27"/>
        <w:tblW w:w="9498"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58"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58"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★交互智能一体机</w:t>
            </w:r>
          </w:p>
        </w:tc>
        <w:tc>
          <w:tcPr>
            <w:tcW w:w="8075" w:type="dxa"/>
            <w:tcMar>
              <w:top w:w="15" w:type="dxa"/>
              <w:left w:w="15" w:type="dxa"/>
              <w:right w:w="15" w:type="dxa"/>
            </w:tcMar>
          </w:tcPr>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一、整体设计</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1、整机采用一体化设计，外部无任何可见内部功能模块连接线。整机采用全金属外壳设计，边角采用弧形设计，表面无尖锐边缘或凸起。</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2、整机屏幕边缘采用金属圆角包边防护，整机背板采用金属材质，有效屏蔽内部电路器件辐射；防潮耐盐雾蚀锈，适应多种教学环境。</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3、整机屏幕采用86英寸液晶显示器。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4、整机采用UHD超高清LED液晶屏，显示比例16:9，分辨率≥3840*2160。</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5、灰度等级≥256级。</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6、触控一体机表面使用钢化玻璃，表面硬度达到9H，接近钻石硬度，有效保护教师及学生授课安全。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7、整机采用硬件低蓝光背光技术，还原真实教学色彩的同时有效降低蓝光同时保护教师。</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△8，整机嵌入式芯片内置2TOPS AI算力，最高支持8K级视频解码及5路视频流输入。</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二、硬件设计</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1、整机设备内置2.2声道扬声器，前朝向顶置发声，最大总功率≥84W，具备≥2个12W高音扬声器，具备≥2个30W中低音扬声器。</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2、整机支持高级音效设置、左右声道平衡、可根据实际需要设置不同频段调节功能，以满足不同课程授课声音还原需求。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3、整机内置非独立外扩展的4阵列麦克风，可用于对教室环境音频进行采集，拾音距离≥12m。</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4、整机无需外接无线网卡，在Windows系统下可实现Wi-Fi无线上网连接、AP无线热点发射和BT蓝牙连接功能。</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5、Wi-Fi和AP热点工作距离≥12m。</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6、整机支持蓝牙Bluetooth 5.4标准，电脑端支持主动发现蓝牙外设从而连接（无需整机进入发现模式），支持连接外部蓝牙音箱播放音频。</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7、整机无需外接无线网卡，在Windows系统下接入无线网络，切换到嵌入式Android系统下可直接实现无线上网功能，不需手动重复设置。</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△8、整机支持标准、听力、观影和AI空间感知音效模式，AI空间感知音效模式可通过内置麦克风采集教室物理环境声音，自动生成符合当前教室物理环境的频段、音量、音效。</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9、同一电源物理按键完成开机、节能熄屏、关机操作。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10、整机具备前置按键，可实现老师开关机、调出中控菜单、音量+/-、护眼、录屏的操作。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11、支持护眼模式，可通过前置面板物理功能按键一键启用护眼模式。</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12、支持录课模式，可通过前置面板物理功能按键一键启用录课模式（屏幕及人声需同步采集）。</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13、侧置输入接口具备2路HDMI、1路RS232；侧置输出接口具备1路音频、1路触控USB；前置输入接口3路USB接口（包含1路Type-C、2路USB）。</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14、整机具备前置Type-C接口，通过Type-C接口可实现与外部电脑的触摸信号及音视频输入。</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△15、整机支持在无任何外部设备的情况下，实时录制用户朗读内容，识别用户声纹并进行统一身份登录，登陆后自动获取个人云端教学课件列表，打开教学白板软件时可跳过软件自带登录步骤。</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16、整机书写面板采用防眩光全钢化防爆玻璃面板，面板的碎片状态、抗冲击性、霰弹袋冲击性能、耐热冲击性能均通过国家强制玻璃标准，表面应力≥100Mpa,适应学校复杂环境，保障教学安全。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17、整机可做到高色准△E≤1.5，还原真实教学色彩。</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18、符合学校个性化需求，设备多个前置按键支持自定义设置，可设置启用批注、截屏、计时、降半屏、放大镜、倒数日、纸质护眼模式、课堂智能反馈等功能。</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19、整机内置中控菜单及侧边栏菜单，方便教师进行应用切换、信号源通道切换、教学工具调用、整机调节等操作。</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20</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整机支持sRGB模式，在sRGB模式下可做到高色准△E≤1.0。</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整机内置全视角背光增光膜，可对背光光源进行均光，白场画面下亮度均匀性≥85%；当在屏幕中心亮度≥350cd/㎡，整机水平方向法线≥60度视角下，实际屏幕的观看有效亮度可达到≥110cd/㎡。</w:t>
            </w: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三、主要功能</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1、部署单根网线可实现Android、Windows双系统有线网络连通。</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2、整机可通过前置物理按键快捷进行系统还原，无需额外工具辅助。</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3、支持降半屏功能，降半屏后依然可以正常触控操作Windows系统；可一键退出该模式。</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4、支持外接信号输入时自动唤醒功能，整机处于关机通电状态，外接电脑显示信号通过HDMI传输线连接至整机时，整机可智能识别外接电脑设备信号输入并自动开机。</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△5、整机听力模式下具备AI人声语言增强功能，支持三挡强弱调节，通过AI算法提取视频/音频中的语言进行效果增强，在不增加音量的情况下提升语言清晰度，扩声系统语言传输指数（STIPA）≥0.75。</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6、支持云端在线系统固件升级。</w:t>
            </w: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四、触摸系统</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1、采用红外触控方式，支持Windows系统中进行50点或以上触控，支持在Android系统中进行50点或以上触控。</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2、从内部Android通道切换到内部PC通道后，触摸框在1s内达到可触控状态。从内部PC通道切换到外部通道后，触摸框在3s内达到可触控状态。</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3、触摸屏在照度100K LUX（勒克斯）环境下仍能正常工作。</w:t>
            </w: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五、嵌入式系统</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1.嵌入式系统版本不低于Android 15，主频≥1.6GHz，内存≥2GB，存储空间≥32GB。</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无PC状态下，嵌入式Android操作系统下可使用白板书写、WPS软件和网页浏览。</w:t>
            </w: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六、内置云电脑模块</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1、采用模块化电脑方案，抽拉内置式，PC模块可完全插入整机，保护PC模块不易受教室灰尘影响，PC模块可抽拉式插入整机，可实现无单独接线的插拔。</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2、PC和整机的连接采用万兆级接口，传输速率≥10Gbps。 </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3、采用按压式卡扣，无需工具即可快速拆卸电脑模块。</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4、处理器：四核八线或以上，主频2.0或以上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5、内存：8G DDR4笔记本内存或以上配置。</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6、硬盘：256G或以上SSD </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7、具有独立非外扩展的视频输出接口：≥1路HDMI ，具有独立非外扩展的电脑USB接口：≥3路USB。</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△8、在配置管理平台使用终端设备时，支持统一互通的用户身份认证服务，账号登录进入云桌面镜像后，打开教学白板软件、学生行为评价软件的教学应用工具时无需再次输入账号密码重复登录</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△9.支持当使用桌面镜像功能时发生系统无法启动、系统异常等情况，可通过手势在屏幕上调取触摸中控菜单，进行系统恢复至出厂默认状态，无需连接网络、无需连接管理平台、无需额外工具辅助</w:t>
            </w:r>
            <w:r>
              <w:rPr>
                <w:rFonts w:hint="eastAsia" w:ascii="仿宋_GB2312" w:hAnsi="仿宋_GB2312" w:eastAsia="仿宋_GB2312" w:cs="仿宋_GB2312"/>
                <w:sz w:val="24"/>
                <w:szCs w:val="24"/>
                <w:highlight w:val="none"/>
                <w:lang w:eastAsia="zh-CN"/>
              </w:rPr>
              <w:t>（提供国家认可的具备CMA认证的检测机构所出具的检测报告）</w:t>
            </w:r>
            <w:r>
              <w:rPr>
                <w:rFonts w:hint="eastAsia" w:ascii="仿宋_GB2312" w:hAnsi="仿宋_GB2312" w:eastAsia="仿宋_GB2312" w:cs="仿宋_GB2312"/>
                <w:sz w:val="24"/>
                <w:szCs w:val="24"/>
                <w:highlight w:val="none"/>
              </w:rPr>
              <w:t>。</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10.支持交互大屏在系统恢复后，公共数据分区（如D盘等非系统分区）的数据能够得到保留，不受还原影响，从而不影响教学使用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11.支持诊断网络，支持检测与管理平台的通讯状态，支持TCP延迟、ICMP延迟、上传下载速度检测</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△12.支持终端设备运行时无需运行独立的虚拟化系统，终端设备配置的IP与进入云桌面镜像后的IP能够保持一致，同一个终端无需使用多个IP，简化运维管理与网络规划复杂度</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七、系统工具</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书写工具：</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1、书写：提供硬笔、毛笔、荧光笔、智能笔、激光笔、竹笔、对象笔、纹理笔。</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2、板擦：支持点擦除、区域擦除及全部擦除（清页操作）,并可支持在选择笔工具状态下直接通过手势识别动作实现擦除。</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3、多点支持：支持同时对两个或以上的图片、音视频、图形对象进行多点缩放与旋转功能，支持三点以上同时书写操作。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4、边写边擦：支持两到三个人在选择书写工具的状态下同时书写和擦除，互不影响，方便不同学生在屏幕上同时书写。</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5、文本输入：提供键盘输入文本，并可对文本内容统一编辑与排版。</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6、手写识别：支持手写中文与英文自动识别。</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7、手势操作：在书写状态下，支持多种手势的快捷操作，如选择对象、漫游、擦除等。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8、页面无限漫游：支持页面书写区域无限延伸，提供页面缩略图导航，可快速定位书写区域，同时也支持对整个页面或局部进行放大和缩小。</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9、多学科模式支持：提供语文、数学、英语、物理、化学教学场景，在各学科教学场景中提供相应的教学工具。</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10、教学小工具：提供遮幕、日历、时钟、聚光灯、屏幕截图、放大镜、计算器、屏幕录制、板中板、实物展台等教学展示的辅助功能；屏幕截图提供全屏截图、矩形截图、任意区域截图。</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11、Office集成：提供PPT、Word、Excel文档的嵌入打开，演示、批注，及批注保存功能。</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12、支持智能书写功能，书写文字自动识别为标准印刷体，支持图形识别功能，可将多种手绘图形转化为矩形、三角形、圆形等标准图形。</w:t>
            </w:r>
            <w:r>
              <w:rPr>
                <w:rFonts w:hint="eastAsia" w:ascii="仿宋_GB2312" w:hAnsi="仿宋_GB2312" w:eastAsia="仿宋_GB2312" w:cs="仿宋_GB2312"/>
                <w:sz w:val="24"/>
                <w:szCs w:val="24"/>
                <w:highlight w:val="none"/>
                <w:lang w:eastAsia="zh-CN"/>
              </w:rPr>
              <w:t>（提供国家认可的具备CMA认证的检测机构所出具的检测报告）</w:t>
            </w:r>
            <w:r>
              <w:rPr>
                <w:rFonts w:hint="eastAsia" w:ascii="仿宋_GB2312" w:hAnsi="仿宋_GB2312" w:eastAsia="仿宋_GB2312" w:cs="仿宋_GB2312"/>
                <w:sz w:val="24"/>
                <w:szCs w:val="24"/>
                <w:highlight w:val="none"/>
              </w:rPr>
              <w:t>。</w:t>
            </w:r>
          </w:p>
          <w:p>
            <w:pPr>
              <w:rPr>
                <w:rFonts w:hint="eastAsia" w:ascii="仿宋_GB2312" w:hAnsi="仿宋_GB2312" w:eastAsia="仿宋_GB2312" w:cs="仿宋_GB2312"/>
                <w:highlight w:val="none"/>
                <w:lang w:eastAsia="zh-CN" w:bidi="ar-SA"/>
              </w:rPr>
            </w:pP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八、接入教学多媒体设备大数据中心集控平台</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一、市级可视化平台运维系统功能需求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1、底层架构设计</w:t>
            </w:r>
          </w:p>
          <w:p>
            <w:pPr>
              <w:ind w:firstLine="0"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a.混合云架构：管理平台采用B/S混合云架构设计，无需本地额外部署服务器等设备，即可支持对教学信息化设备运行数据的监测。</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b. 支持在Windows、Linux、Android、IOS等多种操作系统通过网页浏览器登录操作。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c.多方式登录：提供多种智能身份识别方式：支持通过账号登录、手机扫码登录等方式。</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2、基础管理</w:t>
            </w:r>
          </w:p>
          <w:p>
            <w:pPr>
              <w:ind w:firstLine="0"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a.自定义分组：支持进行学校行政区域分组，可自定义管理学校所在行政区域分组如乡镇等，行政区域分组支持自定义创建编辑。</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b.学校信息维护：支持维护下辖学校信息，可进行增删学校，重命名学校名称等操作。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c.权限管理：支持管理权限分层授权，被授权的管理员账号可自定义编辑省市区行政区域名称。</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3、设备使用监管</w:t>
            </w:r>
          </w:p>
          <w:p>
            <w:pPr>
              <w:ind w:firstLine="0"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a.数据总览：实时展现行政区域内（如省/市/区县）多媒体设备总量、分布情况、在线使用总量等信息，并统计显示区域下辖学校的设备使用率和使用率环比变动。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b.可视化呈现：支持以行政区域地图形式可视化展示信息化设备相关数据，以气泡图形式展示学校概略数据，数据地图可自由缩放，实现市/区/县数据的快速切换。</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c.区域设备分析：统计展示区域下辖学校各品牌设备数量及设备实时使用率。</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d.使用率分析：统计展示区域内下辖学校的设备数量、设备使用率、使用率环比变化趋势，支持按学校所属学段细分展示信息化设备总量、设备占比及设备使用率。</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e.教学应用分析：支持展示区域下辖学校全部软件及主要教学应用软件近7天/近30天累计使用时长及使用时长排行，可自定义对区域下辖学校多个教学应用软件近7天/近30天平均使用时长进行对比分析。</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f.异常通告：支持区域下辖学校所有设备使用异常的汇总通告，可查看下辖学校当日/昨日/近7天/近30天异常发生的次数。异常通告类型包括设备使用时间过长（超过8个小时未关机）、使用时段异常（夜间0-6点未关机）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g.设备巡检：支持查看下辖区域任意设备的实时运行画面，设备近7日/30日使用率、昨日使用时长和次数、软件使用情况、设备异常项等数据。支持对下辖区域任意设备进行远程关机、远程锁屏、远程控制设备等操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4、教学数据监管</w:t>
            </w:r>
          </w:p>
          <w:p>
            <w:pPr>
              <w:ind w:firstLine="0" w:firstLineChars="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a.教研指数：实时显示本月教研指数，真实反映教学信息化投入的应用成效，主要涉及教师在信息化工具的使用下，对教学工作产生的效率影响。</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实时显示近8周的教研指数变化趋势，为学校教学决策科学化提供数据支持。</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支持查看辖区内所有学校的实时排名，便于了解各校使用情况。</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b.备课授课分析：支持查看白板软件的教师使用数、教案制作数、课件制作数。</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支持查看近8周教师用白板软件制作课件的数量趋势图。</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c.班级氛围分析支持查看学生行为评价软件的教师使用数、点评次数、家长入班率。支持查看近8周教师通过学生行为评价软件点评学生的情况趋势图。</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b/>
            </w:r>
            <w:r>
              <w:rPr>
                <w:rFonts w:hint="eastAsia" w:ascii="仿宋_GB2312" w:hAnsi="仿宋_GB2312" w:eastAsia="仿宋_GB2312" w:cs="仿宋_GB2312"/>
                <w:sz w:val="24"/>
                <w:szCs w:val="24"/>
                <w:highlight w:val="none"/>
              </w:rPr>
              <w:t>d.听课评课分析支持查看所有学校开展的公开课次数、听课次数。</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支持查看本月各学校的公开课开展和听课情况，并支持排序。</w:t>
            </w:r>
          </w:p>
          <w:p>
            <w:pPr>
              <w:rPr>
                <w:rFonts w:hint="eastAsia" w:ascii="仿宋_GB2312" w:hAnsi="仿宋_GB2312" w:eastAsia="仿宋_GB2312" w:cs="仿宋_GB2312"/>
                <w:highlight w:val="none"/>
                <w:lang w:eastAsia="zh-CN" w:bidi="ar-SA"/>
              </w:rPr>
            </w:pP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二、构建校园可视化平台运维系统，实现教学多媒体等设备统一管理</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搭建设备管理平台，准确统计教育装备的建设情况、设备器材的配备数量、智能分析教学中多媒体室的应用数据。对于教学设备的小问题远程即可解决，可使教学设备得到充分的利用、及时的维修，延长使用寿命，系统采用B/S混合云架构设计，无需本地额外部署服务器等设备，即可支持对教学信息化设备运行数据的监测。</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2、系统兼容性：支持在Windows、Linux、Android、IOS等多种操作系统通过网页浏览器登录操作。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3、多方式登录：提供多种身份识别方式，支持通过账号登录、手机扫码登录等。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4、集中运维管理：系统支持对全校智慧教室的教学信息化设备进行集中运维管理和策略部署。</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5、泛在物联管理：系统支持多类型设备接入，与交互智能教学设备、交互电子白板一体机等教学设备对接。</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设备接入：采用一校一码的认证机制，系统自动生成学校专属识别代码，支持设备输入专属代码及设备放置位置信息，即可接入管理平台进行远程管理与控制。并行管理：支持并行管理多台终端，可实时展示不少于10台设备的使用状态以及设备运行画面。</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设备管理：支持远程监测设备的开关机状态、开关机时间段分布图、开机次数、开机使用时长、软件使用数、硬盘空间、硬盘使用状况、内存容量、内存使用率、设备辅助管理软件版本、设备ID、机型、MCU版本等设备数据。</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8、分组管理：提供多种分组方式，可根据设备关联信息自动分组、根据用户自定义二级分组类别快速分组、根据设备开关机状态分组。</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9、精准管理：支持文字检索设备名称，可快速定位对应设备进行定向精准管理。</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10、关联信息变更：支持通过后台快速变更设备场地信息、班级信息、设备名称。</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11、权限管理：支持多层级权限管理，可将多类型的设备管理权限分配给多个管理员共同管理；高级管理员可添加普通管理员并修改普通管理员的权限，权限支持按页面功能模块管理、按设备分组管理。</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12、关机：可远程控制设备关机和重启；可批量设定智能设备关机的执行时间，并支持自定义预约定时日循环执行。</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打铃：支持对设备进行打铃，提供即时打铃、定时打铃和循环打铃模式，用户可向铃声库上传自定义铃声，添加铃声时，可试听并设置打铃时长（时长可设置为10s、20s、30s、60s和120s）。打铃时在受控端提醒，响铃5s后可主动关闭打铃，避免影响正常教学。</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14、消息通知：具备动态文字滚动公告远程推送功能，支持对文字颜色、粗细及播放次数、推送时间进行设置。</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15、文件传输：支持批量对设备进行文件远程传输，兼容超大文件（&gt;50M）上载传输。（需部署校园服务器）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16、软件安装：支持批量对设备进行软件远程部署，专用教学软件（交互式备授课软件、学生行为管理系统）批量支持静默部署。</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17、倒计时：支持自定义设定倒计日，用于重大教学安排的提醒，可定向远程开启/关闭指定设备的倒计日功能。</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18、通道切换：支持批量对指定设备的DTV、ATV通道进行频道切换。</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19、图像切换：支持批量切换指定设备的图像模式：标准、明亮、柔和、绚丽。</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20、声音切换：支持批量切换指定设备的声音模式：标准、会议、教室、影院。</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21、远程控制桌面：支持远程实时控制设备，可监测设备当前运行界面，并远程操作设备界面，适用于远程维护和修复设备软件问题。</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22、教室画面查看：支持实时远程查看学校任意设备的教室画面、设备画面。</w:t>
            </w:r>
          </w:p>
          <w:p>
            <w:pPr>
              <w:ind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highlight w:val="none"/>
                <w:lang w:eastAsia="zh-CN"/>
              </w:rPr>
              <w:t>23、</w:t>
            </w:r>
            <w:r>
              <w:rPr>
                <w:rFonts w:hint="eastAsia" w:ascii="仿宋_GB2312" w:hAnsi="仿宋_GB2312" w:eastAsia="仿宋_GB2312" w:cs="仿宋_GB2312"/>
                <w:color w:val="EE0000"/>
                <w:highlight w:val="none"/>
                <w:lang w:eastAsia="zh-CN"/>
              </w:rPr>
              <w:t>要求把学校原有的交互智能一体机（数量以实际为准）也一并加入校级平台中，实现统一管理</w:t>
            </w:r>
            <w:r>
              <w:rPr>
                <w:rFonts w:hint="eastAsia" w:ascii="仿宋_GB2312" w:hAnsi="仿宋_GB2312" w:eastAsia="仿宋_GB2312" w:cs="仿宋_GB2312"/>
                <w:highlight w:val="none"/>
                <w:lang w:eastAsia="zh-CN"/>
              </w:rPr>
              <w:t>，如对原有设备信息有要求，可以自行联系学校进行地勘，投标人提供承诺函并加盖公章。</w:t>
            </w:r>
          </w:p>
          <w:p>
            <w:pPr>
              <w:rPr>
                <w:rFonts w:hint="eastAsia" w:ascii="仿宋_GB2312" w:hAnsi="仿宋_GB2312" w:eastAsia="仿宋_GB2312" w:cs="仿宋_GB2312"/>
                <w:highlight w:val="none"/>
                <w:lang w:bidi="en-US"/>
              </w:rPr>
            </w:pP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九、运维服务</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1、至少提供三年校级平台运维服务，提供巡课、设备运行情况监测。</w:t>
            </w:r>
          </w:p>
          <w:p>
            <w:pPr>
              <w:rPr>
                <w:rFonts w:hint="eastAsia" w:ascii="仿宋_GB2312" w:hAnsi="仿宋_GB2312" w:eastAsia="仿宋_GB2312" w:cs="仿宋_GB2312"/>
                <w:highlight w:val="none"/>
                <w:lang w:eastAsia="zh-CN"/>
              </w:rPr>
            </w:pPr>
            <w:r>
              <w:rPr>
                <w:rFonts w:hint="eastAsia" w:ascii="仿宋_GB2312" w:hAnsi="仿宋_GB2312" w:eastAsia="仿宋_GB2312" w:cs="仿宋_GB2312"/>
                <w:sz w:val="24"/>
                <w:szCs w:val="24"/>
                <w:highlight w:val="none"/>
              </w:rPr>
              <w:t>2、提供每年二次设备巡检服务。</w:t>
            </w:r>
          </w:p>
        </w:tc>
      </w:tr>
    </w:tbl>
    <w:p>
      <w:pPr>
        <w:rPr>
          <w:rFonts w:hint="eastAsia" w:ascii="仿宋_GB2312" w:hAnsi="仿宋_GB2312" w:eastAsia="仿宋_GB2312" w:cs="仿宋_GB2312"/>
          <w:highlight w:val="none"/>
        </w:rPr>
      </w:pPr>
    </w:p>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2.1.2、推拉黑板</w:t>
      </w:r>
    </w:p>
    <w:tbl>
      <w:tblPr>
        <w:tblStyle w:val="27"/>
        <w:tblW w:w="9498"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4" w:hRule="atLeast"/>
        </w:trPr>
        <w:tc>
          <w:tcPr>
            <w:tcW w:w="658"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58"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推拉黑板</w:t>
            </w:r>
          </w:p>
        </w:tc>
        <w:tc>
          <w:tcPr>
            <w:tcW w:w="8075" w:type="dxa"/>
            <w:tcMar>
              <w:top w:w="15" w:type="dxa"/>
              <w:left w:w="15" w:type="dxa"/>
              <w:right w:w="15" w:type="dxa"/>
            </w:tcMa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1.结构：双层结构，内层为两块固定书写板左右各一块，中间预留放置电子产品空间，外层为两块滑动书写板，开闭自如确保一体机的安全管理，支持电子产品居中放置。</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2.尺寸：长度≥4000mm，高度可根据所配电子产品适当调整，确保与电子产品的有效配套。当搭配电子产品正面为标准长方形无凸起时，安装完毕后教学书写板正面、侧面均不可露墙。</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3.内板：正面左右两侧无边框设计，上下边框正面高度不超15mm，最大限度的增大书写面。</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板面：采用金属烤漆书写板面，亚光、墨绿色，光泽度≤12光泽单位，没有因教学书写板本身原因产生的眩光，书写流畅字迹清晰、色彩协调可视效果佳，有效的缓解学生视觉疲劳；可吸附磁钉、磁片，便于教学。为确保师生健康，板面应无铅镉汞等重金属物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5.背板：采用优质镀锌钢板，机械化流水线一次成型。</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6.衬板：选用高强度、吸音、防潮、阻燃聚苯乙烯板,厚度≥14mm。</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7.覆板：采用自动化流水线覆板作业，避免人工作业刷胶不均导致粘贴不牢、起鼓等现象，并提供证明文件。甲醛释放量≤0.2mg/L，符合GB 28231-2011《书写板安全卫生要求》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边框：采用高强度香槟色电泳铝合金型材，横框规格≥57mm×78mm，立框规格≥29mm×100mm。轨道上置隐藏式滑动系统，杜绝灰尘及杂物进入，结构性解决滑动受灰尘影响的问题。边框应具有良好的耐磨性及耐腐蚀性，耐腐蚀性CASS 72H不得低于10级，耐磨性（落沙试验）应不低于3900g，并提供检测报告。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粉尘槽：应配有宽度≥30mm的粉尘槽，粉尘槽应与滑动系统分离，不影响滑动板滑动。可放置书写笔、教鞭等教具，也可用于灰尘集中处理；粉尘槽采用U型结构以便于承载粉笔末等，应避免使用L型等开放式结构。粉尘槽应与边框一体式设计，以增加强度。</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10.限位档：横框内部两侧安装限位档，避免滑动板推拉过程中撞击立框及夹手，禁止安装于立框。</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滑轮：双组高精度轴承上吊轮，下平滑动系统，上下均匀安装，上部滑轮应采用包胶轮以减少噪音，下部设有滑块，滑块应做前后方向弹性设计以降低教学书写板书写颤动。为确保产品耐久性，滑轮使用寿命应不低于10万次，并提供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12.集灰盒：教学书写板带有集灰盒，便于将粉尘槽内粉尘清理至集灰盒中。集灰盒应可抽拉，便于粉尘倾倒。</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包角：采用抗老化高强度ABS工程塑料注塑成型，采用双壁成腔流线型设计，教学书写板品牌标识与包角一次模具成型，无尖角毛刺。当搭配电子产品为液晶屏时，包角应做可部分掰除设计，以更好的适配液晶屏厚度</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14.安全性：滑动板配装锁具，当不使用电子产品时，应可对教学书写板进行锁闭，避免课间学生误操作并保护设备。一把锁实现对滑动教学书写板的锁定，钥匙通用，方便实用</w:t>
            </w:r>
          </w:p>
        </w:tc>
      </w:tr>
    </w:tbl>
    <w:p>
      <w:pPr>
        <w:rPr>
          <w:rFonts w:hint="eastAsia" w:ascii="仿宋_GB2312" w:hAnsi="仿宋_GB2312" w:eastAsia="仿宋_GB2312" w:cs="仿宋_GB2312"/>
          <w:highlight w:val="none"/>
        </w:rPr>
      </w:pPr>
    </w:p>
    <w:p>
      <w:pPr>
        <w:pStyle w:val="9"/>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2.2、信创计算机房</w:t>
      </w:r>
    </w:p>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2.2.1、★信创台式计算机</w:t>
      </w:r>
    </w:p>
    <w:tbl>
      <w:tblPr>
        <w:tblStyle w:val="27"/>
        <w:tblW w:w="949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1281"/>
        <w:gridCol w:w="1907"/>
        <w:gridCol w:w="4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sz w:val="24"/>
                <w:szCs w:val="24"/>
                <w:highlight w:val="none"/>
              </w:rPr>
              <w:t>序号</w:t>
            </w:r>
          </w:p>
        </w:tc>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指标编号</w:t>
            </w:r>
          </w:p>
        </w:tc>
        <w:tc>
          <w:tcPr>
            <w:tcW w:w="1281" w:type="dxa"/>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一级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1907"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二级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4892"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具体指标及要求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09" w:type="dxa"/>
            <w:vMerge w:val="restart"/>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CPU规格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CPU信息</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配置1颗国产处理器，单颗CPU物理核心数≥8核、主频≥3.0GHz、末级缓存容量≥16MB、线程数≥16、热设计功耗≤90W、支持内存的最高速率≥3200MT/s、双通道、位宽≥64bit*2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内存配置容量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内存类型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支持DDR4/LPDDR4/LPDDR4X 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trike/>
                <w:color w:val="EE0000"/>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内存条配置数量（板载内存不涉及）</w:t>
            </w:r>
          </w:p>
        </w:tc>
        <w:tc>
          <w:tcPr>
            <w:tcW w:w="4892" w:type="dxa"/>
            <w:vAlign w:val="center"/>
          </w:tcPr>
          <w:p>
            <w:pPr>
              <w:rPr>
                <w:rFonts w:hint="eastAsia" w:ascii="仿宋_GB2312" w:hAnsi="仿宋_GB2312" w:eastAsia="仿宋_GB2312" w:cs="仿宋_GB2312"/>
                <w:strike/>
                <w:color w:val="EE0000"/>
                <w:sz w:val="24"/>
                <w:szCs w:val="24"/>
                <w:highlight w:val="none"/>
              </w:rPr>
            </w:pP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主板规格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主板集成模块</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集成资源扩展模块、计算处理模块、音频扩展模块等，主板的互联拓扑可通过处理器或交换电路实现。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主板支持的CPU和内存情况</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支持CPU：与海光3350性能参数相当或优于的国产处理器；</w:t>
            </w:r>
          </w:p>
          <w:p>
            <w:pPr>
              <w:pStyle w:val="26"/>
              <w:ind w:firstLine="0" w:firstLineChars="0"/>
              <w:rPr>
                <w:rFonts w:hint="eastAsia" w:ascii="仿宋_GB2312" w:hAnsi="仿宋_GB2312" w:eastAsia="仿宋_GB2312" w:cs="仿宋_GB2312"/>
                <w:highlight w:val="none"/>
                <w:lang w:eastAsia="zh-CN" w:bidi="ar-SA"/>
              </w:rPr>
            </w:pPr>
            <w:r>
              <w:rPr>
                <w:rFonts w:hint="eastAsia" w:ascii="仿宋_GB2312" w:hAnsi="仿宋_GB2312" w:eastAsia="仿宋_GB2312" w:cs="仿宋_GB2312"/>
                <w:kern w:val="2"/>
                <w:highlight w:val="none"/>
                <w:lang w:eastAsia="zh-CN" w:bidi="ar-SA"/>
              </w:rPr>
              <w:t>支持内存：16G DDR4及以上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主板其他内置接口</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SATA3.0接口≥3、M.2接口≥1、USB 接口≥4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单内存插槽最大可支持容量（板载内存不涉及）</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内存插槽满配时提供的最高内存总容量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存储设备规格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固态盘数量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固态存储容量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机械硬盘数量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≥0个，支持扩展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固态存储形态</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选用符合M.2 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存储设备其他参数要求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固态盘应符合SJ/T 11654相关规定；其它参数应符合GB/T 12628相关规定。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显卡规格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显卡类型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独立显卡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独立显卡显存类型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DDR4或优于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独立显卡显存位宽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独立显卡显存容量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显示屏屏占比</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显示屏分辨率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显示屏尺寸</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≥23.8 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显示屏屏幕比例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显示器外观颜色</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显示屏防蓝光</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支持防蓝光模式，蓝光加权辐射亮度比应≤0.012W/(˙cd˙sr)(瓦每坎特拉每球面度）。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显示屏低频闪</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显示屏防炫目</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外设规格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鼠标数量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键盘按键数目</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键盘连接方式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键盘键程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2.3mm ~ 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键盘按键压力</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按键压力应在 0.54 N±0.14N。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有线键盘连接线</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键盘颜色</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鼠标连接方式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有线鼠标连接线</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鼠标 DPI分辨率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鼠标颜色</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鼠标其他要求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其它参数应符合GB/T 26245的相关规定。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40</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网络设备规格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有线网卡数量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外部接口规格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USB 接口数量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机箱前面板应提供不少于4个USB3.0及以上接口。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视频接口数量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音频接口数量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整机基础规格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整机外观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a)产品表面不应有凹痕、划伤、裂缝、变形和污染等。表面涂层均匀，不应起泡、龟裂、脱落和磨损，金属零部件无锈蚀及其它机械损伤；b)产品表面说明功能的文字、符号、标志，应清晰、端正、牢固。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状态指示灯</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整机结构</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i)各主要部件拆装步骤要少，各自拆装需避免相互干扰；m)对于整机或零部件外表面为高亮面的，应粘贴保护膜，保护膜需粘贴牢固，运输、组装等过程不易脱落，撕下无残留；n)其它要求应符合GB/T 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机箱防护要求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机箱应符合GB/T 4208 中IP20 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整机噪音</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产品工作在空闲状态下，产品的声功率级应不超过4.5Bel。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整机散热</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在环境温度25℃及处理器满载情况下，产品表面温度应符合如下要求：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出风口在机箱后面板情况下，出风口温度不高于55℃；b) 可触及面温度不高于45℃；c) 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整机能效限定值</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产品能效限定值应达到 GB 28380-2012标准中能效等级 2 级及以上（能效值越低消耗电能越少（1 级低于2 级，2 级低于3级））。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机身材质</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机身颜色</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机箱尺寸容量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13L≤机箱体积≤26L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CPU性能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CPU物理核数</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CPU主频</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CPU末级缓存容量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CPU支持的内存最高速率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58</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内存读写速率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≥2666MT/s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59</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显卡性能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显示分辨率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显卡显示芯片核心频率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显存等效频率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显卡可支持多屏同时显示数量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显卡应支持2块屏幕同时显示，分辨率应不低于1920×1080。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显示屏刷新率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显示屏位深</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显示屏色域</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 sRGB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显示屏色准</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显示屏响应时间</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8</w:t>
            </w:r>
            <w:r>
              <w:rPr>
                <w:rFonts w:hint="eastAsia" w:ascii="仿宋_GB2312" w:hAnsi="仿宋_GB2312" w:eastAsia="仿宋_GB2312" w:cs="仿宋_GB2312"/>
                <w:sz w:val="24"/>
                <w:szCs w:val="24"/>
                <w:highlight w:val="none"/>
              </w:rPr>
              <w:t>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显示屏亮度</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250</w:t>
            </w:r>
            <w:r>
              <w:rPr>
                <w:rFonts w:hint="eastAsia" w:ascii="仿宋_GB2312" w:hAnsi="仿宋_GB2312" w:eastAsia="仿宋_GB2312" w:cs="仿宋_GB2312"/>
                <w:sz w:val="24"/>
                <w:szCs w:val="24"/>
                <w:highlight w:val="none"/>
              </w:rPr>
              <w:t>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显示屏亮度一致性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显示屏对比度</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3000</w:t>
            </w: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显示屏其他参数</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其它参数应符合SJ/T 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72</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网络设备性能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有线网卡速率</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最高速率应不低于1000Mbps，应支持10Mbps、100Mbps、1000Mbps 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主板功能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内存扩展接口(板载内存不涉及)</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主板USB瞬间</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主板防静电保护</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支持防静电保护功。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I/O 接口功能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提供基于标准USB 接口外设连接功能、基于音频输入输出接口的音频扩展功能、基于PCIe 接口板卡扩展功能、基于HDMI 或VGA 或Type-C 或DVI或DP等接口外接显示器扩展功能、基于存储接口对产品进行增容功能等。产品I/O 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77</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显卡功能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显卡外接显示接口</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显卡至少支持VGA、HDMI、DVI、DP、Type-C中1种显示接口，并与显示器接口相匹配。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显示器接口</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显示器应与显卡外接显示接口匹配。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显示器支架</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显示器应提供显示器支架，根据采购人需求支持屏幕旋转、升降等。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显示器参数调节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a)提供OSD 选单按钮用于调节色彩、模式等；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存储功能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存储功能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通过SATA固态存储/PCIe固态存储/UFS 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网络设备功能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网络功能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a)支持网络连接、网络开启/关闭功能；b)支持访问网络和数据交换功能。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数据传输</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有线网卡接口类型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网络设备拆装</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外部接口功能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音频接口类型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支持3.5mm 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视频接口类型</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至少支持VGA、HDMI、DVI、DP、Type-C中1 种显示接口。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HDMI、DP、Type-C显示接口要求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89</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电源功能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电源线适配能力</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电源适配器电线组件应符合GB/T15934 的要求，可拆线的插头和连接器可以不做要求。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操作系统及软件功能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操作系统</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提供配套的正版操作系统（统信或麒麟或中科方德操作系统）需符合国家安全可靠测评要求。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中文信息处理要求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 18030 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操作系统备份及还原功能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支持操作系统备份及还原功能（当操作系统分区损坏的情况下，支持操作系统还原到出厂状态）。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固件备份还原能力</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操作系统及驱动升级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固件升级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BIOS 支持关闭通讯接口</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支持BIOS关闭以太网及USB接口。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固件查看信息</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固件设置启动顺序</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固件设置口令</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固件设置网络引导</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101</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存储设备可靠性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固态存储寿命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TBW≥80TB（条件：240GB 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机械硬盘寿命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通电时间≥5万小时。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103</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显示屏屏幕失效点</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外设可靠性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键盘按键寿命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鼠标按键寿命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键盘鼠标线材寿命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键盘鼠标所用线材经±60°弯折不低于3000次，功能、外观完好（可承受弯折次数越高越耐用）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风扇寿命</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整机可靠性要求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电磁兼容性要求的抗扰度</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9254.2的规定。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环境条件要求的气候环境适应性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环境条件要求的振动适应性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环境条件要求的冲击适应性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环境条件要求的碰撞适应性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环境条件要求的运输包装件跌落适应性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MTBF 测试</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MTBF(m1)≥100万小时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兼容要求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常用软件兼容</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数据库兼容</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中间件兼容</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平台软件兼容</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119</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包装及运输要求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标志、包装、运输和贮存</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服务要求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配置检查工具</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服务响应</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供应商提供电话、电子邮件、远程连接等多种形式服务；b)供应商提供同城15分钟、异地0.5小时技术响应服务，1小时到达客户现场，24小时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服务周期</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设备停产后应继续提供质量保障服务（含备品备件），服务终止时间与最后一批设备交付时间间隔不低于6 年；b) 产品停止服务时间应提前 1 年告知；c) 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预装操作系统</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提供符合桌面操作系统政府采购需求标准的正版操作系统。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培训服务</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典型问题解决手册</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厂家升级软件与扩容服务</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整机质量服务要求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合格证书要求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开箱组装/使用指导要求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驱动下载服务要求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兼容适配软件下载服务要求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供应链合规性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产品部件保障</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供应商保障产品主要部件，提供6年的备件服务能力（自购买之日起），或提供可兼容原设备的升级换代产品。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供应链质量</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抗干扰性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供应能力证明</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135</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关键部件安全要求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关键部件安全要求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CPU和操作系统等关键部件应当符合安全可靠测评要求（通过政府有关部门指定的中国信息安全测评中心和国家保密科技测评中心网站查看安全可靠测评结果）。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密码算法实现</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CPU 芯片应符合 GM/T 0008 的相关规定，或芯片密码模块应符合 GB/T 37092或 GM/T 0028 的相关规定（通过商用密码检测机构检测并经商用密码认证机构认证合格，投标时提供证书）。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 端口管控</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 USB 端口管控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安全物理锁</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支持安全物理锁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信息安全基本要求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产品应符合 GB/T 39276 的 5.2 的规定；b) 生产厂商应建立漏洞跟踪表，保证产品版本涉及到的漏洞(如驱动程序等)可查看；c) 产品不得包含已知的恶意代码或漏洞，不存在未声明的指令、功能、接口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固件安全启动</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en-US"/>
              </w:rPr>
              <w:t>▲</w:t>
            </w:r>
            <w:r>
              <w:rPr>
                <w:rFonts w:hint="eastAsia" w:ascii="仿宋_GB2312" w:hAnsi="仿宋_GB2312" w:eastAsia="仿宋_GB2312" w:cs="仿宋_GB2312"/>
                <w:sz w:val="24"/>
                <w:szCs w:val="24"/>
                <w:highlight w:val="none"/>
              </w:rPr>
              <w:t>限用物质的限量要求</w:t>
            </w:r>
          </w:p>
        </w:tc>
        <w:tc>
          <w:tcPr>
            <w:tcW w:w="4892"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26572 中规定。</w:t>
            </w:r>
          </w:p>
        </w:tc>
      </w:tr>
    </w:tbl>
    <w:p>
      <w:pPr>
        <w:rPr>
          <w:rFonts w:hint="eastAsia" w:ascii="仿宋_GB2312" w:hAnsi="仿宋_GB2312" w:eastAsia="仿宋_GB2312" w:cs="仿宋_GB2312"/>
          <w:highlight w:val="none"/>
        </w:rPr>
      </w:pPr>
    </w:p>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2.2.2、流式软件</w:t>
      </w:r>
    </w:p>
    <w:tbl>
      <w:tblPr>
        <w:tblStyle w:val="27"/>
        <w:tblW w:w="9498"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58"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58"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流式软件</w:t>
            </w:r>
          </w:p>
        </w:tc>
        <w:tc>
          <w:tcPr>
            <w:tcW w:w="8075" w:type="dxa"/>
            <w:tcMar>
              <w:top w:w="15" w:type="dxa"/>
              <w:left w:w="15" w:type="dxa"/>
              <w:right w:w="15" w:type="dxa"/>
            </w:tcMar>
            <w:vAlign w:val="center"/>
          </w:tcPr>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1、提供办公软件产品，包含文字处理、表格计算、幻灯片演示三个组件。</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2、支持在表格中一键插入求和、计数、平均值等常用公式。支持多列数据合并操作。支持单元格数据的循环引用。</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3、支持丰富的公式元素及相关设置，能够满足各种场景公式编写需求，需要更改公式显示效果时，不需要重新插入，只需更改对应的设置项即可。</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4、支持嵌入音频/视频媒体对象，嵌入后能跟随文档一起，避免文档流转时音视频无法播放。</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5、教学资源应包括德育教育、中央电教馆名师微课、中央电教馆部编教研、备课资源、Html5教学工具、通用备课图片等资源，所有资源与办公软件无缝融合，实现所有资源在办公软件内部的面板里可以直接浏览、查询，并一键调入编辑器里使用，达到备授课一体化，减少操作环节，提高备课效率。</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6、德育教育：包括理想信念教育、社会主义核心价值观教育、中华优秀传统文化教育、生态文明教育4方面内容。内容涵盖党史、抗战史、中国梦、英雄人物、孝老爱亲、见义勇为、敬业奉献、助人为乐、诚实守信、最美教师、感动中国人物、精忠报国、重德贵义、律己修身、诚实守信、尊老爱幼、校园礼仪、历史足迹、中华文明、动植物资源、大气环境、人口、土壤环境、自然环境、水资源等内容。资源总数量不得少于800个。</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7、中央电教馆名师微课：内容涵盖小学语文、数学、英语、科学，初中语文、数学、英语、物理、化学、生物、地理、历史十二门学科不少于2800个微课程，视频长度不少于1900余课时。每个知识点配套微课视频，进阶练习，单元测试卷、学期学年测试卷等内容。</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8、备课资源：包含中小学全套备课资源，内容分配到每个章节，包括教案、课件、图片等。图片应为SVG矢量格式和PNG透明通道格式，能任意放大缩小，并且可在办公软件里叠加使用。</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9、教学工具：包含小学语文生字学习不少于2500个、小学初中全套课文诵读、思维导图、英语跟读、地理历史电子挂图以及各学科教学动画等内容。所有工具内容为Html5格式，交互性强，可以在办公软件内部可直接调用，也可跨平台多终端使用。</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10、通用备课图片：包含人物、服装、职业、民族、植物、蔬菜、水果、食物、场景、建筑、风景、国家、交通、昆虫、鸟类、陆地动物、海洋动物、运动、节日、形状、标志、乐器、天气、四季、太空、地图、生活、图标、艺术、边框等内容，图片应为SVG矢量格式和PNG透明通道格式，能任意放大缩小，并且可在办公软件里叠加使用。</w:t>
            </w:r>
          </w:p>
        </w:tc>
      </w:tr>
    </w:tbl>
    <w:p>
      <w:pPr>
        <w:rPr>
          <w:rFonts w:hint="eastAsia" w:ascii="仿宋_GB2312" w:hAnsi="仿宋_GB2312" w:eastAsia="仿宋_GB2312" w:cs="仿宋_GB2312"/>
          <w:highlight w:val="none"/>
        </w:rPr>
      </w:pPr>
    </w:p>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2.2.3、教育应用</w:t>
      </w:r>
    </w:p>
    <w:tbl>
      <w:tblPr>
        <w:tblStyle w:val="27"/>
        <w:tblW w:w="9498"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58"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58"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教育应用</w:t>
            </w:r>
          </w:p>
        </w:tc>
        <w:tc>
          <w:tcPr>
            <w:tcW w:w="8075" w:type="dxa"/>
            <w:tcMar>
              <w:top w:w="15" w:type="dxa"/>
              <w:left w:w="15" w:type="dxa"/>
              <w:right w:w="15" w:type="dxa"/>
            </w:tcMar>
          </w:tcPr>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一、基本要求</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套教育应用需提供至少1台软硬一体化的控制服务器，出厂预装服务端软件及软件永久授权（至少满足4个机房164台电脑授权，支持后期扩容），支持软件免安装、自动授权，兼容所投台式机的操作系统，并提供相关计算机软件著作权登记证书。</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2、软件采用B/S架构，基于WEB的全中文图形化管理界面。实现网络同传、硬盘保护、电子教室三大主要功能。</w:t>
            </w:r>
          </w:p>
          <w:p>
            <w:pPr>
              <w:pStyle w:val="26"/>
              <w:spacing w:after="0"/>
              <w:ind w:firstLine="0" w:firstLineChars="0"/>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二、同传还原系统</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服务端支持多个平台部署，包括ARM、AMD、X86，服务器操作系统支持国产麒麟、统信操作系统。一台服务器可以同时管理多种架构的终端（ARM、AMD、X86、LoongArch），支持主流国产操作系统（UOS、kylin）以及windows系列的下发部署。</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2、支持每个分组的策略化管理，且每个桌面支持单独设置对应的管理策略，如引导顺序、保护还原、引导密码、系统是否隐藏等参数（提供截图证明）。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△3、软件支持对分组中的所有终端统一设置还原策略，也可以单独对某台终端进行还原策略的设置（提供截图证明）。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终端开机后会自动获取服务端IP地址并部署所有的镜像到本地，部署完成后，服务器意外出现宕机、断网等情况时，终端可脱离服务器使用，避免引起的教学事故，且每个系统保持离线前的还原或者不还原的还原策略。</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5、软件支持对每个系统单独进行引导密码设置，只有输入正确的密码才能启动指定的系统（提供截图证明）。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6、为方便用户快速部署使用，系统提供新手向导功能，包含系统状态、镜像上传、创建分组、创建模版、关联模版，用户首次使用时，按照向导引导即可完成云教室系统的初始化使用，解决用户初次使用的困扰（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△7、多个系统时，支持显示和隐藏某个系统、默认进入系统以及等待时长等，满足教学的特殊需求（提供截图证明）。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△8、为方便用户运维管理，支持用户预设计划任务，按照次、每天、每周、每月等频率执行开机关机重启以及排程功能（提供截图证明）。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△9、支持课程表功能，提供自动切换桌面系统，实现自动化运维；支持切换课程时选择是否自动重启学生机（提供截图证明）。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10、服务端预置固件级一键恢复增强版软件，支持出厂镜像备份不受格式化破坏，支持在镜像上传后进行全盘备份，支持系统出问题时快速恢复。</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11、管理中心具备网络自诊断功能，每次登录管理页面时可检查并报告网络配置异常（提供截图证明）。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三、多媒体教学软件</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支持无线投屏功能，不接受如投屏器需人工切换网络的投屏方式，教师端可以直接将老师手机摄像头投屏到学生端，通过阿、老师授权，也可以将学员手机，平板等终端设备屏幕无线投屏到教师机屏幕，方便老师和学员移动对比教学（提供产品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2、为适应不同的网络状况，至少需要两种传输模式可供用户可自行选择（提供产品截图证明）。</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3、实现屏幕广播、点名等课堂功能。</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网页限制：上网限制模式设置有三种模式，分别是开放模式、黑名单模式和禁用模式，开放模式是允许学生访问网络，查阅相关学习资料；黑名单模式可对一个或多个网址禁止访问，允许访问不在黑名单的网址；禁用模式不允许学生访问网络。</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△5、具备文件共享功能，可以进行文件资料共享，每个学员都可以共享文件，视频点播，方便学员选取需要的课件；可支持上传、下载、音视频等功能。。</w:t>
            </w:r>
          </w:p>
          <w:p>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6、截屏测验：不需老师事先按模板制作试卷，直接截取教师机电脑屏幕内容作为考题分发到学生端，以考核学生的学习成果。</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△7、弹幕互动：提供教师开关弹幕功能，开启状态下，弹幕内容可在教学大屏上滚动显示。</w:t>
            </w:r>
          </w:p>
        </w:tc>
      </w:tr>
    </w:tbl>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2.2.4、教师桌</w:t>
      </w:r>
    </w:p>
    <w:tbl>
      <w:tblPr>
        <w:tblStyle w:val="27"/>
        <w:tblW w:w="9498"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58"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58"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教师桌</w:t>
            </w:r>
          </w:p>
        </w:tc>
        <w:tc>
          <w:tcPr>
            <w:tcW w:w="8075" w:type="dxa"/>
            <w:tcMar>
              <w:top w:w="15" w:type="dxa"/>
              <w:left w:w="15" w:type="dxa"/>
              <w:right w:w="15" w:type="dxa"/>
            </w:tcMa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桌面采用25MME1生态环保板，钢架采用冷轧钢管，钢架管壁达到1.2MM厚度，钢脚方管50×50mm，桌体采用拆装设计，无螺丝连接，采用狼牙连接件双扣，大扣20mm×10mm，小扣15mm×10mm。整体经打磨、磷化、静电喷塑等工艺加工而成。</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2、桌子采用单层设计，符合人体工程学。</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3、液晶显示器可放于多功能电脑桌台面上，台下配置为悬空冷轧钢主机托架。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4、桌子带走线槽，走线槽内带插座孔。线孔铁皮不得冲穿，以备后用。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5、电脑桌脚用PV静音可调节，钢脚固定落地，用模具成型的专用配件。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6、桌子尺寸定制为：（长*宽*高）1400*600*750mm。</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7、每张教师讲台配桌下柜一个。</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8、配教师电脑椅:黑色PP料背架，高弹力海绵，PP分体固定扶手</w:t>
            </w:r>
          </w:p>
        </w:tc>
      </w:tr>
    </w:tbl>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2.2.5、学生桌（双人桌含方凳）</w:t>
      </w:r>
    </w:p>
    <w:tbl>
      <w:tblPr>
        <w:tblStyle w:val="27"/>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1"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511"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学生桌（含方凳）</w:t>
            </w:r>
          </w:p>
        </w:tc>
        <w:tc>
          <w:tcPr>
            <w:tcW w:w="8075" w:type="dxa"/>
            <w:tcMar>
              <w:top w:w="15" w:type="dxa"/>
              <w:left w:w="15" w:type="dxa"/>
              <w:right w:w="15" w:type="dxa"/>
            </w:tcMa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桌面采用25MME1生态环保板，钢架采用冷轧钢管，钢架管壁达到1.2MM厚度，钢脚方管50×50mm，桌体采用拆装设计，无螺丝连接，采用狼牙连接件双扣，大扣20mm×10mm，小扣15mm×10mm。整体经打磨、磷化、静电喷塑等工艺加工而成。</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2、桌子采用单层设计，符合人体工程学。</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3、液晶显示器可放于多功能电脑桌台面上，台下配置为悬空冷轧钢主机托架。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4、桌子带走线槽，走线槽内带插座孔。线孔铁皮不得冲穿，以备后用。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5、电脑桌脚用PV静音可调节，钢脚固定落地，用模具成型的专用配件。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6、桌子尺寸定制为：（长*宽*高）1400*600*750mm（双人位）。</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7、参考样式如下：</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color w:val="000000" w:themeColor="text1"/>
                <w:kern w:val="0"/>
                <w:sz w:val="24"/>
                <w:highlight w:val="none"/>
                <w14:textFill>
                  <w14:solidFill>
                    <w14:schemeClr w14:val="tx1"/>
                  </w14:solidFill>
                </w14:textFill>
              </w:rPr>
              <w:drawing>
                <wp:inline distT="0" distB="0" distL="0" distR="0">
                  <wp:extent cx="1122680" cy="977900"/>
                  <wp:effectExtent l="0" t="0" r="5080" b="12700"/>
                  <wp:docPr id="1720518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18798"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138351" cy="991514"/>
                          </a:xfrm>
                          <a:prstGeom prst="rect">
                            <a:avLst/>
                          </a:prstGeom>
                          <a:noFill/>
                          <a:ln>
                            <a:noFill/>
                          </a:ln>
                        </pic:spPr>
                      </pic:pic>
                    </a:graphicData>
                  </a:graphic>
                </wp:inline>
              </w:drawing>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8、每张学生桌配2条方凳。</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2.2.6、音频系统</w:t>
      </w:r>
    </w:p>
    <w:tbl>
      <w:tblPr>
        <w:tblStyle w:val="27"/>
        <w:tblW w:w="946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49"/>
        <w:gridCol w:w="1260"/>
        <w:gridCol w:w="765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549" w:type="dxa"/>
          </w:tcPr>
          <w:p>
            <w:pPr>
              <w:widowControl/>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sz w:val="24"/>
                <w:szCs w:val="24"/>
                <w:highlight w:val="none"/>
              </w:rPr>
              <w:t>序号</w:t>
            </w:r>
          </w:p>
        </w:tc>
        <w:tc>
          <w:tcPr>
            <w:tcW w:w="1260" w:type="dxa"/>
            <w:vAlign w:val="center"/>
          </w:tcPr>
          <w:p>
            <w:pPr>
              <w:widowControl/>
              <w:jc w:val="center"/>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项目名称</w:t>
            </w:r>
          </w:p>
        </w:tc>
        <w:tc>
          <w:tcPr>
            <w:tcW w:w="7655" w:type="dxa"/>
            <w:vAlign w:val="center"/>
          </w:tcPr>
          <w:p>
            <w:pPr>
              <w:widowControl/>
              <w:rPr>
                <w:rFonts w:hint="eastAsia"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技术需求详细参数要求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549" w:type="dxa"/>
            <w:vAlign w:val="center"/>
          </w:tcPr>
          <w:p>
            <w:pPr>
              <w:widowControl/>
              <w:tabs>
                <w:tab w:val="left" w:pos="312"/>
              </w:tabs>
              <w:spacing w:line="360" w:lineRule="auto"/>
              <w:jc w:val="center"/>
              <w:textAlignment w:val="center"/>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8</w:t>
            </w:r>
          </w:p>
        </w:tc>
        <w:tc>
          <w:tcPr>
            <w:tcW w:w="1260" w:type="dxa"/>
            <w:vAlign w:val="center"/>
          </w:tcPr>
          <w:p>
            <w:pPr>
              <w:widowControl/>
              <w:tabs>
                <w:tab w:val="left" w:pos="312"/>
              </w:tabs>
              <w:spacing w:line="360" w:lineRule="auto"/>
              <w:textAlignment w:val="center"/>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音频系统</w:t>
            </w:r>
          </w:p>
        </w:tc>
        <w:tc>
          <w:tcPr>
            <w:tcW w:w="7655" w:type="dxa"/>
          </w:tcPr>
          <w:p>
            <w:pPr>
              <w:pStyle w:val="26"/>
              <w:ind w:firstLine="0" w:firstLineChars="0"/>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eastAsia="zh-CN"/>
              </w:rPr>
              <w:t>一、阵列式智慧音频录播终端</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硬件参数：</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1、终端采用单体机型双声道曲面式设计，LED数字动态屏显示，根据上课实际互动场景，可扩展不少于两个麦克风同时使用，一根USB线可实现播放声音、录制声音、控制音效、PPT翻页等功能无需繁琐布线，对频成功有中文语音提示。</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2、1路莲花电脑音频输入、1路莲花录音输出、1路3.5立体声音频输入。</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3、2路USB接口，实现PPT翻页、设置时钟，USB调音，音频录制，外置USB话筒。</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4、3路校园广播输入；1路6.5毫米话筒输入接口，与同品牌话筒连接不需要电池；具备1路RS232控制接口</w:t>
            </w:r>
            <w:r>
              <w:rPr>
                <w:rFonts w:hint="eastAsia" w:ascii="仿宋_GB2312" w:hAnsi="仿宋_GB2312" w:eastAsia="仿宋_GB2312" w:cs="仿宋_GB2312"/>
                <w:sz w:val="24"/>
                <w:szCs w:val="24"/>
                <w:highlight w:val="none"/>
                <w:lang w:eastAsia="zh-CN"/>
              </w:rPr>
              <w:t>（提供国家认可的具备CMA认证的检测机构所出具的检测报告）</w:t>
            </w:r>
            <w:r>
              <w:rPr>
                <w:rFonts w:hint="eastAsia" w:ascii="仿宋_GB2312" w:hAnsi="仿宋_GB2312" w:eastAsia="仿宋_GB2312" w:cs="仿宋_GB2312"/>
                <w:sz w:val="24"/>
                <w:szCs w:val="24"/>
                <w:highlight w:val="none"/>
              </w:rPr>
              <w:t>及面板接口图）。</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sz w:val="24"/>
                <w:szCs w:val="24"/>
                <w:highlight w:val="none"/>
              </w:rPr>
              <w:t>5、具有LED时钟显示屏，可显示时钟，具有显示开关、功能切换、时间设置、频道设置、音量调节、高音低调节、混响调节不少于12个电容按键。</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6、内置蓝牙接收模块，蓝牙支持密码模式，连接成功有中文语音提示。</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7、阵列式喇叭均衡扩声，100平方以内教室各学生座位测量点的稳态声压级最大值与最小值差值范围为3dB之内，距离音箱15米处声压级达到78dB。</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8、配置独立音频数字信号处理芯片，支持啸叫抑制功能。</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9、频率响应：30Hz-18KHz</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10、信噪比：≥80dB </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软件参数：</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1、软件支持啸叫抑制功能。</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sz w:val="24"/>
                <w:szCs w:val="24"/>
                <w:highlight w:val="none"/>
              </w:rPr>
              <w:t>2、软件支持调制降噪、均衡、音箱机身音量音效锁定、高音、低音、混响、广播音量、喇叭音量、提示音量及话筒频道调节。</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3、支持机身窗口无显示、时间显示、音量显示三种状态显示调节。</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sz w:val="24"/>
                <w:szCs w:val="24"/>
                <w:highlight w:val="none"/>
              </w:rPr>
              <w:t>4、支持时钟同步音箱显示功能；教学过程中与音箱机身时钟对时校准功能；教学过程中软件同步音箱机身时钟答题倒计时功能。</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sz w:val="24"/>
                <w:szCs w:val="24"/>
                <w:highlight w:val="none"/>
              </w:rPr>
              <w:t>5、软件支持音频录播功能，可实现开始录音、停止录音、播放录音、录音时间设置、录音文件命名、播放设备选择、添加文件、移除文件、清空文件、前一曲、下一曲，单曲循环、列表循环、播放一次、录音音乐音量调节、录音话筒音量调节，实现老师一边扩声一边录音，音频课件可存放在计算机本地。</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sz w:val="24"/>
                <w:szCs w:val="24"/>
                <w:highlight w:val="none"/>
              </w:rPr>
              <w:t>6、软件支持密码管理登录模式，防止师生误操作，密码登录后可解锁音箱机身触摸按键，可通过软件调制音量、均衡、频道、显示窗口等麦克风和音箱参数。</w:t>
            </w:r>
            <w:r>
              <w:rPr>
                <w:rFonts w:hint="eastAsia" w:ascii="仿宋_GB2312" w:hAnsi="仿宋_GB2312" w:eastAsia="仿宋_GB2312" w:cs="仿宋_GB2312"/>
                <w:sz w:val="24"/>
                <w:szCs w:val="24"/>
                <w:highlight w:val="none"/>
                <w:lang w:eastAsia="zh-CN"/>
              </w:rPr>
              <w:t>（提供国家认可的具备CMA认证的检测机构所出具的检测报告）</w:t>
            </w: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二、授课音频录播麦克风</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highlight w:val="none"/>
                <w:lang w:eastAsia="zh-CN"/>
              </w:rPr>
              <w:t>1、采用可拆卸模块化穿戴式设计方案，可一体化设计呈现领夹式、耳戴式、挂脖式；采用胸挂配件时，使用时上下调节阻力绳达到最佳拾音效果；屏幕显示问候语、对频方式、充电、发射信号、电池电量、音量大小等工作状态。（提供国家认可的具备CMA认证的检测机构所出具的检测报告）</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highlight w:val="none"/>
                <w:lang w:eastAsia="zh-CN"/>
              </w:rPr>
              <w:t>2、支持2.4G近距离双向配对，记忆配对，智能红外对码，可实现与音箱对码时间≤1.5S，对频信号距离3阶可调；麦克风与接收器无遮挡时有效通信距离≥20米，发射功率距离3阶可调；麦克风具备定时关机功能，0-95分钟可调。（提供国家认可的具备CMA认证的检测机构所出具的检测报告）</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highlight w:val="none"/>
                <w:lang w:eastAsia="zh-CN"/>
              </w:rPr>
              <w:t>3、麦克风采用正面两个触摸按键实现PPT翻页。（提供国家认可的具备CMA认证的检测机构所出具的检测报告）</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4、采用锂电池供电，USB与磁吸2种快速充电，充电10分钟，实现≥70分钟续航。（提供国家认可的具备CMA认证的检测机构所出具的检测报告）</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highlight w:val="none"/>
                <w:lang w:eastAsia="zh-CN"/>
              </w:rPr>
              <w:t>5、支持充电仓，采用可充电式锂电池，充电仓可将两支麦克风充满电2次以上，有4阶电量显示，带激光笔功能。（提供国家认可的具备CMA认证的检测机构所出具的检测报告）</w:t>
            </w:r>
          </w:p>
          <w:p>
            <w:pPr>
              <w:widowControl/>
              <w:tabs>
                <w:tab w:val="left" w:pos="312"/>
              </w:tabs>
              <w:spacing w:line="360" w:lineRule="auto"/>
              <w:textAlignment w:val="center"/>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sz w:val="24"/>
                <w:szCs w:val="24"/>
                <w:highlight w:val="none"/>
              </w:rPr>
              <w:t>6、支持选配充电底座，麦克风与充电仓均可桌面式充电。</w:t>
            </w:r>
          </w:p>
        </w:tc>
      </w:tr>
    </w:tbl>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2.2.7、交换机</w:t>
      </w:r>
    </w:p>
    <w:tbl>
      <w:tblPr>
        <w:tblStyle w:val="27"/>
        <w:tblW w:w="9478"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8"/>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38"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38"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交换机</w:t>
            </w:r>
          </w:p>
        </w:tc>
        <w:tc>
          <w:tcPr>
            <w:tcW w:w="8075" w:type="dxa"/>
            <w:tcMar>
              <w:top w:w="15" w:type="dxa"/>
              <w:left w:w="15" w:type="dxa"/>
              <w:right w:w="15" w:type="dxa"/>
            </w:tcMa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1、48个10/100/1000M自适应电口，4个10G/1G SFP+光口；</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2、交换容量≥432Gbps，包转发率≥166Mpps；</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3、支持NFPP基础网络保护协议，支持MAC过滤地址、支持4K 802.1Q VLAN、支持Port based VLAN，支持Protocol based VLAN，支持GVRP，支持VSU虚拟化技术，支持国际标准环网协议ERPS，支持快速上链保护协议REUP；支持RLDP快速链路检测协议；IPv4/IPv6 静态路由、可扩展支持 RIP、RIPng、OSPF、OSPFv3 协议；支持IEEE 802.3az 标准的 EEE节能技术；</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4、支持特有的CPU保护策略；支持SNMP，telnet，SSH、WEB、公有云平台等管理功能；</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2.2.8、计算机房综合布线</w:t>
      </w:r>
    </w:p>
    <w:tbl>
      <w:tblPr>
        <w:tblStyle w:val="27"/>
        <w:tblW w:w="9478"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8"/>
        <w:gridCol w:w="902"/>
        <w:gridCol w:w="79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38"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38"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902"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计算机房综合布线</w:t>
            </w:r>
          </w:p>
        </w:tc>
        <w:tc>
          <w:tcPr>
            <w:tcW w:w="7938" w:type="dxa"/>
            <w:tcMar>
              <w:top w:w="15" w:type="dxa"/>
              <w:left w:w="15" w:type="dxa"/>
              <w:right w:w="15" w:type="dxa"/>
            </w:tcMar>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含网线、拖线板、PVC管、防静电地板打孔、网络水晶头等配件及综合布线、计算机安装、调试，直到机房能交付使用。</w:t>
            </w:r>
          </w:p>
        </w:tc>
      </w:tr>
    </w:tbl>
    <w:p>
      <w:pPr>
        <w:rPr>
          <w:rFonts w:hint="eastAsia" w:ascii="仿宋_GB2312" w:hAnsi="仿宋_GB2312" w:eastAsia="仿宋_GB2312" w:cs="仿宋_GB2312"/>
          <w:highlight w:val="none"/>
        </w:rPr>
      </w:pPr>
    </w:p>
    <w:p>
      <w:pPr>
        <w:pStyle w:val="9"/>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2.3、会计事务专业机房计算机</w:t>
      </w:r>
    </w:p>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2.3.1、★台式计算机</w:t>
      </w:r>
    </w:p>
    <w:tbl>
      <w:tblPr>
        <w:tblStyle w:val="27"/>
        <w:tblW w:w="961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1281"/>
        <w:gridCol w:w="1907"/>
        <w:gridCol w:w="5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序号</w:t>
            </w:r>
          </w:p>
        </w:tc>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指标编号</w:t>
            </w:r>
          </w:p>
        </w:tc>
        <w:tc>
          <w:tcPr>
            <w:tcW w:w="1281" w:type="dxa"/>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一级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1907"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二级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5005"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具体指标及要求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09" w:type="dxa"/>
            <w:vMerge w:val="restart"/>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CPU信息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主频≥2.1GHz、物理核心数≥16核、末级缓存容量≥30MB、线程数≥24线程，热设计功耗（TDP）≤65W，内存通道≥2通道，位宽≥128 bit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内存配置容量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支持DDR4/LPDDR4/LPDDR4X 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内存条配置数量（板载内存不涉及）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内存读写速率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≥2666MT/s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主板集成模块</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集成资源扩展模块、计算处理模块、音频扩展模块等，主板的互联拓扑可通过处理器或交换电路实现。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主板支持的CPU和内存情况</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支持CPU如下：intel 酷睿13代及以上处理器I5-13400/I5-13500/I7-13700/I7-13470</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支持内存：16G DDR4及以上内存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主板内置PCIe 插槽数量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PCIe x16 Gen5插槽≥1个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主板其他内置接口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SATA3.0接口≥3、M.2接口≥2、USB 接口≥10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单内存插槽最大可支持容量（板载内存不涉及）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内存插槽满配时提供的最高内存总容量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机械硬盘数量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存储设备扩展盘位</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M.2 SSD插槽≥2个，HDD硬盘位≥2个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固态存储形态</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选用符合M.2 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存储设备其他参数要求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固态盘应符合SJ/T 11654相关规定；其它参数应符合GB/T 12628相关规定。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集成显卡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显示屏屏占比</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显示屏尺寸</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≥27英寸IPS屏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显示屏屏幕比例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显示器外观颜色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显示屏防蓝光</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支持防蓝光模式，蓝光加权辐射亮度比应≤0.012W/(˙cd˙sr)(瓦每坎特拉每球面度）。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显示屏低频闪</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显示屏防炫目</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外设规格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键盘按键数目</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键盘连接方式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键盘键程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2.3mm ~ 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键盘按键压力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按键压力应在 0.54 N±0.14N。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有线键盘连接线</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鼠标连接方式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有线鼠标连接线</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鼠标DPI分辨率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鼠标其他要求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其它参数应符合GB/T 26245的相关规定。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40</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外部接口规格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USB 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机箱前面板应提供不少于4个USB3.2及以上接口，前后USB总数不少于10个，其中至少包含1个USB Type-C接口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视频接口数量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音频接口数量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≥2，前置音频输入和输出双分离独立设计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整机基础规格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整机外观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a)产品表面不应有凹痕、划伤、裂缝、变形和污染等。表面涂层均匀，不应起泡、龟裂、脱落和磨损，金属零部件无锈蚀及其它机械损伤；b)产品表面说明功能的文字、符号、标志，应清晰、端正、牢固。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状态指示灯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整机结构</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i)各主要部件拆装步骤要少，各自拆装需避免相互干扰；m)对于整机或零部件外表面为高亮面的，应粘贴保护膜，保护膜需粘贴牢固，运输、组装等过程不易脱落，撕下无残留；n)其它要求应符合GB/T 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机箱防护要求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机箱应符合GB/T 4208 中IP20 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整机噪音</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产品工作在空闲状态下，产品的声功率级应不超过4.5Bel。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整机散热</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在环境温度25℃及处理器满载情况下，产品表面温度应符合如下要求：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出风口在机箱后面板情况下，出风口温度不高于55℃；b) 可触及面温度不高于45℃；c) 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整机能效限定值</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产品能效限定值应达到 GB 28380-2012标准中能效等级 2 级及以上（能效值越低消耗电能越少（1 级低于2 级，2 级低于3级））。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机身材质</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机身颜色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机箱尺寸容量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CPU物理核数</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CPU主频</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CPU末级缓存容量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CPU支持的内存最高速率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58</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内存读写速率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≥2666MT/s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59</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显卡显示芯片核心频率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显存等效频率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显卡可支持多屏同时显示数量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显卡应支持2块屏幕同时显示，分辨率应不低于1920×1080。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显示屏刷新率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显示屏位深</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显示屏色域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 sRGB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显示屏色准</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显示屏响应时间</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显示屏亮度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≥300尼特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显示屏亮度一致性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显示屏对比度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显示屏其他参数</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其它参数应符合SJ/T 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72</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最高速率应不低于1000Mbps，应支持10Mbps、100Mbps、1000Mbps 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内存扩展接口(板载内存不涉及)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主板USB瞬间</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主板防静电保护</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支持防静电保护功。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I/O 接口功能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提供基于标准USB 接口外设连接功能、基于音频输入输出接口的音频扩展功能、基于PCIe 接口板卡扩展功能、基于HDMI 或VGA 或Type-C 或DVI或DP等接口外接显示器扩展功能、基于存储接口对产品进行增容功能等。产品I/O 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77</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显卡外接显示接口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显卡至少支持VGA、HDMI、DVI、DP、Type-C中1种显示接口，并与显示器接口相匹配。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≥1个HDMI，配原厂HDMI线，与主机直接连接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显示器支架</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提供显示器支架，支持升降旋转，可俯仰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显示器参数调节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a)提供OSD 选单按钮用于调节色彩、模式等；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通过SATA固态存储/PCIe固态存储/UFS 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a)支持网络连接、网络开启/关闭功能；b)支持访问网络和数据交换功能。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数据传输</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网络设备拆装</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外部接口功能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音频接口类型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支持3.5mm 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视频接口类型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HDMI≥1个，DP≥1个,接口为原生非转接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HDMI、DP、Type-C显示接口要求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89</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电源功能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电源线适配能力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提供高效电源≥500瓦以保证后期扩展显卡。</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电源适配器电线组件应符合GB/T15934 的要求，可拆线的插头和连接器可以不做要求。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操作系统及软件功能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提供配套的Windows正版操作系统（非国产系统要求）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中文信息处理要求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 18030 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操作系统备份及还原功能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支持操作系统备份及还原功能（当操作系统分区损坏的情况下，支持操作系统还原到出厂状态）。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固件备份还原能力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操作系统及驱动升级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固件升级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BIOS 支持关闭通讯接口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支持BIOS关闭以太网及USB接口。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固件查看信息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固件设置启动顺序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固件设置口令</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固件设置网络引导</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101</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TBW≥80TB（条件：240GB 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机械硬盘寿命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若有，须满足通电时间≥5万小时。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103</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显示屏屏幕失效点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外设可靠性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鼠标按键寿命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键盘鼠标线材寿命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键盘鼠标所用线材经±60°弯折不低于3000次，功能、外观完好（可承受弯折次数越高越耐用）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风扇寿命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整机可靠性要求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电磁兼容性要求的抗扰度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9254.2的规定。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环境条件要求的气候环境适应性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环境条件要求的振动适应性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环境条件要求的冲击适应性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环境条件要求的碰撞适应性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环境条件要求的运输包装件跌落适应性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MTBF 测试</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MTBF(m1)≥100万小时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兼容要求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常用软件兼容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数据库兼容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中间件兼容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平台软件兼容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119</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包装及运输要求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标志、包装、运输和贮存</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配置检查工具</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服务响应</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供应商提供电话、电子邮件、远程连接等多种形式服务；b)供应商提供同城15分钟、异地0.5小时技术响应服务，1小时到达客户现场，24小时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服务周期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设备停产后应继续提供质量保障服务（含备品备件），服务终止时间与最后一批设备交付时间间隔不低于6 年；b) 产品停止服务时间应提前 1 年告知；c) 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预装操作系统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提供windows正版操作系统。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培训服务</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典型问题解决手册</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厂家升级软件与扩容服务</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整机质量服务要求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合格证书要求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开箱组装/使用指导要求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驱动下载服务要求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兼容适配软件下载服务要求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供应链合规性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产品部件保障</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供应商保障产品主要部件，提供6年的备件服务能力（自购买之日起），或提供可兼容原设备的升级换代产品。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供应链质量</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抗干扰性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供应能力证明</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135</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5005" w:type="dxa"/>
            <w:vAlign w:val="center"/>
          </w:tcPr>
          <w:p>
            <w:pPr>
              <w:rPr>
                <w:rFonts w:hint="eastAsia" w:ascii="仿宋_GB2312" w:hAnsi="仿宋_GB2312" w:eastAsia="仿宋_GB2312" w:cs="仿宋_GB2312"/>
                <w:b/>
                <w:bCs/>
                <w:color w:val="FF0000"/>
                <w:sz w:val="24"/>
                <w:szCs w:val="24"/>
                <w:highlight w:val="none"/>
              </w:rPr>
            </w:pPr>
            <w:r>
              <w:rPr>
                <w:rFonts w:hint="eastAsia" w:ascii="仿宋_GB2312" w:hAnsi="仿宋_GB2312" w:eastAsia="仿宋_GB2312" w:cs="仿宋_GB2312"/>
                <w:sz w:val="24"/>
                <w:szCs w:val="24"/>
                <w:highlight w:val="none"/>
              </w:rPr>
              <w:t>CPU和操作系统等关键部件应当符合安全可靠测评要求（通过政府有关部门指定的中国信息安全测评中心和国家保密科技测评中心网站查看安全可靠测评结果）。（</w:t>
            </w:r>
            <w:r>
              <w:rPr>
                <w:rFonts w:hint="eastAsia" w:ascii="仿宋_GB2312" w:hAnsi="仿宋_GB2312" w:eastAsia="仿宋_GB2312" w:cs="仿宋_GB2312"/>
                <w:b/>
                <w:bCs/>
                <w:color w:val="FF0000"/>
                <w:sz w:val="24"/>
                <w:szCs w:val="24"/>
                <w:highlight w:val="none"/>
              </w:rPr>
              <w:t>非信创电脑，本条不适用）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密码算法实现</w:t>
            </w:r>
          </w:p>
        </w:tc>
        <w:tc>
          <w:tcPr>
            <w:tcW w:w="5005" w:type="dxa"/>
            <w:vAlign w:val="center"/>
          </w:tcPr>
          <w:p>
            <w:pPr>
              <w:rPr>
                <w:rFonts w:hint="eastAsia" w:ascii="仿宋_GB2312" w:hAnsi="仿宋_GB2312" w:eastAsia="仿宋_GB2312" w:cs="仿宋_GB2312"/>
                <w:b/>
                <w:bCs/>
                <w:color w:val="FF0000"/>
                <w:sz w:val="24"/>
                <w:szCs w:val="24"/>
                <w:highlight w:val="none"/>
              </w:rPr>
            </w:pPr>
            <w:r>
              <w:rPr>
                <w:rFonts w:hint="eastAsia" w:ascii="仿宋_GB2312" w:hAnsi="仿宋_GB2312" w:eastAsia="仿宋_GB2312" w:cs="仿宋_GB2312"/>
                <w:sz w:val="24"/>
                <w:szCs w:val="24"/>
                <w:highlight w:val="none"/>
              </w:rPr>
              <w:t>CPU 芯片应符合 GM/T 0008 的相关规定，或芯片密码模块应符合 GB/T 37092或 GM/T 0028 的相关规定（通过商用密码检测机构检测并经商用密码认证机构认证合格，投标时提供证书）。（</w:t>
            </w:r>
            <w:r>
              <w:rPr>
                <w:rFonts w:hint="eastAsia" w:ascii="仿宋_GB2312" w:hAnsi="仿宋_GB2312" w:eastAsia="仿宋_GB2312" w:cs="仿宋_GB2312"/>
                <w:b/>
                <w:bCs/>
                <w:color w:val="FF0000"/>
                <w:sz w:val="24"/>
                <w:szCs w:val="24"/>
                <w:highlight w:val="none"/>
              </w:rPr>
              <w:t>非信创电脑，本条不适用</w:t>
            </w:r>
            <w:r>
              <w:rPr>
                <w:rFonts w:hint="eastAsia" w:ascii="仿宋_GB2312" w:hAnsi="仿宋_GB2312" w:eastAsia="仿宋_GB2312" w:cs="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USB端口管控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支持USB端口管控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安全物理锁</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支持安全物理锁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信息安全基本要求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产品应符合 GB/T 39276 的 5.2 的规定；b) 生产厂商应建立漏洞跟踪表，保证产品版本涉及到的漏洞(如驱动程序等)可查看；c) 产品不得包含已知的恶意代码或漏洞，不存在未声明的指令、功能、接口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固件安全启动</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限用物质的限量要求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26572 中规定。</w:t>
            </w:r>
          </w:p>
        </w:tc>
      </w:tr>
    </w:tbl>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2.3.2、学生桌(六边型含椅子)</w:t>
      </w:r>
    </w:p>
    <w:tbl>
      <w:tblPr>
        <w:tblStyle w:val="27"/>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902"/>
        <w:gridCol w:w="79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1"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511"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w:t>
            </w:r>
          </w:p>
        </w:tc>
        <w:tc>
          <w:tcPr>
            <w:tcW w:w="902"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学生桌(六边型)</w:t>
            </w:r>
          </w:p>
        </w:tc>
        <w:tc>
          <w:tcPr>
            <w:tcW w:w="7938" w:type="dxa"/>
            <w:tcMar>
              <w:top w:w="15" w:type="dxa"/>
              <w:left w:w="15" w:type="dxa"/>
              <w:right w:w="15" w:type="dxa"/>
            </w:tcMa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一、六边形桌</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六边形桌可坐六个学生，尺寸规格:(900X6)X1800X800mm，桌面采用16mm厚环保板。</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工艺及要求：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1、材质桌架采用优质25×25方管，管厚1.2mm，性能符合国家相关标准,管材无裂缝，表面无毛刺、结疤、错位、压痕或划痕。</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2、结构：桌架拆装结构，高强度螺丝连接，桌面与桌架采用高强度防锈自攻丝固定。</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3、焊接：焊点应满焊、均匀、牢固、平整，无漏焊、假焊、裂纹、烧穿、毛刺、表面气孔、夹渣、焊疤堆积等缺陷，焊接后打磨、除刺及抛光。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4、喷涂：采用优质环保产品环氧聚脂塑粉静电喷塑，塑粉应符合GB/T23986中10.3标准。表面光滑平整，色泽均匀，喷塑层无漏喷、起泡、模糊、划痕或碰伤等缺陷。</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二、配套靠椅</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1、座背板采用增强型聚丙烯（PP）经低温一次注射成形，产品具有耐冲击、抗老化、抗氧化，符合国际环保要求。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2、钢管结构采用优质低碳A3冷扎钢管，钢架结构为16×34MM方管,管壁厚度1.5采用二氧化碳保护焊接工艺焊接。</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2.3.3、教师讲台</w:t>
      </w:r>
    </w:p>
    <w:tbl>
      <w:tblPr>
        <w:tblStyle w:val="27"/>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1"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511"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教师讲台</w:t>
            </w:r>
          </w:p>
        </w:tc>
        <w:tc>
          <w:tcPr>
            <w:tcW w:w="8075" w:type="dxa"/>
            <w:tcMar>
              <w:top w:w="15" w:type="dxa"/>
              <w:left w:w="15" w:type="dxa"/>
              <w:right w:w="15" w:type="dxa"/>
            </w:tcMa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桌面采用25MME1生态环保板，钢架采用冷轧钢管，钢架管壁达到1.2MM厚度，钢脚方管50×50mm，桌体采用拆装设计，无螺丝连接，采用狼牙连接件双扣，大扣20mm×10mm，小扣15mm×10mm。整体经打磨、磷化、静电喷塑等工艺加工而成。</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2、桌子采用单层设计，符合人体工程学。</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3、液晶显示器可放于多功能电脑桌台面上，台下配置为悬空冷轧钢主机托架。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4、桌子带走线槽，走线槽内带插座孔。线孔铁皮不得冲穿，以备后用。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5、电脑桌脚用PV静音可调节，钢脚固定落地，用模具成型的专用配件。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6、桌子尺寸定制为：（长*宽*高）1400*600*750mm。</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7、每张教师讲台配桌下柜一个。</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8、配教师电脑椅:黑色PP料背架，高弹力海绵，PP分体固定扶手</w:t>
            </w:r>
            <w:r>
              <w:rPr>
                <w:rFonts w:hint="eastAsia" w:ascii="仿宋_GB2312" w:hAnsi="仿宋_GB2312" w:eastAsia="仿宋_GB2312" w:cs="仿宋_GB2312"/>
                <w:sz w:val="24"/>
                <w:szCs w:val="24"/>
                <w:highlight w:val="none"/>
              </w:rPr>
              <w:t>。</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2.3.4、学生桌（双人桌含方凳）</w:t>
      </w:r>
    </w:p>
    <w:tbl>
      <w:tblPr>
        <w:tblStyle w:val="27"/>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765"/>
        <w:gridCol w:w="8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1" w:type="dxa"/>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8840" w:type="dxa"/>
            <w:gridSpan w:val="2"/>
            <w:tcMar>
              <w:top w:w="15" w:type="dxa"/>
              <w:left w:w="15" w:type="dxa"/>
              <w:right w:w="15" w:type="dxa"/>
            </w:tcMar>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511" w:type="dxa"/>
            <w:tcMar>
              <w:top w:w="15" w:type="dxa"/>
              <w:left w:w="15" w:type="dxa"/>
              <w:right w:w="15" w:type="dxa"/>
            </w:tcMar>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w:t>
            </w:r>
          </w:p>
        </w:tc>
        <w:tc>
          <w:tcPr>
            <w:tcW w:w="765"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学生桌(双人)</w:t>
            </w:r>
          </w:p>
        </w:tc>
        <w:tc>
          <w:tcPr>
            <w:tcW w:w="8075" w:type="dxa"/>
            <w:tcMar>
              <w:top w:w="15" w:type="dxa"/>
              <w:left w:w="15" w:type="dxa"/>
              <w:right w:w="15" w:type="dxa"/>
            </w:tcMa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桌面采用25MME1生态环保板，钢架采用冷轧钢管，钢架管壁达到1.2MM厚度，钢脚方管50×50mm，桌体采用拆装设计，无螺丝连接，采用狼牙连接件双扣，大扣20mm×10mm，小扣15mm×10mm。整体经打磨、磷化、静电喷塑等工艺加工而成。</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2、桌子采用单层设计，符合人体工程学。</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3、液晶显示器可放于多功能电脑桌台面上，台下配置为悬空冷轧钢主机托架。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4、桌子带走线槽，走线槽内带插座孔。线孔铁皮不得冲穿，以备后用。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5、电脑桌脚用PV静音可调节，钢脚固定落地，用模具成型的专用配件。</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6、桌子尺寸定制为：（长*宽*高）1400*600*750mm（双人位）。</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7、参考样式如下：</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color w:val="000000" w:themeColor="text1"/>
                <w:kern w:val="0"/>
                <w:sz w:val="24"/>
                <w:highlight w:val="none"/>
                <w14:textFill>
                  <w14:solidFill>
                    <w14:schemeClr w14:val="tx1"/>
                  </w14:solidFill>
                </w14:textFill>
              </w:rPr>
              <w:drawing>
                <wp:inline distT="0" distB="0" distL="0" distR="0">
                  <wp:extent cx="1122680" cy="977900"/>
                  <wp:effectExtent l="0" t="0" r="5080" b="12700"/>
                  <wp:docPr id="17192210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21068"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138351" cy="991514"/>
                          </a:xfrm>
                          <a:prstGeom prst="rect">
                            <a:avLst/>
                          </a:prstGeom>
                          <a:noFill/>
                          <a:ln>
                            <a:noFill/>
                          </a:ln>
                        </pic:spPr>
                      </pic:pic>
                    </a:graphicData>
                  </a:graphic>
                </wp:inline>
              </w:drawing>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8、每张学生桌配2条方凳。</w:t>
            </w:r>
          </w:p>
        </w:tc>
      </w:tr>
    </w:tbl>
    <w:p>
      <w:pPr>
        <w:rPr>
          <w:rFonts w:hint="eastAsia" w:ascii="仿宋_GB2312" w:hAnsi="仿宋_GB2312" w:eastAsia="仿宋_GB2312" w:cs="仿宋_GB2312"/>
          <w:highlight w:val="none"/>
        </w:rPr>
      </w:pPr>
    </w:p>
    <w:p>
      <w:pPr>
        <w:pStyle w:val="9"/>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2.4、建筑实训机房</w:t>
      </w:r>
    </w:p>
    <w:p>
      <w:pPr>
        <w:pStyle w:val="10"/>
        <w:spacing w:before="0" w:after="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2.4.1、比赛用图形工作站</w:t>
      </w:r>
    </w:p>
    <w:tbl>
      <w:tblPr>
        <w:tblStyle w:val="27"/>
        <w:tblW w:w="961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1281"/>
        <w:gridCol w:w="1907"/>
        <w:gridCol w:w="5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序号</w:t>
            </w:r>
          </w:p>
        </w:tc>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指标编号</w:t>
            </w:r>
          </w:p>
        </w:tc>
        <w:tc>
          <w:tcPr>
            <w:tcW w:w="1281" w:type="dxa"/>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一级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1907"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二级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5005"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具体指标及要求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09" w:type="dxa"/>
            <w:vMerge w:val="restart"/>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CPU信息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主频≥2.4GHz、物理核心数≥20核、末级缓存容量≥30MB、线程数≥20线程，热设计功耗（TDP）≤65W，内存通道≥2通道，位宽≥128 bit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内存配置容量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支持DDR5/LPDDR5/LPDDR5X 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内存条配置数量（板载内存不涉及）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内存读写速率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主板集成模块</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主板芯片组≥Intel Q870；集成资源扩展模块、计算处理模块、音频扩展模块等，主板的互联拓扑可通过处理器或交换电路实现。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主板支持的CPU和内存情况</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支持的CPU类型为：Intel Ultra 5-225/ Intel Ultra 5-235/ Intel Ultra 5-245/ Intel Ultra 7-265/ Intel Ultra 9-285</w:t>
            </w:r>
          </w:p>
          <w:p>
            <w:pPr>
              <w:pStyle w:val="26"/>
              <w:ind w:firstLine="0" w:firstLineChars="0"/>
              <w:rPr>
                <w:rFonts w:hint="eastAsia" w:ascii="仿宋_GB2312" w:hAnsi="仿宋_GB2312" w:eastAsia="仿宋_GB2312" w:cs="仿宋_GB2312"/>
                <w:highlight w:val="none"/>
                <w:lang w:eastAsia="zh-CN" w:bidi="ar-SA"/>
              </w:rPr>
            </w:pPr>
            <w:r>
              <w:rPr>
                <w:rFonts w:hint="eastAsia" w:ascii="仿宋_GB2312" w:hAnsi="仿宋_GB2312" w:eastAsia="仿宋_GB2312" w:cs="仿宋_GB2312"/>
                <w:highlight w:val="none"/>
                <w:lang w:eastAsia="zh-CN" w:bidi="ar-SA"/>
              </w:rPr>
              <w:t>支持的内存类型为：</w:t>
            </w:r>
            <w:r>
              <w:rPr>
                <w:rFonts w:hint="eastAsia" w:ascii="仿宋_GB2312" w:hAnsi="仿宋_GB2312" w:eastAsia="仿宋_GB2312" w:cs="仿宋_GB2312"/>
                <w:highlight w:val="none"/>
                <w:lang w:eastAsia="zh-CN"/>
              </w:rPr>
              <w:t>16GB DDR5 5600/32GB DDR5 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主板内置PCIe 插槽数量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支持数量≥4，其中至少包括一个 PCIex16 和一个PCIex1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主板其他内置接口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SATA3.0接口≥3、M.2接口≥2、USB3.2接口≥8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单内存插槽最大可支持容量（板载内存不涉及）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内存插槽满配时提供的最高内存总容量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机械硬盘数量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存储设备扩展盘位</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M.2 SSD插槽≥2个，HDD硬盘位≥2个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固态存储形态</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选用符合M.2 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存储设备其他参数要求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固态盘应符合SJ/T 11654相关规定；其它参数应符合GB/T 12628相关规定。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独立显卡（应与NVIDA GeForce RTX 5060 8G独立显卡参数相当或优于，原厂原装，不接受拆改加装）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独立显卡显存类型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显存类型应为GDDR7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独立显卡显存位宽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显存位宽≥128位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独立显卡显存容量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显存容量≥8GB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显示屏屏占比</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≥2560 x 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显示屏尺寸</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≥27英寸IPS屏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显示屏屏幕比例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16:9/3:2/21:9/16:10 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显示器外观颜色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显示屏防蓝光</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支持防蓝光模式，蓝光加权辐射亮度比应≤0.012W/(˙cd˙sr)(瓦每坎特拉每球面度）。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显示屏低频闪</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显示屏防炫目</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外设规格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键盘按键数目</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键盘连接方式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键盘键程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2.3mm ~ 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键盘按键压力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按键压力应在 0.54 N±0.14N。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有线键盘连接线</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鼠标连接方式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有线鼠标连接线</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鼠标DPI分辨率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鼠标其他要求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其它参数应符合GB/T 26245的相关规定。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43</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外部接口规格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USB 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≥8个USB 3.2，前置至少1个USB-C接口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视频接口数量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音频接口数量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≥2个前置音频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47</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整机基础规格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整机外观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产品表面不应有凹痕、划伤、裂缝、变形和污染等。表面涂层均匀，不应起泡、龟裂、脱落和磨损，金属零部件无锈蚀及其它机械损伤；b)产品表面说明功能的文字、符号、标志，应清晰、端正、牢固。c）宜在产品显著位置提供运行状态指示功能，并由生产厂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整机结构</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i)各主要部件拆装步骤要少，各自拆装需避免相互干扰；m)对于整机或零部件外表面为高亮面的，应粘贴保护膜，保护膜需粘贴牢固，运输、组装等过程不易脱落，撕下无残留；n)其它要求应符合GB/T 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机箱防护要求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机箱应符合GB/T 4208 中IP20 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整机噪音</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产品工作在空闲状态下，产品的声功率级应不超过4.5Bel。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整机散热</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在环境温度25℃及处理器满载情况下，产品表面温度应符合如下要求：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出风口在机箱后面板情况下，出风口温度不高于55℃；b) 可触及面温度不高于45℃；c) 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整机能效限定值</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产品能效限定值应达到 GB 28380-2012标准中能效等级 2 级及以上（能效值越低消耗电能越少（1 级低于2 级，2 级低于3级））。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机身材质</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机身颜色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机箱尺寸容量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17L≤机箱体积≤40L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CPU物理核数</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核数、线程数≥20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CPU主频</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CPU末级缓存容量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CPU支持的内存最高速率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60</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内存读写速率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61</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≥2560×1440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显卡显示芯片核心频率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显存等效频率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显卡可支持多屏同时显示数量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显卡应支持2块屏幕同时显示，分辨率应不低于1920×1080。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显示屏刷新率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显示屏位深</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显示屏色域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 sRGB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显示屏色准</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显示屏响应时间</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显示屏亮度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≥350尼特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显示屏亮度一致性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显示屏对比度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显示屏其他参数</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其它参数应符合SJ/T 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74</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最高速率应不低于1000Mbps，应支持10Mbps、100Mbps、1000Mbps 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内存扩展接口(板载内存不涉及)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主板USB瞬间</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主板防静电保护</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支持防静电保护功。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I/O 接口功能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提供基于标准USB 接口外设连接功能、基于音频输入输出接口的音频扩展功能、基于PCIe 接口板卡扩展功能、基于HDMI 或VGA 或Type-C 或DVI或DP等接口外接显示器扩展功能、基于存储接口对产品进行增容功能等。产品I/O 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79</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显卡外接显示接口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显卡至少支持VGA、HDMI、DVI、DP、Type-C中1种显示接口，并与显示器接口相匹配。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HDMI≥1个，DP≥1个，随机配备HDMI线，直连主机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显示器支架</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提供多功能显示器支架，支持-5°/22°前后俯仰，155mm垂直升降、360°水平旋转、±90°垂直旋转。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显示器参数调节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a)提供OSD 选单按钮用于调节色彩、模式等；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83</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通过SATA固态存储/PCIe固态存储/UFS 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a)支持网络连接、网络开启/关闭功能；b)支持访问网络和数据交换功能。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数据传输</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网络设备拆装</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外部接口功能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音频接口类型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支持3.5mm 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视频接口类型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HDMI≥1个，DP≥1个，VGA≥1个，所有接口为原生非转接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HDMI、DP、Type-C显示接口要求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电源功能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电源线适配能力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提供高效电源≥500W，能效≥92%，以保证显卡。电源适配器电线组件应符合GB/T15934 的要求，可拆线的插头和连接器可以不做要求。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操作系统及软件功能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提供配套的Windows正版操作系统（非国产系统要求）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中文信息处理要求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 18030 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操作系统备份及还原功能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支持操作系统备份及还原功能（当操作系统分区损坏的情况下，支持操作系统还原到出厂状态）。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固件备份还原能力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操作系统及驱动升级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固件升级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BIOS 支持关闭通讯接口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支持BIOS关闭以太网及USB接口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固件查看信息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固件设置启动顺序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固件设置口令</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固件设置网络引导</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TBW≥80TB（条件：240GB 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机械硬盘寿命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若有，须满足通电时间≥5万小时。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105</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显示屏屏幕失效点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外设可靠性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鼠标按键寿命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键盘鼠标线材寿命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键盘鼠标所用线材经±60°弯折不低于3000次，功能、外观完好（可承受弯折次数越高越耐用）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风扇寿命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整机可靠性要求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电磁兼容性要求的抗扰度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9254.2的规定。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环境条件要求的气候环境适应性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环境条件要求的振动适应性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环境条件要求的冲击适应性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环境条件要求的碰撞适应性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环境条件要求的运输包装件跌落适应性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MTBF 测试</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MTBF(m1)≥100万小时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117</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兼容要求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常用软件兼容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数据库兼容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中间件兼容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平台软件兼容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包装及运输要求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标志、包装、运输和贮存</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配置检查工具</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服务响应</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a）提供产品3年维保及上门服务（满</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足同城4 小时、异地12 小时响应要求）；供应商提供同城15分钟、异地0.5小时技术响应服务，1小时到达客户现场，24小时解决问题，对于未能解决的问题和故障应提供可行的升级方案，并提供周转设备或更换设备</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b）提供政企专线 7▲24 在线服务；</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c）现场保障技术服务团队员，国内上</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门服务地级市覆盖率达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服务周期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支持产品延保≥3年</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提供每年延保服务报价清单</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提供备件服务能力≥6 年（自购买之日）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预装应用软件</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预装商用版智能AI软件，内嵌本地大模型，支持接入DeepSeek 671b满血版AI大模型。同时须支持设备管理+本地模型+云端模型+智能应用，全能AI助手，不断迭代升级AI应用；支持AI助力日常办公（文件模板生成/个人日程管理）、远程会议（智能会议通知/同声传译/实时字幕/智能语音降噪/智能会议纪要）、生产创作（Office自动创作/图像自动化处理/智能生成、编辑音视频）、设备管理（智能系统调优/智能软件/系统升级/智能防护/安全设备管理/环境感知智能切换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培训服务</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典型问题解决手册</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厂家升级软件与扩容服务</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整机质量服务要求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合格证书要求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开箱组装/使用指导要求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驱动下载服务要求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兼容适配软件下载服务要求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134</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供应链合规性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产品部件保障</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供应商保障产品主要部件，提供6年的备件服务能力（自购买之日起），或提供可兼容原设备的升级换代产品。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供应链质量</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抗干扰性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供应能力证明</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137</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5005" w:type="dxa"/>
            <w:vAlign w:val="center"/>
          </w:tcPr>
          <w:p>
            <w:pPr>
              <w:rPr>
                <w:rFonts w:hint="eastAsia" w:ascii="仿宋_GB2312" w:hAnsi="仿宋_GB2312" w:eastAsia="仿宋_GB2312" w:cs="仿宋_GB2312"/>
                <w:b/>
                <w:bCs/>
                <w:color w:val="FF0000"/>
                <w:sz w:val="24"/>
                <w:szCs w:val="24"/>
                <w:highlight w:val="none"/>
              </w:rPr>
            </w:pPr>
            <w:r>
              <w:rPr>
                <w:rFonts w:hint="eastAsia" w:ascii="仿宋_GB2312" w:hAnsi="仿宋_GB2312" w:eastAsia="仿宋_GB2312" w:cs="仿宋_GB2312"/>
                <w:sz w:val="24"/>
                <w:szCs w:val="24"/>
                <w:highlight w:val="none"/>
              </w:rPr>
              <w:t>CPU和操作系统等关键部件应当符合安全可靠测评要求（通过政府有关部门指定的中国信息安全测评中心和国家保密科技测评中心网站查看安全可靠测评结果）。（</w:t>
            </w:r>
            <w:r>
              <w:rPr>
                <w:rFonts w:hint="eastAsia" w:ascii="仿宋_GB2312" w:hAnsi="仿宋_GB2312" w:eastAsia="仿宋_GB2312" w:cs="仿宋_GB2312"/>
                <w:b/>
                <w:bCs/>
                <w:color w:val="FF0000"/>
                <w:sz w:val="24"/>
                <w:szCs w:val="24"/>
                <w:highlight w:val="none"/>
              </w:rPr>
              <w:t>非信创电脑，本条不适用）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密码算法实现</w:t>
            </w:r>
          </w:p>
        </w:tc>
        <w:tc>
          <w:tcPr>
            <w:tcW w:w="5005" w:type="dxa"/>
            <w:vAlign w:val="center"/>
          </w:tcPr>
          <w:p>
            <w:pPr>
              <w:rPr>
                <w:rFonts w:hint="eastAsia" w:ascii="仿宋_GB2312" w:hAnsi="仿宋_GB2312" w:eastAsia="仿宋_GB2312" w:cs="仿宋_GB2312"/>
                <w:b/>
                <w:bCs/>
                <w:color w:val="FF0000"/>
                <w:sz w:val="24"/>
                <w:szCs w:val="24"/>
                <w:highlight w:val="none"/>
              </w:rPr>
            </w:pPr>
            <w:r>
              <w:rPr>
                <w:rFonts w:hint="eastAsia" w:ascii="仿宋_GB2312" w:hAnsi="仿宋_GB2312" w:eastAsia="仿宋_GB2312" w:cs="仿宋_GB2312"/>
                <w:sz w:val="24"/>
                <w:szCs w:val="24"/>
                <w:highlight w:val="none"/>
              </w:rPr>
              <w:t>CPU 芯片应符合 GM/T 0008 的相关规定，或芯片密码模块应符合 GB/T 37092或 GM/T 0028 的相关规定（通过商用密码检测机构检测并经商用密码认证机构认证合格，投标时提供证书）。（</w:t>
            </w:r>
            <w:r>
              <w:rPr>
                <w:rFonts w:hint="eastAsia" w:ascii="仿宋_GB2312" w:hAnsi="仿宋_GB2312" w:eastAsia="仿宋_GB2312" w:cs="仿宋_GB2312"/>
                <w:b/>
                <w:bCs/>
                <w:color w:val="FF0000"/>
                <w:sz w:val="24"/>
                <w:szCs w:val="24"/>
                <w:highlight w:val="none"/>
              </w:rPr>
              <w:t>非信创电脑，本条不适用</w:t>
            </w:r>
            <w:r>
              <w:rPr>
                <w:rFonts w:hint="eastAsia" w:ascii="仿宋_GB2312" w:hAnsi="仿宋_GB2312" w:eastAsia="仿宋_GB2312" w:cs="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 端口管控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 USB 端口管控，可在BIOS中设置三种USB存储设备的使用方式，满足不同的安全等级需求，投标时提供证明材料。</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（1）允许访问所有设备：USB存储设备正常使用。</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（2）只读：USB存储设备只读，不可写入 。</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（3）只允许键鼠设备：仅识别键鼠，不识别USB存储设备。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安全物理锁</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支持安全物理锁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信息安全基本要求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产品应符合 GB/T 39276 的 5.2 的规定；b) 生产厂商应建立漏洞跟踪表，保证产品版本涉及到的漏洞(如驱动程序等)可查看；c) 产品不得包含已知的恶意代码或漏洞，不存在未声明的指令、功能、接口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固件安全启动</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限用物质的限量要求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26572 中规定。</w:t>
            </w:r>
          </w:p>
        </w:tc>
      </w:tr>
    </w:tbl>
    <w:p>
      <w:pPr>
        <w:pStyle w:val="26"/>
        <w:ind w:firstLine="0" w:firstLineChars="0"/>
        <w:rPr>
          <w:rFonts w:hint="eastAsia" w:ascii="仿宋_GB2312" w:hAnsi="仿宋_GB2312" w:eastAsia="仿宋_GB2312" w:cs="仿宋_GB2312"/>
          <w:highlight w:val="none"/>
          <w:lang w:eastAsia="zh-CN" w:bidi="ar-SA"/>
        </w:rPr>
      </w:pPr>
    </w:p>
    <w:p>
      <w:pPr>
        <w:pStyle w:val="26"/>
        <w:ind w:firstLine="24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br w:type="page"/>
      </w: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2.4.2、建筑专业图形工作站</w:t>
      </w:r>
    </w:p>
    <w:tbl>
      <w:tblPr>
        <w:tblStyle w:val="27"/>
        <w:tblW w:w="961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1281"/>
        <w:gridCol w:w="1907"/>
        <w:gridCol w:w="5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序号</w:t>
            </w:r>
          </w:p>
        </w:tc>
        <w:tc>
          <w:tcPr>
            <w:tcW w:w="709"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指标编号</w:t>
            </w:r>
          </w:p>
        </w:tc>
        <w:tc>
          <w:tcPr>
            <w:tcW w:w="1281" w:type="dxa"/>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一级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1907"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二级</w:t>
            </w:r>
          </w:p>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指标</w:t>
            </w:r>
          </w:p>
        </w:tc>
        <w:tc>
          <w:tcPr>
            <w:tcW w:w="5005" w:type="dxa"/>
            <w:vAlign w:val="center"/>
          </w:tcPr>
          <w:p>
            <w:pPr>
              <w:jc w:val="cente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14:textFill>
                  <w14:solidFill>
                    <w14:schemeClr w14:val="tx1"/>
                  </w14:solidFill>
                </w14:textFill>
              </w:rPr>
              <w:t>具体指标及要求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09" w:type="dxa"/>
            <w:vMerge w:val="restart"/>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CPU信息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主频≥2.1GHz、物理核心数≥16核、末级缓存容量≥30MB、线程数≥24线程，热设计功耗（TDP）≤65W，内存通道≥2通道，位宽≥128 bit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内存配置容量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支持DDR4/LPDDR4/LPDDR4X 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内存条配置数量（板载内存不涉及）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内存读写速率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≥2666MT/s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主板集成模块</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集成资源扩展模块、计算处理模块、音频扩展模块等，主板的互联拓扑可通过处理器或交换电路实现。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主板支持的CPU和内存情况</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支持CPU如下：intel 酷睿13代及以上处理器I5-13400/I5-13500/I7-13700/I7-13470</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支持内存：16G DDR4及以上内存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主板内置PCIe 插槽数量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PCIe x16 Gen5插槽≥1个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主板其他内置接口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SATA3.0接口≥3、M.2接口≥2、USB 接口≥10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单内存插槽最大可支持容量（板载内存不涉及）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内存插槽满配时提供的最高内存总容量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≥1TB（总容量）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机械硬盘数量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存储设备扩展盘位</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M.2 SSD插槽≥2个，HDD硬盘位≥2个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固态存储形态</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选用符合M.2 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存储设备其他参数要求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固态盘应符合SJ/T 11654相关规定；其它参数应符合GB/T 12628相关规定。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独立显卡（应与NVIDA GeForce RTX 3060独立显卡参数相当或优于）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独立显卡显存类型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显存类型应为GDDR6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独立显卡显存位宽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显存位宽≥192位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独立显卡显存容量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显存容量≥12GB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显示屏屏占比</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显示屏尺寸</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≥23.8英寸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显示屏屏幕比例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显示器外观颜色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显示屏防蓝光</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支持防蓝光模式，蓝光加权辐射亮度比应≤0.012W/(˙cd˙sr)(瓦每坎特拉每球面度）。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显示屏低频闪</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显示屏防炫目</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显示器镜面反射率≤10%。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外设规格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键盘按键数目</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键盘连接方式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键盘键程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2.3mm ~ 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键盘按键压力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按键压力应在 0.54 N±0.14N。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有线键盘连接线</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鼠标连接方式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有线鼠标连接线</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鼠标DPI分辨率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鼠标其他要求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其它参数应符合GB/T 26245的相关规定。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43</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外部接口规格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USB 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机箱前面板应提供不少于4个USB3.2及以上接口，前后USB总数不少于10个，其中至少包含1个USB Type-C接口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视频接口数量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音频接口数量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≥2，前置音频输入和输出双分离独立设计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47</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整机基础规格</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整机外观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a)产品表面不应有凹痕、划伤、裂缝、变形和污染等。表面涂层均匀，不应起泡、龟裂、脱落和磨损，金属零部件无锈蚀及其它机械损伤；b)产品表面说明功能的文字、符号、标志，应清晰、端正、牢固。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状态指示灯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整机结构</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i)各主要部件拆装步骤要少，各自拆装需避免相互干扰；m)对于整机或零部件外表面为高亮面的，应粘贴保护膜，保护膜需粘贴牢固，运输、组装等过程不易脱落，撕下无残留；n)其它要求应符合GB/T 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机箱防护要求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机箱应符合GB/T 4208 中IP20 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整机噪音</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产品工作在空闲状态下，产品的声功率级应不超过4.5Bel。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整机散热</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在环境温度25℃及处理器满载情况下，产品表面温度应符合如下要求：</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出风口在机箱后面板情况下，出风口温度不高于55℃；b) 可触及面温度不高于45℃；c) 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整机能效限定值</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产品能效限定值应达到 GB 28380-2012标准中能效等级 2 级及以上（能效值越低消耗电能越少（1 级低于2 级，2 级低于3级））。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机身材质</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机身颜色</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机箱尺寸容量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57</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CPU物理核数</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CPU主频</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CPU末级缓存容量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CPU支持的内存最高速率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61</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内存读写速率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≥2666MT/s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62</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显示分辨率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显卡显示芯片核心频率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显存等效频率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显卡可支持多屏同时显示数量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显卡应支持2块屏幕同时显示，分辨率应不低于1920×1080。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显示屏刷新率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显示屏位深</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显示屏色域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 sRGB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显示屏色准</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显示屏响应时间</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显示屏亮度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≥250尼特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显示屏亮度一致性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显示屏对比度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显示屏其他参数</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其它参数应符合SJ/T 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75</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网络设备性能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有线网卡速率</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最高速率应不低于1000Mbps，应支持10Mbps、100Mbps、1000Mbps 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内存扩展接口(板载内存不涉及)</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主板USB瞬间</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主板防静电保护</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支持防静电保护功。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I/O 接口功能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提供基于标准USB 接口外设连接功能、基于音频输入输出接口的音频扩展功能、基于PCIe 接口板卡扩展功能、基于HDMI 或VGA 或Type-C 或DVI或DP等接口外接显示器扩展功能、基于存储接口对产品进行增容功能等。产品I/O 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80</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显卡外接显示接口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显卡至少支持VGA、HDMI、DVI、DP、Type-C中1种显示接口，并与显示器接口相匹配。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81</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bidi="ar"/>
              </w:rPr>
              <w:t>HDMI≥1个，VGA≥1个，随机配备HDMI线，直连主机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显示器支架</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提供显示器支架，支持升降旋转，可俯仰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显示器参数调节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a)提供OSD 选单按钮用于调节色彩、模式等；</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84</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通过SATA固态存储/PCIe固态存储/UFS 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85</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a)支持网络连接、网络开启/关闭功能；b)支持访问网络和数据交换功能。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数据传输</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有线网卡接口类型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网络设备拆装</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89</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外部接口功能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音频接口类型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支持3.5mm 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视频接口类型</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HDMI≥1个，DP≥1个,接口为原生非转接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HDMI、DP、Type-C显示接口要求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92</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电源功能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电源线适配能力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提供高效电源≥500瓦以保证高性能显卡适用。电源适配器电线组件应符合GB/T15934 的要求，可拆线的插头和连接器可以不做要求。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操作系统及软件功能</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提供配套的Windows正版操作系统（非国产系统要求）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中文信息处理要求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 GB 18030 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操作系统备份及还原功能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支持操作系统备份及还原功能（当操作系统分区损坏的情况下，支持操作系统还原到出厂状态）。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固件备份还原能力</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操作系统及驱动升级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固件升级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BIOS 支持关闭通讯接口</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支持BIOS关闭以太网及USB接口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固件查看信息</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固件设置启动顺序</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固件设置口令</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固件设置网络引导</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104</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存储设备可靠性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固态存储寿命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TBW≥80TB（条件：240GB 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机械硬盘寿命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若有，须满足通电时间≥5万小时。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106</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显示设备可靠性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显示屏屏幕失效点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107</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外设可靠性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键盘按键寿命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鼠标按键寿命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键盘鼠标线材寿命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键盘鼠标所用线材经±60°弯折不低于3000次，功能、外观完好（可承受弯折次数越高越耐用）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风扇寿命</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整机可靠性要求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电磁兼容性要求的抗扰度</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9254.2的规定。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环境条件要求的气候环境适应性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环境条件要求的振动适应性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环境条件要求的冲击适应性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环境条件要求的碰撞适应性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环境条件要求的运输包装件跌落适应性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MTBF 测试</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MTBF(m1)≥100万小时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兼容要求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常用软件兼容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数据库兼容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中间件兼容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平台软件兼容</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包装及运输要求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标志、包装、运输和贮存</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123</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配置检查工具</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服务响应</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供应商提供电话、电子邮件、远程连接等多种形式服务；b)供应商提供同城15分钟、异地0.5小时技术响应服务，1小时到达客户现场，24小时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125</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服务周期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设备停产后应继续提供质量保障服务（含备品备件），服务终止时间与最后一批设备交付时间间隔不低于6 年；b) 产品停止服务时间应提前 1 年告知；c) 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预装操作系统</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提供windows正版操作系统。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127</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培训服务</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128</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典型问题解决手册</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厂家升级软件与扩容服务</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整机质量服务要求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合格证书要求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开箱组装/使用指导要求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驱动下载服务要求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134</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兼容适配软件下载服务要求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135</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供应链合规性</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产品部件保障</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供应商保障产品主要部件，提供6年的备件服务能力（自购买之日起），或提供可兼容原设备的升级换代产品。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136</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供应链质量</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抗干扰性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136</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供应能力证明</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供应商提供供应链稳定承诺书，确保产品的部件在产品服务周期内稳定供货。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137</w:t>
            </w:r>
          </w:p>
        </w:tc>
        <w:tc>
          <w:tcPr>
            <w:tcW w:w="1281"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关键部件安全要求</w:t>
            </w:r>
          </w:p>
        </w:tc>
        <w:tc>
          <w:tcPr>
            <w:tcW w:w="5005" w:type="dxa"/>
            <w:vAlign w:val="center"/>
          </w:tcPr>
          <w:p>
            <w:pPr>
              <w:rPr>
                <w:rFonts w:hint="eastAsia" w:ascii="仿宋_GB2312" w:hAnsi="仿宋_GB2312" w:eastAsia="仿宋_GB2312" w:cs="仿宋_GB2312"/>
                <w:b/>
                <w:bCs/>
                <w:color w:val="FF0000"/>
                <w:sz w:val="24"/>
                <w:szCs w:val="24"/>
                <w:highlight w:val="none"/>
              </w:rPr>
            </w:pPr>
            <w:r>
              <w:rPr>
                <w:rFonts w:hint="eastAsia" w:ascii="仿宋_GB2312" w:hAnsi="仿宋_GB2312" w:eastAsia="仿宋_GB2312" w:cs="仿宋_GB2312"/>
                <w:sz w:val="24"/>
                <w:szCs w:val="24"/>
                <w:highlight w:val="none"/>
              </w:rPr>
              <w:t>CPU和操作系统等关键部件应当符合安全可靠测评要求（通过政府有关部门指定的中国信息安全测评中心和国家保密科技测评中心网站查看安全可靠测评结果）。（</w:t>
            </w:r>
            <w:r>
              <w:rPr>
                <w:rFonts w:hint="eastAsia" w:ascii="仿宋_GB2312" w:hAnsi="仿宋_GB2312" w:eastAsia="仿宋_GB2312" w:cs="仿宋_GB2312"/>
                <w:b/>
                <w:bCs/>
                <w:color w:val="FF0000"/>
                <w:sz w:val="24"/>
                <w:szCs w:val="24"/>
                <w:highlight w:val="none"/>
              </w:rPr>
              <w:t>非信创电脑，本条不适用）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138</w:t>
            </w:r>
          </w:p>
        </w:tc>
        <w:tc>
          <w:tcPr>
            <w:tcW w:w="1281" w:type="dxa"/>
            <w:vMerge w:val="restart"/>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安全要求</w:t>
            </w: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密码算法实现</w:t>
            </w:r>
          </w:p>
        </w:tc>
        <w:tc>
          <w:tcPr>
            <w:tcW w:w="5005" w:type="dxa"/>
            <w:vAlign w:val="center"/>
          </w:tcPr>
          <w:p>
            <w:pPr>
              <w:rPr>
                <w:rFonts w:hint="eastAsia" w:ascii="仿宋_GB2312" w:hAnsi="仿宋_GB2312" w:eastAsia="仿宋_GB2312" w:cs="仿宋_GB2312"/>
                <w:b/>
                <w:bCs/>
                <w:color w:val="FF0000"/>
                <w:sz w:val="24"/>
                <w:szCs w:val="24"/>
                <w:highlight w:val="none"/>
              </w:rPr>
            </w:pPr>
            <w:r>
              <w:rPr>
                <w:rFonts w:hint="eastAsia" w:ascii="仿宋_GB2312" w:hAnsi="仿宋_GB2312" w:eastAsia="仿宋_GB2312" w:cs="仿宋_GB2312"/>
                <w:sz w:val="24"/>
                <w:szCs w:val="24"/>
                <w:highlight w:val="none"/>
              </w:rPr>
              <w:t>CPU 芯片应符合 GM/T 0008 的相关规定，或芯片密码模块应符合 GB/T 37092或 GM/T 0028 的相关规定（通过商用密码检测机构检测并经商用密码认证机构认证合格，投标时提供证书）。（</w:t>
            </w:r>
            <w:r>
              <w:rPr>
                <w:rFonts w:hint="eastAsia" w:ascii="仿宋_GB2312" w:hAnsi="仿宋_GB2312" w:eastAsia="仿宋_GB2312" w:cs="仿宋_GB2312"/>
                <w:b/>
                <w:bCs/>
                <w:color w:val="FF0000"/>
                <w:sz w:val="24"/>
                <w:szCs w:val="24"/>
                <w:highlight w:val="none"/>
              </w:rPr>
              <w:t>非信创电脑，本条不适用</w:t>
            </w:r>
            <w:r>
              <w:rPr>
                <w:rFonts w:hint="eastAsia" w:ascii="仿宋_GB2312" w:hAnsi="仿宋_GB2312" w:eastAsia="仿宋_GB2312" w:cs="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139</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USB端口管控</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支持USB端口管控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140</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安全物理锁</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支持安全物理锁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141</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信息安全基本要求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 产品应符合 GB/T 39276 的 5.2 的规定；b) 生产厂商应建立漏洞跟踪表，保证产品版本涉及到的漏洞(如驱动程序等)可查看；c) 产品不得包含已知的恶意代码或漏洞，不存在未声明的指令、功能、接口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142</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固件安全启动</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09" w:type="dxa"/>
            <w:vMerge w:val="continue"/>
            <w:vAlign w:val="center"/>
          </w:tcPr>
          <w:p>
            <w:pPr>
              <w:jc w:val="center"/>
              <w:rPr>
                <w:rFonts w:hint="eastAsia" w:ascii="仿宋_GB2312" w:hAnsi="仿宋_GB2312" w:eastAsia="仿宋_GB2312" w:cs="仿宋_GB2312"/>
                <w:sz w:val="24"/>
                <w:szCs w:val="24"/>
                <w:highlight w:val="none"/>
              </w:rPr>
            </w:pPr>
          </w:p>
        </w:tc>
        <w:tc>
          <w:tcPr>
            <w:tcW w:w="70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143</w:t>
            </w:r>
          </w:p>
        </w:tc>
        <w:tc>
          <w:tcPr>
            <w:tcW w:w="1281" w:type="dxa"/>
            <w:vMerge w:val="continue"/>
            <w:vAlign w:val="center"/>
          </w:tcPr>
          <w:p>
            <w:pPr>
              <w:rPr>
                <w:rFonts w:hint="eastAsia" w:ascii="仿宋_GB2312" w:hAnsi="仿宋_GB2312" w:eastAsia="仿宋_GB2312" w:cs="仿宋_GB2312"/>
                <w:sz w:val="24"/>
                <w:szCs w:val="24"/>
                <w:highlight w:val="none"/>
              </w:rPr>
            </w:pPr>
          </w:p>
        </w:tc>
        <w:tc>
          <w:tcPr>
            <w:tcW w:w="1907"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限用物质的限量要求</w:t>
            </w:r>
          </w:p>
        </w:tc>
        <w:tc>
          <w:tcPr>
            <w:tcW w:w="5005" w:type="dxa"/>
            <w:vAlign w:val="center"/>
          </w:tcPr>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符合GB/T 26572 中规定。</w:t>
            </w:r>
          </w:p>
        </w:tc>
      </w:tr>
    </w:tbl>
    <w:p>
      <w:pPr>
        <w:rPr>
          <w:rFonts w:hint="eastAsia" w:ascii="仿宋_GB2312" w:hAnsi="仿宋_GB2312" w:eastAsia="仿宋_GB2312" w:cs="仿宋_GB2312"/>
          <w:highlight w:val="none"/>
        </w:rPr>
      </w:pPr>
    </w:p>
    <w:p>
      <w:pPr>
        <w:pStyle w:val="26"/>
        <w:ind w:firstLine="240"/>
        <w:rPr>
          <w:rFonts w:hint="eastAsia" w:ascii="仿宋_GB2312" w:hAnsi="仿宋_GB2312" w:eastAsia="仿宋_GB2312" w:cs="仿宋_GB2312"/>
          <w:highlight w:val="none"/>
          <w:lang w:eastAsia="zh-CN" w:bidi="ar-SA"/>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2.4.3、图形工作站显示器</w:t>
      </w:r>
    </w:p>
    <w:tbl>
      <w:tblPr>
        <w:tblStyle w:val="27"/>
        <w:tblW w:w="949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blHeader/>
        </w:trPr>
        <w:tc>
          <w:tcPr>
            <w:tcW w:w="851" w:type="dxa"/>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序号</w:t>
            </w:r>
          </w:p>
        </w:tc>
        <w:tc>
          <w:tcPr>
            <w:tcW w:w="8647" w:type="dxa"/>
            <w:vAlign w:val="center"/>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1" w:type="dxa"/>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szCs w:val="24"/>
                <w:highlight w:val="none"/>
                <w:lang w:bidi="ar"/>
              </w:rPr>
            </w:pPr>
            <w:r>
              <w:rPr>
                <w:rFonts w:hint="eastAsia" w:ascii="仿宋_GB2312" w:hAnsi="仿宋_GB2312" w:eastAsia="仿宋_GB2312" w:cs="仿宋_GB2312"/>
                <w:kern w:val="0"/>
                <w:sz w:val="24"/>
                <w:szCs w:val="24"/>
                <w:highlight w:val="none"/>
                <w:lang w:bidi="ar"/>
              </w:rPr>
              <w:t>17</w:t>
            </w:r>
          </w:p>
        </w:tc>
        <w:tc>
          <w:tcPr>
            <w:tcW w:w="8647"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1、尺寸：≧23.8英寸全高清；</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2、边框：窄边框设计，178°广视角；</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3、分辨率：1920X1080全高清；</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4、接口：VGA+HDMI双接口；</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5、刷新率：100Hz；</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6、对比度：3000:1</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sz w:val="24"/>
                <w:szCs w:val="24"/>
                <w:highlight w:val="none"/>
              </w:rPr>
              <w:t>7、本次采购的工作站显示器需与图型工作站同一品牌</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2.4.4、学生电脑桌凳</w:t>
      </w:r>
    </w:p>
    <w:tbl>
      <w:tblPr>
        <w:tblStyle w:val="27"/>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blHeader/>
        </w:trPr>
        <w:tc>
          <w:tcPr>
            <w:tcW w:w="851" w:type="dxa"/>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序号</w:t>
            </w:r>
          </w:p>
        </w:tc>
        <w:tc>
          <w:tcPr>
            <w:tcW w:w="8789" w:type="dxa"/>
            <w:vAlign w:val="center"/>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1" w:type="dxa"/>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szCs w:val="24"/>
                <w:highlight w:val="none"/>
                <w:lang w:bidi="ar"/>
              </w:rPr>
            </w:pPr>
            <w:r>
              <w:rPr>
                <w:rFonts w:hint="eastAsia" w:ascii="仿宋_GB2312" w:hAnsi="仿宋_GB2312" w:eastAsia="仿宋_GB2312" w:cs="仿宋_GB2312"/>
                <w:kern w:val="0"/>
                <w:sz w:val="24"/>
                <w:szCs w:val="24"/>
                <w:highlight w:val="none"/>
                <w:lang w:bidi="ar"/>
              </w:rPr>
              <w:t>18</w:t>
            </w:r>
          </w:p>
        </w:tc>
        <w:tc>
          <w:tcPr>
            <w:tcW w:w="8789"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一、学生电脑桌</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1、结构：钢木结合型</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2、外观尺寸：≧1100mm*600mm*750mm</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3、材质：</w:t>
            </w:r>
          </w:p>
          <w:p>
            <w:pPr>
              <w:spacing w:line="360" w:lineRule="auto"/>
              <w:ind w:left="420" w:left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1）桌体及桌腿采用优质0.8-1.2mm冷轧钢板和50*15mm矩形管弯曲蝴蝶形一体成型设计，桌面面板采用E1级或以上优质环保双饰面板，抗弯性能强，不易变形。甲醛含量≤1.4MG/L，颜色为木纹色（颜色可选）。</w:t>
            </w:r>
          </w:p>
          <w:p>
            <w:pPr>
              <w:numPr>
                <w:ilvl w:val="0"/>
                <w:numId w:val="4"/>
              </w:numPr>
              <w:spacing w:line="360" w:lineRule="auto"/>
              <w:ind w:left="420" w:left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桌面面材:选用优质防火板。</w:t>
            </w:r>
          </w:p>
          <w:p>
            <w:pPr>
              <w:pStyle w:val="26"/>
              <w:numPr>
                <w:ilvl w:val="0"/>
                <w:numId w:val="4"/>
              </w:numPr>
              <w:ind w:left="420"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桌面基材: 板材材质为优质MFC环保双面板饰面，具有防火、防刮、耐磨等特点的防火板，厚度为≧25mm，甲醛释放量经国家人造板质量监督中心检测（穿孔值）≤1.8mg/100g，基本接近木材本身的甲醛量；封边采用≥1.5mm厚Pvc封边。所用基材及防火板材料符合国家环保标准（E1级）。</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4、工艺：箱体部分经激光切割、模具冲压、折弯组焊接、喷涂、装配而成。焊接部分采用高标准熔接焊 确保表面平整光滑，焊接点牢周、无虚焊。底板及侧板预留穿线孔。</w:t>
            </w:r>
          </w:p>
          <w:p>
            <w:pPr>
              <w:pStyle w:val="26"/>
              <w:ind w:firstLine="0" w:firstLineChars="0"/>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eastAsia="zh-CN"/>
              </w:rPr>
              <w:t>二、学生电脑凳</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1、规格：≧长度340*宽度240mm*高度450mm</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2、方管采用：≧25*25mn和20*20mm</w:t>
            </w:r>
          </w:p>
          <w:p>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3、凳面面板采用E0级优质环保双饰面板，抗弯性能强，不易变形。</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4、整体要求：甲醛含量≤1.4MG/L，凳面颜色与桌面木面板颜色一致。</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2.4.5、教师电脑桌椅</w:t>
      </w:r>
    </w:p>
    <w:tbl>
      <w:tblPr>
        <w:tblStyle w:val="27"/>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tblHeader/>
        </w:trPr>
        <w:tc>
          <w:tcPr>
            <w:tcW w:w="851" w:type="dxa"/>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序号</w:t>
            </w:r>
          </w:p>
        </w:tc>
        <w:tc>
          <w:tcPr>
            <w:tcW w:w="8789" w:type="dxa"/>
            <w:vAlign w:val="center"/>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1" w:type="dxa"/>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szCs w:val="24"/>
                <w:highlight w:val="none"/>
                <w:lang w:bidi="ar"/>
              </w:rPr>
            </w:pPr>
            <w:r>
              <w:rPr>
                <w:rFonts w:hint="eastAsia" w:ascii="仿宋_GB2312" w:hAnsi="仿宋_GB2312" w:eastAsia="仿宋_GB2312" w:cs="仿宋_GB2312"/>
                <w:kern w:val="0"/>
                <w:sz w:val="24"/>
                <w:szCs w:val="24"/>
                <w:highlight w:val="none"/>
                <w:lang w:bidi="ar"/>
              </w:rPr>
              <w:t>19</w:t>
            </w:r>
          </w:p>
        </w:tc>
        <w:tc>
          <w:tcPr>
            <w:tcW w:w="8789" w:type="dxa"/>
            <w:tcBorders>
              <w:top w:val="single" w:color="auto" w:sz="4" w:space="0"/>
              <w:left w:val="single" w:color="auto" w:sz="4" w:space="0"/>
              <w:bottom w:val="single" w:color="auto" w:sz="4" w:space="0"/>
              <w:right w:val="single" w:color="auto" w:sz="4" w:space="0"/>
            </w:tcBorders>
          </w:tcPr>
          <w:p>
            <w:pPr>
              <w:pStyle w:val="26"/>
              <w:ind w:firstLine="0" w:firstLineChars="0"/>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eastAsia="zh-CN"/>
              </w:rPr>
              <w:t>一、教师电脑桌</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1、电脑桌尺寸为：≧ 1400mm*700mm*1000mm(左右*前后*桌面/外围高度)，环抱圆弧式设计；</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2、采用钢木结合。冷轧钢板桌体，钢板厚度0.8mm -1.2mm，边角采用R80的圆弧式设计，钣金全部通过酸洗磷化静电喷涂后再进行高温烘烤，防锈，喷涂工艺符合GB22374-2018 涂装材料标准。</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3、桌面立面包围处采用钢板压型工艺作为装饰，桌面板厚度≧18mm，基材采用E0级或以上耐刮高密度板，颜色为浅木纹色；桌面防静电，全封闭设计，整体外观流线型设计，无菱角处理。</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4、背板（面向学生方向）为E0级或以上耐刮高密度板结构，中间位置采用厚度为≧18mm，颜色为木纹色，内置隐藏式螺丝安装，正前方可贴学校校徽（学校LOGO）。</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5、讲台在讲桌正面配备安装检修门，内置隐藏式螺丝安装。方便打开设备柜进行维护工作，讲桌箱体可放电脑主机。</w:t>
            </w:r>
          </w:p>
          <w:p>
            <w:pPr>
              <w:pStyle w:val="26"/>
              <w:ind w:firstLine="0" w:firstLineChars="0"/>
              <w:rPr>
                <w:rFonts w:hint="eastAsia" w:ascii="仿宋_GB2312" w:hAnsi="仿宋_GB2312" w:eastAsia="仿宋_GB2312" w:cs="仿宋_GB2312"/>
                <w:highlight w:val="none"/>
                <w:lang w:eastAsia="zh-CN"/>
              </w:rPr>
            </w:pPr>
          </w:p>
          <w:p>
            <w:pP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二、教师电脑椅</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1、黑色PP料背架，高弹力海绵，PP分体固定扶手</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2.4.6、万兆接入交换机</w:t>
      </w:r>
    </w:p>
    <w:tbl>
      <w:tblPr>
        <w:tblStyle w:val="27"/>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blHeader/>
        </w:trPr>
        <w:tc>
          <w:tcPr>
            <w:tcW w:w="851" w:type="dxa"/>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序号</w:t>
            </w:r>
          </w:p>
        </w:tc>
        <w:tc>
          <w:tcPr>
            <w:tcW w:w="8789" w:type="dxa"/>
            <w:vAlign w:val="center"/>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1" w:type="dxa"/>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szCs w:val="24"/>
                <w:highlight w:val="none"/>
                <w:lang w:bidi="ar"/>
              </w:rPr>
            </w:pPr>
            <w:r>
              <w:rPr>
                <w:rFonts w:hint="eastAsia" w:ascii="仿宋_GB2312" w:hAnsi="仿宋_GB2312" w:eastAsia="仿宋_GB2312" w:cs="仿宋_GB2312"/>
                <w:kern w:val="0"/>
                <w:sz w:val="24"/>
                <w:szCs w:val="24"/>
                <w:highlight w:val="none"/>
                <w:lang w:bidi="ar"/>
              </w:rPr>
              <w:t>20</w:t>
            </w:r>
          </w:p>
        </w:tc>
        <w:tc>
          <w:tcPr>
            <w:tcW w:w="8789" w:type="dxa"/>
            <w:tcBorders>
              <w:top w:val="single" w:color="auto" w:sz="4" w:space="0"/>
              <w:left w:val="single" w:color="auto" w:sz="4" w:space="0"/>
              <w:bottom w:val="single" w:color="auto" w:sz="4" w:space="0"/>
              <w:right w:val="single" w:color="auto" w:sz="4" w:space="0"/>
            </w:tcBorders>
          </w:tcPr>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1、△性能：交换容量≥672Gbps；转发性能≥171Mpps （提供官网截图）</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2、端口形态：≥24个千兆电口，≥4个万兆光口</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3、表项：路由表≥1K，ARP≥1K，MAC≥16K</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4、最大堆叠台数≥9台，最大堆叠带宽≥80G，支持跨设备链路聚合，单一IP管理</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5、VLAN特性：支持基于端口的VLAN、QinQ、Voice VLAN、协议VLAN、MAC VLAN、最大VLAN数(不是VLAN ID) ≥4094</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6、路由协议：支持IPv4静态路由、RIP V1/V2、OSPF V1/V2/V3</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7、可靠性：支持Smartlink、支持RSTP功能、支持MSTP功能、支持PVST功能</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8、支持基于第二层、第三层和第四层的ACL；</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9、安全特性：支持用户分级管理和口令保护、支持SSH2.0、支持端口隔离、支持 802.1X、支持端口安全、支持MAC地址认证、支持IP Source Guard</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10、管理和维护：支持SNMP V1/V2/V3、RMON、SSHV2</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11、采用无风扇静音设计</w:t>
            </w:r>
            <w:r>
              <w:rPr>
                <w:rFonts w:hint="eastAsia" w:ascii="仿宋_GB2312" w:hAnsi="仿宋_GB2312" w:eastAsia="仿宋_GB2312" w:cs="仿宋_GB2312"/>
                <w:sz w:val="24"/>
                <w:szCs w:val="24"/>
                <w:highlight w:val="none"/>
              </w:rPr>
              <w:t>。</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2.4.7、千兆接入交换机</w:t>
      </w:r>
    </w:p>
    <w:tbl>
      <w:tblPr>
        <w:tblStyle w:val="27"/>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blHeader/>
        </w:trPr>
        <w:tc>
          <w:tcPr>
            <w:tcW w:w="851" w:type="dxa"/>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序号</w:t>
            </w:r>
          </w:p>
        </w:tc>
        <w:tc>
          <w:tcPr>
            <w:tcW w:w="8789" w:type="dxa"/>
            <w:vAlign w:val="center"/>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1" w:type="dxa"/>
            <w:tcBorders>
              <w:top w:val="single" w:color="auto" w:sz="4" w:space="0"/>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szCs w:val="24"/>
                <w:highlight w:val="none"/>
                <w:lang w:bidi="ar"/>
              </w:rPr>
            </w:pPr>
            <w:r>
              <w:rPr>
                <w:rFonts w:hint="eastAsia" w:ascii="仿宋_GB2312" w:hAnsi="仿宋_GB2312" w:eastAsia="仿宋_GB2312" w:cs="仿宋_GB2312"/>
                <w:kern w:val="0"/>
                <w:sz w:val="24"/>
                <w:szCs w:val="24"/>
                <w:highlight w:val="none"/>
                <w:lang w:bidi="ar"/>
              </w:rPr>
              <w:t>21</w:t>
            </w:r>
          </w:p>
        </w:tc>
        <w:tc>
          <w:tcPr>
            <w:tcW w:w="8789" w:type="dxa"/>
            <w:tcBorders>
              <w:top w:val="single" w:color="auto" w:sz="4" w:space="0"/>
              <w:left w:val="single" w:color="auto" w:sz="4" w:space="0"/>
              <w:bottom w:val="single" w:color="auto" w:sz="4" w:space="0"/>
              <w:right w:val="single" w:color="auto" w:sz="4" w:space="0"/>
            </w:tcBorders>
          </w:tcPr>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 xml:space="preserve">1、性能：交换容量≥672Gbps；转发性能≥126Mpps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highlight w:val="none"/>
                <w:lang w:eastAsia="zh-CN"/>
              </w:rPr>
              <w:t xml:space="preserve"> </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2、端口形态：≥24个千兆电口，≥4个千兆光口</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3、表项：路由表≥1K，ARP≥1K，MAC≥16K</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4、最大堆叠台数≥9台，最大堆叠带宽≥80G，支持跨设备链路聚合，单一IP管理</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5、VLAN特性：支持基于端口的VLAN、QinQ、Voice VLAN、协议VLAN、MAC VLAN、最大VLAN数(不是VLAN ID) ≥4094</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6、路由协议：支持IPv4静态路由、RIP V1/V2、OSPF V1/V2/V3</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7、可靠性：支持Smartlink、支持RSTP功能、支持MSTP功能、支持PVST功能</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8、支持基于第二层、第三层和第四层的ACL</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9、安全特性：支持用户分级管理和口令保护、支持SSH2.0、支持端口隔离、支持 802.1X、支持端口安全、支持MAC地址认证、支持IP Source Guard</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10、支持Telemetry技术</w:t>
            </w:r>
            <w:r>
              <w:rPr>
                <w:rFonts w:hint="eastAsia" w:ascii="仿宋_GB2312" w:hAnsi="仿宋_GB2312" w:eastAsia="仿宋_GB2312" w:cs="仿宋_GB2312"/>
                <w:sz w:val="24"/>
                <w:szCs w:val="24"/>
                <w:highlight w:val="none"/>
              </w:rPr>
              <w:t>。</w:t>
            </w:r>
          </w:p>
          <w:p>
            <w:pPr>
              <w:pStyle w:val="26"/>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11、采用无风扇静音设计</w:t>
            </w:r>
            <w:r>
              <w:rPr>
                <w:rFonts w:hint="eastAsia" w:ascii="仿宋_GB2312" w:hAnsi="仿宋_GB2312" w:eastAsia="仿宋_GB2312" w:cs="仿宋_GB2312"/>
                <w:sz w:val="24"/>
                <w:szCs w:val="24"/>
                <w:highlight w:val="none"/>
              </w:rPr>
              <w:t>。</w:t>
            </w:r>
          </w:p>
        </w:tc>
      </w:tr>
    </w:tbl>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2.4.8、教学管理软件</w:t>
      </w:r>
    </w:p>
    <w:tbl>
      <w:tblPr>
        <w:tblStyle w:val="28"/>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85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spacing w:line="360" w:lineRule="auto"/>
              <w:jc w:val="center"/>
              <w:rPr>
                <w:rFonts w:hint="eastAsia" w:ascii="仿宋_GB2312" w:hAnsi="仿宋_GB2312" w:eastAsia="仿宋_GB2312" w:cs="仿宋_GB2312"/>
                <w:b/>
                <w:bCs/>
                <w:kern w:val="0"/>
                <w:sz w:val="24"/>
                <w:szCs w:val="24"/>
                <w:highlight w:val="none"/>
                <w:lang w:bidi="ar"/>
              </w:rPr>
            </w:pPr>
            <w:r>
              <w:rPr>
                <w:rFonts w:hint="eastAsia" w:ascii="仿宋_GB2312" w:hAnsi="仿宋_GB2312" w:eastAsia="仿宋_GB2312" w:cs="仿宋_GB2312"/>
                <w:b/>
                <w:bCs/>
                <w:kern w:val="0"/>
                <w:sz w:val="24"/>
                <w:szCs w:val="24"/>
                <w:highlight w:val="none"/>
                <w:lang w:bidi="ar"/>
              </w:rPr>
              <w:t>序号</w:t>
            </w:r>
          </w:p>
        </w:tc>
        <w:tc>
          <w:tcPr>
            <w:tcW w:w="851" w:type="dxa"/>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kern w:val="0"/>
                <w:sz w:val="24"/>
                <w:szCs w:val="24"/>
                <w:highlight w:val="none"/>
                <w:lang w:bidi="ar"/>
              </w:rPr>
              <w:t>指标编号</w:t>
            </w:r>
          </w:p>
        </w:tc>
        <w:tc>
          <w:tcPr>
            <w:tcW w:w="7938" w:type="dxa"/>
            <w:vAlign w:val="center"/>
          </w:tcPr>
          <w:p>
            <w:pPr>
              <w:spacing w:line="360" w:lineRule="auto"/>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kern w:val="0"/>
                <w:sz w:val="24"/>
                <w:szCs w:val="24"/>
                <w:highlight w:val="none"/>
                <w:lang w:bidi="ar"/>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w:t>
            </w:r>
          </w:p>
        </w:tc>
        <w:tc>
          <w:tcPr>
            <w:tcW w:w="851" w:type="dxa"/>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w:t>
            </w:r>
          </w:p>
        </w:tc>
        <w:tc>
          <w:tcPr>
            <w:tcW w:w="7938" w:type="dxa"/>
          </w:tcPr>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课堂教学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屏幕广播：将教师机屏幕和教师讲话实时广播给单一、部分或全体学生，可选择全屏或窗口方式。窗口模式下或教师机与学生机分辨率不同情况下，学生机可以以不同的窗口方式接收广播。</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共享白板：教师可共享白板、桌面或图片与选定的学生共同完成相同的学习任务或绘画作品，提供学生也可以单独完成。</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网络影院：实现教师机播放的视频同步广播到学生机。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4</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语音广播：将教师机麦克风的声音广播给学生，教学过程中，可以请任何一位已登录的学生发言，其他学生和教师收听该学生发言。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5</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学生演示：教师可选定一台学生机作为示范，由此学生代替教师进行示范教学。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6</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分组教学：教师分派组长执行指定的功能，组长代替教师进行小组教学，小组不需要再临时创建，可以直接使用既有分组信息，教师可以监控每个分组的教学过程，以了解分组教学的进度。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7</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屏幕录制：教师机可以将本地的操作和讲解过程录制为ASF录像文件，可以用 Windows 自带的 Media Player 直接播放。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8</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学生端屏幕录制、回放：学生端接收教师端广播的时候可以自动录制教师机广播教学的过程，课后可以重复观看学习。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9</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文件分发：允许教师将教师机不同盘符中的目录或文件一起发送至学生机的某目录下。目录不存在自动新建此目录；盘符不存在或路径非法不允许分发；文件已存在选择自动覆盖或保留原始文件。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10</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11</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网络快照：教师可以在监控学生的时候，对学生画面拍快照，保存学生画面的截图。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12</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多频道教学：支持多达32个频道的划分，一个教师可对单个班级或多个班级同时上课；多个教师可同时对多个班级进行不同内容的教学。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二</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教学评测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13</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试卷编辑：教师能够在家中编辑试题，试题类型支持单选、多选、判断、简答，可插入图片，设置试卷名称、教师名称、班级、考试时间和总分。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14</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阅卷评分：收取的试卷系统可自动评分，教师添加批注，查看柱状图显示的考试统计结果，并能够将评分结果以网页形式发送给相应的学生。</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15</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答题卡考试：教师导入Word、PPT、Excel、PDF等文档类型的考试内容共享给学生，直接生成答题卡用于学生作答，包含多种不同的题型：多选题，判断题，填空题和论述题。</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三</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课堂管理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16</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签到：提供学生名单管理工具，为软件和考试模块提供实名验证。提供点名功能，支持保留学生多次登录记录、考勤统计、签到信息的导出与对比。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17</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班级模型：有单独的管理界面，实现对班级模型的统一管理，并能够导入、导出，调用不同网络教室中的班级模型。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18</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 xml:space="preserve"> U盘限制：对U盘访问权限的设定（完全开放、只读、只写、完全限制），有效控制学生使用U盘，防止资料的流失和病毒的引入。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19</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网页限制：设定学生访问网站的黑名单或白名单，对学生可以访问的Internet站点进行管理。支持多浏览器限制，如QQ、IE、谷歌、360、遨游等浏览器。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20</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程序限制：通过各种策略的应用，可防止学生在教学过程中打游戏，或使用QQ，MSN等聊天工具，支持限制U盘，网络映射盘，硬盘虚拟盘，虚拟光盘，内存虚拟盘里的程序。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21</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学生端属性查看：教师可以获取学生端计算机的名称、登录名和其它常用信息，并可以列出学生端的应用程序、进程和进程 ID，教师还可以远程终止学生端的进程。</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22</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系统日志：显示和自动保存系统运行过程中的关键事件，包括学生登录登出，资源不足，提交文件等。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60" w:lineRule="auto"/>
              <w:jc w:val="center"/>
              <w:rPr>
                <w:rFonts w:hint="eastAsia" w:ascii="仿宋_GB2312" w:hAnsi="仿宋_GB2312" w:eastAsia="仿宋_GB2312" w:cs="仿宋_GB2312"/>
                <w:color w:val="000000"/>
                <w:sz w:val="24"/>
                <w:szCs w:val="24"/>
                <w:highlight w:val="none"/>
              </w:rPr>
            </w:pPr>
          </w:p>
        </w:tc>
        <w:tc>
          <w:tcPr>
            <w:tcW w:w="851" w:type="dxa"/>
            <w:vAlign w:val="center"/>
          </w:tcPr>
          <w:p>
            <w:pPr>
              <w:spacing w:line="360" w:lineRule="auto"/>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23</w:t>
            </w:r>
          </w:p>
        </w:tc>
        <w:tc>
          <w:tcPr>
            <w:tcW w:w="7938" w:type="dxa"/>
          </w:tcPr>
          <w:p>
            <w:pPr>
              <w:spacing w:line="360" w:lineRule="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color w:val="000000"/>
                <w:sz w:val="24"/>
                <w:szCs w:val="24"/>
                <w:highlight w:val="none"/>
              </w:rPr>
              <w:t>其他：含41个点位</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2.4.9、同传还原软件</w:t>
      </w:r>
    </w:p>
    <w:tbl>
      <w:tblPr>
        <w:tblStyle w:val="28"/>
        <w:tblW w:w="963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85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序号</w:t>
            </w:r>
          </w:p>
        </w:tc>
        <w:tc>
          <w:tcPr>
            <w:tcW w:w="851"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指标编号</w:t>
            </w:r>
          </w:p>
        </w:tc>
        <w:tc>
          <w:tcPr>
            <w:tcW w:w="7938" w:type="dxa"/>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restart"/>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23</w:t>
            </w: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w:t>
            </w:r>
          </w:p>
        </w:tc>
        <w:tc>
          <w:tcPr>
            <w:tcW w:w="7938" w:type="dxa"/>
          </w:tcPr>
          <w:p>
            <w:pPr>
              <w:spacing w:line="360" w:lineRule="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支持B /S管理架构，可通过移动设备通过网页方式对机房进行远程管理，包括远程开关机、时间同步、系统切换、消息广播等操作；（提供第三方检测机构出具的具备CNAS标识的产品功能测试报告）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支持对Ubuntu、Redhat、Centos、Fedora等系统的立即还原和ip地址自动分配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3</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支持电脑本地硬盘操作系统（xp\win7\win8\win10\linux）的立即还原和还原点瞬间创建(提供功能界面截图)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4</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支持MBR分区系统和GPT分区系统混合安装,可支持60个以上的不同操作系统。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5</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支持对客户端内多块硬盘进行分区、系统装载、还原、还原方式设置，满足多硬盘系统还原和管理；（提供第三方检测机构出具的具备CNAS标识的产品功能测试报告）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6</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支持从WINDOWS界面对1000台以上的电脑进行数据差异拷贝，非增量拷贝、变量拷贝、进度同步等上一代部署方式，根据网络状况可选择广播、组播、单播等方式。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7</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支持差异拷贝接收端网络环境检测，可检测接收端网卡连接速度，提前发现问题网点，排查处理影响差异拷贝的终端；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8</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支持操作系统分权管理，可分配不同的管理员管理不同的操作系统。(提供功能界面截图)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9</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支持学期课表的编辑，可设置学期开始和结束时间，按学期课表时间自动启动相应的操作系统，支持操作系统拖拽式导入学期课表(提供功能界面截图)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10</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管理员可给教师单独分配用户名和密码，教师可凭此用户名和密码在教学的电脑上瞬间创建自己独立的备课系统，其他人员不可见，也不影响正常的教学系统，支持用户设定的密码找回功能，为了防止泄露不可用初始密码或可网上搜索到的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11</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支持将当前的教学系统，无需新增分区的情况下瞬间复制一个不保护的系统，用于学生自主实验或计算机等级考试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12</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支持文件夹穿透，可在当前保护的分区下设定一个开放的文件夹,保存更新设置，重启分区还原其它数据还原，此文件夹中的数据不还原。（提供第三方检测机构出具的具备CNAS标识的产品功能测试报告）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13</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支持批量修改Windows用户登录名、计算机名和IP地址；（提供第三方检测机构出具的具备CNAS标识的产品功能测试报告）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14</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支持硬件虚拟化功能，针对硬件识别码的软件可实现软件统一注册，大幅度降低激活软件带来的工作量；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15</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支持网络限制策略，能够设定禁用外网或禁用全部网络，并支持设置例外，例外类型包括ip地址、网址、端口，并设置生效时间区间，能够精确到秒，支持按天执行、按周执行、按月执行(提供功能界面截图)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16</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能够针对学生软件使用、上网操作进行记录，并支持按照应用、访问网址进行查询，能够根据时间段进行搜索，搜索时间精确到秒，针对上网操作，能够展示网址及网站标题信息，支持表格导出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17</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支持程序限制策略，支持黑名单、白名单两种模式，能够根据手动添加、游戏进程、应用进程、系统自带进程进行设置，并能够通过客户端实时识别操作系统进程进行控制，并设置生效时间区间，能够精确到秒，支持按天执行、按周执行、按月执行(提供功能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851"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18</w:t>
            </w:r>
          </w:p>
        </w:tc>
        <w:tc>
          <w:tcPr>
            <w:tcW w:w="7938" w:type="dxa"/>
          </w:tcPr>
          <w:p>
            <w:pPr>
              <w:spacing w:line="360" w:lineRule="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color w:val="000000"/>
                <w:sz w:val="24"/>
                <w:szCs w:val="24"/>
                <w:highlight w:val="none"/>
              </w:rPr>
              <w:t>其他：含41个点位</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2.4.10、智能互动终端</w:t>
      </w:r>
    </w:p>
    <w:tbl>
      <w:tblPr>
        <w:tblStyle w:val="28"/>
        <w:tblW w:w="9579"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序号</w:t>
            </w:r>
          </w:p>
        </w:tc>
        <w:tc>
          <w:tcPr>
            <w:tcW w:w="8789" w:type="dxa"/>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0"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24</w:t>
            </w:r>
          </w:p>
        </w:tc>
        <w:tc>
          <w:tcPr>
            <w:tcW w:w="8789" w:type="dxa"/>
          </w:tcPr>
          <w:p>
            <w:pPr>
              <w:spacing w:line="360" w:lineRule="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1、内置天线；RAM：8GB；内置容量：标配128GB，电源键 *1，录制键 *1；</w:t>
            </w:r>
          </w:p>
          <w:p>
            <w:pPr>
              <w:pStyle w:val="26"/>
              <w:ind w:firstLine="0" w:firstLineChars="0"/>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2、具备1个HDMI输入接口，具备1个HDMI输出接口，LineIn*1，LineOut*1，具备3个USB Type-A接口，具备1个USB Type-B接口，内置无线AP：WiFi支持：IEEE 802.11 a/b/g/n/ac；</w:t>
            </w:r>
          </w:p>
          <w:p>
            <w:pP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3、工作频段：2.4GHz和5GHz；</w:t>
            </w:r>
          </w:p>
          <w:p>
            <w:pPr>
              <w:pStyle w:val="26"/>
              <w:ind w:firstLine="0" w:firstLineChars="0"/>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color w:val="000000"/>
                <w:highlight w:val="none"/>
                <w:lang w:eastAsia="zh-CN"/>
              </w:rPr>
              <w:t>4、最大无线速率：1.3Gbps；</w:t>
            </w:r>
          </w:p>
          <w:p>
            <w:pP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5、网络工作模式：支持无线路由器、无线交换和网络终端三种模式；</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2.4.11、智能互动软件</w:t>
      </w:r>
    </w:p>
    <w:tbl>
      <w:tblPr>
        <w:tblStyle w:val="28"/>
        <w:tblW w:w="9579"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966"/>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序号</w:t>
            </w:r>
          </w:p>
        </w:tc>
        <w:tc>
          <w:tcPr>
            <w:tcW w:w="966"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指标编号</w:t>
            </w:r>
          </w:p>
        </w:tc>
        <w:tc>
          <w:tcPr>
            <w:tcW w:w="7938" w:type="dxa"/>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25</w:t>
            </w:r>
          </w:p>
        </w:tc>
        <w:tc>
          <w:tcPr>
            <w:tcW w:w="966"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1</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中英文切换：系统支持简体中文和英文两种语言模式，可快速进行中英文的切换，满足双语教学的要求。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屏幕工具条：用户可直接在触控显示屏上点击系统工具条，或通过鼠标点击工具条进行操作，工具条具有截屏、录制、布局、切屏、批注、白板、互动等功能按钮，并显示时间、设备名称、网络IP等信息。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3</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自定义工具条：用户可自定义系统工具条功能按钮，支持隐藏截屏、录制、布局、切屏、批注、白板、互动功能按钮，并支持添加App应用、Web应用、欢迎主题等工具按钮和单选、多选、投票、抢答等互动按钮；还可通过快捷方式设置自定义按钮，如设备源、网页源和应用程序源，任一类型的上屏方式均可选择覆盖上屏或追加上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kern w:val="0"/>
                <w:sz w:val="24"/>
                <w:szCs w:val="24"/>
                <w:highlight w:val="none"/>
                <w:lang w:bidi="ar"/>
              </w:rPr>
              <w:t>4</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软件遥控器：教学互动终端无需硬件遥控器或USB切换器，用户只需扫码下载遥控器APP即可将移动终端作为控制端，软件控制端支持截屏、录制、布局、批注、白板、互动等功能按钮。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5</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全屏缩放：支持在遥控器APP端或触控显示屏端对显示画面进行缩小、放大操作，能够对单屏或多屏画面进行最大400%放大。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6</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移动端无线投屏：支持不少于8路终端设备同时接入教学互动终端，并可自由拖动画面位置，支持对设备画面进行静音、旋转、全屏、移除等操作。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7</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文件读取：支持将外接U盘中的图片、视频、音频、文档等文件资料直接上屏展示；支持通过截屏和录制将存储在图库（U盘、云盘、内置硬盘）中的图片、视频直接上屏展示；支持将从云空间下载到本地的图片、视频、音频、文档等文件资料直接上屏展示；支持将外接U盘中、云空间下载的PPT演示文稿以演讲模式进行放映，演讲模式下可实现PPT的动画效果和内嵌视频播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8</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画面布局：支持1、2、3、4屏画面布局，画面支持多种对比模式（如均分屏幕、一大两小、一大三小、窗口悬浮等不少于9种默认画面布局），一键点击即可选择相应布局，已设置好的布局具有画面记忆功能，即布局模式更换后，原布局内的设备画面自动存储记忆，不会清屏或更改；Auto布局模式下可自动适应多种画面布局。</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9</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一键截屏：支持一键截取当前屏幕的显示画面，截屏的图片可保存在外接U盘、云盘或内置硬盘中，支持将存储在外接U盘、云盘或内置硬盘中的图片下载到本地。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10</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微课录制：支持屏幕多画面和外接麦克风声音同步录入，提供720P和1080P视频显示格式可选，录制的视频可保存在外接U盘、云盘或内置硬盘中，支持存储空间不足时的文字提醒功能；支持多种方式开启微课录制，如教学互动终端的“录制”按键、屏幕工具条的“录制”按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11</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欢迎主题：系统内置不少于14种模板，可选择系统模板、自定义模板和文字模板，支持插入文本、分割线和导入外接U盘的音乐、图片，可针对自定义内容保存为模板，自由导入和导出主题。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12</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安全策略：支持设置随机PIN码和固定PIN码，移动端设备无线投屏需输入对应的PIN码.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13</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创建临时课堂：支持教师以访客模式创建临时课堂，学生无需登录账号即可通过微信小程序参与互动。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14</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微信小程序互动：支持学生通过微信扫描二维码进入课堂并完成签到，支持完成单选题、多选题、判断题、算术题、简答题的作答，支持教师端发起投票、挑人功能。</w:t>
            </w:r>
            <w:r>
              <w:rPr>
                <w:rFonts w:hint="eastAsia" w:ascii="仿宋_GB2312" w:hAnsi="仿宋_GB2312" w:eastAsia="仿宋_GB2312" w:cs="仿宋_GB2312"/>
                <w:color w:val="000000"/>
                <w:sz w:val="24"/>
                <w:szCs w:val="24"/>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15</w:t>
            </w:r>
          </w:p>
        </w:tc>
        <w:tc>
          <w:tcPr>
            <w:tcW w:w="7938" w:type="dxa"/>
          </w:tcPr>
          <w:p>
            <w:pPr>
              <w:spacing w:line="360" w:lineRule="auto"/>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color w:val="000000"/>
                <w:sz w:val="24"/>
                <w:szCs w:val="24"/>
                <w:highlight w:val="none"/>
              </w:rPr>
              <w:t>课程报告：支持对学生签到信息、发起答题数量、出勤率、答题正确率进行统计，支持教师通过答题列表查看答题柱状图、查看题目和修改正确答案。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pPr>
              <w:spacing w:line="360" w:lineRule="auto"/>
              <w:jc w:val="center"/>
              <w:rPr>
                <w:rFonts w:hint="eastAsia" w:ascii="仿宋_GB2312" w:hAnsi="仿宋_GB2312" w:eastAsia="仿宋_GB2312" w:cs="仿宋_GB2312"/>
                <w:color w:val="000000"/>
                <w:kern w:val="0"/>
                <w:sz w:val="24"/>
                <w:szCs w:val="24"/>
                <w:highlight w:val="none"/>
                <w:lang w:bidi="ar"/>
              </w:rPr>
            </w:pPr>
          </w:p>
        </w:tc>
        <w:tc>
          <w:tcPr>
            <w:tcW w:w="966" w:type="dxa"/>
            <w:vAlign w:val="center"/>
          </w:tcPr>
          <w:p>
            <w:pPr>
              <w:spacing w:line="360" w:lineRule="auto"/>
              <w:jc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16</w:t>
            </w:r>
          </w:p>
        </w:tc>
        <w:tc>
          <w:tcPr>
            <w:tcW w:w="7938" w:type="dxa"/>
          </w:tcPr>
          <w:p>
            <w:pPr>
              <w:spacing w:line="360" w:lineRule="auto"/>
              <w:rPr>
                <w:rFonts w:hint="eastAsia" w:ascii="仿宋_GB2312" w:hAnsi="仿宋_GB2312" w:eastAsia="仿宋_GB2312" w:cs="仿宋_GB2312"/>
                <w:b/>
                <w:bCs/>
                <w:color w:val="000000"/>
                <w:sz w:val="24"/>
                <w:szCs w:val="24"/>
                <w:highlight w:val="none"/>
                <w:lang w:eastAsia="zh-CN"/>
              </w:rPr>
            </w:pPr>
            <w:r>
              <w:rPr>
                <w:rFonts w:hint="eastAsia" w:ascii="仿宋_GB2312" w:hAnsi="仿宋_GB2312" w:eastAsia="仿宋_GB2312" w:cs="仿宋_GB2312"/>
                <w:b/>
                <w:bCs/>
                <w:color w:val="000000"/>
                <w:sz w:val="24"/>
                <w:szCs w:val="24"/>
                <w:highlight w:val="none"/>
              </w:rPr>
              <w:t>△</w:t>
            </w:r>
            <w:r>
              <w:rPr>
                <w:rFonts w:hint="eastAsia" w:ascii="仿宋_GB2312" w:hAnsi="仿宋_GB2312" w:eastAsia="仿宋_GB2312" w:cs="仿宋_GB2312"/>
                <w:color w:val="000000"/>
                <w:sz w:val="24"/>
                <w:szCs w:val="24"/>
                <w:highlight w:val="none"/>
              </w:rPr>
              <w:t>教师微信助手：支持使用教师端小程序发起单选题、多选题、判断题、算术题、手写题、简答题的作答和投票、挑人、抢答功能</w:t>
            </w:r>
            <w:r>
              <w:rPr>
                <w:rFonts w:hint="eastAsia" w:ascii="仿宋_GB2312" w:hAnsi="仿宋_GB2312" w:eastAsia="仿宋_GB2312" w:cs="仿宋_GB2312"/>
                <w:color w:val="000000"/>
                <w:sz w:val="24"/>
                <w:szCs w:val="24"/>
                <w:highlight w:val="none"/>
                <w:lang w:eastAsia="zh-CN"/>
              </w:rPr>
              <w:t>（提供功能截图）</w:t>
            </w:r>
          </w:p>
        </w:tc>
      </w:tr>
    </w:tbl>
    <w:p>
      <w:pPr>
        <w:rPr>
          <w:rFonts w:hint="eastAsia" w:ascii="仿宋_GB2312" w:hAnsi="仿宋_GB2312" w:eastAsia="仿宋_GB2312" w:cs="仿宋_GB2312"/>
          <w:highlight w:val="none"/>
        </w:rPr>
      </w:pPr>
    </w:p>
    <w:p>
      <w:pPr>
        <w:pStyle w:val="1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2.4.12、综合布线、安装调试</w:t>
      </w:r>
    </w:p>
    <w:tbl>
      <w:tblPr>
        <w:tblStyle w:val="28"/>
        <w:tblW w:w="9563" w:type="dxa"/>
        <w:tblInd w:w="-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spacing w:line="360" w:lineRule="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序号</w:t>
            </w:r>
          </w:p>
        </w:tc>
        <w:tc>
          <w:tcPr>
            <w:tcW w:w="8789" w:type="dxa"/>
          </w:tcPr>
          <w:p>
            <w:pPr>
              <w:spacing w:line="360" w:lineRule="auto"/>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w:t>
            </w:r>
          </w:p>
        </w:tc>
        <w:tc>
          <w:tcPr>
            <w:tcW w:w="8789" w:type="dxa"/>
          </w:tcPr>
          <w:p>
            <w:pPr>
              <w:spacing w:line="360" w:lineRule="auto"/>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1、包含本次项目所需的六类网线、光模块、电源线、电力电缆、桥管、PVC管、理线架、管配、扎带、螺丝、各类跳线、六类非屏蔽水晶头及空开等所有工程配套材料，需安装实施 。</w:t>
            </w:r>
          </w:p>
          <w:p>
            <w:pPr>
              <w:pStyle w:val="26"/>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2、材料符合国标</w:t>
            </w:r>
          </w:p>
        </w:tc>
      </w:tr>
    </w:tbl>
    <w:p>
      <w:pPr>
        <w:rPr>
          <w:rFonts w:hint="eastAsia" w:ascii="仿宋_GB2312" w:hAnsi="仿宋_GB2312" w:eastAsia="仿宋_GB2312" w:cs="仿宋_GB2312"/>
          <w:highlight w:val="none"/>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6"/>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 、商务要求</w:t>
      </w:r>
    </w:p>
    <w:tbl>
      <w:tblPr>
        <w:tblStyle w:val="27"/>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560" w:type="dxa"/>
            <w:vAlign w:val="center"/>
          </w:tcPr>
          <w:p>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交货时间及地点</w:t>
            </w:r>
          </w:p>
        </w:tc>
        <w:tc>
          <w:tcPr>
            <w:tcW w:w="7654" w:type="dxa"/>
            <w:vAlign w:val="center"/>
          </w:tcPr>
          <w:p>
            <w:pPr>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合同签订后30天内安装调试验收完毕，采购单位指定地点。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1560" w:type="dxa"/>
            <w:vAlign w:val="center"/>
          </w:tcPr>
          <w:p>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付款条件</w:t>
            </w:r>
          </w:p>
        </w:tc>
        <w:tc>
          <w:tcPr>
            <w:tcW w:w="7654" w:type="dxa"/>
            <w:vAlign w:val="center"/>
          </w:tcPr>
          <w:p>
            <w:pPr>
              <w:pStyle w:val="75"/>
              <w:spacing w:line="440" w:lineRule="exact"/>
              <w:ind w:firstLine="0"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1.预付款：在合同生效后以及具备实施条件后的7个工作日内，采购人根据供应商提供的正规发票，按财政部门规定的支付方式支付合同金额的40%给供应商。</w:t>
            </w:r>
          </w:p>
          <w:p>
            <w:pPr>
              <w:snapToGrid w:val="0"/>
              <w:spacing w:line="44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2.剩余款项：</w:t>
            </w:r>
            <w:r>
              <w:rPr>
                <w:rFonts w:hint="eastAsia" w:ascii="仿宋_GB2312" w:hAnsi="仿宋_GB2312" w:eastAsia="仿宋_GB2312" w:cs="仿宋_GB2312"/>
                <w:color w:val="000000" w:themeColor="text1"/>
                <w:sz w:val="24"/>
                <w:szCs w:val="24"/>
                <w:highlight w:val="none"/>
                <w:shd w:val="clear" w:color="auto" w:fill="FFFFFF"/>
                <w14:textFill>
                  <w14:solidFill>
                    <w14:schemeClr w14:val="tx1"/>
                  </w14:solidFill>
                </w14:textFill>
              </w:rPr>
              <w:t>项目通过终验后5个工作日内支付剩余合同金额的60%。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560" w:type="dxa"/>
            <w:vAlign w:val="center"/>
          </w:tcPr>
          <w:p>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项目验收</w:t>
            </w:r>
          </w:p>
        </w:tc>
        <w:tc>
          <w:tcPr>
            <w:tcW w:w="7654" w:type="dxa"/>
            <w:vAlign w:val="center"/>
          </w:tcPr>
          <w:p>
            <w:pPr>
              <w:pStyle w:val="4"/>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t>中标方在项目实施结束后应自行组织初验，初验通过后向采购方提出终验申请，采购方在收到申请的一周内组织验收工作。验收由采购方相关人员及中标方共同进行，对产品型号、标书要求的各项功能及中标方的投标文件逐条进行校对验收。</w:t>
            </w:r>
          </w:p>
        </w:tc>
      </w:tr>
    </w:tbl>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360" w:lineRule="auto"/>
        <w:outlineLvl w:val="1"/>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四、售后服务要求</w:t>
      </w:r>
    </w:p>
    <w:p>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sz w:val="24"/>
          <w:szCs w:val="24"/>
          <w:highlight w:val="none"/>
        </w:rPr>
        <w:t>本采购项目属于设备购置、安装、调试工作。因此要求价格含投标供应商的产品到达买方并能正常使用的一切费用，含税金、运输费、装卸费、保险费、安装调试费等。本项目的所有设备须进行安装、调试，直到各系统设备能正常运行使用。</w:t>
      </w:r>
    </w:p>
    <w:p>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施工期间，中标人应遵守有关部门的管理，并遵照相关的规定。系统设备安装（包括所使用的设备、材料、布线方法、安装工艺、调试开通等）必须符合国家、行业法规和规范要求。在施工中应做好对其他设施的保护，凡造成其它设施、设备损坏的，一律由中标人负责赔偿。</w:t>
      </w:r>
    </w:p>
    <w:p>
      <w:pPr>
        <w:spacing w:line="360" w:lineRule="auto"/>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hint="eastAsia" w:ascii="仿宋_GB2312" w:hAnsi="仿宋_GB2312" w:eastAsia="仿宋_GB2312" w:cs="仿宋_GB2312"/>
          <w:sz w:val="24"/>
          <w:szCs w:val="24"/>
          <w:highlight w:val="none"/>
        </w:rPr>
        <w:t>投标人所交付的产品应是交付前最新生产且未被使用过的全新产品，同时必须具有在中国境内的合法使用权，</w:t>
      </w:r>
      <w:r>
        <w:rPr>
          <w:rFonts w:hint="eastAsia" w:ascii="仿宋_GB2312" w:hAnsi="仿宋_GB2312" w:eastAsia="仿宋_GB2312" w:cs="仿宋_GB2312"/>
          <w:color w:val="000000" w:themeColor="text1"/>
          <w:sz w:val="24"/>
          <w:szCs w:val="24"/>
          <w:highlight w:val="none"/>
          <w14:textFill>
            <w14:solidFill>
              <w14:schemeClr w14:val="tx1"/>
            </w14:solidFill>
          </w14:textFill>
        </w:rPr>
        <w:t>提供的设备、配件必须提供随机资料（说明书、合格证、图纸、保修单及操作保养等资料）。其他附件及材料必须符合国家</w:t>
      </w:r>
      <w:r>
        <w:rPr>
          <w:rFonts w:hint="eastAsia" w:ascii="仿宋_GB2312" w:hAnsi="仿宋_GB2312" w:eastAsia="仿宋_GB2312" w:cs="仿宋_GB2312"/>
          <w:sz w:val="24"/>
          <w:szCs w:val="24"/>
          <w:highlight w:val="none"/>
        </w:rPr>
        <w:t>有关标准。</w:t>
      </w:r>
    </w:p>
    <w:p>
      <w:pPr>
        <w:spacing w:line="360" w:lineRule="auto"/>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4、所有硬件设备在7天内发现有质量问题，中标人负责更换整机，在保修期内发现有质量问题，中标人负责免费更换有质量问题的设备。</w:t>
      </w:r>
    </w:p>
    <w:p>
      <w:pPr>
        <w:spacing w:line="360" w:lineRule="auto"/>
        <w:ind w:firstLine="241" w:firstLineChars="1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5、</w:t>
      </w:r>
      <w:r>
        <w:rPr>
          <w:rFonts w:hint="eastAsia" w:ascii="仿宋_GB2312" w:hAnsi="仿宋_GB2312" w:eastAsia="仿宋_GB2312" w:cs="仿宋_GB2312"/>
          <w:b/>
          <w:color w:val="000000" w:themeColor="text1"/>
          <w:sz w:val="24"/>
          <w:szCs w:val="24"/>
          <w:highlight w:val="none"/>
          <w14:textFill>
            <w14:solidFill>
              <w14:schemeClr w14:val="tx1"/>
            </w14:solidFill>
          </w14:textFill>
        </w:rPr>
        <w:t>质保期：本项目要求硬件整体质保三年，提供至少三年运维服务，原厂保修服务内容必须是其标准的产品服务和投标承诺的服务。</w:t>
      </w:r>
    </w:p>
    <w:p>
      <w:pPr>
        <w:widowControl/>
        <w:spacing w:line="360" w:lineRule="auto"/>
        <w:ind w:firstLine="420"/>
        <w:jc w:val="left"/>
        <w:rPr>
          <w:rFonts w:hint="eastAsia" w:ascii="仿宋_GB2312" w:hAnsi="仿宋_GB2312" w:eastAsia="仿宋_GB2312" w:cs="仿宋_GB2312"/>
          <w:highlight w:val="none"/>
        </w:rPr>
      </w:pPr>
      <w:r>
        <w:rPr>
          <w:rFonts w:hint="eastAsia" w:ascii="仿宋_GB2312" w:hAnsi="仿宋_GB2312" w:eastAsia="仿宋_GB2312" w:cs="仿宋_GB2312"/>
          <w:kern w:val="0"/>
          <w:sz w:val="24"/>
          <w:szCs w:val="24"/>
          <w:highlight w:val="none"/>
        </w:rPr>
        <w:t>6、售中、售后服务要求：安装、调试时中标人必须指派专业技术人员及原厂技术人员现场参加，直至验收合格。接到用户报修电话，</w:t>
      </w:r>
      <w:r>
        <w:rPr>
          <w:rFonts w:hint="eastAsia" w:ascii="仿宋_GB2312" w:hAnsi="仿宋_GB2312" w:eastAsia="仿宋_GB2312" w:cs="仿宋_GB2312"/>
          <w:color w:val="FF0000"/>
          <w:kern w:val="0"/>
          <w:sz w:val="24"/>
          <w:szCs w:val="24"/>
          <w:highlight w:val="none"/>
        </w:rPr>
        <w:t>1小时内响应，2小时内赶到现场</w:t>
      </w:r>
      <w:r>
        <w:rPr>
          <w:rFonts w:hint="eastAsia" w:ascii="仿宋_GB2312" w:hAnsi="仿宋_GB2312" w:eastAsia="仿宋_GB2312" w:cs="仿宋_GB2312"/>
          <w:kern w:val="0"/>
          <w:sz w:val="24"/>
          <w:szCs w:val="24"/>
          <w:highlight w:val="none"/>
        </w:rPr>
        <w:t>。相关产品的原厂工程师必须在规定的时间内赶赴现场，提供不间断服务直至排除故障（不可抗拒因素及因合理理由同业主沟通并得到采购人同意的除外）。</w:t>
      </w:r>
    </w:p>
    <w:p>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投标人应该能够提供完善可靠的技术支持，当出现故障立即响应，12小时解决问题，24个工作小时内不能修复的，则无偿提供备机或备用零件供采购人使用，投标人可根据自身实力作出更优的承诺。在此期间，投标人应免费处理因质量发生的故障，并进行正常保养。</w:t>
      </w:r>
    </w:p>
    <w:p>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质保期内所有硬件设备的故障由中标人进行免费的更换、维修等，确保用户的正常使用；软件系统由中标人进行免费升级和优化服务。合同期内，中标人应成立专门的团队，负责售后及运维服务。指定专门的负责人负责与用户的对接及协调。设立专门的工作热线，接受用户的咨询。</w:t>
      </w:r>
    </w:p>
    <w:p>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在质保期和合同期结束前，中标人须对本项目采购设备进行一次对软硬件系统全面检查，任何缺陷问题必须由中标人负责整改，完善；在整改、完善之后，中标单位须将缺陷原因、修理内容、完成修理及恢复正常的时间和日期等报告给采购人。</w:t>
      </w:r>
    </w:p>
    <w:p>
      <w:pPr>
        <w:widowControl/>
        <w:spacing w:line="360" w:lineRule="auto"/>
        <w:ind w:firstLine="420"/>
        <w:jc w:val="lef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10、项目实施完成后，应向采购单位项目负责人提供详尽的文档资料（包括配置文档、使用手册、测试文档等），并负责免费培训。</w:t>
      </w:r>
    </w:p>
    <w:p>
      <w:pPr>
        <w:pStyle w:val="26"/>
        <w:ind w:firstLine="240"/>
        <w:rPr>
          <w:rFonts w:hint="eastAsia" w:ascii="仿宋_GB2312" w:hAnsi="仿宋_GB2312" w:eastAsia="仿宋_GB2312" w:cs="仿宋_GB2312"/>
          <w:highlight w:val="none"/>
          <w:lang w:eastAsia="zh-CN"/>
        </w:rPr>
      </w:pPr>
    </w:p>
    <w:p>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t>8、技术参数功能需真实满足，在中标后签订合同前进行实际设备功能测试。</w:t>
      </w:r>
    </w:p>
    <w:p>
      <w:pPr>
        <w:pStyle w:val="23"/>
        <w:spacing w:beforeAutospacing="0" w:afterAutospacing="0" w:line="276" w:lineRule="auto"/>
        <w:jc w:val="both"/>
        <w:rPr>
          <w:rFonts w:hint="eastAsia" w:ascii="仿宋_GB2312" w:hAnsi="仿宋_GB2312" w:eastAsia="仿宋_GB2312" w:cs="仿宋_GB2312"/>
          <w:color w:val="000000" w:themeColor="text1"/>
          <w:highlight w:val="none"/>
          <w14:textFill>
            <w14:solidFill>
              <w14:schemeClr w14:val="tx1"/>
            </w14:solidFill>
          </w14:textFill>
        </w:rPr>
      </w:pPr>
    </w:p>
    <w:p>
      <w:pPr>
        <w:pStyle w:val="26"/>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26"/>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26"/>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26"/>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26"/>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highlight w:val="none"/>
        </w:rPr>
      </w:pPr>
    </w:p>
    <w:p>
      <w:pPr>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p>
    <w:p>
      <w:pPr>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第四部分</w:t>
      </w:r>
      <w:bookmarkStart w:id="27" w:name="_Toc184313291"/>
      <w:bookmarkEnd w:id="27"/>
      <w:bookmarkStart w:id="28" w:name="_Toc184310274"/>
      <w:bookmarkEnd w:id="28"/>
      <w:bookmarkStart w:id="29" w:name="_Toc184312077"/>
      <w:bookmarkEnd w:id="29"/>
      <w:bookmarkStart w:id="30" w:name="_Toc184312129"/>
      <w:bookmarkEnd w:id="30"/>
      <w:bookmarkStart w:id="31" w:name="_Toc184314419"/>
      <w:bookmarkEnd w:id="31"/>
      <w:bookmarkStart w:id="32" w:name="_Toc184310312"/>
      <w:bookmarkEnd w:id="32"/>
      <w:bookmarkStart w:id="33" w:name="_Toc184312073"/>
      <w:bookmarkEnd w:id="33"/>
      <w:bookmarkStart w:id="34" w:name="_Toc184312094"/>
      <w:bookmarkEnd w:id="34"/>
      <w:bookmarkStart w:id="35" w:name="_Toc184312080"/>
      <w:bookmarkEnd w:id="35"/>
      <w:bookmarkStart w:id="36" w:name="_Toc184312088"/>
      <w:bookmarkEnd w:id="36"/>
      <w:bookmarkStart w:id="37" w:name="_Toc184313264"/>
      <w:bookmarkEnd w:id="37"/>
      <w:bookmarkStart w:id="38" w:name="_Toc184308037"/>
      <w:bookmarkEnd w:id="38"/>
      <w:bookmarkStart w:id="39" w:name="_Toc184310289"/>
      <w:bookmarkEnd w:id="39"/>
      <w:bookmarkStart w:id="40" w:name="_Toc184313273"/>
      <w:bookmarkEnd w:id="40"/>
      <w:bookmarkStart w:id="41" w:name="_Toc184308076"/>
      <w:bookmarkEnd w:id="41"/>
      <w:bookmarkStart w:id="42" w:name="_Toc184313261"/>
      <w:bookmarkEnd w:id="42"/>
      <w:bookmarkStart w:id="43" w:name="_Toc184312133"/>
      <w:bookmarkEnd w:id="43"/>
      <w:bookmarkStart w:id="44" w:name="_Toc184308073"/>
      <w:bookmarkEnd w:id="44"/>
      <w:bookmarkStart w:id="45" w:name="_Toc184313299"/>
      <w:bookmarkEnd w:id="45"/>
      <w:bookmarkStart w:id="46" w:name="_Toc184313305"/>
      <w:bookmarkEnd w:id="46"/>
      <w:bookmarkStart w:id="47" w:name="_Toc184313293"/>
      <w:bookmarkEnd w:id="47"/>
      <w:bookmarkStart w:id="48" w:name="_Toc184313309"/>
      <w:bookmarkEnd w:id="48"/>
      <w:bookmarkStart w:id="49" w:name="_Toc184313240"/>
      <w:bookmarkEnd w:id="49"/>
      <w:bookmarkStart w:id="50" w:name="_Toc184308081"/>
      <w:bookmarkEnd w:id="50"/>
      <w:bookmarkStart w:id="51" w:name="_Toc184310293"/>
      <w:bookmarkEnd w:id="51"/>
      <w:bookmarkStart w:id="52" w:name="_Toc184312068"/>
      <w:bookmarkEnd w:id="52"/>
      <w:bookmarkStart w:id="53" w:name="_Toc184310302"/>
      <w:bookmarkEnd w:id="53"/>
      <w:bookmarkStart w:id="54" w:name="_Toc184314414"/>
      <w:bookmarkEnd w:id="54"/>
      <w:bookmarkStart w:id="55" w:name="_Toc184314426"/>
      <w:bookmarkEnd w:id="55"/>
      <w:bookmarkStart w:id="56" w:name="_Toc184312090"/>
      <w:bookmarkEnd w:id="56"/>
      <w:bookmarkStart w:id="57" w:name="_Toc184313275"/>
      <w:bookmarkEnd w:id="57"/>
      <w:bookmarkStart w:id="58" w:name="_Toc184312121"/>
      <w:bookmarkEnd w:id="58"/>
      <w:bookmarkStart w:id="59" w:name="_Toc184310314"/>
      <w:bookmarkEnd w:id="59"/>
      <w:bookmarkStart w:id="60" w:name="_Toc184310344"/>
      <w:bookmarkEnd w:id="60"/>
      <w:bookmarkStart w:id="61" w:name="_Toc184310284"/>
      <w:bookmarkEnd w:id="61"/>
      <w:bookmarkStart w:id="62" w:name="_Toc184314471"/>
      <w:bookmarkEnd w:id="62"/>
      <w:bookmarkStart w:id="63" w:name="_Toc184310283"/>
      <w:bookmarkEnd w:id="63"/>
      <w:bookmarkStart w:id="64" w:name="_Toc184314421"/>
      <w:bookmarkEnd w:id="64"/>
      <w:bookmarkStart w:id="65" w:name="_Toc184308062"/>
      <w:bookmarkEnd w:id="65"/>
      <w:bookmarkStart w:id="66" w:name="_Toc184308096"/>
      <w:bookmarkEnd w:id="66"/>
      <w:bookmarkStart w:id="67" w:name="_Toc184310304"/>
      <w:bookmarkEnd w:id="67"/>
      <w:bookmarkStart w:id="68" w:name="_Toc184310294"/>
      <w:bookmarkEnd w:id="68"/>
      <w:bookmarkStart w:id="69" w:name="_Toc184313256"/>
      <w:bookmarkEnd w:id="69"/>
      <w:bookmarkStart w:id="70" w:name="_Toc184308101"/>
      <w:bookmarkEnd w:id="70"/>
      <w:bookmarkStart w:id="71" w:name="_Toc184313287"/>
      <w:bookmarkEnd w:id="71"/>
      <w:bookmarkStart w:id="72" w:name="_Toc184312107"/>
      <w:bookmarkEnd w:id="72"/>
      <w:bookmarkStart w:id="73" w:name="_Toc184313244"/>
      <w:bookmarkEnd w:id="73"/>
      <w:bookmarkStart w:id="74" w:name="_Toc184313254"/>
      <w:bookmarkEnd w:id="74"/>
      <w:bookmarkStart w:id="75" w:name="_Toc184312078"/>
      <w:bookmarkEnd w:id="75"/>
      <w:bookmarkStart w:id="76" w:name="_Toc184314473"/>
      <w:bookmarkEnd w:id="76"/>
      <w:bookmarkStart w:id="77" w:name="_Toc184310305"/>
      <w:bookmarkEnd w:id="77"/>
      <w:bookmarkStart w:id="78" w:name="_Toc184308052"/>
      <w:bookmarkEnd w:id="78"/>
      <w:bookmarkStart w:id="79" w:name="_Toc184313257"/>
      <w:bookmarkEnd w:id="79"/>
      <w:bookmarkStart w:id="80" w:name="_Toc184312084"/>
      <w:bookmarkEnd w:id="80"/>
      <w:bookmarkStart w:id="81" w:name="_Toc184313294"/>
      <w:bookmarkEnd w:id="81"/>
      <w:bookmarkStart w:id="82" w:name="_Toc184312067"/>
      <w:bookmarkEnd w:id="82"/>
      <w:bookmarkStart w:id="83" w:name="_Toc184314465"/>
      <w:bookmarkEnd w:id="83"/>
      <w:bookmarkStart w:id="84" w:name="_Toc184314460"/>
      <w:bookmarkEnd w:id="84"/>
      <w:bookmarkStart w:id="85" w:name="_Toc184314456"/>
      <w:bookmarkEnd w:id="85"/>
      <w:bookmarkStart w:id="86" w:name="_Toc184313296"/>
      <w:bookmarkEnd w:id="86"/>
      <w:bookmarkStart w:id="87" w:name="_Toc184308104"/>
      <w:bookmarkEnd w:id="87"/>
      <w:bookmarkStart w:id="88" w:name="_Toc184313238"/>
      <w:bookmarkEnd w:id="88"/>
      <w:bookmarkStart w:id="89" w:name="_Toc184312120"/>
      <w:bookmarkEnd w:id="89"/>
      <w:bookmarkStart w:id="90" w:name="_Toc184308082"/>
      <w:bookmarkEnd w:id="90"/>
      <w:bookmarkStart w:id="91" w:name="_Toc184312085"/>
      <w:bookmarkEnd w:id="91"/>
      <w:bookmarkStart w:id="92" w:name="_Toc184308058"/>
      <w:bookmarkEnd w:id="92"/>
      <w:bookmarkStart w:id="93" w:name="_Toc184310331"/>
      <w:bookmarkEnd w:id="93"/>
      <w:bookmarkStart w:id="94" w:name="_Toc184313301"/>
      <w:bookmarkEnd w:id="94"/>
      <w:bookmarkStart w:id="95" w:name="_Toc184314431"/>
      <w:bookmarkEnd w:id="95"/>
      <w:bookmarkStart w:id="96" w:name="_Toc184314481"/>
      <w:bookmarkEnd w:id="96"/>
      <w:bookmarkStart w:id="97" w:name="_Toc184312093"/>
      <w:bookmarkEnd w:id="97"/>
      <w:bookmarkStart w:id="98" w:name="_Toc184308080"/>
      <w:bookmarkEnd w:id="98"/>
      <w:bookmarkStart w:id="99" w:name="_Toc184314428"/>
      <w:bookmarkEnd w:id="99"/>
      <w:bookmarkStart w:id="100" w:name="_Toc184314443"/>
      <w:bookmarkEnd w:id="100"/>
      <w:bookmarkStart w:id="101" w:name="_Toc184310279"/>
      <w:bookmarkEnd w:id="101"/>
      <w:bookmarkStart w:id="102" w:name="_Toc184312127"/>
      <w:bookmarkEnd w:id="102"/>
      <w:bookmarkStart w:id="103" w:name="_Toc184312072"/>
      <w:bookmarkEnd w:id="103"/>
      <w:bookmarkStart w:id="104" w:name="_Toc184312118"/>
      <w:bookmarkEnd w:id="104"/>
      <w:bookmarkStart w:id="105" w:name="_Toc184312082"/>
      <w:bookmarkEnd w:id="105"/>
      <w:bookmarkStart w:id="106" w:name="_Toc184310327"/>
      <w:bookmarkEnd w:id="106"/>
      <w:bookmarkStart w:id="107" w:name="_Toc184308089"/>
      <w:bookmarkEnd w:id="107"/>
      <w:bookmarkStart w:id="108" w:name="_Toc184308071"/>
      <w:bookmarkEnd w:id="108"/>
      <w:bookmarkStart w:id="109" w:name="_Toc184310280"/>
      <w:bookmarkEnd w:id="109"/>
      <w:bookmarkStart w:id="110" w:name="_Toc184308084"/>
      <w:bookmarkEnd w:id="110"/>
      <w:bookmarkStart w:id="111" w:name="_Toc184310333"/>
      <w:bookmarkEnd w:id="111"/>
      <w:bookmarkStart w:id="112" w:name="_Toc184310326"/>
      <w:bookmarkEnd w:id="112"/>
      <w:bookmarkStart w:id="113" w:name="_Toc184312092"/>
      <w:bookmarkEnd w:id="113"/>
      <w:bookmarkStart w:id="114" w:name="_Toc184308099"/>
      <w:bookmarkEnd w:id="114"/>
      <w:bookmarkStart w:id="115" w:name="_Toc184312096"/>
      <w:bookmarkEnd w:id="115"/>
      <w:bookmarkStart w:id="116" w:name="_Toc184308085"/>
      <w:bookmarkEnd w:id="116"/>
      <w:bookmarkStart w:id="117" w:name="_Toc184314467"/>
      <w:bookmarkEnd w:id="117"/>
      <w:bookmarkStart w:id="118" w:name="_Toc184308059"/>
      <w:bookmarkEnd w:id="118"/>
      <w:bookmarkStart w:id="119" w:name="_Toc184308050"/>
      <w:bookmarkEnd w:id="119"/>
      <w:bookmarkStart w:id="120" w:name="_Toc184314452"/>
      <w:bookmarkEnd w:id="120"/>
      <w:bookmarkStart w:id="121" w:name="_Toc184313292"/>
      <w:bookmarkEnd w:id="121"/>
      <w:bookmarkStart w:id="122" w:name="_Toc184308108"/>
      <w:bookmarkEnd w:id="122"/>
      <w:bookmarkStart w:id="123" w:name="_Toc184312083"/>
      <w:bookmarkEnd w:id="123"/>
      <w:bookmarkStart w:id="124" w:name="_Toc184314457"/>
      <w:bookmarkEnd w:id="124"/>
      <w:bookmarkStart w:id="125" w:name="_Toc184312112"/>
      <w:bookmarkEnd w:id="125"/>
      <w:bookmarkStart w:id="126" w:name="_Toc184313290"/>
      <w:bookmarkEnd w:id="126"/>
      <w:bookmarkStart w:id="127" w:name="_Toc184314459"/>
      <w:bookmarkEnd w:id="127"/>
      <w:bookmarkStart w:id="128" w:name="_Toc184308040"/>
      <w:bookmarkEnd w:id="128"/>
      <w:bookmarkStart w:id="129" w:name="_Toc184310339"/>
      <w:bookmarkEnd w:id="129"/>
      <w:bookmarkStart w:id="130" w:name="_Toc184308046"/>
      <w:bookmarkEnd w:id="130"/>
      <w:bookmarkStart w:id="131" w:name="_Toc184313310"/>
      <w:bookmarkEnd w:id="131"/>
      <w:bookmarkStart w:id="132" w:name="_Toc184314425"/>
      <w:bookmarkEnd w:id="132"/>
      <w:bookmarkStart w:id="133" w:name="_Toc184310297"/>
      <w:bookmarkEnd w:id="133"/>
      <w:bookmarkStart w:id="134" w:name="_Toc184313243"/>
      <w:bookmarkEnd w:id="134"/>
      <w:bookmarkStart w:id="135" w:name="_Toc184314439"/>
      <w:bookmarkEnd w:id="135"/>
      <w:bookmarkStart w:id="136" w:name="_Toc184308074"/>
      <w:bookmarkEnd w:id="136"/>
      <w:bookmarkStart w:id="137" w:name="_Toc184308079"/>
      <w:bookmarkEnd w:id="137"/>
      <w:bookmarkStart w:id="138" w:name="_Toc184314413"/>
      <w:bookmarkEnd w:id="138"/>
      <w:bookmarkStart w:id="139" w:name="_Toc184308042"/>
      <w:bookmarkEnd w:id="139"/>
      <w:bookmarkStart w:id="140" w:name="_Toc184313302"/>
      <w:bookmarkEnd w:id="140"/>
      <w:bookmarkStart w:id="141" w:name="_Toc184312115"/>
      <w:bookmarkEnd w:id="141"/>
      <w:bookmarkStart w:id="142" w:name="_Toc184312101"/>
      <w:bookmarkEnd w:id="142"/>
      <w:bookmarkStart w:id="143" w:name="_Toc184312086"/>
      <w:bookmarkEnd w:id="143"/>
      <w:bookmarkStart w:id="144" w:name="_Toc184313245"/>
      <w:bookmarkEnd w:id="144"/>
      <w:bookmarkStart w:id="145" w:name="_Toc184310320"/>
      <w:bookmarkEnd w:id="145"/>
      <w:bookmarkStart w:id="146" w:name="_Toc184312069"/>
      <w:bookmarkEnd w:id="146"/>
      <w:bookmarkStart w:id="147" w:name="_Toc184314480"/>
      <w:bookmarkEnd w:id="147"/>
      <w:bookmarkStart w:id="148" w:name="_Toc184308065"/>
      <w:bookmarkEnd w:id="148"/>
      <w:bookmarkStart w:id="149" w:name="_Toc184312131"/>
      <w:bookmarkEnd w:id="149"/>
      <w:bookmarkStart w:id="150" w:name="_Toc184312126"/>
      <w:bookmarkEnd w:id="150"/>
      <w:bookmarkStart w:id="151" w:name="_Toc184312119"/>
      <w:bookmarkEnd w:id="151"/>
      <w:bookmarkStart w:id="152" w:name="_Toc184308061"/>
      <w:bookmarkEnd w:id="152"/>
      <w:bookmarkStart w:id="153" w:name="_Toc184308038"/>
      <w:bookmarkEnd w:id="153"/>
      <w:bookmarkStart w:id="154" w:name="_Toc184314444"/>
      <w:bookmarkEnd w:id="154"/>
      <w:bookmarkStart w:id="155" w:name="_Toc184312123"/>
      <w:bookmarkEnd w:id="155"/>
      <w:bookmarkStart w:id="156" w:name="_Toc184308090"/>
      <w:bookmarkEnd w:id="156"/>
      <w:bookmarkStart w:id="157" w:name="_Toc184312135"/>
      <w:bookmarkEnd w:id="157"/>
      <w:bookmarkStart w:id="158" w:name="_Toc184312074"/>
      <w:bookmarkEnd w:id="158"/>
      <w:bookmarkStart w:id="159" w:name="_Toc184314435"/>
      <w:bookmarkEnd w:id="159"/>
      <w:bookmarkStart w:id="160" w:name="_Toc184310338"/>
      <w:bookmarkEnd w:id="160"/>
      <w:bookmarkStart w:id="161" w:name="_Toc184312113"/>
      <w:bookmarkEnd w:id="161"/>
      <w:bookmarkStart w:id="162" w:name="_Toc184310318"/>
      <w:bookmarkEnd w:id="162"/>
      <w:bookmarkStart w:id="163" w:name="_Toc184313297"/>
      <w:bookmarkEnd w:id="163"/>
      <w:bookmarkStart w:id="164" w:name="_Toc184313246"/>
      <w:bookmarkEnd w:id="164"/>
      <w:bookmarkStart w:id="165" w:name="_Toc184313259"/>
      <w:bookmarkEnd w:id="165"/>
      <w:bookmarkStart w:id="166" w:name="_Toc184308068"/>
      <w:bookmarkEnd w:id="166"/>
      <w:bookmarkStart w:id="167" w:name="_Toc184308083"/>
      <w:bookmarkEnd w:id="167"/>
      <w:bookmarkStart w:id="168" w:name="_Toc184313307"/>
      <w:bookmarkEnd w:id="168"/>
      <w:bookmarkStart w:id="169" w:name="_Toc184312106"/>
      <w:bookmarkEnd w:id="169"/>
      <w:bookmarkStart w:id="170" w:name="_Toc184314472"/>
      <w:bookmarkEnd w:id="170"/>
      <w:bookmarkStart w:id="171" w:name="_Toc184310334"/>
      <w:bookmarkEnd w:id="171"/>
      <w:bookmarkStart w:id="172" w:name="_Toc184313260"/>
      <w:bookmarkEnd w:id="172"/>
      <w:bookmarkStart w:id="173" w:name="_Toc184314449"/>
      <w:bookmarkEnd w:id="173"/>
      <w:bookmarkStart w:id="174" w:name="_Toc184310342"/>
      <w:bookmarkEnd w:id="174"/>
      <w:bookmarkStart w:id="175" w:name="_Toc184314434"/>
      <w:bookmarkEnd w:id="175"/>
      <w:bookmarkStart w:id="176" w:name="_Toc184314438"/>
      <w:bookmarkEnd w:id="176"/>
      <w:bookmarkStart w:id="177" w:name="_Toc184312137"/>
      <w:bookmarkEnd w:id="177"/>
      <w:bookmarkStart w:id="178" w:name="_Toc184308036"/>
      <w:bookmarkEnd w:id="178"/>
      <w:bookmarkStart w:id="179" w:name="_Toc184313306"/>
      <w:bookmarkEnd w:id="179"/>
      <w:bookmarkStart w:id="180" w:name="_Toc184310275"/>
      <w:bookmarkEnd w:id="180"/>
      <w:bookmarkStart w:id="181" w:name="_Toc184313304"/>
      <w:bookmarkEnd w:id="181"/>
      <w:bookmarkStart w:id="182" w:name="_Toc184308093"/>
      <w:bookmarkEnd w:id="182"/>
      <w:bookmarkStart w:id="183" w:name="_Toc184313250"/>
      <w:bookmarkEnd w:id="183"/>
      <w:bookmarkStart w:id="184" w:name="_Toc184314454"/>
      <w:bookmarkEnd w:id="184"/>
      <w:bookmarkStart w:id="185" w:name="_Toc184310285"/>
      <w:bookmarkEnd w:id="185"/>
      <w:bookmarkStart w:id="186" w:name="_Toc184312122"/>
      <w:bookmarkEnd w:id="186"/>
      <w:bookmarkStart w:id="187" w:name="_Toc184314417"/>
      <w:bookmarkEnd w:id="187"/>
      <w:bookmarkStart w:id="188" w:name="_Toc184308047"/>
      <w:bookmarkEnd w:id="188"/>
      <w:bookmarkStart w:id="189" w:name="_Toc184308097"/>
      <w:bookmarkEnd w:id="189"/>
      <w:bookmarkStart w:id="190" w:name="_Toc184308092"/>
      <w:bookmarkEnd w:id="190"/>
      <w:bookmarkStart w:id="191" w:name="_Toc184310337"/>
      <w:bookmarkEnd w:id="191"/>
      <w:bookmarkStart w:id="192" w:name="_Toc184313278"/>
      <w:bookmarkEnd w:id="192"/>
      <w:bookmarkStart w:id="193" w:name="_Toc184312109"/>
      <w:bookmarkEnd w:id="193"/>
      <w:bookmarkStart w:id="194" w:name="_Toc184308048"/>
      <w:bookmarkEnd w:id="194"/>
      <w:bookmarkStart w:id="195" w:name="_Toc184312100"/>
      <w:bookmarkEnd w:id="195"/>
      <w:bookmarkStart w:id="196" w:name="_Toc184313288"/>
      <w:bookmarkEnd w:id="196"/>
      <w:bookmarkStart w:id="197" w:name="_Toc184314468"/>
      <w:bookmarkEnd w:id="197"/>
      <w:bookmarkStart w:id="198" w:name="_Toc184312105"/>
      <w:bookmarkEnd w:id="198"/>
      <w:bookmarkStart w:id="199" w:name="_Toc184314475"/>
      <w:bookmarkEnd w:id="199"/>
      <w:bookmarkStart w:id="200" w:name="_Toc184314479"/>
      <w:bookmarkEnd w:id="200"/>
      <w:bookmarkStart w:id="201" w:name="_Toc184313249"/>
      <w:bookmarkEnd w:id="201"/>
      <w:bookmarkStart w:id="202" w:name="_Toc184313241"/>
      <w:bookmarkEnd w:id="202"/>
      <w:bookmarkStart w:id="203" w:name="_Toc184312124"/>
      <w:bookmarkEnd w:id="203"/>
      <w:bookmarkStart w:id="204" w:name="_Toc184308086"/>
      <w:bookmarkEnd w:id="204"/>
      <w:bookmarkStart w:id="205" w:name="_Toc184314447"/>
      <w:bookmarkEnd w:id="205"/>
      <w:bookmarkStart w:id="206" w:name="_Toc184313269"/>
      <w:bookmarkEnd w:id="206"/>
      <w:bookmarkStart w:id="207" w:name="_Toc184312075"/>
      <w:bookmarkEnd w:id="207"/>
      <w:bookmarkStart w:id="208" w:name="_Toc184314432"/>
      <w:bookmarkEnd w:id="208"/>
      <w:bookmarkStart w:id="209" w:name="_Toc184310276"/>
      <w:bookmarkEnd w:id="209"/>
      <w:bookmarkStart w:id="210" w:name="_Toc184313276"/>
      <w:bookmarkEnd w:id="210"/>
      <w:bookmarkStart w:id="211" w:name="_Toc184313255"/>
      <w:bookmarkEnd w:id="211"/>
      <w:bookmarkStart w:id="212" w:name="_Toc184308060"/>
      <w:bookmarkEnd w:id="212"/>
      <w:bookmarkStart w:id="213" w:name="_Toc184310286"/>
      <w:bookmarkEnd w:id="213"/>
      <w:bookmarkStart w:id="214" w:name="_Toc184310291"/>
      <w:bookmarkEnd w:id="214"/>
      <w:bookmarkStart w:id="215" w:name="_Toc184312097"/>
      <w:bookmarkEnd w:id="215"/>
      <w:bookmarkStart w:id="216" w:name="_Toc184308100"/>
      <w:bookmarkEnd w:id="216"/>
      <w:bookmarkStart w:id="217" w:name="_Toc184314440"/>
      <w:bookmarkEnd w:id="217"/>
      <w:bookmarkStart w:id="218" w:name="_Toc184310272"/>
      <w:bookmarkEnd w:id="218"/>
      <w:bookmarkStart w:id="219" w:name="_Toc184313247"/>
      <w:bookmarkEnd w:id="219"/>
      <w:bookmarkStart w:id="220" w:name="_Toc184314427"/>
      <w:bookmarkEnd w:id="220"/>
      <w:bookmarkStart w:id="221" w:name="_Toc184310300"/>
      <w:bookmarkEnd w:id="221"/>
      <w:bookmarkStart w:id="222" w:name="_Toc184313286"/>
      <w:bookmarkEnd w:id="222"/>
      <w:bookmarkStart w:id="223" w:name="_Toc184308057"/>
      <w:bookmarkEnd w:id="223"/>
      <w:bookmarkStart w:id="224" w:name="_Toc184310335"/>
      <w:bookmarkEnd w:id="224"/>
      <w:bookmarkStart w:id="225" w:name="_Toc184314458"/>
      <w:bookmarkEnd w:id="225"/>
      <w:bookmarkStart w:id="226" w:name="_Toc184310322"/>
      <w:bookmarkEnd w:id="226"/>
      <w:bookmarkStart w:id="227" w:name="_Toc184308066"/>
      <w:bookmarkEnd w:id="227"/>
      <w:bookmarkStart w:id="228" w:name="_Toc184310325"/>
      <w:bookmarkEnd w:id="228"/>
      <w:bookmarkStart w:id="229" w:name="_Toc184314463"/>
      <w:bookmarkEnd w:id="229"/>
      <w:bookmarkStart w:id="230" w:name="_Toc184312070"/>
      <w:bookmarkEnd w:id="230"/>
      <w:bookmarkStart w:id="231" w:name="_Toc184312089"/>
      <w:bookmarkEnd w:id="231"/>
      <w:bookmarkStart w:id="232" w:name="_Toc184308055"/>
      <w:bookmarkEnd w:id="232"/>
      <w:bookmarkStart w:id="233" w:name="_Toc184313253"/>
      <w:bookmarkEnd w:id="233"/>
      <w:bookmarkStart w:id="234" w:name="_Toc184314430"/>
      <w:bookmarkEnd w:id="234"/>
      <w:bookmarkStart w:id="235" w:name="_Toc184308045"/>
      <w:bookmarkEnd w:id="235"/>
      <w:bookmarkStart w:id="236" w:name="_Toc184310277"/>
      <w:bookmarkEnd w:id="236"/>
      <w:bookmarkStart w:id="237" w:name="_Toc184310315"/>
      <w:bookmarkEnd w:id="237"/>
      <w:bookmarkStart w:id="238" w:name="_Toc184312130"/>
      <w:bookmarkEnd w:id="238"/>
      <w:bookmarkStart w:id="239" w:name="_Toc184314464"/>
      <w:bookmarkEnd w:id="239"/>
      <w:bookmarkStart w:id="240" w:name="_Toc184308043"/>
      <w:bookmarkEnd w:id="240"/>
      <w:bookmarkStart w:id="241" w:name="_Toc184313295"/>
      <w:bookmarkEnd w:id="241"/>
      <w:bookmarkStart w:id="242" w:name="_Toc184314466"/>
      <w:bookmarkEnd w:id="242"/>
      <w:bookmarkStart w:id="243" w:name="_Toc184313242"/>
      <w:bookmarkEnd w:id="243"/>
      <w:bookmarkStart w:id="244" w:name="_Toc184308041"/>
      <w:bookmarkEnd w:id="244"/>
      <w:bookmarkStart w:id="245" w:name="_Toc184310321"/>
      <w:bookmarkEnd w:id="245"/>
      <w:bookmarkStart w:id="246" w:name="_Toc184314482"/>
      <w:bookmarkEnd w:id="246"/>
      <w:bookmarkStart w:id="247" w:name="_Toc184313267"/>
      <w:bookmarkEnd w:id="247"/>
      <w:bookmarkStart w:id="248" w:name="_Toc184313239"/>
      <w:bookmarkEnd w:id="248"/>
      <w:bookmarkStart w:id="249" w:name="_Toc184308078"/>
      <w:bookmarkEnd w:id="249"/>
      <w:bookmarkStart w:id="250" w:name="_Toc184308094"/>
      <w:bookmarkEnd w:id="250"/>
      <w:bookmarkStart w:id="251" w:name="_Toc184312102"/>
      <w:bookmarkEnd w:id="251"/>
      <w:bookmarkStart w:id="252" w:name="_Toc184308087"/>
      <w:bookmarkEnd w:id="252"/>
      <w:bookmarkStart w:id="253" w:name="_Toc184314416"/>
      <w:bookmarkEnd w:id="253"/>
      <w:bookmarkStart w:id="254" w:name="_Toc184314446"/>
      <w:bookmarkEnd w:id="254"/>
      <w:bookmarkStart w:id="255" w:name="_Toc184310303"/>
      <w:bookmarkEnd w:id="255"/>
      <w:bookmarkStart w:id="256" w:name="_Toc184308091"/>
      <w:bookmarkEnd w:id="256"/>
      <w:bookmarkStart w:id="257" w:name="_Toc184308054"/>
      <w:bookmarkEnd w:id="257"/>
      <w:bookmarkStart w:id="258" w:name="_Toc184313262"/>
      <w:bookmarkEnd w:id="258"/>
      <w:bookmarkStart w:id="259" w:name="_Toc184312071"/>
      <w:bookmarkEnd w:id="259"/>
      <w:bookmarkStart w:id="260" w:name="_Toc184310343"/>
      <w:bookmarkEnd w:id="260"/>
      <w:bookmarkStart w:id="261" w:name="_Toc184314437"/>
      <w:bookmarkEnd w:id="261"/>
      <w:bookmarkStart w:id="262" w:name="_Toc184308067"/>
      <w:bookmarkEnd w:id="262"/>
      <w:bookmarkStart w:id="263" w:name="_Toc184312098"/>
      <w:bookmarkEnd w:id="263"/>
      <w:bookmarkStart w:id="264" w:name="_Toc184314469"/>
      <w:bookmarkEnd w:id="264"/>
      <w:bookmarkStart w:id="265" w:name="_Toc184310328"/>
      <w:bookmarkEnd w:id="265"/>
      <w:bookmarkStart w:id="266" w:name="_Toc184312095"/>
      <w:bookmarkEnd w:id="266"/>
      <w:bookmarkStart w:id="267" w:name="_Toc184310299"/>
      <w:bookmarkEnd w:id="267"/>
      <w:bookmarkStart w:id="268" w:name="_Toc184312103"/>
      <w:bookmarkEnd w:id="268"/>
      <w:bookmarkStart w:id="269" w:name="_Toc184310298"/>
      <w:bookmarkEnd w:id="269"/>
      <w:bookmarkStart w:id="270" w:name="_Toc184312104"/>
      <w:bookmarkEnd w:id="270"/>
      <w:bookmarkStart w:id="271" w:name="_Toc184312138"/>
      <w:bookmarkEnd w:id="271"/>
      <w:bookmarkStart w:id="272" w:name="_Toc184310311"/>
      <w:bookmarkEnd w:id="272"/>
      <w:bookmarkStart w:id="273" w:name="_Toc184314436"/>
      <w:bookmarkEnd w:id="273"/>
      <w:bookmarkStart w:id="274" w:name="_Toc184312116"/>
      <w:bookmarkEnd w:id="274"/>
      <w:bookmarkStart w:id="275" w:name="_Toc184308098"/>
      <w:bookmarkEnd w:id="275"/>
      <w:bookmarkStart w:id="276" w:name="_Toc184310301"/>
      <w:bookmarkEnd w:id="276"/>
      <w:bookmarkStart w:id="277" w:name="_Toc184313265"/>
      <w:bookmarkEnd w:id="277"/>
      <w:bookmarkStart w:id="278" w:name="_Toc184312108"/>
      <w:bookmarkEnd w:id="278"/>
      <w:bookmarkStart w:id="279" w:name="_Toc184313251"/>
      <w:bookmarkEnd w:id="279"/>
      <w:bookmarkStart w:id="280" w:name="_Toc184314462"/>
      <w:bookmarkEnd w:id="280"/>
      <w:bookmarkStart w:id="281" w:name="_Toc184314429"/>
      <w:bookmarkEnd w:id="281"/>
      <w:bookmarkStart w:id="282" w:name="_Toc184313258"/>
      <w:bookmarkEnd w:id="282"/>
      <w:bookmarkStart w:id="283" w:name="_Toc184312132"/>
      <w:bookmarkEnd w:id="283"/>
      <w:bookmarkStart w:id="284" w:name="_Toc184310273"/>
      <w:bookmarkEnd w:id="284"/>
      <w:bookmarkStart w:id="285" w:name="_Toc184313277"/>
      <w:bookmarkEnd w:id="285"/>
      <w:bookmarkStart w:id="286" w:name="_Toc184313248"/>
      <w:bookmarkEnd w:id="286"/>
      <w:bookmarkStart w:id="287" w:name="_Toc184308053"/>
      <w:bookmarkEnd w:id="287"/>
      <w:bookmarkStart w:id="288" w:name="_Toc184314422"/>
      <w:bookmarkEnd w:id="288"/>
      <w:bookmarkStart w:id="289" w:name="_Toc184308049"/>
      <w:bookmarkEnd w:id="289"/>
      <w:bookmarkStart w:id="290" w:name="_Toc184308105"/>
      <w:bookmarkEnd w:id="290"/>
      <w:bookmarkStart w:id="291" w:name="_Toc184310281"/>
      <w:bookmarkEnd w:id="291"/>
      <w:bookmarkStart w:id="292" w:name="_Toc184310317"/>
      <w:bookmarkEnd w:id="292"/>
      <w:bookmarkStart w:id="293" w:name="_Toc184312125"/>
      <w:bookmarkEnd w:id="293"/>
      <w:bookmarkStart w:id="294" w:name="_Toc184313272"/>
      <w:bookmarkEnd w:id="294"/>
      <w:bookmarkStart w:id="295" w:name="_Toc184308069"/>
      <w:bookmarkEnd w:id="295"/>
      <w:bookmarkStart w:id="296" w:name="_Toc184314474"/>
      <w:bookmarkEnd w:id="296"/>
      <w:bookmarkStart w:id="297" w:name="_Toc184313284"/>
      <w:bookmarkEnd w:id="297"/>
      <w:bookmarkStart w:id="298" w:name="_Toc184314478"/>
      <w:bookmarkEnd w:id="298"/>
      <w:bookmarkStart w:id="299" w:name="_Toc184308107"/>
      <w:bookmarkEnd w:id="299"/>
      <w:bookmarkStart w:id="300" w:name="_Toc184314423"/>
      <w:bookmarkEnd w:id="300"/>
      <w:bookmarkStart w:id="301" w:name="_Toc184312079"/>
      <w:bookmarkEnd w:id="301"/>
      <w:bookmarkStart w:id="302" w:name="_Toc184313266"/>
      <w:bookmarkEnd w:id="302"/>
      <w:bookmarkStart w:id="303" w:name="_Toc184312110"/>
      <w:bookmarkEnd w:id="303"/>
      <w:bookmarkStart w:id="304" w:name="_Toc184314445"/>
      <w:bookmarkEnd w:id="304"/>
      <w:bookmarkStart w:id="305" w:name="_Toc184312087"/>
      <w:bookmarkEnd w:id="305"/>
      <w:bookmarkStart w:id="306" w:name="_Toc184313263"/>
      <w:bookmarkEnd w:id="306"/>
      <w:bookmarkStart w:id="307" w:name="_Toc184308095"/>
      <w:bookmarkEnd w:id="307"/>
      <w:bookmarkStart w:id="308" w:name="_Toc184314451"/>
      <w:bookmarkEnd w:id="308"/>
      <w:bookmarkStart w:id="309" w:name="_Toc184313271"/>
      <w:bookmarkEnd w:id="309"/>
      <w:bookmarkStart w:id="310" w:name="_Toc184314441"/>
      <w:bookmarkEnd w:id="310"/>
      <w:bookmarkStart w:id="311" w:name="_Toc184312134"/>
      <w:bookmarkEnd w:id="311"/>
      <w:bookmarkStart w:id="312" w:name="_Toc184314411"/>
      <w:bookmarkEnd w:id="312"/>
      <w:bookmarkStart w:id="313" w:name="_Toc184308051"/>
      <w:bookmarkEnd w:id="313"/>
      <w:bookmarkStart w:id="314" w:name="_Toc184314448"/>
      <w:bookmarkEnd w:id="314"/>
      <w:bookmarkStart w:id="315" w:name="_Toc184310296"/>
      <w:bookmarkEnd w:id="315"/>
      <w:bookmarkStart w:id="316" w:name="_Toc184308070"/>
      <w:bookmarkEnd w:id="316"/>
      <w:bookmarkStart w:id="317" w:name="_Toc184310323"/>
      <w:bookmarkEnd w:id="317"/>
      <w:bookmarkStart w:id="318" w:name="_Toc184308056"/>
      <w:bookmarkEnd w:id="318"/>
      <w:bookmarkStart w:id="319" w:name="_Toc184314433"/>
      <w:bookmarkEnd w:id="319"/>
      <w:bookmarkStart w:id="320" w:name="_Toc184312139"/>
      <w:bookmarkEnd w:id="320"/>
      <w:bookmarkStart w:id="321" w:name="_Toc184310307"/>
      <w:bookmarkEnd w:id="321"/>
      <w:bookmarkStart w:id="322" w:name="_Toc184313298"/>
      <w:bookmarkEnd w:id="322"/>
      <w:bookmarkStart w:id="323" w:name="_Toc184314453"/>
      <w:bookmarkEnd w:id="323"/>
      <w:bookmarkStart w:id="324" w:name="_Toc184308044"/>
      <w:bookmarkEnd w:id="324"/>
      <w:bookmarkStart w:id="325" w:name="_Toc184313303"/>
      <w:bookmarkEnd w:id="325"/>
      <w:bookmarkStart w:id="326" w:name="_Toc184310324"/>
      <w:bookmarkEnd w:id="326"/>
      <w:bookmarkStart w:id="327" w:name="_Toc184313289"/>
      <w:bookmarkEnd w:id="327"/>
      <w:bookmarkStart w:id="328" w:name="_Toc184313270"/>
      <w:bookmarkEnd w:id="328"/>
      <w:bookmarkStart w:id="329" w:name="_Toc184312076"/>
      <w:bookmarkEnd w:id="329"/>
      <w:bookmarkStart w:id="330" w:name="_Toc184310313"/>
      <w:bookmarkEnd w:id="330"/>
      <w:bookmarkStart w:id="331" w:name="_Toc184313252"/>
      <w:bookmarkEnd w:id="331"/>
      <w:bookmarkStart w:id="332" w:name="_Toc184308088"/>
      <w:bookmarkEnd w:id="332"/>
      <w:bookmarkStart w:id="333" w:name="_Toc184310306"/>
      <w:bookmarkEnd w:id="333"/>
      <w:bookmarkStart w:id="334" w:name="_Toc184310287"/>
      <w:bookmarkEnd w:id="334"/>
      <w:bookmarkStart w:id="335" w:name="_Toc184308106"/>
      <w:bookmarkEnd w:id="335"/>
      <w:bookmarkStart w:id="336" w:name="_Toc184312111"/>
      <w:bookmarkEnd w:id="336"/>
      <w:bookmarkStart w:id="337" w:name="_Toc184308063"/>
      <w:bookmarkEnd w:id="337"/>
      <w:bookmarkStart w:id="338" w:name="_Toc184313279"/>
      <w:bookmarkEnd w:id="338"/>
      <w:bookmarkStart w:id="339" w:name="_Toc184313283"/>
      <w:bookmarkEnd w:id="339"/>
      <w:bookmarkStart w:id="340" w:name="_Toc184310332"/>
      <w:bookmarkEnd w:id="340"/>
      <w:bookmarkStart w:id="341" w:name="_Toc184314442"/>
      <w:bookmarkEnd w:id="341"/>
      <w:bookmarkStart w:id="342" w:name="_Toc184308072"/>
      <w:bookmarkEnd w:id="342"/>
      <w:bookmarkStart w:id="343" w:name="_Toc184314461"/>
      <w:bookmarkEnd w:id="343"/>
      <w:bookmarkStart w:id="344" w:name="_Toc184314424"/>
      <w:bookmarkEnd w:id="344"/>
      <w:bookmarkStart w:id="345" w:name="_Toc184310309"/>
      <w:bookmarkEnd w:id="345"/>
      <w:bookmarkStart w:id="346" w:name="_Toc184314476"/>
      <w:bookmarkEnd w:id="346"/>
      <w:bookmarkStart w:id="347" w:name="_Toc184310292"/>
      <w:bookmarkEnd w:id="347"/>
      <w:bookmarkStart w:id="348" w:name="_Toc184314420"/>
      <w:bookmarkEnd w:id="348"/>
      <w:bookmarkStart w:id="349" w:name="_Toc184313268"/>
      <w:bookmarkEnd w:id="349"/>
      <w:bookmarkStart w:id="350" w:name="_Toc184313280"/>
      <w:bookmarkEnd w:id="350"/>
      <w:bookmarkStart w:id="351" w:name="_Toc184314455"/>
      <w:bookmarkEnd w:id="351"/>
      <w:bookmarkStart w:id="352" w:name="_Toc184313282"/>
      <w:bookmarkEnd w:id="352"/>
      <w:bookmarkStart w:id="353" w:name="_Toc184313300"/>
      <w:bookmarkEnd w:id="353"/>
      <w:bookmarkStart w:id="354" w:name="_Toc184310310"/>
      <w:bookmarkEnd w:id="354"/>
      <w:bookmarkStart w:id="355" w:name="_Toc184314410"/>
      <w:bookmarkEnd w:id="355"/>
      <w:bookmarkStart w:id="356" w:name="_Toc184310282"/>
      <w:bookmarkEnd w:id="356"/>
      <w:bookmarkStart w:id="357" w:name="_Toc184308077"/>
      <w:bookmarkEnd w:id="357"/>
      <w:bookmarkStart w:id="358" w:name="_Toc184308102"/>
      <w:bookmarkEnd w:id="358"/>
      <w:bookmarkStart w:id="359" w:name="_Toc184314412"/>
      <w:bookmarkEnd w:id="359"/>
      <w:bookmarkStart w:id="360" w:name="_Toc184310319"/>
      <w:bookmarkEnd w:id="360"/>
      <w:bookmarkStart w:id="361" w:name="_Toc184313285"/>
      <w:bookmarkEnd w:id="361"/>
      <w:bookmarkStart w:id="362" w:name="_Toc184308039"/>
      <w:bookmarkEnd w:id="362"/>
      <w:bookmarkStart w:id="363" w:name="_Toc184312091"/>
      <w:bookmarkEnd w:id="363"/>
      <w:bookmarkStart w:id="364" w:name="_Toc184310341"/>
      <w:bookmarkEnd w:id="364"/>
      <w:bookmarkStart w:id="365" w:name="_Toc184312081"/>
      <w:bookmarkEnd w:id="365"/>
      <w:bookmarkStart w:id="366" w:name="_Toc184308103"/>
      <w:bookmarkEnd w:id="366"/>
      <w:bookmarkStart w:id="367" w:name="_Toc184310308"/>
      <w:bookmarkEnd w:id="367"/>
      <w:bookmarkStart w:id="368" w:name="_Toc184310336"/>
      <w:bookmarkEnd w:id="368"/>
      <w:bookmarkStart w:id="369" w:name="_Toc184312114"/>
      <w:bookmarkEnd w:id="369"/>
      <w:bookmarkStart w:id="370" w:name="_Toc184310340"/>
      <w:bookmarkEnd w:id="370"/>
      <w:bookmarkStart w:id="371" w:name="_Toc184314450"/>
      <w:bookmarkEnd w:id="371"/>
      <w:bookmarkStart w:id="372" w:name="_Toc184308075"/>
      <w:bookmarkEnd w:id="372"/>
      <w:bookmarkStart w:id="373" w:name="_Toc184314418"/>
      <w:bookmarkEnd w:id="373"/>
      <w:bookmarkStart w:id="374" w:name="_Toc184308064"/>
      <w:bookmarkEnd w:id="374"/>
      <w:bookmarkStart w:id="375" w:name="_Toc184314470"/>
      <w:bookmarkEnd w:id="375"/>
      <w:bookmarkStart w:id="376" w:name="_Toc184312117"/>
      <w:bookmarkEnd w:id="376"/>
      <w:bookmarkStart w:id="377" w:name="_Toc184310288"/>
      <w:bookmarkEnd w:id="377"/>
      <w:bookmarkStart w:id="378" w:name="_Toc184312099"/>
      <w:bookmarkEnd w:id="378"/>
      <w:bookmarkStart w:id="379" w:name="_Toc184313274"/>
      <w:bookmarkEnd w:id="379"/>
      <w:bookmarkStart w:id="380" w:name="_Toc184312136"/>
      <w:bookmarkEnd w:id="380"/>
      <w:bookmarkStart w:id="381" w:name="_Toc184310290"/>
      <w:bookmarkEnd w:id="381"/>
      <w:bookmarkStart w:id="382" w:name="_Toc184313308"/>
      <w:bookmarkEnd w:id="382"/>
      <w:bookmarkStart w:id="383" w:name="_Toc184310330"/>
      <w:bookmarkEnd w:id="383"/>
      <w:bookmarkStart w:id="384" w:name="_Toc184310316"/>
      <w:bookmarkEnd w:id="384"/>
      <w:bookmarkStart w:id="385" w:name="_Toc184314477"/>
      <w:bookmarkEnd w:id="385"/>
      <w:bookmarkStart w:id="386" w:name="_Toc184310295"/>
      <w:bookmarkEnd w:id="386"/>
      <w:bookmarkStart w:id="387" w:name="_Toc184310329"/>
      <w:bookmarkEnd w:id="387"/>
      <w:bookmarkStart w:id="388" w:name="_Toc184312128"/>
      <w:bookmarkEnd w:id="388"/>
      <w:bookmarkStart w:id="389" w:name="_Toc184314415"/>
      <w:bookmarkEnd w:id="389"/>
      <w:bookmarkStart w:id="390" w:name="_Toc184310278"/>
      <w:bookmarkEnd w:id="390"/>
      <w:bookmarkStart w:id="391" w:name="_Toc184313281"/>
      <w:bookmarkEnd w:id="391"/>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评标办法</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35"/>
        <w:gridCol w:w="4655"/>
        <w:gridCol w:w="630"/>
        <w:gridCol w:w="81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类别</w:t>
            </w:r>
          </w:p>
        </w:tc>
        <w:tc>
          <w:tcPr>
            <w:tcW w:w="635" w:type="dxa"/>
            <w:tcBorders>
              <w:top w:val="single" w:color="auto" w:sz="4" w:space="0"/>
              <w:left w:val="single" w:color="auto" w:sz="4" w:space="0"/>
              <w:bottom w:val="single" w:color="auto" w:sz="4" w:space="0"/>
              <w:right w:val="single" w:color="auto" w:sz="4" w:space="0"/>
            </w:tcBorders>
            <w:noWrap w:val="0"/>
            <w:vAlign w:val="center"/>
          </w:tcPr>
          <w:p>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序号</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评分标准</w:t>
            </w:r>
          </w:p>
        </w:tc>
        <w:tc>
          <w:tcPr>
            <w:tcW w:w="6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权重</w:t>
            </w:r>
          </w:p>
        </w:tc>
        <w:tc>
          <w:tcPr>
            <w:tcW w:w="8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主观分/客观分属性</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投标文件中评标标准相应的商务技术资料目录*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885" w:type="dxa"/>
            <w:vMerge w:val="restart"/>
            <w:tcBorders>
              <w:left w:val="single" w:color="auto" w:sz="4" w:space="0"/>
              <w:right w:val="single" w:color="auto" w:sz="4" w:space="0"/>
            </w:tcBorders>
            <w:noWrap w:val="0"/>
            <w:vAlign w:val="center"/>
          </w:tcPr>
          <w:p>
            <w:pPr>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商务部分（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25</w:t>
            </w:r>
            <w:r>
              <w:rPr>
                <w:rFonts w:hint="eastAsia" w:ascii="仿宋_GB2312" w:hAnsi="仿宋_GB2312" w:eastAsia="仿宋_GB2312" w:cs="仿宋_GB2312"/>
                <w:color w:val="000000" w:themeColor="text1"/>
                <w:szCs w:val="21"/>
                <w:highlight w:val="none"/>
                <w14:textFill>
                  <w14:solidFill>
                    <w14:schemeClr w14:val="tx1"/>
                  </w14:solidFill>
                </w14:textFill>
              </w:rPr>
              <w:t>分）</w:t>
            </w:r>
          </w:p>
        </w:tc>
        <w:tc>
          <w:tcPr>
            <w:tcW w:w="63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根据投标人提供的类似案例业绩,每提供一类采购合同（信创计算机及信创软件最高得1分，交互智能一体机最高得1分）得1分，最高得2分。</w:t>
            </w:r>
          </w:p>
          <w:p>
            <w:pPr>
              <w:pStyle w:val="3"/>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仿宋_GB2312" w:hAnsi="仿宋_GB2312" w:eastAsia="仿宋_GB2312" w:cs="仿宋_GB2312"/>
                <w:b/>
                <w:bCs/>
                <w:color w:val="000000" w:themeColor="text1"/>
                <w:kern w:val="0"/>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Cs w:val="24"/>
                <w:highlight w:val="none"/>
                <w14:textFill>
                  <w14:solidFill>
                    <w14:schemeClr w14:val="tx1"/>
                  </w14:solidFill>
                </w14:textFill>
              </w:rPr>
              <w:t>注：1.合同签订时间为 202</w:t>
            </w:r>
            <w:r>
              <w:rPr>
                <w:rFonts w:hint="eastAsia" w:ascii="仿宋_GB2312" w:hAnsi="仿宋_GB2312" w:eastAsia="仿宋_GB2312" w:cs="仿宋_GB2312"/>
                <w:b/>
                <w:bCs/>
                <w:color w:val="000000" w:themeColor="text1"/>
                <w:kern w:val="0"/>
                <w:szCs w:val="24"/>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kern w:val="0"/>
                <w:szCs w:val="24"/>
                <w:highlight w:val="none"/>
                <w14:textFill>
                  <w14:solidFill>
                    <w14:schemeClr w14:val="tx1"/>
                  </w14:solidFill>
                </w14:textFill>
              </w:rPr>
              <w:t>年1月1日（含）至开标截止时间的时间段内，合同由投标人签订，否则不得分。</w:t>
            </w:r>
          </w:p>
          <w:p>
            <w:pPr>
              <w:pStyle w:val="3"/>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Cs w:val="24"/>
                <w:highlight w:val="none"/>
                <w14:textFill>
                  <w14:solidFill>
                    <w14:schemeClr w14:val="tx1"/>
                  </w14:solidFill>
                </w14:textFill>
              </w:rPr>
              <w:t>2.类似项目业绩是指合同内容包含信创计算机及信创软件或交互智能一体机，否则不得分</w:t>
            </w:r>
            <w:r>
              <w:rPr>
                <w:rFonts w:hint="eastAsia" w:ascii="仿宋_GB2312" w:hAnsi="仿宋_GB2312" w:eastAsia="仿宋_GB2312" w:cs="仿宋_GB2312"/>
                <w:color w:val="000000" w:themeColor="text1"/>
                <w:kern w:val="0"/>
                <w:szCs w:val="24"/>
                <w:highlight w:val="none"/>
                <w14:textFill>
                  <w14:solidFill>
                    <w14:schemeClr w14:val="tx1"/>
                  </w14:solidFill>
                </w14:textFill>
              </w:rPr>
              <w:t>。</w:t>
            </w:r>
          </w:p>
        </w:tc>
        <w:tc>
          <w:tcPr>
            <w:tcW w:w="630" w:type="dxa"/>
            <w:tcBorders>
              <w:top w:val="single" w:color="auto" w:sz="4" w:space="0"/>
              <w:left w:val="single" w:color="auto" w:sz="4" w:space="0"/>
              <w:bottom w:val="single" w:color="auto" w:sz="4" w:space="0"/>
              <w:right w:val="single" w:color="auto" w:sz="4" w:space="0"/>
            </w:tcBorders>
            <w:noWrap w:val="0"/>
            <w:vAlign w:val="center"/>
          </w:tcPr>
          <w:p>
            <w:pPr>
              <w:ind w:firstLine="219" w:firstLineChars="100"/>
              <w:jc w:val="center"/>
              <w:outlineLvl w:val="0"/>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t>2</w:t>
            </w:r>
          </w:p>
        </w:tc>
        <w:tc>
          <w:tcPr>
            <w:tcW w:w="8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85" w:type="dxa"/>
            <w:vMerge w:val="continue"/>
            <w:tcBorders>
              <w:left w:val="single" w:color="auto" w:sz="4" w:space="0"/>
              <w:right w:val="single" w:color="auto" w:sz="4" w:space="0"/>
            </w:tcBorders>
            <w:noWrap w:val="0"/>
            <w:vAlign w:val="center"/>
          </w:tcPr>
          <w:p>
            <w:pPr>
              <w:jc w:val="left"/>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根据投标人提供的相关认证证书情况打分:</w:t>
            </w:r>
          </w:p>
          <w:p>
            <w:pPr>
              <w:pStyle w:val="26"/>
              <w:keepNext w:val="0"/>
              <w:keepLines w:val="0"/>
              <w:pageBreakBefore w:val="0"/>
              <w:widowControl/>
              <w:kinsoku/>
              <w:wordWrap/>
              <w:overflowPunct/>
              <w:topLinePunct w:val="0"/>
              <w:autoSpaceDE/>
              <w:autoSpaceDN/>
              <w:bidi w:val="0"/>
              <w:adjustRightInd/>
              <w:snapToGrid/>
              <w:spacing w:after="0" w:line="360" w:lineRule="auto"/>
              <w:ind w:firstLine="0" w:firstLineChars="0"/>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1.投标人具有有效期内的质量管理体系认证证书的（认证范围须包含信息技术基础设施及软、硬件维护），得1分;</w:t>
            </w:r>
          </w:p>
          <w:p>
            <w:pPr>
              <w:pStyle w:val="26"/>
              <w:keepNext w:val="0"/>
              <w:keepLines w:val="0"/>
              <w:pageBreakBefore w:val="0"/>
              <w:widowControl/>
              <w:kinsoku/>
              <w:wordWrap/>
              <w:overflowPunct/>
              <w:topLinePunct w:val="0"/>
              <w:autoSpaceDE/>
              <w:autoSpaceDN/>
              <w:bidi w:val="0"/>
              <w:adjustRightInd/>
              <w:snapToGrid/>
              <w:spacing w:after="0" w:line="360" w:lineRule="auto"/>
              <w:ind w:firstLine="0" w:firstLineChars="0"/>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2.投标人具有有效期内的信息技术服务管理体系认证证书的（认证范围须包含信息技术软硬件运行维护服务），得1分;</w:t>
            </w:r>
          </w:p>
          <w:p>
            <w:pPr>
              <w:pStyle w:val="26"/>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3.投标人具有有效期内的信息安全管理体系认证证书的（认证范围须包含与信息技术软硬件运行维护），得1分。</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Cs/>
                <w:kern w:val="0"/>
                <w:szCs w:val="21"/>
                <w:highlight w:val="none"/>
              </w:rPr>
            </w:pPr>
            <w:r>
              <w:rPr>
                <w:rFonts w:hint="eastAsia" w:ascii="仿宋_GB2312" w:hAnsi="仿宋_GB2312" w:eastAsia="仿宋_GB2312" w:cs="仿宋_GB2312"/>
                <w:b/>
                <w:color w:val="auto"/>
                <w:sz w:val="24"/>
                <w:szCs w:val="24"/>
                <w:highlight w:val="none"/>
              </w:rPr>
              <w:t>注：1.提供有效期内的证书及全国认证认可信息公共服务平台网站http://www.cnca.gov.cn/查询页面截图,未按要求提供的，不得分。</w:t>
            </w:r>
          </w:p>
        </w:tc>
        <w:tc>
          <w:tcPr>
            <w:tcW w:w="630" w:type="dxa"/>
            <w:tcBorders>
              <w:top w:val="single" w:color="auto" w:sz="4" w:space="0"/>
              <w:left w:val="single" w:color="auto" w:sz="4" w:space="0"/>
              <w:bottom w:val="single" w:color="auto" w:sz="4" w:space="0"/>
              <w:right w:val="single" w:color="auto" w:sz="4" w:space="0"/>
            </w:tcBorders>
            <w:noWrap w:val="0"/>
            <w:vAlign w:val="center"/>
          </w:tcPr>
          <w:p>
            <w:pPr>
              <w:ind w:firstLine="219" w:firstLineChars="100"/>
              <w:jc w:val="center"/>
              <w:outlineLvl w:val="0"/>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t>3</w:t>
            </w:r>
          </w:p>
        </w:tc>
        <w:tc>
          <w:tcPr>
            <w:tcW w:w="8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t>根据投标人为本项目提供的售后服务方案包括售后服务力量、响应速度、日常维护，以上每点，描述完整详细且与采购人实际需求完全契合的得1分，描述较详细完整或与采购人实际需求部分符合的得0.5分，未提供或完全不符合采购人需求的得0分，</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本项最多得3分。</w:t>
            </w:r>
          </w:p>
        </w:tc>
        <w:tc>
          <w:tcPr>
            <w:tcW w:w="6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strike w:val="0"/>
                <w:dstrike w:val="0"/>
                <w:color w:val="000000" w:themeColor="text1"/>
                <w:spacing w:val="4"/>
                <w:szCs w:val="21"/>
                <w:highlight w:val="none"/>
                <w:lang w:val="en-US" w:eastAsia="zh-CN"/>
                <w14:textFill>
                  <w14:solidFill>
                    <w14:schemeClr w14:val="tx1"/>
                  </w14:solidFill>
                </w14:textFill>
              </w:rPr>
              <w:t>3</w:t>
            </w:r>
          </w:p>
        </w:tc>
        <w:tc>
          <w:tcPr>
            <w:tcW w:w="81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6"/>
              <w:spacing w:line="400" w:lineRule="exact"/>
              <w:ind w:firstLine="0" w:firstLineChars="0"/>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t>根据投标人对本项目整体质保承诺打分，整体质保4年的，得1分；整体质保5年及以上的，得2分。投标人提供承诺函，格式自拟，未提供的不得分。</w:t>
            </w:r>
          </w:p>
          <w:p>
            <w:pPr>
              <w:pStyle w:val="26"/>
              <w:spacing w:after="0" w:line="400" w:lineRule="exact"/>
              <w:ind w:firstLine="0" w:firstLineChars="0"/>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4"/>
                <w:szCs w:val="24"/>
                <w:highlight w:val="none"/>
                <w:lang w:val="en-US" w:eastAsia="zh-CN" w:bidi="ar-SA"/>
                <w14:textFill>
                  <w14:solidFill>
                    <w14:schemeClr w14:val="tx1"/>
                  </w14:solidFill>
                </w14:textFill>
              </w:rPr>
              <w:t>注:原厂质保期高于投标人质保承</w:t>
            </w:r>
            <w:r>
              <w:rPr>
                <w:rFonts w:hint="eastAsia" w:ascii="仿宋_GB2312" w:hAnsi="仿宋_GB2312" w:eastAsia="仿宋_GB2312" w:cs="仿宋_GB2312"/>
                <w:b/>
                <w:bCs/>
                <w:highlight w:val="none"/>
                <w:lang w:eastAsia="zh-CN"/>
              </w:rPr>
              <w:t>诺的按原厂执行。</w:t>
            </w:r>
          </w:p>
        </w:tc>
        <w:tc>
          <w:tcPr>
            <w:tcW w:w="6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sz w:val="24"/>
                <w:szCs w:val="24"/>
                <w:highlight w:val="none"/>
              </w:rPr>
              <w:t>2</w:t>
            </w:r>
          </w:p>
        </w:tc>
        <w:tc>
          <w:tcPr>
            <w:tcW w:w="81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p>
        </w:tc>
        <w:tc>
          <w:tcPr>
            <w:tcW w:w="4655" w:type="dxa"/>
            <w:tcBorders>
              <w:top w:val="single" w:color="auto" w:sz="4" w:space="0"/>
              <w:left w:val="single" w:color="auto" w:sz="4" w:space="0"/>
              <w:right w:val="single" w:color="auto" w:sz="4" w:space="0"/>
            </w:tcBorders>
            <w:shd w:val="clear" w:color="auto" w:fill="auto"/>
            <w:noWrap w:val="0"/>
            <w:vAlign w:val="center"/>
          </w:tcPr>
          <w:p>
            <w:pPr>
              <w:widowControl/>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投标人</w:t>
            </w:r>
            <w:r>
              <w:rPr>
                <w:rFonts w:hint="eastAsia" w:ascii="仿宋_GB2312" w:hAnsi="仿宋_GB2312" w:eastAsia="仿宋_GB2312" w:cs="仿宋_GB2312"/>
                <w:color w:val="000000" w:themeColor="text1"/>
                <w:sz w:val="24"/>
                <w:szCs w:val="24"/>
                <w:highlight w:val="none"/>
                <w14:textFill>
                  <w14:solidFill>
                    <w14:schemeClr w14:val="tx1"/>
                  </w14:solidFill>
                </w14:textFill>
              </w:rPr>
              <w:t>提供所投交互智能一体机（触控一体机）产品具有有效期内节能产品认证证书的，得1分；</w:t>
            </w:r>
          </w:p>
          <w:p>
            <w:pPr>
              <w:widowControl/>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投标人</w:t>
            </w:r>
            <w:r>
              <w:rPr>
                <w:rFonts w:hint="eastAsia" w:ascii="仿宋_GB2312" w:hAnsi="仿宋_GB2312" w:eastAsia="仿宋_GB2312" w:cs="仿宋_GB2312"/>
                <w:color w:val="000000" w:themeColor="text1"/>
                <w:sz w:val="24"/>
                <w:szCs w:val="24"/>
                <w:highlight w:val="none"/>
                <w14:textFill>
                  <w14:solidFill>
                    <w14:schemeClr w14:val="tx1"/>
                  </w14:solidFill>
                </w14:textFill>
              </w:rPr>
              <w:t>提供所投交互智能一体机（触控一体机）产品具有有效期内的环境标志产品认证证书的，得1分。</w:t>
            </w:r>
          </w:p>
          <w:p>
            <w:pPr>
              <w:widowControl/>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投标人</w:t>
            </w:r>
            <w:r>
              <w:rPr>
                <w:rFonts w:hint="eastAsia" w:ascii="仿宋_GB2312" w:hAnsi="仿宋_GB2312" w:eastAsia="仿宋_GB2312" w:cs="仿宋_GB2312"/>
                <w:color w:val="000000" w:themeColor="text1"/>
                <w:sz w:val="24"/>
                <w:szCs w:val="24"/>
                <w:highlight w:val="none"/>
                <w14:textFill>
                  <w14:solidFill>
                    <w14:schemeClr w14:val="tx1"/>
                  </w14:solidFill>
                </w14:textFill>
              </w:rPr>
              <w:t>提供所投信创台式计算机产品具有有效期内的环境产品认证证书的，得1分。</w:t>
            </w:r>
          </w:p>
          <w:p>
            <w:pPr>
              <w:widowControl/>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投标人</w:t>
            </w:r>
            <w:r>
              <w:rPr>
                <w:rFonts w:hint="eastAsia" w:ascii="仿宋_GB2312" w:hAnsi="仿宋_GB2312" w:eastAsia="仿宋_GB2312" w:cs="仿宋_GB2312"/>
                <w:color w:val="000000" w:themeColor="text1"/>
                <w:sz w:val="24"/>
                <w:szCs w:val="24"/>
                <w:highlight w:val="none"/>
                <w14:textFill>
                  <w14:solidFill>
                    <w14:schemeClr w14:val="tx1"/>
                  </w14:solidFill>
                </w14:textFill>
              </w:rPr>
              <w:t>提供所投台式计算机产品具有有效期内的环境产品认证证书的，得1分。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投标人</w:t>
            </w:r>
            <w:r>
              <w:rPr>
                <w:rFonts w:hint="eastAsia" w:ascii="仿宋_GB2312" w:hAnsi="仿宋_GB2312" w:eastAsia="仿宋_GB2312" w:cs="仿宋_GB2312"/>
                <w:color w:val="000000" w:themeColor="text1"/>
                <w:sz w:val="24"/>
                <w:szCs w:val="24"/>
                <w:highlight w:val="none"/>
                <w14:textFill>
                  <w14:solidFill>
                    <w14:schemeClr w14:val="tx1"/>
                  </w14:solidFill>
                </w14:textFill>
              </w:rPr>
              <w:t>提供所投教师桌、学生桌、学生桌(六边型含椅子)、教师讲台、学生桌（双人桌含方凳）、学生电脑桌凳、教师电脑桌椅具有有效期内的环境产品认证证书的，</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每项得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0.15分，最多</w:t>
            </w:r>
            <w:r>
              <w:rPr>
                <w:rFonts w:hint="eastAsia" w:ascii="仿宋_GB2312" w:hAnsi="仿宋_GB2312" w:eastAsia="仿宋_GB2312" w:cs="仿宋_GB2312"/>
                <w:color w:val="000000" w:themeColor="text1"/>
                <w:sz w:val="24"/>
                <w:szCs w:val="24"/>
                <w:highlight w:val="none"/>
                <w14:textFill>
                  <w14:solidFill>
                    <w14:schemeClr w14:val="tx1"/>
                  </w14:solidFill>
                </w14:textFill>
              </w:rPr>
              <w:t>得1分。</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highlight w:val="none"/>
                <w:lang w:val="en-US" w:eastAsia="zh-CN"/>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注：出具机构须在国家市场监督管理总局公布的《参与实施政府采购环境标志产品认证机构名录》内。</w:t>
            </w:r>
          </w:p>
        </w:tc>
        <w:tc>
          <w:tcPr>
            <w:tcW w:w="6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5</w:t>
            </w:r>
          </w:p>
        </w:tc>
        <w:tc>
          <w:tcPr>
            <w:tcW w:w="816"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7"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4655" w:type="dxa"/>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项目负责人（仅限1名）：</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具有政</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府部门颁发的</w:t>
            </w:r>
            <w:r>
              <w:rPr>
                <w:rFonts w:hint="eastAsia" w:ascii="仿宋_GB2312" w:hAnsi="仿宋_GB2312" w:eastAsia="仿宋_GB2312" w:cs="仿宋_GB2312"/>
                <w:color w:val="000000" w:themeColor="text1"/>
                <w:sz w:val="24"/>
                <w:szCs w:val="24"/>
                <w:highlight w:val="none"/>
                <w14:textFill>
                  <w14:solidFill>
                    <w14:schemeClr w14:val="tx1"/>
                  </w14:solidFill>
                </w14:textFill>
              </w:rPr>
              <w:t>信息系统项目管理师证书</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24"/>
                <w:szCs w:val="24"/>
                <w:highlight w:val="none"/>
                <w14:textFill>
                  <w14:solidFill>
                    <w14:schemeClr w14:val="tx1"/>
                  </w14:solidFill>
                </w14:textFill>
              </w:rPr>
              <w:t>得2分，</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具有</w:t>
            </w:r>
            <w:r>
              <w:rPr>
                <w:rFonts w:hint="eastAsia" w:ascii="仿宋_GB2312" w:hAnsi="仿宋_GB2312" w:eastAsia="仿宋_GB2312" w:cs="仿宋_GB2312"/>
                <w:color w:val="000000" w:themeColor="text1"/>
                <w:sz w:val="24"/>
                <w:szCs w:val="24"/>
                <w:highlight w:val="none"/>
                <w14:textFill>
                  <w14:solidFill>
                    <w14:schemeClr w14:val="tx1"/>
                  </w14:solidFill>
                </w14:textFill>
              </w:rPr>
              <w:t>系统集成项目管理工程师证书的得1分</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最高的2分；</w:t>
            </w:r>
          </w:p>
          <w:p>
            <w:pPr>
              <w:pStyle w:val="26"/>
              <w:ind w:firstLine="0" w:firstLineChars="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具有信创集成项目管理师(高级)得1分；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具有</w:t>
            </w:r>
            <w:r>
              <w:rPr>
                <w:rFonts w:hint="eastAsia" w:ascii="仿宋_GB2312" w:hAnsi="仿宋_GB2312" w:eastAsia="仿宋_GB2312" w:cs="仿宋_GB2312"/>
                <w:color w:val="000000" w:themeColor="text1"/>
                <w:sz w:val="24"/>
                <w:szCs w:val="24"/>
                <w:highlight w:val="none"/>
                <w14:textFill>
                  <w14:solidFill>
                    <w14:schemeClr w14:val="tx1"/>
                  </w14:solidFill>
                </w14:textFill>
              </w:rPr>
              <w:t>CISAW信息安全保障人员认证证书(认证方向为应急服务)得1分。</w:t>
            </w:r>
          </w:p>
          <w:p>
            <w:pPr>
              <w:rPr>
                <w:rFonts w:hint="eastAsia" w:ascii="仿宋_GB2312" w:hAnsi="仿宋_GB2312" w:eastAsia="仿宋_GB2312" w:cs="仿宋_GB2312"/>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技术负责人（仅限1名）：</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具有信息系统项目管理师证书</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24"/>
                <w:szCs w:val="24"/>
                <w:highlight w:val="none"/>
                <w14:textFill>
                  <w14:solidFill>
                    <w14:schemeClr w14:val="tx1"/>
                  </w14:solidFill>
                </w14:textFill>
              </w:rPr>
              <w:t>得2分，</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具有</w:t>
            </w:r>
            <w:r>
              <w:rPr>
                <w:rFonts w:hint="eastAsia" w:ascii="仿宋_GB2312" w:hAnsi="仿宋_GB2312" w:eastAsia="仿宋_GB2312" w:cs="仿宋_GB2312"/>
                <w:color w:val="000000" w:themeColor="text1"/>
                <w:sz w:val="24"/>
                <w:szCs w:val="24"/>
                <w:highlight w:val="none"/>
                <w14:textFill>
                  <w14:solidFill>
                    <w14:schemeClr w14:val="tx1"/>
                  </w14:solidFill>
                </w14:textFill>
              </w:rPr>
              <w:t>网络工程师证书</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24"/>
                <w:szCs w:val="24"/>
                <w:highlight w:val="none"/>
                <w14:textFill>
                  <w14:solidFill>
                    <w14:schemeClr w14:val="tx1"/>
                  </w14:solidFill>
                </w14:textFill>
              </w:rPr>
              <w:t>，得1分，最高得2分。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注：1.</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投标人应提供政府部门（或政府部</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门授权的相关部门）颁发的证书及上述人员在本单位的社保证明（2026年3月、4月、5月、6月</w:t>
            </w:r>
            <w:r>
              <w:rPr>
                <w:rFonts w:hint="eastAsia" w:ascii="仿宋_GB2312" w:hAnsi="仿宋_GB2312" w:eastAsia="仿宋_GB2312" w:cs="仿宋_GB2312"/>
                <w:b/>
                <w:bCs/>
                <w:color w:val="000000" w:themeColor="text1"/>
                <w:sz w:val="24"/>
                <w:szCs w:val="24"/>
                <w:highlight w:val="none"/>
                <w:lang w:val="zh-TW" w:eastAsia="zh-CN"/>
                <w14:textFill>
                  <w14:solidFill>
                    <w14:schemeClr w14:val="tx1"/>
                  </w14:solidFill>
                </w14:textFill>
              </w:rPr>
              <w:t>中的任意一个月</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），否则不得分。</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color w:val="000000" w:themeColor="text1"/>
                <w:sz w:val="24"/>
                <w:szCs w:val="24"/>
                <w:highlight w:val="none"/>
                <w:lang w:val="en-US" w:eastAsia="en-US"/>
                <w14:textFill>
                  <w14:solidFill>
                    <w14:schemeClr w14:val="tx1"/>
                  </w14:solidFill>
                </w14:textFill>
              </w:rPr>
              <w:t>投标人提供的同类证书等级高于上述证书的，视作满足要求。</w:t>
            </w:r>
          </w:p>
        </w:tc>
        <w:tc>
          <w:tcPr>
            <w:tcW w:w="6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816"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p>
        </w:tc>
        <w:tc>
          <w:tcPr>
            <w:tcW w:w="1440" w:type="dxa"/>
            <w:tcBorders>
              <w:top w:val="single" w:color="auto" w:sz="4" w:space="0"/>
              <w:left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p>
        </w:tc>
        <w:tc>
          <w:tcPr>
            <w:tcW w:w="4655" w:type="dxa"/>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为保障信创计算机的兼容性和服务的一致性，所投信创台式计算机主机、显示器为同一品牌的，得1分，教育应用均兼容的需提供相应内容承诺书（格式自拟）或证明材料，得1分。</w:t>
            </w:r>
          </w:p>
        </w:tc>
        <w:tc>
          <w:tcPr>
            <w:tcW w:w="6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sz w:val="24"/>
                <w:szCs w:val="24"/>
                <w:highlight w:val="none"/>
              </w:rPr>
              <w:t>2</w:t>
            </w:r>
          </w:p>
        </w:tc>
        <w:tc>
          <w:tcPr>
            <w:tcW w:w="816"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4655" w:type="dxa"/>
            <w:tcBorders>
              <w:top w:val="single" w:color="auto" w:sz="4" w:space="0"/>
              <w:left w:val="single" w:color="auto" w:sz="4" w:space="0"/>
              <w:right w:val="single" w:color="auto" w:sz="4" w:space="0"/>
            </w:tcBorders>
            <w:shd w:val="clear" w:color="auto" w:fill="auto"/>
            <w:noWrap w:val="0"/>
            <w:vAlign w:val="center"/>
          </w:tcPr>
          <w:p>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为保障学生绿色上网，所投产品（国产操作系统）符合教育部2021年印发《关于推进教育新型基础设施建设构建高质量教育支撑体系的指导意见》提出的保障青少年绿色上网要求，系统自带绿色上网功能支持拦截网页中恶意弹窗，诱导点击跳转至不良内容、低俗庸俗等有害页面的行为等功能，提供功能截图证明，得2分。</w:t>
            </w:r>
          </w:p>
        </w:tc>
        <w:tc>
          <w:tcPr>
            <w:tcW w:w="6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auto"/>
                <w:sz w:val="24"/>
                <w:szCs w:val="24"/>
                <w:highlight w:val="none"/>
              </w:rPr>
              <w:t>2</w:t>
            </w:r>
          </w:p>
        </w:tc>
        <w:tc>
          <w:tcPr>
            <w:tcW w:w="816"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85" w:type="dxa"/>
            <w:vMerge w:val="restart"/>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技术部分（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Cs w:val="21"/>
                <w:highlight w:val="none"/>
                <w14:textFill>
                  <w14:solidFill>
                    <w14:schemeClr w14:val="tx1"/>
                  </w14:solidFill>
                </w14:textFill>
              </w:rPr>
              <w:t>）</w:t>
            </w: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p>
        </w:tc>
        <w:tc>
          <w:tcPr>
            <w:tcW w:w="4655" w:type="dxa"/>
            <w:tcBorders>
              <w:top w:val="single" w:color="auto" w:sz="4" w:space="0"/>
              <w:left w:val="single" w:color="auto" w:sz="4" w:space="0"/>
              <w:right w:val="single" w:color="auto" w:sz="4" w:space="0"/>
            </w:tcBorders>
            <w:noWrap w:val="0"/>
            <w:vAlign w:val="center"/>
          </w:tcPr>
          <w:p>
            <w:pPr>
              <w:pStyle w:val="3"/>
              <w:spacing w:line="400" w:lineRule="exact"/>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根据投标台式计算机（含信创）</w:t>
            </w:r>
            <w:r>
              <w:rPr>
                <w:rFonts w:hint="eastAsia" w:ascii="仿宋_GB2312" w:hAnsi="仿宋_GB2312" w:eastAsia="仿宋_GB2312" w:cs="仿宋_GB2312"/>
                <w:color w:val="000000" w:themeColor="text1"/>
                <w:highlight w:val="none"/>
                <w:lang w:eastAsia="zh-CN"/>
                <w14:textFill>
                  <w14:solidFill>
                    <w14:schemeClr w14:val="tx1"/>
                  </w14:solidFill>
                </w14:textFill>
              </w:rPr>
              <w:t>及</w:t>
            </w:r>
            <w:r>
              <w:rPr>
                <w:rFonts w:hint="eastAsia" w:ascii="仿宋_GB2312" w:hAnsi="仿宋_GB2312" w:eastAsia="仿宋_GB2312" w:cs="仿宋_GB2312"/>
                <w:color w:val="000000" w:themeColor="text1"/>
                <w:highlight w:val="none"/>
                <w14:textFill>
                  <w14:solidFill>
                    <w14:schemeClr w14:val="tx1"/>
                  </w14:solidFill>
                </w14:textFill>
              </w:rPr>
              <w:t>工作站产品的服务保障措施进行评定。（4分）</w:t>
            </w:r>
          </w:p>
          <w:p>
            <w:pPr>
              <w:pStyle w:val="3"/>
              <w:spacing w:line="400" w:lineRule="exact"/>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为保障服务效率和质量，承诺24小时内快速原厂修复服务，即工作日内当日下午16点前报修，若没有在第二个自然日24点之前完成修复，则针对故障设备提供免费的保修时长延长作为补偿（每延迟1天补偿1个月保修，以此类推），本项满足</w:t>
            </w:r>
            <w:r>
              <w:rPr>
                <w:rFonts w:hint="eastAsia" w:ascii="仿宋_GB2312" w:hAnsi="仿宋_GB2312" w:eastAsia="仿宋_GB2312" w:cs="仿宋_GB2312"/>
                <w:color w:val="000000" w:themeColor="text1"/>
                <w:highlight w:val="none"/>
                <w:lang w:eastAsia="zh-CN"/>
                <w14:textFill>
                  <w14:solidFill>
                    <w14:schemeClr w14:val="tx1"/>
                  </w14:solidFill>
                </w14:textFill>
              </w:rPr>
              <w:t>的</w:t>
            </w:r>
            <w:r>
              <w:rPr>
                <w:rFonts w:hint="eastAsia" w:ascii="仿宋_GB2312" w:hAnsi="仿宋_GB2312" w:eastAsia="仿宋_GB2312" w:cs="仿宋_GB2312"/>
                <w:color w:val="000000" w:themeColor="text1"/>
                <w:highlight w:val="none"/>
                <w14:textFill>
                  <w14:solidFill>
                    <w14:schemeClr w14:val="tx1"/>
                  </w14:solidFill>
                </w14:textFill>
              </w:rPr>
              <w:t>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14:textFill>
                  <w14:solidFill>
                    <w14:schemeClr w14:val="tx1"/>
                  </w14:solidFill>
                </w14:textFill>
              </w:rPr>
              <w:t>分</w:t>
            </w:r>
            <w:r>
              <w:rPr>
                <w:rFonts w:hint="eastAsia" w:ascii="仿宋_GB2312" w:hAnsi="仿宋_GB2312" w:eastAsia="仿宋_GB2312" w:cs="仿宋_GB2312"/>
                <w:color w:val="000000" w:themeColor="text1"/>
                <w:highlight w:val="none"/>
                <w:lang w:eastAsia="zh-CN"/>
                <w14:textFill>
                  <w14:solidFill>
                    <w14:schemeClr w14:val="tx1"/>
                  </w14:solidFill>
                </w14:textFill>
              </w:rPr>
              <w:t>，须</w:t>
            </w:r>
            <w:r>
              <w:rPr>
                <w:rFonts w:hint="eastAsia" w:ascii="仿宋_GB2312" w:hAnsi="仿宋_GB2312" w:eastAsia="仿宋_GB2312" w:cs="仿宋_GB2312"/>
                <w:color w:val="000000" w:themeColor="text1"/>
                <w:highlight w:val="none"/>
                <w14:textFill>
                  <w14:solidFill>
                    <w14:schemeClr w14:val="tx1"/>
                  </w14:solidFill>
                </w14:textFill>
              </w:rPr>
              <w:t>提</w:t>
            </w:r>
            <w:r>
              <w:rPr>
                <w:rFonts w:hint="eastAsia" w:ascii="仿宋_GB2312" w:hAnsi="仿宋_GB2312" w:eastAsia="仿宋_GB2312" w:cs="仿宋_GB2312"/>
                <w:color w:val="000000" w:themeColor="text1"/>
                <w:highlight w:val="none"/>
                <w:lang w:eastAsia="zh-CN"/>
                <w14:textFill>
                  <w14:solidFill>
                    <w14:schemeClr w14:val="tx1"/>
                  </w14:solidFill>
                </w14:textFill>
              </w:rPr>
              <w:t>相应内容</w:t>
            </w:r>
            <w:r>
              <w:rPr>
                <w:rFonts w:hint="eastAsia" w:ascii="仿宋_GB2312" w:hAnsi="仿宋_GB2312" w:eastAsia="仿宋_GB2312" w:cs="仿宋_GB2312"/>
                <w:color w:val="000000" w:themeColor="text1"/>
                <w:highlight w:val="none"/>
                <w14:textFill>
                  <w14:solidFill>
                    <w14:schemeClr w14:val="tx1"/>
                  </w14:solidFill>
                </w14:textFill>
              </w:rPr>
              <w:t>供承诺书（格式自拟），否则不得分。</w:t>
            </w:r>
            <w:r>
              <w:rPr>
                <w:rFonts w:hint="eastAsia" w:ascii="仿宋_GB2312" w:hAnsi="仿宋_GB2312" w:eastAsia="仿宋_GB2312" w:cs="仿宋_GB2312"/>
                <w:color w:val="000000" w:themeColor="text1"/>
                <w:highlight w:val="none"/>
                <w:lang w:eastAsia="zh-CN"/>
                <w14:textFill>
                  <w14:solidFill>
                    <w14:schemeClr w14:val="tx1"/>
                  </w14:solidFill>
                </w14:textFill>
              </w:rPr>
              <w:t>承诺</w:t>
            </w:r>
            <w:r>
              <w:rPr>
                <w:rFonts w:hint="eastAsia" w:ascii="仿宋_GB2312" w:hAnsi="仿宋_GB2312" w:eastAsia="仿宋_GB2312" w:cs="仿宋_GB2312"/>
                <w:color w:val="000000" w:themeColor="text1"/>
                <w:highlight w:val="none"/>
                <w14:textFill>
                  <w14:solidFill>
                    <w14:schemeClr w14:val="tx1"/>
                  </w14:solidFill>
                </w14:textFill>
              </w:rPr>
              <w:t>凭产品序列号</w:t>
            </w:r>
            <w:r>
              <w:rPr>
                <w:rFonts w:hint="eastAsia" w:ascii="仿宋_GB2312" w:hAnsi="仿宋_GB2312" w:eastAsia="仿宋_GB2312" w:cs="仿宋_GB2312"/>
                <w:color w:val="000000" w:themeColor="text1"/>
                <w:highlight w:val="none"/>
                <w:lang w:eastAsia="zh-CN"/>
                <w14:textFill>
                  <w14:solidFill>
                    <w14:schemeClr w14:val="tx1"/>
                  </w14:solidFill>
                </w14:textFill>
              </w:rPr>
              <w:t>（主机、显示器）</w:t>
            </w:r>
            <w:r>
              <w:rPr>
                <w:rFonts w:hint="eastAsia" w:ascii="仿宋_GB2312" w:hAnsi="仿宋_GB2312" w:eastAsia="仿宋_GB2312" w:cs="仿宋_GB2312"/>
                <w:color w:val="000000" w:themeColor="text1"/>
                <w:highlight w:val="none"/>
                <w14:textFill>
                  <w14:solidFill>
                    <w14:schemeClr w14:val="tx1"/>
                  </w14:solidFill>
                </w14:textFill>
              </w:rPr>
              <w:t>可查</w:t>
            </w:r>
            <w:r>
              <w:rPr>
                <w:rFonts w:hint="eastAsia" w:ascii="仿宋_GB2312" w:hAnsi="仿宋_GB2312" w:eastAsia="仿宋_GB2312" w:cs="仿宋_GB2312"/>
                <w:color w:val="000000" w:themeColor="text1"/>
                <w:highlight w:val="none"/>
                <w:lang w:eastAsia="zh-CN"/>
                <w14:textFill>
                  <w14:solidFill>
                    <w14:schemeClr w14:val="tx1"/>
                  </w14:solidFill>
                </w14:textFill>
              </w:rPr>
              <w:t>维修</w:t>
            </w:r>
            <w:r>
              <w:rPr>
                <w:rFonts w:hint="eastAsia" w:ascii="仿宋_GB2312" w:hAnsi="仿宋_GB2312" w:eastAsia="仿宋_GB2312" w:cs="仿宋_GB2312"/>
                <w:color w:val="000000" w:themeColor="text1"/>
                <w:highlight w:val="none"/>
                <w14:textFill>
                  <w14:solidFill>
                    <w14:schemeClr w14:val="tx1"/>
                  </w14:solidFill>
                </w14:textFill>
              </w:rPr>
              <w:t>服务</w:t>
            </w:r>
            <w:r>
              <w:rPr>
                <w:rFonts w:hint="eastAsia" w:ascii="仿宋_GB2312" w:hAnsi="仿宋_GB2312" w:eastAsia="仿宋_GB2312" w:cs="仿宋_GB2312"/>
                <w:color w:val="000000" w:themeColor="text1"/>
                <w:highlight w:val="none"/>
                <w:lang w:eastAsia="zh-CN"/>
                <w14:textFill>
                  <w14:solidFill>
                    <w14:schemeClr w14:val="tx1"/>
                  </w14:solidFill>
                </w14:textFill>
              </w:rPr>
              <w:t>的得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1分</w:t>
            </w: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eastAsia="zh-CN"/>
                <w14:textFill>
                  <w14:solidFill>
                    <w14:schemeClr w14:val="tx1"/>
                  </w14:solidFill>
                </w14:textFill>
              </w:rPr>
              <w:t>须</w:t>
            </w:r>
            <w:r>
              <w:rPr>
                <w:rFonts w:hint="eastAsia" w:ascii="仿宋_GB2312" w:hAnsi="仿宋_GB2312" w:eastAsia="仿宋_GB2312" w:cs="仿宋_GB2312"/>
                <w:color w:val="000000" w:themeColor="text1"/>
                <w:highlight w:val="none"/>
                <w14:textFill>
                  <w14:solidFill>
                    <w14:schemeClr w14:val="tx1"/>
                  </w14:solidFill>
                </w14:textFill>
              </w:rPr>
              <w:t>提供相应内容承诺书（格式自拟）</w:t>
            </w:r>
            <w:r>
              <w:rPr>
                <w:rFonts w:hint="eastAsia" w:ascii="仿宋_GB2312" w:hAnsi="仿宋_GB2312" w:eastAsia="仿宋_GB2312" w:cs="仿宋_GB2312"/>
                <w:color w:val="000000" w:themeColor="text1"/>
                <w:highlight w:val="none"/>
                <w:lang w:eastAsia="zh-CN"/>
                <w14:textFill>
                  <w14:solidFill>
                    <w14:schemeClr w14:val="tx1"/>
                  </w14:solidFill>
                </w14:textFill>
              </w:rPr>
              <w:t>或证明材料，</w:t>
            </w:r>
            <w:r>
              <w:rPr>
                <w:rFonts w:hint="eastAsia" w:ascii="仿宋_GB2312" w:hAnsi="仿宋_GB2312" w:eastAsia="仿宋_GB2312" w:cs="仿宋_GB2312"/>
                <w:color w:val="000000" w:themeColor="text1"/>
                <w:highlight w:val="none"/>
                <w14:textFill>
                  <w14:solidFill>
                    <w14:schemeClr w14:val="tx1"/>
                  </w14:solidFill>
                </w14:textFill>
              </w:rPr>
              <w:t>否则不得分。</w:t>
            </w:r>
          </w:p>
          <w:p>
            <w:pPr>
              <w:pStyle w:val="3"/>
              <w:spacing w:line="400" w:lineRule="exact"/>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2、质保期内，投标产品提供固态硬盘数据拯救及恢复服务，即针对软件原因（如误删除、病毒、系统故障等）或硬件原因（如震荡、撞击、电路板或磁头损坏、机械故障等）导致数据丢失的情况，提供至少一次尝试性恢复故障硬盘上数据的服务，若未恢复则不计次数，本项满足</w:t>
            </w:r>
            <w:r>
              <w:rPr>
                <w:rFonts w:hint="eastAsia" w:ascii="仿宋_GB2312" w:hAnsi="仿宋_GB2312" w:eastAsia="仿宋_GB2312" w:cs="仿宋_GB2312"/>
                <w:color w:val="000000" w:themeColor="text1"/>
                <w:highlight w:val="none"/>
                <w:lang w:eastAsia="zh-CN"/>
                <w14:textFill>
                  <w14:solidFill>
                    <w14:schemeClr w14:val="tx1"/>
                  </w14:solidFill>
                </w14:textFill>
              </w:rPr>
              <w:t>的</w:t>
            </w:r>
            <w:r>
              <w:rPr>
                <w:rFonts w:hint="eastAsia" w:ascii="仿宋_GB2312" w:hAnsi="仿宋_GB2312" w:eastAsia="仿宋_GB2312" w:cs="仿宋_GB2312"/>
                <w:color w:val="000000" w:themeColor="text1"/>
                <w:highlight w:val="none"/>
                <w14:textFill>
                  <w14:solidFill>
                    <w14:schemeClr w14:val="tx1"/>
                  </w14:solidFill>
                </w14:textFill>
              </w:rPr>
              <w:t>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14:textFill>
                  <w14:solidFill>
                    <w14:schemeClr w14:val="tx1"/>
                  </w14:solidFill>
                </w14:textFill>
              </w:rPr>
              <w:t>分</w:t>
            </w:r>
            <w:r>
              <w:rPr>
                <w:rFonts w:hint="eastAsia" w:ascii="仿宋_GB2312" w:hAnsi="仿宋_GB2312" w:eastAsia="仿宋_GB2312" w:cs="仿宋_GB2312"/>
                <w:color w:val="000000" w:themeColor="text1"/>
                <w:highlight w:val="none"/>
                <w:lang w:eastAsia="zh-CN"/>
                <w14:textFill>
                  <w14:solidFill>
                    <w14:schemeClr w14:val="tx1"/>
                  </w14:solidFill>
                </w14:textFill>
              </w:rPr>
              <w:t>，须</w:t>
            </w:r>
            <w:r>
              <w:rPr>
                <w:rFonts w:hint="eastAsia" w:ascii="仿宋_GB2312" w:hAnsi="仿宋_GB2312" w:eastAsia="仿宋_GB2312" w:cs="仿宋_GB2312"/>
                <w:color w:val="000000" w:themeColor="text1"/>
                <w:highlight w:val="none"/>
                <w14:textFill>
                  <w14:solidFill>
                    <w14:schemeClr w14:val="tx1"/>
                  </w14:solidFill>
                </w14:textFill>
              </w:rPr>
              <w:t>提</w:t>
            </w:r>
            <w:r>
              <w:rPr>
                <w:rFonts w:hint="eastAsia" w:ascii="仿宋_GB2312" w:hAnsi="仿宋_GB2312" w:eastAsia="仿宋_GB2312" w:cs="仿宋_GB2312"/>
                <w:color w:val="000000" w:themeColor="text1"/>
                <w:highlight w:val="none"/>
                <w:lang w:eastAsia="zh-CN"/>
                <w14:textFill>
                  <w14:solidFill>
                    <w14:schemeClr w14:val="tx1"/>
                  </w14:solidFill>
                </w14:textFill>
              </w:rPr>
              <w:t>相应内容</w:t>
            </w:r>
            <w:r>
              <w:rPr>
                <w:rFonts w:hint="eastAsia" w:ascii="仿宋_GB2312" w:hAnsi="仿宋_GB2312" w:eastAsia="仿宋_GB2312" w:cs="仿宋_GB2312"/>
                <w:color w:val="000000" w:themeColor="text1"/>
                <w:highlight w:val="none"/>
                <w14:textFill>
                  <w14:solidFill>
                    <w14:schemeClr w14:val="tx1"/>
                  </w14:solidFill>
                </w14:textFill>
              </w:rPr>
              <w:t>供承诺书（格式自拟），否则不得分。</w:t>
            </w:r>
            <w:r>
              <w:rPr>
                <w:rFonts w:hint="eastAsia" w:ascii="仿宋_GB2312" w:hAnsi="仿宋_GB2312" w:eastAsia="仿宋_GB2312" w:cs="仿宋_GB2312"/>
                <w:color w:val="000000" w:themeColor="text1"/>
                <w:highlight w:val="none"/>
                <w:lang w:eastAsia="zh-CN"/>
                <w14:textFill>
                  <w14:solidFill>
                    <w14:schemeClr w14:val="tx1"/>
                  </w14:solidFill>
                </w14:textFill>
              </w:rPr>
              <w:t>承诺</w:t>
            </w:r>
            <w:r>
              <w:rPr>
                <w:rFonts w:hint="eastAsia" w:ascii="仿宋_GB2312" w:hAnsi="仿宋_GB2312" w:eastAsia="仿宋_GB2312" w:cs="仿宋_GB2312"/>
                <w:color w:val="000000" w:themeColor="text1"/>
                <w:highlight w:val="none"/>
                <w14:textFill>
                  <w14:solidFill>
                    <w14:schemeClr w14:val="tx1"/>
                  </w14:solidFill>
                </w14:textFill>
              </w:rPr>
              <w:t>凭产品序列号可查</w:t>
            </w:r>
            <w:r>
              <w:rPr>
                <w:rFonts w:hint="eastAsia" w:ascii="仿宋_GB2312" w:hAnsi="仿宋_GB2312" w:eastAsia="仿宋_GB2312" w:cs="仿宋_GB2312"/>
                <w:color w:val="000000" w:themeColor="text1"/>
                <w:highlight w:val="none"/>
                <w:lang w:eastAsia="zh-CN"/>
                <w14:textFill>
                  <w14:solidFill>
                    <w14:schemeClr w14:val="tx1"/>
                  </w14:solidFill>
                </w14:textFill>
              </w:rPr>
              <w:t>维修</w:t>
            </w:r>
            <w:r>
              <w:rPr>
                <w:rFonts w:hint="eastAsia" w:ascii="仿宋_GB2312" w:hAnsi="仿宋_GB2312" w:eastAsia="仿宋_GB2312" w:cs="仿宋_GB2312"/>
                <w:color w:val="000000" w:themeColor="text1"/>
                <w:highlight w:val="none"/>
                <w14:textFill>
                  <w14:solidFill>
                    <w14:schemeClr w14:val="tx1"/>
                  </w14:solidFill>
                </w14:textFill>
              </w:rPr>
              <w:t>服务</w:t>
            </w:r>
            <w:r>
              <w:rPr>
                <w:rFonts w:hint="eastAsia" w:ascii="仿宋_GB2312" w:hAnsi="仿宋_GB2312" w:eastAsia="仿宋_GB2312" w:cs="仿宋_GB2312"/>
                <w:color w:val="000000" w:themeColor="text1"/>
                <w:highlight w:val="none"/>
                <w:lang w:eastAsia="zh-CN"/>
                <w14:textFill>
                  <w14:solidFill>
                    <w14:schemeClr w14:val="tx1"/>
                  </w14:solidFill>
                </w14:textFill>
              </w:rPr>
              <w:t>的得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1分</w:t>
            </w: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eastAsia="zh-CN"/>
                <w14:textFill>
                  <w14:solidFill>
                    <w14:schemeClr w14:val="tx1"/>
                  </w14:solidFill>
                </w14:textFill>
              </w:rPr>
              <w:t>须</w:t>
            </w:r>
            <w:r>
              <w:rPr>
                <w:rFonts w:hint="eastAsia" w:ascii="仿宋_GB2312" w:hAnsi="仿宋_GB2312" w:eastAsia="仿宋_GB2312" w:cs="仿宋_GB2312"/>
                <w:color w:val="000000" w:themeColor="text1"/>
                <w:highlight w:val="none"/>
                <w14:textFill>
                  <w14:solidFill>
                    <w14:schemeClr w14:val="tx1"/>
                  </w14:solidFill>
                </w14:textFill>
              </w:rPr>
              <w:t>提供相应内容承诺书（格式自拟）</w:t>
            </w:r>
            <w:r>
              <w:rPr>
                <w:rFonts w:hint="eastAsia" w:ascii="仿宋_GB2312" w:hAnsi="仿宋_GB2312" w:eastAsia="仿宋_GB2312" w:cs="仿宋_GB2312"/>
                <w:color w:val="000000" w:themeColor="text1"/>
                <w:highlight w:val="none"/>
                <w:lang w:eastAsia="zh-CN"/>
                <w14:textFill>
                  <w14:solidFill>
                    <w14:schemeClr w14:val="tx1"/>
                  </w14:solidFill>
                </w14:textFill>
              </w:rPr>
              <w:t>或证明材料，</w:t>
            </w:r>
            <w:r>
              <w:rPr>
                <w:rFonts w:hint="eastAsia" w:ascii="仿宋_GB2312" w:hAnsi="仿宋_GB2312" w:eastAsia="仿宋_GB2312" w:cs="仿宋_GB2312"/>
                <w:color w:val="000000" w:themeColor="text1"/>
                <w:highlight w:val="none"/>
                <w14:textFill>
                  <w14:solidFill>
                    <w14:schemeClr w14:val="tx1"/>
                  </w14:solidFill>
                </w14:textFill>
              </w:rPr>
              <w:t>否则不得分。</w:t>
            </w:r>
          </w:p>
          <w:p>
            <w:pPr>
              <w:pStyle w:val="3"/>
              <w:spacing w:line="400" w:lineRule="exact"/>
              <w:ind w:firstLine="0" w:firstLineChars="0"/>
              <w:rPr>
                <w:rFonts w:hint="eastAsia" w:ascii="仿宋_GB2312" w:hAnsi="仿宋_GB2312" w:eastAsia="仿宋_GB2312" w:cs="仿宋_GB2312"/>
                <w:b/>
                <w:bCs/>
                <w:color w:val="000000" w:themeColor="text1"/>
                <w:szCs w:val="24"/>
                <w:highlight w:val="none"/>
                <w14:textFill>
                  <w14:solidFill>
                    <w14:schemeClr w14:val="tx1"/>
                  </w14:solidFill>
                </w14:textFill>
              </w:rPr>
            </w:pPr>
          </w:p>
        </w:tc>
        <w:tc>
          <w:tcPr>
            <w:tcW w:w="630"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color w:val="auto"/>
                <w:sz w:val="24"/>
                <w:szCs w:val="24"/>
                <w:highlight w:val="none"/>
              </w:rPr>
              <w:t>4</w:t>
            </w:r>
          </w:p>
        </w:tc>
        <w:tc>
          <w:tcPr>
            <w:tcW w:w="816"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sz w:val="24"/>
                <w:szCs w:val="24"/>
                <w:highlight w:val="none"/>
              </w:rPr>
              <w:t>客观分</w:t>
            </w:r>
          </w:p>
        </w:tc>
        <w:tc>
          <w:tcPr>
            <w:tcW w:w="1440" w:type="dxa"/>
            <w:tcBorders>
              <w:top w:val="single" w:color="auto" w:sz="4" w:space="0"/>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85"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10</w:t>
            </w:r>
          </w:p>
        </w:tc>
        <w:tc>
          <w:tcPr>
            <w:tcW w:w="4655" w:type="dxa"/>
            <w:tcBorders>
              <w:top w:val="single" w:color="auto" w:sz="4" w:space="0"/>
              <w:left w:val="single" w:color="auto" w:sz="4" w:space="0"/>
              <w:right w:val="single" w:color="auto" w:sz="4" w:space="0"/>
            </w:tcBorders>
            <w:shd w:val="clear" w:color="auto" w:fill="auto"/>
            <w:noWrap w:val="0"/>
            <w:vAlign w:val="top"/>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根据投标人的投标文件是否满足本次招标文件第三部分采购需求中标注“△”的技术参数要求打分，标注“△”的技术要求共46项23分，负偏离的每项扣0.5分，扣光为止。</w:t>
            </w:r>
          </w:p>
          <w:p>
            <w:pPr>
              <w:pStyle w:val="3"/>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bCs/>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注：投标人未按要求提供相关证明的，视作不符合要求，该项不得分。</w:t>
            </w:r>
          </w:p>
        </w:tc>
        <w:tc>
          <w:tcPr>
            <w:tcW w:w="630"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t>23</w:t>
            </w:r>
          </w:p>
        </w:tc>
        <w:tc>
          <w:tcPr>
            <w:tcW w:w="816" w:type="dxa"/>
            <w:tcBorders>
              <w:top w:val="single" w:color="auto" w:sz="4" w:space="0"/>
              <w:left w:val="single" w:color="auto" w:sz="4" w:space="0"/>
              <w:right w:val="single" w:color="auto" w:sz="4" w:space="0"/>
            </w:tcBorders>
            <w:shd w:val="clear" w:color="auto" w:fill="auto"/>
            <w:noWrap w:val="0"/>
            <w:vAlign w:val="center"/>
          </w:tcPr>
          <w:p>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pPr>
              <w:adjustRightInd w:val="0"/>
              <w:snapToGrid w:val="0"/>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885"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11</w:t>
            </w:r>
          </w:p>
        </w:tc>
        <w:tc>
          <w:tcPr>
            <w:tcW w:w="4655" w:type="dxa"/>
            <w:tcBorders>
              <w:top w:val="single" w:color="auto" w:sz="4" w:space="0"/>
              <w:left w:val="single" w:color="auto" w:sz="4" w:space="0"/>
              <w:right w:val="single" w:color="auto" w:sz="4" w:space="0"/>
            </w:tcBorders>
            <w:noWrap w:val="0"/>
            <w:vAlign w:val="center"/>
          </w:tcPr>
          <w:p>
            <w:pPr>
              <w:pStyle w:val="3"/>
              <w:spacing w:line="400" w:lineRule="exact"/>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根据投标人的投标文件是否满足本次招标文件第三部分采购需求中（不包括标注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”的技术参数要求）打分，</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共295项9分</w:t>
            </w:r>
            <w:r>
              <w:rPr>
                <w:rFonts w:hint="eastAsia" w:ascii="仿宋_GB2312" w:hAnsi="仿宋_GB2312" w:eastAsia="仿宋_GB2312" w:cs="仿宋_GB2312"/>
                <w:color w:val="000000" w:themeColor="text1"/>
                <w:highlight w:val="none"/>
                <w14:textFill>
                  <w14:solidFill>
                    <w14:schemeClr w14:val="tx1"/>
                  </w14:solidFill>
                </w14:textFill>
              </w:rPr>
              <w:t>负偏离或漏项的每项扣0.</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03</w:t>
            </w:r>
            <w:r>
              <w:rPr>
                <w:rFonts w:hint="eastAsia" w:ascii="仿宋_GB2312" w:hAnsi="仿宋_GB2312" w:eastAsia="仿宋_GB2312" w:cs="仿宋_GB2312"/>
                <w:color w:val="000000" w:themeColor="text1"/>
                <w:highlight w:val="none"/>
                <w14:textFill>
                  <w14:solidFill>
                    <w14:schemeClr w14:val="tx1"/>
                  </w14:solidFill>
                </w14:textFill>
              </w:rPr>
              <w:t>分，扣光为止。</w:t>
            </w:r>
          </w:p>
          <w:p>
            <w:pPr>
              <w:pStyle w:val="3"/>
              <w:spacing w:line="400" w:lineRule="exact"/>
              <w:ind w:left="0" w:leftChars="0" w:firstLine="0" w:firstLineChars="0"/>
              <w:rPr>
                <w:rFonts w:hint="eastAsia" w:ascii="仿宋_GB2312" w:hAnsi="仿宋_GB2312" w:eastAsia="仿宋_GB2312" w:cs="仿宋_GB2312"/>
                <w:highlight w:val="none"/>
              </w:rPr>
            </w:pPr>
            <w:r>
              <w:rPr>
                <w:rFonts w:hint="eastAsia" w:ascii="仿宋_GB2312" w:hAnsi="仿宋_GB2312" w:eastAsia="仿宋_GB2312" w:cs="仿宋_GB2312"/>
                <w:color w:val="000000" w:themeColor="text1"/>
                <w:highlight w:val="none"/>
                <w14:textFill>
                  <w14:solidFill>
                    <w14:schemeClr w14:val="tx1"/>
                  </w14:solidFill>
                </w14:textFill>
              </w:rPr>
              <w:t>注：投标人未按要求提供相关证明的，视作不符合要求，该项不得分。</w:t>
            </w:r>
          </w:p>
        </w:tc>
        <w:tc>
          <w:tcPr>
            <w:tcW w:w="630"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p>
        </w:tc>
        <w:tc>
          <w:tcPr>
            <w:tcW w:w="816"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jc w:val="center"/>
        </w:trPr>
        <w:tc>
          <w:tcPr>
            <w:tcW w:w="885"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12</w:t>
            </w:r>
          </w:p>
        </w:tc>
        <w:tc>
          <w:tcPr>
            <w:tcW w:w="4655" w:type="dxa"/>
            <w:tcBorders>
              <w:top w:val="single" w:color="auto" w:sz="4" w:space="0"/>
              <w:left w:val="single" w:color="auto" w:sz="4" w:space="0"/>
              <w:right w:val="single" w:color="auto" w:sz="4" w:space="0"/>
            </w:tcBorders>
            <w:shd w:val="clear" w:color="auto" w:fill="auto"/>
            <w:noWrap w:val="0"/>
            <w:vAlign w:val="top"/>
          </w:tcPr>
          <w:p>
            <w:pPr>
              <w:pStyle w:val="26"/>
              <w:spacing w:after="0" w:line="400" w:lineRule="exact"/>
              <w:ind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据投标单位提供的交互智能一体机的核心功能投标平台在线演示视频进行评定打分（演示要求一镜到底，视频时长限15分钟以内），每项满足得0.5分。</w:t>
            </w:r>
          </w:p>
          <w:p>
            <w:pPr>
              <w:pStyle w:val="95"/>
              <w:spacing w:line="400" w:lineRule="exact"/>
              <w:ind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（1）触控性能：支持提笔书写及手笔分离功能，即普通笔笔尖接触屏幕即可进入批注模式，批注时手指依旧可以触控操作。</w:t>
            </w:r>
          </w:p>
          <w:p>
            <w:pPr>
              <w:pStyle w:val="26"/>
              <w:spacing w:after="0" w:line="400" w:lineRule="exact"/>
              <w:ind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（2）前置自定义物理按键：为方便教师快速调用教学工具，支持任意通道下自定义设置按键为批注、截图、倒计时、答题等，重点演示Type-c信号源下互动答题功能。</w:t>
            </w:r>
          </w:p>
          <w:p>
            <w:pPr>
              <w:spacing w:line="400" w:lineRule="exact"/>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（3）AI空间感知：演示AI空间感知音效模式，可通过内置麦克风采集教室物理环境声音，自动生成符合当前教室物理环境的频段、音量、音效。</w:t>
            </w:r>
          </w:p>
          <w:p>
            <w:pPr>
              <w:pStyle w:val="26"/>
              <w:spacing w:after="0" w:line="400" w:lineRule="exact"/>
              <w:ind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（4）人脸识别账号登录：演示人脸识别登陆，登陆后自动获取个人云端教学课件列表，并可查看个人教学日程、进入校本资源库。</w:t>
            </w:r>
          </w:p>
          <w:p>
            <w:pPr>
              <w:pStyle w:val="3"/>
              <w:spacing w:line="400" w:lineRule="exact"/>
              <w:ind w:left="0" w:leftChars="0"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（5）下课一键锁定屏功能：避免学生对设备的误操作，支持老师激活码解锁、微信扫码解锁，后台支持密码及锁屏界面自定义，适用于各类教学环境。</w:t>
            </w:r>
          </w:p>
          <w:p>
            <w:pPr>
              <w:pStyle w:val="3"/>
              <w:spacing w:line="400" w:lineRule="exact"/>
              <w:ind w:left="0" w:leftChars="0"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（6）智能手势识别功能：演示在任意信号源通道下可识别五指上、下、左、右方向手势滑动，五指划O，左右晃动等操作调用相应功能，支持将各手势自定义设置为无操作、熄屏、批注、桌面、半屏模式。</w:t>
            </w:r>
          </w:p>
          <w:p>
            <w:pPr>
              <w:pStyle w:val="3"/>
              <w:spacing w:line="400" w:lineRule="exact"/>
              <w:ind w:left="0" w:leftChars="0"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7）集体备课：支持教师通过教学软件上传教案、课件发起集体备课活动，参与教师可对课件、教案进行打点进行批注、表情、图片评论，支持多稿修改及稿件对比，支持视频研讨记录研讨过程并自动进行AI字幕识别与切片分析，完成集备后可生成集备报告，包含数据统计、研讨记录等具体内容。</w:t>
            </w:r>
          </w:p>
          <w:p>
            <w:pPr>
              <w:pStyle w:val="3"/>
              <w:spacing w:line="400" w:lineRule="exact"/>
              <w:ind w:left="0" w:leftChars="0"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（8）AI纠错：支持开启AI纠错功能，演示老师在输入错误的英语单词、语法时，软件进行错误提示，点击提示的正确内容，可一键纠错为正确的内容。</w:t>
            </w:r>
          </w:p>
          <w:p>
            <w:pPr>
              <w:pStyle w:val="3"/>
              <w:spacing w:line="400" w:lineRule="exact"/>
              <w:ind w:left="0" w:leftChars="0" w:firstLine="0" w:firstLineChars="0"/>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9）多种学科工具：涵盖语数外等学科。其中听写工具：支持自定义选择英语单词和语文生词。自定义听写频率和次数，一键生成听写卡，一键开启全部词汇的听写朗读。百科三维资源，对应科学提供微生物（细菌、真菌、病毒）、生物（细胞、组织、器官）、植物（藻类、苔藓、蕨类）等内容。</w:t>
            </w:r>
          </w:p>
          <w:p>
            <w:pPr>
              <w:pStyle w:val="3"/>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bCs/>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t>（10）教室轻物联功能：在任意通道下，中控菜单可显示实物展台、智能笔、音箱、麦克风等教具的运行情况。</w:t>
            </w:r>
          </w:p>
        </w:tc>
        <w:tc>
          <w:tcPr>
            <w:tcW w:w="630"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t>5</w:t>
            </w:r>
          </w:p>
        </w:tc>
        <w:tc>
          <w:tcPr>
            <w:tcW w:w="816" w:type="dxa"/>
            <w:tcBorders>
              <w:top w:val="single" w:color="auto" w:sz="4" w:space="0"/>
              <w:left w:val="single" w:color="auto" w:sz="4" w:space="0"/>
              <w:right w:val="single" w:color="auto" w:sz="4" w:space="0"/>
            </w:tcBorders>
            <w:shd w:val="clear" w:color="auto" w:fill="auto"/>
            <w:noWrap w:val="0"/>
            <w:vAlign w:val="center"/>
          </w:tcPr>
          <w:p>
            <w:pPr>
              <w:adjustRightInd w:val="0"/>
              <w:snapToGrid w:val="0"/>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shd w:val="clear" w:color="auto" w:fill="auto"/>
            <w:noWrap w:val="0"/>
            <w:vAlign w:val="top"/>
          </w:tcPr>
          <w:p>
            <w:pPr>
              <w:adjustRightInd w:val="0"/>
              <w:snapToGrid w:val="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85"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13</w:t>
            </w:r>
          </w:p>
        </w:tc>
        <w:tc>
          <w:tcPr>
            <w:tcW w:w="4655" w:type="dxa"/>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根据投标人提供的项目实施总体方案，包括总体技术架构</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及</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项目需求分析，</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总体</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方案</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及时间</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等情况打分</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以上每点，描述完整详细且与采购人实际需求完全契合的得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描述较完整或与采购人实际需求部分符合的得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0.5</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b/>
                <w:bCs/>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未提供或完全不符合采购人需求的得0分，本项最多得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tc>
        <w:tc>
          <w:tcPr>
            <w:tcW w:w="630"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t>2</w:t>
            </w:r>
          </w:p>
        </w:tc>
        <w:tc>
          <w:tcPr>
            <w:tcW w:w="816" w:type="dxa"/>
            <w:tcBorders>
              <w:top w:val="single" w:color="auto" w:sz="4" w:space="0"/>
              <w:left w:val="single" w:color="auto" w:sz="4" w:space="0"/>
              <w:right w:val="single" w:color="auto" w:sz="4" w:space="0"/>
            </w:tcBorders>
            <w:shd w:val="clear" w:color="auto" w:fill="auto"/>
            <w:noWrap w:val="0"/>
            <w:vAlign w:val="center"/>
          </w:tcPr>
          <w:p>
            <w:pPr>
              <w:adjustRightInd w:val="0"/>
              <w:snapToGrid w:val="0"/>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pPr>
              <w:adjustRightInd w:val="0"/>
              <w:snapToGrid w:val="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pacing w:val="4"/>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4"/>
                <w:kern w:val="2"/>
                <w:sz w:val="24"/>
                <w:szCs w:val="24"/>
                <w:highlight w:val="none"/>
                <w:lang w:val="en-US" w:eastAsia="zh-CN" w:bidi="ar-SA"/>
                <w14:textFill>
                  <w14:solidFill>
                    <w14:schemeClr w14:val="tx1"/>
                  </w14:solidFill>
                </w14:textFill>
              </w:rPr>
              <w:t>14</w:t>
            </w:r>
          </w:p>
        </w:tc>
        <w:tc>
          <w:tcPr>
            <w:tcW w:w="4655" w:type="dxa"/>
            <w:tcBorders>
              <w:top w:val="single" w:color="auto" w:sz="4" w:space="0"/>
              <w:left w:val="single" w:color="auto" w:sz="4" w:space="0"/>
              <w:right w:val="single" w:color="auto" w:sz="4" w:space="0"/>
            </w:tcBorders>
            <w:shd w:val="clear" w:color="auto" w:fill="auto"/>
            <w:noWrap w:val="0"/>
            <w:vAlign w:val="center"/>
          </w:tcPr>
          <w:p>
            <w:pPr>
              <w:pStyle w:val="35"/>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t>据投标人为本项目提供的培训方案包括培训时间及内容、人员结构等情况打分，以上每点，描述完整详细且与采购人实际需求完全契合的得1分，描述较详细完整或与采购人实际需求部分符合的得0.5分，未提供或完全不符合采购人需求的得0分。</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本项最多得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tc>
        <w:tc>
          <w:tcPr>
            <w:tcW w:w="630"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t>2</w:t>
            </w:r>
          </w:p>
        </w:tc>
        <w:tc>
          <w:tcPr>
            <w:tcW w:w="816"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pPr>
              <w:adjustRightInd w:val="0"/>
              <w:snapToGrid w:val="0"/>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85" w:type="dxa"/>
            <w:tcBorders>
              <w:left w:val="single" w:color="auto" w:sz="4" w:space="0"/>
              <w:right w:val="single" w:color="auto" w:sz="4" w:space="0"/>
            </w:tcBorders>
            <w:noWrap w:val="0"/>
            <w:vAlign w:val="center"/>
          </w:tcPr>
          <w:p>
            <w:pPr>
              <w:topLinePunct/>
              <w:spacing w:line="360" w:lineRule="auto"/>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报价</w:t>
            </w:r>
          </w:p>
          <w:p>
            <w:pPr>
              <w:ind w:firstLine="120" w:firstLineChars="50"/>
              <w:rPr>
                <w:rFonts w:hint="eastAsia" w:ascii="仿宋_GB2312" w:hAnsi="仿宋_GB2312" w:eastAsia="仿宋_GB2312" w:cs="仿宋_GB2312"/>
                <w:color w:val="000000" w:themeColor="text1"/>
                <w:spacing w:val="4"/>
                <w:szCs w:val="2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0分）</w:t>
            </w:r>
          </w:p>
        </w:tc>
        <w:tc>
          <w:tcPr>
            <w:tcW w:w="63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t>15</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有效投标报价的最低价作为评标基准价，其最低报价为满分；按［投标报价得分=（评标基准价/投标报价）*</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0］的计算公式计算。</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评标过程中，不得去掉报价中的最高报价和最低报价。</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因落实政府采购政策需要进行价格调整的，以调整后的价格计算评标基准价和投标报价。</w:t>
            </w:r>
          </w:p>
        </w:tc>
        <w:tc>
          <w:tcPr>
            <w:tcW w:w="630" w:type="dxa"/>
            <w:tcBorders>
              <w:top w:val="single" w:color="auto" w:sz="4" w:space="0"/>
              <w:left w:val="single" w:color="auto" w:sz="4" w:space="0"/>
              <w:bottom w:val="single" w:color="auto" w:sz="4" w:space="0"/>
              <w:right w:val="single" w:color="auto" w:sz="4" w:space="0"/>
            </w:tcBorders>
            <w:noWrap w:val="0"/>
            <w:vAlign w:val="center"/>
          </w:tcPr>
          <w:p>
            <w:pPr>
              <w:ind w:firstLine="120" w:firstLineChars="50"/>
              <w:jc w:val="center"/>
              <w:outlineLvl w:val="0"/>
              <w:rPr>
                <w:rFonts w:hint="eastAsia" w:ascii="仿宋_GB2312" w:hAnsi="仿宋_GB2312" w:eastAsia="仿宋_GB2312" w:cs="仿宋_GB2312"/>
                <w:color w:val="000000" w:themeColor="text1"/>
                <w:sz w:val="24"/>
                <w:szCs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30</w:t>
            </w:r>
          </w:p>
        </w:tc>
        <w:tc>
          <w:tcPr>
            <w:tcW w:w="8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价格分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spacing w:line="420" w:lineRule="exact"/>
        <w:ind w:firstLine="472" w:firstLineChars="196"/>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420" w:lineRule="exact"/>
        <w:ind w:firstLine="472" w:firstLineChars="196"/>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*备注：投标人编制投标文件（商务技术文件部分）时，建议按此目录（序号和内容）提供评标标准相应的商务技术资料。 </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一、评标方法</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1.本项目采用综合评分法。综合评分法，是指投标文件满足招标文件全部实质性要求，且按照评审因素的量化指标评审得分最高的投标人为中标候选人的评标方法。评分过程中采用四舍五入法，并保留小数2位。</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二、评标标准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 评标标准：见评标办法前附表。</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三、评标程序</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3.1符合性审查。评标委员会应当对符合资格的投标人的投标文件进行符合性审查，以确定其是否满足招标文件的实质性要求。不满足招标文件的实质性要求的，投标无效。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 比较与评价。评标委员会应当按照招标文件中规定的评标方法和标准，对符合性审查合格的投标文件进行商务和技术评估，综合比较与评价。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3.3汇总商务技术得分。评标委员会各成员应当独立对每个投标人的商务和技术文件进行评价，并汇总商务技术得分情况。</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3.4报价评审。</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3.4.1投标文件报价出现前后不一致的，按照下列规定修正：</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3.4.1.1投标文件中开标一览表(报价表)内容与投标文件中相应内容不一致的，以开标一览表(报价表)为准;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3.4.1.2大写金额和小写金额不一致的，以大写金额为准;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3.4.1.3单价金额小数点或者百分比有明显错位的，以开标一览表的总价为准，并修改单价;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3.4.1.4总价金额与按单价汇总金额不一致的，以单价金额计算结果为准。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3.4.1.5同时出现两种以上不一致的，按照3.4.1规定的顺序修正。修正后的报价按照财政部第87号令《政府采购货物和服务招标投标管理办法》第五十一条第二款的规定经投标人确认后产生约束力。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3.4.2投标文件出现不是唯一的、有选择性投标报价的，投标无效。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3.4.3投标报价超过招标文件中规定的预算金额或者最高限价的，投标无效。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pPr>
        <w:keepNext w:val="0"/>
        <w:keepLines w:val="0"/>
        <w:pageBreakBefore w:val="0"/>
        <w:widowControl w:val="0"/>
        <w:kinsoku/>
        <w:wordWrap/>
        <w:overflowPunct/>
        <w:topLinePunct w:val="0"/>
        <w:autoSpaceDE/>
        <w:autoSpaceDN/>
        <w:bidi w:val="0"/>
        <w:adjustRightInd/>
        <w:snapToGrid/>
        <w:spacing w:line="420" w:lineRule="exact"/>
        <w:ind w:firstLine="602" w:firstLineChars="250"/>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四、评标中的其他事项</w:t>
      </w:r>
    </w:p>
    <w:p>
      <w:pPr>
        <w:keepNext w:val="0"/>
        <w:keepLines w:val="0"/>
        <w:pageBreakBefore w:val="0"/>
        <w:widowControl w:val="0"/>
        <w:kinsoku/>
        <w:wordWrap/>
        <w:overflowPunct/>
        <w:topLinePunct w:val="0"/>
        <w:autoSpaceDE/>
        <w:autoSpaceDN/>
        <w:bidi w:val="0"/>
        <w:adjustRightInd/>
        <w:snapToGrid/>
        <w:spacing w:line="420" w:lineRule="exact"/>
        <w:ind w:firstLine="600" w:firstLineChars="25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4.2投标无效。有下列情况之一的，投标无效：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4.2.1单位负责人为同一人或者存在直接控股、管理关系的不同供应商参加同一合同项下的政府采购活动的（均无效）；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4.2.2为采购项目提供整体设计、规范编制或者项目管理、监理、检测等服务的供应商再参加该采购项目的其他采购活动的；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4.2.3投标人不具备招标文件中规定的资格要求的（投标人未提供有效的资格证明文件的，视为投标人不具备招标文件中规定的资格要求）；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4.2.4如以联合体形式参加政府采购活动的，联合体协议不符合招标文件规定的联合体协议要求的；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4.2.5投标文件未按招标文件的澄清、修改的内容编制，又不符合实质性要求的；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4.2.6投标文件组成不全或内容字迹模糊辨认不清的而导致评标无法正常进行（经评标委员会认定并允许其当场更正的笔误除外的）；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投标文件未按照招标文件要求签署、盖章的；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投标文件含有采购人不能接受的附加条件的；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投标文件中承诺的投标有效期少于招标文件中载明的投标有效期的；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投标人所投内容不符合招标文件中实质性要求的；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投标文件出现不是唯一的、有选择性投标报价的;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投标报价高于本项目采购预算或者最高限价的;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报价明显低于其他通过符合性审查投标人的报价，有可能影响产品质量或者不能诚信履约的，未能按要求提供书面说明或者提交相关证明材料，不能证明其报价合理性的;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《开标一览表（报价表）》填写不完整或字迹不能辨认或有漏项的；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投标人对根据修正原则修正后的报价不确认的；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投标人提供虚假材料投标的（包括但不限于以下情节）；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.1使用伪造、变造的许可证件；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.2提供虚假的财务状况或者业绩；</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.3提供虚假的项目负责人或者主要技术人员简历、劳动关系证明；</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.4提供虚假的信用状况；</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.5其他弄虚作假的行为。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投标人有恶意串通、妨碍其他投标人的竞争行为、损害采购人或者其他投标人的合法权益情形的；有下列情形之一的，属于或视为恶意串通，其投标无效：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.1供应商直接或者间接从采购人或者采购代理机构处获得其他供应商的相关情况并修改其投标文件或者响应文件；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.2供应商按照采购人或者采购代理机构的授意撤换、修改投标文件或者响应文件；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.3供应商之间协商报价、技术方案等投标文件或者响应文件的实质性内容；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.4属于同一集团、协会、商会等组织成员的供应商按照该组织要求协同参加政府采购活动；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.5供应商之间事先约定由某一特定供应商中标、成交；</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.6供应商之间商定部分供应商放弃参加政府采购活动或者放弃中标、成交；</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.7供应商与采购人或者采购代理机构之间、供应商相互之间，为谋求特定供应商中标、成交或者排斥其他供应商的其他串通行为。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.8不同投标人的投标文件由同一单位或者个人编制；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.9不同投标人委托同一单位或者个人办理投标事宜；</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.10不同投标人的投标文件载明的项目管理成员或者联系人员为同一人；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.11不同投标人的投标文件异常一致或者投标报价呈规律性差异；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.12不同投标人的投标文件相互混装；</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投标人仅提交备份投标文件，没有在电子交易平台传输递交投标文件的，投标无效；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4"/>
          <w:szCs w:val="24"/>
          <w:highlight w:val="none"/>
          <w14:textFill>
            <w14:solidFill>
              <w14:schemeClr w14:val="tx1"/>
            </w14:solidFill>
          </w14:textFill>
        </w:rPr>
        <w:t>以联合体形式投标的，在资格文件和商务技术文件中均未提供联合协议的，投标无效；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以分包方式履行合同的，在资格文件和商务技术文件中均未提供分包意向协议的，投标无效；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专门面向中小企业采购的，在资格文件和商务技术文件中均未提供中小企业声明函的，投标无效；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法律、法规、规章（适用本市的）及省级以上规范性文件（适用本市的）规定的其他无效情形；</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参与同一个采购包（标</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项</w:t>
      </w:r>
      <w:r>
        <w:rPr>
          <w:rFonts w:hint="eastAsia" w:ascii="仿宋_GB2312" w:hAnsi="仿宋_GB2312" w:eastAsia="仿宋_GB2312" w:cs="仿宋_GB2312"/>
          <w:color w:val="000000" w:themeColor="text1"/>
          <w:sz w:val="24"/>
          <w:szCs w:val="24"/>
          <w:highlight w:val="none"/>
          <w14:textFill>
            <w14:solidFill>
              <w14:schemeClr w14:val="tx1"/>
            </w14:solidFill>
          </w14:textFill>
        </w:rPr>
        <w:t>）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投标文件不满足招标文件的其它实质性要求的。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5.废标。根据《中华人民共和国政府采购法》第三十六条之规定，在采购中，出现下列情形之一的，应予废标：</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5.1符合专业条件的供应商或者对招标文件作实质响应的供应商不足3家的；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5.2出现影响采购公正的违法、违规行为的；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5.3投标人的报价均超过了采购预算，采购人不能支付的；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5.4因重大变故，采购任务取消的。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废标后，采购代理机构应当将废标理由通知所有投标人。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7.重新开展采购。有政府采购法第七十一条、第七十二条规定的违法行为之一，影响或者可能影响中标、成交结果的，依照下列规定处理：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7.1未确定中标或者中标人的，终止本次政府采购活动，重新开展政府采购活动。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7.2已确定中标或者中标人但尚未签订政府采购合同的，中标或者成交结果无效，从合格的中标或者成交候选人中另行确定中标或者中标人；没有合格的中标或者成交候选人的，重新开展政府采购活动。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7.3政府采购合同已签订但尚未履行的，撤销合同，从合格的中标或者成交候选人中另行确定中标或者中标人；没有合格的中标或者成交候选人的，重新开展政府采购活动。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7.4政府采购合同已经履行，给采购人、供应商造成损失的，由责任人承担赔偿责任。</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7.5政府采购当事人有其他违反政府采购法或者政府采购法实施条例等法律法规规定的行为，经改正后仍然影响或者可能影响中标、成交结果或者依法被认定为中标、成交无效的，依照7.1-7.4规定处理。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8.评审过程的保密与录像</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9.录音录像。采购代理机构对评审工作现场进行全过程录音录像，录音录像资料作为采购项目文件随其他文件一并存档。</w:t>
      </w:r>
      <w:bookmarkEnd w:id="26"/>
      <w:bookmarkStart w:id="392" w:name="_Toc86217003"/>
      <w:bookmarkStart w:id="393" w:name="第五部分"/>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both"/>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第五部分</w:t>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拟签订的合同文本</w:t>
      </w:r>
    </w:p>
    <w:p>
      <w:pPr>
        <w:snapToGrid w:val="0"/>
        <w:spacing w:beforeLines="50" w:afterLines="50" w:line="360" w:lineRule="auto"/>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（具体条款以甲方为主协商确定）</w:t>
      </w:r>
    </w:p>
    <w:p>
      <w:pPr>
        <w:spacing w:line="560" w:lineRule="exact"/>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合同编号：</w:t>
      </w:r>
    </w:p>
    <w:p>
      <w:pPr>
        <w:spacing w:line="560" w:lineRule="exact"/>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62"/>
        <w:spacing w:line="560" w:lineRule="exact"/>
        <w:ind w:firstLine="0"/>
        <w:jc w:val="center"/>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第一部分 合同书</w:t>
      </w:r>
    </w:p>
    <w:p>
      <w:pPr>
        <w:spacing w:before="120" w:line="56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highlight w:val="none"/>
        </w:rPr>
      </w:pPr>
    </w:p>
    <w:p>
      <w:pPr>
        <w:spacing w:before="120" w:line="560" w:lineRule="exact"/>
        <w:ind w:left="96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项目名称：</w:t>
      </w:r>
    </w:p>
    <w:p>
      <w:pPr>
        <w:pStyle w:val="63"/>
        <w:spacing w:before="120" w:line="560" w:lineRule="exact"/>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p>
    <w:p>
      <w:pPr>
        <w:spacing w:line="56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before="120" w:line="560" w:lineRule="exact"/>
        <w:ind w:left="96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甲方：</w:t>
      </w:r>
    </w:p>
    <w:p>
      <w:pPr>
        <w:spacing w:before="120" w:line="56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before="120" w:line="560" w:lineRule="exact"/>
        <w:ind w:left="96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乙方：</w:t>
      </w:r>
    </w:p>
    <w:p>
      <w:pPr>
        <w:spacing w:before="120" w:line="56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before="120" w:line="560" w:lineRule="exact"/>
        <w:ind w:firstLine="840" w:firstLineChars="35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签订地：</w:t>
      </w:r>
    </w:p>
    <w:p>
      <w:pPr>
        <w:spacing w:before="120" w:line="56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before="120" w:line="560" w:lineRule="exact"/>
        <w:ind w:firstLine="960" w:firstLineChars="40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签订日期：年月日</w:t>
      </w:r>
    </w:p>
    <w:p>
      <w:pPr>
        <w:widowControl/>
        <w:spacing w:line="560" w:lineRule="exact"/>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sectPr>
          <w:footerReference r:id="rId10" w:type="first"/>
          <w:headerReference r:id="rId7" w:type="default"/>
          <w:footerReference r:id="rId8" w:type="default"/>
          <w:footerReference r:id="rId9" w:type="even"/>
          <w:pgSz w:w="11907" w:h="16840"/>
          <w:pgMar w:top="1474" w:right="1814" w:bottom="1474" w:left="1814" w:header="851" w:footer="851" w:gutter="0"/>
          <w:cols w:space="720" w:num="1"/>
        </w:sectPr>
      </w:pP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年月日</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（采购人）   </w:t>
      </w:r>
      <w:r>
        <w:rPr>
          <w:rFonts w:hint="eastAsia" w:ascii="仿宋_GB2312" w:hAnsi="仿宋_GB2312" w:eastAsia="仿宋_GB2312" w:cs="仿宋_GB2312"/>
          <w:color w:val="000000" w:themeColor="text1"/>
          <w:sz w:val="24"/>
          <w:szCs w:val="24"/>
          <w:highlight w:val="none"/>
          <w14:textFill>
            <w14:solidFill>
              <w14:schemeClr w14:val="tx1"/>
            </w14:solidFill>
          </w14:textFill>
        </w:rPr>
        <w:t>以</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（政府采购方式）  </w:t>
      </w:r>
      <w:r>
        <w:rPr>
          <w:rFonts w:hint="eastAsia" w:ascii="仿宋_GB2312" w:hAnsi="仿宋_GB2312" w:eastAsia="仿宋_GB2312" w:cs="仿宋_GB2312"/>
          <w:color w:val="000000" w:themeColor="text1"/>
          <w:sz w:val="24"/>
          <w:szCs w:val="24"/>
          <w:highlight w:val="none"/>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（项目名称）    </w:t>
      </w:r>
      <w:r>
        <w:rPr>
          <w:rFonts w:hint="eastAsia" w:ascii="仿宋_GB2312" w:hAnsi="仿宋_GB2312" w:eastAsia="仿宋_GB2312" w:cs="仿宋_GB2312"/>
          <w:color w:val="000000" w:themeColor="text1"/>
          <w:sz w:val="24"/>
          <w:szCs w:val="24"/>
          <w:highlight w:val="none"/>
          <w14:textFill>
            <w14:solidFill>
              <w14:schemeClr w14:val="tx1"/>
            </w14:solidFill>
          </w14:textFill>
        </w:rPr>
        <w:t>项目进行了采购。经</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（相关评定主体名称）   </w:t>
      </w:r>
      <w:r>
        <w:rPr>
          <w:rFonts w:hint="eastAsia" w:ascii="仿宋_GB2312" w:hAnsi="仿宋_GB2312" w:eastAsia="仿宋_GB2312" w:cs="仿宋_GB2312"/>
          <w:color w:val="000000" w:themeColor="text1"/>
          <w:sz w:val="24"/>
          <w:szCs w:val="24"/>
          <w:highlight w:val="none"/>
          <w14:textFill>
            <w14:solidFill>
              <w14:schemeClr w14:val="tx1"/>
            </w14:solidFill>
          </w14:textFill>
        </w:rPr>
        <w:t>评定，</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（中标或者成交供应商名称） </w:t>
      </w:r>
      <w:r>
        <w:rPr>
          <w:rFonts w:hint="eastAsia" w:ascii="仿宋_GB2312" w:hAnsi="仿宋_GB2312" w:eastAsia="仿宋_GB2312" w:cs="仿宋_GB2312"/>
          <w:color w:val="000000" w:themeColor="text1"/>
          <w:sz w:val="24"/>
          <w:szCs w:val="24"/>
          <w:highlight w:val="none"/>
          <w14:textFill>
            <w14:solidFill>
              <w14:schemeClr w14:val="tx1"/>
            </w14:solidFill>
          </w14:textFill>
        </w:rPr>
        <w:t>为该项目中标或者成交供应商。现于中标或者成交通知书发出之日起   个工作日内，按照采购文件确定的事项签订本合同。</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（采购人）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(以下简称：甲方)和</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（中或者成交标供应商名称）   </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(以下简称：乙方)协商一致，约定以下合同</w:t>
      </w:r>
      <w:r>
        <w:rPr>
          <w:rFonts w:hint="eastAsia" w:ascii="仿宋_GB2312" w:hAnsi="仿宋_GB2312" w:eastAsia="仿宋_GB2312" w:cs="仿宋_GB2312"/>
          <w:color w:val="000000" w:themeColor="text1"/>
          <w:sz w:val="24"/>
          <w:szCs w:val="24"/>
          <w:highlight w:val="none"/>
          <w14:textFill>
            <w14:solidFill>
              <w14:schemeClr w14:val="tx1"/>
            </w14:solidFill>
          </w14:textFill>
        </w:rPr>
        <w:t>条款，以兹共同遵守、全面履行。</w:t>
      </w:r>
    </w:p>
    <w:p>
      <w:pPr>
        <w:spacing w:line="560" w:lineRule="exact"/>
        <w:ind w:firstLine="482" w:firstLineChars="200"/>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394" w:name="_Toc19273"/>
      <w:bookmarkStart w:id="395" w:name="_Toc20421"/>
      <w:bookmarkStart w:id="396" w:name="_Toc15367"/>
      <w:bookmarkStart w:id="397" w:name="_Toc22967"/>
      <w:bookmarkStart w:id="398" w:name="_Toc28855"/>
      <w:r>
        <w:rPr>
          <w:rFonts w:hint="eastAsia" w:ascii="仿宋_GB2312" w:hAnsi="仿宋_GB2312" w:eastAsia="仿宋_GB2312" w:cs="仿宋_GB2312"/>
          <w:b/>
          <w:color w:val="000000" w:themeColor="text1"/>
          <w:sz w:val="24"/>
          <w:szCs w:val="24"/>
          <w:highlight w:val="none"/>
          <w14:textFill>
            <w14:solidFill>
              <w14:schemeClr w14:val="tx1"/>
            </w14:solidFill>
          </w14:textFill>
        </w:rPr>
        <w:t>1.1 合同组成部分</w:t>
      </w:r>
      <w:bookmarkEnd w:id="394"/>
      <w:bookmarkEnd w:id="395"/>
      <w:bookmarkEnd w:id="396"/>
      <w:bookmarkEnd w:id="397"/>
      <w:bookmarkEnd w:id="398"/>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 本合同及其补充合同、变更协议；</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 中标或者成交通知书；</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 投标或者响应文件（含澄清或者说明文件）；</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1.1.4 采购文件（含澄清或者修改文件）；</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1.1.5 其他相关采购文件。</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399" w:name="_Toc18585"/>
      <w:bookmarkStart w:id="400" w:name="_Toc2918"/>
      <w:bookmarkStart w:id="401" w:name="_Toc6311"/>
      <w:bookmarkStart w:id="402" w:name="_Toc6773"/>
      <w:bookmarkStart w:id="403" w:name="_Toc22185"/>
      <w:r>
        <w:rPr>
          <w:rFonts w:hint="eastAsia" w:ascii="仿宋_GB2312" w:hAnsi="仿宋_GB2312" w:eastAsia="仿宋_GB2312" w:cs="仿宋_GB2312"/>
          <w:b/>
          <w:color w:val="000000" w:themeColor="text1"/>
          <w:sz w:val="24"/>
          <w:szCs w:val="24"/>
          <w:highlight w:val="none"/>
          <w14:textFill>
            <w14:solidFill>
              <w14:schemeClr w14:val="tx1"/>
            </w14:solidFill>
          </w14:textFill>
        </w:rPr>
        <w:t>1.2 标的</w:t>
      </w:r>
      <w:bookmarkEnd w:id="399"/>
      <w:bookmarkEnd w:id="400"/>
      <w:bookmarkEnd w:id="401"/>
      <w:bookmarkEnd w:id="402"/>
      <w:bookmarkEnd w:id="403"/>
    </w:p>
    <w:p>
      <w:pPr>
        <w:spacing w:line="560" w:lineRule="exact"/>
        <w:ind w:firstLine="480"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1.2.1 服务内容：；</w:t>
      </w:r>
    </w:p>
    <w:p>
      <w:pPr>
        <w:spacing w:line="560" w:lineRule="exact"/>
        <w:ind w:firstLine="480" w:firstLineChars="200"/>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1.2.2 服务标准：；</w:t>
      </w:r>
    </w:p>
    <w:p>
      <w:pPr>
        <w:spacing w:line="560" w:lineRule="exact"/>
        <w:ind w:firstLine="480"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1.2.3 技术保障：；</w:t>
      </w:r>
    </w:p>
    <w:p>
      <w:pPr>
        <w:spacing w:line="560" w:lineRule="exact"/>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1.2.4 服务人员组成：</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1.2.5合同（是/否）涉及货物。若涉及货物的，则：</w:t>
      </w:r>
    </w:p>
    <w:p>
      <w:pPr>
        <w:spacing w:line="560" w:lineRule="exact"/>
        <w:ind w:firstLine="480" w:firstLineChars="20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bookmarkStart w:id="404" w:name="_Toc5635"/>
      <w:bookmarkStart w:id="405" w:name="_Toc21124"/>
      <w:bookmarkStart w:id="406" w:name="_Toc4929"/>
      <w:bookmarkStart w:id="407" w:name="_Toc13918"/>
      <w:bookmarkStart w:id="408" w:name="_Toc1386"/>
      <w:r>
        <w:rPr>
          <w:rFonts w:hint="eastAsia" w:ascii="仿宋_GB2312" w:hAnsi="仿宋_GB2312" w:eastAsia="仿宋_GB2312" w:cs="仿宋_GB2312"/>
          <w:color w:val="000000" w:themeColor="text1"/>
          <w:sz w:val="24"/>
          <w:szCs w:val="24"/>
          <w:highlight w:val="none"/>
          <w14:textFill>
            <w14:solidFill>
              <w14:schemeClr w14:val="tx1"/>
            </w14:solidFill>
          </w14:textFill>
        </w:rPr>
        <w:t>1.2.5.1 货物名称、品牌、规格型号、花色：；</w:t>
      </w:r>
    </w:p>
    <w:p>
      <w:pPr>
        <w:spacing w:line="560" w:lineRule="exact"/>
        <w:ind w:firstLine="480" w:firstLineChars="20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1.2.5.2 货物数量：；</w:t>
      </w:r>
    </w:p>
    <w:p>
      <w:pPr>
        <w:spacing w:line="560" w:lineRule="exact"/>
        <w:ind w:firstLine="480" w:firstLineChars="20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1.2.5.3 货物质量：</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1.3 价款</w:t>
      </w:r>
      <w:bookmarkEnd w:id="404"/>
      <w:bookmarkEnd w:id="405"/>
      <w:bookmarkEnd w:id="406"/>
      <w:bookmarkEnd w:id="407"/>
      <w:bookmarkEnd w:id="408"/>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1.3.1总价合同，本合同总价（含税）为：￥元（大写：元人民币）。</w:t>
      </w:r>
    </w:p>
    <w:p>
      <w:pPr>
        <w:spacing w:line="560" w:lineRule="exact"/>
        <w:ind w:firstLine="480" w:firstLineChars="20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分项价格：</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7"/>
              <w:spacing w:line="560" w:lineRule="exact"/>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340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分项名称</w:t>
            </w:r>
          </w:p>
        </w:tc>
        <w:tc>
          <w:tcPr>
            <w:tcW w:w="2552" w:type="dxa"/>
            <w:vAlign w:val="center"/>
          </w:tcPr>
          <w:p>
            <w:pPr>
              <w:pStyle w:val="67"/>
              <w:spacing w:line="560" w:lineRule="exact"/>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40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55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40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55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40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55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40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55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总价</w:t>
            </w:r>
          </w:p>
        </w:tc>
        <w:tc>
          <w:tcPr>
            <w:tcW w:w="2552" w:type="dxa"/>
            <w:vAlign w:val="center"/>
          </w:tcPr>
          <w:p>
            <w:pPr>
              <w:pStyle w:val="67"/>
              <w:spacing w:line="560" w:lineRule="exact"/>
              <w:ind w:firstLine="20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pStyle w:val="68"/>
        <w:spacing w:before="0" w:beforeAutospacing="0" w:after="0" w:afterAutospacing="0" w:line="560" w:lineRule="exact"/>
        <w:ind w:firstLine="480"/>
        <w:rPr>
          <w:rFonts w:hint="eastAsia" w:ascii="仿宋_GB2312" w:hAnsi="仿宋_GB2312" w:eastAsia="仿宋_GB2312" w:cs="仿宋_GB2312"/>
          <w:b/>
          <w:color w:val="000000" w:themeColor="text1"/>
          <w:highlight w:val="none"/>
          <w14:textFill>
            <w14:solidFill>
              <w14:schemeClr w14:val="tx1"/>
            </w14:solidFill>
          </w14:textFill>
        </w:rPr>
      </w:pPr>
      <w:bookmarkStart w:id="409" w:name="_Toc10340"/>
      <w:bookmarkStart w:id="410" w:name="_Toc1814"/>
      <w:bookmarkStart w:id="411" w:name="_Toc22618"/>
      <w:bookmarkStart w:id="412" w:name="_Toc11108"/>
      <w:bookmarkStart w:id="413" w:name="_Toc8772"/>
      <w:bookmarkStart w:id="414" w:name="_Toc3625"/>
      <w:bookmarkStart w:id="415" w:name="_Toc4760"/>
      <w:bookmarkStart w:id="416" w:name="_Toc31421"/>
      <w:r>
        <w:rPr>
          <w:rFonts w:hint="eastAsia" w:ascii="仿宋_GB2312" w:hAnsi="仿宋_GB2312" w:eastAsia="仿宋_GB2312" w:cs="仿宋_GB2312"/>
          <w:b/>
          <w:color w:val="000000" w:themeColor="text1"/>
          <w:highlight w:val="none"/>
          <w14:textFill>
            <w14:solidFill>
              <w14:schemeClr w14:val="tx1"/>
            </w14:solidFill>
          </w14:textFill>
        </w:rPr>
        <w:t>1.4履约保证金</w:t>
      </w:r>
    </w:p>
    <w:p>
      <w:pPr>
        <w:pStyle w:val="68"/>
        <w:spacing w:before="0" w:beforeAutospacing="0" w:after="0" w:afterAutospacing="0" w:line="560" w:lineRule="exact"/>
        <w:ind w:firstLine="48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乙方</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否 </w:t>
      </w:r>
      <w:r>
        <w:rPr>
          <w:rFonts w:hint="eastAsia" w:ascii="仿宋_GB2312" w:hAnsi="仿宋_GB2312" w:eastAsia="仿宋_GB2312" w:cs="仿宋_GB2312"/>
          <w:color w:val="000000" w:themeColor="text1"/>
          <w:highlight w:val="none"/>
          <w14:textFill>
            <w14:solidFill>
              <w14:schemeClr w14:val="tx1"/>
            </w14:solidFill>
          </w14:textFill>
        </w:rPr>
        <w:t>（是/否）需要支付履约保证金。若需要支付履约保证金的，则：</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1.5</w:t>
      </w:r>
      <w:bookmarkEnd w:id="409"/>
      <w:bookmarkEnd w:id="410"/>
      <w:bookmarkEnd w:id="411"/>
      <w:r>
        <w:rPr>
          <w:rFonts w:hint="eastAsia" w:ascii="仿宋_GB2312" w:hAnsi="仿宋_GB2312" w:eastAsia="仿宋_GB2312" w:cs="仿宋_GB2312"/>
          <w:b/>
          <w:color w:val="000000" w:themeColor="text1"/>
          <w:sz w:val="24"/>
          <w:szCs w:val="24"/>
          <w:highlight w:val="none"/>
          <w14:textFill>
            <w14:solidFill>
              <w14:schemeClr w14:val="tx1"/>
            </w14:solidFill>
          </w14:textFill>
        </w:rPr>
        <w:t>预付款</w:t>
      </w:r>
    </w:p>
    <w:p>
      <w:pPr>
        <w:pStyle w:val="68"/>
        <w:spacing w:before="0" w:beforeAutospacing="0" w:after="0" w:afterAutospacing="0" w:line="560" w:lineRule="exact"/>
        <w:ind w:firstLine="48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甲方（是/否）需要支付预付款。若需要支付预付款的，则：</w:t>
      </w:r>
    </w:p>
    <w:p>
      <w:pPr>
        <w:spacing w:line="560" w:lineRule="exact"/>
        <w:ind w:firstLine="480" w:firstLineChars="2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1.5.1预付款比例、支付方式、时间详见</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p>
    <w:p>
      <w:pPr>
        <w:pStyle w:val="68"/>
        <w:spacing w:before="0" w:beforeAutospacing="0" w:after="0" w:afterAutospacing="0" w:line="560" w:lineRule="exact"/>
        <w:ind w:firstLine="480"/>
        <w:rPr>
          <w:rFonts w:hint="eastAsia" w:ascii="仿宋_GB2312" w:hAnsi="仿宋_GB2312" w:eastAsia="仿宋_GB2312" w:cs="仿宋_GB2312"/>
          <w:color w:val="000000" w:themeColor="text1"/>
          <w:highlight w:val="none"/>
          <w:u w:val="singl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1.5.2预付款的担保措施详见</w:t>
      </w:r>
      <w:r>
        <w:rPr>
          <w:rFonts w:hint="eastAsia" w:ascii="仿宋_GB2312" w:hAnsi="仿宋_GB2312" w:eastAsia="仿宋_GB2312" w:cs="仿宋_GB2312"/>
          <w:b/>
          <w:i/>
          <w:color w:val="000000" w:themeColor="text1"/>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highlight w:val="none"/>
          <w14:textFill>
            <w14:solidFill>
              <w14:schemeClr w14:val="tx1"/>
            </w14:solidFill>
          </w14:textFill>
        </w:rPr>
        <w:t>。</w:t>
      </w:r>
    </w:p>
    <w:p>
      <w:pPr>
        <w:pStyle w:val="68"/>
        <w:spacing w:before="0" w:beforeAutospacing="0" w:after="0" w:afterAutospacing="0" w:line="560" w:lineRule="exact"/>
        <w:ind w:firstLine="480"/>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1.6资金支付</w:t>
      </w:r>
    </w:p>
    <w:p>
      <w:pPr>
        <w:pStyle w:val="68"/>
        <w:spacing w:before="0" w:beforeAutospacing="0" w:after="0" w:afterAutospacing="0" w:line="560" w:lineRule="exact"/>
        <w:ind w:firstLine="48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pPr>
        <w:spacing w:line="560" w:lineRule="exact"/>
        <w:ind w:firstLine="480" w:firstLineChars="200"/>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1.6.2资金支付的方式、时间和条件详见</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1.7 履行期限、地点和方式</w:t>
      </w:r>
      <w:bookmarkEnd w:id="412"/>
      <w:bookmarkEnd w:id="413"/>
      <w:bookmarkEnd w:id="414"/>
      <w:bookmarkEnd w:id="415"/>
      <w:bookmarkEnd w:id="416"/>
    </w:p>
    <w:p>
      <w:pPr>
        <w:spacing w:line="560" w:lineRule="exact"/>
        <w:ind w:firstLine="480" w:firstLineChars="20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1.7.1 货物交付（实施）的时间（期限）：</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1.7.2 货物交付（实施）的地点（地域范围）：</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1.7.3 货物交付（实施）的方式：</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2" w:firstLineChars="200"/>
        <w:outlineLvl w:val="0"/>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bookmarkStart w:id="417" w:name="_Toc2375"/>
      <w:bookmarkStart w:id="418" w:name="_Toc3079"/>
      <w:bookmarkStart w:id="419" w:name="_Toc24662"/>
      <w:bookmarkStart w:id="420" w:name="_Toc5698"/>
      <w:bookmarkStart w:id="421" w:name="_Toc8586"/>
      <w:r>
        <w:rPr>
          <w:rFonts w:hint="eastAsia" w:ascii="仿宋_GB2312" w:hAnsi="仿宋_GB2312" w:eastAsia="仿宋_GB2312" w:cs="仿宋_GB2312"/>
          <w:b/>
          <w:color w:val="000000" w:themeColor="text1"/>
          <w:sz w:val="24"/>
          <w:szCs w:val="24"/>
          <w:highlight w:val="none"/>
          <w14:textFill>
            <w14:solidFill>
              <w14:schemeClr w14:val="tx1"/>
            </w14:solidFill>
          </w14:textFill>
        </w:rPr>
        <w:t>1.8违约责任</w:t>
      </w:r>
      <w:bookmarkEnd w:id="417"/>
      <w:bookmarkEnd w:id="418"/>
      <w:bookmarkEnd w:id="419"/>
      <w:bookmarkEnd w:id="420"/>
      <w:bookmarkEnd w:id="421"/>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计算，最高限额为本合同总价的%；迟延履行的违约金计算数额达到前述最高限额之日起，甲方有权在要求乙方支付违约金的同时，书面通知乙方解除本合同；</w:t>
      </w:r>
    </w:p>
    <w:p>
      <w:pPr>
        <w:pStyle w:val="6"/>
        <w:spacing w:line="560" w:lineRule="exact"/>
        <w:ind w:firstLine="480" w:firstLineChars="200"/>
        <w:rPr>
          <w:rFonts w:hint="eastAsia" w:ascii="仿宋_GB2312" w:hAnsi="仿宋_GB2312" w:eastAsia="仿宋_GB2312" w:cs="仿宋_GB2312"/>
          <w:b w:val="0"/>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color w:val="000000" w:themeColor="text1"/>
          <w:sz w:val="24"/>
          <w:szCs w:val="24"/>
          <w:highlight w:val="none"/>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计算，最高限额为本合同总价的%；迟延交付货物的违约金计算数额达到前述最高限额之日起，甲方有权在要求乙方支付违约金的同时，书面通知乙方解除本合同；</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计算，最高限额为本合同总价的%；迟延付款的违约金计算数额达到前述最高限额之日起，乙方有权在要求甲方支付违约金的同时，书面通知甲方解除本合同；</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422" w:name="_Toc30329"/>
      <w:bookmarkStart w:id="423" w:name="_Toc18683"/>
      <w:bookmarkStart w:id="424" w:name="_Toc32454"/>
      <w:bookmarkStart w:id="425" w:name="_Toc26807"/>
      <w:bookmarkStart w:id="426" w:name="_Toc9497"/>
      <w:r>
        <w:rPr>
          <w:rFonts w:hint="eastAsia" w:ascii="仿宋_GB2312" w:hAnsi="仿宋_GB2312" w:eastAsia="仿宋_GB2312" w:cs="仿宋_GB2312"/>
          <w:color w:val="000000" w:themeColor="text1"/>
          <w:sz w:val="24"/>
          <w:szCs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pPr>
        <w:spacing w:line="560" w:lineRule="exact"/>
        <w:ind w:right="-420" w:rightChars="-20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1.8.7违约责任</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另有约定的，从其约定。</w:t>
      </w:r>
    </w:p>
    <w:bookmarkEnd w:id="422"/>
    <w:bookmarkEnd w:id="423"/>
    <w:bookmarkEnd w:id="424"/>
    <w:bookmarkEnd w:id="425"/>
    <w:bookmarkEnd w:id="426"/>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27" w:name="_Toc16021"/>
      <w:bookmarkStart w:id="428" w:name="_Toc28375"/>
      <w:bookmarkStart w:id="429" w:name="_Toc15583"/>
      <w:r>
        <w:rPr>
          <w:rFonts w:hint="eastAsia" w:ascii="仿宋_GB2312" w:hAnsi="仿宋_GB2312" w:eastAsia="仿宋_GB2312" w:cs="仿宋_GB2312"/>
          <w:b/>
          <w:color w:val="000000" w:themeColor="text1"/>
          <w:sz w:val="24"/>
          <w:szCs w:val="24"/>
          <w:highlight w:val="none"/>
          <w14:textFill>
            <w14:solidFill>
              <w14:schemeClr w14:val="tx1"/>
            </w14:solidFill>
          </w14:textFill>
        </w:rPr>
        <w:t>1.9合同争议的解决</w:t>
      </w:r>
      <w:bookmarkEnd w:id="427"/>
      <w:bookmarkEnd w:id="428"/>
      <w:bookmarkEnd w:id="429"/>
    </w:p>
    <w:p>
      <w:pPr>
        <w:spacing w:line="560" w:lineRule="exact"/>
        <w:ind w:left="-61" w:leftChars="-29" w:right="-420" w:rightChars="-200" w:firstLine="240" w:firstLineChars="1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本合同履行过程中发生的任何争议，双方当事人均可通过和解或者调解解决；不愿和解、调解或者和解、调解不成的，可以选择以下第条款规定的方式解决：</w:t>
      </w:r>
    </w:p>
    <w:p>
      <w:pPr>
        <w:spacing w:line="560" w:lineRule="exact"/>
        <w:ind w:left="-420" w:leftChars="-200" w:right="-420" w:rightChars="-200" w:firstLine="600" w:firstLineChars="25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1.9.1 将争议提交舟山仲裁委员会依申请仲裁时其现行有效的仲裁规则裁决；</w:t>
      </w:r>
    </w:p>
    <w:p>
      <w:pPr>
        <w:spacing w:line="560" w:lineRule="exact"/>
        <w:ind w:left="-420" w:leftChars="-200" w:right="-420" w:rightChars="-200" w:firstLine="600" w:firstLineChars="25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1.9.2 向</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人民法院起诉。</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30" w:name="_Toc11173"/>
      <w:bookmarkStart w:id="431" w:name="_Toc15322"/>
      <w:bookmarkStart w:id="432" w:name="_Toc7245"/>
      <w:r>
        <w:rPr>
          <w:rFonts w:hint="eastAsia" w:ascii="仿宋_GB2312" w:hAnsi="仿宋_GB2312" w:eastAsia="仿宋_GB2312" w:cs="仿宋_GB2312"/>
          <w:b/>
          <w:color w:val="000000" w:themeColor="text1"/>
          <w:sz w:val="24"/>
          <w:szCs w:val="24"/>
          <w:highlight w:val="none"/>
          <w14:textFill>
            <w14:solidFill>
              <w14:schemeClr w14:val="tx1"/>
            </w14:solidFill>
          </w14:textFill>
        </w:rPr>
        <w:t>2.0 合同生效</w:t>
      </w:r>
      <w:bookmarkEnd w:id="430"/>
      <w:bookmarkEnd w:id="431"/>
      <w:bookmarkEnd w:id="432"/>
    </w:p>
    <w:p>
      <w:pPr>
        <w:spacing w:line="560" w:lineRule="exact"/>
        <w:ind w:firstLine="480" w:firstLineChars="2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本合同自双方当事人盖章签字时生效。</w:t>
      </w:r>
    </w:p>
    <w:p>
      <w:pPr>
        <w:autoSpaceDE w:val="0"/>
        <w:autoSpaceDN w:val="0"/>
        <w:spacing w:line="560" w:lineRule="exact"/>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val="zh-CN"/>
          <w14:textFill>
            <w14:solidFill>
              <w14:schemeClr w14:val="tx1"/>
            </w14:solidFill>
          </w14:textFill>
        </w:rPr>
        <w:t>甲方</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 xml:space="preserve">：                             </w:t>
      </w:r>
      <w:r>
        <w:rPr>
          <w:rFonts w:hint="eastAsia" w:ascii="仿宋_GB2312" w:hAnsi="仿宋_GB2312" w:eastAsia="仿宋_GB2312" w:cs="仿宋_GB2312"/>
          <w:b/>
          <w:color w:val="000000" w:themeColor="text1"/>
          <w:sz w:val="24"/>
          <w:szCs w:val="24"/>
          <w:highlight w:val="none"/>
          <w:lang w:val="zh-CN"/>
          <w14:textFill>
            <w14:solidFill>
              <w14:schemeClr w14:val="tx1"/>
            </w14:solidFill>
          </w14:textFill>
        </w:rPr>
        <w:t xml:space="preserve">      乙方</w:t>
      </w: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统一社会信用代码：                        统一社会信用代码或身份证号码：</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住所：                                   住所：</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法定代表人或                             法定代表人或</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 xml:space="preserve">授权代表（签字）：                       授权代表（签字）: </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联系人：                                 联系人：</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约定送达地址：                           约定送达地址：</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邮政编码：                               邮政编码：</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 xml:space="preserve">电话:                                    电话: </w:t>
      </w:r>
    </w:p>
    <w:p>
      <w:pPr>
        <w:autoSpaceDE w:val="0"/>
        <w:autoSpaceDN w:val="0"/>
        <w:spacing w:line="360" w:lineRule="auto"/>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传真:                                    传真:</w:t>
      </w:r>
    </w:p>
    <w:p>
      <w:pPr>
        <w:autoSpaceDE w:val="0"/>
        <w:autoSpaceDN w:val="0"/>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zh-CN"/>
          <w14:textFill>
            <w14:solidFill>
              <w14:schemeClr w14:val="tx1"/>
            </w14:solidFill>
          </w14:textFill>
        </w:rPr>
        <w:t>电子邮箱：                               电子邮箱：</w:t>
      </w:r>
    </w:p>
    <w:p>
      <w:pPr>
        <w:autoSpaceDE w:val="0"/>
        <w:autoSpaceDN w:val="0"/>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开户银行：                               开户银行： </w:t>
      </w:r>
    </w:p>
    <w:p>
      <w:pPr>
        <w:autoSpaceDE w:val="0"/>
        <w:autoSpaceDN w:val="0"/>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开户名称：                               开户名称： </w:t>
      </w:r>
    </w:p>
    <w:p>
      <w:pPr>
        <w:autoSpaceDE w:val="0"/>
        <w:autoSpaceDN w:val="0"/>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开户账号：                                开户账号：</w:t>
      </w:r>
    </w:p>
    <w:p>
      <w:pPr>
        <w:widowControl/>
        <w:spacing w:line="560" w:lineRule="exact"/>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widowControl/>
        <w:spacing w:line="560" w:lineRule="exact"/>
        <w:jc w:val="center"/>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第二部分 合同一般条款</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33" w:name="_Toc5228"/>
      <w:bookmarkStart w:id="434" w:name="_Toc14021"/>
      <w:bookmarkStart w:id="435" w:name="_Toc25079"/>
      <w:bookmarkStart w:id="436" w:name="_Toc19680"/>
      <w:bookmarkStart w:id="437" w:name="_Toc31297"/>
      <w:r>
        <w:rPr>
          <w:rFonts w:hint="eastAsia" w:ascii="仿宋_GB2312" w:hAnsi="仿宋_GB2312" w:eastAsia="仿宋_GB2312" w:cs="仿宋_GB2312"/>
          <w:b/>
          <w:color w:val="000000" w:themeColor="text1"/>
          <w:sz w:val="24"/>
          <w:szCs w:val="24"/>
          <w:highlight w:val="none"/>
          <w14:textFill>
            <w14:solidFill>
              <w14:schemeClr w14:val="tx1"/>
            </w14:solidFill>
          </w14:textFill>
        </w:rPr>
        <w:t>2.1 定义</w:t>
      </w:r>
      <w:bookmarkEnd w:id="433"/>
      <w:bookmarkEnd w:id="434"/>
      <w:bookmarkEnd w:id="435"/>
      <w:bookmarkEnd w:id="436"/>
      <w:bookmarkEnd w:id="437"/>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本合同中的下列词语应按以下内容进行解释：</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2.1.2 “合同价”系指根据合同约定，中标或成交供应商在完全履行合同义务后，采购人应支付给中标或成交供应商的价格。</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2.1.6 “现场”系指合同约定提供服务的地点。</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38" w:name="_Toc19539"/>
      <w:bookmarkStart w:id="439" w:name="_Toc3769"/>
      <w:bookmarkStart w:id="440" w:name="_Toc16752"/>
      <w:bookmarkStart w:id="441" w:name="_Toc23289"/>
      <w:bookmarkStart w:id="442" w:name="_Toc31402"/>
      <w:r>
        <w:rPr>
          <w:rFonts w:hint="eastAsia" w:ascii="仿宋_GB2312" w:hAnsi="仿宋_GB2312" w:eastAsia="仿宋_GB2312" w:cs="仿宋_GB2312"/>
          <w:b/>
          <w:color w:val="000000" w:themeColor="text1"/>
          <w:sz w:val="24"/>
          <w:szCs w:val="24"/>
          <w:highlight w:val="none"/>
          <w14:textFill>
            <w14:solidFill>
              <w14:schemeClr w14:val="tx1"/>
            </w14:solidFill>
          </w14:textFill>
        </w:rPr>
        <w:t>2.2 技术规范</w:t>
      </w:r>
      <w:bookmarkEnd w:id="438"/>
      <w:bookmarkEnd w:id="439"/>
      <w:bookmarkEnd w:id="440"/>
      <w:bookmarkEnd w:id="441"/>
      <w:bookmarkEnd w:id="442"/>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43" w:name="_Toc4133"/>
      <w:bookmarkStart w:id="444" w:name="_Toc13673"/>
      <w:bookmarkStart w:id="445" w:name="_Toc27945"/>
      <w:bookmarkStart w:id="446" w:name="_Toc12412"/>
      <w:bookmarkStart w:id="447" w:name="_Toc9161"/>
      <w:r>
        <w:rPr>
          <w:rFonts w:hint="eastAsia" w:ascii="仿宋_GB2312" w:hAnsi="仿宋_GB2312" w:eastAsia="仿宋_GB2312" w:cs="仿宋_GB2312"/>
          <w:b/>
          <w:color w:val="000000" w:themeColor="text1"/>
          <w:sz w:val="24"/>
          <w:szCs w:val="24"/>
          <w:highlight w:val="none"/>
          <w14:textFill>
            <w14:solidFill>
              <w14:schemeClr w14:val="tx1"/>
            </w14:solidFill>
          </w14:textFill>
        </w:rPr>
        <w:t>2.3 知识产权</w:t>
      </w:r>
      <w:bookmarkEnd w:id="443"/>
      <w:bookmarkEnd w:id="444"/>
      <w:bookmarkEnd w:id="445"/>
      <w:bookmarkEnd w:id="446"/>
      <w:bookmarkEnd w:id="447"/>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2.3.2 合同涉及技术成果的归属和收益的分成办法的，详见</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2" w:firstLineChars="2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2.4 履约检查和问题反馈</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2.4.2 合同履行期间，甲方有权将履行过程中出现的问题反馈给乙方，双方当事人应以书面形式约定需要完善和改进的内容。</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48" w:name="_Toc26555"/>
      <w:bookmarkStart w:id="449" w:name="_Toc31233"/>
      <w:bookmarkStart w:id="450" w:name="_Toc32670"/>
      <w:bookmarkStart w:id="451" w:name="_Toc22011"/>
      <w:bookmarkStart w:id="452" w:name="_Toc15447"/>
      <w:r>
        <w:rPr>
          <w:rFonts w:hint="eastAsia" w:ascii="仿宋_GB2312" w:hAnsi="仿宋_GB2312" w:eastAsia="仿宋_GB2312" w:cs="仿宋_GB2312"/>
          <w:b/>
          <w:color w:val="000000" w:themeColor="text1"/>
          <w:sz w:val="24"/>
          <w:szCs w:val="24"/>
          <w:highlight w:val="none"/>
          <w14:textFill>
            <w14:solidFill>
              <w14:schemeClr w14:val="tx1"/>
            </w14:solidFill>
          </w14:textFill>
        </w:rPr>
        <w:t>2.5 结算方式和付款条件</w:t>
      </w:r>
      <w:bookmarkEnd w:id="448"/>
      <w:bookmarkEnd w:id="449"/>
      <w:bookmarkEnd w:id="450"/>
      <w:bookmarkEnd w:id="451"/>
      <w:bookmarkEnd w:id="452"/>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详见</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53" w:name="_Toc13467"/>
      <w:bookmarkStart w:id="454" w:name="_Toc13154"/>
      <w:bookmarkStart w:id="455" w:name="_Toc16163"/>
      <w:bookmarkStart w:id="456" w:name="_Toc18990"/>
      <w:bookmarkStart w:id="457" w:name="_Toc30507"/>
      <w:r>
        <w:rPr>
          <w:rFonts w:hint="eastAsia" w:ascii="仿宋_GB2312" w:hAnsi="仿宋_GB2312" w:eastAsia="仿宋_GB2312" w:cs="仿宋_GB2312"/>
          <w:b/>
          <w:color w:val="000000" w:themeColor="text1"/>
          <w:sz w:val="24"/>
          <w:szCs w:val="24"/>
          <w:highlight w:val="none"/>
          <w14:textFill>
            <w14:solidFill>
              <w14:schemeClr w14:val="tx1"/>
            </w14:solidFill>
          </w14:textFill>
        </w:rPr>
        <w:t>2.6 技术资料和保密义务</w:t>
      </w:r>
      <w:bookmarkEnd w:id="453"/>
      <w:bookmarkEnd w:id="454"/>
      <w:bookmarkEnd w:id="455"/>
      <w:bookmarkEnd w:id="456"/>
      <w:bookmarkEnd w:id="457"/>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2.6.1 乙方有权依据合同约定和项目需要，向甲方了解有关情况，调阅有关资料等，甲方应予积极配合；</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2.6.2 乙方有义务妥善保管和保护由甲方提供的前款信息和资料等；</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58" w:name="_Toc19069"/>
      <w:r>
        <w:rPr>
          <w:rFonts w:hint="eastAsia" w:ascii="仿宋_GB2312" w:hAnsi="仿宋_GB2312" w:eastAsia="仿宋_GB2312" w:cs="仿宋_GB2312"/>
          <w:b/>
          <w:color w:val="000000" w:themeColor="text1"/>
          <w:sz w:val="24"/>
          <w:szCs w:val="24"/>
          <w:highlight w:val="none"/>
          <w14:textFill>
            <w14:solidFill>
              <w14:schemeClr w14:val="tx1"/>
            </w14:solidFill>
          </w14:textFill>
        </w:rPr>
        <w:t>2.7 质量保证</w:t>
      </w:r>
      <w:bookmarkEnd w:id="458"/>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2.7.1 乙方应建立和完善履行合同的内部质量保证体系，并提供相关内部规章制度给甲方，以便甲方进行监督检查；</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59" w:name="_Toc22267"/>
      <w:r>
        <w:rPr>
          <w:rFonts w:hint="eastAsia" w:ascii="仿宋_GB2312" w:hAnsi="仿宋_GB2312" w:eastAsia="仿宋_GB2312" w:cs="仿宋_GB2312"/>
          <w:b/>
          <w:color w:val="000000" w:themeColor="text1"/>
          <w:sz w:val="24"/>
          <w:szCs w:val="24"/>
          <w:highlight w:val="none"/>
          <w14:textFill>
            <w14:solidFill>
              <w14:schemeClr w14:val="tx1"/>
            </w14:solidFill>
          </w14:textFill>
        </w:rPr>
        <w:t>2.8 延迟履行</w:t>
      </w:r>
      <w:bookmarkEnd w:id="459"/>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60" w:name="_Toc10611"/>
      <w:r>
        <w:rPr>
          <w:rFonts w:hint="eastAsia" w:ascii="仿宋_GB2312" w:hAnsi="仿宋_GB2312" w:eastAsia="仿宋_GB2312" w:cs="仿宋_GB2312"/>
          <w:b/>
          <w:color w:val="000000" w:themeColor="text1"/>
          <w:sz w:val="24"/>
          <w:szCs w:val="24"/>
          <w:highlight w:val="none"/>
          <w14:textFill>
            <w14:solidFill>
              <w14:schemeClr w14:val="tx1"/>
            </w14:solidFill>
          </w14:textFill>
        </w:rPr>
        <w:t>2.9 合同变更</w:t>
      </w:r>
      <w:bookmarkEnd w:id="460"/>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61" w:name="_Toc42"/>
      <w:bookmarkStart w:id="462" w:name="_Toc21830"/>
      <w:bookmarkStart w:id="463" w:name="_Toc26689"/>
      <w:bookmarkStart w:id="464" w:name="_Toc10663"/>
      <w:bookmarkStart w:id="465" w:name="_Toc23368"/>
      <w:r>
        <w:rPr>
          <w:rFonts w:hint="eastAsia" w:ascii="仿宋_GB2312" w:hAnsi="仿宋_GB2312" w:eastAsia="仿宋_GB2312" w:cs="仿宋_GB2312"/>
          <w:b/>
          <w:color w:val="000000" w:themeColor="text1"/>
          <w:sz w:val="24"/>
          <w:szCs w:val="24"/>
          <w:highlight w:val="none"/>
          <w14:textFill>
            <w14:solidFill>
              <w14:schemeClr w14:val="tx1"/>
            </w14:solidFill>
          </w14:textFill>
        </w:rPr>
        <w:t>2.10 合同转让和分包</w:t>
      </w:r>
      <w:bookmarkEnd w:id="461"/>
      <w:bookmarkEnd w:id="462"/>
      <w:bookmarkEnd w:id="463"/>
      <w:bookmarkEnd w:id="464"/>
      <w:bookmarkEnd w:id="465"/>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66" w:name="_Toc25571"/>
      <w:bookmarkStart w:id="467" w:name="_Toc32494"/>
      <w:bookmarkStart w:id="468" w:name="_Toc26633"/>
      <w:bookmarkStart w:id="469" w:name="_Toc4720"/>
      <w:bookmarkStart w:id="470" w:name="_Toc14371"/>
      <w:r>
        <w:rPr>
          <w:rFonts w:hint="eastAsia" w:ascii="仿宋_GB2312" w:hAnsi="仿宋_GB2312" w:eastAsia="仿宋_GB2312" w:cs="仿宋_GB2312"/>
          <w:b/>
          <w:color w:val="000000" w:themeColor="text1"/>
          <w:sz w:val="24"/>
          <w:szCs w:val="24"/>
          <w:highlight w:val="none"/>
          <w14:textFill>
            <w14:solidFill>
              <w14:schemeClr w14:val="tx1"/>
            </w14:solidFill>
          </w14:textFill>
        </w:rPr>
        <w:t>2.11 不可抗力</w:t>
      </w:r>
      <w:bookmarkEnd w:id="466"/>
      <w:bookmarkEnd w:id="467"/>
      <w:bookmarkEnd w:id="468"/>
      <w:bookmarkEnd w:id="469"/>
      <w:bookmarkEnd w:id="470"/>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2.11.2 因不可抗力致使不能实现合同目的的，当事人可以解除合同；</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2.11.3 因不可抗力致使合同有变更必要的，双方当事人应在</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约定时间内以书面形式变更合同；</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2.11.4受不可抗力影响的一方在不可抗力发生后，应在</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约定时间内以书面形式通知对方当事人，并在</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约定时间内，将有关部门出具的证明文件送达对方当事人。</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71" w:name="_Toc23854"/>
      <w:bookmarkStart w:id="472" w:name="_Toc25783"/>
      <w:bookmarkStart w:id="473" w:name="_Toc3638"/>
      <w:bookmarkStart w:id="474" w:name="_Toc24465"/>
      <w:bookmarkStart w:id="475" w:name="_Toc14115"/>
      <w:r>
        <w:rPr>
          <w:rFonts w:hint="eastAsia" w:ascii="仿宋_GB2312" w:hAnsi="仿宋_GB2312" w:eastAsia="仿宋_GB2312" w:cs="仿宋_GB2312"/>
          <w:b/>
          <w:color w:val="000000" w:themeColor="text1"/>
          <w:sz w:val="24"/>
          <w:szCs w:val="24"/>
          <w:highlight w:val="none"/>
          <w14:textFill>
            <w14:solidFill>
              <w14:schemeClr w14:val="tx1"/>
            </w14:solidFill>
          </w14:textFill>
        </w:rPr>
        <w:t>2.12 税费</w:t>
      </w:r>
      <w:bookmarkEnd w:id="471"/>
      <w:bookmarkEnd w:id="472"/>
      <w:bookmarkEnd w:id="473"/>
      <w:bookmarkEnd w:id="474"/>
      <w:bookmarkEnd w:id="475"/>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与合同有关的一切税费，均按照中华人民共和国法律的相关规定缴纳。</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76" w:name="_Toc26883"/>
      <w:bookmarkStart w:id="477" w:name="_Toc7315"/>
      <w:bookmarkStart w:id="478" w:name="_Toc30105"/>
      <w:bookmarkStart w:id="479" w:name="_Toc14814"/>
      <w:bookmarkStart w:id="480" w:name="_Toc25525"/>
      <w:r>
        <w:rPr>
          <w:rFonts w:hint="eastAsia" w:ascii="仿宋_GB2312" w:hAnsi="仿宋_GB2312" w:eastAsia="仿宋_GB2312" w:cs="仿宋_GB2312"/>
          <w:b/>
          <w:color w:val="000000" w:themeColor="text1"/>
          <w:sz w:val="24"/>
          <w:szCs w:val="24"/>
          <w:highlight w:val="none"/>
          <w14:textFill>
            <w14:solidFill>
              <w14:schemeClr w14:val="tx1"/>
            </w14:solidFill>
          </w14:textFill>
        </w:rPr>
        <w:t>2.13 乙方破产</w:t>
      </w:r>
      <w:bookmarkEnd w:id="476"/>
      <w:bookmarkEnd w:id="477"/>
      <w:bookmarkEnd w:id="478"/>
      <w:bookmarkEnd w:id="479"/>
      <w:bookmarkEnd w:id="480"/>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81" w:name="_Toc2016"/>
      <w:bookmarkStart w:id="482" w:name="_Toc23323"/>
      <w:bookmarkStart w:id="483" w:name="_Toc1123"/>
      <w:r>
        <w:rPr>
          <w:rFonts w:hint="eastAsia" w:ascii="仿宋_GB2312" w:hAnsi="仿宋_GB2312" w:eastAsia="仿宋_GB2312" w:cs="仿宋_GB2312"/>
          <w:b/>
          <w:color w:val="000000" w:themeColor="text1"/>
          <w:sz w:val="24"/>
          <w:szCs w:val="24"/>
          <w:highlight w:val="none"/>
          <w14:textFill>
            <w14:solidFill>
              <w14:schemeClr w14:val="tx1"/>
            </w14:solidFill>
          </w14:textFill>
        </w:rPr>
        <w:t>2.14 合同中止、终止</w:t>
      </w:r>
      <w:bookmarkEnd w:id="481"/>
      <w:bookmarkEnd w:id="482"/>
      <w:bookmarkEnd w:id="483"/>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2.14.1 双方当事人不得擅自中止或者终止合同；</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84" w:name="_Toc14525"/>
      <w:bookmarkStart w:id="485" w:name="_Toc17363"/>
      <w:bookmarkStart w:id="486" w:name="_Toc1969"/>
      <w:r>
        <w:rPr>
          <w:rFonts w:hint="eastAsia" w:ascii="仿宋_GB2312" w:hAnsi="仿宋_GB2312" w:eastAsia="仿宋_GB2312" w:cs="仿宋_GB2312"/>
          <w:b/>
          <w:color w:val="000000" w:themeColor="text1"/>
          <w:sz w:val="24"/>
          <w:szCs w:val="24"/>
          <w:highlight w:val="none"/>
          <w14:textFill>
            <w14:solidFill>
              <w14:schemeClr w14:val="tx1"/>
            </w14:solidFill>
          </w14:textFill>
        </w:rPr>
        <w:t>2.15 检验和验收</w:t>
      </w:r>
      <w:bookmarkEnd w:id="484"/>
      <w:bookmarkEnd w:id="485"/>
      <w:bookmarkEnd w:id="486"/>
    </w:p>
    <w:p>
      <w:pPr>
        <w:tabs>
          <w:tab w:val="left" w:pos="360"/>
          <w:tab w:val="left" w:pos="540"/>
          <w:tab w:val="left" w:pos="1080"/>
        </w:tabs>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2.15.1 货物交付前，乙方应对货物的质量、数量等方面进行详细、全面的检验，并向甲方出具证明货物符合合同约定的文件；货物交付时，甲方在规定时间内组织验收，并可依法邀请相关方参加，验收应出具验收书；</w:t>
      </w:r>
    </w:p>
    <w:p>
      <w:pPr>
        <w:tabs>
          <w:tab w:val="left" w:pos="360"/>
          <w:tab w:val="left" w:pos="540"/>
          <w:tab w:val="left" w:pos="1080"/>
        </w:tabs>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87" w:name="_Toc25198"/>
      <w:bookmarkStart w:id="488" w:name="_Toc31892"/>
      <w:bookmarkStart w:id="489" w:name="_Toc2308"/>
      <w:bookmarkStart w:id="490" w:name="_Toc12666"/>
      <w:bookmarkStart w:id="491" w:name="_Toc9808"/>
      <w:r>
        <w:rPr>
          <w:rFonts w:hint="eastAsia" w:ascii="仿宋_GB2312" w:hAnsi="仿宋_GB2312" w:eastAsia="仿宋_GB2312" w:cs="仿宋_GB2312"/>
          <w:b/>
          <w:color w:val="000000" w:themeColor="text1"/>
          <w:sz w:val="24"/>
          <w:szCs w:val="24"/>
          <w:highlight w:val="none"/>
          <w14:textFill>
            <w14:solidFill>
              <w14:schemeClr w14:val="tx1"/>
            </w14:solidFill>
          </w14:textFill>
        </w:rPr>
        <w:t>2.16 通知和送达</w:t>
      </w:r>
      <w:bookmarkEnd w:id="487"/>
      <w:bookmarkEnd w:id="488"/>
      <w:bookmarkEnd w:id="489"/>
      <w:bookmarkEnd w:id="490"/>
      <w:bookmarkEnd w:id="491"/>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492" w:name="_Toc18401"/>
      <w:bookmarkStart w:id="493" w:name="_Toc27674"/>
      <w:r>
        <w:rPr>
          <w:rFonts w:hint="eastAsia" w:ascii="仿宋_GB2312" w:hAnsi="仿宋_GB2312" w:eastAsia="仿宋_GB2312" w:cs="仿宋_GB2312"/>
          <w:color w:val="000000" w:themeColor="text1"/>
          <w:sz w:val="24"/>
          <w:szCs w:val="24"/>
          <w:highlight w:val="none"/>
          <w14:textFill>
            <w14:solidFill>
              <w14:schemeClr w14:val="tx1"/>
            </w14:solidFill>
          </w14:textFill>
        </w:rPr>
        <w:t>2.17.1任何一方因履行合同而以合同第一部分尾部所列明的传真或电子邮件 发出的所有通知、文件、材料，均视为已向对方当事人送达；任何一方变更上述送达方式或者地址的，应于</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个工作日内书面通知对方当事人，在对方当事人收到有关变更通知之前，变更前的约定送达方式或者地址仍视为有效。</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492"/>
      <w:bookmarkEnd w:id="493"/>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94" w:name="_Toc28906"/>
      <w:bookmarkStart w:id="495" w:name="_Toc5063"/>
      <w:bookmarkStart w:id="496" w:name="_Toc20808"/>
      <w:bookmarkStart w:id="497" w:name="_Toc27644"/>
      <w:bookmarkStart w:id="498" w:name="_Toc12254"/>
      <w:r>
        <w:rPr>
          <w:rFonts w:hint="eastAsia" w:ascii="仿宋_GB2312" w:hAnsi="仿宋_GB2312" w:eastAsia="仿宋_GB2312" w:cs="仿宋_GB2312"/>
          <w:b/>
          <w:color w:val="000000" w:themeColor="text1"/>
          <w:sz w:val="24"/>
          <w:szCs w:val="24"/>
          <w:highlight w:val="none"/>
          <w14:textFill>
            <w14:solidFill>
              <w14:schemeClr w14:val="tx1"/>
            </w14:solidFill>
          </w14:textFill>
        </w:rPr>
        <w:t>2.17 合同使用的文字和适用的法律</w:t>
      </w:r>
      <w:bookmarkEnd w:id="494"/>
      <w:bookmarkEnd w:id="495"/>
      <w:bookmarkEnd w:id="496"/>
      <w:bookmarkEnd w:id="497"/>
      <w:bookmarkEnd w:id="498"/>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2.17.1 合同使用汉语书就、变更和解释；</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2.17.2 合同适用中华人民共和国法律。</w:t>
      </w:r>
    </w:p>
    <w:p>
      <w:pPr>
        <w:spacing w:line="560" w:lineRule="exact"/>
        <w:ind w:firstLine="482" w:firstLineChars="200"/>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bookmarkStart w:id="499" w:name="_Toc18540"/>
      <w:bookmarkStart w:id="500" w:name="_Toc4355"/>
      <w:bookmarkStart w:id="501" w:name="_Toc30599"/>
      <w:r>
        <w:rPr>
          <w:rFonts w:hint="eastAsia" w:ascii="仿宋_GB2312" w:hAnsi="仿宋_GB2312" w:eastAsia="仿宋_GB2312" w:cs="仿宋_GB2312"/>
          <w:b/>
          <w:color w:val="000000" w:themeColor="text1"/>
          <w:sz w:val="24"/>
          <w:szCs w:val="24"/>
          <w:highlight w:val="none"/>
          <w14:textFill>
            <w14:solidFill>
              <w14:schemeClr w14:val="tx1"/>
            </w14:solidFill>
          </w14:textFill>
        </w:rPr>
        <w:t>2.18 计量单位</w:t>
      </w:r>
      <w:bookmarkEnd w:id="499"/>
      <w:bookmarkEnd w:id="500"/>
      <w:bookmarkEnd w:id="501"/>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除技术规范中另有规定外,合同的计量单位均使用国家法定计量单位。</w:t>
      </w:r>
    </w:p>
    <w:p>
      <w:pPr>
        <w:spacing w:line="560" w:lineRule="exact"/>
        <w:ind w:firstLine="482" w:firstLineChars="2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2.19合同份数</w:t>
      </w:r>
    </w:p>
    <w:p>
      <w:pPr>
        <w:spacing w:line="56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合同份数按</w:t>
      </w:r>
      <w:r>
        <w:rPr>
          <w:rFonts w:hint="eastAsia" w:ascii="仿宋_GB2312" w:hAnsi="仿宋_GB2312" w:eastAsia="仿宋_GB2312" w:cs="仿宋_GB2312"/>
          <w:b/>
          <w:i/>
          <w:color w:val="000000" w:themeColor="text1"/>
          <w:sz w:val="24"/>
          <w:szCs w:val="24"/>
          <w:highlight w:val="none"/>
          <w:u w:val="single"/>
          <w14:textFill>
            <w14:solidFill>
              <w14:schemeClr w14:val="tx1"/>
            </w14:solidFill>
          </w14:textFill>
        </w:rPr>
        <w:t>合同专用条款</w:t>
      </w:r>
      <w:r>
        <w:rPr>
          <w:rFonts w:hint="eastAsia" w:ascii="仿宋_GB2312" w:hAnsi="仿宋_GB2312" w:eastAsia="仿宋_GB2312" w:cs="仿宋_GB2312"/>
          <w:color w:val="000000" w:themeColor="text1"/>
          <w:sz w:val="24"/>
          <w:szCs w:val="24"/>
          <w:highlight w:val="none"/>
          <w14:textFill>
            <w14:solidFill>
              <w14:schemeClr w14:val="tx1"/>
            </w14:solidFill>
          </w14:textFill>
        </w:rPr>
        <w:t>规定，每份均具有同等法律效力。</w:t>
      </w: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21"/>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highlight w:val="none"/>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35"/>
        <w:ind w:firstLine="460"/>
        <w:rPr>
          <w:rFonts w:hint="eastAsia" w:ascii="仿宋_GB2312" w:hAnsi="仿宋_GB2312" w:eastAsia="仿宋_GB2312" w:cs="仿宋_GB2312"/>
          <w:color w:val="000000" w:themeColor="text1"/>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pStyle w:val="26"/>
        <w:ind w:firstLine="240"/>
        <w:rPr>
          <w:rFonts w:hint="eastAsia" w:ascii="仿宋_GB2312" w:hAnsi="仿宋_GB2312" w:eastAsia="仿宋_GB2312" w:cs="仿宋_GB2312"/>
          <w:color w:val="000000" w:themeColor="text1"/>
          <w:highlight w:val="none"/>
          <w:lang w:eastAsia="zh-CN" w:bidi="ar-SA"/>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60" w:lineRule="exact"/>
        <w:jc w:val="center"/>
        <w:outlineLvl w:val="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第三部分  合同专用条款</w:t>
      </w:r>
    </w:p>
    <w:p>
      <w:pPr>
        <w:spacing w:line="560" w:lineRule="exact"/>
        <w:ind w:left="-420" w:leftChars="-200" w:right="-420" w:rightChars="-20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7"/>
        <w:tblW w:w="497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171"/>
        <w:gridCol w:w="791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条款号</w:t>
            </w:r>
          </w:p>
        </w:tc>
        <w:tc>
          <w:tcPr>
            <w:tcW w:w="4355" w:type="pct"/>
            <w:vAlign w:val="center"/>
          </w:tcPr>
          <w:p>
            <w:pPr>
              <w:wordWrap w:val="0"/>
              <w:spacing w:line="560" w:lineRule="exact"/>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495"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1.5.1 </w:t>
            </w:r>
          </w:p>
        </w:tc>
        <w:tc>
          <w:tcPr>
            <w:tcW w:w="4355" w:type="pct"/>
            <w:vAlign w:val="center"/>
          </w:tcPr>
          <w:p>
            <w:pPr>
              <w:pStyle w:val="75"/>
              <w:spacing w:line="440" w:lineRule="exact"/>
              <w:ind w:firstLine="0"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预付款：在合同生效后以及具备实施条件后的7个工作日内，采购人根据供应商提供的正规发票，按财政部门规定的支付方式支付合同金额的40%给供应商。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1.5.2</w:t>
            </w:r>
          </w:p>
        </w:tc>
        <w:tc>
          <w:tcPr>
            <w:tcW w:w="4355" w:type="pct"/>
            <w:vAlign w:val="center"/>
          </w:tcPr>
          <w:p>
            <w:pPr>
              <w:wordWrap w:val="0"/>
              <w:spacing w:line="360" w:lineRule="auto"/>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甲方要求乙方提供预付款担保的，乙方应在甲方支付预付款7天前提供预付款担保。</w:t>
            </w:r>
          </w:p>
          <w:p>
            <w:pPr>
              <w:wordWrap w:val="0"/>
              <w:spacing w:line="360" w:lineRule="auto"/>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预付款担保的形式应当以支票、汇票、本票或者金融机构、担保机构出具的保函等非现金形式提交，鼓励和支持供应商以银行、保险公司出具的保函形式提供预付款担保。采购人不得拒收预付款担保函。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1.6.2</w:t>
            </w:r>
          </w:p>
        </w:tc>
        <w:tc>
          <w:tcPr>
            <w:tcW w:w="4355" w:type="pct"/>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安装调试完毕并通过终验后5个工作日内，</w:t>
            </w: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采购人根据供应商提供的正规发票，按财政部门规定的支付方式支付合同金额的60%给供应商。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1.7.1</w:t>
            </w:r>
          </w:p>
        </w:tc>
        <w:tc>
          <w:tcPr>
            <w:tcW w:w="4355" w:type="pct"/>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货物或服务的交付（实施）时间（期限）：</w:t>
            </w: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自合同签订</w:t>
            </w:r>
            <w:r>
              <w:rPr>
                <w:rFonts w:hint="eastAsia" w:ascii="仿宋_GB2312" w:hAnsi="仿宋_GB2312" w:eastAsia="仿宋_GB2312" w:cs="仿宋_GB2312"/>
                <w:color w:val="000000" w:themeColor="text1"/>
                <w:spacing w:val="-5"/>
                <w:kern w:val="0"/>
                <w:sz w:val="24"/>
                <w:szCs w:val="24"/>
                <w:highlight w:val="none"/>
                <w:lang w:val="en-US" w:eastAsia="zh-CN"/>
                <w14:textFill>
                  <w14:solidFill>
                    <w14:schemeClr w14:val="tx1"/>
                  </w14:solidFill>
                </w14:textFill>
              </w:rPr>
              <w:t>并收到甲方的可入场通知</w:t>
            </w: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后30天内完成安装调试并通过终验。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51" w:hRule="atLeast"/>
        </w:trPr>
        <w:tc>
          <w:tcPr>
            <w:tcW w:w="644" w:type="pct"/>
            <w:tcBorders>
              <w:left w:val="single" w:color="auto" w:sz="4" w:space="0"/>
              <w:bottom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1.7.2</w:t>
            </w:r>
          </w:p>
        </w:tc>
        <w:tc>
          <w:tcPr>
            <w:tcW w:w="4355" w:type="pct"/>
            <w:tcBorders>
              <w:bottom w:val="single" w:color="auto" w:sz="4" w:space="0"/>
            </w:tcBorders>
            <w:vAlign w:val="center"/>
          </w:tcPr>
          <w:p>
            <w:pPr>
              <w:spacing w:line="360" w:lineRule="auto"/>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货物或服务的交付（实施）地点（地域范围）：</w:t>
            </w: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采购单位指定地点，投标人须派专业人员将产品送到指定地点并安装调试完毕，其所有费用由投标人承担</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8" w:hRule="atLeast"/>
        </w:trPr>
        <w:tc>
          <w:tcPr>
            <w:tcW w:w="644" w:type="pct"/>
            <w:tcBorders>
              <w:top w:val="single" w:color="auto" w:sz="4" w:space="0"/>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1.7.3</w:t>
            </w:r>
          </w:p>
        </w:tc>
        <w:tc>
          <w:tcPr>
            <w:tcW w:w="4355" w:type="pct"/>
            <w:tcBorders>
              <w:top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送货上门，乙方负责安装调试，经履约验收合格后交付甲方使用。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60"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1.8.7</w:t>
            </w:r>
          </w:p>
        </w:tc>
        <w:tc>
          <w:tcPr>
            <w:tcW w:w="4355" w:type="pct"/>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1．合同签订后，任何一方不履行或不完全履行本合同约定条款的，即构成违约。任何一方违约时，守约方有权要求违约方继续履行本合同，同时有权要求违约方支付违约金。</w:t>
            </w:r>
          </w:p>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如果甲方未按照合同约定支付价款，乙方有权要求其每天承担应付未付金额千分之零点五（0.5‰）的违约金，但违约金总额不超过合同总金额的百分之十（10%）；除合同另有约定外，如果乙方未能按照本合同约定履行义务或无正当理由擅自解除本合同，甲方有权要求其承担合同总金额百分之十（10%）的违约金。</w:t>
            </w:r>
          </w:p>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如因乙方未经甲方事先书面同意，乙方将合同的权利或义务全部或部分转让或分包给第三人或违反相关法律规定或侵犯第三方合法权利而使甲方遭受损失的，乙方应承担全部责任，甲方有权解除本合同并要求乙方返还全部已收款项，按合同价款的10%承担违约金并赔偿甲方由此所遭受全部经济损失。</w:t>
            </w:r>
          </w:p>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4．乙方逾期履行合同的，自逾期之日起，向甲方每日偿付合同总价千分之零点五（0.5‰）的违约金。</w:t>
            </w:r>
          </w:p>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乙方所交的货物品种、型号、规格、技术参数、质量不符合合同规定及采购文件规定标准的，或经验收不合格的，甲方有权拒收该货物，乙方愿意更换货物但逾期交货的，按乙方逾期交货处理；乙方拒绝更换货物的，甲方可单方面解除合同，同时乙方应按合同价款的10%承担违约金，并退还全部已收款项。</w:t>
            </w:r>
          </w:p>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6．上述第</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项应退回或更换的货物，由乙方在一周内运离安装地点，所需费用由乙方承担。如乙方在二周内不处理（搬走）的，视为乙方放弃，甲方有权自行处置（包括废物处理）。</w:t>
            </w:r>
          </w:p>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7．乙方未按采购文件及合同约定履行质保义务的，每次应向甲方偿付</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2000 </w:t>
            </w:r>
            <w:r>
              <w:rPr>
                <w:rFonts w:hint="eastAsia" w:ascii="仿宋_GB2312" w:hAnsi="仿宋_GB2312" w:eastAsia="仿宋_GB2312" w:cs="仿宋_GB2312"/>
                <w:color w:val="000000" w:themeColor="text1"/>
                <w:sz w:val="24"/>
                <w:szCs w:val="24"/>
                <w:highlight w:val="none"/>
                <w14:textFill>
                  <w14:solidFill>
                    <w14:schemeClr w14:val="tx1"/>
                  </w14:solidFill>
                </w14:textFill>
              </w:rPr>
              <w:t>元的违约金，并赔偿甲方的损失；同时，乙方应继续履行质保义务。</w:t>
            </w:r>
          </w:p>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因乙方违约行为给甲方造成损失的，如违约金不足以弥补甲方经济损失，乙方还应当赔偿甲方其余经济损失，包括直接经济损失及可预见的间接经济损失。间接经济损失包括但不限于：因违约方违约事项致使守约方损失的可期待利益及守约方为此支出的诉讼费、仲裁费、律师费、差旅费、公证费、鉴定费、评估费、保全费、执行费等费用以及其它可预见的间接经济损失。</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1.9.2</w:t>
            </w:r>
          </w:p>
        </w:tc>
        <w:tc>
          <w:tcPr>
            <w:tcW w:w="4355" w:type="pct"/>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甲方所在地</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：舟山市定海区白泉镇北部综保拓展区单元HY-02-01-01地块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2.3.2</w:t>
            </w:r>
          </w:p>
        </w:tc>
        <w:tc>
          <w:tcPr>
            <w:tcW w:w="4355" w:type="pct"/>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乙方承诺对所提供的产品、技术和服务等拥有完整、合法的占有、使用、收益和处分权，并对本项目的所有内容可能涉及侵权行为的指控负责，保证不伤害甲方的利益。在法律范围内，如果出现文字、图片、商标和技术等侵权行为而造成的纠纷和产生的一切费用，甲方概不负责，由此给甲方造成损失的，乙方要承担相应后果，并负责赔偿。乙方为执行本项目合同而提供的技术资料等归甲方所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w:t>
            </w:r>
          </w:p>
        </w:tc>
        <w:tc>
          <w:tcPr>
            <w:tcW w:w="4355" w:type="pct"/>
            <w:vAlign w:val="center"/>
          </w:tcPr>
          <w:p>
            <w:pPr>
              <w:wordWrap w:val="0"/>
              <w:spacing w:line="560" w:lineRule="exact"/>
              <w:ind w:right="59" w:rightChars="28"/>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除本合同明确约定可以另行收取的费用外，所有费用均包括在内：包括产品、产品标准配件、备品备件、专用工具、包装、工时、运输、装卸、保险、税金、设备保护、安装、调试与试运行、培训、保修、售后服务费、工程配套费，以及实施本项目所需的其他一切费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2.11.3</w:t>
            </w:r>
          </w:p>
        </w:tc>
        <w:tc>
          <w:tcPr>
            <w:tcW w:w="4355" w:type="pct"/>
            <w:vAlign w:val="center"/>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因不可抗力致使合同有变更必要的，双方当事人应在不可抗力事件发生后30日内以书面形式变更合同。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2.11.4 </w:t>
            </w:r>
          </w:p>
        </w:tc>
        <w:tc>
          <w:tcPr>
            <w:tcW w:w="4355" w:type="pct"/>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受不可抗力影响的一方在不可抗力发生后，应在不可抗力事件发生后1天内以书面形式通知对方当事人，并在不可抗力事件发生后7天内，将有关部门出具的证明文件送达对方当事人。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644" w:type="pct"/>
            <w:tcBorders>
              <w:left w:val="single" w:color="auto" w:sz="4" w:space="0"/>
            </w:tcBorders>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2.19</w:t>
            </w:r>
          </w:p>
        </w:tc>
        <w:tc>
          <w:tcPr>
            <w:tcW w:w="4355" w:type="pct"/>
          </w:tcPr>
          <w:p>
            <w:pPr>
              <w:wordWrap w:val="0"/>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合同份数按甲方执陆份，乙方执贰份规定，每份均具有同等法律效力。</w:t>
            </w:r>
          </w:p>
        </w:tc>
      </w:tr>
    </w:tbl>
    <w:p>
      <w:pPr>
        <w:pStyle w:val="26"/>
        <w:rPr>
          <w:rFonts w:hint="eastAsia" w:ascii="仿宋_GB2312" w:hAnsi="仿宋_GB2312" w:eastAsia="仿宋_GB2312" w:cs="仿宋_GB2312"/>
          <w:highlight w:val="none"/>
        </w:rPr>
      </w:pPr>
    </w:p>
    <w:p>
      <w:pPr>
        <w:spacing w:line="540" w:lineRule="exact"/>
        <w:ind w:firstLine="281" w:firstLineChars="100"/>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wordWrap w:val="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3"/>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both"/>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第六部分</w:t>
      </w:r>
      <w:bookmarkEnd w:id="392"/>
      <w:bookmarkEnd w:id="393"/>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应提交的有关格式范例</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资格文件部分</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目录</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一、符合参加政府采购活动应当具备的一般条件的承诺函…………（页码）</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二、联合协议（如果有）………………………………………………（页码）</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三、落实政府采购政策需满足的资格要求（如果有）………………（页码）</w:t>
      </w: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四、本项目的特定资格要求（如果有）………………………………（页码）</w:t>
      </w:r>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一、符合参加政府采购活动应当具备的一般条件的承诺函</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我方参与（项目名称）【招标编号：（采购编号）】政府采购活动，郑重承诺：</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（一）具备《中华人民共和国政府采购法》第二十二条第一款规定的条件：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1.具有独立承担民事责任的能力；</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2.具有良好的商业信誉和健全的财务会计制度；</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3.具有履行合同所必需的设备和专业技术能力；</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4.有依法缴纳税收和社会保障资金的良好记录；</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5.参加政府采购活动前三年内，在经营活动中没有重大违法记录；</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6.具有法律、行政法规规定的其他条件。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（二）未被信用中国（www.creditchina.gov.cn)、中国政府采购网（www.ccgp.gov.cn）列入失信被执行人、重大税收违法失信主体、政府采购严重违法失信行为记录名单。</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（三）不存在以下情况：</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1.单位负责人为同一人或者存在直接控股、管理关系的不同供应商参加同一合同项下的政府采购活动的；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2.为采购项目提供整体设计、规范编制或者项目管理、监理、检测等服务后再参加该采购项目的其他采购活动的。</w:t>
      </w:r>
    </w:p>
    <w:p>
      <w:pPr>
        <w:pStyle w:val="3"/>
        <w:ind w:left="479" w:leftChars="228" w:firstLine="0" w:firstLineChars="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（四）如我方中标，我方承诺：</w:t>
      </w:r>
    </w:p>
    <w:p>
      <w:pPr>
        <w:pStyle w:val="3"/>
        <w:ind w:left="0" w:leftChars="0" w:firstLine="480" w:firstLineChars="20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1.在签订合同前向采购人提交在投标（响应）中涉及客观分评审内容的检测报告、</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br w:type="textWrapping"/>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认证证书等资料；</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br w:type="textWrapping"/>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 xml:space="preserve">   2.除采购文件中要求在投标文件中提供的认证证书外，采购人拟采购的产品按政策须进行国家强制认证的产品，在项目验收时提供该产品相关认证证书复印件或证明材料。</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5520" w:firstLineChars="23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ind w:firstLine="5640" w:firstLineChars="23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widowControl/>
        <w:spacing w:line="360" w:lineRule="auto"/>
        <w:jc w:val="both"/>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pPr>
    </w:p>
    <w:p>
      <w:pPr>
        <w:widowControl/>
        <w:spacing w:line="560" w:lineRule="exact"/>
        <w:ind w:firstLine="482" w:firstLineChars="200"/>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二、联合协议（如果有）</w:t>
      </w:r>
    </w:p>
    <w:p>
      <w:pPr>
        <w:widowControl/>
        <w:spacing w:line="560" w:lineRule="exact"/>
        <w:ind w:firstLine="482" w:firstLineChars="200"/>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[以联合体形式投标的，提供联合协议（附件6）；本项目不接受联合体投标或者投标人不以联合体形式投标的，则不需要提供）]</w:t>
      </w:r>
    </w:p>
    <w:p>
      <w:pPr>
        <w:snapToGrid w:val="0"/>
        <w:spacing w:line="560" w:lineRule="exact"/>
        <w:ind w:right="480"/>
        <w:jc w:val="cente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napToGrid w:val="0"/>
        <w:spacing w:line="560" w:lineRule="exact"/>
        <w:ind w:right="480"/>
        <w:jc w:val="cente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t>三、落实政府采购政策需满足的资格要求</w:t>
      </w:r>
      <w:r>
        <w:rPr>
          <w:rFonts w:hint="eastAsia" w:ascii="仿宋_GB2312" w:hAnsi="仿宋_GB2312" w:eastAsia="仿宋_GB2312" w:cs="仿宋_GB2312"/>
          <w:b/>
          <w:color w:val="000000" w:themeColor="text1"/>
          <w:sz w:val="24"/>
          <w:szCs w:val="24"/>
          <w:highlight w:val="none"/>
          <w14:textFill>
            <w14:solidFill>
              <w14:schemeClr w14:val="tx1"/>
            </w14:solidFill>
          </w14:textFill>
        </w:rPr>
        <w:t>（如果有）</w:t>
      </w:r>
    </w:p>
    <w:p>
      <w:pPr>
        <w:spacing w:line="56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（根据招标公告落实政府采购政策需满足的资格要求选择提供相应的材料；未要求的，无需提供）</w:t>
      </w:r>
    </w:p>
    <w:p>
      <w:pPr>
        <w:snapToGrid w:val="0"/>
        <w:spacing w:before="50" w:after="50" w:line="560" w:lineRule="exact"/>
        <w:ind w:firstLine="472" w:firstLineChars="196"/>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A</w:t>
      </w:r>
      <w:r>
        <w:rPr>
          <w:rFonts w:hint="eastAsia" w:ascii="仿宋_GB2312" w:hAnsi="仿宋_GB2312" w:eastAsia="仿宋_GB2312" w:cs="仿宋_GB2312"/>
          <w:color w:val="000000" w:themeColor="text1"/>
          <w:sz w:val="24"/>
          <w:szCs w:val="24"/>
          <w:highlight w:val="none"/>
          <w14:textFill>
            <w14:solidFill>
              <w14:schemeClr w14:val="tx1"/>
            </w14:solidFill>
          </w14:textFill>
        </w:rPr>
        <w:t>.专门面向中小企业，服务全部由符合政策要求的中小企业（或小微企业）承接的，提供相应的中小企业声明函（附件5）。</w:t>
      </w:r>
    </w:p>
    <w:p>
      <w:pPr>
        <w:widowControl/>
        <w:spacing w:line="560" w:lineRule="exact"/>
        <w:ind w:firstLine="472" w:firstLineChars="196"/>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B.</w:t>
      </w:r>
      <w:r>
        <w:rPr>
          <w:rFonts w:hint="eastAsia" w:ascii="仿宋_GB2312" w:hAnsi="仿宋_GB2312" w:eastAsia="仿宋_GB2312" w:cs="仿宋_GB2312"/>
          <w:color w:val="000000" w:themeColor="text1"/>
          <w:sz w:val="24"/>
          <w:szCs w:val="24"/>
          <w:highlight w:val="none"/>
          <w14:textFill>
            <w14:solidFill>
              <w14:schemeClr w14:val="tx1"/>
            </w14:solidFill>
          </w14:textFill>
        </w:rPr>
        <w:t>要求以联合体形式参加的，提供联合协议（附件6）和中小企业声明函（附件5），联合协议中中小企业合同金额应当达到招标公告载明的比例；如果供应商本身提供所有标的均由中小企业承接的，</w:t>
      </w:r>
      <w:r>
        <w:rPr>
          <w:rFonts w:hint="eastAsia" w:ascii="仿宋_GB2312" w:hAnsi="仿宋_GB2312" w:eastAsia="仿宋_GB2312" w:cs="仿宋_GB2312"/>
          <w:color w:val="000000" w:themeColor="text1"/>
          <w:spacing w:val="8"/>
          <w:kern w:val="0"/>
          <w:sz w:val="24"/>
          <w:szCs w:val="24"/>
          <w:highlight w:val="none"/>
          <w14:textFill>
            <w14:solidFill>
              <w14:schemeClr w14:val="tx1"/>
            </w14:solidFill>
          </w14:textFill>
        </w:rPr>
        <w:t>并相应达到了前述比例要求，</w:t>
      </w:r>
      <w:r>
        <w:rPr>
          <w:rFonts w:hint="eastAsia" w:ascii="仿宋_GB2312" w:hAnsi="仿宋_GB2312" w:eastAsia="仿宋_GB2312" w:cs="仿宋_GB2312"/>
          <w:color w:val="000000" w:themeColor="text1"/>
          <w:sz w:val="24"/>
          <w:szCs w:val="24"/>
          <w:highlight w:val="none"/>
          <w14:textFill>
            <w14:solidFill>
              <w14:schemeClr w14:val="tx1"/>
            </w14:solidFill>
          </w14:textFill>
        </w:rPr>
        <w:t>视同符合了资格条件，无需再与其他中小企业组成联合体参加政府采购活动，无需提供联合协议。</w:t>
      </w:r>
    </w:p>
    <w:p>
      <w:pPr>
        <w:snapToGrid w:val="0"/>
        <w:spacing w:before="50" w:after="50"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 xml:space="preserve">    C.</w:t>
      </w:r>
      <w:r>
        <w:rPr>
          <w:rFonts w:hint="eastAsia" w:ascii="仿宋_GB2312" w:hAnsi="仿宋_GB2312" w:eastAsia="仿宋_GB2312" w:cs="仿宋_GB2312"/>
          <w:color w:val="000000" w:themeColor="text1"/>
          <w:sz w:val="24"/>
          <w:szCs w:val="24"/>
          <w:highlight w:val="none"/>
          <w14:textFill>
            <w14:solidFill>
              <w14:schemeClr w14:val="tx1"/>
            </w14:solidFill>
          </w14:textFill>
        </w:rPr>
        <w:t>要求合同分包的，提供分包意向协议（附件7）和中小企业声明函（附件5），分包意向协议中中小企业合同金额应当达到招标公告载明的比例；如果供应商本身提供所有标的均由中小企业承接的，</w:t>
      </w:r>
      <w:r>
        <w:rPr>
          <w:rFonts w:hint="eastAsia" w:ascii="仿宋_GB2312" w:hAnsi="仿宋_GB2312" w:eastAsia="仿宋_GB2312" w:cs="仿宋_GB2312"/>
          <w:color w:val="000000" w:themeColor="text1"/>
          <w:spacing w:val="8"/>
          <w:kern w:val="0"/>
          <w:sz w:val="24"/>
          <w:szCs w:val="24"/>
          <w:highlight w:val="none"/>
          <w14:textFill>
            <w14:solidFill>
              <w14:schemeClr w14:val="tx1"/>
            </w14:solidFill>
          </w14:textFill>
        </w:rPr>
        <w:t>并相应达到了前述比例要求，</w:t>
      </w:r>
      <w:r>
        <w:rPr>
          <w:rFonts w:hint="eastAsia" w:ascii="仿宋_GB2312" w:hAnsi="仿宋_GB2312" w:eastAsia="仿宋_GB2312" w:cs="仿宋_GB2312"/>
          <w:color w:val="000000" w:themeColor="text1"/>
          <w:sz w:val="24"/>
          <w:szCs w:val="24"/>
          <w:highlight w:val="none"/>
          <w14:textFill>
            <w14:solidFill>
              <w14:schemeClr w14:val="tx1"/>
            </w14:solidFill>
          </w14:textFill>
        </w:rPr>
        <w:t>视同符合了资格条件，无需再向中小企业分包，无需提供分包意向协议。</w:t>
      </w:r>
    </w:p>
    <w:p>
      <w:pPr>
        <w:widowControl/>
        <w:spacing w:line="560" w:lineRule="exact"/>
        <w:ind w:left="150"/>
        <w:jc w:val="cente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pPr>
    </w:p>
    <w:p>
      <w:pPr>
        <w:widowControl/>
        <w:spacing w:line="560" w:lineRule="exact"/>
        <w:ind w:firstLine="482" w:firstLineChars="200"/>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t>四、本项目的特定资格要求</w:t>
      </w:r>
      <w:r>
        <w:rPr>
          <w:rFonts w:hint="eastAsia" w:ascii="仿宋_GB2312" w:hAnsi="仿宋_GB2312" w:eastAsia="仿宋_GB2312" w:cs="仿宋_GB2312"/>
          <w:b/>
          <w:color w:val="000000" w:themeColor="text1"/>
          <w:sz w:val="24"/>
          <w:szCs w:val="24"/>
          <w:highlight w:val="none"/>
          <w14:textFill>
            <w14:solidFill>
              <w14:schemeClr w14:val="tx1"/>
            </w14:solidFill>
          </w14:textFill>
        </w:rPr>
        <w:t>（如果有）</w:t>
      </w:r>
    </w:p>
    <w:p>
      <w:pPr>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（根据招标公告本项目的特定资格要求提供相应的材料；未要求的，无需提供）</w:t>
      </w:r>
    </w:p>
    <w:p>
      <w:pPr>
        <w:spacing w:line="56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6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商务技术文件部分</w:t>
      </w:r>
    </w:p>
    <w:p>
      <w:pPr>
        <w:spacing w:line="56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目录</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投标函…………………………………………………………………………（页码）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联合协议（如果有）…………………………………………………………（页码）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分包意向协议（如果有）……………………………………………………（页码）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符合性审查资料………………………………………………………………（页码）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拟投入的项目班子格式（如果有）…………………………………………（页码）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评标标准相应的商务技术资料………………………………………………（页码）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投标标的清单………………………………………………………………（页码）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商务技术偏离表……………………………………………………………（页码）</w:t>
      </w:r>
    </w:p>
    <w:p>
      <w:pPr>
        <w:pStyle w:val="60"/>
        <w:numPr>
          <w:ilvl w:val="0"/>
          <w:numId w:val="6"/>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政府采购供应商廉洁自律承诺书……………………………………………（页码）</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一、投标函</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我方参加你方组织的（项目名称）【招标编号：（采购编号）】招标的有关活动，并对此项目进行投标。为此：</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我方承诺投标有效期从提交投标文件的截止之日起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天（不少于90天），本投标文件在投标有效期满之前均具有约束力。</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1.我方的投标文件包括以下内容：</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2.1资格文件：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2.1.1承诺函；</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2.1.2联合协议（如果有)；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2.1.3落实政府采购政策需满足的资格要求（如果有)；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2.2.4本项目的特定资格要求（如果有）。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 商务技术文件：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2.2.1投标函； </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联合协议（如果有）；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分包意向协议（如果有）；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符合性审查资料；</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拟投入的项目班子格式；</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评标标准相应的商务技术资料；</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投标标的清单（如果有）；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商务技术偏离表；</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14:textFill>
            <w14:solidFill>
              <w14:schemeClr w14:val="tx1"/>
            </w14:solidFill>
          </w14:textFill>
        </w:rPr>
        <w:t>政府采购供应商廉洁自律承诺书。</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2.3报价文件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2.3.1开标一览表（报价表）；</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2.3.2中小企业声明函（如果有）；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2.3.3关于符合本国产品标准的声明函（如果有）；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2.3.4详细阐述关于不影响产品质量或者诚信履约的具体原因（如果报价低于项目预算50%的）。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3.我方承诺除商务技术偏离表（如果有）列出的偏离外，我方响应招标文件的全部要求。</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4.如我方中标，我方承诺：</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4.1在收到中标通知书后，在中标通知书规定的期限内与你方签订合同；</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4.2在签订合同时不向你方提出附加条件；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4.3按照招标文件要求提交履约保证金；</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4.4在合同约定的期限内完成合同规定的全部义务。</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5.其他补充说明:。</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3840" w:firstLineChars="16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ind w:firstLine="3840" w:firstLineChars="16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widowControl/>
        <w:spacing w:line="560" w:lineRule="exact"/>
        <w:jc w:val="cente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pPr>
    </w:p>
    <w:p>
      <w:pPr>
        <w:widowControl/>
        <w:spacing w:line="560" w:lineRule="exact"/>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二</w:t>
      </w:r>
      <w:r>
        <w:rPr>
          <w:rFonts w:hint="eastAsia" w:ascii="仿宋_GB2312" w:hAnsi="仿宋_GB2312" w:eastAsia="仿宋_GB2312" w:cs="仿宋_GB2312"/>
          <w:b/>
          <w:color w:val="000000" w:themeColor="text1"/>
          <w:sz w:val="28"/>
          <w:szCs w:val="28"/>
          <w:highlight w:val="none"/>
          <w14:textFill>
            <w14:solidFill>
              <w14:schemeClr w14:val="tx1"/>
            </w14:solidFill>
          </w14:textFill>
        </w:rPr>
        <w:t>、联合协议（如果有）</w:t>
      </w:r>
    </w:p>
    <w:p>
      <w:pPr>
        <w:widowControl/>
        <w:spacing w:line="560" w:lineRule="exact"/>
        <w:ind w:firstLine="562" w:firstLineChars="200"/>
        <w:jc w:val="left"/>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[以联合体形式投标的，提供联合协议（附件6）；本项目不接受联合体投标或者投标人不以联合体形式投标的，则不需要提供）]</w:t>
      </w:r>
    </w:p>
    <w:p>
      <w:pPr>
        <w:pStyle w:val="21"/>
        <w:rPr>
          <w:rFonts w:hint="eastAsia" w:ascii="仿宋_GB2312" w:hAnsi="仿宋_GB2312" w:eastAsia="仿宋_GB2312" w:cs="仿宋_GB2312"/>
          <w:color w:val="000000" w:themeColor="text1"/>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snapToGrid w:val="0"/>
        <w:spacing w:line="360" w:lineRule="auto"/>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三</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、分包意向协议（如果有）</w:t>
      </w:r>
    </w:p>
    <w:p>
      <w:pPr>
        <w:widowControl/>
        <w:spacing w:line="360" w:lineRule="auto"/>
        <w:jc w:val="left"/>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color w:val="000000" w:themeColor="text1"/>
          <w:sz w:val="28"/>
          <w:szCs w:val="28"/>
          <w:highlight w:val="none"/>
          <w14:textFill>
            <w14:solidFill>
              <w14:schemeClr w14:val="tx1"/>
            </w14:solidFill>
          </w14:textFill>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四</w:t>
      </w:r>
      <w:r>
        <w:rPr>
          <w:rFonts w:hint="eastAsia" w:ascii="仿宋_GB2312" w:hAnsi="仿宋_GB2312" w:eastAsia="仿宋_GB2312" w:cs="仿宋_GB2312"/>
          <w:b/>
          <w:color w:val="000000" w:themeColor="text1"/>
          <w:sz w:val="28"/>
          <w:szCs w:val="28"/>
          <w:highlight w:val="none"/>
          <w14:textFill>
            <w14:solidFill>
              <w14:schemeClr w14:val="tx1"/>
            </w14:solidFill>
          </w14:textFill>
        </w:rPr>
        <w:t>、符合性审查资料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4991"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实质性要求</w:t>
            </w:r>
          </w:p>
        </w:tc>
        <w:tc>
          <w:tcPr>
            <w:tcW w:w="2551"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需要提供的符合性审查资料</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投标文件按照招标文件要求签署、盖章。</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需要使用电子签名或者签字盖章的投标文件的组成部分</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w:t>
            </w:r>
          </w:p>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采购人拟采购的产品属于政府强制采购的节能产品品目清单范围的，投标人按招标文件要求提供国家确定的认证机构出具的、处于有效期之内的节能产品认证证书。</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节能产品认证证书（本项目拟采购的产品不属于政府强制采购的节能产品品目清单范围的，无需提供）</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w:t>
            </w:r>
          </w:p>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投标文件中承诺的投标有效期不少于招标文件中载明的投标有效期。</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投标函</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投标文件满足招标文件的其它实质性要求。</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招标文件其它实质性要求相应的材料（“▲”系指实质性要求条款，招标文件无其它实质性要求的，无需提供）</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见投标文件第页</w:t>
            </w:r>
          </w:p>
        </w:tc>
      </w:tr>
    </w:tbl>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五</w:t>
      </w:r>
      <w:r>
        <w:rPr>
          <w:rFonts w:hint="eastAsia" w:ascii="仿宋_GB2312" w:hAnsi="仿宋_GB2312" w:eastAsia="仿宋_GB2312" w:cs="仿宋_GB2312"/>
          <w:b/>
          <w:color w:val="000000" w:themeColor="text1"/>
          <w:sz w:val="28"/>
          <w:szCs w:val="28"/>
          <w:highlight w:val="none"/>
          <w14:textFill>
            <w14:solidFill>
              <w14:schemeClr w14:val="tx1"/>
            </w14:solidFill>
          </w14:textFill>
        </w:rPr>
        <w:t>、拟投入的项目班子格式（如果有）</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（格式仅供参考）</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姓名</w:t>
            </w:r>
          </w:p>
        </w:tc>
        <w:tc>
          <w:tcPr>
            <w:tcW w:w="116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年龄</w:t>
            </w:r>
          </w:p>
        </w:tc>
        <w:tc>
          <w:tcPr>
            <w:tcW w:w="115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4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学历</w:t>
            </w:r>
          </w:p>
        </w:tc>
        <w:tc>
          <w:tcPr>
            <w:tcW w:w="1800"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职称</w:t>
            </w:r>
          </w:p>
        </w:tc>
        <w:tc>
          <w:tcPr>
            <w:tcW w:w="116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职务</w:t>
            </w:r>
          </w:p>
        </w:tc>
        <w:tc>
          <w:tcPr>
            <w:tcW w:w="115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4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拟在本项目任职</w:t>
            </w:r>
          </w:p>
        </w:tc>
        <w:tc>
          <w:tcPr>
            <w:tcW w:w="1800"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毕业院校</w:t>
            </w:r>
          </w:p>
        </w:tc>
        <w:tc>
          <w:tcPr>
            <w:tcW w:w="8020" w:type="dxa"/>
            <w:gridSpan w:val="8"/>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年毕业于学校专业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主要工作履历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时间</w:t>
            </w:r>
          </w:p>
        </w:tc>
        <w:tc>
          <w:tcPr>
            <w:tcW w:w="2297" w:type="dxa"/>
            <w:gridSpan w:val="3"/>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参加过类似项目</w:t>
            </w:r>
          </w:p>
        </w:tc>
        <w:tc>
          <w:tcPr>
            <w:tcW w:w="1701"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担任职务</w:t>
            </w:r>
          </w:p>
        </w:tc>
        <w:tc>
          <w:tcPr>
            <w:tcW w:w="33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业主及联系电话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297" w:type="dxa"/>
            <w:gridSpan w:val="3"/>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3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2297" w:type="dxa"/>
            <w:gridSpan w:val="3"/>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3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附：执业资格证书、职称证书、学历证书等证明材料</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姓名</w:t>
            </w:r>
          </w:p>
        </w:tc>
        <w:tc>
          <w:tcPr>
            <w:tcW w:w="1418"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职务</w:t>
            </w:r>
          </w:p>
        </w:tc>
        <w:tc>
          <w:tcPr>
            <w:tcW w:w="198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专业技术资格</w:t>
            </w:r>
          </w:p>
        </w:tc>
        <w:tc>
          <w:tcPr>
            <w:tcW w:w="184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证书编号</w:t>
            </w:r>
          </w:p>
        </w:tc>
        <w:tc>
          <w:tcPr>
            <w:tcW w:w="27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实施经验说明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8"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98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4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418"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98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4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附：相关人员的专业技术资格证书证明材料</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4440" w:firstLineChars="18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ind w:firstLine="4440" w:firstLineChars="18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六</w:t>
      </w:r>
      <w:r>
        <w:rPr>
          <w:rFonts w:hint="eastAsia" w:ascii="仿宋_GB2312" w:hAnsi="仿宋_GB2312" w:eastAsia="仿宋_GB2312" w:cs="仿宋_GB2312"/>
          <w:b/>
          <w:color w:val="000000" w:themeColor="text1"/>
          <w:sz w:val="28"/>
          <w:szCs w:val="28"/>
          <w:highlight w:val="none"/>
          <w14:textFill>
            <w14:solidFill>
              <w14:schemeClr w14:val="tx1"/>
            </w14:solidFill>
          </w14:textFill>
        </w:rPr>
        <w:t>、评标标准相应的商务技术资料</w:t>
      </w:r>
    </w:p>
    <w:p>
      <w:pPr>
        <w:spacing w:line="540" w:lineRule="exact"/>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（按招标文件第四部分评标办法前附表中“投标文件中评标标准相应的商务技术资料目录”提供资料）</w:t>
      </w:r>
    </w:p>
    <w:p>
      <w:pPr>
        <w:ind w:firstLine="2891" w:firstLineChars="900"/>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pPr>
    </w:p>
    <w:p>
      <w:pP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pP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七</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产品名称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品牌</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规格型号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产地</w:t>
            </w:r>
          </w:p>
        </w:tc>
        <w:tc>
          <w:tcPr>
            <w:tcW w:w="69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69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nil"/>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699" w:type="dxa"/>
            <w:tcBorders>
              <w:top w:val="single" w:color="auto" w:sz="4" w:space="0"/>
              <w:left w:val="single" w:color="auto" w:sz="4" w:space="0"/>
              <w:bottom w:val="nil"/>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6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p>
        </w:tc>
      </w:tr>
    </w:tbl>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八</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序号</w:t>
            </w:r>
          </w:p>
        </w:tc>
        <w:tc>
          <w:tcPr>
            <w:tcW w:w="3683"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招标文件章节及具体内容</w:t>
            </w:r>
          </w:p>
        </w:tc>
        <w:tc>
          <w:tcPr>
            <w:tcW w:w="3546"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投标文件章节及具体内容</w:t>
            </w:r>
          </w:p>
        </w:tc>
        <w:tc>
          <w:tcPr>
            <w:tcW w:w="1512"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w:t>
            </w:r>
          </w:p>
        </w:tc>
        <w:tc>
          <w:tcPr>
            <w:tcW w:w="3683"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3546"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1512"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w:t>
            </w:r>
          </w:p>
        </w:tc>
        <w:tc>
          <w:tcPr>
            <w:tcW w:w="3683"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3546"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1512"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w:t>
            </w:r>
          </w:p>
        </w:tc>
        <w:tc>
          <w:tcPr>
            <w:tcW w:w="3683"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3546"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1512"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r>
    </w:tbl>
    <w:p>
      <w:pPr>
        <w:jc w:val="left"/>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投标人保证：除商务技术偏离表列出的偏离外，投标人响应招标文件的全部要求</w:t>
      </w: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九</w:t>
      </w:r>
      <w:r>
        <w:rPr>
          <w:rFonts w:hint="eastAsia" w:ascii="仿宋_GB2312" w:hAnsi="仿宋_GB2312" w:eastAsia="仿宋_GB2312" w:cs="仿宋_GB2312"/>
          <w:b/>
          <w:color w:val="000000" w:themeColor="text1"/>
          <w:sz w:val="28"/>
          <w:szCs w:val="28"/>
          <w:highlight w:val="none"/>
          <w14:textFill>
            <w14:solidFill>
              <w14:schemeClr w14:val="tx1"/>
            </w14:solidFill>
          </w14:textFill>
        </w:rPr>
        <w:t>、政府采购供应商廉洁自律承诺书</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我单位响应你单位项目招标要求参加投标。在这次投标过程中和中标后，我们将严格遵守国家法律法规要求，并郑重承诺：</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一、不向项目有关人员及部门赠送礼金礼物、有价证券、回扣以及中介费、介绍费、咨询费等好处费；</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二、不为项目有关人员及部门报销应由你方单位或个人支付的费用；</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三、不向项目有关人员及部门提供有可能影响公正的宴请和健身娱乐等活动；</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四、不为项目有关人员及部门出国（境）、旅游等提供方便；</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五、不为项目有关人员个人装修住房、婚丧嫁娶、配偶子女工作安排等提供好处；</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六、严格遵守《中华人民共和国政府采购法》《中华人民共和国招标投标法》《中华人民共和国民法典》等法律法规，诚实守信，合法经营，坚决抵制各种违法违纪行为。</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pPr>
        <w:spacing w:line="5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spacing w:line="500" w:lineRule="exact"/>
        <w:ind w:firstLine="4560" w:firstLineChars="19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00" w:lineRule="exact"/>
        <w:ind w:firstLine="4680" w:firstLineChars="19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报价文件部分</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（1）开标一览表（报价表）…………………………………………………（页码）</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（2）中小企业声明函（如果有）……………………………………………（页码）</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（3）关于符合本国产品标准的声明函（如果有）…………………………（页码）</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（4）详细阐述关于不影响产品质量或者诚信履约的具体原因（如果报价低于项目预算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24"/>
          <w:szCs w:val="24"/>
          <w:highlight w:val="none"/>
          <w14:textFill>
            <w14:solidFill>
              <w14:schemeClr w14:val="tx1"/>
            </w14:solidFill>
          </w14:textFill>
        </w:rPr>
        <w:t>%的）…………………………………………………………………………（页码）</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sectPr>
          <w:headerReference r:id="rId16" w:type="first"/>
          <w:footerReference r:id="rId18" w:type="first"/>
          <w:headerReference r:id="rId15" w:type="default"/>
          <w:footerReference r:id="rId17" w:type="default"/>
          <w:pgSz w:w="11906" w:h="16838"/>
          <w:pgMar w:top="1276" w:right="1418" w:bottom="1247" w:left="1418" w:header="851" w:footer="992" w:gutter="0"/>
          <w:cols w:space="720" w:num="1"/>
          <w:titlePg/>
          <w:docGrid w:linePitch="312" w:charSpace="0"/>
        </w:sect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一、开标一览表（报价表）</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按你方招标文件要求，我们，本投标文件签字方，谨此向你方发出要约如下：如你方接受本投标，我方承诺按照如下开标一览表（报价表）的价格完成（项目名称）【招标编号：（采购编号）】的实施。</w:t>
      </w: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1893"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名称</w:t>
            </w:r>
          </w:p>
        </w:tc>
        <w:tc>
          <w:tcPr>
            <w:tcW w:w="929"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品牌</w:t>
            </w:r>
          </w:p>
        </w:tc>
        <w:tc>
          <w:tcPr>
            <w:tcW w:w="835"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规格型号</w:t>
            </w:r>
          </w:p>
        </w:tc>
        <w:tc>
          <w:tcPr>
            <w:tcW w:w="823"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单价</w:t>
            </w:r>
          </w:p>
        </w:tc>
        <w:tc>
          <w:tcPr>
            <w:tcW w:w="1134"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数量</w:t>
            </w:r>
          </w:p>
        </w:tc>
        <w:tc>
          <w:tcPr>
            <w:tcW w:w="1417"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总价</w:t>
            </w:r>
          </w:p>
        </w:tc>
        <w:tc>
          <w:tcPr>
            <w:tcW w:w="965" w:type="dxa"/>
            <w:noWrap w:val="0"/>
            <w:vAlign w:val="center"/>
          </w:tcPr>
          <w:p>
            <w:pPr>
              <w:spacing w:line="36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1893"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p>
        </w:tc>
        <w:tc>
          <w:tcPr>
            <w:tcW w:w="1893"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1893"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p>
        </w:tc>
        <w:tc>
          <w:tcPr>
            <w:tcW w:w="1893"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w:t>
            </w:r>
          </w:p>
        </w:tc>
        <w:tc>
          <w:tcPr>
            <w:tcW w:w="1893"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w:t>
            </w:r>
          </w:p>
        </w:tc>
        <w:tc>
          <w:tcPr>
            <w:tcW w:w="1893"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bottom"/>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w:t>
            </w:r>
          </w:p>
        </w:tc>
        <w:tc>
          <w:tcPr>
            <w:tcW w:w="189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w:t>
            </w:r>
          </w:p>
        </w:tc>
        <w:tc>
          <w:tcPr>
            <w:tcW w:w="189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29"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p>
        </w:tc>
        <w:tc>
          <w:tcPr>
            <w:tcW w:w="189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tc>
        <w:tc>
          <w:tcPr>
            <w:tcW w:w="929"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3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2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7"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6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投标报价（小写）</w:t>
            </w:r>
          </w:p>
        </w:tc>
        <w:tc>
          <w:tcPr>
            <w:tcW w:w="2382" w:type="dxa"/>
            <w:gridSpan w:val="2"/>
            <w:noWrap w:val="0"/>
            <w:vAlign w:val="top"/>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投标报价（大写）</w:t>
            </w:r>
          </w:p>
        </w:tc>
        <w:tc>
          <w:tcPr>
            <w:tcW w:w="2382" w:type="dxa"/>
            <w:gridSpan w:val="2"/>
            <w:noWrap w:val="0"/>
            <w:vAlign w:val="top"/>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spacing w:line="540" w:lineRule="exact"/>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注：</w:t>
      </w:r>
    </w:p>
    <w:p>
      <w:pPr>
        <w:spacing w:line="540" w:lineRule="exact"/>
        <w:ind w:firstLine="472" w:firstLineChars="196"/>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pPr>
        <w:spacing w:line="540" w:lineRule="exact"/>
        <w:ind w:firstLine="470" w:firstLineChars="196"/>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2.特别提示：采购代理机构将对项目名称和项目编号，中标供应商名称、地址和中标金额，主要中标标的的名称、规格型号、数量、单价、服务要求等予以公示。</w:t>
      </w:r>
    </w:p>
    <w:p>
      <w:pPr>
        <w:spacing w:line="540" w:lineRule="exact"/>
        <w:ind w:firstLine="470" w:firstLineChars="196"/>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pacing w:line="540" w:lineRule="exact"/>
        <w:ind w:firstLine="470" w:firstLineChars="196"/>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4.投标报价一经涂改，应在涂改处加盖单位公章或投标人代表签字（或盖章），否则其投标作无效标处理。</w:t>
      </w:r>
    </w:p>
    <w:p>
      <w:pPr>
        <w:spacing w:line="540" w:lineRule="exact"/>
        <w:ind w:firstLine="470" w:firstLineChars="196"/>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投标报价应包括产品、产品标准配件、备品备件、专用工具、包装、工时、运输、装卸、保险、税金、设备保护、安装、调试与试运行、培训、保修、售后服务费、工程配套费、以及实施本项目所需的其他一切费用。</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26"/>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highlight w:val="none"/>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right="480" w:firstLine="4680" w:firstLineChars="19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00" w:lineRule="exact"/>
        <w:ind w:firstLine="4680" w:firstLineChars="19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pStyle w:val="21"/>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二、中小企业声明函（如果有）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2"/>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4"/>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26"/>
        <w:rPr>
          <w:rFonts w:hint="eastAsia" w:ascii="仿宋_GB2312" w:hAnsi="仿宋_GB2312" w:eastAsia="仿宋_GB2312" w:cs="仿宋_GB2312"/>
          <w:highlight w:val="none"/>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三、关于符合本国产品标准的声明函（如果有）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[符合《国务院办公厅关于在政府采购中实施本国产品标准及相关政策的通知》规定的本国产品拟享受价格扣除政策的，需提供关于符合本国产品标准的声明函（附件8）。]</w:t>
      </w:r>
    </w:p>
    <w:p>
      <w:pPr>
        <w:pStyle w:val="2"/>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pStyle w:val="4"/>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pStyle w:val="2"/>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pStyle w:val="2"/>
        <w:rPr>
          <w:rFonts w:hint="eastAsia" w:eastAsiaTheme="minorEastAsia"/>
          <w:color w:val="auto"/>
          <w:sz w:val="28"/>
          <w:szCs w:val="28"/>
          <w:highlight w:val="none"/>
          <w:lang w:val="en-US" w:eastAsia="zh-CN"/>
        </w:rPr>
      </w:pPr>
      <w:r>
        <w:rPr>
          <w:rFonts w:hint="eastAsia" w:ascii="方正仿宋_GB2312" w:hAnsi="方正仿宋_GB2312" w:eastAsia="方正仿宋_GB2312" w:cs="方正仿宋_GB2312"/>
          <w:b/>
          <w:color w:val="auto"/>
          <w:sz w:val="28"/>
          <w:szCs w:val="28"/>
          <w:highlight w:val="none"/>
          <w:lang w:eastAsia="zh-CN"/>
        </w:rPr>
        <w:t>四</w:t>
      </w:r>
      <w:r>
        <w:rPr>
          <w:rFonts w:hint="eastAsia" w:ascii="方正仿宋_GB2312" w:hAnsi="方正仿宋_GB2312" w:eastAsia="方正仿宋_GB2312" w:cs="方正仿宋_GB2312"/>
          <w:b/>
          <w:color w:val="auto"/>
          <w:sz w:val="28"/>
          <w:szCs w:val="28"/>
          <w:highlight w:val="none"/>
        </w:rPr>
        <w:t>、书面说明及必要的证明材料，对投标价格作出解释。（如果报价低于项目</w:t>
      </w:r>
      <w:r>
        <w:rPr>
          <w:rFonts w:hint="eastAsia" w:ascii="方正仿宋_GB2312" w:hAnsi="方正仿宋_GB2312" w:eastAsia="方正仿宋_GB2312" w:cs="方正仿宋_GB2312"/>
          <w:b/>
          <w:color w:val="auto"/>
          <w:sz w:val="28"/>
          <w:szCs w:val="28"/>
          <w:highlight w:val="none"/>
          <w:lang w:eastAsia="zh-CN"/>
        </w:rPr>
        <w:t>最高限价</w:t>
      </w:r>
      <w:r>
        <w:rPr>
          <w:rFonts w:hint="eastAsia" w:ascii="方正仿宋_GB2312" w:hAnsi="方正仿宋_GB2312" w:eastAsia="方正仿宋_GB2312" w:cs="方正仿宋_GB2312"/>
          <w:b/>
          <w:color w:val="auto"/>
          <w:sz w:val="28"/>
          <w:szCs w:val="28"/>
          <w:highlight w:val="none"/>
          <w:lang w:val="en-US" w:eastAsia="zh-CN"/>
        </w:rPr>
        <w:t>45</w:t>
      </w:r>
      <w:r>
        <w:rPr>
          <w:rFonts w:hint="eastAsia" w:ascii="方正仿宋_GB2312" w:hAnsi="方正仿宋_GB2312" w:eastAsia="方正仿宋_GB2312" w:cs="方正仿宋_GB2312"/>
          <w:b/>
          <w:color w:val="auto"/>
          <w:sz w:val="28"/>
          <w:szCs w:val="28"/>
          <w:highlight w:val="none"/>
        </w:rPr>
        <w:t>%的）</w:t>
      </w:r>
    </w:p>
    <w:p>
      <w:pPr>
        <w:spacing w:line="540" w:lineRule="exact"/>
        <w:ind w:firstLine="470" w:firstLineChars="196"/>
        <w:contextualSpacing/>
        <w:rPr>
          <w:rFonts w:hint="eastAsia" w:ascii="仿宋_GB2312" w:eastAsia="仿宋_GB2312"/>
          <w:b w:val="0"/>
          <w:bCs w:val="0"/>
          <w:color w:val="auto"/>
          <w:sz w:val="24"/>
          <w:szCs w:val="24"/>
          <w:highlight w:val="none"/>
          <w:lang w:eastAsia="zh-CN"/>
        </w:rPr>
      </w:pPr>
      <w:r>
        <w:rPr>
          <w:rFonts w:hint="eastAsia" w:ascii="仿宋_GB2312" w:eastAsia="仿宋_GB2312"/>
          <w:b w:val="0"/>
          <w:bCs w:val="0"/>
          <w:color w:val="auto"/>
          <w:sz w:val="24"/>
          <w:szCs w:val="24"/>
          <w:highlight w:val="none"/>
        </w:rPr>
        <w:t>特别说明：供应商投标报价低于项目</w:t>
      </w:r>
      <w:r>
        <w:rPr>
          <w:rFonts w:hint="eastAsia" w:ascii="仿宋_GB2312" w:hAnsi="仿宋_GB2312" w:eastAsia="仿宋_GB2312" w:cs="仿宋_GB2312"/>
          <w:b w:val="0"/>
          <w:bCs w:val="0"/>
          <w:i w:val="0"/>
          <w:iCs w:val="0"/>
          <w:caps w:val="0"/>
          <w:color w:val="auto"/>
          <w:spacing w:val="0"/>
          <w:w w:val="100"/>
          <w:kern w:val="0"/>
          <w:sz w:val="24"/>
          <w:szCs w:val="24"/>
          <w:highlight w:val="none"/>
          <w:shd w:val="clear" w:fill="FFFFFF"/>
          <w:vertAlign w:val="baseline"/>
          <w:lang w:val="en-US" w:eastAsia="zh-CN" w:bidi="ar"/>
        </w:rPr>
        <w:t>最高限价</w:t>
      </w:r>
      <w:r>
        <w:rPr>
          <w:rFonts w:hint="eastAsia" w:ascii="仿宋_GB2312" w:eastAsia="仿宋_GB2312"/>
          <w:b w:val="0"/>
          <w:bCs w:val="0"/>
          <w:color w:val="auto"/>
          <w:sz w:val="24"/>
          <w:szCs w:val="24"/>
          <w:highlight w:val="none"/>
          <w:lang w:val="en-US" w:eastAsia="zh-CN"/>
        </w:rPr>
        <w:t>45</w:t>
      </w:r>
      <w:r>
        <w:rPr>
          <w:rFonts w:hint="eastAsia" w:ascii="仿宋_GB2312" w:eastAsia="仿宋_GB2312"/>
          <w:b w:val="0"/>
          <w:bCs w:val="0"/>
          <w:color w:val="auto"/>
          <w:sz w:val="24"/>
          <w:szCs w:val="24"/>
          <w:highlight w:val="none"/>
        </w:rPr>
        <w:t>%的，应当在报价文件中</w:t>
      </w:r>
      <w:r>
        <w:rPr>
          <w:rFonts w:hint="eastAsia" w:ascii="仿宋_GB2312" w:eastAsia="仿宋_GB2312"/>
          <w:b w:val="0"/>
          <w:bCs w:val="0"/>
          <w:color w:val="auto"/>
          <w:sz w:val="24"/>
          <w:szCs w:val="24"/>
          <w:highlight w:val="none"/>
          <w:lang w:eastAsia="zh-CN"/>
        </w:rPr>
        <w:t>提供书面说明及必要的证明材料，对投标价格作出解释。书面说明、证明材料主要是项目具体成本测算等与报价合理性相关的说明、材料，包括但不限于原材料成本、人工成本、制造费用等。</w:t>
      </w:r>
    </w:p>
    <w:p>
      <w:pPr>
        <w:pStyle w:val="4"/>
        <w:rPr>
          <w:rFonts w:hint="eastAsia"/>
          <w:highlight w:val="none"/>
          <w:lang w:val="en-US" w:eastAsia="zh-CN"/>
        </w:rPr>
        <w:sectPr>
          <w:pgSz w:w="11906" w:h="16838"/>
          <w:pgMar w:top="1247" w:right="1418" w:bottom="1276" w:left="1418" w:header="851" w:footer="992" w:gutter="0"/>
          <w:cols w:space="720" w:num="1"/>
          <w:titlePg/>
          <w:docGrid w:linePitch="312" w:charSpace="0"/>
        </w:sect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bookmarkStart w:id="502" w:name="_Toc465665161"/>
      <w:r>
        <w:rPr>
          <w:rFonts w:hint="eastAsia" w:ascii="仿宋_GB2312" w:hAnsi="仿宋_GB2312" w:eastAsia="仿宋_GB2312" w:cs="仿宋_GB2312"/>
          <w:b/>
          <w:color w:val="000000" w:themeColor="text1"/>
          <w:sz w:val="28"/>
          <w:szCs w:val="28"/>
          <w:highlight w:val="none"/>
          <w14:textFill>
            <w14:solidFill>
              <w14:schemeClr w14:val="tx1"/>
            </w14:solidFill>
          </w14:textFill>
        </w:rPr>
        <w:t>附件</w:t>
      </w:r>
      <w:bookmarkEnd w:id="502"/>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附件1：</w:t>
      </w: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503" w:name="OLE_LINK14"/>
      <w:bookmarkStart w:id="504" w:name="OLE_LINK13"/>
      <w:r>
        <w:rPr>
          <w:rFonts w:hint="eastAsia" w:ascii="仿宋_GB2312" w:hAnsi="仿宋_GB2312" w:eastAsia="仿宋_GB2312" w:cs="仿宋_GB2312"/>
          <w:color w:val="000000" w:themeColor="text1"/>
          <w:sz w:val="24"/>
          <w:szCs w:val="24"/>
          <w:highlight w:val="none"/>
          <w14:textFill>
            <w14:solidFill>
              <w14:schemeClr w14:val="tx1"/>
            </w14:solidFill>
          </w14:textFill>
        </w:rPr>
        <w:t>残疾人福利性单位声明函</w:t>
      </w:r>
    </w:p>
    <w:bookmarkEnd w:id="503"/>
    <w:bookmarkEnd w:id="504"/>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(采购人)</w:t>
      </w:r>
      <w:r>
        <w:rPr>
          <w:rFonts w:hint="eastAsia" w:ascii="仿宋_GB2312" w:hAnsi="仿宋_GB2312" w:eastAsia="仿宋_GB2312" w:cs="仿宋_GB2312"/>
          <w:color w:val="000000" w:themeColor="text1"/>
          <w:sz w:val="24"/>
          <w:szCs w:val="24"/>
          <w:highlight w:val="none"/>
          <w14:textFill>
            <w14:solidFill>
              <w14:schemeClr w14:val="tx1"/>
            </w14:solidFill>
          </w14:textFill>
        </w:rPr>
        <w:t>单位的</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本单位对上述声明的真实性负责。如有虚假，将依法承担相应责任。</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附件2：</w:t>
      </w:r>
      <w:r>
        <w:rPr>
          <w:rFonts w:hint="eastAsia" w:ascii="仿宋_GB2312" w:hAnsi="仿宋_GB2312" w:eastAsia="仿宋_GB2312" w:cs="仿宋_GB2312"/>
          <w:b/>
          <w:color w:val="000000" w:themeColor="text1"/>
          <w:sz w:val="28"/>
          <w:szCs w:val="28"/>
          <w:highlight w:val="none"/>
          <w14:textFill>
            <w14:solidFill>
              <w14:schemeClr w14:val="tx1"/>
            </w14:solidFill>
          </w14:textFill>
        </w:rPr>
        <w:t>质疑函范本及制作说明</w:t>
      </w: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质疑函范本</w:t>
      </w:r>
    </w:p>
    <w:p>
      <w:pPr>
        <w:snapToGrid w:val="0"/>
        <w:spacing w:before="312" w:beforeLines="100"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一、质疑供应商基本信息</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质疑供应商：</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地址：邮编：</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联系人：联系电话：</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授权代表：</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地址：邮编：</w:t>
      </w:r>
    </w:p>
    <w:p>
      <w:pPr>
        <w:snapToGrid w:val="0"/>
        <w:spacing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二、质疑项目基本情况</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质疑项目的名称：</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质疑项目的编号：包号：</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采购人名称：</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采购文件获取日期：</w:t>
      </w:r>
    </w:p>
    <w:p>
      <w:pPr>
        <w:snapToGrid w:val="0"/>
        <w:spacing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三、质疑事项具体内容</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质疑事项1：</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事实依据：</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法律依据：</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质疑事项2</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p>
      <w:pPr>
        <w:snapToGrid w:val="0"/>
        <w:spacing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四、与质疑事项相关的质疑请求</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请求：</w:t>
      </w:r>
    </w:p>
    <w:p>
      <w:pPr>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签字(签章)：公章：</w:t>
      </w:r>
    </w:p>
    <w:p>
      <w:pPr>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日期：</w:t>
      </w:r>
    </w:p>
    <w:p>
      <w:pPr>
        <w:spacing w:line="360" w:lineRule="auto"/>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质疑函制作说明：</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1.供应商提出质疑时，应提交质疑函和必要的证明材料。</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_GB2312" w:hAnsi="仿宋_GB2312" w:eastAsia="仿宋_GB2312" w:cs="仿宋_GB2312"/>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3.质疑供应商若对项目的某一分包进行质疑，质疑函中应列明具体分包号。</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4.质疑函的质疑事项应具体、明确，并有必要的事实依据和法律依据。</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5.质疑函的质疑请求应与质疑事项相关。</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pStyle w:val="21"/>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附件3：</w:t>
      </w: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投诉书范本及制作说明</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360" w:lineRule="auto"/>
        <w:jc w:val="center"/>
        <w:rPr>
          <w:rFonts w:hint="eastAsia" w:ascii="仿宋_GB2312" w:hAnsi="仿宋_GB2312" w:eastAsia="仿宋_GB2312" w:cs="仿宋_GB2312"/>
          <w:b/>
          <w:color w:val="000000" w:themeColor="text1"/>
          <w:spacing w:val="6"/>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6"/>
          <w:sz w:val="24"/>
          <w:szCs w:val="24"/>
          <w:highlight w:val="none"/>
          <w14:textFill>
            <w14:solidFill>
              <w14:schemeClr w14:val="tx1"/>
            </w14:solidFill>
          </w14:textFill>
        </w:rPr>
        <w:t>投诉书范本</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一、投诉相关主体基本情况</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投诉人：</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tabs>
          <w:tab w:val="left" w:pos="6510"/>
        </w:tabs>
        <w:spacing w:line="360" w:lineRule="auto"/>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法定代表人/主要负责人：</w:t>
      </w:r>
    </w:p>
    <w:p>
      <w:pPr>
        <w:tabs>
          <w:tab w:val="left" w:pos="6510"/>
        </w:tabs>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联系电话：</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授权代表：联系电话</w:t>
      </w: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被投诉人1：</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联系人：联系电话：</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被投诉人2</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相关供应商：</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联系人：联系电话：</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二、投诉项目基本情况</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采购项目名称：</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采购项目编号：包号：</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采购人名称：</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代理机构名称：</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采购文件公告:</w:t>
      </w: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是/否</w:t>
      </w:r>
      <w:r>
        <w:rPr>
          <w:rFonts w:hint="eastAsia" w:ascii="仿宋_GB2312" w:hAnsi="仿宋_GB2312" w:eastAsia="仿宋_GB2312" w:cs="仿宋_GB2312"/>
          <w:color w:val="000000" w:themeColor="text1"/>
          <w:sz w:val="24"/>
          <w:szCs w:val="24"/>
          <w:highlight w:val="none"/>
          <w14:textFill>
            <w14:solidFill>
              <w14:schemeClr w14:val="tx1"/>
            </w14:solidFill>
          </w14:textFill>
        </w:rPr>
        <w:t>公告期限：</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采购结果公告:</w:t>
      </w: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是/否</w:t>
      </w:r>
      <w:r>
        <w:rPr>
          <w:rFonts w:hint="eastAsia" w:ascii="仿宋_GB2312" w:hAnsi="仿宋_GB2312" w:eastAsia="仿宋_GB2312" w:cs="仿宋_GB2312"/>
          <w:color w:val="000000" w:themeColor="text1"/>
          <w:sz w:val="24"/>
          <w:szCs w:val="24"/>
          <w:highlight w:val="none"/>
          <w14:textFill>
            <w14:solidFill>
              <w14:schemeClr w14:val="tx1"/>
            </w14:solidFill>
          </w14:textFill>
        </w:rPr>
        <w:t>公告期限：</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三、质疑基本情况</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投诉人于年月日,向提出质疑，质疑事项为：</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采购人/代理机构</w:t>
      </w:r>
      <w:r>
        <w:rPr>
          <w:rFonts w:hint="eastAsia" w:ascii="仿宋_GB2312" w:hAnsi="仿宋_GB2312" w:eastAsia="仿宋_GB2312" w:cs="仿宋_GB2312"/>
          <w:color w:val="000000" w:themeColor="text1"/>
          <w:sz w:val="24"/>
          <w:szCs w:val="24"/>
          <w:highlight w:val="none"/>
          <w14:textFill>
            <w14:solidFill>
              <w14:schemeClr w14:val="tx1"/>
            </w14:solidFill>
          </w14:textFill>
        </w:rPr>
        <w:t>于年月日,就质疑事项作出了答复/没有在法定期限内作出答复。</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四、投诉事项具体内容</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投诉事项 1：</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事实依据：</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法律依据：</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投诉事项2</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五、与投诉事项相关的投诉请求</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请求：</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签字(签章)：公章：</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360" w:lineRule="auto"/>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投诉书制作说明：</w:t>
      </w:r>
    </w:p>
    <w:p>
      <w:pPr>
        <w:widowControl/>
        <w:spacing w:line="360" w:lineRule="auto"/>
        <w:ind w:firstLine="480" w:firstLineChars="2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投诉人签署的授权委托书。授权委托书应当载明代理人的姓名或者名称、代理事项、具体权限、期限和相关事项。</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3.投诉人若对项目的某一分包进行投诉，投诉书应列明具体分包号。</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4.投诉书应简要列明质疑事项，质疑函、质疑答复等作为附件材料提供。</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5.投诉书的投诉事项应具体、明确，并有必要的事实依据和法律依据。</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6.投诉书的投诉请求应与投诉事项相关。</w:t>
      </w:r>
    </w:p>
    <w:p>
      <w:pPr>
        <w:spacing w:line="360" w:lineRule="auto"/>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附件4：</w:t>
      </w: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业务专用章使用说明函</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我方(投标人全称)是中华人民共和国依法登记注册的合法企业，在参加你方组织的</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项目【招标编号：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（采购编号）</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】投标活动中作如下说明：我方所使用的“XX专用章”与法定名称章具有同等的法律效力，对使用“XX专用章”的行为予以完全承认，并愿意承担相应责任。</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特此说明。</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3600" w:firstLineChars="1500"/>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投标单位（法定名称章）：</w:t>
      </w:r>
    </w:p>
    <w:p>
      <w:pPr>
        <w:spacing w:line="540" w:lineRule="exact"/>
        <w:ind w:firstLine="5040" w:firstLineChars="2100"/>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投标单位法定名称章（印模）投标单位“XX专用章”（印模）</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5080" t="4445" r="15875" b="12065"/>
                <wp:wrapNone/>
                <wp:docPr id="1"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6"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Clobj29AEAACgEAAAOAAAAZHJzL2Uyb0RvYy54bWytU8uS&#10;0zAQvFPFP6h0J35AlsUVZw+EcKFgqxY+QJFlW1V6MaPEyd8zkrPZBxxywAd7ZI16untGq7ujNeyg&#10;ALV3La8WJWfKSd9pN7T818/tu1vOMArXCeOdavlJIb9bv32zmkKjaj960ylgBOKwmULLxxhDUxQo&#10;R2UFLnxQjjZ7D1ZEWsJQdCAmQremqMvyppg8dAG8VIj0dzNv8jMiXAPo+15LtfFyb5WLMyooIyJJ&#10;wlEH5OvMtu+VjD/6HlVkpuWkNOY3FaF4l97FeiWaAUQYtTxTENdQeKXJCu2o6AVqI6Jge9B/QVkt&#10;waPv40J6W8xCsiOkoipfefMwiqCyFrIaw8V0/H+w8vvhHpjuaBI4c8JSw6uyvkm+TAEb2n4I93Be&#10;IYVJ5LEHm75Enx2zl6eLl+oYmaSfVV29/3C75EzS3sdqSeoSaPF0OgDGr8pbloKWA/UqWygO3zDO&#10;qY8pqRh6o7utNiYvYNh9NsAOgvq6zc8Z/UWacWxq+adlnXgIGtaehoRCG0gwuiHXe3ECnwOX+fkX&#10;cCK2ETjOBDJCShON1VFBjkYlui+uY/EUyFRHd4knMlZ1nBlFVy9FOTMKba7JJO+MIwtTY+ZWpGjn&#10;uxO1cKIZJk2/9wKo0D6AHkZytcrsUx4NULb/POxpQp+vM+7TB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kmuLXAAAACQEAAA8AAAAAAAAAAQAgAAAAIgAAAGRycy9kb3ducmV2LnhtbFBLAQIU&#10;ABQAAAAIAIdO4kClobj29AEAACgEAAAOAAAAAAAAAAEAIAAAACYBAABkcnMvZTJvRG9jLnhtbFBL&#10;BQYAAAAABgAGAFkBAACMBQAAAAA=&#10;">
                <v:fill on="t" focussize="0,0"/>
                <v:stroke color="#000000" joinstyle="miter"/>
                <v:imagedata o:title=""/>
                <o:lock v:ext="edit" aspectratio="f"/>
              </v:rect>
            </w:pict>
          </mc:Fallback>
        </mc:AlternateContent>
      </w:r>
      <w:r>
        <w:rPr>
          <w:rFonts w:hint="eastAsia" w:ascii="仿宋_GB2312" w:hAnsi="仿宋_GB2312" w:eastAsia="仿宋_GB2312" w:cs="仿宋_GB2312"/>
          <w:color w:val="000000" w:themeColor="text1"/>
          <w:sz w:val="24"/>
          <w:szCs w:val="24"/>
          <w:highlight w:val="none"/>
          <w14:textFill>
            <w14:solidFill>
              <w14:schemeClr w14:val="tx1"/>
            </w14:solidFill>
          </w14:textFill>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4445" t="4445" r="11430" b="12065"/>
                <wp:wrapNone/>
                <wp:docPr id="2"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7"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C3Fk/o8wEAACgEAAAOAAAAZHJzL2Uyb0RvYy54bWytU8uO&#10;2zAMvBfoPwi6N34A6aZGnD00TS9Fu8B2P4CRZVuAXhWVOPn7UnKafbSHHOqDTVnUcGZIre9PRrOj&#10;DKicbXm1KDmTVrhO2aHlTz93H1acYQTbgXZWtvwskd9v3r9bT76RtRud7mRgBGKxmXzLxxh9UxQo&#10;RmkAF85LS5u9CwYiLcNQdAEmQje6qMvyYzG50PnghESkv9t5k18Qwy2Aru+VkFsnDkbaOKMGqSGS&#10;JByVR77JbPteivij71FGpltOSmN+UxGK9+ldbNbQDAH8qMSFAtxC4Y0mA8pS0SvUFiKwQ1B/QRkl&#10;gkPXx4VwppiFZEdIRVW+8eZxBC+zFrIa/dV0/H+w4vvxITDVtbzmzIKhhldlfZd8mTw2tP3oH8Jl&#10;hRQmkac+mPQl+uyUvTxfvZSnyAT9rKrVqlwtORO0d1ctSV0CLZ5P+4Dxq3SGpaDlgXqVLYTjN4xz&#10;6p+UVAydVt1OaZ0XYdh/1oEdgfq6y88F/VWatmxq+adlnXgADWtPQ0Kh8SQY7ZDrvTqBL4HL/PwL&#10;OBHbAo4zgYyQ0qAxKsqQo1FC98V2LJ49mWrpLvFExsiOMy3p6qUoZ0ZQ+pZM8k5bsjA1Zm5Fivau&#10;O1MLJ5ph0vTrAIEKHXxQw0iuVpl9yqMByvZfhj1N6Mt1xn2+4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mi3RNcAAAAIAQAADwAAAAAAAAABACAAAAAiAAAAZHJzL2Rvd25yZXYueG1sUEsBAhQA&#10;FAAAAAgAh07iQLcWT+jzAQAAKAQAAA4AAAAAAAAAAQAgAAAAJgEAAGRycy9lMm9Eb2MueG1sUEsF&#10;BgAAAAAGAAYAWQEAAIsFAAAAAA==&#10;">
                <v:fill on="t" focussize="0,0"/>
                <v:stroke color="#000000" joinstyle="miter"/>
                <v:imagedata o:title=""/>
                <o:lock v:ext="edit" aspectratio="f"/>
              </v:rect>
            </w:pict>
          </mc:Fallback>
        </mc:AlternateConten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附件5：</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中小企业声明函（货物）</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本公司（联合体）郑重声明，根据《政府采购促进中小企业发展管理办法》（财库﹝2020﹞46 号）的规定，本公司（联合体）参加</w:t>
      </w:r>
      <w:r>
        <w:rPr>
          <w:rFonts w:hint="eastAsia" w:ascii="仿宋_GB2312" w:hAnsi="仿宋_GB2312" w:eastAsia="仿宋_GB2312" w:cs="仿宋_GB2312"/>
          <w:color w:val="000000" w:themeColor="text1"/>
          <w:sz w:val="24"/>
          <w:highlight w:val="none"/>
          <w:u w:val="single"/>
          <w:lang w:eastAsia="zh-CN"/>
          <w14:textFill>
            <w14:solidFill>
              <w14:schemeClr w14:val="tx1"/>
            </w14:solidFill>
          </w14:textFill>
        </w:rPr>
        <w:t>舟山航海学校</w:t>
      </w:r>
      <w:r>
        <w:rPr>
          <w:rFonts w:hint="eastAsia" w:ascii="仿宋_GB2312" w:hAnsi="仿宋_GB2312" w:eastAsia="仿宋_GB2312" w:cs="仿宋_GB2312"/>
          <w:color w:val="000000" w:themeColor="text1"/>
          <w:sz w:val="24"/>
          <w:szCs w:val="24"/>
          <w:highlight w:val="none"/>
          <w14:textFill>
            <w14:solidFill>
              <w14:schemeClr w14:val="tx1"/>
            </w14:solidFill>
          </w14:textFill>
        </w:rPr>
        <w:t>的</w:t>
      </w:r>
      <w:r>
        <w:rPr>
          <w:rFonts w:hint="eastAsia" w:ascii="仿宋_GB2312" w:hAnsi="仿宋_GB2312" w:eastAsia="仿宋_GB2312" w:cs="仿宋_GB2312"/>
          <w:bCs/>
          <w:color w:val="000000" w:themeColor="text1"/>
          <w:sz w:val="24"/>
          <w:szCs w:val="24"/>
          <w:highlight w:val="none"/>
          <w:u w:val="single"/>
          <w:lang w:eastAsia="zh-CN"/>
          <w14:textFill>
            <w14:solidFill>
              <w14:schemeClr w14:val="tx1"/>
            </w14:solidFill>
          </w14:textFill>
        </w:rPr>
        <w:t>舟山高新区职业学校新建项目（舟山航海学校迁建）触控一体机、机房设备采购（重新采购）</w:t>
      </w:r>
      <w:r>
        <w:rPr>
          <w:rFonts w:hint="eastAsia" w:ascii="仿宋_GB2312" w:hAnsi="仿宋_GB2312" w:eastAsia="仿宋_GB2312" w:cs="仿宋_GB2312"/>
          <w:color w:val="000000" w:themeColor="text1"/>
          <w:sz w:val="24"/>
          <w:szCs w:val="24"/>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标的名称</w:t>
            </w:r>
          </w:p>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c>
          <w:tcPr>
            <w:tcW w:w="1242"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采购文件中明确的所属行业</w:t>
            </w:r>
          </w:p>
        </w:tc>
        <w:tc>
          <w:tcPr>
            <w:tcW w:w="1266"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制造商</w:t>
            </w:r>
          </w:p>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（企业名称）</w:t>
            </w:r>
          </w:p>
        </w:tc>
        <w:tc>
          <w:tcPr>
            <w:tcW w:w="936"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从业人员（人）</w:t>
            </w:r>
          </w:p>
        </w:tc>
        <w:tc>
          <w:tcPr>
            <w:tcW w:w="1239"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营业收入（万元）</w:t>
            </w:r>
          </w:p>
        </w:tc>
        <w:tc>
          <w:tcPr>
            <w:tcW w:w="1134"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资产总额（万元）</w:t>
            </w:r>
          </w:p>
        </w:tc>
        <w:tc>
          <w:tcPr>
            <w:tcW w:w="1824"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属于</w:t>
            </w:r>
          </w:p>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（中型企业、小型企业、微型企业）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noWrap w:val="0"/>
            <w:vAlign w:val="center"/>
          </w:tcPr>
          <w:p>
            <w:pPr>
              <w:spacing w:line="440" w:lineRule="exact"/>
              <w:rPr>
                <w:rFonts w:hint="eastAsia" w:ascii="仿宋_GB2312" w:hAnsi="仿宋_GB2312" w:eastAsia="仿宋_GB2312" w:cs="仿宋_GB2312"/>
                <w:color w:val="000000" w:themeColor="text1"/>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2" w:type="dxa"/>
            <w:noWrap w:val="0"/>
            <w:vAlign w:val="center"/>
          </w:tcPr>
          <w:p>
            <w:pPr>
              <w:pStyle w:val="35"/>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bl>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本企业对上述声明内容的真实性负责。如有虚假，将依法承担相应责任。</w:t>
      </w:r>
    </w:p>
    <w:p>
      <w:pPr>
        <w:spacing w:line="500" w:lineRule="exact"/>
        <w:ind w:firstLine="4680" w:firstLineChars="19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00" w:lineRule="exact"/>
        <w:ind w:firstLine="5520" w:firstLineChars="23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46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spacing w:line="360" w:lineRule="auto"/>
        <w:ind w:right="42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autoSpaceDE w:val="0"/>
        <w:autoSpaceDN w:val="0"/>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t>附件6：</w:t>
      </w:r>
    </w:p>
    <w:p>
      <w:pPr>
        <w:autoSpaceDE w:val="0"/>
        <w:autoSpaceDN w:val="0"/>
        <w:jc w:val="cente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联合协议</w:t>
      </w:r>
    </w:p>
    <w:p>
      <w:pPr>
        <w:widowControl/>
        <w:spacing w:line="360" w:lineRule="auto"/>
        <w:ind w:firstLine="482" w:firstLineChars="200"/>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（以联合体形式投标的，提供联合协议；本项目不接受联合体投标或者投标人不以联合体形式投标的，则不需要提供）</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（联合体所有成员名称）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自愿</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组成一个联合体，以一个投标人的身份</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参加</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【招标编号：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（采购编号）</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投标。</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一、各方一致决定，</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（某联合体成员名称）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为联合体</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牵头人</w:t>
      </w:r>
      <w:r>
        <w:rPr>
          <w:rFonts w:hint="eastAsia" w:ascii="仿宋_GB2312" w:hAnsi="仿宋_GB2312" w:eastAsia="仿宋_GB2312" w:cs="仿宋_GB2312"/>
          <w:color w:val="000000" w:themeColor="text1"/>
          <w:sz w:val="24"/>
          <w:szCs w:val="24"/>
          <w:highlight w:val="none"/>
          <w14:textFill>
            <w14:solidFill>
              <w14:schemeClr w14:val="tx1"/>
            </w14:solidFill>
          </w14:textFill>
        </w:rPr>
        <w:t>，代表所有联合体成员负责投标和合同实施阶段的主办、协调工作</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二、</w:t>
      </w:r>
      <w:r>
        <w:rPr>
          <w:rFonts w:hint="eastAsia" w:ascii="仿宋_GB2312" w:hAnsi="仿宋_GB2312" w:eastAsia="仿宋_GB2312" w:cs="仿宋_GB2312"/>
          <w:color w:val="000000" w:themeColor="text1"/>
          <w:sz w:val="24"/>
          <w:szCs w:val="24"/>
          <w:highlight w:val="none"/>
          <w14:textFill>
            <w14:solidFill>
              <w14:schemeClr w14:val="tx1"/>
            </w14:solidFill>
          </w14:textFill>
        </w:rPr>
        <w:t>所有联合体成员各方签署授权书，授权书载明的</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三、本次联合投标中，分工如下：</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（联合体成员1）</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承担的工作和义务为：；</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（联合体成员2）</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承担的工作和义务为：；</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四、联合体成员中小企业合同份额。</w:t>
      </w:r>
    </w:p>
    <w:p>
      <w:pPr>
        <w:snapToGrid w:val="0"/>
        <w:spacing w:line="360" w:lineRule="auto"/>
        <w:ind w:firstLine="576"/>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w:t>
      </w:r>
      <w:bookmarkStart w:id="505" w:name="_Hlk101131882"/>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联合体成员X,……</w:t>
      </w:r>
      <w:bookmarkEnd w:id="505"/>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提供的服务由小微企业承接，其合同份额占到合同总金额%以上</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t>（</w:t>
      </w:r>
      <w:bookmarkStart w:id="506" w:name="_Hlk101133598"/>
      <w:r>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000000" w:themeColor="text1"/>
          <w:sz w:val="24"/>
          <w:szCs w:val="24"/>
          <w:highlight w:val="none"/>
          <w14:textFill>
            <w14:solidFill>
              <w14:schemeClr w14:val="tx1"/>
            </w14:solidFill>
          </w14:textFill>
        </w:rPr>
        <w:t>拟享受以上价格扣除政策的，填写有关内容。</w:t>
      </w:r>
      <w:bookmarkEnd w:id="506"/>
      <w:r>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t>）</w:t>
      </w:r>
    </w:p>
    <w:p>
      <w:pPr>
        <w:spacing w:line="360" w:lineRule="auto"/>
        <w:ind w:firstLine="480" w:firstLineChars="200"/>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bookmarkStart w:id="507" w:name="_Hlk101133173"/>
      <w:r>
        <w:rPr>
          <w:rFonts w:hint="eastAsia" w:ascii="仿宋_GB2312" w:hAnsi="仿宋_GB2312" w:eastAsia="仿宋_GB2312" w:cs="仿宋_GB2312"/>
          <w:color w:val="000000" w:themeColor="text1"/>
          <w:sz w:val="24"/>
          <w:szCs w:val="24"/>
          <w:highlight w:val="none"/>
          <w14:textFill>
            <w14:solidFill>
              <w14:schemeClr w14:val="tx1"/>
            </w14:solidFill>
          </w14:textFill>
        </w:rPr>
        <w:t>中小企业合同金额达到%，小微企业合同金额达到%</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t>）</w:t>
      </w:r>
      <w:bookmarkEnd w:id="507"/>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五、如果中标，</w:t>
      </w: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联合体各成员方共同与采购人签订合同，并就采购合同约定的事项对采购人承担连带责任。</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六、有关本次联合投标的其他事宜：</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1、联合体各方不再单独参加或者与其他供应商另外组成联合体参加同一合同项下的政府采购活动。</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2、联合体中有同类资质的各方按照联合体分工承担相同工作的，按照资质等级较低的供应商确定资质等级。</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3、本协议提交采购人、采购代理机构后，联合体各方不得以任何形式对上述内容进行修改或撤销。</w:t>
      </w:r>
    </w:p>
    <w:p>
      <w:pPr>
        <w:snapToGrid w:val="0"/>
        <w:spacing w:line="360" w:lineRule="auto"/>
        <w:ind w:firstLine="5040" w:firstLineChars="2100"/>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联合体成员名称(电子签名/公章)：</w:t>
      </w:r>
    </w:p>
    <w:p>
      <w:pPr>
        <w:snapToGrid w:val="0"/>
        <w:spacing w:line="360" w:lineRule="auto"/>
        <w:ind w:firstLine="5040" w:firstLineChars="2100"/>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联合体成员名称(电子签名/公章)：</w:t>
      </w:r>
    </w:p>
    <w:p>
      <w:pPr>
        <w:snapToGrid w:val="0"/>
        <w:spacing w:line="360" w:lineRule="auto"/>
        <w:ind w:right="960"/>
        <w:jc w:val="cente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jc w:val="right"/>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日期：年月日</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t>附件7：</w:t>
      </w:r>
    </w:p>
    <w:p>
      <w:pPr>
        <w:snapToGrid w:val="0"/>
        <w:spacing w:line="360" w:lineRule="auto"/>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分包意向协议</w:t>
      </w:r>
    </w:p>
    <w:p>
      <w:pPr>
        <w:widowControl/>
        <w:spacing w:line="360" w:lineRule="auto"/>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b/>
          <w:color w:val="000000" w:themeColor="text1"/>
          <w:sz w:val="24"/>
          <w:szCs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（投标人名称）</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若成为</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【招标编号：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（采购编号）</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的中标供应商，将依法采取分包方式履行合同。</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（投标人名称）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与</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（所有分包供应商名称）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达成分包意向协议</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一、分包标的及数量</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（投标人名称）将工作分包如下：（注：投标人只能将招标文件第二部分中“前附表”的“分包”规定的</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采购内容</w:t>
      </w:r>
      <w:r>
        <w:rPr>
          <w:rFonts w:hint="eastAsia" w:ascii="仿宋_GB2312" w:hAnsi="仿宋_GB2312" w:eastAsia="仿宋_GB2312" w:cs="仿宋_GB2312"/>
          <w:color w:val="000000" w:themeColor="text1"/>
          <w:sz w:val="24"/>
          <w:szCs w:val="24"/>
          <w:highlight w:val="none"/>
          <w14:textFill>
            <w14:solidFill>
              <w14:schemeClr w14:val="tx1"/>
            </w14:solidFill>
          </w14:textFill>
        </w:rPr>
        <w:t>进行分包）</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将   XX工作内容   分包给（分包供应商1名称）；</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将   XX工作内容   分包给（分包供应商2名称）；</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以上分包供应商具备所承担分包工作内容相应的资质条件且不得再次分包。</w:t>
      </w:r>
    </w:p>
    <w:p>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二、分包供应商中小企业合同份额</w:t>
      </w:r>
    </w:p>
    <w:p>
      <w:pPr>
        <w:snapToGrid w:val="0"/>
        <w:spacing w:line="360" w:lineRule="auto"/>
        <w:ind w:firstLine="576"/>
        <w:rPr>
          <w:rFonts w:hint="eastAsia" w:ascii="仿宋_GB2312" w:hAnsi="仿宋_GB2312" w:eastAsia="仿宋_GB2312" w:cs="仿宋_GB2312"/>
          <w:highlight w:val="none"/>
          <w:lang w:val="zh-CN"/>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中小企业合同金额达到</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%，小微企业合同金额达到</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t>（要求合同分包形式参加的项目或采购包，供应商按招标文件第一部分招标公告申请人的资格要求中规定的分包意向协议中中小企业、小微企业合同金额应当达到的比例要求填写。）</w:t>
      </w:r>
    </w:p>
    <w:p>
      <w:pPr>
        <w:snapToGrid w:val="0"/>
        <w:spacing w:line="360" w:lineRule="auto"/>
        <w:ind w:firstLine="576"/>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三、分包工作履行期限、地点、方式</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四、质量</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五、价款或者报酬</w:t>
      </w:r>
    </w:p>
    <w:p>
      <w:pPr>
        <w:snapToGrid w:val="0"/>
        <w:spacing w:line="360" w:lineRule="auto"/>
        <w:ind w:left="573" w:leftChars="273"/>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六、违约责任</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七、争议解决的办法</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八、其他</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p>
    <w:p>
      <w:pPr>
        <w:snapToGrid w:val="0"/>
        <w:spacing w:line="360" w:lineRule="auto"/>
        <w:ind w:left="5746" w:leftChars="2622" w:hanging="240" w:hangingChars="100"/>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投标人名称(电子签名)：</w:t>
      </w:r>
    </w:p>
    <w:p>
      <w:pPr>
        <w:snapToGrid w:val="0"/>
        <w:spacing w:line="360" w:lineRule="auto"/>
        <w:jc w:val="right"/>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分包供应商名称(电子签名/公章)：</w:t>
      </w:r>
    </w:p>
    <w:p>
      <w:pPr>
        <w:snapToGrid w:val="0"/>
        <w:spacing w:line="360" w:lineRule="auto"/>
        <w:ind w:firstLine="5760" w:firstLineChars="24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ind w:left="5758" w:leftChars="342" w:hanging="5040" w:hangingChars="2100"/>
        <w:jc w:val="right"/>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日期：年月日</w:t>
      </w:r>
    </w:p>
    <w:p>
      <w:pPr>
        <w:pStyle w:val="26"/>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pacing w:val="6"/>
          <w:sz w:val="28"/>
          <w:szCs w:val="28"/>
          <w:highlight w:val="none"/>
          <w:lang w:val="en-US"/>
          <w14:textFill>
            <w14:solidFill>
              <w14:schemeClr w14:val="tx1"/>
            </w14:solidFill>
          </w14:textFill>
        </w:rPr>
      </w:pPr>
      <w:r>
        <w:rPr>
          <w:rFonts w:hint="eastAsia" w:ascii="仿宋_GB2312" w:hAnsi="仿宋_GB2312" w:eastAsia="仿宋_GB2312" w:cs="仿宋_GB2312"/>
          <w:color w:val="000000" w:themeColor="text1"/>
          <w:spacing w:val="6"/>
          <w:sz w:val="28"/>
          <w:szCs w:val="28"/>
          <w:highlight w:val="none"/>
          <w:lang w:val="en-US" w:eastAsia="zh-CN"/>
          <w14:textFill>
            <w14:solidFill>
              <w14:schemeClr w14:val="tx1"/>
            </w14:solidFill>
          </w14:textFill>
        </w:rPr>
        <w:t xml:space="preserve">附件8 </w:t>
      </w:r>
    </w:p>
    <w:p>
      <w:pPr>
        <w:snapToGrid w:val="0"/>
        <w:spacing w:before="0" w:line="360" w:lineRule="auto"/>
        <w:ind w:left="0"/>
        <w:jc w:val="center"/>
        <w:outlineLvl w:val="9"/>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b/>
          <w:color w:val="auto"/>
          <w:spacing w:val="0"/>
          <w:sz w:val="32"/>
          <w:szCs w:val="32"/>
          <w:highlight w:val="none"/>
          <w:lang w:val="zh-CN"/>
        </w:rPr>
        <w:t>关于符合本国产品标准的声明函</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本公司（单位）郑重声明，根据《国务院办公厅关于在政府采购中实施本国产品标准及相关政策的通知》（国办发〔2025〕34号）的规定，本公司（单位）提供的以下产品属于本国产品。具体情况如下：</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名称1）1，生产厂为（厂名）2，厂址为（生产厂址）。（产品名称1）的中国境内生产的组件成本占比≥（规定比例）3。（产品名称1）的（关键组件）4在中国境内生产。（产品名称1）的（关键工序）5在中国境内完成。</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2.（产品名称2），生产厂为（厂名），厂址为（生产厂址）。（产品名称2）</w:t>
      </w:r>
      <w:r>
        <w:rPr>
          <w:rFonts w:hint="eastAsia" w:ascii="仿宋_GB2312" w:hAnsi="仿宋_GB2312" w:eastAsia="仿宋_GB2312" w:cs="仿宋_GB2312"/>
          <w:color w:val="auto"/>
          <w:kern w:val="0"/>
          <w:sz w:val="24"/>
          <w:szCs w:val="24"/>
          <w:highlight w:val="none"/>
          <w:u w:val="single"/>
          <w:lang w:val="zh-CN"/>
        </w:rPr>
        <w:tab/>
      </w:r>
      <w:r>
        <w:rPr>
          <w:rFonts w:hint="eastAsia" w:ascii="仿宋_GB2312" w:hAnsi="仿宋_GB2312" w:eastAsia="仿宋_GB2312" w:cs="仿宋_GB2312"/>
          <w:color w:val="auto"/>
          <w:kern w:val="0"/>
          <w:sz w:val="24"/>
          <w:szCs w:val="24"/>
          <w:highlight w:val="none"/>
          <w:u w:val="single"/>
          <w:lang w:val="zh-CN"/>
        </w:rPr>
        <w:t xml:space="preserve"> 的中国境内生产的组件成本占比≥（规定比例）。（产品名称2）的（关键组件）在中国境内生产。（产品名称2）的（关键工序）在中国境内完成。</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w:t>
      </w:r>
    </w:p>
    <w:p>
      <w:pPr>
        <w:snapToGrid w:val="0"/>
        <w:spacing w:line="360" w:lineRule="auto"/>
        <w:ind w:firstLine="576"/>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u w:val="none"/>
          <w:lang w:val="zh-CN"/>
        </w:rPr>
        <w:t>二、多个产品的承诺(如有):</w:t>
      </w:r>
    </w:p>
    <w:p>
      <w:pPr>
        <w:keepNext w:val="0"/>
        <w:keepLines w:val="0"/>
        <w:pageBreakBefore w:val="0"/>
        <w:widowControl/>
        <w:kinsoku/>
        <w:wordWrap/>
        <w:overflowPunct/>
        <w:topLinePunct w:val="0"/>
        <w:autoSpaceDE/>
        <w:autoSpaceDN/>
        <w:bidi w:val="0"/>
        <w:adjustRightInd w:val="0"/>
        <w:snapToGrid/>
        <w:spacing w:before="30" w:after="30" w:line="450" w:lineRule="atLeast"/>
        <w:ind w:firstLine="480" w:firstLineChars="200"/>
        <w:jc w:val="left"/>
        <w:textAlignment w:val="auto"/>
        <w:rPr>
          <w:rFonts w:ascii="宋体" w:hAnsi="宋体" w:cs="仿宋"/>
          <w:i w:val="0"/>
          <w:iCs w:val="0"/>
          <w:color w:val="auto"/>
          <w:sz w:val="24"/>
          <w:szCs w:val="24"/>
          <w:highlight w:val="none"/>
        </w:rPr>
      </w:pPr>
      <w:r>
        <w:rPr>
          <w:rFonts w:ascii="宋体" w:hAnsi="宋体" w:cs="仿宋"/>
          <w:i w:val="0"/>
          <w:iCs w:val="0"/>
          <w:color w:val="auto"/>
          <w:sz w:val="24"/>
          <w:szCs w:val="24"/>
          <w:highlight w:val="none"/>
        </w:rPr>
        <w:sym w:font="Wingdings 2" w:char="F0A3"/>
      </w:r>
      <w:r>
        <w:rPr>
          <w:rFonts w:hint="eastAsia" w:ascii="仿宋_GB2312" w:hAnsi="仿宋_GB2312" w:eastAsia="仿宋_GB2312" w:cs="仿宋_GB2312"/>
          <w:color w:val="auto"/>
          <w:kern w:val="0"/>
          <w:sz w:val="24"/>
          <w:szCs w:val="24"/>
          <w:highlight w:val="none"/>
          <w:u w:val="none"/>
          <w:lang w:val="zh-CN"/>
        </w:rPr>
        <w:t>上述提供的符合本国产品标准的所有产品的成本之和，占本次投标全部产品（含本声明所列产品及其他配套产品）成本总和的比例达到80%。</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本公司（单位）对上述声明内容的真实性负责。如有虚假，愿承担相应法律责任。</w:t>
      </w:r>
    </w:p>
    <w:p>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p>
    <w:p>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u w:val="single"/>
          <w:lang w:val="zh-CN"/>
        </w:rPr>
        <w:t>公司（单位）名称（盖章）：</w:t>
      </w:r>
    </w:p>
    <w:p>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drawing>
          <wp:anchor distT="0" distB="0" distL="114300" distR="11430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9" name="IM 10"/>
            <wp:cNvGraphicFramePr/>
            <a:graphic xmlns:a="http://schemas.openxmlformats.org/drawingml/2006/main">
              <a:graphicData uri="http://schemas.openxmlformats.org/drawingml/2006/picture">
                <pic:pic xmlns:pic="http://schemas.openxmlformats.org/drawingml/2006/picture">
                  <pic:nvPicPr>
                    <pic:cNvPr id="19" name="IM 10"/>
                    <pic:cNvPicPr/>
                  </pic:nvPicPr>
                  <pic:blipFill>
                    <a:blip r:embed="rId26"/>
                    <a:stretch>
                      <a:fillRect/>
                    </a:stretch>
                  </pic:blipFill>
                  <pic:spPr>
                    <a:xfrm>
                      <a:off x="0" y="0"/>
                      <a:ext cx="1066165" cy="6350"/>
                    </a:xfrm>
                    <a:prstGeom prst="rect">
                      <a:avLst/>
                    </a:prstGeom>
                    <a:noFill/>
                    <a:ln>
                      <a:noFill/>
                    </a:ln>
                  </pic:spPr>
                </pic:pic>
              </a:graphicData>
            </a:graphic>
          </wp:anchor>
        </w:drawing>
      </w:r>
      <w:r>
        <w:rPr>
          <w:rFonts w:hint="eastAsia" w:ascii="仿宋_GB2312" w:hAnsi="仿宋_GB2312" w:eastAsia="仿宋_GB2312" w:cs="仿宋_GB2312"/>
          <w:color w:val="auto"/>
          <w:kern w:val="0"/>
          <w:sz w:val="24"/>
          <w:szCs w:val="24"/>
          <w:highlight w:val="none"/>
          <w:u w:val="single"/>
          <w:lang w:val="zh-CN"/>
        </w:rPr>
        <w:t>日期：       年    月     日</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1.产品如有型号，请在“产品名称”栏一并填写。</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2.生产厂名与厂址应与生产厂营业执照载明的相关信息保持一致。</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3.该产品的中国境内生产的组件成本占比相关要求实施前，“规定比例”栏可不填，下同。</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4.该产品的关键组件要求实施前，“关键组件”栏可不填，下同。</w:t>
      </w:r>
    </w:p>
    <w:p>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5.该产品的关键工序要求实施前，“关键工序”栏可不填，下同</w:t>
      </w:r>
      <w:r>
        <w:rPr>
          <w:rFonts w:hint="eastAsia" w:ascii="仿宋_GB2312" w:hAnsi="仿宋_GB2312" w:eastAsia="仿宋_GB2312" w:cs="仿宋_GB2312"/>
          <w:color w:val="auto"/>
          <w:kern w:val="0"/>
          <w:sz w:val="24"/>
          <w:szCs w:val="24"/>
          <w:highlight w:val="none"/>
          <w:u w:val="single"/>
          <w:lang w:val="zh-CN" w:eastAsia="zh-CN"/>
        </w:rPr>
        <w:t>。</w:t>
      </w:r>
    </w:p>
    <w:p>
      <w:pPr>
        <w:snapToGrid w:val="0"/>
        <w:spacing w:line="360" w:lineRule="auto"/>
        <w:ind w:firstLine="576"/>
        <w:rPr>
          <w:rFonts w:hint="eastAsia" w:ascii="仿宋_GB2312" w:hAnsi="仿宋_GB2312" w:eastAsia="仿宋_GB2312" w:cs="仿宋_GB2312"/>
          <w:b/>
          <w:bCs/>
          <w:color w:val="auto"/>
          <w:kern w:val="0"/>
          <w:sz w:val="24"/>
          <w:szCs w:val="24"/>
          <w:highlight w:val="none"/>
          <w:u w:val="single"/>
          <w:lang w:val="en-US" w:eastAsia="zh-CN"/>
        </w:rPr>
      </w:pPr>
      <w:r>
        <w:rPr>
          <w:rFonts w:hint="eastAsia" w:ascii="仿宋_GB2312" w:hAnsi="仿宋_GB2312" w:eastAsia="仿宋_GB2312" w:cs="仿宋_GB2312"/>
          <w:b/>
          <w:bCs/>
          <w:color w:val="auto"/>
          <w:kern w:val="0"/>
          <w:sz w:val="24"/>
          <w:szCs w:val="24"/>
          <w:highlight w:val="none"/>
          <w:u w:val="single"/>
          <w:lang w:val="en-US" w:eastAsia="zh-CN"/>
        </w:rPr>
        <w:t>6.涉及多个产品的承诺，请予第二项处打勾，否则不予承认。</w:t>
      </w:r>
    </w:p>
    <w:p>
      <w:pPr>
        <w:pStyle w:val="3"/>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政采贷</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下表：</w:t>
      </w:r>
    </w:p>
    <w:tbl>
      <w:tblPr>
        <w:tblStyle w:val="27"/>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3975"/>
        <w:gridCol w:w="2220"/>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63" w:type="dxa"/>
            <w:gridSpan w:val="4"/>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舟山市政府采购信用融资合作银行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6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银行名称</w:t>
            </w:r>
          </w:p>
        </w:tc>
        <w:tc>
          <w:tcPr>
            <w:tcW w:w="3975"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各银行介绍的产品特点</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经办人</w:t>
            </w:r>
          </w:p>
        </w:tc>
        <w:tc>
          <w:tcPr>
            <w:tcW w:w="1908"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中国工商银行股份有限公司舟山分行</w:t>
            </w:r>
          </w:p>
        </w:tc>
        <w:tc>
          <w:tcPr>
            <w:tcW w:w="3975" w:type="dxa"/>
            <w:noWrap w:val="0"/>
            <w:vAlign w:val="top"/>
          </w:tcPr>
          <w:p>
            <w:pPr>
              <w:numPr>
                <w:ilvl w:val="0"/>
                <w:numId w:val="7"/>
              </w:num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融资额度高，融资金额最高可至订单金额70%，线上申请，随借随还。2.融资利率低，最低可至当期LPR利率。</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3.担保方式灵活，以政府采购合同进行融资，无需另外抵押。</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柳超颖</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0580-2166242, 15858076468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中国建设银行股份有限公司舟山分行</w:t>
            </w:r>
          </w:p>
        </w:tc>
        <w:tc>
          <w:tcPr>
            <w:tcW w:w="3975" w:type="dxa"/>
            <w:noWrap w:val="0"/>
            <w:vAlign w:val="top"/>
          </w:tcPr>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快速便捷：全流程线上操作，通过浙江省政府采购网数据审核信用额度，建行供应链平台快速放款。</w:t>
            </w:r>
          </w:p>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申请额度高：单笔融资额度最高可达政府采购合同金额的90%，单户额度最高可达3000万。</w:t>
            </w:r>
          </w:p>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无需额外抵押：以浙江省政府采购网备案公示的政府采购合同进行融资，无需额外抵押担保。</w:t>
            </w:r>
          </w:p>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利率优惠：给予流动资金贷款最优惠利率。</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普陀片区：蔡妮妮</w:t>
            </w:r>
          </w:p>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定海片区：杨莹</w:t>
            </w:r>
          </w:p>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自贸区片区：方晓</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普陀片区：13957201791</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定海片区：13655803997</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自贸区片区：13587086324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杭州银行股份有限公司舟山市分行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云采贷”是杭州银行为政府采购供应商提供的纯信用贷款产品。客户申请、签约、放款全流程线上化，平台注册入库并取得采购合同即可申请，融资比例最高达采购订单的80%，单户、单笔最高可达3000万，最长期限一年。</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方经理</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0580-2185201，18205800451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招商银行股份有限公司浙江自贸试验区舟山分行</w:t>
            </w:r>
          </w:p>
        </w:tc>
        <w:tc>
          <w:tcPr>
            <w:tcW w:w="3975" w:type="dxa"/>
            <w:noWrap w:val="0"/>
            <w:vAlign w:val="top"/>
          </w:tcPr>
          <w:p>
            <w:pPr>
              <w:spacing w:line="400" w:lineRule="exact"/>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小企业政采贷是招商银行为政府采购成交供应商提供的用于履行政府采购合同的专属融资产品。优势：一、额度高。根据企业上一年或近一年获得政府采购成交及成交通知的一定比例给予额度，最高可达3000万元，单笔提款金额最高至合同金额的90%。二、操作简便、模式丰富。客户通过我行一网通等渠道在线申请。支持线上用款，按日计息，随借随还，利率最低至当期LPR。三、担保方式灵活。实际控制人夫妇担保＋融资项下应收账款质押作为辅助，无需抵押，一次性签署合作协议。</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李玲</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0580-2061710，13957227971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温州银行股份有限公司舟山市分行</w:t>
            </w:r>
          </w:p>
        </w:tc>
        <w:tc>
          <w:tcPr>
            <w:tcW w:w="3975" w:type="dxa"/>
            <w:noWrap w:val="0"/>
            <w:vAlign w:val="top"/>
          </w:tcPr>
          <w:p>
            <w:pPr>
              <w:numPr>
                <w:ilvl w:val="0"/>
                <w:numId w:val="9"/>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单户授信敞口最高不超过1000万元，且最高额度核定一般不超过借款人（含实际控制人控制的其他经营实体）最近13个月合计有效中标合同金额的70%。</w:t>
            </w:r>
          </w:p>
          <w:p>
            <w:pPr>
              <w:numPr>
                <w:ilvl w:val="0"/>
                <w:numId w:val="9"/>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单笔借款额度最高不超过1000万元，单笔业务授信额度不超过“政采云平台”提供的中标通知书承载的中标金额或本次申请授信提供的采购合同金额的80%，且用信金额不超过采购合同未付金额的80%。</w:t>
            </w:r>
          </w:p>
          <w:p>
            <w:pPr>
              <w:numPr>
                <w:ilvl w:val="0"/>
                <w:numId w:val="9"/>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借款人中标采购人自行采购项目并向我行发起授信申请的，单笔业务授信敞口不超500万元，且不超过借款人中标通知书承载的中标金额或本次申请授信提供的采购合同的80%。</w:t>
            </w:r>
          </w:p>
          <w:p>
            <w:pPr>
              <w:numPr>
                <w:ilvl w:val="0"/>
                <w:numId w:val="9"/>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符合我行采购人资质的，且负债率不超75%，配合应收账款质押登记确认的，并可出具确认函，单笔借款额度可按不超过采购合同的90%办理。</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郑贤栋</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0580—8866086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交通银行股份有限公司舟山分行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交通银行政采贷，线上版本最长期限1年，融资金额一般不超过1000万；线下版本期限最长两年，额度最高2,000万，单笔提款金额最高至采购合同金额的70%。担保方式为信用（附加该笔业务项下未来应收账款质押、实际控制人及配偶个人保证），随借随还，利率最低至当期L</w:t>
            </w:r>
            <w:r>
              <w:rPr>
                <w:rFonts w:hint="eastAsia" w:ascii="仿宋_GB2312" w:hAnsi="仿宋_GB2312" w:eastAsia="仿宋_GB2312" w:cs="仿宋_GB2312"/>
                <w:color w:val="000000" w:themeColor="text1"/>
                <w:highlight w:val="none"/>
                <w14:textFill>
                  <w14:solidFill>
                    <w14:schemeClr w14:val="tx1"/>
                  </w14:solidFill>
                </w14:textFill>
              </w:rPr>
              <w:t>PR。</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赵争艳</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0580-2260728</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13758007280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中信银行股份有限公司舟山分行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信银行“政采e贷”产品特点：根据政府采购成交通知书或合同，以政府财政支付资金为主要还款来源，为成交小微企业提供流动资金贷款。产品实现预授信、贷款申请、应收账款质押、授信审批、自助提款等环节的线上化、自动化处理，操作便利，授信额度最高不超过1000万元，贷款期限最长1年，利率低。</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黄丽</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13905808032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泰隆银行舟山市分行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符合我行基本准入，期限对照订单最长不超过1年，额度最高1000万，担保方式享受信用贷款执行，可由成交企业或其实际控制人出面申请，利率最低可至当期LPR ，对于合同期限确实超过一年的，可享受无还本续贷至合同付款日。</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胡亢宇</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17605868703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中国农业银行股份有限公司舟山分行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政采贷”业务原则上不超过政府采购合同实有金额的80%，单户借款额度不超过500万元。借款到期日不晚于合同约定付款日后90天，原则上不超过1年，最长可放宽至2年。应收账款形成前，可采用信用方式用信并追加供应商法定代表人或实际控制人连带责任保证担保；应收账款形成后，信用方式用信需变更为应收账款质押担保。</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苏华瞻</w:t>
            </w:r>
          </w:p>
        </w:tc>
        <w:tc>
          <w:tcPr>
            <w:tcW w:w="1908"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13967228926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中国邮政储蓄银行股份有限公司舟山市分行</w:t>
            </w:r>
          </w:p>
        </w:tc>
        <w:tc>
          <w:tcPr>
            <w:tcW w:w="3975" w:type="dxa"/>
            <w:noWrap w:val="0"/>
            <w:vAlign w:val="top"/>
          </w:tcPr>
          <w:p>
            <w:pPr>
              <w:tabs>
                <w:tab w:val="left" w:pos="0"/>
              </w:tabs>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符合我行基本准入，授信额度使用期最高为2年，单户授信最高为500万，担保方式享受信用贷款执行，利率最低可至当期LPR ，有无还本续贷，12月份线上产品可以自主自贷。</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蒋志燕</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13732527321</w:t>
            </w:r>
          </w:p>
        </w:tc>
      </w:tr>
    </w:tbl>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 一般步骤</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（1）供应商先与银行对接，办理融资前期手续；</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（2）供应商成交后，凭成交通知书等材料，向相关合作银行发出融资申请；</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（3）银行、供应商线上办理审批、放贷事宜。</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 注意事项</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（1）成交供应商需确保政府采购合同的收款账户与融资银行开户账户一致。</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（2）用于政府采购信用融资的政府采购合同，应当包含如下条款：“第条：</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政府采购合同贷款本合同同时用于乙方向银行（金融机构）申请政府采购信用贷款。本合同一经签订，原则上不得更改乙方收款账户信息。确须更改的，乙方应取得原合同收款账户开户银行书面同意，否则修改后的合同不予备案，采购资金不予支付。”</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sectPr>
      <w:headerReference r:id="rId20" w:type="first"/>
      <w:footerReference r:id="rId23" w:type="first"/>
      <w:headerReference r:id="rId19" w:type="default"/>
      <w:footerReference r:id="rId21" w:type="default"/>
      <w:footerReference r:id="rId22"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decorative"/>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decorative"/>
    <w:pitch w:val="default"/>
    <w:sig w:usb0="00000000" w:usb1="00000000" w:usb2="00000000" w:usb3="00000000" w:csb0="00040000" w:csb1="00000000"/>
  </w:font>
  <w:font w:name="汉仪大黑简">
    <w:altName w:val="黑体"/>
    <w:panose1 w:val="02010600000101010101"/>
    <w:charset w:val="86"/>
    <w:family w:val="auto"/>
    <w:pitch w:val="default"/>
    <w:sig w:usb0="00000000" w:usb1="00000000" w:usb2="00000002"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22</w:t>
    </w:r>
    <w:r>
      <w:rPr>
        <w:lang w:val="zh-CN"/>
      </w:rPr>
      <w:fldChar w:fldCharType="end"/>
    </w:r>
  </w:p>
  <w:p>
    <w:pPr>
      <w:pStyle w:val="1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79</w:t>
    </w:r>
    <w:r>
      <w:rPr>
        <w:lang w:val="zh-CN"/>
      </w:rPr>
      <w:fldChar w:fldCharType="end"/>
    </w:r>
  </w:p>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97</w:t>
    </w:r>
    <w:r>
      <w:rPr>
        <w:lang w:val="zh-CN"/>
      </w:rPr>
      <w:fldChar w:fldCharType="end"/>
    </w:r>
  </w:p>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w:instrText>
    </w:r>
    <w:r>
      <w:fldChar w:fldCharType="end"/>
    </w:r>
  </w:p>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w:instrText>
    </w:r>
    <w: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6464886"/>
    </w:sdtPr>
    <w:sdtContent>
      <w:p>
        <w:pPr>
          <w:pStyle w:val="19"/>
          <w:jc w:val="center"/>
        </w:pPr>
        <w:r>
          <w:fldChar w:fldCharType="begin"/>
        </w:r>
        <w:r>
          <w:instrText xml:space="preserve"> PAGE   \* MERGEFORMAT </w:instrText>
        </w:r>
        <w:r>
          <w:fldChar w:fldCharType="separate"/>
        </w:r>
        <w:r>
          <w:rPr>
            <w:lang w:val="zh-CN"/>
          </w:rPr>
          <w:t>42</w:t>
        </w:r>
        <w:r>
          <w:rPr>
            <w:lang w:val="zh-CN"/>
          </w:rPr>
          <w:fldChar w:fldCharType="end"/>
        </w:r>
      </w:p>
    </w:sdtContent>
  </w:sdt>
  <w:p>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w:instrText>
    </w:r>
    <w:r>
      <w:fldChar w:fldCharType="end"/>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6464887"/>
    </w:sdtPr>
    <w:sdtContent>
      <w:p>
        <w:pPr>
          <w:pStyle w:val="19"/>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33</w:t>
    </w:r>
    <w:r>
      <w:rPr>
        <w:lang w:val="zh-CN"/>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23</w:t>
    </w:r>
    <w:r>
      <w:rPr>
        <w:lang w:val="zh-CN"/>
      </w:rPr>
      <w:fldChar w:fldCharType="end"/>
    </w: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81</w:t>
    </w:r>
    <w:r>
      <w:rPr>
        <w:lang w:val="zh-CN"/>
      </w:rP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w:t>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w:t>
    </w: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07366"/>
    <w:multiLevelType w:val="singleLevel"/>
    <w:tmpl w:val="9FF07366"/>
    <w:lvl w:ilvl="0" w:tentative="0">
      <w:start w:val="2"/>
      <w:numFmt w:val="decimal"/>
      <w:suff w:val="nothing"/>
      <w:lvlText w:val="%1）"/>
      <w:lvlJc w:val="left"/>
    </w:lvl>
  </w:abstractNum>
  <w:abstractNum w:abstractNumId="1">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multilevel"/>
    <w:tmpl w:val="00000002"/>
    <w:lvl w:ilvl="0" w:tentative="0">
      <w:start w:val="1"/>
      <w:numFmt w:val="chineseCountingThousand"/>
      <w:pStyle w:val="80"/>
      <w:suff w:val="space"/>
      <w:lvlText w:val="%1. "/>
      <w:lvlJc w:val="left"/>
      <w:pPr>
        <w:ind w:left="1179" w:hanging="907"/>
      </w:pPr>
    </w:lvl>
    <w:lvl w:ilvl="1" w:tentative="0">
      <w:start w:val="1"/>
      <w:numFmt w:val="decimal"/>
      <w:pStyle w:val="81"/>
      <w:isLgl/>
      <w:suff w:val="space"/>
      <w:lvlText w:val="%1.%2 "/>
      <w:lvlJc w:val="left"/>
      <w:pPr>
        <w:ind w:left="1362" w:hanging="794"/>
      </w:pPr>
    </w:lvl>
    <w:lvl w:ilvl="2" w:tentative="0">
      <w:start w:val="1"/>
      <w:numFmt w:val="decimal"/>
      <w:pStyle w:val="82"/>
      <w:isLgl/>
      <w:suff w:val="space"/>
      <w:lvlText w:val="%1.%2.%3 "/>
      <w:lvlJc w:val="left"/>
      <w:pPr>
        <w:ind w:left="907" w:hanging="907"/>
      </w:pPr>
    </w:lvl>
    <w:lvl w:ilvl="3" w:tentative="0">
      <w:start w:val="1"/>
      <w:numFmt w:val="decimal"/>
      <w:pStyle w:val="84"/>
      <w:isLgl/>
      <w:suff w:val="space"/>
      <w:lvlText w:val="%1.%2.%3.%4 "/>
      <w:lvlJc w:val="left"/>
      <w:pPr>
        <w:ind w:left="1021" w:hanging="1021"/>
      </w:pPr>
    </w:lvl>
    <w:lvl w:ilvl="4" w:tentative="0">
      <w:start w:val="1"/>
      <w:numFmt w:val="decimal"/>
      <w:pStyle w:val="85"/>
      <w:isLgl/>
      <w:suff w:val="space"/>
      <w:lvlText w:val="%1.%2.%3.%4.%5 "/>
      <w:lvlJc w:val="left"/>
      <w:pPr>
        <w:ind w:left="1134" w:hanging="1134"/>
      </w:pPr>
    </w:lvl>
    <w:lvl w:ilvl="5" w:tentative="0">
      <w:start w:val="1"/>
      <w:numFmt w:val="decimal"/>
      <w:pStyle w:val="86"/>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3">
    <w:nsid w:val="00000003"/>
    <w:multiLevelType w:val="multilevel"/>
    <w:tmpl w:val="00000003"/>
    <w:lvl w:ilvl="0" w:tentative="0">
      <w:start w:val="1"/>
      <w:numFmt w:val="decimal"/>
      <w:lvlText w:val="%1."/>
      <w:lvlJc w:val="left"/>
      <w:pPr>
        <w:tabs>
          <w:tab w:val="left" w:pos="312"/>
        </w:tabs>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4"/>
    <w:multiLevelType w:val="singleLevel"/>
    <w:tmpl w:val="00000004"/>
    <w:lvl w:ilvl="0" w:tentative="0">
      <w:start w:val="3"/>
      <w:numFmt w:val="decimal"/>
      <w:lvlText w:val="%1."/>
      <w:lvlJc w:val="left"/>
      <w:pPr>
        <w:tabs>
          <w:tab w:val="left" w:pos="312"/>
        </w:tabs>
      </w:pPr>
    </w:lvl>
  </w:abstractNum>
  <w:abstractNum w:abstractNumId="5">
    <w:nsid w:val="00000005"/>
    <w:multiLevelType w:val="singleLevel"/>
    <w:tmpl w:val="00000005"/>
    <w:lvl w:ilvl="0" w:tentative="0">
      <w:start w:val="1"/>
      <w:numFmt w:val="decimal"/>
      <w:lvlText w:val="%1."/>
      <w:lvlJc w:val="left"/>
      <w:pPr>
        <w:tabs>
          <w:tab w:val="left" w:pos="312"/>
        </w:tabs>
      </w:pPr>
    </w:lvl>
  </w:abstractNum>
  <w:abstractNum w:abstractNumId="6">
    <w:nsid w:val="3EBB3C91"/>
    <w:multiLevelType w:val="multilevel"/>
    <w:tmpl w:val="3EBB3C91"/>
    <w:lvl w:ilvl="0" w:tentative="0">
      <w:start w:val="1"/>
      <w:numFmt w:val="chineseCountingThousand"/>
      <w:pStyle w:val="98"/>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7">
    <w:nsid w:val="6A2552E0"/>
    <w:multiLevelType w:val="singleLevel"/>
    <w:tmpl w:val="6A2552E0"/>
    <w:lvl w:ilvl="0" w:tentative="0">
      <w:start w:val="2"/>
      <w:numFmt w:val="decimal"/>
      <w:lvlText w:val="%1."/>
      <w:lvlJc w:val="left"/>
      <w:pPr>
        <w:tabs>
          <w:tab w:val="left" w:pos="312"/>
        </w:tabs>
      </w:pPr>
    </w:lvl>
  </w:abstractNum>
  <w:abstractNum w:abstractNumId="8">
    <w:nsid w:val="7A9B6140"/>
    <w:multiLevelType w:val="singleLevel"/>
    <w:tmpl w:val="7A9B6140"/>
    <w:lvl w:ilvl="0" w:tentative="0">
      <w:start w:val="1"/>
      <w:numFmt w:val="decimal"/>
      <w:lvlText w:val="%1."/>
      <w:lvlJc w:val="left"/>
      <w:pPr>
        <w:tabs>
          <w:tab w:val="left" w:pos="312"/>
        </w:tabs>
      </w:pPr>
    </w:lvl>
  </w:abstractNum>
  <w:num w:numId="1">
    <w:abstractNumId w:val="2"/>
  </w:num>
  <w:num w:numId="2">
    <w:abstractNumId w:val="6"/>
  </w:num>
  <w:num w:numId="3">
    <w:abstractNumId w:val="4"/>
  </w:num>
  <w:num w:numId="4">
    <w:abstractNumId w:val="0"/>
  </w:num>
  <w:num w:numId="5">
    <w:abstractNumId w:val="7"/>
  </w:num>
  <w:num w:numId="6">
    <w:abstractNumId w:val="1"/>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A487C"/>
    <w:rsid w:val="002C42A0"/>
    <w:rsid w:val="002E0E31"/>
    <w:rsid w:val="002E0FD6"/>
    <w:rsid w:val="002E10C9"/>
    <w:rsid w:val="002E41D9"/>
    <w:rsid w:val="002F6E78"/>
    <w:rsid w:val="00301BF4"/>
    <w:rsid w:val="00302A55"/>
    <w:rsid w:val="00304000"/>
    <w:rsid w:val="00310F98"/>
    <w:rsid w:val="003124F0"/>
    <w:rsid w:val="003173B7"/>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F630B"/>
    <w:rsid w:val="007030CE"/>
    <w:rsid w:val="007056C9"/>
    <w:rsid w:val="00707E38"/>
    <w:rsid w:val="00715C45"/>
    <w:rsid w:val="007161F4"/>
    <w:rsid w:val="00722EC2"/>
    <w:rsid w:val="0073315C"/>
    <w:rsid w:val="007852C3"/>
    <w:rsid w:val="007966CF"/>
    <w:rsid w:val="007973D0"/>
    <w:rsid w:val="007A4AFA"/>
    <w:rsid w:val="007A4F6E"/>
    <w:rsid w:val="007B1A31"/>
    <w:rsid w:val="007B6A50"/>
    <w:rsid w:val="007C13AE"/>
    <w:rsid w:val="007C4FA7"/>
    <w:rsid w:val="007C74C2"/>
    <w:rsid w:val="007D5114"/>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C07B4"/>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C5F"/>
    <w:rsid w:val="00994412"/>
    <w:rsid w:val="009A5B24"/>
    <w:rsid w:val="009B2CAB"/>
    <w:rsid w:val="009B6498"/>
    <w:rsid w:val="009C0D0B"/>
    <w:rsid w:val="009C3C43"/>
    <w:rsid w:val="009C4153"/>
    <w:rsid w:val="009C64C8"/>
    <w:rsid w:val="009F67F9"/>
    <w:rsid w:val="00A20251"/>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96472"/>
    <w:rsid w:val="00B969B9"/>
    <w:rsid w:val="00BA6E13"/>
    <w:rsid w:val="00BD2BE4"/>
    <w:rsid w:val="00BD2DB4"/>
    <w:rsid w:val="00BD78E1"/>
    <w:rsid w:val="00BE03BF"/>
    <w:rsid w:val="00BE58FE"/>
    <w:rsid w:val="00BF0140"/>
    <w:rsid w:val="00BF648C"/>
    <w:rsid w:val="00C064EF"/>
    <w:rsid w:val="00C20DED"/>
    <w:rsid w:val="00C22071"/>
    <w:rsid w:val="00C30258"/>
    <w:rsid w:val="00C35BCE"/>
    <w:rsid w:val="00C517FD"/>
    <w:rsid w:val="00C6215C"/>
    <w:rsid w:val="00C635A7"/>
    <w:rsid w:val="00C87BD2"/>
    <w:rsid w:val="00CB3C62"/>
    <w:rsid w:val="00CD05FD"/>
    <w:rsid w:val="00CD3E81"/>
    <w:rsid w:val="00CD794E"/>
    <w:rsid w:val="00CF529E"/>
    <w:rsid w:val="00D011FF"/>
    <w:rsid w:val="00D17E4D"/>
    <w:rsid w:val="00D30FE6"/>
    <w:rsid w:val="00D40840"/>
    <w:rsid w:val="00D50677"/>
    <w:rsid w:val="00D54994"/>
    <w:rsid w:val="00D7477C"/>
    <w:rsid w:val="00D87E66"/>
    <w:rsid w:val="00DA53EC"/>
    <w:rsid w:val="00DB4E33"/>
    <w:rsid w:val="00DB7912"/>
    <w:rsid w:val="00DC1580"/>
    <w:rsid w:val="00E04B0A"/>
    <w:rsid w:val="00E05F6E"/>
    <w:rsid w:val="00E07C14"/>
    <w:rsid w:val="00E230F4"/>
    <w:rsid w:val="00E45D56"/>
    <w:rsid w:val="00E6462D"/>
    <w:rsid w:val="00E649F3"/>
    <w:rsid w:val="00E8444B"/>
    <w:rsid w:val="00E96894"/>
    <w:rsid w:val="00EA5F5D"/>
    <w:rsid w:val="00EB57C0"/>
    <w:rsid w:val="00EB6236"/>
    <w:rsid w:val="00EC170C"/>
    <w:rsid w:val="00EC3D63"/>
    <w:rsid w:val="00EE0949"/>
    <w:rsid w:val="00F038E5"/>
    <w:rsid w:val="00F04F38"/>
    <w:rsid w:val="00F411E9"/>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4F0942"/>
    <w:rsid w:val="01695C5A"/>
    <w:rsid w:val="02417606"/>
    <w:rsid w:val="024E4B4B"/>
    <w:rsid w:val="0264611C"/>
    <w:rsid w:val="029F53A6"/>
    <w:rsid w:val="02A15615"/>
    <w:rsid w:val="031605A5"/>
    <w:rsid w:val="032908F4"/>
    <w:rsid w:val="0346189F"/>
    <w:rsid w:val="03587630"/>
    <w:rsid w:val="036E32FA"/>
    <w:rsid w:val="04131BA8"/>
    <w:rsid w:val="049A7BD3"/>
    <w:rsid w:val="05695D98"/>
    <w:rsid w:val="062E4A77"/>
    <w:rsid w:val="0654330D"/>
    <w:rsid w:val="06640499"/>
    <w:rsid w:val="06AE6DD2"/>
    <w:rsid w:val="075C714F"/>
    <w:rsid w:val="07740BAF"/>
    <w:rsid w:val="07825F0E"/>
    <w:rsid w:val="07A330EF"/>
    <w:rsid w:val="07D95CB0"/>
    <w:rsid w:val="085B1D6F"/>
    <w:rsid w:val="08CC04B1"/>
    <w:rsid w:val="08DA6189"/>
    <w:rsid w:val="090A22D0"/>
    <w:rsid w:val="0ACD72E3"/>
    <w:rsid w:val="0ADE7138"/>
    <w:rsid w:val="0AE162B1"/>
    <w:rsid w:val="0B120B26"/>
    <w:rsid w:val="0B74712A"/>
    <w:rsid w:val="0B754EF6"/>
    <w:rsid w:val="0CB06C4E"/>
    <w:rsid w:val="0CB16402"/>
    <w:rsid w:val="0DBD4932"/>
    <w:rsid w:val="0DE22EE8"/>
    <w:rsid w:val="0DF2282E"/>
    <w:rsid w:val="0E20076C"/>
    <w:rsid w:val="0E2E3EEC"/>
    <w:rsid w:val="0E3E1F17"/>
    <w:rsid w:val="0E6179B4"/>
    <w:rsid w:val="0F101810"/>
    <w:rsid w:val="0F876CAA"/>
    <w:rsid w:val="0FC24482"/>
    <w:rsid w:val="1002331F"/>
    <w:rsid w:val="103B1E46"/>
    <w:rsid w:val="10817E99"/>
    <w:rsid w:val="1090605D"/>
    <w:rsid w:val="10D85E5D"/>
    <w:rsid w:val="10FF162B"/>
    <w:rsid w:val="115640DB"/>
    <w:rsid w:val="119B4F8B"/>
    <w:rsid w:val="11DA1F57"/>
    <w:rsid w:val="12FE5795"/>
    <w:rsid w:val="134A0B53"/>
    <w:rsid w:val="136D0AFA"/>
    <w:rsid w:val="13776361"/>
    <w:rsid w:val="14550616"/>
    <w:rsid w:val="14573510"/>
    <w:rsid w:val="14D520BF"/>
    <w:rsid w:val="153D68B5"/>
    <w:rsid w:val="15C96B44"/>
    <w:rsid w:val="15D7016F"/>
    <w:rsid w:val="16893F4C"/>
    <w:rsid w:val="16E830BB"/>
    <w:rsid w:val="16F1160C"/>
    <w:rsid w:val="170665BD"/>
    <w:rsid w:val="17384607"/>
    <w:rsid w:val="1778450C"/>
    <w:rsid w:val="17C00B7E"/>
    <w:rsid w:val="17D62AA1"/>
    <w:rsid w:val="18215DD1"/>
    <w:rsid w:val="1839615F"/>
    <w:rsid w:val="189D47B5"/>
    <w:rsid w:val="18A9070A"/>
    <w:rsid w:val="18C63235"/>
    <w:rsid w:val="190B0C48"/>
    <w:rsid w:val="192C2F88"/>
    <w:rsid w:val="193C265E"/>
    <w:rsid w:val="19745C69"/>
    <w:rsid w:val="19E41BC5"/>
    <w:rsid w:val="1A192F67"/>
    <w:rsid w:val="1A3D12D5"/>
    <w:rsid w:val="1A561332"/>
    <w:rsid w:val="1AE56EE5"/>
    <w:rsid w:val="1B0A18B9"/>
    <w:rsid w:val="1B0F4742"/>
    <w:rsid w:val="1B2508D5"/>
    <w:rsid w:val="1BAB6B0C"/>
    <w:rsid w:val="1BB6133F"/>
    <w:rsid w:val="1C98564D"/>
    <w:rsid w:val="1CC7132A"/>
    <w:rsid w:val="1D303373"/>
    <w:rsid w:val="1D3249F5"/>
    <w:rsid w:val="1DC2204A"/>
    <w:rsid w:val="1E1B36DB"/>
    <w:rsid w:val="1E2477C2"/>
    <w:rsid w:val="1E766B63"/>
    <w:rsid w:val="1E7F6837"/>
    <w:rsid w:val="1F3A65D6"/>
    <w:rsid w:val="1FA45B8F"/>
    <w:rsid w:val="1FF117D2"/>
    <w:rsid w:val="2043583E"/>
    <w:rsid w:val="20A66E00"/>
    <w:rsid w:val="20A93B08"/>
    <w:rsid w:val="20CF69FF"/>
    <w:rsid w:val="215575AF"/>
    <w:rsid w:val="21D0685C"/>
    <w:rsid w:val="21F4496F"/>
    <w:rsid w:val="21FE64EE"/>
    <w:rsid w:val="2206044A"/>
    <w:rsid w:val="222B66B5"/>
    <w:rsid w:val="223B2725"/>
    <w:rsid w:val="22587809"/>
    <w:rsid w:val="2277734E"/>
    <w:rsid w:val="228D5F39"/>
    <w:rsid w:val="22C759AB"/>
    <w:rsid w:val="22CC58EC"/>
    <w:rsid w:val="22ED4CA6"/>
    <w:rsid w:val="231837DC"/>
    <w:rsid w:val="236C2E3A"/>
    <w:rsid w:val="23B4085A"/>
    <w:rsid w:val="242A5F51"/>
    <w:rsid w:val="24D02351"/>
    <w:rsid w:val="2580476C"/>
    <w:rsid w:val="258C1663"/>
    <w:rsid w:val="25A61BFE"/>
    <w:rsid w:val="26197BED"/>
    <w:rsid w:val="263D67D5"/>
    <w:rsid w:val="26972C36"/>
    <w:rsid w:val="278506FB"/>
    <w:rsid w:val="27B9546F"/>
    <w:rsid w:val="27ED550F"/>
    <w:rsid w:val="27F51441"/>
    <w:rsid w:val="28153891"/>
    <w:rsid w:val="28DC5E47"/>
    <w:rsid w:val="290A28B2"/>
    <w:rsid w:val="29233D8C"/>
    <w:rsid w:val="29354CE1"/>
    <w:rsid w:val="2A324DD9"/>
    <w:rsid w:val="2AED63FF"/>
    <w:rsid w:val="2B2F6CA2"/>
    <w:rsid w:val="2B5B5D7C"/>
    <w:rsid w:val="2B6C1A1A"/>
    <w:rsid w:val="2BC37160"/>
    <w:rsid w:val="2C896895"/>
    <w:rsid w:val="2C8C26AF"/>
    <w:rsid w:val="2CC47634"/>
    <w:rsid w:val="2D4A7B39"/>
    <w:rsid w:val="2D8A43D9"/>
    <w:rsid w:val="2D935D5E"/>
    <w:rsid w:val="2DA46DB0"/>
    <w:rsid w:val="2E1B4B77"/>
    <w:rsid w:val="2F2D3959"/>
    <w:rsid w:val="2F3E011F"/>
    <w:rsid w:val="30041AF2"/>
    <w:rsid w:val="306C1C3E"/>
    <w:rsid w:val="30C43730"/>
    <w:rsid w:val="310F5891"/>
    <w:rsid w:val="313343F4"/>
    <w:rsid w:val="31441B75"/>
    <w:rsid w:val="317727D0"/>
    <w:rsid w:val="31817421"/>
    <w:rsid w:val="31D75850"/>
    <w:rsid w:val="32432DA9"/>
    <w:rsid w:val="32F02868"/>
    <w:rsid w:val="33003238"/>
    <w:rsid w:val="33370B5F"/>
    <w:rsid w:val="33705E1F"/>
    <w:rsid w:val="33A819B6"/>
    <w:rsid w:val="33B977C6"/>
    <w:rsid w:val="34781430"/>
    <w:rsid w:val="34D76FBE"/>
    <w:rsid w:val="34F8431E"/>
    <w:rsid w:val="3529097C"/>
    <w:rsid w:val="35426B9B"/>
    <w:rsid w:val="35477D7F"/>
    <w:rsid w:val="354F5B00"/>
    <w:rsid w:val="3575596F"/>
    <w:rsid w:val="35B069A7"/>
    <w:rsid w:val="35ED589A"/>
    <w:rsid w:val="35FFD3E8"/>
    <w:rsid w:val="369FF079"/>
    <w:rsid w:val="36AC013E"/>
    <w:rsid w:val="373F5BE4"/>
    <w:rsid w:val="374D654E"/>
    <w:rsid w:val="37C36E10"/>
    <w:rsid w:val="37E53299"/>
    <w:rsid w:val="381D59F7"/>
    <w:rsid w:val="383C2774"/>
    <w:rsid w:val="38792D0F"/>
    <w:rsid w:val="38F0675A"/>
    <w:rsid w:val="390A7E99"/>
    <w:rsid w:val="392A4AF1"/>
    <w:rsid w:val="39316051"/>
    <w:rsid w:val="397B655D"/>
    <w:rsid w:val="397D3044"/>
    <w:rsid w:val="3A0A0D7C"/>
    <w:rsid w:val="3A276198"/>
    <w:rsid w:val="3A8C79E3"/>
    <w:rsid w:val="3ADD03D1"/>
    <w:rsid w:val="3AFC4BC0"/>
    <w:rsid w:val="3B04079B"/>
    <w:rsid w:val="3B14DD25"/>
    <w:rsid w:val="3C0E4427"/>
    <w:rsid w:val="3C322BEA"/>
    <w:rsid w:val="3C922FF7"/>
    <w:rsid w:val="3C940DD1"/>
    <w:rsid w:val="3CE82ECA"/>
    <w:rsid w:val="3D017000"/>
    <w:rsid w:val="3D0D4F42"/>
    <w:rsid w:val="3D510A70"/>
    <w:rsid w:val="3D564C7B"/>
    <w:rsid w:val="3D567E34"/>
    <w:rsid w:val="3D7529B0"/>
    <w:rsid w:val="3DD015AE"/>
    <w:rsid w:val="3DD31B91"/>
    <w:rsid w:val="3E007984"/>
    <w:rsid w:val="3ED54C8A"/>
    <w:rsid w:val="3F762A0F"/>
    <w:rsid w:val="3FFFCB76"/>
    <w:rsid w:val="4012405C"/>
    <w:rsid w:val="409F5F96"/>
    <w:rsid w:val="410B7187"/>
    <w:rsid w:val="41175EEF"/>
    <w:rsid w:val="41391777"/>
    <w:rsid w:val="413C1F28"/>
    <w:rsid w:val="414560BF"/>
    <w:rsid w:val="41E15A93"/>
    <w:rsid w:val="430A16DB"/>
    <w:rsid w:val="43BD4BE6"/>
    <w:rsid w:val="43C51A5D"/>
    <w:rsid w:val="43D42754"/>
    <w:rsid w:val="443C6BC0"/>
    <w:rsid w:val="4490613A"/>
    <w:rsid w:val="44C02694"/>
    <w:rsid w:val="44D81DAB"/>
    <w:rsid w:val="45034D45"/>
    <w:rsid w:val="4550160D"/>
    <w:rsid w:val="458F2F5C"/>
    <w:rsid w:val="45A831F7"/>
    <w:rsid w:val="45C675F1"/>
    <w:rsid w:val="45EE43E6"/>
    <w:rsid w:val="460F3276"/>
    <w:rsid w:val="4646138E"/>
    <w:rsid w:val="467F3637"/>
    <w:rsid w:val="46C62F65"/>
    <w:rsid w:val="47B15601"/>
    <w:rsid w:val="47C95850"/>
    <w:rsid w:val="47FD7C5D"/>
    <w:rsid w:val="48170989"/>
    <w:rsid w:val="48235060"/>
    <w:rsid w:val="483F42E6"/>
    <w:rsid w:val="48534FEC"/>
    <w:rsid w:val="48577D5B"/>
    <w:rsid w:val="48922EE5"/>
    <w:rsid w:val="48B44D68"/>
    <w:rsid w:val="48B65D2E"/>
    <w:rsid w:val="4911760F"/>
    <w:rsid w:val="492D1D60"/>
    <w:rsid w:val="49872699"/>
    <w:rsid w:val="49AF444A"/>
    <w:rsid w:val="4A056E6A"/>
    <w:rsid w:val="4AC850E1"/>
    <w:rsid w:val="4B1B0B6E"/>
    <w:rsid w:val="4B942086"/>
    <w:rsid w:val="4BA44460"/>
    <w:rsid w:val="4BBA406B"/>
    <w:rsid w:val="4BCB7C3F"/>
    <w:rsid w:val="4C9C5D5E"/>
    <w:rsid w:val="4D3E5908"/>
    <w:rsid w:val="4DC87745"/>
    <w:rsid w:val="4E332E37"/>
    <w:rsid w:val="4E6A373F"/>
    <w:rsid w:val="4ECE0E1B"/>
    <w:rsid w:val="4F3B50DC"/>
    <w:rsid w:val="4FA80E84"/>
    <w:rsid w:val="4FF24DF2"/>
    <w:rsid w:val="502D3F42"/>
    <w:rsid w:val="50874A7C"/>
    <w:rsid w:val="508800CA"/>
    <w:rsid w:val="50B639AC"/>
    <w:rsid w:val="50F61095"/>
    <w:rsid w:val="51FE2459"/>
    <w:rsid w:val="52232583"/>
    <w:rsid w:val="523F1387"/>
    <w:rsid w:val="52636E23"/>
    <w:rsid w:val="52D774F2"/>
    <w:rsid w:val="535350EA"/>
    <w:rsid w:val="53B316E5"/>
    <w:rsid w:val="53E14128"/>
    <w:rsid w:val="54650160"/>
    <w:rsid w:val="548265AD"/>
    <w:rsid w:val="54D940C9"/>
    <w:rsid w:val="551C2433"/>
    <w:rsid w:val="55964B44"/>
    <w:rsid w:val="56073F6A"/>
    <w:rsid w:val="56693205"/>
    <w:rsid w:val="56D41610"/>
    <w:rsid w:val="56F9318A"/>
    <w:rsid w:val="57517B92"/>
    <w:rsid w:val="58562F86"/>
    <w:rsid w:val="5866597E"/>
    <w:rsid w:val="58E654C7"/>
    <w:rsid w:val="59DA5D72"/>
    <w:rsid w:val="5B647768"/>
    <w:rsid w:val="5B9E120E"/>
    <w:rsid w:val="5BA109BC"/>
    <w:rsid w:val="5BE7117C"/>
    <w:rsid w:val="5C000168"/>
    <w:rsid w:val="5C180C7F"/>
    <w:rsid w:val="5C2E2841"/>
    <w:rsid w:val="5C700ABB"/>
    <w:rsid w:val="5C8F4399"/>
    <w:rsid w:val="5CCA3EEF"/>
    <w:rsid w:val="5D32630C"/>
    <w:rsid w:val="5D5C2DED"/>
    <w:rsid w:val="5EB44D5F"/>
    <w:rsid w:val="5EEF35D7"/>
    <w:rsid w:val="5F0E6369"/>
    <w:rsid w:val="5F364262"/>
    <w:rsid w:val="5F9E50E6"/>
    <w:rsid w:val="5FB73A8B"/>
    <w:rsid w:val="5FBA587D"/>
    <w:rsid w:val="608C7E04"/>
    <w:rsid w:val="609E09A0"/>
    <w:rsid w:val="60D24480"/>
    <w:rsid w:val="60E76189"/>
    <w:rsid w:val="610F5818"/>
    <w:rsid w:val="61503E28"/>
    <w:rsid w:val="61992383"/>
    <w:rsid w:val="62363C23"/>
    <w:rsid w:val="62734E40"/>
    <w:rsid w:val="62A52B40"/>
    <w:rsid w:val="62B03DB0"/>
    <w:rsid w:val="62C03E1E"/>
    <w:rsid w:val="62D73E37"/>
    <w:rsid w:val="62F87114"/>
    <w:rsid w:val="633C786A"/>
    <w:rsid w:val="6359415A"/>
    <w:rsid w:val="63844E4C"/>
    <w:rsid w:val="643F5A4B"/>
    <w:rsid w:val="64406728"/>
    <w:rsid w:val="64461087"/>
    <w:rsid w:val="64D67364"/>
    <w:rsid w:val="65247DF1"/>
    <w:rsid w:val="65402FF4"/>
    <w:rsid w:val="66AF3A48"/>
    <w:rsid w:val="66EA6A5C"/>
    <w:rsid w:val="67136ED0"/>
    <w:rsid w:val="674E4A5E"/>
    <w:rsid w:val="67746F85"/>
    <w:rsid w:val="67947E23"/>
    <w:rsid w:val="67E908AD"/>
    <w:rsid w:val="68106CAE"/>
    <w:rsid w:val="68955405"/>
    <w:rsid w:val="68B7181F"/>
    <w:rsid w:val="69042303"/>
    <w:rsid w:val="699B6A4B"/>
    <w:rsid w:val="69B00DA5"/>
    <w:rsid w:val="69C77DFE"/>
    <w:rsid w:val="69CB37D4"/>
    <w:rsid w:val="6A2C4F62"/>
    <w:rsid w:val="6A7A2B04"/>
    <w:rsid w:val="6ACE4BFE"/>
    <w:rsid w:val="6ADB15C1"/>
    <w:rsid w:val="6B4D72A6"/>
    <w:rsid w:val="6BD46218"/>
    <w:rsid w:val="6C5940BA"/>
    <w:rsid w:val="6C7C7008"/>
    <w:rsid w:val="6CC83AE0"/>
    <w:rsid w:val="6CDE126B"/>
    <w:rsid w:val="6CFD3D7D"/>
    <w:rsid w:val="6D1937FC"/>
    <w:rsid w:val="6E0A419F"/>
    <w:rsid w:val="6E55586F"/>
    <w:rsid w:val="6EE42C42"/>
    <w:rsid w:val="6F6C53DE"/>
    <w:rsid w:val="6F777D7A"/>
    <w:rsid w:val="6FBA7A41"/>
    <w:rsid w:val="6FDD600F"/>
    <w:rsid w:val="6FF84BF7"/>
    <w:rsid w:val="70157D3D"/>
    <w:rsid w:val="70831F71"/>
    <w:rsid w:val="70EE2D4A"/>
    <w:rsid w:val="712A7399"/>
    <w:rsid w:val="731358A4"/>
    <w:rsid w:val="73490637"/>
    <w:rsid w:val="737A0623"/>
    <w:rsid w:val="74841862"/>
    <w:rsid w:val="748B42AD"/>
    <w:rsid w:val="74D07320"/>
    <w:rsid w:val="74EE0377"/>
    <w:rsid w:val="750C3FCB"/>
    <w:rsid w:val="75A938A5"/>
    <w:rsid w:val="760805F4"/>
    <w:rsid w:val="76790114"/>
    <w:rsid w:val="76B4062C"/>
    <w:rsid w:val="77146957"/>
    <w:rsid w:val="777F0DB7"/>
    <w:rsid w:val="778C10EB"/>
    <w:rsid w:val="77F77772"/>
    <w:rsid w:val="78061E7B"/>
    <w:rsid w:val="782E5EC7"/>
    <w:rsid w:val="785B5D23"/>
    <w:rsid w:val="79A16740"/>
    <w:rsid w:val="7A0F1171"/>
    <w:rsid w:val="7A5F3C76"/>
    <w:rsid w:val="7AA1E5A1"/>
    <w:rsid w:val="7AE565A4"/>
    <w:rsid w:val="7AED5285"/>
    <w:rsid w:val="7B1F5CAB"/>
    <w:rsid w:val="7B3A5988"/>
    <w:rsid w:val="7B4C229B"/>
    <w:rsid w:val="7B905F16"/>
    <w:rsid w:val="7BBC3169"/>
    <w:rsid w:val="7BFC0690"/>
    <w:rsid w:val="7BFE1317"/>
    <w:rsid w:val="7C084414"/>
    <w:rsid w:val="7C8D2C1A"/>
    <w:rsid w:val="7D221505"/>
    <w:rsid w:val="7D247ECA"/>
    <w:rsid w:val="7D424115"/>
    <w:rsid w:val="7D754069"/>
    <w:rsid w:val="7DD56578"/>
    <w:rsid w:val="7DE245E8"/>
    <w:rsid w:val="7DEA2FEE"/>
    <w:rsid w:val="7E0D5950"/>
    <w:rsid w:val="7E2412AD"/>
    <w:rsid w:val="7FF01447"/>
    <w:rsid w:val="D9E7D366"/>
    <w:rsid w:val="DDBFF338"/>
    <w:rsid w:val="E8B5CCBE"/>
    <w:rsid w:val="EEBF8930"/>
    <w:rsid w:val="F75B92BE"/>
    <w:rsid w:val="FFFFC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5">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6">
    <w:name w:val="heading 2"/>
    <w:basedOn w:val="1"/>
    <w:next w:val="7"/>
    <w:link w:val="39"/>
    <w:qFormat/>
    <w:uiPriority w:val="99"/>
    <w:pPr>
      <w:keepNext/>
      <w:keepLines/>
      <w:spacing w:before="260" w:after="260" w:line="412" w:lineRule="auto"/>
      <w:outlineLvl w:val="1"/>
    </w:pPr>
    <w:rPr>
      <w:rFonts w:ascii="Arial" w:hAnsi="Arial" w:cs="Times New Roman"/>
      <w:b/>
      <w:sz w:val="32"/>
      <w:szCs w:val="28"/>
    </w:rPr>
  </w:style>
  <w:style w:type="paragraph" w:styleId="9">
    <w:name w:val="heading 3"/>
    <w:basedOn w:val="1"/>
    <w:next w:val="1"/>
    <w:link w:val="40"/>
    <w:qFormat/>
    <w:uiPriority w:val="9"/>
    <w:pPr>
      <w:keepNext/>
      <w:keepLines/>
      <w:spacing w:before="260" w:after="260" w:line="416" w:lineRule="auto"/>
      <w:outlineLvl w:val="2"/>
    </w:pPr>
    <w:rPr>
      <w:b/>
      <w:bCs/>
      <w:sz w:val="32"/>
      <w:szCs w:val="32"/>
    </w:rPr>
  </w:style>
  <w:style w:type="paragraph" w:styleId="10">
    <w:name w:val="heading 4"/>
    <w:basedOn w:val="1"/>
    <w:next w:val="1"/>
    <w:link w:val="41"/>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link w:val="55"/>
    <w:qFormat/>
    <w:uiPriority w:val="99"/>
    <w:pPr>
      <w:spacing w:after="120" w:line="240" w:lineRule="auto"/>
      <w:ind w:left="420" w:leftChars="200" w:firstLine="420"/>
    </w:pPr>
    <w:rPr>
      <w:rFonts w:ascii="Calibri" w:hAnsi="Calibri"/>
      <w:sz w:val="21"/>
    </w:rPr>
  </w:style>
  <w:style w:type="paragraph" w:styleId="3">
    <w:name w:val="Body Text Indent"/>
    <w:basedOn w:val="1"/>
    <w:next w:val="1"/>
    <w:link w:val="45"/>
    <w:qFormat/>
    <w:uiPriority w:val="0"/>
    <w:pPr>
      <w:spacing w:line="480" w:lineRule="exact"/>
      <w:ind w:firstLine="480" w:firstLineChars="200"/>
    </w:pPr>
    <w:rPr>
      <w:rFonts w:ascii="宋体" w:hAnsi="宋体"/>
      <w:sz w:val="24"/>
    </w:rPr>
  </w:style>
  <w:style w:type="paragraph" w:styleId="4">
    <w:name w:val="Body Text"/>
    <w:basedOn w:val="1"/>
    <w:next w:val="1"/>
    <w:link w:val="36"/>
    <w:qFormat/>
    <w:uiPriority w:val="99"/>
    <w:pPr>
      <w:spacing w:after="120"/>
    </w:pPr>
  </w:style>
  <w:style w:type="paragraph" w:styleId="7">
    <w:name w:val="Normal Indent"/>
    <w:basedOn w:val="1"/>
    <w:next w:val="8"/>
    <w:link w:val="42"/>
    <w:qFormat/>
    <w:uiPriority w:val="0"/>
    <w:pPr>
      <w:ind w:firstLine="420"/>
    </w:pPr>
  </w:style>
  <w:style w:type="paragraph" w:styleId="8">
    <w:name w:val="toc 4"/>
    <w:basedOn w:val="1"/>
    <w:next w:val="1"/>
    <w:qFormat/>
    <w:uiPriority w:val="0"/>
    <w:pPr>
      <w:ind w:left="600" w:leftChars="600"/>
    </w:pPr>
  </w:style>
  <w:style w:type="paragraph" w:styleId="11">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12">
    <w:name w:val="Document Map"/>
    <w:basedOn w:val="1"/>
    <w:link w:val="43"/>
    <w:qFormat/>
    <w:uiPriority w:val="99"/>
    <w:rPr>
      <w:rFonts w:ascii="宋体"/>
      <w:sz w:val="18"/>
      <w:szCs w:val="18"/>
    </w:rPr>
  </w:style>
  <w:style w:type="paragraph" w:styleId="13">
    <w:name w:val="annotation text"/>
    <w:basedOn w:val="1"/>
    <w:link w:val="44"/>
    <w:qFormat/>
    <w:uiPriority w:val="0"/>
    <w:pPr>
      <w:jc w:val="left"/>
    </w:pPr>
  </w:style>
  <w:style w:type="paragraph" w:styleId="14">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5">
    <w:name w:val="Plain Text"/>
    <w:basedOn w:val="1"/>
    <w:link w:val="46"/>
    <w:qFormat/>
    <w:uiPriority w:val="0"/>
    <w:pPr>
      <w:snapToGrid w:val="0"/>
      <w:spacing w:line="440" w:lineRule="exact"/>
      <w:jc w:val="left"/>
    </w:pPr>
    <w:rPr>
      <w:rFonts w:ascii="仿宋_GB2312" w:hAnsi="Courier New" w:eastAsia="仿宋_GB2312"/>
      <w:sz w:val="24"/>
      <w:szCs w:val="24"/>
    </w:rPr>
  </w:style>
  <w:style w:type="paragraph" w:styleId="16">
    <w:name w:val="Date"/>
    <w:basedOn w:val="1"/>
    <w:next w:val="1"/>
    <w:link w:val="47"/>
    <w:qFormat/>
    <w:uiPriority w:val="99"/>
    <w:pPr>
      <w:ind w:left="100" w:leftChars="2500"/>
    </w:pPr>
  </w:style>
  <w:style w:type="paragraph" w:styleId="17">
    <w:name w:val="Body Text Indent 2"/>
    <w:basedOn w:val="1"/>
    <w:link w:val="48"/>
    <w:qFormat/>
    <w:uiPriority w:val="99"/>
    <w:pPr>
      <w:spacing w:after="120" w:line="480" w:lineRule="auto"/>
      <w:ind w:left="420" w:leftChars="200"/>
    </w:pPr>
    <w:rPr>
      <w:rFonts w:ascii="Times New Roman" w:hAnsi="Times New Roman" w:cs="Times New Roman"/>
    </w:rPr>
  </w:style>
  <w:style w:type="paragraph" w:styleId="18">
    <w:name w:val="Balloon Text"/>
    <w:basedOn w:val="1"/>
    <w:link w:val="49"/>
    <w:qFormat/>
    <w:uiPriority w:val="99"/>
    <w:rPr>
      <w:sz w:val="18"/>
      <w:szCs w:val="18"/>
    </w:rPr>
  </w:style>
  <w:style w:type="paragraph" w:styleId="19">
    <w:name w:val="footer"/>
    <w:basedOn w:val="1"/>
    <w:link w:val="50"/>
    <w:qFormat/>
    <w:uiPriority w:val="0"/>
    <w:pPr>
      <w:tabs>
        <w:tab w:val="center" w:pos="4153"/>
        <w:tab w:val="right" w:pos="8306"/>
      </w:tabs>
      <w:snapToGrid w:val="0"/>
      <w:jc w:val="left"/>
    </w:pPr>
    <w:rPr>
      <w:sz w:val="18"/>
      <w:szCs w:val="18"/>
    </w:rPr>
  </w:style>
  <w:style w:type="paragraph" w:styleId="20">
    <w:name w:val="header"/>
    <w:basedOn w:val="1"/>
    <w:link w:val="51"/>
    <w:qFormat/>
    <w:uiPriority w:val="99"/>
    <w:pPr>
      <w:pBdr>
        <w:bottom w:val="single" w:color="auto" w:sz="6" w:space="1"/>
      </w:pBdr>
      <w:tabs>
        <w:tab w:val="center" w:pos="4153"/>
        <w:tab w:val="right" w:pos="8306"/>
      </w:tabs>
      <w:snapToGrid w:val="0"/>
      <w:jc w:val="center"/>
    </w:pPr>
    <w:rPr>
      <w:sz w:val="18"/>
      <w:szCs w:val="18"/>
    </w:rPr>
  </w:style>
  <w:style w:type="paragraph" w:styleId="21">
    <w:name w:val="Subtitle"/>
    <w:basedOn w:val="1"/>
    <w:next w:val="1"/>
    <w:link w:val="52"/>
    <w:qFormat/>
    <w:uiPriority w:val="11"/>
    <w:pPr>
      <w:adjustRightInd w:val="0"/>
      <w:snapToGrid w:val="0"/>
      <w:spacing w:before="240" w:after="480"/>
      <w:jc w:val="center"/>
    </w:pPr>
    <w:rPr>
      <w:rFonts w:ascii="Arial" w:hAnsi="Arial" w:eastAsia="隶书"/>
      <w:b/>
      <w:bCs/>
      <w:kern w:val="28"/>
      <w:sz w:val="44"/>
      <w:szCs w:val="32"/>
    </w:rPr>
  </w:style>
  <w:style w:type="paragraph" w:styleId="22">
    <w:name w:val="toc 2"/>
    <w:basedOn w:val="1"/>
    <w:next w:val="1"/>
    <w:qFormat/>
    <w:uiPriority w:val="0"/>
    <w:pPr>
      <w:widowControl/>
      <w:spacing w:before="120"/>
      <w:ind w:left="240"/>
      <w:jc w:val="left"/>
    </w:pPr>
    <w:rPr>
      <w:b/>
      <w:bCs/>
      <w:kern w:val="0"/>
      <w:sz w:val="22"/>
    </w:rPr>
  </w:style>
  <w:style w:type="paragraph" w:styleId="23">
    <w:name w:val="Normal (Web)"/>
    <w:basedOn w:val="1"/>
    <w:qFormat/>
    <w:uiPriority w:val="99"/>
    <w:pPr>
      <w:spacing w:beforeAutospacing="1" w:afterAutospacing="1"/>
      <w:jc w:val="left"/>
    </w:pPr>
    <w:rPr>
      <w:rFonts w:cs="Times New Roman"/>
      <w:kern w:val="0"/>
      <w:sz w:val="24"/>
    </w:rPr>
  </w:style>
  <w:style w:type="paragraph" w:styleId="24">
    <w:name w:val="Title"/>
    <w:basedOn w:val="1"/>
    <w:next w:val="1"/>
    <w:link w:val="53"/>
    <w:qFormat/>
    <w:uiPriority w:val="0"/>
    <w:pPr>
      <w:widowControl/>
      <w:spacing w:before="240" w:after="60"/>
      <w:jc w:val="center"/>
      <w:outlineLvl w:val="0"/>
    </w:pPr>
    <w:rPr>
      <w:rFonts w:ascii="Cambria" w:hAnsi="Cambria"/>
      <w:b/>
      <w:bCs/>
      <w:kern w:val="28"/>
      <w:sz w:val="32"/>
      <w:szCs w:val="32"/>
      <w:lang w:eastAsia="en-US" w:bidi="en-US"/>
    </w:rPr>
  </w:style>
  <w:style w:type="paragraph" w:styleId="25">
    <w:name w:val="annotation subject"/>
    <w:basedOn w:val="13"/>
    <w:next w:val="13"/>
    <w:link w:val="54"/>
    <w:qFormat/>
    <w:uiPriority w:val="99"/>
    <w:rPr>
      <w:b/>
      <w:bCs/>
    </w:rPr>
  </w:style>
  <w:style w:type="paragraph" w:styleId="26">
    <w:name w:val="Body Text First Indent"/>
    <w:basedOn w:val="4"/>
    <w:link w:val="37"/>
    <w:qFormat/>
    <w:uiPriority w:val="0"/>
    <w:pPr>
      <w:widowControl/>
      <w:ind w:firstLine="420" w:firstLineChars="100"/>
      <w:jc w:val="left"/>
    </w:pPr>
    <w:rPr>
      <w:rFonts w:ascii="Times New Roman" w:cs="Times New Roman"/>
      <w:kern w:val="0"/>
      <w:sz w:val="24"/>
      <w:szCs w:val="24"/>
      <w:lang w:eastAsia="en-US" w:bidi="en-US"/>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Hyperlink"/>
    <w:basedOn w:val="29"/>
    <w:qFormat/>
    <w:uiPriority w:val="99"/>
    <w:rPr>
      <w:color w:val="0000FF"/>
      <w:u w:val="single"/>
    </w:rPr>
  </w:style>
  <w:style w:type="character" w:styleId="33">
    <w:name w:val="annotation reference"/>
    <w:basedOn w:val="29"/>
    <w:qFormat/>
    <w:uiPriority w:val="0"/>
    <w:rPr>
      <w:sz w:val="21"/>
      <w:szCs w:val="21"/>
    </w:rPr>
  </w:style>
  <w:style w:type="paragraph" w:customStyle="1" w:styleId="3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5">
    <w:name w:val="表格文字"/>
    <w:basedOn w:val="15"/>
    <w:next w:val="4"/>
    <w:qFormat/>
    <w:uiPriority w:val="0"/>
    <w:pPr>
      <w:ind w:firstLine="200" w:firstLineChars="200"/>
    </w:pPr>
    <w:rPr>
      <w:rFonts w:ascii="Arial" w:hAnsi="Arial" w:cs="Times New Roman"/>
      <w:spacing w:val="-5"/>
      <w:kern w:val="0"/>
      <w:sz w:val="24"/>
      <w:szCs w:val="20"/>
    </w:rPr>
  </w:style>
  <w:style w:type="character" w:customStyle="1" w:styleId="36">
    <w:name w:val="正文文本 Char"/>
    <w:basedOn w:val="29"/>
    <w:link w:val="4"/>
    <w:qFormat/>
    <w:uiPriority w:val="99"/>
  </w:style>
  <w:style w:type="character" w:customStyle="1" w:styleId="37">
    <w:name w:val="正文首行缩进 Char"/>
    <w:basedOn w:val="36"/>
    <w:link w:val="26"/>
    <w:qFormat/>
    <w:uiPriority w:val="0"/>
    <w:rPr>
      <w:rFonts w:ascii="Times New Roman" w:cs="Times New Roman"/>
      <w:kern w:val="0"/>
      <w:sz w:val="24"/>
      <w:szCs w:val="24"/>
      <w:lang w:eastAsia="en-US" w:bidi="en-US"/>
    </w:rPr>
  </w:style>
  <w:style w:type="character" w:customStyle="1" w:styleId="38">
    <w:name w:val="标题 1 Char"/>
    <w:basedOn w:val="29"/>
    <w:link w:val="5"/>
    <w:qFormat/>
    <w:uiPriority w:val="9"/>
    <w:rPr>
      <w:b/>
      <w:bCs/>
      <w:kern w:val="44"/>
      <w:sz w:val="44"/>
      <w:szCs w:val="44"/>
    </w:rPr>
  </w:style>
  <w:style w:type="character" w:customStyle="1" w:styleId="39">
    <w:name w:val="标题 2 Char"/>
    <w:basedOn w:val="29"/>
    <w:link w:val="6"/>
    <w:qFormat/>
    <w:uiPriority w:val="99"/>
    <w:rPr>
      <w:rFonts w:ascii="Arial" w:hAnsi="Arial" w:eastAsia="宋体" w:cs="Times New Roman"/>
      <w:b/>
      <w:sz w:val="32"/>
      <w:szCs w:val="28"/>
    </w:rPr>
  </w:style>
  <w:style w:type="character" w:customStyle="1" w:styleId="40">
    <w:name w:val="标题 3 Char"/>
    <w:basedOn w:val="29"/>
    <w:link w:val="9"/>
    <w:qFormat/>
    <w:uiPriority w:val="9"/>
    <w:rPr>
      <w:b/>
      <w:bCs/>
      <w:sz w:val="32"/>
      <w:szCs w:val="32"/>
    </w:rPr>
  </w:style>
  <w:style w:type="character" w:customStyle="1" w:styleId="41">
    <w:name w:val="标题 4 Char"/>
    <w:basedOn w:val="29"/>
    <w:link w:val="10"/>
    <w:qFormat/>
    <w:uiPriority w:val="9"/>
    <w:rPr>
      <w:rFonts w:ascii="Cambria" w:hAnsi="Cambria" w:eastAsia="宋体" w:cs="宋体"/>
      <w:b/>
      <w:bCs/>
      <w:sz w:val="28"/>
      <w:szCs w:val="28"/>
    </w:rPr>
  </w:style>
  <w:style w:type="character" w:customStyle="1" w:styleId="42">
    <w:name w:val="正文缩进 Char"/>
    <w:link w:val="7"/>
    <w:qFormat/>
    <w:uiPriority w:val="0"/>
    <w:rPr>
      <w:rFonts w:eastAsia="宋体"/>
    </w:rPr>
  </w:style>
  <w:style w:type="character" w:customStyle="1" w:styleId="43">
    <w:name w:val="文档结构图 Char"/>
    <w:basedOn w:val="29"/>
    <w:link w:val="12"/>
    <w:qFormat/>
    <w:uiPriority w:val="99"/>
    <w:rPr>
      <w:rFonts w:ascii="宋体" w:eastAsia="宋体"/>
      <w:sz w:val="18"/>
      <w:szCs w:val="18"/>
    </w:rPr>
  </w:style>
  <w:style w:type="character" w:customStyle="1" w:styleId="44">
    <w:name w:val="批注文字 Char1"/>
    <w:basedOn w:val="29"/>
    <w:link w:val="13"/>
    <w:qFormat/>
    <w:uiPriority w:val="0"/>
  </w:style>
  <w:style w:type="character" w:customStyle="1" w:styleId="45">
    <w:name w:val="正文文本缩进 Char"/>
    <w:basedOn w:val="29"/>
    <w:link w:val="3"/>
    <w:qFormat/>
    <w:uiPriority w:val="0"/>
    <w:rPr>
      <w:rFonts w:ascii="宋体" w:hAnsi="宋体"/>
      <w:sz w:val="24"/>
    </w:rPr>
  </w:style>
  <w:style w:type="character" w:customStyle="1" w:styleId="46">
    <w:name w:val="纯文本 Char"/>
    <w:basedOn w:val="29"/>
    <w:link w:val="15"/>
    <w:qFormat/>
    <w:uiPriority w:val="0"/>
    <w:rPr>
      <w:rFonts w:ascii="仿宋_GB2312" w:hAnsi="Courier New" w:eastAsia="仿宋_GB2312" w:cs="宋体"/>
      <w:kern w:val="2"/>
      <w:sz w:val="24"/>
      <w:szCs w:val="24"/>
    </w:rPr>
  </w:style>
  <w:style w:type="character" w:customStyle="1" w:styleId="47">
    <w:name w:val="日期 Char1"/>
    <w:basedOn w:val="29"/>
    <w:link w:val="16"/>
    <w:qFormat/>
    <w:uiPriority w:val="99"/>
  </w:style>
  <w:style w:type="character" w:customStyle="1" w:styleId="48">
    <w:name w:val="正文文本缩进 2 Char"/>
    <w:basedOn w:val="29"/>
    <w:link w:val="17"/>
    <w:qFormat/>
    <w:uiPriority w:val="99"/>
    <w:rPr>
      <w:kern w:val="2"/>
      <w:sz w:val="21"/>
      <w:szCs w:val="22"/>
    </w:rPr>
  </w:style>
  <w:style w:type="character" w:customStyle="1" w:styleId="49">
    <w:name w:val="批注框文本 Char"/>
    <w:basedOn w:val="29"/>
    <w:link w:val="18"/>
    <w:qFormat/>
    <w:uiPriority w:val="99"/>
    <w:rPr>
      <w:sz w:val="18"/>
      <w:szCs w:val="18"/>
    </w:rPr>
  </w:style>
  <w:style w:type="character" w:customStyle="1" w:styleId="50">
    <w:name w:val="页脚 Char"/>
    <w:basedOn w:val="29"/>
    <w:link w:val="19"/>
    <w:qFormat/>
    <w:uiPriority w:val="0"/>
    <w:rPr>
      <w:sz w:val="18"/>
      <w:szCs w:val="18"/>
    </w:rPr>
  </w:style>
  <w:style w:type="character" w:customStyle="1" w:styleId="51">
    <w:name w:val="页眉 Char"/>
    <w:basedOn w:val="29"/>
    <w:link w:val="20"/>
    <w:qFormat/>
    <w:uiPriority w:val="99"/>
    <w:rPr>
      <w:sz w:val="18"/>
      <w:szCs w:val="18"/>
    </w:rPr>
  </w:style>
  <w:style w:type="character" w:customStyle="1" w:styleId="52">
    <w:name w:val="副标题 Char"/>
    <w:basedOn w:val="29"/>
    <w:link w:val="21"/>
    <w:qFormat/>
    <w:uiPriority w:val="11"/>
    <w:rPr>
      <w:rFonts w:ascii="Arial" w:hAnsi="Arial" w:eastAsia="隶书"/>
      <w:b/>
      <w:bCs/>
      <w:kern w:val="28"/>
      <w:sz w:val="44"/>
      <w:szCs w:val="32"/>
    </w:rPr>
  </w:style>
  <w:style w:type="character" w:customStyle="1" w:styleId="53">
    <w:name w:val="标题 Char"/>
    <w:basedOn w:val="29"/>
    <w:link w:val="24"/>
    <w:qFormat/>
    <w:uiPriority w:val="0"/>
    <w:rPr>
      <w:rFonts w:ascii="Cambria" w:hAnsi="Cambria" w:eastAsia="宋体" w:cs="宋体"/>
      <w:b/>
      <w:bCs/>
      <w:kern w:val="28"/>
      <w:sz w:val="32"/>
      <w:szCs w:val="32"/>
      <w:lang w:eastAsia="en-US" w:bidi="en-US"/>
    </w:rPr>
  </w:style>
  <w:style w:type="character" w:customStyle="1" w:styleId="54">
    <w:name w:val="批注主题 Char1"/>
    <w:basedOn w:val="44"/>
    <w:link w:val="25"/>
    <w:qFormat/>
    <w:uiPriority w:val="99"/>
    <w:rPr>
      <w:b/>
      <w:bCs/>
    </w:rPr>
  </w:style>
  <w:style w:type="character" w:customStyle="1" w:styleId="55">
    <w:name w:val="正文首行缩进 2 Char"/>
    <w:basedOn w:val="45"/>
    <w:link w:val="2"/>
    <w:qFormat/>
    <w:uiPriority w:val="99"/>
    <w:rPr>
      <w:rFonts w:ascii="宋体" w:hAnsi="宋体"/>
      <w:sz w:val="24"/>
    </w:rPr>
  </w:style>
  <w:style w:type="character" w:customStyle="1" w:styleId="56">
    <w:name w:val="批注文字 Char"/>
    <w:basedOn w:val="29"/>
    <w:qFormat/>
    <w:uiPriority w:val="0"/>
  </w:style>
  <w:style w:type="character" w:customStyle="1" w:styleId="57">
    <w:name w:val="日期 Char"/>
    <w:basedOn w:val="29"/>
    <w:qFormat/>
    <w:uiPriority w:val="99"/>
  </w:style>
  <w:style w:type="character" w:customStyle="1" w:styleId="58">
    <w:name w:val="批注主题 Char"/>
    <w:basedOn w:val="56"/>
    <w:qFormat/>
    <w:uiPriority w:val="99"/>
    <w:rPr>
      <w:b/>
      <w:bCs/>
    </w:rPr>
  </w:style>
  <w:style w:type="paragraph" w:customStyle="1" w:styleId="59">
    <w:name w:val="[Normal]"/>
    <w:qFormat/>
    <w:uiPriority w:val="0"/>
    <w:rPr>
      <w:rFonts w:ascii="宋体" w:hAnsi="宋体" w:eastAsia="宋体" w:cs="Times New Roman"/>
      <w:sz w:val="24"/>
      <w:szCs w:val="22"/>
      <w:lang w:val="zh-CN" w:eastAsia="zh-CN" w:bidi="ar-SA"/>
    </w:rPr>
  </w:style>
  <w:style w:type="paragraph" w:customStyle="1" w:styleId="60">
    <w:name w:val="列出段落1"/>
    <w:basedOn w:val="1"/>
    <w:qFormat/>
    <w:uiPriority w:val="34"/>
    <w:pPr>
      <w:ind w:firstLine="420" w:firstLineChars="200"/>
    </w:pPr>
  </w:style>
  <w:style w:type="paragraph" w:customStyle="1" w:styleId="61">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2">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3">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4">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5">
    <w:name w:val="正文缩进 Char2"/>
    <w:qFormat/>
    <w:uiPriority w:val="0"/>
    <w:rPr>
      <w:rFonts w:ascii="宋体" w:eastAsia="宋体"/>
      <w:snapToGrid w:val="0"/>
      <w:color w:val="000000"/>
      <w:kern w:val="28"/>
      <w:sz w:val="28"/>
      <w:lang w:val="en-US" w:eastAsia="zh-CN" w:bidi="ar-SA"/>
    </w:rPr>
  </w:style>
  <w:style w:type="character" w:customStyle="1" w:styleId="66">
    <w:name w:val="纯文本 Char1"/>
    <w:link w:val="67"/>
    <w:qFormat/>
    <w:uiPriority w:val="0"/>
    <w:rPr>
      <w:rFonts w:ascii="宋体" w:hAnsi="Courier New"/>
    </w:rPr>
  </w:style>
  <w:style w:type="paragraph" w:customStyle="1" w:styleId="67">
    <w:name w:val="纯文本1"/>
    <w:basedOn w:val="1"/>
    <w:link w:val="66"/>
    <w:qFormat/>
    <w:uiPriority w:val="0"/>
    <w:rPr>
      <w:rFonts w:ascii="宋体" w:hAnsi="Courier New"/>
    </w:rPr>
  </w:style>
  <w:style w:type="paragraph" w:customStyle="1" w:styleId="68">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69">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0">
    <w:name w:val="首行缩进"/>
    <w:basedOn w:val="1"/>
    <w:next w:val="1"/>
    <w:qFormat/>
    <w:uiPriority w:val="0"/>
    <w:pPr>
      <w:spacing w:line="360" w:lineRule="auto"/>
      <w:ind w:firstLine="480" w:firstLineChars="200"/>
    </w:pPr>
    <w:rPr>
      <w:rFonts w:ascii="宋体"/>
      <w:sz w:val="24"/>
      <w:szCs w:val="20"/>
    </w:rPr>
  </w:style>
  <w:style w:type="paragraph" w:customStyle="1" w:styleId="71">
    <w:name w:val="表格"/>
    <w:basedOn w:val="1"/>
    <w:qFormat/>
    <w:uiPriority w:val="0"/>
    <w:rPr>
      <w:rFonts w:ascii="Times New Roman" w:hAnsi="Times New Roman" w:cs="Times New Roman"/>
    </w:rPr>
  </w:style>
  <w:style w:type="paragraph" w:customStyle="1" w:styleId="72">
    <w:name w:val="List Paragraph1"/>
    <w:basedOn w:val="1"/>
    <w:qFormat/>
    <w:uiPriority w:val="99"/>
    <w:pPr>
      <w:ind w:firstLine="420" w:firstLineChars="200"/>
    </w:pPr>
    <w:rPr>
      <w:rFonts w:ascii="等线" w:hAnsi="等线" w:eastAsia="等线"/>
      <w:szCs w:val="24"/>
    </w:rPr>
  </w:style>
  <w:style w:type="paragraph" w:customStyle="1" w:styleId="73">
    <w:name w:val="纯文本111"/>
    <w:basedOn w:val="1"/>
    <w:qFormat/>
    <w:uiPriority w:val="0"/>
    <w:pPr>
      <w:adjustRightInd w:val="0"/>
    </w:pPr>
    <w:rPr>
      <w:rFonts w:hint="eastAsia" w:ascii="宋体" w:hAnsi="Courier New" w:eastAsia="楷体_GB2312" w:cs="Times New Roman"/>
      <w:sz w:val="28"/>
      <w:szCs w:val="20"/>
    </w:rPr>
  </w:style>
  <w:style w:type="paragraph" w:customStyle="1" w:styleId="74">
    <w:name w:val="文档正文"/>
    <w:basedOn w:val="1"/>
    <w:qFormat/>
    <w:uiPriority w:val="0"/>
    <w:rPr>
      <w:rFonts w:ascii="宋体" w:cs="Arial"/>
      <w:bCs/>
      <w:szCs w:val="21"/>
    </w:rPr>
  </w:style>
  <w:style w:type="paragraph" w:customStyle="1" w:styleId="75">
    <w:name w:val="列出段落2"/>
    <w:basedOn w:val="1"/>
    <w:qFormat/>
    <w:uiPriority w:val="34"/>
    <w:pPr>
      <w:ind w:firstLine="420" w:firstLineChars="200"/>
    </w:pPr>
    <w:rPr>
      <w:rFonts w:ascii="Times New Roman" w:hAnsi="Times New Roman" w:cs="Times New Roman"/>
      <w:szCs w:val="20"/>
    </w:rPr>
  </w:style>
  <w:style w:type="character" w:customStyle="1" w:styleId="76">
    <w:name w:val="正文2 Char Char"/>
    <w:link w:val="77"/>
    <w:qFormat/>
    <w:uiPriority w:val="0"/>
    <w:rPr>
      <w:rFonts w:ascii="仿宋_GB2312" w:hAnsi="宋体" w:eastAsia="仿宋_GB2312"/>
      <w:color w:val="000000"/>
      <w:sz w:val="24"/>
      <w:szCs w:val="24"/>
    </w:rPr>
  </w:style>
  <w:style w:type="paragraph" w:customStyle="1" w:styleId="77">
    <w:name w:val="正文2"/>
    <w:basedOn w:val="1"/>
    <w:link w:val="76"/>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78">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79">
    <w:name w:val="纯文本 Char3"/>
    <w:qFormat/>
    <w:uiPriority w:val="99"/>
    <w:rPr>
      <w:rFonts w:ascii="宋体" w:hAnsi="Courier New" w:eastAsia="黑体" w:cs="Times New Roman"/>
      <w:snapToGrid w:val="0"/>
      <w:szCs w:val="21"/>
    </w:rPr>
  </w:style>
  <w:style w:type="paragraph" w:customStyle="1" w:styleId="80">
    <w:name w:val="标题 1（洛）"/>
    <w:basedOn w:val="5"/>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1">
    <w:name w:val="标题 2（洛）"/>
    <w:basedOn w:val="6"/>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2">
    <w:name w:val="标题 3（洛）"/>
    <w:basedOn w:val="9"/>
    <w:next w:val="1"/>
    <w:link w:val="83"/>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3">
    <w:name w:val="标题 3（洛） Char"/>
    <w:link w:val="82"/>
    <w:qFormat/>
    <w:uiPriority w:val="0"/>
    <w:rPr>
      <w:rFonts w:ascii="Arial" w:hAnsi="Arial" w:eastAsia="黑体" w:cs="Times New Roman"/>
      <w:b/>
      <w:kern w:val="0"/>
      <w:sz w:val="30"/>
      <w:szCs w:val="30"/>
    </w:rPr>
  </w:style>
  <w:style w:type="paragraph" w:customStyle="1" w:styleId="84">
    <w:name w:val="标题 4（洛）"/>
    <w:basedOn w:val="10"/>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5">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6">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7">
    <w:name w:val="图表（洛）"/>
    <w:basedOn w:val="1"/>
    <w:link w:val="88"/>
    <w:qFormat/>
    <w:uiPriority w:val="0"/>
    <w:pPr>
      <w:jc w:val="left"/>
    </w:pPr>
    <w:rPr>
      <w:sz w:val="18"/>
      <w:szCs w:val="18"/>
    </w:rPr>
  </w:style>
  <w:style w:type="character" w:customStyle="1" w:styleId="88">
    <w:name w:val="图表（洛） Char"/>
    <w:basedOn w:val="29"/>
    <w:link w:val="87"/>
    <w:qFormat/>
    <w:uiPriority w:val="0"/>
    <w:rPr>
      <w:rFonts w:cs="宋体"/>
      <w:sz w:val="18"/>
      <w:szCs w:val="18"/>
    </w:rPr>
  </w:style>
  <w:style w:type="paragraph" w:customStyle="1" w:styleId="89">
    <w:name w:val="修订1"/>
    <w:qFormat/>
    <w:uiPriority w:val="99"/>
    <w:rPr>
      <w:rFonts w:ascii="Calibri" w:hAnsi="Calibri" w:eastAsia="宋体" w:cs="宋体"/>
      <w:kern w:val="2"/>
      <w:sz w:val="21"/>
      <w:szCs w:val="22"/>
      <w:lang w:val="en-US" w:eastAsia="zh-CN" w:bidi="ar-SA"/>
    </w:rPr>
  </w:style>
  <w:style w:type="paragraph" w:customStyle="1" w:styleId="90">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1">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2">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4">
    <w:name w:val="修订2"/>
    <w:unhideWhenUsed/>
    <w:qFormat/>
    <w:uiPriority w:val="99"/>
    <w:rPr>
      <w:rFonts w:ascii="Calibri" w:hAnsi="Calibri" w:eastAsia="宋体" w:cs="宋体"/>
      <w:kern w:val="2"/>
      <w:sz w:val="21"/>
      <w:szCs w:val="22"/>
      <w:lang w:val="en-US" w:eastAsia="zh-CN" w:bidi="ar-SA"/>
    </w:rPr>
  </w:style>
  <w:style w:type="paragraph" w:styleId="95">
    <w:name w:val="List Paragraph"/>
    <w:basedOn w:val="1"/>
    <w:unhideWhenUsed/>
    <w:qFormat/>
    <w:uiPriority w:val="34"/>
    <w:pPr>
      <w:ind w:firstLine="420" w:firstLineChars="200"/>
    </w:pPr>
    <w:rPr>
      <w:rFonts w:ascii="Calibri" w:hAnsi="Calibri" w:eastAsia="宋体" w:cs="Times New Roman"/>
      <w:szCs w:val="24"/>
    </w:rPr>
  </w:style>
  <w:style w:type="paragraph" w:customStyle="1" w:styleId="96">
    <w:name w:val="Table Text"/>
    <w:basedOn w:val="1"/>
    <w:qFormat/>
    <w:uiPriority w:val="0"/>
    <w:pPr>
      <w:widowControl/>
      <w:adjustRightInd w:val="0"/>
      <w:spacing w:before="60" w:after="60"/>
      <w:jc w:val="left"/>
    </w:pPr>
    <w:rPr>
      <w:rFonts w:ascii="Times New Roman" w:hAnsi="Times New Roman" w:eastAsia="宋体" w:cs="Times New Roman"/>
      <w:kern w:val="0"/>
      <w:sz w:val="24"/>
    </w:rPr>
  </w:style>
  <w:style w:type="table" w:customStyle="1" w:styleId="97">
    <w:name w:val="Table Normal"/>
    <w:semiHidden/>
    <w:unhideWhenUsed/>
    <w:qFormat/>
    <w:uiPriority w:val="0"/>
    <w:tblPr>
      <w:tblCellMar>
        <w:top w:w="0" w:type="dxa"/>
        <w:left w:w="0" w:type="dxa"/>
        <w:bottom w:w="0" w:type="dxa"/>
        <w:right w:w="0" w:type="dxa"/>
      </w:tblCellMar>
    </w:tblPr>
  </w:style>
  <w:style w:type="paragraph" w:customStyle="1" w:styleId="98">
    <w:name w:val="标1洛"/>
    <w:basedOn w:val="5"/>
    <w:next w:val="99"/>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99">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0">
    <w:name w:val="font21"/>
    <w:basedOn w:val="29"/>
    <w:qFormat/>
    <w:uiPriority w:val="0"/>
    <w:rPr>
      <w:rFonts w:hint="eastAsia" w:ascii="宋体" w:hAnsi="宋体" w:eastAsia="宋体" w:cs="宋体"/>
      <w:color w:val="FF0000"/>
      <w:sz w:val="22"/>
      <w:szCs w:val="22"/>
      <w:u w:val="none"/>
    </w:rPr>
  </w:style>
  <w:style w:type="paragraph" w:customStyle="1" w:styleId="101">
    <w:name w:val="正文_1_0"/>
    <w:basedOn w:val="102"/>
    <w:qFormat/>
    <w:uiPriority w:val="0"/>
  </w:style>
  <w:style w:type="paragraph" w:customStyle="1" w:styleId="102">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_Style 14"/>
    <w:basedOn w:val="1"/>
    <w:next w:val="95"/>
    <w:qFormat/>
    <w:uiPriority w:val="34"/>
    <w:pPr>
      <w:widowControl/>
      <w:ind w:firstLine="420" w:firstLineChars="200"/>
      <w:jc w:val="left"/>
    </w:pPr>
    <w:rPr>
      <w:rFonts w:ascii="宋体" w:hAnsi="宋体" w:eastAsia="宋体" w:cs="Times New Roman"/>
      <w:kern w:val="0"/>
      <w:sz w:val="24"/>
      <w:szCs w:val="24"/>
      <w:lang w:val="zh-CN"/>
    </w:rPr>
  </w:style>
  <w:style w:type="paragraph" w:styleId="104">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正文空2字"/>
    <w:basedOn w:val="106"/>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6">
    <w:name w:val="左对齐正文"/>
    <w:qFormat/>
    <w:uiPriority w:val="99"/>
    <w:rPr>
      <w:rFonts w:ascii="Calibri" w:hAnsi="Calibri" w:eastAsia="仿宋_GB2312" w:cs="Calibri"/>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135</Pages>
  <Words>24030</Words>
  <Characters>25807</Characters>
  <Lines>445</Lines>
  <Paragraphs>125</Paragraphs>
  <TotalTime>28</TotalTime>
  <ScaleCrop>false</ScaleCrop>
  <LinksUpToDate>false</LinksUpToDate>
  <CharactersWithSpaces>25965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2024-03-07T16:21:00Z</dcterms:created>
  <dc:creator>NTKO</dc:creator>
  <cp:lastModifiedBy>Administrator</cp:lastModifiedBy>
  <cp:lastPrinted>2024-03-03T11:15:00Z</cp:lastPrinted>
  <dcterms:modified xsi:type="dcterms:W3CDTF">2026-05-26T04:01:15Z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9DEA19EAD1264B39935A127143DD2D7E_13</vt:lpwstr>
  </property>
  <property fmtid="{D5CDD505-2E9C-101B-9397-08002B2CF9AE}" pid="3" name="KSOProductBuildVer">
    <vt:lpwstr>2052-11.8.2.12085</vt:lpwstr>
  </property>
  <property fmtid="{D5CDD505-2E9C-101B-9397-08002B2CF9AE}" pid="4" name="KSOTemplateDocerSaveRecord">
    <vt:lpwstr>eyJoZGlkIjoiY2I3Mjk4NWVmYmNhMzg5MjZlNmIyYTM0ZDhkZjQwYWYiLCJ1c2VySWQiOiIxMTQ1NzQ0Mzg5In0=</vt:lpwstr>
  </property>
</Properties>
</file>