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C439D">
      <w:pPr>
        <w:overflowPunct w:val="0"/>
        <w:spacing w:line="560" w:lineRule="exact"/>
        <w:rPr>
          <w:rFonts w:hint="eastAsia" w:ascii="仿宋" w:hAnsi="仿宋" w:eastAsia="仿宋" w:cs="仿宋"/>
          <w:bCs/>
          <w:sz w:val="48"/>
          <w:szCs w:val="48"/>
        </w:rPr>
      </w:pPr>
    </w:p>
    <w:p w14:paraId="429B1278">
      <w:pPr>
        <w:overflowPunct w:val="0"/>
        <w:spacing w:line="560" w:lineRule="exact"/>
        <w:rPr>
          <w:rFonts w:hint="eastAsia" w:ascii="仿宋" w:hAnsi="仿宋" w:eastAsia="仿宋" w:cs="仿宋"/>
          <w:bCs/>
          <w:sz w:val="48"/>
          <w:szCs w:val="48"/>
        </w:rPr>
      </w:pPr>
    </w:p>
    <w:p w14:paraId="5FD70D63">
      <w:pPr>
        <w:overflowPunct w:val="0"/>
        <w:spacing w:line="560" w:lineRule="exact"/>
        <w:rPr>
          <w:rFonts w:hint="eastAsia" w:ascii="仿宋" w:hAnsi="仿宋" w:eastAsia="仿宋" w:cs="仿宋"/>
          <w:bCs/>
          <w:sz w:val="48"/>
          <w:szCs w:val="48"/>
        </w:rPr>
      </w:pPr>
    </w:p>
    <w:p w14:paraId="48C5AE95">
      <w:pPr>
        <w:keepNext w:val="0"/>
        <w:keepLines w:val="0"/>
        <w:pageBreakBefore w:val="0"/>
        <w:widowControl w:val="0"/>
        <w:kinsoku/>
        <w:wordWrap/>
        <w:overflowPunct w:val="0"/>
        <w:topLinePunct w:val="0"/>
        <w:autoSpaceDE/>
        <w:autoSpaceDN/>
        <w:bidi w:val="0"/>
        <w:adjustRightInd/>
        <w:snapToGrid/>
        <w:spacing w:line="600" w:lineRule="exact"/>
        <w:ind w:firstLine="0" w:firstLineChars="0"/>
        <w:jc w:val="center"/>
        <w:textAlignment w:val="auto"/>
        <w:rPr>
          <w:rFonts w:hint="eastAsia" w:ascii="仿宋" w:hAnsi="仿宋" w:eastAsia="仿宋" w:cs="仿宋"/>
          <w:b/>
          <w:bCs/>
          <w:sz w:val="48"/>
          <w:szCs w:val="48"/>
        </w:rPr>
      </w:pPr>
      <w:r>
        <w:rPr>
          <w:rFonts w:hint="eastAsia" w:ascii="仿宋" w:hAnsi="仿宋" w:eastAsia="仿宋" w:cs="仿宋"/>
          <w:b/>
          <w:bCs/>
          <w:sz w:val="48"/>
          <w:szCs w:val="48"/>
          <w:lang w:val="en-US"/>
        </w:rPr>
        <mc:AlternateContent>
          <mc:Choice Requires="wps">
            <w:drawing>
              <wp:anchor distT="0" distB="0" distL="114300" distR="114300" simplePos="0" relativeHeight="251659264" behindDoc="1" locked="0" layoutInCell="1" allowOverlap="1">
                <wp:simplePos x="0" y="0"/>
                <wp:positionH relativeFrom="column">
                  <wp:posOffset>-2028190</wp:posOffset>
                </wp:positionH>
                <wp:positionV relativeFrom="paragraph">
                  <wp:posOffset>-339090</wp:posOffset>
                </wp:positionV>
                <wp:extent cx="264795" cy="218440"/>
                <wp:effectExtent l="12700" t="12700" r="27305" b="16510"/>
                <wp:wrapNone/>
                <wp:docPr id="3" name="矩形 3"/>
                <wp:cNvGraphicFramePr/>
                <a:graphic xmlns:a="http://schemas.openxmlformats.org/drawingml/2006/main">
                  <a:graphicData uri="http://schemas.microsoft.com/office/word/2010/wordprocessingShape">
                    <wps:wsp>
                      <wps:cNvSpPr/>
                      <wps:spPr>
                        <a:xfrm flipV="1">
                          <a:off x="0" y="0"/>
                          <a:ext cx="264795" cy="218440"/>
                        </a:xfrm>
                        <a:prstGeom prst="rect">
                          <a:avLst/>
                        </a:prstGeom>
                        <a:solidFill>
                          <a:srgbClr val="FFFFFF"/>
                        </a:solidFill>
                        <a:ln w="25400" cap="flat" cmpd="sng">
                          <a:solidFill>
                            <a:srgbClr val="000000"/>
                          </a:solidFill>
                          <a:prstDash val="solid"/>
                          <a:miter/>
                          <a:headEnd type="none" w="med" len="med"/>
                          <a:tailEnd type="none" w="med" len="med"/>
                        </a:ln>
                        <a:effectLst/>
                      </wps:spPr>
                      <wps:txbx>
                        <w:txbxContent>
                          <w:p w14:paraId="0C5CA04A"/>
                        </w:txbxContent>
                      </wps:txbx>
                      <wps:bodyPr vert="horz" wrap="square" anchor="t" anchorCtr="0" upright="1"/>
                    </wps:wsp>
                  </a:graphicData>
                </a:graphic>
              </wp:anchor>
            </w:drawing>
          </mc:Choice>
          <mc:Fallback>
            <w:pict>
              <v:rect id="_x0000_s1026" o:spid="_x0000_s1026" o:spt="1" style="position:absolute;left:0pt;flip:y;margin-left:-159.7pt;margin-top:-26.7pt;height:17.2pt;width:20.85pt;z-index:-251657216;mso-width-relative:page;mso-height-relative:page;" fillcolor="#FFFFFF" filled="t" stroked="t" coordsize="21600,21600" o:gfxdata="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cwr9TZAAAADQEAAA8AAAAAAAAAAQAgAAAAIgAAAGRycy9kb3ducmV2LnhtbFBL&#10;AQIUABQAAAAIAIdO4kBUplX8LgIAAHQEAAAOAAAAAAAAAAEAIAAAACgBAABkcnMvZTJvRG9jLnht&#10;bFBLBQYAAAAABgAGAFkBAADIBQAAAAA=&#10;">
                <v:fill on="t" focussize="0,0"/>
                <v:stroke weight="2pt" color="#000000" joinstyle="miter"/>
                <v:imagedata o:title=""/>
                <o:lock v:ext="edit" aspectratio="f"/>
                <v:textbox>
                  <w:txbxContent>
                    <w:p w14:paraId="0C5CA04A"/>
                  </w:txbxContent>
                </v:textbox>
              </v:rect>
            </w:pict>
          </mc:Fallback>
        </mc:AlternateContent>
      </w:r>
      <w:r>
        <w:rPr>
          <w:rFonts w:hint="eastAsia" w:ascii="仿宋" w:hAnsi="仿宋" w:eastAsia="仿宋" w:cs="仿宋"/>
          <w:b/>
          <w:bCs/>
          <w:sz w:val="48"/>
          <w:szCs w:val="48"/>
          <w:lang w:val="en-US" w:eastAsia="zh-CN"/>
        </w:rPr>
        <w:t>竞争性谈判</w:t>
      </w:r>
      <w:r>
        <w:rPr>
          <w:rFonts w:hint="eastAsia" w:ascii="仿宋" w:hAnsi="仿宋" w:eastAsia="仿宋" w:cs="仿宋"/>
          <w:b/>
          <w:bCs/>
          <w:sz w:val="48"/>
          <w:szCs w:val="48"/>
        </w:rPr>
        <w:t>采购文件</w:t>
      </w:r>
    </w:p>
    <w:p w14:paraId="121A71D0">
      <w:pPr>
        <w:overflowPunct w:val="0"/>
        <w:spacing w:line="560" w:lineRule="exact"/>
        <w:rPr>
          <w:rFonts w:hint="eastAsia" w:ascii="仿宋" w:hAnsi="仿宋" w:eastAsia="仿宋" w:cs="仿宋"/>
          <w:b/>
          <w:bCs/>
          <w:sz w:val="36"/>
          <w:szCs w:val="36"/>
        </w:rPr>
      </w:pPr>
    </w:p>
    <w:p w14:paraId="1F108210">
      <w:pPr>
        <w:overflowPunct w:val="0"/>
        <w:spacing w:line="560" w:lineRule="exact"/>
        <w:rPr>
          <w:rFonts w:hint="eastAsia" w:ascii="仿宋" w:hAnsi="仿宋" w:eastAsia="仿宋" w:cs="仿宋"/>
          <w:sz w:val="36"/>
          <w:szCs w:val="36"/>
        </w:rPr>
      </w:pPr>
    </w:p>
    <w:p w14:paraId="2B5D44A9">
      <w:pPr>
        <w:overflowPunct w:val="0"/>
        <w:spacing w:line="500" w:lineRule="exact"/>
        <w:rPr>
          <w:rFonts w:hint="eastAsia" w:ascii="仿宋" w:hAnsi="仿宋" w:eastAsia="仿宋" w:cs="仿宋"/>
          <w:b/>
          <w:bCs/>
          <w:w w:val="95"/>
          <w:sz w:val="36"/>
          <w:szCs w:val="36"/>
        </w:rPr>
      </w:pPr>
    </w:p>
    <w:p w14:paraId="5154D702">
      <w:pPr>
        <w:overflowPunct w:val="0"/>
        <w:spacing w:line="560" w:lineRule="exac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采购文件编号：KBQ-TP-2026-011</w:t>
      </w:r>
    </w:p>
    <w:p w14:paraId="72D05925">
      <w:pPr>
        <w:overflowPunct w:val="0"/>
        <w:spacing w:line="560" w:lineRule="exac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采购项目：五中标准化考场智能巡考系统建设采购项目</w:t>
      </w:r>
    </w:p>
    <w:p w14:paraId="6DC35883">
      <w:pPr>
        <w:rPr>
          <w:rFonts w:hint="eastAsia" w:ascii="仿宋" w:hAnsi="仿宋" w:eastAsia="仿宋" w:cs="仿宋"/>
        </w:rPr>
      </w:pPr>
    </w:p>
    <w:p w14:paraId="56564467">
      <w:pPr>
        <w:rPr>
          <w:rFonts w:hint="eastAsia" w:ascii="仿宋" w:hAnsi="仿宋" w:eastAsia="仿宋" w:cs="仿宋"/>
          <w:sz w:val="36"/>
          <w:szCs w:val="36"/>
        </w:rPr>
      </w:pPr>
    </w:p>
    <w:p w14:paraId="34DBC4EF">
      <w:pPr>
        <w:pStyle w:val="6"/>
        <w:rPr>
          <w:rFonts w:hint="eastAsia" w:ascii="仿宋" w:hAnsi="仿宋" w:eastAsia="仿宋" w:cs="仿宋"/>
        </w:rPr>
      </w:pPr>
    </w:p>
    <w:p w14:paraId="709E2408">
      <w:pPr>
        <w:rPr>
          <w:rFonts w:hint="eastAsia" w:ascii="仿宋" w:hAnsi="仿宋" w:eastAsia="仿宋" w:cs="仿宋"/>
        </w:rPr>
      </w:pPr>
    </w:p>
    <w:p w14:paraId="37A3B1E5">
      <w:pPr>
        <w:pStyle w:val="6"/>
        <w:rPr>
          <w:rFonts w:hint="eastAsia" w:ascii="仿宋" w:hAnsi="仿宋" w:eastAsia="仿宋" w:cs="仿宋"/>
        </w:rPr>
      </w:pPr>
    </w:p>
    <w:p w14:paraId="736CB109">
      <w:pPr>
        <w:rPr>
          <w:rFonts w:hint="eastAsia" w:ascii="仿宋" w:hAnsi="仿宋" w:eastAsia="仿宋" w:cs="仿宋"/>
        </w:rPr>
      </w:pPr>
    </w:p>
    <w:p w14:paraId="53C0B425">
      <w:pPr>
        <w:pStyle w:val="6"/>
        <w:rPr>
          <w:rFonts w:hint="eastAsia" w:ascii="仿宋" w:hAnsi="仿宋" w:eastAsia="仿宋" w:cs="仿宋"/>
        </w:rPr>
      </w:pPr>
    </w:p>
    <w:p w14:paraId="59EF3BE9">
      <w:pPr>
        <w:rPr>
          <w:rFonts w:hint="eastAsia" w:ascii="仿宋" w:hAnsi="仿宋" w:eastAsia="仿宋" w:cs="仿宋"/>
        </w:rPr>
      </w:pPr>
    </w:p>
    <w:p w14:paraId="7DA38FEE">
      <w:pPr>
        <w:pStyle w:val="6"/>
        <w:rPr>
          <w:rFonts w:hint="eastAsia" w:ascii="仿宋" w:hAnsi="仿宋" w:eastAsia="仿宋" w:cs="仿宋"/>
        </w:rPr>
      </w:pPr>
    </w:p>
    <w:p w14:paraId="72B2D3CF">
      <w:pPr>
        <w:rPr>
          <w:rFonts w:hint="eastAsia" w:ascii="仿宋" w:hAnsi="仿宋" w:eastAsia="仿宋" w:cs="仿宋"/>
        </w:rPr>
      </w:pPr>
    </w:p>
    <w:p w14:paraId="6B69FCB4">
      <w:pPr>
        <w:pStyle w:val="6"/>
        <w:rPr>
          <w:rFonts w:hint="eastAsia" w:ascii="仿宋" w:hAnsi="仿宋" w:eastAsia="仿宋" w:cs="仿宋"/>
        </w:rPr>
      </w:pPr>
    </w:p>
    <w:p w14:paraId="3CE1B526">
      <w:pPr>
        <w:overflowPunct w:val="0"/>
        <w:spacing w:line="560" w:lineRule="exact"/>
        <w:rPr>
          <w:rFonts w:hint="eastAsia" w:ascii="仿宋" w:hAnsi="仿宋" w:eastAsia="仿宋" w:cs="仿宋"/>
          <w:sz w:val="36"/>
          <w:szCs w:val="36"/>
        </w:rPr>
      </w:pPr>
    </w:p>
    <w:p w14:paraId="3600CE6B">
      <w:pPr>
        <w:overflowPunct w:val="0"/>
        <w:spacing w:line="560" w:lineRule="exact"/>
        <w:rPr>
          <w:rFonts w:hint="eastAsia" w:ascii="仿宋" w:hAnsi="仿宋" w:eastAsia="仿宋" w:cs="仿宋"/>
          <w:sz w:val="30"/>
          <w:szCs w:val="30"/>
          <w:lang w:eastAsia="zh-CN"/>
        </w:rPr>
      </w:pPr>
      <w:r>
        <w:rPr>
          <w:rFonts w:hint="eastAsia" w:ascii="仿宋" w:hAnsi="仿宋" w:eastAsia="仿宋" w:cs="仿宋"/>
          <w:sz w:val="30"/>
          <w:szCs w:val="30"/>
        </w:rPr>
        <w:t>采购人：</w:t>
      </w:r>
      <w:r>
        <w:rPr>
          <w:rFonts w:hint="eastAsia" w:ascii="仿宋" w:hAnsi="仿宋" w:eastAsia="仿宋" w:cs="仿宋"/>
          <w:sz w:val="30"/>
          <w:szCs w:val="30"/>
          <w:lang w:val="en-US" w:eastAsia="zh-CN"/>
        </w:rPr>
        <w:t>克拉玛依市第五中学</w:t>
      </w:r>
    </w:p>
    <w:p w14:paraId="18357636">
      <w:pPr>
        <w:overflowPunct w:val="0"/>
        <w:spacing w:line="560" w:lineRule="exact"/>
        <w:rPr>
          <w:rFonts w:hint="eastAsia" w:ascii="仿宋" w:hAnsi="仿宋" w:eastAsia="仿宋" w:cs="仿宋"/>
          <w:sz w:val="30"/>
          <w:szCs w:val="30"/>
          <w:lang w:eastAsia="zh-CN"/>
        </w:rPr>
      </w:pPr>
      <w:r>
        <w:rPr>
          <w:rFonts w:hint="eastAsia" w:ascii="仿宋" w:hAnsi="仿宋" w:eastAsia="仿宋" w:cs="仿宋"/>
          <w:sz w:val="30"/>
          <w:szCs w:val="30"/>
        </w:rPr>
        <w:t>代理机构：</w:t>
      </w:r>
      <w:r>
        <w:rPr>
          <w:rFonts w:hint="eastAsia" w:ascii="仿宋" w:hAnsi="仿宋" w:eastAsia="仿宋" w:cs="仿宋"/>
          <w:sz w:val="30"/>
          <w:szCs w:val="30"/>
          <w:lang w:eastAsia="zh-CN"/>
        </w:rPr>
        <w:t>白碱滩区机关事务服务中心</w:t>
      </w:r>
    </w:p>
    <w:p w14:paraId="3D5E7A21">
      <w:pPr>
        <w:overflowPunct w:val="0"/>
        <w:spacing w:line="560" w:lineRule="exact"/>
        <w:rPr>
          <w:rFonts w:hint="eastAsia" w:ascii="仿宋" w:hAnsi="仿宋" w:eastAsia="仿宋" w:cs="仿宋"/>
          <w:sz w:val="30"/>
          <w:szCs w:val="30"/>
        </w:rPr>
      </w:pPr>
    </w:p>
    <w:p w14:paraId="264703DC">
      <w:pPr>
        <w:pStyle w:val="6"/>
        <w:rPr>
          <w:rFonts w:hint="eastAsia" w:ascii="仿宋" w:hAnsi="仿宋" w:eastAsia="仿宋" w:cs="仿宋"/>
          <w:sz w:val="30"/>
          <w:szCs w:val="30"/>
        </w:rPr>
      </w:pPr>
    </w:p>
    <w:p w14:paraId="2170C551">
      <w:pPr>
        <w:rPr>
          <w:rFonts w:hint="eastAsia" w:ascii="仿宋" w:hAnsi="仿宋" w:eastAsia="仿宋" w:cs="仿宋"/>
        </w:rPr>
      </w:pPr>
    </w:p>
    <w:p w14:paraId="578E5C55">
      <w:pPr>
        <w:overflowPunct w:val="0"/>
        <w:spacing w:line="560" w:lineRule="exact"/>
        <w:rPr>
          <w:rFonts w:hint="eastAsia" w:ascii="仿宋" w:hAnsi="仿宋" w:eastAsia="仿宋" w:cs="仿宋"/>
          <w:b/>
          <w:sz w:val="36"/>
          <w:szCs w:val="36"/>
        </w:rPr>
      </w:pPr>
    </w:p>
    <w:p w14:paraId="1C4D6341">
      <w:pPr>
        <w:overflowPunct w:val="0"/>
        <w:spacing w:line="560" w:lineRule="exact"/>
        <w:jc w:val="center"/>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eastAsia="zh-CN"/>
        </w:rPr>
        <w:t>2026年6月23日</w:t>
      </w:r>
    </w:p>
    <w:p w14:paraId="5647C5F5">
      <w:pPr>
        <w:jc w:val="center"/>
        <w:rPr>
          <w:rFonts w:hint="eastAsia" w:ascii="仿宋" w:hAnsi="仿宋" w:eastAsia="仿宋" w:cs="仿宋"/>
          <w:sz w:val="44"/>
          <w:szCs w:val="44"/>
        </w:rPr>
        <w:sectPr>
          <w:footerReference r:id="rId3" w:type="default"/>
          <w:pgSz w:w="11907" w:h="16840"/>
          <w:pgMar w:top="1134" w:right="1191" w:bottom="1134" w:left="1304" w:header="964" w:footer="992" w:gutter="0"/>
          <w:pgBorders>
            <w:top w:val="none" w:sz="0" w:space="0"/>
            <w:left w:val="none" w:sz="0" w:space="0"/>
            <w:bottom w:val="none" w:sz="0" w:space="0"/>
            <w:right w:val="none" w:sz="0" w:space="0"/>
          </w:pgBorders>
          <w:pgNumType w:fmt="numberInDash" w:start="1"/>
          <w:cols w:space="720" w:num="1"/>
          <w:docGrid w:linePitch="312" w:charSpace="0"/>
        </w:sectPr>
      </w:pPr>
    </w:p>
    <w:p w14:paraId="522D048D">
      <w:pPr>
        <w:rPr>
          <w:rFonts w:hint="eastAsia" w:ascii="仿宋" w:hAnsi="仿宋" w:eastAsia="仿宋" w:cs="仿宋"/>
        </w:rPr>
      </w:pPr>
    </w:p>
    <w:p w14:paraId="5B82CB00">
      <w:pPr>
        <w:keepNext w:val="0"/>
        <w:keepLines w:val="0"/>
        <w:pageBreakBefore w:val="0"/>
        <w:widowControl w:val="0"/>
        <w:tabs>
          <w:tab w:val="left" w:pos="1260"/>
          <w:tab w:val="left" w:pos="1685"/>
          <w:tab w:val="right" w:leader="dot" w:pos="8400"/>
        </w:tabs>
        <w:kinsoku/>
        <w:wordWrap/>
        <w:overflowPunct/>
        <w:topLinePunct w:val="0"/>
        <w:autoSpaceDE/>
        <w:autoSpaceDN/>
        <w:bidi w:val="0"/>
        <w:adjustRightInd/>
        <w:snapToGrid/>
        <w:spacing w:line="560" w:lineRule="exact"/>
        <w:ind w:firstLine="0"/>
        <w:jc w:val="center"/>
        <w:textAlignment w:val="auto"/>
        <w:outlineLvl w:val="0"/>
        <w:rPr>
          <w:rStyle w:val="22"/>
          <w:rFonts w:hint="eastAsia" w:ascii="仿宋" w:hAnsi="仿宋" w:eastAsia="仿宋" w:cs="仿宋"/>
          <w:sz w:val="36"/>
          <w:szCs w:val="36"/>
        </w:rPr>
      </w:pPr>
      <w:bookmarkStart w:id="0" w:name="_Toc491251277"/>
      <w:bookmarkStart w:id="1" w:name="_Toc10120"/>
      <w:bookmarkStart w:id="2" w:name="_Toc10970"/>
      <w:bookmarkStart w:id="3" w:name="_Toc491251278"/>
      <w:bookmarkStart w:id="4" w:name="_Toc491251286"/>
      <w:r>
        <w:rPr>
          <w:rStyle w:val="22"/>
          <w:rFonts w:hint="eastAsia" w:ascii="仿宋" w:hAnsi="仿宋" w:eastAsia="仿宋" w:cs="仿宋"/>
          <w:sz w:val="36"/>
          <w:szCs w:val="36"/>
          <w:lang w:val="en-US" w:eastAsia="zh-CN"/>
        </w:rPr>
        <w:t>第一篇   投标邀请书</w:t>
      </w:r>
      <w:bookmarkEnd w:id="0"/>
    </w:p>
    <w:bookmarkEnd w:id="1"/>
    <w:bookmarkEnd w:id="2"/>
    <w:p w14:paraId="17E21EF0">
      <w:pPr>
        <w:pStyle w:val="24"/>
        <w:keepNext w:val="0"/>
        <w:keepLines w:val="0"/>
        <w:pageBreakBefore w:val="0"/>
        <w:widowControl/>
        <w:kinsoku/>
        <w:wordWrap/>
        <w:overflowPunct/>
        <w:topLinePunct w:val="0"/>
        <w:autoSpaceDE/>
        <w:autoSpaceDN/>
        <w:bidi w:val="0"/>
        <w:adjustRightInd/>
        <w:snapToGrid w:val="0"/>
        <w:ind w:left="0" w:leftChars="0" w:firstLine="480" w:firstLineChars="200"/>
        <w:textAlignment w:val="auto"/>
        <w:rPr>
          <w:rFonts w:hint="eastAsia" w:ascii="仿宋" w:hAnsi="仿宋" w:eastAsia="仿宋" w:cs="仿宋"/>
          <w:color w:val="auto"/>
        </w:rPr>
      </w:pPr>
      <w:r>
        <w:rPr>
          <w:rFonts w:hint="eastAsia" w:cs="仿宋"/>
          <w:color w:val="auto"/>
          <w:lang w:eastAsia="zh-CN"/>
        </w:rPr>
        <w:t>白碱滩区机关事务服务中心</w:t>
      </w:r>
      <w:r>
        <w:rPr>
          <w:rFonts w:hint="eastAsia" w:ascii="仿宋" w:hAnsi="仿宋" w:eastAsia="仿宋" w:cs="仿宋"/>
          <w:color w:val="auto"/>
        </w:rPr>
        <w:t>受</w:t>
      </w:r>
      <w:r>
        <w:rPr>
          <w:rFonts w:hint="eastAsia" w:cs="仿宋"/>
          <w:color w:val="auto"/>
          <w:lang w:eastAsia="zh-CN"/>
        </w:rPr>
        <w:t>克拉玛依市第五中学</w:t>
      </w:r>
      <w:r>
        <w:rPr>
          <w:rFonts w:hint="eastAsia" w:ascii="仿宋" w:hAnsi="仿宋" w:eastAsia="仿宋" w:cs="仿宋"/>
          <w:color w:val="auto"/>
        </w:rPr>
        <w:t>的委托，对</w:t>
      </w:r>
      <w:r>
        <w:rPr>
          <w:rFonts w:hint="eastAsia" w:cs="Times New Roman"/>
          <w:szCs w:val="24"/>
          <w:lang w:val="en-US" w:eastAsia="zh-CN"/>
        </w:rPr>
        <w:t>五中标准化考场智能巡考系统建设采购项目</w:t>
      </w:r>
      <w:r>
        <w:rPr>
          <w:rFonts w:hint="eastAsia" w:ascii="仿宋" w:hAnsi="仿宋" w:eastAsia="仿宋" w:cs="仿宋"/>
          <w:color w:val="auto"/>
        </w:rPr>
        <w:t>以</w:t>
      </w:r>
      <w:r>
        <w:rPr>
          <w:rFonts w:hint="eastAsia" w:ascii="仿宋" w:hAnsi="仿宋" w:eastAsia="仿宋" w:cs="仿宋"/>
          <w:color w:val="auto"/>
          <w:lang w:eastAsia="zh-CN"/>
        </w:rPr>
        <w:t>竞争性谈判</w:t>
      </w:r>
      <w:r>
        <w:rPr>
          <w:rFonts w:hint="eastAsia" w:ascii="仿宋" w:hAnsi="仿宋" w:eastAsia="仿宋" w:cs="仿宋"/>
          <w:color w:val="auto"/>
        </w:rPr>
        <w:t>方式采购，欢迎有资格的供应商参加投标。</w:t>
      </w:r>
    </w:p>
    <w:p w14:paraId="1CB2C9CA">
      <w:pPr>
        <w:pStyle w:val="6"/>
        <w:pageBreakBefore w:val="0"/>
        <w:kinsoku/>
        <w:wordWrap/>
        <w:topLinePunct w:val="0"/>
        <w:autoSpaceDE/>
        <w:autoSpaceDN/>
        <w:bidi w:val="0"/>
        <w:ind w:firstLine="482" w:firstLineChars="200"/>
        <w:rPr>
          <w:rFonts w:hint="eastAsia" w:ascii="仿宋" w:hAnsi="仿宋" w:eastAsia="仿宋" w:cs="仿宋"/>
          <w:sz w:val="24"/>
          <w:szCs w:val="24"/>
        </w:rPr>
      </w:pPr>
      <w:bookmarkStart w:id="5" w:name="_Toc5748"/>
      <w:bookmarkStart w:id="6" w:name="_Toc23740"/>
      <w:r>
        <w:rPr>
          <w:rFonts w:hint="eastAsia" w:ascii="仿宋" w:hAnsi="仿宋" w:eastAsia="仿宋" w:cs="仿宋"/>
          <w:sz w:val="24"/>
          <w:szCs w:val="24"/>
        </w:rPr>
        <w:t>一、</w:t>
      </w:r>
      <w:r>
        <w:rPr>
          <w:rFonts w:hint="eastAsia" w:ascii="仿宋" w:hAnsi="仿宋" w:eastAsia="仿宋" w:cs="仿宋"/>
          <w:sz w:val="24"/>
          <w:szCs w:val="24"/>
          <w:lang w:val="en-US" w:eastAsia="zh-CN"/>
        </w:rPr>
        <w:t>采购</w:t>
      </w:r>
      <w:r>
        <w:rPr>
          <w:rFonts w:hint="eastAsia" w:ascii="仿宋" w:hAnsi="仿宋" w:eastAsia="仿宋" w:cs="仿宋"/>
          <w:sz w:val="24"/>
          <w:szCs w:val="24"/>
        </w:rPr>
        <w:t>项目内容</w:t>
      </w:r>
      <w:bookmarkEnd w:id="5"/>
      <w:bookmarkEnd w:id="6"/>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6"/>
        <w:gridCol w:w="4567"/>
        <w:gridCol w:w="1432"/>
        <w:gridCol w:w="3426"/>
      </w:tblGrid>
      <w:tr w14:paraId="4C95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noWrap w:val="0"/>
            <w:vAlign w:val="center"/>
          </w:tcPr>
          <w:p w14:paraId="74842CEB">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仿宋" w:hAnsi="仿宋" w:eastAsia="仿宋" w:cs="仿宋"/>
                <w:b/>
                <w:szCs w:val="24"/>
              </w:rPr>
            </w:pPr>
            <w:r>
              <w:rPr>
                <w:rFonts w:hint="eastAsia" w:ascii="仿宋" w:hAnsi="仿宋" w:eastAsia="仿宋" w:cs="仿宋"/>
                <w:b/>
                <w:szCs w:val="24"/>
              </w:rPr>
              <w:t>序号</w:t>
            </w:r>
          </w:p>
        </w:tc>
        <w:tc>
          <w:tcPr>
            <w:tcW w:w="0" w:type="auto"/>
            <w:noWrap w:val="0"/>
            <w:vAlign w:val="center"/>
          </w:tcPr>
          <w:p w14:paraId="7D3FE25F">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仿宋" w:hAnsi="仿宋" w:eastAsia="仿宋" w:cs="仿宋"/>
                <w:b/>
                <w:szCs w:val="24"/>
              </w:rPr>
            </w:pPr>
            <w:r>
              <w:rPr>
                <w:rFonts w:hint="eastAsia" w:ascii="仿宋" w:hAnsi="仿宋" w:eastAsia="仿宋" w:cs="仿宋"/>
                <w:b/>
                <w:szCs w:val="24"/>
              </w:rPr>
              <w:t>项目名称</w:t>
            </w:r>
          </w:p>
        </w:tc>
        <w:tc>
          <w:tcPr>
            <w:tcW w:w="0" w:type="auto"/>
            <w:noWrap w:val="0"/>
            <w:vAlign w:val="center"/>
          </w:tcPr>
          <w:p w14:paraId="7325AEA3">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both"/>
              <w:textAlignment w:val="auto"/>
              <w:rPr>
                <w:rFonts w:hint="eastAsia" w:ascii="仿宋" w:hAnsi="仿宋" w:eastAsia="仿宋" w:cs="仿宋"/>
                <w:b/>
                <w:szCs w:val="24"/>
                <w:lang w:val="en-US" w:eastAsia="zh-CN"/>
              </w:rPr>
            </w:pPr>
            <w:r>
              <w:rPr>
                <w:rFonts w:hint="eastAsia" w:ascii="仿宋" w:hAnsi="仿宋" w:eastAsia="仿宋" w:cs="仿宋"/>
                <w:b/>
                <w:szCs w:val="24"/>
                <w:lang w:val="en-US" w:eastAsia="zh-CN"/>
              </w:rPr>
              <w:t>采购预算</w:t>
            </w:r>
          </w:p>
        </w:tc>
        <w:tc>
          <w:tcPr>
            <w:tcW w:w="0" w:type="auto"/>
            <w:noWrap w:val="0"/>
            <w:vAlign w:val="center"/>
          </w:tcPr>
          <w:p w14:paraId="2E239D99">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仿宋" w:hAnsi="仿宋" w:eastAsia="仿宋" w:cs="仿宋"/>
                <w:b/>
                <w:szCs w:val="24"/>
              </w:rPr>
            </w:pPr>
            <w:r>
              <w:rPr>
                <w:rFonts w:hint="eastAsia" w:ascii="仿宋" w:hAnsi="仿宋" w:eastAsia="仿宋" w:cs="仿宋"/>
                <w:b/>
                <w:szCs w:val="24"/>
              </w:rPr>
              <w:t>备注</w:t>
            </w:r>
          </w:p>
        </w:tc>
      </w:tr>
      <w:tr w14:paraId="6B44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0" w:type="auto"/>
            <w:noWrap w:val="0"/>
            <w:vAlign w:val="center"/>
          </w:tcPr>
          <w:p w14:paraId="6903574F">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仿宋" w:hAnsi="仿宋" w:eastAsia="仿宋" w:cs="仿宋"/>
                <w:szCs w:val="24"/>
              </w:rPr>
            </w:pPr>
            <w:r>
              <w:rPr>
                <w:rFonts w:hint="eastAsia" w:ascii="仿宋" w:hAnsi="仿宋" w:eastAsia="仿宋" w:cs="仿宋"/>
                <w:szCs w:val="24"/>
              </w:rPr>
              <w:t>1</w:t>
            </w:r>
          </w:p>
        </w:tc>
        <w:tc>
          <w:tcPr>
            <w:tcW w:w="0" w:type="auto"/>
            <w:noWrap w:val="0"/>
            <w:vAlign w:val="center"/>
          </w:tcPr>
          <w:p w14:paraId="785796F6">
            <w:pPr>
              <w:pStyle w:val="10"/>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仿宋" w:hAnsi="仿宋" w:eastAsia="仿宋" w:cs="仿宋"/>
                <w:szCs w:val="24"/>
                <w:lang w:eastAsia="zh-CN"/>
              </w:rPr>
            </w:pPr>
            <w:r>
              <w:rPr>
                <w:rFonts w:hint="eastAsia" w:ascii="仿宋" w:hAnsi="仿宋" w:eastAsia="仿宋" w:cs="Times New Roman"/>
                <w:szCs w:val="24"/>
                <w:lang w:val="en-US" w:eastAsia="zh-CN"/>
              </w:rPr>
              <w:t>五中标准化考场智能巡考系统建设采购项目</w:t>
            </w:r>
          </w:p>
        </w:tc>
        <w:tc>
          <w:tcPr>
            <w:tcW w:w="0" w:type="auto"/>
            <w:noWrap w:val="0"/>
            <w:vAlign w:val="center"/>
          </w:tcPr>
          <w:p w14:paraId="472BDE62">
            <w:pPr>
              <w:pStyle w:val="10"/>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default" w:ascii="仿宋" w:hAnsi="仿宋" w:eastAsia="仿宋" w:cs="仿宋"/>
                <w:szCs w:val="24"/>
                <w:lang w:val="en-US" w:eastAsia="zh-CN"/>
              </w:rPr>
            </w:pPr>
            <w:r>
              <w:rPr>
                <w:rFonts w:hint="eastAsia" w:ascii="仿宋" w:hAnsi="仿宋" w:eastAsia="仿宋" w:cs="仿宋"/>
                <w:szCs w:val="24"/>
                <w:lang w:val="en-US" w:eastAsia="zh-CN"/>
              </w:rPr>
              <w:t>135万元/年</w:t>
            </w:r>
          </w:p>
        </w:tc>
        <w:tc>
          <w:tcPr>
            <w:tcW w:w="0" w:type="auto"/>
            <w:noWrap w:val="0"/>
            <w:vAlign w:val="center"/>
          </w:tcPr>
          <w:p w14:paraId="4F61DDEB">
            <w:pPr>
              <w:pStyle w:val="10"/>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eastAsia" w:ascii="仿宋" w:hAnsi="仿宋" w:eastAsia="仿宋" w:cs="仿宋"/>
                <w:szCs w:val="24"/>
                <w:lang w:val="en-US" w:eastAsia="zh-CN"/>
              </w:rPr>
            </w:pPr>
            <w:r>
              <w:rPr>
                <w:rFonts w:hint="eastAsia" w:ascii="仿宋" w:hAnsi="仿宋" w:eastAsia="仿宋"/>
                <w:szCs w:val="24"/>
                <w:lang w:val="en-US" w:eastAsia="zh-CN"/>
              </w:rPr>
              <w:t>本项目中小企业划分类别为</w:t>
            </w:r>
            <w:r>
              <w:rPr>
                <w:rFonts w:hint="eastAsia" w:ascii="仿宋" w:hAnsi="仿宋" w:eastAsia="仿宋" w:cs="Times New Roman"/>
                <w:szCs w:val="24"/>
                <w:lang w:val="en-US" w:eastAsia="zh-CN"/>
              </w:rPr>
              <w:t>工业</w:t>
            </w:r>
          </w:p>
        </w:tc>
      </w:tr>
      <w:bookmarkEnd w:id="3"/>
    </w:tbl>
    <w:p w14:paraId="0EB19957">
      <w:pPr>
        <w:pStyle w:val="6"/>
        <w:pageBreakBefore w:val="0"/>
        <w:kinsoku/>
        <w:wordWrap/>
        <w:topLinePunct w:val="0"/>
        <w:autoSpaceDE/>
        <w:autoSpaceDN/>
        <w:bidi w:val="0"/>
        <w:ind w:firstLine="480" w:firstLineChars="200"/>
        <w:rPr>
          <w:rFonts w:hint="eastAsia" w:ascii="仿宋" w:hAnsi="仿宋" w:eastAsia="仿宋" w:cs="Times New Roman"/>
          <w:b w:val="0"/>
          <w:kern w:val="2"/>
          <w:sz w:val="24"/>
          <w:szCs w:val="24"/>
          <w:lang w:val="en-US" w:eastAsia="zh-CN" w:bidi="ar-SA"/>
        </w:rPr>
      </w:pPr>
      <w:bookmarkStart w:id="7" w:name="_Toc491251279"/>
      <w:bookmarkStart w:id="8" w:name="_Toc902"/>
      <w:bookmarkStart w:id="9" w:name="_Toc25686"/>
      <w:r>
        <w:rPr>
          <w:rFonts w:hint="eastAsia" w:ascii="仿宋" w:hAnsi="仿宋" w:eastAsia="仿宋" w:cs="Times New Roman"/>
          <w:b w:val="0"/>
          <w:kern w:val="2"/>
          <w:sz w:val="24"/>
          <w:szCs w:val="24"/>
          <w:lang w:val="en-US" w:eastAsia="zh-CN" w:bidi="ar-SA"/>
        </w:rPr>
        <w:t>服务年限：自合同签订之日起，服务期限三年（合同三年一签）</w:t>
      </w:r>
    </w:p>
    <w:p w14:paraId="18CD1754">
      <w:pPr>
        <w:pStyle w:val="6"/>
        <w:pageBreakBefore w:val="0"/>
        <w:kinsoku/>
        <w:wordWrap/>
        <w:topLinePunct w:val="0"/>
        <w:autoSpaceDE/>
        <w:autoSpaceDN/>
        <w:bidi w:val="0"/>
        <w:ind w:firstLine="482" w:firstLineChars="200"/>
        <w:rPr>
          <w:rFonts w:hint="eastAsia" w:ascii="仿宋" w:hAnsi="仿宋" w:eastAsia="仿宋" w:cs="仿宋"/>
          <w:b/>
          <w:sz w:val="24"/>
          <w:szCs w:val="24"/>
        </w:rPr>
      </w:pPr>
      <w:r>
        <w:rPr>
          <w:rFonts w:hint="eastAsia" w:ascii="仿宋" w:hAnsi="仿宋" w:eastAsia="仿宋" w:cs="仿宋"/>
          <w:b/>
          <w:sz w:val="24"/>
          <w:szCs w:val="24"/>
        </w:rPr>
        <w:t>二、资金来源</w:t>
      </w:r>
      <w:bookmarkEnd w:id="7"/>
      <w:bookmarkEnd w:id="8"/>
      <w:bookmarkEnd w:id="9"/>
    </w:p>
    <w:p w14:paraId="2911363C">
      <w:pPr>
        <w:pStyle w:val="24"/>
        <w:pageBreakBefore w:val="0"/>
        <w:kinsoku/>
        <w:wordWrap/>
        <w:topLinePunct w:val="0"/>
        <w:autoSpaceDE/>
        <w:autoSpaceDN/>
        <w:bidi w:val="0"/>
        <w:ind w:firstLine="480" w:firstLineChars="200"/>
        <w:rPr>
          <w:rFonts w:hint="eastAsia" w:ascii="仿宋" w:hAnsi="仿宋" w:eastAsia="仿宋" w:cs="仿宋"/>
        </w:rPr>
      </w:pPr>
      <w:bookmarkStart w:id="10" w:name="_Toc491251280"/>
      <w:r>
        <w:rPr>
          <w:rFonts w:hint="eastAsia" w:ascii="仿宋" w:hAnsi="仿宋" w:eastAsia="仿宋" w:cs="仿宋"/>
        </w:rPr>
        <w:t>财政预算资金。</w:t>
      </w:r>
    </w:p>
    <w:p w14:paraId="716424BF">
      <w:pPr>
        <w:pStyle w:val="6"/>
        <w:pageBreakBefore w:val="0"/>
        <w:numPr>
          <w:ilvl w:val="0"/>
          <w:numId w:val="2"/>
        </w:numPr>
        <w:kinsoku/>
        <w:wordWrap/>
        <w:topLinePunct w:val="0"/>
        <w:autoSpaceDE/>
        <w:autoSpaceDN/>
        <w:bidi w:val="0"/>
        <w:ind w:firstLine="482" w:firstLineChars="200"/>
        <w:rPr>
          <w:rFonts w:hint="eastAsia" w:ascii="仿宋" w:hAnsi="仿宋" w:eastAsia="仿宋" w:cs="仿宋"/>
          <w:b/>
          <w:sz w:val="24"/>
          <w:szCs w:val="24"/>
        </w:rPr>
      </w:pPr>
      <w:bookmarkStart w:id="11" w:name="_Toc15615"/>
      <w:bookmarkStart w:id="12" w:name="_Toc4728"/>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bookmarkEnd w:id="10"/>
      <w:bookmarkEnd w:id="11"/>
      <w:bookmarkEnd w:id="12"/>
    </w:p>
    <w:p w14:paraId="5F700979">
      <w:pPr>
        <w:pStyle w:val="24"/>
        <w:keepNext w:val="0"/>
        <w:keepLines w:val="0"/>
        <w:pageBreakBefore w:val="0"/>
        <w:kinsoku/>
        <w:topLinePunct w:val="0"/>
        <w:bidi w:val="0"/>
        <w:spacing w:line="560" w:lineRule="exact"/>
        <w:ind w:firstLine="480"/>
        <w:rPr>
          <w:rFonts w:hint="eastAsia" w:cs="Times New Roman"/>
        </w:rPr>
      </w:pPr>
      <w:r>
        <w:rPr>
          <w:rFonts w:hint="eastAsia" w:cs="Times New Roman"/>
        </w:rPr>
        <w:t>（一）资格条件</w:t>
      </w:r>
    </w:p>
    <w:p w14:paraId="0934BA5C">
      <w:pPr>
        <w:pStyle w:val="24"/>
        <w:keepNext w:val="0"/>
        <w:keepLines w:val="0"/>
        <w:pageBreakBefore w:val="0"/>
        <w:kinsoku/>
        <w:topLinePunct w:val="0"/>
        <w:bidi w:val="0"/>
        <w:spacing w:line="560" w:lineRule="exact"/>
        <w:ind w:firstLine="480"/>
      </w:pPr>
      <w:bookmarkStart w:id="13" w:name="_Toc17399"/>
      <w:bookmarkStart w:id="14" w:name="_Toc491251281"/>
      <w:bookmarkStart w:id="15" w:name="_Toc9006"/>
      <w:r>
        <w:rPr>
          <w:rFonts w:hint="eastAsia"/>
        </w:rPr>
        <w:t>1.具有独立承担民事责任的能力；</w:t>
      </w:r>
    </w:p>
    <w:p w14:paraId="347BCCFC">
      <w:pPr>
        <w:pStyle w:val="24"/>
        <w:keepNext w:val="0"/>
        <w:keepLines w:val="0"/>
        <w:pageBreakBefore w:val="0"/>
        <w:kinsoku/>
        <w:topLinePunct w:val="0"/>
        <w:bidi w:val="0"/>
        <w:spacing w:line="560" w:lineRule="exact"/>
        <w:ind w:firstLine="480"/>
      </w:pPr>
      <w:r>
        <w:rPr>
          <w:rFonts w:hint="eastAsia"/>
        </w:rPr>
        <w:t>2.具有良好的商业信誉；（信用查询：</w:t>
      </w:r>
      <w:r>
        <w:t>按照《财政部关于在政府采购活动中查询及使用信用记录有关问题的通知》（财库〔2016〕125号）的要求，根据开标当日“信用中国”（</w:t>
      </w:r>
      <w:r>
        <w:drawing>
          <wp:inline distT="0" distB="0" distL="114300" distR="114300">
            <wp:extent cx="190500" cy="142875"/>
            <wp:effectExtent l="0" t="0" r="0" b="9525"/>
            <wp:docPr id="1" name="图片 1" descr="说明: 说明: C:\DOCUME~1\ADMINI~1\LOCALS~1\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说明: C:\DOCUME~1\ADMINI~1\LOCALS~1\Temp\%W@GJ$ACOF(TYDYECOKVDYB.png"/>
                    <pic:cNvPicPr>
                      <a:picLocks noChangeAspect="1"/>
                    </pic:cNvPicPr>
                  </pic:nvPicPr>
                  <pic:blipFill>
                    <a:blip r:embed="rId17"/>
                    <a:stretch>
                      <a:fillRect/>
                    </a:stretch>
                  </pic:blipFill>
                  <pic:spPr>
                    <a:xfrm>
                      <a:off x="0" y="0"/>
                      <a:ext cx="190500" cy="142875"/>
                    </a:xfrm>
                    <a:prstGeom prst="rect">
                      <a:avLst/>
                    </a:prstGeom>
                    <a:noFill/>
                    <a:ln>
                      <a:noFill/>
                    </a:ln>
                  </pic:spPr>
                </pic:pic>
              </a:graphicData>
            </a:graphic>
          </wp:inline>
        </w:drawing>
      </w:r>
      <w:r>
        <w:t>www.creditchina.gov.cn）、</w:t>
      </w:r>
      <w:r>
        <w:rPr>
          <w:rFonts w:hint="eastAsia"/>
        </w:rPr>
        <w:t>“</w:t>
      </w:r>
      <w:r>
        <w:t>中国政府采购网</w:t>
      </w:r>
      <w:r>
        <w:rPr>
          <w:rFonts w:hint="eastAsia"/>
        </w:rPr>
        <w:t>”</w:t>
      </w:r>
      <w:r>
        <w:t>（</w:t>
      </w:r>
      <w:r>
        <w:drawing>
          <wp:inline distT="0" distB="0" distL="114300" distR="114300">
            <wp:extent cx="190500" cy="142875"/>
            <wp:effectExtent l="0" t="0" r="0" b="9525"/>
            <wp:docPr id="2" name="图片 2" descr="说明: 说明: C:\DOCUME~1\ADMINI~1\LOCALS~1\Temp\%W@GJ$ACOF(TYDYECOKVDY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说明: C:\DOCUME~1\ADMINI~1\LOCALS~1\Temp\%W@GJ$ACOF(TYDYECOKVDYB.png"/>
                    <pic:cNvPicPr>
                      <a:picLocks noChangeAspect="1"/>
                    </pic:cNvPicPr>
                  </pic:nvPicPr>
                  <pic:blipFill>
                    <a:blip r:embed="rId17"/>
                    <a:stretch>
                      <a:fillRect/>
                    </a:stretch>
                  </pic:blipFill>
                  <pic:spPr>
                    <a:xfrm>
                      <a:off x="0" y="0"/>
                      <a:ext cx="190500" cy="142875"/>
                    </a:xfrm>
                    <a:prstGeom prst="rect">
                      <a:avLst/>
                    </a:prstGeom>
                    <a:noFill/>
                    <a:ln>
                      <a:noFill/>
                    </a:ln>
                  </pic:spPr>
                </pic:pic>
              </a:graphicData>
            </a:graphic>
          </wp:inline>
        </w:drawing>
      </w:r>
      <w:r>
        <w:fldChar w:fldCharType="begin"/>
      </w:r>
      <w:r>
        <w:instrText xml:space="preserve"> HYPERLINK "http://www.ccgp.gov.cn" </w:instrText>
      </w:r>
      <w:r>
        <w:fldChar w:fldCharType="separate"/>
      </w:r>
      <w:r>
        <w:t>www.ccgp.gov.cn</w:t>
      </w:r>
      <w:r>
        <w:fldChar w:fldCharType="end"/>
      </w:r>
      <w:r>
        <w:t>）</w:t>
      </w:r>
      <w:r>
        <w:rPr>
          <w:rFonts w:hint="eastAsia"/>
        </w:rPr>
        <w:t>等渠道</w:t>
      </w:r>
      <w:r>
        <w:t>的</w:t>
      </w:r>
      <w:r>
        <w:rPr>
          <w:rFonts w:hint="eastAsia"/>
        </w:rPr>
        <w:t>查询结果</w:t>
      </w:r>
      <w:r>
        <w:t>，对列入失信被执行人、重大税收违法案件当事人名单、政府采购严重违法失信行为记录名单的供应商，拒绝</w:t>
      </w:r>
      <w:r>
        <w:rPr>
          <w:rFonts w:hint="eastAsia"/>
        </w:rPr>
        <w:t>其</w:t>
      </w:r>
      <w:r>
        <w:t>参与政府采购活动，同时对信用查询记录和证据打印存档。</w:t>
      </w:r>
      <w:r>
        <w:rPr>
          <w:rFonts w:hint="eastAsia"/>
        </w:rPr>
        <w:t>）</w:t>
      </w:r>
    </w:p>
    <w:p w14:paraId="32F9AAB0">
      <w:pPr>
        <w:pStyle w:val="24"/>
        <w:keepNext w:val="0"/>
        <w:keepLines w:val="0"/>
        <w:pageBreakBefore w:val="0"/>
        <w:kinsoku/>
        <w:topLinePunct w:val="0"/>
        <w:bidi w:val="0"/>
        <w:spacing w:line="560" w:lineRule="exact"/>
        <w:ind w:firstLine="480"/>
      </w:pPr>
      <w:r>
        <w:rPr>
          <w:rFonts w:hint="eastAsia"/>
        </w:rPr>
        <w:t>3.具有履行合同所必需的设备和专业技术能力</w:t>
      </w:r>
    </w:p>
    <w:p w14:paraId="1FB6792D">
      <w:pPr>
        <w:pStyle w:val="24"/>
        <w:keepNext w:val="0"/>
        <w:keepLines w:val="0"/>
        <w:pageBreakBefore w:val="0"/>
        <w:kinsoku/>
        <w:topLinePunct w:val="0"/>
        <w:bidi w:val="0"/>
        <w:spacing w:line="560" w:lineRule="exact"/>
        <w:ind w:firstLine="480"/>
        <w:rPr>
          <w:rFonts w:hint="eastAsia"/>
          <w:color w:val="FF0000"/>
          <w:lang w:val="en-US" w:eastAsia="zh-CN"/>
        </w:rPr>
      </w:pPr>
      <w:r>
        <w:rPr>
          <w:rFonts w:hint="eastAsia"/>
        </w:rPr>
        <w:t>4.参加政府采购活动前三年内，未因违法经营受到刑事处罚或者责令停产停业、吊销许可证或者执照、较大数额罚款等行政处罚。</w:t>
      </w:r>
    </w:p>
    <w:p w14:paraId="42068918">
      <w:pPr>
        <w:pStyle w:val="24"/>
        <w:keepNext w:val="0"/>
        <w:keepLines w:val="0"/>
        <w:pageBreakBefore w:val="0"/>
        <w:kinsoku/>
        <w:topLinePunct w:val="0"/>
        <w:bidi w:val="0"/>
        <w:spacing w:line="560" w:lineRule="exact"/>
        <w:ind w:firstLine="480"/>
        <w:rPr>
          <w:rFonts w:hint="eastAsia"/>
          <w:lang w:val="en-US" w:eastAsia="zh-CN"/>
        </w:rPr>
      </w:pPr>
      <w:r>
        <w:rPr>
          <w:rFonts w:hint="eastAsia"/>
          <w:lang w:val="en-US" w:eastAsia="zh-CN"/>
        </w:rPr>
        <w:t>5.专门面向中小企业</w:t>
      </w:r>
    </w:p>
    <w:p w14:paraId="15C4469A">
      <w:pPr>
        <w:pStyle w:val="24"/>
        <w:keepNext w:val="0"/>
        <w:keepLines w:val="0"/>
        <w:pageBreakBefore w:val="0"/>
        <w:kinsoku/>
        <w:topLinePunct w:val="0"/>
        <w:bidi w:val="0"/>
        <w:spacing w:line="560" w:lineRule="exact"/>
        <w:ind w:firstLine="480"/>
      </w:pPr>
      <w:r>
        <w:rPr>
          <w:rFonts w:hint="eastAsia"/>
        </w:rPr>
        <w:t>（二）联合体投标</w:t>
      </w:r>
    </w:p>
    <w:p w14:paraId="07BBD5F5">
      <w:pPr>
        <w:pStyle w:val="24"/>
        <w:keepNext w:val="0"/>
        <w:keepLines w:val="0"/>
        <w:pageBreakBefore w:val="0"/>
        <w:kinsoku/>
        <w:topLinePunct w:val="0"/>
        <w:bidi w:val="0"/>
        <w:spacing w:line="560" w:lineRule="exact"/>
        <w:ind w:firstLine="480"/>
      </w:pPr>
      <w:r>
        <w:rPr>
          <w:rFonts w:hint="eastAsia"/>
        </w:rPr>
        <w:t>本项目不接受联合体投标</w:t>
      </w:r>
    </w:p>
    <w:p w14:paraId="6931EE92">
      <w:pPr>
        <w:pStyle w:val="24"/>
        <w:keepNext w:val="0"/>
        <w:keepLines w:val="0"/>
        <w:pageBreakBefore w:val="0"/>
        <w:kinsoku/>
        <w:topLinePunct w:val="0"/>
        <w:bidi w:val="0"/>
        <w:spacing w:line="560" w:lineRule="exact"/>
        <w:ind w:firstLine="480"/>
      </w:pPr>
      <w:r>
        <w:rPr>
          <w:rFonts w:hint="eastAsia"/>
        </w:rPr>
        <w:t>（三）关联企业投标</w:t>
      </w:r>
    </w:p>
    <w:p w14:paraId="1AEA3EF7">
      <w:pPr>
        <w:pStyle w:val="24"/>
        <w:keepNext w:val="0"/>
        <w:keepLines w:val="0"/>
        <w:pageBreakBefore w:val="0"/>
        <w:kinsoku/>
        <w:topLinePunct w:val="0"/>
        <w:bidi w:val="0"/>
        <w:spacing w:line="560" w:lineRule="exact"/>
        <w:ind w:firstLine="480"/>
      </w:pPr>
      <w:r>
        <w:rPr>
          <w:rFonts w:hint="eastAsia"/>
        </w:rPr>
        <w:t>为确保政府采购公平、公正，禁止关联企业参与同一项目投标。</w:t>
      </w:r>
    </w:p>
    <w:p w14:paraId="087FB189">
      <w:pPr>
        <w:pStyle w:val="24"/>
        <w:keepNext w:val="0"/>
        <w:keepLines w:val="0"/>
        <w:pageBreakBefore w:val="0"/>
        <w:kinsoku/>
        <w:topLinePunct w:val="0"/>
        <w:bidi w:val="0"/>
        <w:spacing w:line="560" w:lineRule="exact"/>
        <w:ind w:firstLine="480"/>
        <w:rPr>
          <w:rFonts w:hint="eastAsia"/>
          <w:lang w:val="en-US" w:eastAsia="zh-CN"/>
        </w:rPr>
      </w:pPr>
    </w:p>
    <w:p w14:paraId="4BFF2451">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四、投标、谈判有关说明</w:t>
      </w:r>
      <w:bookmarkEnd w:id="13"/>
      <w:bookmarkEnd w:id="14"/>
      <w:bookmarkEnd w:id="15"/>
    </w:p>
    <w:p w14:paraId="31D4F6E8">
      <w:pPr>
        <w:pStyle w:val="24"/>
        <w:pageBreakBefore w:val="0"/>
        <w:kinsoku/>
        <w:wordWrap/>
        <w:topLinePunct w:val="0"/>
        <w:autoSpaceDE/>
        <w:autoSpaceDN/>
        <w:bidi w:val="0"/>
        <w:ind w:firstLine="480" w:firstLineChars="200"/>
        <w:rPr>
          <w:rFonts w:hint="eastAsia"/>
        </w:rPr>
      </w:pPr>
      <w:bookmarkStart w:id="16" w:name="_Toc13095"/>
      <w:bookmarkStart w:id="17" w:name="_Toc19589"/>
      <w:bookmarkStart w:id="18" w:name="_Toc13651917"/>
      <w:bookmarkStart w:id="19" w:name="_Toc492654785"/>
      <w:r>
        <w:rPr>
          <w:rFonts w:hint="eastAsia"/>
        </w:rPr>
        <w:t>（一）获取采购文件</w:t>
      </w:r>
    </w:p>
    <w:p w14:paraId="7E715D97">
      <w:pPr>
        <w:pStyle w:val="24"/>
        <w:pageBreakBefore w:val="0"/>
        <w:kinsoku/>
        <w:wordWrap/>
        <w:topLinePunct w:val="0"/>
        <w:autoSpaceDE/>
        <w:autoSpaceDN/>
        <w:bidi w:val="0"/>
        <w:ind w:firstLine="480" w:firstLineChars="200"/>
        <w:rPr>
          <w:rFonts w:hint="eastAsia"/>
        </w:rPr>
      </w:pPr>
      <w:r>
        <w:rPr>
          <w:rFonts w:hint="eastAsia"/>
        </w:rPr>
        <w:t>时间：</w:t>
      </w:r>
      <w:r>
        <w:rPr>
          <w:rFonts w:hint="eastAsia"/>
          <w:lang w:eastAsia="zh-CN"/>
        </w:rPr>
        <w:t>2026年6月23日</w:t>
      </w:r>
      <w:r>
        <w:rPr>
          <w:rFonts w:hint="eastAsia"/>
        </w:rPr>
        <w:t xml:space="preserve">至 </w:t>
      </w:r>
      <w:r>
        <w:rPr>
          <w:rFonts w:hint="eastAsia"/>
          <w:lang w:val="en-US" w:eastAsia="zh-CN"/>
        </w:rPr>
        <w:t>2026年6月30日</w:t>
      </w:r>
      <w:r>
        <w:rPr>
          <w:rFonts w:hint="eastAsia"/>
        </w:rPr>
        <w:t>，每天上午 10:00 至 14:00，下午16:00 至 20:00</w:t>
      </w:r>
    </w:p>
    <w:p w14:paraId="5CE78359">
      <w:pPr>
        <w:pStyle w:val="24"/>
        <w:pageBreakBefore w:val="0"/>
        <w:kinsoku/>
        <w:wordWrap/>
        <w:topLinePunct w:val="0"/>
        <w:autoSpaceDE/>
        <w:autoSpaceDN/>
        <w:bidi w:val="0"/>
        <w:ind w:firstLine="480" w:firstLineChars="200"/>
        <w:rPr>
          <w:rFonts w:hint="eastAsia"/>
        </w:rPr>
      </w:pPr>
      <w:r>
        <w:rPr>
          <w:rFonts w:hint="eastAsia"/>
        </w:rPr>
        <w:t>地点：新疆政府采购网政采云平台（www.zcygov.cn）</w:t>
      </w:r>
    </w:p>
    <w:p w14:paraId="447FC8B9">
      <w:pPr>
        <w:pStyle w:val="24"/>
        <w:pageBreakBefore w:val="0"/>
        <w:kinsoku/>
        <w:wordWrap/>
        <w:topLinePunct w:val="0"/>
        <w:autoSpaceDE/>
        <w:autoSpaceDN/>
        <w:bidi w:val="0"/>
        <w:ind w:firstLine="480" w:firstLineChars="200"/>
        <w:rPr>
          <w:rFonts w:hint="eastAsia"/>
        </w:rPr>
      </w:pPr>
      <w:r>
        <w:rPr>
          <w:rFonts w:hint="eastAsia"/>
        </w:rPr>
        <w:t>方式：线上获取，供应商登陆政采云账户,在线申请获取采购文件</w:t>
      </w:r>
    </w:p>
    <w:p w14:paraId="66C120EC">
      <w:pPr>
        <w:pStyle w:val="24"/>
        <w:pageBreakBefore w:val="0"/>
        <w:kinsoku/>
        <w:wordWrap/>
        <w:topLinePunct w:val="0"/>
        <w:autoSpaceDE/>
        <w:autoSpaceDN/>
        <w:bidi w:val="0"/>
        <w:ind w:firstLine="480" w:firstLineChars="200"/>
        <w:rPr>
          <w:rFonts w:hint="eastAsia"/>
        </w:rPr>
      </w:pPr>
      <w:r>
        <w:rPr>
          <w:rFonts w:hint="eastAsia"/>
        </w:rPr>
        <w:t>（二）提交响应文件截止时间、开标时间和地点</w:t>
      </w:r>
    </w:p>
    <w:p w14:paraId="2F075C0B">
      <w:pPr>
        <w:pStyle w:val="24"/>
        <w:pageBreakBefore w:val="0"/>
        <w:kinsoku/>
        <w:wordWrap/>
        <w:topLinePunct w:val="0"/>
        <w:autoSpaceDE/>
        <w:autoSpaceDN/>
        <w:bidi w:val="0"/>
        <w:ind w:firstLine="480" w:firstLineChars="200"/>
        <w:rPr>
          <w:rFonts w:hint="eastAsia"/>
        </w:rPr>
      </w:pPr>
      <w:r>
        <w:rPr>
          <w:rFonts w:hint="eastAsia"/>
        </w:rPr>
        <w:t>时间：</w:t>
      </w:r>
      <w:r>
        <w:rPr>
          <w:rFonts w:hint="eastAsia"/>
          <w:lang w:eastAsia="zh-CN"/>
        </w:rPr>
        <w:t>2026年7月1日</w:t>
      </w:r>
      <w:r>
        <w:rPr>
          <w:rFonts w:hint="eastAsia"/>
        </w:rPr>
        <w:t xml:space="preserve"> </w:t>
      </w:r>
      <w:r>
        <w:rPr>
          <w:rFonts w:hint="eastAsia"/>
          <w:lang w:val="en-US" w:eastAsia="zh-CN"/>
        </w:rPr>
        <w:t>10</w:t>
      </w:r>
      <w:r>
        <w:rPr>
          <w:rFonts w:hint="eastAsia"/>
        </w:rPr>
        <w:t>点 30 分</w:t>
      </w:r>
    </w:p>
    <w:p w14:paraId="02DD6469">
      <w:pPr>
        <w:pStyle w:val="24"/>
        <w:pageBreakBefore w:val="0"/>
        <w:kinsoku/>
        <w:wordWrap/>
        <w:topLinePunct w:val="0"/>
        <w:autoSpaceDE/>
        <w:autoSpaceDN/>
        <w:bidi w:val="0"/>
        <w:ind w:firstLine="480" w:firstLineChars="200"/>
        <w:rPr>
          <w:rFonts w:hint="eastAsia"/>
        </w:rPr>
      </w:pPr>
      <w:r>
        <w:rPr>
          <w:rFonts w:hint="eastAsia"/>
        </w:rPr>
        <w:t>地点：新疆政府采购网政采云平台（www.zcygov.cn）</w:t>
      </w:r>
    </w:p>
    <w:p w14:paraId="17173DF2">
      <w:pPr>
        <w:pStyle w:val="24"/>
        <w:pageBreakBefore w:val="0"/>
        <w:kinsoku/>
        <w:wordWrap/>
        <w:topLinePunct w:val="0"/>
        <w:autoSpaceDE/>
        <w:autoSpaceDN/>
        <w:bidi w:val="0"/>
        <w:ind w:firstLine="480" w:firstLineChars="200"/>
        <w:rPr>
          <w:rFonts w:hint="eastAsia"/>
        </w:rPr>
      </w:pPr>
      <w:r>
        <w:rPr>
          <w:rFonts w:hint="eastAsia"/>
        </w:rPr>
        <w:t>（三）本项目为电子招投标项目，供应商需要使用 CA 加密设备，凡参加本项目</w:t>
      </w:r>
    </w:p>
    <w:p w14:paraId="09D59971">
      <w:pPr>
        <w:pStyle w:val="24"/>
        <w:pageBreakBefore w:val="0"/>
        <w:kinsoku/>
        <w:wordWrap/>
        <w:topLinePunct w:val="0"/>
        <w:autoSpaceDE/>
        <w:autoSpaceDN/>
        <w:bidi w:val="0"/>
        <w:ind w:firstLine="480" w:firstLineChars="200"/>
        <w:rPr>
          <w:rFonts w:hint="eastAsia"/>
        </w:rPr>
      </w:pPr>
      <w:r>
        <w:rPr>
          <w:rFonts w:hint="eastAsia"/>
        </w:rPr>
        <w:t>供应商可通过新疆数字证书认证中心官网（https://www.xjca.com.cn/）或下载“新疆政务通”APP 自行进行线上申领，或前往新疆克拉玛依市克拉玛依区迎宾路 75 号（中国银行大厦 10 楼营业部）或新疆克拉玛依市独山子区大庆东路 34-3（美美影城四楼）进行线下办理。如有操作性问题可与政采云在线客服进行咨询，咨询电话：400-881-7190。</w:t>
      </w:r>
    </w:p>
    <w:p w14:paraId="41755E83">
      <w:pPr>
        <w:pStyle w:val="24"/>
        <w:pageBreakBefore w:val="0"/>
        <w:kinsoku/>
        <w:wordWrap/>
        <w:topLinePunct w:val="0"/>
        <w:autoSpaceDE/>
        <w:autoSpaceDN/>
        <w:bidi w:val="0"/>
        <w:ind w:firstLine="480" w:firstLineChars="200"/>
        <w:rPr>
          <w:rFonts w:hint="eastAsia"/>
        </w:rPr>
      </w:pPr>
      <w:r>
        <w:rPr>
          <w:rFonts w:hint="eastAsia"/>
        </w:rPr>
        <w:t>（四）本项目实行网上投标，采用电子响应文件，若供应商参与投标，应自行承担投标一切费用。</w:t>
      </w:r>
    </w:p>
    <w:p w14:paraId="4EC32DEB">
      <w:pPr>
        <w:pStyle w:val="24"/>
        <w:pageBreakBefore w:val="0"/>
        <w:kinsoku/>
        <w:wordWrap/>
        <w:topLinePunct w:val="0"/>
        <w:autoSpaceDE/>
        <w:autoSpaceDN/>
        <w:bidi w:val="0"/>
        <w:ind w:firstLine="480" w:firstLineChars="200"/>
        <w:rPr>
          <w:rFonts w:hint="eastAsia"/>
        </w:rPr>
      </w:pPr>
      <w:r>
        <w:rPr>
          <w:rFonts w:hint="eastAsia"/>
        </w:rPr>
        <w:t>（五）供应商应在开标前应确保成为新疆政府采购网正式注册入库供应商，并完成 CA 数字证书申领。因未注册入库、未办理 CA 数字证书等原因造成无法投标或投标失败等后果由供应商自行承担。</w:t>
      </w:r>
    </w:p>
    <w:p w14:paraId="44BAF642">
      <w:pPr>
        <w:pStyle w:val="24"/>
        <w:pageBreakBefore w:val="0"/>
        <w:kinsoku/>
        <w:wordWrap/>
        <w:topLinePunct w:val="0"/>
        <w:autoSpaceDE/>
        <w:autoSpaceDN/>
        <w:bidi w:val="0"/>
        <w:ind w:firstLine="480" w:firstLineChars="200"/>
        <w:rPr>
          <w:rFonts w:hint="eastAsia"/>
        </w:rPr>
      </w:pPr>
      <w:r>
        <w:rPr>
          <w:rFonts w:hint="eastAsia"/>
        </w:rPr>
        <w:t>（六）供应商应使用最新版本的 CA 驱动和政采云投标客户端，客户端下载、安装完成后，可通过账号密码或 CA 登录客户端进行响应文件制作。在使用政采云投标客户端时，建议使用谷歌浏览器，电脑配置满足 win7+64 位以上操作系统（不能用mac 或者 linux 系统）。客户端请至新疆政府采购网（www.ccgp-xinjiang.gov.cn）下载专区查看，如有问题可拨打政采云客户服务热线 400-881-7190 进行咨询。</w:t>
      </w:r>
    </w:p>
    <w:p w14:paraId="19F8DA12">
      <w:pPr>
        <w:pStyle w:val="24"/>
        <w:pageBreakBefore w:val="0"/>
        <w:kinsoku/>
        <w:wordWrap/>
        <w:topLinePunct w:val="0"/>
        <w:autoSpaceDE/>
        <w:autoSpaceDN/>
        <w:bidi w:val="0"/>
        <w:ind w:firstLine="480" w:firstLineChars="200"/>
        <w:rPr>
          <w:rFonts w:hint="eastAsia"/>
        </w:rPr>
      </w:pPr>
      <w:r>
        <w:rPr>
          <w:rFonts w:hint="eastAsia"/>
        </w:rPr>
        <w:t>（七）供应商应当在递交响应文件截止时间前，将生成的“电子加密响应文件”上传递交至“政府采购云平台”，递交响应文件截止时间后上传递交的响应文件将被“政府采购云平台”拒收。</w:t>
      </w:r>
    </w:p>
    <w:p w14:paraId="72F767C8">
      <w:pPr>
        <w:pStyle w:val="6"/>
        <w:keepNext/>
        <w:keepLines/>
        <w:pageBreakBefore w:val="0"/>
        <w:widowControl w:val="0"/>
        <w:kinsoku/>
        <w:wordWrap/>
        <w:overflowPunct w:val="0"/>
        <w:topLinePunct w:val="0"/>
        <w:autoSpaceDE/>
        <w:autoSpaceDN/>
        <w:bidi w:val="0"/>
        <w:adjustRightInd w:val="0"/>
        <w:snapToGrid/>
        <w:ind w:firstLine="482" w:firstLineChars="200"/>
        <w:textAlignment w:val="baseline"/>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五、谈判有关规定</w:t>
      </w:r>
    </w:p>
    <w:p w14:paraId="2706CA44">
      <w:pPr>
        <w:pStyle w:val="24"/>
        <w:ind w:firstLine="480"/>
        <w:rPr>
          <w:rFonts w:hint="eastAsia" w:ascii="仿宋" w:hAnsi="仿宋" w:eastAsia="仿宋" w:cs="仿宋"/>
        </w:rPr>
      </w:pPr>
      <w:r>
        <w:rPr>
          <w:rFonts w:hint="eastAsia" w:ascii="仿宋" w:hAnsi="仿宋" w:eastAsia="仿宋" w:cs="仿宋"/>
        </w:rPr>
        <w:t>（一）超过递交响应文件截止时间递交的响应文件，恕不接收。</w:t>
      </w:r>
    </w:p>
    <w:p w14:paraId="5F635C1C">
      <w:pPr>
        <w:pStyle w:val="24"/>
        <w:ind w:firstLine="480"/>
        <w:rPr>
          <w:rFonts w:hint="eastAsia" w:ascii="仿宋" w:hAnsi="仿宋" w:eastAsia="仿宋" w:cs="仿宋"/>
        </w:rPr>
      </w:pPr>
      <w:r>
        <w:rPr>
          <w:rFonts w:hint="eastAsia" w:ascii="仿宋" w:hAnsi="仿宋" w:eastAsia="仿宋" w:cs="仿宋"/>
        </w:rPr>
        <w:t>（二）为确保政府采购公平、公正，禁止关联企业参与同一项目投标。</w:t>
      </w:r>
    </w:p>
    <w:p w14:paraId="30EA2C3F">
      <w:pPr>
        <w:pStyle w:val="24"/>
        <w:ind w:firstLine="480"/>
        <w:rPr>
          <w:rFonts w:hint="eastAsia" w:ascii="仿宋" w:hAnsi="仿宋" w:eastAsia="仿宋" w:cs="仿宋"/>
          <w:color w:val="auto"/>
        </w:rPr>
      </w:pPr>
      <w:r>
        <w:rPr>
          <w:rFonts w:hint="eastAsia" w:ascii="仿宋" w:hAnsi="仿宋" w:eastAsia="仿宋" w:cs="仿宋"/>
        </w:rPr>
        <w:t>（三）</w:t>
      </w:r>
      <w:r>
        <w:rPr>
          <w:rFonts w:hint="eastAsia" w:ascii="仿宋" w:hAnsi="仿宋" w:eastAsia="仿宋" w:cs="仿宋"/>
          <w:color w:val="auto"/>
        </w:rPr>
        <w:t>本项目不接受联合体投标。</w:t>
      </w:r>
    </w:p>
    <w:p w14:paraId="13AB5FF1">
      <w:pPr>
        <w:pStyle w:val="24"/>
        <w:rPr>
          <w:rFonts w:hint="eastAsia" w:ascii="仿宋" w:hAnsi="仿宋" w:eastAsia="仿宋" w:cs="仿宋"/>
        </w:rPr>
      </w:pPr>
      <w:r>
        <w:rPr>
          <w:rFonts w:hint="eastAsia" w:ascii="仿宋" w:hAnsi="仿宋" w:eastAsia="仿宋" w:cs="仿宋"/>
        </w:rPr>
        <w:t>（</w:t>
      </w:r>
      <w:r>
        <w:rPr>
          <w:rFonts w:hint="eastAsia" w:cs="仿宋"/>
          <w:lang w:val="en-US" w:eastAsia="zh-CN"/>
        </w:rPr>
        <w:t>四</w:t>
      </w:r>
      <w:r>
        <w:rPr>
          <w:rFonts w:hint="eastAsia" w:ascii="仿宋" w:hAnsi="仿宋" w:eastAsia="仿宋" w:cs="仿宋"/>
        </w:rPr>
        <w:t>）谈判费用：无论谈判结果如何，供应商参与本项目谈判的所有费用均应由供应商自行承担。</w:t>
      </w:r>
    </w:p>
    <w:p w14:paraId="030D368B">
      <w:pPr>
        <w:pStyle w:val="24"/>
        <w:rPr>
          <w:rFonts w:hint="eastAsia"/>
        </w:rPr>
      </w:pPr>
      <w:r>
        <w:rPr>
          <w:rFonts w:hint="eastAsia" w:ascii="仿宋" w:hAnsi="仿宋" w:eastAsia="仿宋" w:cs="仿宋"/>
        </w:rPr>
        <w:t>（</w:t>
      </w:r>
      <w:r>
        <w:rPr>
          <w:rFonts w:hint="eastAsia" w:cs="仿宋"/>
          <w:lang w:val="en-US" w:eastAsia="zh-CN"/>
        </w:rPr>
        <w:t>五</w:t>
      </w:r>
      <w:r>
        <w:rPr>
          <w:rFonts w:hint="eastAsia" w:ascii="仿宋" w:hAnsi="仿宋" w:eastAsia="仿宋" w:cs="仿宋"/>
        </w:rPr>
        <w:t>）单位负责人为同一人或者存在直接控股、管理关系的不同供应商，不得参加同一合同项下的政府采购活动。</w:t>
      </w:r>
    </w:p>
    <w:p w14:paraId="171B469C">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六、采购项目需落实的政府采购政策</w:t>
      </w:r>
      <w:bookmarkEnd w:id="16"/>
      <w:bookmarkEnd w:id="17"/>
      <w:bookmarkEnd w:id="18"/>
    </w:p>
    <w:bookmarkEnd w:id="19"/>
    <w:p w14:paraId="3CFF526D">
      <w:pPr>
        <w:pStyle w:val="24"/>
        <w:ind w:firstLine="480"/>
      </w:pPr>
      <w:bookmarkStart w:id="20" w:name="_Toc13651918"/>
      <w:r>
        <w:rPr>
          <w:rFonts w:hint="eastAsia"/>
        </w:rPr>
        <w:t>（一）按照《财政部 关于调整优化节能产品、环境标志产品政府采购执行机制的通知》（财库〔2019〕9号）、《财政部 生态环境部关于印发环境标志产品政府采购品目清单的通知》（财库〔2019〕18号）和《财政部 发展改革委关于印发节能产品政府采购品目清单的通知》（财库〔2019〕19号）的规定，落实国家节能环保政策。</w:t>
      </w:r>
      <w:r>
        <w:t>若本次采购的产品属于节能产品、环境标志产品政府强制采购品目清单的，</w:t>
      </w:r>
      <w:r>
        <w:rPr>
          <w:rFonts w:hint="eastAsia"/>
        </w:rPr>
        <w:t>投标人</w:t>
      </w:r>
      <w:r>
        <w:t>须在</w:t>
      </w:r>
      <w:r>
        <w:rPr>
          <w:rFonts w:hint="eastAsia"/>
        </w:rPr>
        <w:t>投标</w:t>
      </w:r>
      <w:r>
        <w:t>文件中提供所</w:t>
      </w:r>
      <w:r>
        <w:rPr>
          <w:rFonts w:hint="eastAsia"/>
        </w:rPr>
        <w:t>投标</w:t>
      </w:r>
      <w:r>
        <w:t>产品由认证机构出具的、处于有效期之内的节能产品</w:t>
      </w:r>
      <w:r>
        <w:rPr>
          <w:rFonts w:hint="eastAsia"/>
        </w:rPr>
        <w:t>或</w:t>
      </w:r>
      <w:r>
        <w:t>环境标志产品认证证书</w:t>
      </w:r>
      <w:r>
        <w:rPr>
          <w:rFonts w:hint="eastAsia"/>
        </w:rPr>
        <w:t>或相关截图等证明材料</w:t>
      </w:r>
      <w:r>
        <w:t>，未提供或提供不全的将视</w:t>
      </w:r>
      <w:r>
        <w:rPr>
          <w:rFonts w:hint="eastAsia"/>
        </w:rPr>
        <w:t>投标</w:t>
      </w:r>
      <w:r>
        <w:t>文件未</w:t>
      </w:r>
      <w:r>
        <w:rPr>
          <w:rFonts w:hint="eastAsia"/>
        </w:rPr>
        <w:t>作</w:t>
      </w:r>
      <w:r>
        <w:t>实质性响应。</w:t>
      </w:r>
    </w:p>
    <w:p w14:paraId="5DDC284B">
      <w:pPr>
        <w:pStyle w:val="24"/>
        <w:ind w:firstLine="480"/>
        <w:rPr>
          <w:rFonts w:hint="eastAsia"/>
        </w:rPr>
      </w:pPr>
      <w:r>
        <w:rPr>
          <w:rFonts w:hint="eastAsia"/>
        </w:rPr>
        <w:t>（二）按照《财政部 工业和信息化部关于印发&lt;政府采购促进中小企业发展暂行办法&gt;的通知》（财库〔20</w:t>
      </w:r>
      <w:r>
        <w:rPr>
          <w:rFonts w:hint="eastAsia"/>
          <w:lang w:val="en-US" w:eastAsia="zh-CN"/>
        </w:rPr>
        <w:t>20</w:t>
      </w:r>
      <w:r>
        <w:rPr>
          <w:rFonts w:hint="eastAsia"/>
        </w:rPr>
        <w:t>〕</w:t>
      </w:r>
      <w:r>
        <w:rPr>
          <w:rFonts w:hint="eastAsia"/>
          <w:lang w:val="en-US" w:eastAsia="zh-CN"/>
        </w:rPr>
        <w:t>46</w:t>
      </w:r>
      <w:r>
        <w:rPr>
          <w:rFonts w:hint="eastAsia"/>
        </w:rPr>
        <w:t>号）的规定，落实促进中小企业发展政策。</w:t>
      </w:r>
    </w:p>
    <w:p w14:paraId="28B391EA">
      <w:pPr>
        <w:pStyle w:val="24"/>
        <w:ind w:firstLine="480"/>
        <w:rPr>
          <w:rFonts w:hint="eastAsia"/>
        </w:rPr>
      </w:pPr>
      <w:r>
        <w:rPr>
          <w:rFonts w:hint="eastAsia"/>
        </w:rPr>
        <w:t>（三）按照《财政部、司法部关于政府采购支持监狱企业发展有关问题的通知》（财库〔2014〕68号）的规定，落实支持监狱企业发展政策。</w:t>
      </w:r>
    </w:p>
    <w:p w14:paraId="0F7393C2">
      <w:pPr>
        <w:pStyle w:val="24"/>
        <w:pageBreakBefore w:val="0"/>
        <w:kinsoku/>
        <w:wordWrap/>
        <w:topLinePunct w:val="0"/>
        <w:autoSpaceDE/>
        <w:autoSpaceDN/>
        <w:bidi w:val="0"/>
        <w:ind w:firstLine="480" w:firstLineChars="200"/>
        <w:rPr>
          <w:rFonts w:hint="eastAsia" w:ascii="仿宋" w:hAnsi="仿宋" w:eastAsia="仿宋" w:cs="仿宋"/>
        </w:rPr>
      </w:pPr>
      <w:r>
        <w:rPr>
          <w:rFonts w:hint="eastAsia"/>
        </w:rPr>
        <w:t>（四）按照《三部门联合发布关于促进残疾人就业政府采购政策的通知》（财库〔2017〕 141号）的规定，落实支持残疾人福利性单位发展政策。</w:t>
      </w:r>
    </w:p>
    <w:p w14:paraId="77266618">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21" w:name="_Toc27637"/>
      <w:bookmarkStart w:id="22" w:name="_Toc25448"/>
      <w:r>
        <w:rPr>
          <w:rFonts w:hint="eastAsia" w:ascii="仿宋" w:hAnsi="仿宋" w:eastAsia="仿宋" w:cs="仿宋"/>
          <w:b/>
          <w:sz w:val="24"/>
          <w:szCs w:val="24"/>
          <w:lang w:val="en-US" w:eastAsia="zh-CN"/>
        </w:rPr>
        <w:t>七、现场踏勘</w:t>
      </w:r>
      <w:bookmarkEnd w:id="20"/>
      <w:bookmarkEnd w:id="21"/>
      <w:bookmarkEnd w:id="22"/>
    </w:p>
    <w:p w14:paraId="1DBFA598">
      <w:pPr>
        <w:pStyle w:val="24"/>
        <w:pageBreakBefore w:val="0"/>
        <w:kinsoku/>
        <w:wordWrap/>
        <w:topLinePunct w:val="0"/>
        <w:autoSpaceDE/>
        <w:autoSpaceDN/>
        <w:bidi w:val="0"/>
        <w:ind w:firstLine="480" w:firstLineChars="200"/>
        <w:rPr>
          <w:rFonts w:hint="eastAsia" w:ascii="仿宋" w:hAnsi="仿宋" w:eastAsia="仿宋" w:cs="仿宋"/>
          <w:lang w:val="en-US" w:eastAsia="zh-CN"/>
        </w:rPr>
      </w:pPr>
      <w:r>
        <w:rPr>
          <w:rFonts w:hint="eastAsia" w:ascii="仿宋" w:hAnsi="仿宋" w:eastAsia="仿宋" w:cs="仿宋"/>
        </w:rPr>
        <w:t>本项目不组织集中踏勘，</w:t>
      </w:r>
      <w:r>
        <w:rPr>
          <w:rFonts w:hint="eastAsia" w:ascii="仿宋" w:hAnsi="仿宋" w:eastAsia="仿宋" w:cs="仿宋"/>
          <w:lang w:eastAsia="zh-CN"/>
        </w:rPr>
        <w:t>供应商</w:t>
      </w:r>
      <w:r>
        <w:rPr>
          <w:rFonts w:hint="eastAsia" w:ascii="仿宋" w:hAnsi="仿宋" w:eastAsia="仿宋" w:cs="仿宋"/>
        </w:rPr>
        <w:t>可于公告之日起自行联系采购人前往项目现场进行踏勘。</w:t>
      </w:r>
      <w:bookmarkStart w:id="23" w:name="_Toc14104"/>
      <w:bookmarkStart w:id="24" w:name="_Toc492654786"/>
      <w:bookmarkStart w:id="25" w:name="_Toc13534"/>
    </w:p>
    <w:p w14:paraId="3FD7D805">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八、联系方式</w:t>
      </w:r>
      <w:bookmarkEnd w:id="23"/>
      <w:bookmarkEnd w:id="24"/>
      <w:bookmarkEnd w:id="25"/>
    </w:p>
    <w:p w14:paraId="0634F985">
      <w:pPr>
        <w:pStyle w:val="24"/>
        <w:pageBreakBefore w:val="0"/>
        <w:kinsoku/>
        <w:wordWrap/>
        <w:topLinePunct w:val="0"/>
        <w:autoSpaceDE/>
        <w:autoSpaceDN/>
        <w:bidi w:val="0"/>
        <w:ind w:firstLine="480" w:firstLineChars="200"/>
        <w:outlineLvl w:val="2"/>
        <w:rPr>
          <w:rFonts w:hint="eastAsia" w:ascii="仿宋" w:hAnsi="仿宋" w:eastAsia="仿宋" w:cs="仿宋"/>
          <w:szCs w:val="24"/>
          <w:lang w:eastAsia="zh-CN"/>
        </w:rPr>
      </w:pPr>
      <w:r>
        <w:rPr>
          <w:rFonts w:hint="eastAsia" w:ascii="仿宋" w:hAnsi="仿宋" w:eastAsia="仿宋" w:cs="仿宋"/>
        </w:rPr>
        <w:t>（一）采购单位名称：</w:t>
      </w:r>
      <w:r>
        <w:rPr>
          <w:rFonts w:hint="eastAsia" w:cs="仿宋"/>
          <w:lang w:val="en-US" w:eastAsia="zh-CN"/>
        </w:rPr>
        <w:t>克拉玛依市第五中学</w:t>
      </w:r>
    </w:p>
    <w:p w14:paraId="43276835">
      <w:pPr>
        <w:pStyle w:val="24"/>
        <w:pageBreakBefore w:val="0"/>
        <w:kinsoku/>
        <w:wordWrap/>
        <w:topLinePunct w:val="0"/>
        <w:autoSpaceDE/>
        <w:autoSpaceDN/>
        <w:bidi w:val="0"/>
        <w:ind w:firstLine="480" w:firstLineChars="200"/>
        <w:outlineLvl w:val="2"/>
        <w:rPr>
          <w:rFonts w:hint="eastAsia" w:ascii="仿宋" w:hAnsi="仿宋" w:eastAsia="仿宋" w:cs="仿宋"/>
          <w:lang w:val="en-US" w:eastAsia="zh-CN"/>
        </w:rPr>
      </w:pPr>
      <w:r>
        <w:rPr>
          <w:rFonts w:hint="eastAsia" w:ascii="仿宋" w:hAnsi="仿宋" w:eastAsia="仿宋" w:cs="仿宋"/>
        </w:rPr>
        <w:t>联系人</w:t>
      </w:r>
      <w:r>
        <w:rPr>
          <w:rFonts w:hint="eastAsia" w:cs="仿宋"/>
          <w:lang w:val="en-US" w:eastAsia="zh-CN"/>
        </w:rPr>
        <w:t>：</w:t>
      </w:r>
      <w:r>
        <w:rPr>
          <w:rFonts w:hint="eastAsia" w:ascii="仿宋" w:hAnsi="仿宋" w:eastAsia="仿宋" w:cs="仿宋"/>
          <w:lang w:val="en-US" w:eastAsia="zh-CN"/>
        </w:rPr>
        <w:t>申强</w:t>
      </w:r>
    </w:p>
    <w:p w14:paraId="56558C00">
      <w:pPr>
        <w:pStyle w:val="24"/>
        <w:pageBreakBefore w:val="0"/>
        <w:kinsoku/>
        <w:wordWrap/>
        <w:topLinePunct w:val="0"/>
        <w:autoSpaceDE/>
        <w:autoSpaceDN/>
        <w:bidi w:val="0"/>
        <w:ind w:firstLine="480" w:firstLineChars="200"/>
        <w:outlineLvl w:val="2"/>
        <w:rPr>
          <w:rFonts w:hint="eastAsia" w:ascii="仿宋" w:hAnsi="仿宋" w:eastAsia="仿宋" w:cs="仿宋"/>
          <w:lang w:val="en-US" w:eastAsia="zh-CN"/>
        </w:rPr>
      </w:pPr>
      <w:r>
        <w:rPr>
          <w:rFonts w:hint="eastAsia" w:ascii="仿宋" w:hAnsi="仿宋" w:eastAsia="仿宋" w:cs="仿宋"/>
          <w:lang w:val="en-US" w:eastAsia="zh-CN"/>
        </w:rPr>
        <w:t>电  话：18709900123</w:t>
      </w:r>
    </w:p>
    <w:p w14:paraId="7C49B1FF">
      <w:pPr>
        <w:pStyle w:val="24"/>
        <w:pageBreakBefore w:val="0"/>
        <w:kinsoku/>
        <w:wordWrap/>
        <w:topLinePunct w:val="0"/>
        <w:autoSpaceDE/>
        <w:autoSpaceDN/>
        <w:bidi w:val="0"/>
        <w:ind w:firstLine="480" w:firstLineChars="200"/>
        <w:outlineLvl w:val="2"/>
        <w:rPr>
          <w:rFonts w:hint="default" w:cs="仿宋"/>
          <w:lang w:val="en-US" w:eastAsia="zh-CN"/>
        </w:rPr>
      </w:pPr>
      <w:r>
        <w:rPr>
          <w:rFonts w:hint="eastAsia" w:cs="仿宋"/>
          <w:lang w:val="en-US" w:eastAsia="zh-CN"/>
        </w:rPr>
        <w:t>地  址</w:t>
      </w:r>
      <w:r>
        <w:rPr>
          <w:rFonts w:hint="eastAsia" w:ascii="仿宋" w:hAnsi="仿宋" w:eastAsia="仿宋" w:cs="仿宋"/>
          <w:lang w:val="en-US" w:eastAsia="zh-CN"/>
        </w:rPr>
        <w:t>：克拉玛依市白碱滩区中兴路142号</w:t>
      </w:r>
    </w:p>
    <w:p w14:paraId="558D5A4E">
      <w:pPr>
        <w:pStyle w:val="24"/>
        <w:pageBreakBefore w:val="0"/>
        <w:kinsoku/>
        <w:wordWrap/>
        <w:topLinePunct w:val="0"/>
        <w:autoSpaceDE/>
        <w:autoSpaceDN/>
        <w:bidi w:val="0"/>
        <w:ind w:firstLine="480" w:firstLineChars="200"/>
        <w:outlineLvl w:val="2"/>
        <w:rPr>
          <w:rFonts w:hint="eastAsia" w:ascii="仿宋" w:hAnsi="仿宋" w:eastAsia="仿宋" w:cs="仿宋"/>
          <w:lang w:eastAsia="zh-CN"/>
        </w:rPr>
      </w:pPr>
      <w:r>
        <w:rPr>
          <w:rFonts w:hint="eastAsia" w:ascii="仿宋" w:hAnsi="仿宋" w:eastAsia="仿宋" w:cs="仿宋"/>
        </w:rPr>
        <w:t>（二）采购代理机构：</w:t>
      </w:r>
      <w:r>
        <w:rPr>
          <w:rFonts w:hint="eastAsia" w:cs="仿宋"/>
          <w:lang w:eastAsia="zh-CN"/>
        </w:rPr>
        <w:t>白碱滩区机关事务服务中心</w:t>
      </w:r>
    </w:p>
    <w:p w14:paraId="4F4AC044">
      <w:pPr>
        <w:pStyle w:val="24"/>
        <w:ind w:firstLine="480"/>
        <w:rPr>
          <w:rFonts w:hint="default" w:ascii="仿宋" w:hAnsi="仿宋" w:eastAsia="仿宋" w:cs="仿宋"/>
          <w:color w:val="auto"/>
          <w:lang w:val="en-US" w:eastAsia="zh-CN"/>
        </w:rPr>
      </w:pPr>
      <w:r>
        <w:rPr>
          <w:rFonts w:hint="eastAsia" w:ascii="仿宋" w:hAnsi="仿宋" w:eastAsia="仿宋" w:cs="仿宋"/>
          <w:color w:val="auto"/>
        </w:rPr>
        <w:t>联系人：</w:t>
      </w:r>
      <w:r>
        <w:rPr>
          <w:rFonts w:hint="eastAsia" w:cs="仿宋"/>
          <w:color w:val="auto"/>
          <w:lang w:val="en-US" w:eastAsia="zh-CN"/>
        </w:rPr>
        <w:t>秦荣</w:t>
      </w:r>
    </w:p>
    <w:p w14:paraId="0FA662BF">
      <w:pPr>
        <w:pStyle w:val="24"/>
        <w:ind w:firstLine="480"/>
        <w:rPr>
          <w:rFonts w:hint="eastAsia" w:ascii="仿宋" w:hAnsi="仿宋" w:eastAsia="仿宋" w:cs="仿宋"/>
          <w:color w:val="auto"/>
          <w:lang w:val="en-US" w:eastAsia="zh-CN"/>
        </w:rPr>
      </w:pPr>
      <w:r>
        <w:rPr>
          <w:rFonts w:hint="eastAsia" w:ascii="仿宋" w:hAnsi="仿宋" w:eastAsia="仿宋" w:cs="仿宋"/>
          <w:color w:val="auto"/>
        </w:rPr>
        <w:t>电  话：0990-691</w:t>
      </w:r>
      <w:r>
        <w:rPr>
          <w:rFonts w:hint="eastAsia" w:ascii="仿宋" w:hAnsi="仿宋" w:eastAsia="仿宋" w:cs="仿宋"/>
          <w:color w:val="auto"/>
          <w:lang w:val="en-US" w:eastAsia="zh-CN"/>
        </w:rPr>
        <w:t>6659</w:t>
      </w:r>
    </w:p>
    <w:p w14:paraId="544CFED0">
      <w:pPr>
        <w:pStyle w:val="24"/>
        <w:ind w:firstLine="480"/>
        <w:rPr>
          <w:rFonts w:hint="eastAsia" w:ascii="仿宋" w:hAnsi="仿宋" w:eastAsia="仿宋" w:cs="仿宋"/>
          <w:color w:val="auto"/>
        </w:rPr>
      </w:pPr>
      <w:r>
        <w:rPr>
          <w:rFonts w:hint="eastAsia" w:ascii="仿宋" w:hAnsi="仿宋" w:eastAsia="仿宋" w:cs="仿宋"/>
          <w:color w:val="auto"/>
        </w:rPr>
        <w:t>质疑受理电话： 0990-6916659</w:t>
      </w:r>
    </w:p>
    <w:p w14:paraId="149A1896">
      <w:pPr>
        <w:pStyle w:val="24"/>
        <w:ind w:firstLine="480"/>
        <w:rPr>
          <w:rFonts w:hint="eastAsia" w:ascii="仿宋" w:hAnsi="仿宋" w:eastAsia="仿宋" w:cs="仿宋"/>
          <w:color w:val="auto"/>
          <w:lang w:val="en-US" w:eastAsia="zh-CN"/>
        </w:rPr>
      </w:pPr>
      <w:r>
        <w:rPr>
          <w:rFonts w:hint="eastAsia" w:ascii="仿宋" w:hAnsi="仿宋" w:eastAsia="仿宋" w:cs="仿宋"/>
        </w:rPr>
        <w:t>报名咨询电话： 0990-</w:t>
      </w:r>
      <w:r>
        <w:rPr>
          <w:rFonts w:hint="eastAsia" w:ascii="仿宋" w:hAnsi="仿宋" w:eastAsia="仿宋" w:cs="仿宋"/>
          <w:color w:val="auto"/>
        </w:rPr>
        <w:t>691</w:t>
      </w:r>
      <w:r>
        <w:rPr>
          <w:rFonts w:hint="eastAsia" w:ascii="仿宋" w:hAnsi="仿宋" w:eastAsia="仿宋" w:cs="仿宋"/>
          <w:color w:val="auto"/>
          <w:lang w:val="en-US" w:eastAsia="zh-CN"/>
        </w:rPr>
        <w:t>6659</w:t>
      </w:r>
    </w:p>
    <w:p w14:paraId="5A084E93">
      <w:pPr>
        <w:pStyle w:val="24"/>
        <w:ind w:firstLine="480"/>
        <w:rPr>
          <w:color w:val="auto"/>
        </w:rPr>
      </w:pPr>
      <w:r>
        <w:rPr>
          <w:rFonts w:hint="eastAsia" w:ascii="仿宋" w:hAnsi="仿宋" w:eastAsia="仿宋" w:cs="仿宋"/>
          <w:color w:val="auto"/>
        </w:rPr>
        <w:t>地  址：白碱滩区中兴路</w:t>
      </w:r>
      <w:r>
        <w:rPr>
          <w:rFonts w:hint="eastAsia" w:ascii="仿宋" w:hAnsi="仿宋" w:eastAsia="仿宋" w:cs="仿宋"/>
          <w:color w:val="auto"/>
          <w:lang w:val="en-US" w:eastAsia="zh-CN"/>
        </w:rPr>
        <w:t>85</w:t>
      </w:r>
      <w:r>
        <w:rPr>
          <w:rFonts w:hint="eastAsia" w:ascii="仿宋" w:hAnsi="仿宋" w:eastAsia="仿宋" w:cs="仿宋"/>
          <w:color w:val="auto"/>
        </w:rPr>
        <w:t>号</w:t>
      </w:r>
    </w:p>
    <w:p w14:paraId="670C3F95">
      <w:pPr>
        <w:pStyle w:val="24"/>
        <w:ind w:firstLine="480"/>
        <w:rPr>
          <w:rFonts w:hint="eastAsia" w:ascii="仿宋" w:hAnsi="仿宋" w:eastAsia="仿宋" w:cs="仿宋"/>
          <w:color w:val="auto"/>
        </w:rPr>
      </w:pPr>
    </w:p>
    <w:p w14:paraId="46757958">
      <w:pPr>
        <w:pStyle w:val="25"/>
        <w:rPr>
          <w:rFonts w:hint="eastAsia" w:ascii="仿宋" w:hAnsi="仿宋" w:eastAsia="仿宋" w:cs="仿宋"/>
        </w:rPr>
      </w:pPr>
    </w:p>
    <w:p w14:paraId="3C1CF92D">
      <w:pPr>
        <w:pStyle w:val="25"/>
        <w:rPr>
          <w:rFonts w:hint="eastAsia" w:ascii="仿宋" w:hAnsi="仿宋" w:eastAsia="仿宋" w:cs="仿宋"/>
        </w:rPr>
      </w:pPr>
    </w:p>
    <w:p w14:paraId="7E08A680">
      <w:pPr>
        <w:pStyle w:val="25"/>
        <w:rPr>
          <w:rFonts w:hint="eastAsia" w:ascii="仿宋" w:hAnsi="仿宋" w:eastAsia="仿宋" w:cs="仿宋"/>
        </w:rPr>
      </w:pPr>
    </w:p>
    <w:p w14:paraId="4E372A73">
      <w:pPr>
        <w:pStyle w:val="25"/>
        <w:rPr>
          <w:rFonts w:hint="eastAsia" w:ascii="仿宋" w:hAnsi="仿宋" w:eastAsia="仿宋" w:cs="仿宋"/>
        </w:rPr>
      </w:pPr>
    </w:p>
    <w:p w14:paraId="1EC9F274">
      <w:pPr>
        <w:pStyle w:val="25"/>
        <w:rPr>
          <w:rFonts w:hint="eastAsia" w:ascii="仿宋" w:hAnsi="仿宋" w:eastAsia="仿宋" w:cs="仿宋"/>
        </w:rPr>
      </w:pPr>
    </w:p>
    <w:p w14:paraId="49361BFF">
      <w:pPr>
        <w:pStyle w:val="25"/>
        <w:rPr>
          <w:rFonts w:hint="eastAsia" w:ascii="仿宋" w:hAnsi="仿宋" w:eastAsia="仿宋" w:cs="仿宋"/>
        </w:rPr>
      </w:pPr>
    </w:p>
    <w:p w14:paraId="62B1A0E4">
      <w:pPr>
        <w:pStyle w:val="25"/>
        <w:rPr>
          <w:rFonts w:hint="eastAsia" w:ascii="仿宋" w:hAnsi="仿宋" w:eastAsia="仿宋" w:cs="仿宋"/>
        </w:rPr>
      </w:pPr>
    </w:p>
    <w:p w14:paraId="186A9A86">
      <w:pPr>
        <w:pStyle w:val="25"/>
        <w:rPr>
          <w:rFonts w:hint="eastAsia" w:ascii="仿宋" w:hAnsi="仿宋" w:eastAsia="仿宋" w:cs="仿宋"/>
        </w:rPr>
      </w:pPr>
    </w:p>
    <w:p w14:paraId="625C20CB">
      <w:pPr>
        <w:pStyle w:val="25"/>
        <w:jc w:val="both"/>
        <w:rPr>
          <w:rFonts w:hint="eastAsia" w:ascii="仿宋" w:hAnsi="仿宋" w:eastAsia="仿宋" w:cs="仿宋"/>
        </w:rPr>
      </w:pPr>
    </w:p>
    <w:p w14:paraId="634EEF00">
      <w:pPr>
        <w:pStyle w:val="25"/>
        <w:jc w:val="both"/>
        <w:rPr>
          <w:rFonts w:hint="eastAsia" w:ascii="仿宋" w:hAnsi="仿宋" w:eastAsia="仿宋" w:cs="仿宋"/>
        </w:rPr>
      </w:pPr>
    </w:p>
    <w:p w14:paraId="25AC44DF">
      <w:pPr>
        <w:pStyle w:val="25"/>
        <w:rPr>
          <w:rFonts w:hint="eastAsia" w:ascii="仿宋" w:hAnsi="仿宋" w:eastAsia="仿宋" w:cs="仿宋"/>
        </w:rPr>
      </w:pPr>
    </w:p>
    <w:p w14:paraId="3BC8614C">
      <w:pPr>
        <w:pStyle w:val="25"/>
        <w:rPr>
          <w:rFonts w:hint="eastAsia" w:ascii="仿宋" w:hAnsi="仿宋" w:eastAsia="仿宋" w:cs="仿宋"/>
        </w:rPr>
      </w:pPr>
    </w:p>
    <w:p w14:paraId="54CE9A8E">
      <w:pPr>
        <w:pStyle w:val="25"/>
        <w:rPr>
          <w:rFonts w:hint="eastAsia"/>
        </w:rPr>
      </w:pPr>
      <w:bookmarkStart w:id="26" w:name="_Toc9328458"/>
      <w:r>
        <w:rPr>
          <w:rFonts w:hint="eastAsia"/>
        </w:rPr>
        <w:t>第二篇  项目技术规格、数量及质量要求</w:t>
      </w:r>
      <w:bookmarkEnd w:id="26"/>
    </w:p>
    <w:p w14:paraId="502D2566">
      <w:pPr>
        <w:pStyle w:val="34"/>
        <w:widowControl/>
        <w:ind w:firstLineChars="0"/>
        <w:jc w:val="left"/>
        <w:rPr>
          <w:rFonts w:hint="eastAsia" w:ascii="仿宋_GB2312" w:hAnsi="仿宋_GB2312" w:eastAsia="仿宋_GB2312" w:cs="仿宋_GB2312"/>
          <w:b/>
          <w:bCs/>
          <w:sz w:val="28"/>
          <w:szCs w:val="28"/>
          <w:lang w:val="en-US" w:eastAsia="zh-CN"/>
        </w:rPr>
      </w:pPr>
    </w:p>
    <w:p w14:paraId="31B98B69">
      <w:pPr>
        <w:pStyle w:val="34"/>
        <w:widowControl/>
        <w:ind w:firstLineChars="0"/>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eastAsia="zh-CN"/>
        </w:rPr>
        <w:t>项目</w:t>
      </w:r>
      <w:r>
        <w:rPr>
          <w:rFonts w:hint="eastAsia" w:ascii="仿宋_GB2312" w:hAnsi="仿宋_GB2312" w:eastAsia="仿宋_GB2312" w:cs="仿宋_GB2312"/>
          <w:b/>
          <w:bCs/>
          <w:sz w:val="28"/>
          <w:szCs w:val="28"/>
          <w:lang w:val="en-US" w:eastAsia="zh-CN"/>
        </w:rPr>
        <w:t>概况</w:t>
      </w:r>
    </w:p>
    <w:p w14:paraId="21BE214E">
      <w:pPr>
        <w:pStyle w:val="27"/>
        <w:widowControl/>
        <w:numPr>
          <w:ilvl w:val="0"/>
          <w:numId w:val="0"/>
        </w:numPr>
        <w:jc w:val="left"/>
        <w:rPr>
          <w:rFonts w:hint="eastAsia" w:ascii="仿宋_GB2312" w:hAnsi="仿宋_GB2312" w:eastAsia="仿宋_GB2312" w:cs="仿宋_GB2312"/>
          <w:b/>
          <w:bCs/>
          <w:kern w:val="0"/>
          <w:sz w:val="28"/>
          <w:szCs w:val="28"/>
          <w:lang w:val="en-US" w:eastAsia="zh-CN"/>
        </w:rPr>
      </w:pPr>
    </w:p>
    <w:tbl>
      <w:tblPr>
        <w:tblStyle w:val="18"/>
        <w:tblW w:w="97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4035"/>
        <w:gridCol w:w="1350"/>
        <w:gridCol w:w="2760"/>
      </w:tblGrid>
      <w:tr w14:paraId="3BED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569" w:type="dxa"/>
            <w:noWrap w:val="0"/>
            <w:vAlign w:val="top"/>
          </w:tcPr>
          <w:p w14:paraId="5E2EC077">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序号</w:t>
            </w:r>
          </w:p>
        </w:tc>
        <w:tc>
          <w:tcPr>
            <w:tcW w:w="4035" w:type="dxa"/>
            <w:noWrap w:val="0"/>
            <w:vAlign w:val="top"/>
          </w:tcPr>
          <w:p w14:paraId="2F82E36D">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商品名称</w:t>
            </w:r>
          </w:p>
        </w:tc>
        <w:tc>
          <w:tcPr>
            <w:tcW w:w="1350" w:type="dxa"/>
            <w:noWrap w:val="0"/>
            <w:vAlign w:val="top"/>
          </w:tcPr>
          <w:p w14:paraId="46D6051A">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数量</w:t>
            </w:r>
          </w:p>
        </w:tc>
        <w:tc>
          <w:tcPr>
            <w:tcW w:w="2760" w:type="dxa"/>
            <w:noWrap w:val="0"/>
            <w:vAlign w:val="top"/>
          </w:tcPr>
          <w:p w14:paraId="2ECAFEB5">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备注</w:t>
            </w:r>
          </w:p>
        </w:tc>
      </w:tr>
      <w:tr w14:paraId="16D4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69" w:type="dxa"/>
            <w:noWrap w:val="0"/>
            <w:vAlign w:val="top"/>
          </w:tcPr>
          <w:p w14:paraId="5B85A7D6">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01</w:t>
            </w:r>
          </w:p>
        </w:tc>
        <w:tc>
          <w:tcPr>
            <w:tcW w:w="4035" w:type="dxa"/>
            <w:noWrap w:val="0"/>
            <w:vAlign w:val="center"/>
          </w:tcPr>
          <w:p w14:paraId="50190441">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拼接屏</w:t>
            </w:r>
          </w:p>
        </w:tc>
        <w:tc>
          <w:tcPr>
            <w:tcW w:w="1350" w:type="dxa"/>
            <w:noWrap w:val="0"/>
            <w:vAlign w:val="center"/>
          </w:tcPr>
          <w:p w14:paraId="3A0F0D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lang w:val="en-US" w:eastAsia="zh-CN"/>
              </w:rPr>
              <w:t>6块</w:t>
            </w:r>
          </w:p>
        </w:tc>
        <w:tc>
          <w:tcPr>
            <w:tcW w:w="2760" w:type="dxa"/>
            <w:noWrap w:val="0"/>
            <w:vAlign w:val="top"/>
          </w:tcPr>
          <w:p w14:paraId="172706D1">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653B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69" w:type="dxa"/>
            <w:noWrap w:val="0"/>
            <w:vAlign w:val="top"/>
          </w:tcPr>
          <w:p w14:paraId="29481094">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02</w:t>
            </w:r>
          </w:p>
        </w:tc>
        <w:tc>
          <w:tcPr>
            <w:tcW w:w="4035" w:type="dxa"/>
            <w:noWrap w:val="0"/>
            <w:vAlign w:val="center"/>
          </w:tcPr>
          <w:p w14:paraId="5FBD298A">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安装框架</w:t>
            </w:r>
          </w:p>
        </w:tc>
        <w:tc>
          <w:tcPr>
            <w:tcW w:w="1350" w:type="dxa"/>
            <w:noWrap w:val="0"/>
            <w:vAlign w:val="center"/>
          </w:tcPr>
          <w:p w14:paraId="7A969E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lang w:val="en-US" w:eastAsia="zh-CN"/>
              </w:rPr>
              <w:t>6套</w:t>
            </w:r>
          </w:p>
        </w:tc>
        <w:tc>
          <w:tcPr>
            <w:tcW w:w="2760" w:type="dxa"/>
            <w:noWrap w:val="0"/>
            <w:vAlign w:val="top"/>
          </w:tcPr>
          <w:p w14:paraId="72DF4BDF">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947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569" w:type="dxa"/>
            <w:noWrap w:val="0"/>
            <w:vAlign w:val="top"/>
          </w:tcPr>
          <w:p w14:paraId="643CFAC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03</w:t>
            </w:r>
          </w:p>
        </w:tc>
        <w:tc>
          <w:tcPr>
            <w:tcW w:w="4035" w:type="dxa"/>
            <w:noWrap w:val="0"/>
            <w:vAlign w:val="center"/>
          </w:tcPr>
          <w:p w14:paraId="51647145">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视频拼接处理器</w:t>
            </w:r>
          </w:p>
        </w:tc>
        <w:tc>
          <w:tcPr>
            <w:tcW w:w="1350" w:type="dxa"/>
            <w:noWrap w:val="0"/>
            <w:vAlign w:val="center"/>
          </w:tcPr>
          <w:p w14:paraId="40D279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sz w:val="24"/>
                <w:szCs w:val="24"/>
                <w:lang w:val="en-US" w:eastAsia="zh-CN"/>
              </w:rPr>
              <w:t>1套</w:t>
            </w:r>
          </w:p>
        </w:tc>
        <w:tc>
          <w:tcPr>
            <w:tcW w:w="2760" w:type="dxa"/>
            <w:noWrap w:val="0"/>
            <w:vAlign w:val="top"/>
          </w:tcPr>
          <w:p w14:paraId="3C11E2B1">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6C46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569" w:type="dxa"/>
            <w:noWrap w:val="0"/>
            <w:vAlign w:val="top"/>
          </w:tcPr>
          <w:p w14:paraId="121BBA6F">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04</w:t>
            </w:r>
          </w:p>
        </w:tc>
        <w:tc>
          <w:tcPr>
            <w:tcW w:w="4035" w:type="dxa"/>
            <w:noWrap w:val="0"/>
            <w:vAlign w:val="center"/>
          </w:tcPr>
          <w:p w14:paraId="4203ECD8">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拾音器</w:t>
            </w:r>
          </w:p>
        </w:tc>
        <w:tc>
          <w:tcPr>
            <w:tcW w:w="1350" w:type="dxa"/>
            <w:noWrap w:val="0"/>
            <w:vAlign w:val="center"/>
          </w:tcPr>
          <w:p w14:paraId="06A6FE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sz w:val="24"/>
                <w:szCs w:val="24"/>
                <w:lang w:val="en-US" w:eastAsia="zh-CN"/>
              </w:rPr>
              <w:t>59台</w:t>
            </w:r>
          </w:p>
        </w:tc>
        <w:tc>
          <w:tcPr>
            <w:tcW w:w="2760" w:type="dxa"/>
            <w:noWrap w:val="0"/>
            <w:vAlign w:val="top"/>
          </w:tcPr>
          <w:p w14:paraId="11CB87EF">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462D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569" w:type="dxa"/>
            <w:noWrap w:val="0"/>
            <w:vAlign w:val="top"/>
          </w:tcPr>
          <w:p w14:paraId="7E97E222">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05</w:t>
            </w:r>
          </w:p>
        </w:tc>
        <w:tc>
          <w:tcPr>
            <w:tcW w:w="4035" w:type="dxa"/>
            <w:noWrap w:val="0"/>
            <w:vAlign w:val="center"/>
          </w:tcPr>
          <w:p w14:paraId="438D1DBE">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网上巡查网络高清智能球机</w:t>
            </w:r>
          </w:p>
        </w:tc>
        <w:tc>
          <w:tcPr>
            <w:tcW w:w="1350" w:type="dxa"/>
            <w:noWrap w:val="0"/>
            <w:vAlign w:val="center"/>
          </w:tcPr>
          <w:p w14:paraId="65394D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sz w:val="24"/>
                <w:szCs w:val="24"/>
                <w:lang w:val="en-US" w:eastAsia="zh-CN"/>
              </w:rPr>
              <w:t>2台</w:t>
            </w:r>
          </w:p>
        </w:tc>
        <w:tc>
          <w:tcPr>
            <w:tcW w:w="2760" w:type="dxa"/>
            <w:noWrap w:val="0"/>
            <w:vAlign w:val="top"/>
          </w:tcPr>
          <w:p w14:paraId="6F7F45E8">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067C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69" w:type="dxa"/>
            <w:noWrap w:val="0"/>
            <w:vAlign w:val="top"/>
          </w:tcPr>
          <w:p w14:paraId="6A72A4D8">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06</w:t>
            </w:r>
          </w:p>
        </w:tc>
        <w:tc>
          <w:tcPr>
            <w:tcW w:w="4035" w:type="dxa"/>
            <w:noWrap w:val="0"/>
            <w:vAlign w:val="center"/>
          </w:tcPr>
          <w:p w14:paraId="01F038E7">
            <w:pPr>
              <w:keepNext w:val="0"/>
              <w:keepLines w:val="0"/>
              <w:widowControl/>
              <w:suppressLineNumbers w:val="0"/>
              <w:spacing w:line="240" w:lineRule="auto"/>
              <w:ind w:firstLine="480" w:firstLineChars="20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智能巡查网络高清摄像机</w:t>
            </w:r>
          </w:p>
        </w:tc>
        <w:tc>
          <w:tcPr>
            <w:tcW w:w="1350" w:type="dxa"/>
            <w:noWrap w:val="0"/>
            <w:vAlign w:val="center"/>
          </w:tcPr>
          <w:p w14:paraId="0F94A7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53台</w:t>
            </w:r>
          </w:p>
        </w:tc>
        <w:tc>
          <w:tcPr>
            <w:tcW w:w="2760" w:type="dxa"/>
            <w:noWrap w:val="0"/>
            <w:vAlign w:val="top"/>
          </w:tcPr>
          <w:p w14:paraId="19AEFCC7">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5A1A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69" w:type="dxa"/>
            <w:noWrap w:val="0"/>
            <w:vAlign w:val="top"/>
          </w:tcPr>
          <w:p w14:paraId="77FB30BA">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07</w:t>
            </w:r>
          </w:p>
        </w:tc>
        <w:tc>
          <w:tcPr>
            <w:tcW w:w="4035" w:type="dxa"/>
            <w:noWrap w:val="0"/>
            <w:vAlign w:val="center"/>
          </w:tcPr>
          <w:p w14:paraId="79590B40">
            <w:pPr>
              <w:keepNext w:val="0"/>
              <w:keepLines w:val="0"/>
              <w:widowControl/>
              <w:suppressLineNumbers w:val="0"/>
              <w:spacing w:line="240" w:lineRule="auto"/>
              <w:ind w:firstLine="480" w:firstLineChars="200"/>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网上巡查摄像机</w:t>
            </w:r>
          </w:p>
        </w:tc>
        <w:tc>
          <w:tcPr>
            <w:tcW w:w="1350" w:type="dxa"/>
            <w:noWrap w:val="0"/>
            <w:vAlign w:val="center"/>
          </w:tcPr>
          <w:p w14:paraId="20389E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2台</w:t>
            </w:r>
          </w:p>
        </w:tc>
        <w:tc>
          <w:tcPr>
            <w:tcW w:w="2760" w:type="dxa"/>
            <w:noWrap w:val="0"/>
            <w:vAlign w:val="top"/>
          </w:tcPr>
          <w:p w14:paraId="131A9B38">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6648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569" w:type="dxa"/>
            <w:noWrap w:val="0"/>
            <w:vAlign w:val="top"/>
          </w:tcPr>
          <w:p w14:paraId="390C4C1F">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08</w:t>
            </w:r>
          </w:p>
        </w:tc>
        <w:tc>
          <w:tcPr>
            <w:tcW w:w="4035" w:type="dxa"/>
            <w:noWrap w:val="0"/>
            <w:vAlign w:val="center"/>
          </w:tcPr>
          <w:p w14:paraId="60F34493">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网上巡查视频安全存储平台</w:t>
            </w:r>
          </w:p>
        </w:tc>
        <w:tc>
          <w:tcPr>
            <w:tcW w:w="1350" w:type="dxa"/>
            <w:noWrap w:val="0"/>
            <w:vAlign w:val="center"/>
          </w:tcPr>
          <w:p w14:paraId="3AFA489C">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1台</w:t>
            </w:r>
          </w:p>
        </w:tc>
        <w:tc>
          <w:tcPr>
            <w:tcW w:w="2760" w:type="dxa"/>
            <w:noWrap w:val="0"/>
            <w:vAlign w:val="top"/>
          </w:tcPr>
          <w:p w14:paraId="1C97F31C">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04E2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569" w:type="dxa"/>
            <w:noWrap w:val="0"/>
            <w:vAlign w:val="top"/>
          </w:tcPr>
          <w:p w14:paraId="6B3FF1FC">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09</w:t>
            </w:r>
          </w:p>
        </w:tc>
        <w:tc>
          <w:tcPr>
            <w:tcW w:w="4035" w:type="dxa"/>
            <w:noWrap w:val="0"/>
            <w:vAlign w:val="center"/>
          </w:tcPr>
          <w:p w14:paraId="478E5944">
            <w:pPr>
              <w:keepNext w:val="0"/>
              <w:keepLines w:val="0"/>
              <w:widowControl/>
              <w:suppressLineNumbers w:val="0"/>
              <w:spacing w:line="240" w:lineRule="auto"/>
              <w:ind w:firstLine="480" w:firstLineChars="200"/>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网上巡查音视频矩阵解码器</w:t>
            </w:r>
          </w:p>
        </w:tc>
        <w:tc>
          <w:tcPr>
            <w:tcW w:w="1350" w:type="dxa"/>
            <w:noWrap w:val="0"/>
            <w:vAlign w:val="center"/>
          </w:tcPr>
          <w:p w14:paraId="3540BB5E">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1台</w:t>
            </w:r>
          </w:p>
        </w:tc>
        <w:tc>
          <w:tcPr>
            <w:tcW w:w="2760" w:type="dxa"/>
            <w:noWrap w:val="0"/>
            <w:vAlign w:val="top"/>
          </w:tcPr>
          <w:p w14:paraId="01C3719C">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6F69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569" w:type="dxa"/>
            <w:noWrap w:val="0"/>
            <w:vAlign w:val="top"/>
          </w:tcPr>
          <w:p w14:paraId="3D1DA73F">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10</w:t>
            </w:r>
          </w:p>
        </w:tc>
        <w:tc>
          <w:tcPr>
            <w:tcW w:w="4035" w:type="dxa"/>
            <w:noWrap w:val="0"/>
            <w:vAlign w:val="center"/>
          </w:tcPr>
          <w:p w14:paraId="3EFBCB32">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网上巡查SIP路由/视频分发平台</w:t>
            </w:r>
          </w:p>
        </w:tc>
        <w:tc>
          <w:tcPr>
            <w:tcW w:w="1350" w:type="dxa"/>
            <w:noWrap w:val="0"/>
            <w:vAlign w:val="center"/>
          </w:tcPr>
          <w:p w14:paraId="001B551B">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6E6EBB4F">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22DC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569" w:type="dxa"/>
            <w:noWrap w:val="0"/>
            <w:vAlign w:val="top"/>
          </w:tcPr>
          <w:p w14:paraId="137AEBFC">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11</w:t>
            </w:r>
          </w:p>
        </w:tc>
        <w:tc>
          <w:tcPr>
            <w:tcW w:w="4035" w:type="dxa"/>
            <w:noWrap w:val="0"/>
            <w:vAlign w:val="center"/>
          </w:tcPr>
          <w:p w14:paraId="308E5B5B">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校级管理平台</w:t>
            </w:r>
          </w:p>
        </w:tc>
        <w:tc>
          <w:tcPr>
            <w:tcW w:w="1350" w:type="dxa"/>
            <w:noWrap w:val="0"/>
            <w:vAlign w:val="center"/>
          </w:tcPr>
          <w:p w14:paraId="4E2557C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1套</w:t>
            </w:r>
          </w:p>
        </w:tc>
        <w:tc>
          <w:tcPr>
            <w:tcW w:w="2760" w:type="dxa"/>
            <w:noWrap w:val="0"/>
            <w:vAlign w:val="top"/>
          </w:tcPr>
          <w:p w14:paraId="0455F29E">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7276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69" w:type="dxa"/>
            <w:noWrap w:val="0"/>
            <w:vAlign w:val="top"/>
          </w:tcPr>
          <w:p w14:paraId="1DBB6B27">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12</w:t>
            </w:r>
          </w:p>
        </w:tc>
        <w:tc>
          <w:tcPr>
            <w:tcW w:w="4035" w:type="dxa"/>
            <w:noWrap w:val="0"/>
            <w:vAlign w:val="center"/>
          </w:tcPr>
          <w:p w14:paraId="69951B1C">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智能监考平台(校级）</w:t>
            </w:r>
          </w:p>
        </w:tc>
        <w:tc>
          <w:tcPr>
            <w:tcW w:w="1350" w:type="dxa"/>
            <w:noWrap w:val="0"/>
            <w:vAlign w:val="center"/>
          </w:tcPr>
          <w:p w14:paraId="34F72A6B">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1套</w:t>
            </w:r>
          </w:p>
        </w:tc>
        <w:tc>
          <w:tcPr>
            <w:tcW w:w="2760" w:type="dxa"/>
            <w:noWrap w:val="0"/>
            <w:vAlign w:val="top"/>
          </w:tcPr>
          <w:p w14:paraId="0B81B897">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0BCD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569" w:type="dxa"/>
            <w:noWrap w:val="0"/>
            <w:vAlign w:val="top"/>
          </w:tcPr>
          <w:p w14:paraId="16A147D6">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13</w:t>
            </w:r>
          </w:p>
        </w:tc>
        <w:tc>
          <w:tcPr>
            <w:tcW w:w="4035" w:type="dxa"/>
            <w:noWrap w:val="0"/>
            <w:vAlign w:val="center"/>
          </w:tcPr>
          <w:p w14:paraId="17925432">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智能分析平台服务器</w:t>
            </w:r>
          </w:p>
        </w:tc>
        <w:tc>
          <w:tcPr>
            <w:tcW w:w="1350" w:type="dxa"/>
            <w:noWrap w:val="0"/>
            <w:vAlign w:val="center"/>
          </w:tcPr>
          <w:p w14:paraId="2161E86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552D062A">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4AE8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EB5E998">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14</w:t>
            </w:r>
          </w:p>
        </w:tc>
        <w:tc>
          <w:tcPr>
            <w:tcW w:w="4035" w:type="dxa"/>
            <w:noWrap w:val="0"/>
            <w:vAlign w:val="center"/>
          </w:tcPr>
          <w:p w14:paraId="7FFA1EF6">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硬盘</w:t>
            </w:r>
          </w:p>
        </w:tc>
        <w:tc>
          <w:tcPr>
            <w:tcW w:w="1350" w:type="dxa"/>
            <w:noWrap w:val="0"/>
            <w:vAlign w:val="center"/>
          </w:tcPr>
          <w:p w14:paraId="60438551">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16块</w:t>
            </w:r>
          </w:p>
        </w:tc>
        <w:tc>
          <w:tcPr>
            <w:tcW w:w="2760" w:type="dxa"/>
            <w:noWrap w:val="0"/>
            <w:vAlign w:val="top"/>
          </w:tcPr>
          <w:p w14:paraId="424ABBA8">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0E24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3104F640">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15</w:t>
            </w:r>
          </w:p>
        </w:tc>
        <w:tc>
          <w:tcPr>
            <w:tcW w:w="4035" w:type="dxa"/>
            <w:noWrap w:val="0"/>
            <w:vAlign w:val="center"/>
          </w:tcPr>
          <w:p w14:paraId="6E189280">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管理主机</w:t>
            </w:r>
          </w:p>
        </w:tc>
        <w:tc>
          <w:tcPr>
            <w:tcW w:w="1350" w:type="dxa"/>
            <w:noWrap w:val="0"/>
            <w:vAlign w:val="center"/>
          </w:tcPr>
          <w:p w14:paraId="0CCFF17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4E517436">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9FD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5806EBC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16</w:t>
            </w:r>
          </w:p>
        </w:tc>
        <w:tc>
          <w:tcPr>
            <w:tcW w:w="4035" w:type="dxa"/>
            <w:noWrap w:val="0"/>
            <w:vAlign w:val="center"/>
          </w:tcPr>
          <w:p w14:paraId="305402F5">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接入交换机</w:t>
            </w:r>
          </w:p>
        </w:tc>
        <w:tc>
          <w:tcPr>
            <w:tcW w:w="1350" w:type="dxa"/>
            <w:noWrap w:val="0"/>
            <w:vAlign w:val="center"/>
          </w:tcPr>
          <w:p w14:paraId="3B69386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9台</w:t>
            </w:r>
          </w:p>
        </w:tc>
        <w:tc>
          <w:tcPr>
            <w:tcW w:w="2760" w:type="dxa"/>
            <w:noWrap w:val="0"/>
            <w:vAlign w:val="top"/>
          </w:tcPr>
          <w:p w14:paraId="13041011">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F36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19B7900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17</w:t>
            </w:r>
          </w:p>
        </w:tc>
        <w:tc>
          <w:tcPr>
            <w:tcW w:w="4035" w:type="dxa"/>
            <w:noWrap w:val="0"/>
            <w:vAlign w:val="center"/>
          </w:tcPr>
          <w:p w14:paraId="3AE33133">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汇聚交换机</w:t>
            </w:r>
          </w:p>
        </w:tc>
        <w:tc>
          <w:tcPr>
            <w:tcW w:w="1350" w:type="dxa"/>
            <w:noWrap w:val="0"/>
            <w:vAlign w:val="center"/>
          </w:tcPr>
          <w:p w14:paraId="34615F0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67ECFECD">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6220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0BCE2CFF">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18</w:t>
            </w:r>
          </w:p>
        </w:tc>
        <w:tc>
          <w:tcPr>
            <w:tcW w:w="4035" w:type="dxa"/>
            <w:noWrap w:val="0"/>
            <w:vAlign w:val="center"/>
          </w:tcPr>
          <w:p w14:paraId="6D2D2151">
            <w:pPr>
              <w:keepNext w:val="0"/>
              <w:keepLines w:val="0"/>
              <w:widowControl/>
              <w:suppressLineNumbers w:val="0"/>
              <w:spacing w:line="240" w:lineRule="auto"/>
              <w:ind w:firstLine="480" w:firstLineChars="200"/>
              <w:jc w:val="center"/>
              <w:textAlignment w:val="center"/>
              <w:rPr>
                <w:rFonts w:hint="eastAsia" w:ascii="宋体" w:hAnsi="宋体" w:eastAsia="宋体" w:cs="宋体"/>
                <w:color w:val="auto"/>
                <w:kern w:val="24"/>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光模块</w:t>
            </w:r>
          </w:p>
        </w:tc>
        <w:tc>
          <w:tcPr>
            <w:tcW w:w="1350" w:type="dxa"/>
            <w:noWrap w:val="0"/>
            <w:vAlign w:val="center"/>
          </w:tcPr>
          <w:p w14:paraId="4335782A">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4"/>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20个</w:t>
            </w:r>
          </w:p>
        </w:tc>
        <w:tc>
          <w:tcPr>
            <w:tcW w:w="2760" w:type="dxa"/>
            <w:noWrap w:val="0"/>
            <w:vAlign w:val="top"/>
          </w:tcPr>
          <w:p w14:paraId="1D59D86A">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r>
              <w:rPr>
                <w:rFonts w:hint="eastAsia" w:ascii="宋体" w:hAnsi="宋体" w:eastAsia="宋体" w:cs="宋体"/>
                <w:color w:val="000000"/>
                <w:kern w:val="0"/>
                <w:sz w:val="21"/>
                <w:szCs w:val="21"/>
                <w:vertAlign w:val="baseline"/>
                <w:lang w:val="en-US" w:eastAsia="zh-CN"/>
              </w:rPr>
              <w:t>每台交换机配2个网络模块</w:t>
            </w:r>
          </w:p>
        </w:tc>
      </w:tr>
      <w:tr w14:paraId="6838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69A3794F">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19</w:t>
            </w:r>
          </w:p>
        </w:tc>
        <w:tc>
          <w:tcPr>
            <w:tcW w:w="4035" w:type="dxa"/>
            <w:noWrap w:val="0"/>
            <w:vAlign w:val="center"/>
          </w:tcPr>
          <w:p w14:paraId="7162A163">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音视频巡查指挥终端</w:t>
            </w:r>
          </w:p>
        </w:tc>
        <w:tc>
          <w:tcPr>
            <w:tcW w:w="1350" w:type="dxa"/>
            <w:noWrap w:val="0"/>
            <w:vAlign w:val="center"/>
          </w:tcPr>
          <w:p w14:paraId="0A63A47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42E12D6F">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42F1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69B2150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20</w:t>
            </w:r>
          </w:p>
        </w:tc>
        <w:tc>
          <w:tcPr>
            <w:tcW w:w="4035" w:type="dxa"/>
            <w:noWrap w:val="0"/>
            <w:vAlign w:val="center"/>
          </w:tcPr>
          <w:p w14:paraId="00A624E9">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会议摄像机</w:t>
            </w:r>
          </w:p>
        </w:tc>
        <w:tc>
          <w:tcPr>
            <w:tcW w:w="1350" w:type="dxa"/>
            <w:noWrap w:val="0"/>
            <w:vAlign w:val="center"/>
          </w:tcPr>
          <w:p w14:paraId="4FC7CCD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1EC85358">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790F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17637CED">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21</w:t>
            </w:r>
          </w:p>
        </w:tc>
        <w:tc>
          <w:tcPr>
            <w:tcW w:w="4035" w:type="dxa"/>
            <w:noWrap w:val="0"/>
            <w:vAlign w:val="center"/>
          </w:tcPr>
          <w:p w14:paraId="1F6CD9B1">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鹅颈话筒</w:t>
            </w:r>
          </w:p>
        </w:tc>
        <w:tc>
          <w:tcPr>
            <w:tcW w:w="1350" w:type="dxa"/>
            <w:noWrap w:val="0"/>
            <w:vAlign w:val="center"/>
          </w:tcPr>
          <w:p w14:paraId="573B444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2个</w:t>
            </w:r>
          </w:p>
        </w:tc>
        <w:tc>
          <w:tcPr>
            <w:tcW w:w="2760" w:type="dxa"/>
            <w:noWrap w:val="0"/>
            <w:vAlign w:val="top"/>
          </w:tcPr>
          <w:p w14:paraId="6471E2F1">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5568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AB7AF45">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22</w:t>
            </w:r>
          </w:p>
        </w:tc>
        <w:tc>
          <w:tcPr>
            <w:tcW w:w="4035" w:type="dxa"/>
            <w:noWrap w:val="0"/>
            <w:vAlign w:val="center"/>
          </w:tcPr>
          <w:p w14:paraId="0BE0EC11">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周边控制器</w:t>
            </w:r>
          </w:p>
        </w:tc>
        <w:tc>
          <w:tcPr>
            <w:tcW w:w="1350" w:type="dxa"/>
            <w:noWrap w:val="0"/>
            <w:vAlign w:val="center"/>
          </w:tcPr>
          <w:p w14:paraId="47C1CA58">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08EBB12B">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58AA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3FD6EF8A">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23</w:t>
            </w:r>
          </w:p>
        </w:tc>
        <w:tc>
          <w:tcPr>
            <w:tcW w:w="4035" w:type="dxa"/>
            <w:noWrap w:val="0"/>
            <w:vAlign w:val="center"/>
          </w:tcPr>
          <w:p w14:paraId="705BE054">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移频功放</w:t>
            </w:r>
          </w:p>
        </w:tc>
        <w:tc>
          <w:tcPr>
            <w:tcW w:w="1350" w:type="dxa"/>
            <w:noWrap w:val="0"/>
            <w:vAlign w:val="center"/>
          </w:tcPr>
          <w:p w14:paraId="47BE58D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531EA308">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1F07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024ED34">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24</w:t>
            </w:r>
          </w:p>
        </w:tc>
        <w:tc>
          <w:tcPr>
            <w:tcW w:w="4035" w:type="dxa"/>
            <w:noWrap w:val="0"/>
            <w:vAlign w:val="center"/>
          </w:tcPr>
          <w:p w14:paraId="1900197F">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音箱</w:t>
            </w:r>
          </w:p>
        </w:tc>
        <w:tc>
          <w:tcPr>
            <w:tcW w:w="1350" w:type="dxa"/>
            <w:noWrap w:val="0"/>
            <w:vAlign w:val="center"/>
          </w:tcPr>
          <w:p w14:paraId="0D990BDC">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2只</w:t>
            </w:r>
          </w:p>
        </w:tc>
        <w:tc>
          <w:tcPr>
            <w:tcW w:w="2760" w:type="dxa"/>
            <w:noWrap w:val="0"/>
            <w:vAlign w:val="top"/>
          </w:tcPr>
          <w:p w14:paraId="2A75CCB7">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82B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48F874C7">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25</w:t>
            </w:r>
          </w:p>
        </w:tc>
        <w:tc>
          <w:tcPr>
            <w:tcW w:w="4035" w:type="dxa"/>
            <w:noWrap w:val="0"/>
            <w:vAlign w:val="center"/>
          </w:tcPr>
          <w:p w14:paraId="7682ED0B">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身份采集验证终端</w:t>
            </w:r>
          </w:p>
        </w:tc>
        <w:tc>
          <w:tcPr>
            <w:tcW w:w="1350" w:type="dxa"/>
            <w:noWrap w:val="0"/>
            <w:vAlign w:val="center"/>
          </w:tcPr>
          <w:p w14:paraId="395C74A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6套</w:t>
            </w:r>
          </w:p>
        </w:tc>
        <w:tc>
          <w:tcPr>
            <w:tcW w:w="2760" w:type="dxa"/>
            <w:noWrap w:val="0"/>
            <w:vAlign w:val="top"/>
          </w:tcPr>
          <w:p w14:paraId="53DBECBB">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0336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7DE9905">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26</w:t>
            </w:r>
          </w:p>
        </w:tc>
        <w:tc>
          <w:tcPr>
            <w:tcW w:w="4035" w:type="dxa"/>
            <w:noWrap w:val="0"/>
            <w:vAlign w:val="center"/>
          </w:tcPr>
          <w:p w14:paraId="5C7705DE">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续航支架</w:t>
            </w:r>
          </w:p>
        </w:tc>
        <w:tc>
          <w:tcPr>
            <w:tcW w:w="1350" w:type="dxa"/>
            <w:noWrap w:val="0"/>
            <w:vAlign w:val="center"/>
          </w:tcPr>
          <w:p w14:paraId="79E23673">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6个</w:t>
            </w:r>
          </w:p>
        </w:tc>
        <w:tc>
          <w:tcPr>
            <w:tcW w:w="2760" w:type="dxa"/>
            <w:noWrap w:val="0"/>
            <w:vAlign w:val="top"/>
          </w:tcPr>
          <w:p w14:paraId="00251386">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18B0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3D1F52E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27</w:t>
            </w:r>
          </w:p>
        </w:tc>
        <w:tc>
          <w:tcPr>
            <w:tcW w:w="4035" w:type="dxa"/>
            <w:noWrap w:val="0"/>
            <w:vAlign w:val="center"/>
          </w:tcPr>
          <w:p w14:paraId="1F1A2627">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作弊防控系统管理平台</w:t>
            </w:r>
          </w:p>
        </w:tc>
        <w:tc>
          <w:tcPr>
            <w:tcW w:w="1350" w:type="dxa"/>
            <w:noWrap w:val="0"/>
            <w:vAlign w:val="center"/>
          </w:tcPr>
          <w:p w14:paraId="5CABBBB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台</w:t>
            </w:r>
          </w:p>
        </w:tc>
        <w:tc>
          <w:tcPr>
            <w:tcW w:w="2760" w:type="dxa"/>
            <w:noWrap w:val="0"/>
            <w:vAlign w:val="top"/>
          </w:tcPr>
          <w:p w14:paraId="6E02F4F5">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1FA4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50F5ADF3">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28</w:t>
            </w:r>
          </w:p>
        </w:tc>
        <w:tc>
          <w:tcPr>
            <w:tcW w:w="4035" w:type="dxa"/>
            <w:noWrap w:val="0"/>
            <w:vAlign w:val="center"/>
          </w:tcPr>
          <w:p w14:paraId="4FA97A7F">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作弊防控侦测平台</w:t>
            </w:r>
          </w:p>
        </w:tc>
        <w:tc>
          <w:tcPr>
            <w:tcW w:w="1350" w:type="dxa"/>
            <w:noWrap w:val="0"/>
            <w:vAlign w:val="center"/>
          </w:tcPr>
          <w:p w14:paraId="756F4BD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 台</w:t>
            </w:r>
          </w:p>
        </w:tc>
        <w:tc>
          <w:tcPr>
            <w:tcW w:w="2760" w:type="dxa"/>
            <w:noWrap w:val="0"/>
            <w:vAlign w:val="top"/>
          </w:tcPr>
          <w:p w14:paraId="071E8ACC">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169B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9B9D9A4">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29</w:t>
            </w:r>
          </w:p>
        </w:tc>
        <w:tc>
          <w:tcPr>
            <w:tcW w:w="4035" w:type="dxa"/>
            <w:noWrap w:val="0"/>
            <w:vAlign w:val="center"/>
          </w:tcPr>
          <w:p w14:paraId="23692F97">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侦测引导屏蔽终端</w:t>
            </w:r>
          </w:p>
        </w:tc>
        <w:tc>
          <w:tcPr>
            <w:tcW w:w="1350" w:type="dxa"/>
            <w:noWrap w:val="0"/>
            <w:vAlign w:val="center"/>
          </w:tcPr>
          <w:p w14:paraId="46D27A5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52台</w:t>
            </w:r>
          </w:p>
        </w:tc>
        <w:tc>
          <w:tcPr>
            <w:tcW w:w="2760" w:type="dxa"/>
            <w:noWrap w:val="0"/>
            <w:vAlign w:val="top"/>
          </w:tcPr>
          <w:p w14:paraId="43DF189A">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D43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39929D2">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30</w:t>
            </w:r>
          </w:p>
        </w:tc>
        <w:tc>
          <w:tcPr>
            <w:tcW w:w="4035" w:type="dxa"/>
            <w:noWrap w:val="0"/>
            <w:vAlign w:val="center"/>
          </w:tcPr>
          <w:p w14:paraId="2A21DE80">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智能型手机探测门</w:t>
            </w:r>
          </w:p>
        </w:tc>
        <w:tc>
          <w:tcPr>
            <w:tcW w:w="1350" w:type="dxa"/>
            <w:noWrap w:val="0"/>
            <w:vAlign w:val="center"/>
          </w:tcPr>
          <w:p w14:paraId="6AB6B4D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2台</w:t>
            </w:r>
          </w:p>
        </w:tc>
        <w:tc>
          <w:tcPr>
            <w:tcW w:w="2760" w:type="dxa"/>
            <w:noWrap w:val="0"/>
            <w:vAlign w:val="top"/>
          </w:tcPr>
          <w:p w14:paraId="636779F2">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152B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564CCBF0">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31</w:t>
            </w:r>
          </w:p>
        </w:tc>
        <w:tc>
          <w:tcPr>
            <w:tcW w:w="4035" w:type="dxa"/>
            <w:noWrap w:val="0"/>
            <w:vAlign w:val="center"/>
          </w:tcPr>
          <w:p w14:paraId="6726CFC6">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机柜</w:t>
            </w:r>
          </w:p>
        </w:tc>
        <w:tc>
          <w:tcPr>
            <w:tcW w:w="1350" w:type="dxa"/>
            <w:noWrap w:val="0"/>
            <w:vAlign w:val="center"/>
          </w:tcPr>
          <w:p w14:paraId="633F5D5D">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3台</w:t>
            </w:r>
          </w:p>
        </w:tc>
        <w:tc>
          <w:tcPr>
            <w:tcW w:w="2760" w:type="dxa"/>
            <w:noWrap w:val="0"/>
            <w:vAlign w:val="top"/>
          </w:tcPr>
          <w:p w14:paraId="370AECFB">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34EC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18F77AE1">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32</w:t>
            </w:r>
          </w:p>
        </w:tc>
        <w:tc>
          <w:tcPr>
            <w:tcW w:w="4035" w:type="dxa"/>
            <w:noWrap w:val="0"/>
            <w:vAlign w:val="center"/>
          </w:tcPr>
          <w:p w14:paraId="680B94B7">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机柜</w:t>
            </w:r>
          </w:p>
        </w:tc>
        <w:tc>
          <w:tcPr>
            <w:tcW w:w="1350" w:type="dxa"/>
            <w:noWrap w:val="0"/>
            <w:vAlign w:val="center"/>
          </w:tcPr>
          <w:p w14:paraId="0AC5299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1台</w:t>
            </w:r>
          </w:p>
        </w:tc>
        <w:tc>
          <w:tcPr>
            <w:tcW w:w="2760" w:type="dxa"/>
            <w:noWrap w:val="0"/>
            <w:vAlign w:val="top"/>
          </w:tcPr>
          <w:p w14:paraId="6331701F">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r w14:paraId="7DE0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569" w:type="dxa"/>
            <w:noWrap w:val="0"/>
            <w:vAlign w:val="top"/>
          </w:tcPr>
          <w:p w14:paraId="2D3802C4">
            <w:pPr>
              <w:keepNext w:val="0"/>
              <w:keepLines w:val="0"/>
              <w:widowControl/>
              <w:suppressLineNumbers w:val="0"/>
              <w:jc w:val="center"/>
              <w:textAlignment w:val="top"/>
              <w:rPr>
                <w:rFonts w:hint="default" w:ascii="宋体" w:hAnsi="宋体" w:eastAsia="宋体" w:cs="宋体"/>
                <w:color w:val="000000"/>
                <w:kern w:val="0"/>
                <w:sz w:val="21"/>
                <w:szCs w:val="21"/>
                <w:vertAlign w:val="baseline"/>
                <w:lang w:val="en-US" w:eastAsia="zh-CN" w:bidi="ar-SA"/>
              </w:rPr>
            </w:pPr>
            <w:r>
              <w:rPr>
                <w:rFonts w:hint="eastAsia" w:ascii="宋体" w:hAnsi="宋体" w:cs="宋体"/>
                <w:color w:val="000000"/>
                <w:kern w:val="0"/>
                <w:sz w:val="21"/>
                <w:szCs w:val="21"/>
                <w:vertAlign w:val="baseline"/>
                <w:lang w:val="en-US" w:eastAsia="zh-CN" w:bidi="ar-SA"/>
              </w:rPr>
              <w:t>33</w:t>
            </w:r>
          </w:p>
        </w:tc>
        <w:tc>
          <w:tcPr>
            <w:tcW w:w="4035" w:type="dxa"/>
            <w:noWrap w:val="0"/>
            <w:vAlign w:val="center"/>
          </w:tcPr>
          <w:p w14:paraId="25818B53">
            <w:pPr>
              <w:keepNext w:val="0"/>
              <w:keepLines w:val="0"/>
              <w:widowControl/>
              <w:suppressLineNumbers w:val="0"/>
              <w:spacing w:line="240" w:lineRule="auto"/>
              <w:ind w:firstLine="480" w:firstLineChars="20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线材线缆安装集成调试</w:t>
            </w:r>
          </w:p>
        </w:tc>
        <w:tc>
          <w:tcPr>
            <w:tcW w:w="1350" w:type="dxa"/>
            <w:noWrap w:val="0"/>
            <w:vAlign w:val="center"/>
          </w:tcPr>
          <w:p w14:paraId="0C9EA65A">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1项</w:t>
            </w:r>
          </w:p>
        </w:tc>
        <w:tc>
          <w:tcPr>
            <w:tcW w:w="2760" w:type="dxa"/>
            <w:noWrap w:val="0"/>
            <w:vAlign w:val="top"/>
          </w:tcPr>
          <w:p w14:paraId="3DA0B961">
            <w:pPr>
              <w:pStyle w:val="27"/>
              <w:widowControl/>
              <w:numPr>
                <w:ilvl w:val="0"/>
                <w:numId w:val="0"/>
              </w:numPr>
              <w:ind w:left="0" w:leftChars="0" w:firstLine="0" w:firstLineChars="0"/>
              <w:jc w:val="center"/>
              <w:rPr>
                <w:rFonts w:hint="eastAsia" w:ascii="宋体" w:hAnsi="宋体" w:eastAsia="宋体" w:cs="宋体"/>
                <w:color w:val="000000"/>
                <w:kern w:val="0"/>
                <w:sz w:val="21"/>
                <w:szCs w:val="21"/>
                <w:vertAlign w:val="baseline"/>
                <w:lang w:eastAsia="zh-CN"/>
              </w:rPr>
            </w:pPr>
          </w:p>
        </w:tc>
      </w:tr>
    </w:tbl>
    <w:p w14:paraId="1991D9A6">
      <w:pPr>
        <w:pStyle w:val="27"/>
        <w:widowControl/>
        <w:numPr>
          <w:ilvl w:val="0"/>
          <w:numId w:val="0"/>
        </w:numPr>
        <w:jc w:val="left"/>
        <w:rPr>
          <w:rFonts w:hint="eastAsia" w:ascii="仿宋_GB2312" w:hAnsi="仿宋_GB2312" w:eastAsia="仿宋_GB2312" w:cs="仿宋_GB2312"/>
          <w:b/>
          <w:bCs/>
          <w:kern w:val="0"/>
          <w:sz w:val="28"/>
          <w:szCs w:val="28"/>
          <w:lang w:val="en-US" w:eastAsia="zh-CN"/>
        </w:rPr>
      </w:pPr>
    </w:p>
    <w:tbl>
      <w:tblPr>
        <w:tblStyle w:val="17"/>
        <w:tblpPr w:leftFromText="180" w:rightFromText="180" w:vertAnchor="text" w:horzAnchor="page" w:tblpX="1055" w:tblpY="111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934"/>
        <w:gridCol w:w="6898"/>
        <w:gridCol w:w="1145"/>
        <w:gridCol w:w="477"/>
      </w:tblGrid>
      <w:tr w14:paraId="04574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5" w:hRule="atLeast"/>
        </w:trPr>
        <w:tc>
          <w:tcPr>
            <w:tcW w:w="657" w:type="dxa"/>
            <w:tcBorders>
              <w:tl2br w:val="nil"/>
              <w:tr2bl w:val="nil"/>
            </w:tcBorders>
            <w:noWrap w:val="0"/>
            <w:vAlign w:val="center"/>
          </w:tcPr>
          <w:p w14:paraId="565E9B7B">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序号</w:t>
            </w:r>
          </w:p>
        </w:tc>
        <w:tc>
          <w:tcPr>
            <w:tcW w:w="934" w:type="dxa"/>
            <w:tcBorders>
              <w:tl2br w:val="nil"/>
              <w:tr2bl w:val="nil"/>
            </w:tcBorders>
            <w:noWrap w:val="0"/>
            <w:vAlign w:val="center"/>
          </w:tcPr>
          <w:p w14:paraId="396F7350">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sz w:val="21"/>
                <w:szCs w:val="21"/>
                <w:u w:val="none"/>
              </w:rPr>
            </w:pPr>
            <w:r>
              <w:rPr>
                <w:rFonts w:hint="default" w:ascii="Times New Roman" w:hAnsi="Times New Roman" w:eastAsia="仿宋_GB2312" w:cs="Times New Roman"/>
                <w:b/>
                <w:bCs/>
                <w:sz w:val="24"/>
                <w:szCs w:val="24"/>
                <w:lang w:val="en-US" w:eastAsia="zh-CN"/>
              </w:rPr>
              <w:t>名称</w:t>
            </w:r>
          </w:p>
        </w:tc>
        <w:tc>
          <w:tcPr>
            <w:tcW w:w="6898" w:type="dxa"/>
            <w:tcBorders>
              <w:tl2br w:val="nil"/>
              <w:tr2bl w:val="nil"/>
            </w:tcBorders>
            <w:noWrap w:val="0"/>
            <w:vAlign w:val="center"/>
          </w:tcPr>
          <w:p w14:paraId="4F8D3EA1">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
                <w:bCs/>
                <w:i w:val="0"/>
                <w:color w:val="auto"/>
                <w:sz w:val="22"/>
                <w:szCs w:val="22"/>
                <w:lang w:val="en-US" w:eastAsia="zh-CN"/>
              </w:rPr>
              <w:t>详细参数</w:t>
            </w:r>
          </w:p>
        </w:tc>
        <w:tc>
          <w:tcPr>
            <w:tcW w:w="1145" w:type="dxa"/>
            <w:tcBorders>
              <w:tl2br w:val="nil"/>
              <w:tr2bl w:val="nil"/>
            </w:tcBorders>
            <w:noWrap w:val="0"/>
            <w:vAlign w:val="center"/>
          </w:tcPr>
          <w:p w14:paraId="7AD54E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477" w:type="dxa"/>
            <w:tcBorders>
              <w:tl2br w:val="nil"/>
              <w:tr2bl w:val="nil"/>
            </w:tcBorders>
            <w:noWrap w:val="0"/>
            <w:vAlign w:val="center"/>
          </w:tcPr>
          <w:p w14:paraId="5658E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r>
      <w:tr w14:paraId="298D0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0" w:hRule="atLeast"/>
        </w:trPr>
        <w:tc>
          <w:tcPr>
            <w:tcW w:w="657" w:type="dxa"/>
            <w:tcBorders>
              <w:tl2br w:val="nil"/>
              <w:tr2bl w:val="nil"/>
            </w:tcBorders>
            <w:noWrap w:val="0"/>
            <w:vAlign w:val="center"/>
          </w:tcPr>
          <w:p w14:paraId="2EAF36BC">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934" w:type="dxa"/>
            <w:tcBorders>
              <w:tl2br w:val="nil"/>
              <w:tr2bl w:val="nil"/>
            </w:tcBorders>
            <w:noWrap w:val="0"/>
            <w:vAlign w:val="center"/>
          </w:tcPr>
          <w:p w14:paraId="2D2CC53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default" w:ascii="仿宋" w:hAnsi="仿宋" w:eastAsia="仿宋" w:cs="仿宋"/>
                <w:i w:val="0"/>
                <w:iCs w:val="0"/>
                <w:color w:val="000000"/>
                <w:kern w:val="0"/>
                <w:sz w:val="22"/>
                <w:szCs w:val="22"/>
                <w:u w:val="none"/>
                <w:lang w:val="en-US" w:eastAsia="zh-CN" w:bidi="ar"/>
              </w:rPr>
              <w:t>拼接屏</w:t>
            </w:r>
          </w:p>
        </w:tc>
        <w:tc>
          <w:tcPr>
            <w:tcW w:w="6898" w:type="dxa"/>
            <w:tcBorders>
              <w:tl2br w:val="nil"/>
              <w:tr2bl w:val="nil"/>
            </w:tcBorders>
            <w:noWrap w:val="0"/>
            <w:vAlign w:val="center"/>
          </w:tcPr>
          <w:p w14:paraId="3B3468C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1. 采用55”LCD工业级面板；</w:t>
            </w:r>
          </w:p>
          <w:p w14:paraId="3B18EC2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2. 拼缝≤1.7mm；</w:t>
            </w:r>
          </w:p>
          <w:p w14:paraId="73618A7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3. 分辨率≥1920*1080，刷新率≥60Hz；</w:t>
            </w:r>
          </w:p>
          <w:p w14:paraId="07BD914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4. 亮度≥500cd/m²；</w:t>
            </w:r>
          </w:p>
          <w:p w14:paraId="0FEB60F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5. 对比度：不低于4000：1；</w:t>
            </w:r>
          </w:p>
          <w:p w14:paraId="081F00A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6. 色彩数：不低于16.7M；</w:t>
            </w:r>
          </w:p>
          <w:p w14:paraId="6306D92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7. 响应时间：≤8ms；</w:t>
            </w:r>
          </w:p>
          <w:p w14:paraId="00F24DF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8. 水平视角/垂直视角不低于：178°/178°；</w:t>
            </w:r>
          </w:p>
          <w:p w14:paraId="0ED2BA2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9. 具备去蓝光护眼功能，可减弱蓝光，对观看人员的眼睛进行有效保护；</w:t>
            </w:r>
          </w:p>
          <w:p w14:paraId="797D575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10. 视频输入接口：不少于HDMI*2，DVI*1，VGA*1；</w:t>
            </w:r>
          </w:p>
          <w:p w14:paraId="1878128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11. （最高分辨率：1920*1080@60Hz）；视频输出接口：HDMI*1（为HDMI-A口环出）；其他接口：USB*1，RS232*2(RJ45接头)，红外接口*1（3.5mm接口），按钮*1；</w:t>
            </w:r>
          </w:p>
          <w:p w14:paraId="1FA42E7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12. 防极化检测:液晶拼接显示单元具备防止长时间运行造成的极化现象；</w:t>
            </w:r>
          </w:p>
          <w:p w14:paraId="1452F63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highlight w:val="none"/>
                <w:u w:val="none"/>
                <w:lang w:val="en-US" w:eastAsia="zh-CN" w:bidi="ar"/>
              </w:rPr>
            </w:pPr>
            <w:r>
              <w:rPr>
                <w:rFonts w:hint="eastAsia" w:ascii="宋体" w:hAnsi="宋体" w:eastAsia="宋体" w:cs="宋体"/>
                <w:b w:val="0"/>
                <w:i w:val="0"/>
                <w:iCs w:val="0"/>
                <w:color w:val="000000"/>
                <w:kern w:val="0"/>
                <w:sz w:val="22"/>
                <w:szCs w:val="22"/>
                <w:highlight w:val="none"/>
                <w:u w:val="none"/>
                <w:lang w:val="en-US" w:eastAsia="zh-CN" w:bidi="ar"/>
              </w:rPr>
              <w:t>13. 无边框显示:液晶拼接显示单元支持边框消隐功能，可上、下、左、右四向独立智能调节显示边框数据，有效避免屏与屏之间的边框带来的图像不连贯视觉问题，提升拼接墙屏与屏之间的图像连贯性。</w:t>
            </w:r>
          </w:p>
          <w:p w14:paraId="5A7AEC0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highlight w:val="none"/>
                <w:u w:val="none"/>
                <w:lang w:val="en-US" w:eastAsia="zh-CN" w:bidi="ar"/>
              </w:rPr>
              <w:t>14. 蓝光护眼检测:液晶拼接显示单元具备去蓝光护眼功能，开启护眼模式后，蓝光量可下降40%，减弱蓝光，对观看人员的眼睛进行有效保护，需提供第三方检测报告持。</w:t>
            </w:r>
          </w:p>
        </w:tc>
        <w:tc>
          <w:tcPr>
            <w:tcW w:w="1145" w:type="dxa"/>
            <w:tcBorders>
              <w:tl2br w:val="nil"/>
              <w:tr2bl w:val="nil"/>
            </w:tcBorders>
            <w:noWrap w:val="0"/>
            <w:vAlign w:val="center"/>
          </w:tcPr>
          <w:p w14:paraId="2BABC9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lang w:val="en-US" w:eastAsia="zh-CN"/>
              </w:rPr>
              <w:t>6</w:t>
            </w:r>
          </w:p>
        </w:tc>
        <w:tc>
          <w:tcPr>
            <w:tcW w:w="477" w:type="dxa"/>
            <w:tcBorders>
              <w:tl2br w:val="nil"/>
              <w:tr2bl w:val="nil"/>
            </w:tcBorders>
            <w:noWrap w:val="0"/>
            <w:vAlign w:val="center"/>
          </w:tcPr>
          <w:p w14:paraId="048C3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4"/>
                <w:szCs w:val="24"/>
                <w:lang w:val="en-US" w:eastAsia="zh-CN"/>
              </w:rPr>
              <w:t>块</w:t>
            </w:r>
          </w:p>
        </w:tc>
      </w:tr>
      <w:tr w14:paraId="39543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57" w:type="dxa"/>
            <w:tcBorders>
              <w:tl2br w:val="nil"/>
              <w:tr2bl w:val="nil"/>
            </w:tcBorders>
            <w:noWrap w:val="0"/>
            <w:vAlign w:val="center"/>
          </w:tcPr>
          <w:p w14:paraId="20B6256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934" w:type="dxa"/>
            <w:tcBorders>
              <w:tl2br w:val="nil"/>
              <w:tr2bl w:val="nil"/>
            </w:tcBorders>
            <w:noWrap w:val="0"/>
            <w:vAlign w:val="center"/>
          </w:tcPr>
          <w:p w14:paraId="0ECDA85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default" w:ascii="仿宋" w:hAnsi="仿宋" w:eastAsia="仿宋" w:cs="仿宋"/>
                <w:i w:val="0"/>
                <w:iCs w:val="0"/>
                <w:color w:val="000000"/>
                <w:kern w:val="0"/>
                <w:sz w:val="22"/>
                <w:szCs w:val="22"/>
                <w:u w:val="none"/>
                <w:lang w:val="en-US" w:eastAsia="zh-CN" w:bidi="ar"/>
              </w:rPr>
              <w:t>安装框架</w:t>
            </w:r>
          </w:p>
        </w:tc>
        <w:tc>
          <w:tcPr>
            <w:tcW w:w="6898" w:type="dxa"/>
            <w:tcBorders>
              <w:tl2br w:val="nil"/>
              <w:tr2bl w:val="nil"/>
            </w:tcBorders>
            <w:noWrap w:val="0"/>
            <w:vAlign w:val="center"/>
          </w:tcPr>
          <w:p w14:paraId="4F12E243">
            <w:pPr>
              <w:keepNext w:val="0"/>
              <w:keepLines w:val="0"/>
              <w:widowControl/>
              <w:suppressLineNumbers w:val="0"/>
              <w:ind w:firstLine="44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定制，模块化金属框架前维护液压支架。</w:t>
            </w:r>
          </w:p>
        </w:tc>
        <w:tc>
          <w:tcPr>
            <w:tcW w:w="1145" w:type="dxa"/>
            <w:tcBorders>
              <w:tl2br w:val="nil"/>
              <w:tr2bl w:val="nil"/>
            </w:tcBorders>
            <w:noWrap w:val="0"/>
            <w:vAlign w:val="center"/>
          </w:tcPr>
          <w:p w14:paraId="0EC257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sz w:val="24"/>
                <w:szCs w:val="24"/>
                <w:lang w:val="en-US" w:eastAsia="zh-CN"/>
              </w:rPr>
              <w:t>6</w:t>
            </w:r>
          </w:p>
        </w:tc>
        <w:tc>
          <w:tcPr>
            <w:tcW w:w="477" w:type="dxa"/>
            <w:tcBorders>
              <w:tl2br w:val="nil"/>
              <w:tr2bl w:val="nil"/>
            </w:tcBorders>
            <w:noWrap w:val="0"/>
            <w:vAlign w:val="center"/>
          </w:tcPr>
          <w:p w14:paraId="72EAFD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4"/>
                <w:szCs w:val="24"/>
                <w:lang w:val="en-US" w:eastAsia="zh-CN"/>
              </w:rPr>
              <w:t>套</w:t>
            </w:r>
          </w:p>
        </w:tc>
      </w:tr>
      <w:tr w14:paraId="0AEEF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657" w:type="dxa"/>
            <w:tcBorders>
              <w:tl2br w:val="nil"/>
              <w:tr2bl w:val="nil"/>
            </w:tcBorders>
            <w:noWrap w:val="0"/>
            <w:vAlign w:val="center"/>
          </w:tcPr>
          <w:p w14:paraId="04CC60F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934" w:type="dxa"/>
            <w:tcBorders>
              <w:tl2br w:val="nil"/>
              <w:tr2bl w:val="nil"/>
            </w:tcBorders>
            <w:noWrap w:val="0"/>
            <w:vAlign w:val="center"/>
          </w:tcPr>
          <w:p w14:paraId="641CE8F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default" w:ascii="仿宋" w:hAnsi="仿宋" w:eastAsia="仿宋" w:cs="仿宋"/>
                <w:i w:val="0"/>
                <w:iCs w:val="0"/>
                <w:color w:val="000000"/>
                <w:kern w:val="0"/>
                <w:sz w:val="22"/>
                <w:szCs w:val="22"/>
                <w:u w:val="none"/>
                <w:lang w:val="en-US" w:eastAsia="zh-CN" w:bidi="ar"/>
              </w:rPr>
              <w:t>视频拼接处理器</w:t>
            </w:r>
          </w:p>
        </w:tc>
        <w:tc>
          <w:tcPr>
            <w:tcW w:w="6898" w:type="dxa"/>
            <w:tcBorders>
              <w:tl2br w:val="nil"/>
              <w:tr2bl w:val="nil"/>
            </w:tcBorders>
            <w:noWrap w:val="0"/>
            <w:vAlign w:val="center"/>
          </w:tcPr>
          <w:p w14:paraId="12692AC5">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采用全硬件FPGA架构，嵌入式Linux操作系统，支持7×24小时稳定运行；视频拼接处理器为框架式结构，内置4个板卡槽，可插入4个板卡，包括：视频输入板卡：2口HDMI输入卡（具有2个HDMI接口）、4口HDMI输入卡（具有4个HDMI接口）、8口HDMI输入卡（具有8个HDMI接口）、4口DVI输入卡（具有4个DVI接口）、4口VGA输入卡（具有4个VGA接口）。视频输出板卡：4口HDMI输出卡（具有4个HDMI接口）、8口HDMI输出卡（具有8个HDMI接口）、4口DVI输出卡（具有4个DVI接口）。具有1个10M／100M／1000M自适应RJ45接口、2个HDMI输入接口、1个HDMI输出接口、1个音频输入接口、1个音频输出接口、1个USB3.0接口、1个USB2.0接口、1个RS485接口、1个RS232接口、1个RST按键、2个风扇。设备采用AC220V供电，</w:t>
            </w:r>
            <w:r>
              <w:rPr>
                <w:rFonts w:hint="eastAsia" w:ascii="宋体" w:hAnsi="宋体" w:eastAsia="宋体" w:cs="宋体"/>
                <w:b w:val="0"/>
                <w:i w:val="0"/>
                <w:iCs w:val="0"/>
                <w:color w:val="000000"/>
                <w:kern w:val="0"/>
                <w:sz w:val="22"/>
                <w:szCs w:val="22"/>
                <w:highlight w:val="none"/>
                <w:u w:val="none"/>
                <w:lang w:val="en-US" w:eastAsia="zh-CN" w:bidi="ar"/>
              </w:rPr>
              <w:t>需提供第三方检测报告持</w:t>
            </w:r>
            <w:r>
              <w:rPr>
                <w:rFonts w:hint="eastAsia" w:ascii="宋体" w:hAnsi="宋体" w:eastAsia="宋体" w:cs="宋体"/>
                <w:b w:val="0"/>
                <w:i w:val="0"/>
                <w:iCs w:val="0"/>
                <w:color w:val="000000"/>
                <w:kern w:val="0"/>
                <w:sz w:val="22"/>
                <w:szCs w:val="22"/>
                <w:u w:val="none"/>
                <w:lang w:val="en-US" w:eastAsia="zh-CN" w:bidi="ar"/>
              </w:rPr>
              <w:t>；</w:t>
            </w:r>
          </w:p>
          <w:p w14:paraId="0D78A6EE">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2.为保证设备使用灵活度，设备应采用插卡式机箱设计，可灵活配置板卡；</w:t>
            </w:r>
          </w:p>
          <w:p w14:paraId="0A0D834C">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3.设备板卡槽位均可接入具有2口或4口或8口的HDMI/DVI/VGA输入或输出端口的板卡并正常工作，；</w:t>
            </w:r>
          </w:p>
          <w:p w14:paraId="0389A98A">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4.单个输出通道可开不小于32个窗口，；</w:t>
            </w:r>
          </w:p>
          <w:p w14:paraId="224D4237">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5.可自定义电视墙布局，并可选择固定布局或自定义行列数两种方式，；</w:t>
            </w:r>
          </w:p>
          <w:p w14:paraId="0B7E0C33">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6.可对EDID进行设置，分辨率可调，；</w:t>
            </w:r>
          </w:p>
          <w:p w14:paraId="155D452C">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7.从视频信号正常接入，到视频画面正常显示的时间≤30ms，</w:t>
            </w:r>
            <w:r>
              <w:rPr>
                <w:rFonts w:hint="eastAsia" w:ascii="宋体" w:hAnsi="宋体" w:eastAsia="宋体" w:cs="宋体"/>
                <w:b w:val="0"/>
                <w:i w:val="0"/>
                <w:iCs w:val="0"/>
                <w:color w:val="000000"/>
                <w:kern w:val="0"/>
                <w:sz w:val="22"/>
                <w:szCs w:val="22"/>
                <w:highlight w:val="none"/>
                <w:u w:val="none"/>
                <w:lang w:val="en-US" w:eastAsia="zh-CN" w:bidi="ar"/>
              </w:rPr>
              <w:t>需提供第三方检测报告持</w:t>
            </w:r>
            <w:r>
              <w:rPr>
                <w:rFonts w:hint="eastAsia" w:ascii="宋体" w:hAnsi="宋体" w:eastAsia="宋体" w:cs="宋体"/>
                <w:b w:val="0"/>
                <w:i w:val="0"/>
                <w:iCs w:val="0"/>
                <w:color w:val="000000"/>
                <w:kern w:val="0"/>
                <w:sz w:val="22"/>
                <w:szCs w:val="22"/>
                <w:u w:val="none"/>
                <w:lang w:val="en-US" w:eastAsia="zh-CN" w:bidi="ar"/>
              </w:rPr>
              <w:t>；</w:t>
            </w:r>
          </w:p>
          <w:p w14:paraId="1D331D0B">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8.可对指定的视频画面进行缩放、漫游、跨屏、叠加以及多窗口拼接等操作；</w:t>
            </w:r>
          </w:p>
          <w:p w14:paraId="5AF9913D">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9.可将叠加显示的窗口进行置顶或置底操作，；</w:t>
            </w:r>
          </w:p>
          <w:p w14:paraId="426C2200">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10.可进行部分窗口轮巡操作，可在电视墙上选择指定多个窗口进行轮巡，其他窗口可正常显示视频信息，轮巡时间间隔可配置，；</w:t>
            </w:r>
          </w:p>
          <w:p w14:paraId="073A2E12">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11.可对多种场景进行保存和调用，可最多保存128个场景，；</w:t>
            </w:r>
          </w:p>
          <w:p w14:paraId="5B0956DB">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12.可根据机箱内温度自动调节风扇转速，；</w:t>
            </w:r>
          </w:p>
          <w:p w14:paraId="7C9A426B">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13.支持控制外接的LED屏幕的手动、定时、倒计时开关机以及延时关机，；</w:t>
            </w:r>
          </w:p>
          <w:p w14:paraId="4F0A5374">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14.可自动显示接入板卡的类型、在线状态、温度、运行时间、内存使用率、CPU使用率等信息；</w:t>
            </w:r>
          </w:p>
          <w:p w14:paraId="6704399C">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15.视频拼接处理器8口HDMI输入卡(1080P&amp;4K30)单板卡支持不小于8路HDMI接口；</w:t>
            </w:r>
          </w:p>
          <w:p w14:paraId="4DD7391D">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输入分辨率支持：XGA：1024*768@60Hz、720P：1280*720@50Hz、720P：1280*720@60Hz、SXGA：1280*1024@60Hz、WXGA：1440*900@60Hz、UXGA：1600*1200@60Hz、1080P：1920*1080@50Hz、1080P：1920*1080@60Hz、WUXGA：1920*1200@60Hz、4K：3840*2160@30</w:t>
            </w:r>
          </w:p>
          <w:p w14:paraId="5FDF07CE">
            <w:pPr>
              <w:keepNext w:val="0"/>
              <w:keepLines w:val="0"/>
              <w:widowControl/>
              <w:numPr>
                <w:ilvl w:val="0"/>
                <w:numId w:val="0"/>
              </w:numPr>
              <w:suppressLineNumbers w:val="0"/>
              <w:spacing w:line="240" w:lineRule="auto"/>
              <w:ind w:left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1口和2口最大4K30，其他口最大1920*1200@60，HDMI1和HDMI2使用4K30后，其他6口不可用自定义分辨率范围：最大宽/高4096，最小宽/高512。</w:t>
            </w:r>
          </w:p>
          <w:p w14:paraId="68BF847D">
            <w:pPr>
              <w:keepNext w:val="0"/>
              <w:keepLines w:val="0"/>
              <w:widowControl/>
              <w:numPr>
                <w:ilvl w:val="0"/>
                <w:numId w:val="0"/>
              </w:numPr>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16.视频拼接处理器8口HDMI输出卡(1080P&amp;4K30)；单板卡支持不小于8路HDMI接口；输出分辨率支持:XGA：1024*768@60Hz、720P：1280*720@60Hz、SXGA：1280*1024@60Hz、WXGA+：1440*900@60Hz、UXGA：1600*1200@60Hz、1080P：1920*1080@60Hz、WUXGA：1920*1200@60Hz、4K：3840*2160@30；1口和2口最大4K30，其他口最大1920*1200@60，HDMI1和HDMI2使用4K30后，其他6口不可用；自定义输出分辨率范围：最大宽/高4096，最小宽/高512；1080P输出最大数据带宽2048*1152*60；4K30输出最大数据带宽4096*2160*30。</w:t>
            </w:r>
          </w:p>
        </w:tc>
        <w:tc>
          <w:tcPr>
            <w:tcW w:w="1145" w:type="dxa"/>
            <w:tcBorders>
              <w:tl2br w:val="nil"/>
              <w:tr2bl w:val="nil"/>
            </w:tcBorders>
            <w:noWrap w:val="0"/>
            <w:vAlign w:val="center"/>
          </w:tcPr>
          <w:p w14:paraId="37BD23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sz w:val="24"/>
                <w:szCs w:val="24"/>
                <w:lang w:val="en-US" w:eastAsia="zh-CN"/>
              </w:rPr>
              <w:t>1</w:t>
            </w:r>
          </w:p>
        </w:tc>
        <w:tc>
          <w:tcPr>
            <w:tcW w:w="477" w:type="dxa"/>
            <w:tcBorders>
              <w:tl2br w:val="nil"/>
              <w:tr2bl w:val="nil"/>
            </w:tcBorders>
            <w:noWrap w:val="0"/>
            <w:vAlign w:val="center"/>
          </w:tcPr>
          <w:p w14:paraId="557BAF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4"/>
                <w:szCs w:val="24"/>
                <w:lang w:val="en-US" w:eastAsia="zh-CN"/>
              </w:rPr>
              <w:t>套</w:t>
            </w:r>
          </w:p>
        </w:tc>
      </w:tr>
      <w:tr w14:paraId="19B42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3" w:hRule="atLeast"/>
        </w:trPr>
        <w:tc>
          <w:tcPr>
            <w:tcW w:w="657" w:type="dxa"/>
            <w:tcBorders>
              <w:tl2br w:val="nil"/>
              <w:tr2bl w:val="nil"/>
            </w:tcBorders>
            <w:noWrap w:val="0"/>
            <w:vAlign w:val="center"/>
          </w:tcPr>
          <w:p w14:paraId="5253885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04</w:t>
            </w:r>
          </w:p>
        </w:tc>
        <w:tc>
          <w:tcPr>
            <w:tcW w:w="934" w:type="dxa"/>
            <w:tcBorders>
              <w:tl2br w:val="nil"/>
              <w:tr2bl w:val="nil"/>
            </w:tcBorders>
            <w:noWrap w:val="0"/>
            <w:vAlign w:val="center"/>
          </w:tcPr>
          <w:p w14:paraId="4BF6752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default" w:ascii="仿宋" w:hAnsi="仿宋" w:eastAsia="仿宋" w:cs="仿宋"/>
                <w:i w:val="0"/>
                <w:iCs w:val="0"/>
                <w:color w:val="000000"/>
                <w:kern w:val="0"/>
                <w:sz w:val="22"/>
                <w:szCs w:val="22"/>
                <w:u w:val="none"/>
                <w:lang w:val="en-US" w:eastAsia="zh-CN" w:bidi="ar"/>
              </w:rPr>
              <w:t>拾音器</w:t>
            </w:r>
          </w:p>
        </w:tc>
        <w:tc>
          <w:tcPr>
            <w:tcW w:w="6898" w:type="dxa"/>
            <w:tcBorders>
              <w:tl2br w:val="nil"/>
              <w:tr2bl w:val="nil"/>
            </w:tcBorders>
            <w:noWrap w:val="0"/>
            <w:vAlign w:val="center"/>
          </w:tcPr>
          <w:p w14:paraId="7BA389D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1、拾音器应能清晰拾取考场内环境声音；2、拾音器应与摄像机音频输入接口阻抗等电气性能相匹配；3、具有1个音频输出接口和1个电源输入接口；4、拾音器符合《GB/T 30148-2013》电磁兼容抗扰度要求；5、拾音器辐射骚扰限值和传导骚扰限值应符合GB/T 9254-2008中等级B的规定；6、设备接通额定电源后，输出音量不应存在时大时小、时有时无现象；7、设备接通额定电源后，输出声音不应发出由电源产生的异常声等非拾音环境中的杂声现象；</w:t>
            </w:r>
          </w:p>
        </w:tc>
        <w:tc>
          <w:tcPr>
            <w:tcW w:w="1145" w:type="dxa"/>
            <w:tcBorders>
              <w:tl2br w:val="nil"/>
              <w:tr2bl w:val="nil"/>
            </w:tcBorders>
            <w:noWrap w:val="0"/>
            <w:vAlign w:val="center"/>
          </w:tcPr>
          <w:p w14:paraId="7641BF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sz w:val="24"/>
                <w:szCs w:val="24"/>
                <w:lang w:val="en-US" w:eastAsia="zh-CN"/>
              </w:rPr>
              <w:t>53</w:t>
            </w:r>
          </w:p>
        </w:tc>
        <w:tc>
          <w:tcPr>
            <w:tcW w:w="477" w:type="dxa"/>
            <w:tcBorders>
              <w:tl2br w:val="nil"/>
              <w:tr2bl w:val="nil"/>
            </w:tcBorders>
            <w:noWrap w:val="0"/>
            <w:vAlign w:val="center"/>
          </w:tcPr>
          <w:p w14:paraId="00BE44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4"/>
                <w:szCs w:val="24"/>
                <w:lang w:val="en-US" w:eastAsia="zh-CN"/>
              </w:rPr>
              <w:t>台</w:t>
            </w:r>
          </w:p>
        </w:tc>
      </w:tr>
      <w:tr w14:paraId="334B7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trPr>
        <w:tc>
          <w:tcPr>
            <w:tcW w:w="657" w:type="dxa"/>
            <w:tcBorders>
              <w:tl2br w:val="nil"/>
              <w:tr2bl w:val="nil"/>
            </w:tcBorders>
            <w:noWrap w:val="0"/>
            <w:vAlign w:val="center"/>
          </w:tcPr>
          <w:p w14:paraId="42A45B2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934" w:type="dxa"/>
            <w:tcBorders>
              <w:tl2br w:val="nil"/>
              <w:tr2bl w:val="nil"/>
            </w:tcBorders>
            <w:noWrap w:val="0"/>
            <w:vAlign w:val="center"/>
          </w:tcPr>
          <w:p w14:paraId="49934E7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网上巡查网络高清智能球机</w:t>
            </w:r>
          </w:p>
        </w:tc>
        <w:tc>
          <w:tcPr>
            <w:tcW w:w="6898" w:type="dxa"/>
            <w:tcBorders>
              <w:tl2br w:val="nil"/>
              <w:tr2bl w:val="nil"/>
            </w:tcBorders>
            <w:noWrap w:val="0"/>
            <w:vAlign w:val="center"/>
          </w:tcPr>
          <w:p w14:paraId="09E5C452">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1.≥400万7寸红外网络高清智能球机，采用1/2.5" CMOS传感器，最小照度可达0.005Lux，0 Lux with IR；</w:t>
            </w:r>
          </w:p>
          <w:p w14:paraId="5A78CBC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2.采用4.8mm-110mm镜头，≥23倍光学变倍、≥16倍数字变倍；</w:t>
            </w:r>
          </w:p>
          <w:p w14:paraId="7061686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3.视频编码标准支持H.265/H.264，音频编码标准支持G.711/MP2L2/AAC等，最大图像尺寸2560×1440；</w:t>
            </w:r>
          </w:p>
          <w:p w14:paraId="4936B3D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4.最高输出帧率为30fps；</w:t>
            </w:r>
          </w:p>
          <w:p w14:paraId="76939C5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5.支持卡（≥256G）本地存储；</w:t>
            </w:r>
          </w:p>
          <w:p w14:paraId="38E5294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6.具有智能报警功能，支持越界侦测、区域入侵侦测、音频异常侦测和移动侦测等报警类型；</w:t>
            </w:r>
          </w:p>
          <w:p w14:paraId="7BE807C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7.支持宽动态、透雾、强光抑制、3D定位和电子防抖；</w:t>
            </w:r>
          </w:p>
          <w:p w14:paraId="00BD681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8.支持≥300个预置点；</w:t>
            </w:r>
          </w:p>
          <w:p w14:paraId="4AC47B4B">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9.支持标准SIP2.0，支持统一SIP URI统一命名规则、分级命名；</w:t>
            </w:r>
          </w:p>
          <w:p w14:paraId="2AEE4BE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 xml:space="preserve">10.具有≥1个RJ45 10M/100M自适应以太网口，≥1对音频输入/输出接口，≥1对报警输入/输出接口； </w:t>
            </w:r>
          </w:p>
          <w:p w14:paraId="13B00FB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11.红外照射距离≥150米；</w:t>
            </w:r>
          </w:p>
          <w:p w14:paraId="522A228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12.防护等级：IP66，TVS 4000V 防雷、防浪涌、防突波，</w:t>
            </w:r>
          </w:p>
          <w:p w14:paraId="7856431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13.符合《国家教育考试网上巡查系统视频标准技术规范》JY/T-KS-JS-2017-1；</w:t>
            </w:r>
          </w:p>
          <w:p w14:paraId="5920405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14.内置视音频编码算法嵌入式软件自主可控；（提供有效的证明材料）</w:t>
            </w:r>
          </w:p>
          <w:p w14:paraId="25EE8950">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15.要求与校级、市级、自治区巡查系统无缝对接，完全兼容统一；（提供平台兼容截图证明）</w:t>
            </w:r>
          </w:p>
          <w:p w14:paraId="53A9BBCB">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16.★须接入到考点学校现有网上巡查系统，通过考点学校平台完成与市、自治区巡查系统的互联、互通。(自开标后3日内进行平台测试，并出具上级互联互通报告，不响应视为无效投标)（投标人提供承诺函）</w:t>
            </w:r>
          </w:p>
        </w:tc>
        <w:tc>
          <w:tcPr>
            <w:tcW w:w="1145" w:type="dxa"/>
            <w:tcBorders>
              <w:tl2br w:val="nil"/>
              <w:tr2bl w:val="nil"/>
            </w:tcBorders>
            <w:noWrap w:val="0"/>
            <w:vAlign w:val="center"/>
          </w:tcPr>
          <w:p w14:paraId="48057E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sz w:val="24"/>
                <w:szCs w:val="24"/>
                <w:lang w:val="en-US" w:eastAsia="zh-CN"/>
              </w:rPr>
            </w:pPr>
          </w:p>
          <w:p w14:paraId="0334BF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sz w:val="24"/>
                <w:szCs w:val="24"/>
                <w:lang w:val="en-US" w:eastAsia="zh-CN"/>
              </w:rPr>
              <w:t>2</w:t>
            </w:r>
          </w:p>
        </w:tc>
        <w:tc>
          <w:tcPr>
            <w:tcW w:w="477" w:type="dxa"/>
            <w:tcBorders>
              <w:tl2br w:val="nil"/>
              <w:tr2bl w:val="nil"/>
            </w:tcBorders>
            <w:noWrap w:val="0"/>
            <w:vAlign w:val="top"/>
          </w:tcPr>
          <w:p w14:paraId="047F6497">
            <w:pPr>
              <w:keepNext w:val="0"/>
              <w:keepLines w:val="0"/>
              <w:widowControl/>
              <w:suppressLineNumbers w:val="0"/>
              <w:jc w:val="center"/>
              <w:textAlignment w:val="center"/>
              <w:rPr>
                <w:rFonts w:hint="eastAsia" w:ascii="宋体" w:hAnsi="宋体" w:eastAsia="宋体" w:cs="宋体"/>
                <w:sz w:val="24"/>
                <w:szCs w:val="24"/>
                <w:lang w:val="en-US" w:eastAsia="zh-CN"/>
              </w:rPr>
            </w:pPr>
          </w:p>
          <w:p w14:paraId="7088CC18">
            <w:pPr>
              <w:keepNext w:val="0"/>
              <w:keepLines w:val="0"/>
              <w:widowControl/>
              <w:suppressLineNumbers w:val="0"/>
              <w:jc w:val="center"/>
              <w:textAlignment w:val="center"/>
              <w:rPr>
                <w:rFonts w:hint="eastAsia" w:ascii="宋体" w:hAnsi="宋体" w:eastAsia="宋体" w:cs="宋体"/>
                <w:sz w:val="24"/>
                <w:szCs w:val="24"/>
                <w:lang w:val="en-US" w:eastAsia="zh-CN"/>
              </w:rPr>
            </w:pPr>
          </w:p>
          <w:p w14:paraId="7C95C1A5">
            <w:pPr>
              <w:keepNext w:val="0"/>
              <w:keepLines w:val="0"/>
              <w:widowControl/>
              <w:suppressLineNumbers w:val="0"/>
              <w:jc w:val="center"/>
              <w:textAlignment w:val="center"/>
              <w:rPr>
                <w:rFonts w:hint="eastAsia" w:ascii="宋体" w:hAnsi="宋体" w:eastAsia="宋体" w:cs="宋体"/>
                <w:sz w:val="24"/>
                <w:szCs w:val="24"/>
                <w:lang w:val="en-US" w:eastAsia="zh-CN"/>
              </w:rPr>
            </w:pPr>
          </w:p>
          <w:p w14:paraId="4A7F16D9">
            <w:pPr>
              <w:keepNext w:val="0"/>
              <w:keepLines w:val="0"/>
              <w:widowControl/>
              <w:suppressLineNumbers w:val="0"/>
              <w:jc w:val="center"/>
              <w:textAlignment w:val="center"/>
              <w:rPr>
                <w:rFonts w:hint="eastAsia" w:ascii="宋体" w:hAnsi="宋体" w:eastAsia="宋体" w:cs="宋体"/>
                <w:sz w:val="24"/>
                <w:szCs w:val="24"/>
                <w:lang w:val="en-US" w:eastAsia="zh-CN"/>
              </w:rPr>
            </w:pPr>
          </w:p>
          <w:p w14:paraId="011EED04">
            <w:pPr>
              <w:keepNext w:val="0"/>
              <w:keepLines w:val="0"/>
              <w:widowControl/>
              <w:suppressLineNumbers w:val="0"/>
              <w:jc w:val="center"/>
              <w:textAlignment w:val="center"/>
              <w:rPr>
                <w:rFonts w:hint="eastAsia" w:ascii="宋体" w:hAnsi="宋体" w:eastAsia="宋体" w:cs="宋体"/>
                <w:sz w:val="24"/>
                <w:szCs w:val="24"/>
                <w:lang w:val="en-US" w:eastAsia="zh-CN"/>
              </w:rPr>
            </w:pPr>
          </w:p>
          <w:p w14:paraId="004AFDDE">
            <w:pPr>
              <w:keepNext w:val="0"/>
              <w:keepLines w:val="0"/>
              <w:widowControl/>
              <w:suppressLineNumbers w:val="0"/>
              <w:jc w:val="center"/>
              <w:textAlignment w:val="center"/>
              <w:rPr>
                <w:rFonts w:hint="eastAsia" w:ascii="宋体" w:hAnsi="宋体" w:eastAsia="宋体" w:cs="宋体"/>
                <w:sz w:val="24"/>
                <w:szCs w:val="24"/>
                <w:lang w:val="en-US" w:eastAsia="zh-CN"/>
              </w:rPr>
            </w:pPr>
          </w:p>
          <w:p w14:paraId="3280ABBB">
            <w:pPr>
              <w:keepNext w:val="0"/>
              <w:keepLines w:val="0"/>
              <w:widowControl/>
              <w:suppressLineNumbers w:val="0"/>
              <w:jc w:val="center"/>
              <w:textAlignment w:val="center"/>
              <w:rPr>
                <w:rFonts w:hint="eastAsia" w:ascii="宋体" w:hAnsi="宋体" w:eastAsia="宋体" w:cs="宋体"/>
                <w:sz w:val="24"/>
                <w:szCs w:val="24"/>
                <w:lang w:val="en-US" w:eastAsia="zh-CN"/>
              </w:rPr>
            </w:pPr>
          </w:p>
          <w:p w14:paraId="5B80E557">
            <w:pPr>
              <w:keepNext w:val="0"/>
              <w:keepLines w:val="0"/>
              <w:widowControl/>
              <w:suppressLineNumbers w:val="0"/>
              <w:jc w:val="center"/>
              <w:textAlignment w:val="center"/>
              <w:rPr>
                <w:rFonts w:hint="eastAsia" w:ascii="宋体" w:hAnsi="宋体" w:eastAsia="宋体" w:cs="宋体"/>
                <w:sz w:val="24"/>
                <w:szCs w:val="24"/>
                <w:lang w:val="en-US" w:eastAsia="zh-CN"/>
              </w:rPr>
            </w:pPr>
          </w:p>
          <w:p w14:paraId="77DE87E5">
            <w:pPr>
              <w:keepNext w:val="0"/>
              <w:keepLines w:val="0"/>
              <w:widowControl/>
              <w:suppressLineNumbers w:val="0"/>
              <w:jc w:val="center"/>
              <w:textAlignment w:val="center"/>
              <w:rPr>
                <w:rFonts w:hint="eastAsia" w:ascii="宋体" w:hAnsi="宋体" w:eastAsia="宋体" w:cs="宋体"/>
                <w:sz w:val="24"/>
                <w:szCs w:val="24"/>
                <w:lang w:val="en-US" w:eastAsia="zh-CN"/>
              </w:rPr>
            </w:pPr>
          </w:p>
          <w:p w14:paraId="13521C4A">
            <w:pPr>
              <w:keepNext w:val="0"/>
              <w:keepLines w:val="0"/>
              <w:widowControl/>
              <w:suppressLineNumbers w:val="0"/>
              <w:jc w:val="center"/>
              <w:textAlignment w:val="center"/>
              <w:rPr>
                <w:rFonts w:hint="eastAsia" w:ascii="宋体" w:hAnsi="宋体" w:eastAsia="宋体" w:cs="宋体"/>
                <w:sz w:val="24"/>
                <w:szCs w:val="24"/>
                <w:lang w:val="en-US" w:eastAsia="zh-CN"/>
              </w:rPr>
            </w:pPr>
          </w:p>
          <w:p w14:paraId="3F7620FB">
            <w:pPr>
              <w:keepNext w:val="0"/>
              <w:keepLines w:val="0"/>
              <w:widowControl/>
              <w:suppressLineNumbers w:val="0"/>
              <w:jc w:val="both"/>
              <w:textAlignment w:val="center"/>
              <w:rPr>
                <w:rFonts w:hint="eastAsia" w:ascii="宋体" w:hAnsi="宋体" w:eastAsia="宋体" w:cs="宋体"/>
                <w:sz w:val="24"/>
                <w:szCs w:val="24"/>
                <w:lang w:val="en-US" w:eastAsia="zh-CN"/>
              </w:rPr>
            </w:pPr>
          </w:p>
          <w:p w14:paraId="734FCC4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4"/>
                <w:szCs w:val="24"/>
                <w:lang w:val="en-US" w:eastAsia="zh-CN"/>
              </w:rPr>
              <w:t>台</w:t>
            </w:r>
          </w:p>
        </w:tc>
      </w:tr>
      <w:tr w14:paraId="4D350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57" w:type="dxa"/>
            <w:tcBorders>
              <w:tl2br w:val="nil"/>
              <w:tr2bl w:val="nil"/>
            </w:tcBorders>
            <w:noWrap w:val="0"/>
            <w:vAlign w:val="center"/>
          </w:tcPr>
          <w:p w14:paraId="611CDB6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934" w:type="dxa"/>
            <w:tcBorders>
              <w:tl2br w:val="nil"/>
              <w:tr2bl w:val="nil"/>
            </w:tcBorders>
            <w:noWrap w:val="0"/>
            <w:vAlign w:val="center"/>
          </w:tcPr>
          <w:p w14:paraId="5271A84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智能巡查网络高清摄像机</w:t>
            </w:r>
          </w:p>
        </w:tc>
        <w:tc>
          <w:tcPr>
            <w:tcW w:w="6898" w:type="dxa"/>
            <w:tcBorders>
              <w:tl2br w:val="nil"/>
              <w:tr2bl w:val="nil"/>
            </w:tcBorders>
            <w:noWrap w:val="0"/>
            <w:vAlign w:val="center"/>
          </w:tcPr>
          <w:p w14:paraId="115F8D8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1.≥400万智能半球网络摄像机,采用1/2.7"CMOS；采用≤2.8mm定焦镜头，水平视场角≥98°,分辨率可达≥2560×1440；</w:t>
            </w:r>
          </w:p>
          <w:p w14:paraId="1996127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2.最低照度彩色≤0.0005Lux，黑白0.0001Lux，0 Lux with IR；</w:t>
            </w:r>
          </w:p>
          <w:p w14:paraId="1942008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3.视频压缩标准支持H.265/H.264，音频压缩标准支持G.711/MP2L2/AAC等；</w:t>
            </w:r>
          </w:p>
          <w:p w14:paraId="1B18608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4.支持 SD卡（最大支持≥256G）本地存储；</w:t>
            </w:r>
          </w:p>
          <w:p w14:paraId="4C918D2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5.具有≥2个内置麦克风，≥1个内置扬声器;RJ45 10M/100M自适应以太网口，音频输入接口，音频输出接口，报警输入接口，报警输出接口；支持DC12V/PoE供电；红外照射距离可达30米，补光距离≥30m；</w:t>
            </w:r>
          </w:p>
          <w:p w14:paraId="3D8A200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6.内置GPU芯片，支持深度学习算法，具有不低于1.5T算力，支持用户根据不同应用切换不同的模型；</w:t>
            </w:r>
          </w:p>
          <w:p w14:paraId="480CE652">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7.系统内存≥60MB，智能内存≥400MB，存储空间≥2GB；</w:t>
            </w:r>
          </w:p>
          <w:p w14:paraId="3ECF33E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具有越界侦测，区域入侵侦测，进入区域侦测，离开区域侦测，物品遗留侦测，物品拿取侦测，徘徊侦测，人员聚集侦测，快速运动侦测，停车侦测，场景变更侦测，音频陡升/陡降侦测，音频有无侦测，虚焦侦测功能；移动侦测，遮挡报警，硬盘满，硬盘错误，网络断开，IP地址冲突，非法访问，视频质量诊断；</w:t>
            </w:r>
          </w:p>
          <w:p w14:paraId="1B62C38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9.符合《国家教育考试网上巡查系统视频标准技术规范》JY/T-KS-JS-2017-1；</w:t>
            </w:r>
          </w:p>
          <w:p w14:paraId="60D3128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 xml:space="preserve">10.内置智能视频分析嵌入式算法软件自主可控；（提供有效的证明材料）                                                                                                                                                                                                                                                                                                                                                                                                                                                                                                                                                                                                                                                                                                  </w:t>
            </w:r>
          </w:p>
          <w:p w14:paraId="284D0A5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11.要求视频信号通过考点现有巡查系统平台上传至市级、自治区巡查系统指挥平台；（提供平台兼容截图证明）</w:t>
            </w:r>
          </w:p>
          <w:p w14:paraId="25903B9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 xml:space="preserve">12.★须接入到考点学校现有网上巡查系统，通过考点学校平台完成与市、自治区巡查系统的互联、互通。(自开标后3日内进行平台测试，并出具上级互联互通报告，不响应视为无效投标)（投标人提供承诺书）                                                                                </w:t>
            </w:r>
          </w:p>
        </w:tc>
        <w:tc>
          <w:tcPr>
            <w:tcW w:w="1145" w:type="dxa"/>
            <w:tcBorders>
              <w:tl2br w:val="nil"/>
              <w:tr2bl w:val="nil"/>
            </w:tcBorders>
            <w:noWrap w:val="0"/>
            <w:vAlign w:val="center"/>
          </w:tcPr>
          <w:p w14:paraId="0F0CDC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51</w:t>
            </w:r>
          </w:p>
        </w:tc>
        <w:tc>
          <w:tcPr>
            <w:tcW w:w="477" w:type="dxa"/>
            <w:tcBorders>
              <w:tl2br w:val="nil"/>
              <w:tr2bl w:val="nil"/>
            </w:tcBorders>
            <w:noWrap w:val="0"/>
            <w:vAlign w:val="top"/>
          </w:tcPr>
          <w:p w14:paraId="196C2961">
            <w:pPr>
              <w:keepNext w:val="0"/>
              <w:keepLines w:val="0"/>
              <w:widowControl/>
              <w:suppressLineNumbers w:val="0"/>
              <w:jc w:val="center"/>
              <w:textAlignment w:val="center"/>
              <w:rPr>
                <w:rFonts w:hint="eastAsia"/>
              </w:rPr>
            </w:pPr>
          </w:p>
          <w:p w14:paraId="1DD18D4B">
            <w:pPr>
              <w:pStyle w:val="2"/>
              <w:rPr>
                <w:rFonts w:hint="eastAsia"/>
              </w:rPr>
            </w:pPr>
          </w:p>
          <w:p w14:paraId="1D1A9C46">
            <w:pPr>
              <w:pStyle w:val="3"/>
              <w:tabs>
                <w:tab w:val="left" w:pos="208"/>
              </w:tabs>
              <w:rPr>
                <w:rFonts w:hint="eastAsia"/>
              </w:rPr>
            </w:pPr>
          </w:p>
          <w:p w14:paraId="6BEF490C">
            <w:pPr>
              <w:pStyle w:val="4"/>
              <w:rPr>
                <w:rFonts w:hint="eastAsia"/>
              </w:rPr>
            </w:pPr>
          </w:p>
          <w:p w14:paraId="6525966D">
            <w:pPr>
              <w:rPr>
                <w:rFonts w:hint="eastAsia"/>
              </w:rPr>
            </w:pPr>
          </w:p>
          <w:p w14:paraId="1C49B0E8">
            <w:pPr>
              <w:pStyle w:val="2"/>
              <w:rPr>
                <w:rFonts w:hint="eastAsia"/>
              </w:rPr>
            </w:pPr>
          </w:p>
          <w:p w14:paraId="4DC171E7">
            <w:pPr>
              <w:pStyle w:val="3"/>
              <w:tabs>
                <w:tab w:val="left" w:pos="208"/>
              </w:tabs>
              <w:rPr>
                <w:rFonts w:hint="eastAsia"/>
              </w:rPr>
            </w:pPr>
          </w:p>
          <w:p w14:paraId="32325599">
            <w:pPr>
              <w:pStyle w:val="4"/>
              <w:ind w:left="0" w:leftChars="0" w:firstLine="0" w:firstLineChars="0"/>
              <w:rPr>
                <w:rFonts w:hint="eastAsia"/>
              </w:rPr>
            </w:pPr>
            <w:r>
              <w:rPr>
                <w:rFonts w:hint="eastAsia" w:ascii="宋体" w:hAnsi="宋体" w:eastAsia="宋体" w:cs="宋体"/>
                <w:color w:val="auto"/>
                <w:sz w:val="24"/>
                <w:szCs w:val="24"/>
                <w:lang w:val="en-US" w:eastAsia="zh-CN"/>
              </w:rPr>
              <w:t>台</w:t>
            </w:r>
          </w:p>
        </w:tc>
      </w:tr>
      <w:tr w14:paraId="0CE8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8" w:hRule="atLeast"/>
        </w:trPr>
        <w:tc>
          <w:tcPr>
            <w:tcW w:w="657" w:type="dxa"/>
            <w:tcBorders>
              <w:tl2br w:val="nil"/>
              <w:tr2bl w:val="nil"/>
            </w:tcBorders>
            <w:noWrap w:val="0"/>
            <w:vAlign w:val="center"/>
          </w:tcPr>
          <w:p w14:paraId="446CCBD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934" w:type="dxa"/>
            <w:tcBorders>
              <w:tl2br w:val="nil"/>
              <w:tr2bl w:val="nil"/>
            </w:tcBorders>
            <w:noWrap w:val="0"/>
            <w:vAlign w:val="center"/>
          </w:tcPr>
          <w:p w14:paraId="42CBE42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网上巡查摄像机</w:t>
            </w:r>
          </w:p>
        </w:tc>
        <w:tc>
          <w:tcPr>
            <w:tcW w:w="6898" w:type="dxa"/>
            <w:tcBorders>
              <w:tl2br w:val="nil"/>
              <w:tr2bl w:val="nil"/>
            </w:tcBorders>
            <w:noWrap w:val="0"/>
            <w:vAlign w:val="center"/>
          </w:tcPr>
          <w:p w14:paraId="095AE3D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1.≥400万半球型网络摄像机，采用1/2.7" CMOS传感器、支持三轴调节；</w:t>
            </w:r>
          </w:p>
          <w:p w14:paraId="0F3B809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2.最小照度≤0.005Lux，0Lux with IR，采用≤2.7mm镜头，水平视场角93°～35°；</w:t>
            </w:r>
          </w:p>
          <w:p w14:paraId="7012165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3.视频编码标准支持H.265、H.264、MJPEG编码格式，音频编码标准支持G.711/MP2L2/AAC，最大图像尺寸≥2560×1440；</w:t>
            </w:r>
          </w:p>
          <w:p w14:paraId="00483A8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4.支持卡（128G）本地存储；</w:t>
            </w:r>
          </w:p>
          <w:p w14:paraId="24686B5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5.支持SIP、RTP、RTCP等网络协议，支持TS、PS流封装，支持标准SIP2.0协议；</w:t>
            </w:r>
          </w:p>
          <w:p w14:paraId="5DBE35B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6.支持SIP的地址解析、信令转发，支持SIP URI统一命名规则、分级命名；</w:t>
            </w:r>
          </w:p>
          <w:p w14:paraId="2E71174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7.支持UDP回放方式，支持UDP下载方式；</w:t>
            </w:r>
          </w:p>
          <w:p w14:paraId="4CAB5BB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8.支持时间同步功能，支持网络时间协议（NTP）；</w:t>
            </w:r>
          </w:p>
          <w:p w14:paraId="249BB7D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9.具有视频移动侦测能力，可根据设置实现相应的编码、传输、存储或视频报警。</w:t>
            </w:r>
          </w:p>
          <w:p w14:paraId="6A5D61E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10.具有≥1个RJ45 10M/100M自适应以太网口，≥1对音频输入/输出接口，≥2对报警输入/输出接口；</w:t>
            </w:r>
          </w:p>
          <w:p w14:paraId="2D39D3F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11.支持DC12V/PoE（802.3af），红外照射距离≥30米；</w:t>
            </w:r>
          </w:p>
          <w:p w14:paraId="113AE18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12.防护等级为≥IP65、防暴等级为IK10。</w:t>
            </w:r>
          </w:p>
          <w:p w14:paraId="4F443CF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13.内置视音频编码算法软件自主可控；（提供有效的证明材料）</w:t>
            </w:r>
          </w:p>
          <w:p w14:paraId="76188CA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14.符合《国家教育考试网上巡查系统视频标准技术规范》JY/T-KS-JS-2017-1；</w:t>
            </w:r>
          </w:p>
          <w:p w14:paraId="5EB7AD1D">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15.为保障系统兼容性，要求与SIP网关/媒体转发服务器同一品牌；</w:t>
            </w:r>
          </w:p>
          <w:p w14:paraId="0E49BCB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16.要求与校级、市级、自治区巡查系统无缝对接，完全兼容统一；（提供平台兼容截图证明）</w:t>
            </w:r>
          </w:p>
          <w:p w14:paraId="2075622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17.★须接入到考点学校现有网上巡查系统，通过考点学校平台完成与市、自治区巡查系统的互联、互通，(自开标后3日内进行平台测试，并出具上级互联互通报告，不响应视为无效投标；)（投标人提供承诺书）</w:t>
            </w:r>
          </w:p>
        </w:tc>
        <w:tc>
          <w:tcPr>
            <w:tcW w:w="1145" w:type="dxa"/>
            <w:tcBorders>
              <w:tl2br w:val="nil"/>
              <w:tr2bl w:val="nil"/>
            </w:tcBorders>
            <w:noWrap w:val="0"/>
            <w:vAlign w:val="center"/>
          </w:tcPr>
          <w:p w14:paraId="4391B4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lang w:val="en-US" w:eastAsia="zh-CN"/>
              </w:rPr>
              <w:t>2</w:t>
            </w:r>
          </w:p>
        </w:tc>
        <w:tc>
          <w:tcPr>
            <w:tcW w:w="477" w:type="dxa"/>
            <w:tcBorders>
              <w:tl2br w:val="nil"/>
              <w:tr2bl w:val="nil"/>
            </w:tcBorders>
            <w:noWrap w:val="0"/>
            <w:vAlign w:val="top"/>
          </w:tcPr>
          <w:p w14:paraId="47A35EA2">
            <w:pPr>
              <w:keepNext w:val="0"/>
              <w:keepLines w:val="0"/>
              <w:widowControl/>
              <w:suppressLineNumbers w:val="0"/>
              <w:jc w:val="center"/>
              <w:textAlignment w:val="center"/>
              <w:rPr>
                <w:rFonts w:hint="eastAsia"/>
              </w:rPr>
            </w:pPr>
          </w:p>
          <w:p w14:paraId="660EFC0A">
            <w:pPr>
              <w:pStyle w:val="2"/>
              <w:rPr>
                <w:rFonts w:hint="eastAsia"/>
              </w:rPr>
            </w:pPr>
          </w:p>
          <w:p w14:paraId="72A9A07A">
            <w:pPr>
              <w:pStyle w:val="3"/>
              <w:tabs>
                <w:tab w:val="left" w:pos="208"/>
              </w:tabs>
              <w:rPr>
                <w:rFonts w:hint="eastAsia"/>
              </w:rPr>
            </w:pPr>
          </w:p>
          <w:p w14:paraId="456AAFA7">
            <w:pPr>
              <w:pStyle w:val="4"/>
              <w:rPr>
                <w:rFonts w:hint="eastAsia"/>
              </w:rPr>
            </w:pPr>
          </w:p>
          <w:p w14:paraId="72D105F5">
            <w:pPr>
              <w:rPr>
                <w:rFonts w:hint="eastAsia"/>
              </w:rPr>
            </w:pPr>
          </w:p>
          <w:p w14:paraId="339439A3">
            <w:pPr>
              <w:pStyle w:val="2"/>
              <w:rPr>
                <w:rFonts w:hint="eastAsia"/>
              </w:rPr>
            </w:pPr>
          </w:p>
          <w:p w14:paraId="3C364C64">
            <w:pPr>
              <w:pStyle w:val="3"/>
              <w:tabs>
                <w:tab w:val="left" w:pos="208"/>
              </w:tabs>
              <w:rPr>
                <w:rFonts w:hint="eastAsia"/>
              </w:rPr>
            </w:pPr>
          </w:p>
          <w:p w14:paraId="6DA7638D">
            <w:pPr>
              <w:pStyle w:val="4"/>
              <w:ind w:left="0" w:leftChars="0" w:firstLine="0" w:firstLineChars="0"/>
              <w:rPr>
                <w:rFonts w:hint="eastAsia"/>
              </w:rPr>
            </w:pPr>
            <w:r>
              <w:rPr>
                <w:rFonts w:hint="eastAsia" w:ascii="宋体" w:hAnsi="宋体" w:eastAsia="宋体" w:cs="宋体"/>
                <w:color w:val="auto"/>
                <w:sz w:val="24"/>
                <w:szCs w:val="24"/>
                <w:lang w:val="en-US" w:eastAsia="zh-CN"/>
              </w:rPr>
              <w:t>台</w:t>
            </w:r>
          </w:p>
          <w:p w14:paraId="5B572FAA">
            <w:pPr>
              <w:rPr>
                <w:rFonts w:hint="eastAsia"/>
              </w:rPr>
            </w:pPr>
          </w:p>
        </w:tc>
      </w:tr>
      <w:tr w14:paraId="54163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8" w:hRule="atLeast"/>
        </w:trPr>
        <w:tc>
          <w:tcPr>
            <w:tcW w:w="657" w:type="dxa"/>
            <w:tcBorders>
              <w:tl2br w:val="nil"/>
              <w:tr2bl w:val="nil"/>
            </w:tcBorders>
            <w:noWrap w:val="0"/>
            <w:vAlign w:val="center"/>
          </w:tcPr>
          <w:p w14:paraId="739A1C0D">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934" w:type="dxa"/>
            <w:tcBorders>
              <w:tl2br w:val="nil"/>
              <w:tr2bl w:val="nil"/>
            </w:tcBorders>
            <w:noWrap w:val="0"/>
            <w:vAlign w:val="center"/>
          </w:tcPr>
          <w:p w14:paraId="14D08E1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网上巡查视频安全存储平台</w:t>
            </w:r>
          </w:p>
        </w:tc>
        <w:tc>
          <w:tcPr>
            <w:tcW w:w="6898" w:type="dxa"/>
            <w:tcBorders>
              <w:tl2br w:val="nil"/>
              <w:tr2bl w:val="nil"/>
            </w:tcBorders>
            <w:noWrap w:val="0"/>
            <w:vAlign w:val="center"/>
          </w:tcPr>
          <w:p w14:paraId="019F9F8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1.支持≥64路网络视频输入；</w:t>
            </w:r>
          </w:p>
          <w:p w14:paraId="0FD7817D">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2.支持接入视频1/4/6/8/9/16/25/32/36/64多画面分割预览；</w:t>
            </w:r>
          </w:p>
          <w:p w14:paraId="78AF475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3.支持≥64路视频并发录像，录像分辨率支持4MP、3MP、1080p、720p及以下分辨率；</w:t>
            </w:r>
          </w:p>
          <w:p w14:paraId="512312A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4.具有≥16个SATA接口和≥1个eSATA接口，具有≥2个HDMI和≥2个VGA输出接口；</w:t>
            </w:r>
          </w:p>
          <w:p w14:paraId="5A89D5C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5.具有≥2路音频输出、≥1路语音对讲输入接口、≥2个RJ45 10M/100M/1000M自适应以太网口、≥1个RS485、≥1个RS232、≥4个USB接口；</w:t>
            </w:r>
          </w:p>
          <w:p w14:paraId="3AB5C1C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6.具有≥16路报警输入，≥8路报警输出接口；</w:t>
            </w:r>
          </w:p>
          <w:p w14:paraId="144FECF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7.单盘最大容量支持≥14TB硬盘，支持不同品牌的监控级和企业级硬盘混合接入，支持SATA硬盘和SSD硬盘混合接入；</w:t>
            </w:r>
          </w:p>
          <w:p w14:paraId="4CC5CDA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8.具有磁盘阵列功能，支持RAIDO、RAIDl、RAID5、RAID6、RAIDlO、RAID50、RAID60、JBOD 模式：支持一键创建RAID5阵列功能；</w:t>
            </w:r>
          </w:p>
          <w:p w14:paraId="6BEFFFE0">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9.可接入H.265、H.264、MPEG4、MJPEG视频编码格式的网络摄像机，可接入G. 71 lalaw、G.711ulaw、PCM、G.726、AAC、MP2L2、G.729、G.722. 1音频编码格式的IPC；</w:t>
            </w:r>
          </w:p>
          <w:p w14:paraId="3B7F4A3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10.支持手动录像/抓图，定时录像/抓图，事件录像/抓图，移动侦测录像/抓图、报警录像/抓图等模式；</w:t>
            </w:r>
          </w:p>
          <w:p w14:paraId="4E910C0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11.支持≥16路同步回放，支持即时回放、事件回放、标签回放、智能回放、外部文件回放等模式；</w:t>
            </w:r>
          </w:p>
          <w:p w14:paraId="53D72962">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12.符合《国家教育考试网上巡查系统视频标准技术规范》JY/T-KS-JS-2017-1，《电子考场系统通用要求》GB/T 36449-2018；</w:t>
            </w:r>
          </w:p>
          <w:p w14:paraId="1A8F017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13.内置集中存储嵌入式管理软件自主可控；（提供有效的证明材料）</w:t>
            </w:r>
          </w:p>
          <w:p w14:paraId="2444A64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color w:val="000000"/>
                <w:sz w:val="22"/>
                <w:szCs w:val="22"/>
                <w:lang w:val="en-US" w:eastAsia="zh-CN"/>
              </w:rPr>
            </w:pPr>
            <w:r>
              <w:rPr>
                <w:rFonts w:hint="eastAsia" w:ascii="宋体" w:hAnsi="宋体" w:eastAsia="宋体" w:cs="宋体"/>
                <w:b w:val="0"/>
                <w:i w:val="0"/>
                <w:color w:val="000000"/>
                <w:sz w:val="22"/>
                <w:szCs w:val="22"/>
                <w:lang w:val="en-US" w:eastAsia="zh-CN"/>
              </w:rPr>
              <w:t>14.要求与校级网上巡查平台无缝对接，完全兼容统一；（提供平台兼容截图证明）</w:t>
            </w:r>
          </w:p>
          <w:p w14:paraId="2FA1872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color w:val="000000"/>
                <w:sz w:val="22"/>
                <w:szCs w:val="22"/>
                <w:lang w:val="en-US" w:eastAsia="zh-CN"/>
              </w:rPr>
              <w:t>15.★要求设备能够通过学校现有巡查系统管理软件管理，完成视频录制、策略配置等操作。(</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color w:val="000000"/>
                <w:sz w:val="22"/>
                <w:szCs w:val="22"/>
                <w:highlight w:val="none"/>
                <w:lang w:val="en-US" w:eastAsia="zh-CN"/>
              </w:rPr>
              <w:t>投标人提供承诺书</w:t>
            </w:r>
            <w:r>
              <w:rPr>
                <w:rFonts w:hint="eastAsia" w:ascii="宋体" w:hAnsi="宋体" w:eastAsia="宋体" w:cs="宋体"/>
                <w:b w:val="0"/>
                <w:i w:val="0"/>
                <w:color w:val="000000"/>
                <w:sz w:val="22"/>
                <w:szCs w:val="22"/>
                <w:lang w:val="en-US" w:eastAsia="zh-CN"/>
              </w:rPr>
              <w:t>）</w:t>
            </w:r>
          </w:p>
        </w:tc>
        <w:tc>
          <w:tcPr>
            <w:tcW w:w="1145" w:type="dxa"/>
            <w:tcBorders>
              <w:tl2br w:val="nil"/>
              <w:tr2bl w:val="nil"/>
            </w:tcBorders>
            <w:noWrap w:val="0"/>
            <w:vAlign w:val="center"/>
          </w:tcPr>
          <w:p w14:paraId="2DFC9ABB">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477" w:type="dxa"/>
            <w:tcBorders>
              <w:tl2br w:val="nil"/>
              <w:tr2bl w:val="nil"/>
            </w:tcBorders>
            <w:noWrap w:val="0"/>
            <w:vAlign w:val="top"/>
          </w:tcPr>
          <w:p w14:paraId="4DD0DA3B">
            <w:pPr>
              <w:keepNext w:val="0"/>
              <w:keepLines w:val="0"/>
              <w:widowControl/>
              <w:suppressLineNumbers w:val="0"/>
              <w:jc w:val="center"/>
              <w:textAlignment w:val="center"/>
              <w:rPr>
                <w:rFonts w:hint="eastAsia"/>
              </w:rPr>
            </w:pPr>
          </w:p>
          <w:p w14:paraId="573DE0EF">
            <w:pPr>
              <w:pStyle w:val="2"/>
              <w:rPr>
                <w:rFonts w:hint="eastAsia"/>
              </w:rPr>
            </w:pPr>
          </w:p>
          <w:p w14:paraId="0CE87129">
            <w:pPr>
              <w:pStyle w:val="3"/>
              <w:tabs>
                <w:tab w:val="left" w:pos="208"/>
              </w:tabs>
              <w:rPr>
                <w:rFonts w:hint="eastAsia"/>
              </w:rPr>
            </w:pPr>
          </w:p>
          <w:p w14:paraId="06EF3391">
            <w:pPr>
              <w:pStyle w:val="4"/>
              <w:rPr>
                <w:rFonts w:hint="eastAsia"/>
              </w:rPr>
            </w:pPr>
          </w:p>
          <w:p w14:paraId="17A95B8C">
            <w:pPr>
              <w:rPr>
                <w:rFonts w:hint="eastAsia"/>
              </w:rPr>
            </w:pPr>
          </w:p>
          <w:p w14:paraId="5A5C16D5">
            <w:pPr>
              <w:pStyle w:val="2"/>
              <w:rPr>
                <w:rFonts w:hint="eastAsia"/>
              </w:rPr>
            </w:pPr>
          </w:p>
          <w:p w14:paraId="3BC4B062">
            <w:pPr>
              <w:pStyle w:val="3"/>
              <w:tabs>
                <w:tab w:val="left" w:pos="208"/>
              </w:tabs>
              <w:rPr>
                <w:rFonts w:hint="eastAsia"/>
              </w:rPr>
            </w:pPr>
          </w:p>
          <w:p w14:paraId="7646E720">
            <w:pPr>
              <w:pStyle w:val="4"/>
              <w:rPr>
                <w:rFonts w:hint="eastAsia"/>
              </w:rPr>
            </w:pPr>
          </w:p>
          <w:p w14:paraId="667C1B9D">
            <w:pPr>
              <w:rPr>
                <w:rFonts w:hint="eastAsia"/>
              </w:rPr>
            </w:pPr>
          </w:p>
          <w:p w14:paraId="4F4668C9">
            <w:pPr>
              <w:pStyle w:val="2"/>
              <w:rPr>
                <w:rFonts w:hint="eastAsia"/>
              </w:rPr>
            </w:pPr>
            <w:r>
              <w:rPr>
                <w:rFonts w:hint="eastAsia" w:ascii="宋体" w:hAnsi="宋体" w:eastAsia="宋体" w:cs="宋体"/>
                <w:color w:val="auto"/>
                <w:sz w:val="24"/>
                <w:szCs w:val="24"/>
                <w:highlight w:val="none"/>
                <w:lang w:val="en-US" w:eastAsia="zh-CN"/>
              </w:rPr>
              <w:t>台</w:t>
            </w:r>
          </w:p>
        </w:tc>
      </w:tr>
      <w:tr w14:paraId="35DB4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6" w:hRule="atLeast"/>
        </w:trPr>
        <w:tc>
          <w:tcPr>
            <w:tcW w:w="657" w:type="dxa"/>
            <w:tcBorders>
              <w:tl2br w:val="nil"/>
              <w:tr2bl w:val="nil"/>
            </w:tcBorders>
            <w:noWrap w:val="0"/>
            <w:vAlign w:val="center"/>
          </w:tcPr>
          <w:p w14:paraId="29B2A676">
            <w:pPr>
              <w:keepNext w:val="0"/>
              <w:keepLines w:val="0"/>
              <w:widowControl/>
              <w:suppressLineNumbers w:val="0"/>
              <w:ind w:left="0" w:leftChars="0" w:firstLine="0" w:firstLineChars="0"/>
              <w:jc w:val="both"/>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934" w:type="dxa"/>
            <w:tcBorders>
              <w:tl2br w:val="nil"/>
              <w:tr2bl w:val="nil"/>
            </w:tcBorders>
            <w:noWrap w:val="0"/>
            <w:vAlign w:val="center"/>
          </w:tcPr>
          <w:p w14:paraId="658E975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网上巡查音视频矩阵解码器</w:t>
            </w:r>
          </w:p>
        </w:tc>
        <w:tc>
          <w:tcPr>
            <w:tcW w:w="6898" w:type="dxa"/>
            <w:tcBorders>
              <w:tl2br w:val="nil"/>
              <w:tr2bl w:val="nil"/>
            </w:tcBorders>
            <w:noWrap w:val="0"/>
            <w:vAlign w:val="center"/>
          </w:tcPr>
          <w:p w14:paraId="6BF7169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1.具有≥8路HDMI输出接口，输出分辨率支持3840×2160、1920×1080、1280×720；</w:t>
            </w:r>
          </w:p>
          <w:p w14:paraId="7654078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2.支持≥96个解码通道，解码能力支持≥24路800W，或30路600W，或48路400W，或96路1080P，或192路720P及以下分辨率实时解码；</w:t>
            </w:r>
          </w:p>
          <w:p w14:paraId="630AD77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3.画面分割数支持1/4/6/8/9/12/16/25/36；</w:t>
            </w:r>
          </w:p>
          <w:p w14:paraId="6D6992D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4.≥2个RJ-45 10/100/1000 Mbps自适应以太网接口；2个光口100BASE-FX/1000BASE-X；</w:t>
            </w:r>
          </w:p>
          <w:p w14:paraId="73C84E6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5.支持光电自适应；</w:t>
            </w:r>
          </w:p>
          <w:p w14:paraId="74276E0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6.具有≥8路音频输出接口、具有≥1个标准232接口（RJ-45），≥1个标准485接口；</w:t>
            </w:r>
          </w:p>
          <w:p w14:paraId="75EFF38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7.符合JY/T-KS-JS-2017-1规定的H.264视频编码标准，图像分辨率应支持720P和1080P并可选。应能根据需要扩展G.711 和 ACC 音频编码标准，并支持Program Stream 系统流和 TransitionStream 传输流的封装。应兼容符合2007规范规定的MPEG4视频编码格式，MPEGLayer II音频编码标准。</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389D460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8.解码通道可单路或多路，视频输出应为符合DVI、HDMI 等高清接口。</w:t>
            </w:r>
          </w:p>
          <w:p w14:paraId="01735A3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9.应具有以太网接口，支持TCP/IP协议;应支持SIP、RTP、RTCP等网络协议。</w:t>
            </w:r>
          </w:p>
          <w:p w14:paraId="48E93C7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10.具有报警联动，报警时能自动切换到对的视频通道。</w:t>
            </w:r>
          </w:p>
          <w:p w14:paraId="6DBA37B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11.符合《国家教育考试网上巡查系统视频标准技术规范》JY/T-KS-JS-2017-1；</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64D0B87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12.符合《电子考场系统通用要求》GB/T 36449-2018；</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34FE7AD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13.内置网络数字矩阵画面分割器嵌入式管理软件，提供软件著作权登记证书复印件或扫描件。</w:t>
            </w:r>
          </w:p>
        </w:tc>
        <w:tc>
          <w:tcPr>
            <w:tcW w:w="1145" w:type="dxa"/>
            <w:tcBorders>
              <w:tl2br w:val="nil"/>
              <w:tr2bl w:val="nil"/>
            </w:tcBorders>
            <w:noWrap w:val="0"/>
            <w:vAlign w:val="center"/>
          </w:tcPr>
          <w:p w14:paraId="6271B50D">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sz w:val="24"/>
                <w:szCs w:val="24"/>
                <w:highlight w:val="none"/>
                <w:lang w:val="en-US" w:eastAsia="zh-CN"/>
              </w:rPr>
            </w:pPr>
          </w:p>
          <w:p w14:paraId="412B46AE">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477" w:type="dxa"/>
            <w:tcBorders>
              <w:tl2br w:val="nil"/>
              <w:tr2bl w:val="nil"/>
            </w:tcBorders>
            <w:noWrap w:val="0"/>
            <w:vAlign w:val="top"/>
          </w:tcPr>
          <w:p w14:paraId="0093CFC8">
            <w:pPr>
              <w:keepNext w:val="0"/>
              <w:keepLines w:val="0"/>
              <w:widowControl/>
              <w:suppressLineNumbers w:val="0"/>
              <w:jc w:val="center"/>
              <w:textAlignment w:val="center"/>
              <w:rPr>
                <w:rFonts w:hint="eastAsia"/>
              </w:rPr>
            </w:pPr>
          </w:p>
          <w:p w14:paraId="06ED7289">
            <w:pPr>
              <w:pStyle w:val="2"/>
              <w:rPr>
                <w:rFonts w:hint="eastAsia"/>
              </w:rPr>
            </w:pPr>
          </w:p>
          <w:p w14:paraId="74240FAD">
            <w:pPr>
              <w:pStyle w:val="3"/>
              <w:tabs>
                <w:tab w:val="left" w:pos="208"/>
              </w:tabs>
              <w:rPr>
                <w:rFonts w:hint="eastAsia"/>
              </w:rPr>
            </w:pPr>
          </w:p>
          <w:p w14:paraId="0FD94712">
            <w:pPr>
              <w:pStyle w:val="4"/>
              <w:rPr>
                <w:rFonts w:hint="eastAsia"/>
              </w:rPr>
            </w:pPr>
          </w:p>
          <w:p w14:paraId="0ECC736D">
            <w:pPr>
              <w:rPr>
                <w:rFonts w:hint="eastAsia"/>
              </w:rPr>
            </w:pPr>
          </w:p>
          <w:p w14:paraId="6EE3F317">
            <w:pPr>
              <w:pStyle w:val="2"/>
              <w:rPr>
                <w:rFonts w:hint="eastAsia" w:ascii="宋体" w:hAnsi="宋体" w:eastAsia="宋体" w:cs="宋体"/>
                <w:color w:val="auto"/>
                <w:sz w:val="24"/>
                <w:szCs w:val="24"/>
                <w:highlight w:val="none"/>
                <w:lang w:val="en-US" w:eastAsia="zh-CN"/>
              </w:rPr>
            </w:pPr>
          </w:p>
          <w:p w14:paraId="7783CED7">
            <w:pPr>
              <w:pStyle w:val="2"/>
              <w:rPr>
                <w:rFonts w:hint="eastAsia"/>
              </w:rPr>
            </w:pPr>
            <w:r>
              <w:rPr>
                <w:rFonts w:hint="eastAsia" w:ascii="宋体" w:hAnsi="宋体" w:eastAsia="宋体" w:cs="宋体"/>
                <w:color w:val="auto"/>
                <w:sz w:val="24"/>
                <w:szCs w:val="24"/>
                <w:highlight w:val="none"/>
                <w:lang w:val="en-US" w:eastAsia="zh-CN"/>
              </w:rPr>
              <w:t>台</w:t>
            </w:r>
          </w:p>
          <w:p w14:paraId="14AFE839">
            <w:pPr>
              <w:pStyle w:val="3"/>
              <w:tabs>
                <w:tab w:val="left" w:pos="208"/>
              </w:tabs>
              <w:rPr>
                <w:rFonts w:hint="eastAsia"/>
              </w:rPr>
            </w:pPr>
          </w:p>
        </w:tc>
      </w:tr>
      <w:tr w14:paraId="7200C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57" w:type="dxa"/>
            <w:tcBorders>
              <w:tl2br w:val="nil"/>
              <w:tr2bl w:val="nil"/>
            </w:tcBorders>
            <w:noWrap w:val="0"/>
            <w:vAlign w:val="center"/>
          </w:tcPr>
          <w:p w14:paraId="07F0399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934" w:type="dxa"/>
            <w:tcBorders>
              <w:tl2br w:val="nil"/>
              <w:tr2bl w:val="nil"/>
            </w:tcBorders>
            <w:noWrap w:val="0"/>
            <w:vAlign w:val="center"/>
          </w:tcPr>
          <w:p w14:paraId="34C4393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网上巡查SIP路由/视频分发平台</w:t>
            </w:r>
          </w:p>
        </w:tc>
        <w:tc>
          <w:tcPr>
            <w:tcW w:w="6898" w:type="dxa"/>
            <w:tcBorders>
              <w:tl2br w:val="nil"/>
              <w:tr2bl w:val="nil"/>
            </w:tcBorders>
            <w:noWrap w:val="0"/>
            <w:vAlign w:val="center"/>
          </w:tcPr>
          <w:p w14:paraId="4E537A6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1.平台为嵌入式设备，采用国产处理器，国产操作系统，B/S应用架构。授权用户可通过Web浏览器远程登录到系统界面，查看系统运行状态、进行系统配置及运维管理等操作；</w:t>
            </w:r>
            <w:r>
              <w:rPr>
                <w:rFonts w:hint="eastAsia" w:ascii="宋体" w:hAnsi="宋体" w:eastAsia="宋体" w:cs="宋体"/>
                <w:b w:val="0"/>
                <w:i w:val="0"/>
                <w:color w:val="auto"/>
                <w:sz w:val="22"/>
                <w:szCs w:val="22"/>
                <w:lang w:eastAsia="zh-CN"/>
              </w:rPr>
              <w:t>（提供国家认可的第三方检测机构出具的带有CMA标识检测报告）</w:t>
            </w:r>
          </w:p>
          <w:p w14:paraId="11CF3C8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highlight w:val="none"/>
                <w:lang w:val="en-US" w:eastAsia="zh-CN"/>
              </w:rPr>
              <w:t>2.支持TCP/IP</w:t>
            </w:r>
            <w:r>
              <w:rPr>
                <w:rFonts w:hint="eastAsia" w:ascii="宋体" w:hAnsi="宋体" w:eastAsia="宋体" w:cs="宋体"/>
                <w:b w:val="0"/>
                <w:i w:val="0"/>
                <w:sz w:val="22"/>
                <w:szCs w:val="22"/>
                <w:lang w:val="en-US" w:eastAsia="zh-CN"/>
              </w:rPr>
              <w:t>、TCP、UDP、SIP、RTP、RTCP、DHCP、PPPOE、NTP等协议，支持动态和静态IP模式；</w:t>
            </w:r>
          </w:p>
          <w:p w14:paraId="2A2302D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3.支持反向通道技术，可通过设备域名解析出设备ip等信息；</w:t>
            </w:r>
          </w:p>
          <w:p w14:paraId="589F7158">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4.支持向多个上级多注册，可实现唯一域名、唯一用户完成多级注册；</w:t>
            </w:r>
          </w:p>
          <w:p w14:paraId="5B19F47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5.支持对路由经过进行修改，实现跨级互联；</w:t>
            </w:r>
          </w:p>
          <w:p w14:paraId="413ADCB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6.支持媒体流的汇聚、转发功能；</w:t>
            </w:r>
          </w:p>
          <w:p w14:paraId="1924C26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7.实时图像的传输采用SIP协议作会话控制，采用RTP/RTCP协议传输音视频流；实时流请求支持通过直接请求和通过转发请求两种模式；</w:t>
            </w:r>
          </w:p>
          <w:p w14:paraId="5B797D0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8.支持TCP或UDP两种网络传输协议的视频流转发；</w:t>
            </w:r>
          </w:p>
          <w:p w14:paraId="4FFE442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9.多个用户并发访问同一个音视频资源的情况下，通过视频转发模块与视频编码设备建立单路连接，可采用组播、分发或广播的方式将音视频流转发给用户；</w:t>
            </w:r>
          </w:p>
          <w:p w14:paraId="0B461D6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10.支持1对多、多对1、多对多音视频转发；支持多级转发；</w:t>
            </w:r>
          </w:p>
          <w:p w14:paraId="426A278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11.支持对H.264、H.265、MPEG4等视频编码格式的视频流进行转发；</w:t>
            </w:r>
          </w:p>
          <w:p w14:paraId="173937EB">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12.具有设备状态监测功能接口，支持检测设备硬件资源占用率情况及工作状态。</w:t>
            </w:r>
          </w:p>
          <w:p w14:paraId="211D69A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13.具有设备配置查询接口，支持对设备参数查询和设置，包括码流、码流类型、视频编码格式、码率上限、音频编码格式等参数；</w:t>
            </w:r>
          </w:p>
          <w:p w14:paraId="75DEA73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14.具有OSD配置接口，支持按计划对设备OSD进行切换，可根据考试任务定时自动切换；</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096E4D4D">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15.支持采用引导模式进行逻辑考场与物理考场绑定，并可进行巡查视频OSD信息的一键设置和还原；</w:t>
            </w:r>
          </w:p>
          <w:p w14:paraId="4438D54D">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16.支持根据考试任务从考务平台获取逻辑考场编排数据；</w:t>
            </w:r>
          </w:p>
          <w:p w14:paraId="35747B4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17.支持对巡查摄像机、存储设备、解码设备、转发设备信息进行管理维护，可对设备信息进行增加、删除、修改、查询；</w:t>
            </w:r>
          </w:p>
          <w:p w14:paraId="3381D611">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18.支持批量搜索添加巡查摄像机；</w:t>
            </w:r>
          </w:p>
          <w:p w14:paraId="5EAB4C2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19.支持设备运行状态监测功能，可检测设备实时运行状态，并可统计出处理器、内存当前的使用率，以及存储空间及网络带宽的总体使用率；</w:t>
            </w:r>
          </w:p>
          <w:p w14:paraId="4396247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20.支持设备运行状态指示功能，具有设备运行状态指示灯，包括电源指示灯、网络指示灯；</w:t>
            </w:r>
          </w:p>
          <w:p w14:paraId="00DEA2EB">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21.支持网络运行状态监测功能，可监测设备一定时间内上行方向和下行方向的实时流量；</w:t>
            </w:r>
          </w:p>
          <w:p w14:paraId="58C49FC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22.支持服务状态监测功能，可对平台中运行服务的状态进行监测，并可重启服务；</w:t>
            </w:r>
          </w:p>
          <w:p w14:paraId="5F5F80D6">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23.支持异常情况监测功能，可对终端视频请求、本地设备接入、下级设备接入等异常情况进行监测；</w:t>
            </w:r>
          </w:p>
          <w:p w14:paraId="7D83BD2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24.支持对摄像机网络在线状态进行监测并显示；</w:t>
            </w:r>
          </w:p>
          <w:p w14:paraId="1B422F47">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25.支持远程管理功能，可远程对设备进行关机、重启控制；</w:t>
            </w:r>
          </w:p>
          <w:p w14:paraId="1476F6A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26.支持设备在线版本升级，可自动检测程序的版本信息；</w:t>
            </w:r>
          </w:p>
          <w:p w14:paraId="589EF4F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27.支持本地设备信息统计，可查看接入设备总数、在线设备数量、离线设备数量；</w:t>
            </w:r>
          </w:p>
          <w:p w14:paraId="1D09F55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28.支持下级设备接入统计，可查看接入设备总数、已接入设备正常数量统计、已接入设备异常数量统计；</w:t>
            </w:r>
          </w:p>
          <w:p w14:paraId="54154BC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29.支持对前端视频资源进行智能推荐，包括关注最多、点播最多；</w:t>
            </w:r>
          </w:p>
          <w:p w14:paraId="6D9A25C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30.具有硬件加密狗，可实现平台软硬件加密绑定；</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68A370D4">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31.支持SIP互联、终端访问的地址可信认证；</w:t>
            </w:r>
          </w:p>
          <w:p w14:paraId="0576683D">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32.支持用户通过用户名和密码登录；</w:t>
            </w:r>
          </w:p>
          <w:p w14:paraId="4825D2B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33.支持设备接入可信认证，不符合规定设备类型的设备无法接入平台；</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74DE9A7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34.支持标准SIP2.0；</w:t>
            </w:r>
          </w:p>
          <w:p w14:paraId="2449B78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35.SIP地址解析、信令转发；</w:t>
            </w:r>
          </w:p>
          <w:p w14:paraId="206FFF2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36.流媒体的NAT穿越；</w:t>
            </w:r>
          </w:p>
          <w:p w14:paraId="0133FA85">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37.SIP URI统一命名规则、分级命名、联合定位；</w:t>
            </w:r>
          </w:p>
          <w:p w14:paraId="74CF2FAB">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38.SIP URI组、用户、树形列表管理，SIP终端的接入认证功能，SIP终端访问呼叫过程控制，SIP终端远程访问权限控制；</w:t>
            </w:r>
          </w:p>
          <w:p w14:paraId="14C5A6A0">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39.建立SIP路由器间的信任关系，多级注册，媒体流的汇聚；</w:t>
            </w:r>
          </w:p>
          <w:p w14:paraId="668C6EC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40.内置网上巡查SIP路由/视频分发平台软件自主可控；（提供有效的证明材料）</w:t>
            </w:r>
          </w:p>
          <w:p w14:paraId="1322149F">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41.要求接入到考点学校现有网上巡查系统与市级、自治区级平台无缝对接，完全兼容统一；（提供平台兼容截图证明）</w:t>
            </w:r>
          </w:p>
          <w:p w14:paraId="52F470F0">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sz w:val="22"/>
                <w:szCs w:val="22"/>
                <w:lang w:val="en-US" w:eastAsia="zh-CN"/>
              </w:rPr>
              <w:t>42.★设备须接入到学校现有网上巡查系统，通过学校现有平台完成与市、自治区巡查系统互联、互通.</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w:t>
            </w:r>
            <w:r>
              <w:rPr>
                <w:rFonts w:hint="eastAsia" w:ascii="宋体" w:hAnsi="宋体" w:eastAsia="宋体" w:cs="宋体"/>
                <w:b w:val="0"/>
                <w:i w:val="0"/>
                <w:sz w:val="22"/>
                <w:szCs w:val="22"/>
                <w:lang w:val="en-US" w:eastAsia="zh-CN"/>
              </w:rPr>
              <w:t>（投标人提供承诺函）</w:t>
            </w:r>
          </w:p>
        </w:tc>
        <w:tc>
          <w:tcPr>
            <w:tcW w:w="1145" w:type="dxa"/>
            <w:tcBorders>
              <w:tl2br w:val="nil"/>
              <w:tr2bl w:val="nil"/>
            </w:tcBorders>
            <w:noWrap w:val="0"/>
            <w:vAlign w:val="center"/>
          </w:tcPr>
          <w:p w14:paraId="12A9CBB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35DEAEF8">
            <w:pPr>
              <w:keepNext w:val="0"/>
              <w:keepLines w:val="0"/>
              <w:widowControl/>
              <w:suppressLineNumbers w:val="0"/>
              <w:jc w:val="center"/>
              <w:textAlignment w:val="center"/>
              <w:rPr>
                <w:rFonts w:hint="eastAsia"/>
              </w:rPr>
            </w:pPr>
          </w:p>
          <w:p w14:paraId="7B5C22FE">
            <w:pPr>
              <w:pStyle w:val="2"/>
              <w:rPr>
                <w:rFonts w:hint="eastAsia"/>
              </w:rPr>
            </w:pPr>
          </w:p>
          <w:p w14:paraId="0B6712D3">
            <w:pPr>
              <w:pStyle w:val="3"/>
              <w:tabs>
                <w:tab w:val="left" w:pos="208"/>
              </w:tabs>
              <w:rPr>
                <w:rFonts w:hint="eastAsia"/>
              </w:rPr>
            </w:pPr>
          </w:p>
          <w:p w14:paraId="4BA82C30">
            <w:pPr>
              <w:pStyle w:val="4"/>
              <w:rPr>
                <w:rFonts w:hint="eastAsia"/>
              </w:rPr>
            </w:pPr>
          </w:p>
          <w:p w14:paraId="74B8167A">
            <w:pPr>
              <w:rPr>
                <w:rFonts w:hint="eastAsia"/>
              </w:rPr>
            </w:pPr>
          </w:p>
          <w:p w14:paraId="1BAB5D6B">
            <w:pPr>
              <w:pStyle w:val="2"/>
              <w:rPr>
                <w:rFonts w:hint="eastAsia"/>
              </w:rPr>
            </w:pPr>
          </w:p>
          <w:p w14:paraId="1E3B5588">
            <w:pPr>
              <w:pStyle w:val="3"/>
              <w:tabs>
                <w:tab w:val="left" w:pos="208"/>
              </w:tabs>
              <w:rPr>
                <w:rFonts w:hint="eastAsia"/>
              </w:rPr>
            </w:pPr>
          </w:p>
          <w:p w14:paraId="313135CF">
            <w:pPr>
              <w:pStyle w:val="4"/>
              <w:rPr>
                <w:rFonts w:hint="eastAsia"/>
              </w:rPr>
            </w:pPr>
          </w:p>
          <w:p w14:paraId="78A9B320">
            <w:pPr>
              <w:rPr>
                <w:rFonts w:hint="eastAsia"/>
              </w:rPr>
            </w:pPr>
          </w:p>
          <w:p w14:paraId="324502CD">
            <w:pPr>
              <w:pStyle w:val="2"/>
              <w:rPr>
                <w:rFonts w:hint="eastAsia"/>
              </w:rPr>
            </w:pPr>
          </w:p>
          <w:p w14:paraId="3AAB3257">
            <w:pPr>
              <w:pStyle w:val="3"/>
              <w:tabs>
                <w:tab w:val="left" w:pos="208"/>
              </w:tabs>
              <w:rPr>
                <w:rFonts w:hint="eastAsia"/>
              </w:rPr>
            </w:pPr>
          </w:p>
          <w:p w14:paraId="3F9D75D1">
            <w:pPr>
              <w:pStyle w:val="4"/>
              <w:rPr>
                <w:rFonts w:hint="eastAsia"/>
              </w:rPr>
            </w:pPr>
          </w:p>
          <w:p w14:paraId="4EF5B276">
            <w:pPr>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57585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trPr>
        <w:tc>
          <w:tcPr>
            <w:tcW w:w="657" w:type="dxa"/>
            <w:tcBorders>
              <w:tl2br w:val="nil"/>
              <w:tr2bl w:val="nil"/>
            </w:tcBorders>
            <w:noWrap w:val="0"/>
            <w:vAlign w:val="center"/>
          </w:tcPr>
          <w:p w14:paraId="17C7C82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934" w:type="dxa"/>
            <w:tcBorders>
              <w:tl2br w:val="nil"/>
              <w:tr2bl w:val="nil"/>
            </w:tcBorders>
            <w:noWrap w:val="0"/>
            <w:vAlign w:val="center"/>
          </w:tcPr>
          <w:p w14:paraId="3DCD801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校级管理平台</w:t>
            </w:r>
          </w:p>
        </w:tc>
        <w:tc>
          <w:tcPr>
            <w:tcW w:w="6898" w:type="dxa"/>
            <w:tcBorders>
              <w:tl2br w:val="nil"/>
              <w:tr2bl w:val="nil"/>
            </w:tcBorders>
            <w:noWrap w:val="0"/>
            <w:vAlign w:val="center"/>
          </w:tcPr>
          <w:p w14:paraId="3564C17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软件界面是人机交互的窗口，必须符合高清巡查系统特性和功能的应用特性，每个应用模块的使用必须符合用户习惯，具体功能要求如下：</w:t>
            </w:r>
          </w:p>
          <w:p w14:paraId="4B14762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软件色调应符合用户应用场景和审美习惯，为了避免长时间盯看屏幕造成视觉疲劳，软件界面应以蓝色为主色调；</w:t>
            </w:r>
          </w:p>
          <w:p w14:paraId="5542117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软件界面明显位置必须具有帮助按钮，当用户需要时能提供文档说明；</w:t>
            </w:r>
          </w:p>
          <w:p w14:paraId="4BD49F8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软件应具有较快的响应速度，对用户请求能快速响应；</w:t>
            </w:r>
          </w:p>
          <w:p w14:paraId="76FFB9A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功能界面应具有导航栏，便于功能模块之间的灵活切换，提高用户的使用效率；</w:t>
            </w:r>
          </w:p>
          <w:p w14:paraId="17F4D19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 xml:space="preserve">软件平台必须支持多用户使用，用户登录时必须经过账号和密码的相关性、安全性验证，防止非法操作； </w:t>
            </w:r>
          </w:p>
          <w:p w14:paraId="37965AB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软件平台必须具有较高的安全性，具有加密锁防护，防止软件被非法复制挪用。在加密锁失效或丢失的情况下，软件应支持激活码激活。</w:t>
            </w:r>
          </w:p>
          <w:p w14:paraId="466AED4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视频预览界面应具有导航列表和视频显示窗口，采用左右布局结构，导航列可收缩折叠。相同元素有组织地放置在同一个区域，易于交互与展示，软件使用更为友好；</w:t>
            </w:r>
          </w:p>
          <w:p w14:paraId="45CBB52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视频预览窗口应支持1、4、9、1+5、1+7等多画面分割显示；</w:t>
            </w:r>
          </w:p>
          <w:p w14:paraId="50F48B3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在视频预览时应支持抓图、录像、开启或关闭声音以及云台控制等操作；</w:t>
            </w:r>
          </w:p>
          <w:p w14:paraId="5B7274C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具有巡查列表提交功能，上传列表可选，可将考务规定的巡查编码设备通道列表提交到SIP网关；</w:t>
            </w:r>
          </w:p>
          <w:p w14:paraId="21C391F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视频巡查实现分组巡查：支持考场，走廊独立创建分组进行巡查；</w:t>
            </w:r>
          </w:p>
          <w:p w14:paraId="0781BFE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具有对网络摄像机进行远程控制、设置、管理，校时及OSD设置等功能；</w:t>
            </w:r>
          </w:p>
          <w:p w14:paraId="6828AB1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支持对存储设备远程管理，实现存储内容控制、录像策略制定等功能；</w:t>
            </w:r>
          </w:p>
          <w:p w14:paraId="28972F6E">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支持对解码设备远程管理，实现远程解码上墙的内容控制、显示模式切换等功能。</w:t>
            </w:r>
          </w:p>
          <w:p w14:paraId="46A2840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1.要求与校级、市级、自治区巡查系统无缝对接，完全兼容统一；（提供平台兼容截图证明）</w:t>
            </w:r>
          </w:p>
          <w:p w14:paraId="204613F3">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2.★要求与市级、自治区巡查系统指挥平台互联互通平台。</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自开标后3日内进行平台测试，并出具上级互联互通报告，不响应视为无效投标)（投标人提供承诺函）</w:t>
            </w:r>
          </w:p>
        </w:tc>
        <w:tc>
          <w:tcPr>
            <w:tcW w:w="1145" w:type="dxa"/>
            <w:tcBorders>
              <w:tl2br w:val="nil"/>
              <w:tr2bl w:val="nil"/>
            </w:tcBorders>
            <w:noWrap w:val="0"/>
            <w:vAlign w:val="center"/>
          </w:tcPr>
          <w:p w14:paraId="35AC1FD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77C76A67">
            <w:pPr>
              <w:keepNext w:val="0"/>
              <w:keepLines w:val="0"/>
              <w:widowControl/>
              <w:suppressLineNumbers w:val="0"/>
              <w:jc w:val="center"/>
              <w:textAlignment w:val="center"/>
              <w:rPr>
                <w:rFonts w:hint="eastAsia"/>
              </w:rPr>
            </w:pPr>
          </w:p>
          <w:p w14:paraId="54591AAD">
            <w:pPr>
              <w:pStyle w:val="2"/>
              <w:rPr>
                <w:rFonts w:hint="eastAsia"/>
              </w:rPr>
            </w:pPr>
          </w:p>
          <w:p w14:paraId="7CECB273">
            <w:pPr>
              <w:pStyle w:val="3"/>
              <w:tabs>
                <w:tab w:val="left" w:pos="208"/>
              </w:tabs>
              <w:rPr>
                <w:rFonts w:hint="eastAsia"/>
              </w:rPr>
            </w:pPr>
          </w:p>
          <w:p w14:paraId="621877BE">
            <w:pPr>
              <w:pStyle w:val="4"/>
              <w:rPr>
                <w:rFonts w:hint="eastAsia"/>
              </w:rPr>
            </w:pPr>
          </w:p>
          <w:p w14:paraId="55FBFC3E">
            <w:pPr>
              <w:rPr>
                <w:rFonts w:hint="eastAsia"/>
              </w:rPr>
            </w:pPr>
          </w:p>
          <w:p w14:paraId="2F3648EA">
            <w:pPr>
              <w:pStyle w:val="2"/>
              <w:rPr>
                <w:rFonts w:hint="eastAsia"/>
              </w:rPr>
            </w:pPr>
          </w:p>
          <w:p w14:paraId="065D3A59">
            <w:pPr>
              <w:pStyle w:val="3"/>
              <w:tabs>
                <w:tab w:val="left" w:pos="208"/>
              </w:tabs>
              <w:rPr>
                <w:rFonts w:hint="eastAsia"/>
              </w:rPr>
            </w:pPr>
            <w:r>
              <w:rPr>
                <w:rFonts w:hint="eastAsia" w:ascii="宋体" w:hAnsi="宋体" w:eastAsia="宋体" w:cs="宋体"/>
                <w:i w:val="0"/>
                <w:iCs w:val="0"/>
                <w:color w:val="000000"/>
                <w:kern w:val="0"/>
                <w:sz w:val="24"/>
                <w:szCs w:val="24"/>
                <w:u w:val="none"/>
                <w:lang w:val="en-US" w:eastAsia="zh-CN" w:bidi="ar"/>
              </w:rPr>
              <w:t>套</w:t>
            </w:r>
          </w:p>
        </w:tc>
      </w:tr>
      <w:tr w14:paraId="4A669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trPr>
        <w:tc>
          <w:tcPr>
            <w:tcW w:w="657" w:type="dxa"/>
            <w:tcBorders>
              <w:tl2br w:val="nil"/>
              <w:tr2bl w:val="nil"/>
            </w:tcBorders>
            <w:noWrap w:val="0"/>
            <w:vAlign w:val="center"/>
          </w:tcPr>
          <w:p w14:paraId="566D56D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934" w:type="dxa"/>
            <w:tcBorders>
              <w:tl2br w:val="nil"/>
              <w:tr2bl w:val="nil"/>
            </w:tcBorders>
            <w:noWrap w:val="0"/>
            <w:vAlign w:val="center"/>
          </w:tcPr>
          <w:p w14:paraId="71AFC9B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智能监考平台(校级）</w:t>
            </w:r>
          </w:p>
        </w:tc>
        <w:tc>
          <w:tcPr>
            <w:tcW w:w="6898" w:type="dxa"/>
            <w:tcBorders>
              <w:tl2br w:val="nil"/>
              <w:tr2bl w:val="nil"/>
            </w:tcBorders>
            <w:noWrap w:val="0"/>
            <w:vAlign w:val="center"/>
          </w:tcPr>
          <w:p w14:paraId="559F12C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1.数据同步：支持从上级平台拉取考试任务、场次、机构分析服务器数据、机构摄像头通道数据、通道分析子任务数据。</w:t>
            </w:r>
          </w:p>
          <w:p w14:paraId="2EACDE0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2.智能分析服务器：支持新增设备，支持批量导入；支持查看设备在线状态。支持关闭、重启分析服务。可同时接管多台智能分析设备。</w:t>
            </w:r>
          </w:p>
          <w:p w14:paraId="31E8480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3.摄像机：支持新增设备，支持批量导入.</w:t>
            </w:r>
          </w:p>
          <w:p w14:paraId="3479CEF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4.教室管理:支持批量导入，新增考场。显示教室编码、教室名称、教室别名、学生数量、已绑定摄像机、更新时间；支持对教室绑定摄像机，支持修改，删除教室。</w:t>
            </w:r>
          </w:p>
          <w:p w14:paraId="5E250CC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5.AI能力对接:支持更新分析服务器模型，通过从AI中台拉取或者从本地上传模型。</w:t>
            </w:r>
          </w:p>
          <w:p w14:paraId="0E16553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6.数据推送:支持向AI中台推送审核正常数据，审核异常数据。</w:t>
            </w:r>
          </w:p>
          <w:p w14:paraId="439BA39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录像任务：支持新增任务，支持配置任务，修改，删除。支持查看任务详情，支持查看录像文件分析进度。支持通过导入记录查看分析结果。支持对常用的mp4、mkv等视频格式进行分析，支持考场视频录像H264/H265编码文件分析处理。</w:t>
            </w:r>
          </w:p>
          <w:p w14:paraId="61A708E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8.考试任务：支持新增任务，支持配置任务，修改，删除。支持用户将考场的摄像头终端或硬盘录像机接入智能巡查分析服务器。支持查看任务中每个教室的分析详情，每个教室的分析任务支持开启和暂停。</w:t>
            </w:r>
          </w:p>
          <w:p w14:paraId="57F0121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9.定时任务：支持管理向分析服务器推流的频率，向平台推送分析结果的频率以及管理检测分析服务器心跳的频率，支持设置向上级推送审核结果、分析结果的能力。</w:t>
            </w:r>
          </w:p>
          <w:p w14:paraId="41C8265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结果列表：支持查看录像任务和实时任务分析结果。实时任务支持查看教室名称、摄像机名称、行为名称、学生人数、分析人数、分析状态、分析时间。支持查看每个教室分析任务详情，包括行为名称，分析设备名称、检测时间、考场照片、考场动态、平台审核、考场上报。</w:t>
            </w:r>
          </w:p>
          <w:p w14:paraId="3DC103D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11.录像任务结果支持查看文件名、文件路径、行为名称、分析人数、分析状态、分析时间。支持每个文件分析出来的所有异常行为详情，包括行为名称，分析设备名称，检测时间，考场照片，考场动态。</w:t>
            </w:r>
          </w:p>
          <w:p w14:paraId="461E364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结果统计：支持按照场次统计每个场次试卷收发情况，监考员异常情况，考生异常行为总数，环境异常总数。</w:t>
            </w:r>
          </w:p>
          <w:p w14:paraId="75060F6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12.数据总览：显示每个考场里面考生异常数量，监考员异常数量，收发卷异常数，考场环境异常数。支持查看异常结果视频和异常行为截图。</w:t>
            </w:r>
          </w:p>
          <w:p w14:paraId="6C943B7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智能巡查：实时监控页面支持1,4，9画面切换，显示实时视频流，每个监控画面支持显示网速，最新的异常行为，异常行为包括异常行为名称，发生时间，查看详情。支持显示异常统计。待审核异常详情界面显示当前考场，异常行为，发生时间，异常行为片段，异常行为截图，支持点击确认正常行为，异常行为，支持查看本考场所有异常行为，包含待审核，审核异常，审核正常，并统计待审核，审核异常，审核正常数量。</w:t>
            </w:r>
          </w:p>
          <w:p w14:paraId="2C5B739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sz w:val="22"/>
                <w:szCs w:val="22"/>
                <w:lang w:val="en-US" w:eastAsia="zh-CN"/>
              </w:rPr>
            </w:pPr>
            <w:r>
              <w:rPr>
                <w:rFonts w:hint="eastAsia" w:ascii="宋体" w:hAnsi="宋体" w:eastAsia="宋体" w:cs="宋体"/>
                <w:b w:val="0"/>
                <w:i w:val="0"/>
                <w:iCs w:val="0"/>
                <w:color w:val="000000"/>
                <w:kern w:val="0"/>
                <w:sz w:val="22"/>
                <w:szCs w:val="22"/>
                <w:u w:val="none"/>
                <w:lang w:val="en-US" w:eastAsia="zh-CN" w:bidi="ar"/>
              </w:rPr>
              <w:t>14.智能监考：支持统计可疑行为、审核正常行为、审核异常行为、考场处理行为；支持查看异常行为图像，支持查看异常行为图像，异常行为录像支持查看6s的短视频。视频长度可以自定义设置，最大支持12s。支持按照场次，行为类型筛选数据。               15.</w:t>
            </w:r>
            <w:r>
              <w:rPr>
                <w:rFonts w:hint="eastAsia" w:ascii="宋体" w:hAnsi="宋体" w:eastAsia="宋体" w:cs="宋体"/>
                <w:b w:val="0"/>
                <w:i w:val="0"/>
                <w:sz w:val="22"/>
                <w:szCs w:val="22"/>
                <w:lang w:val="en-US" w:eastAsia="zh-CN"/>
              </w:rPr>
              <w:t>智能监考平台（校级）具有自主知识产权；（提供有效的证明材料）</w:t>
            </w:r>
          </w:p>
          <w:p w14:paraId="48F7502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sz w:val="22"/>
                <w:szCs w:val="22"/>
                <w:lang w:val="en-US" w:eastAsia="zh-CN"/>
              </w:rPr>
            </w:pPr>
            <w:r>
              <w:rPr>
                <w:rFonts w:hint="eastAsia" w:ascii="宋体" w:hAnsi="宋体" w:eastAsia="宋体" w:cs="宋体"/>
                <w:b w:val="0"/>
                <w:i w:val="0"/>
                <w:sz w:val="22"/>
                <w:szCs w:val="22"/>
                <w:lang w:val="en-US" w:eastAsia="zh-CN"/>
              </w:rPr>
              <w:t>16.要求与校级、市级、自治区级监考平台无缝对接，完全兼容统一；（提供平台兼容截图证明）</w:t>
            </w:r>
          </w:p>
          <w:p w14:paraId="0C1A7C1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sz w:val="22"/>
                <w:szCs w:val="22"/>
                <w:lang w:val="en-US" w:eastAsia="zh-CN"/>
              </w:rPr>
              <w:t>17.★须实现与综合管理平台对接，能与自治区国家教育考试综合管理平台进行数据交互。</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w:t>
            </w:r>
            <w:r>
              <w:rPr>
                <w:rFonts w:hint="eastAsia" w:ascii="宋体" w:hAnsi="宋体" w:eastAsia="宋体" w:cs="宋体"/>
                <w:b w:val="0"/>
                <w:i w:val="0"/>
                <w:sz w:val="22"/>
                <w:szCs w:val="22"/>
                <w:lang w:val="en-US" w:eastAsia="zh-CN"/>
              </w:rPr>
              <w:t>（投标人提供承诺函）</w:t>
            </w:r>
          </w:p>
        </w:tc>
        <w:tc>
          <w:tcPr>
            <w:tcW w:w="1145" w:type="dxa"/>
            <w:tcBorders>
              <w:tl2br w:val="nil"/>
              <w:tr2bl w:val="nil"/>
            </w:tcBorders>
            <w:noWrap w:val="0"/>
            <w:vAlign w:val="center"/>
          </w:tcPr>
          <w:p w14:paraId="3A7248A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1651D6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52C38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521BC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7DD360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5F11F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67903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5D3885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29712C1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D35B5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7BF2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73ACA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5DDA7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65186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7D278C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26AA1F4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007AF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90D62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65C67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48FD8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4103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套</w:t>
            </w:r>
          </w:p>
        </w:tc>
      </w:tr>
      <w:tr w14:paraId="4629B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43" w:hRule="atLeast"/>
        </w:trPr>
        <w:tc>
          <w:tcPr>
            <w:tcW w:w="657" w:type="dxa"/>
            <w:tcBorders>
              <w:tl2br w:val="nil"/>
              <w:tr2bl w:val="nil"/>
            </w:tcBorders>
            <w:noWrap w:val="0"/>
            <w:vAlign w:val="center"/>
          </w:tcPr>
          <w:p w14:paraId="36C00C4B">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934" w:type="dxa"/>
            <w:tcBorders>
              <w:tl2br w:val="nil"/>
              <w:tr2bl w:val="nil"/>
            </w:tcBorders>
            <w:noWrap w:val="0"/>
            <w:vAlign w:val="center"/>
          </w:tcPr>
          <w:p w14:paraId="7F724EC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智能分析平台服务器</w:t>
            </w:r>
          </w:p>
        </w:tc>
        <w:tc>
          <w:tcPr>
            <w:tcW w:w="6898" w:type="dxa"/>
            <w:tcBorders>
              <w:tl2br w:val="nil"/>
              <w:tr2bl w:val="nil"/>
            </w:tcBorders>
            <w:noWrap w:val="0"/>
            <w:vAlign w:val="center"/>
          </w:tcPr>
          <w:p w14:paraId="2783E43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CPU：16核，频率2.5GHz；</w:t>
            </w:r>
          </w:p>
          <w:p w14:paraId="484F1CC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内存：64GB；</w:t>
            </w:r>
          </w:p>
          <w:p w14:paraId="5D85D8D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硬盘：2X4T；</w:t>
            </w:r>
          </w:p>
          <w:p w14:paraId="7721B87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网口：2个RJ45 10M/100M/1000M自适应以太网口；</w:t>
            </w:r>
          </w:p>
          <w:p w14:paraId="38DC689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操作系统：CentOS 7.9。</w:t>
            </w:r>
          </w:p>
        </w:tc>
        <w:tc>
          <w:tcPr>
            <w:tcW w:w="1145" w:type="dxa"/>
            <w:tcBorders>
              <w:tl2br w:val="nil"/>
              <w:tr2bl w:val="nil"/>
            </w:tcBorders>
            <w:noWrap w:val="0"/>
            <w:vAlign w:val="center"/>
          </w:tcPr>
          <w:p w14:paraId="5F0D1D00">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5A4413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5D57D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6BE91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73F76B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AEA8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台</w:t>
            </w:r>
          </w:p>
        </w:tc>
      </w:tr>
      <w:tr w14:paraId="336D1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57" w:type="dxa"/>
            <w:tcBorders>
              <w:tl2br w:val="nil"/>
              <w:tr2bl w:val="nil"/>
            </w:tcBorders>
            <w:noWrap w:val="0"/>
            <w:vAlign w:val="center"/>
          </w:tcPr>
          <w:p w14:paraId="6DD5C47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934" w:type="dxa"/>
            <w:tcBorders>
              <w:tl2br w:val="nil"/>
              <w:tr2bl w:val="nil"/>
            </w:tcBorders>
            <w:noWrap w:val="0"/>
            <w:vAlign w:val="center"/>
          </w:tcPr>
          <w:p w14:paraId="42F02F9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硬盘</w:t>
            </w:r>
          </w:p>
        </w:tc>
        <w:tc>
          <w:tcPr>
            <w:tcW w:w="6898" w:type="dxa"/>
            <w:tcBorders>
              <w:tl2br w:val="nil"/>
              <w:tr2bl w:val="nil"/>
            </w:tcBorders>
            <w:noWrap w:val="0"/>
            <w:vAlign w:val="center"/>
          </w:tcPr>
          <w:p w14:paraId="1687388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10TB  SATA3 监控级硬盘</w:t>
            </w:r>
          </w:p>
        </w:tc>
        <w:tc>
          <w:tcPr>
            <w:tcW w:w="1145" w:type="dxa"/>
            <w:tcBorders>
              <w:tl2br w:val="nil"/>
              <w:tr2bl w:val="nil"/>
            </w:tcBorders>
            <w:noWrap w:val="0"/>
            <w:vAlign w:val="center"/>
          </w:tcPr>
          <w:p w14:paraId="68A8C07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477" w:type="dxa"/>
            <w:tcBorders>
              <w:tl2br w:val="nil"/>
              <w:tr2bl w:val="nil"/>
            </w:tcBorders>
            <w:noWrap w:val="0"/>
            <w:vAlign w:val="top"/>
          </w:tcPr>
          <w:p w14:paraId="55D0F90D">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块</w:t>
            </w:r>
          </w:p>
          <w:p w14:paraId="3A305F5F">
            <w:pPr>
              <w:rPr>
                <w:rFonts w:hint="eastAsia"/>
              </w:rPr>
            </w:pPr>
          </w:p>
        </w:tc>
      </w:tr>
      <w:tr w14:paraId="2191B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8" w:hRule="atLeast"/>
        </w:trPr>
        <w:tc>
          <w:tcPr>
            <w:tcW w:w="657" w:type="dxa"/>
            <w:tcBorders>
              <w:tl2br w:val="nil"/>
              <w:tr2bl w:val="nil"/>
            </w:tcBorders>
            <w:noWrap w:val="0"/>
            <w:vAlign w:val="center"/>
          </w:tcPr>
          <w:p w14:paraId="45D63FB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934" w:type="dxa"/>
            <w:tcBorders>
              <w:tl2br w:val="nil"/>
              <w:tr2bl w:val="nil"/>
            </w:tcBorders>
            <w:noWrap w:val="0"/>
            <w:vAlign w:val="center"/>
          </w:tcPr>
          <w:p w14:paraId="36872AC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管理主机</w:t>
            </w:r>
          </w:p>
        </w:tc>
        <w:tc>
          <w:tcPr>
            <w:tcW w:w="6898" w:type="dxa"/>
            <w:tcBorders>
              <w:tl2br w:val="nil"/>
              <w:tr2bl w:val="nil"/>
            </w:tcBorders>
            <w:noWrap w:val="0"/>
            <w:vAlign w:val="top"/>
          </w:tcPr>
          <w:p w14:paraId="0188EF38">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i7-12700/16GB/B660PCI/1TB硬盘/180W电源/USB键鼠/23.8寸显示器/win11</w:t>
            </w:r>
          </w:p>
        </w:tc>
        <w:tc>
          <w:tcPr>
            <w:tcW w:w="1145" w:type="dxa"/>
            <w:tcBorders>
              <w:tl2br w:val="nil"/>
              <w:tr2bl w:val="nil"/>
            </w:tcBorders>
            <w:noWrap w:val="0"/>
            <w:vAlign w:val="center"/>
          </w:tcPr>
          <w:p w14:paraId="5A32007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45D665D6">
            <w:pPr>
              <w:pStyle w:val="3"/>
              <w:tabs>
                <w:tab w:val="left" w:pos="208"/>
              </w:tabs>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36375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3" w:hRule="atLeast"/>
        </w:trPr>
        <w:tc>
          <w:tcPr>
            <w:tcW w:w="657" w:type="dxa"/>
            <w:tcBorders>
              <w:tl2br w:val="nil"/>
              <w:tr2bl w:val="nil"/>
            </w:tcBorders>
            <w:noWrap w:val="0"/>
            <w:vAlign w:val="center"/>
          </w:tcPr>
          <w:p w14:paraId="34D03BA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934" w:type="dxa"/>
            <w:tcBorders>
              <w:tl2br w:val="nil"/>
              <w:tr2bl w:val="nil"/>
            </w:tcBorders>
            <w:noWrap w:val="0"/>
            <w:vAlign w:val="center"/>
          </w:tcPr>
          <w:p w14:paraId="7AE1FBC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接入交换机</w:t>
            </w:r>
          </w:p>
        </w:tc>
        <w:tc>
          <w:tcPr>
            <w:tcW w:w="6898" w:type="dxa"/>
            <w:tcBorders>
              <w:tl2br w:val="nil"/>
              <w:tr2bl w:val="nil"/>
            </w:tcBorders>
            <w:noWrap w:val="0"/>
            <w:vAlign w:val="center"/>
          </w:tcPr>
          <w:p w14:paraId="64DCB54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24个10/100/1000TX，4个SFP千兆光口；交换容量（全双工）≥336Gbps；包转发率（整机）≥108Mpps；支持基于端口的VLAN。</w:t>
            </w:r>
          </w:p>
        </w:tc>
        <w:tc>
          <w:tcPr>
            <w:tcW w:w="1145" w:type="dxa"/>
            <w:tcBorders>
              <w:tl2br w:val="nil"/>
              <w:tr2bl w:val="nil"/>
            </w:tcBorders>
            <w:noWrap w:val="0"/>
            <w:vAlign w:val="center"/>
          </w:tcPr>
          <w:p w14:paraId="4367573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477" w:type="dxa"/>
            <w:tcBorders>
              <w:tl2br w:val="nil"/>
              <w:tr2bl w:val="nil"/>
            </w:tcBorders>
            <w:noWrap w:val="0"/>
            <w:vAlign w:val="top"/>
          </w:tcPr>
          <w:p w14:paraId="39270D0E">
            <w:pPr>
              <w:keepNext w:val="0"/>
              <w:keepLines w:val="0"/>
              <w:widowControl/>
              <w:suppressLineNumbers w:val="0"/>
              <w:jc w:val="center"/>
              <w:textAlignment w:val="center"/>
              <w:rPr>
                <w:rFonts w:hint="eastAsia"/>
              </w:rPr>
            </w:pPr>
          </w:p>
          <w:p w14:paraId="57BDF1D0">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53C65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657" w:type="dxa"/>
            <w:tcBorders>
              <w:tl2br w:val="nil"/>
              <w:tr2bl w:val="nil"/>
            </w:tcBorders>
            <w:noWrap w:val="0"/>
            <w:vAlign w:val="center"/>
          </w:tcPr>
          <w:p w14:paraId="61722A9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934" w:type="dxa"/>
            <w:tcBorders>
              <w:tl2br w:val="nil"/>
              <w:tr2bl w:val="nil"/>
            </w:tcBorders>
            <w:noWrap w:val="0"/>
            <w:vAlign w:val="center"/>
          </w:tcPr>
          <w:p w14:paraId="733F5DD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汇聚交换机</w:t>
            </w:r>
          </w:p>
        </w:tc>
        <w:tc>
          <w:tcPr>
            <w:tcW w:w="6898" w:type="dxa"/>
            <w:tcBorders>
              <w:tl2br w:val="nil"/>
              <w:tr2bl w:val="nil"/>
            </w:tcBorders>
            <w:noWrap w:val="0"/>
            <w:vAlign w:val="center"/>
          </w:tcPr>
          <w:p w14:paraId="517D969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 xml:space="preserve"> 24 个 10/100/1000TX，24 个 SFP 千兆光口 交换容量 (全双工) ≥19.2Tbps；包转发 率 (整机) ≥1440Mpps，支持基于端口的 VLAN。</w:t>
            </w:r>
          </w:p>
        </w:tc>
        <w:tc>
          <w:tcPr>
            <w:tcW w:w="1145" w:type="dxa"/>
            <w:tcBorders>
              <w:tl2br w:val="nil"/>
              <w:tr2bl w:val="nil"/>
            </w:tcBorders>
            <w:noWrap w:val="0"/>
            <w:vAlign w:val="center"/>
          </w:tcPr>
          <w:p w14:paraId="13944EC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5463EC10">
            <w:pPr>
              <w:keepNext w:val="0"/>
              <w:keepLines w:val="0"/>
              <w:widowControl/>
              <w:suppressLineNumbers w:val="0"/>
              <w:jc w:val="center"/>
              <w:textAlignment w:val="center"/>
              <w:rPr>
                <w:rFonts w:hint="eastAsia"/>
              </w:rPr>
            </w:pPr>
          </w:p>
          <w:p w14:paraId="0997609A">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4913C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657" w:type="dxa"/>
            <w:tcBorders>
              <w:tl2br w:val="nil"/>
              <w:tr2bl w:val="nil"/>
            </w:tcBorders>
            <w:noWrap w:val="0"/>
            <w:vAlign w:val="center"/>
          </w:tcPr>
          <w:p w14:paraId="478F805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934" w:type="dxa"/>
            <w:tcBorders>
              <w:tl2br w:val="nil"/>
              <w:tr2bl w:val="nil"/>
            </w:tcBorders>
            <w:noWrap w:val="0"/>
            <w:vAlign w:val="center"/>
          </w:tcPr>
          <w:p w14:paraId="51E9F3F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光模块</w:t>
            </w:r>
          </w:p>
        </w:tc>
        <w:tc>
          <w:tcPr>
            <w:tcW w:w="6898" w:type="dxa"/>
            <w:tcBorders>
              <w:tl2br w:val="nil"/>
              <w:tr2bl w:val="nil"/>
            </w:tcBorders>
            <w:noWrap w:val="0"/>
            <w:vAlign w:val="center"/>
          </w:tcPr>
          <w:p w14:paraId="35B3252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千兆单模光纤模块</w:t>
            </w:r>
          </w:p>
        </w:tc>
        <w:tc>
          <w:tcPr>
            <w:tcW w:w="1145" w:type="dxa"/>
            <w:tcBorders>
              <w:tl2br w:val="nil"/>
              <w:tr2bl w:val="nil"/>
            </w:tcBorders>
            <w:noWrap w:val="0"/>
            <w:vAlign w:val="center"/>
          </w:tcPr>
          <w:p w14:paraId="65B129EB">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kern w:val="24"/>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477" w:type="dxa"/>
            <w:tcBorders>
              <w:tl2br w:val="nil"/>
              <w:tr2bl w:val="nil"/>
            </w:tcBorders>
            <w:noWrap w:val="0"/>
            <w:vAlign w:val="top"/>
          </w:tcPr>
          <w:p w14:paraId="74BA1762">
            <w:pPr>
              <w:keepNext w:val="0"/>
              <w:keepLines w:val="0"/>
              <w:widowControl/>
              <w:suppressLineNumbers w:val="0"/>
              <w:jc w:val="center"/>
              <w:textAlignment w:val="center"/>
              <w:rPr>
                <w:rFonts w:hint="eastAsia"/>
              </w:rPr>
            </w:pPr>
          </w:p>
          <w:p w14:paraId="46DC5B97">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个</w:t>
            </w:r>
          </w:p>
        </w:tc>
      </w:tr>
      <w:tr w14:paraId="5ED13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24B946D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934" w:type="dxa"/>
            <w:tcBorders>
              <w:tl2br w:val="nil"/>
              <w:tr2bl w:val="nil"/>
            </w:tcBorders>
            <w:noWrap w:val="0"/>
            <w:vAlign w:val="center"/>
          </w:tcPr>
          <w:p w14:paraId="5C48776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音视频巡查指挥终端</w:t>
            </w:r>
          </w:p>
        </w:tc>
        <w:tc>
          <w:tcPr>
            <w:tcW w:w="6898" w:type="dxa"/>
            <w:tcBorders>
              <w:tl2br w:val="nil"/>
              <w:tr2bl w:val="nil"/>
            </w:tcBorders>
            <w:noWrap w:val="0"/>
            <w:vAlign w:val="center"/>
          </w:tcPr>
          <w:p w14:paraId="5AE4677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1.通信协议：遵循H.323/SIP协议；</w:t>
            </w:r>
          </w:p>
          <w:p w14:paraId="08223DE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2.视频：支持H.263、H.264、H.264HP；图像格式支持1080P50/60帧、1080P25/30帧、720P50/ 60帧、720 P25/30帧、并向下兼容4CIF、CIF图像格式；</w:t>
            </w:r>
          </w:p>
          <w:p w14:paraId="0190D23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3.音频：支持G.711A、G.711U、G.722、G.722.1、G.722.1C、AAC音频协议；</w:t>
            </w:r>
          </w:p>
          <w:p w14:paraId="4CFBE42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4.双流：支持H.239标准双流协议，主流支持1080p60fps，辅流支持不低于1080p30fps；5.视频接口：≥2路视频输入，≥2路视频输出接口；音频接口：≥2路视频输入、≥1路视频输出接口；</w:t>
            </w:r>
          </w:p>
          <w:p w14:paraId="3067A14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6.网口：具备1个10M/100M/1000M自适应网口。可完成视频巡查指挥和视频会议功能，稳定可靠；能够同时连入音视频指挥系统和网上巡查系统，支持对前端考场图像进行实时监看；</w:t>
            </w:r>
          </w:p>
          <w:p w14:paraId="28C517E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7.支持多分屏调看音视频指挥图像和网上巡查系统图像，并且具有获取巡查列表、图像解码显示等功能；</w:t>
            </w:r>
          </w:p>
          <w:p w14:paraId="3BBB0B98">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8.与前期已部署的相关指挥系统实现完全兼容、统一，确保全系统形成完整的设备监控指挥管理体系。</w:t>
            </w:r>
          </w:p>
          <w:p w14:paraId="13343F1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9.要求与市级音视频巡查指挥平台无缝对接，完全兼容统一；（提供平台兼容截图证明）</w:t>
            </w:r>
          </w:p>
          <w:p w14:paraId="3C5D5B0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10.★须通过学校平台完成与市、自治区巡查指挥系统的互联、互通；</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自开标后3日内进行平台测试，并出具上级互联互通报告，不响应视为无效投标)（投标人提供承诺函）</w:t>
            </w:r>
          </w:p>
        </w:tc>
        <w:tc>
          <w:tcPr>
            <w:tcW w:w="1145" w:type="dxa"/>
            <w:tcBorders>
              <w:tl2br w:val="nil"/>
              <w:tr2bl w:val="nil"/>
            </w:tcBorders>
            <w:noWrap w:val="0"/>
            <w:vAlign w:val="center"/>
          </w:tcPr>
          <w:p w14:paraId="199F19B2">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33FB6760">
            <w:pPr>
              <w:keepNext w:val="0"/>
              <w:keepLines w:val="0"/>
              <w:widowControl/>
              <w:suppressLineNumbers w:val="0"/>
              <w:jc w:val="center"/>
              <w:textAlignment w:val="center"/>
              <w:rPr>
                <w:rFonts w:hint="eastAsia"/>
              </w:rPr>
            </w:pPr>
          </w:p>
          <w:p w14:paraId="6720D68F">
            <w:pPr>
              <w:pStyle w:val="2"/>
              <w:rPr>
                <w:rFonts w:hint="eastAsia"/>
              </w:rPr>
            </w:pPr>
          </w:p>
          <w:p w14:paraId="2AD0807B">
            <w:pPr>
              <w:pStyle w:val="3"/>
              <w:tabs>
                <w:tab w:val="left" w:pos="208"/>
              </w:tabs>
              <w:rPr>
                <w:rFonts w:hint="eastAsia"/>
              </w:rPr>
            </w:pPr>
          </w:p>
          <w:p w14:paraId="48E1AF55">
            <w:pPr>
              <w:pStyle w:val="4"/>
              <w:rPr>
                <w:rFonts w:hint="eastAsia"/>
              </w:rPr>
            </w:pPr>
          </w:p>
          <w:p w14:paraId="0B37BFBD">
            <w:pPr>
              <w:rPr>
                <w:rFonts w:hint="eastAsia"/>
              </w:rPr>
            </w:pPr>
          </w:p>
          <w:p w14:paraId="64146C56">
            <w:pPr>
              <w:pStyle w:val="2"/>
              <w:rPr>
                <w:rFonts w:hint="eastAsia"/>
              </w:rPr>
            </w:pPr>
          </w:p>
          <w:p w14:paraId="6221C6D5">
            <w:pPr>
              <w:pStyle w:val="3"/>
              <w:tabs>
                <w:tab w:val="left" w:pos="208"/>
              </w:tabs>
              <w:rPr>
                <w:rFonts w:hint="eastAsia"/>
              </w:rPr>
            </w:pPr>
            <w:r>
              <w:rPr>
                <w:rFonts w:hint="eastAsia" w:ascii="宋体" w:hAnsi="宋体" w:eastAsia="宋体" w:cs="宋体"/>
                <w:i w:val="0"/>
                <w:iCs w:val="0"/>
                <w:color w:val="000000"/>
                <w:kern w:val="0"/>
                <w:sz w:val="24"/>
                <w:szCs w:val="24"/>
                <w:u w:val="none"/>
                <w:lang w:val="en-US" w:eastAsia="zh-CN" w:bidi="ar"/>
              </w:rPr>
              <w:t>台</w:t>
            </w:r>
          </w:p>
          <w:p w14:paraId="6B4E950F">
            <w:pPr>
              <w:pStyle w:val="4"/>
              <w:rPr>
                <w:rFonts w:hint="eastAsia"/>
              </w:rPr>
            </w:pPr>
          </w:p>
        </w:tc>
      </w:tr>
      <w:tr w14:paraId="5AC87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trPr>
        <w:tc>
          <w:tcPr>
            <w:tcW w:w="657" w:type="dxa"/>
            <w:tcBorders>
              <w:tl2br w:val="nil"/>
              <w:tr2bl w:val="nil"/>
            </w:tcBorders>
            <w:noWrap w:val="0"/>
            <w:vAlign w:val="center"/>
          </w:tcPr>
          <w:p w14:paraId="02CC859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934" w:type="dxa"/>
            <w:tcBorders>
              <w:tl2br w:val="nil"/>
              <w:tr2bl w:val="nil"/>
            </w:tcBorders>
            <w:noWrap w:val="0"/>
            <w:vAlign w:val="center"/>
          </w:tcPr>
          <w:p w14:paraId="2E523E4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会议摄像机</w:t>
            </w:r>
          </w:p>
        </w:tc>
        <w:tc>
          <w:tcPr>
            <w:tcW w:w="6898" w:type="dxa"/>
            <w:tcBorders>
              <w:tl2br w:val="nil"/>
              <w:tr2bl w:val="nil"/>
            </w:tcBorders>
            <w:noWrap w:val="0"/>
            <w:vAlign w:val="center"/>
          </w:tcPr>
          <w:p w14:paraId="128521D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镜头：1/2.8"HD CMOS传感器，像素：≥200万；支持1920x1080高分辨率图像输出；支持12倍光学变焦；具有3G-SDI、DVI或HDMI接口；远程控制支持RS232或RS485串口；具有1路10M/100M/1000M自适应以太网。</w:t>
            </w:r>
          </w:p>
        </w:tc>
        <w:tc>
          <w:tcPr>
            <w:tcW w:w="1145" w:type="dxa"/>
            <w:tcBorders>
              <w:tl2br w:val="nil"/>
              <w:tr2bl w:val="nil"/>
            </w:tcBorders>
            <w:noWrap w:val="0"/>
            <w:vAlign w:val="center"/>
          </w:tcPr>
          <w:p w14:paraId="7AE475B4">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48AA091B">
            <w:pPr>
              <w:keepNext w:val="0"/>
              <w:keepLines w:val="0"/>
              <w:widowControl/>
              <w:suppressLineNumbers w:val="0"/>
              <w:jc w:val="center"/>
              <w:textAlignment w:val="center"/>
              <w:rPr>
                <w:rFonts w:hint="eastAsia"/>
              </w:rPr>
            </w:pPr>
          </w:p>
          <w:p w14:paraId="38A4014F">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25743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6" w:hRule="atLeast"/>
        </w:trPr>
        <w:tc>
          <w:tcPr>
            <w:tcW w:w="657" w:type="dxa"/>
            <w:tcBorders>
              <w:tl2br w:val="nil"/>
              <w:tr2bl w:val="nil"/>
            </w:tcBorders>
            <w:noWrap w:val="0"/>
            <w:vAlign w:val="center"/>
          </w:tcPr>
          <w:p w14:paraId="50A3F2F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934" w:type="dxa"/>
            <w:tcBorders>
              <w:tl2br w:val="nil"/>
              <w:tr2bl w:val="nil"/>
            </w:tcBorders>
            <w:noWrap w:val="0"/>
            <w:vAlign w:val="center"/>
          </w:tcPr>
          <w:p w14:paraId="51C573A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鹅颈话筒</w:t>
            </w:r>
          </w:p>
        </w:tc>
        <w:tc>
          <w:tcPr>
            <w:tcW w:w="6898" w:type="dxa"/>
            <w:tcBorders>
              <w:tl2br w:val="nil"/>
              <w:tr2bl w:val="nil"/>
            </w:tcBorders>
            <w:noWrap w:val="0"/>
            <w:vAlign w:val="center"/>
          </w:tcPr>
          <w:p w14:paraId="72D5FAD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1.高保真电容式话筒，指向性: 心形指向；</w:t>
            </w:r>
          </w:p>
          <w:p w14:paraId="1F958B7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2.频率响应：100Hz～16KHz；灵敏度：-30dB±2；</w:t>
            </w:r>
          </w:p>
          <w:p w14:paraId="0909536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3.咪杆带工作指示灯。</w:t>
            </w:r>
          </w:p>
        </w:tc>
        <w:tc>
          <w:tcPr>
            <w:tcW w:w="1145" w:type="dxa"/>
            <w:tcBorders>
              <w:tl2br w:val="nil"/>
              <w:tr2bl w:val="nil"/>
            </w:tcBorders>
            <w:noWrap w:val="0"/>
            <w:vAlign w:val="center"/>
          </w:tcPr>
          <w:p w14:paraId="3CEE6FEB">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77" w:type="dxa"/>
            <w:tcBorders>
              <w:tl2br w:val="nil"/>
              <w:tr2bl w:val="nil"/>
            </w:tcBorders>
            <w:noWrap w:val="0"/>
            <w:vAlign w:val="top"/>
          </w:tcPr>
          <w:p w14:paraId="5C6D942C">
            <w:pPr>
              <w:keepNext w:val="0"/>
              <w:keepLines w:val="0"/>
              <w:widowControl/>
              <w:suppressLineNumbers w:val="0"/>
              <w:jc w:val="center"/>
              <w:textAlignment w:val="center"/>
              <w:rPr>
                <w:rFonts w:hint="eastAsia"/>
              </w:rPr>
            </w:pPr>
          </w:p>
          <w:p w14:paraId="3DC10F86">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个</w:t>
            </w:r>
          </w:p>
        </w:tc>
      </w:tr>
      <w:tr w14:paraId="1491C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1" w:hRule="atLeast"/>
        </w:trPr>
        <w:tc>
          <w:tcPr>
            <w:tcW w:w="657" w:type="dxa"/>
            <w:tcBorders>
              <w:tl2br w:val="nil"/>
              <w:tr2bl w:val="nil"/>
            </w:tcBorders>
            <w:noWrap w:val="0"/>
            <w:vAlign w:val="center"/>
          </w:tcPr>
          <w:p w14:paraId="7FB5E2DF">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934" w:type="dxa"/>
            <w:tcBorders>
              <w:tl2br w:val="nil"/>
              <w:tr2bl w:val="nil"/>
            </w:tcBorders>
            <w:noWrap w:val="0"/>
            <w:vAlign w:val="center"/>
          </w:tcPr>
          <w:p w14:paraId="4228DB4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周边控制器</w:t>
            </w:r>
          </w:p>
        </w:tc>
        <w:tc>
          <w:tcPr>
            <w:tcW w:w="6898" w:type="dxa"/>
            <w:tcBorders>
              <w:tl2br w:val="nil"/>
              <w:tr2bl w:val="nil"/>
            </w:tcBorders>
            <w:noWrap w:val="0"/>
            <w:vAlign w:val="center"/>
          </w:tcPr>
          <w:p w14:paraId="0072585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16路电源输出，每个插座最大输出电流为10A；定时器控制信号 短路信号 （0V）；动作间隔时间 1s；16路电源输出；按顺序开启或关闭16路受控设备的电源，可以通过定时器自动控制或人工控制；可通过短路信号自动打开电源；插座总容量达2.5KVA；</w:t>
            </w:r>
          </w:p>
        </w:tc>
        <w:tc>
          <w:tcPr>
            <w:tcW w:w="1145" w:type="dxa"/>
            <w:tcBorders>
              <w:tl2br w:val="nil"/>
              <w:tr2bl w:val="nil"/>
            </w:tcBorders>
            <w:noWrap w:val="0"/>
            <w:vAlign w:val="center"/>
          </w:tcPr>
          <w:p w14:paraId="2A345276">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08250FFA">
            <w:pPr>
              <w:keepNext w:val="0"/>
              <w:keepLines w:val="0"/>
              <w:widowControl/>
              <w:suppressLineNumbers w:val="0"/>
              <w:jc w:val="center"/>
              <w:textAlignment w:val="center"/>
              <w:rPr>
                <w:rFonts w:hint="eastAsia"/>
              </w:rPr>
            </w:pPr>
          </w:p>
          <w:p w14:paraId="5A0B73D3">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0037A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3" w:hRule="atLeast"/>
        </w:trPr>
        <w:tc>
          <w:tcPr>
            <w:tcW w:w="657" w:type="dxa"/>
            <w:tcBorders>
              <w:tl2br w:val="nil"/>
              <w:tr2bl w:val="nil"/>
            </w:tcBorders>
            <w:noWrap w:val="0"/>
            <w:vAlign w:val="center"/>
          </w:tcPr>
          <w:p w14:paraId="79C934FE">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934" w:type="dxa"/>
            <w:tcBorders>
              <w:tl2br w:val="nil"/>
              <w:tr2bl w:val="nil"/>
            </w:tcBorders>
            <w:noWrap w:val="0"/>
            <w:vAlign w:val="center"/>
          </w:tcPr>
          <w:p w14:paraId="4518753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移频功放</w:t>
            </w:r>
          </w:p>
        </w:tc>
        <w:tc>
          <w:tcPr>
            <w:tcW w:w="6898" w:type="dxa"/>
            <w:tcBorders>
              <w:tl2br w:val="nil"/>
              <w:tr2bl w:val="nil"/>
            </w:tcBorders>
            <w:noWrap w:val="0"/>
            <w:vAlign w:val="center"/>
          </w:tcPr>
          <w:p w14:paraId="0308A2B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五段参量均衡和数字移频两重防啸叫技术、话筒增益提升量5～14dB、3路音频线路输入，独立调节、4路话筒平衡（XLR插座）和不平衡（6.35插座）输入，独立调节。4路话筒幻象供电独立切换开关选择、4路话筒移频效果独立切换开关选择；供电方式：AC~220V—230V，50/60Hz；移频量：5Hz±1Hz、输出功率：200W+200W、频率响应：非移频状态：20Hz-20kHz、移频状态：150Hz-15kHz</w:t>
            </w:r>
          </w:p>
        </w:tc>
        <w:tc>
          <w:tcPr>
            <w:tcW w:w="1145" w:type="dxa"/>
            <w:tcBorders>
              <w:tl2br w:val="nil"/>
              <w:tr2bl w:val="nil"/>
            </w:tcBorders>
            <w:noWrap w:val="0"/>
            <w:vAlign w:val="center"/>
          </w:tcPr>
          <w:p w14:paraId="6F954D95">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5A0E577B">
            <w:pPr>
              <w:keepNext w:val="0"/>
              <w:keepLines w:val="0"/>
              <w:widowControl/>
              <w:suppressLineNumbers w:val="0"/>
              <w:jc w:val="center"/>
              <w:textAlignment w:val="center"/>
              <w:rPr>
                <w:rFonts w:hint="eastAsia"/>
              </w:rPr>
            </w:pPr>
          </w:p>
          <w:p w14:paraId="17B03B5B">
            <w:pPr>
              <w:pStyle w:val="2"/>
              <w:rPr>
                <w:rFonts w:hint="eastAsia"/>
              </w:rPr>
            </w:pPr>
          </w:p>
          <w:p w14:paraId="70591A45">
            <w:pPr>
              <w:pStyle w:val="3"/>
              <w:tabs>
                <w:tab w:val="left" w:pos="208"/>
              </w:tabs>
              <w:rPr>
                <w:rFonts w:hint="eastAsia"/>
              </w:rPr>
            </w:pPr>
          </w:p>
          <w:p w14:paraId="6A3F5A71">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02F6F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0" w:hRule="atLeast"/>
        </w:trPr>
        <w:tc>
          <w:tcPr>
            <w:tcW w:w="657" w:type="dxa"/>
            <w:tcBorders>
              <w:tl2br w:val="nil"/>
              <w:tr2bl w:val="nil"/>
            </w:tcBorders>
            <w:noWrap w:val="0"/>
            <w:vAlign w:val="center"/>
          </w:tcPr>
          <w:p w14:paraId="29100AE0">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934" w:type="dxa"/>
            <w:tcBorders>
              <w:tl2br w:val="nil"/>
              <w:tr2bl w:val="nil"/>
            </w:tcBorders>
            <w:noWrap w:val="0"/>
            <w:vAlign w:val="center"/>
          </w:tcPr>
          <w:p w14:paraId="0BDFA38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音箱</w:t>
            </w:r>
          </w:p>
        </w:tc>
        <w:tc>
          <w:tcPr>
            <w:tcW w:w="6898" w:type="dxa"/>
            <w:tcBorders>
              <w:tl2br w:val="nil"/>
              <w:tr2bl w:val="nil"/>
            </w:tcBorders>
            <w:noWrap w:val="0"/>
            <w:vAlign w:val="center"/>
          </w:tcPr>
          <w:p w14:paraId="074FB46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专业应用于会议场所扩音使用，箱体轻便简洁紧凑，小巧玲珑、安装方便，高中频清晰细腻，低频浑厚强劲。采用全新设计的楔接工艺，使箱体结构更加坚固美观，特有的箱体结构加强技术有效的减少箱体无用谐振，减少有害的音染，使声音更加干净，整体输出效率更高，使听感更自然、真实。高音/低音:1.4"HI / 1x8"LOW，额定功率:80W-150W，输入阻抗：8Ω，频率范围 (1m/1w):62Hz-18KHz，灵敏度：93±3dB，指向性：90°×50°，接线柱:卡侬座 *1/4L*R(+1/—1)，</w:t>
            </w:r>
          </w:p>
        </w:tc>
        <w:tc>
          <w:tcPr>
            <w:tcW w:w="1145" w:type="dxa"/>
            <w:tcBorders>
              <w:tl2br w:val="nil"/>
              <w:tr2bl w:val="nil"/>
            </w:tcBorders>
            <w:noWrap w:val="0"/>
            <w:vAlign w:val="center"/>
          </w:tcPr>
          <w:p w14:paraId="40C2EB1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77" w:type="dxa"/>
            <w:tcBorders>
              <w:tl2br w:val="nil"/>
              <w:tr2bl w:val="nil"/>
            </w:tcBorders>
            <w:noWrap w:val="0"/>
            <w:vAlign w:val="top"/>
          </w:tcPr>
          <w:p w14:paraId="5C2BEEE8">
            <w:pPr>
              <w:keepNext w:val="0"/>
              <w:keepLines w:val="0"/>
              <w:widowControl/>
              <w:suppressLineNumbers w:val="0"/>
              <w:jc w:val="center"/>
              <w:textAlignment w:val="center"/>
              <w:rPr>
                <w:rFonts w:hint="eastAsia"/>
              </w:rPr>
            </w:pPr>
          </w:p>
          <w:p w14:paraId="1976541C">
            <w:pPr>
              <w:pStyle w:val="2"/>
              <w:rPr>
                <w:rFonts w:hint="eastAsia"/>
              </w:rPr>
            </w:pPr>
          </w:p>
          <w:p w14:paraId="50E75084">
            <w:pPr>
              <w:pStyle w:val="3"/>
              <w:tabs>
                <w:tab w:val="left" w:pos="208"/>
              </w:tabs>
              <w:rPr>
                <w:rFonts w:hint="eastAsia"/>
              </w:rPr>
            </w:pPr>
          </w:p>
          <w:p w14:paraId="3F33A207">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只</w:t>
            </w:r>
          </w:p>
          <w:p w14:paraId="35248A57">
            <w:pPr>
              <w:rPr>
                <w:rFonts w:hint="eastAsia"/>
              </w:rPr>
            </w:pPr>
          </w:p>
        </w:tc>
      </w:tr>
      <w:tr w14:paraId="2D145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0F2E41A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934" w:type="dxa"/>
            <w:tcBorders>
              <w:tl2br w:val="nil"/>
              <w:tr2bl w:val="nil"/>
            </w:tcBorders>
            <w:noWrap w:val="0"/>
            <w:vAlign w:val="center"/>
          </w:tcPr>
          <w:p w14:paraId="039391F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身份采集验证终端</w:t>
            </w:r>
          </w:p>
        </w:tc>
        <w:tc>
          <w:tcPr>
            <w:tcW w:w="6898" w:type="dxa"/>
            <w:tcBorders>
              <w:tl2br w:val="nil"/>
              <w:tr2bl w:val="nil"/>
            </w:tcBorders>
            <w:noWrap w:val="0"/>
            <w:vAlign w:val="center"/>
          </w:tcPr>
          <w:p w14:paraId="0D79166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1.设备采用8英寸IPS高亮电容触摸屏，支持5点触控触控灵敏、响应迅速，适应考场快速核验场景；</w:t>
            </w:r>
          </w:p>
          <w:p w14:paraId="0742EEE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2.屏幕物理分辨率不低于800×1280，色彩还原真实，可视角度宽广，强光与弱光环境下均可清晰显示考生信息、核验状态及操作界面，满足全天候身份验证需求；</w:t>
            </w:r>
          </w:p>
          <w:p w14:paraId="56DD2C0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3.采用高性能四核处理器，CPU 主频不低于1.8GHz，运算能力强劲，可流畅运行人脸识别、指纹比对、身份证读取、活体检测等多任务并行处理，确保高并发核验场景下系统稳定、无卡顿、无延迟。采用四核处理器，主频为1.8GHz；</w:t>
            </w:r>
          </w:p>
          <w:p w14:paraId="49BFB3C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4.设备配置4GB RAM 运行内存 + 64GB ROM 机身存储；</w:t>
            </w:r>
          </w:p>
          <w:p w14:paraId="0633540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5.支持蓝牙 4.0 无线传输；</w:t>
            </w:r>
          </w:p>
          <w:p w14:paraId="67916C3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6.标配RJ45 有线网口，支持 Ethernet 有线网络接入；</w:t>
            </w:r>
          </w:p>
          <w:p w14:paraId="2D19368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7.内置高性能 WiFi 模块，支持 802.11b/g/n 无线协议；</w:t>
            </w:r>
          </w:p>
          <w:p w14:paraId="5C773B0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8.支持TF存储卡扩展，支持256G；</w:t>
            </w:r>
          </w:p>
          <w:p w14:paraId="0F2409E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9.前置双目宽动态摄像头，200W(自然光摄像头)+200W(红外摄像头)，搭配专用LED 补光灯，支持红外/可见光双补光，支持动态活体检测，可有效防范照片、视频、面具等作弊攻击；人脸识别距离0.3～1m，适应不同身高考生快速通行核验；</w:t>
            </w:r>
          </w:p>
          <w:p w14:paraId="37F908B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10.前置LED 面光源补光系统，光线柔和均匀，可自动适应逆光、暗光、夜间等复杂光线环境，保证人脸识别准确率；</w:t>
            </w:r>
          </w:p>
          <w:p w14:paraId="53E4FEF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11.采用Android 智能操作系统；</w:t>
            </w:r>
          </w:p>
          <w:p w14:paraId="2686687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12.内置电容按压式指纹模块，指纹采集图像清晰、识别速度快、拒真率低；模块完全符合第二代居民身份证指纹采集标准，可直接采集、比对考生指纹信息，满足 “人证证指纹三合一” 核验要求。</w:t>
            </w:r>
          </w:p>
          <w:p w14:paraId="322AEAA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13.内置非接触式二代证读卡模块，支持读取二代证唯一 ID 号、身份文字信息、证件照片、内置指纹模板等全要素信息；读卡响应时间 ≤1.5 秒 ，读卡距离0～3cm，读卡稳定、准确率高；</w:t>
            </w:r>
          </w:p>
          <w:p w14:paraId="33132B4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14.设备配备标准USB 接口，支持数据导出、外设接入、程序升级等功能；配备HDMI 高清数字输出接口；</w:t>
            </w:r>
          </w:p>
          <w:p w14:paraId="4483C1E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15.工作温度：-20℃～50℃；防护等级：IP65；电源：DC12V 2A；</w:t>
            </w:r>
          </w:p>
          <w:p w14:paraId="076076B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16.具有验证结果上报进度统计功能，支持统计并展示校门口验证人数上传进度、考场验证人数上传进度、考务室验证人数上传进度。</w:t>
            </w:r>
          </w:p>
          <w:p w14:paraId="3792986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17.支持考生和认证数据通过介质和网络(有线和WIFI)导入、导出和实时上传。</w:t>
            </w:r>
          </w:p>
          <w:p w14:paraId="39373B6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18.支持断点续传技术，在网络断开后恢复时可自动续传。</w:t>
            </w:r>
          </w:p>
          <w:p w14:paraId="69C17DF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19.终端支持安装身份信息采集APP软件，能够采集身份证信息、指纹信息、照片等，并将信息上传至上级身份认证管理平台设备具有数据查询功能，通过授权帐号可进入系统查询界面，查询考生的认证情况(通过、未通过、缺考等)，设备所有考生数据在断电情况下不会丢失。</w:t>
            </w:r>
          </w:p>
          <w:p w14:paraId="3465BD7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20.具有数据传输功能，终端支持从上级身份认证管理平台下载考场数据，并将考生入场认证信息、监考员签到、考生缺考、违纪、考场异常、试卷启用等考务需要的数据实时上传到上级身份认证管理平台。</w:t>
            </w:r>
          </w:p>
          <w:p w14:paraId="6D5F981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21.支持清除验证数据，清除过程具有密码安全验证功能，验证通过才能清除数据。</w:t>
            </w:r>
          </w:p>
          <w:p w14:paraId="1D66F5C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22.终端软件具有基础信息展示功能，可显示考点名称、日期、星期、当前时间;可显示终端加载的考生与工作人员数量。</w:t>
            </w:r>
          </w:p>
          <w:p w14:paraId="1FF0BCC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23.终端具有良好的操作性，整个操作流程具有语音操作提示，通过终端内置的声光语音，提示刷卡(读取二代证信息)、按指纹、拍照以及是否通过认证。</w:t>
            </w:r>
          </w:p>
          <w:p w14:paraId="3B85995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24.终端设备具有考务行为引导功能，可根据时间自动切换当前阶段的考试任务，在规定时间能够引导并提醒监考人员当前需要完成工作，支持查看考务引导内容、时间;在监考员确认后终端自动将信息反馈到上级平台。</w:t>
            </w:r>
          </w:p>
          <w:p w14:paraId="0A0BC3A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25.支持通过身份证、指纹、人脸等进行监考员签到与考场绑定;考试结束，待数据上传完成后，可手动统一取消绑定或自动统一取消绑定。</w:t>
            </w:r>
          </w:p>
          <w:p w14:paraId="130DBC1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26.选择大门口/待考区，可展示考点考生总数、已验证考生、工作人员总数、已验证工作人员;支持显示考生姓名、性别、报名照片、考场号、座位号、身份证号、准考证号、科目等信息。</w:t>
            </w:r>
          </w:p>
          <w:p w14:paraId="3ADEF96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27.具有考务室人脸签到功能，可展示考务室签到数据，可显示签到结果，可显示已签到、未签到、应签到人员总数、考试科目等信息:可显示人员姓名、人像、考场、职位。</w:t>
            </w:r>
          </w:p>
          <w:p w14:paraId="388993F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28.平台端部署新版本终端软件后，终端会自动检测新版本，并具有升级提醒功能，支持用户在线升级:具有U盘新版本检测功能，支持通过U盘自动升级。</w:t>
            </w:r>
          </w:p>
          <w:p w14:paraId="1AC87AB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29.考务数据保存和传输过程均经过加密处理防止数据被篡改和替换。</w:t>
            </w:r>
          </w:p>
          <w:p w14:paraId="1D86619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30.内置身份信息采集及验证系统（移动端）；提供软件著作权。</w:t>
            </w:r>
          </w:p>
          <w:p w14:paraId="401B70F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31.★要求系统平台能与自治区国家教育考试综合管理平台进行数据交互，平台所提供的数据必须符合自治区数据标准；</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自开标后3日内进行平台测试，并出具上级互联互通报告，不响应视为无效投标)（投标人提供承诺函） 。</w:t>
            </w:r>
          </w:p>
          <w:p w14:paraId="4BAF63F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32.含转接支架，支架长度：240mm；转接支架末端安装直径：33mm。设备调节角度：支持垂直90°～后仰120°</w:t>
            </w:r>
          </w:p>
        </w:tc>
        <w:tc>
          <w:tcPr>
            <w:tcW w:w="1145" w:type="dxa"/>
            <w:tcBorders>
              <w:tl2br w:val="nil"/>
              <w:tr2bl w:val="nil"/>
            </w:tcBorders>
            <w:noWrap w:val="0"/>
            <w:vAlign w:val="center"/>
          </w:tcPr>
          <w:p w14:paraId="28ECF9BE">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477" w:type="dxa"/>
            <w:tcBorders>
              <w:tl2br w:val="nil"/>
              <w:tr2bl w:val="nil"/>
            </w:tcBorders>
            <w:noWrap w:val="0"/>
            <w:vAlign w:val="top"/>
          </w:tcPr>
          <w:p w14:paraId="5F4C2E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E3533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2ADD4A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CF56B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C1739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94ACE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775A50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2FA2A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7581C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58FD4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36583CA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0EF9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255F22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EB0E9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E3B21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B50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5A98A0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5FE049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套</w:t>
            </w:r>
          </w:p>
        </w:tc>
      </w:tr>
      <w:tr w14:paraId="51362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8" w:hRule="atLeast"/>
        </w:trPr>
        <w:tc>
          <w:tcPr>
            <w:tcW w:w="657" w:type="dxa"/>
            <w:tcBorders>
              <w:tl2br w:val="nil"/>
              <w:tr2bl w:val="nil"/>
            </w:tcBorders>
            <w:noWrap w:val="0"/>
            <w:vAlign w:val="center"/>
          </w:tcPr>
          <w:p w14:paraId="38954DE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934" w:type="dxa"/>
            <w:tcBorders>
              <w:tl2br w:val="nil"/>
              <w:tr2bl w:val="nil"/>
            </w:tcBorders>
            <w:noWrap w:val="0"/>
            <w:vAlign w:val="center"/>
          </w:tcPr>
          <w:p w14:paraId="193656A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续航支架</w:t>
            </w:r>
          </w:p>
        </w:tc>
        <w:tc>
          <w:tcPr>
            <w:tcW w:w="6898" w:type="dxa"/>
            <w:tcBorders>
              <w:tl2br w:val="nil"/>
              <w:tr2bl w:val="nil"/>
            </w:tcBorders>
            <w:noWrap w:val="0"/>
            <w:vAlign w:val="center"/>
          </w:tcPr>
          <w:p w14:paraId="1A765FC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续航支架由柱体和续航底座组成，立柱与底座主体均采用金属材质；</w:t>
            </w:r>
          </w:p>
          <w:p w14:paraId="10797BE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立柱尺寸（长*宽*高）：86mm*86mm*1100mm，立柱柱体采用倒圆角设计；具有LED灯条，灯条长：310mm；立柱顶端转接支架安装孔直径约：35mm；底座具有水平调节脚垫，可调节底座水平和距地高度；续航底座尺寸（长*宽*高）：300mm*300mm*40mm；电池容量：10.4Ah；标称电压：10.8V；续航时间（常温下）：≥10小时；续航支架具有1个USB接口、1个RJ45网口、1个外接电源接口,标配电源线；电源输入：100-240V～50/60Hz  1.6A Max。</w:t>
            </w:r>
          </w:p>
          <w:p w14:paraId="0F2397D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产品重量：7kg。</w:t>
            </w:r>
          </w:p>
        </w:tc>
        <w:tc>
          <w:tcPr>
            <w:tcW w:w="1145" w:type="dxa"/>
            <w:tcBorders>
              <w:tl2br w:val="nil"/>
              <w:tr2bl w:val="nil"/>
            </w:tcBorders>
            <w:noWrap w:val="0"/>
            <w:vAlign w:val="center"/>
          </w:tcPr>
          <w:p w14:paraId="75BA7C6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477" w:type="dxa"/>
            <w:tcBorders>
              <w:tl2br w:val="nil"/>
              <w:tr2bl w:val="nil"/>
            </w:tcBorders>
            <w:noWrap w:val="0"/>
            <w:vAlign w:val="top"/>
          </w:tcPr>
          <w:p w14:paraId="79202735">
            <w:pPr>
              <w:keepNext w:val="0"/>
              <w:keepLines w:val="0"/>
              <w:widowControl/>
              <w:suppressLineNumbers w:val="0"/>
              <w:jc w:val="center"/>
              <w:textAlignment w:val="center"/>
              <w:rPr>
                <w:rFonts w:hint="eastAsia"/>
              </w:rPr>
            </w:pPr>
          </w:p>
          <w:p w14:paraId="2DF4C933">
            <w:pPr>
              <w:pStyle w:val="2"/>
              <w:rPr>
                <w:rFonts w:hint="eastAsia"/>
              </w:rPr>
            </w:pPr>
          </w:p>
          <w:p w14:paraId="234FC79A">
            <w:pPr>
              <w:pStyle w:val="3"/>
              <w:tabs>
                <w:tab w:val="left" w:pos="208"/>
              </w:tabs>
              <w:rPr>
                <w:rFonts w:hint="eastAsia"/>
              </w:rPr>
            </w:pPr>
          </w:p>
          <w:p w14:paraId="404C9605">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个</w:t>
            </w:r>
          </w:p>
          <w:p w14:paraId="6F9CA395">
            <w:pPr>
              <w:rPr>
                <w:rFonts w:hint="eastAsia"/>
              </w:rPr>
            </w:pPr>
          </w:p>
        </w:tc>
      </w:tr>
      <w:tr w14:paraId="046D1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33F8EF1A">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934" w:type="dxa"/>
            <w:tcBorders>
              <w:tl2br w:val="nil"/>
              <w:tr2bl w:val="nil"/>
            </w:tcBorders>
            <w:noWrap w:val="0"/>
            <w:vAlign w:val="center"/>
          </w:tcPr>
          <w:p w14:paraId="1204436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作弊防控系统管理平台</w:t>
            </w:r>
          </w:p>
        </w:tc>
        <w:tc>
          <w:tcPr>
            <w:tcW w:w="6898" w:type="dxa"/>
            <w:tcBorders>
              <w:tl2br w:val="nil"/>
              <w:tr2bl w:val="nil"/>
            </w:tcBorders>
            <w:noWrap w:val="0"/>
            <w:vAlign w:val="center"/>
          </w:tcPr>
          <w:p w14:paraId="0D3EFFE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1、采用软硬件一体化结构，件采用BS架构，可对考点作弊防控产品进行管理控制，平台具有设备管理、考试任务管理、基站信号检测、策略管理、可疑信号管理、消息接收、系统管理等功能；</w:t>
            </w:r>
          </w:p>
          <w:p w14:paraId="5955746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2、平台具有工作台和数据可视化功能，具有功能模块快速导航功能，设备状态检测及可疑信号展示功能。</w:t>
            </w:r>
          </w:p>
          <w:p w14:paraId="68E24BB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3、设备管理：支持对智能手机检测门、侦测服务器、屏蔽终端进行管理。支持对智能手机检测门状态进行管理，可获取智能手机检测门通过人数与报警人数。支持对侦测服务器进行管理；</w:t>
            </w:r>
          </w:p>
          <w:p w14:paraId="21DF965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4、支持侦测考点背景频谱，支持预览频谱波形，查看实时频谱与差异频谱；</w:t>
            </w:r>
          </w:p>
          <w:p w14:paraId="019DA0C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5、支持背景频谱学习。支持对屏蔽终端进行管理，支持批量添加屏蔽终端；</w:t>
            </w:r>
          </w:p>
          <w:p w14:paraId="476B772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6、支持查看设备在线状态与设备信息；支持按策略开启或关闭屏蔽功能。</w:t>
            </w:r>
          </w:p>
          <w:p w14:paraId="7C1E6AE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7、考试任务管理：具有考试任务管理功能，支持创建或删除考试任务，适用于各类考试应用，可设置考试任务名称、类型、起止时间；支持开启或关闭考试任务，在任务列表直观显示所有考试任务及开启状态；</w:t>
            </w:r>
          </w:p>
          <w:p w14:paraId="11E7B30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8、手机信号强度检测：能够实时显示侦测设备测得的手机信号频段强度。支持导出手机信号强度报告，并提示强度是否超标；</w:t>
            </w:r>
          </w:p>
          <w:p w14:paraId="4E47A50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9、策略管理：支持设置屏蔽策略，可打开或关闭选定频段；</w:t>
            </w:r>
          </w:p>
          <w:p w14:paraId="6F39478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10、可自定义屏蔽布防时段，可设置开始与结束侦测时间、开始屏蔽与结束屏蔽时间，通过定时启停实现作弊防控的无人值守管理；</w:t>
            </w:r>
          </w:p>
          <w:p w14:paraId="31C0FF3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11、支持对黑白名单进行管理，支持创建黑白名单，可设置黑白名单名称、中心频率、带宽等信息，支持设置黑白名单开始或结束时间；支持将黑白名单同步到侦测服务器，支持启用或禁用预设的黑白名单；</w:t>
            </w:r>
          </w:p>
          <w:p w14:paraId="3F7D722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可疑信号管理：支持查看侦测到的疑似作弊信号，可查看信号出现时间段、中心频率与功率。支持对FM、AM、FSK等信号进行解调，支持对语音和数传类的专业作弊设备的信号所传输内容（文字、语音等形式）进行采集和还原，自动保存捕获信号文件，支持按语音或文本类型进行分类展示；</w:t>
            </w:r>
          </w:p>
          <w:p w14:paraId="4A61E802">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13、内置作弊防控系统管理软件自主可控(提供软件著作权证明材料)</w:t>
            </w:r>
          </w:p>
          <w:p w14:paraId="778F6729">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14、要求与自治区国家教育考试综合管理平台作弊防控系统无缝对接，完全兼容统一；（提供平台兼容截图证明）</w:t>
            </w:r>
          </w:p>
          <w:p w14:paraId="7F8FCD0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15、★须实现与自治区国家教育考试综合管理平台作弊防控系统互联互通。</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 xml:space="preserve">自开标后3日内进行平台测试，并出具上级互联互通报告，不响应视为无效投标)（投标人提供承诺函） </w:t>
            </w:r>
          </w:p>
        </w:tc>
        <w:tc>
          <w:tcPr>
            <w:tcW w:w="1145" w:type="dxa"/>
            <w:tcBorders>
              <w:tl2br w:val="nil"/>
              <w:tr2bl w:val="nil"/>
            </w:tcBorders>
            <w:noWrap w:val="0"/>
            <w:vAlign w:val="center"/>
          </w:tcPr>
          <w:p w14:paraId="2A417DF7">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top"/>
          </w:tcPr>
          <w:p w14:paraId="62DC5609">
            <w:pPr>
              <w:keepNext w:val="0"/>
              <w:keepLines w:val="0"/>
              <w:widowControl/>
              <w:suppressLineNumbers w:val="0"/>
              <w:jc w:val="center"/>
              <w:textAlignment w:val="center"/>
              <w:rPr>
                <w:rFonts w:hint="eastAsia"/>
              </w:rPr>
            </w:pPr>
          </w:p>
          <w:p w14:paraId="5C18672F">
            <w:pPr>
              <w:pStyle w:val="2"/>
              <w:rPr>
                <w:rFonts w:hint="eastAsia"/>
              </w:rPr>
            </w:pPr>
          </w:p>
          <w:p w14:paraId="30361C90">
            <w:pPr>
              <w:pStyle w:val="3"/>
              <w:tabs>
                <w:tab w:val="left" w:pos="208"/>
              </w:tabs>
              <w:rPr>
                <w:rFonts w:hint="eastAsia"/>
              </w:rPr>
            </w:pPr>
          </w:p>
          <w:p w14:paraId="145731A1">
            <w:pPr>
              <w:pStyle w:val="4"/>
              <w:rPr>
                <w:rFonts w:hint="eastAsia"/>
              </w:rPr>
            </w:pPr>
          </w:p>
          <w:p w14:paraId="0380B2BA">
            <w:pPr>
              <w:rPr>
                <w:rFonts w:hint="eastAsia"/>
              </w:rPr>
            </w:pPr>
          </w:p>
          <w:p w14:paraId="3586F892">
            <w:pPr>
              <w:pStyle w:val="2"/>
              <w:rPr>
                <w:rFonts w:hint="eastAsia"/>
              </w:rPr>
            </w:pPr>
          </w:p>
          <w:p w14:paraId="7D7F5E33">
            <w:pPr>
              <w:pStyle w:val="3"/>
              <w:tabs>
                <w:tab w:val="left" w:pos="208"/>
              </w:tabs>
              <w:rPr>
                <w:rFonts w:hint="eastAsia"/>
              </w:rPr>
            </w:pPr>
          </w:p>
          <w:p w14:paraId="2D075056">
            <w:pPr>
              <w:pStyle w:val="4"/>
              <w:rPr>
                <w:rFonts w:hint="eastAsia"/>
              </w:rPr>
            </w:pPr>
          </w:p>
          <w:p w14:paraId="4553D2D3">
            <w:pPr>
              <w:rPr>
                <w:rFonts w:hint="eastAsia"/>
              </w:rPr>
            </w:pPr>
          </w:p>
          <w:p w14:paraId="2DEE99E9">
            <w:pPr>
              <w:pStyle w:val="2"/>
              <w:rPr>
                <w:rFonts w:hint="eastAsia"/>
              </w:rPr>
            </w:pPr>
          </w:p>
          <w:p w14:paraId="39FD305F">
            <w:pPr>
              <w:pStyle w:val="4"/>
              <w:rPr>
                <w:rFonts w:hint="eastAsia"/>
              </w:rPr>
            </w:pPr>
            <w:r>
              <w:rPr>
                <w:rFonts w:hint="eastAsia" w:ascii="宋体" w:hAnsi="宋体" w:eastAsia="宋体" w:cs="宋体"/>
                <w:i w:val="0"/>
                <w:iCs w:val="0"/>
                <w:color w:val="000000"/>
                <w:kern w:val="0"/>
                <w:sz w:val="24"/>
                <w:szCs w:val="24"/>
                <w:u w:val="none"/>
                <w:lang w:val="en-US" w:eastAsia="zh-CN" w:bidi="ar"/>
              </w:rPr>
              <w:t xml:space="preserve"> 台</w:t>
            </w:r>
          </w:p>
        </w:tc>
      </w:tr>
      <w:tr w14:paraId="10D3B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29E3EBE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934" w:type="dxa"/>
            <w:tcBorders>
              <w:tl2br w:val="nil"/>
              <w:tr2bl w:val="nil"/>
            </w:tcBorders>
            <w:noWrap w:val="0"/>
            <w:vAlign w:val="center"/>
          </w:tcPr>
          <w:p w14:paraId="5BEB36CF">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作弊防控侦测平台</w:t>
            </w:r>
          </w:p>
        </w:tc>
        <w:tc>
          <w:tcPr>
            <w:tcW w:w="6898" w:type="dxa"/>
            <w:tcBorders>
              <w:tl2br w:val="nil"/>
              <w:tr2bl w:val="nil"/>
            </w:tcBorders>
            <w:noWrap w:val="0"/>
            <w:vAlign w:val="center"/>
          </w:tcPr>
          <w:p w14:paraId="2DE78D0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1、嵌入式设备，支持国产操作系统，具备实时开源操作系统具有抗病毒和抗攻击能力。</w:t>
            </w:r>
          </w:p>
          <w:p w14:paraId="3018788A">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2、支持侦测频率范围：10KHz-6000MHz，侦测设备可正常侦测到信号源发射的无线电信号；</w:t>
            </w:r>
          </w:p>
          <w:p w14:paraId="2E5AFEA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3、支持对基站信号场强侦测,可通过频谱仪对运营商背景场强进行检测。</w:t>
            </w:r>
          </w:p>
          <w:p w14:paraId="17927C0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4、可疑作弊信号捕获：对一定频段的信号进行智能扫描，获取作弊可疑信号。支持设备自动捕获功能，也可通过人工设置信号信息对作弊信号进行捕获。</w:t>
            </w:r>
          </w:p>
          <w:p w14:paraId="561055A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5、可疑作弊信号分析：提取可疑作弊信号的信息特征，并能够对可疑作弊信号进行包括频率、带宽、功率、时长、调制方式等信号特征的分析。</w:t>
            </w:r>
          </w:p>
          <w:p w14:paraId="51BF88F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6、信号还原取证能力：侦测子模块通过模拟、数字FM/AM/FSK/LoRa 等多种解调技术，对捕获的可疑作弊信号的传输内容（文字、语音、视频、图像等形式)进行还原并存储，还原文件内容传输和保存时均进行加密。</w:t>
            </w:r>
          </w:p>
          <w:p w14:paraId="64877BA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7、数传信号还原:支持对数传类作弊信号的内容还原，包含采用 FSK、LoRa 等调制的数传作弊器材。语音信号还原:支持对语音类作弊信号的内容还原，包含广播电台、对讲机和语音作弊器材等。</w:t>
            </w:r>
          </w:p>
          <w:p w14:paraId="0269A40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8、工作模式：支持无人值守式侦测引导阻断工作模式；支持自动发现异常信号并引导阻断器对异常信号的阻断功能；可完成无线电信号实时侦测、可疑信号自动采集和自动引导阻断:支持平台远程管理。</w:t>
            </w:r>
          </w:p>
          <w:p w14:paraId="77C89E1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9、作弊信号还原方式：采用多通道设计，支持信号实时侦测和对可疑作弊信号进行采集和还原取证，信号还原对侦测和阻断无影响:支持通过通道扩展，同时对多个作弊信号开展分析还原。</w:t>
            </w:r>
          </w:p>
          <w:p w14:paraId="3402D12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作弊信号信息上传：考场侦测设备应提供相关接口，将无线电作弊信号的特征信息（频率、类型、带宽、功率、时长、调制方式、发现时间、结束时间、所属考场等)和还原内容（文字、语音、视频、图像等形式)，实时上传至省端综合管理平台。</w:t>
            </w:r>
          </w:p>
          <w:p w14:paraId="15BDC04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11、阻断指令下发：可根据可疑信号和作弊信号的特征，制定出相应的阻断策略，下发相应的阻断命令，引导无线电作弊信号阻断设备进行压制工作。</w:t>
            </w:r>
          </w:p>
          <w:p w14:paraId="23D8E4C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12、异常信号捕获：侦测子模块能实现对频率范围内的异常信号进行快速捕获，并实时显示捕捉信息，整套系统具备主流作弊设备实时还原能力，对语音作弊信号能进行实时监听。</w:t>
            </w:r>
          </w:p>
          <w:p w14:paraId="573745F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13、背景学习：系统自动进行无线电频谱背景采集分析，并可存储多个无线电频谱背景模板供作弊信号分析使用。</w:t>
            </w:r>
          </w:p>
          <w:p w14:paraId="21692CE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14、背景频谱采集：侦测子模块支持对考场区域内常在背景信号进行综合扫描采集，建立考场系统工作的背景频谱。</w:t>
            </w:r>
          </w:p>
          <w:p w14:paraId="0E50495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15、液晶屏显示：侦测服务器自带液晶显示屏，可实时显示当前可疑信号信息。</w:t>
            </w:r>
          </w:p>
          <w:p w14:paraId="4418857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16、系统管理功能：具有作弊信号查看、作弊系统全局统计展示、设备状态查看、根据设置的考试计划自动选择工作模式、集中控制和远程控制管理、与上级进行对接等功能。</w:t>
            </w:r>
          </w:p>
          <w:p w14:paraId="19DFDFA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17、考试计划：可设置考试计划，在考试计划时间开始时系统自动进入工作状态，考试计划时间结束时系统自动停止工作，提供考前、考中及考后自动工作模式，实现无人值守式管理。</w:t>
            </w:r>
          </w:p>
          <w:p w14:paraId="0BC51F1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18、故障检测：支持运行过程中故障自动检测并实时反馈至管理平台。</w:t>
            </w:r>
          </w:p>
          <w:p w14:paraId="41F0688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19、数据上报：支持与考场级管理平台连接，支持对可疑作弊信号频点信息的平台上传及管理。</w:t>
            </w:r>
          </w:p>
          <w:p w14:paraId="74EEE0CC">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20、内置作弊防控侦测服务端软件自主可控(提供软件著作权证明材料)</w:t>
            </w:r>
          </w:p>
          <w:p w14:paraId="73F6D38A">
            <w:pPr>
              <w:pStyle w:val="2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21、要求与校级作弊防控平台无缝对接，完全兼容统一。（提供平台兼容截图证明）</w:t>
            </w:r>
          </w:p>
          <w:p w14:paraId="39AFFA7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22.★实现与自治区国家教育考试综合管理平台作弊防控系统互联互通。</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自开标后3日内进行平台测试，并出具上级互联互通报告，不响应视为无效投标)（投标人提供承诺函）</w:t>
            </w:r>
          </w:p>
        </w:tc>
        <w:tc>
          <w:tcPr>
            <w:tcW w:w="1145" w:type="dxa"/>
            <w:tcBorders>
              <w:tl2br w:val="nil"/>
              <w:tr2bl w:val="nil"/>
            </w:tcBorders>
            <w:noWrap w:val="0"/>
            <w:vAlign w:val="center"/>
          </w:tcPr>
          <w:p w14:paraId="1CE8330A">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 </w:t>
            </w:r>
          </w:p>
        </w:tc>
        <w:tc>
          <w:tcPr>
            <w:tcW w:w="477" w:type="dxa"/>
            <w:tcBorders>
              <w:tl2br w:val="nil"/>
              <w:tr2bl w:val="nil"/>
            </w:tcBorders>
            <w:noWrap w:val="0"/>
            <w:vAlign w:val="top"/>
          </w:tcPr>
          <w:p w14:paraId="07338138">
            <w:pPr>
              <w:keepNext w:val="0"/>
              <w:keepLines w:val="0"/>
              <w:widowControl/>
              <w:suppressLineNumbers w:val="0"/>
              <w:jc w:val="center"/>
              <w:textAlignment w:val="center"/>
              <w:rPr>
                <w:rFonts w:hint="eastAsia"/>
              </w:rPr>
            </w:pPr>
          </w:p>
          <w:p w14:paraId="6FB03718">
            <w:pPr>
              <w:pStyle w:val="2"/>
              <w:rPr>
                <w:rFonts w:hint="eastAsia"/>
              </w:rPr>
            </w:pPr>
          </w:p>
          <w:p w14:paraId="358AAFD7">
            <w:pPr>
              <w:pStyle w:val="3"/>
              <w:tabs>
                <w:tab w:val="left" w:pos="208"/>
              </w:tabs>
              <w:rPr>
                <w:rFonts w:hint="eastAsia"/>
              </w:rPr>
            </w:pPr>
          </w:p>
          <w:p w14:paraId="3EC71218">
            <w:pPr>
              <w:pStyle w:val="4"/>
              <w:rPr>
                <w:rFonts w:hint="eastAsia"/>
              </w:rPr>
            </w:pPr>
          </w:p>
          <w:p w14:paraId="3A9BA355">
            <w:pPr>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68A9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2EA366C3">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934" w:type="dxa"/>
            <w:tcBorders>
              <w:tl2br w:val="nil"/>
              <w:tr2bl w:val="nil"/>
            </w:tcBorders>
            <w:noWrap w:val="0"/>
            <w:vAlign w:val="center"/>
          </w:tcPr>
          <w:p w14:paraId="420E7C6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侦测引导屏蔽终端</w:t>
            </w:r>
          </w:p>
        </w:tc>
        <w:tc>
          <w:tcPr>
            <w:tcW w:w="6898" w:type="dxa"/>
            <w:tcBorders>
              <w:tl2br w:val="nil"/>
              <w:tr2bl w:val="nil"/>
            </w:tcBorders>
            <w:noWrap w:val="0"/>
            <w:vAlign w:val="center"/>
          </w:tcPr>
          <w:p w14:paraId="52D83C8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1、支持阻断频率范围：50MHz-5850MHz；支持侦测引导阻断响应时间≤600ms；</w:t>
            </w:r>
          </w:p>
          <w:p w14:paraId="6D1724A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2、根据作弊信号特征调整阻断信号特征，点频阻断信号带宽满足：0.7倍作弊信号带宽≤阻断信号带宽≤5倍作弊信号带宽；</w:t>
            </w:r>
          </w:p>
          <w:p w14:paraId="11D7E0E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3、支持满足标准考场阻断效果，在6m×9m标准化考场空间内，信号强度≤-65dBm时，室内通透环境下，视周边基站远近，可有效屏蔽频率范围内全频段信号；</w:t>
            </w:r>
          </w:p>
          <w:p w14:paraId="6EFF10B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4、支持20路异常信号并发阻断，支持对移动、电信、联通的手机固定频段（2G、3G、4G、5G）和蓝牙、红外、WiFi（2.4G、5.2G、5.8G）信号的阻断，其中手机5G频段（2515-2675MHz、3300-3600MHz、4800-5000MHz）；</w:t>
            </w:r>
          </w:p>
          <w:p w14:paraId="6EFF61C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5、侦测引导阻断频率范围：阻断子模块可以跟侦测系统配套，针对无线隐形耳机、骨传导耳机、无线数字传输接收工具(作弊用橡皮擦、手表、格尺、看字笔、 眼镜探头等)非固定频段的任意数量的可疑信号采用引导阻断的方式，阻断频率范围30MHz~3000MHz；</w:t>
            </w:r>
          </w:p>
          <w:p w14:paraId="0965847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6、内置网络交换模块RJ45网络接口，具有≥3个RJ45网络接口，可以实现正常的交换功能，作为交换机使用；</w:t>
            </w:r>
          </w:p>
          <w:p w14:paraId="262C43C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7、支持接收远程开关指令，单独或整体通道开启/关闭；</w:t>
            </w:r>
          </w:p>
          <w:p w14:paraId="41A4E92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8、支持接收远程集中分组管理模式；支持根据平台设定的考试时间自动开启/关闭设备的通道；</w:t>
            </w:r>
          </w:p>
          <w:p w14:paraId="684A626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9、支持平台远程管理，对设备工作状态的查看和管理；</w:t>
            </w:r>
          </w:p>
          <w:p w14:paraId="27F2CD0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10、支持设备分组或独立配置手动或自动工作模式；</w:t>
            </w:r>
          </w:p>
          <w:p w14:paraId="107F9F3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11、支持黑白名单管理，通过设置避免对考场周边军用、警用、航空，医疗等特殊用途的通讯的干扰；</w:t>
            </w:r>
          </w:p>
          <w:p w14:paraId="2AF0559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12、支持用户根据考务工作需要设置考务通讯频点，不受干扰；</w:t>
            </w:r>
          </w:p>
          <w:p w14:paraId="2AC8AC5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13、支持独立控制各屏蔽通道，可以有选择的开启/关闭任意屏蔽通道；</w:t>
            </w:r>
          </w:p>
          <w:p w14:paraId="1C4075D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14、支持芯片温度传感监控功能，可远程监控设备的工作温度；</w:t>
            </w:r>
          </w:p>
          <w:p w14:paraId="0831849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15、支持运行过程中对每个屏蔽通道故障自动检测并实时反馈至管理平台；</w:t>
            </w:r>
          </w:p>
          <w:p w14:paraId="0A56A74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16支持将无线电阻断信号的情况（被阻断信号的频率、类型、内容等和阻断时间），实时上传至上级管理平台；</w:t>
            </w:r>
          </w:p>
          <w:p w14:paraId="6A58053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17、支持管理平台通过网络对设备固件进行远程批量升级；</w:t>
            </w:r>
          </w:p>
          <w:p w14:paraId="7865217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18、支持根据使用需要设置上电后阻断模块默认开启/关闭；</w:t>
            </w:r>
          </w:p>
          <w:p w14:paraId="3575E958">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19、具有状态指示灯，支持直观显示设备上电、网络连通情况；采用绝缘外壳,一体化内置定向天线阵列设计，支持壁挂等多种使用场景；绝缘外壳，无金属部件裸露，避免触电、烫伤等风险；</w:t>
            </w:r>
          </w:p>
          <w:p w14:paraId="11E5F46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20、支持向SIP服务器注册，支持接收SIP服务器的统一管理。</w:t>
            </w:r>
          </w:p>
          <w:p w14:paraId="22454F2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21、符合《电磁环境控制限值(GB8702-2014)》要求；提供采用无风扇设计。</w:t>
            </w:r>
          </w:p>
          <w:p w14:paraId="59310D31">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22、内置作弊防控屏蔽终端嵌入式软件自主可控；（提供有效的证明材料）</w:t>
            </w:r>
          </w:p>
          <w:p w14:paraId="68DDE18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23、提供电磁电容及设备的检查检验报告。</w:t>
            </w:r>
          </w:p>
          <w:p w14:paraId="7B31FBE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24、要求与校级作弊防控平台无缝对接，完全兼容统一；（提供平台兼容截图证明）</w:t>
            </w:r>
          </w:p>
          <w:p w14:paraId="4E32E27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25.★实现与国家教育考试作弊防控平台及国家教育考试综合管理平台的互联互通。</w:t>
            </w:r>
            <w:r>
              <w:rPr>
                <w:rFonts w:hint="eastAsia" w:ascii="宋体" w:hAnsi="宋体" w:eastAsia="宋体" w:cs="宋体"/>
                <w:b w:val="0"/>
                <w:i w:val="0"/>
                <w:color w:val="000000"/>
                <w:sz w:val="22"/>
                <w:szCs w:val="22"/>
                <w:lang w:val="en-US" w:eastAsia="zh-CN"/>
              </w:rPr>
              <w:t>(</w:t>
            </w:r>
            <w:r>
              <w:rPr>
                <w:rFonts w:hint="eastAsia" w:ascii="宋体" w:hAnsi="宋体" w:eastAsia="宋体" w:cs="宋体"/>
                <w:b w:val="0"/>
                <w:i w:val="0"/>
                <w:iCs w:val="0"/>
                <w:color w:val="000000"/>
                <w:kern w:val="0"/>
                <w:sz w:val="22"/>
                <w:szCs w:val="22"/>
                <w:u w:val="none"/>
                <w:lang w:val="en-US" w:eastAsia="zh-CN" w:bidi="ar"/>
              </w:rPr>
              <w:t>自开标后3日内进行平台测试，并出具上级互联互通报告，不响应视为无效投标)（投标人提供承诺函）</w:t>
            </w:r>
          </w:p>
        </w:tc>
        <w:tc>
          <w:tcPr>
            <w:tcW w:w="1145" w:type="dxa"/>
            <w:tcBorders>
              <w:tl2br w:val="nil"/>
              <w:tr2bl w:val="nil"/>
            </w:tcBorders>
            <w:noWrap w:val="0"/>
            <w:vAlign w:val="center"/>
          </w:tcPr>
          <w:p w14:paraId="4CFE0592">
            <w:pPr>
              <w:keepNext w:val="0"/>
              <w:keepLines w:val="0"/>
              <w:widowControl/>
              <w:suppressLineNumbers w:val="0"/>
              <w:spacing w:line="240" w:lineRule="auto"/>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w:t>
            </w:r>
          </w:p>
        </w:tc>
        <w:tc>
          <w:tcPr>
            <w:tcW w:w="477" w:type="dxa"/>
            <w:tcBorders>
              <w:tl2br w:val="nil"/>
              <w:tr2bl w:val="nil"/>
            </w:tcBorders>
            <w:noWrap w:val="0"/>
            <w:vAlign w:val="top"/>
          </w:tcPr>
          <w:p w14:paraId="06DD8372">
            <w:pPr>
              <w:keepNext w:val="0"/>
              <w:keepLines w:val="0"/>
              <w:widowControl/>
              <w:suppressLineNumbers w:val="0"/>
              <w:jc w:val="center"/>
              <w:textAlignment w:val="center"/>
              <w:rPr>
                <w:rFonts w:hint="eastAsia"/>
              </w:rPr>
            </w:pPr>
          </w:p>
          <w:p w14:paraId="79547EC4">
            <w:pPr>
              <w:pStyle w:val="2"/>
              <w:rPr>
                <w:rFonts w:hint="eastAsia"/>
              </w:rPr>
            </w:pPr>
          </w:p>
          <w:p w14:paraId="5C2B68FF">
            <w:pPr>
              <w:pStyle w:val="3"/>
              <w:tabs>
                <w:tab w:val="left" w:pos="208"/>
              </w:tabs>
              <w:rPr>
                <w:rFonts w:hint="eastAsia"/>
              </w:rPr>
            </w:pPr>
          </w:p>
          <w:p w14:paraId="7A9D325D">
            <w:pPr>
              <w:pStyle w:val="4"/>
              <w:rPr>
                <w:rFonts w:hint="eastAsia"/>
              </w:rPr>
            </w:pPr>
          </w:p>
          <w:p w14:paraId="60FD9CBA">
            <w:pPr>
              <w:rPr>
                <w:rFonts w:hint="eastAsia"/>
              </w:rPr>
            </w:pPr>
          </w:p>
          <w:p w14:paraId="42F00D3C">
            <w:pPr>
              <w:pStyle w:val="2"/>
              <w:rPr>
                <w:rFonts w:hint="eastAsia"/>
              </w:rPr>
            </w:pPr>
          </w:p>
          <w:p w14:paraId="2DED11D3">
            <w:pPr>
              <w:pStyle w:val="3"/>
              <w:tabs>
                <w:tab w:val="left" w:pos="208"/>
              </w:tabs>
              <w:rPr>
                <w:rFonts w:hint="eastAsia"/>
              </w:rPr>
            </w:pPr>
          </w:p>
          <w:p w14:paraId="6373B899">
            <w:pPr>
              <w:pStyle w:val="4"/>
              <w:rPr>
                <w:rFonts w:hint="eastAsia"/>
              </w:rPr>
            </w:pPr>
          </w:p>
          <w:p w14:paraId="34516BEA">
            <w:pPr>
              <w:rPr>
                <w:rFonts w:hint="eastAsia"/>
              </w:rPr>
            </w:pPr>
          </w:p>
          <w:p w14:paraId="6306FD74">
            <w:pPr>
              <w:pStyle w:val="2"/>
              <w:rPr>
                <w:rFonts w:hint="eastAsia"/>
              </w:rPr>
            </w:pPr>
          </w:p>
          <w:p w14:paraId="68924BF9">
            <w:pPr>
              <w:pStyle w:val="3"/>
              <w:tabs>
                <w:tab w:val="left" w:pos="208"/>
              </w:tabs>
              <w:rPr>
                <w:rFonts w:hint="eastAsia"/>
              </w:rPr>
            </w:pPr>
          </w:p>
          <w:p w14:paraId="6B55370E">
            <w:pPr>
              <w:pStyle w:val="4"/>
              <w:rPr>
                <w:rFonts w:hint="eastAsia"/>
              </w:rPr>
            </w:pPr>
          </w:p>
          <w:p w14:paraId="2A805FB9">
            <w:pPr>
              <w:rPr>
                <w:rFonts w:hint="eastAsia"/>
              </w:rPr>
            </w:pPr>
          </w:p>
          <w:p w14:paraId="6CAB165F">
            <w:pPr>
              <w:pStyle w:val="2"/>
              <w:rPr>
                <w:rFonts w:hint="eastAsia"/>
              </w:rPr>
            </w:pPr>
          </w:p>
          <w:p w14:paraId="220DC6F3">
            <w:pPr>
              <w:pStyle w:val="3"/>
              <w:tabs>
                <w:tab w:val="left" w:pos="208"/>
              </w:tabs>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628E0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8" w:hRule="atLeast"/>
        </w:trPr>
        <w:tc>
          <w:tcPr>
            <w:tcW w:w="657" w:type="dxa"/>
            <w:tcBorders>
              <w:tl2br w:val="nil"/>
              <w:tr2bl w:val="nil"/>
            </w:tcBorders>
            <w:noWrap w:val="0"/>
            <w:vAlign w:val="center"/>
          </w:tcPr>
          <w:p w14:paraId="7264C42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934" w:type="dxa"/>
            <w:tcBorders>
              <w:tl2br w:val="nil"/>
              <w:tr2bl w:val="nil"/>
            </w:tcBorders>
            <w:noWrap w:val="0"/>
            <w:vAlign w:val="center"/>
          </w:tcPr>
          <w:p w14:paraId="4BE381B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智能型手机探测门</w:t>
            </w:r>
          </w:p>
        </w:tc>
        <w:tc>
          <w:tcPr>
            <w:tcW w:w="6898" w:type="dxa"/>
            <w:tcBorders>
              <w:tl2br w:val="nil"/>
              <w:tr2bl w:val="nil"/>
            </w:tcBorders>
            <w:noWrap w:val="0"/>
            <w:vAlign w:val="center"/>
          </w:tcPr>
          <w:p w14:paraId="5C25672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1、安检门配备巡查摄像机，能够检测手机及智能设备，能排除人员正常着装上的金属纽扣、金属拉链、腰带、眼镜、磁性皮带扣、打火机、钥匙、硬币、磁铁、内衣等物品的干扰，对此类贴身日常物品不报警；</w:t>
            </w:r>
          </w:p>
          <w:p w14:paraId="06817CD7">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2、安检门自带前后显示屏，显示屏尺寸≥28英寸；安检门具有CPU处理器，采用Android系统；</w:t>
            </w:r>
          </w:p>
          <w:p w14:paraId="5075ECA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3、安检门具有参数设置进行存储的能力，断电数据不丢失，可存储并查询报警信息，存储数据不少于 20000条；</w:t>
            </w:r>
          </w:p>
          <w:p w14:paraId="593D95E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4、安检门支持通过网络进行集中控制，具备远程参数调整、远程诊断以及报警相关数据存储的功能，</w:t>
            </w:r>
          </w:p>
          <w:p w14:paraId="6357340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5、安检门要求能实现本地化维护与设置，现场使用人员可通过授权进行参数的设置和调试；</w:t>
            </w:r>
          </w:p>
          <w:p w14:paraId="5445E1C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6、安检门应具有较高检测效率和较低误报率，被检人员携带手机（开机、关机、待机、移除SIM卡、移除电池、用铝箔包裹状态下），藏匿于帽子内、后腰部、大腿内侧、小腿内侧、脚踝内侧,通过安检门时，应能声光报警，手机检出率应不小于98%，应能够在屏幕显示物品大致所在位置，人员携机械手表、首饰、金属纽扣、钥匙、腰带、文具袋、钢尺、圆规等日常金属用品不报警，误报率应不大于5%；</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1844799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7、设备报警声音调及音量应可调节；能区别两台相邻金属门的报警；设备可根据被检测违禁物品的金属磁感应量的不同发出不同的音量和音调，设置最大声强时，音量应大于等于100dB；</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4DABA4A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8、为保证考试期间多台设备工作稳定性，当多台设备按照间距15cm并排安置时，均能独立正常工作，且相互不干扰；</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1E050F20">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9、设备应具备信息发布功能，设备显示屏应能够接收远程客户端发布的信息内容，内容包括但不限于图片，音频、视频、滚动字幕、实时监控画面。</w:t>
            </w:r>
          </w:p>
          <w:p w14:paraId="0411099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10、当应报警物品进入探测区1s内，智能安检门应发出报警指示，此测试物离开探测区后报警指示延续应小于等于1s。</w:t>
            </w:r>
          </w:p>
          <w:p w14:paraId="5D4D0EA3">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11、为保证考试期间通行效率，设备应能够快速启动，从上电到可检测手机并发出声光报警时间应不超过5秒。</w:t>
            </w:r>
          </w:p>
          <w:p w14:paraId="169F627E">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12、安检门智能安检门的电磁感应强度和大小应符合国家安全标准《通过式金属探测门通用技术规范》（GB 15210-2018）。</w:t>
            </w:r>
            <w:r>
              <w:rPr>
                <w:rFonts w:hint="eastAsia" w:ascii="宋体" w:hAnsi="宋体" w:eastAsia="宋体" w:cs="宋体"/>
                <w:b w:val="0"/>
                <w:i w:val="0"/>
                <w:color w:val="auto"/>
                <w:sz w:val="22"/>
                <w:szCs w:val="22"/>
              </w:rPr>
              <w:t>（</w:t>
            </w:r>
            <w:r>
              <w:rPr>
                <w:rFonts w:hint="eastAsia" w:ascii="宋体" w:hAnsi="宋体" w:eastAsia="宋体" w:cs="宋体"/>
                <w:b w:val="0"/>
                <w:i w:val="0"/>
                <w:color w:val="auto"/>
                <w:kern w:val="0"/>
                <w:sz w:val="22"/>
                <w:szCs w:val="22"/>
                <w:lang w:bidi="ar"/>
              </w:rPr>
              <w:t>提供国家认可的第三方检测机构出具的带有CMA标识检测报告</w:t>
            </w:r>
            <w:r>
              <w:rPr>
                <w:rFonts w:hint="eastAsia" w:ascii="宋体" w:hAnsi="宋体" w:eastAsia="宋体" w:cs="宋体"/>
                <w:b w:val="0"/>
                <w:i w:val="0"/>
                <w:color w:val="auto"/>
                <w:sz w:val="22"/>
                <w:szCs w:val="22"/>
              </w:rPr>
              <w:t>）</w:t>
            </w:r>
          </w:p>
          <w:p w14:paraId="76AA957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13、安检门集成一体化巡查摄像机和摄像机拾音功能设计，支持支持人脸抓拍，人脸识别，可对接已有的网上巡查系统存储设备,实现考生过检的录像存储,并通过巡查系统将视频流实时上传到各级网上巡查平台。符合《国家教育考试网上巡查系统视频标准技术规范（2017 版）》的要求。</w:t>
            </w:r>
          </w:p>
          <w:p w14:paraId="1016DACB">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 xml:space="preserve">14、安检门联网后，通过人数，异常报警人数，异常报警物品类型及部位数据，考生人脸抓拍数据，考生人脸识别验证结果等上传上报至自治区国家教育考试综合管理平台，对入场数据进行统计展示和分析。                                                                                           </w:t>
            </w:r>
          </w:p>
          <w:p w14:paraId="2A92B749">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15.屏幕显示：可在安检门液晶屏显示显示屏应可显示报警物品的种类、区位、报警抓拍照片、体温筛查结果、报警时间等信息</w:t>
            </w:r>
          </w:p>
          <w:p w14:paraId="4B47B6D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16.通讯接口检查：安检门应具有串口、USB口以及网线接口，应可与其它电子设备进行数据交换和管理。</w:t>
            </w:r>
          </w:p>
        </w:tc>
        <w:tc>
          <w:tcPr>
            <w:tcW w:w="1145" w:type="dxa"/>
            <w:tcBorders>
              <w:tl2br w:val="nil"/>
              <w:tr2bl w:val="nil"/>
            </w:tcBorders>
            <w:noWrap w:val="0"/>
            <w:vAlign w:val="center"/>
          </w:tcPr>
          <w:p w14:paraId="32939810">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477" w:type="dxa"/>
            <w:tcBorders>
              <w:tl2br w:val="nil"/>
              <w:tr2bl w:val="nil"/>
            </w:tcBorders>
            <w:noWrap w:val="0"/>
            <w:vAlign w:val="top"/>
          </w:tcPr>
          <w:p w14:paraId="1AD207CD">
            <w:pPr>
              <w:keepNext w:val="0"/>
              <w:keepLines w:val="0"/>
              <w:widowControl/>
              <w:suppressLineNumbers w:val="0"/>
              <w:jc w:val="center"/>
              <w:textAlignment w:val="center"/>
              <w:rPr>
                <w:rFonts w:hint="eastAsia"/>
              </w:rPr>
            </w:pPr>
          </w:p>
          <w:p w14:paraId="757E4358">
            <w:pPr>
              <w:pStyle w:val="2"/>
              <w:rPr>
                <w:rFonts w:hint="eastAsia"/>
              </w:rPr>
            </w:pPr>
          </w:p>
          <w:p w14:paraId="2BDD75BB">
            <w:pPr>
              <w:pStyle w:val="3"/>
              <w:tabs>
                <w:tab w:val="left" w:pos="208"/>
              </w:tabs>
              <w:rPr>
                <w:rFonts w:hint="eastAsia"/>
              </w:rPr>
            </w:pPr>
          </w:p>
          <w:p w14:paraId="69459BB2">
            <w:pPr>
              <w:pStyle w:val="4"/>
              <w:rPr>
                <w:rFonts w:hint="eastAsia"/>
              </w:rPr>
            </w:pPr>
          </w:p>
          <w:p w14:paraId="60051B99">
            <w:pPr>
              <w:rPr>
                <w:rFonts w:hint="eastAsia"/>
              </w:rPr>
            </w:pPr>
          </w:p>
          <w:p w14:paraId="4177B1BE">
            <w:pPr>
              <w:pStyle w:val="2"/>
              <w:rPr>
                <w:rFonts w:hint="eastAsia"/>
              </w:rPr>
            </w:pPr>
          </w:p>
          <w:p w14:paraId="0C56CEE9">
            <w:pPr>
              <w:pStyle w:val="3"/>
              <w:tabs>
                <w:tab w:val="left" w:pos="208"/>
              </w:tabs>
              <w:rPr>
                <w:rFonts w:hint="eastAsia"/>
              </w:rPr>
            </w:pPr>
          </w:p>
          <w:p w14:paraId="2F9B3C1A">
            <w:pPr>
              <w:pStyle w:val="4"/>
              <w:rPr>
                <w:rFonts w:hint="eastAsia"/>
              </w:rPr>
            </w:pPr>
          </w:p>
          <w:p w14:paraId="167EDBA0">
            <w:pPr>
              <w:rPr>
                <w:rFonts w:hint="eastAsia"/>
              </w:rPr>
            </w:pPr>
          </w:p>
          <w:p w14:paraId="24900C5D">
            <w:pPr>
              <w:pStyle w:val="2"/>
              <w:rPr>
                <w:rFonts w:hint="eastAsia"/>
              </w:rPr>
            </w:pPr>
          </w:p>
          <w:p w14:paraId="7765AE43">
            <w:pPr>
              <w:pStyle w:val="3"/>
              <w:tabs>
                <w:tab w:val="left" w:pos="208"/>
              </w:tabs>
              <w:rPr>
                <w:rFonts w:hint="eastAsia"/>
              </w:rPr>
            </w:pPr>
          </w:p>
          <w:p w14:paraId="0D5FE5A2">
            <w:pPr>
              <w:pStyle w:val="4"/>
              <w:rPr>
                <w:rFonts w:hint="eastAsia"/>
              </w:rPr>
            </w:pPr>
          </w:p>
          <w:p w14:paraId="6338DEE6">
            <w:pPr>
              <w:rPr>
                <w:rFonts w:hint="eastAsia"/>
              </w:rPr>
            </w:pPr>
          </w:p>
          <w:p w14:paraId="2D55F7E6">
            <w:pPr>
              <w:pStyle w:val="2"/>
              <w:rPr>
                <w:rFonts w:hint="eastAsia"/>
              </w:rPr>
            </w:pPr>
          </w:p>
          <w:p w14:paraId="45EA2470">
            <w:pPr>
              <w:pStyle w:val="3"/>
              <w:tabs>
                <w:tab w:val="left" w:pos="208"/>
              </w:tabs>
              <w:rPr>
                <w:rFonts w:hint="eastAsia"/>
              </w:rPr>
            </w:pPr>
          </w:p>
          <w:p w14:paraId="2D5E7B8F">
            <w:pPr>
              <w:pStyle w:val="4"/>
              <w:ind w:left="0" w:leftChars="0" w:firstLine="0" w:firstLineChars="0"/>
              <w:rPr>
                <w:rFonts w:hint="eastAsia"/>
              </w:rPr>
            </w:pPr>
            <w:r>
              <w:rPr>
                <w:rFonts w:hint="eastAsia" w:ascii="宋体" w:hAnsi="宋体" w:eastAsia="宋体" w:cs="宋体"/>
                <w:i w:val="0"/>
                <w:iCs w:val="0"/>
                <w:color w:val="000000"/>
                <w:kern w:val="0"/>
                <w:sz w:val="24"/>
                <w:szCs w:val="24"/>
                <w:u w:val="none"/>
                <w:lang w:val="en-US" w:eastAsia="zh-CN" w:bidi="ar"/>
              </w:rPr>
              <w:t>台</w:t>
            </w:r>
          </w:p>
          <w:p w14:paraId="55D37170">
            <w:pPr>
              <w:rPr>
                <w:rFonts w:hint="eastAsia"/>
              </w:rPr>
            </w:pPr>
          </w:p>
          <w:p w14:paraId="33EFAA5B">
            <w:pPr>
              <w:pStyle w:val="2"/>
              <w:rPr>
                <w:rFonts w:hint="eastAsia"/>
              </w:rPr>
            </w:pPr>
          </w:p>
          <w:p w14:paraId="1A49F2B1">
            <w:pPr>
              <w:pStyle w:val="3"/>
              <w:tabs>
                <w:tab w:val="left" w:pos="208"/>
              </w:tabs>
              <w:rPr>
                <w:rFonts w:hint="eastAsia"/>
              </w:rPr>
            </w:pPr>
          </w:p>
          <w:p w14:paraId="6BDF7840">
            <w:pPr>
              <w:pStyle w:val="4"/>
              <w:rPr>
                <w:rFonts w:hint="eastAsia"/>
              </w:rPr>
            </w:pPr>
          </w:p>
          <w:p w14:paraId="0723065B">
            <w:pPr>
              <w:rPr>
                <w:rFonts w:hint="eastAsia"/>
              </w:rPr>
            </w:pPr>
          </w:p>
        </w:tc>
      </w:tr>
      <w:tr w14:paraId="483C4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trPr>
        <w:tc>
          <w:tcPr>
            <w:tcW w:w="657" w:type="dxa"/>
            <w:tcBorders>
              <w:tl2br w:val="nil"/>
              <w:tr2bl w:val="nil"/>
            </w:tcBorders>
            <w:noWrap w:val="0"/>
            <w:vAlign w:val="center"/>
          </w:tcPr>
          <w:p w14:paraId="6D21B45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934" w:type="dxa"/>
            <w:tcBorders>
              <w:tl2br w:val="nil"/>
              <w:tr2bl w:val="nil"/>
            </w:tcBorders>
            <w:noWrap w:val="0"/>
            <w:vAlign w:val="center"/>
          </w:tcPr>
          <w:p w14:paraId="0D8FCFE2">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机柜</w:t>
            </w:r>
          </w:p>
        </w:tc>
        <w:tc>
          <w:tcPr>
            <w:tcW w:w="6898" w:type="dxa"/>
            <w:tcBorders>
              <w:tl2br w:val="nil"/>
              <w:tr2bl w:val="nil"/>
            </w:tcBorders>
            <w:noWrap w:val="0"/>
            <w:vAlign w:val="center"/>
          </w:tcPr>
          <w:p w14:paraId="722A3A3D">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根据现场情况定制（壁挂或落地）</w:t>
            </w:r>
          </w:p>
        </w:tc>
        <w:tc>
          <w:tcPr>
            <w:tcW w:w="1145" w:type="dxa"/>
            <w:tcBorders>
              <w:tl2br w:val="nil"/>
              <w:tr2bl w:val="nil"/>
            </w:tcBorders>
            <w:noWrap w:val="0"/>
            <w:vAlign w:val="center"/>
          </w:tcPr>
          <w:p w14:paraId="5A1CFD61">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477" w:type="dxa"/>
            <w:tcBorders>
              <w:tl2br w:val="nil"/>
              <w:tr2bl w:val="nil"/>
            </w:tcBorders>
            <w:noWrap w:val="0"/>
            <w:vAlign w:val="top"/>
          </w:tcPr>
          <w:p w14:paraId="1362C4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4"/>
                <w:szCs w:val="24"/>
                <w:u w:val="none"/>
                <w:lang w:val="en-US" w:eastAsia="zh-CN" w:bidi="ar"/>
              </w:rPr>
              <w:t>台</w:t>
            </w:r>
          </w:p>
        </w:tc>
      </w:tr>
      <w:tr w14:paraId="42224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657" w:type="dxa"/>
            <w:tcBorders>
              <w:tl2br w:val="nil"/>
              <w:tr2bl w:val="nil"/>
            </w:tcBorders>
            <w:noWrap w:val="0"/>
            <w:vAlign w:val="center"/>
          </w:tcPr>
          <w:p w14:paraId="26EC827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934" w:type="dxa"/>
            <w:tcBorders>
              <w:tl2br w:val="nil"/>
              <w:tr2bl w:val="nil"/>
            </w:tcBorders>
            <w:noWrap w:val="0"/>
            <w:vAlign w:val="center"/>
          </w:tcPr>
          <w:p w14:paraId="2CDF7F35">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机柜</w:t>
            </w:r>
          </w:p>
        </w:tc>
        <w:tc>
          <w:tcPr>
            <w:tcW w:w="6898" w:type="dxa"/>
            <w:tcBorders>
              <w:tl2br w:val="nil"/>
              <w:tr2bl w:val="nil"/>
            </w:tcBorders>
            <w:noWrap w:val="0"/>
            <w:vAlign w:val="center"/>
          </w:tcPr>
          <w:p w14:paraId="3AC2D506">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42U，600mm*800mm*2000mm</w:t>
            </w:r>
          </w:p>
        </w:tc>
        <w:tc>
          <w:tcPr>
            <w:tcW w:w="1145" w:type="dxa"/>
            <w:tcBorders>
              <w:tl2br w:val="nil"/>
              <w:tr2bl w:val="nil"/>
            </w:tcBorders>
            <w:noWrap w:val="0"/>
            <w:vAlign w:val="center"/>
          </w:tcPr>
          <w:p w14:paraId="008EB26C">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477" w:type="dxa"/>
            <w:tcBorders>
              <w:tl2br w:val="nil"/>
              <w:tr2bl w:val="nil"/>
            </w:tcBorders>
            <w:noWrap w:val="0"/>
            <w:vAlign w:val="center"/>
          </w:tcPr>
          <w:p w14:paraId="48C612F6">
            <w:pPr>
              <w:keepNext w:val="0"/>
              <w:keepLines w:val="0"/>
              <w:widowControl/>
              <w:suppressLineNumbers w:val="0"/>
              <w:jc w:val="both"/>
              <w:textAlignment w:val="center"/>
              <w:rPr>
                <w:rFonts w:hint="eastAsia"/>
              </w:rPr>
            </w:pPr>
            <w:r>
              <w:rPr>
                <w:rFonts w:hint="eastAsia" w:ascii="宋体" w:hAnsi="宋体" w:eastAsia="宋体" w:cs="宋体"/>
                <w:i w:val="0"/>
                <w:iCs w:val="0"/>
                <w:color w:val="000000"/>
                <w:kern w:val="0"/>
                <w:sz w:val="24"/>
                <w:szCs w:val="24"/>
                <w:u w:val="none"/>
                <w:lang w:val="en-US" w:eastAsia="zh-CN" w:bidi="ar"/>
              </w:rPr>
              <w:t>台</w:t>
            </w:r>
          </w:p>
        </w:tc>
      </w:tr>
      <w:tr w14:paraId="15DBC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53" w:hRule="atLeast"/>
        </w:trPr>
        <w:tc>
          <w:tcPr>
            <w:tcW w:w="657" w:type="dxa"/>
            <w:tcBorders>
              <w:tl2br w:val="nil"/>
              <w:tr2bl w:val="nil"/>
            </w:tcBorders>
            <w:noWrap w:val="0"/>
            <w:vAlign w:val="center"/>
          </w:tcPr>
          <w:p w14:paraId="58F6849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934" w:type="dxa"/>
            <w:tcBorders>
              <w:tl2br w:val="nil"/>
              <w:tr2bl w:val="nil"/>
            </w:tcBorders>
            <w:noWrap w:val="0"/>
            <w:vAlign w:val="center"/>
          </w:tcPr>
          <w:p w14:paraId="4B425244">
            <w:pPr>
              <w:keepNext w:val="0"/>
              <w:keepLines w:val="0"/>
              <w:widowControl/>
              <w:suppressLineNumbers w:val="0"/>
              <w:spacing w:line="240" w:lineRule="auto"/>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仿宋" w:hAnsi="仿宋" w:eastAsia="仿宋" w:cs="仿宋"/>
                <w:i w:val="0"/>
                <w:iCs w:val="0"/>
                <w:color w:val="000000"/>
                <w:kern w:val="0"/>
                <w:sz w:val="22"/>
                <w:szCs w:val="22"/>
                <w:u w:val="none"/>
                <w:lang w:val="en-US" w:eastAsia="zh-CN" w:bidi="ar"/>
              </w:rPr>
              <w:t>线材线缆安装集成调试</w:t>
            </w:r>
          </w:p>
        </w:tc>
        <w:tc>
          <w:tcPr>
            <w:tcW w:w="6898" w:type="dxa"/>
            <w:tcBorders>
              <w:tl2br w:val="nil"/>
              <w:tr2bl w:val="nil"/>
            </w:tcBorders>
            <w:noWrap w:val="0"/>
            <w:vAlign w:val="center"/>
          </w:tcPr>
          <w:p w14:paraId="6AF54EAC">
            <w:pPr>
              <w:keepNext w:val="0"/>
              <w:keepLines w:val="0"/>
              <w:widowControl/>
              <w:suppressLineNumbers w:val="0"/>
              <w:ind w:firstLine="44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i w:val="0"/>
                <w:iCs w:val="0"/>
                <w:color w:val="000000"/>
                <w:kern w:val="0"/>
                <w:sz w:val="22"/>
                <w:szCs w:val="22"/>
                <w:u w:val="none"/>
                <w:lang w:val="en-US" w:eastAsia="zh-CN" w:bidi="ar"/>
              </w:rPr>
              <w:t>含系统安装调试、运输、培训、互联互通等，国标电源线、六类网线、线槽、插排、配电箱、光纤、HDMI等以及辅材辅料均满足国产国标。</w:t>
            </w:r>
          </w:p>
        </w:tc>
        <w:tc>
          <w:tcPr>
            <w:tcW w:w="1145" w:type="dxa"/>
            <w:tcBorders>
              <w:tl2br w:val="nil"/>
              <w:tr2bl w:val="nil"/>
            </w:tcBorders>
            <w:noWrap w:val="0"/>
            <w:vAlign w:val="center"/>
          </w:tcPr>
          <w:p w14:paraId="620E9F0F">
            <w:pPr>
              <w:pStyle w:val="2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1</w:t>
            </w:r>
          </w:p>
        </w:tc>
        <w:tc>
          <w:tcPr>
            <w:tcW w:w="477" w:type="dxa"/>
            <w:tcBorders>
              <w:tl2br w:val="nil"/>
              <w:tr2bl w:val="nil"/>
            </w:tcBorders>
            <w:noWrap w:val="0"/>
            <w:vAlign w:val="top"/>
          </w:tcPr>
          <w:p w14:paraId="46CDFDB9">
            <w:pPr>
              <w:pStyle w:val="2"/>
              <w:rPr>
                <w:rFonts w:hint="eastAsia"/>
              </w:rPr>
            </w:pPr>
            <w:r>
              <w:rPr>
                <w:rFonts w:hint="eastAsia" w:ascii="宋体" w:hAnsi="宋体" w:eastAsia="宋体" w:cs="宋体"/>
                <w:sz w:val="24"/>
                <w:szCs w:val="24"/>
                <w:lang w:val="en-US" w:eastAsia="zh-CN"/>
              </w:rPr>
              <w:t>项</w:t>
            </w:r>
          </w:p>
          <w:p w14:paraId="1F0D9A22">
            <w:pPr>
              <w:pStyle w:val="3"/>
              <w:tabs>
                <w:tab w:val="left" w:pos="208"/>
              </w:tabs>
              <w:rPr>
                <w:rFonts w:hint="eastAsia"/>
              </w:rPr>
            </w:pPr>
          </w:p>
        </w:tc>
      </w:tr>
    </w:tbl>
    <w:p w14:paraId="70B0A021">
      <w:pPr>
        <w:pStyle w:val="29"/>
        <w:keepNext w:val="0"/>
        <w:keepLines w:val="0"/>
        <w:pageBreakBefore w:val="0"/>
        <w:widowControl/>
        <w:numPr>
          <w:ilvl w:val="0"/>
          <w:numId w:val="3"/>
        </w:numPr>
        <w:kinsoku/>
        <w:wordWrap/>
        <w:overflowPunct/>
        <w:topLinePunct w:val="0"/>
        <w:autoSpaceDE/>
        <w:autoSpaceDN/>
        <w:bidi w:val="0"/>
        <w:adjustRightInd/>
        <w:spacing w:line="240" w:lineRule="auto"/>
        <w:ind w:firstLine="0" w:firstLineChars="0"/>
      </w:pPr>
      <w:r>
        <w:rPr>
          <w:rFonts w:hint="eastAsia" w:ascii="仿宋_GB2312" w:hAnsi="仿宋_GB2312" w:eastAsia="仿宋_GB2312" w:cs="仿宋_GB2312"/>
          <w:b/>
          <w:bCs/>
          <w:kern w:val="2"/>
          <w:sz w:val="28"/>
          <w:szCs w:val="28"/>
          <w:lang w:val="en-US" w:eastAsia="zh-CN" w:bidi="ar-SA"/>
        </w:rPr>
        <w:t>详细招标内容（详细参数）：</w:t>
      </w:r>
    </w:p>
    <w:p w14:paraId="7D26F2B0">
      <w:pPr>
        <w:pStyle w:val="27"/>
        <w:widowControl/>
        <w:numPr>
          <w:ilvl w:val="0"/>
          <w:numId w:val="0"/>
        </w:numPr>
        <w:jc w:val="left"/>
        <w:rPr>
          <w:rFonts w:hint="default" w:ascii="仿宋_GB2312" w:hAnsi="仿宋_GB2312" w:eastAsia="仿宋_GB2312" w:cs="仿宋_GB2312"/>
          <w:b/>
          <w:color w:val="auto"/>
          <w:sz w:val="28"/>
          <w:szCs w:val="28"/>
          <w:lang w:val="en-US" w:eastAsia="zh-CN"/>
        </w:rPr>
      </w:pPr>
      <w:r>
        <w:rPr>
          <w:rFonts w:hint="eastAsia" w:ascii="仿宋_GB2312" w:hAnsi="仿宋_GB2312" w:eastAsia="仿宋_GB2312" w:cs="仿宋_GB2312"/>
          <w:b/>
          <w:color w:val="auto"/>
          <w:sz w:val="28"/>
          <w:szCs w:val="28"/>
          <w:lang w:val="en-US" w:eastAsia="zh-CN"/>
        </w:rPr>
        <w:t>克拉玛依市第五中学标准化考场智能巡考系统建设项目</w:t>
      </w:r>
    </w:p>
    <w:p w14:paraId="4819DAD4">
      <w:pPr>
        <w:spacing w:before="120" w:after="120" w:line="288" w:lineRule="auto"/>
        <w:ind w:left="0" w:firstLine="420" w:firstLineChars="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备注：</w:t>
      </w:r>
    </w:p>
    <w:p w14:paraId="68408D53">
      <w:pPr>
        <w:pStyle w:val="29"/>
        <w:numPr>
          <w:ilvl w:val="0"/>
          <w:numId w:val="0"/>
        </w:numPr>
        <w:bidi w:val="0"/>
        <w:ind w:leftChars="0" w:firstLine="422" w:firstLineChars="200"/>
        <w:rPr>
          <w:rFonts w:hint="eastAsia" w:ascii="Times New Roman" w:hAnsi="Times New Roman" w:eastAsia="仿宋_GB2312" w:cs="Times New Roman"/>
          <w:color w:val="000000"/>
          <w:kern w:val="2"/>
          <w:sz w:val="24"/>
          <w:szCs w:val="24"/>
          <w:lang w:val="en-US" w:eastAsia="zh-CN" w:bidi="ar-SA"/>
        </w:rPr>
      </w:pPr>
      <w:r>
        <w:rPr>
          <w:rFonts w:hint="eastAsia" w:ascii="宋体" w:hAnsi="宋体" w:eastAsia="宋体" w:cs="宋体"/>
          <w:sz w:val="21"/>
          <w:szCs w:val="21"/>
          <w:lang w:val="en-US" w:eastAsia="zh-CN"/>
        </w:rPr>
        <w:t>说明：1、</w:t>
      </w:r>
      <w:r>
        <w:rPr>
          <w:rFonts w:hint="eastAsia" w:ascii="仿宋_GB2312" w:hAnsi="仿宋_GB2312" w:eastAsia="仿宋_GB2312" w:cs="仿宋_GB2312"/>
          <w:color w:val="auto"/>
          <w:sz w:val="24"/>
          <w:szCs w:val="28"/>
          <w:highlight w:val="none"/>
          <w:lang w:val="en-US" w:eastAsia="zh-CN"/>
        </w:rPr>
        <w:t>以上清单中含标“</w:t>
      </w:r>
      <w:r>
        <w:rPr>
          <w:rFonts w:hint="eastAsia" w:ascii="宋体" w:hAnsi="宋体" w:eastAsia="宋体" w:cs="宋体"/>
          <w:b w:val="0"/>
          <w:i w:val="0"/>
          <w:iCs w:val="0"/>
          <w:color w:val="000000"/>
          <w:kern w:val="0"/>
          <w:sz w:val="22"/>
          <w:szCs w:val="22"/>
          <w:u w:val="none"/>
          <w:lang w:val="en-US" w:eastAsia="zh-CN" w:bidi="ar"/>
        </w:rPr>
        <w:t>★”</w:t>
      </w:r>
      <w:r>
        <w:rPr>
          <w:rFonts w:hint="eastAsia" w:ascii="仿宋_GB2312" w:hAnsi="仿宋_GB2312" w:eastAsia="仿宋_GB2312" w:cs="仿宋_GB2312"/>
          <w:color w:val="auto"/>
          <w:sz w:val="24"/>
          <w:szCs w:val="28"/>
          <w:highlight w:val="none"/>
          <w:lang w:val="en-US" w:eastAsia="zh-CN"/>
        </w:rPr>
        <w:t>为主要参数要求</w:t>
      </w:r>
      <w:r>
        <w:rPr>
          <w:rFonts w:hint="eastAsia" w:ascii="宋体" w:hAnsi="宋体" w:eastAsia="宋体" w:cs="宋体"/>
          <w:b w:val="0"/>
          <w:i w:val="0"/>
          <w:iCs w:val="0"/>
          <w:color w:val="000000"/>
          <w:kern w:val="0"/>
          <w:sz w:val="22"/>
          <w:szCs w:val="22"/>
          <w:u w:val="none"/>
          <w:lang w:val="en-US" w:eastAsia="zh-CN" w:bidi="ar"/>
        </w:rPr>
        <w:t>；（第5项中第16小项、第6项中第12小项、第7项中第17小项、第8项中第156小项、第10项中第42小项、第11项中第2小项、第12项中第17小项、第19项中第10小项、第25项中第31小项、第27项中第15小项、第28项中第22小项、第29项中第25小项）</w:t>
      </w:r>
      <w:r>
        <w:rPr>
          <w:rFonts w:hint="eastAsia" w:ascii="Times New Roman" w:hAnsi="Times New Roman" w:eastAsia="仿宋_GB2312" w:cs="Times New Roman"/>
          <w:b/>
          <w:bCs/>
          <w:color w:val="000000"/>
          <w:kern w:val="2"/>
          <w:sz w:val="24"/>
          <w:szCs w:val="24"/>
          <w:lang w:val="en-US" w:eastAsia="zh-CN" w:bidi="ar-SA"/>
        </w:rPr>
        <w:t>投标人需按招标人要求在合同签订3日内完成与市级及自治区级互联互通流畅测试，充分保证标准化考点系统的整体性和互联互通顺畅，确保国家教育考试各级各类考试顺利进行</w:t>
      </w:r>
      <w:r>
        <w:rPr>
          <w:rFonts w:hint="eastAsia" w:eastAsia="仿宋_GB2312" w:cs="Times New Roman"/>
          <w:b/>
          <w:bCs/>
          <w:color w:val="000000"/>
          <w:kern w:val="2"/>
          <w:sz w:val="24"/>
          <w:szCs w:val="24"/>
          <w:lang w:val="en-US" w:eastAsia="zh-CN" w:bidi="ar-SA"/>
        </w:rPr>
        <w:t>。</w:t>
      </w:r>
    </w:p>
    <w:p w14:paraId="64320942">
      <w:pPr>
        <w:spacing w:before="120" w:after="120" w:line="288" w:lineRule="auto"/>
        <w:ind w:left="0" w:firstLine="42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本项目为交钥匙工程，招标人不另支付任何额外费用；投标人自行考虑设备运输，技术施工，系统安装调试、运输、培训、互联互通等相关费用，并提供本项目所需的国标电源线、六类网线、线槽、插排、配电箱、光纤、音响线、HDMI等以及辅材辅料。</w:t>
      </w:r>
    </w:p>
    <w:p w14:paraId="6D25C3F1">
      <w:pPr>
        <w:spacing w:before="120" w:after="120" w:line="288" w:lineRule="auto"/>
        <w:ind w:left="0" w:firstLine="420" w:firstLineChars="0"/>
        <w:jc w:val="left"/>
        <w:rPr>
          <w:rFonts w:hint="eastAsia" w:ascii="仿宋_GB2312" w:hAnsi="仿宋_GB2312" w:eastAsia="仿宋_GB2312" w:cs="仿宋_GB2312"/>
          <w:b/>
          <w:bCs w:val="0"/>
          <w:color w:val="auto"/>
          <w:sz w:val="28"/>
          <w:szCs w:val="28"/>
          <w:highlight w:val="none"/>
          <w:lang w:val="en-US" w:eastAsia="zh-CN"/>
        </w:rPr>
      </w:pPr>
      <w:r>
        <w:rPr>
          <w:rFonts w:hint="eastAsia" w:ascii="宋体" w:hAnsi="宋体" w:eastAsia="宋体" w:cs="宋体"/>
          <w:sz w:val="21"/>
          <w:szCs w:val="21"/>
          <w:highlight w:val="none"/>
          <w:lang w:val="en-US" w:eastAsia="zh-CN"/>
        </w:rPr>
        <w:t>3.所有施工均不得影响使用方正常的教育教学秩序，施工时间只能在假期或者课外、夜间施工，施工人员必须按照招标人现有制度和规定做相关工作及施工计划，若违反招标人规章制度而影响工期的责任全部由中标方承担。</w:t>
      </w:r>
    </w:p>
    <w:p w14:paraId="5BDA1183">
      <w:pPr>
        <w:pStyle w:val="24"/>
        <w:keepNext w:val="0"/>
        <w:keepLines w:val="0"/>
        <w:pageBreakBefore w:val="0"/>
        <w:widowControl w:val="0"/>
        <w:kinsoku/>
        <w:wordWrap/>
        <w:overflowPunct/>
        <w:topLinePunct w:val="0"/>
        <w:autoSpaceDE/>
        <w:autoSpaceDN/>
        <w:bidi w:val="0"/>
        <w:adjustRightInd/>
        <w:snapToGrid w:val="0"/>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bCs w:val="0"/>
          <w:color w:val="auto"/>
          <w:sz w:val="28"/>
          <w:szCs w:val="28"/>
          <w:lang w:val="en-US" w:eastAsia="zh-CN"/>
        </w:rPr>
        <w:t>维修响应时间</w:t>
      </w:r>
      <w:r>
        <w:rPr>
          <w:rFonts w:hint="eastAsia" w:ascii="仿宋_GB2312" w:hAnsi="仿宋_GB2312" w:eastAsia="仿宋_GB2312" w:cs="仿宋_GB2312"/>
          <w:b w:val="0"/>
          <w:bCs/>
          <w:color w:val="auto"/>
          <w:sz w:val="28"/>
          <w:szCs w:val="28"/>
          <w:lang w:val="en-US" w:eastAsia="zh-CN"/>
        </w:rPr>
        <w:t>：1小时响应</w:t>
      </w:r>
    </w:p>
    <w:p w14:paraId="2F65FB76">
      <w:pPr>
        <w:pStyle w:val="24"/>
        <w:ind w:firstLine="480"/>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核心产品：</w:t>
      </w:r>
      <w:r>
        <w:rPr>
          <w:rFonts w:ascii="宋体" w:hAnsi="宋体" w:eastAsia="宋体" w:cs="宋体"/>
          <w:sz w:val="24"/>
          <w:szCs w:val="24"/>
        </w:rPr>
        <w:t>网上巡查视频安全存储平台</w:t>
      </w:r>
    </w:p>
    <w:p w14:paraId="3F25396A">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注：凡列入核心产品的，如供应商出现相同品牌，均被认定为一家投标人</w:t>
      </w:r>
    </w:p>
    <w:p w14:paraId="75E4AB66">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说明：</w:t>
      </w:r>
    </w:p>
    <w:p w14:paraId="33B03AEF">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（1）如果以上技术参数表述有某个特定品牌的规格型号，投标单位可参照该项</w:t>
      </w:r>
    </w:p>
    <w:p w14:paraId="283651C9">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目的技术标准选择其他品牌产品替代，并做出说明，原则上不能降低投标产品性能。</w:t>
      </w:r>
    </w:p>
    <w:p w14:paraId="100B3DF8">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（2）如果以上参数关于外观、功能或重量、尺寸（需现场定制或影响使用的情</w:t>
      </w:r>
    </w:p>
    <w:p w14:paraId="05CCC9D6">
      <w:pPr>
        <w:pStyle w:val="24"/>
        <w:jc w:val="left"/>
        <w:rPr>
          <w:rFonts w:hint="eastAsia" w:ascii="仿宋" w:hAnsi="仿宋" w:eastAsia="仿宋" w:cs="Times New Roman"/>
          <w:b/>
          <w:bCs/>
          <w:color w:val="FF0000"/>
          <w:kern w:val="2"/>
          <w:sz w:val="24"/>
          <w:szCs w:val="24"/>
          <w:lang w:val="en-US" w:eastAsia="zh-CN" w:bidi="ar-SA"/>
        </w:rPr>
      </w:pPr>
      <w:r>
        <w:rPr>
          <w:rFonts w:hint="eastAsia" w:ascii="仿宋" w:hAnsi="仿宋" w:eastAsia="仿宋" w:cs="Times New Roman"/>
          <w:b/>
          <w:bCs/>
          <w:color w:val="FF0000"/>
          <w:kern w:val="2"/>
          <w:sz w:val="24"/>
          <w:szCs w:val="24"/>
          <w:lang w:val="en-US" w:eastAsia="zh-CN" w:bidi="ar-SA"/>
        </w:rPr>
        <w:t>况除外）的表述为某一品牌独有的，可不作为必须满足的条件，即不得以此项内容取消投标人投标资格。投标人应在投标文件中对此种情况做出说明。</w:t>
      </w:r>
    </w:p>
    <w:p w14:paraId="6255D34F">
      <w:pPr>
        <w:pStyle w:val="24"/>
        <w:numPr>
          <w:ilvl w:val="0"/>
          <w:numId w:val="4"/>
        </w:numPr>
        <w:jc w:val="left"/>
        <w:rPr>
          <w:rFonts w:hint="eastAsia" w:ascii="仿宋" w:hAnsi="仿宋" w:eastAsia="仿宋" w:cs="仿宋"/>
        </w:rPr>
      </w:pPr>
      <w:r>
        <w:rPr>
          <w:rFonts w:hint="eastAsia" w:ascii="仿宋" w:hAnsi="仿宋" w:eastAsia="仿宋" w:cs="Times New Roman"/>
          <w:b/>
          <w:bCs/>
          <w:color w:val="FF0000"/>
          <w:kern w:val="2"/>
          <w:sz w:val="24"/>
          <w:szCs w:val="24"/>
          <w:lang w:val="en-US" w:eastAsia="zh-CN" w:bidi="ar-SA"/>
        </w:rPr>
        <w:t>带★为重要参数，为必须响应参数，不响应则视为无效投标。</w:t>
      </w:r>
    </w:p>
    <w:p w14:paraId="53679EC0">
      <w:pPr>
        <w:pStyle w:val="25"/>
        <w:numPr>
          <w:ilvl w:val="0"/>
          <w:numId w:val="5"/>
        </w:numPr>
        <w:rPr>
          <w:rFonts w:hint="eastAsia" w:ascii="仿宋" w:hAnsi="仿宋" w:eastAsia="仿宋" w:cs="仿宋"/>
        </w:rPr>
        <w:sectPr>
          <w:headerReference r:id="rId4" w:type="default"/>
          <w:footerReference r:id="rId5" w:type="default"/>
          <w:pgSz w:w="11907" w:h="16840"/>
          <w:pgMar w:top="1134" w:right="708"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p>
    <w:bookmarkEnd w:id="4"/>
    <w:p w14:paraId="0A6CC701">
      <w:pPr>
        <w:pStyle w:val="24"/>
        <w:ind w:left="0" w:leftChars="0" w:firstLine="0" w:firstLineChars="0"/>
        <w:jc w:val="center"/>
        <w:rPr>
          <w:rFonts w:hint="eastAsia"/>
        </w:rPr>
      </w:pPr>
      <w:bookmarkStart w:id="27" w:name="_Toc491251290"/>
      <w:r>
        <w:rPr>
          <w:rStyle w:val="26"/>
          <w:rFonts w:hint="eastAsia"/>
        </w:rPr>
        <w:t>第三篇  项目商务要求</w:t>
      </w:r>
    </w:p>
    <w:p w14:paraId="424A0C69">
      <w:pPr>
        <w:pStyle w:val="29"/>
        <w:ind w:firstLine="561"/>
        <w:rPr>
          <w:rFonts w:hint="eastAsia"/>
        </w:rPr>
      </w:pPr>
      <w:bookmarkStart w:id="28" w:name="_Toc29862"/>
      <w:bookmarkStart w:id="29" w:name="_Toc9328470"/>
      <w:r>
        <w:rPr>
          <w:rFonts w:hint="eastAsia"/>
        </w:rPr>
        <w:t>一、交货期、地点、验收方式</w:t>
      </w:r>
      <w:bookmarkEnd w:id="28"/>
    </w:p>
    <w:p w14:paraId="363110B8">
      <w:pPr>
        <w:pStyle w:val="24"/>
        <w:ind w:firstLine="480"/>
        <w:rPr>
          <w:rFonts w:hint="eastAsia"/>
          <w:kern w:val="0"/>
        </w:rPr>
      </w:pPr>
      <w:r>
        <w:rPr>
          <w:rFonts w:hint="eastAsia"/>
          <w:kern w:val="0"/>
        </w:rPr>
        <w:t>（一）交货期</w:t>
      </w:r>
    </w:p>
    <w:p w14:paraId="029AEB23">
      <w:pPr>
        <w:pStyle w:val="24"/>
        <w:rPr>
          <w:rFonts w:hint="eastAsia" w:cs="Times New Roman"/>
          <w:lang w:val="en-US" w:eastAsia="zh-CN"/>
        </w:rPr>
      </w:pPr>
      <w:r>
        <w:rPr>
          <w:rFonts w:hint="eastAsia" w:cs="Times New Roman"/>
          <w:lang w:val="en-US" w:eastAsia="zh-CN"/>
        </w:rPr>
        <w:t>合同签订后20天内供货</w:t>
      </w:r>
    </w:p>
    <w:p w14:paraId="24570F3E">
      <w:pPr>
        <w:pStyle w:val="24"/>
        <w:ind w:firstLine="480"/>
        <w:rPr>
          <w:rFonts w:hint="eastAsia"/>
          <w:kern w:val="0"/>
        </w:rPr>
      </w:pPr>
      <w:r>
        <w:rPr>
          <w:rFonts w:hint="eastAsia"/>
          <w:kern w:val="0"/>
        </w:rPr>
        <w:t>（二）交货地点</w:t>
      </w:r>
    </w:p>
    <w:p w14:paraId="6B7B8575">
      <w:pPr>
        <w:pStyle w:val="16"/>
        <w:keepNext w:val="0"/>
        <w:keepLines w:val="0"/>
        <w:widowControl/>
        <w:suppressLineNumbers w:val="0"/>
        <w:ind w:firstLine="480" w:firstLineChars="200"/>
        <w:rPr>
          <w:rFonts w:hint="eastAsia"/>
        </w:rPr>
      </w:pPr>
      <w:r>
        <w:rPr>
          <w:rFonts w:hint="eastAsia" w:ascii="仿宋" w:hAnsi="仿宋" w:eastAsia="仿宋" w:cs="Times New Roman"/>
          <w:kern w:val="2"/>
          <w:sz w:val="24"/>
          <w:szCs w:val="24"/>
          <w:lang w:val="en-US" w:eastAsia="zh-CN" w:bidi="ar-SA"/>
        </w:rPr>
        <w:t xml:space="preserve">克拉玛依市白碱滩区中兴路142号 </w:t>
      </w:r>
    </w:p>
    <w:p w14:paraId="3A553BCA">
      <w:pPr>
        <w:pStyle w:val="24"/>
        <w:ind w:firstLine="480"/>
        <w:rPr>
          <w:rFonts w:hint="eastAsia"/>
          <w:kern w:val="0"/>
        </w:rPr>
      </w:pPr>
      <w:r>
        <w:rPr>
          <w:rFonts w:hint="eastAsia"/>
          <w:kern w:val="0"/>
        </w:rPr>
        <w:t xml:space="preserve"> (三)验收方式</w:t>
      </w:r>
    </w:p>
    <w:p w14:paraId="14CBBF55">
      <w:pPr>
        <w:pStyle w:val="24"/>
        <w:ind w:firstLine="480"/>
        <w:rPr>
          <w:rFonts w:hint="eastAsia"/>
          <w:kern w:val="0"/>
        </w:rPr>
      </w:pPr>
      <w:r>
        <w:rPr>
          <w:rFonts w:hint="eastAsia"/>
          <w:kern w:val="0"/>
        </w:rPr>
        <w:t>1、货物到达现场后，中标人应在使用单位人员在场情况下当面开箱，共同清点、检查外观，作出开箱记录，双方签字确认。</w:t>
      </w:r>
    </w:p>
    <w:p w14:paraId="0CDEF86C">
      <w:pPr>
        <w:pStyle w:val="24"/>
        <w:ind w:firstLine="480"/>
        <w:rPr>
          <w:rFonts w:hint="eastAsia"/>
          <w:kern w:val="0"/>
        </w:rPr>
      </w:pPr>
      <w:r>
        <w:rPr>
          <w:rFonts w:hint="eastAsia"/>
          <w:kern w:val="0"/>
        </w:rPr>
        <w:t>2、中标人应保证货物到达采购人所在地完好无损，如有缺漏、损坏，由供应商负责调换、补齐或赔偿。</w:t>
      </w:r>
    </w:p>
    <w:p w14:paraId="5863E6AE">
      <w:pPr>
        <w:pStyle w:val="24"/>
        <w:ind w:firstLine="480"/>
        <w:rPr>
          <w:rFonts w:hint="eastAsia"/>
          <w:kern w:val="0"/>
        </w:rPr>
      </w:pPr>
      <w:r>
        <w:rPr>
          <w:rFonts w:hint="eastAsia"/>
          <w:kern w:val="0"/>
        </w:rPr>
        <w:t>3、中标人应提供完备的技术资料、装箱单和合格证等，并派遣专业技术人员进行现场安装调试。验收合格条件如下：</w:t>
      </w:r>
    </w:p>
    <w:p w14:paraId="04BD0D29">
      <w:pPr>
        <w:pStyle w:val="24"/>
        <w:ind w:firstLine="480"/>
        <w:rPr>
          <w:rFonts w:hint="eastAsia"/>
          <w:kern w:val="0"/>
        </w:rPr>
      </w:pPr>
      <w:r>
        <w:rPr>
          <w:rFonts w:hint="eastAsia"/>
          <w:kern w:val="0"/>
        </w:rPr>
        <w:t>3.1设备技术参数与采购合同一致，性能指标达到规定的标准。</w:t>
      </w:r>
    </w:p>
    <w:p w14:paraId="17FC49AF">
      <w:pPr>
        <w:pStyle w:val="24"/>
        <w:ind w:firstLine="480"/>
        <w:rPr>
          <w:rFonts w:hint="eastAsia"/>
          <w:kern w:val="0"/>
        </w:rPr>
      </w:pPr>
      <w:r>
        <w:rPr>
          <w:rFonts w:hint="eastAsia"/>
          <w:kern w:val="0"/>
        </w:rPr>
        <w:t>3.2货物技术资料、装箱单、合格证等资料齐全。</w:t>
      </w:r>
    </w:p>
    <w:p w14:paraId="7FE56536">
      <w:pPr>
        <w:pStyle w:val="24"/>
        <w:ind w:firstLine="480"/>
        <w:rPr>
          <w:rFonts w:hint="eastAsia"/>
          <w:kern w:val="0"/>
        </w:rPr>
      </w:pPr>
      <w:r>
        <w:rPr>
          <w:rFonts w:hint="eastAsia"/>
          <w:kern w:val="0"/>
        </w:rPr>
        <w:t>3.3在系统试运行期间所出现的问题得到解决，并运行正常。</w:t>
      </w:r>
    </w:p>
    <w:p w14:paraId="7D61EBDB">
      <w:pPr>
        <w:pStyle w:val="24"/>
        <w:ind w:firstLine="480"/>
        <w:rPr>
          <w:rFonts w:hint="eastAsia"/>
          <w:kern w:val="0"/>
        </w:rPr>
      </w:pPr>
      <w:r>
        <w:rPr>
          <w:rFonts w:hint="eastAsia"/>
          <w:kern w:val="0"/>
        </w:rPr>
        <w:t>3.4在规定时间内交货和验收，并经采购人确认。</w:t>
      </w:r>
    </w:p>
    <w:p w14:paraId="19169970">
      <w:pPr>
        <w:pStyle w:val="24"/>
        <w:ind w:firstLine="480"/>
        <w:rPr>
          <w:rFonts w:hint="eastAsia"/>
          <w:kern w:val="0"/>
        </w:rPr>
      </w:pPr>
      <w:r>
        <w:rPr>
          <w:rFonts w:hint="eastAsia"/>
          <w:kern w:val="0"/>
        </w:rPr>
        <w:t>4、产品在安装调试并试运行符合要求后，才作为最终验收。</w:t>
      </w:r>
    </w:p>
    <w:p w14:paraId="307DC429">
      <w:pPr>
        <w:pStyle w:val="24"/>
        <w:ind w:firstLine="480"/>
        <w:rPr>
          <w:rFonts w:hint="eastAsia"/>
          <w:kern w:val="0"/>
        </w:rPr>
      </w:pPr>
      <w:r>
        <w:rPr>
          <w:rFonts w:hint="eastAsia"/>
          <w:kern w:val="0"/>
        </w:rPr>
        <w:t>5、供应商提供的货物未达到招标文件规定要求，且对采购人造成损失的，由供应商承担一切责任，并赔偿所造成的损失。</w:t>
      </w:r>
    </w:p>
    <w:p w14:paraId="43856ABA">
      <w:pPr>
        <w:pStyle w:val="24"/>
        <w:ind w:firstLine="480"/>
        <w:rPr>
          <w:rFonts w:hint="eastAsia"/>
          <w:kern w:val="0"/>
        </w:rPr>
      </w:pPr>
      <w:r>
        <w:rPr>
          <w:rFonts w:hint="eastAsia"/>
          <w:kern w:val="0"/>
        </w:rPr>
        <w:t>6、大型或者复杂的政府采购项目，采购人应当邀请国家认可的质量检测机构参加验收工作。</w:t>
      </w:r>
    </w:p>
    <w:p w14:paraId="5BF1402A">
      <w:pPr>
        <w:pStyle w:val="24"/>
        <w:ind w:firstLine="480"/>
        <w:rPr>
          <w:rFonts w:hint="eastAsia"/>
          <w:kern w:val="0"/>
        </w:rPr>
      </w:pPr>
      <w:r>
        <w:rPr>
          <w:rFonts w:hint="eastAsia"/>
          <w:kern w:val="0"/>
        </w:rPr>
        <w:t>7、采购人需要制造商对中标人交付的产品（包括质量、技术参数等）进行确认的，制造商应予以配合，并出具书面意见。</w:t>
      </w:r>
    </w:p>
    <w:p w14:paraId="547BB1CD">
      <w:pPr>
        <w:pStyle w:val="24"/>
        <w:ind w:firstLine="480"/>
        <w:rPr>
          <w:rFonts w:hint="eastAsia"/>
          <w:kern w:val="0"/>
        </w:rPr>
      </w:pPr>
      <w:r>
        <w:rPr>
          <w:rFonts w:hint="eastAsia"/>
          <w:kern w:val="0"/>
        </w:rPr>
        <w:t>8、产品包装材料归采购人所有。</w:t>
      </w:r>
    </w:p>
    <w:p w14:paraId="416AC7C0">
      <w:pPr>
        <w:pStyle w:val="29"/>
        <w:ind w:firstLine="561"/>
        <w:rPr>
          <w:rFonts w:hint="eastAsia"/>
        </w:rPr>
      </w:pPr>
      <w:bookmarkStart w:id="30" w:name="_Toc24684"/>
      <w:r>
        <w:rPr>
          <w:rFonts w:hint="eastAsia"/>
        </w:rPr>
        <w:t>二、报价要求</w:t>
      </w:r>
      <w:bookmarkEnd w:id="30"/>
    </w:p>
    <w:p w14:paraId="006E1EF0">
      <w:pPr>
        <w:pStyle w:val="24"/>
        <w:ind w:firstLine="480"/>
        <w:rPr>
          <w:rFonts w:hint="eastAsia"/>
          <w:kern w:val="0"/>
          <w:highlight w:val="none"/>
        </w:rPr>
      </w:pPr>
      <w:r>
        <w:rPr>
          <w:rFonts w:hint="eastAsia"/>
          <w:kern w:val="0"/>
          <w:highlight w:val="none"/>
        </w:rPr>
        <w:t>本次报价须为</w:t>
      </w:r>
      <w:r>
        <w:rPr>
          <w:rFonts w:hint="eastAsia"/>
          <w:kern w:val="0"/>
          <w:highlight w:val="none"/>
          <w:u w:val="single"/>
        </w:rPr>
        <w:t>人民币报价</w:t>
      </w:r>
      <w:r>
        <w:rPr>
          <w:rFonts w:hint="eastAsia"/>
          <w:kern w:val="0"/>
          <w:highlight w:val="none"/>
        </w:rPr>
        <w:t>，包含：产品价、运输费（含装卸费）</w:t>
      </w:r>
      <w:r>
        <w:rPr>
          <w:rFonts w:hint="eastAsia"/>
          <w:kern w:val="0"/>
          <w:highlight w:val="none"/>
          <w:lang w:eastAsia="zh-CN"/>
        </w:rPr>
        <w:t>、</w:t>
      </w:r>
      <w:r>
        <w:rPr>
          <w:rFonts w:hint="eastAsia"/>
          <w:kern w:val="0"/>
          <w:highlight w:val="none"/>
        </w:rPr>
        <w:t>保险费、安装调试费、税费、培训费等货到采购人指定地点的所有费用。</w:t>
      </w:r>
    </w:p>
    <w:p w14:paraId="1B002545">
      <w:pPr>
        <w:pStyle w:val="29"/>
        <w:ind w:firstLine="561"/>
        <w:rPr>
          <w:rFonts w:hint="eastAsia"/>
        </w:rPr>
      </w:pPr>
      <w:bookmarkStart w:id="31" w:name="_Toc1519"/>
      <w:r>
        <w:rPr>
          <w:rFonts w:hint="eastAsia"/>
        </w:rPr>
        <w:t>三、质量保证及售后服务</w:t>
      </w:r>
      <w:bookmarkEnd w:id="31"/>
    </w:p>
    <w:p w14:paraId="6719948C">
      <w:pPr>
        <w:pStyle w:val="24"/>
        <w:ind w:firstLine="480"/>
        <w:rPr>
          <w:rFonts w:hint="eastAsia"/>
          <w:kern w:val="0"/>
        </w:rPr>
      </w:pPr>
      <w:r>
        <w:rPr>
          <w:rFonts w:hint="eastAsia"/>
          <w:kern w:val="0"/>
        </w:rPr>
        <w:t>（一）产品质量保证期</w:t>
      </w:r>
    </w:p>
    <w:p w14:paraId="1F91D9EF">
      <w:pPr>
        <w:pStyle w:val="24"/>
        <w:ind w:firstLine="480"/>
        <w:rPr>
          <w:rFonts w:hint="eastAsia"/>
          <w:kern w:val="0"/>
          <w:lang w:val="en-US" w:eastAsia="zh-CN"/>
        </w:rPr>
      </w:pPr>
      <w:r>
        <w:rPr>
          <w:rFonts w:hint="eastAsia"/>
          <w:kern w:val="0"/>
        </w:rPr>
        <w:t>1、</w:t>
      </w:r>
      <w:r>
        <w:rPr>
          <w:rFonts w:hint="eastAsia" w:cs="Times New Roman"/>
          <w:kern w:val="0"/>
          <w:lang w:val="en-US" w:eastAsia="zh-CN"/>
        </w:rPr>
        <w:t>质保3年</w:t>
      </w:r>
      <w:r>
        <w:rPr>
          <w:rFonts w:hint="eastAsia"/>
          <w:kern w:val="0"/>
          <w:lang w:val="en-US" w:eastAsia="zh-CN"/>
        </w:rPr>
        <w:t>。</w:t>
      </w:r>
    </w:p>
    <w:p w14:paraId="674AD590">
      <w:pPr>
        <w:pStyle w:val="24"/>
        <w:ind w:firstLine="480"/>
        <w:rPr>
          <w:rFonts w:hint="eastAsia"/>
          <w:kern w:val="0"/>
        </w:rPr>
      </w:pPr>
      <w:r>
        <w:rPr>
          <w:rFonts w:hint="eastAsia"/>
          <w:kern w:val="0"/>
        </w:rPr>
        <w:t>2、投标产品属于国家规定“三包”范围的，其产品质量保证期不得低于“三包”规定。</w:t>
      </w:r>
    </w:p>
    <w:p w14:paraId="4B28342A">
      <w:pPr>
        <w:pStyle w:val="24"/>
        <w:ind w:firstLine="480"/>
        <w:rPr>
          <w:rFonts w:hint="eastAsia"/>
          <w:kern w:val="0"/>
        </w:rPr>
      </w:pPr>
      <w:r>
        <w:rPr>
          <w:rFonts w:hint="eastAsia"/>
          <w:kern w:val="0"/>
        </w:rPr>
        <w:t>3、投标人的质量保证期承诺优于国家“三包”规定的，按投标人实际承诺执行。</w:t>
      </w:r>
    </w:p>
    <w:p w14:paraId="5BC1E585">
      <w:pPr>
        <w:pStyle w:val="24"/>
        <w:ind w:firstLine="480"/>
        <w:rPr>
          <w:rFonts w:hint="eastAsia"/>
          <w:kern w:val="0"/>
        </w:rPr>
      </w:pPr>
      <w:r>
        <w:rPr>
          <w:rFonts w:hint="eastAsia"/>
          <w:kern w:val="0"/>
        </w:rPr>
        <w:t>4、投标产品由制造商（指产品生产制造商，或其负责销售、售后服务机构，以下同）负责标准售后服务的，应当在投标文件中予以明确说明，并附制造商售后服务承诺。</w:t>
      </w:r>
    </w:p>
    <w:p w14:paraId="460EE431">
      <w:pPr>
        <w:pStyle w:val="24"/>
        <w:ind w:firstLine="480"/>
        <w:rPr>
          <w:rFonts w:hint="eastAsia"/>
          <w:kern w:val="0"/>
        </w:rPr>
      </w:pPr>
      <w:r>
        <w:rPr>
          <w:rFonts w:hint="eastAsia"/>
          <w:kern w:val="0"/>
        </w:rPr>
        <w:t>（二）售后服务内容</w:t>
      </w:r>
    </w:p>
    <w:p w14:paraId="037FBF1C">
      <w:pPr>
        <w:pStyle w:val="24"/>
        <w:ind w:firstLine="480"/>
        <w:rPr>
          <w:rFonts w:hint="eastAsia"/>
          <w:kern w:val="0"/>
        </w:rPr>
      </w:pPr>
      <w:r>
        <w:rPr>
          <w:rFonts w:hint="eastAsia"/>
          <w:kern w:val="0"/>
        </w:rPr>
        <w:t>1、投标人和制造商在质量保证期内应当为采购人提供以下技术支持和服务：</w:t>
      </w:r>
    </w:p>
    <w:p w14:paraId="2573ED57">
      <w:pPr>
        <w:pStyle w:val="24"/>
        <w:ind w:firstLine="480"/>
        <w:rPr>
          <w:rFonts w:hint="eastAsia"/>
          <w:kern w:val="0"/>
        </w:rPr>
      </w:pPr>
      <w:r>
        <w:rPr>
          <w:rFonts w:hint="eastAsia"/>
          <w:kern w:val="0"/>
        </w:rPr>
        <w:t>1.1电话咨询</w:t>
      </w:r>
    </w:p>
    <w:p w14:paraId="4703C537">
      <w:pPr>
        <w:pStyle w:val="24"/>
        <w:ind w:firstLine="480"/>
        <w:rPr>
          <w:rFonts w:hint="eastAsia"/>
          <w:kern w:val="0"/>
        </w:rPr>
      </w:pPr>
      <w:r>
        <w:rPr>
          <w:rFonts w:hint="eastAsia"/>
          <w:kern w:val="0"/>
        </w:rPr>
        <w:t>中标人和制造商应当为采购人提供技术援助电话，解答采购人在使用中遇到的问题，及时为采购人提出解决问题的建议。</w:t>
      </w:r>
    </w:p>
    <w:p w14:paraId="63B131BC">
      <w:pPr>
        <w:pStyle w:val="24"/>
        <w:ind w:firstLine="480"/>
        <w:rPr>
          <w:rFonts w:hint="eastAsia"/>
          <w:kern w:val="0"/>
        </w:rPr>
      </w:pPr>
      <w:r>
        <w:rPr>
          <w:rFonts w:hint="eastAsia"/>
          <w:kern w:val="0"/>
        </w:rPr>
        <w:t>1.2现场响应</w:t>
      </w:r>
    </w:p>
    <w:p w14:paraId="39D05F43">
      <w:pPr>
        <w:pStyle w:val="24"/>
        <w:ind w:firstLine="480"/>
        <w:rPr>
          <w:rFonts w:hint="eastAsia"/>
          <w:kern w:val="0"/>
          <w:lang w:val="en-US" w:eastAsia="zh-CN"/>
        </w:rPr>
      </w:pPr>
      <w:r>
        <w:rPr>
          <w:rFonts w:hint="eastAsia"/>
          <w:kern w:val="0"/>
          <w:lang w:val="en-US" w:eastAsia="zh-CN"/>
        </w:rPr>
        <w:t>7*24小时提供服务，接到用户报修电话后1小时内到达现场排除故障，不能当场排除的应在24小时内提供备用机，保障用户系统工作正常</w:t>
      </w:r>
    </w:p>
    <w:p w14:paraId="223DED58">
      <w:pPr>
        <w:pStyle w:val="24"/>
        <w:ind w:firstLine="480"/>
        <w:rPr>
          <w:rFonts w:hint="eastAsia"/>
          <w:kern w:val="0"/>
        </w:rPr>
      </w:pPr>
      <w:r>
        <w:rPr>
          <w:rFonts w:hint="eastAsia"/>
          <w:kern w:val="0"/>
        </w:rPr>
        <w:t>1.3技术升级</w:t>
      </w:r>
    </w:p>
    <w:p w14:paraId="3FFB745A">
      <w:pPr>
        <w:pStyle w:val="24"/>
        <w:ind w:firstLine="480"/>
        <w:rPr>
          <w:rFonts w:hint="eastAsia"/>
          <w:kern w:val="0"/>
        </w:rPr>
      </w:pPr>
      <w:r>
        <w:rPr>
          <w:rFonts w:hint="eastAsia"/>
          <w:kern w:val="0"/>
        </w:rPr>
        <w:t>在质保期内，如果中标人和制造商的产品技术升级，供应商应及时通知采购人，如采购人有相应要求，中标人和制造商应对采购人购买的产品进行升级服务。</w:t>
      </w:r>
    </w:p>
    <w:p w14:paraId="04658011">
      <w:pPr>
        <w:pStyle w:val="24"/>
        <w:ind w:firstLine="480"/>
        <w:rPr>
          <w:rFonts w:hint="eastAsia"/>
          <w:kern w:val="0"/>
        </w:rPr>
      </w:pPr>
      <w:r>
        <w:rPr>
          <w:rFonts w:hint="eastAsia"/>
          <w:kern w:val="0"/>
        </w:rPr>
        <w:t>2、质保期外服务要求</w:t>
      </w:r>
    </w:p>
    <w:p w14:paraId="3CF9D245">
      <w:pPr>
        <w:pStyle w:val="24"/>
        <w:ind w:firstLine="480"/>
        <w:rPr>
          <w:rFonts w:hint="eastAsia"/>
          <w:kern w:val="0"/>
        </w:rPr>
      </w:pPr>
      <w:r>
        <w:rPr>
          <w:rFonts w:hint="eastAsia"/>
          <w:kern w:val="0"/>
        </w:rPr>
        <w:t>2.1质量保证期过后，供应商和制造商应同样提供免费电话咨询服务，并应承诺提供产品上门维护服务。</w:t>
      </w:r>
    </w:p>
    <w:p w14:paraId="4A81653E">
      <w:pPr>
        <w:pStyle w:val="24"/>
        <w:ind w:firstLine="480"/>
        <w:rPr>
          <w:rFonts w:hint="eastAsia"/>
          <w:kern w:val="0"/>
        </w:rPr>
      </w:pPr>
      <w:r>
        <w:rPr>
          <w:rFonts w:hint="eastAsia"/>
          <w:kern w:val="0"/>
        </w:rPr>
        <w:t>2.2质量保证期过后，采购人需要继续由原供应商和制造商提供售后服务的，该供应商和制造商应以优惠价格提供售后服务。</w:t>
      </w:r>
    </w:p>
    <w:p w14:paraId="3280C91C">
      <w:pPr>
        <w:pStyle w:val="24"/>
        <w:ind w:firstLine="480"/>
        <w:rPr>
          <w:rFonts w:hint="eastAsia"/>
          <w:kern w:val="0"/>
        </w:rPr>
      </w:pPr>
      <w:r>
        <w:rPr>
          <w:rFonts w:hint="eastAsia"/>
          <w:kern w:val="0"/>
        </w:rPr>
        <w:t>（三）备品备件及易损件</w:t>
      </w:r>
    </w:p>
    <w:p w14:paraId="04105C22">
      <w:pPr>
        <w:pStyle w:val="24"/>
        <w:ind w:firstLine="480"/>
        <w:rPr>
          <w:rFonts w:hint="eastAsia"/>
          <w:kern w:val="0"/>
        </w:rPr>
      </w:pPr>
      <w:r>
        <w:rPr>
          <w:rFonts w:hint="eastAsia"/>
          <w:kern w:val="0"/>
        </w:rPr>
        <w:t>中标人和制造商售后服务中，维修使用的备品备件及易损件应为原厂配件，未经采购人同意不得使用非原厂配件，常用的、容易损坏的备品备件及易损件的价格清单须在投标文件中列出。</w:t>
      </w:r>
    </w:p>
    <w:p w14:paraId="4D128242">
      <w:pPr>
        <w:pStyle w:val="29"/>
        <w:ind w:firstLine="561"/>
        <w:rPr>
          <w:rFonts w:hint="eastAsia"/>
        </w:rPr>
      </w:pPr>
      <w:bookmarkStart w:id="32" w:name="_Toc14358"/>
      <w:r>
        <w:rPr>
          <w:rFonts w:hint="eastAsia"/>
        </w:rPr>
        <w:t>四、付款方式</w:t>
      </w:r>
      <w:bookmarkEnd w:id="32"/>
    </w:p>
    <w:p w14:paraId="7760D9A2">
      <w:pPr>
        <w:pStyle w:val="29"/>
        <w:ind w:firstLine="561"/>
        <w:rPr>
          <w:rFonts w:hint="eastAsia" w:ascii="仿宋" w:hAnsi="仿宋" w:eastAsia="仿宋" w:cs="Times New Roman"/>
          <w:b w:val="0"/>
          <w:kern w:val="0"/>
          <w:sz w:val="24"/>
          <w:szCs w:val="24"/>
          <w:lang w:val="en-US" w:eastAsia="zh-CN" w:bidi="ar-SA"/>
        </w:rPr>
      </w:pPr>
      <w:bookmarkStart w:id="33" w:name="_Toc25091"/>
      <w:r>
        <w:rPr>
          <w:rFonts w:hint="eastAsia" w:ascii="仿宋" w:hAnsi="仿宋" w:eastAsia="仿宋" w:cs="Times New Roman"/>
          <w:b w:val="0"/>
          <w:kern w:val="0"/>
          <w:sz w:val="24"/>
          <w:szCs w:val="24"/>
          <w:lang w:val="en-US" w:eastAsia="zh-CN" w:bidi="ar-SA"/>
        </w:rPr>
        <w:t>项目完成一次性支付</w:t>
      </w:r>
    </w:p>
    <w:p w14:paraId="1478561A">
      <w:pPr>
        <w:pStyle w:val="29"/>
        <w:ind w:firstLine="561"/>
        <w:rPr>
          <w:rFonts w:hint="eastAsia"/>
        </w:rPr>
      </w:pPr>
      <w:r>
        <w:rPr>
          <w:rFonts w:hint="eastAsia"/>
        </w:rPr>
        <w:t>五、履约保证金</w:t>
      </w:r>
    </w:p>
    <w:p w14:paraId="04F74551">
      <w:pPr>
        <w:pStyle w:val="29"/>
        <w:ind w:firstLine="561"/>
        <w:rPr>
          <w:rFonts w:hint="eastAsia"/>
        </w:rPr>
      </w:pPr>
      <w:r>
        <w:rPr>
          <w:rFonts w:hint="eastAsia"/>
        </w:rPr>
        <w:t>（</w:t>
      </w:r>
      <w:r>
        <w:rPr>
          <w:rFonts w:hint="eastAsia"/>
          <w:lang w:val="en-US" w:eastAsia="zh-CN"/>
        </w:rPr>
        <w:t>不收取</w:t>
      </w:r>
      <w:r>
        <w:rPr>
          <w:rFonts w:hint="eastAsia"/>
        </w:rPr>
        <w:t>）</w:t>
      </w:r>
      <w:bookmarkEnd w:id="33"/>
    </w:p>
    <w:p w14:paraId="717FB755">
      <w:pPr>
        <w:pStyle w:val="29"/>
        <w:ind w:firstLine="561"/>
        <w:rPr>
          <w:rFonts w:hint="eastAsia"/>
        </w:rPr>
      </w:pPr>
      <w:bookmarkStart w:id="34" w:name="_Toc27078"/>
      <w:r>
        <w:rPr>
          <w:rFonts w:hint="eastAsia"/>
        </w:rPr>
        <w:t>六、知识产权</w:t>
      </w:r>
      <w:bookmarkEnd w:id="34"/>
    </w:p>
    <w:p w14:paraId="73E83DE4">
      <w:pPr>
        <w:pStyle w:val="24"/>
        <w:ind w:firstLine="480"/>
        <w:rPr>
          <w:rFonts w:hint="eastAsia"/>
          <w:kern w:val="0"/>
        </w:rPr>
      </w:pPr>
      <w:r>
        <w:rPr>
          <w:rFonts w:hint="eastAsia"/>
          <w:kern w:val="0"/>
        </w:rPr>
        <w:t>采购人在中华人民共和国境内使用投标人提供的货物及服务时免受第三方提出的侵犯其专利权或其它知识产权的起诉。如果第三方提出侵权指控，中标人应承担由此而引起的一切法律责任和费用。</w:t>
      </w:r>
    </w:p>
    <w:p w14:paraId="157B5435">
      <w:pPr>
        <w:pStyle w:val="29"/>
        <w:ind w:firstLine="561"/>
        <w:rPr>
          <w:rFonts w:hint="eastAsia"/>
        </w:rPr>
      </w:pPr>
      <w:bookmarkStart w:id="35" w:name="_Toc11726"/>
      <w:r>
        <w:rPr>
          <w:rFonts w:hint="eastAsia"/>
        </w:rPr>
        <w:t>七、其他</w:t>
      </w:r>
      <w:bookmarkEnd w:id="35"/>
    </w:p>
    <w:p w14:paraId="7F43BDDD">
      <w:pPr>
        <w:pStyle w:val="24"/>
        <w:ind w:firstLine="480"/>
        <w:rPr>
          <w:rFonts w:hint="eastAsia"/>
          <w:kern w:val="0"/>
        </w:rPr>
      </w:pPr>
      <w:r>
        <w:rPr>
          <w:rFonts w:hint="eastAsia"/>
          <w:kern w:val="0"/>
        </w:rPr>
        <w:t>（一）投标人必须在投标文件中对以上条款和服务承诺明确列出，承诺内容必须达到本篇及招标文件其他条款的要求。</w:t>
      </w:r>
    </w:p>
    <w:p w14:paraId="3F0E9EBB">
      <w:pPr>
        <w:pStyle w:val="24"/>
        <w:rPr>
          <w:rFonts w:hint="eastAsia"/>
          <w:lang w:val="en-US" w:eastAsia="zh-CN"/>
        </w:rPr>
      </w:pPr>
      <w:r>
        <w:rPr>
          <w:rFonts w:hint="eastAsia"/>
          <w:kern w:val="0"/>
        </w:rPr>
        <w:t>（二）其他未尽事宜由供需双方在采购合同中详细约定。</w:t>
      </w:r>
      <w:r>
        <w:rPr>
          <w:rFonts w:hint="eastAsia"/>
          <w:lang w:val="en-US" w:eastAsia="zh-CN"/>
        </w:rPr>
        <w:t xml:space="preserve"> </w:t>
      </w:r>
    </w:p>
    <w:bookmarkEnd w:id="29"/>
    <w:p w14:paraId="43706BF8">
      <w:pPr>
        <w:pStyle w:val="25"/>
        <w:rPr>
          <w:rFonts w:hint="eastAsia"/>
          <w:color w:val="auto"/>
          <w:highlight w:val="none"/>
        </w:rPr>
      </w:pPr>
    </w:p>
    <w:p w14:paraId="6D247386">
      <w:pPr>
        <w:pStyle w:val="28"/>
        <w:widowControl/>
        <w:ind w:firstLine="480" w:firstLineChars="200"/>
        <w:jc w:val="left"/>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 xml:space="preserve"> </w:t>
      </w:r>
    </w:p>
    <w:p w14:paraId="38487A17">
      <w:pPr>
        <w:pStyle w:val="28"/>
        <w:widowControl/>
        <w:ind w:firstLine="480" w:firstLineChars="200"/>
        <w:jc w:val="left"/>
        <w:rPr>
          <w:rFonts w:hint="eastAsia" w:ascii="仿宋" w:hAnsi="仿宋" w:eastAsia="仿宋" w:cs="仿宋"/>
          <w:b w:val="0"/>
          <w:bCs w:val="0"/>
          <w:kern w:val="2"/>
          <w:sz w:val="24"/>
          <w:szCs w:val="24"/>
          <w:lang w:val="en-US" w:eastAsia="zh-CN" w:bidi="ar-SA"/>
        </w:rPr>
      </w:pPr>
    </w:p>
    <w:p w14:paraId="2C8EFC1B">
      <w:pPr>
        <w:pStyle w:val="28"/>
        <w:widowControl/>
        <w:ind w:firstLine="480" w:firstLineChars="200"/>
        <w:jc w:val="left"/>
        <w:rPr>
          <w:rFonts w:hint="eastAsia" w:ascii="仿宋" w:hAnsi="仿宋" w:eastAsia="仿宋" w:cs="仿宋"/>
          <w:b w:val="0"/>
          <w:bCs w:val="0"/>
          <w:kern w:val="2"/>
          <w:sz w:val="24"/>
          <w:szCs w:val="24"/>
          <w:lang w:val="en-US" w:eastAsia="zh-CN" w:bidi="ar-SA"/>
        </w:rPr>
      </w:pPr>
    </w:p>
    <w:p w14:paraId="6337F933">
      <w:pPr>
        <w:pStyle w:val="28"/>
        <w:widowControl/>
        <w:ind w:firstLine="480" w:firstLineChars="200"/>
        <w:jc w:val="left"/>
        <w:rPr>
          <w:rFonts w:hint="eastAsia" w:ascii="仿宋" w:hAnsi="仿宋" w:eastAsia="仿宋" w:cs="仿宋"/>
          <w:b w:val="0"/>
          <w:bCs w:val="0"/>
          <w:kern w:val="2"/>
          <w:sz w:val="24"/>
          <w:szCs w:val="24"/>
          <w:lang w:val="en-US" w:eastAsia="zh-CN" w:bidi="ar-SA"/>
        </w:rPr>
      </w:pPr>
    </w:p>
    <w:p w14:paraId="48B43B5C">
      <w:pPr>
        <w:pStyle w:val="28"/>
        <w:widowControl/>
        <w:ind w:firstLine="480" w:firstLineChars="200"/>
        <w:jc w:val="left"/>
        <w:rPr>
          <w:rFonts w:hint="eastAsia" w:ascii="仿宋" w:hAnsi="仿宋" w:eastAsia="仿宋" w:cs="仿宋"/>
          <w:b w:val="0"/>
          <w:bCs w:val="0"/>
          <w:kern w:val="2"/>
          <w:sz w:val="24"/>
          <w:szCs w:val="24"/>
          <w:lang w:val="en-US" w:eastAsia="zh-CN" w:bidi="ar-SA"/>
        </w:rPr>
      </w:pPr>
    </w:p>
    <w:p w14:paraId="698F25D0">
      <w:pPr>
        <w:pStyle w:val="28"/>
        <w:widowControl/>
        <w:ind w:firstLine="480" w:firstLineChars="200"/>
        <w:jc w:val="left"/>
        <w:rPr>
          <w:rFonts w:hint="eastAsia" w:ascii="仿宋" w:hAnsi="仿宋" w:eastAsia="仿宋" w:cs="仿宋"/>
          <w:b w:val="0"/>
          <w:bCs w:val="0"/>
          <w:kern w:val="2"/>
          <w:sz w:val="24"/>
          <w:szCs w:val="24"/>
          <w:lang w:val="en-US" w:eastAsia="zh-CN" w:bidi="ar-SA"/>
        </w:rPr>
      </w:pPr>
    </w:p>
    <w:bookmarkEnd w:id="27"/>
    <w:p w14:paraId="1D4AFE34">
      <w:pPr>
        <w:pStyle w:val="25"/>
        <w:numPr>
          <w:ilvl w:val="0"/>
          <w:numId w:val="0"/>
        </w:numPr>
        <w:jc w:val="both"/>
        <w:outlineLvl w:val="0"/>
        <w:rPr>
          <w:rStyle w:val="22"/>
          <w:rFonts w:hint="eastAsia" w:ascii="仿宋" w:hAnsi="仿宋" w:eastAsia="仿宋" w:cs="仿宋"/>
          <w:b/>
          <w:sz w:val="36"/>
          <w:szCs w:val="36"/>
          <w:lang w:val="en-US" w:eastAsia="zh-CN" w:bidi="ar-SA"/>
        </w:rPr>
      </w:pPr>
      <w:bookmarkStart w:id="36" w:name="_Toc28202"/>
      <w:bookmarkStart w:id="37" w:name="_Toc6215"/>
      <w:bookmarkStart w:id="38" w:name="_Toc8898"/>
      <w:bookmarkStart w:id="39" w:name="_Toc9328473"/>
    </w:p>
    <w:p w14:paraId="1E1F48F6">
      <w:pPr>
        <w:pStyle w:val="25"/>
        <w:numPr>
          <w:ilvl w:val="0"/>
          <w:numId w:val="0"/>
        </w:numPr>
        <w:jc w:val="both"/>
        <w:outlineLvl w:val="0"/>
        <w:rPr>
          <w:rStyle w:val="22"/>
          <w:rFonts w:hint="eastAsia" w:ascii="仿宋" w:hAnsi="仿宋" w:eastAsia="仿宋" w:cs="仿宋"/>
          <w:b/>
          <w:sz w:val="36"/>
          <w:szCs w:val="36"/>
          <w:lang w:val="en-US" w:eastAsia="zh-CN" w:bidi="ar-SA"/>
        </w:rPr>
      </w:pPr>
      <w:r>
        <w:rPr>
          <w:rStyle w:val="22"/>
          <w:rFonts w:hint="eastAsia" w:ascii="仿宋" w:hAnsi="仿宋" w:eastAsia="仿宋" w:cs="仿宋"/>
          <w:b/>
          <w:sz w:val="36"/>
          <w:szCs w:val="36"/>
          <w:lang w:val="en-US" w:eastAsia="zh-CN" w:bidi="ar-SA"/>
        </w:rPr>
        <w:t>第四篇  评审方法、响应文件无效条款和终止谈判活动条款</w:t>
      </w:r>
      <w:bookmarkEnd w:id="36"/>
    </w:p>
    <w:bookmarkEnd w:id="37"/>
    <w:bookmarkEnd w:id="38"/>
    <w:p w14:paraId="28471344">
      <w:pPr>
        <w:pStyle w:val="6"/>
        <w:keepNext/>
        <w:keepLines/>
        <w:pageBreakBefore w:val="0"/>
        <w:widowControl w:val="0"/>
        <w:kinsoku/>
        <w:wordWrap/>
        <w:overflowPunct w:val="0"/>
        <w:topLinePunct w:val="0"/>
        <w:autoSpaceDE/>
        <w:autoSpaceDN/>
        <w:bidi w:val="0"/>
        <w:adjustRightInd w:val="0"/>
        <w:snapToGrid/>
        <w:ind w:firstLine="482" w:firstLineChars="200"/>
        <w:textAlignment w:val="baseline"/>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 xml:space="preserve"> </w:t>
      </w:r>
      <w:bookmarkStart w:id="40" w:name="_Toc24750"/>
      <w:bookmarkStart w:id="41" w:name="_Toc20900"/>
      <w:bookmarkStart w:id="42" w:name="_Toc10654"/>
      <w:r>
        <w:rPr>
          <w:rFonts w:hint="eastAsia" w:ascii="仿宋" w:hAnsi="仿宋" w:eastAsia="仿宋" w:cs="仿宋"/>
          <w:b/>
          <w:sz w:val="24"/>
          <w:szCs w:val="24"/>
          <w:lang w:val="en-US" w:eastAsia="zh-CN"/>
        </w:rPr>
        <w:t>一、评审方法</w:t>
      </w:r>
      <w:bookmarkEnd w:id="40"/>
      <w:bookmarkEnd w:id="41"/>
      <w:bookmarkEnd w:id="42"/>
    </w:p>
    <w:p w14:paraId="5577BA8C">
      <w:pPr>
        <w:pStyle w:val="24"/>
        <w:ind w:firstLine="480"/>
        <w:outlineLvl w:val="2"/>
        <w:rPr>
          <w:rFonts w:hint="eastAsia" w:ascii="仿宋" w:hAnsi="仿宋" w:eastAsia="仿宋" w:cs="仿宋"/>
          <w:kern w:val="0"/>
        </w:rPr>
      </w:pPr>
      <w:r>
        <w:rPr>
          <w:rFonts w:hint="eastAsia" w:ascii="仿宋" w:hAnsi="仿宋" w:eastAsia="仿宋" w:cs="仿宋"/>
          <w:kern w:val="0"/>
        </w:rPr>
        <w:t>（一）评审方法定义</w:t>
      </w:r>
    </w:p>
    <w:p w14:paraId="40E882EE">
      <w:pPr>
        <w:pStyle w:val="24"/>
        <w:ind w:firstLine="480"/>
        <w:rPr>
          <w:rFonts w:hint="eastAsia" w:ascii="仿宋" w:hAnsi="仿宋" w:eastAsia="仿宋" w:cs="仿宋"/>
          <w:kern w:val="0"/>
        </w:rPr>
      </w:pPr>
      <w:r>
        <w:rPr>
          <w:rFonts w:hint="eastAsia" w:ascii="仿宋" w:hAnsi="仿宋" w:eastAsia="仿宋" w:cs="仿宋"/>
          <w:kern w:val="0"/>
        </w:rPr>
        <w:t>本项</w:t>
      </w:r>
      <w:r>
        <w:rPr>
          <w:rFonts w:hint="eastAsia" w:ascii="仿宋" w:hAnsi="仿宋" w:eastAsia="仿宋" w:cs="仿宋"/>
          <w:color w:val="auto"/>
          <w:kern w:val="0"/>
        </w:rPr>
        <w:t>目采用</w:t>
      </w:r>
      <w:bookmarkStart w:id="106" w:name="_GoBack"/>
      <w:bookmarkEnd w:id="106"/>
      <w:r>
        <w:rPr>
          <w:rFonts w:hint="eastAsia" w:cs="仿宋"/>
          <w:color w:val="auto"/>
          <w:kern w:val="0"/>
          <w:u w:val="single"/>
          <w:lang w:eastAsia="zh-CN"/>
        </w:rPr>
        <w:t>最低评标价法</w:t>
      </w:r>
      <w:r>
        <w:rPr>
          <w:rFonts w:hint="eastAsia" w:ascii="仿宋" w:hAnsi="仿宋" w:eastAsia="仿宋" w:cs="仿宋"/>
          <w:color w:val="auto"/>
          <w:kern w:val="0"/>
        </w:rPr>
        <w:t>。</w:t>
      </w:r>
      <w:r>
        <w:rPr>
          <w:rFonts w:hint="eastAsia" w:cs="仿宋"/>
          <w:color w:val="auto"/>
          <w:kern w:val="0"/>
          <w:u w:val="none"/>
          <w:lang w:eastAsia="zh-CN"/>
        </w:rPr>
        <w:t>最低评标价法</w:t>
      </w:r>
      <w:r>
        <w:rPr>
          <w:rFonts w:hint="eastAsia" w:ascii="仿宋" w:hAnsi="仿宋" w:eastAsia="仿宋" w:cs="仿宋"/>
          <w:color w:val="auto"/>
          <w:kern w:val="0"/>
        </w:rPr>
        <w:t>是指响</w:t>
      </w:r>
      <w:r>
        <w:rPr>
          <w:rFonts w:hint="eastAsia" w:ascii="仿宋" w:hAnsi="仿宋" w:eastAsia="仿宋" w:cs="仿宋"/>
          <w:kern w:val="0"/>
        </w:rPr>
        <w:t>应文件满足采购文件全部实质性要求且报价最低的供应商为成交候选人的评审方法。</w:t>
      </w:r>
    </w:p>
    <w:p w14:paraId="49FF2F5E">
      <w:pPr>
        <w:pStyle w:val="24"/>
        <w:ind w:firstLine="480"/>
        <w:outlineLvl w:val="2"/>
        <w:rPr>
          <w:rFonts w:hint="eastAsia" w:ascii="仿宋" w:hAnsi="仿宋" w:eastAsia="仿宋" w:cs="仿宋"/>
          <w:kern w:val="0"/>
        </w:rPr>
      </w:pPr>
      <w:r>
        <w:rPr>
          <w:rFonts w:hint="eastAsia" w:ascii="仿宋" w:hAnsi="仿宋" w:eastAsia="仿宋" w:cs="仿宋"/>
          <w:kern w:val="0"/>
        </w:rPr>
        <w:t>（二）评审程序</w:t>
      </w:r>
    </w:p>
    <w:p w14:paraId="7590CB5D">
      <w:pPr>
        <w:pStyle w:val="24"/>
        <w:ind w:firstLine="480"/>
        <w:rPr>
          <w:rFonts w:hint="eastAsia" w:ascii="仿宋" w:hAnsi="仿宋" w:eastAsia="仿宋" w:cs="仿宋"/>
          <w:kern w:val="0"/>
        </w:rPr>
      </w:pPr>
      <w:r>
        <w:rPr>
          <w:rFonts w:hint="eastAsia" w:ascii="仿宋" w:hAnsi="仿宋" w:eastAsia="仿宋" w:cs="仿宋"/>
          <w:kern w:val="0"/>
        </w:rPr>
        <w:t>评审工作由采购机构负责组织，具体评审事务由采购机构依法组建的谈判小组负责。</w:t>
      </w:r>
    </w:p>
    <w:p w14:paraId="4FDCB1FA">
      <w:pPr>
        <w:pStyle w:val="24"/>
        <w:ind w:firstLine="480"/>
        <w:rPr>
          <w:rFonts w:hint="eastAsia" w:ascii="仿宋" w:hAnsi="仿宋" w:eastAsia="仿宋" w:cs="仿宋"/>
          <w:kern w:val="0"/>
        </w:rPr>
      </w:pPr>
      <w:r>
        <w:rPr>
          <w:rFonts w:hint="eastAsia" w:ascii="仿宋" w:hAnsi="仿宋" w:eastAsia="仿宋" w:cs="仿宋"/>
          <w:kern w:val="0"/>
        </w:rPr>
        <w:t>谈判小组成员到位后，推举其中一位评审专家担任评审组长，并由评审组长牵头组织该项目评审工作。</w:t>
      </w:r>
    </w:p>
    <w:p w14:paraId="5B06CD9C">
      <w:pPr>
        <w:pStyle w:val="24"/>
        <w:ind w:firstLine="480"/>
        <w:rPr>
          <w:rFonts w:hint="eastAsia" w:ascii="仿宋" w:hAnsi="仿宋" w:eastAsia="仿宋" w:cs="仿宋"/>
          <w:kern w:val="0"/>
        </w:rPr>
      </w:pPr>
      <w:r>
        <w:rPr>
          <w:rFonts w:hint="eastAsia" w:ascii="仿宋" w:hAnsi="仿宋" w:eastAsia="仿宋" w:cs="仿宋"/>
          <w:kern w:val="0"/>
        </w:rPr>
        <w:t>1、资格性检查。依据法律法规和采购文件的规定，对响应文件中的资格证明等进行审查，以确定供应商是否具备谈判资格。资格性检查不合格的，将失去供应商资格。资格性检查资料表如下：</w:t>
      </w:r>
    </w:p>
    <w:p w14:paraId="034BC82D">
      <w:pPr>
        <w:pStyle w:val="24"/>
        <w:ind w:firstLine="480"/>
        <w:rPr>
          <w:rFonts w:hint="eastAsia" w:ascii="仿宋" w:hAnsi="仿宋" w:eastAsia="仿宋" w:cs="仿宋"/>
          <w:kern w:val="0"/>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659"/>
        <w:gridCol w:w="3443"/>
        <w:gridCol w:w="3850"/>
      </w:tblGrid>
      <w:tr w14:paraId="5BF2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14:paraId="3A1998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r>
              <w:rPr>
                <w:rFonts w:hint="eastAsia" w:ascii="仿宋" w:hAnsi="仿宋" w:eastAsia="仿宋" w:cs="宋体"/>
                <w:kern w:val="0"/>
                <w:sz w:val="24"/>
                <w:szCs w:val="24"/>
              </w:rPr>
              <w:t>序号</w:t>
            </w:r>
          </w:p>
        </w:tc>
        <w:tc>
          <w:tcPr>
            <w:tcW w:w="5102" w:type="dxa"/>
            <w:gridSpan w:val="2"/>
            <w:noWrap w:val="0"/>
            <w:vAlign w:val="center"/>
          </w:tcPr>
          <w:p w14:paraId="22B8FA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r>
              <w:rPr>
                <w:rFonts w:hint="eastAsia" w:ascii="仿宋" w:hAnsi="仿宋" w:eastAsia="仿宋" w:cs="宋体"/>
                <w:kern w:val="0"/>
                <w:sz w:val="24"/>
                <w:szCs w:val="24"/>
              </w:rPr>
              <w:t>检查因素</w:t>
            </w:r>
          </w:p>
        </w:tc>
        <w:tc>
          <w:tcPr>
            <w:tcW w:w="3850" w:type="dxa"/>
            <w:noWrap w:val="0"/>
            <w:vAlign w:val="center"/>
          </w:tcPr>
          <w:p w14:paraId="0A02D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r>
              <w:rPr>
                <w:rFonts w:hint="eastAsia" w:ascii="仿宋" w:hAnsi="仿宋" w:eastAsia="仿宋" w:cs="宋体"/>
                <w:kern w:val="0"/>
                <w:sz w:val="24"/>
                <w:szCs w:val="24"/>
              </w:rPr>
              <w:t>检查内容</w:t>
            </w:r>
          </w:p>
        </w:tc>
      </w:tr>
      <w:tr w14:paraId="0BDE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noWrap w:val="0"/>
            <w:vAlign w:val="center"/>
          </w:tcPr>
          <w:p w14:paraId="0838D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r>
              <w:rPr>
                <w:rFonts w:hint="eastAsia" w:ascii="仿宋" w:hAnsi="仿宋" w:eastAsia="仿宋" w:cs="宋体"/>
                <w:kern w:val="0"/>
                <w:sz w:val="24"/>
                <w:szCs w:val="24"/>
              </w:rPr>
              <w:t>1</w:t>
            </w:r>
          </w:p>
        </w:tc>
        <w:tc>
          <w:tcPr>
            <w:tcW w:w="1659" w:type="dxa"/>
            <w:vMerge w:val="restart"/>
            <w:noWrap w:val="0"/>
            <w:vAlign w:val="center"/>
          </w:tcPr>
          <w:p w14:paraId="7ECAA47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lang w:val="zh-CN"/>
              </w:rPr>
            </w:pPr>
            <w:r>
              <w:rPr>
                <w:rFonts w:hint="eastAsia" w:ascii="仿宋" w:hAnsi="仿宋" w:eastAsia="仿宋" w:cs="宋体"/>
                <w:kern w:val="0"/>
                <w:sz w:val="24"/>
                <w:szCs w:val="24"/>
                <w:lang w:val="zh-CN"/>
              </w:rPr>
              <w:t>投标人应符合的基本资格条件</w:t>
            </w:r>
          </w:p>
        </w:tc>
        <w:tc>
          <w:tcPr>
            <w:tcW w:w="3443" w:type="dxa"/>
            <w:noWrap w:val="0"/>
            <w:vAlign w:val="center"/>
          </w:tcPr>
          <w:p w14:paraId="113717D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r>
              <w:rPr>
                <w:rFonts w:hint="eastAsia" w:ascii="仿宋" w:hAnsi="仿宋" w:eastAsia="仿宋" w:cs="宋体"/>
                <w:kern w:val="0"/>
                <w:sz w:val="24"/>
                <w:szCs w:val="24"/>
              </w:rPr>
              <w:t>（1）具有独立承担民事责任的能力</w:t>
            </w:r>
          </w:p>
        </w:tc>
        <w:tc>
          <w:tcPr>
            <w:tcW w:w="3850" w:type="dxa"/>
            <w:noWrap w:val="0"/>
            <w:vAlign w:val="center"/>
          </w:tcPr>
          <w:p w14:paraId="3197BA2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仿宋" w:hAnsi="仿宋" w:eastAsia="仿宋" w:cs="宋体"/>
                <w:kern w:val="0"/>
                <w:sz w:val="24"/>
                <w:szCs w:val="24"/>
              </w:rPr>
            </w:pPr>
            <w:r>
              <w:rPr>
                <w:rFonts w:hint="eastAsia" w:ascii="仿宋" w:hAnsi="仿宋" w:eastAsia="仿宋" w:cs="宋体"/>
                <w:kern w:val="0"/>
                <w:sz w:val="24"/>
                <w:szCs w:val="24"/>
              </w:rPr>
              <w:t xml:space="preserve">投标人法人营业执照（副本）或事业单位法人证书（副本）或个体工商户营业执照或有效的自然人身份证明复印件； </w:t>
            </w:r>
          </w:p>
          <w:p w14:paraId="5A47AF1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r>
              <w:rPr>
                <w:rFonts w:hint="eastAsia" w:ascii="仿宋" w:hAnsi="仿宋" w:eastAsia="仿宋" w:cs="宋体"/>
                <w:kern w:val="0"/>
                <w:sz w:val="24"/>
                <w:szCs w:val="24"/>
              </w:rPr>
              <w:t>投标人法定代表人身份证明和法定代表人授权代表委托书。</w:t>
            </w:r>
          </w:p>
        </w:tc>
      </w:tr>
      <w:tr w14:paraId="4129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76" w:type="dxa"/>
            <w:vMerge w:val="continue"/>
            <w:noWrap w:val="0"/>
            <w:vAlign w:val="center"/>
          </w:tcPr>
          <w:p w14:paraId="4F9E75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p>
        </w:tc>
        <w:tc>
          <w:tcPr>
            <w:tcW w:w="1659" w:type="dxa"/>
            <w:vMerge w:val="continue"/>
            <w:noWrap w:val="0"/>
            <w:vAlign w:val="center"/>
          </w:tcPr>
          <w:p w14:paraId="75C16D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lang w:val="zh-CN"/>
              </w:rPr>
            </w:pPr>
          </w:p>
        </w:tc>
        <w:tc>
          <w:tcPr>
            <w:tcW w:w="3443" w:type="dxa"/>
            <w:noWrap w:val="0"/>
            <w:vAlign w:val="center"/>
          </w:tcPr>
          <w:p w14:paraId="340F56F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lang w:val="zh-CN"/>
              </w:rPr>
            </w:pPr>
            <w:r>
              <w:rPr>
                <w:rFonts w:hint="eastAsia" w:ascii="仿宋" w:hAnsi="仿宋" w:eastAsia="仿宋" w:cs="宋体"/>
                <w:kern w:val="0"/>
                <w:sz w:val="24"/>
                <w:szCs w:val="24"/>
                <w:lang w:val="zh-CN"/>
              </w:rPr>
              <w:t>（</w:t>
            </w:r>
            <w:r>
              <w:rPr>
                <w:rFonts w:hint="eastAsia" w:ascii="仿宋" w:hAnsi="仿宋" w:eastAsia="仿宋" w:cs="宋体"/>
                <w:kern w:val="0"/>
                <w:sz w:val="24"/>
                <w:szCs w:val="24"/>
              </w:rPr>
              <w:t>2</w:t>
            </w:r>
            <w:r>
              <w:rPr>
                <w:rFonts w:hint="eastAsia" w:ascii="仿宋" w:hAnsi="仿宋" w:eastAsia="仿宋" w:cs="宋体"/>
                <w:kern w:val="0"/>
                <w:sz w:val="24"/>
                <w:szCs w:val="24"/>
                <w:lang w:val="zh-CN"/>
              </w:rPr>
              <w:t>）具有履行合同所必需的设备和专业技术能力</w:t>
            </w:r>
          </w:p>
        </w:tc>
        <w:tc>
          <w:tcPr>
            <w:tcW w:w="3850" w:type="dxa"/>
            <w:noWrap w:val="0"/>
            <w:vAlign w:val="center"/>
          </w:tcPr>
          <w:p w14:paraId="603423E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r>
              <w:rPr>
                <w:rFonts w:hint="eastAsia" w:ascii="仿宋" w:hAnsi="仿宋" w:eastAsia="仿宋" w:cs="宋体"/>
                <w:kern w:val="0"/>
                <w:sz w:val="24"/>
                <w:szCs w:val="24"/>
              </w:rPr>
              <w:t>投标人提供书面声明或相关证明材料（见格式文件）</w:t>
            </w:r>
          </w:p>
        </w:tc>
      </w:tr>
      <w:tr w14:paraId="72F8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noWrap w:val="0"/>
            <w:vAlign w:val="center"/>
          </w:tcPr>
          <w:p w14:paraId="35CBED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p>
        </w:tc>
        <w:tc>
          <w:tcPr>
            <w:tcW w:w="1659" w:type="dxa"/>
            <w:vMerge w:val="continue"/>
            <w:noWrap w:val="0"/>
            <w:vAlign w:val="center"/>
          </w:tcPr>
          <w:p w14:paraId="6D548D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lang w:val="zh-CN"/>
              </w:rPr>
            </w:pPr>
          </w:p>
        </w:tc>
        <w:tc>
          <w:tcPr>
            <w:tcW w:w="3443" w:type="dxa"/>
            <w:noWrap w:val="0"/>
            <w:vAlign w:val="center"/>
          </w:tcPr>
          <w:p w14:paraId="5C3483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lang w:val="zh-CN"/>
              </w:rPr>
            </w:pPr>
            <w:r>
              <w:rPr>
                <w:rFonts w:hint="eastAsia" w:ascii="仿宋" w:hAnsi="仿宋" w:eastAsia="仿宋" w:cs="宋体"/>
                <w:kern w:val="0"/>
                <w:sz w:val="24"/>
                <w:szCs w:val="24"/>
              </w:rPr>
              <w:t>（3）参加政府采购活动前三年内，在经营活动中没有重大违法记录</w:t>
            </w:r>
          </w:p>
        </w:tc>
        <w:tc>
          <w:tcPr>
            <w:tcW w:w="3850" w:type="dxa"/>
            <w:noWrap w:val="0"/>
            <w:vAlign w:val="center"/>
          </w:tcPr>
          <w:p w14:paraId="49127AA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 w:hAnsi="仿宋" w:eastAsia="仿宋" w:cs="宋体"/>
                <w:kern w:val="0"/>
                <w:sz w:val="24"/>
                <w:szCs w:val="24"/>
                <w:lang w:val="en-US" w:eastAsia="zh-CN"/>
              </w:rPr>
            </w:pPr>
            <w:r>
              <w:rPr>
                <w:rFonts w:hint="eastAsia" w:ascii="仿宋" w:hAnsi="仿宋" w:eastAsia="仿宋" w:cs="宋体"/>
                <w:kern w:val="0"/>
                <w:sz w:val="24"/>
                <w:szCs w:val="24"/>
              </w:rPr>
              <w:t>1.投标人提供书面声明（见格式文件）；</w:t>
            </w:r>
            <w:r>
              <w:rPr>
                <w:rFonts w:hint="eastAsia" w:ascii="仿宋" w:hAnsi="仿宋" w:eastAsia="仿宋" w:cs="宋体"/>
                <w:kern w:val="0"/>
                <w:sz w:val="24"/>
                <w:szCs w:val="24"/>
                <w:lang w:val="en-US" w:eastAsia="zh-CN"/>
              </w:rPr>
              <w:t>提供相关网站截图。</w:t>
            </w:r>
          </w:p>
          <w:p w14:paraId="7011F0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r>
              <w:rPr>
                <w:rFonts w:hint="eastAsia" w:ascii="仿宋" w:hAnsi="仿宋" w:eastAsia="仿宋" w:cs="宋体"/>
                <w:kern w:val="0"/>
                <w:sz w:val="24"/>
                <w:szCs w:val="24"/>
              </w:rPr>
              <w:t>2.采购人或采购代理机构将通过信用网站等渠道查询投标人信用记录，对列入失信被执行人、严重失信主体名单、政府采购严重违法失信行为记录名单的投标人将拒绝其参与政府采购活动。</w:t>
            </w:r>
          </w:p>
        </w:tc>
      </w:tr>
      <w:tr w14:paraId="1703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76" w:type="dxa"/>
            <w:vMerge w:val="continue"/>
            <w:noWrap w:val="0"/>
            <w:vAlign w:val="center"/>
          </w:tcPr>
          <w:p w14:paraId="38E51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kern w:val="0"/>
                <w:sz w:val="24"/>
                <w:szCs w:val="24"/>
              </w:rPr>
            </w:pPr>
          </w:p>
        </w:tc>
        <w:tc>
          <w:tcPr>
            <w:tcW w:w="1659" w:type="dxa"/>
            <w:vMerge w:val="continue"/>
            <w:noWrap w:val="0"/>
            <w:vAlign w:val="center"/>
          </w:tcPr>
          <w:p w14:paraId="052053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p>
        </w:tc>
        <w:tc>
          <w:tcPr>
            <w:tcW w:w="3443" w:type="dxa"/>
            <w:noWrap w:val="0"/>
            <w:vAlign w:val="center"/>
          </w:tcPr>
          <w:p w14:paraId="0D8FCD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kern w:val="0"/>
                <w:sz w:val="24"/>
                <w:szCs w:val="24"/>
              </w:rPr>
            </w:pPr>
            <w:r>
              <w:rPr>
                <w:rFonts w:hint="eastAsia" w:ascii="仿宋" w:hAnsi="仿宋" w:eastAsia="仿宋" w:cs="宋体"/>
                <w:kern w:val="0"/>
                <w:sz w:val="24"/>
                <w:szCs w:val="24"/>
              </w:rPr>
              <w:t>（4）法律、行政法规规定的其他条件</w:t>
            </w:r>
          </w:p>
        </w:tc>
        <w:tc>
          <w:tcPr>
            <w:tcW w:w="3850" w:type="dxa"/>
            <w:noWrap w:val="0"/>
            <w:vAlign w:val="center"/>
          </w:tcPr>
          <w:p w14:paraId="0FF20EB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仿宋" w:hAnsi="仿宋" w:eastAsia="仿宋" w:cs="仿宋"/>
                <w:kern w:val="0"/>
                <w:sz w:val="24"/>
                <w:szCs w:val="24"/>
                <w:lang w:val="en-US" w:eastAsia="zh-CN"/>
              </w:rPr>
            </w:pPr>
            <w:r>
              <w:rPr>
                <w:rFonts w:hint="eastAsia" w:ascii="仿宋" w:hAnsi="仿宋" w:eastAsia="仿宋" w:cs="宋体"/>
                <w:kern w:val="0"/>
                <w:sz w:val="24"/>
                <w:szCs w:val="24"/>
                <w:lang w:val="en-US" w:eastAsia="zh-CN"/>
              </w:rPr>
              <w:t>面向中小企业</w:t>
            </w:r>
          </w:p>
        </w:tc>
      </w:tr>
    </w:tbl>
    <w:p w14:paraId="69EE8BEE">
      <w:pPr>
        <w:spacing w:line="560" w:lineRule="exact"/>
        <w:rPr>
          <w:rFonts w:hint="eastAsia" w:ascii="仿宋" w:hAnsi="仿宋" w:eastAsia="仿宋" w:cs="仿宋"/>
          <w:kern w:val="0"/>
          <w:sz w:val="24"/>
          <w:szCs w:val="24"/>
        </w:rPr>
      </w:pPr>
      <w:r>
        <w:rPr>
          <w:rFonts w:hint="eastAsia" w:ascii="仿宋" w:hAnsi="仿宋" w:eastAsia="仿宋" w:cs="仿宋"/>
          <w:kern w:val="0"/>
          <w:sz w:val="24"/>
          <w:szCs w:val="24"/>
        </w:rPr>
        <w:t>注：</w:t>
      </w:r>
    </w:p>
    <w:p w14:paraId="7F5E802C">
      <w:pPr>
        <w:numPr>
          <w:ilvl w:val="0"/>
          <w:numId w:val="6"/>
        </w:numPr>
        <w:spacing w:line="560" w:lineRule="exact"/>
        <w:ind w:left="0" w:firstLine="480"/>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highlight w:val="none"/>
          <w:lang w:val="en-US" w:eastAsia="zh-CN" w:bidi="ar-SA"/>
        </w:rPr>
        <w:t>投标人提供有效的三证合一营业执照（副本）复印件。</w:t>
      </w:r>
    </w:p>
    <w:p w14:paraId="60C5F015">
      <w:pPr>
        <w:pStyle w:val="24"/>
        <w:ind w:firstLine="480"/>
        <w:rPr>
          <w:rFonts w:hint="eastAsia" w:ascii="仿宋" w:hAnsi="仿宋" w:eastAsia="仿宋" w:cs="Times New Roman"/>
          <w:color w:val="auto"/>
          <w:kern w:val="0"/>
          <w:sz w:val="24"/>
          <w:szCs w:val="24"/>
          <w:highlight w:val="none"/>
          <w:lang w:val="en-US" w:eastAsia="zh-CN" w:bidi="ar-SA"/>
        </w:rPr>
      </w:pPr>
      <w:r>
        <w:rPr>
          <w:rFonts w:hint="default" w:ascii="Calibri" w:hAnsi="Calibri" w:eastAsia="仿宋" w:cs="Calibri"/>
          <w:color w:val="auto"/>
          <w:kern w:val="0"/>
          <w:sz w:val="24"/>
          <w:szCs w:val="24"/>
          <w:highlight w:val="none"/>
          <w:lang w:val="en-US" w:eastAsia="zh-CN" w:bidi="ar-SA"/>
        </w:rPr>
        <w:t>②</w:t>
      </w:r>
      <w:r>
        <w:rPr>
          <w:rFonts w:hint="eastAsia" w:ascii="仿宋" w:hAnsi="仿宋" w:eastAsia="仿宋" w:cs="Times New Roman"/>
          <w:color w:val="auto"/>
          <w:kern w:val="0"/>
          <w:sz w:val="24"/>
          <w:szCs w:val="24"/>
          <w:highlight w:val="none"/>
          <w:lang w:val="en-US" w:eastAsia="zh-CN" w:bidi="ar-SA"/>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4822D61F">
      <w:pPr>
        <w:pStyle w:val="24"/>
        <w:ind w:firstLine="480"/>
        <w:rPr>
          <w:rFonts w:hint="eastAsia" w:ascii="仿宋" w:hAnsi="仿宋" w:eastAsia="仿宋" w:cs="仿宋"/>
          <w:kern w:val="0"/>
        </w:rPr>
      </w:pPr>
      <w:r>
        <w:rPr>
          <w:rFonts w:hint="eastAsia" w:ascii="仿宋" w:hAnsi="仿宋" w:eastAsia="仿宋" w:cs="仿宋"/>
          <w:kern w:val="0"/>
        </w:rPr>
        <w:t>2、符合性检查。依据采购文件的规定，从响应文件的有效性、完整性和对采购文件的响应程度进行审查，以确定是否对采购文件的实质性要求作出响应。符合性检查不合格的，将按响应文件无效处理。符合性检查资料表如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294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1457D4A">
            <w:pPr>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3544" w:type="dxa"/>
            <w:gridSpan w:val="2"/>
            <w:noWrap w:val="0"/>
            <w:vAlign w:val="center"/>
          </w:tcPr>
          <w:p w14:paraId="4D82D839">
            <w:pPr>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评审因素</w:t>
            </w:r>
          </w:p>
        </w:tc>
        <w:tc>
          <w:tcPr>
            <w:tcW w:w="5409" w:type="dxa"/>
            <w:noWrap w:val="0"/>
            <w:vAlign w:val="center"/>
          </w:tcPr>
          <w:p w14:paraId="77FDE329">
            <w:pPr>
              <w:spacing w:line="32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评审标准</w:t>
            </w:r>
          </w:p>
        </w:tc>
      </w:tr>
      <w:tr w14:paraId="126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2FFC29FB">
            <w:pPr>
              <w:spacing w:line="32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560" w:type="dxa"/>
            <w:vMerge w:val="restart"/>
            <w:noWrap w:val="0"/>
            <w:vAlign w:val="center"/>
          </w:tcPr>
          <w:p w14:paraId="737F074C">
            <w:pPr>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有效性审查</w:t>
            </w:r>
          </w:p>
        </w:tc>
        <w:tc>
          <w:tcPr>
            <w:tcW w:w="1984" w:type="dxa"/>
            <w:noWrap w:val="0"/>
            <w:vAlign w:val="center"/>
          </w:tcPr>
          <w:p w14:paraId="687B77EF">
            <w:pPr>
              <w:spacing w:line="320" w:lineRule="exact"/>
              <w:rPr>
                <w:rFonts w:hint="eastAsia" w:ascii="仿宋" w:hAnsi="仿宋" w:eastAsia="仿宋" w:cs="仿宋"/>
                <w:kern w:val="0"/>
                <w:sz w:val="24"/>
                <w:szCs w:val="24"/>
              </w:rPr>
            </w:pPr>
            <w:r>
              <w:rPr>
                <w:rFonts w:hint="eastAsia" w:ascii="仿宋" w:hAnsi="仿宋" w:eastAsia="仿宋" w:cs="仿宋"/>
                <w:sz w:val="24"/>
                <w:szCs w:val="24"/>
              </w:rPr>
              <w:t>响应文件签署</w:t>
            </w:r>
          </w:p>
        </w:tc>
        <w:tc>
          <w:tcPr>
            <w:tcW w:w="5409" w:type="dxa"/>
            <w:noWrap w:val="0"/>
            <w:vAlign w:val="center"/>
          </w:tcPr>
          <w:p w14:paraId="30780AF9">
            <w:pPr>
              <w:spacing w:line="320" w:lineRule="exact"/>
              <w:rPr>
                <w:rFonts w:hint="eastAsia" w:ascii="仿宋" w:hAnsi="仿宋" w:eastAsia="仿宋" w:cs="仿宋"/>
                <w:kern w:val="0"/>
                <w:sz w:val="24"/>
                <w:szCs w:val="24"/>
              </w:rPr>
            </w:pPr>
            <w:r>
              <w:rPr>
                <w:rFonts w:hint="eastAsia" w:ascii="仿宋" w:hAnsi="仿宋" w:eastAsia="仿宋" w:cs="仿宋"/>
                <w:sz w:val="24"/>
                <w:szCs w:val="24"/>
              </w:rPr>
              <w:t>响应文件上法定代表人或其授权代表人的签字齐全。</w:t>
            </w:r>
          </w:p>
        </w:tc>
      </w:tr>
      <w:tr w14:paraId="40E2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39B9DB74">
            <w:pPr>
              <w:spacing w:line="320" w:lineRule="exact"/>
              <w:jc w:val="center"/>
              <w:rPr>
                <w:rFonts w:hint="eastAsia" w:ascii="仿宋" w:hAnsi="仿宋" w:eastAsia="仿宋" w:cs="仿宋"/>
                <w:kern w:val="0"/>
                <w:sz w:val="24"/>
                <w:szCs w:val="24"/>
              </w:rPr>
            </w:pPr>
          </w:p>
        </w:tc>
        <w:tc>
          <w:tcPr>
            <w:tcW w:w="1560" w:type="dxa"/>
            <w:vMerge w:val="continue"/>
            <w:noWrap w:val="0"/>
            <w:vAlign w:val="center"/>
          </w:tcPr>
          <w:p w14:paraId="37D879F1">
            <w:pPr>
              <w:spacing w:line="320" w:lineRule="exact"/>
              <w:rPr>
                <w:rFonts w:hint="eastAsia" w:ascii="仿宋" w:hAnsi="仿宋" w:eastAsia="仿宋" w:cs="仿宋"/>
                <w:kern w:val="0"/>
                <w:sz w:val="24"/>
                <w:szCs w:val="24"/>
              </w:rPr>
            </w:pPr>
          </w:p>
        </w:tc>
        <w:tc>
          <w:tcPr>
            <w:tcW w:w="1984" w:type="dxa"/>
            <w:noWrap w:val="0"/>
            <w:vAlign w:val="center"/>
          </w:tcPr>
          <w:p w14:paraId="693BC93D">
            <w:pPr>
              <w:spacing w:line="320" w:lineRule="exact"/>
              <w:rPr>
                <w:rFonts w:hint="eastAsia" w:ascii="仿宋" w:hAnsi="仿宋" w:eastAsia="仿宋" w:cs="仿宋"/>
                <w:sz w:val="24"/>
                <w:szCs w:val="24"/>
                <w:lang w:val="zh-CN"/>
              </w:rPr>
            </w:pPr>
            <w:r>
              <w:rPr>
                <w:rFonts w:hint="eastAsia" w:ascii="仿宋" w:hAnsi="仿宋" w:eastAsia="仿宋" w:cs="仿宋"/>
                <w:sz w:val="24"/>
                <w:szCs w:val="24"/>
                <w:lang w:val="zh-CN"/>
              </w:rPr>
              <w:t>法定代表人授权委托书及被授权人身份证明</w:t>
            </w:r>
          </w:p>
        </w:tc>
        <w:tc>
          <w:tcPr>
            <w:tcW w:w="5409" w:type="dxa"/>
            <w:noWrap w:val="0"/>
            <w:vAlign w:val="center"/>
          </w:tcPr>
          <w:p w14:paraId="03831B9A">
            <w:pPr>
              <w:spacing w:line="320" w:lineRule="exact"/>
              <w:rPr>
                <w:rFonts w:hint="eastAsia" w:ascii="仿宋" w:hAnsi="仿宋" w:eastAsia="仿宋" w:cs="仿宋"/>
                <w:sz w:val="24"/>
                <w:szCs w:val="24"/>
              </w:rPr>
            </w:pPr>
            <w:r>
              <w:rPr>
                <w:rFonts w:hint="eastAsia" w:ascii="仿宋" w:hAnsi="仿宋" w:eastAsia="仿宋" w:cs="仿宋"/>
                <w:sz w:val="24"/>
                <w:szCs w:val="24"/>
              </w:rPr>
              <w:t>法定代表人授权委托书及被授权人身份证明有效，符合采购文件规定的格式，签字或盖章齐全。</w:t>
            </w:r>
          </w:p>
        </w:tc>
      </w:tr>
      <w:tr w14:paraId="0D21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14816BF1">
            <w:pPr>
              <w:spacing w:line="320" w:lineRule="exact"/>
              <w:jc w:val="center"/>
              <w:rPr>
                <w:rFonts w:hint="eastAsia" w:ascii="仿宋" w:hAnsi="仿宋" w:eastAsia="仿宋" w:cs="仿宋"/>
                <w:kern w:val="0"/>
                <w:sz w:val="24"/>
                <w:szCs w:val="24"/>
              </w:rPr>
            </w:pPr>
          </w:p>
        </w:tc>
        <w:tc>
          <w:tcPr>
            <w:tcW w:w="1560" w:type="dxa"/>
            <w:vMerge w:val="continue"/>
            <w:noWrap w:val="0"/>
            <w:vAlign w:val="center"/>
          </w:tcPr>
          <w:p w14:paraId="4374EEB6">
            <w:pPr>
              <w:spacing w:line="320" w:lineRule="exact"/>
              <w:rPr>
                <w:rFonts w:hint="eastAsia" w:ascii="仿宋" w:hAnsi="仿宋" w:eastAsia="仿宋" w:cs="仿宋"/>
                <w:kern w:val="0"/>
                <w:sz w:val="24"/>
                <w:szCs w:val="24"/>
              </w:rPr>
            </w:pPr>
          </w:p>
        </w:tc>
        <w:tc>
          <w:tcPr>
            <w:tcW w:w="1984" w:type="dxa"/>
            <w:noWrap w:val="0"/>
            <w:vAlign w:val="center"/>
          </w:tcPr>
          <w:p w14:paraId="1A27D32C">
            <w:pPr>
              <w:spacing w:line="320" w:lineRule="exact"/>
              <w:rPr>
                <w:rFonts w:hint="eastAsia" w:ascii="仿宋" w:hAnsi="仿宋" w:eastAsia="仿宋" w:cs="仿宋"/>
                <w:sz w:val="24"/>
                <w:szCs w:val="24"/>
                <w:lang w:val="zh-CN"/>
              </w:rPr>
            </w:pPr>
            <w:r>
              <w:rPr>
                <w:rFonts w:hint="eastAsia" w:ascii="仿宋" w:hAnsi="仿宋" w:eastAsia="仿宋" w:cs="仿宋"/>
                <w:sz w:val="24"/>
                <w:szCs w:val="24"/>
                <w:lang w:val="zh-CN"/>
              </w:rPr>
              <w:t>响应方案</w:t>
            </w:r>
          </w:p>
        </w:tc>
        <w:tc>
          <w:tcPr>
            <w:tcW w:w="5409" w:type="dxa"/>
            <w:noWrap w:val="0"/>
            <w:vAlign w:val="center"/>
          </w:tcPr>
          <w:p w14:paraId="15CF727D">
            <w:pPr>
              <w:spacing w:line="320" w:lineRule="exact"/>
              <w:rPr>
                <w:rFonts w:hint="eastAsia" w:ascii="仿宋" w:hAnsi="仿宋" w:eastAsia="仿宋" w:cs="仿宋"/>
                <w:kern w:val="0"/>
                <w:sz w:val="24"/>
                <w:szCs w:val="24"/>
              </w:rPr>
            </w:pPr>
            <w:r>
              <w:rPr>
                <w:rFonts w:hint="eastAsia" w:ascii="仿宋" w:hAnsi="仿宋" w:eastAsia="仿宋" w:cs="仿宋"/>
                <w:sz w:val="24"/>
                <w:szCs w:val="24"/>
                <w:lang w:val="zh-CN"/>
              </w:rPr>
              <w:t>只能有一个响应方案。</w:t>
            </w:r>
          </w:p>
        </w:tc>
      </w:tr>
      <w:tr w14:paraId="4038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D61232">
            <w:pPr>
              <w:spacing w:line="320" w:lineRule="exact"/>
              <w:jc w:val="center"/>
              <w:rPr>
                <w:rFonts w:hint="eastAsia" w:ascii="仿宋" w:hAnsi="仿宋" w:eastAsia="仿宋" w:cs="仿宋"/>
                <w:kern w:val="0"/>
                <w:sz w:val="24"/>
                <w:szCs w:val="24"/>
              </w:rPr>
            </w:pPr>
          </w:p>
        </w:tc>
        <w:tc>
          <w:tcPr>
            <w:tcW w:w="1560" w:type="dxa"/>
            <w:vMerge w:val="continue"/>
            <w:noWrap w:val="0"/>
            <w:vAlign w:val="center"/>
          </w:tcPr>
          <w:p w14:paraId="037F766C">
            <w:pPr>
              <w:spacing w:line="320" w:lineRule="exact"/>
              <w:rPr>
                <w:rFonts w:hint="eastAsia" w:ascii="仿宋" w:hAnsi="仿宋" w:eastAsia="仿宋" w:cs="仿宋"/>
                <w:kern w:val="0"/>
                <w:sz w:val="24"/>
                <w:szCs w:val="24"/>
              </w:rPr>
            </w:pPr>
          </w:p>
        </w:tc>
        <w:tc>
          <w:tcPr>
            <w:tcW w:w="1984" w:type="dxa"/>
            <w:noWrap w:val="0"/>
            <w:vAlign w:val="center"/>
          </w:tcPr>
          <w:p w14:paraId="5FCFE75D">
            <w:pPr>
              <w:spacing w:line="320" w:lineRule="exact"/>
              <w:rPr>
                <w:rFonts w:hint="eastAsia" w:ascii="仿宋" w:hAnsi="仿宋" w:eastAsia="仿宋" w:cs="仿宋"/>
                <w:sz w:val="24"/>
                <w:szCs w:val="24"/>
                <w:lang w:val="zh-CN"/>
              </w:rPr>
            </w:pPr>
            <w:r>
              <w:rPr>
                <w:rFonts w:hint="eastAsia" w:ascii="仿宋" w:hAnsi="仿宋" w:eastAsia="仿宋" w:cs="仿宋"/>
                <w:sz w:val="24"/>
                <w:szCs w:val="24"/>
              </w:rPr>
              <w:t>报价唯一</w:t>
            </w:r>
          </w:p>
        </w:tc>
        <w:tc>
          <w:tcPr>
            <w:tcW w:w="5409" w:type="dxa"/>
            <w:noWrap w:val="0"/>
            <w:vAlign w:val="center"/>
          </w:tcPr>
          <w:p w14:paraId="30B498F7">
            <w:pPr>
              <w:spacing w:line="320" w:lineRule="exac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lang w:val="zh-CN"/>
              </w:rPr>
              <w:t>只能在采购预算范围内报价，</w:t>
            </w:r>
            <w:r>
              <w:rPr>
                <w:rFonts w:hint="eastAsia" w:ascii="仿宋" w:hAnsi="仿宋" w:eastAsia="仿宋" w:cs="仿宋"/>
                <w:color w:val="auto"/>
                <w:sz w:val="24"/>
                <w:szCs w:val="24"/>
                <w:highlight w:val="none"/>
              </w:rPr>
              <w:t>只能有一个有效报价，不得提交选择性报价。</w:t>
            </w:r>
            <w:r>
              <w:rPr>
                <w:rFonts w:hint="eastAsia" w:ascii="仿宋" w:hAnsi="仿宋" w:eastAsia="仿宋" w:cs="仿宋"/>
                <w:b/>
                <w:bCs/>
                <w:color w:val="auto"/>
                <w:highlight w:val="none"/>
              </w:rPr>
              <w:t>如</w:t>
            </w:r>
            <w:r>
              <w:rPr>
                <w:rFonts w:hint="eastAsia" w:ascii="仿宋" w:hAnsi="仿宋" w:eastAsia="仿宋" w:cs="仿宋"/>
                <w:b/>
                <w:bCs/>
                <w:color w:val="auto"/>
                <w:highlight w:val="none"/>
                <w:lang w:eastAsia="zh-CN"/>
              </w:rPr>
              <w:t>谈判</w:t>
            </w:r>
            <w:r>
              <w:rPr>
                <w:rFonts w:hint="eastAsia" w:ascii="仿宋" w:hAnsi="仿宋" w:eastAsia="仿宋" w:cs="仿宋"/>
                <w:b/>
                <w:bCs/>
                <w:color w:val="auto"/>
                <w:highlight w:val="none"/>
              </w:rPr>
              <w:t>过程中，采购需求发生实质性变化造成最终报价高于上次报价为有效报价；否则，报价</w:t>
            </w:r>
            <w:r>
              <w:rPr>
                <w:rFonts w:hint="eastAsia" w:ascii="仿宋" w:hAnsi="仿宋" w:eastAsia="仿宋" w:cs="仿宋"/>
                <w:b/>
                <w:bCs/>
                <w:color w:val="auto"/>
                <w:highlight w:val="none"/>
                <w:lang w:val="en-US" w:eastAsia="zh-CN"/>
              </w:rPr>
              <w:t>为</w:t>
            </w:r>
            <w:r>
              <w:rPr>
                <w:rFonts w:hint="eastAsia" w:ascii="仿宋" w:hAnsi="仿宋" w:eastAsia="仿宋" w:cs="仿宋"/>
                <w:b/>
                <w:bCs/>
                <w:color w:val="auto"/>
                <w:highlight w:val="none"/>
                <w:lang w:eastAsia="zh-CN"/>
              </w:rPr>
              <w:t>无效报价</w:t>
            </w:r>
            <w:r>
              <w:rPr>
                <w:rFonts w:hint="eastAsia" w:ascii="仿宋" w:hAnsi="仿宋" w:eastAsia="仿宋" w:cs="仿宋"/>
                <w:b/>
                <w:bCs/>
                <w:color w:val="auto"/>
                <w:highlight w:val="none"/>
              </w:rPr>
              <w:t>。</w:t>
            </w:r>
          </w:p>
        </w:tc>
      </w:tr>
      <w:tr w14:paraId="13DB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675" w:type="dxa"/>
            <w:noWrap w:val="0"/>
            <w:vAlign w:val="center"/>
          </w:tcPr>
          <w:p w14:paraId="55300B70">
            <w:pPr>
              <w:spacing w:line="32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560" w:type="dxa"/>
            <w:noWrap w:val="0"/>
            <w:vAlign w:val="center"/>
          </w:tcPr>
          <w:p w14:paraId="5D018097">
            <w:pPr>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完整性审查</w:t>
            </w:r>
          </w:p>
        </w:tc>
        <w:tc>
          <w:tcPr>
            <w:tcW w:w="1984" w:type="dxa"/>
            <w:noWrap w:val="0"/>
            <w:vAlign w:val="center"/>
          </w:tcPr>
          <w:p w14:paraId="34DD5A0B">
            <w:pPr>
              <w:spacing w:line="320" w:lineRule="exact"/>
              <w:rPr>
                <w:rFonts w:hint="eastAsia" w:ascii="仿宋" w:hAnsi="仿宋" w:eastAsia="仿宋" w:cs="仿宋"/>
                <w:kern w:val="0"/>
                <w:sz w:val="24"/>
                <w:szCs w:val="24"/>
              </w:rPr>
            </w:pPr>
            <w:r>
              <w:rPr>
                <w:rFonts w:hint="eastAsia" w:ascii="仿宋" w:hAnsi="仿宋" w:eastAsia="仿宋" w:cs="仿宋"/>
                <w:sz w:val="24"/>
                <w:szCs w:val="24"/>
                <w:lang w:val="zh-CN"/>
              </w:rPr>
              <w:t>响应文件内容</w:t>
            </w:r>
          </w:p>
        </w:tc>
        <w:tc>
          <w:tcPr>
            <w:tcW w:w="5409" w:type="dxa"/>
            <w:noWrap w:val="0"/>
            <w:vAlign w:val="center"/>
          </w:tcPr>
          <w:p w14:paraId="3B9F1BB6">
            <w:pPr>
              <w:spacing w:line="32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lang w:val="zh-CN"/>
              </w:rPr>
              <w:t>响应文件内容齐全、无遗漏。</w:t>
            </w:r>
          </w:p>
        </w:tc>
      </w:tr>
      <w:tr w14:paraId="68641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7D3CC9F1">
            <w:pPr>
              <w:spacing w:line="32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560" w:type="dxa"/>
            <w:vMerge w:val="restart"/>
            <w:noWrap w:val="0"/>
            <w:vAlign w:val="center"/>
          </w:tcPr>
          <w:p w14:paraId="359D714F">
            <w:pPr>
              <w:spacing w:line="320" w:lineRule="exact"/>
              <w:rPr>
                <w:rFonts w:hint="eastAsia" w:ascii="仿宋" w:hAnsi="仿宋" w:eastAsia="仿宋" w:cs="仿宋"/>
                <w:sz w:val="24"/>
                <w:szCs w:val="24"/>
                <w:lang w:val="zh-CN"/>
              </w:rPr>
            </w:pPr>
            <w:r>
              <w:rPr>
                <w:rFonts w:hint="eastAsia" w:ascii="仿宋" w:hAnsi="仿宋" w:eastAsia="仿宋" w:cs="仿宋"/>
                <w:kern w:val="0"/>
                <w:sz w:val="24"/>
                <w:szCs w:val="24"/>
              </w:rPr>
              <w:t>响应文件的响应程度审查</w:t>
            </w:r>
          </w:p>
        </w:tc>
        <w:tc>
          <w:tcPr>
            <w:tcW w:w="1984" w:type="dxa"/>
            <w:noWrap w:val="0"/>
            <w:vAlign w:val="center"/>
          </w:tcPr>
          <w:p w14:paraId="438CD235">
            <w:pPr>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响应文件内容</w:t>
            </w:r>
          </w:p>
        </w:tc>
        <w:tc>
          <w:tcPr>
            <w:tcW w:w="5409" w:type="dxa"/>
            <w:noWrap w:val="0"/>
            <w:vAlign w:val="center"/>
          </w:tcPr>
          <w:p w14:paraId="29A6EBDC">
            <w:pPr>
              <w:pStyle w:val="12"/>
              <w:spacing w:line="320" w:lineRule="exact"/>
              <w:rPr>
                <w:rFonts w:hint="eastAsia" w:ascii="仿宋" w:hAnsi="仿宋" w:eastAsia="仿宋" w:cs="仿宋"/>
                <w:kern w:val="0"/>
                <w:szCs w:val="24"/>
                <w:lang w:val="en-US" w:eastAsia="zh-CN"/>
              </w:rPr>
            </w:pPr>
            <w:r>
              <w:rPr>
                <w:rFonts w:hint="eastAsia" w:ascii="仿宋" w:hAnsi="仿宋" w:eastAsia="仿宋" w:cs="仿宋"/>
                <w:kern w:val="0"/>
                <w:szCs w:val="24"/>
                <w:lang w:val="en-US" w:eastAsia="zh-CN"/>
              </w:rPr>
              <w:t>对采购文件第二篇规定的谈判内容作出响应。</w:t>
            </w:r>
          </w:p>
        </w:tc>
      </w:tr>
      <w:tr w14:paraId="5738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noWrap w:val="0"/>
            <w:vAlign w:val="center"/>
          </w:tcPr>
          <w:p w14:paraId="55160279">
            <w:pPr>
              <w:spacing w:line="320" w:lineRule="exact"/>
              <w:jc w:val="center"/>
              <w:rPr>
                <w:rFonts w:hint="eastAsia" w:ascii="仿宋" w:hAnsi="仿宋" w:eastAsia="仿宋" w:cs="仿宋"/>
                <w:kern w:val="0"/>
                <w:sz w:val="24"/>
                <w:szCs w:val="24"/>
              </w:rPr>
            </w:pPr>
          </w:p>
        </w:tc>
        <w:tc>
          <w:tcPr>
            <w:tcW w:w="1560" w:type="dxa"/>
            <w:vMerge w:val="continue"/>
            <w:noWrap w:val="0"/>
            <w:vAlign w:val="center"/>
          </w:tcPr>
          <w:p w14:paraId="456E8209">
            <w:pPr>
              <w:spacing w:line="320" w:lineRule="exact"/>
              <w:rPr>
                <w:rFonts w:hint="eastAsia" w:ascii="仿宋" w:hAnsi="仿宋" w:eastAsia="仿宋" w:cs="仿宋"/>
                <w:sz w:val="24"/>
                <w:szCs w:val="24"/>
                <w:lang w:val="zh-CN"/>
              </w:rPr>
            </w:pPr>
          </w:p>
        </w:tc>
        <w:tc>
          <w:tcPr>
            <w:tcW w:w="1984" w:type="dxa"/>
            <w:noWrap w:val="0"/>
            <w:vAlign w:val="center"/>
          </w:tcPr>
          <w:p w14:paraId="1902737E">
            <w:pPr>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谈判有效期</w:t>
            </w:r>
          </w:p>
        </w:tc>
        <w:tc>
          <w:tcPr>
            <w:tcW w:w="5409" w:type="dxa"/>
            <w:noWrap w:val="0"/>
            <w:vAlign w:val="center"/>
          </w:tcPr>
          <w:p w14:paraId="0BD27816">
            <w:pPr>
              <w:spacing w:line="320" w:lineRule="exact"/>
              <w:rPr>
                <w:rFonts w:hint="eastAsia" w:ascii="仿宋" w:hAnsi="仿宋" w:eastAsia="仿宋" w:cs="仿宋"/>
                <w:kern w:val="0"/>
                <w:sz w:val="24"/>
                <w:szCs w:val="24"/>
              </w:rPr>
            </w:pPr>
            <w:r>
              <w:rPr>
                <w:rFonts w:hint="eastAsia" w:ascii="仿宋" w:hAnsi="仿宋" w:eastAsia="仿宋" w:cs="仿宋"/>
                <w:kern w:val="0"/>
                <w:sz w:val="24"/>
                <w:szCs w:val="24"/>
              </w:rPr>
              <w:t>满足采购文件</w:t>
            </w:r>
            <w:r>
              <w:rPr>
                <w:rFonts w:hint="eastAsia" w:ascii="仿宋" w:hAnsi="仿宋" w:eastAsia="仿宋" w:cs="仿宋"/>
                <w:sz w:val="24"/>
                <w:szCs w:val="24"/>
                <w:lang w:val="zh-CN"/>
              </w:rPr>
              <w:t>规定。</w:t>
            </w:r>
          </w:p>
        </w:tc>
      </w:tr>
    </w:tbl>
    <w:p w14:paraId="1B75B433">
      <w:pPr>
        <w:pStyle w:val="24"/>
        <w:ind w:firstLine="480"/>
        <w:rPr>
          <w:rFonts w:hint="eastAsia" w:ascii="仿宋" w:hAnsi="仿宋" w:eastAsia="仿宋" w:cs="仿宋"/>
        </w:rPr>
      </w:pPr>
      <w:r>
        <w:rPr>
          <w:rFonts w:hint="eastAsia" w:ascii="仿宋" w:hAnsi="仿宋" w:eastAsia="仿宋" w:cs="仿宋"/>
        </w:rPr>
        <w:t>3、澄清有关问题。对响应文件中含义不明确、同类问题表述不一致或者有明显文字和计算错误的内容，谈判小组以书面形式（应当由谈判小组成员签字）要求供应商作出必要澄清、说明或者纠正。供应商的澄清、说明或者补正应当采用书面形式，由其</w:t>
      </w:r>
      <w:r>
        <w:rPr>
          <w:rFonts w:hint="eastAsia" w:ascii="仿宋" w:hAnsi="仿宋" w:eastAsia="仿宋" w:cs="仿宋"/>
          <w:szCs w:val="28"/>
        </w:rPr>
        <w:t>法定代表人</w:t>
      </w:r>
      <w:r>
        <w:rPr>
          <w:rFonts w:hint="eastAsia" w:ascii="仿宋" w:hAnsi="仿宋" w:eastAsia="仿宋" w:cs="仿宋"/>
        </w:rPr>
        <w:t>授权代表签字，其澄清的内容不得超出响应文件的范围或者改变响应文件的实质性内容。</w:t>
      </w:r>
    </w:p>
    <w:p w14:paraId="6B02787A">
      <w:pPr>
        <w:pStyle w:val="24"/>
        <w:ind w:firstLine="480"/>
        <w:rPr>
          <w:rFonts w:hint="eastAsia" w:ascii="仿宋" w:hAnsi="仿宋" w:eastAsia="仿宋" w:cs="仿宋"/>
        </w:rPr>
      </w:pPr>
      <w:r>
        <w:rPr>
          <w:rFonts w:hint="eastAsia" w:ascii="仿宋" w:hAnsi="仿宋" w:eastAsia="仿宋" w:cs="仿宋"/>
        </w:rPr>
        <w:t>4、比较与评价。按采购文件中规定的评审方法和标准，对资格性检查和符合性检查合格的响应文件进行商务和技术评估，由谈判小组所有成员集中与单一供应商分别进行谈判，并给予所有参加谈判的供应商平等的谈判机会。</w:t>
      </w:r>
    </w:p>
    <w:p w14:paraId="28C9E3CE">
      <w:pPr>
        <w:pStyle w:val="24"/>
        <w:ind w:firstLine="480"/>
        <w:rPr>
          <w:rFonts w:hint="eastAsia" w:ascii="仿宋" w:hAnsi="仿宋" w:eastAsia="仿宋" w:cs="仿宋"/>
        </w:rPr>
      </w:pPr>
      <w:r>
        <w:rPr>
          <w:rFonts w:hint="eastAsia" w:ascii="仿宋" w:hAnsi="仿宋" w:eastAsia="仿宋" w:cs="仿宋"/>
        </w:rPr>
        <w:t>评审委员会认为，排名在前面的成交候选人的报价或者某些分项报价明显不合理或者低于成本，有可能影响服务质量和不能诚信履约的，将要求其在规定的期限内提供书面文件予以解释说明，并提交相关证明材料；否则，评审委员会可以取消该成交候选人资格，按顺序由排在后一位的成交候选人递补，以此类推。</w:t>
      </w:r>
    </w:p>
    <w:p w14:paraId="73A6336D">
      <w:pPr>
        <w:pStyle w:val="24"/>
        <w:pageBreakBefore w:val="0"/>
        <w:kinsoku/>
        <w:wordWrap/>
        <w:topLinePunct w:val="0"/>
        <w:autoSpaceDE/>
        <w:autoSpaceDN/>
        <w:bidi w:val="0"/>
        <w:ind w:firstLine="480" w:firstLineChars="200"/>
        <w:rPr>
          <w:rFonts w:hint="eastAsia" w:ascii="仿宋" w:hAnsi="仿宋" w:eastAsia="仿宋" w:cs="仿宋"/>
          <w:color w:val="FF0000"/>
          <w:highlight w:val="none"/>
        </w:rPr>
      </w:pPr>
      <w:r>
        <w:rPr>
          <w:rFonts w:hint="eastAsia" w:ascii="仿宋" w:hAnsi="仿宋" w:eastAsia="仿宋" w:cs="仿宋"/>
          <w:highlight w:val="none"/>
        </w:rPr>
        <w:t>5、推荐成交候选人名单。评审结果按投标报价由低到高顺序排列。响应文件满足采购文件全部实质性要求且报价最低的供应商为排名第一的成交候选人。</w:t>
      </w:r>
    </w:p>
    <w:p w14:paraId="2043DA4D">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43" w:name="_Toc26347"/>
      <w:bookmarkStart w:id="44" w:name="_Toc13082"/>
      <w:r>
        <w:rPr>
          <w:rFonts w:hint="eastAsia" w:ascii="仿宋" w:hAnsi="仿宋" w:eastAsia="仿宋" w:cs="仿宋"/>
          <w:b/>
          <w:sz w:val="24"/>
          <w:szCs w:val="24"/>
          <w:lang w:val="en-US" w:eastAsia="zh-CN"/>
        </w:rPr>
        <w:t>二、评审标准</w:t>
      </w:r>
      <w:bookmarkEnd w:id="39"/>
      <w:bookmarkEnd w:id="43"/>
      <w:bookmarkEnd w:id="44"/>
    </w:p>
    <w:p w14:paraId="52324363">
      <w:pPr>
        <w:pStyle w:val="24"/>
        <w:keepNext w:val="0"/>
        <w:keepLines w:val="0"/>
        <w:pageBreakBefore w:val="0"/>
        <w:kinsoku/>
        <w:wordWrap/>
        <w:topLinePunct w:val="0"/>
        <w:autoSpaceDE/>
        <w:autoSpaceDN/>
        <w:bidi w:val="0"/>
        <w:spacing w:line="560" w:lineRule="exact"/>
        <w:ind w:firstLine="480" w:firstLineChars="200"/>
        <w:outlineLvl w:val="2"/>
        <w:rPr>
          <w:rFonts w:hint="eastAsia"/>
        </w:rPr>
      </w:pPr>
      <w:bookmarkStart w:id="45" w:name="_Toc11258"/>
      <w:bookmarkStart w:id="46" w:name="_Toc3110"/>
      <w:bookmarkStart w:id="47" w:name="_Toc7218"/>
      <w:bookmarkStart w:id="48" w:name="_Toc491251299"/>
      <w:r>
        <w:rPr>
          <w:rFonts w:hint="eastAsia"/>
        </w:rPr>
        <w:t>（一）评审因素</w:t>
      </w:r>
    </w:p>
    <w:p w14:paraId="7CC55644">
      <w:pPr>
        <w:pStyle w:val="24"/>
        <w:keepNext w:val="0"/>
        <w:keepLines w:val="0"/>
        <w:pageBreakBefore w:val="0"/>
        <w:widowControl/>
        <w:numPr>
          <w:ilvl w:val="0"/>
          <w:numId w:val="0"/>
        </w:numPr>
        <w:kinsoku/>
        <w:wordWrap/>
        <w:overflowPunct/>
        <w:topLinePunct w:val="0"/>
        <w:autoSpaceDE/>
        <w:autoSpaceDN/>
        <w:bidi w:val="0"/>
        <w:adjustRightInd/>
        <w:snapToGrid w:val="0"/>
        <w:spacing w:line="560" w:lineRule="exact"/>
        <w:ind w:firstLine="480" w:firstLineChars="200"/>
        <w:textAlignment w:val="auto"/>
        <w:rPr>
          <w:rFonts w:hint="eastAsia" w:cs="Times New Roman"/>
          <w:color w:val="auto"/>
          <w:highlight w:val="none"/>
          <w:lang w:val="en-US" w:eastAsia="zh-CN"/>
        </w:rPr>
      </w:pPr>
      <w:r>
        <w:rPr>
          <w:rFonts w:hint="eastAsia" w:cs="Times New Roman"/>
          <w:color w:val="auto"/>
          <w:highlight w:val="none"/>
          <w:lang w:val="en-US" w:eastAsia="zh-CN"/>
        </w:rPr>
        <w:t xml:space="preserve">1.详见评分表。 </w:t>
      </w:r>
    </w:p>
    <w:p w14:paraId="6FA218FA">
      <w:pPr>
        <w:pStyle w:val="24"/>
        <w:keepNext w:val="0"/>
        <w:keepLines w:val="0"/>
        <w:pageBreakBefore w:val="0"/>
        <w:kinsoku/>
        <w:wordWrap/>
        <w:topLinePunct w:val="0"/>
        <w:autoSpaceDE/>
        <w:autoSpaceDN/>
        <w:bidi w:val="0"/>
        <w:spacing w:line="560" w:lineRule="exact"/>
        <w:ind w:firstLine="480" w:firstLineChars="200"/>
        <w:rPr>
          <w:rFonts w:hint="eastAsia"/>
        </w:rPr>
      </w:pPr>
      <w:r>
        <w:rPr>
          <w:rFonts w:hint="eastAsia"/>
        </w:rPr>
        <w:t>说明：评审委员会认为，排名在前面的成交候选人的报价或者某些分项报价明显不合理或者低于成本，有可能影响服务质量和不能诚信履约的，将要求其在规定的期限内提供书面文件予以解释说明，并提交相关证明材料；否则，评审委员会可以取消该成交候选人资格，按顺序由排在后一位的成交候选人递补，以此类推。</w:t>
      </w:r>
    </w:p>
    <w:p w14:paraId="06153B83">
      <w:pPr>
        <w:pStyle w:val="24"/>
        <w:keepNext w:val="0"/>
        <w:keepLines w:val="0"/>
        <w:pageBreakBefore w:val="0"/>
        <w:kinsoku/>
        <w:wordWrap/>
        <w:topLinePunct w:val="0"/>
        <w:autoSpaceDE/>
        <w:autoSpaceDN/>
        <w:bidi w:val="0"/>
        <w:spacing w:line="560" w:lineRule="exact"/>
        <w:ind w:firstLine="480" w:firstLineChars="200"/>
        <w:rPr>
          <w:rFonts w:hint="eastAsia" w:eastAsia="仿宋"/>
          <w:color w:val="auto"/>
          <w:highlight w:val="none"/>
          <w:lang w:eastAsia="zh-CN"/>
        </w:rPr>
      </w:pPr>
      <w:r>
        <w:rPr>
          <w:rFonts w:hint="eastAsia"/>
          <w:color w:val="auto"/>
          <w:highlight w:val="none"/>
        </w:rPr>
        <w:t>（二）报价政策性扣减</w:t>
      </w:r>
      <w:r>
        <w:rPr>
          <w:rFonts w:hint="eastAsia"/>
          <w:color w:val="auto"/>
          <w:highlight w:val="none"/>
          <w:lang w:eastAsia="zh-CN"/>
        </w:rPr>
        <w:t>（</w:t>
      </w:r>
      <w:r>
        <w:rPr>
          <w:rFonts w:hint="eastAsia"/>
          <w:color w:val="auto"/>
          <w:highlight w:val="none"/>
          <w:lang w:val="en-US" w:eastAsia="zh-CN"/>
        </w:rPr>
        <w:t>专门面向小微型企业的采购项目不进行</w:t>
      </w:r>
      <w:r>
        <w:rPr>
          <w:rFonts w:hint="eastAsia"/>
          <w:color w:val="auto"/>
          <w:highlight w:val="none"/>
        </w:rPr>
        <w:t>报价政策性扣减</w:t>
      </w:r>
      <w:r>
        <w:rPr>
          <w:rFonts w:hint="eastAsia"/>
          <w:color w:val="auto"/>
          <w:highlight w:val="none"/>
          <w:lang w:eastAsia="zh-CN"/>
        </w:rPr>
        <w:t>）</w:t>
      </w:r>
    </w:p>
    <w:p w14:paraId="45D4F257">
      <w:pPr>
        <w:pStyle w:val="24"/>
        <w:keepNext w:val="0"/>
        <w:keepLines w:val="0"/>
        <w:pageBreakBefore w:val="0"/>
        <w:kinsoku/>
        <w:wordWrap/>
        <w:topLinePunct w:val="0"/>
        <w:autoSpaceDE/>
        <w:autoSpaceDN/>
        <w:bidi w:val="0"/>
        <w:spacing w:line="560" w:lineRule="exact"/>
        <w:ind w:firstLine="480" w:firstLineChars="200"/>
        <w:rPr>
          <w:rFonts w:ascii="宋体" w:hAnsi="宋体" w:eastAsia="宋体" w:cs="宋体"/>
          <w:color w:val="auto"/>
          <w:sz w:val="24"/>
          <w:szCs w:val="24"/>
          <w:highlight w:val="none"/>
        </w:rPr>
      </w:pPr>
      <w:r>
        <w:rPr>
          <w:rFonts w:hint="eastAsia"/>
          <w:color w:val="auto"/>
          <w:highlight w:val="none"/>
        </w:rPr>
        <w:t>1.参与采购活动的供应商为非联合体的，对小</w:t>
      </w:r>
      <w:r>
        <w:rPr>
          <w:rFonts w:hint="eastAsia"/>
          <w:color w:val="auto"/>
          <w:highlight w:val="none"/>
          <w:lang w:val="en-US" w:eastAsia="zh-CN"/>
        </w:rPr>
        <w:t>微</w:t>
      </w:r>
      <w:r>
        <w:rPr>
          <w:rFonts w:hint="eastAsia"/>
          <w:color w:val="auto"/>
          <w:highlight w:val="none"/>
        </w:rPr>
        <w:t>型企业给予</w:t>
      </w:r>
      <w:r>
        <w:rPr>
          <w:rFonts w:hint="eastAsia"/>
          <w:color w:val="auto"/>
          <w:highlight w:val="none"/>
          <w:lang w:val="en-US" w:eastAsia="zh-CN"/>
        </w:rPr>
        <w:t>10</w:t>
      </w:r>
      <w:r>
        <w:rPr>
          <w:rFonts w:hint="eastAsia"/>
          <w:color w:val="auto"/>
          <w:highlight w:val="none"/>
        </w:rPr>
        <w:t>%的扣除，以扣除后的报价参与评审。</w:t>
      </w:r>
    </w:p>
    <w:p w14:paraId="12EF456A">
      <w:pPr>
        <w:pStyle w:val="24"/>
        <w:keepNext w:val="0"/>
        <w:keepLines w:val="0"/>
        <w:pageBreakBefore w:val="0"/>
        <w:kinsoku/>
        <w:wordWrap/>
        <w:topLinePunct w:val="0"/>
        <w:autoSpaceDE/>
        <w:autoSpaceDN/>
        <w:bidi w:val="0"/>
        <w:spacing w:line="560" w:lineRule="exact"/>
        <w:ind w:firstLine="480" w:firstLineChars="200"/>
      </w:pPr>
      <w:r>
        <w:rPr>
          <w:rFonts w:hint="eastAsia"/>
        </w:rPr>
        <w:t>2、关于小微企业：</w:t>
      </w:r>
    </w:p>
    <w:p w14:paraId="11AF224F">
      <w:pPr>
        <w:pStyle w:val="24"/>
        <w:keepNext w:val="0"/>
        <w:keepLines w:val="0"/>
        <w:pageBreakBefore w:val="0"/>
        <w:kinsoku/>
        <w:wordWrap/>
        <w:topLinePunct w:val="0"/>
        <w:autoSpaceDE/>
        <w:autoSpaceDN/>
        <w:bidi w:val="0"/>
        <w:spacing w:line="560" w:lineRule="exact"/>
        <w:ind w:firstLine="480" w:firstLineChars="200"/>
      </w:pPr>
      <w:r>
        <w:rPr>
          <w:rFonts w:hint="eastAsia"/>
        </w:rPr>
        <w:t>2.1按&lt;关于印发《政府采购促进中小企业发展暂行办法》的通知&gt;（财库〔</w:t>
      </w:r>
      <w:r>
        <w:rPr>
          <w:rFonts w:hint="eastAsia"/>
          <w:lang w:val="en-US" w:eastAsia="zh-CN"/>
        </w:rPr>
        <w:t>2020</w:t>
      </w:r>
      <w:r>
        <w:rPr>
          <w:rFonts w:hint="eastAsia"/>
        </w:rPr>
        <w:t>〕</w:t>
      </w:r>
      <w:r>
        <w:rPr>
          <w:rFonts w:hint="eastAsia"/>
          <w:lang w:val="en-US" w:eastAsia="zh-CN"/>
        </w:rPr>
        <w:t>46</w:t>
      </w:r>
      <w:r>
        <w:rPr>
          <w:rFonts w:hint="eastAsia"/>
        </w:rPr>
        <w:t>号）之规定，中小企业的标准为：</w:t>
      </w:r>
    </w:p>
    <w:p w14:paraId="1775D3D2">
      <w:pPr>
        <w:pStyle w:val="24"/>
        <w:keepNext w:val="0"/>
        <w:keepLines w:val="0"/>
        <w:pageBreakBefore w:val="0"/>
        <w:kinsoku/>
        <w:wordWrap/>
        <w:topLinePunct w:val="0"/>
        <w:autoSpaceDE/>
        <w:autoSpaceDN/>
        <w:bidi w:val="0"/>
        <w:spacing w:line="560" w:lineRule="exact"/>
        <w:ind w:firstLine="480" w:firstLineChars="200"/>
      </w:pPr>
      <w:r>
        <w:rPr>
          <w:rFonts w:hint="eastAsia"/>
        </w:rPr>
        <w:t>2.1.1提供本企业制造的货物、承担的工程或者服务，或者提供其他中小企业制造的货物，不包括提供或使用大型企业注册商标的货物。</w:t>
      </w:r>
    </w:p>
    <w:p w14:paraId="46082943">
      <w:pPr>
        <w:pStyle w:val="24"/>
        <w:keepNext w:val="0"/>
        <w:keepLines w:val="0"/>
        <w:pageBreakBefore w:val="0"/>
        <w:kinsoku/>
        <w:wordWrap/>
        <w:topLinePunct w:val="0"/>
        <w:autoSpaceDE/>
        <w:autoSpaceDN/>
        <w:bidi w:val="0"/>
        <w:spacing w:line="560" w:lineRule="exact"/>
        <w:ind w:firstLine="480" w:firstLineChars="200"/>
      </w:pPr>
      <w:r>
        <w:rPr>
          <w:rFonts w:hint="eastAsia"/>
        </w:rPr>
        <w:t>2.1.2本规定所称中小企业划分标准，是指国务院有关部门根据企业从业人员、营业收入、资产总额等指标制定的中小企业划型标准（工信部联企业〔2011〕300号）。</w:t>
      </w:r>
    </w:p>
    <w:p w14:paraId="756D6E0F">
      <w:pPr>
        <w:pStyle w:val="24"/>
        <w:keepNext w:val="0"/>
        <w:keepLines w:val="0"/>
        <w:pageBreakBefore w:val="0"/>
        <w:kinsoku/>
        <w:wordWrap/>
        <w:topLinePunct w:val="0"/>
        <w:autoSpaceDE/>
        <w:autoSpaceDN/>
        <w:bidi w:val="0"/>
        <w:spacing w:line="560" w:lineRule="exact"/>
        <w:ind w:firstLine="480" w:firstLineChars="200"/>
      </w:pPr>
      <w:r>
        <w:rPr>
          <w:rFonts w:hint="eastAsia"/>
        </w:rPr>
        <w:t>2.1.3小型、微型企业提供有中型企业制造的货物的，视同为中型企业；小型、微型、中型企业提供有大型企业制造的货物的，视同为大型企业。</w:t>
      </w:r>
    </w:p>
    <w:p w14:paraId="6EDF509F">
      <w:pPr>
        <w:pStyle w:val="24"/>
        <w:keepNext w:val="0"/>
        <w:keepLines w:val="0"/>
        <w:pageBreakBefore w:val="0"/>
        <w:kinsoku/>
        <w:wordWrap/>
        <w:topLinePunct w:val="0"/>
        <w:autoSpaceDE/>
        <w:autoSpaceDN/>
        <w:bidi w:val="0"/>
        <w:spacing w:line="560" w:lineRule="exact"/>
        <w:ind w:firstLine="480" w:firstLineChars="200"/>
      </w:pPr>
      <w:r>
        <w:rPr>
          <w:rFonts w:hint="eastAsia"/>
        </w:rPr>
        <w:t>2.2依照&lt;财政部、司法部关于政府采购支持监狱企业发展有关问题的通知&gt;（财库〔2014〕68号）之规定，监狱企业应当符合以下条件：</w:t>
      </w:r>
    </w:p>
    <w:p w14:paraId="1737661D">
      <w:pPr>
        <w:pStyle w:val="24"/>
        <w:keepNext w:val="0"/>
        <w:keepLines w:val="0"/>
        <w:pageBreakBefore w:val="0"/>
        <w:kinsoku/>
        <w:wordWrap/>
        <w:topLinePunct w:val="0"/>
        <w:autoSpaceDE/>
        <w:autoSpaceDN/>
        <w:bidi w:val="0"/>
        <w:spacing w:line="560" w:lineRule="exact"/>
        <w:ind w:firstLine="480" w:firstLineChars="200"/>
      </w:pPr>
      <w:r>
        <w:rPr>
          <w:rFonts w:hint="eastAsia"/>
        </w:rPr>
        <w:t>2.2.1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2D8EEB3E">
      <w:pPr>
        <w:pStyle w:val="24"/>
        <w:keepNext w:val="0"/>
        <w:keepLines w:val="0"/>
        <w:pageBreakBefore w:val="0"/>
        <w:kinsoku/>
        <w:wordWrap/>
        <w:topLinePunct w:val="0"/>
        <w:autoSpaceDE/>
        <w:autoSpaceDN/>
        <w:bidi w:val="0"/>
        <w:spacing w:line="560" w:lineRule="exact"/>
        <w:ind w:firstLine="480" w:firstLineChars="200"/>
        <w:rPr>
          <w:rFonts w:hint="eastAsia"/>
        </w:rPr>
      </w:pPr>
      <w:r>
        <w:rPr>
          <w:rFonts w:hint="eastAsia"/>
        </w:rPr>
        <w:t>2.2. 2监狱企业参加政府采购活动时，视同小型、微型企业，应当提供由省级以上监狱管理局、戒毒管理局（含新疆生产建设兵团）出具的属于监狱企业的证明文件。</w:t>
      </w:r>
    </w:p>
    <w:p w14:paraId="10BA3D9B">
      <w:pPr>
        <w:pStyle w:val="24"/>
        <w:keepNext w:val="0"/>
        <w:keepLines w:val="0"/>
        <w:pageBreakBefore w:val="0"/>
        <w:kinsoku/>
        <w:wordWrap/>
        <w:topLinePunct w:val="0"/>
        <w:autoSpaceDE/>
        <w:autoSpaceDN/>
        <w:bidi w:val="0"/>
        <w:spacing w:line="560" w:lineRule="exact"/>
        <w:ind w:firstLine="480" w:firstLineChars="200"/>
        <w:rPr>
          <w:rFonts w:hint="eastAsia"/>
        </w:rPr>
      </w:pPr>
      <w:r>
        <w:rPr>
          <w:rFonts w:hint="eastAsia"/>
        </w:rPr>
        <w:t>2.3按&lt;关于落实好政府采购支持中小企业发展的通知&gt;（新财购 〔2022〕22号）之规定，中小微企业严格落实《通知》中预留份额要求。</w:t>
      </w:r>
    </w:p>
    <w:p w14:paraId="432228AC">
      <w:pPr>
        <w:pStyle w:val="24"/>
        <w:keepNext w:val="0"/>
        <w:keepLines w:val="0"/>
        <w:pageBreakBefore w:val="0"/>
        <w:kinsoku/>
        <w:wordWrap/>
        <w:topLinePunct w:val="0"/>
        <w:autoSpaceDE/>
        <w:autoSpaceDN/>
        <w:bidi w:val="0"/>
        <w:spacing w:line="560" w:lineRule="exact"/>
        <w:ind w:firstLine="480" w:firstLineChars="200"/>
        <w:rPr>
          <w:rFonts w:hint="eastAsia"/>
          <w:color w:val="auto"/>
          <w:highlight w:val="none"/>
          <w:lang w:val="en-US" w:eastAsia="zh-CN"/>
        </w:rPr>
      </w:pPr>
      <w:r>
        <w:rPr>
          <w:rFonts w:hint="eastAsia"/>
        </w:rPr>
        <w:t>3.残疾人福利性单位视同小型、微型企业。</w:t>
      </w:r>
    </w:p>
    <w:p w14:paraId="48C2ED1B">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三、响应文件无效条款</w:t>
      </w:r>
      <w:bookmarkEnd w:id="45"/>
      <w:bookmarkEnd w:id="46"/>
      <w:bookmarkEnd w:id="47"/>
    </w:p>
    <w:p w14:paraId="6FD56C09">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投标人或其投标文件出现下列情况之一者，应为无效投标：</w:t>
      </w:r>
    </w:p>
    <w:p w14:paraId="1CE2D87A">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（一）投标人未通过资格性检查或投标文件未通过符合性检查的；</w:t>
      </w:r>
    </w:p>
    <w:p w14:paraId="1406B2B2">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（二）单位负责人为同一人或者存在直接控股、管理关系的不同投标人，不得参加同</w:t>
      </w:r>
    </w:p>
    <w:p w14:paraId="0CCD1BC6">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一合同项下的政府采购活动，上述投标人的投标均无效；</w:t>
      </w:r>
    </w:p>
    <w:p w14:paraId="2D292A43">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（三）为招标项目提供整体设计、规范编制或者项目管理、监理、检测等服务的投标</w:t>
      </w:r>
    </w:p>
    <w:p w14:paraId="6C500B56">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人，再参加该招标项目的其他采购活动的；</w:t>
      </w:r>
    </w:p>
    <w:p w14:paraId="4C777B02">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（四）投标文件未按照招标文件第七篇投标文件格式中所规定签字、盖章的；</w:t>
      </w:r>
    </w:p>
    <w:p w14:paraId="467FF317">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（五）投标文件出现多个投标方案或投标报价的；</w:t>
      </w:r>
    </w:p>
    <w:p w14:paraId="18CFC1CC">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（六）投标报价超出招标文件规定的采购预算的；</w:t>
      </w:r>
    </w:p>
    <w:p w14:paraId="56D34938">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（七）投标文件含有违反国家法律、法规的内容，或附有招标人不能接受的条件的；</w:t>
      </w:r>
    </w:p>
    <w:p w14:paraId="159BC20D">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（八）投标文件未按照规定加密的。</w:t>
      </w:r>
    </w:p>
    <w:p w14:paraId="31DE94C6">
      <w:pPr>
        <w:pStyle w:val="29"/>
        <w:pageBreakBefore w:val="0"/>
        <w:kinsoku/>
        <w:wordWrap/>
        <w:topLinePunct w:val="0"/>
        <w:autoSpaceDE/>
        <w:autoSpaceDN/>
        <w:bidi w:val="0"/>
        <w:spacing w:line="560" w:lineRule="exact"/>
        <w:ind w:firstLine="480" w:firstLineChars="200"/>
        <w:rPr>
          <w:rFonts w:hint="eastAsia" w:ascii="仿宋" w:hAnsi="仿宋" w:eastAsia="仿宋" w:cs="Times New Roman"/>
          <w:b w:val="0"/>
          <w:color w:val="auto"/>
          <w:kern w:val="2"/>
          <w:sz w:val="24"/>
          <w:szCs w:val="24"/>
          <w:highlight w:val="none"/>
          <w:lang w:val="en-US" w:eastAsia="zh-CN" w:bidi="ar-SA"/>
        </w:rPr>
      </w:pPr>
      <w:r>
        <w:rPr>
          <w:rFonts w:hint="eastAsia" w:ascii="仿宋" w:hAnsi="仿宋" w:eastAsia="仿宋" w:cs="Times New Roman"/>
          <w:b w:val="0"/>
          <w:color w:val="auto"/>
          <w:kern w:val="2"/>
          <w:sz w:val="24"/>
          <w:szCs w:val="24"/>
          <w:highlight w:val="none"/>
          <w:lang w:val="en-US" w:eastAsia="zh-CN" w:bidi="ar-SA"/>
        </w:rPr>
        <w:t>（九）因投标人自身原因造成投标文件无法解密的。</w:t>
      </w:r>
    </w:p>
    <w:p w14:paraId="035BE6E9">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（十一）因供应商自身原因造成响应文件无法解密的。</w:t>
      </w:r>
    </w:p>
    <w:p w14:paraId="518E2DE1">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49" w:name="_Toc12669"/>
      <w:bookmarkStart w:id="50" w:name="_Toc29045"/>
      <w:r>
        <w:rPr>
          <w:rFonts w:hint="eastAsia" w:ascii="仿宋" w:hAnsi="仿宋" w:eastAsia="仿宋" w:cs="仿宋"/>
          <w:b/>
          <w:sz w:val="24"/>
          <w:szCs w:val="24"/>
          <w:lang w:val="en-US" w:eastAsia="zh-CN"/>
        </w:rPr>
        <w:t>四、终止谈判活动条款</w:t>
      </w:r>
      <w:bookmarkEnd w:id="49"/>
      <w:bookmarkEnd w:id="50"/>
    </w:p>
    <w:p w14:paraId="4F3E9BCE">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谈判小组评审时出现以下情况之一的，应予终止谈判活动：</w:t>
      </w:r>
    </w:p>
    <w:p w14:paraId="56BDBB76">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（一）符合专业条件的供应商或者对采购文件作实质响应的供应商不足三家的（技术复杂或者性质特殊项目除外）；</w:t>
      </w:r>
    </w:p>
    <w:p w14:paraId="72E2FEF3">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（二）供应商的报价均超过了采购预算，采购人不能支付的；</w:t>
      </w:r>
    </w:p>
    <w:p w14:paraId="1E4A24B8">
      <w:pPr>
        <w:pStyle w:val="24"/>
        <w:ind w:firstLine="480"/>
        <w:rPr>
          <w:rFonts w:hint="eastAsia" w:ascii="仿宋" w:hAnsi="仿宋" w:eastAsia="仿宋" w:cs="仿宋"/>
        </w:rPr>
      </w:pPr>
      <w:r>
        <w:rPr>
          <w:rFonts w:hint="eastAsia" w:ascii="仿宋" w:hAnsi="仿宋" w:eastAsia="仿宋" w:cs="仿宋"/>
        </w:rPr>
        <w:t>（三）出现影响采购公正的违法、违规行为的；</w:t>
      </w:r>
    </w:p>
    <w:p w14:paraId="17797ACA">
      <w:pPr>
        <w:pStyle w:val="24"/>
        <w:ind w:firstLine="480"/>
        <w:rPr>
          <w:rFonts w:hint="eastAsia" w:ascii="仿宋" w:hAnsi="仿宋" w:eastAsia="仿宋" w:cs="仿宋"/>
        </w:rPr>
      </w:pPr>
      <w:r>
        <w:rPr>
          <w:rFonts w:hint="eastAsia" w:ascii="仿宋" w:hAnsi="仿宋" w:eastAsia="仿宋" w:cs="仿宋"/>
        </w:rPr>
        <w:t>（四）因重大变故，采购任务取消的。</w:t>
      </w:r>
    </w:p>
    <w:p w14:paraId="7A52432F">
      <w:pPr>
        <w:pStyle w:val="24"/>
        <w:ind w:firstLine="480"/>
        <w:rPr>
          <w:rFonts w:hint="eastAsia" w:ascii="仿宋" w:hAnsi="仿宋" w:eastAsia="仿宋" w:cs="仿宋"/>
        </w:rPr>
      </w:pPr>
      <w:r>
        <w:rPr>
          <w:rFonts w:hint="eastAsia" w:ascii="仿宋" w:hAnsi="仿宋" w:eastAsia="仿宋" w:cs="仿宋"/>
        </w:rPr>
        <w:t>终止谈判活动后，除采购任务取消情形外，应当重新组织采购。</w:t>
      </w:r>
    </w:p>
    <w:p w14:paraId="2ED62145">
      <w:pPr>
        <w:pStyle w:val="24"/>
        <w:ind w:firstLine="480"/>
        <w:rPr>
          <w:rFonts w:hint="eastAsia" w:ascii="仿宋" w:hAnsi="仿宋" w:eastAsia="仿宋" w:cs="仿宋"/>
        </w:rPr>
      </w:pPr>
    </w:p>
    <w:p w14:paraId="6A328F0A">
      <w:pPr>
        <w:pStyle w:val="25"/>
        <w:widowControl w:val="0"/>
        <w:autoSpaceDE w:val="0"/>
        <w:autoSpaceDN w:val="0"/>
        <w:outlineLvl w:val="0"/>
        <w:rPr>
          <w:rFonts w:hint="eastAsia" w:ascii="仿宋" w:hAnsi="仿宋" w:eastAsia="仿宋" w:cs="仿宋"/>
          <w:b/>
        </w:rPr>
      </w:pPr>
    </w:p>
    <w:p w14:paraId="5EF4BE64">
      <w:pPr>
        <w:pStyle w:val="25"/>
        <w:widowControl w:val="0"/>
        <w:autoSpaceDE w:val="0"/>
        <w:autoSpaceDN w:val="0"/>
        <w:outlineLvl w:val="0"/>
        <w:rPr>
          <w:rFonts w:hint="eastAsia" w:ascii="仿宋" w:hAnsi="仿宋" w:eastAsia="仿宋" w:cs="仿宋"/>
          <w:b/>
        </w:rPr>
      </w:pPr>
    </w:p>
    <w:p w14:paraId="7A5CF038">
      <w:pPr>
        <w:pStyle w:val="25"/>
        <w:widowControl w:val="0"/>
        <w:autoSpaceDE w:val="0"/>
        <w:autoSpaceDN w:val="0"/>
        <w:outlineLvl w:val="0"/>
        <w:rPr>
          <w:rFonts w:hint="eastAsia" w:ascii="仿宋" w:hAnsi="仿宋" w:eastAsia="仿宋" w:cs="仿宋"/>
          <w:b/>
        </w:rPr>
      </w:pPr>
    </w:p>
    <w:p w14:paraId="587EE27C">
      <w:pPr>
        <w:pStyle w:val="25"/>
        <w:widowControl w:val="0"/>
        <w:autoSpaceDE w:val="0"/>
        <w:autoSpaceDN w:val="0"/>
        <w:outlineLvl w:val="0"/>
        <w:rPr>
          <w:rFonts w:hint="eastAsia" w:ascii="仿宋" w:hAnsi="仿宋" w:eastAsia="仿宋" w:cs="仿宋"/>
          <w:b/>
        </w:rPr>
      </w:pPr>
    </w:p>
    <w:p w14:paraId="3F7D4705">
      <w:pPr>
        <w:pStyle w:val="25"/>
        <w:widowControl w:val="0"/>
        <w:autoSpaceDE w:val="0"/>
        <w:autoSpaceDN w:val="0"/>
        <w:outlineLvl w:val="0"/>
        <w:rPr>
          <w:rFonts w:hint="eastAsia" w:ascii="仿宋" w:hAnsi="仿宋" w:eastAsia="仿宋" w:cs="仿宋"/>
          <w:b/>
        </w:rPr>
      </w:pPr>
    </w:p>
    <w:p w14:paraId="4611CE48">
      <w:pPr>
        <w:pStyle w:val="25"/>
        <w:widowControl w:val="0"/>
        <w:autoSpaceDE w:val="0"/>
        <w:autoSpaceDN w:val="0"/>
        <w:outlineLvl w:val="0"/>
        <w:rPr>
          <w:rFonts w:hint="eastAsia" w:ascii="仿宋" w:hAnsi="仿宋" w:eastAsia="仿宋" w:cs="仿宋"/>
          <w:b/>
        </w:rPr>
      </w:pPr>
    </w:p>
    <w:p w14:paraId="5FCA786C">
      <w:pPr>
        <w:pStyle w:val="25"/>
        <w:widowControl w:val="0"/>
        <w:autoSpaceDE w:val="0"/>
        <w:autoSpaceDN w:val="0"/>
        <w:outlineLvl w:val="0"/>
        <w:rPr>
          <w:rFonts w:hint="eastAsia" w:ascii="仿宋" w:hAnsi="仿宋" w:eastAsia="仿宋" w:cs="仿宋"/>
          <w:b/>
        </w:rPr>
      </w:pPr>
    </w:p>
    <w:p w14:paraId="61EA18ED">
      <w:pPr>
        <w:pStyle w:val="25"/>
        <w:widowControl w:val="0"/>
        <w:autoSpaceDE w:val="0"/>
        <w:autoSpaceDN w:val="0"/>
        <w:outlineLvl w:val="0"/>
        <w:rPr>
          <w:rFonts w:hint="eastAsia" w:ascii="仿宋" w:hAnsi="仿宋" w:eastAsia="仿宋" w:cs="仿宋"/>
          <w:b/>
        </w:rPr>
      </w:pPr>
    </w:p>
    <w:p w14:paraId="2FAE3BF6">
      <w:pPr>
        <w:pStyle w:val="25"/>
        <w:widowControl w:val="0"/>
        <w:autoSpaceDE w:val="0"/>
        <w:autoSpaceDN w:val="0"/>
        <w:outlineLvl w:val="0"/>
        <w:rPr>
          <w:rFonts w:hint="eastAsia" w:ascii="仿宋" w:hAnsi="仿宋" w:eastAsia="仿宋" w:cs="仿宋"/>
          <w:b/>
        </w:rPr>
      </w:pPr>
    </w:p>
    <w:p w14:paraId="3051DAA8">
      <w:pPr>
        <w:pStyle w:val="25"/>
        <w:widowControl w:val="0"/>
        <w:autoSpaceDE w:val="0"/>
        <w:autoSpaceDN w:val="0"/>
        <w:outlineLvl w:val="0"/>
        <w:rPr>
          <w:rFonts w:hint="eastAsia" w:ascii="仿宋" w:hAnsi="仿宋" w:eastAsia="仿宋" w:cs="仿宋"/>
          <w:b/>
        </w:rPr>
      </w:pPr>
    </w:p>
    <w:p w14:paraId="5F4BB1DA">
      <w:pPr>
        <w:pStyle w:val="25"/>
        <w:widowControl w:val="0"/>
        <w:autoSpaceDE w:val="0"/>
        <w:autoSpaceDN w:val="0"/>
        <w:outlineLvl w:val="0"/>
        <w:rPr>
          <w:rFonts w:hint="eastAsia" w:ascii="仿宋" w:hAnsi="仿宋" w:eastAsia="仿宋" w:cs="仿宋"/>
          <w:b/>
        </w:rPr>
      </w:pPr>
    </w:p>
    <w:bookmarkEnd w:id="48"/>
    <w:p w14:paraId="098CA63A">
      <w:pPr>
        <w:pStyle w:val="25"/>
        <w:jc w:val="both"/>
        <w:rPr>
          <w:rStyle w:val="22"/>
          <w:rFonts w:hint="eastAsia" w:ascii="仿宋" w:hAnsi="仿宋" w:eastAsia="仿宋" w:cs="仿宋"/>
          <w:b/>
          <w:szCs w:val="20"/>
          <w:lang w:val="en-US" w:eastAsia="zh-CN" w:bidi="ar-SA"/>
        </w:rPr>
      </w:pPr>
      <w:bookmarkStart w:id="51" w:name="_Toc11129"/>
    </w:p>
    <w:p w14:paraId="5346B0D8">
      <w:pPr>
        <w:pStyle w:val="25"/>
        <w:outlineLvl w:val="0"/>
        <w:rPr>
          <w:rStyle w:val="22"/>
          <w:rFonts w:hint="eastAsia" w:ascii="仿宋" w:hAnsi="仿宋" w:eastAsia="仿宋" w:cs="仿宋"/>
          <w:b/>
          <w:sz w:val="36"/>
          <w:szCs w:val="36"/>
          <w:lang w:val="en-US" w:eastAsia="zh-CN" w:bidi="ar-SA"/>
        </w:rPr>
      </w:pPr>
      <w:bookmarkStart w:id="52" w:name="_Toc21736"/>
      <w:bookmarkStart w:id="53" w:name="_Toc15715"/>
      <w:r>
        <w:rPr>
          <w:rStyle w:val="22"/>
          <w:rFonts w:hint="eastAsia" w:ascii="仿宋" w:hAnsi="仿宋" w:eastAsia="仿宋" w:cs="仿宋"/>
          <w:b/>
          <w:sz w:val="36"/>
          <w:szCs w:val="36"/>
          <w:lang w:val="en-US" w:eastAsia="zh-CN" w:bidi="ar-SA"/>
        </w:rPr>
        <w:t>第五篇  供应商须知</w:t>
      </w:r>
      <w:bookmarkEnd w:id="51"/>
    </w:p>
    <w:bookmarkEnd w:id="52"/>
    <w:bookmarkEnd w:id="53"/>
    <w:p w14:paraId="3188336D">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54" w:name="_Toc15991"/>
      <w:bookmarkStart w:id="55" w:name="_Toc32501"/>
      <w:bookmarkStart w:id="56" w:name="_Toc30897"/>
      <w:r>
        <w:rPr>
          <w:rFonts w:hint="eastAsia" w:ascii="仿宋" w:hAnsi="仿宋" w:eastAsia="仿宋" w:cs="仿宋"/>
          <w:b/>
          <w:sz w:val="24"/>
          <w:szCs w:val="24"/>
          <w:lang w:val="en-US" w:eastAsia="zh-CN"/>
        </w:rPr>
        <w:t>一、供应商</w:t>
      </w:r>
      <w:bookmarkEnd w:id="54"/>
      <w:bookmarkEnd w:id="55"/>
      <w:bookmarkEnd w:id="56"/>
    </w:p>
    <w:p w14:paraId="6696E817">
      <w:pPr>
        <w:pStyle w:val="24"/>
        <w:pageBreakBefore w:val="0"/>
        <w:kinsoku/>
        <w:wordWrap/>
        <w:topLinePunct w:val="0"/>
        <w:autoSpaceDE/>
        <w:autoSpaceDN/>
        <w:bidi w:val="0"/>
        <w:ind w:firstLine="480" w:firstLineChars="200"/>
        <w:outlineLvl w:val="2"/>
        <w:rPr>
          <w:rFonts w:hint="eastAsia" w:ascii="仿宋" w:hAnsi="仿宋" w:eastAsia="仿宋" w:cs="仿宋"/>
        </w:rPr>
      </w:pPr>
      <w:r>
        <w:rPr>
          <w:rFonts w:hint="eastAsia" w:ascii="仿宋" w:hAnsi="仿宋" w:eastAsia="仿宋" w:cs="仿宋"/>
        </w:rPr>
        <w:t>（一）合格供应商条件</w:t>
      </w:r>
    </w:p>
    <w:p w14:paraId="657F4877">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合格供应商应完全符合采购文件第一篇中规定的供应商资格条件，并对采购文件作出实质性响应。</w:t>
      </w:r>
    </w:p>
    <w:p w14:paraId="59ECB499">
      <w:pPr>
        <w:pStyle w:val="24"/>
        <w:pageBreakBefore w:val="0"/>
        <w:kinsoku/>
        <w:wordWrap/>
        <w:topLinePunct w:val="0"/>
        <w:autoSpaceDE/>
        <w:autoSpaceDN/>
        <w:bidi w:val="0"/>
        <w:ind w:firstLine="480" w:firstLineChars="200"/>
        <w:outlineLvl w:val="2"/>
        <w:rPr>
          <w:rFonts w:hint="eastAsia" w:ascii="仿宋" w:hAnsi="仿宋" w:eastAsia="仿宋" w:cs="仿宋"/>
          <w:szCs w:val="28"/>
        </w:rPr>
      </w:pPr>
      <w:r>
        <w:rPr>
          <w:rFonts w:hint="eastAsia" w:ascii="仿宋" w:hAnsi="仿宋" w:eastAsia="仿宋" w:cs="仿宋"/>
          <w:szCs w:val="28"/>
        </w:rPr>
        <w:t>（二）供应商的风险</w:t>
      </w:r>
    </w:p>
    <w:p w14:paraId="0F2E6B07">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供应商没有按照采购文件要求提供全部资料，或者供应商没有对采购文件在各方面作出实质性响应，可能导致谈判被拒绝或评定为响应文件无效。</w:t>
      </w:r>
    </w:p>
    <w:p w14:paraId="2D1FC218">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57" w:name="_Toc17233"/>
      <w:bookmarkStart w:id="58" w:name="_Toc31597"/>
      <w:bookmarkStart w:id="59" w:name="_Toc30343"/>
      <w:r>
        <w:rPr>
          <w:rFonts w:hint="eastAsia" w:ascii="仿宋" w:hAnsi="仿宋" w:eastAsia="仿宋" w:cs="仿宋"/>
          <w:b/>
          <w:sz w:val="24"/>
          <w:szCs w:val="24"/>
          <w:lang w:val="en-US" w:eastAsia="zh-CN"/>
        </w:rPr>
        <w:t>二、采购文件</w:t>
      </w:r>
      <w:bookmarkEnd w:id="57"/>
      <w:bookmarkEnd w:id="58"/>
      <w:bookmarkEnd w:id="59"/>
    </w:p>
    <w:p w14:paraId="52128FB0">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采购文件是供应商编制响应文件的依据，是谈判小组评判依据和标准。采购文件也是采购人与成交供应商签订合同的基础。</w:t>
      </w:r>
    </w:p>
    <w:p w14:paraId="7BD3306F">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（一）采购文件由邀请书；项目技术规格、数量及质量要求；商务条款；供应商须知；评审方法、评审标准、响应文件无效条款和终止谈判活动条款；合同主要条款、合同范本；响应文件格式等七部分组成。</w:t>
      </w:r>
    </w:p>
    <w:p w14:paraId="705D3290">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（二）采购机构对采购文件所作的一切有效通知、修改、补充及澄清，都是采购文件的组成部分。修改和/或补充文件应在提交响应文件截止时间三日前发至新疆政府采购网</w:t>
      </w:r>
      <w:r>
        <w:rPr>
          <w:rFonts w:hint="eastAsia" w:ascii="仿宋" w:hAnsi="仿宋" w:eastAsia="仿宋" w:cs="仿宋"/>
          <w:lang w:val="en-US" w:eastAsia="zh-CN"/>
        </w:rPr>
        <w:t>，</w:t>
      </w:r>
      <w:r>
        <w:rPr>
          <w:rFonts w:hint="eastAsia" w:ascii="仿宋" w:hAnsi="仿宋" w:eastAsia="仿宋" w:cs="仿宋"/>
        </w:rPr>
        <w:t>所有获取采购文件的供应商自行登录网站查阅，修改和/或补充文件将作为采购文件的组成部分，对所有供应商具有约束力。</w:t>
      </w:r>
    </w:p>
    <w:p w14:paraId="5C31A1F5">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（三）本项目的采购文件、补遗文件（如果有）一律在新疆政府采购网</w:t>
      </w:r>
      <w:r>
        <w:rPr>
          <w:rFonts w:hint="eastAsia" w:ascii="仿宋" w:hAnsi="仿宋" w:eastAsia="仿宋" w:cs="仿宋"/>
          <w:lang w:val="en-US" w:eastAsia="zh-CN"/>
        </w:rPr>
        <w:t>网</w:t>
      </w:r>
      <w:r>
        <w:rPr>
          <w:rFonts w:hint="eastAsia" w:ascii="仿宋" w:hAnsi="仿宋" w:eastAsia="仿宋" w:cs="仿宋"/>
        </w:rPr>
        <w:t>上发布，请各供应商注意浏览、下载。</w:t>
      </w:r>
    </w:p>
    <w:p w14:paraId="31F4ABD5">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60" w:name="_Toc14449"/>
      <w:bookmarkStart w:id="61" w:name="_Toc8291"/>
      <w:bookmarkStart w:id="62" w:name="_Toc16883"/>
      <w:r>
        <w:rPr>
          <w:rFonts w:hint="eastAsia" w:ascii="仿宋" w:hAnsi="仿宋" w:eastAsia="仿宋" w:cs="仿宋"/>
          <w:b/>
          <w:sz w:val="24"/>
          <w:szCs w:val="24"/>
          <w:lang w:val="en-US" w:eastAsia="zh-CN"/>
        </w:rPr>
        <w:t>三、响应文件</w:t>
      </w:r>
      <w:bookmarkEnd w:id="60"/>
      <w:bookmarkEnd w:id="61"/>
      <w:bookmarkEnd w:id="62"/>
    </w:p>
    <w:p w14:paraId="15B13AF0">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供应商应当按照采购文件的要求编制响应文件，并对采购文件提出的要求和条件作出实质性响应，响应文件应编制完整的页码、目录。（编制上传响应文件与相应模块对应）</w:t>
      </w:r>
    </w:p>
    <w:p w14:paraId="7A871320">
      <w:pPr>
        <w:pStyle w:val="24"/>
        <w:pageBreakBefore w:val="0"/>
        <w:kinsoku/>
        <w:wordWrap/>
        <w:topLinePunct w:val="0"/>
        <w:autoSpaceDE/>
        <w:autoSpaceDN/>
        <w:bidi w:val="0"/>
        <w:ind w:firstLine="480" w:firstLineChars="200"/>
        <w:outlineLvl w:val="2"/>
        <w:rPr>
          <w:rFonts w:hint="eastAsia" w:ascii="仿宋" w:hAnsi="仿宋" w:eastAsia="仿宋" w:cs="仿宋"/>
        </w:rPr>
      </w:pPr>
      <w:r>
        <w:rPr>
          <w:rFonts w:hint="eastAsia" w:ascii="仿宋" w:hAnsi="仿宋" w:eastAsia="仿宋" w:cs="仿宋"/>
        </w:rPr>
        <w:t>（一）响应文件组成</w:t>
      </w:r>
    </w:p>
    <w:p w14:paraId="16951F10">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响应文件由第七篇“响应文件格式”规定的部分和供应商所作的一切有效补充、修改和承诺等文件组成，供应商应按照第七篇“响应文件格式”规定的目录顺序组织编写，否则有可能影响谈判小组对响应文件的评审。</w:t>
      </w:r>
    </w:p>
    <w:p w14:paraId="7C16DD00">
      <w:pPr>
        <w:pStyle w:val="24"/>
        <w:pageBreakBefore w:val="0"/>
        <w:kinsoku/>
        <w:wordWrap/>
        <w:topLinePunct w:val="0"/>
        <w:autoSpaceDE/>
        <w:autoSpaceDN/>
        <w:bidi w:val="0"/>
        <w:ind w:firstLine="480" w:firstLineChars="200"/>
        <w:outlineLvl w:val="2"/>
        <w:rPr>
          <w:rFonts w:hint="eastAsia" w:ascii="仿宋" w:hAnsi="仿宋" w:eastAsia="仿宋" w:cs="仿宋"/>
        </w:rPr>
      </w:pPr>
      <w:r>
        <w:rPr>
          <w:rFonts w:hint="eastAsia" w:ascii="仿宋" w:hAnsi="仿宋" w:eastAsia="仿宋" w:cs="仿宋"/>
        </w:rPr>
        <w:t>（二）谈判有效期</w:t>
      </w:r>
    </w:p>
    <w:p w14:paraId="2E2031AF">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谈判有效期为递交响应文件截止日期后九十天。</w:t>
      </w:r>
    </w:p>
    <w:p w14:paraId="223BA5E2">
      <w:pPr>
        <w:pStyle w:val="24"/>
        <w:pageBreakBefore w:val="0"/>
        <w:kinsoku/>
        <w:wordWrap/>
        <w:topLinePunct w:val="0"/>
        <w:autoSpaceDE/>
        <w:autoSpaceDN/>
        <w:bidi w:val="0"/>
        <w:ind w:firstLine="480" w:firstLineChars="200"/>
        <w:rPr>
          <w:rFonts w:hint="eastAsia"/>
        </w:rPr>
      </w:pPr>
      <w:r>
        <w:rPr>
          <w:rFonts w:hint="eastAsia"/>
        </w:rPr>
        <w:t>（三）响应文件的签署</w:t>
      </w:r>
    </w:p>
    <w:p w14:paraId="7F9AC19F">
      <w:pPr>
        <w:pStyle w:val="24"/>
        <w:pageBreakBefore w:val="0"/>
        <w:kinsoku/>
        <w:wordWrap/>
        <w:topLinePunct w:val="0"/>
        <w:autoSpaceDE/>
        <w:autoSpaceDN/>
        <w:bidi w:val="0"/>
        <w:ind w:firstLine="480" w:firstLineChars="200"/>
        <w:rPr>
          <w:rFonts w:hint="eastAsia"/>
        </w:rPr>
      </w:pPr>
      <w:r>
        <w:rPr>
          <w:rFonts w:hint="eastAsia"/>
        </w:rPr>
        <w:t>1、响应文件采用电子文档。响应文件中应按照采购文件第七篇响应文件格式中规定签字、盖章的地方必须按其规定签字、盖章。</w:t>
      </w:r>
    </w:p>
    <w:p w14:paraId="6D8581A1">
      <w:pPr>
        <w:pStyle w:val="24"/>
        <w:pageBreakBefore w:val="0"/>
        <w:kinsoku/>
        <w:wordWrap/>
        <w:topLinePunct w:val="0"/>
        <w:autoSpaceDE/>
        <w:autoSpaceDN/>
        <w:bidi w:val="0"/>
        <w:ind w:firstLine="480" w:firstLineChars="200"/>
        <w:rPr>
          <w:rFonts w:hint="eastAsia"/>
        </w:rPr>
      </w:pPr>
      <w:r>
        <w:rPr>
          <w:rFonts w:hint="eastAsia"/>
        </w:rPr>
        <w:t>2、若供应商对响应文件做必要修改或澄清，则应在修改或澄清处加盖供应商公章或由法定代表人或法定代表人授权代表签字确认。</w:t>
      </w:r>
    </w:p>
    <w:p w14:paraId="49A03275">
      <w:pPr>
        <w:pStyle w:val="24"/>
        <w:pageBreakBefore w:val="0"/>
        <w:kinsoku/>
        <w:wordWrap/>
        <w:topLinePunct w:val="0"/>
        <w:autoSpaceDE/>
        <w:autoSpaceDN/>
        <w:bidi w:val="0"/>
        <w:ind w:firstLine="480" w:firstLineChars="200"/>
        <w:rPr>
          <w:rFonts w:hint="eastAsia"/>
          <w:bCs/>
        </w:rPr>
      </w:pPr>
      <w:r>
        <w:rPr>
          <w:rFonts w:hint="eastAsia"/>
          <w:bCs/>
        </w:rPr>
        <w:t>（四）报价</w:t>
      </w:r>
    </w:p>
    <w:p w14:paraId="27C51B02">
      <w:pPr>
        <w:pStyle w:val="24"/>
        <w:pageBreakBefore w:val="0"/>
        <w:kinsoku/>
        <w:wordWrap/>
        <w:topLinePunct w:val="0"/>
        <w:autoSpaceDE/>
        <w:autoSpaceDN/>
        <w:bidi w:val="0"/>
        <w:ind w:firstLine="480" w:firstLineChars="200"/>
        <w:rPr>
          <w:rFonts w:hint="eastAsia"/>
        </w:rPr>
      </w:pPr>
      <w:r>
        <w:rPr>
          <w:rFonts w:hint="eastAsia"/>
          <w:bCs/>
        </w:rPr>
        <w:t>1、供应商应严格按照“响应文件格式”中“报价一览表”和“分项报价明细表”</w:t>
      </w:r>
      <w:r>
        <w:rPr>
          <w:rFonts w:hint="eastAsia"/>
        </w:rPr>
        <w:t>的格式填写报价。</w:t>
      </w:r>
    </w:p>
    <w:p w14:paraId="680138D2">
      <w:pPr>
        <w:pStyle w:val="24"/>
        <w:pageBreakBefore w:val="0"/>
        <w:kinsoku/>
        <w:wordWrap/>
        <w:topLinePunct w:val="0"/>
        <w:autoSpaceDE/>
        <w:autoSpaceDN/>
        <w:bidi w:val="0"/>
        <w:ind w:firstLine="482" w:firstLineChars="200"/>
        <w:rPr>
          <w:rFonts w:hint="eastAsia" w:ascii="仿宋" w:hAnsi="仿宋" w:eastAsia="仿宋" w:cs="仿宋"/>
          <w:b/>
          <w:bCs/>
          <w:highlight w:val="yellow"/>
        </w:rPr>
      </w:pPr>
      <w:r>
        <w:rPr>
          <w:rFonts w:hint="eastAsia" w:ascii="仿宋" w:hAnsi="仿宋" w:eastAsia="仿宋" w:cs="仿宋"/>
          <w:b/>
          <w:bCs/>
          <w:highlight w:val="yellow"/>
        </w:rPr>
        <w:t>2、</w:t>
      </w:r>
      <w:r>
        <w:rPr>
          <w:rFonts w:hint="eastAsia" w:ascii="仿宋" w:hAnsi="仿宋" w:eastAsia="仿宋" w:cs="仿宋"/>
          <w:b/>
          <w:bCs/>
          <w:color w:val="FF0000"/>
          <w:highlight w:val="yellow"/>
        </w:rPr>
        <w:t>谈判小组根据情况，可以逐一要求</w:t>
      </w:r>
      <w:r>
        <w:rPr>
          <w:rFonts w:hint="eastAsia" w:ascii="仿宋" w:hAnsi="仿宋" w:eastAsia="仿宋" w:cs="仿宋"/>
          <w:b/>
          <w:bCs/>
          <w:color w:val="FF0000"/>
          <w:highlight w:val="yellow"/>
          <w:lang w:eastAsia="zh-CN"/>
        </w:rPr>
        <w:t>供应商</w:t>
      </w:r>
      <w:r>
        <w:rPr>
          <w:rFonts w:hint="eastAsia" w:ascii="仿宋" w:hAnsi="仿宋" w:eastAsia="仿宋" w:cs="仿宋"/>
          <w:b/>
          <w:bCs/>
          <w:color w:val="FF0000"/>
          <w:highlight w:val="yellow"/>
        </w:rPr>
        <w:t>二次或多次报价。如</w:t>
      </w:r>
      <w:r>
        <w:rPr>
          <w:rFonts w:hint="eastAsia" w:ascii="仿宋" w:hAnsi="仿宋" w:eastAsia="仿宋" w:cs="仿宋"/>
          <w:b/>
          <w:bCs/>
          <w:color w:val="FF0000"/>
          <w:highlight w:val="yellow"/>
          <w:lang w:eastAsia="zh-CN"/>
        </w:rPr>
        <w:t>谈判</w:t>
      </w:r>
      <w:r>
        <w:rPr>
          <w:rFonts w:hint="eastAsia" w:ascii="仿宋" w:hAnsi="仿宋" w:eastAsia="仿宋" w:cs="仿宋"/>
          <w:b/>
          <w:bCs/>
          <w:color w:val="FF0000"/>
          <w:highlight w:val="yellow"/>
        </w:rPr>
        <w:t>过程中，采购需求发生实质性变化造成最终报价高于上次报价为有效报价；否则，报价</w:t>
      </w:r>
      <w:r>
        <w:rPr>
          <w:rFonts w:hint="eastAsia" w:ascii="仿宋" w:hAnsi="仿宋" w:eastAsia="仿宋" w:cs="仿宋"/>
          <w:b/>
          <w:bCs/>
          <w:color w:val="FF0000"/>
          <w:highlight w:val="yellow"/>
          <w:lang w:val="en-US" w:eastAsia="zh-CN"/>
        </w:rPr>
        <w:t>为</w:t>
      </w:r>
      <w:r>
        <w:rPr>
          <w:rFonts w:hint="eastAsia" w:ascii="仿宋" w:hAnsi="仿宋" w:eastAsia="仿宋" w:cs="仿宋"/>
          <w:b/>
          <w:bCs/>
          <w:color w:val="FF0000"/>
          <w:highlight w:val="yellow"/>
          <w:lang w:eastAsia="zh-CN"/>
        </w:rPr>
        <w:t>无效报价</w:t>
      </w:r>
      <w:r>
        <w:rPr>
          <w:rFonts w:hint="eastAsia" w:ascii="仿宋" w:hAnsi="仿宋" w:eastAsia="仿宋" w:cs="仿宋"/>
          <w:b/>
          <w:bCs/>
          <w:color w:val="FF0000"/>
          <w:highlight w:val="yellow"/>
        </w:rPr>
        <w:t>。</w:t>
      </w:r>
    </w:p>
    <w:p w14:paraId="3CDF0157">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3、本项目只接受一个投标报价，有选择的或有条件的报价将不予接受。</w:t>
      </w:r>
    </w:p>
    <w:p w14:paraId="3967817E">
      <w:pPr>
        <w:pStyle w:val="24"/>
        <w:pageBreakBefore w:val="0"/>
        <w:kinsoku/>
        <w:wordWrap/>
        <w:topLinePunct w:val="0"/>
        <w:autoSpaceDE/>
        <w:autoSpaceDN/>
        <w:bidi w:val="0"/>
        <w:ind w:firstLine="480" w:firstLineChars="200"/>
        <w:outlineLvl w:val="2"/>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五</w:t>
      </w:r>
      <w:r>
        <w:rPr>
          <w:rFonts w:hint="eastAsia" w:ascii="仿宋" w:hAnsi="仿宋" w:eastAsia="仿宋" w:cs="仿宋"/>
        </w:rPr>
        <w:t>）修正错误</w:t>
      </w:r>
    </w:p>
    <w:p w14:paraId="269C488A">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若</w:t>
      </w:r>
      <w:r>
        <w:rPr>
          <w:rFonts w:hint="eastAsia" w:ascii="仿宋" w:hAnsi="仿宋" w:eastAsia="仿宋" w:cs="仿宋"/>
          <w:lang w:eastAsia="zh-CN"/>
        </w:rPr>
        <w:t>响应文件</w:t>
      </w:r>
      <w:r>
        <w:rPr>
          <w:rFonts w:hint="eastAsia" w:ascii="仿宋" w:hAnsi="仿宋" w:eastAsia="仿宋" w:cs="仿宋"/>
        </w:rPr>
        <w:t>出现计算或表达上的错误，修正错误的原则如下：</w:t>
      </w:r>
    </w:p>
    <w:p w14:paraId="575F2647">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1、</w:t>
      </w:r>
      <w:r>
        <w:rPr>
          <w:rFonts w:hint="eastAsia" w:ascii="仿宋" w:hAnsi="仿宋" w:eastAsia="仿宋" w:cs="仿宋"/>
          <w:lang w:eastAsia="zh-CN"/>
        </w:rPr>
        <w:t>谈判</w:t>
      </w:r>
      <w:r>
        <w:rPr>
          <w:rFonts w:hint="eastAsia" w:ascii="仿宋" w:hAnsi="仿宋" w:eastAsia="仿宋" w:cs="仿宋"/>
        </w:rPr>
        <w:t>一览表总价与投标报价明细表汇总数不一致的，</w:t>
      </w:r>
      <w:r>
        <w:rPr>
          <w:rFonts w:hint="eastAsia" w:ascii="仿宋" w:hAnsi="仿宋" w:eastAsia="仿宋" w:cs="仿宋"/>
          <w:kern w:val="0"/>
        </w:rPr>
        <w:t>以</w:t>
      </w:r>
      <w:r>
        <w:rPr>
          <w:rFonts w:hint="eastAsia" w:ascii="仿宋" w:hAnsi="仿宋" w:eastAsia="仿宋" w:cs="仿宋"/>
          <w:kern w:val="0"/>
          <w:lang w:eastAsia="zh-CN"/>
        </w:rPr>
        <w:t>谈判</w:t>
      </w:r>
      <w:r>
        <w:rPr>
          <w:rFonts w:hint="eastAsia" w:ascii="仿宋" w:hAnsi="仿宋" w:eastAsia="仿宋" w:cs="仿宋"/>
          <w:kern w:val="0"/>
        </w:rPr>
        <w:t>一览表为准；</w:t>
      </w:r>
    </w:p>
    <w:p w14:paraId="77FDB3ED">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2、</w:t>
      </w:r>
      <w:r>
        <w:rPr>
          <w:rFonts w:hint="eastAsia" w:ascii="仿宋" w:hAnsi="仿宋" w:eastAsia="仿宋" w:cs="仿宋"/>
          <w:lang w:eastAsia="zh-CN"/>
        </w:rPr>
        <w:t>响应文件</w:t>
      </w:r>
      <w:r>
        <w:rPr>
          <w:rFonts w:hint="eastAsia" w:ascii="仿宋" w:hAnsi="仿宋" w:eastAsia="仿宋" w:cs="仿宋"/>
        </w:rPr>
        <w:t>的大写金额和小写金额不一致的，以大写金额为准；</w:t>
      </w:r>
    </w:p>
    <w:p w14:paraId="55AF3B5A">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3、总价金额与按单价汇总金额不一致的，以单价金额计算结果为准；</w:t>
      </w:r>
    </w:p>
    <w:p w14:paraId="11153135">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4、单价金额小数点有明显错位的，应以总价为准，并修正单价；</w:t>
      </w:r>
    </w:p>
    <w:p w14:paraId="7B7DE126">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5、对不同文字文本</w:t>
      </w:r>
      <w:r>
        <w:rPr>
          <w:rFonts w:hint="eastAsia" w:ascii="仿宋" w:hAnsi="仿宋" w:eastAsia="仿宋" w:cs="仿宋"/>
          <w:lang w:eastAsia="zh-CN"/>
        </w:rPr>
        <w:t>响应文件</w:t>
      </w:r>
      <w:r>
        <w:rPr>
          <w:rFonts w:hint="eastAsia" w:ascii="仿宋" w:hAnsi="仿宋" w:eastAsia="仿宋" w:cs="仿宋"/>
        </w:rPr>
        <w:t>的解释发生异议的，以中文文本为准。</w:t>
      </w:r>
    </w:p>
    <w:p w14:paraId="345EC5EE">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评标委员会按上述修正错误的原则及方法调整或修正</w:t>
      </w:r>
      <w:r>
        <w:rPr>
          <w:rFonts w:hint="eastAsia" w:ascii="仿宋" w:hAnsi="仿宋" w:eastAsia="仿宋" w:cs="仿宋"/>
          <w:lang w:eastAsia="zh-CN"/>
        </w:rPr>
        <w:t>供应商</w:t>
      </w:r>
      <w:r>
        <w:rPr>
          <w:rFonts w:hint="eastAsia" w:ascii="仿宋" w:hAnsi="仿宋" w:eastAsia="仿宋" w:cs="仿宋"/>
        </w:rPr>
        <w:t>投标报价，</w:t>
      </w:r>
      <w:r>
        <w:rPr>
          <w:rFonts w:hint="eastAsia" w:ascii="仿宋" w:hAnsi="仿宋" w:eastAsia="仿宋" w:cs="仿宋"/>
          <w:lang w:eastAsia="zh-CN"/>
        </w:rPr>
        <w:t>供应商</w:t>
      </w:r>
      <w:r>
        <w:rPr>
          <w:rFonts w:hint="eastAsia" w:ascii="仿宋" w:hAnsi="仿宋" w:eastAsia="仿宋" w:cs="仿宋"/>
        </w:rPr>
        <w:t>同意并签字确认后，调整后的投标报价对</w:t>
      </w:r>
      <w:r>
        <w:rPr>
          <w:rFonts w:hint="eastAsia" w:ascii="仿宋" w:hAnsi="仿宋" w:eastAsia="仿宋" w:cs="仿宋"/>
          <w:lang w:eastAsia="zh-CN"/>
        </w:rPr>
        <w:t>供应商</w:t>
      </w:r>
      <w:r>
        <w:rPr>
          <w:rFonts w:hint="eastAsia" w:ascii="仿宋" w:hAnsi="仿宋" w:eastAsia="仿宋" w:cs="仿宋"/>
        </w:rPr>
        <w:t>具有约束作用。如果</w:t>
      </w:r>
      <w:r>
        <w:rPr>
          <w:rFonts w:hint="eastAsia" w:ascii="仿宋" w:hAnsi="仿宋" w:eastAsia="仿宋" w:cs="仿宋"/>
          <w:lang w:eastAsia="zh-CN"/>
        </w:rPr>
        <w:t>供应商</w:t>
      </w:r>
      <w:r>
        <w:rPr>
          <w:rFonts w:hint="eastAsia" w:ascii="仿宋" w:hAnsi="仿宋" w:eastAsia="仿宋" w:cs="仿宋"/>
        </w:rPr>
        <w:t>不接受修正后的报价，则其投标将作为无效投标处理。</w:t>
      </w:r>
    </w:p>
    <w:p w14:paraId="76AF717B">
      <w:pPr>
        <w:pStyle w:val="24"/>
        <w:pageBreakBefore w:val="0"/>
        <w:kinsoku/>
        <w:wordWrap/>
        <w:topLinePunct w:val="0"/>
        <w:autoSpaceDE/>
        <w:autoSpaceDN/>
        <w:bidi w:val="0"/>
        <w:ind w:firstLine="480" w:firstLineChars="200"/>
        <w:rPr>
          <w:rFonts w:hint="eastAsia"/>
        </w:rPr>
      </w:pPr>
      <w:bookmarkStart w:id="63" w:name="_Toc491251303"/>
      <w:bookmarkStart w:id="64" w:name="_Toc14904"/>
      <w:bookmarkStart w:id="65" w:name="_Toc944"/>
      <w:r>
        <w:rPr>
          <w:rFonts w:hint="eastAsia"/>
        </w:rPr>
        <w:t>（六）响应文件的递交</w:t>
      </w:r>
    </w:p>
    <w:p w14:paraId="557D094D">
      <w:pPr>
        <w:pStyle w:val="24"/>
        <w:pageBreakBefore w:val="0"/>
        <w:kinsoku/>
        <w:wordWrap/>
        <w:topLinePunct w:val="0"/>
        <w:autoSpaceDE/>
        <w:autoSpaceDN/>
        <w:bidi w:val="0"/>
        <w:ind w:firstLine="480" w:firstLineChars="200"/>
        <w:rPr>
          <w:rFonts w:hint="eastAsia" w:cs="Times New Roman"/>
        </w:rPr>
      </w:pPr>
      <w:r>
        <w:rPr>
          <w:rFonts w:hint="eastAsia" w:cs="Times New Roman"/>
        </w:rPr>
        <w:t>1、响应文件须在响应文件提交截止时间前递交至指定地点。</w:t>
      </w:r>
    </w:p>
    <w:p w14:paraId="3DC4C9F2">
      <w:pPr>
        <w:pStyle w:val="24"/>
        <w:pageBreakBefore w:val="0"/>
        <w:kinsoku/>
        <w:wordWrap/>
        <w:topLinePunct w:val="0"/>
        <w:autoSpaceDE/>
        <w:autoSpaceDN/>
        <w:bidi w:val="0"/>
        <w:ind w:firstLine="480" w:firstLineChars="200"/>
        <w:rPr>
          <w:rFonts w:hint="eastAsia" w:cs="Times New Roman"/>
        </w:rPr>
      </w:pPr>
      <w:r>
        <w:rPr>
          <w:rFonts w:hint="eastAsia" w:cs="Times New Roman"/>
        </w:rPr>
        <w:t>2、供应商递交响应文件的地点：见邀请书。</w:t>
      </w:r>
    </w:p>
    <w:p w14:paraId="664F098C">
      <w:pPr>
        <w:pStyle w:val="24"/>
        <w:pageBreakBefore w:val="0"/>
        <w:kinsoku/>
        <w:wordWrap/>
        <w:topLinePunct w:val="0"/>
        <w:autoSpaceDE/>
        <w:autoSpaceDN/>
        <w:bidi w:val="0"/>
        <w:ind w:firstLine="480" w:firstLineChars="200"/>
        <w:rPr>
          <w:rFonts w:hint="eastAsia" w:cs="Times New Roman"/>
        </w:rPr>
      </w:pPr>
      <w:r>
        <w:rPr>
          <w:rFonts w:hint="eastAsia" w:cs="Times New Roman"/>
        </w:rPr>
        <w:t>3、逾期递交或未递交到指定地点的响应文件恕不接受。</w:t>
      </w:r>
    </w:p>
    <w:p w14:paraId="07D16471">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w:t>
      </w:r>
      <w:bookmarkEnd w:id="63"/>
      <w:r>
        <w:rPr>
          <w:rFonts w:hint="eastAsia" w:ascii="仿宋" w:hAnsi="仿宋" w:eastAsia="仿宋" w:cs="仿宋"/>
          <w:b/>
          <w:sz w:val="24"/>
          <w:szCs w:val="24"/>
          <w:lang w:val="en-US" w:eastAsia="zh-CN"/>
        </w:rPr>
        <w:t>谈判</w:t>
      </w:r>
      <w:bookmarkEnd w:id="64"/>
      <w:bookmarkEnd w:id="65"/>
    </w:p>
    <w:p w14:paraId="091742F5">
      <w:pPr>
        <w:pStyle w:val="24"/>
        <w:ind w:firstLine="480"/>
        <w:rPr>
          <w:rFonts w:hint="eastAsia" w:cs="Times New Roman"/>
        </w:rPr>
      </w:pPr>
      <w:bookmarkStart w:id="66" w:name="_Toc491251304"/>
      <w:bookmarkStart w:id="67" w:name="_Toc5674"/>
      <w:bookmarkStart w:id="68" w:name="_Toc3292"/>
      <w:r>
        <w:rPr>
          <w:rFonts w:hint="eastAsia" w:cs="Times New Roman"/>
        </w:rPr>
        <w:t>（一）评审应当在采购文件中“邀请书”确定的时间和地点公开进行。</w:t>
      </w:r>
    </w:p>
    <w:p w14:paraId="6B2D4BDA">
      <w:pPr>
        <w:pStyle w:val="24"/>
        <w:ind w:firstLine="480"/>
        <w:rPr>
          <w:rFonts w:hint="eastAsia" w:cs="Times New Roman"/>
        </w:rPr>
      </w:pPr>
      <w:r>
        <w:rPr>
          <w:rFonts w:hint="eastAsia" w:cs="Times New Roman"/>
        </w:rPr>
        <w:t>（二）开标由采购机构主持，邀请采购人、供应商参加，财政部门和有关监督部</w:t>
      </w:r>
    </w:p>
    <w:p w14:paraId="234D691B">
      <w:pPr>
        <w:pStyle w:val="24"/>
        <w:ind w:firstLine="480"/>
        <w:rPr>
          <w:rFonts w:hint="eastAsia" w:cs="Times New Roman"/>
        </w:rPr>
      </w:pPr>
      <w:r>
        <w:rPr>
          <w:rFonts w:hint="eastAsia" w:cs="Times New Roman"/>
        </w:rPr>
        <w:t>门可视情况派员现场监督。</w:t>
      </w:r>
    </w:p>
    <w:p w14:paraId="37018541">
      <w:pPr>
        <w:pStyle w:val="24"/>
        <w:ind w:firstLine="480"/>
        <w:rPr>
          <w:rFonts w:hint="eastAsia" w:cs="Times New Roman"/>
        </w:rPr>
      </w:pPr>
      <w:r>
        <w:rPr>
          <w:rFonts w:hint="eastAsia" w:cs="Times New Roman"/>
        </w:rPr>
        <w:t>（三）本次采用网上开标，供应商在线参加开标（不需到现场参加开标）。开标</w:t>
      </w:r>
    </w:p>
    <w:p w14:paraId="2B1F4DC4">
      <w:pPr>
        <w:pStyle w:val="24"/>
        <w:ind w:firstLine="480"/>
        <w:rPr>
          <w:rFonts w:hint="eastAsia" w:cs="Times New Roman"/>
        </w:rPr>
      </w:pPr>
      <w:r>
        <w:rPr>
          <w:rFonts w:hint="eastAsia" w:cs="Times New Roman"/>
        </w:rPr>
        <w:t>前供应商完成设备测试，保证摄像头及麦克风正常使用。自开标时间起至评标结束，供应商须登录新疆政府采购平台并保持网络畅通，随时答复评标委员会的疑问。若供应商未在规定时间内答复的，由此产生的后果将由供应商自行承担。</w:t>
      </w:r>
    </w:p>
    <w:p w14:paraId="50DA4230">
      <w:pPr>
        <w:pStyle w:val="24"/>
        <w:ind w:firstLine="480"/>
        <w:rPr>
          <w:rFonts w:hint="eastAsia" w:cs="Times New Roman"/>
        </w:rPr>
      </w:pPr>
      <w:r>
        <w:rPr>
          <w:rFonts w:hint="eastAsia" w:cs="Times New Roman"/>
        </w:rPr>
        <w:t>（四）供应商登录政采云平台，在开标时间后 30 分钟内（</w:t>
      </w:r>
      <w:r>
        <w:rPr>
          <w:rFonts w:hint="eastAsia" w:cs="Times New Roman"/>
          <w:lang w:eastAsia="zh-CN"/>
        </w:rPr>
        <w:t>2026年7月1日</w:t>
      </w:r>
      <w:r>
        <w:rPr>
          <w:rFonts w:hint="eastAsia" w:cs="Times New Roman"/>
          <w:lang w:val="en-US" w:eastAsia="zh-CN"/>
        </w:rPr>
        <w:t>上</w:t>
      </w:r>
      <w:r>
        <w:rPr>
          <w:rFonts w:hint="eastAsia" w:cs="Times New Roman"/>
        </w:rPr>
        <w:t>午 1</w:t>
      </w:r>
      <w:r>
        <w:rPr>
          <w:rFonts w:hint="eastAsia" w:cs="Times New Roman"/>
          <w:lang w:val="en-US" w:eastAsia="zh-CN"/>
        </w:rPr>
        <w:t>0</w:t>
      </w:r>
      <w:r>
        <w:rPr>
          <w:rFonts w:hint="eastAsia" w:cs="Times New Roman"/>
        </w:rPr>
        <w:t>:30-1</w:t>
      </w:r>
      <w:r>
        <w:rPr>
          <w:rFonts w:hint="eastAsia" w:cs="Times New Roman"/>
          <w:lang w:val="en-US" w:eastAsia="zh-CN"/>
        </w:rPr>
        <w:t>1</w:t>
      </w:r>
      <w:r>
        <w:rPr>
          <w:rFonts w:hint="eastAsia" w:cs="Times New Roman"/>
        </w:rPr>
        <w:t>:00）用“项目采购-开标评标”功能进行解密响应文件。若供应商在规定时间内（</w:t>
      </w:r>
      <w:r>
        <w:rPr>
          <w:rFonts w:hint="eastAsia" w:cs="Times New Roman"/>
          <w:lang w:eastAsia="zh-CN"/>
        </w:rPr>
        <w:t>2026年7月1日</w:t>
      </w:r>
      <w:r>
        <w:rPr>
          <w:rFonts w:hint="eastAsia" w:cs="Times New Roman"/>
          <w:lang w:val="en-US" w:eastAsia="zh-CN"/>
        </w:rPr>
        <w:t>上</w:t>
      </w:r>
      <w:r>
        <w:rPr>
          <w:rFonts w:hint="eastAsia" w:cs="Times New Roman"/>
        </w:rPr>
        <w:t>午 1</w:t>
      </w:r>
      <w:r>
        <w:rPr>
          <w:rFonts w:hint="eastAsia" w:cs="Times New Roman"/>
          <w:lang w:val="en-US" w:eastAsia="zh-CN"/>
        </w:rPr>
        <w:t>0</w:t>
      </w:r>
      <w:r>
        <w:rPr>
          <w:rFonts w:hint="eastAsia" w:cs="Times New Roman"/>
        </w:rPr>
        <w:t>:</w:t>
      </w:r>
      <w:r>
        <w:rPr>
          <w:rFonts w:hint="eastAsia" w:cs="Times New Roman"/>
          <w:lang w:val="en-US" w:eastAsia="zh-CN"/>
        </w:rPr>
        <w:t>30</w:t>
      </w:r>
      <w:r>
        <w:rPr>
          <w:rFonts w:hint="eastAsia" w:cs="Times New Roman"/>
        </w:rPr>
        <w:t>-</w:t>
      </w:r>
      <w:r>
        <w:rPr>
          <w:rFonts w:hint="eastAsia" w:cs="Times New Roman"/>
          <w:lang w:val="en-US" w:eastAsia="zh-CN"/>
        </w:rPr>
        <w:t>11</w:t>
      </w:r>
      <w:r>
        <w:rPr>
          <w:rFonts w:hint="eastAsia" w:cs="Times New Roman"/>
        </w:rPr>
        <w:t>:00）未按时解密的，视为无效投标。解密与加密响应文件须使用同一个 CA。</w:t>
      </w:r>
    </w:p>
    <w:p w14:paraId="1FF7DA54">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五、</w:t>
      </w:r>
      <w:bookmarkEnd w:id="66"/>
      <w:r>
        <w:rPr>
          <w:rFonts w:hint="eastAsia" w:ascii="仿宋" w:hAnsi="仿宋" w:eastAsia="仿宋" w:cs="仿宋"/>
          <w:b/>
          <w:sz w:val="24"/>
          <w:szCs w:val="24"/>
          <w:lang w:val="en-US" w:eastAsia="zh-CN"/>
        </w:rPr>
        <w:t>确定成交供应商</w:t>
      </w:r>
      <w:bookmarkEnd w:id="67"/>
      <w:bookmarkEnd w:id="68"/>
    </w:p>
    <w:p w14:paraId="6D22F600">
      <w:pPr>
        <w:pStyle w:val="24"/>
        <w:pageBreakBefore w:val="0"/>
        <w:kinsoku/>
        <w:wordWrap/>
        <w:topLinePunct w:val="0"/>
        <w:autoSpaceDE/>
        <w:autoSpaceDN/>
        <w:bidi w:val="0"/>
        <w:ind w:firstLine="480" w:firstLineChars="200"/>
        <w:rPr>
          <w:rFonts w:hint="eastAsia" w:ascii="仿宋" w:hAnsi="仿宋" w:eastAsia="仿宋" w:cs="仿宋"/>
        </w:rPr>
      </w:pPr>
      <w:bookmarkStart w:id="69" w:name="_Toc491251305"/>
      <w:r>
        <w:rPr>
          <w:rFonts w:hint="eastAsia" w:ascii="仿宋" w:hAnsi="仿宋" w:eastAsia="仿宋" w:cs="仿宋"/>
        </w:rPr>
        <w:t>（一）采购人或其授权的谈判小组应按照评审报告中推荐的成交候选人排名顺序确定成交供应商。</w:t>
      </w:r>
    </w:p>
    <w:p w14:paraId="1FBE7EAC">
      <w:pPr>
        <w:pStyle w:val="24"/>
        <w:pageBreakBefore w:val="0"/>
        <w:kinsoku/>
        <w:wordWrap/>
        <w:topLinePunct w:val="0"/>
        <w:autoSpaceDE/>
        <w:autoSpaceDN/>
        <w:bidi w:val="0"/>
        <w:ind w:firstLine="480" w:firstLineChars="200"/>
        <w:rPr>
          <w:rFonts w:hint="eastAsia" w:ascii="仿宋" w:hAnsi="仿宋" w:eastAsia="仿宋" w:cs="仿宋"/>
        </w:rPr>
      </w:pPr>
      <w:r>
        <w:rPr>
          <w:rFonts w:hint="eastAsia" w:ascii="仿宋" w:hAnsi="仿宋" w:eastAsia="仿宋" w:cs="仿宋"/>
        </w:rPr>
        <w:t>（二）如有供应商对评审结果提出质疑的，在质疑处理完毕后发出成交通知书。</w:t>
      </w:r>
    </w:p>
    <w:p w14:paraId="4489B38E">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bookmarkStart w:id="70" w:name="_Toc23224"/>
      <w:bookmarkStart w:id="71" w:name="_Toc20683"/>
      <w:r>
        <w:rPr>
          <w:rFonts w:hint="eastAsia" w:ascii="仿宋" w:hAnsi="仿宋" w:eastAsia="仿宋" w:cs="仿宋"/>
          <w:b/>
          <w:sz w:val="24"/>
          <w:szCs w:val="24"/>
          <w:lang w:val="en-US" w:eastAsia="zh-CN"/>
        </w:rPr>
        <w:t>六、</w:t>
      </w:r>
      <w:bookmarkEnd w:id="69"/>
      <w:r>
        <w:rPr>
          <w:rFonts w:hint="eastAsia" w:ascii="仿宋" w:hAnsi="仿宋" w:eastAsia="仿宋" w:cs="仿宋"/>
          <w:b/>
          <w:sz w:val="24"/>
          <w:szCs w:val="24"/>
          <w:lang w:val="en-US" w:eastAsia="zh-CN"/>
        </w:rPr>
        <w:t>成交通知书</w:t>
      </w:r>
      <w:bookmarkEnd w:id="70"/>
      <w:bookmarkEnd w:id="71"/>
    </w:p>
    <w:p w14:paraId="3FBEF9F1">
      <w:pPr>
        <w:pStyle w:val="24"/>
        <w:ind w:firstLine="480"/>
        <w:rPr>
          <w:rFonts w:hint="eastAsia"/>
        </w:rPr>
      </w:pPr>
      <w:bookmarkStart w:id="72" w:name="_Toc30395"/>
      <w:bookmarkStart w:id="73" w:name="_Toc13651941"/>
      <w:bookmarkStart w:id="74" w:name="_Toc5416"/>
      <w:bookmarkStart w:id="75" w:name="_Toc491251308"/>
      <w:r>
        <w:rPr>
          <w:rFonts w:hint="eastAsia"/>
        </w:rPr>
        <w:t>（一）采购人依法确定成交供应商后，采购机构以</w:t>
      </w:r>
      <w:r>
        <w:rPr>
          <w:rFonts w:hint="eastAsia"/>
          <w:lang w:val="en-US" w:eastAsia="zh-CN"/>
        </w:rPr>
        <w:t>电子</w:t>
      </w:r>
      <w:r>
        <w:rPr>
          <w:rFonts w:hint="eastAsia"/>
        </w:rPr>
        <w:t>形式发出成交通知书。</w:t>
      </w:r>
    </w:p>
    <w:p w14:paraId="6AF6EBB1">
      <w:pPr>
        <w:pStyle w:val="24"/>
        <w:ind w:firstLine="480"/>
        <w:rPr>
          <w:rFonts w:hint="eastAsia" w:ascii="仿宋" w:hAnsi="仿宋" w:eastAsia="仿宋" w:cs="仿宋"/>
        </w:rPr>
      </w:pPr>
      <w:r>
        <w:rPr>
          <w:rFonts w:hint="eastAsia"/>
        </w:rPr>
        <w:t>（二）成交通知书发出后，采购人改变成交结果，或者成交供应商放弃成交，应当承担相应的法律责任。</w:t>
      </w:r>
    </w:p>
    <w:p w14:paraId="745EA051">
      <w:pPr>
        <w:pStyle w:val="6"/>
        <w:pageBreakBefore w:val="0"/>
        <w:kinsoku/>
        <w:wordWrap/>
        <w:topLinePunct w:val="0"/>
        <w:autoSpaceDE/>
        <w:autoSpaceDN/>
        <w:bidi w:val="0"/>
        <w:ind w:firstLine="482" w:firstLineChars="2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七、关于质疑和投诉</w:t>
      </w:r>
      <w:bookmarkEnd w:id="72"/>
      <w:bookmarkEnd w:id="73"/>
      <w:bookmarkEnd w:id="74"/>
    </w:p>
    <w:p w14:paraId="02A37083">
      <w:pPr>
        <w:pStyle w:val="24"/>
        <w:outlineLvl w:val="2"/>
        <w:rPr>
          <w:rFonts w:hint="eastAsia" w:ascii="仿宋" w:hAnsi="仿宋" w:eastAsia="仿宋" w:cs="仿宋"/>
        </w:rPr>
      </w:pPr>
      <w:r>
        <w:rPr>
          <w:rFonts w:hint="eastAsia" w:ascii="仿宋" w:hAnsi="仿宋" w:eastAsia="仿宋" w:cs="仿宋"/>
        </w:rPr>
        <w:t>（一）质疑内容、时限、质疑书数量</w:t>
      </w:r>
    </w:p>
    <w:p w14:paraId="321C0FFB">
      <w:pPr>
        <w:pStyle w:val="24"/>
        <w:rPr>
          <w:rFonts w:hint="eastAsia" w:ascii="仿宋" w:hAnsi="仿宋" w:eastAsia="仿宋" w:cs="仿宋"/>
        </w:rPr>
      </w:pPr>
      <w:r>
        <w:rPr>
          <w:rFonts w:hint="eastAsia" w:ascii="仿宋" w:hAnsi="仿宋" w:eastAsia="仿宋" w:cs="仿宋"/>
        </w:rPr>
        <w:t>1、</w:t>
      </w:r>
      <w:r>
        <w:rPr>
          <w:rFonts w:hint="eastAsia" w:ascii="仿宋" w:hAnsi="仿宋" w:eastAsia="仿宋" w:cs="仿宋"/>
          <w:lang w:eastAsia="zh-CN"/>
        </w:rPr>
        <w:t>供应商</w:t>
      </w:r>
      <w:r>
        <w:rPr>
          <w:rFonts w:hint="eastAsia" w:ascii="仿宋" w:hAnsi="仿宋" w:eastAsia="仿宋" w:cs="仿宋"/>
        </w:rPr>
        <w:t>对</w:t>
      </w:r>
      <w:r>
        <w:rPr>
          <w:rFonts w:hint="eastAsia" w:ascii="仿宋" w:hAnsi="仿宋" w:eastAsia="仿宋" w:cs="仿宋"/>
          <w:lang w:eastAsia="zh-CN"/>
        </w:rPr>
        <w:t>采购文件</w:t>
      </w:r>
      <w:r>
        <w:rPr>
          <w:rFonts w:hint="eastAsia" w:ascii="仿宋" w:hAnsi="仿宋" w:eastAsia="仿宋" w:cs="仿宋"/>
        </w:rPr>
        <w:t>如有异议，应在</w:t>
      </w:r>
      <w:r>
        <w:rPr>
          <w:rFonts w:hint="eastAsia" w:ascii="仿宋" w:hAnsi="仿宋" w:eastAsia="仿宋" w:cs="仿宋"/>
          <w:lang w:eastAsia="zh-CN"/>
        </w:rPr>
        <w:t>采购文件</w:t>
      </w:r>
      <w:r>
        <w:rPr>
          <w:rFonts w:hint="eastAsia" w:ascii="仿宋" w:hAnsi="仿宋" w:eastAsia="仿宋" w:cs="仿宋"/>
        </w:rPr>
        <w:t>公告期限届满之日起七个工作日内以书面形式向采购人、采购机构提出质疑，并附相关证明材料。</w:t>
      </w:r>
    </w:p>
    <w:p w14:paraId="2EB990C6">
      <w:pPr>
        <w:pStyle w:val="24"/>
        <w:rPr>
          <w:rFonts w:hint="eastAsia" w:ascii="仿宋" w:hAnsi="仿宋" w:eastAsia="仿宋" w:cs="仿宋"/>
        </w:rPr>
      </w:pPr>
      <w:r>
        <w:rPr>
          <w:rFonts w:hint="eastAsia" w:ascii="仿宋" w:hAnsi="仿宋" w:eastAsia="仿宋" w:cs="仿宋"/>
        </w:rPr>
        <w:t>2、</w:t>
      </w:r>
      <w:r>
        <w:rPr>
          <w:rFonts w:hint="eastAsia" w:ascii="仿宋" w:hAnsi="仿宋" w:eastAsia="仿宋" w:cs="仿宋"/>
          <w:lang w:eastAsia="zh-CN"/>
        </w:rPr>
        <w:t>供应商</w:t>
      </w:r>
      <w:r>
        <w:rPr>
          <w:rFonts w:hint="eastAsia" w:ascii="仿宋" w:hAnsi="仿宋" w:eastAsia="仿宋" w:cs="仿宋"/>
        </w:rPr>
        <w:t>对中标结果有异议的，应当在中标公告发布之日起七个工作日内以书面形式向采购人、采购机构提出质疑，并附相关证明材料。</w:t>
      </w:r>
    </w:p>
    <w:p w14:paraId="75397BC4">
      <w:pPr>
        <w:pStyle w:val="24"/>
        <w:rPr>
          <w:rFonts w:hint="eastAsia" w:ascii="仿宋" w:hAnsi="仿宋" w:eastAsia="仿宋" w:cs="仿宋"/>
        </w:rPr>
      </w:pPr>
      <w:r>
        <w:rPr>
          <w:rFonts w:hint="eastAsia" w:ascii="仿宋" w:hAnsi="仿宋" w:eastAsia="仿宋" w:cs="仿宋"/>
        </w:rPr>
        <w:t>3、供应商对采购文件中供应商特定资格条件、技术质量和商务要求、评审标准及评审细则有异议的，应主要向采购人提出质疑，其他问题可向采购机构提出质疑。</w:t>
      </w:r>
    </w:p>
    <w:p w14:paraId="36091F8A">
      <w:pPr>
        <w:pStyle w:val="24"/>
        <w:rPr>
          <w:rFonts w:hint="eastAsia" w:ascii="仿宋" w:hAnsi="仿宋" w:eastAsia="仿宋" w:cs="仿宋"/>
        </w:rPr>
      </w:pPr>
      <w:r>
        <w:rPr>
          <w:rFonts w:hint="eastAsia" w:ascii="仿宋" w:hAnsi="仿宋" w:eastAsia="仿宋" w:cs="仿宋"/>
        </w:rPr>
        <w:t>4、质疑函应当包括下列内容：</w:t>
      </w:r>
    </w:p>
    <w:p w14:paraId="112909F1">
      <w:pPr>
        <w:pStyle w:val="24"/>
        <w:rPr>
          <w:rFonts w:hint="eastAsia" w:ascii="仿宋" w:hAnsi="仿宋" w:eastAsia="仿宋" w:cs="仿宋"/>
        </w:rPr>
      </w:pPr>
      <w:r>
        <w:rPr>
          <w:rFonts w:hint="eastAsia" w:ascii="仿宋" w:hAnsi="仿宋" w:eastAsia="仿宋" w:cs="仿宋"/>
        </w:rPr>
        <w:t>4.1供应商的姓名或者名称、地址、邮编、联系人及联系电话；</w:t>
      </w:r>
    </w:p>
    <w:p w14:paraId="0A7BAC39">
      <w:pPr>
        <w:pStyle w:val="24"/>
        <w:rPr>
          <w:rFonts w:hint="eastAsia" w:ascii="仿宋" w:hAnsi="仿宋" w:eastAsia="仿宋" w:cs="仿宋"/>
        </w:rPr>
      </w:pPr>
      <w:r>
        <w:rPr>
          <w:rFonts w:hint="eastAsia" w:ascii="仿宋" w:hAnsi="仿宋" w:eastAsia="仿宋" w:cs="仿宋"/>
        </w:rPr>
        <w:t>4.2质疑项目的名称、编号；</w:t>
      </w:r>
    </w:p>
    <w:p w14:paraId="296706CE">
      <w:pPr>
        <w:pStyle w:val="24"/>
        <w:rPr>
          <w:rFonts w:hint="eastAsia" w:ascii="仿宋" w:hAnsi="仿宋" w:eastAsia="仿宋" w:cs="仿宋"/>
        </w:rPr>
      </w:pPr>
      <w:r>
        <w:rPr>
          <w:rFonts w:hint="eastAsia" w:ascii="仿宋" w:hAnsi="仿宋" w:eastAsia="仿宋" w:cs="仿宋"/>
        </w:rPr>
        <w:t>4.3具体、明确的质疑事项和与质疑事项相关的请求；</w:t>
      </w:r>
    </w:p>
    <w:p w14:paraId="4924C3CE">
      <w:pPr>
        <w:pStyle w:val="24"/>
        <w:rPr>
          <w:rFonts w:hint="eastAsia" w:ascii="仿宋" w:hAnsi="仿宋" w:eastAsia="仿宋" w:cs="仿宋"/>
        </w:rPr>
      </w:pPr>
      <w:r>
        <w:rPr>
          <w:rFonts w:hint="eastAsia" w:ascii="仿宋" w:hAnsi="仿宋" w:eastAsia="仿宋" w:cs="仿宋"/>
        </w:rPr>
        <w:t>4.4事实依据；</w:t>
      </w:r>
    </w:p>
    <w:p w14:paraId="39EAD77E">
      <w:pPr>
        <w:pStyle w:val="24"/>
        <w:rPr>
          <w:rFonts w:hint="eastAsia" w:ascii="仿宋" w:hAnsi="仿宋" w:eastAsia="仿宋" w:cs="仿宋"/>
        </w:rPr>
      </w:pPr>
      <w:r>
        <w:rPr>
          <w:rFonts w:hint="eastAsia" w:ascii="仿宋" w:hAnsi="仿宋" w:eastAsia="仿宋" w:cs="仿宋"/>
        </w:rPr>
        <w:t>4.5必要的法律依据；</w:t>
      </w:r>
    </w:p>
    <w:p w14:paraId="08DF31EC">
      <w:pPr>
        <w:pStyle w:val="24"/>
        <w:rPr>
          <w:rFonts w:hint="eastAsia" w:ascii="仿宋" w:hAnsi="仿宋" w:eastAsia="仿宋" w:cs="仿宋"/>
        </w:rPr>
      </w:pPr>
      <w:r>
        <w:rPr>
          <w:rFonts w:hint="eastAsia" w:ascii="仿宋" w:hAnsi="仿宋" w:eastAsia="仿宋" w:cs="仿宋"/>
        </w:rPr>
        <w:t>4.6提出质疑的日期。</w:t>
      </w:r>
    </w:p>
    <w:p w14:paraId="001B30AA">
      <w:pPr>
        <w:pStyle w:val="24"/>
        <w:rPr>
          <w:rFonts w:hint="eastAsia" w:ascii="仿宋" w:hAnsi="仿宋" w:eastAsia="仿宋" w:cs="仿宋"/>
        </w:rPr>
      </w:pPr>
      <w:r>
        <w:rPr>
          <w:rFonts w:hint="eastAsia" w:ascii="仿宋" w:hAnsi="仿宋" w:eastAsia="仿宋" w:cs="仿宋"/>
        </w:rPr>
        <w:t>质疑人为自然人的，应当由本人签字；质疑人为法人或者其他组织的，应当由法定代表人、主要负责人，或者其授权代表签字或者盖章，并加盖公章。</w:t>
      </w:r>
    </w:p>
    <w:p w14:paraId="0F6C5EBC">
      <w:pPr>
        <w:pStyle w:val="24"/>
        <w:rPr>
          <w:rFonts w:hint="eastAsia" w:ascii="仿宋" w:hAnsi="仿宋" w:eastAsia="仿宋" w:cs="仿宋"/>
        </w:rPr>
      </w:pPr>
      <w:r>
        <w:rPr>
          <w:rFonts w:hint="eastAsia" w:ascii="仿宋" w:hAnsi="仿宋" w:eastAsia="仿宋" w:cs="仿宋"/>
        </w:rPr>
        <w:t>5、质疑书数量：一式四份。</w:t>
      </w:r>
    </w:p>
    <w:p w14:paraId="2005E5B7">
      <w:pPr>
        <w:pStyle w:val="24"/>
        <w:rPr>
          <w:rFonts w:hint="eastAsia" w:ascii="仿宋" w:hAnsi="仿宋" w:eastAsia="仿宋" w:cs="仿宋"/>
          <w:b/>
          <w:bCs/>
          <w:sz w:val="28"/>
          <w:szCs w:val="28"/>
        </w:rPr>
      </w:pPr>
      <w:r>
        <w:rPr>
          <w:rFonts w:hint="eastAsia" w:ascii="仿宋" w:hAnsi="仿宋" w:eastAsia="仿宋" w:cs="仿宋"/>
          <w:b/>
          <w:bCs/>
          <w:sz w:val="28"/>
          <w:szCs w:val="28"/>
        </w:rPr>
        <w:t>（质疑函范本可在财政部门户网站和中国政府采购网下载）</w:t>
      </w:r>
    </w:p>
    <w:p w14:paraId="5E89AC8C">
      <w:pPr>
        <w:pStyle w:val="24"/>
        <w:outlineLvl w:val="2"/>
        <w:rPr>
          <w:rFonts w:hint="eastAsia" w:ascii="仿宋" w:hAnsi="仿宋" w:eastAsia="仿宋" w:cs="仿宋"/>
        </w:rPr>
      </w:pPr>
      <w:r>
        <w:rPr>
          <w:rFonts w:hint="eastAsia" w:ascii="仿宋" w:hAnsi="仿宋" w:eastAsia="仿宋" w:cs="仿宋"/>
        </w:rPr>
        <w:t>（二）质疑答复时限</w:t>
      </w:r>
    </w:p>
    <w:p w14:paraId="4B6B8E68">
      <w:pPr>
        <w:pStyle w:val="24"/>
        <w:rPr>
          <w:rFonts w:hint="eastAsia" w:ascii="仿宋" w:hAnsi="仿宋" w:eastAsia="仿宋" w:cs="仿宋"/>
        </w:rPr>
      </w:pPr>
      <w:r>
        <w:rPr>
          <w:rFonts w:hint="eastAsia" w:ascii="仿宋" w:hAnsi="仿宋" w:eastAsia="仿宋" w:cs="仿宋"/>
        </w:rPr>
        <w:t>采购人、采购机构在收到</w:t>
      </w:r>
      <w:r>
        <w:rPr>
          <w:rFonts w:hint="eastAsia" w:ascii="仿宋" w:hAnsi="仿宋" w:eastAsia="仿宋" w:cs="仿宋"/>
          <w:lang w:eastAsia="zh-CN"/>
        </w:rPr>
        <w:t>供应商</w:t>
      </w:r>
      <w:r>
        <w:rPr>
          <w:rFonts w:hint="eastAsia" w:ascii="仿宋" w:hAnsi="仿宋" w:eastAsia="仿宋" w:cs="仿宋"/>
        </w:rPr>
        <w:t>书面质疑后七个工作日内，对质疑内容作出答复。</w:t>
      </w:r>
    </w:p>
    <w:p w14:paraId="69ADC471">
      <w:pPr>
        <w:pStyle w:val="24"/>
        <w:outlineLvl w:val="2"/>
        <w:rPr>
          <w:rFonts w:hint="eastAsia" w:ascii="仿宋" w:hAnsi="仿宋" w:eastAsia="仿宋" w:cs="仿宋"/>
        </w:rPr>
      </w:pPr>
      <w:r>
        <w:rPr>
          <w:rFonts w:hint="eastAsia" w:ascii="仿宋" w:hAnsi="仿宋" w:eastAsia="仿宋" w:cs="仿宋"/>
        </w:rPr>
        <w:t>（三）不予受理或暂缓受理</w:t>
      </w:r>
    </w:p>
    <w:p w14:paraId="14F7471B">
      <w:pPr>
        <w:pStyle w:val="24"/>
        <w:rPr>
          <w:rFonts w:hint="eastAsia" w:ascii="仿宋" w:hAnsi="仿宋" w:eastAsia="仿宋" w:cs="仿宋"/>
        </w:rPr>
      </w:pPr>
      <w:r>
        <w:rPr>
          <w:rFonts w:hint="eastAsia" w:ascii="仿宋" w:hAnsi="仿宋" w:eastAsia="仿宋" w:cs="仿宋"/>
        </w:rPr>
        <w:t>1、质疑有下列情形之一的，不予受理：</w:t>
      </w:r>
    </w:p>
    <w:p w14:paraId="4B29CFF3">
      <w:pPr>
        <w:pStyle w:val="24"/>
        <w:rPr>
          <w:rFonts w:hint="eastAsia" w:ascii="仿宋" w:hAnsi="仿宋" w:eastAsia="仿宋" w:cs="仿宋"/>
        </w:rPr>
      </w:pPr>
      <w:r>
        <w:rPr>
          <w:rFonts w:hint="eastAsia" w:ascii="仿宋" w:hAnsi="仿宋" w:eastAsia="仿宋" w:cs="仿宋"/>
        </w:rPr>
        <w:t>1.1质疑供应商参与了投标活动后，再对</w:t>
      </w:r>
      <w:r>
        <w:rPr>
          <w:rFonts w:hint="eastAsia" w:ascii="仿宋" w:hAnsi="仿宋" w:eastAsia="仿宋" w:cs="仿宋"/>
          <w:lang w:eastAsia="zh-CN"/>
        </w:rPr>
        <w:t>采购文件</w:t>
      </w:r>
      <w:r>
        <w:rPr>
          <w:rFonts w:hint="eastAsia" w:ascii="仿宋" w:hAnsi="仿宋" w:eastAsia="仿宋" w:cs="仿宋"/>
        </w:rPr>
        <w:t>内容提出质疑的；</w:t>
      </w:r>
    </w:p>
    <w:p w14:paraId="762F0E2D">
      <w:pPr>
        <w:pStyle w:val="24"/>
        <w:rPr>
          <w:rFonts w:hint="eastAsia" w:ascii="仿宋" w:hAnsi="仿宋" w:eastAsia="仿宋" w:cs="仿宋"/>
        </w:rPr>
      </w:pPr>
      <w:r>
        <w:rPr>
          <w:rFonts w:hint="eastAsia" w:ascii="仿宋" w:hAnsi="仿宋" w:eastAsia="仿宋" w:cs="仿宋"/>
        </w:rPr>
        <w:t>1.2质疑超过有效期的；</w:t>
      </w:r>
    </w:p>
    <w:p w14:paraId="3AE38D3D">
      <w:pPr>
        <w:pStyle w:val="24"/>
        <w:rPr>
          <w:rFonts w:hint="eastAsia" w:ascii="仿宋" w:hAnsi="仿宋" w:eastAsia="仿宋" w:cs="仿宋"/>
        </w:rPr>
      </w:pPr>
      <w:r>
        <w:rPr>
          <w:rFonts w:hint="eastAsia" w:ascii="仿宋" w:hAnsi="仿宋" w:eastAsia="仿宋" w:cs="仿宋"/>
        </w:rPr>
        <w:t>1.3对同一事项重复质疑时，未提供新的事实证据或法律依据；</w:t>
      </w:r>
    </w:p>
    <w:p w14:paraId="3185569B">
      <w:pPr>
        <w:pStyle w:val="24"/>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rPr>
        <w:t>质疑人未参与所质疑的政府采购活动的。</w:t>
      </w:r>
    </w:p>
    <w:p w14:paraId="1DB17CAC">
      <w:pPr>
        <w:pStyle w:val="24"/>
        <w:rPr>
          <w:rFonts w:hint="eastAsia" w:ascii="仿宋" w:hAnsi="仿宋" w:eastAsia="仿宋" w:cs="仿宋"/>
        </w:rPr>
      </w:pPr>
      <w:r>
        <w:rPr>
          <w:rFonts w:hint="eastAsia" w:ascii="仿宋" w:hAnsi="仿宋" w:eastAsia="仿宋" w:cs="仿宋"/>
        </w:rPr>
        <w:t>2、质疑有下列情形之一的，应暂不受理并告知</w:t>
      </w:r>
      <w:r>
        <w:rPr>
          <w:rFonts w:hint="eastAsia" w:ascii="仿宋" w:hAnsi="仿宋" w:eastAsia="仿宋" w:cs="仿宋"/>
          <w:lang w:eastAsia="zh-CN"/>
        </w:rPr>
        <w:t>供应商</w:t>
      </w:r>
      <w:r>
        <w:rPr>
          <w:rFonts w:hint="eastAsia" w:ascii="仿宋" w:hAnsi="仿宋" w:eastAsia="仿宋" w:cs="仿宋"/>
        </w:rPr>
        <w:t>补充材料。</w:t>
      </w:r>
      <w:r>
        <w:rPr>
          <w:rFonts w:hint="eastAsia" w:ascii="仿宋" w:hAnsi="仿宋" w:eastAsia="仿宋" w:cs="仿宋"/>
          <w:lang w:eastAsia="zh-CN"/>
        </w:rPr>
        <w:t>供应商</w:t>
      </w:r>
      <w:r>
        <w:rPr>
          <w:rFonts w:hint="eastAsia" w:ascii="仿宋" w:hAnsi="仿宋" w:eastAsia="仿宋" w:cs="仿宋"/>
        </w:rPr>
        <w:t>及时补充材料的，应予受理；逾期未补充的，不予受理：</w:t>
      </w:r>
    </w:p>
    <w:p w14:paraId="747873B1">
      <w:pPr>
        <w:pStyle w:val="24"/>
        <w:rPr>
          <w:rFonts w:hint="eastAsia" w:ascii="仿宋" w:hAnsi="仿宋" w:eastAsia="仿宋" w:cs="仿宋"/>
        </w:rPr>
      </w:pPr>
      <w:r>
        <w:rPr>
          <w:rFonts w:hint="eastAsia" w:ascii="仿宋" w:hAnsi="仿宋" w:eastAsia="仿宋" w:cs="仿宋"/>
        </w:rPr>
        <w:t>2.1质疑书内容不符合规定的；</w:t>
      </w:r>
    </w:p>
    <w:p w14:paraId="39EAA542">
      <w:pPr>
        <w:pStyle w:val="24"/>
        <w:rPr>
          <w:rFonts w:hint="eastAsia" w:ascii="仿宋" w:hAnsi="仿宋" w:eastAsia="仿宋" w:cs="仿宋"/>
        </w:rPr>
      </w:pPr>
      <w:r>
        <w:rPr>
          <w:rFonts w:hint="eastAsia" w:ascii="仿宋" w:hAnsi="仿宋" w:eastAsia="仿宋" w:cs="仿宋"/>
        </w:rPr>
        <w:t>2.2质疑书提供的依据或证明材料不全的；</w:t>
      </w:r>
    </w:p>
    <w:p w14:paraId="3D779B12">
      <w:pPr>
        <w:pStyle w:val="24"/>
        <w:rPr>
          <w:rFonts w:hint="eastAsia" w:ascii="仿宋" w:hAnsi="仿宋" w:eastAsia="仿宋" w:cs="仿宋"/>
        </w:rPr>
      </w:pPr>
      <w:r>
        <w:rPr>
          <w:rFonts w:hint="eastAsia" w:ascii="仿宋" w:hAnsi="仿宋" w:eastAsia="仿宋" w:cs="仿宋"/>
        </w:rPr>
        <w:t>2.3质疑书数量不足的。</w:t>
      </w:r>
    </w:p>
    <w:p w14:paraId="07B3DF40">
      <w:pPr>
        <w:pStyle w:val="24"/>
        <w:outlineLvl w:val="2"/>
        <w:rPr>
          <w:rFonts w:hint="eastAsia" w:ascii="仿宋" w:hAnsi="仿宋" w:eastAsia="仿宋" w:cs="仿宋"/>
        </w:rPr>
      </w:pPr>
      <w:r>
        <w:rPr>
          <w:rFonts w:hint="eastAsia" w:ascii="仿宋" w:hAnsi="仿宋" w:eastAsia="仿宋" w:cs="仿宋"/>
        </w:rPr>
        <w:t>（四）投诉</w:t>
      </w:r>
    </w:p>
    <w:p w14:paraId="551CD102">
      <w:pPr>
        <w:pStyle w:val="24"/>
        <w:rPr>
          <w:rFonts w:hint="eastAsia" w:ascii="仿宋" w:hAnsi="仿宋" w:eastAsia="仿宋" w:cs="仿宋"/>
        </w:rPr>
      </w:pPr>
      <w:r>
        <w:rPr>
          <w:rFonts w:hint="eastAsia" w:ascii="仿宋" w:hAnsi="仿宋" w:eastAsia="仿宋" w:cs="仿宋"/>
        </w:rPr>
        <w:t>1、</w:t>
      </w:r>
      <w:r>
        <w:rPr>
          <w:rFonts w:hint="eastAsia" w:ascii="仿宋" w:hAnsi="仿宋" w:eastAsia="仿宋" w:cs="仿宋"/>
          <w:lang w:eastAsia="zh-CN"/>
        </w:rPr>
        <w:t>供应商</w:t>
      </w:r>
      <w:r>
        <w:rPr>
          <w:rFonts w:hint="eastAsia" w:ascii="仿宋" w:hAnsi="仿宋" w:eastAsia="仿宋" w:cs="仿宋"/>
        </w:rPr>
        <w:t>对采购人、采购机构的答复不满意或者采购人、采购机构未在规定时间内答复的，可在答复期满后十五个工作日内按有关规定，向同级财政部门投诉。</w:t>
      </w:r>
    </w:p>
    <w:p w14:paraId="12A72E08">
      <w:pPr>
        <w:pStyle w:val="24"/>
        <w:rPr>
          <w:rFonts w:hint="eastAsia" w:ascii="仿宋" w:hAnsi="仿宋" w:eastAsia="仿宋" w:cs="仿宋"/>
        </w:rPr>
      </w:pPr>
      <w:r>
        <w:rPr>
          <w:rFonts w:hint="eastAsia" w:ascii="仿宋" w:hAnsi="仿宋" w:eastAsia="仿宋" w:cs="仿宋"/>
        </w:rPr>
        <w:t>2、在提出投诉时，应附送相关证明材料。投诉书及证明材料为外文的，应同时提供其中文译本；中文与外文意思不一致的，以中文为准。</w:t>
      </w:r>
    </w:p>
    <w:p w14:paraId="5F4A4632">
      <w:pPr>
        <w:pStyle w:val="24"/>
        <w:rPr>
          <w:rFonts w:hint="eastAsia" w:ascii="仿宋" w:hAnsi="仿宋" w:eastAsia="仿宋" w:cs="仿宋"/>
        </w:rPr>
      </w:pPr>
      <w:r>
        <w:rPr>
          <w:rFonts w:hint="eastAsia" w:ascii="仿宋" w:hAnsi="仿宋" w:eastAsia="仿宋" w:cs="仿宋"/>
        </w:rPr>
        <w:t>3、在确定受理投诉后，财政部门自受理投诉之日起三十个工作日内对投诉事项做出处理决定，并将投诉处理决定书送达投诉人、被投诉人和其他与投诉处理决定有利害关系的政府采购相关当事人。</w:t>
      </w:r>
    </w:p>
    <w:p w14:paraId="022FD2A5">
      <w:pPr>
        <w:pStyle w:val="6"/>
        <w:bidi w:val="0"/>
        <w:rPr>
          <w:rFonts w:hint="eastAsia" w:ascii="仿宋" w:hAnsi="仿宋" w:eastAsia="仿宋" w:cs="仿宋"/>
          <w:b/>
          <w:sz w:val="24"/>
          <w:szCs w:val="24"/>
          <w:lang w:val="en-US" w:eastAsia="zh-CN"/>
        </w:rPr>
      </w:pPr>
      <w:bookmarkStart w:id="76" w:name="_Toc19458"/>
      <w:bookmarkStart w:id="77" w:name="_Toc13651942"/>
      <w:bookmarkStart w:id="78" w:name="_Toc19747"/>
      <w:r>
        <w:rPr>
          <w:rFonts w:hint="eastAsia" w:ascii="仿宋" w:hAnsi="仿宋" w:eastAsia="仿宋" w:cs="仿宋"/>
          <w:b/>
          <w:sz w:val="24"/>
          <w:szCs w:val="24"/>
          <w:lang w:val="en-US" w:eastAsia="zh-CN"/>
        </w:rPr>
        <w:t>八、签订合同</w:t>
      </w:r>
      <w:bookmarkEnd w:id="76"/>
      <w:bookmarkEnd w:id="77"/>
      <w:bookmarkEnd w:id="78"/>
    </w:p>
    <w:bookmarkEnd w:id="75"/>
    <w:p w14:paraId="3E8562E2">
      <w:pPr>
        <w:pStyle w:val="24"/>
        <w:rPr>
          <w:rFonts w:hint="eastAsia" w:ascii="仿宋" w:hAnsi="仿宋" w:eastAsia="仿宋" w:cs="仿宋"/>
        </w:rPr>
      </w:pPr>
      <w:r>
        <w:rPr>
          <w:rFonts w:hint="eastAsia" w:ascii="仿宋" w:hAnsi="仿宋" w:eastAsia="仿宋" w:cs="仿宋"/>
        </w:rPr>
        <w:t>（一）采购人应当自中标通知书发出之日起三十日内，按照</w:t>
      </w:r>
      <w:r>
        <w:rPr>
          <w:rFonts w:hint="eastAsia" w:ascii="仿宋" w:hAnsi="仿宋" w:eastAsia="仿宋" w:cs="仿宋"/>
          <w:lang w:eastAsia="zh-CN"/>
        </w:rPr>
        <w:t>采购文件</w:t>
      </w:r>
      <w:r>
        <w:rPr>
          <w:rFonts w:hint="eastAsia" w:ascii="仿宋" w:hAnsi="仿宋" w:eastAsia="仿宋" w:cs="仿宋"/>
        </w:rPr>
        <w:t>和中标人</w:t>
      </w:r>
      <w:r>
        <w:rPr>
          <w:rFonts w:hint="eastAsia" w:ascii="仿宋" w:hAnsi="仿宋" w:eastAsia="仿宋" w:cs="仿宋"/>
          <w:lang w:eastAsia="zh-CN"/>
        </w:rPr>
        <w:t>响应文件</w:t>
      </w:r>
      <w:r>
        <w:rPr>
          <w:rFonts w:hint="eastAsia" w:ascii="仿宋" w:hAnsi="仿宋" w:eastAsia="仿宋" w:cs="仿宋"/>
        </w:rPr>
        <w:t>的约定，与中标人签订书面合同。所签订的合同不得对</w:t>
      </w:r>
      <w:r>
        <w:rPr>
          <w:rFonts w:hint="eastAsia" w:ascii="仿宋" w:hAnsi="仿宋" w:eastAsia="仿宋" w:cs="仿宋"/>
          <w:lang w:eastAsia="zh-CN"/>
        </w:rPr>
        <w:t>采购文件</w:t>
      </w:r>
      <w:r>
        <w:rPr>
          <w:rFonts w:hint="eastAsia" w:ascii="仿宋" w:hAnsi="仿宋" w:eastAsia="仿宋" w:cs="仿宋"/>
        </w:rPr>
        <w:t>和中标人</w:t>
      </w:r>
      <w:r>
        <w:rPr>
          <w:rFonts w:hint="eastAsia" w:ascii="仿宋" w:hAnsi="仿宋" w:eastAsia="仿宋" w:cs="仿宋"/>
          <w:lang w:eastAsia="zh-CN"/>
        </w:rPr>
        <w:t>响应文件</w:t>
      </w:r>
      <w:r>
        <w:rPr>
          <w:rFonts w:hint="eastAsia" w:ascii="仿宋" w:hAnsi="仿宋" w:eastAsia="仿宋" w:cs="仿宋"/>
        </w:rPr>
        <w:t>作实质性修改。</w:t>
      </w:r>
    </w:p>
    <w:p w14:paraId="708C238F">
      <w:pPr>
        <w:pStyle w:val="24"/>
        <w:rPr>
          <w:rFonts w:hint="eastAsia" w:ascii="仿宋" w:hAnsi="仿宋" w:eastAsia="仿宋" w:cs="仿宋"/>
        </w:rPr>
      </w:pPr>
      <w:r>
        <w:rPr>
          <w:rFonts w:hint="eastAsia" w:ascii="仿宋" w:hAnsi="仿宋" w:eastAsia="仿宋" w:cs="仿宋"/>
        </w:rPr>
        <w:t>（二）采购人应当自政府采购合同签订之日起2个工作日内，将政府采购合同在</w:t>
      </w:r>
      <w:r>
        <w:rPr>
          <w:rFonts w:hint="eastAsia" w:ascii="仿宋" w:hAnsi="仿宋" w:eastAsia="仿宋" w:cs="仿宋"/>
          <w:lang w:eastAsia="zh-CN"/>
        </w:rPr>
        <w:t>新疆</w:t>
      </w:r>
      <w:r>
        <w:rPr>
          <w:rFonts w:hint="eastAsia" w:ascii="仿宋" w:hAnsi="仿宋" w:eastAsia="仿宋" w:cs="仿宋"/>
        </w:rPr>
        <w:t>政府采购网上公告，7个工作日内送至</w:t>
      </w:r>
      <w:r>
        <w:rPr>
          <w:rFonts w:hint="eastAsia" w:ascii="仿宋" w:hAnsi="仿宋" w:eastAsia="仿宋" w:cs="仿宋"/>
          <w:lang w:eastAsia="zh-CN"/>
        </w:rPr>
        <w:t>区</w:t>
      </w:r>
      <w:r>
        <w:rPr>
          <w:rFonts w:hint="eastAsia" w:ascii="仿宋" w:hAnsi="仿宋" w:eastAsia="仿宋" w:cs="仿宋"/>
        </w:rPr>
        <w:t>政府采购管理办公室备案，但政府采购合同中涉及国家秘密、商业秘密的内容除外。</w:t>
      </w:r>
    </w:p>
    <w:p w14:paraId="0A0DFD46">
      <w:pPr>
        <w:pStyle w:val="24"/>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采购文件</w:t>
      </w:r>
      <w:r>
        <w:rPr>
          <w:rFonts w:hint="eastAsia" w:ascii="仿宋" w:hAnsi="仿宋" w:eastAsia="仿宋" w:cs="仿宋"/>
        </w:rPr>
        <w:t>、中标人的</w:t>
      </w:r>
      <w:r>
        <w:rPr>
          <w:rFonts w:hint="eastAsia" w:ascii="仿宋" w:hAnsi="仿宋" w:eastAsia="仿宋" w:cs="仿宋"/>
          <w:lang w:eastAsia="zh-CN"/>
        </w:rPr>
        <w:t>响应文件</w:t>
      </w:r>
      <w:r>
        <w:rPr>
          <w:rFonts w:hint="eastAsia" w:ascii="仿宋" w:hAnsi="仿宋" w:eastAsia="仿宋" w:cs="仿宋"/>
        </w:rPr>
        <w:t>及澄清文件等，均为签订政府采购合同的依据。</w:t>
      </w:r>
    </w:p>
    <w:p w14:paraId="7FF35444">
      <w:pPr>
        <w:pStyle w:val="24"/>
        <w:rPr>
          <w:rFonts w:hint="eastAsia" w:ascii="仿宋" w:hAnsi="仿宋" w:eastAsia="仿宋" w:cs="仿宋"/>
        </w:rPr>
      </w:pPr>
      <w:r>
        <w:rPr>
          <w:rFonts w:hint="eastAsia" w:ascii="仿宋" w:hAnsi="仿宋" w:eastAsia="仿宋" w:cs="仿宋"/>
        </w:rPr>
        <w:t>（四）合同生效条款由供需双方约定，法律、行政法规规定应当办理批准、登记等手续后生效的合同，依照其规定。</w:t>
      </w:r>
    </w:p>
    <w:p w14:paraId="11F8069E">
      <w:pPr>
        <w:pStyle w:val="24"/>
        <w:rPr>
          <w:rFonts w:hint="eastAsia" w:ascii="仿宋" w:hAnsi="仿宋" w:eastAsia="仿宋" w:cs="仿宋"/>
        </w:rPr>
      </w:pPr>
      <w:r>
        <w:rPr>
          <w:rFonts w:hint="eastAsia" w:ascii="仿宋" w:hAnsi="仿宋" w:eastAsia="仿宋" w:cs="仿宋"/>
        </w:rPr>
        <w:t>（五）采购人要求中标人提供履约保证金的，应当在</w:t>
      </w:r>
      <w:r>
        <w:rPr>
          <w:rFonts w:hint="eastAsia" w:ascii="仿宋" w:hAnsi="仿宋" w:eastAsia="仿宋" w:cs="仿宋"/>
          <w:lang w:eastAsia="zh-CN"/>
        </w:rPr>
        <w:t>采购文件</w:t>
      </w:r>
      <w:r>
        <w:rPr>
          <w:rFonts w:hint="eastAsia" w:ascii="仿宋" w:hAnsi="仿宋" w:eastAsia="仿宋" w:cs="仿宋"/>
        </w:rPr>
        <w:t>中予以约定。中标人履约完毕后，采购人应于五日内无息退还其履约保证金。</w:t>
      </w:r>
    </w:p>
    <w:p w14:paraId="5B209989">
      <w:pPr>
        <w:snapToGrid w:val="0"/>
        <w:spacing w:line="400" w:lineRule="exact"/>
        <w:rPr>
          <w:rFonts w:hint="eastAsia" w:ascii="仿宋" w:hAnsi="仿宋" w:eastAsia="仿宋" w:cs="仿宋"/>
        </w:rPr>
      </w:pPr>
    </w:p>
    <w:p w14:paraId="3125B114">
      <w:pPr>
        <w:snapToGrid w:val="0"/>
        <w:spacing w:line="400" w:lineRule="exact"/>
        <w:rPr>
          <w:rFonts w:hint="eastAsia" w:ascii="仿宋" w:hAnsi="仿宋" w:eastAsia="仿宋" w:cs="仿宋"/>
        </w:rPr>
      </w:pPr>
    </w:p>
    <w:p w14:paraId="5B80EE61">
      <w:pPr>
        <w:pStyle w:val="25"/>
        <w:rPr>
          <w:rFonts w:hint="eastAsia" w:ascii="仿宋" w:hAnsi="仿宋" w:eastAsia="仿宋" w:cs="仿宋"/>
        </w:rPr>
        <w:sectPr>
          <w:headerReference r:id="rId6" w:type="default"/>
          <w:pgSz w:w="11907" w:h="16840"/>
          <w:pgMar w:top="1134" w:right="708" w:bottom="1134" w:left="1304" w:header="964" w:footer="992" w:gutter="0"/>
          <w:pgBorders>
            <w:top w:val="none" w:sz="0" w:space="0"/>
            <w:left w:val="none" w:sz="0" w:space="0"/>
            <w:bottom w:val="none" w:sz="0" w:space="0"/>
            <w:right w:val="none" w:sz="0" w:space="0"/>
          </w:pgBorders>
          <w:pgNumType w:fmt="numberInDash"/>
          <w:cols w:space="720" w:num="1"/>
          <w:docGrid w:linePitch="312" w:charSpace="0"/>
        </w:sectPr>
      </w:pPr>
      <w:bookmarkStart w:id="79" w:name="_Toc491251309"/>
    </w:p>
    <w:bookmarkEnd w:id="79"/>
    <w:p w14:paraId="72E71529">
      <w:pPr>
        <w:pStyle w:val="25"/>
        <w:rPr>
          <w:rFonts w:hint="eastAsia" w:ascii="仿宋" w:eastAsia="仿宋" w:cs="宋体"/>
          <w:color w:val="auto"/>
          <w:kern w:val="0"/>
          <w:highlight w:val="none"/>
        </w:rPr>
      </w:pPr>
      <w:bookmarkStart w:id="80" w:name="_Toc27064"/>
      <w:bookmarkStart w:id="81" w:name="_Toc7577"/>
      <w:bookmarkStart w:id="82" w:name="_Toc9328487"/>
      <w:r>
        <w:rPr>
          <w:rFonts w:hint="eastAsia"/>
          <w:b/>
          <w:bCs/>
          <w:color w:val="auto"/>
          <w:sz w:val="32"/>
          <w:szCs w:val="32"/>
          <w:highlight w:val="none"/>
          <w:lang w:val="en-US" w:eastAsia="zh-CN"/>
        </w:rPr>
        <w:t xml:space="preserve"> </w:t>
      </w:r>
      <w:bookmarkEnd w:id="80"/>
      <w:bookmarkEnd w:id="81"/>
      <w:bookmarkEnd w:id="82"/>
      <w:bookmarkStart w:id="83" w:name="_Toc491251315"/>
      <w:bookmarkStart w:id="84" w:name="_Toc29019"/>
      <w:bookmarkStart w:id="85" w:name="_Toc9328488"/>
      <w:bookmarkStart w:id="86" w:name="_Toc11172"/>
      <w:bookmarkStart w:id="87" w:name="_Toc316479514"/>
      <w:bookmarkStart w:id="88" w:name="_Toc278274491"/>
      <w:bookmarkStart w:id="89" w:name="_Toc277084876"/>
      <w:bookmarkStart w:id="90" w:name="_Toc297020929"/>
      <w:bookmarkStart w:id="91" w:name="_Toc161727400"/>
      <w:bookmarkStart w:id="92" w:name="_Toc251742852"/>
      <w:bookmarkStart w:id="93" w:name="_Toc285722718"/>
      <w:bookmarkStart w:id="94" w:name="_Toc322965785"/>
      <w:bookmarkStart w:id="95" w:name="_Toc101179065"/>
      <w:r>
        <w:rPr>
          <w:rStyle w:val="22"/>
          <w:rFonts w:hint="eastAsia" w:ascii="仿宋" w:hAnsi="仿宋" w:eastAsia="仿宋" w:cs="仿宋"/>
          <w:b/>
          <w:sz w:val="36"/>
          <w:szCs w:val="36"/>
          <w:lang w:val="en-US" w:eastAsia="zh-CN" w:bidi="ar-SA"/>
        </w:rPr>
        <w:t>第六篇  合同主要条款和格式合同</w:t>
      </w:r>
      <w:bookmarkStart w:id="96" w:name="_Toc285722712"/>
      <w:bookmarkStart w:id="97" w:name="_Toc277084870"/>
    </w:p>
    <w:bookmarkEnd w:id="96"/>
    <w:bookmarkEnd w:id="97"/>
    <w:p w14:paraId="5C9CBC92">
      <w:pPr>
        <w:tabs>
          <w:tab w:val="left" w:pos="4395"/>
        </w:tabs>
        <w:spacing w:line="360" w:lineRule="auto"/>
        <w:ind w:firstLine="420"/>
        <w:rPr>
          <w:rFonts w:ascii="仿宋" w:hAnsi="仿宋" w:eastAsia="仿宋"/>
          <w:color w:val="auto"/>
          <w:sz w:val="21"/>
          <w:szCs w:val="21"/>
          <w:highlight w:val="none"/>
        </w:rPr>
      </w:pPr>
    </w:p>
    <w:p w14:paraId="3FF516A3">
      <w:pPr>
        <w:pStyle w:val="24"/>
        <w:ind w:firstLine="640"/>
        <w:rPr>
          <w:color w:val="auto"/>
          <w:sz w:val="32"/>
          <w:szCs w:val="32"/>
          <w:highlight w:val="none"/>
        </w:rPr>
      </w:pPr>
      <w:bookmarkStart w:id="98" w:name="_Toc490756174"/>
      <w:r>
        <w:rPr>
          <w:rFonts w:hint="eastAsia"/>
          <w:color w:val="auto"/>
          <w:sz w:val="32"/>
          <w:szCs w:val="32"/>
          <w:highlight w:val="none"/>
        </w:rPr>
        <w:t>一、合同主要条款</w:t>
      </w:r>
      <w:bookmarkEnd w:id="98"/>
    </w:p>
    <w:p w14:paraId="4D635EB7">
      <w:pPr>
        <w:pStyle w:val="24"/>
        <w:rPr>
          <w:color w:val="auto"/>
          <w:highlight w:val="none"/>
        </w:rPr>
      </w:pPr>
      <w:r>
        <w:rPr>
          <w:rFonts w:hint="eastAsia"/>
          <w:color w:val="auto"/>
          <w:highlight w:val="none"/>
        </w:rPr>
        <w:t>1、定义</w:t>
      </w:r>
    </w:p>
    <w:p w14:paraId="4B00AC82">
      <w:pPr>
        <w:pStyle w:val="24"/>
        <w:rPr>
          <w:color w:val="auto"/>
          <w:highlight w:val="none"/>
        </w:rPr>
      </w:pPr>
      <w:r>
        <w:rPr>
          <w:rFonts w:hint="eastAsia"/>
          <w:color w:val="auto"/>
          <w:highlight w:val="none"/>
        </w:rPr>
        <w:t>1.1甲方（需方）即采购人，是指通过招标采购，接受合同货物及服务的各级国家机关、事业单位和团体组织。</w:t>
      </w:r>
    </w:p>
    <w:p w14:paraId="50C6F82A">
      <w:pPr>
        <w:pStyle w:val="24"/>
        <w:ind w:firstLine="480"/>
        <w:rPr>
          <w:rFonts w:hint="eastAsia"/>
        </w:rPr>
      </w:pPr>
      <w:r>
        <w:rPr>
          <w:rFonts w:hint="eastAsia"/>
        </w:rPr>
        <w:t>1.2乙方（供方）即成交供应商，是指成交后提供合同货物和服务的自然人、法人及其他组织。</w:t>
      </w:r>
    </w:p>
    <w:p w14:paraId="27D27352">
      <w:pPr>
        <w:pStyle w:val="24"/>
        <w:ind w:firstLine="480"/>
        <w:rPr>
          <w:rFonts w:hint="eastAsia"/>
        </w:rPr>
      </w:pPr>
      <w:r>
        <w:rPr>
          <w:rFonts w:hint="eastAsia"/>
        </w:rPr>
        <w:t>1.3合同是指由甲乙双方按照采购文件和响应文件的实质性内容，通过协商一致达成的书面协议。</w:t>
      </w:r>
    </w:p>
    <w:p w14:paraId="6FD2D7FA">
      <w:pPr>
        <w:pStyle w:val="24"/>
        <w:ind w:firstLine="480"/>
        <w:rPr>
          <w:rFonts w:hint="eastAsia"/>
        </w:rPr>
      </w:pPr>
      <w:r>
        <w:rPr>
          <w:rFonts w:hint="eastAsia"/>
        </w:rPr>
        <w:t>1.4合同价格指以成交价格为依据，在供方全面履行合同义务后，需方（或财政部门）应支付给供方的金额。</w:t>
      </w:r>
    </w:p>
    <w:p w14:paraId="0DDC0486">
      <w:pPr>
        <w:pStyle w:val="24"/>
        <w:ind w:firstLine="480"/>
        <w:rPr>
          <w:rFonts w:hint="eastAsia"/>
        </w:rPr>
      </w:pPr>
      <w:r>
        <w:rPr>
          <w:rFonts w:hint="eastAsia"/>
        </w:rPr>
        <w:t>1.5技术资料是指合同货物及其相关的设计、制造、监造、检验、验收等文件（包括图纸、各种文字说明、标准）。</w:t>
      </w:r>
    </w:p>
    <w:p w14:paraId="0000E8FC">
      <w:pPr>
        <w:pStyle w:val="24"/>
        <w:ind w:firstLine="480"/>
        <w:rPr>
          <w:rFonts w:hint="eastAsia"/>
        </w:rPr>
      </w:pPr>
      <w:r>
        <w:rPr>
          <w:rFonts w:hint="eastAsia"/>
        </w:rPr>
        <w:t>2、货物内容</w:t>
      </w:r>
    </w:p>
    <w:p w14:paraId="1BE947B8">
      <w:pPr>
        <w:pStyle w:val="24"/>
        <w:ind w:firstLine="480"/>
        <w:rPr>
          <w:rFonts w:hint="eastAsia"/>
        </w:rPr>
      </w:pPr>
      <w:r>
        <w:rPr>
          <w:rFonts w:hint="eastAsia"/>
        </w:rPr>
        <w:t>合同包括以下内容：货物名称、型号规格、技术参数、数量（单位）等内容。</w:t>
      </w:r>
    </w:p>
    <w:p w14:paraId="6F73FDA8">
      <w:pPr>
        <w:pStyle w:val="24"/>
        <w:ind w:firstLine="480"/>
        <w:rPr>
          <w:rFonts w:hint="eastAsia"/>
        </w:rPr>
      </w:pPr>
      <w:r>
        <w:rPr>
          <w:rFonts w:hint="eastAsia"/>
        </w:rPr>
        <w:t>3、合同价格</w:t>
      </w:r>
    </w:p>
    <w:p w14:paraId="11AFAF79">
      <w:pPr>
        <w:pStyle w:val="24"/>
        <w:ind w:firstLine="480"/>
        <w:rPr>
          <w:rFonts w:hint="eastAsia"/>
        </w:rPr>
      </w:pPr>
      <w:r>
        <w:rPr>
          <w:rFonts w:hint="eastAsia"/>
        </w:rPr>
        <w:t>3.1合同价格即合同总价。</w:t>
      </w:r>
    </w:p>
    <w:p w14:paraId="41968F41">
      <w:pPr>
        <w:pStyle w:val="24"/>
        <w:ind w:firstLine="480"/>
        <w:rPr>
          <w:rFonts w:hint="eastAsia"/>
        </w:rPr>
      </w:pPr>
      <w:r>
        <w:rPr>
          <w:rFonts w:hint="eastAsia"/>
        </w:rPr>
        <w:t>3.2合同价格包括合同货物、技术资料、合同货物的税费、运杂费、保险费、包装费、装卸费及与货物有关的供方应纳的税费，所有税费由乙方负担。</w:t>
      </w:r>
    </w:p>
    <w:p w14:paraId="59F28D27">
      <w:pPr>
        <w:pStyle w:val="24"/>
        <w:ind w:firstLine="480"/>
        <w:rPr>
          <w:rFonts w:hint="eastAsia"/>
        </w:rPr>
      </w:pPr>
      <w:r>
        <w:rPr>
          <w:rFonts w:hint="eastAsia"/>
        </w:rPr>
        <w:t>3.3合同货物单价为不变价。</w:t>
      </w:r>
    </w:p>
    <w:p w14:paraId="442F62D1">
      <w:pPr>
        <w:pStyle w:val="24"/>
        <w:ind w:firstLine="480"/>
        <w:rPr>
          <w:rFonts w:hint="eastAsia"/>
        </w:rPr>
      </w:pPr>
      <w:r>
        <w:rPr>
          <w:rFonts w:hint="eastAsia"/>
        </w:rPr>
        <w:t>4、转包或分包</w:t>
      </w:r>
    </w:p>
    <w:p w14:paraId="707293AF">
      <w:pPr>
        <w:pStyle w:val="24"/>
        <w:ind w:firstLine="480"/>
        <w:rPr>
          <w:rFonts w:hint="eastAsia"/>
        </w:rPr>
      </w:pPr>
      <w:r>
        <w:rPr>
          <w:rFonts w:hint="eastAsia"/>
        </w:rPr>
        <w:t>4.1本合同范围的货物，应由乙方直接供应，不得转让他人供应；</w:t>
      </w:r>
    </w:p>
    <w:p w14:paraId="66A0264D">
      <w:pPr>
        <w:pStyle w:val="24"/>
        <w:ind w:firstLine="480"/>
        <w:rPr>
          <w:rFonts w:hint="eastAsia"/>
        </w:rPr>
      </w:pPr>
      <w:r>
        <w:rPr>
          <w:rFonts w:hint="eastAsia"/>
        </w:rPr>
        <w:t>4.2非经甲方书面同意，乙方不得将本合同范围的货物全部或部分分包给他人供应；</w:t>
      </w:r>
    </w:p>
    <w:p w14:paraId="77C638CF">
      <w:pPr>
        <w:pStyle w:val="24"/>
        <w:ind w:firstLine="480"/>
        <w:rPr>
          <w:rFonts w:hint="eastAsia"/>
        </w:rPr>
      </w:pPr>
      <w:r>
        <w:rPr>
          <w:rFonts w:hint="eastAsia"/>
        </w:rPr>
        <w:t>4.3如有转让和未经甲方同意的分包行为，甲方有权解除合同，并追究乙方的违约责任。</w:t>
      </w:r>
    </w:p>
    <w:p w14:paraId="383DAA19">
      <w:pPr>
        <w:pStyle w:val="24"/>
        <w:ind w:firstLine="480"/>
        <w:rPr>
          <w:rFonts w:hint="eastAsia"/>
        </w:rPr>
      </w:pPr>
      <w:r>
        <w:rPr>
          <w:rFonts w:hint="eastAsia"/>
        </w:rPr>
        <w:t>5、质量保证及售后服务</w:t>
      </w:r>
    </w:p>
    <w:p w14:paraId="3D453160">
      <w:pPr>
        <w:pStyle w:val="24"/>
        <w:ind w:firstLine="480"/>
        <w:rPr>
          <w:rFonts w:hint="eastAsia"/>
        </w:rPr>
      </w:pPr>
      <w:r>
        <w:rPr>
          <w:rFonts w:hint="eastAsia"/>
        </w:rPr>
        <w:t>5.1乙方应按采购文件规定的货物性能、技术要求、质量标准向甲方提供未经使用的全新产品。</w:t>
      </w:r>
    </w:p>
    <w:p w14:paraId="580C3314">
      <w:pPr>
        <w:pStyle w:val="24"/>
        <w:ind w:firstLine="480"/>
        <w:rPr>
          <w:rFonts w:hint="eastAsia"/>
        </w:rPr>
      </w:pPr>
      <w:r>
        <w:rPr>
          <w:rFonts w:hint="eastAsia"/>
        </w:rPr>
        <w:t>5.2乙方提供的货物在质保期内因货物本身的质量问题发生故障，乙方应负责免费更换。对达不到技术要求者，根据实际情况，经双方协商，可按以下办法处理：</w:t>
      </w:r>
    </w:p>
    <w:p w14:paraId="4D70D4F1">
      <w:pPr>
        <w:pStyle w:val="24"/>
        <w:ind w:firstLine="480"/>
        <w:rPr>
          <w:rFonts w:hint="eastAsia"/>
        </w:rPr>
      </w:pPr>
      <w:r>
        <w:rPr>
          <w:rFonts w:hint="eastAsia"/>
        </w:rPr>
        <w:t>5.2.1更换：由乙方承担所发生的全部费用。</w:t>
      </w:r>
    </w:p>
    <w:p w14:paraId="3E4D6B3B">
      <w:pPr>
        <w:pStyle w:val="24"/>
        <w:ind w:firstLine="480"/>
        <w:rPr>
          <w:rFonts w:hint="eastAsia"/>
        </w:rPr>
      </w:pPr>
      <w:r>
        <w:rPr>
          <w:rFonts w:hint="eastAsia"/>
        </w:rPr>
        <w:t>5.2.2贬值处理：由甲乙双方合议定价。</w:t>
      </w:r>
    </w:p>
    <w:p w14:paraId="1B53D3FC">
      <w:pPr>
        <w:pStyle w:val="24"/>
        <w:ind w:firstLine="480"/>
        <w:rPr>
          <w:rFonts w:hint="eastAsia"/>
        </w:rPr>
      </w:pPr>
      <w:r>
        <w:rPr>
          <w:rFonts w:hint="eastAsia"/>
        </w:rPr>
        <w:t>5.2.3退货处理：乙方应退还甲方支付的合同款，同时应承担该货物的直接费用（运输、保险、检验、货款利息及银行手续费等）。</w:t>
      </w:r>
    </w:p>
    <w:p w14:paraId="3E265710">
      <w:pPr>
        <w:pStyle w:val="24"/>
        <w:ind w:firstLine="480"/>
        <w:rPr>
          <w:rFonts w:hint="eastAsia"/>
        </w:rPr>
      </w:pPr>
      <w:r>
        <w:rPr>
          <w:rFonts w:hint="eastAsia"/>
        </w:rPr>
        <w:t>5.3如在使用过程中发生质量问题，乙方应按本项目“第三篇 项目商务要求”中售后服务的要求处理。</w:t>
      </w:r>
    </w:p>
    <w:p w14:paraId="53CBEFA6">
      <w:pPr>
        <w:pStyle w:val="24"/>
        <w:ind w:firstLine="480"/>
        <w:rPr>
          <w:rFonts w:hint="eastAsia"/>
        </w:rPr>
      </w:pPr>
      <w:r>
        <w:rPr>
          <w:rFonts w:hint="eastAsia"/>
        </w:rPr>
        <w:t>5.4在质保期内，乙方应对货物出现的质量及安全问题负责处理解决并承担一切费用。</w:t>
      </w:r>
    </w:p>
    <w:p w14:paraId="5ACA3716">
      <w:pPr>
        <w:pStyle w:val="24"/>
        <w:ind w:firstLine="480"/>
        <w:rPr>
          <w:rFonts w:hint="eastAsia"/>
        </w:rPr>
      </w:pPr>
      <w:r>
        <w:rPr>
          <w:rFonts w:hint="eastAsia"/>
        </w:rPr>
        <w:t>6、付款</w:t>
      </w:r>
    </w:p>
    <w:p w14:paraId="43BD9B06">
      <w:pPr>
        <w:pStyle w:val="24"/>
        <w:ind w:firstLine="480"/>
        <w:rPr>
          <w:rFonts w:hint="eastAsia"/>
        </w:rPr>
      </w:pPr>
      <w:r>
        <w:rPr>
          <w:rFonts w:hint="eastAsia"/>
        </w:rPr>
        <w:t>6.1本合同使用货币币制如未作特别说明均为人民币。</w:t>
      </w:r>
    </w:p>
    <w:p w14:paraId="1A3EFDFD">
      <w:pPr>
        <w:pStyle w:val="24"/>
        <w:ind w:firstLine="480"/>
        <w:rPr>
          <w:rFonts w:hint="eastAsia"/>
        </w:rPr>
      </w:pPr>
      <w:r>
        <w:rPr>
          <w:rFonts w:hint="eastAsia"/>
        </w:rPr>
        <w:t>6.2付款方式：银行转账、现金支票。</w:t>
      </w:r>
    </w:p>
    <w:p w14:paraId="463E4D65">
      <w:pPr>
        <w:pStyle w:val="24"/>
        <w:ind w:firstLine="480"/>
        <w:rPr>
          <w:rFonts w:hint="eastAsia"/>
        </w:rPr>
      </w:pPr>
      <w:r>
        <w:rPr>
          <w:rFonts w:hint="eastAsia"/>
        </w:rPr>
        <w:t>6.3付款方法：同本项目“第三篇 商务条款”中关于付款方式的约定。</w:t>
      </w:r>
    </w:p>
    <w:p w14:paraId="2AC82729">
      <w:pPr>
        <w:pStyle w:val="24"/>
        <w:ind w:firstLine="480"/>
        <w:rPr>
          <w:rFonts w:hint="eastAsia"/>
        </w:rPr>
      </w:pPr>
      <w:r>
        <w:rPr>
          <w:rFonts w:hint="eastAsia"/>
        </w:rPr>
        <w:t>7、检查验收</w:t>
      </w:r>
    </w:p>
    <w:p w14:paraId="4434773D">
      <w:pPr>
        <w:pStyle w:val="24"/>
        <w:ind w:firstLine="480"/>
        <w:rPr>
          <w:rFonts w:hint="eastAsia"/>
        </w:rPr>
      </w:pPr>
      <w:r>
        <w:rPr>
          <w:rFonts w:hint="eastAsia"/>
        </w:rPr>
        <w:t>7.1供方应随货物提供合格证和质量证明文件，如是国外进口的货物还须提供入关证明。</w:t>
      </w:r>
    </w:p>
    <w:p w14:paraId="590AE5D5">
      <w:pPr>
        <w:pStyle w:val="24"/>
        <w:ind w:firstLine="480"/>
        <w:rPr>
          <w:rFonts w:hint="eastAsia"/>
        </w:rPr>
      </w:pPr>
      <w:r>
        <w:rPr>
          <w:rFonts w:hint="eastAsia"/>
        </w:rPr>
        <w:t>7.2货物验收</w:t>
      </w:r>
    </w:p>
    <w:p w14:paraId="0E06EF7C">
      <w:pPr>
        <w:pStyle w:val="24"/>
        <w:ind w:firstLine="480"/>
        <w:rPr>
          <w:rFonts w:hint="eastAsia"/>
        </w:rPr>
      </w:pPr>
      <w:r>
        <w:rPr>
          <w:rFonts w:hint="eastAsia"/>
        </w:rPr>
        <w:t>供方所交货物的各种质量指标不得低于供方提供样品的质量指标（无样品时按供方</w:t>
      </w:r>
      <w:r>
        <w:rPr>
          <w:rFonts w:hint="eastAsia"/>
          <w:lang w:val="en-US" w:eastAsia="zh-CN"/>
        </w:rPr>
        <w:t>投标</w:t>
      </w:r>
      <w:r>
        <w:rPr>
          <w:rFonts w:hint="eastAsia"/>
        </w:rPr>
        <w:t>时提供的“技术文件”执行），售后服务质量要求按照采购文件和响应文件的内容执行。供方交货时，需方可根据需要随机抽取一部分货物送有关权威检测部门检测，如检测不合格，供方负责赔偿需方一切损失。</w:t>
      </w:r>
    </w:p>
    <w:p w14:paraId="60C1F6F0">
      <w:pPr>
        <w:pStyle w:val="24"/>
        <w:ind w:firstLine="480"/>
        <w:rPr>
          <w:rFonts w:hint="eastAsia"/>
        </w:rPr>
      </w:pPr>
      <w:r>
        <w:rPr>
          <w:rFonts w:hint="eastAsia"/>
        </w:rPr>
        <w:t>7.3货物验收报告应由需方、供方经办人签字，并加盖双方公章，以此作为支付凭据。</w:t>
      </w:r>
    </w:p>
    <w:p w14:paraId="16513D03">
      <w:pPr>
        <w:pStyle w:val="24"/>
        <w:ind w:firstLine="480"/>
        <w:rPr>
          <w:rFonts w:hint="eastAsia"/>
        </w:rPr>
      </w:pPr>
      <w:r>
        <w:rPr>
          <w:rFonts w:hint="eastAsia"/>
        </w:rPr>
        <w:t>8、索赔</w:t>
      </w:r>
    </w:p>
    <w:p w14:paraId="1A5FCE05">
      <w:pPr>
        <w:pStyle w:val="24"/>
        <w:ind w:firstLine="480"/>
        <w:rPr>
          <w:rFonts w:hint="eastAsia"/>
        </w:rPr>
      </w:pPr>
      <w:r>
        <w:rPr>
          <w:rFonts w:hint="eastAsia"/>
        </w:rPr>
        <w:t>供方对货物与合同要求不符负有责任，并且需方已于规定交货内和质量保证期内提出索赔，供方应按需方同意的下述一种或多种方法解决索赔事宜。</w:t>
      </w:r>
    </w:p>
    <w:p w14:paraId="3E776471">
      <w:pPr>
        <w:pStyle w:val="24"/>
        <w:ind w:firstLine="480"/>
        <w:rPr>
          <w:rFonts w:hint="eastAsia"/>
        </w:rPr>
      </w:pPr>
      <w:r>
        <w:rPr>
          <w:rFonts w:hint="eastAsia"/>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4A130030">
      <w:pPr>
        <w:pStyle w:val="24"/>
        <w:ind w:firstLine="480"/>
        <w:rPr>
          <w:rFonts w:hint="eastAsia"/>
        </w:rPr>
      </w:pPr>
      <w:r>
        <w:rPr>
          <w:rFonts w:hint="eastAsia"/>
        </w:rPr>
        <w:t>8.2根据货物的疵劣和受损程度以及需方遭受损失的金额，经双方同意降低货物价格。</w:t>
      </w:r>
    </w:p>
    <w:p w14:paraId="766AAD93">
      <w:pPr>
        <w:pStyle w:val="24"/>
        <w:ind w:firstLine="480"/>
        <w:rPr>
          <w:rFonts w:hint="eastAsia"/>
        </w:rPr>
      </w:pPr>
      <w:r>
        <w:rPr>
          <w:rFonts w:hint="eastAsia"/>
        </w:rPr>
        <w:t>9、知识产权</w:t>
      </w:r>
    </w:p>
    <w:p w14:paraId="79C6B231">
      <w:pPr>
        <w:pStyle w:val="24"/>
        <w:ind w:firstLine="480"/>
        <w:rPr>
          <w:rFonts w:hint="eastAsia" w:cs="宋体"/>
          <w:kern w:val="0"/>
        </w:rPr>
      </w:pPr>
      <w:r>
        <w:rPr>
          <w:rFonts w:hint="eastAsia" w:cs="宋体"/>
          <w:kern w:val="0"/>
        </w:rPr>
        <w:t>甲方在中华人民共和国境内使用乙方提供的货物及服务时免受第三方提出的侵犯其专利权或其它知识产权的起诉。如果第三方提出侵权指控，乙方应承担由此而引起的一切法律责任和费用。</w:t>
      </w:r>
    </w:p>
    <w:p w14:paraId="0D88FC43">
      <w:pPr>
        <w:pStyle w:val="24"/>
        <w:ind w:firstLine="480"/>
        <w:rPr>
          <w:rFonts w:hint="eastAsia"/>
        </w:rPr>
      </w:pPr>
      <w:r>
        <w:rPr>
          <w:rFonts w:hint="eastAsia"/>
        </w:rPr>
        <w:t>10、合同争议的解决</w:t>
      </w:r>
    </w:p>
    <w:p w14:paraId="6DF5D656">
      <w:pPr>
        <w:pStyle w:val="24"/>
        <w:ind w:firstLine="480"/>
        <w:rPr>
          <w:rFonts w:hint="eastAsia"/>
        </w:rPr>
      </w:pPr>
      <w:r>
        <w:rPr>
          <w:rFonts w:hint="eastAsia"/>
        </w:rPr>
        <w:t>10.1当事人友好协商达成一致</w:t>
      </w:r>
    </w:p>
    <w:p w14:paraId="29C4FFA8">
      <w:pPr>
        <w:pStyle w:val="24"/>
        <w:ind w:firstLine="480"/>
        <w:rPr>
          <w:rFonts w:hint="eastAsia"/>
        </w:rPr>
      </w:pPr>
      <w:r>
        <w:rPr>
          <w:rFonts w:hint="eastAsia"/>
        </w:rPr>
        <w:t>10.2在60天内当事人协商不能达成协议的，可提请采购人当地仲裁机构仲裁。</w:t>
      </w:r>
    </w:p>
    <w:p w14:paraId="3BD5C681">
      <w:pPr>
        <w:pStyle w:val="24"/>
        <w:ind w:firstLine="480"/>
        <w:rPr>
          <w:rFonts w:hint="eastAsia"/>
        </w:rPr>
      </w:pPr>
      <w:r>
        <w:rPr>
          <w:rFonts w:hint="eastAsia"/>
        </w:rPr>
        <w:t>11、违约责任</w:t>
      </w:r>
    </w:p>
    <w:p w14:paraId="781C3F7C">
      <w:pPr>
        <w:pStyle w:val="24"/>
        <w:ind w:firstLine="480"/>
        <w:rPr>
          <w:rFonts w:hint="eastAsia"/>
        </w:rPr>
      </w:pPr>
      <w:r>
        <w:rPr>
          <w:rFonts w:hint="eastAsia"/>
        </w:rPr>
        <w:t>按《</w:t>
      </w:r>
      <w:r>
        <w:rPr>
          <w:rFonts w:hint="eastAsia"/>
          <w:lang w:eastAsia="zh-CN"/>
        </w:rPr>
        <w:t>中华人民共和国民法典</w:t>
      </w:r>
      <w:r>
        <w:rPr>
          <w:rFonts w:hint="eastAsia"/>
        </w:rPr>
        <w:t>》、《中华人民共和国政府采购法》有关条款，或由供需双方约定。</w:t>
      </w:r>
    </w:p>
    <w:p w14:paraId="3DC1EA31">
      <w:pPr>
        <w:pStyle w:val="24"/>
        <w:ind w:firstLine="480"/>
        <w:rPr>
          <w:rFonts w:hint="eastAsia"/>
        </w:rPr>
      </w:pPr>
      <w:r>
        <w:rPr>
          <w:rFonts w:hint="eastAsia"/>
        </w:rPr>
        <w:t>12、合同生效及其它</w:t>
      </w:r>
    </w:p>
    <w:p w14:paraId="73BBE53D">
      <w:pPr>
        <w:pStyle w:val="24"/>
        <w:ind w:firstLine="480"/>
        <w:rPr>
          <w:rFonts w:hint="eastAsia"/>
        </w:rPr>
      </w:pPr>
      <w:r>
        <w:rPr>
          <w:rFonts w:hint="eastAsia"/>
        </w:rPr>
        <w:t>12.1合同生效及其效力应符合《</w:t>
      </w:r>
      <w:r>
        <w:rPr>
          <w:rFonts w:hint="eastAsia"/>
          <w:lang w:eastAsia="zh-CN"/>
        </w:rPr>
        <w:t>中华人民共和国民法典</w:t>
      </w:r>
      <w:r>
        <w:rPr>
          <w:rFonts w:hint="eastAsia"/>
        </w:rPr>
        <w:t>》有关规定。</w:t>
      </w:r>
    </w:p>
    <w:p w14:paraId="72A62074">
      <w:pPr>
        <w:pStyle w:val="24"/>
        <w:ind w:firstLine="480"/>
        <w:rPr>
          <w:rFonts w:hint="eastAsia"/>
        </w:rPr>
      </w:pPr>
      <w:r>
        <w:rPr>
          <w:rFonts w:hint="eastAsia"/>
        </w:rPr>
        <w:t>12.2合同应经当事人法定代表人或委托代理人签字，加盖双方合同专用章或公章。</w:t>
      </w:r>
    </w:p>
    <w:p w14:paraId="14F56E85">
      <w:pPr>
        <w:pStyle w:val="24"/>
        <w:ind w:firstLine="480"/>
        <w:rPr>
          <w:rFonts w:hint="eastAsia"/>
        </w:rPr>
      </w:pPr>
      <w:r>
        <w:rPr>
          <w:rFonts w:hint="eastAsia"/>
        </w:rPr>
        <w:t>12.3合同所包括附件，是合同不可分割的一部分，具有同等法律效力。</w:t>
      </w:r>
    </w:p>
    <w:p w14:paraId="0766F113">
      <w:pPr>
        <w:pStyle w:val="24"/>
        <w:ind w:firstLine="480"/>
        <w:rPr>
          <w:rFonts w:hint="eastAsia"/>
        </w:rPr>
      </w:pPr>
      <w:r>
        <w:rPr>
          <w:rFonts w:hint="eastAsia"/>
        </w:rPr>
        <w:t>12.4合同需提供担保的，按《</w:t>
      </w:r>
      <w:r>
        <w:rPr>
          <w:rFonts w:hint="eastAsia"/>
          <w:lang w:eastAsia="zh-CN"/>
        </w:rPr>
        <w:t>中华人民共和国民法典</w:t>
      </w:r>
      <w:r>
        <w:rPr>
          <w:rFonts w:hint="eastAsia"/>
        </w:rPr>
        <w:t>》规定执行。</w:t>
      </w:r>
    </w:p>
    <w:p w14:paraId="35270A96">
      <w:pPr>
        <w:pStyle w:val="24"/>
        <w:ind w:firstLine="480"/>
      </w:pPr>
      <w:r>
        <w:rPr>
          <w:rFonts w:hint="eastAsia"/>
        </w:rPr>
        <w:t>12.5本合同条件未尽事宜依照《</w:t>
      </w:r>
      <w:r>
        <w:rPr>
          <w:rFonts w:hint="eastAsia"/>
          <w:lang w:eastAsia="zh-CN"/>
        </w:rPr>
        <w:t>中华人民共和国民法典</w:t>
      </w:r>
      <w:r>
        <w:rPr>
          <w:rFonts w:hint="eastAsia"/>
        </w:rPr>
        <w:t>》，由供需双方共同协商确定。</w:t>
      </w:r>
    </w:p>
    <w:p w14:paraId="3D00A65A">
      <w:pPr>
        <w:pStyle w:val="29"/>
        <w:ind w:firstLine="561"/>
        <w:rPr>
          <w:rFonts w:hint="eastAsia"/>
        </w:rPr>
      </w:pPr>
    </w:p>
    <w:p w14:paraId="4BD57E9F">
      <w:pPr>
        <w:pStyle w:val="29"/>
        <w:ind w:firstLine="561"/>
      </w:pPr>
      <w:r>
        <w:rPr>
          <w:rFonts w:hint="eastAsia"/>
        </w:rPr>
        <w:t>二、政府采购购销合同（格式）</w:t>
      </w:r>
    </w:p>
    <w:p w14:paraId="42B6179F">
      <w:pPr>
        <w:tabs>
          <w:tab w:val="left" w:pos="720"/>
        </w:tabs>
        <w:spacing w:line="360" w:lineRule="auto"/>
        <w:ind w:firstLine="420"/>
        <w:rPr>
          <w:rFonts w:ascii="宋体" w:hAnsi="宋体" w:eastAsia="宋体"/>
          <w:b/>
          <w:color w:val="000000"/>
          <w:sz w:val="21"/>
          <w:szCs w:val="21"/>
        </w:rPr>
      </w:pPr>
    </w:p>
    <w:p w14:paraId="20827024">
      <w:pPr>
        <w:tabs>
          <w:tab w:val="left" w:pos="720"/>
        </w:tabs>
        <w:spacing w:line="360" w:lineRule="auto"/>
        <w:ind w:firstLine="420"/>
        <w:rPr>
          <w:rFonts w:ascii="宋体" w:hAnsi="宋体" w:eastAsia="宋体"/>
          <w:b/>
          <w:color w:val="000000"/>
          <w:sz w:val="21"/>
          <w:szCs w:val="21"/>
        </w:rPr>
      </w:pPr>
    </w:p>
    <w:p w14:paraId="027AC3CD">
      <w:pPr>
        <w:tabs>
          <w:tab w:val="left" w:pos="720"/>
        </w:tabs>
        <w:spacing w:line="360" w:lineRule="auto"/>
        <w:jc w:val="center"/>
        <w:rPr>
          <w:rFonts w:ascii="宋体" w:hAnsi="宋体" w:eastAsia="宋体"/>
          <w:b/>
          <w:color w:val="000000"/>
          <w:sz w:val="48"/>
          <w:szCs w:val="48"/>
        </w:rPr>
      </w:pPr>
      <w:r>
        <w:rPr>
          <w:rFonts w:hint="eastAsia" w:ascii="宋体" w:hAnsi="宋体" w:eastAsia="宋体"/>
          <w:b/>
          <w:color w:val="000000"/>
          <w:sz w:val="48"/>
          <w:szCs w:val="48"/>
        </w:rPr>
        <w:t>合　同　书</w:t>
      </w:r>
    </w:p>
    <w:p w14:paraId="2045F634">
      <w:pPr>
        <w:tabs>
          <w:tab w:val="left" w:pos="720"/>
        </w:tabs>
        <w:spacing w:line="360" w:lineRule="auto"/>
        <w:ind w:firstLine="721"/>
        <w:jc w:val="center"/>
        <w:rPr>
          <w:rFonts w:ascii="宋体" w:hAnsi="宋体" w:eastAsia="宋体"/>
          <w:b/>
          <w:color w:val="000000"/>
          <w:sz w:val="36"/>
          <w:szCs w:val="36"/>
        </w:rPr>
      </w:pPr>
    </w:p>
    <w:p w14:paraId="2F7A2436">
      <w:pPr>
        <w:tabs>
          <w:tab w:val="left" w:pos="720"/>
        </w:tabs>
        <w:spacing w:line="360" w:lineRule="auto"/>
        <w:ind w:firstLine="420"/>
        <w:rPr>
          <w:rFonts w:ascii="宋体" w:hAnsi="宋体" w:eastAsia="宋体"/>
          <w:b/>
          <w:color w:val="000000"/>
          <w:sz w:val="21"/>
          <w:szCs w:val="21"/>
        </w:rPr>
      </w:pPr>
    </w:p>
    <w:p w14:paraId="512D8962">
      <w:pPr>
        <w:tabs>
          <w:tab w:val="left" w:pos="720"/>
        </w:tabs>
        <w:spacing w:line="360" w:lineRule="auto"/>
        <w:ind w:firstLine="420"/>
        <w:rPr>
          <w:rFonts w:ascii="宋体" w:hAnsi="宋体" w:eastAsia="宋体"/>
          <w:b/>
          <w:color w:val="000000"/>
          <w:sz w:val="21"/>
          <w:szCs w:val="21"/>
        </w:rPr>
      </w:pPr>
    </w:p>
    <w:p w14:paraId="3924AA0A">
      <w:pPr>
        <w:tabs>
          <w:tab w:val="left" w:pos="720"/>
        </w:tabs>
        <w:spacing w:line="360" w:lineRule="auto"/>
        <w:ind w:firstLine="420"/>
        <w:rPr>
          <w:rFonts w:ascii="宋体" w:hAnsi="宋体" w:eastAsia="宋体"/>
          <w:b/>
          <w:color w:val="000000"/>
          <w:sz w:val="21"/>
          <w:szCs w:val="21"/>
        </w:rPr>
      </w:pPr>
    </w:p>
    <w:p w14:paraId="1897AC87">
      <w:pPr>
        <w:tabs>
          <w:tab w:val="left" w:pos="720"/>
        </w:tabs>
        <w:spacing w:line="360" w:lineRule="auto"/>
        <w:ind w:firstLine="420"/>
        <w:rPr>
          <w:rFonts w:ascii="宋体" w:hAnsi="宋体" w:eastAsia="宋体"/>
          <w:b/>
          <w:color w:val="000000"/>
          <w:sz w:val="21"/>
          <w:szCs w:val="21"/>
        </w:rPr>
      </w:pPr>
    </w:p>
    <w:p w14:paraId="6097DDC5">
      <w:pPr>
        <w:tabs>
          <w:tab w:val="left" w:pos="720"/>
        </w:tabs>
        <w:spacing w:line="360" w:lineRule="auto"/>
        <w:ind w:firstLine="420"/>
        <w:rPr>
          <w:rFonts w:ascii="宋体" w:hAnsi="宋体" w:eastAsia="宋体"/>
          <w:b/>
          <w:color w:val="000000"/>
          <w:sz w:val="21"/>
          <w:szCs w:val="21"/>
        </w:rPr>
      </w:pPr>
    </w:p>
    <w:tbl>
      <w:tblPr>
        <w:tblStyle w:val="17"/>
        <w:tblW w:w="0" w:type="auto"/>
        <w:jc w:val="center"/>
        <w:tblLayout w:type="fixed"/>
        <w:tblCellMar>
          <w:top w:w="0" w:type="dxa"/>
          <w:left w:w="108" w:type="dxa"/>
          <w:bottom w:w="0" w:type="dxa"/>
          <w:right w:w="108" w:type="dxa"/>
        </w:tblCellMar>
      </w:tblPr>
      <w:tblGrid>
        <w:gridCol w:w="5400"/>
      </w:tblGrid>
      <w:tr w14:paraId="1DE0C289">
        <w:tblPrEx>
          <w:tblCellMar>
            <w:top w:w="0" w:type="dxa"/>
            <w:left w:w="108" w:type="dxa"/>
            <w:bottom w:w="0" w:type="dxa"/>
            <w:right w:w="108" w:type="dxa"/>
          </w:tblCellMar>
        </w:tblPrEx>
        <w:trPr>
          <w:trHeight w:val="446" w:hRule="atLeast"/>
          <w:jc w:val="center"/>
        </w:trPr>
        <w:tc>
          <w:tcPr>
            <w:tcW w:w="5400" w:type="dxa"/>
            <w:noWrap w:val="0"/>
            <w:vAlign w:val="top"/>
          </w:tcPr>
          <w:p w14:paraId="4E5133B2">
            <w:pPr>
              <w:tabs>
                <w:tab w:val="left" w:pos="720"/>
              </w:tabs>
              <w:spacing w:line="360" w:lineRule="auto"/>
              <w:ind w:firstLine="420"/>
              <w:rPr>
                <w:rFonts w:ascii="宋体" w:hAnsi="宋体" w:eastAsia="宋体"/>
                <w:b/>
                <w:color w:val="000000"/>
                <w:sz w:val="21"/>
                <w:szCs w:val="21"/>
                <w:u w:val="single"/>
              </w:rPr>
            </w:pPr>
            <w:r>
              <w:rPr>
                <w:rFonts w:hint="eastAsia" w:ascii="宋体" w:hAnsi="宋体" w:eastAsia="宋体"/>
                <w:b/>
                <w:color w:val="000000"/>
                <w:sz w:val="21"/>
                <w:szCs w:val="21"/>
              </w:rPr>
              <w:t>采购编号：</w:t>
            </w:r>
          </w:p>
        </w:tc>
      </w:tr>
      <w:tr w14:paraId="4033709B">
        <w:tblPrEx>
          <w:tblCellMar>
            <w:top w:w="0" w:type="dxa"/>
            <w:left w:w="108" w:type="dxa"/>
            <w:bottom w:w="0" w:type="dxa"/>
            <w:right w:w="108" w:type="dxa"/>
          </w:tblCellMar>
        </w:tblPrEx>
        <w:trPr>
          <w:trHeight w:val="446" w:hRule="atLeast"/>
          <w:jc w:val="center"/>
        </w:trPr>
        <w:tc>
          <w:tcPr>
            <w:tcW w:w="5400" w:type="dxa"/>
            <w:noWrap w:val="0"/>
            <w:vAlign w:val="top"/>
          </w:tcPr>
          <w:p w14:paraId="2227D623">
            <w:pPr>
              <w:tabs>
                <w:tab w:val="left" w:pos="720"/>
              </w:tabs>
              <w:spacing w:line="360" w:lineRule="auto"/>
              <w:ind w:firstLine="420"/>
              <w:rPr>
                <w:rFonts w:ascii="宋体" w:hAnsi="宋体" w:eastAsia="宋体"/>
                <w:b/>
                <w:color w:val="000000"/>
                <w:sz w:val="21"/>
                <w:szCs w:val="21"/>
                <w:u w:val="single"/>
              </w:rPr>
            </w:pPr>
          </w:p>
        </w:tc>
      </w:tr>
      <w:tr w14:paraId="52DFBE7D">
        <w:tblPrEx>
          <w:tblCellMar>
            <w:top w:w="0" w:type="dxa"/>
            <w:left w:w="108" w:type="dxa"/>
            <w:bottom w:w="0" w:type="dxa"/>
            <w:right w:w="108" w:type="dxa"/>
          </w:tblCellMar>
        </w:tblPrEx>
        <w:trPr>
          <w:trHeight w:val="446" w:hRule="atLeast"/>
          <w:jc w:val="center"/>
        </w:trPr>
        <w:tc>
          <w:tcPr>
            <w:tcW w:w="5400" w:type="dxa"/>
            <w:noWrap w:val="0"/>
            <w:vAlign w:val="top"/>
          </w:tcPr>
          <w:p w14:paraId="78DFBC8F">
            <w:pPr>
              <w:tabs>
                <w:tab w:val="left" w:pos="720"/>
              </w:tabs>
              <w:spacing w:line="360" w:lineRule="auto"/>
              <w:ind w:firstLine="420"/>
              <w:rPr>
                <w:rFonts w:ascii="宋体" w:hAnsi="宋体" w:eastAsia="宋体"/>
                <w:b/>
                <w:color w:val="000000"/>
                <w:sz w:val="21"/>
                <w:szCs w:val="21"/>
              </w:rPr>
            </w:pPr>
            <w:r>
              <w:rPr>
                <w:rFonts w:hint="eastAsia" w:ascii="宋体" w:hAnsi="宋体" w:eastAsia="宋体"/>
                <w:b/>
                <w:color w:val="000000"/>
                <w:sz w:val="21"/>
                <w:szCs w:val="21"/>
              </w:rPr>
              <w:t>项目名称：</w:t>
            </w:r>
          </w:p>
        </w:tc>
      </w:tr>
      <w:tr w14:paraId="43BB02F6">
        <w:tblPrEx>
          <w:tblCellMar>
            <w:top w:w="0" w:type="dxa"/>
            <w:left w:w="108" w:type="dxa"/>
            <w:bottom w:w="0" w:type="dxa"/>
            <w:right w:w="108" w:type="dxa"/>
          </w:tblCellMar>
        </w:tblPrEx>
        <w:trPr>
          <w:trHeight w:val="460" w:hRule="atLeast"/>
          <w:jc w:val="center"/>
        </w:trPr>
        <w:tc>
          <w:tcPr>
            <w:tcW w:w="5400" w:type="dxa"/>
            <w:noWrap w:val="0"/>
            <w:vAlign w:val="top"/>
          </w:tcPr>
          <w:p w14:paraId="3B2B0F42">
            <w:pPr>
              <w:tabs>
                <w:tab w:val="left" w:pos="720"/>
              </w:tabs>
              <w:spacing w:line="360" w:lineRule="auto"/>
              <w:ind w:firstLine="420"/>
              <w:rPr>
                <w:rFonts w:ascii="宋体" w:hAnsi="宋体" w:eastAsia="宋体"/>
                <w:b/>
                <w:color w:val="000000"/>
                <w:sz w:val="21"/>
                <w:szCs w:val="21"/>
              </w:rPr>
            </w:pPr>
          </w:p>
        </w:tc>
      </w:tr>
    </w:tbl>
    <w:p w14:paraId="3B1A7AA7">
      <w:pPr>
        <w:spacing w:line="360" w:lineRule="auto"/>
        <w:ind w:firstLine="420"/>
        <w:rPr>
          <w:rFonts w:ascii="宋体" w:hAnsi="宋体" w:eastAsia="宋体"/>
          <w:color w:val="000000"/>
          <w:sz w:val="21"/>
          <w:szCs w:val="21"/>
        </w:rPr>
      </w:pPr>
    </w:p>
    <w:p w14:paraId="017FC1E3">
      <w:pPr>
        <w:spacing w:line="360" w:lineRule="auto"/>
        <w:ind w:firstLine="420"/>
        <w:rPr>
          <w:rFonts w:ascii="宋体" w:hAnsi="宋体" w:eastAsia="宋体"/>
          <w:color w:val="000000"/>
          <w:sz w:val="21"/>
          <w:szCs w:val="21"/>
        </w:rPr>
      </w:pPr>
    </w:p>
    <w:p w14:paraId="095056ED">
      <w:pPr>
        <w:spacing w:line="360" w:lineRule="auto"/>
        <w:ind w:firstLine="420"/>
        <w:rPr>
          <w:rFonts w:ascii="宋体" w:hAnsi="宋体" w:eastAsia="宋体"/>
          <w:color w:val="000000"/>
          <w:sz w:val="21"/>
          <w:szCs w:val="21"/>
        </w:rPr>
      </w:pPr>
    </w:p>
    <w:p w14:paraId="3272F14D">
      <w:pPr>
        <w:spacing w:line="360" w:lineRule="auto"/>
        <w:ind w:firstLine="420"/>
        <w:rPr>
          <w:rFonts w:ascii="宋体" w:hAnsi="宋体" w:eastAsia="宋体"/>
          <w:color w:val="000000"/>
          <w:sz w:val="21"/>
          <w:szCs w:val="21"/>
        </w:rPr>
      </w:pPr>
    </w:p>
    <w:p w14:paraId="7B8EDFA7">
      <w:pPr>
        <w:spacing w:line="360" w:lineRule="auto"/>
        <w:ind w:firstLine="420"/>
        <w:rPr>
          <w:rFonts w:ascii="宋体" w:hAnsi="宋体" w:eastAsia="宋体"/>
          <w:color w:val="000000"/>
          <w:sz w:val="21"/>
          <w:szCs w:val="21"/>
        </w:rPr>
      </w:pPr>
    </w:p>
    <w:p w14:paraId="054DA7A2">
      <w:pPr>
        <w:spacing w:line="360" w:lineRule="auto"/>
        <w:ind w:firstLine="420"/>
        <w:rPr>
          <w:rFonts w:ascii="宋体" w:hAnsi="宋体" w:eastAsia="宋体"/>
          <w:color w:val="000000"/>
          <w:sz w:val="21"/>
          <w:szCs w:val="21"/>
        </w:rPr>
      </w:pPr>
    </w:p>
    <w:p w14:paraId="33EB41C9">
      <w:pPr>
        <w:spacing w:line="360" w:lineRule="auto"/>
        <w:ind w:firstLine="420"/>
        <w:rPr>
          <w:rFonts w:ascii="宋体" w:hAnsi="宋体" w:eastAsia="宋体"/>
          <w:color w:val="000000"/>
          <w:sz w:val="21"/>
          <w:szCs w:val="21"/>
        </w:rPr>
      </w:pPr>
    </w:p>
    <w:p w14:paraId="3D26B5D0">
      <w:pPr>
        <w:spacing w:line="360" w:lineRule="auto"/>
        <w:ind w:firstLine="420"/>
        <w:rPr>
          <w:rFonts w:ascii="宋体" w:hAnsi="宋体" w:eastAsia="宋体"/>
          <w:color w:val="000000"/>
          <w:sz w:val="21"/>
          <w:szCs w:val="21"/>
        </w:rPr>
      </w:pPr>
    </w:p>
    <w:p w14:paraId="03A63545">
      <w:pPr>
        <w:spacing w:line="360" w:lineRule="auto"/>
        <w:ind w:firstLine="420"/>
        <w:rPr>
          <w:rFonts w:ascii="宋体" w:hAnsi="宋体" w:eastAsia="宋体"/>
          <w:b/>
          <w:color w:val="000000"/>
          <w:sz w:val="21"/>
          <w:szCs w:val="21"/>
        </w:rPr>
      </w:pPr>
      <w:r>
        <w:rPr>
          <w:rFonts w:hint="eastAsia" w:ascii="宋体" w:hAnsi="宋体" w:eastAsia="宋体"/>
          <w:b/>
          <w:color w:val="000000"/>
          <w:sz w:val="21"/>
          <w:szCs w:val="21"/>
        </w:rPr>
        <w:t>注：本合同仅为合同的参考文本，合同签订双方可根据项目的具体要求进行修订。</w:t>
      </w:r>
    </w:p>
    <w:p w14:paraId="38220797">
      <w:pPr>
        <w:spacing w:line="360" w:lineRule="auto"/>
        <w:ind w:firstLine="420"/>
        <w:rPr>
          <w:rFonts w:hint="eastAsia" w:ascii="宋体" w:hAnsi="宋体" w:eastAsia="宋体"/>
          <w:b/>
          <w:color w:val="000000"/>
          <w:sz w:val="21"/>
          <w:szCs w:val="21"/>
        </w:rPr>
      </w:pPr>
      <w:r>
        <w:rPr>
          <w:rFonts w:hint="eastAsia" w:ascii="宋体" w:hAnsi="宋体" w:eastAsia="宋体"/>
          <w:b/>
          <w:color w:val="000000"/>
          <w:sz w:val="21"/>
          <w:szCs w:val="21"/>
        </w:rPr>
        <w:br w:type="page"/>
      </w:r>
    </w:p>
    <w:p w14:paraId="499EF881">
      <w:pPr>
        <w:spacing w:line="360" w:lineRule="auto"/>
        <w:ind w:firstLine="420"/>
        <w:rPr>
          <w:rFonts w:ascii="仿宋" w:hAnsi="仿宋" w:eastAsia="仿宋"/>
          <w:b/>
          <w:color w:val="000000"/>
          <w:sz w:val="21"/>
          <w:szCs w:val="21"/>
        </w:rPr>
      </w:pPr>
      <w:r>
        <w:rPr>
          <w:rFonts w:hint="eastAsia" w:ascii="仿宋" w:hAnsi="仿宋" w:eastAsia="仿宋"/>
          <w:b/>
          <w:color w:val="000000"/>
          <w:sz w:val="21"/>
          <w:szCs w:val="21"/>
        </w:rPr>
        <w:t>甲　　方：</w:t>
      </w:r>
      <w:r>
        <w:rPr>
          <w:rFonts w:hint="eastAsia" w:ascii="仿宋" w:hAnsi="仿宋" w:eastAsia="仿宋"/>
          <w:b/>
          <w:color w:val="000000"/>
          <w:sz w:val="21"/>
          <w:szCs w:val="21"/>
          <w:u w:val="single"/>
        </w:rPr>
        <w:t>　　　　　　　　　　</w:t>
      </w:r>
    </w:p>
    <w:p w14:paraId="08829D4C">
      <w:pPr>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电　　话：</w:t>
      </w:r>
      <w:r>
        <w:rPr>
          <w:rFonts w:hint="eastAsia" w:ascii="仿宋" w:hAnsi="仿宋" w:eastAsia="仿宋"/>
          <w:b/>
          <w:color w:val="000000"/>
          <w:sz w:val="21"/>
          <w:szCs w:val="21"/>
          <w:u w:val="single"/>
        </w:rPr>
        <w:t>　　　　　　</w:t>
      </w:r>
      <w:r>
        <w:rPr>
          <w:rFonts w:hint="eastAsia" w:ascii="仿宋" w:hAnsi="仿宋" w:eastAsia="仿宋"/>
          <w:color w:val="000000"/>
          <w:sz w:val="21"/>
          <w:szCs w:val="21"/>
        </w:rPr>
        <w:t>　　传　　真：</w:t>
      </w:r>
      <w:r>
        <w:rPr>
          <w:rFonts w:hint="eastAsia" w:ascii="仿宋" w:hAnsi="仿宋" w:eastAsia="仿宋"/>
          <w:b/>
          <w:color w:val="000000"/>
          <w:sz w:val="21"/>
          <w:szCs w:val="21"/>
          <w:u w:val="single"/>
        </w:rPr>
        <w:t>　　　　　　</w:t>
      </w:r>
      <w:r>
        <w:rPr>
          <w:rFonts w:hint="eastAsia" w:ascii="仿宋" w:hAnsi="仿宋" w:eastAsia="仿宋"/>
          <w:color w:val="000000"/>
          <w:sz w:val="21"/>
          <w:szCs w:val="21"/>
        </w:rPr>
        <w:t>　　地　　址：</w:t>
      </w:r>
      <w:r>
        <w:rPr>
          <w:rFonts w:hint="eastAsia" w:ascii="仿宋" w:hAnsi="仿宋" w:eastAsia="仿宋"/>
          <w:b/>
          <w:color w:val="000000"/>
          <w:sz w:val="21"/>
          <w:szCs w:val="21"/>
          <w:u w:val="single"/>
        </w:rPr>
        <w:t>　　　　　　　　　　</w:t>
      </w:r>
    </w:p>
    <w:p w14:paraId="04A25447">
      <w:pPr>
        <w:spacing w:line="360" w:lineRule="auto"/>
        <w:ind w:firstLine="420"/>
        <w:rPr>
          <w:rFonts w:ascii="仿宋" w:hAnsi="仿宋" w:eastAsia="仿宋"/>
          <w:b/>
          <w:color w:val="000000"/>
          <w:sz w:val="21"/>
          <w:szCs w:val="21"/>
          <w:u w:val="single"/>
        </w:rPr>
      </w:pPr>
      <w:r>
        <w:rPr>
          <w:rFonts w:hint="eastAsia" w:ascii="仿宋" w:hAnsi="仿宋" w:eastAsia="仿宋"/>
          <w:b/>
          <w:color w:val="000000"/>
          <w:sz w:val="21"/>
          <w:szCs w:val="21"/>
        </w:rPr>
        <w:t>乙　　方：</w:t>
      </w:r>
      <w:r>
        <w:rPr>
          <w:rFonts w:hint="eastAsia" w:ascii="仿宋" w:hAnsi="仿宋" w:eastAsia="仿宋"/>
          <w:b/>
          <w:color w:val="000000"/>
          <w:sz w:val="21"/>
          <w:szCs w:val="21"/>
          <w:u w:val="single"/>
        </w:rPr>
        <w:t>　　　　　　　　　　</w:t>
      </w:r>
    </w:p>
    <w:p w14:paraId="68A0D7A9">
      <w:pPr>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电　　话：</w:t>
      </w:r>
      <w:r>
        <w:rPr>
          <w:rFonts w:hint="eastAsia" w:ascii="仿宋" w:hAnsi="仿宋" w:eastAsia="仿宋"/>
          <w:b/>
          <w:color w:val="000000"/>
          <w:sz w:val="21"/>
          <w:szCs w:val="21"/>
          <w:u w:val="single"/>
        </w:rPr>
        <w:t>　　　　　　</w:t>
      </w:r>
      <w:r>
        <w:rPr>
          <w:rFonts w:hint="eastAsia" w:ascii="仿宋" w:hAnsi="仿宋" w:eastAsia="仿宋"/>
          <w:color w:val="000000"/>
          <w:sz w:val="21"/>
          <w:szCs w:val="21"/>
        </w:rPr>
        <w:t>　　传　　真：</w:t>
      </w:r>
      <w:r>
        <w:rPr>
          <w:rFonts w:hint="eastAsia" w:ascii="仿宋" w:hAnsi="仿宋" w:eastAsia="仿宋"/>
          <w:b/>
          <w:color w:val="000000"/>
          <w:sz w:val="21"/>
          <w:szCs w:val="21"/>
          <w:u w:val="single"/>
        </w:rPr>
        <w:t>　　　　　　</w:t>
      </w:r>
      <w:r>
        <w:rPr>
          <w:rFonts w:hint="eastAsia" w:ascii="仿宋" w:hAnsi="仿宋" w:eastAsia="仿宋"/>
          <w:color w:val="000000"/>
          <w:sz w:val="21"/>
          <w:szCs w:val="21"/>
        </w:rPr>
        <w:t>　　地　　址：</w:t>
      </w:r>
      <w:r>
        <w:rPr>
          <w:rFonts w:hint="eastAsia" w:ascii="仿宋" w:hAnsi="仿宋" w:eastAsia="仿宋"/>
          <w:b/>
          <w:color w:val="000000"/>
          <w:sz w:val="21"/>
          <w:szCs w:val="21"/>
          <w:u w:val="single"/>
        </w:rPr>
        <w:t>　　　　　　　　　　</w:t>
      </w:r>
    </w:p>
    <w:p w14:paraId="0027D411">
      <w:pPr>
        <w:spacing w:line="360" w:lineRule="auto"/>
        <w:ind w:firstLine="420"/>
        <w:rPr>
          <w:rFonts w:ascii="仿宋" w:hAnsi="仿宋" w:eastAsia="仿宋"/>
          <w:b/>
          <w:color w:val="000000"/>
          <w:sz w:val="21"/>
          <w:szCs w:val="21"/>
        </w:rPr>
      </w:pPr>
      <w:r>
        <w:rPr>
          <w:rFonts w:hint="eastAsia" w:ascii="仿宋" w:hAnsi="仿宋" w:eastAsia="仿宋"/>
          <w:color w:val="000000"/>
          <w:sz w:val="21"/>
          <w:szCs w:val="21"/>
        </w:rPr>
        <w:t>项目名称：</w:t>
      </w:r>
      <w:r>
        <w:rPr>
          <w:rFonts w:hint="eastAsia" w:ascii="仿宋" w:hAnsi="仿宋" w:eastAsia="仿宋"/>
          <w:color w:val="000000"/>
          <w:sz w:val="21"/>
          <w:szCs w:val="21"/>
          <w:u w:val="single"/>
        </w:rPr>
        <w:t>　　　　　　　　　　　　　　　　　　　</w:t>
      </w:r>
      <w:r>
        <w:rPr>
          <w:rFonts w:hint="eastAsia" w:ascii="仿宋" w:hAnsi="仿宋" w:eastAsia="仿宋"/>
          <w:color w:val="000000"/>
          <w:sz w:val="21"/>
          <w:szCs w:val="21"/>
        </w:rPr>
        <w:t>　　采购编号：</w:t>
      </w:r>
      <w:r>
        <w:rPr>
          <w:rFonts w:hint="eastAsia" w:ascii="仿宋" w:hAnsi="仿宋" w:eastAsia="仿宋"/>
          <w:color w:val="000000"/>
          <w:sz w:val="21"/>
          <w:szCs w:val="21"/>
          <w:u w:val="single"/>
        </w:rPr>
        <w:t>　　　　　　　　　　</w:t>
      </w:r>
    </w:p>
    <w:p w14:paraId="605E70D6">
      <w:pPr>
        <w:spacing w:line="360" w:lineRule="auto"/>
        <w:ind w:firstLine="420"/>
        <w:rPr>
          <w:rFonts w:ascii="仿宋" w:hAnsi="仿宋" w:eastAsia="仿宋"/>
          <w:color w:val="000000"/>
          <w:sz w:val="21"/>
          <w:szCs w:val="21"/>
        </w:rPr>
      </w:pPr>
    </w:p>
    <w:p w14:paraId="41789DA5">
      <w:pPr>
        <w:spacing w:line="360" w:lineRule="auto"/>
        <w:ind w:firstLine="424" w:firstLineChars="202"/>
        <w:rPr>
          <w:rFonts w:ascii="仿宋" w:hAnsi="仿宋" w:eastAsia="仿宋"/>
          <w:color w:val="000000"/>
          <w:sz w:val="21"/>
          <w:szCs w:val="21"/>
        </w:rPr>
      </w:pPr>
      <w:r>
        <w:rPr>
          <w:rFonts w:hint="eastAsia" w:ascii="仿宋" w:hAnsi="仿宋" w:eastAsia="仿宋"/>
          <w:color w:val="000000"/>
          <w:sz w:val="21"/>
          <w:szCs w:val="21"/>
        </w:rPr>
        <w:t xml:space="preserve">根据 </w:t>
      </w:r>
      <w:r>
        <w:rPr>
          <w:rFonts w:hint="eastAsia" w:ascii="仿宋" w:hAnsi="仿宋" w:eastAsia="仿宋"/>
          <w:color w:val="000000"/>
          <w:sz w:val="21"/>
          <w:szCs w:val="21"/>
          <w:u w:val="single"/>
        </w:rPr>
        <w:t xml:space="preserve">              项目</w:t>
      </w:r>
      <w:r>
        <w:rPr>
          <w:rFonts w:hint="eastAsia" w:ascii="仿宋" w:hAnsi="仿宋" w:eastAsia="仿宋"/>
          <w:color w:val="000000"/>
          <w:sz w:val="21"/>
          <w:szCs w:val="21"/>
        </w:rPr>
        <w:t>的采购结果，按照《中华人民共和国政府采购法》、《合同法》的规定，</w:t>
      </w:r>
      <w:r>
        <w:rPr>
          <w:rFonts w:hint="eastAsia" w:ascii="仿宋" w:hAnsi="仿宋" w:eastAsia="仿宋"/>
          <w:color w:val="000000"/>
          <w:kern w:val="28"/>
          <w:sz w:val="21"/>
          <w:szCs w:val="21"/>
        </w:rPr>
        <w:t>经双方协商，</w:t>
      </w:r>
      <w:r>
        <w:rPr>
          <w:rFonts w:hint="eastAsia" w:ascii="仿宋" w:hAnsi="仿宋" w:eastAsia="仿宋"/>
          <w:color w:val="000000"/>
          <w:sz w:val="21"/>
          <w:szCs w:val="21"/>
        </w:rPr>
        <w:t>本着平等互利和诚实信用的原则，</w:t>
      </w:r>
      <w:r>
        <w:rPr>
          <w:rFonts w:hint="eastAsia" w:ascii="仿宋" w:hAnsi="仿宋" w:eastAsia="仿宋"/>
          <w:color w:val="000000"/>
          <w:kern w:val="28"/>
          <w:sz w:val="21"/>
          <w:szCs w:val="21"/>
        </w:rPr>
        <w:t>一致同意签订本合同如下。</w:t>
      </w:r>
    </w:p>
    <w:p w14:paraId="7B19A21A">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货物内容</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55"/>
        <w:gridCol w:w="3510"/>
        <w:gridCol w:w="900"/>
        <w:gridCol w:w="900"/>
        <w:gridCol w:w="1080"/>
        <w:gridCol w:w="900"/>
      </w:tblGrid>
      <w:tr w14:paraId="7A6C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35" w:type="dxa"/>
            <w:tcBorders>
              <w:left w:val="single" w:color="auto" w:sz="8" w:space="0"/>
              <w:right w:val="single" w:color="auto" w:sz="4" w:space="0"/>
            </w:tcBorders>
            <w:noWrap w:val="0"/>
            <w:vAlign w:val="center"/>
          </w:tcPr>
          <w:p w14:paraId="7716936F">
            <w:pPr>
              <w:jc w:val="center"/>
              <w:rPr>
                <w:rFonts w:ascii="仿宋" w:hAnsi="仿宋" w:eastAsia="仿宋"/>
                <w:color w:val="000000"/>
                <w:sz w:val="21"/>
                <w:szCs w:val="21"/>
              </w:rPr>
            </w:pPr>
            <w:r>
              <w:rPr>
                <w:rFonts w:hint="eastAsia" w:ascii="仿宋" w:hAnsi="仿宋" w:eastAsia="仿宋"/>
                <w:color w:val="000000"/>
                <w:sz w:val="21"/>
                <w:szCs w:val="21"/>
              </w:rPr>
              <w:t>序号</w:t>
            </w:r>
          </w:p>
        </w:tc>
        <w:tc>
          <w:tcPr>
            <w:tcW w:w="1155" w:type="dxa"/>
            <w:tcBorders>
              <w:left w:val="single" w:color="auto" w:sz="8" w:space="0"/>
              <w:right w:val="single" w:color="auto" w:sz="4" w:space="0"/>
            </w:tcBorders>
            <w:noWrap w:val="0"/>
            <w:vAlign w:val="center"/>
          </w:tcPr>
          <w:p w14:paraId="2D8B52C7">
            <w:pPr>
              <w:jc w:val="center"/>
              <w:rPr>
                <w:rFonts w:ascii="仿宋" w:hAnsi="仿宋" w:eastAsia="仿宋"/>
                <w:color w:val="000000"/>
                <w:sz w:val="21"/>
                <w:szCs w:val="21"/>
              </w:rPr>
            </w:pPr>
            <w:r>
              <w:rPr>
                <w:rFonts w:hint="eastAsia" w:ascii="仿宋" w:hAnsi="仿宋" w:eastAsia="仿宋"/>
                <w:color w:val="000000"/>
                <w:sz w:val="21"/>
                <w:szCs w:val="21"/>
              </w:rPr>
              <w:t>商品名称</w:t>
            </w:r>
          </w:p>
        </w:tc>
        <w:tc>
          <w:tcPr>
            <w:tcW w:w="3510" w:type="dxa"/>
            <w:tcBorders>
              <w:left w:val="single" w:color="auto" w:sz="4" w:space="0"/>
              <w:bottom w:val="single" w:color="auto" w:sz="8" w:space="0"/>
              <w:right w:val="single" w:color="auto" w:sz="4" w:space="0"/>
            </w:tcBorders>
            <w:noWrap w:val="0"/>
            <w:vAlign w:val="center"/>
          </w:tcPr>
          <w:p w14:paraId="0A22326C">
            <w:pPr>
              <w:jc w:val="center"/>
              <w:rPr>
                <w:rFonts w:ascii="仿宋" w:hAnsi="仿宋" w:eastAsia="仿宋"/>
                <w:color w:val="000000"/>
                <w:sz w:val="21"/>
                <w:szCs w:val="21"/>
              </w:rPr>
            </w:pPr>
            <w:r>
              <w:rPr>
                <w:rFonts w:hint="eastAsia" w:ascii="仿宋" w:hAnsi="仿宋" w:eastAsia="仿宋"/>
                <w:color w:val="000000"/>
                <w:sz w:val="21"/>
                <w:szCs w:val="21"/>
              </w:rPr>
              <w:t>品牌、规格型号、配置（性能参数）</w:t>
            </w:r>
          </w:p>
        </w:tc>
        <w:tc>
          <w:tcPr>
            <w:tcW w:w="900" w:type="dxa"/>
            <w:tcBorders>
              <w:left w:val="single" w:color="auto" w:sz="4" w:space="0"/>
              <w:bottom w:val="single" w:color="auto" w:sz="8" w:space="0"/>
              <w:right w:val="single" w:color="auto" w:sz="4" w:space="0"/>
            </w:tcBorders>
            <w:noWrap w:val="0"/>
            <w:vAlign w:val="center"/>
          </w:tcPr>
          <w:p w14:paraId="34C96748">
            <w:pPr>
              <w:jc w:val="center"/>
              <w:rPr>
                <w:rFonts w:ascii="仿宋" w:hAnsi="仿宋" w:eastAsia="仿宋"/>
                <w:color w:val="000000"/>
                <w:sz w:val="21"/>
                <w:szCs w:val="21"/>
              </w:rPr>
            </w:pPr>
            <w:r>
              <w:rPr>
                <w:rFonts w:hint="eastAsia" w:ascii="仿宋" w:hAnsi="仿宋" w:eastAsia="仿宋"/>
                <w:color w:val="000000"/>
                <w:sz w:val="21"/>
                <w:szCs w:val="21"/>
              </w:rPr>
              <w:t>产地</w:t>
            </w:r>
          </w:p>
        </w:tc>
        <w:tc>
          <w:tcPr>
            <w:tcW w:w="900" w:type="dxa"/>
            <w:tcBorders>
              <w:left w:val="single" w:color="auto" w:sz="4" w:space="0"/>
              <w:bottom w:val="single" w:color="auto" w:sz="8" w:space="0"/>
              <w:right w:val="single" w:color="auto" w:sz="4" w:space="0"/>
            </w:tcBorders>
            <w:noWrap w:val="0"/>
            <w:vAlign w:val="center"/>
          </w:tcPr>
          <w:p w14:paraId="51D856F0">
            <w:pPr>
              <w:jc w:val="center"/>
              <w:rPr>
                <w:rFonts w:ascii="仿宋" w:hAnsi="仿宋" w:eastAsia="仿宋"/>
                <w:color w:val="000000"/>
                <w:sz w:val="21"/>
                <w:szCs w:val="21"/>
              </w:rPr>
            </w:pPr>
            <w:r>
              <w:rPr>
                <w:rFonts w:hint="eastAsia" w:ascii="仿宋" w:hAnsi="仿宋" w:eastAsia="仿宋"/>
                <w:color w:val="000000"/>
                <w:sz w:val="21"/>
                <w:szCs w:val="21"/>
              </w:rPr>
              <w:t>数量</w:t>
            </w:r>
          </w:p>
        </w:tc>
        <w:tc>
          <w:tcPr>
            <w:tcW w:w="1080" w:type="dxa"/>
            <w:tcBorders>
              <w:left w:val="single" w:color="auto" w:sz="4" w:space="0"/>
              <w:bottom w:val="nil"/>
              <w:right w:val="single" w:color="auto" w:sz="8" w:space="0"/>
            </w:tcBorders>
            <w:noWrap w:val="0"/>
            <w:vAlign w:val="center"/>
          </w:tcPr>
          <w:p w14:paraId="538D0F40">
            <w:pPr>
              <w:jc w:val="center"/>
              <w:rPr>
                <w:rFonts w:ascii="仿宋" w:hAnsi="仿宋" w:eastAsia="仿宋"/>
                <w:color w:val="000000"/>
                <w:sz w:val="21"/>
                <w:szCs w:val="21"/>
              </w:rPr>
            </w:pPr>
            <w:r>
              <w:rPr>
                <w:rFonts w:hint="eastAsia" w:ascii="仿宋" w:hAnsi="仿宋" w:eastAsia="仿宋"/>
                <w:color w:val="000000"/>
                <w:sz w:val="21"/>
                <w:szCs w:val="21"/>
              </w:rPr>
              <w:t>单价(元)</w:t>
            </w:r>
          </w:p>
        </w:tc>
        <w:tc>
          <w:tcPr>
            <w:tcW w:w="900" w:type="dxa"/>
            <w:tcBorders>
              <w:left w:val="single" w:color="auto" w:sz="4" w:space="0"/>
              <w:bottom w:val="nil"/>
              <w:right w:val="single" w:color="auto" w:sz="8" w:space="0"/>
            </w:tcBorders>
            <w:noWrap w:val="0"/>
            <w:vAlign w:val="center"/>
          </w:tcPr>
          <w:p w14:paraId="7501F20D">
            <w:pPr>
              <w:jc w:val="center"/>
              <w:rPr>
                <w:rFonts w:ascii="仿宋" w:hAnsi="仿宋" w:eastAsia="仿宋"/>
                <w:color w:val="000000"/>
                <w:sz w:val="21"/>
                <w:szCs w:val="21"/>
              </w:rPr>
            </w:pPr>
            <w:r>
              <w:rPr>
                <w:rFonts w:hint="eastAsia" w:ascii="仿宋" w:hAnsi="仿宋" w:eastAsia="仿宋"/>
                <w:color w:val="000000"/>
                <w:sz w:val="21"/>
                <w:szCs w:val="21"/>
              </w:rPr>
              <w:t>金额(元)</w:t>
            </w:r>
          </w:p>
        </w:tc>
      </w:tr>
      <w:tr w14:paraId="19A9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35" w:type="dxa"/>
            <w:tcBorders>
              <w:left w:val="single" w:color="auto" w:sz="8" w:space="0"/>
              <w:right w:val="single" w:color="auto" w:sz="4" w:space="0"/>
            </w:tcBorders>
            <w:noWrap w:val="0"/>
            <w:vAlign w:val="center"/>
          </w:tcPr>
          <w:p w14:paraId="7C0F8899">
            <w:pPr>
              <w:jc w:val="center"/>
              <w:rPr>
                <w:rFonts w:ascii="仿宋" w:hAnsi="仿宋" w:eastAsia="仿宋"/>
                <w:color w:val="000000"/>
                <w:sz w:val="21"/>
                <w:szCs w:val="21"/>
              </w:rPr>
            </w:pPr>
            <w:r>
              <w:rPr>
                <w:rFonts w:hint="eastAsia" w:ascii="仿宋" w:hAnsi="仿宋" w:eastAsia="仿宋"/>
                <w:color w:val="000000"/>
                <w:sz w:val="21"/>
                <w:szCs w:val="21"/>
              </w:rPr>
              <w:t>1</w:t>
            </w:r>
          </w:p>
        </w:tc>
        <w:tc>
          <w:tcPr>
            <w:tcW w:w="1155" w:type="dxa"/>
            <w:tcBorders>
              <w:left w:val="single" w:color="auto" w:sz="8" w:space="0"/>
              <w:right w:val="single" w:color="auto" w:sz="4" w:space="0"/>
            </w:tcBorders>
            <w:noWrap w:val="0"/>
            <w:vAlign w:val="center"/>
          </w:tcPr>
          <w:p w14:paraId="71EE9AC5">
            <w:pPr>
              <w:rPr>
                <w:rFonts w:ascii="仿宋" w:hAnsi="仿宋" w:eastAsia="仿宋"/>
                <w:color w:val="000000"/>
                <w:sz w:val="21"/>
                <w:szCs w:val="21"/>
              </w:rPr>
            </w:pPr>
          </w:p>
        </w:tc>
        <w:tc>
          <w:tcPr>
            <w:tcW w:w="3510" w:type="dxa"/>
            <w:tcBorders>
              <w:left w:val="single" w:color="auto" w:sz="4" w:space="0"/>
              <w:right w:val="single" w:color="auto" w:sz="4" w:space="0"/>
            </w:tcBorders>
            <w:noWrap w:val="0"/>
            <w:vAlign w:val="center"/>
          </w:tcPr>
          <w:p w14:paraId="1F9F047A">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39F44B0D">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57A2CBDD">
            <w:pPr>
              <w:rPr>
                <w:rFonts w:ascii="仿宋" w:hAnsi="仿宋" w:eastAsia="仿宋"/>
                <w:color w:val="000000"/>
                <w:sz w:val="21"/>
                <w:szCs w:val="21"/>
              </w:rPr>
            </w:pPr>
          </w:p>
        </w:tc>
        <w:tc>
          <w:tcPr>
            <w:tcW w:w="1080" w:type="dxa"/>
            <w:tcBorders>
              <w:left w:val="single" w:color="auto" w:sz="4" w:space="0"/>
              <w:bottom w:val="nil"/>
              <w:right w:val="single" w:color="auto" w:sz="8" w:space="0"/>
            </w:tcBorders>
            <w:noWrap w:val="0"/>
            <w:vAlign w:val="center"/>
          </w:tcPr>
          <w:p w14:paraId="7DBA4268">
            <w:pPr>
              <w:rPr>
                <w:rFonts w:ascii="仿宋" w:hAnsi="仿宋" w:eastAsia="仿宋"/>
                <w:color w:val="000000"/>
                <w:sz w:val="21"/>
                <w:szCs w:val="21"/>
              </w:rPr>
            </w:pPr>
          </w:p>
        </w:tc>
        <w:tc>
          <w:tcPr>
            <w:tcW w:w="900" w:type="dxa"/>
            <w:tcBorders>
              <w:left w:val="single" w:color="auto" w:sz="4" w:space="0"/>
              <w:bottom w:val="nil"/>
              <w:right w:val="single" w:color="auto" w:sz="8" w:space="0"/>
            </w:tcBorders>
            <w:noWrap w:val="0"/>
            <w:vAlign w:val="center"/>
          </w:tcPr>
          <w:p w14:paraId="04711DB2">
            <w:pPr>
              <w:rPr>
                <w:rFonts w:ascii="仿宋" w:hAnsi="仿宋" w:eastAsia="仿宋"/>
                <w:color w:val="000000"/>
                <w:sz w:val="21"/>
                <w:szCs w:val="21"/>
              </w:rPr>
            </w:pPr>
          </w:p>
        </w:tc>
      </w:tr>
      <w:tr w14:paraId="0A0F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35" w:type="dxa"/>
            <w:tcBorders>
              <w:left w:val="single" w:color="auto" w:sz="8" w:space="0"/>
              <w:right w:val="single" w:color="auto" w:sz="4" w:space="0"/>
            </w:tcBorders>
            <w:noWrap w:val="0"/>
            <w:vAlign w:val="center"/>
          </w:tcPr>
          <w:p w14:paraId="2091117B">
            <w:pPr>
              <w:jc w:val="center"/>
              <w:rPr>
                <w:rFonts w:ascii="仿宋" w:hAnsi="仿宋" w:eastAsia="仿宋"/>
                <w:color w:val="000000"/>
                <w:sz w:val="21"/>
                <w:szCs w:val="21"/>
              </w:rPr>
            </w:pPr>
            <w:r>
              <w:rPr>
                <w:rFonts w:hint="eastAsia" w:ascii="仿宋" w:hAnsi="仿宋" w:eastAsia="仿宋"/>
                <w:color w:val="000000"/>
                <w:sz w:val="21"/>
                <w:szCs w:val="21"/>
              </w:rPr>
              <w:t>2</w:t>
            </w:r>
          </w:p>
        </w:tc>
        <w:tc>
          <w:tcPr>
            <w:tcW w:w="1155" w:type="dxa"/>
            <w:tcBorders>
              <w:left w:val="single" w:color="auto" w:sz="8" w:space="0"/>
              <w:right w:val="single" w:color="auto" w:sz="4" w:space="0"/>
            </w:tcBorders>
            <w:noWrap w:val="0"/>
            <w:vAlign w:val="center"/>
          </w:tcPr>
          <w:p w14:paraId="78E28F16">
            <w:pPr>
              <w:rPr>
                <w:rFonts w:ascii="仿宋" w:hAnsi="仿宋" w:eastAsia="仿宋"/>
                <w:color w:val="000000"/>
                <w:sz w:val="21"/>
                <w:szCs w:val="21"/>
              </w:rPr>
            </w:pPr>
          </w:p>
        </w:tc>
        <w:tc>
          <w:tcPr>
            <w:tcW w:w="3510" w:type="dxa"/>
            <w:tcBorders>
              <w:left w:val="single" w:color="auto" w:sz="4" w:space="0"/>
              <w:right w:val="single" w:color="auto" w:sz="4" w:space="0"/>
            </w:tcBorders>
            <w:noWrap w:val="0"/>
            <w:vAlign w:val="center"/>
          </w:tcPr>
          <w:p w14:paraId="31D09B26">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6233415C">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65F85AA2">
            <w:pPr>
              <w:rPr>
                <w:rFonts w:ascii="仿宋" w:hAnsi="仿宋" w:eastAsia="仿宋"/>
                <w:color w:val="000000"/>
                <w:sz w:val="21"/>
                <w:szCs w:val="21"/>
              </w:rPr>
            </w:pPr>
          </w:p>
        </w:tc>
        <w:tc>
          <w:tcPr>
            <w:tcW w:w="1080" w:type="dxa"/>
            <w:tcBorders>
              <w:left w:val="single" w:color="auto" w:sz="4" w:space="0"/>
              <w:bottom w:val="nil"/>
              <w:right w:val="single" w:color="auto" w:sz="8" w:space="0"/>
            </w:tcBorders>
            <w:noWrap w:val="0"/>
            <w:vAlign w:val="center"/>
          </w:tcPr>
          <w:p w14:paraId="4DB07B22">
            <w:pPr>
              <w:rPr>
                <w:rFonts w:ascii="仿宋" w:hAnsi="仿宋" w:eastAsia="仿宋"/>
                <w:color w:val="000000"/>
                <w:sz w:val="21"/>
                <w:szCs w:val="21"/>
              </w:rPr>
            </w:pPr>
          </w:p>
        </w:tc>
        <w:tc>
          <w:tcPr>
            <w:tcW w:w="900" w:type="dxa"/>
            <w:tcBorders>
              <w:left w:val="single" w:color="auto" w:sz="4" w:space="0"/>
              <w:bottom w:val="nil"/>
              <w:right w:val="single" w:color="auto" w:sz="8" w:space="0"/>
            </w:tcBorders>
            <w:noWrap w:val="0"/>
            <w:vAlign w:val="center"/>
          </w:tcPr>
          <w:p w14:paraId="5AA9F469">
            <w:pPr>
              <w:rPr>
                <w:rFonts w:ascii="仿宋" w:hAnsi="仿宋" w:eastAsia="仿宋"/>
                <w:color w:val="000000"/>
                <w:sz w:val="21"/>
                <w:szCs w:val="21"/>
              </w:rPr>
            </w:pPr>
          </w:p>
        </w:tc>
      </w:tr>
      <w:tr w14:paraId="0B9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35" w:type="dxa"/>
            <w:tcBorders>
              <w:left w:val="single" w:color="auto" w:sz="8" w:space="0"/>
              <w:right w:val="single" w:color="auto" w:sz="4" w:space="0"/>
            </w:tcBorders>
            <w:noWrap w:val="0"/>
            <w:vAlign w:val="center"/>
          </w:tcPr>
          <w:p w14:paraId="62370829">
            <w:pPr>
              <w:jc w:val="center"/>
              <w:rPr>
                <w:rFonts w:ascii="仿宋" w:hAnsi="仿宋" w:eastAsia="仿宋"/>
                <w:color w:val="000000"/>
                <w:sz w:val="21"/>
                <w:szCs w:val="21"/>
              </w:rPr>
            </w:pPr>
            <w:r>
              <w:rPr>
                <w:rFonts w:hint="eastAsia" w:ascii="仿宋" w:hAnsi="仿宋" w:eastAsia="仿宋"/>
                <w:color w:val="000000"/>
                <w:sz w:val="21"/>
                <w:szCs w:val="21"/>
              </w:rPr>
              <w:t>3</w:t>
            </w:r>
          </w:p>
        </w:tc>
        <w:tc>
          <w:tcPr>
            <w:tcW w:w="1155" w:type="dxa"/>
            <w:tcBorders>
              <w:left w:val="single" w:color="auto" w:sz="8" w:space="0"/>
              <w:right w:val="single" w:color="auto" w:sz="4" w:space="0"/>
            </w:tcBorders>
            <w:noWrap w:val="0"/>
            <w:vAlign w:val="center"/>
          </w:tcPr>
          <w:p w14:paraId="44159BD5">
            <w:pPr>
              <w:rPr>
                <w:rFonts w:ascii="仿宋" w:hAnsi="仿宋" w:eastAsia="仿宋"/>
                <w:color w:val="000000"/>
                <w:sz w:val="21"/>
                <w:szCs w:val="21"/>
              </w:rPr>
            </w:pPr>
          </w:p>
        </w:tc>
        <w:tc>
          <w:tcPr>
            <w:tcW w:w="3510" w:type="dxa"/>
            <w:tcBorders>
              <w:left w:val="single" w:color="auto" w:sz="4" w:space="0"/>
              <w:right w:val="single" w:color="auto" w:sz="4" w:space="0"/>
            </w:tcBorders>
            <w:noWrap w:val="0"/>
            <w:vAlign w:val="center"/>
          </w:tcPr>
          <w:p w14:paraId="0BE52CEC">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4104631A">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61A158F0">
            <w:pPr>
              <w:rPr>
                <w:rFonts w:ascii="仿宋" w:hAnsi="仿宋" w:eastAsia="仿宋"/>
                <w:color w:val="000000"/>
                <w:sz w:val="21"/>
                <w:szCs w:val="21"/>
              </w:rPr>
            </w:pPr>
          </w:p>
        </w:tc>
        <w:tc>
          <w:tcPr>
            <w:tcW w:w="1080" w:type="dxa"/>
            <w:tcBorders>
              <w:left w:val="single" w:color="auto" w:sz="4" w:space="0"/>
              <w:bottom w:val="nil"/>
              <w:right w:val="single" w:color="auto" w:sz="8" w:space="0"/>
            </w:tcBorders>
            <w:noWrap w:val="0"/>
            <w:vAlign w:val="center"/>
          </w:tcPr>
          <w:p w14:paraId="5BCB831E">
            <w:pPr>
              <w:rPr>
                <w:rFonts w:ascii="仿宋" w:hAnsi="仿宋" w:eastAsia="仿宋"/>
                <w:color w:val="000000"/>
                <w:sz w:val="21"/>
                <w:szCs w:val="21"/>
              </w:rPr>
            </w:pPr>
          </w:p>
        </w:tc>
        <w:tc>
          <w:tcPr>
            <w:tcW w:w="900" w:type="dxa"/>
            <w:tcBorders>
              <w:left w:val="single" w:color="auto" w:sz="4" w:space="0"/>
              <w:bottom w:val="nil"/>
              <w:right w:val="single" w:color="auto" w:sz="8" w:space="0"/>
            </w:tcBorders>
            <w:noWrap w:val="0"/>
            <w:vAlign w:val="center"/>
          </w:tcPr>
          <w:p w14:paraId="741DD398">
            <w:pPr>
              <w:rPr>
                <w:rFonts w:ascii="仿宋" w:hAnsi="仿宋" w:eastAsia="仿宋"/>
                <w:color w:val="000000"/>
                <w:sz w:val="21"/>
                <w:szCs w:val="21"/>
              </w:rPr>
            </w:pPr>
          </w:p>
        </w:tc>
      </w:tr>
      <w:tr w14:paraId="4A96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35" w:type="dxa"/>
            <w:tcBorders>
              <w:left w:val="single" w:color="auto" w:sz="8" w:space="0"/>
              <w:right w:val="single" w:color="auto" w:sz="4" w:space="0"/>
            </w:tcBorders>
            <w:noWrap w:val="0"/>
            <w:vAlign w:val="center"/>
          </w:tcPr>
          <w:p w14:paraId="49A05879">
            <w:pPr>
              <w:jc w:val="center"/>
              <w:rPr>
                <w:rFonts w:ascii="仿宋" w:hAnsi="仿宋" w:eastAsia="仿宋"/>
                <w:color w:val="000000"/>
                <w:sz w:val="21"/>
                <w:szCs w:val="21"/>
              </w:rPr>
            </w:pPr>
            <w:r>
              <w:rPr>
                <w:rFonts w:hint="eastAsia" w:ascii="仿宋" w:hAnsi="仿宋" w:eastAsia="仿宋"/>
                <w:color w:val="000000"/>
                <w:sz w:val="21"/>
                <w:szCs w:val="21"/>
              </w:rPr>
              <w:t>4</w:t>
            </w:r>
          </w:p>
        </w:tc>
        <w:tc>
          <w:tcPr>
            <w:tcW w:w="1155" w:type="dxa"/>
            <w:tcBorders>
              <w:left w:val="single" w:color="auto" w:sz="8" w:space="0"/>
              <w:right w:val="single" w:color="auto" w:sz="4" w:space="0"/>
            </w:tcBorders>
            <w:noWrap w:val="0"/>
            <w:vAlign w:val="center"/>
          </w:tcPr>
          <w:p w14:paraId="5701C79A">
            <w:pPr>
              <w:rPr>
                <w:rFonts w:ascii="仿宋" w:hAnsi="仿宋" w:eastAsia="仿宋"/>
                <w:color w:val="000000"/>
                <w:sz w:val="21"/>
                <w:szCs w:val="21"/>
              </w:rPr>
            </w:pPr>
          </w:p>
        </w:tc>
        <w:tc>
          <w:tcPr>
            <w:tcW w:w="3510" w:type="dxa"/>
            <w:tcBorders>
              <w:left w:val="single" w:color="auto" w:sz="4" w:space="0"/>
              <w:right w:val="single" w:color="auto" w:sz="4" w:space="0"/>
            </w:tcBorders>
            <w:noWrap w:val="0"/>
            <w:vAlign w:val="center"/>
          </w:tcPr>
          <w:p w14:paraId="472B2AC4">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03780795">
            <w:pPr>
              <w:rPr>
                <w:rFonts w:ascii="仿宋" w:hAnsi="仿宋" w:eastAsia="仿宋"/>
                <w:color w:val="000000"/>
                <w:sz w:val="21"/>
                <w:szCs w:val="21"/>
              </w:rPr>
            </w:pPr>
          </w:p>
        </w:tc>
        <w:tc>
          <w:tcPr>
            <w:tcW w:w="900" w:type="dxa"/>
            <w:tcBorders>
              <w:left w:val="single" w:color="auto" w:sz="4" w:space="0"/>
              <w:bottom w:val="single" w:color="auto" w:sz="8" w:space="0"/>
              <w:right w:val="single" w:color="auto" w:sz="4" w:space="0"/>
            </w:tcBorders>
            <w:noWrap w:val="0"/>
            <w:vAlign w:val="center"/>
          </w:tcPr>
          <w:p w14:paraId="1377F87A">
            <w:pPr>
              <w:rPr>
                <w:rFonts w:ascii="仿宋" w:hAnsi="仿宋" w:eastAsia="仿宋"/>
                <w:color w:val="000000"/>
                <w:sz w:val="21"/>
                <w:szCs w:val="21"/>
              </w:rPr>
            </w:pPr>
          </w:p>
        </w:tc>
        <w:tc>
          <w:tcPr>
            <w:tcW w:w="1080" w:type="dxa"/>
            <w:tcBorders>
              <w:left w:val="single" w:color="auto" w:sz="4" w:space="0"/>
              <w:bottom w:val="nil"/>
              <w:right w:val="single" w:color="auto" w:sz="8" w:space="0"/>
            </w:tcBorders>
            <w:noWrap w:val="0"/>
            <w:vAlign w:val="center"/>
          </w:tcPr>
          <w:p w14:paraId="073302F2">
            <w:pPr>
              <w:rPr>
                <w:rFonts w:ascii="仿宋" w:hAnsi="仿宋" w:eastAsia="仿宋"/>
                <w:color w:val="000000"/>
                <w:sz w:val="21"/>
                <w:szCs w:val="21"/>
              </w:rPr>
            </w:pPr>
          </w:p>
        </w:tc>
        <w:tc>
          <w:tcPr>
            <w:tcW w:w="900" w:type="dxa"/>
            <w:tcBorders>
              <w:left w:val="single" w:color="auto" w:sz="4" w:space="0"/>
              <w:bottom w:val="nil"/>
              <w:right w:val="single" w:color="auto" w:sz="8" w:space="0"/>
            </w:tcBorders>
            <w:noWrap w:val="0"/>
            <w:vAlign w:val="center"/>
          </w:tcPr>
          <w:p w14:paraId="7C46237C">
            <w:pPr>
              <w:rPr>
                <w:rFonts w:ascii="仿宋" w:hAnsi="仿宋" w:eastAsia="仿宋"/>
                <w:color w:val="000000"/>
                <w:sz w:val="21"/>
                <w:szCs w:val="21"/>
              </w:rPr>
            </w:pPr>
          </w:p>
        </w:tc>
      </w:tr>
      <w:tr w14:paraId="7410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180" w:type="dxa"/>
            <w:gridSpan w:val="7"/>
            <w:tcBorders>
              <w:left w:val="single" w:color="auto" w:sz="8" w:space="0"/>
              <w:right w:val="single" w:color="auto" w:sz="8" w:space="0"/>
            </w:tcBorders>
            <w:noWrap w:val="0"/>
            <w:vAlign w:val="center"/>
          </w:tcPr>
          <w:p w14:paraId="68E88044">
            <w:pPr>
              <w:rPr>
                <w:rFonts w:ascii="仿宋" w:hAnsi="仿宋" w:eastAsia="仿宋"/>
                <w:color w:val="000000"/>
                <w:sz w:val="21"/>
                <w:szCs w:val="21"/>
              </w:rPr>
            </w:pPr>
            <w:r>
              <w:rPr>
                <w:rFonts w:hint="eastAsia" w:ascii="仿宋" w:hAnsi="仿宋" w:eastAsia="仿宋"/>
                <w:color w:val="000000"/>
                <w:sz w:val="21"/>
                <w:szCs w:val="21"/>
              </w:rPr>
              <w:t>合计总额：￥；    大写：</w:t>
            </w:r>
          </w:p>
        </w:tc>
      </w:tr>
    </w:tbl>
    <w:p w14:paraId="09E97A2D">
      <w:pPr>
        <w:spacing w:line="360" w:lineRule="auto"/>
        <w:ind w:firstLine="420" w:firstLineChars="200"/>
        <w:rPr>
          <w:rFonts w:ascii="仿宋" w:hAnsi="仿宋" w:eastAsia="仿宋"/>
          <w:color w:val="000000"/>
          <w:sz w:val="21"/>
          <w:szCs w:val="21"/>
        </w:rPr>
      </w:pPr>
      <w:r>
        <w:rPr>
          <w:rFonts w:hint="eastAsia" w:ascii="仿宋" w:hAnsi="仿宋" w:eastAsia="仿宋"/>
          <w:color w:val="000000"/>
          <w:sz w:val="21"/>
          <w:szCs w:val="21"/>
        </w:rPr>
        <w:t>合同总额包括乙方设计、安装、随机零配件、标配工具、运输保险、调试、培训、质保期服务、各项税费及合同实施过程中不可预见费用等。</w:t>
      </w:r>
    </w:p>
    <w:p w14:paraId="0AB30DD5">
      <w:pPr>
        <w:spacing w:line="360" w:lineRule="auto"/>
        <w:ind w:firstLine="420" w:firstLineChars="200"/>
        <w:rPr>
          <w:rFonts w:ascii="仿宋" w:hAnsi="仿宋" w:eastAsia="仿宋"/>
          <w:color w:val="000000"/>
          <w:sz w:val="21"/>
          <w:szCs w:val="21"/>
        </w:rPr>
      </w:pPr>
      <w:r>
        <w:rPr>
          <w:rFonts w:hint="eastAsia" w:ascii="仿宋" w:hAnsi="仿宋" w:eastAsia="仿宋"/>
          <w:color w:val="000000"/>
          <w:sz w:val="21"/>
          <w:szCs w:val="21"/>
        </w:rPr>
        <w:t>注：货物名称内容必须与响应文件中货物名称内容一致。</w:t>
      </w:r>
    </w:p>
    <w:p w14:paraId="460CB952">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合同金额</w:t>
      </w:r>
    </w:p>
    <w:p w14:paraId="4257EF25">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ab/>
      </w:r>
      <w:r>
        <w:rPr>
          <w:rFonts w:hint="eastAsia" w:ascii="仿宋" w:hAnsi="仿宋" w:eastAsia="仿宋"/>
          <w:color w:val="000000"/>
          <w:sz w:val="21"/>
          <w:szCs w:val="21"/>
        </w:rPr>
        <w:t>合同金额为（大写）：_________________元（￥_______________元）人民币。</w:t>
      </w:r>
    </w:p>
    <w:p w14:paraId="5D889B3F">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货物或服务要求</w:t>
      </w:r>
    </w:p>
    <w:p w14:paraId="04EB43C3">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ab/>
      </w:r>
      <w:r>
        <w:rPr>
          <w:rFonts w:hint="eastAsia" w:ascii="仿宋" w:hAnsi="仿宋" w:eastAsia="仿宋"/>
          <w:color w:val="000000"/>
          <w:sz w:val="21"/>
          <w:szCs w:val="21"/>
        </w:rPr>
        <w:t>XXXXXXXXXXXXXXXXXXXXXXXXXXXXXXXXXXXXXXXXXXXXXXXXXXXX</w:t>
      </w:r>
    </w:p>
    <w:p w14:paraId="2A138F84">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交货期、交货方式及交货地点（服务期限、服务方式）</w:t>
      </w:r>
    </w:p>
    <w:p w14:paraId="1D2EA329">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w:t>
      </w:r>
      <w:r>
        <w:rPr>
          <w:rFonts w:hint="eastAsia" w:ascii="仿宋" w:hAnsi="仿宋" w:eastAsia="仿宋"/>
          <w:color w:val="000000"/>
          <w:sz w:val="21"/>
          <w:szCs w:val="21"/>
        </w:rPr>
        <w:tab/>
      </w:r>
      <w:r>
        <w:rPr>
          <w:rFonts w:hint="eastAsia" w:ascii="仿宋" w:hAnsi="仿宋" w:eastAsia="仿宋"/>
          <w:color w:val="000000"/>
          <w:sz w:val="21"/>
          <w:szCs w:val="21"/>
        </w:rPr>
        <w:t>交货期：</w:t>
      </w:r>
    </w:p>
    <w:p w14:paraId="5F1C03E2">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w:t>
      </w:r>
      <w:r>
        <w:rPr>
          <w:rFonts w:hint="eastAsia" w:ascii="仿宋" w:hAnsi="仿宋" w:eastAsia="仿宋"/>
          <w:color w:val="000000"/>
          <w:sz w:val="21"/>
          <w:szCs w:val="21"/>
        </w:rPr>
        <w:tab/>
      </w:r>
      <w:r>
        <w:rPr>
          <w:rFonts w:hint="eastAsia" w:ascii="仿宋" w:hAnsi="仿宋" w:eastAsia="仿宋"/>
          <w:color w:val="000000"/>
          <w:sz w:val="21"/>
          <w:szCs w:val="21"/>
        </w:rPr>
        <w:t>交货方式：</w:t>
      </w:r>
    </w:p>
    <w:p w14:paraId="6498D94B">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3.</w:t>
      </w:r>
      <w:r>
        <w:rPr>
          <w:rFonts w:hint="eastAsia" w:ascii="仿宋" w:hAnsi="仿宋" w:eastAsia="仿宋"/>
          <w:color w:val="000000"/>
          <w:sz w:val="21"/>
          <w:szCs w:val="21"/>
        </w:rPr>
        <w:tab/>
      </w:r>
      <w:r>
        <w:rPr>
          <w:rFonts w:hint="eastAsia" w:ascii="仿宋" w:hAnsi="仿宋" w:eastAsia="仿宋"/>
          <w:color w:val="000000"/>
          <w:sz w:val="21"/>
          <w:szCs w:val="21"/>
        </w:rPr>
        <w:t xml:space="preserve">交货地点： </w:t>
      </w:r>
    </w:p>
    <w:p w14:paraId="52E8D90B">
      <w:pPr>
        <w:numPr>
          <w:ilvl w:val="0"/>
          <w:numId w:val="1"/>
        </w:numPr>
        <w:tabs>
          <w:tab w:val="left" w:pos="851"/>
        </w:tabs>
        <w:spacing w:line="360" w:lineRule="auto"/>
        <w:ind w:left="847" w:hanging="850" w:hangingChars="403"/>
        <w:rPr>
          <w:rFonts w:ascii="仿宋" w:hAnsi="仿宋" w:eastAsia="仿宋"/>
          <w:color w:val="000000"/>
          <w:sz w:val="21"/>
          <w:szCs w:val="21"/>
        </w:rPr>
      </w:pPr>
      <w:r>
        <w:rPr>
          <w:rFonts w:hint="eastAsia" w:ascii="仿宋" w:hAnsi="仿宋" w:eastAsia="仿宋"/>
          <w:b/>
          <w:color w:val="000000"/>
          <w:sz w:val="21"/>
          <w:szCs w:val="21"/>
        </w:rPr>
        <w:t>付款方式</w:t>
      </w:r>
    </w:p>
    <w:p w14:paraId="64E17835">
      <w:pPr>
        <w:tabs>
          <w:tab w:val="left" w:pos="851"/>
        </w:tabs>
        <w:spacing w:line="360" w:lineRule="auto"/>
        <w:ind w:left="850" w:firstLine="420"/>
        <w:rPr>
          <w:rFonts w:hint="eastAsia" w:ascii="仿宋" w:hAnsi="仿宋" w:eastAsia="仿宋"/>
          <w:color w:val="000000"/>
          <w:sz w:val="21"/>
          <w:szCs w:val="21"/>
        </w:rPr>
      </w:pPr>
      <w:r>
        <w:rPr>
          <w:rFonts w:hint="eastAsia" w:ascii="仿宋" w:hAnsi="仿宋" w:eastAsia="仿宋"/>
          <w:color w:val="000000"/>
          <w:sz w:val="21"/>
          <w:szCs w:val="21"/>
        </w:rPr>
        <w:t>按用户需求书的要求</w:t>
      </w:r>
    </w:p>
    <w:p w14:paraId="3DBED0D5">
      <w:pPr>
        <w:tabs>
          <w:tab w:val="left" w:pos="851"/>
        </w:tabs>
        <w:spacing w:line="360" w:lineRule="auto"/>
        <w:ind w:left="850" w:firstLine="420"/>
        <w:rPr>
          <w:rFonts w:ascii="仿宋" w:hAnsi="仿宋" w:eastAsia="仿宋"/>
          <w:color w:val="000000"/>
          <w:sz w:val="21"/>
          <w:szCs w:val="21"/>
        </w:rPr>
      </w:pPr>
    </w:p>
    <w:p w14:paraId="7B508649">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质保期及售后服务要求</w:t>
      </w:r>
    </w:p>
    <w:p w14:paraId="55E9BA49">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w:t>
      </w:r>
      <w:r>
        <w:rPr>
          <w:rFonts w:hint="eastAsia" w:ascii="仿宋" w:hAnsi="仿宋" w:eastAsia="仿宋"/>
          <w:color w:val="000000"/>
          <w:sz w:val="21"/>
          <w:szCs w:val="21"/>
        </w:rPr>
        <w:tab/>
      </w:r>
      <w:r>
        <w:rPr>
          <w:rFonts w:hint="eastAsia" w:ascii="仿宋" w:hAnsi="仿宋" w:eastAsia="仿宋"/>
          <w:color w:val="000000"/>
          <w:sz w:val="21"/>
          <w:szCs w:val="21"/>
        </w:rPr>
        <w:t>本合同的质量保证期（简称“质保期”）为X年，质保期内乙方对所供货物实行包修、包换、包退及合同约定的其它事项，期满后可同时提供终身</w:t>
      </w:r>
      <w:r>
        <w:rPr>
          <w:rFonts w:hint="eastAsia" w:ascii="仿宋" w:hAnsi="仿宋" w:eastAsia="仿宋"/>
          <w:color w:val="000000"/>
          <w:sz w:val="21"/>
          <w:szCs w:val="21"/>
          <w:u w:val="single"/>
        </w:rPr>
        <w:t>(免费/有偿)</w:t>
      </w:r>
      <w:r>
        <w:rPr>
          <w:rFonts w:hint="eastAsia" w:ascii="仿宋" w:hAnsi="仿宋" w:eastAsia="仿宋"/>
          <w:color w:val="000000"/>
          <w:sz w:val="21"/>
          <w:szCs w:val="21"/>
        </w:rPr>
        <w:t>维修保养服务。</w:t>
      </w:r>
    </w:p>
    <w:p w14:paraId="3365FB03">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w:t>
      </w:r>
      <w:r>
        <w:rPr>
          <w:rFonts w:hint="eastAsia" w:ascii="仿宋" w:hAnsi="仿宋" w:eastAsia="仿宋"/>
          <w:color w:val="000000"/>
          <w:sz w:val="21"/>
          <w:szCs w:val="21"/>
        </w:rPr>
        <w:tab/>
      </w:r>
      <w:r>
        <w:rPr>
          <w:rFonts w:hint="eastAsia" w:ascii="仿宋" w:hAnsi="仿宋" w:eastAsia="仿宋"/>
          <w:color w:val="000000"/>
          <w:sz w:val="21"/>
          <w:szCs w:val="21"/>
        </w:rPr>
        <w:t>质保期内，如设备或零部件因质量原因出现故障而造成短期停用时，则质保期和免费维修期相应顺延。</w:t>
      </w:r>
    </w:p>
    <w:p w14:paraId="64F752F6">
      <w:pPr>
        <w:numPr>
          <w:ilvl w:val="0"/>
          <w:numId w:val="1"/>
        </w:numPr>
        <w:tabs>
          <w:tab w:val="left" w:pos="851"/>
        </w:tabs>
        <w:spacing w:line="360" w:lineRule="auto"/>
        <w:ind w:left="847" w:hanging="850" w:hangingChars="403"/>
        <w:rPr>
          <w:rFonts w:ascii="仿宋" w:hAnsi="仿宋" w:eastAsia="仿宋"/>
          <w:color w:val="000000"/>
          <w:sz w:val="21"/>
          <w:szCs w:val="21"/>
        </w:rPr>
      </w:pPr>
      <w:r>
        <w:rPr>
          <w:rFonts w:hint="eastAsia" w:ascii="仿宋" w:hAnsi="仿宋" w:eastAsia="仿宋"/>
          <w:b/>
          <w:color w:val="000000"/>
          <w:sz w:val="21"/>
          <w:szCs w:val="21"/>
        </w:rPr>
        <w:t>安装与调试</w:t>
      </w:r>
    </w:p>
    <w:p w14:paraId="4082A399">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乙方必须依照采购文件的要求和报价文件的承诺，将设备、系统安装并调试至正常运行的最佳状态。</w:t>
      </w:r>
    </w:p>
    <w:p w14:paraId="790173E8">
      <w:pPr>
        <w:numPr>
          <w:ilvl w:val="0"/>
          <w:numId w:val="1"/>
        </w:numPr>
        <w:tabs>
          <w:tab w:val="left" w:pos="851"/>
        </w:tabs>
        <w:spacing w:line="360" w:lineRule="auto"/>
        <w:ind w:left="847" w:hanging="850" w:hangingChars="403"/>
        <w:rPr>
          <w:rFonts w:ascii="仿宋" w:hAnsi="仿宋" w:eastAsia="仿宋"/>
          <w:b/>
          <w:bCs/>
          <w:color w:val="000000"/>
          <w:sz w:val="21"/>
          <w:szCs w:val="21"/>
        </w:rPr>
      </w:pPr>
      <w:r>
        <w:rPr>
          <w:rFonts w:hint="eastAsia" w:ascii="仿宋" w:hAnsi="仿宋" w:eastAsia="仿宋"/>
          <w:b/>
          <w:bCs/>
          <w:color w:val="000000"/>
          <w:sz w:val="21"/>
          <w:szCs w:val="21"/>
        </w:rPr>
        <w:t>验收：</w:t>
      </w:r>
    </w:p>
    <w:p w14:paraId="7AEB5662">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w:t>
      </w:r>
      <w:r>
        <w:rPr>
          <w:rFonts w:hint="eastAsia" w:ascii="仿宋" w:hAnsi="仿宋" w:eastAsia="仿宋"/>
          <w:color w:val="000000"/>
          <w:sz w:val="21"/>
          <w:szCs w:val="21"/>
        </w:rPr>
        <w:tab/>
      </w:r>
      <w:r>
        <w:rPr>
          <w:rFonts w:hint="eastAsia" w:ascii="仿宋" w:hAnsi="仿宋" w:eastAsia="仿宋"/>
          <w:color w:val="000000"/>
          <w:sz w:val="21"/>
          <w:szCs w:val="21"/>
        </w:rPr>
        <w:t>交付验收标准</w:t>
      </w:r>
      <w:r>
        <w:rPr>
          <w:rFonts w:hint="eastAsia" w:ascii="仿宋" w:hAnsi="仿宋" w:eastAsia="仿宋"/>
          <w:color w:val="000000"/>
          <w:sz w:val="21"/>
          <w:szCs w:val="21"/>
          <w:lang w:val="en-GB"/>
        </w:rPr>
        <w:t>依次序对照适用</w:t>
      </w:r>
      <w:r>
        <w:rPr>
          <w:rFonts w:hint="eastAsia" w:ascii="仿宋" w:hAnsi="仿宋" w:eastAsia="仿宋"/>
          <w:color w:val="000000"/>
          <w:sz w:val="21"/>
          <w:szCs w:val="21"/>
        </w:rPr>
        <w:t>标准</w:t>
      </w:r>
      <w:r>
        <w:rPr>
          <w:rFonts w:hint="eastAsia" w:ascii="仿宋" w:hAnsi="仿宋" w:eastAsia="仿宋"/>
          <w:color w:val="000000"/>
          <w:sz w:val="21"/>
          <w:szCs w:val="21"/>
          <w:lang w:val="en-GB"/>
        </w:rPr>
        <w:t>为：</w:t>
      </w:r>
      <w:r>
        <w:rPr>
          <w:rFonts w:hint="eastAsia" w:ascii="仿宋" w:hAnsi="仿宋" w:eastAsia="仿宋"/>
          <w:color w:val="000000"/>
          <w:sz w:val="21"/>
          <w:szCs w:val="21"/>
        </w:rPr>
        <w:t>①符合中华人民共和国国家安全质量标准、环保标准或行业标准；②符合采购文件和响应承诺中甲方认可的合理最佳配置、参数及各项要求；③货物来源国官方标准。</w:t>
      </w:r>
    </w:p>
    <w:p w14:paraId="6AA7D90A">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w:t>
      </w:r>
      <w:r>
        <w:rPr>
          <w:rFonts w:hint="eastAsia" w:ascii="仿宋" w:hAnsi="仿宋" w:eastAsia="仿宋"/>
          <w:color w:val="000000"/>
          <w:sz w:val="21"/>
          <w:szCs w:val="21"/>
        </w:rPr>
        <w:tab/>
      </w:r>
      <w:r>
        <w:rPr>
          <w:rFonts w:hint="eastAsia" w:ascii="仿宋" w:hAnsi="仿宋" w:eastAsia="仿宋"/>
          <w:color w:val="000000"/>
          <w:sz w:val="21"/>
          <w:szCs w:val="21"/>
        </w:rPr>
        <w:t>进口产品必须具备原产地证明和商检局的检验证明及合法进货渠道证明。</w:t>
      </w:r>
    </w:p>
    <w:p w14:paraId="33FDAB00">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3.</w:t>
      </w:r>
      <w:r>
        <w:rPr>
          <w:rFonts w:hint="eastAsia" w:ascii="仿宋" w:hAnsi="仿宋" w:eastAsia="仿宋"/>
          <w:color w:val="000000"/>
          <w:sz w:val="21"/>
          <w:szCs w:val="21"/>
        </w:rPr>
        <w:tab/>
      </w:r>
      <w:r>
        <w:rPr>
          <w:rFonts w:hint="eastAsia" w:ascii="仿宋" w:hAnsi="仿宋" w:eastAsia="仿宋"/>
          <w:color w:val="000000"/>
          <w:sz w:val="21"/>
          <w:szCs w:val="21"/>
        </w:rPr>
        <w:t>货物为原厂商未启封全新包装，具出厂合格证，序列号、包装箱号与出厂批号一致，并可追索查阅。所有随设备的附件必须齐全。</w:t>
      </w:r>
    </w:p>
    <w:p w14:paraId="734EEDBE">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4.</w:t>
      </w:r>
      <w:r>
        <w:rPr>
          <w:rFonts w:hint="eastAsia" w:ascii="仿宋" w:hAnsi="仿宋" w:eastAsia="仿宋"/>
          <w:color w:val="000000"/>
          <w:sz w:val="21"/>
          <w:szCs w:val="21"/>
        </w:rPr>
        <w:tab/>
      </w:r>
      <w:r>
        <w:rPr>
          <w:rFonts w:hint="eastAsia" w:ascii="仿宋" w:hAnsi="仿宋" w:eastAsia="仿宋"/>
          <w:color w:val="000000"/>
          <w:sz w:val="21"/>
          <w:szCs w:val="21"/>
        </w:rPr>
        <w:t>乙方应将关键主机设备的用户手册、保修手册、有关单证资料及配备件、随机工具等交付给甲方，使用操作及安全须知等重要资料应附有中文说明。</w:t>
      </w:r>
    </w:p>
    <w:p w14:paraId="362C8D9E">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5.</w:t>
      </w:r>
      <w:r>
        <w:rPr>
          <w:rFonts w:hint="eastAsia" w:ascii="仿宋" w:hAnsi="仿宋" w:eastAsia="仿宋"/>
          <w:color w:val="000000"/>
          <w:sz w:val="21"/>
          <w:szCs w:val="21"/>
        </w:rPr>
        <w:tab/>
      </w:r>
      <w:r>
        <w:rPr>
          <w:rFonts w:hint="eastAsia" w:ascii="仿宋" w:hAnsi="仿宋" w:eastAsia="仿宋"/>
          <w:color w:val="000000"/>
          <w:sz w:val="21"/>
          <w:szCs w:val="21"/>
        </w:rPr>
        <w:t>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14:paraId="2A9D3882">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违约责任与赔偿损失</w:t>
      </w:r>
    </w:p>
    <w:p w14:paraId="3F3C19E1">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w:t>
      </w:r>
      <w:r>
        <w:rPr>
          <w:rFonts w:hint="eastAsia" w:ascii="仿宋" w:hAnsi="仿宋" w:eastAsia="仿宋"/>
          <w:color w:val="000000"/>
          <w:sz w:val="21"/>
          <w:szCs w:val="21"/>
        </w:rPr>
        <w:tab/>
      </w:r>
      <w:r>
        <w:rPr>
          <w:rFonts w:hint="eastAsia" w:ascii="仿宋" w:hAnsi="仿宋" w:eastAsia="仿宋"/>
          <w:color w:val="000000"/>
          <w:sz w:val="21"/>
          <w:szCs w:val="21"/>
        </w:rPr>
        <w:t>乙方交付的货物、工程/提供的服务不符合本合同规定的，甲方有权拒收，并且乙方须向甲方支付本合同总价5%的违约金。</w:t>
      </w:r>
    </w:p>
    <w:p w14:paraId="3A267A11">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w:t>
      </w:r>
      <w:r>
        <w:rPr>
          <w:rFonts w:hint="eastAsia" w:ascii="仿宋" w:hAnsi="仿宋" w:eastAsia="仿宋"/>
          <w:color w:val="000000"/>
          <w:sz w:val="21"/>
          <w:szCs w:val="21"/>
        </w:rPr>
        <w:tab/>
      </w:r>
      <w:r>
        <w:rPr>
          <w:rFonts w:hint="eastAsia" w:ascii="仿宋" w:hAnsi="仿宋" w:eastAsia="仿宋"/>
          <w:color w:val="000000"/>
          <w:sz w:val="21"/>
          <w:szCs w:val="21"/>
        </w:rPr>
        <w:t>乙方未能按本合同规定的交货时间交付货物的/提供服务，从逾期之日起每日按本合同总价3‰的数额向甲方支付违约金；逾期半个月以上的，甲方有权终止合同，由此造成的甲方经济损失由乙方承担。</w:t>
      </w:r>
    </w:p>
    <w:p w14:paraId="5CF6513B">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3.</w:t>
      </w:r>
      <w:r>
        <w:rPr>
          <w:rFonts w:hint="eastAsia" w:ascii="仿宋" w:hAnsi="仿宋" w:eastAsia="仿宋"/>
          <w:color w:val="000000"/>
          <w:sz w:val="21"/>
          <w:szCs w:val="21"/>
        </w:rPr>
        <w:tab/>
      </w:r>
      <w:r>
        <w:rPr>
          <w:rFonts w:hint="eastAsia" w:ascii="仿宋" w:hAnsi="仿宋" w:eastAsia="仿宋"/>
          <w:color w:val="000000"/>
          <w:sz w:val="21"/>
          <w:szCs w:val="21"/>
        </w:rPr>
        <w:t>甲方无正当理由拒收货物/接受服务，到期拒付货物/服务款项的，甲方向乙方偿付本合同总的5%的违约金。甲方人逾期付款，则每日按本合同总价的3‰向乙方偿付违约金。</w:t>
      </w:r>
    </w:p>
    <w:p w14:paraId="457D62A9">
      <w:pPr>
        <w:tabs>
          <w:tab w:val="left" w:pos="851"/>
        </w:tabs>
        <w:spacing w:line="360" w:lineRule="auto"/>
        <w:ind w:left="851" w:firstLine="420"/>
        <w:rPr>
          <w:rFonts w:ascii="仿宋" w:hAnsi="仿宋" w:eastAsia="仿宋"/>
          <w:bCs/>
          <w:color w:val="000000"/>
          <w:sz w:val="21"/>
          <w:szCs w:val="21"/>
        </w:rPr>
      </w:pPr>
      <w:r>
        <w:rPr>
          <w:rFonts w:hint="eastAsia" w:ascii="仿宋" w:hAnsi="仿宋" w:eastAsia="仿宋"/>
          <w:color w:val="000000"/>
          <w:sz w:val="21"/>
          <w:szCs w:val="21"/>
        </w:rPr>
        <w:t>4.</w:t>
      </w:r>
      <w:r>
        <w:rPr>
          <w:rFonts w:hint="eastAsia" w:ascii="仿宋" w:hAnsi="仿宋" w:eastAsia="仿宋"/>
          <w:color w:val="000000"/>
          <w:sz w:val="21"/>
          <w:szCs w:val="21"/>
        </w:rPr>
        <w:tab/>
      </w:r>
      <w:r>
        <w:rPr>
          <w:rFonts w:hint="eastAsia" w:ascii="仿宋" w:hAnsi="仿宋" w:eastAsia="仿宋"/>
          <w:color w:val="000000"/>
          <w:sz w:val="21"/>
          <w:szCs w:val="21"/>
        </w:rPr>
        <w:t>其它违约责任按《</w:t>
      </w:r>
      <w:r>
        <w:rPr>
          <w:rFonts w:hint="eastAsia" w:ascii="仿宋" w:hAnsi="仿宋" w:eastAsia="仿宋"/>
          <w:color w:val="000000"/>
          <w:sz w:val="21"/>
          <w:szCs w:val="21"/>
          <w:lang w:eastAsia="zh-CN"/>
        </w:rPr>
        <w:t>中华人民共和国民法典</w:t>
      </w:r>
      <w:r>
        <w:rPr>
          <w:rFonts w:hint="eastAsia" w:ascii="仿宋" w:hAnsi="仿宋" w:eastAsia="仿宋"/>
          <w:bCs/>
          <w:color w:val="000000"/>
          <w:sz w:val="21"/>
          <w:szCs w:val="21"/>
        </w:rPr>
        <w:t>》处理。</w:t>
      </w:r>
    </w:p>
    <w:p w14:paraId="13F2CAC3">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争议的解决</w:t>
      </w:r>
    </w:p>
    <w:p w14:paraId="34A4AF51">
      <w:pPr>
        <w:tabs>
          <w:tab w:val="left" w:pos="851"/>
        </w:tabs>
        <w:spacing w:line="360" w:lineRule="auto"/>
        <w:ind w:left="780"/>
        <w:rPr>
          <w:rFonts w:ascii="仿宋" w:hAnsi="仿宋" w:eastAsia="仿宋"/>
          <w:bCs/>
          <w:color w:val="000000"/>
          <w:sz w:val="21"/>
          <w:szCs w:val="21"/>
        </w:rPr>
      </w:pPr>
      <w:r>
        <w:rPr>
          <w:rFonts w:hint="eastAsia" w:ascii="仿宋" w:hAnsi="仿宋" w:eastAsia="仿宋"/>
          <w:color w:val="000000"/>
          <w:sz w:val="21"/>
          <w:szCs w:val="21"/>
        </w:rPr>
        <w:t>合同执行过程中发生的任何争议，如双方不能通过友好协商解决，按相关法律法规处理(合同双方一致同意提请克拉玛依区仲裁委员会仲裁或向甲方所在地的人民法院提起诉讼)。</w:t>
      </w:r>
    </w:p>
    <w:p w14:paraId="03DBAB98">
      <w:pPr>
        <w:numPr>
          <w:ilvl w:val="0"/>
          <w:numId w:val="1"/>
        </w:numPr>
        <w:tabs>
          <w:tab w:val="left" w:pos="851"/>
        </w:tabs>
        <w:spacing w:line="360" w:lineRule="auto"/>
        <w:ind w:left="847" w:hanging="850" w:hangingChars="403"/>
        <w:rPr>
          <w:rFonts w:ascii="仿宋" w:hAnsi="仿宋" w:eastAsia="仿宋"/>
          <w:color w:val="000000"/>
          <w:sz w:val="21"/>
          <w:szCs w:val="21"/>
        </w:rPr>
      </w:pPr>
      <w:r>
        <w:rPr>
          <w:rFonts w:hint="eastAsia" w:ascii="仿宋" w:hAnsi="仿宋" w:eastAsia="仿宋"/>
          <w:b/>
          <w:color w:val="000000"/>
          <w:sz w:val="21"/>
          <w:szCs w:val="21"/>
        </w:rPr>
        <w:t>不可抗力</w:t>
      </w:r>
    </w:p>
    <w:p w14:paraId="7D41FE45">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5131BE03">
      <w:pPr>
        <w:numPr>
          <w:ilvl w:val="0"/>
          <w:numId w:val="1"/>
        </w:numPr>
        <w:tabs>
          <w:tab w:val="left" w:pos="851"/>
        </w:tabs>
        <w:spacing w:line="360" w:lineRule="auto"/>
        <w:ind w:left="847" w:hanging="850" w:hangingChars="403"/>
        <w:rPr>
          <w:rFonts w:ascii="仿宋" w:hAnsi="仿宋" w:eastAsia="仿宋"/>
          <w:color w:val="000000"/>
          <w:sz w:val="21"/>
          <w:szCs w:val="21"/>
        </w:rPr>
      </w:pPr>
      <w:r>
        <w:rPr>
          <w:rFonts w:hint="eastAsia" w:ascii="仿宋" w:hAnsi="仿宋" w:eastAsia="仿宋"/>
          <w:b/>
          <w:color w:val="000000"/>
          <w:sz w:val="21"/>
          <w:szCs w:val="21"/>
        </w:rPr>
        <w:t>税费</w:t>
      </w:r>
    </w:p>
    <w:p w14:paraId="28E6CA4A">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在中国境内、外发生的与本合同执行有关的一切税费均由乙方负担。</w:t>
      </w:r>
    </w:p>
    <w:p w14:paraId="09ECBDE9">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其它</w:t>
      </w:r>
    </w:p>
    <w:p w14:paraId="29C706E2">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1.本合同所有附件、采购文件、响应文件、成交通知书均为合同的有效组成部分，与本合同具有同等法律效力。</w:t>
      </w:r>
    </w:p>
    <w:p w14:paraId="59160A17">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2.在执行本合同的过程中，所有经双方签署确认的文件（包括会议纪要、补充协议、往来信函）即成为本合同的有效组成部分。</w:t>
      </w:r>
    </w:p>
    <w:p w14:paraId="4074FAAE">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3.如一方地址、电话、传真号码有变更，应在变更当日内书面通知对方，否则，应承担相应责任。</w:t>
      </w:r>
    </w:p>
    <w:p w14:paraId="5D29CFEC">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4.除甲方事先书面同意外，乙方不得部分或全部转让其应履行的合同项下的义务。</w:t>
      </w:r>
    </w:p>
    <w:p w14:paraId="3A2CC84F">
      <w:pPr>
        <w:numPr>
          <w:ilvl w:val="0"/>
          <w:numId w:val="1"/>
        </w:numPr>
        <w:tabs>
          <w:tab w:val="left" w:pos="851"/>
        </w:tabs>
        <w:spacing w:line="360" w:lineRule="auto"/>
        <w:ind w:left="847" w:hanging="850" w:hangingChars="403"/>
        <w:rPr>
          <w:rFonts w:ascii="仿宋" w:hAnsi="仿宋" w:eastAsia="仿宋"/>
          <w:b/>
          <w:color w:val="000000"/>
          <w:sz w:val="21"/>
          <w:szCs w:val="21"/>
        </w:rPr>
      </w:pPr>
      <w:r>
        <w:rPr>
          <w:rFonts w:hint="eastAsia" w:ascii="仿宋" w:hAnsi="仿宋" w:eastAsia="仿宋"/>
          <w:b/>
          <w:color w:val="000000"/>
          <w:sz w:val="21"/>
          <w:szCs w:val="21"/>
        </w:rPr>
        <w:t>合同生效</w:t>
      </w:r>
    </w:p>
    <w:p w14:paraId="76E03343">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1.本合同在甲乙双方法人代表或其授权代表签字盖章后生效。</w:t>
      </w:r>
    </w:p>
    <w:p w14:paraId="1BC6332C">
      <w:pPr>
        <w:tabs>
          <w:tab w:val="left" w:pos="851"/>
        </w:tabs>
        <w:spacing w:line="360" w:lineRule="auto"/>
        <w:ind w:left="851" w:firstLine="420"/>
        <w:rPr>
          <w:rFonts w:ascii="仿宋" w:hAnsi="仿宋" w:eastAsia="仿宋"/>
          <w:color w:val="000000"/>
          <w:sz w:val="21"/>
          <w:szCs w:val="21"/>
        </w:rPr>
      </w:pPr>
      <w:r>
        <w:rPr>
          <w:rFonts w:hint="eastAsia" w:ascii="仿宋" w:hAnsi="仿宋" w:eastAsia="仿宋"/>
          <w:color w:val="000000"/>
          <w:sz w:val="21"/>
          <w:szCs w:val="21"/>
        </w:rPr>
        <w:t>2.合同一式X份。</w:t>
      </w:r>
    </w:p>
    <w:p w14:paraId="70812F43">
      <w:pPr>
        <w:spacing w:line="360" w:lineRule="auto"/>
        <w:ind w:firstLine="420"/>
        <w:rPr>
          <w:rFonts w:ascii="仿宋" w:hAnsi="仿宋" w:eastAsia="仿宋"/>
          <w:color w:val="000000"/>
          <w:sz w:val="21"/>
          <w:szCs w:val="21"/>
        </w:rPr>
      </w:pPr>
    </w:p>
    <w:p w14:paraId="78C75D32">
      <w:pPr>
        <w:tabs>
          <w:tab w:val="left" w:pos="4395"/>
        </w:tabs>
        <w:spacing w:line="360" w:lineRule="auto"/>
        <w:ind w:firstLine="420"/>
        <w:rPr>
          <w:rFonts w:ascii="仿宋" w:hAnsi="仿宋" w:eastAsia="仿宋"/>
          <w:b/>
          <w:color w:val="000000"/>
          <w:sz w:val="21"/>
          <w:szCs w:val="21"/>
        </w:rPr>
      </w:pPr>
      <w:r>
        <w:rPr>
          <w:rFonts w:hint="eastAsia" w:ascii="仿宋" w:hAnsi="仿宋" w:eastAsia="仿宋"/>
          <w:b/>
          <w:color w:val="000000"/>
          <w:sz w:val="21"/>
          <w:szCs w:val="21"/>
        </w:rPr>
        <w:t>甲方（盖章）：</w:t>
      </w:r>
      <w:r>
        <w:rPr>
          <w:rFonts w:hint="eastAsia" w:ascii="仿宋" w:hAnsi="仿宋" w:eastAsia="仿宋"/>
          <w:b/>
          <w:color w:val="000000"/>
          <w:sz w:val="21"/>
          <w:szCs w:val="21"/>
        </w:rPr>
        <w:tab/>
      </w:r>
      <w:r>
        <w:rPr>
          <w:rFonts w:hint="eastAsia" w:ascii="仿宋" w:hAnsi="仿宋" w:eastAsia="仿宋"/>
          <w:b/>
          <w:color w:val="000000"/>
          <w:sz w:val="21"/>
          <w:szCs w:val="21"/>
        </w:rPr>
        <w:t>乙方（盖章）：</w:t>
      </w:r>
    </w:p>
    <w:p w14:paraId="6427A591">
      <w:pPr>
        <w:tabs>
          <w:tab w:val="left" w:pos="4395"/>
        </w:tabs>
        <w:spacing w:line="360" w:lineRule="auto"/>
        <w:ind w:firstLine="420"/>
        <w:rPr>
          <w:rFonts w:ascii="仿宋" w:hAnsi="仿宋" w:eastAsia="仿宋"/>
          <w:b/>
          <w:color w:val="000000"/>
          <w:sz w:val="21"/>
          <w:szCs w:val="21"/>
        </w:rPr>
      </w:pPr>
      <w:r>
        <w:rPr>
          <w:rFonts w:hint="eastAsia" w:ascii="仿宋" w:hAnsi="仿宋" w:eastAsia="仿宋"/>
          <w:b/>
          <w:color w:val="000000"/>
          <w:sz w:val="21"/>
          <w:szCs w:val="21"/>
        </w:rPr>
        <w:t>代表：</w:t>
      </w:r>
      <w:r>
        <w:rPr>
          <w:rFonts w:hint="eastAsia" w:ascii="仿宋" w:hAnsi="仿宋" w:eastAsia="仿宋"/>
          <w:b/>
          <w:color w:val="000000"/>
          <w:sz w:val="21"/>
          <w:szCs w:val="21"/>
        </w:rPr>
        <w:tab/>
      </w:r>
      <w:r>
        <w:rPr>
          <w:rFonts w:hint="eastAsia" w:ascii="仿宋" w:hAnsi="仿宋" w:eastAsia="仿宋"/>
          <w:b/>
          <w:color w:val="000000"/>
          <w:sz w:val="21"/>
          <w:szCs w:val="21"/>
        </w:rPr>
        <w:t xml:space="preserve">代表： </w:t>
      </w:r>
    </w:p>
    <w:p w14:paraId="5375DD38">
      <w:pPr>
        <w:tabs>
          <w:tab w:val="left" w:pos="4395"/>
        </w:tabs>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签订地点：</w:t>
      </w:r>
    </w:p>
    <w:p w14:paraId="0AD5B7BE">
      <w:pPr>
        <w:tabs>
          <w:tab w:val="left" w:pos="4395"/>
        </w:tabs>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签订日期：　　　年　　月　　日</w:t>
      </w:r>
      <w:r>
        <w:rPr>
          <w:rFonts w:hint="eastAsia" w:ascii="仿宋" w:hAnsi="仿宋" w:eastAsia="仿宋"/>
          <w:color w:val="000000"/>
          <w:sz w:val="21"/>
          <w:szCs w:val="21"/>
        </w:rPr>
        <w:tab/>
      </w:r>
      <w:r>
        <w:rPr>
          <w:rFonts w:hint="eastAsia" w:ascii="仿宋" w:hAnsi="仿宋" w:eastAsia="仿宋"/>
          <w:color w:val="000000"/>
          <w:sz w:val="21"/>
          <w:szCs w:val="21"/>
        </w:rPr>
        <w:t>签订日期：　　　年　　月　　日</w:t>
      </w:r>
    </w:p>
    <w:p w14:paraId="2A74DA94">
      <w:pPr>
        <w:tabs>
          <w:tab w:val="left" w:pos="4395"/>
        </w:tabs>
        <w:spacing w:line="360" w:lineRule="auto"/>
        <w:ind w:left="4379" w:leftChars="1240" w:hanging="1155" w:hangingChars="550"/>
        <w:rPr>
          <w:rFonts w:ascii="仿宋" w:hAnsi="仿宋" w:eastAsia="仿宋"/>
          <w:sz w:val="21"/>
          <w:szCs w:val="21"/>
        </w:rPr>
      </w:pPr>
      <w:r>
        <w:rPr>
          <w:rFonts w:hint="eastAsia" w:ascii="仿宋" w:hAnsi="仿宋" w:eastAsia="仿宋"/>
          <w:color w:val="000000"/>
          <w:sz w:val="21"/>
          <w:szCs w:val="21"/>
        </w:rPr>
        <w:tab/>
      </w:r>
      <w:r>
        <w:rPr>
          <w:rFonts w:hint="eastAsia" w:ascii="仿宋" w:hAnsi="仿宋" w:eastAsia="仿宋"/>
          <w:sz w:val="21"/>
          <w:szCs w:val="21"/>
        </w:rPr>
        <w:t>开户名称：（此部分信息应当按照供应商开户许可证信息填写，保证后期资金支付准确）</w:t>
      </w:r>
    </w:p>
    <w:p w14:paraId="583A1BD6">
      <w:pPr>
        <w:tabs>
          <w:tab w:val="left" w:pos="4395"/>
        </w:tabs>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ab/>
      </w:r>
      <w:r>
        <w:rPr>
          <w:rFonts w:hint="eastAsia" w:ascii="仿宋" w:hAnsi="仿宋" w:eastAsia="仿宋"/>
          <w:color w:val="000000"/>
          <w:sz w:val="21"/>
          <w:szCs w:val="21"/>
        </w:rPr>
        <w:t>银行帐号：</w:t>
      </w:r>
    </w:p>
    <w:p w14:paraId="76B23A58">
      <w:pPr>
        <w:tabs>
          <w:tab w:val="left" w:pos="4395"/>
        </w:tabs>
        <w:spacing w:line="360" w:lineRule="auto"/>
        <w:ind w:firstLine="420"/>
        <w:rPr>
          <w:rFonts w:ascii="仿宋" w:hAnsi="仿宋" w:eastAsia="仿宋"/>
          <w:color w:val="000000"/>
          <w:sz w:val="21"/>
          <w:szCs w:val="21"/>
        </w:rPr>
      </w:pPr>
      <w:r>
        <w:rPr>
          <w:rFonts w:hint="eastAsia" w:ascii="仿宋" w:hAnsi="仿宋" w:eastAsia="仿宋"/>
          <w:color w:val="000000"/>
          <w:sz w:val="21"/>
          <w:szCs w:val="21"/>
        </w:rPr>
        <w:tab/>
      </w:r>
      <w:r>
        <w:rPr>
          <w:rFonts w:hint="eastAsia" w:ascii="仿宋" w:hAnsi="仿宋" w:eastAsia="仿宋"/>
          <w:color w:val="000000"/>
          <w:sz w:val="21"/>
          <w:szCs w:val="21"/>
        </w:rPr>
        <w:t>开 户 行：</w:t>
      </w:r>
    </w:p>
    <w:p w14:paraId="2CDACBD8">
      <w:pPr>
        <w:spacing w:line="360" w:lineRule="auto"/>
        <w:ind w:firstLine="420"/>
        <w:rPr>
          <w:rFonts w:ascii="仿宋" w:hAnsi="仿宋" w:eastAsia="仿宋"/>
          <w:color w:val="000000"/>
          <w:sz w:val="21"/>
          <w:szCs w:val="21"/>
        </w:rPr>
      </w:pPr>
    </w:p>
    <w:p w14:paraId="2C6BAD8C">
      <w:pPr>
        <w:pStyle w:val="25"/>
        <w:rPr>
          <w:color w:val="auto"/>
          <w:highlight w:val="none"/>
          <w:lang w:val="zh-CN"/>
        </w:rPr>
      </w:pPr>
      <w:r>
        <w:rPr>
          <w:rFonts w:ascii="仿宋" w:eastAsia="仿宋"/>
          <w:color w:val="auto"/>
          <w:sz w:val="21"/>
          <w:szCs w:val="21"/>
          <w:highlight w:val="none"/>
        </w:rPr>
        <w:br w:type="page"/>
      </w:r>
      <w:bookmarkEnd w:id="83"/>
      <w:bookmarkEnd w:id="84"/>
      <w:bookmarkEnd w:id="85"/>
      <w:bookmarkEnd w:id="86"/>
      <w:r>
        <w:rPr>
          <w:rFonts w:hint="eastAsia"/>
          <w:color w:val="auto"/>
          <w:highlight w:val="none"/>
          <w:lang w:val="zh-CN"/>
        </w:rPr>
        <w:t>第七篇  投标文件格式</w:t>
      </w:r>
    </w:p>
    <w:p w14:paraId="0F01C4F0">
      <w:pPr>
        <w:pStyle w:val="29"/>
        <w:ind w:firstLine="480"/>
        <w:rPr>
          <w:rFonts w:hint="eastAsia" w:eastAsia="仿宋"/>
          <w:color w:val="auto"/>
          <w:highlight w:val="none"/>
          <w:lang w:eastAsia="zh-CN"/>
        </w:rPr>
      </w:pPr>
      <w:bookmarkStart w:id="99" w:name="_Toc491251311"/>
      <w:r>
        <w:rPr>
          <w:rFonts w:hint="eastAsia"/>
          <w:color w:val="auto"/>
          <w:highlight w:val="none"/>
        </w:rPr>
        <w:t>一、经济文件</w:t>
      </w:r>
      <w:bookmarkEnd w:id="99"/>
    </w:p>
    <w:p w14:paraId="61FBD547">
      <w:pPr>
        <w:pStyle w:val="24"/>
        <w:rPr>
          <w:color w:val="auto"/>
          <w:highlight w:val="none"/>
        </w:rPr>
      </w:pPr>
      <w:r>
        <w:rPr>
          <w:rFonts w:hint="eastAsia"/>
          <w:color w:val="auto"/>
          <w:highlight w:val="none"/>
        </w:rPr>
        <w:t>（一）开标一览表</w:t>
      </w:r>
    </w:p>
    <w:p w14:paraId="7E143387">
      <w:pPr>
        <w:pStyle w:val="24"/>
        <w:rPr>
          <w:color w:val="auto"/>
          <w:highlight w:val="none"/>
        </w:rPr>
      </w:pPr>
      <w:r>
        <w:rPr>
          <w:rFonts w:hint="eastAsia"/>
          <w:color w:val="auto"/>
          <w:highlight w:val="none"/>
        </w:rPr>
        <w:t>（二）分项报价明细表</w:t>
      </w:r>
    </w:p>
    <w:p w14:paraId="1D8BA7DB">
      <w:pPr>
        <w:pStyle w:val="29"/>
        <w:ind w:firstLine="480"/>
        <w:rPr>
          <w:color w:val="auto"/>
          <w:highlight w:val="none"/>
        </w:rPr>
      </w:pPr>
      <w:r>
        <w:rPr>
          <w:rFonts w:hint="eastAsia"/>
          <w:color w:val="auto"/>
          <w:highlight w:val="none"/>
        </w:rPr>
        <w:t>二、资格文件</w:t>
      </w:r>
    </w:p>
    <w:p w14:paraId="49D81122">
      <w:pPr>
        <w:pStyle w:val="24"/>
        <w:rPr>
          <w:color w:val="auto"/>
          <w:highlight w:val="none"/>
        </w:rPr>
      </w:pPr>
      <w:r>
        <w:rPr>
          <w:rFonts w:hint="eastAsia"/>
          <w:color w:val="auto"/>
          <w:highlight w:val="none"/>
        </w:rPr>
        <w:t>（一）自查表</w:t>
      </w:r>
    </w:p>
    <w:p w14:paraId="1779406E">
      <w:pPr>
        <w:pStyle w:val="24"/>
        <w:rPr>
          <w:color w:val="auto"/>
          <w:highlight w:val="none"/>
        </w:rPr>
      </w:pPr>
      <w:r>
        <w:rPr>
          <w:rFonts w:hint="eastAsia"/>
          <w:color w:val="auto"/>
          <w:highlight w:val="none"/>
        </w:rPr>
        <w:t>（二）三证合一营业执照（副本）或事业单位法人证书（副本）复印件</w:t>
      </w:r>
    </w:p>
    <w:p w14:paraId="4024DCDC">
      <w:pPr>
        <w:pStyle w:val="24"/>
        <w:rPr>
          <w:color w:val="auto"/>
          <w:highlight w:val="none"/>
        </w:rPr>
      </w:pPr>
      <w:r>
        <w:rPr>
          <w:rFonts w:hint="eastAsia"/>
          <w:color w:val="auto"/>
          <w:highlight w:val="none"/>
        </w:rPr>
        <w:t>（</w:t>
      </w:r>
      <w:r>
        <w:rPr>
          <w:rFonts w:hint="eastAsia"/>
          <w:color w:val="auto"/>
          <w:highlight w:val="none"/>
          <w:lang w:val="en-US" w:eastAsia="zh-CN"/>
        </w:rPr>
        <w:t>三</w:t>
      </w:r>
      <w:r>
        <w:rPr>
          <w:rFonts w:hint="eastAsia"/>
          <w:color w:val="auto"/>
          <w:highlight w:val="none"/>
        </w:rPr>
        <w:t>）法定代表人授权委托书（格式）</w:t>
      </w:r>
    </w:p>
    <w:p w14:paraId="1D98B992">
      <w:pPr>
        <w:pStyle w:val="24"/>
        <w:rPr>
          <w:rFonts w:hint="eastAsia"/>
          <w:color w:val="auto"/>
          <w:highlight w:val="none"/>
        </w:rPr>
      </w:pPr>
      <w:r>
        <w:rPr>
          <w:rFonts w:hint="eastAsia"/>
          <w:color w:val="auto"/>
          <w:highlight w:val="none"/>
        </w:rPr>
        <w:t>（</w:t>
      </w:r>
      <w:r>
        <w:rPr>
          <w:rFonts w:hint="eastAsia"/>
          <w:color w:val="auto"/>
          <w:highlight w:val="none"/>
          <w:lang w:val="en-US" w:eastAsia="zh-CN"/>
        </w:rPr>
        <w:t>四</w:t>
      </w:r>
      <w:r>
        <w:rPr>
          <w:rFonts w:hint="eastAsia"/>
          <w:color w:val="auto"/>
          <w:highlight w:val="none"/>
        </w:rPr>
        <w:t>）政府采购领域诚信承诺书</w:t>
      </w:r>
    </w:p>
    <w:p w14:paraId="52CC1190">
      <w:pPr>
        <w:pStyle w:val="24"/>
        <w:rPr>
          <w:color w:val="auto"/>
          <w:highlight w:val="none"/>
        </w:rPr>
      </w:pPr>
      <w:r>
        <w:rPr>
          <w:rFonts w:hint="eastAsia"/>
          <w:color w:val="auto"/>
          <w:highlight w:val="none"/>
        </w:rPr>
        <w:t>（</w:t>
      </w:r>
      <w:r>
        <w:rPr>
          <w:rFonts w:hint="eastAsia"/>
          <w:color w:val="auto"/>
          <w:highlight w:val="none"/>
          <w:lang w:val="en-US" w:eastAsia="zh-CN"/>
        </w:rPr>
        <w:t>五</w:t>
      </w:r>
      <w:r>
        <w:rPr>
          <w:rFonts w:hint="eastAsia"/>
          <w:color w:val="auto"/>
          <w:highlight w:val="none"/>
        </w:rPr>
        <w:t>）法律、行政法规规定的其他条件</w:t>
      </w:r>
    </w:p>
    <w:p w14:paraId="49745972">
      <w:pPr>
        <w:pStyle w:val="29"/>
        <w:ind w:firstLine="561"/>
      </w:pPr>
      <w:bookmarkStart w:id="100" w:name="_Toc9328491"/>
      <w:r>
        <w:rPr>
          <w:rFonts w:hint="eastAsia"/>
        </w:rPr>
        <w:t>三、商务文件</w:t>
      </w:r>
      <w:bookmarkEnd w:id="100"/>
    </w:p>
    <w:p w14:paraId="7770DC37">
      <w:pPr>
        <w:pStyle w:val="24"/>
        <w:ind w:firstLine="480"/>
      </w:pPr>
      <w:r>
        <w:rPr>
          <w:rFonts w:hint="eastAsia"/>
        </w:rPr>
        <w:t>（一）响应函（格式）</w:t>
      </w:r>
    </w:p>
    <w:p w14:paraId="4FC5DC13">
      <w:pPr>
        <w:pStyle w:val="24"/>
        <w:ind w:firstLine="480"/>
        <w:rPr>
          <w:rFonts w:hint="eastAsia"/>
        </w:rPr>
      </w:pPr>
      <w:r>
        <w:rPr>
          <w:rFonts w:hint="eastAsia"/>
        </w:rPr>
        <w:t>（二）中小企业声明函（</w:t>
      </w:r>
      <w:r>
        <w:rPr>
          <w:rFonts w:hint="eastAsia"/>
          <w:lang w:val="en-US" w:eastAsia="zh-CN"/>
        </w:rPr>
        <w:t>格式</w:t>
      </w:r>
      <w:r>
        <w:rPr>
          <w:rFonts w:hint="eastAsia"/>
        </w:rPr>
        <w:t>）</w:t>
      </w:r>
    </w:p>
    <w:p w14:paraId="17D41515">
      <w:pPr>
        <w:pStyle w:val="24"/>
        <w:ind w:firstLine="480"/>
      </w:pPr>
      <w:r>
        <w:rPr>
          <w:rFonts w:hint="eastAsia"/>
        </w:rPr>
        <w:t>（三）售后服务</w:t>
      </w:r>
    </w:p>
    <w:p w14:paraId="05F8986F">
      <w:pPr>
        <w:pStyle w:val="29"/>
        <w:ind w:firstLine="561"/>
      </w:pPr>
      <w:bookmarkStart w:id="101" w:name="_Toc9328492"/>
      <w:r>
        <w:rPr>
          <w:rFonts w:hint="eastAsia"/>
        </w:rPr>
        <w:t>四、技术文件</w:t>
      </w:r>
      <w:bookmarkEnd w:id="101"/>
    </w:p>
    <w:p w14:paraId="2CDFAC66">
      <w:pPr>
        <w:pStyle w:val="24"/>
        <w:ind w:firstLine="480"/>
      </w:pPr>
      <w:r>
        <w:rPr>
          <w:rFonts w:hint="eastAsia"/>
        </w:rPr>
        <w:t>（一）技术参数响应/偏离表</w:t>
      </w:r>
    </w:p>
    <w:p w14:paraId="3CE6070E">
      <w:pPr>
        <w:pStyle w:val="24"/>
        <w:ind w:firstLine="480"/>
      </w:pPr>
      <w:r>
        <w:rPr>
          <w:rFonts w:hint="eastAsia"/>
        </w:rPr>
        <w:t>（二）同类项目业绩介绍</w:t>
      </w:r>
    </w:p>
    <w:p w14:paraId="4610E42E">
      <w:pPr>
        <w:pStyle w:val="29"/>
        <w:ind w:firstLine="561"/>
      </w:pPr>
      <w:bookmarkStart w:id="102" w:name="_Toc9328493"/>
      <w:r>
        <w:rPr>
          <w:rFonts w:hint="eastAsia"/>
        </w:rPr>
        <w:t>五、其他文件</w:t>
      </w:r>
      <w:bookmarkEnd w:id="102"/>
    </w:p>
    <w:p w14:paraId="0C9093F8">
      <w:pPr>
        <w:pStyle w:val="24"/>
        <w:ind w:firstLine="480"/>
        <w:rPr>
          <w:rFonts w:hint="eastAsia"/>
          <w:szCs w:val="21"/>
        </w:rPr>
      </w:pPr>
      <w:r>
        <w:rPr>
          <w:rFonts w:hint="eastAsia"/>
        </w:rPr>
        <w:t>其他与项目有关的资料（结合评分表自附）</w:t>
      </w:r>
    </w:p>
    <w:p w14:paraId="037C59CE">
      <w:pPr>
        <w:spacing w:line="360" w:lineRule="auto"/>
        <w:jc w:val="both"/>
        <w:rPr>
          <w:rFonts w:hint="eastAsia" w:ascii="方正小标宋简体" w:hAnsi="仿宋" w:eastAsia="方正小标宋简体"/>
          <w:bCs/>
          <w:color w:val="auto"/>
          <w:sz w:val="36"/>
          <w:szCs w:val="36"/>
          <w:highlight w:val="none"/>
        </w:rPr>
      </w:pPr>
    </w:p>
    <w:p w14:paraId="51B5DC7B">
      <w:pPr>
        <w:spacing w:line="360" w:lineRule="auto"/>
        <w:jc w:val="left"/>
        <w:rPr>
          <w:rFonts w:hint="eastAsia" w:ascii="方正小标宋简体" w:hAnsi="仿宋" w:eastAsia="方正小标宋简体"/>
          <w:bCs/>
          <w:color w:val="auto"/>
          <w:sz w:val="36"/>
          <w:szCs w:val="36"/>
          <w:highlight w:val="none"/>
        </w:rPr>
        <w:sectPr>
          <w:pgSz w:w="11907" w:h="16840"/>
          <w:pgMar w:top="1440" w:right="1077" w:bottom="1440" w:left="1077" w:header="964" w:footer="992" w:gutter="0"/>
          <w:cols w:space="720" w:num="1"/>
          <w:docGrid w:linePitch="354" w:charSpace="0"/>
        </w:sectPr>
      </w:pPr>
    </w:p>
    <w:p w14:paraId="14EA0F19">
      <w:pPr>
        <w:tabs>
          <w:tab w:val="left" w:pos="1260"/>
        </w:tabs>
        <w:autoSpaceDE w:val="0"/>
        <w:autoSpaceDN w:val="0"/>
        <w:spacing w:line="560" w:lineRule="exact"/>
        <w:jc w:val="center"/>
        <w:rPr>
          <w:rFonts w:hint="eastAsia" w:ascii="方正小标宋简体" w:hAnsi="宋体" w:eastAsia="方正小标宋简体" w:cs="Courier New"/>
          <w:b/>
          <w:kern w:val="0"/>
          <w:sz w:val="44"/>
          <w:szCs w:val="44"/>
          <w:lang w:eastAsia="zh-CN"/>
        </w:rPr>
      </w:pPr>
      <w:r>
        <w:rPr>
          <w:rFonts w:hint="eastAsia" w:ascii="方正小标宋简体" w:hAnsi="宋体" w:eastAsia="方正小标宋简体" w:cs="Courier New"/>
          <w:b/>
          <w:kern w:val="0"/>
          <w:sz w:val="44"/>
          <w:szCs w:val="44"/>
          <w:lang w:eastAsia="zh-CN"/>
        </w:rPr>
        <w:t>白碱滩区机关事务服务中心</w:t>
      </w:r>
    </w:p>
    <w:p w14:paraId="2170B534">
      <w:pPr>
        <w:autoSpaceDE w:val="0"/>
        <w:autoSpaceDN w:val="0"/>
        <w:spacing w:line="560" w:lineRule="exact"/>
        <w:rPr>
          <w:rFonts w:ascii="方正小标宋简体" w:hAnsi="宋体" w:eastAsia="方正小标宋简体" w:cs="Courier New"/>
          <w:b/>
          <w:sz w:val="21"/>
          <w:szCs w:val="21"/>
        </w:rPr>
      </w:pPr>
    </w:p>
    <w:p w14:paraId="775F0078">
      <w:pPr>
        <w:tabs>
          <w:tab w:val="left" w:pos="1260"/>
        </w:tabs>
        <w:autoSpaceDE w:val="0"/>
        <w:autoSpaceDN w:val="0"/>
        <w:spacing w:line="560" w:lineRule="exact"/>
        <w:jc w:val="center"/>
        <w:rPr>
          <w:rFonts w:ascii="方正小标宋简体" w:hAnsi="宋体" w:eastAsia="方正小标宋简体" w:cs="Courier New"/>
          <w:b/>
          <w:spacing w:val="100"/>
          <w:w w:val="110"/>
          <w:sz w:val="48"/>
          <w:szCs w:val="48"/>
        </w:rPr>
      </w:pPr>
      <w:r>
        <w:rPr>
          <w:rFonts w:hint="eastAsia" w:ascii="方正小标宋简体" w:hAnsi="宋体" w:eastAsia="方正小标宋简体" w:cs="Courier New"/>
          <w:b/>
          <w:spacing w:val="100"/>
          <w:w w:val="110"/>
          <w:kern w:val="0"/>
          <w:sz w:val="48"/>
          <w:szCs w:val="48"/>
        </w:rPr>
        <w:t>响应文件</w:t>
      </w:r>
    </w:p>
    <w:p w14:paraId="1A28CD6D">
      <w:pPr>
        <w:autoSpaceDE w:val="0"/>
        <w:autoSpaceDN w:val="0"/>
        <w:spacing w:line="560" w:lineRule="exact"/>
        <w:rPr>
          <w:rFonts w:ascii="方正小标宋简体" w:hAnsi="宋体" w:eastAsia="方正小标宋简体" w:cs="Courier New"/>
          <w:b/>
          <w:sz w:val="21"/>
          <w:szCs w:val="21"/>
        </w:rPr>
      </w:pPr>
    </w:p>
    <w:p w14:paraId="4BBE6B8C">
      <w:pPr>
        <w:autoSpaceDE w:val="0"/>
        <w:autoSpaceDN w:val="0"/>
        <w:spacing w:line="560" w:lineRule="exact"/>
        <w:rPr>
          <w:rFonts w:hint="eastAsia" w:ascii="方正小标宋简体" w:hAnsi="宋体" w:eastAsia="方正小标宋简体" w:cs="Courier New"/>
          <w:b/>
          <w:sz w:val="21"/>
          <w:szCs w:val="21"/>
        </w:rPr>
      </w:pPr>
    </w:p>
    <w:p w14:paraId="2F7D40CD">
      <w:pPr>
        <w:autoSpaceDE w:val="0"/>
        <w:autoSpaceDN w:val="0"/>
        <w:spacing w:line="560" w:lineRule="exact"/>
        <w:rPr>
          <w:rFonts w:hint="eastAsia" w:ascii="方正小标宋简体" w:hAnsi="宋体" w:eastAsia="方正小标宋简体" w:cs="Courier New"/>
          <w:b/>
          <w:sz w:val="21"/>
          <w:szCs w:val="21"/>
        </w:rPr>
      </w:pPr>
    </w:p>
    <w:p w14:paraId="4D8FC32C">
      <w:pPr>
        <w:autoSpaceDE w:val="0"/>
        <w:autoSpaceDN w:val="0"/>
        <w:spacing w:line="560" w:lineRule="exact"/>
        <w:rPr>
          <w:rFonts w:hint="eastAsia" w:ascii="方正小标宋简体" w:hAnsi="宋体" w:eastAsia="方正小标宋简体" w:cs="Courier New"/>
          <w:b/>
          <w:sz w:val="21"/>
          <w:szCs w:val="21"/>
        </w:rPr>
      </w:pPr>
    </w:p>
    <w:p w14:paraId="409269D1">
      <w:pPr>
        <w:autoSpaceDE w:val="0"/>
        <w:autoSpaceDN w:val="0"/>
        <w:spacing w:line="560" w:lineRule="exact"/>
        <w:rPr>
          <w:rFonts w:hint="eastAsia" w:ascii="方正小标宋简体" w:hAnsi="宋体" w:eastAsia="方正小标宋简体" w:cs="Courier New"/>
          <w:b/>
          <w:sz w:val="21"/>
          <w:szCs w:val="21"/>
        </w:rPr>
      </w:pPr>
    </w:p>
    <w:p w14:paraId="7E03B55E">
      <w:pPr>
        <w:autoSpaceDE w:val="0"/>
        <w:autoSpaceDN w:val="0"/>
        <w:spacing w:line="560" w:lineRule="exact"/>
        <w:rPr>
          <w:rFonts w:hint="eastAsia" w:ascii="方正小标宋简体" w:hAnsi="宋体" w:eastAsia="方正小标宋简体" w:cs="Courier New"/>
          <w:b/>
          <w:sz w:val="21"/>
          <w:szCs w:val="21"/>
        </w:rPr>
      </w:pPr>
    </w:p>
    <w:p w14:paraId="357A6718">
      <w:pPr>
        <w:autoSpaceDE w:val="0"/>
        <w:autoSpaceDN w:val="0"/>
        <w:spacing w:line="560" w:lineRule="exact"/>
        <w:rPr>
          <w:rFonts w:ascii="方正小标宋简体" w:hAnsi="宋体" w:eastAsia="方正小标宋简体" w:cs="Courier New"/>
          <w:b/>
          <w:sz w:val="21"/>
          <w:szCs w:val="21"/>
        </w:rPr>
      </w:pPr>
    </w:p>
    <w:p w14:paraId="08318E3D">
      <w:pPr>
        <w:autoSpaceDE w:val="0"/>
        <w:autoSpaceDN w:val="0"/>
        <w:spacing w:line="560" w:lineRule="exact"/>
        <w:ind w:firstLine="562" w:firstLineChars="200"/>
        <w:rPr>
          <w:rFonts w:ascii="方正小标宋简体" w:hAnsi="宋体" w:eastAsia="方正小标宋简体"/>
          <w:b/>
          <w:sz w:val="28"/>
          <w:szCs w:val="28"/>
        </w:rPr>
      </w:pPr>
      <w:r>
        <w:rPr>
          <w:rFonts w:hint="eastAsia" w:ascii="方正小标宋简体" w:hAnsi="宋体" w:eastAsia="方正小标宋简体"/>
          <w:b/>
          <w:sz w:val="28"/>
          <w:szCs w:val="28"/>
        </w:rPr>
        <w:t>采购项目名称：</w:t>
      </w:r>
    </w:p>
    <w:p w14:paraId="677B51DC">
      <w:pPr>
        <w:autoSpaceDE w:val="0"/>
        <w:autoSpaceDN w:val="0"/>
        <w:spacing w:line="560" w:lineRule="exact"/>
        <w:ind w:firstLine="562" w:firstLineChars="200"/>
        <w:rPr>
          <w:rFonts w:ascii="方正小标宋简体" w:hAnsi="宋体" w:eastAsia="方正小标宋简体" w:cs="Courier New"/>
          <w:b/>
          <w:sz w:val="28"/>
          <w:szCs w:val="28"/>
          <w:u w:val="thick"/>
        </w:rPr>
      </w:pPr>
      <w:r>
        <w:rPr>
          <w:rFonts w:hint="eastAsia" w:ascii="方正小标宋简体" w:hAnsi="宋体" w:eastAsia="方正小标宋简体" w:cs="Courier New"/>
          <w:b/>
          <w:sz w:val="28"/>
          <w:szCs w:val="28"/>
        </w:rPr>
        <w:t>采购项目编号：</w:t>
      </w:r>
    </w:p>
    <w:p w14:paraId="3668A030">
      <w:pPr>
        <w:autoSpaceDE w:val="0"/>
        <w:autoSpaceDN w:val="0"/>
        <w:spacing w:line="560" w:lineRule="exact"/>
        <w:rPr>
          <w:rFonts w:ascii="方正小标宋简体" w:hAnsi="宋体" w:eastAsia="方正小标宋简体" w:cs="Courier New"/>
          <w:b/>
          <w:sz w:val="21"/>
          <w:szCs w:val="21"/>
        </w:rPr>
      </w:pPr>
    </w:p>
    <w:p w14:paraId="3177BCAF">
      <w:pPr>
        <w:autoSpaceDE w:val="0"/>
        <w:autoSpaceDN w:val="0"/>
        <w:spacing w:line="560" w:lineRule="exact"/>
        <w:rPr>
          <w:rFonts w:ascii="方正小标宋简体" w:hAnsi="宋体" w:eastAsia="方正小标宋简体" w:cs="Courier New"/>
          <w:b/>
          <w:sz w:val="21"/>
          <w:szCs w:val="21"/>
        </w:rPr>
      </w:pPr>
    </w:p>
    <w:p w14:paraId="76422839">
      <w:pPr>
        <w:autoSpaceDE w:val="0"/>
        <w:autoSpaceDN w:val="0"/>
        <w:spacing w:line="560" w:lineRule="exact"/>
        <w:rPr>
          <w:rFonts w:ascii="方正小标宋简体" w:hAnsi="宋体" w:eastAsia="方正小标宋简体" w:cs="Courier New"/>
          <w:b/>
          <w:sz w:val="21"/>
          <w:szCs w:val="21"/>
        </w:rPr>
      </w:pPr>
    </w:p>
    <w:p w14:paraId="3DC12432">
      <w:pPr>
        <w:autoSpaceDE w:val="0"/>
        <w:autoSpaceDN w:val="0"/>
        <w:spacing w:line="560" w:lineRule="exact"/>
        <w:rPr>
          <w:rFonts w:ascii="方正小标宋简体" w:hAnsi="宋体" w:eastAsia="方正小标宋简体" w:cs="Courier New"/>
          <w:b/>
          <w:sz w:val="21"/>
          <w:szCs w:val="21"/>
        </w:rPr>
      </w:pPr>
    </w:p>
    <w:p w14:paraId="55EE9450">
      <w:pPr>
        <w:autoSpaceDE w:val="0"/>
        <w:autoSpaceDN w:val="0"/>
        <w:spacing w:line="560" w:lineRule="exact"/>
        <w:jc w:val="center"/>
        <w:rPr>
          <w:rFonts w:hint="eastAsia" w:ascii="方正小标宋简体" w:hAnsi="宋体" w:eastAsia="方正小标宋简体"/>
          <w:b/>
          <w:sz w:val="28"/>
          <w:szCs w:val="28"/>
        </w:rPr>
      </w:pPr>
      <w:r>
        <w:rPr>
          <w:rFonts w:hint="eastAsia" w:ascii="方正小标宋简体" w:hAnsi="宋体" w:eastAsia="方正小标宋简体"/>
          <w:b/>
          <w:sz w:val="28"/>
          <w:szCs w:val="28"/>
        </w:rPr>
        <w:t>供应商名称：</w:t>
      </w:r>
    </w:p>
    <w:p w14:paraId="15345F1F">
      <w:pPr>
        <w:autoSpaceDE w:val="0"/>
        <w:autoSpaceDN w:val="0"/>
        <w:spacing w:line="560" w:lineRule="exact"/>
        <w:jc w:val="center"/>
        <w:rPr>
          <w:rFonts w:hint="eastAsia" w:ascii="方正小标宋简体" w:hAnsi="宋体" w:eastAsia="方正小标宋简体"/>
          <w:b/>
          <w:sz w:val="28"/>
          <w:szCs w:val="28"/>
        </w:rPr>
      </w:pPr>
      <w:r>
        <w:rPr>
          <w:rFonts w:hint="eastAsia" w:ascii="方正小标宋简体" w:hAnsi="宋体" w:eastAsia="方正小标宋简体"/>
          <w:b/>
          <w:sz w:val="28"/>
          <w:szCs w:val="28"/>
        </w:rPr>
        <w:t>日期：     年  月   日</w:t>
      </w:r>
    </w:p>
    <w:p w14:paraId="5EF019B8">
      <w:pPr>
        <w:ind w:firstLine="161" w:firstLineChars="50"/>
        <w:rPr>
          <w:rFonts w:ascii="方正小标宋简体" w:hAnsi="仿宋" w:eastAsia="方正小标宋简体"/>
          <w:b/>
          <w:sz w:val="32"/>
          <w:szCs w:val="32"/>
        </w:rPr>
        <w:sectPr>
          <w:headerReference r:id="rId7" w:type="default"/>
          <w:pgSz w:w="11906" w:h="16838"/>
          <w:pgMar w:top="1134" w:right="1418" w:bottom="1134" w:left="1701" w:header="851" w:footer="709" w:gutter="0"/>
          <w:cols w:space="720" w:num="1"/>
          <w:docGrid w:linePitch="312" w:charSpace="0"/>
        </w:sectPr>
      </w:pPr>
    </w:p>
    <w:p w14:paraId="06C67C40">
      <w:pPr>
        <w:ind w:firstLine="161" w:firstLineChars="50"/>
        <w:rPr>
          <w:rFonts w:hint="eastAsia" w:ascii="方正小标宋简体" w:hAnsi="仿宋" w:eastAsia="方正小标宋简体"/>
          <w:b/>
          <w:sz w:val="32"/>
          <w:szCs w:val="32"/>
        </w:rPr>
      </w:pPr>
      <w:r>
        <w:rPr>
          <w:rFonts w:hint="eastAsia" w:ascii="方正小标宋简体" w:hAnsi="仿宋" w:eastAsia="方正小标宋简体"/>
          <w:b/>
          <w:sz w:val="32"/>
          <w:szCs w:val="32"/>
        </w:rPr>
        <w:t>一、经济文件</w:t>
      </w:r>
    </w:p>
    <w:p w14:paraId="5921E6FB">
      <w:pPr>
        <w:spacing w:line="360" w:lineRule="auto"/>
        <w:ind w:firstLine="420"/>
        <w:rPr>
          <w:rFonts w:ascii="宋体" w:hAnsi="宋体" w:eastAsia="宋体"/>
          <w:sz w:val="21"/>
          <w:szCs w:val="21"/>
        </w:rPr>
      </w:pPr>
    </w:p>
    <w:p w14:paraId="47A05C83">
      <w:pPr>
        <w:spacing w:line="360" w:lineRule="auto"/>
        <w:jc w:val="center"/>
        <w:rPr>
          <w:rFonts w:ascii="方正小标宋简体" w:hAnsi="宋体" w:eastAsia="方正小标宋简体"/>
          <w:sz w:val="28"/>
          <w:szCs w:val="28"/>
        </w:rPr>
      </w:pPr>
      <w:r>
        <w:rPr>
          <w:rFonts w:hint="eastAsia" w:ascii="方正小标宋简体" w:hAnsi="仿宋" w:eastAsia="方正小标宋简体"/>
          <w:bCs/>
          <w:sz w:val="36"/>
          <w:szCs w:val="36"/>
        </w:rPr>
        <w:t>（一）报价一览表</w:t>
      </w:r>
    </w:p>
    <w:p w14:paraId="44F07979">
      <w:pPr>
        <w:ind w:firstLine="560"/>
        <w:rPr>
          <w:rFonts w:ascii="仿宋" w:hAnsi="仿宋" w:eastAsia="仿宋"/>
          <w:sz w:val="28"/>
        </w:rPr>
      </w:pPr>
    </w:p>
    <w:p w14:paraId="41F3B02A">
      <w:pPr>
        <w:ind w:firstLine="140" w:firstLineChars="50"/>
        <w:rPr>
          <w:rFonts w:hint="eastAsia" w:ascii="仿宋" w:hAnsi="仿宋" w:eastAsia="仿宋"/>
          <w:sz w:val="28"/>
        </w:rPr>
      </w:pPr>
      <w:r>
        <w:rPr>
          <w:rFonts w:hint="eastAsia" w:ascii="仿宋" w:hAnsi="仿宋" w:eastAsia="仿宋"/>
          <w:sz w:val="28"/>
        </w:rPr>
        <w:t>采购项目名称：</w:t>
      </w:r>
    </w:p>
    <w:p w14:paraId="32A13BA5">
      <w:pPr>
        <w:ind w:firstLine="140" w:firstLineChars="50"/>
        <w:rPr>
          <w:rFonts w:ascii="仿宋" w:hAnsi="仿宋" w:eastAsia="仿宋"/>
          <w:sz w:val="28"/>
        </w:rPr>
      </w:pPr>
      <w:r>
        <w:rPr>
          <w:rFonts w:hint="eastAsia" w:ascii="仿宋" w:hAnsi="仿宋" w:eastAsia="仿宋"/>
          <w:sz w:val="28"/>
        </w:rPr>
        <w:t>采购项目编号：</w:t>
      </w:r>
    </w:p>
    <w:tbl>
      <w:tblPr>
        <w:tblStyle w:val="17"/>
        <w:tblW w:w="907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5"/>
        <w:gridCol w:w="5580"/>
      </w:tblGrid>
      <w:tr w14:paraId="7B84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 w:hRule="atLeast"/>
        </w:trPr>
        <w:tc>
          <w:tcPr>
            <w:tcW w:w="3495" w:type="dxa"/>
            <w:tcBorders>
              <w:top w:val="single" w:color="auto" w:sz="4" w:space="0"/>
              <w:left w:val="single" w:color="auto" w:sz="4" w:space="0"/>
              <w:bottom w:val="single" w:color="auto" w:sz="4" w:space="0"/>
              <w:right w:val="single" w:color="auto" w:sz="4" w:space="0"/>
            </w:tcBorders>
            <w:noWrap w:val="0"/>
            <w:vAlign w:val="center"/>
          </w:tcPr>
          <w:p w14:paraId="46602992">
            <w:pPr>
              <w:ind w:firstLine="324" w:firstLineChars="116"/>
              <w:jc w:val="left"/>
              <w:rPr>
                <w:rFonts w:ascii="仿宋" w:hAnsi="仿宋" w:eastAsia="仿宋"/>
                <w:sz w:val="28"/>
              </w:rPr>
            </w:pPr>
            <w:r>
              <w:rPr>
                <w:rFonts w:hint="eastAsia" w:ascii="仿宋" w:hAnsi="仿宋" w:eastAsia="仿宋"/>
                <w:sz w:val="28"/>
              </w:rPr>
              <w:t>供应商名称</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44926ED5">
            <w:pPr>
              <w:ind w:firstLine="560"/>
              <w:jc w:val="center"/>
              <w:rPr>
                <w:rFonts w:ascii="仿宋" w:hAnsi="仿宋" w:eastAsia="仿宋"/>
                <w:sz w:val="28"/>
              </w:rPr>
            </w:pPr>
          </w:p>
        </w:tc>
      </w:tr>
      <w:tr w14:paraId="7764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3495" w:type="dxa"/>
            <w:tcBorders>
              <w:top w:val="single" w:color="auto" w:sz="4" w:space="0"/>
              <w:left w:val="single" w:color="auto" w:sz="4" w:space="0"/>
              <w:bottom w:val="single" w:color="auto" w:sz="4" w:space="0"/>
              <w:right w:val="single" w:color="auto" w:sz="4" w:space="0"/>
            </w:tcBorders>
            <w:noWrap w:val="0"/>
            <w:vAlign w:val="center"/>
          </w:tcPr>
          <w:p w14:paraId="60731633">
            <w:pPr>
              <w:ind w:firstLine="324" w:firstLineChars="116"/>
              <w:jc w:val="left"/>
              <w:rPr>
                <w:rFonts w:hint="eastAsia" w:ascii="仿宋" w:hAnsi="仿宋" w:eastAsia="仿宋"/>
                <w:sz w:val="28"/>
                <w:lang w:val="en-US" w:eastAsia="zh-CN"/>
              </w:rPr>
            </w:pPr>
            <w:r>
              <w:rPr>
                <w:rFonts w:hint="eastAsia" w:ascii="仿宋" w:hAnsi="仿宋" w:eastAsia="仿宋"/>
                <w:sz w:val="28"/>
                <w:lang w:val="en-US" w:eastAsia="zh-CN"/>
              </w:rPr>
              <w:t>项目名称</w:t>
            </w:r>
          </w:p>
        </w:tc>
        <w:tc>
          <w:tcPr>
            <w:tcW w:w="5580" w:type="dxa"/>
            <w:tcBorders>
              <w:top w:val="single" w:color="auto" w:sz="4" w:space="0"/>
              <w:left w:val="single" w:color="auto" w:sz="4" w:space="0"/>
              <w:bottom w:val="single" w:color="auto" w:sz="4" w:space="0"/>
              <w:right w:val="single" w:color="auto" w:sz="4" w:space="0"/>
            </w:tcBorders>
            <w:noWrap w:val="0"/>
            <w:vAlign w:val="top"/>
          </w:tcPr>
          <w:p w14:paraId="60CF22F1">
            <w:pPr>
              <w:ind w:firstLine="560"/>
              <w:rPr>
                <w:rFonts w:ascii="仿宋" w:hAnsi="仿宋" w:eastAsia="仿宋"/>
                <w:sz w:val="28"/>
              </w:rPr>
            </w:pPr>
            <w:r>
              <w:rPr>
                <w:rFonts w:hint="eastAsia" w:ascii="仿宋" w:hAnsi="仿宋" w:eastAsia="仿宋"/>
                <w:sz w:val="28"/>
              </w:rPr>
              <w:t xml:space="preserve">                   </w:t>
            </w:r>
          </w:p>
        </w:tc>
      </w:tr>
      <w:tr w14:paraId="43C9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3495" w:type="dxa"/>
            <w:tcBorders>
              <w:top w:val="single" w:color="auto" w:sz="4" w:space="0"/>
              <w:left w:val="single" w:color="auto" w:sz="4" w:space="0"/>
              <w:bottom w:val="single" w:color="auto" w:sz="4" w:space="0"/>
              <w:right w:val="single" w:color="auto" w:sz="4" w:space="0"/>
            </w:tcBorders>
            <w:noWrap w:val="0"/>
            <w:vAlign w:val="center"/>
          </w:tcPr>
          <w:p w14:paraId="44086274">
            <w:pPr>
              <w:ind w:firstLine="324" w:firstLineChars="116"/>
              <w:jc w:val="left"/>
              <w:rPr>
                <w:rFonts w:ascii="仿宋" w:hAnsi="仿宋" w:eastAsia="仿宋"/>
                <w:sz w:val="28"/>
              </w:rPr>
            </w:pPr>
            <w:r>
              <w:rPr>
                <w:rFonts w:hint="eastAsia" w:ascii="仿宋" w:hAnsi="仿宋" w:eastAsia="仿宋"/>
                <w:sz w:val="28"/>
              </w:rPr>
              <w:t>总价（大写）：</w:t>
            </w:r>
          </w:p>
        </w:tc>
        <w:tc>
          <w:tcPr>
            <w:tcW w:w="5580" w:type="dxa"/>
            <w:tcBorders>
              <w:top w:val="single" w:color="auto" w:sz="4" w:space="0"/>
              <w:left w:val="single" w:color="auto" w:sz="4" w:space="0"/>
              <w:bottom w:val="single" w:color="auto" w:sz="4" w:space="0"/>
              <w:right w:val="single" w:color="auto" w:sz="4" w:space="0"/>
            </w:tcBorders>
            <w:noWrap w:val="0"/>
            <w:vAlign w:val="top"/>
          </w:tcPr>
          <w:p w14:paraId="5C05E025">
            <w:pPr>
              <w:ind w:firstLine="560"/>
              <w:rPr>
                <w:rFonts w:ascii="仿宋" w:hAnsi="仿宋" w:eastAsia="仿宋"/>
                <w:sz w:val="28"/>
              </w:rPr>
            </w:pPr>
          </w:p>
        </w:tc>
      </w:tr>
      <w:tr w14:paraId="1895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3495" w:type="dxa"/>
            <w:tcBorders>
              <w:top w:val="single" w:color="auto" w:sz="4" w:space="0"/>
              <w:left w:val="single" w:color="auto" w:sz="4" w:space="0"/>
              <w:bottom w:val="single" w:color="auto" w:sz="4" w:space="0"/>
              <w:right w:val="single" w:color="auto" w:sz="4" w:space="0"/>
            </w:tcBorders>
            <w:noWrap w:val="0"/>
            <w:vAlign w:val="center"/>
          </w:tcPr>
          <w:p w14:paraId="20D89A56">
            <w:pPr>
              <w:ind w:firstLine="324" w:firstLineChars="116"/>
              <w:jc w:val="left"/>
              <w:rPr>
                <w:rFonts w:ascii="仿宋" w:hAnsi="仿宋" w:eastAsia="仿宋"/>
                <w:sz w:val="28"/>
              </w:rPr>
            </w:pPr>
            <w:r>
              <w:rPr>
                <w:rFonts w:hint="eastAsia" w:ascii="仿宋" w:hAnsi="仿宋" w:eastAsia="仿宋"/>
                <w:sz w:val="28"/>
              </w:rPr>
              <w:t>总价（小写）：</w:t>
            </w:r>
          </w:p>
        </w:tc>
        <w:tc>
          <w:tcPr>
            <w:tcW w:w="5580" w:type="dxa"/>
            <w:tcBorders>
              <w:top w:val="single" w:color="auto" w:sz="4" w:space="0"/>
              <w:left w:val="single" w:color="auto" w:sz="4" w:space="0"/>
              <w:bottom w:val="single" w:color="auto" w:sz="4" w:space="0"/>
              <w:right w:val="single" w:color="auto" w:sz="4" w:space="0"/>
            </w:tcBorders>
            <w:noWrap w:val="0"/>
            <w:vAlign w:val="top"/>
          </w:tcPr>
          <w:p w14:paraId="2006F9B0">
            <w:pPr>
              <w:ind w:firstLine="560"/>
              <w:rPr>
                <w:rFonts w:ascii="仿宋" w:hAnsi="仿宋" w:eastAsia="仿宋"/>
                <w:sz w:val="28"/>
              </w:rPr>
            </w:pPr>
          </w:p>
        </w:tc>
      </w:tr>
      <w:tr w14:paraId="5936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3495" w:type="dxa"/>
            <w:tcBorders>
              <w:top w:val="single" w:color="auto" w:sz="4" w:space="0"/>
              <w:left w:val="single" w:color="auto" w:sz="4" w:space="0"/>
              <w:bottom w:val="single" w:color="auto" w:sz="4" w:space="0"/>
              <w:right w:val="single" w:color="auto" w:sz="4" w:space="0"/>
            </w:tcBorders>
            <w:noWrap w:val="0"/>
            <w:vAlign w:val="center"/>
          </w:tcPr>
          <w:p w14:paraId="4CFBE6D5">
            <w:pPr>
              <w:ind w:firstLine="324" w:firstLineChars="116"/>
              <w:jc w:val="left"/>
              <w:rPr>
                <w:rFonts w:ascii="仿宋" w:hAnsi="仿宋" w:eastAsia="仿宋"/>
                <w:sz w:val="28"/>
              </w:rPr>
            </w:pPr>
            <w:r>
              <w:rPr>
                <w:rFonts w:hint="eastAsia" w:ascii="仿宋" w:hAnsi="仿宋" w:eastAsia="仿宋"/>
                <w:sz w:val="28"/>
              </w:rPr>
              <w:t>备注：</w:t>
            </w:r>
          </w:p>
        </w:tc>
        <w:tc>
          <w:tcPr>
            <w:tcW w:w="5580" w:type="dxa"/>
            <w:tcBorders>
              <w:top w:val="single" w:color="auto" w:sz="4" w:space="0"/>
              <w:left w:val="single" w:color="auto" w:sz="4" w:space="0"/>
              <w:bottom w:val="single" w:color="auto" w:sz="4" w:space="0"/>
              <w:right w:val="single" w:color="auto" w:sz="4" w:space="0"/>
            </w:tcBorders>
            <w:noWrap w:val="0"/>
            <w:vAlign w:val="center"/>
          </w:tcPr>
          <w:p w14:paraId="2F00A6B8">
            <w:pPr>
              <w:ind w:left="6" w:hanging="6" w:hangingChars="2"/>
              <w:jc w:val="center"/>
              <w:rPr>
                <w:rFonts w:ascii="仿宋" w:hAnsi="仿宋" w:eastAsia="仿宋"/>
                <w:b/>
                <w:sz w:val="28"/>
              </w:rPr>
            </w:pPr>
          </w:p>
        </w:tc>
      </w:tr>
    </w:tbl>
    <w:p w14:paraId="6ED2F9AA">
      <w:pPr>
        <w:pStyle w:val="31"/>
        <w:spacing w:line="500" w:lineRule="exact"/>
        <w:ind w:firstLine="561"/>
        <w:rPr>
          <w:rFonts w:hint="eastAsia" w:ascii="仿宋" w:hAnsi="仿宋" w:eastAsia="仿宋"/>
          <w:sz w:val="28"/>
          <w:szCs w:val="28"/>
          <w:lang w:val="en-US" w:eastAsia="zh-CN"/>
        </w:rPr>
      </w:pPr>
      <w:r>
        <w:rPr>
          <w:rFonts w:hint="eastAsia" w:ascii="仿宋" w:hAnsi="仿宋" w:eastAsia="仿宋"/>
          <w:b/>
          <w:sz w:val="28"/>
          <w:szCs w:val="28"/>
        </w:rPr>
        <w:t>注：</w:t>
      </w:r>
      <w:r>
        <w:rPr>
          <w:rFonts w:hint="eastAsia" w:ascii="仿宋" w:hAnsi="仿宋" w:eastAsia="仿宋"/>
          <w:sz w:val="28"/>
          <w:szCs w:val="28"/>
          <w:lang w:val="en-US" w:eastAsia="zh-CN"/>
        </w:rPr>
        <w:t>包含：包括产品及产品加工、运输装卸以及所必须的材料、劳务、机械设备等所涉及的费用、试穿调换、验收、售后服务、质保及相关劳务支出、利润、税金（包括关税、进口货物及其所用原材料、零部件的各种国内、外税费）保险及政策性规定的各项应有的全部费用。</w:t>
      </w:r>
    </w:p>
    <w:p w14:paraId="2AF89C85">
      <w:pPr>
        <w:pStyle w:val="31"/>
        <w:spacing w:line="500" w:lineRule="exact"/>
        <w:ind w:firstLine="561"/>
        <w:rPr>
          <w:rFonts w:ascii="仿宋" w:hAnsi="仿宋" w:eastAsia="仿宋"/>
          <w:sz w:val="28"/>
          <w:szCs w:val="28"/>
        </w:rPr>
      </w:pPr>
    </w:p>
    <w:p w14:paraId="77075F45">
      <w:pPr>
        <w:pStyle w:val="31"/>
        <w:spacing w:line="500" w:lineRule="exact"/>
        <w:ind w:firstLine="560"/>
        <w:rPr>
          <w:rFonts w:ascii="仿宋" w:hAnsi="仿宋" w:eastAsia="仿宋"/>
          <w:sz w:val="28"/>
          <w:szCs w:val="28"/>
        </w:rPr>
      </w:pPr>
    </w:p>
    <w:p w14:paraId="07387BB9">
      <w:pPr>
        <w:pStyle w:val="31"/>
        <w:spacing w:line="500" w:lineRule="exact"/>
        <w:ind w:firstLine="560"/>
        <w:rPr>
          <w:rFonts w:ascii="仿宋" w:hAnsi="仿宋" w:eastAsia="仿宋"/>
          <w:sz w:val="28"/>
          <w:szCs w:val="28"/>
        </w:rPr>
      </w:pPr>
    </w:p>
    <w:p w14:paraId="64AAC1D1">
      <w:pPr>
        <w:spacing w:line="400" w:lineRule="exact"/>
        <w:ind w:firstLine="280" w:firstLineChars="100"/>
        <w:rPr>
          <w:rFonts w:ascii="仿宋" w:hAnsi="仿宋" w:eastAsia="仿宋"/>
          <w:sz w:val="28"/>
          <w:szCs w:val="28"/>
        </w:rPr>
      </w:pPr>
      <w:r>
        <w:rPr>
          <w:rFonts w:hint="eastAsia" w:ascii="仿宋" w:hAnsi="仿宋" w:eastAsia="仿宋"/>
          <w:sz w:val="28"/>
          <w:szCs w:val="28"/>
        </w:rPr>
        <w:t>供应商：(盖章)</w:t>
      </w:r>
    </w:p>
    <w:p w14:paraId="75DA66C5">
      <w:pPr>
        <w:spacing w:line="400" w:lineRule="exact"/>
        <w:ind w:firstLine="560"/>
        <w:rPr>
          <w:rFonts w:ascii="仿宋" w:hAnsi="仿宋" w:eastAsia="仿宋"/>
          <w:sz w:val="28"/>
          <w:szCs w:val="28"/>
        </w:rPr>
      </w:pPr>
    </w:p>
    <w:p w14:paraId="0F8337B0">
      <w:pPr>
        <w:spacing w:line="400" w:lineRule="exact"/>
        <w:ind w:firstLine="280" w:firstLineChars="100"/>
        <w:rPr>
          <w:rFonts w:ascii="仿宋" w:hAnsi="仿宋" w:eastAsia="仿宋"/>
          <w:sz w:val="28"/>
          <w:szCs w:val="28"/>
        </w:rPr>
      </w:pPr>
    </w:p>
    <w:p w14:paraId="5BECD91C">
      <w:pPr>
        <w:spacing w:line="400" w:lineRule="exact"/>
        <w:ind w:firstLine="280" w:firstLineChars="100"/>
        <w:rPr>
          <w:rFonts w:ascii="仿宋" w:hAnsi="仿宋" w:eastAsia="仿宋"/>
          <w:sz w:val="28"/>
          <w:szCs w:val="28"/>
        </w:rPr>
      </w:pPr>
      <w:r>
        <w:rPr>
          <w:rFonts w:hint="eastAsia" w:ascii="仿宋" w:hAnsi="仿宋" w:eastAsia="仿宋"/>
          <w:sz w:val="28"/>
          <w:szCs w:val="28"/>
        </w:rPr>
        <w:t>法人代表或授权代表：(签字或盖章)</w:t>
      </w:r>
    </w:p>
    <w:p w14:paraId="49A885C0">
      <w:pPr>
        <w:spacing w:line="400" w:lineRule="exact"/>
        <w:ind w:firstLine="280" w:firstLineChars="100"/>
        <w:rPr>
          <w:rFonts w:ascii="仿宋" w:hAnsi="仿宋" w:eastAsia="仿宋"/>
          <w:sz w:val="28"/>
          <w:szCs w:val="28"/>
        </w:rPr>
      </w:pPr>
    </w:p>
    <w:p w14:paraId="6D18E0D2">
      <w:pPr>
        <w:pStyle w:val="32"/>
        <w:spacing w:line="440" w:lineRule="exact"/>
        <w:ind w:firstLine="0"/>
        <w:jc w:val="right"/>
        <w:rPr>
          <w:rFonts w:ascii="仿宋" w:hAnsi="仿宋" w:eastAsia="仿宋"/>
          <w:szCs w:val="28"/>
        </w:rPr>
      </w:pPr>
      <w:r>
        <w:rPr>
          <w:rFonts w:hint="eastAsia" w:ascii="仿宋" w:hAnsi="仿宋" w:eastAsia="仿宋"/>
          <w:szCs w:val="28"/>
        </w:rPr>
        <w:t xml:space="preserve">         年  月  日</w:t>
      </w:r>
    </w:p>
    <w:p w14:paraId="05F6C339">
      <w:pPr>
        <w:pStyle w:val="32"/>
        <w:spacing w:line="440" w:lineRule="exact"/>
        <w:ind w:firstLine="1836" w:firstLineChars="656"/>
        <w:jc w:val="right"/>
        <w:rPr>
          <w:rFonts w:ascii="仿宋" w:hAnsi="仿宋" w:eastAsia="仿宋"/>
          <w:szCs w:val="28"/>
        </w:rPr>
      </w:pPr>
    </w:p>
    <w:p w14:paraId="5B176DF8">
      <w:pPr>
        <w:pStyle w:val="32"/>
        <w:spacing w:line="440" w:lineRule="exact"/>
        <w:ind w:firstLine="1836" w:firstLineChars="656"/>
        <w:jc w:val="right"/>
        <w:rPr>
          <w:rFonts w:ascii="仿宋" w:hAnsi="仿宋" w:eastAsia="仿宋"/>
          <w:szCs w:val="28"/>
        </w:rPr>
      </w:pPr>
    </w:p>
    <w:p w14:paraId="308C26D0">
      <w:pPr>
        <w:pStyle w:val="32"/>
        <w:spacing w:line="440" w:lineRule="exact"/>
        <w:ind w:firstLine="1836" w:firstLineChars="656"/>
        <w:jc w:val="right"/>
        <w:rPr>
          <w:rFonts w:ascii="仿宋" w:hAnsi="仿宋" w:eastAsia="仿宋"/>
          <w:szCs w:val="28"/>
        </w:rPr>
      </w:pPr>
    </w:p>
    <w:p w14:paraId="0109DB92">
      <w:pPr>
        <w:tabs>
          <w:tab w:val="left" w:pos="4635"/>
        </w:tabs>
        <w:ind w:right="480" w:firstLine="720"/>
        <w:jc w:val="center"/>
        <w:rPr>
          <w:rFonts w:ascii="仿宋" w:hAnsi="仿宋" w:eastAsia="仿宋"/>
          <w:sz w:val="24"/>
          <w:szCs w:val="24"/>
        </w:rPr>
      </w:pPr>
      <w:r>
        <w:rPr>
          <w:rFonts w:hint="eastAsia" w:ascii="方正小标宋简体" w:hAnsi="仿宋" w:eastAsia="方正小标宋简体"/>
          <w:bCs/>
          <w:sz w:val="36"/>
          <w:szCs w:val="36"/>
        </w:rPr>
        <w:t>（二）分项报价明细表</w:t>
      </w:r>
    </w:p>
    <w:p w14:paraId="691A0C91">
      <w:pPr>
        <w:pStyle w:val="24"/>
        <w:ind w:firstLine="480"/>
      </w:pPr>
      <w:r>
        <w:rPr>
          <w:rFonts w:hint="eastAsia"/>
        </w:rPr>
        <w:t>采购项目名称：</w:t>
      </w:r>
    </w:p>
    <w:p w14:paraId="0A6DF128">
      <w:pPr>
        <w:pStyle w:val="24"/>
        <w:ind w:firstLine="480"/>
      </w:pPr>
      <w:r>
        <w:rPr>
          <w:rFonts w:hint="eastAsia"/>
        </w:rPr>
        <w:t>采购项目编号：</w:t>
      </w:r>
    </w:p>
    <w:tbl>
      <w:tblPr>
        <w:tblStyle w:val="17"/>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527"/>
        <w:gridCol w:w="2034"/>
        <w:gridCol w:w="1184"/>
        <w:gridCol w:w="1332"/>
        <w:gridCol w:w="1117"/>
        <w:gridCol w:w="1395"/>
      </w:tblGrid>
      <w:tr w14:paraId="0381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133" w:type="dxa"/>
            <w:tcBorders>
              <w:left w:val="single" w:color="auto" w:sz="4" w:space="0"/>
            </w:tcBorders>
            <w:noWrap w:val="0"/>
            <w:vAlign w:val="center"/>
          </w:tcPr>
          <w:p w14:paraId="0D1CFFB2">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序号</w:t>
            </w:r>
          </w:p>
        </w:tc>
        <w:tc>
          <w:tcPr>
            <w:tcW w:w="1527" w:type="dxa"/>
            <w:noWrap w:val="0"/>
            <w:vAlign w:val="center"/>
          </w:tcPr>
          <w:p w14:paraId="0BA3F1A4">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分项名称</w:t>
            </w:r>
          </w:p>
        </w:tc>
        <w:tc>
          <w:tcPr>
            <w:tcW w:w="2034" w:type="dxa"/>
            <w:noWrap w:val="0"/>
            <w:vAlign w:val="center"/>
          </w:tcPr>
          <w:p w14:paraId="269E393E">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品牌、规格型号、主要技术参数</w:t>
            </w:r>
          </w:p>
        </w:tc>
        <w:tc>
          <w:tcPr>
            <w:tcW w:w="1184" w:type="dxa"/>
            <w:noWrap w:val="0"/>
            <w:vAlign w:val="center"/>
          </w:tcPr>
          <w:p w14:paraId="1E76E2FC">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制造商</w:t>
            </w:r>
          </w:p>
        </w:tc>
        <w:tc>
          <w:tcPr>
            <w:tcW w:w="1332" w:type="dxa"/>
            <w:noWrap w:val="0"/>
            <w:vAlign w:val="center"/>
          </w:tcPr>
          <w:p w14:paraId="4A9126B0">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数量</w:t>
            </w:r>
          </w:p>
        </w:tc>
        <w:tc>
          <w:tcPr>
            <w:tcW w:w="1117" w:type="dxa"/>
            <w:noWrap w:val="0"/>
            <w:vAlign w:val="center"/>
          </w:tcPr>
          <w:p w14:paraId="1E6F79C1">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单价</w:t>
            </w:r>
          </w:p>
        </w:tc>
        <w:tc>
          <w:tcPr>
            <w:tcW w:w="1395" w:type="dxa"/>
            <w:tcBorders>
              <w:right w:val="single" w:color="auto" w:sz="4" w:space="0"/>
            </w:tcBorders>
            <w:noWrap w:val="0"/>
            <w:vAlign w:val="center"/>
          </w:tcPr>
          <w:p w14:paraId="52161AD2">
            <w:pPr>
              <w:ind w:firstLine="0" w:firstLineChars="0"/>
              <w:jc w:val="center"/>
              <w:rPr>
                <w:rFonts w:ascii="仿宋" w:hAnsi="仿宋" w:eastAsia="仿宋"/>
                <w:color w:val="000000"/>
                <w:sz w:val="24"/>
                <w:szCs w:val="24"/>
              </w:rPr>
            </w:pPr>
            <w:r>
              <w:rPr>
                <w:rFonts w:hint="eastAsia" w:ascii="仿宋" w:hAnsi="仿宋" w:eastAsia="仿宋"/>
                <w:color w:val="000000"/>
                <w:sz w:val="24"/>
                <w:szCs w:val="24"/>
              </w:rPr>
              <w:t>合计（元）</w:t>
            </w:r>
          </w:p>
        </w:tc>
      </w:tr>
      <w:tr w14:paraId="2598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133" w:type="dxa"/>
            <w:tcBorders>
              <w:left w:val="single" w:color="auto" w:sz="4" w:space="0"/>
            </w:tcBorders>
            <w:noWrap w:val="0"/>
            <w:vAlign w:val="center"/>
          </w:tcPr>
          <w:p w14:paraId="5B5BA308">
            <w:pPr>
              <w:ind w:left="1785" w:firstLine="0" w:firstLineChars="0"/>
              <w:rPr>
                <w:rFonts w:hint="eastAsia" w:ascii="仿宋" w:hAnsi="仿宋" w:eastAsia="仿宋"/>
                <w:color w:val="000000"/>
                <w:sz w:val="24"/>
                <w:szCs w:val="24"/>
                <w:lang w:val="en-US" w:eastAsia="zh-CN"/>
              </w:rPr>
            </w:pPr>
            <w:r>
              <w:rPr>
                <w:rFonts w:hint="eastAsia" w:ascii="仿宋" w:hAnsi="仿宋" w:eastAsia="仿宋"/>
                <w:color w:val="000000"/>
                <w:sz w:val="24"/>
                <w:szCs w:val="24"/>
                <w:lang w:val="en-US" w:eastAsia="zh-CN"/>
              </w:rPr>
              <w:t>11</w:t>
            </w:r>
          </w:p>
        </w:tc>
        <w:tc>
          <w:tcPr>
            <w:tcW w:w="1527" w:type="dxa"/>
            <w:noWrap w:val="0"/>
            <w:vAlign w:val="center"/>
          </w:tcPr>
          <w:p w14:paraId="0746D2F4">
            <w:pPr>
              <w:ind w:firstLine="0" w:firstLineChars="0"/>
              <w:rPr>
                <w:rFonts w:hint="default" w:ascii="仿宋" w:hAnsi="仿宋" w:eastAsia="仿宋"/>
                <w:bCs/>
                <w:color w:val="000000"/>
                <w:sz w:val="24"/>
                <w:szCs w:val="24"/>
                <w:lang w:val="en-US" w:eastAsia="zh-CN"/>
              </w:rPr>
            </w:pPr>
            <w:r>
              <w:rPr>
                <w:rFonts w:hint="eastAsia" w:ascii="仿宋" w:hAnsi="仿宋" w:eastAsia="仿宋"/>
                <w:bCs/>
                <w:color w:val="000000"/>
                <w:sz w:val="24"/>
                <w:szCs w:val="24"/>
                <w:lang w:val="en-US" w:eastAsia="zh-CN"/>
              </w:rPr>
              <w:t>每一类货物均需填写，不要有遗漏</w:t>
            </w:r>
          </w:p>
        </w:tc>
        <w:tc>
          <w:tcPr>
            <w:tcW w:w="2034" w:type="dxa"/>
            <w:noWrap w:val="0"/>
            <w:vAlign w:val="center"/>
          </w:tcPr>
          <w:p w14:paraId="4D755666">
            <w:pPr>
              <w:ind w:firstLine="0" w:firstLineChars="0"/>
              <w:rPr>
                <w:rFonts w:ascii="仿宋" w:hAnsi="仿宋" w:eastAsia="仿宋"/>
                <w:bCs/>
                <w:color w:val="000000"/>
                <w:sz w:val="24"/>
                <w:szCs w:val="24"/>
              </w:rPr>
            </w:pPr>
          </w:p>
        </w:tc>
        <w:tc>
          <w:tcPr>
            <w:tcW w:w="1184" w:type="dxa"/>
            <w:noWrap w:val="0"/>
            <w:vAlign w:val="center"/>
          </w:tcPr>
          <w:p w14:paraId="3DBD8067">
            <w:pPr>
              <w:ind w:firstLine="0" w:firstLineChars="0"/>
              <w:rPr>
                <w:rFonts w:ascii="仿宋" w:hAnsi="仿宋" w:eastAsia="仿宋"/>
                <w:color w:val="000000"/>
                <w:sz w:val="24"/>
                <w:szCs w:val="24"/>
              </w:rPr>
            </w:pPr>
          </w:p>
        </w:tc>
        <w:tc>
          <w:tcPr>
            <w:tcW w:w="1332" w:type="dxa"/>
            <w:noWrap w:val="0"/>
            <w:vAlign w:val="center"/>
          </w:tcPr>
          <w:p w14:paraId="1B472FC8">
            <w:pPr>
              <w:ind w:firstLine="0" w:firstLineChars="0"/>
              <w:rPr>
                <w:rFonts w:ascii="仿宋" w:hAnsi="仿宋" w:eastAsia="仿宋"/>
                <w:bCs/>
                <w:color w:val="000000"/>
                <w:sz w:val="24"/>
                <w:szCs w:val="24"/>
              </w:rPr>
            </w:pPr>
          </w:p>
        </w:tc>
        <w:tc>
          <w:tcPr>
            <w:tcW w:w="1117" w:type="dxa"/>
            <w:noWrap w:val="0"/>
            <w:vAlign w:val="center"/>
          </w:tcPr>
          <w:p w14:paraId="071294E2">
            <w:pPr>
              <w:ind w:firstLine="0" w:firstLineChars="0"/>
              <w:rPr>
                <w:rFonts w:hint="default" w:ascii="仿宋" w:hAnsi="仿宋" w:eastAsia="仿宋"/>
                <w:bCs/>
                <w:color w:val="000000"/>
                <w:sz w:val="24"/>
                <w:szCs w:val="24"/>
                <w:lang w:val="en-US" w:eastAsia="zh-CN"/>
              </w:rPr>
            </w:pPr>
          </w:p>
        </w:tc>
        <w:tc>
          <w:tcPr>
            <w:tcW w:w="1395" w:type="dxa"/>
            <w:tcBorders>
              <w:right w:val="single" w:color="auto" w:sz="4" w:space="0"/>
            </w:tcBorders>
            <w:noWrap w:val="0"/>
            <w:vAlign w:val="center"/>
          </w:tcPr>
          <w:p w14:paraId="3945B760">
            <w:pPr>
              <w:ind w:firstLine="0" w:firstLineChars="0"/>
              <w:rPr>
                <w:rFonts w:ascii="仿宋" w:hAnsi="仿宋" w:eastAsia="仿宋"/>
                <w:bCs/>
                <w:color w:val="000000"/>
                <w:sz w:val="24"/>
                <w:szCs w:val="24"/>
              </w:rPr>
            </w:pPr>
          </w:p>
        </w:tc>
      </w:tr>
      <w:tr w14:paraId="1AA5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133" w:type="dxa"/>
            <w:tcBorders>
              <w:left w:val="single" w:color="auto" w:sz="4" w:space="0"/>
            </w:tcBorders>
            <w:noWrap w:val="0"/>
            <w:vAlign w:val="center"/>
          </w:tcPr>
          <w:p w14:paraId="5070514C">
            <w:pPr>
              <w:ind w:left="1785" w:firstLine="0" w:firstLineChars="0"/>
              <w:rPr>
                <w:rFonts w:ascii="仿宋" w:hAnsi="仿宋" w:eastAsia="仿宋"/>
                <w:color w:val="000000"/>
                <w:sz w:val="24"/>
                <w:szCs w:val="24"/>
              </w:rPr>
            </w:pPr>
          </w:p>
        </w:tc>
        <w:tc>
          <w:tcPr>
            <w:tcW w:w="1527" w:type="dxa"/>
            <w:noWrap w:val="0"/>
            <w:vAlign w:val="center"/>
          </w:tcPr>
          <w:p w14:paraId="038FEE9B">
            <w:pPr>
              <w:ind w:firstLine="0" w:firstLineChars="0"/>
              <w:rPr>
                <w:rFonts w:ascii="仿宋" w:hAnsi="仿宋" w:eastAsia="仿宋"/>
                <w:bCs/>
                <w:color w:val="000000"/>
                <w:sz w:val="24"/>
                <w:szCs w:val="24"/>
              </w:rPr>
            </w:pPr>
          </w:p>
        </w:tc>
        <w:tc>
          <w:tcPr>
            <w:tcW w:w="2034" w:type="dxa"/>
            <w:noWrap w:val="0"/>
            <w:vAlign w:val="center"/>
          </w:tcPr>
          <w:p w14:paraId="723351F4">
            <w:pPr>
              <w:ind w:firstLine="0" w:firstLineChars="0"/>
              <w:rPr>
                <w:rFonts w:ascii="仿宋" w:hAnsi="仿宋" w:eastAsia="仿宋"/>
                <w:bCs/>
                <w:color w:val="000000"/>
                <w:sz w:val="24"/>
                <w:szCs w:val="24"/>
              </w:rPr>
            </w:pPr>
          </w:p>
        </w:tc>
        <w:tc>
          <w:tcPr>
            <w:tcW w:w="1184" w:type="dxa"/>
            <w:noWrap w:val="0"/>
            <w:vAlign w:val="center"/>
          </w:tcPr>
          <w:p w14:paraId="19B72ACD">
            <w:pPr>
              <w:ind w:firstLine="0" w:firstLineChars="0"/>
              <w:rPr>
                <w:rFonts w:ascii="仿宋" w:hAnsi="仿宋" w:eastAsia="仿宋"/>
                <w:bCs/>
                <w:color w:val="000000"/>
                <w:sz w:val="24"/>
                <w:szCs w:val="24"/>
              </w:rPr>
            </w:pPr>
          </w:p>
        </w:tc>
        <w:tc>
          <w:tcPr>
            <w:tcW w:w="1332" w:type="dxa"/>
            <w:noWrap w:val="0"/>
            <w:vAlign w:val="center"/>
          </w:tcPr>
          <w:p w14:paraId="48073926">
            <w:pPr>
              <w:ind w:firstLine="0" w:firstLineChars="0"/>
              <w:rPr>
                <w:rFonts w:ascii="仿宋" w:hAnsi="仿宋" w:eastAsia="仿宋"/>
                <w:bCs/>
                <w:color w:val="000000"/>
                <w:sz w:val="24"/>
                <w:szCs w:val="24"/>
              </w:rPr>
            </w:pPr>
          </w:p>
        </w:tc>
        <w:tc>
          <w:tcPr>
            <w:tcW w:w="1117" w:type="dxa"/>
            <w:noWrap w:val="0"/>
            <w:vAlign w:val="center"/>
          </w:tcPr>
          <w:p w14:paraId="19704863">
            <w:pPr>
              <w:ind w:firstLine="0" w:firstLineChars="0"/>
              <w:rPr>
                <w:rFonts w:hint="default" w:ascii="仿宋" w:hAnsi="仿宋" w:eastAsia="仿宋"/>
                <w:bCs/>
                <w:color w:val="000000"/>
                <w:sz w:val="24"/>
                <w:szCs w:val="24"/>
                <w:lang w:val="en-US" w:eastAsia="zh-CN"/>
              </w:rPr>
            </w:pPr>
          </w:p>
        </w:tc>
        <w:tc>
          <w:tcPr>
            <w:tcW w:w="1395" w:type="dxa"/>
            <w:tcBorders>
              <w:right w:val="single" w:color="auto" w:sz="4" w:space="0"/>
            </w:tcBorders>
            <w:noWrap w:val="0"/>
            <w:vAlign w:val="center"/>
          </w:tcPr>
          <w:p w14:paraId="271CAE2B">
            <w:pPr>
              <w:ind w:firstLine="0" w:firstLineChars="0"/>
              <w:rPr>
                <w:rFonts w:ascii="仿宋" w:hAnsi="仿宋" w:eastAsia="仿宋"/>
                <w:bCs/>
                <w:color w:val="000000"/>
                <w:sz w:val="24"/>
                <w:szCs w:val="24"/>
              </w:rPr>
            </w:pPr>
          </w:p>
        </w:tc>
      </w:tr>
      <w:tr w14:paraId="0501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1133" w:type="dxa"/>
            <w:tcBorders>
              <w:left w:val="single" w:color="auto" w:sz="4" w:space="0"/>
            </w:tcBorders>
            <w:noWrap w:val="0"/>
            <w:vAlign w:val="center"/>
          </w:tcPr>
          <w:p w14:paraId="12131C8E">
            <w:pPr>
              <w:ind w:left="1785" w:firstLine="0" w:firstLineChars="0"/>
              <w:rPr>
                <w:rFonts w:ascii="仿宋" w:hAnsi="仿宋" w:eastAsia="仿宋"/>
                <w:color w:val="000000"/>
                <w:sz w:val="24"/>
                <w:szCs w:val="24"/>
              </w:rPr>
            </w:pPr>
          </w:p>
        </w:tc>
        <w:tc>
          <w:tcPr>
            <w:tcW w:w="1527" w:type="dxa"/>
            <w:noWrap w:val="0"/>
            <w:vAlign w:val="center"/>
          </w:tcPr>
          <w:p w14:paraId="7D3B750E">
            <w:pPr>
              <w:ind w:firstLine="0" w:firstLineChars="0"/>
              <w:rPr>
                <w:rFonts w:hint="default" w:ascii="仿宋" w:hAnsi="仿宋" w:eastAsia="仿宋"/>
                <w:bCs/>
                <w:color w:val="000000"/>
                <w:sz w:val="24"/>
                <w:szCs w:val="24"/>
                <w:lang w:val="en-US" w:eastAsia="zh-CN"/>
              </w:rPr>
            </w:pPr>
          </w:p>
        </w:tc>
        <w:tc>
          <w:tcPr>
            <w:tcW w:w="2034" w:type="dxa"/>
            <w:noWrap w:val="0"/>
            <w:vAlign w:val="center"/>
          </w:tcPr>
          <w:p w14:paraId="72AC3DEF">
            <w:pPr>
              <w:ind w:firstLine="0" w:firstLineChars="0"/>
              <w:rPr>
                <w:rFonts w:ascii="仿宋" w:hAnsi="仿宋" w:eastAsia="仿宋"/>
                <w:bCs/>
                <w:color w:val="000000"/>
                <w:sz w:val="24"/>
                <w:szCs w:val="24"/>
              </w:rPr>
            </w:pPr>
          </w:p>
        </w:tc>
        <w:tc>
          <w:tcPr>
            <w:tcW w:w="1184" w:type="dxa"/>
            <w:noWrap w:val="0"/>
            <w:vAlign w:val="center"/>
          </w:tcPr>
          <w:p w14:paraId="681BA7BB">
            <w:pPr>
              <w:ind w:firstLine="0" w:firstLineChars="0"/>
              <w:rPr>
                <w:rFonts w:ascii="仿宋" w:hAnsi="仿宋" w:eastAsia="仿宋"/>
                <w:bCs/>
                <w:color w:val="000000"/>
                <w:sz w:val="24"/>
                <w:szCs w:val="24"/>
              </w:rPr>
            </w:pPr>
          </w:p>
        </w:tc>
        <w:tc>
          <w:tcPr>
            <w:tcW w:w="1332" w:type="dxa"/>
            <w:noWrap w:val="0"/>
            <w:vAlign w:val="center"/>
          </w:tcPr>
          <w:p w14:paraId="76B5D324">
            <w:pPr>
              <w:ind w:firstLine="0" w:firstLineChars="0"/>
              <w:rPr>
                <w:rFonts w:ascii="仿宋" w:hAnsi="仿宋" w:eastAsia="仿宋"/>
                <w:bCs/>
                <w:color w:val="000000"/>
                <w:sz w:val="24"/>
                <w:szCs w:val="24"/>
              </w:rPr>
            </w:pPr>
          </w:p>
        </w:tc>
        <w:tc>
          <w:tcPr>
            <w:tcW w:w="1117" w:type="dxa"/>
            <w:noWrap w:val="0"/>
            <w:vAlign w:val="center"/>
          </w:tcPr>
          <w:p w14:paraId="4866C4EC">
            <w:pPr>
              <w:ind w:firstLine="0" w:firstLineChars="0"/>
              <w:rPr>
                <w:rFonts w:hint="eastAsia" w:ascii="仿宋" w:hAnsi="仿宋" w:eastAsia="仿宋"/>
                <w:bCs/>
                <w:color w:val="000000"/>
                <w:sz w:val="24"/>
                <w:szCs w:val="24"/>
                <w:lang w:val="en-US" w:eastAsia="zh-CN"/>
              </w:rPr>
            </w:pPr>
          </w:p>
        </w:tc>
        <w:tc>
          <w:tcPr>
            <w:tcW w:w="1395" w:type="dxa"/>
            <w:tcBorders>
              <w:right w:val="single" w:color="auto" w:sz="4" w:space="0"/>
            </w:tcBorders>
            <w:noWrap w:val="0"/>
            <w:vAlign w:val="center"/>
          </w:tcPr>
          <w:p w14:paraId="41B8A476">
            <w:pPr>
              <w:ind w:firstLine="0" w:firstLineChars="0"/>
              <w:rPr>
                <w:rFonts w:ascii="仿宋" w:hAnsi="仿宋" w:eastAsia="仿宋"/>
                <w:bCs/>
                <w:color w:val="000000"/>
                <w:sz w:val="24"/>
                <w:szCs w:val="24"/>
              </w:rPr>
            </w:pPr>
          </w:p>
        </w:tc>
      </w:tr>
      <w:tr w14:paraId="32B8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9721" w:type="dxa"/>
            <w:gridSpan w:val="7"/>
            <w:tcBorders>
              <w:top w:val="single" w:color="auto" w:sz="4" w:space="0"/>
              <w:left w:val="single" w:color="auto" w:sz="4" w:space="0"/>
              <w:bottom w:val="single" w:color="auto" w:sz="4" w:space="0"/>
              <w:right w:val="single" w:color="auto" w:sz="4" w:space="0"/>
            </w:tcBorders>
            <w:noWrap w:val="0"/>
            <w:vAlign w:val="center"/>
          </w:tcPr>
          <w:p w14:paraId="462406EB">
            <w:pPr>
              <w:ind w:firstLine="0" w:firstLineChars="0"/>
              <w:jc w:val="left"/>
              <w:rPr>
                <w:rFonts w:ascii="仿宋" w:hAnsi="仿宋" w:eastAsia="仿宋"/>
                <w:bCs/>
                <w:color w:val="000000"/>
                <w:sz w:val="24"/>
                <w:szCs w:val="24"/>
              </w:rPr>
            </w:pPr>
            <w:r>
              <w:rPr>
                <w:rFonts w:ascii="仿宋" w:hAnsi="仿宋" w:eastAsia="仿宋"/>
                <w:bCs/>
                <w:color w:val="000000"/>
                <w:sz w:val="24"/>
                <w:szCs w:val="24"/>
              </w:rPr>
              <w:t>总报价：人民币</w:t>
            </w:r>
            <w:r>
              <w:rPr>
                <w:rFonts w:hint="eastAsia" w:ascii="仿宋" w:hAnsi="仿宋" w:eastAsia="仿宋"/>
                <w:bCs/>
                <w:color w:val="000000"/>
                <w:sz w:val="24"/>
                <w:szCs w:val="24"/>
              </w:rPr>
              <w:t xml:space="preserve">     元。（以上各合计项与报价一览表中的对应项均一致相符，如不一致以开标一览表为准）</w:t>
            </w:r>
          </w:p>
        </w:tc>
      </w:tr>
    </w:tbl>
    <w:p w14:paraId="576ADCD5">
      <w:pPr>
        <w:pStyle w:val="24"/>
        <w:ind w:firstLine="480"/>
        <w:rPr>
          <w:lang w:val="en-GB"/>
        </w:rPr>
      </w:pPr>
      <w:r>
        <w:rPr>
          <w:rFonts w:hint="eastAsia"/>
        </w:rPr>
        <w:t>注：1)</w:t>
      </w:r>
      <w:r>
        <w:rPr>
          <w:rFonts w:hint="eastAsia"/>
          <w:lang w:val="en-GB"/>
        </w:rPr>
        <w:t>以上内容必须与《开标一览表》一致；</w:t>
      </w:r>
    </w:p>
    <w:p w14:paraId="11A400F4">
      <w:pPr>
        <w:pStyle w:val="24"/>
        <w:ind w:firstLine="960" w:firstLineChars="400"/>
        <w:rPr>
          <w:lang w:val="en-GB"/>
        </w:rPr>
      </w:pPr>
      <w:r>
        <w:rPr>
          <w:rFonts w:hint="eastAsia"/>
          <w:kern w:val="0"/>
        </w:rPr>
        <w:t>2)对于</w:t>
      </w:r>
      <w:r>
        <w:rPr>
          <w:rFonts w:hint="eastAsia"/>
          <w:snapToGrid w:val="0"/>
          <w:kern w:val="0"/>
        </w:rPr>
        <w:t>报价免费的项目必须标明“免费”；</w:t>
      </w:r>
    </w:p>
    <w:p w14:paraId="05FE3A1D">
      <w:pPr>
        <w:pStyle w:val="24"/>
        <w:ind w:firstLine="960" w:firstLineChars="400"/>
        <w:rPr>
          <w:lang w:val="en-GB"/>
        </w:rPr>
      </w:pPr>
      <w:r>
        <w:rPr>
          <w:rFonts w:hint="eastAsia"/>
          <w:snapToGrid w:val="0"/>
          <w:kern w:val="0"/>
        </w:rPr>
        <w:t>3)所有根据合同或其它原因应由投标供应商支付的税款和其它应交纳的费用都要包括在投标供应商提交的投标价格中；</w:t>
      </w:r>
    </w:p>
    <w:p w14:paraId="107D7C4B">
      <w:pPr>
        <w:pStyle w:val="24"/>
        <w:ind w:firstLine="960" w:firstLineChars="400"/>
        <w:rPr>
          <w:lang w:val="en-GB"/>
        </w:rPr>
      </w:pPr>
      <w:r>
        <w:rPr>
          <w:rFonts w:hint="eastAsia" w:cs="Courier New"/>
          <w:snapToGrid w:val="0"/>
          <w:kern w:val="0"/>
        </w:rPr>
        <w:t>4)应包含货</w:t>
      </w:r>
      <w:r>
        <w:rPr>
          <w:rFonts w:hint="eastAsia" w:cs="Courier New"/>
          <w:kern w:val="0"/>
        </w:rPr>
        <w:t>物运至最终目的地的运输、保险和伴随货物服务的其他所有费用。</w:t>
      </w:r>
    </w:p>
    <w:p w14:paraId="6BA99CC5">
      <w:pPr>
        <w:adjustRightInd w:val="0"/>
        <w:snapToGrid w:val="0"/>
        <w:ind w:firstLine="480"/>
        <w:rPr>
          <w:rFonts w:ascii="仿宋" w:hAnsi="仿宋" w:eastAsia="仿宋"/>
          <w:color w:val="000000"/>
          <w:sz w:val="24"/>
          <w:szCs w:val="24"/>
        </w:rPr>
      </w:pPr>
    </w:p>
    <w:p w14:paraId="6A4152B3">
      <w:pPr>
        <w:adjustRightInd w:val="0"/>
        <w:snapToGrid w:val="0"/>
        <w:ind w:firstLine="480"/>
        <w:rPr>
          <w:rFonts w:ascii="仿宋" w:hAnsi="仿宋" w:eastAsia="仿宋"/>
          <w:color w:val="000000"/>
          <w:sz w:val="24"/>
          <w:szCs w:val="24"/>
        </w:rPr>
      </w:pPr>
    </w:p>
    <w:p w14:paraId="2DA86FD5">
      <w:pPr>
        <w:adjustRightInd w:val="0"/>
        <w:snapToGrid w:val="0"/>
        <w:ind w:firstLine="480"/>
        <w:rPr>
          <w:rFonts w:ascii="仿宋" w:hAnsi="仿宋" w:eastAsia="仿宋"/>
          <w:color w:val="000000"/>
          <w:sz w:val="24"/>
          <w:szCs w:val="24"/>
        </w:rPr>
      </w:pPr>
    </w:p>
    <w:p w14:paraId="74A28321">
      <w:pPr>
        <w:pStyle w:val="24"/>
        <w:ind w:firstLine="480"/>
        <w:rPr>
          <w:u w:val="single"/>
        </w:rPr>
      </w:pPr>
      <w:r>
        <w:rPr>
          <w:rFonts w:hint="eastAsia"/>
        </w:rPr>
        <w:t>投标供应商名称（盖章）：</w:t>
      </w:r>
    </w:p>
    <w:p w14:paraId="5EEF0786">
      <w:pPr>
        <w:pStyle w:val="24"/>
        <w:ind w:firstLine="480"/>
        <w:rPr>
          <w:rFonts w:ascii="方正小标宋简体" w:hAnsi="宋体" w:eastAsia="方正小标宋简体"/>
          <w:sz w:val="28"/>
          <w:szCs w:val="28"/>
        </w:rPr>
        <w:sectPr>
          <w:pgSz w:w="11907" w:h="16840"/>
          <w:pgMar w:top="1440" w:right="1077" w:bottom="1440" w:left="1077" w:header="964" w:footer="992" w:gutter="0"/>
          <w:cols w:space="720" w:num="1"/>
          <w:docGrid w:linePitch="354" w:charSpace="0"/>
        </w:sectPr>
      </w:pPr>
      <w:r>
        <w:rPr>
          <w:rFonts w:hint="eastAsia"/>
        </w:rPr>
        <w:t>日期：   年   月</w:t>
      </w:r>
    </w:p>
    <w:p w14:paraId="57C5A3A6">
      <w:pPr>
        <w:spacing w:line="360" w:lineRule="auto"/>
        <w:ind w:firstLine="722" w:firstLineChars="344"/>
        <w:jc w:val="center"/>
        <w:rPr>
          <w:rFonts w:hint="eastAsia" w:ascii="仿宋" w:hAnsi="仿宋" w:eastAsia="仿宋"/>
          <w:sz w:val="21"/>
          <w:szCs w:val="21"/>
        </w:rPr>
      </w:pPr>
    </w:p>
    <w:p w14:paraId="18328769">
      <w:pPr>
        <w:ind w:firstLine="161" w:firstLineChars="50"/>
        <w:rPr>
          <w:rFonts w:ascii="方正小标宋简体" w:hAnsi="仿宋" w:eastAsia="方正小标宋简体"/>
          <w:b/>
          <w:sz w:val="32"/>
          <w:szCs w:val="32"/>
        </w:rPr>
      </w:pPr>
      <w:r>
        <w:rPr>
          <w:rFonts w:ascii="方正小标宋简体" w:hAnsi="仿宋" w:eastAsia="方正小标宋简体"/>
          <w:b/>
          <w:sz w:val="32"/>
          <w:szCs w:val="32"/>
        </w:rPr>
        <w:t>二、资格文件</w:t>
      </w:r>
    </w:p>
    <w:p w14:paraId="796CF525">
      <w:pPr>
        <w:tabs>
          <w:tab w:val="left" w:pos="6300"/>
        </w:tabs>
        <w:snapToGrid w:val="0"/>
        <w:spacing w:line="500" w:lineRule="exact"/>
        <w:rPr>
          <w:rFonts w:ascii="方正小标宋简体" w:hAnsi="仿宋" w:eastAsia="方正小标宋简体"/>
          <w:sz w:val="36"/>
          <w:szCs w:val="36"/>
        </w:rPr>
      </w:pPr>
      <w:r>
        <w:rPr>
          <w:rFonts w:hint="eastAsia" w:ascii="方正小标宋简体" w:hAnsi="仿宋" w:eastAsia="方正小标宋简体"/>
          <w:sz w:val="36"/>
          <w:szCs w:val="36"/>
        </w:rPr>
        <w:t>（一）自查表</w:t>
      </w:r>
    </w:p>
    <w:p w14:paraId="2D7847AE">
      <w:pPr>
        <w:spacing w:line="360" w:lineRule="auto"/>
        <w:ind w:left="1078" w:hanging="1078" w:hangingChars="337"/>
        <w:jc w:val="center"/>
        <w:rPr>
          <w:rFonts w:ascii="方正小标宋简体" w:hAnsi="仿宋" w:eastAsia="方正小标宋简体"/>
          <w:bCs/>
          <w:sz w:val="32"/>
          <w:szCs w:val="32"/>
        </w:rPr>
      </w:pPr>
      <w:r>
        <w:rPr>
          <w:rFonts w:hint="eastAsia" w:ascii="方正小标宋简体" w:hAnsi="仿宋" w:eastAsia="方正小标宋简体"/>
          <w:bCs/>
          <w:sz w:val="32"/>
          <w:szCs w:val="32"/>
        </w:rPr>
        <w:t>资格性/符合性自查表</w:t>
      </w:r>
    </w:p>
    <w:tbl>
      <w:tblPr>
        <w:tblStyle w:val="17"/>
        <w:tblW w:w="0" w:type="auto"/>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391"/>
        <w:gridCol w:w="3295"/>
        <w:gridCol w:w="2106"/>
        <w:gridCol w:w="2295"/>
      </w:tblGrid>
      <w:tr w14:paraId="520C735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tcBorders>
              <w:top w:val="outset" w:color="111111" w:sz="6" w:space="0"/>
              <w:left w:val="outset" w:color="111111" w:sz="6" w:space="0"/>
              <w:bottom w:val="outset" w:color="111111" w:sz="6" w:space="0"/>
              <w:right w:val="outset" w:color="111111" w:sz="6" w:space="0"/>
            </w:tcBorders>
            <w:noWrap w:val="0"/>
            <w:vAlign w:val="center"/>
          </w:tcPr>
          <w:p w14:paraId="5F5E058E">
            <w:pPr>
              <w:jc w:val="center"/>
              <w:rPr>
                <w:rFonts w:ascii="仿宋" w:hAnsi="仿宋" w:eastAsia="仿宋" w:cs="宋体"/>
                <w:sz w:val="24"/>
                <w:szCs w:val="24"/>
              </w:rPr>
            </w:pPr>
            <w:r>
              <w:rPr>
                <w:rFonts w:ascii="仿宋" w:hAnsi="仿宋" w:eastAsia="仿宋"/>
                <w:b/>
                <w:bCs/>
                <w:spacing w:val="10"/>
                <w:sz w:val="24"/>
                <w:szCs w:val="24"/>
              </w:rPr>
              <w:t>评审内容</w:t>
            </w: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1A624CC2">
            <w:pPr>
              <w:jc w:val="center"/>
              <w:rPr>
                <w:rFonts w:ascii="仿宋" w:hAnsi="仿宋" w:eastAsia="仿宋" w:cs="宋体"/>
                <w:sz w:val="24"/>
                <w:szCs w:val="24"/>
              </w:rPr>
            </w:pPr>
            <w:r>
              <w:rPr>
                <w:rFonts w:ascii="仿宋" w:hAnsi="仿宋" w:eastAsia="仿宋"/>
                <w:b/>
                <w:bCs/>
                <w:spacing w:val="10"/>
                <w:sz w:val="24"/>
                <w:szCs w:val="24"/>
              </w:rPr>
              <w:t>采购文件要求</w:t>
            </w:r>
            <w:r>
              <w:rPr>
                <w:rFonts w:ascii="仿宋" w:hAnsi="仿宋" w:eastAsia="仿宋"/>
                <w:sz w:val="21"/>
                <w:szCs w:val="24"/>
              </w:rPr>
              <w:br w:type="textWrapping"/>
            </w:r>
            <w:r>
              <w:rPr>
                <w:rFonts w:ascii="仿宋" w:hAnsi="仿宋" w:eastAsia="仿宋"/>
                <w:sz w:val="21"/>
                <w:szCs w:val="24"/>
              </w:rPr>
              <w:t>（详见《资格性和符合性审查表》各项）</w:t>
            </w: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761DF940">
            <w:pPr>
              <w:jc w:val="center"/>
              <w:rPr>
                <w:rFonts w:ascii="仿宋" w:hAnsi="仿宋" w:eastAsia="仿宋" w:cs="宋体"/>
                <w:sz w:val="24"/>
                <w:szCs w:val="24"/>
              </w:rPr>
            </w:pPr>
            <w:r>
              <w:rPr>
                <w:rFonts w:ascii="仿宋" w:hAnsi="仿宋" w:eastAsia="仿宋"/>
                <w:b/>
                <w:bCs/>
                <w:spacing w:val="10"/>
                <w:sz w:val="24"/>
                <w:szCs w:val="24"/>
              </w:rPr>
              <w:t>自查结论</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56F2D365">
            <w:pPr>
              <w:jc w:val="center"/>
              <w:rPr>
                <w:rFonts w:ascii="仿宋" w:hAnsi="仿宋" w:eastAsia="仿宋" w:cs="宋体"/>
                <w:sz w:val="24"/>
                <w:szCs w:val="24"/>
              </w:rPr>
            </w:pPr>
            <w:r>
              <w:rPr>
                <w:rFonts w:ascii="仿宋" w:hAnsi="仿宋" w:eastAsia="仿宋"/>
                <w:b/>
                <w:bCs/>
                <w:spacing w:val="10"/>
                <w:sz w:val="24"/>
                <w:szCs w:val="24"/>
              </w:rPr>
              <w:t>证明资料</w:t>
            </w:r>
          </w:p>
        </w:tc>
      </w:tr>
      <w:tr w14:paraId="64C501B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restart"/>
            <w:tcBorders>
              <w:top w:val="outset" w:color="111111" w:sz="6" w:space="0"/>
              <w:left w:val="outset" w:color="111111" w:sz="6" w:space="0"/>
              <w:right w:val="outset" w:color="111111" w:sz="6" w:space="0"/>
            </w:tcBorders>
            <w:noWrap w:val="0"/>
            <w:vAlign w:val="center"/>
          </w:tcPr>
          <w:p w14:paraId="1CDA482B">
            <w:pPr>
              <w:widowControl/>
              <w:spacing w:before="100" w:beforeAutospacing="1" w:after="100" w:afterAutospacing="1"/>
              <w:jc w:val="center"/>
              <w:rPr>
                <w:rFonts w:ascii="仿宋" w:hAnsi="仿宋" w:eastAsia="仿宋"/>
                <w:kern w:val="0"/>
                <w:sz w:val="24"/>
                <w:szCs w:val="24"/>
              </w:rPr>
            </w:pPr>
            <w:r>
              <w:rPr>
                <w:rFonts w:ascii="仿宋" w:hAnsi="仿宋" w:eastAsia="仿宋"/>
                <w:kern w:val="0"/>
                <w:sz w:val="24"/>
                <w:szCs w:val="24"/>
              </w:rPr>
              <w:t>资格性审查</w:t>
            </w: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4D82344E">
            <w:pPr>
              <w:rPr>
                <w:rFonts w:ascii="仿宋" w:hAnsi="仿宋" w:eastAsia="仿宋"/>
                <w:sz w:val="21"/>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6F3237F7">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033A0C00">
            <w:pPr>
              <w:rPr>
                <w:rFonts w:ascii="仿宋" w:hAnsi="仿宋" w:eastAsia="仿宋" w:cs="宋体"/>
                <w:sz w:val="24"/>
                <w:szCs w:val="24"/>
              </w:rPr>
            </w:pPr>
            <w:r>
              <w:rPr>
                <w:rFonts w:ascii="仿宋" w:hAnsi="仿宋" w:eastAsia="仿宋"/>
                <w:sz w:val="21"/>
                <w:szCs w:val="24"/>
              </w:rPr>
              <w:t>见响应文件第（）页</w:t>
            </w:r>
          </w:p>
        </w:tc>
      </w:tr>
      <w:tr w14:paraId="4D989E9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0BFE7824">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18583F90">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5021E7ED">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5B4C7E6D">
            <w:pPr>
              <w:rPr>
                <w:rFonts w:ascii="仿宋" w:hAnsi="仿宋" w:eastAsia="仿宋" w:cs="宋体"/>
                <w:sz w:val="24"/>
                <w:szCs w:val="24"/>
              </w:rPr>
            </w:pPr>
            <w:r>
              <w:rPr>
                <w:rFonts w:ascii="仿宋" w:hAnsi="仿宋" w:eastAsia="仿宋"/>
                <w:sz w:val="21"/>
                <w:szCs w:val="24"/>
              </w:rPr>
              <w:t>见响应文件第（）页</w:t>
            </w:r>
          </w:p>
        </w:tc>
      </w:tr>
      <w:tr w14:paraId="3B1096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371F3AE2">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4B26AC35">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0789AF4F">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73D69E2A">
            <w:pPr>
              <w:rPr>
                <w:rFonts w:ascii="仿宋" w:hAnsi="仿宋" w:eastAsia="仿宋" w:cs="宋体"/>
                <w:sz w:val="24"/>
                <w:szCs w:val="24"/>
              </w:rPr>
            </w:pPr>
            <w:r>
              <w:rPr>
                <w:rFonts w:ascii="仿宋" w:hAnsi="仿宋" w:eastAsia="仿宋"/>
                <w:sz w:val="21"/>
                <w:szCs w:val="24"/>
              </w:rPr>
              <w:t>见响应文件第（）页</w:t>
            </w:r>
          </w:p>
        </w:tc>
      </w:tr>
      <w:tr w14:paraId="58553C2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restart"/>
            <w:tcBorders>
              <w:top w:val="outset" w:color="111111" w:sz="6" w:space="0"/>
              <w:left w:val="outset" w:color="111111" w:sz="6" w:space="0"/>
              <w:right w:val="outset" w:color="111111" w:sz="6" w:space="0"/>
            </w:tcBorders>
            <w:noWrap w:val="0"/>
            <w:vAlign w:val="center"/>
          </w:tcPr>
          <w:p w14:paraId="1049367F">
            <w:pPr>
              <w:widowControl/>
              <w:spacing w:before="100" w:beforeAutospacing="1" w:after="100" w:afterAutospacing="1"/>
              <w:jc w:val="center"/>
              <w:rPr>
                <w:rFonts w:ascii="仿宋" w:hAnsi="仿宋" w:eastAsia="仿宋"/>
                <w:kern w:val="0"/>
                <w:sz w:val="24"/>
                <w:szCs w:val="24"/>
              </w:rPr>
            </w:pPr>
            <w:r>
              <w:rPr>
                <w:rFonts w:ascii="仿宋" w:hAnsi="仿宋" w:eastAsia="仿宋"/>
                <w:kern w:val="0"/>
                <w:sz w:val="24"/>
                <w:szCs w:val="24"/>
              </w:rPr>
              <w:t>符合性审查</w:t>
            </w: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7BA37384">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080E9F46">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4635CE94">
            <w:pPr>
              <w:rPr>
                <w:rFonts w:ascii="仿宋" w:hAnsi="仿宋" w:eastAsia="仿宋" w:cs="宋体"/>
                <w:sz w:val="24"/>
                <w:szCs w:val="24"/>
              </w:rPr>
            </w:pPr>
            <w:r>
              <w:rPr>
                <w:rFonts w:ascii="仿宋" w:hAnsi="仿宋" w:eastAsia="仿宋"/>
                <w:sz w:val="21"/>
                <w:szCs w:val="24"/>
              </w:rPr>
              <w:t>见响应文件第（）页</w:t>
            </w:r>
          </w:p>
        </w:tc>
      </w:tr>
      <w:tr w14:paraId="129D2B7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09B700BF">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3D061BFD">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28BF3F59">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3251759D">
            <w:pPr>
              <w:rPr>
                <w:rFonts w:ascii="仿宋" w:hAnsi="仿宋" w:eastAsia="仿宋" w:cs="宋体"/>
                <w:sz w:val="24"/>
                <w:szCs w:val="24"/>
              </w:rPr>
            </w:pPr>
            <w:r>
              <w:rPr>
                <w:rFonts w:ascii="仿宋" w:hAnsi="仿宋" w:eastAsia="仿宋"/>
                <w:sz w:val="21"/>
                <w:szCs w:val="24"/>
              </w:rPr>
              <w:t>见响应文件第（）页</w:t>
            </w:r>
          </w:p>
        </w:tc>
      </w:tr>
      <w:tr w14:paraId="0E78031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737EE251">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0523537A">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5D3B7920">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1A35A797">
            <w:pPr>
              <w:rPr>
                <w:rFonts w:ascii="仿宋" w:hAnsi="仿宋" w:eastAsia="仿宋" w:cs="宋体"/>
                <w:sz w:val="24"/>
                <w:szCs w:val="24"/>
              </w:rPr>
            </w:pPr>
            <w:r>
              <w:rPr>
                <w:rFonts w:ascii="仿宋" w:hAnsi="仿宋" w:eastAsia="仿宋"/>
                <w:sz w:val="21"/>
                <w:szCs w:val="24"/>
              </w:rPr>
              <w:t>见响应文件第（）页</w:t>
            </w:r>
          </w:p>
        </w:tc>
      </w:tr>
      <w:tr w14:paraId="0D51D5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587FB4E2">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747BF3AD">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647850FC">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0A08B1E6">
            <w:pPr>
              <w:rPr>
                <w:rFonts w:ascii="仿宋" w:hAnsi="仿宋" w:eastAsia="仿宋" w:cs="宋体"/>
                <w:sz w:val="24"/>
                <w:szCs w:val="24"/>
              </w:rPr>
            </w:pPr>
            <w:r>
              <w:rPr>
                <w:rFonts w:ascii="仿宋" w:hAnsi="仿宋" w:eastAsia="仿宋"/>
                <w:sz w:val="21"/>
                <w:szCs w:val="24"/>
              </w:rPr>
              <w:t>见响应文件第（）页</w:t>
            </w:r>
          </w:p>
        </w:tc>
      </w:tr>
      <w:tr w14:paraId="72BD0AA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2A621A49">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733EE8FA">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064CDA16">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4434D70F">
            <w:pPr>
              <w:rPr>
                <w:rFonts w:ascii="仿宋" w:hAnsi="仿宋" w:eastAsia="仿宋" w:cs="宋体"/>
                <w:sz w:val="24"/>
                <w:szCs w:val="24"/>
              </w:rPr>
            </w:pPr>
            <w:r>
              <w:rPr>
                <w:rFonts w:ascii="仿宋" w:hAnsi="仿宋" w:eastAsia="仿宋"/>
                <w:sz w:val="21"/>
                <w:szCs w:val="24"/>
              </w:rPr>
              <w:t>见响应文件第（）页</w:t>
            </w:r>
          </w:p>
        </w:tc>
      </w:tr>
      <w:tr w14:paraId="555F135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7D75B2FB">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6871BE9E">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5116457E">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452324D9">
            <w:pPr>
              <w:rPr>
                <w:rFonts w:ascii="仿宋" w:hAnsi="仿宋" w:eastAsia="仿宋" w:cs="宋体"/>
                <w:sz w:val="24"/>
                <w:szCs w:val="24"/>
              </w:rPr>
            </w:pPr>
            <w:r>
              <w:rPr>
                <w:rFonts w:ascii="仿宋" w:hAnsi="仿宋" w:eastAsia="仿宋"/>
                <w:sz w:val="21"/>
                <w:szCs w:val="24"/>
              </w:rPr>
              <w:t>见响应文件第（）页</w:t>
            </w:r>
          </w:p>
        </w:tc>
      </w:tr>
      <w:tr w14:paraId="7F94DA0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1391" w:type="dxa"/>
            <w:vMerge w:val="continue"/>
            <w:tcBorders>
              <w:left w:val="outset" w:color="111111" w:sz="6" w:space="0"/>
              <w:right w:val="outset" w:color="111111" w:sz="6" w:space="0"/>
            </w:tcBorders>
            <w:noWrap w:val="0"/>
            <w:vAlign w:val="center"/>
          </w:tcPr>
          <w:p w14:paraId="4B71D4AD">
            <w:pPr>
              <w:rPr>
                <w:rFonts w:ascii="仿宋" w:hAnsi="仿宋" w:eastAsia="仿宋" w:cs="宋体"/>
                <w:sz w:val="24"/>
                <w:szCs w:val="24"/>
              </w:rPr>
            </w:pPr>
          </w:p>
        </w:tc>
        <w:tc>
          <w:tcPr>
            <w:tcW w:w="3295" w:type="dxa"/>
            <w:tcBorders>
              <w:top w:val="outset" w:color="111111" w:sz="6" w:space="0"/>
              <w:left w:val="outset" w:color="111111" w:sz="6" w:space="0"/>
              <w:bottom w:val="outset" w:color="111111" w:sz="6" w:space="0"/>
              <w:right w:val="outset" w:color="111111" w:sz="6" w:space="0"/>
            </w:tcBorders>
            <w:noWrap w:val="0"/>
            <w:vAlign w:val="center"/>
          </w:tcPr>
          <w:p w14:paraId="2010E484">
            <w:pPr>
              <w:rPr>
                <w:rFonts w:ascii="仿宋" w:hAnsi="仿宋" w:eastAsia="仿宋" w:cs="宋体"/>
                <w:sz w:val="24"/>
                <w:szCs w:val="24"/>
              </w:rPr>
            </w:pPr>
          </w:p>
        </w:tc>
        <w:tc>
          <w:tcPr>
            <w:tcW w:w="2106" w:type="dxa"/>
            <w:tcBorders>
              <w:top w:val="outset" w:color="111111" w:sz="6" w:space="0"/>
              <w:left w:val="outset" w:color="111111" w:sz="6" w:space="0"/>
              <w:bottom w:val="outset" w:color="111111" w:sz="6" w:space="0"/>
              <w:right w:val="outset" w:color="111111" w:sz="6" w:space="0"/>
            </w:tcBorders>
            <w:noWrap w:val="0"/>
            <w:vAlign w:val="center"/>
          </w:tcPr>
          <w:p w14:paraId="1EA0DD0D">
            <w:pPr>
              <w:rPr>
                <w:rFonts w:ascii="仿宋" w:hAnsi="仿宋" w:eastAsia="仿宋" w:cs="宋体"/>
                <w:sz w:val="24"/>
                <w:szCs w:val="24"/>
              </w:rPr>
            </w:pPr>
            <w:r>
              <w:rPr>
                <w:rFonts w:ascii="仿宋" w:hAnsi="仿宋" w:eastAsia="仿宋"/>
                <w:sz w:val="21"/>
                <w:szCs w:val="24"/>
              </w:rPr>
              <w:t>□通过 □不通过</w:t>
            </w:r>
          </w:p>
        </w:tc>
        <w:tc>
          <w:tcPr>
            <w:tcW w:w="2295" w:type="dxa"/>
            <w:tcBorders>
              <w:top w:val="outset" w:color="111111" w:sz="6" w:space="0"/>
              <w:left w:val="outset" w:color="111111" w:sz="6" w:space="0"/>
              <w:bottom w:val="outset" w:color="111111" w:sz="6" w:space="0"/>
              <w:right w:val="outset" w:color="111111" w:sz="6" w:space="0"/>
            </w:tcBorders>
            <w:noWrap w:val="0"/>
            <w:vAlign w:val="center"/>
          </w:tcPr>
          <w:p w14:paraId="6216D600">
            <w:pPr>
              <w:rPr>
                <w:rFonts w:ascii="仿宋" w:hAnsi="仿宋" w:eastAsia="仿宋" w:cs="宋体"/>
                <w:sz w:val="24"/>
                <w:szCs w:val="24"/>
              </w:rPr>
            </w:pPr>
            <w:r>
              <w:rPr>
                <w:rFonts w:ascii="仿宋" w:hAnsi="仿宋" w:eastAsia="仿宋"/>
                <w:sz w:val="21"/>
                <w:szCs w:val="24"/>
              </w:rPr>
              <w:t>见响应文件第（）页</w:t>
            </w:r>
          </w:p>
        </w:tc>
      </w:tr>
    </w:tbl>
    <w:p w14:paraId="293B295F">
      <w:pPr>
        <w:tabs>
          <w:tab w:val="left" w:pos="851"/>
        </w:tabs>
        <w:spacing w:line="360" w:lineRule="auto"/>
        <w:rPr>
          <w:rFonts w:ascii="方正小标宋简体" w:hAnsi="仿宋" w:eastAsia="方正小标宋简体"/>
          <w:bCs/>
          <w:sz w:val="36"/>
          <w:szCs w:val="36"/>
        </w:rPr>
      </w:pPr>
      <w:r>
        <w:rPr>
          <w:rFonts w:hint="eastAsia" w:ascii="仿宋_GB2312" w:hAnsi="宋体" w:eastAsia="仿宋_GB2312"/>
          <w:sz w:val="21"/>
          <w:szCs w:val="21"/>
        </w:rPr>
        <w:t>注：以上材料将作为供应商有效性审核的重要内容之一，供应商必须严格按照其内容及序列要求在响应文件中对应如实提供，对资格性和符合性证明文件的任何缺漏和不符合项将会直接导致响应文件无效！供应商根据自查结论在对应的□打“√”。</w:t>
      </w:r>
      <w:r>
        <w:rPr>
          <w:rFonts w:ascii="仿宋_GB2312" w:hAnsi="宋体" w:eastAsia="仿宋_GB2312"/>
          <w:sz w:val="21"/>
          <w:szCs w:val="21"/>
        </w:rPr>
        <w:br w:type="page"/>
      </w:r>
      <w:r>
        <w:rPr>
          <w:rFonts w:hint="eastAsia" w:ascii="方正小标宋简体" w:hAnsi="仿宋" w:eastAsia="方正小标宋简体"/>
          <w:bCs/>
          <w:sz w:val="36"/>
          <w:szCs w:val="36"/>
        </w:rPr>
        <w:t xml:space="preserve"> “必须满足的技术参数或服务标准”条款自查表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384"/>
        <w:gridCol w:w="2641"/>
      </w:tblGrid>
      <w:tr w14:paraId="3784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19036BEF">
            <w:pPr>
              <w:jc w:val="center"/>
              <w:rPr>
                <w:rFonts w:ascii="仿宋" w:hAnsi="仿宋" w:eastAsia="仿宋"/>
                <w:b/>
                <w:bCs/>
                <w:color w:val="000000"/>
                <w:sz w:val="21"/>
                <w:szCs w:val="21"/>
              </w:rPr>
            </w:pPr>
            <w:r>
              <w:rPr>
                <w:rFonts w:hint="eastAsia" w:ascii="仿宋" w:hAnsi="仿宋" w:eastAsia="仿宋"/>
                <w:b/>
                <w:bCs/>
                <w:color w:val="000000"/>
                <w:sz w:val="21"/>
                <w:szCs w:val="21"/>
              </w:rPr>
              <w:t>序号</w:t>
            </w:r>
          </w:p>
        </w:tc>
        <w:tc>
          <w:tcPr>
            <w:tcW w:w="5384" w:type="dxa"/>
            <w:noWrap w:val="0"/>
            <w:vAlign w:val="center"/>
          </w:tcPr>
          <w:p w14:paraId="6B4E755D">
            <w:pPr>
              <w:ind w:firstLine="420"/>
              <w:jc w:val="center"/>
              <w:rPr>
                <w:rFonts w:ascii="仿宋" w:hAnsi="仿宋" w:eastAsia="仿宋"/>
                <w:b/>
                <w:bCs/>
                <w:color w:val="000000"/>
                <w:sz w:val="21"/>
                <w:szCs w:val="21"/>
              </w:rPr>
            </w:pPr>
            <w:r>
              <w:rPr>
                <w:rFonts w:hint="eastAsia" w:ascii="仿宋" w:hAnsi="仿宋" w:eastAsia="仿宋"/>
                <w:b/>
                <w:bCs/>
                <w:color w:val="000000"/>
                <w:sz w:val="21"/>
                <w:szCs w:val="21"/>
              </w:rPr>
              <w:t>“必须满足的技术参数或服务标准”条款</w:t>
            </w:r>
          </w:p>
        </w:tc>
        <w:tc>
          <w:tcPr>
            <w:tcW w:w="2641" w:type="dxa"/>
            <w:noWrap w:val="0"/>
            <w:vAlign w:val="center"/>
          </w:tcPr>
          <w:p w14:paraId="582977D6">
            <w:pPr>
              <w:ind w:firstLine="420"/>
              <w:jc w:val="center"/>
              <w:rPr>
                <w:rFonts w:ascii="仿宋" w:hAnsi="仿宋" w:eastAsia="仿宋"/>
                <w:b/>
                <w:bCs/>
                <w:color w:val="000000"/>
                <w:sz w:val="21"/>
                <w:szCs w:val="21"/>
              </w:rPr>
            </w:pPr>
            <w:r>
              <w:rPr>
                <w:rFonts w:hint="eastAsia" w:ascii="仿宋" w:hAnsi="仿宋" w:eastAsia="仿宋"/>
                <w:b/>
                <w:bCs/>
                <w:color w:val="000000"/>
                <w:sz w:val="21"/>
                <w:szCs w:val="21"/>
              </w:rPr>
              <w:t>证明文件（如有）</w:t>
            </w:r>
          </w:p>
        </w:tc>
      </w:tr>
      <w:tr w14:paraId="624B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7DB9F162">
            <w:pPr>
              <w:numPr>
                <w:ilvl w:val="1"/>
                <w:numId w:val="7"/>
              </w:numPr>
              <w:ind w:firstLine="420"/>
              <w:jc w:val="center"/>
              <w:rPr>
                <w:rFonts w:ascii="仿宋" w:hAnsi="仿宋" w:eastAsia="仿宋"/>
                <w:color w:val="000000"/>
                <w:sz w:val="21"/>
                <w:szCs w:val="21"/>
              </w:rPr>
            </w:pPr>
          </w:p>
        </w:tc>
        <w:tc>
          <w:tcPr>
            <w:tcW w:w="5384" w:type="dxa"/>
            <w:noWrap w:val="0"/>
            <w:vAlign w:val="center"/>
          </w:tcPr>
          <w:p w14:paraId="4E53BE21">
            <w:pPr>
              <w:ind w:firstLine="420"/>
              <w:jc w:val="center"/>
              <w:rPr>
                <w:rFonts w:ascii="仿宋" w:hAnsi="仿宋" w:eastAsia="仿宋"/>
                <w:color w:val="000000"/>
                <w:sz w:val="21"/>
                <w:szCs w:val="21"/>
              </w:rPr>
            </w:pPr>
          </w:p>
        </w:tc>
        <w:tc>
          <w:tcPr>
            <w:tcW w:w="2641" w:type="dxa"/>
            <w:noWrap w:val="0"/>
            <w:vAlign w:val="center"/>
          </w:tcPr>
          <w:p w14:paraId="0ED22904">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7F33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4A1364E3">
            <w:pPr>
              <w:numPr>
                <w:ilvl w:val="1"/>
                <w:numId w:val="7"/>
              </w:numPr>
              <w:ind w:firstLine="420"/>
              <w:jc w:val="center"/>
              <w:rPr>
                <w:rFonts w:ascii="仿宋" w:hAnsi="仿宋" w:eastAsia="仿宋"/>
                <w:color w:val="000000"/>
                <w:sz w:val="21"/>
                <w:szCs w:val="21"/>
              </w:rPr>
            </w:pPr>
          </w:p>
        </w:tc>
        <w:tc>
          <w:tcPr>
            <w:tcW w:w="5384" w:type="dxa"/>
            <w:noWrap w:val="0"/>
            <w:vAlign w:val="center"/>
          </w:tcPr>
          <w:p w14:paraId="030881C3">
            <w:pPr>
              <w:ind w:firstLine="420"/>
              <w:jc w:val="center"/>
              <w:rPr>
                <w:rFonts w:ascii="仿宋" w:hAnsi="仿宋" w:eastAsia="仿宋"/>
                <w:color w:val="000000"/>
                <w:sz w:val="21"/>
                <w:szCs w:val="21"/>
              </w:rPr>
            </w:pPr>
          </w:p>
        </w:tc>
        <w:tc>
          <w:tcPr>
            <w:tcW w:w="2641" w:type="dxa"/>
            <w:noWrap w:val="0"/>
            <w:vAlign w:val="center"/>
          </w:tcPr>
          <w:p w14:paraId="31F5756D">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6821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4425FD19">
            <w:pPr>
              <w:numPr>
                <w:ilvl w:val="1"/>
                <w:numId w:val="7"/>
              </w:numPr>
              <w:ind w:firstLine="420"/>
              <w:jc w:val="center"/>
              <w:rPr>
                <w:rFonts w:ascii="仿宋" w:hAnsi="仿宋" w:eastAsia="仿宋"/>
                <w:color w:val="000000"/>
                <w:sz w:val="21"/>
                <w:szCs w:val="21"/>
              </w:rPr>
            </w:pPr>
          </w:p>
        </w:tc>
        <w:tc>
          <w:tcPr>
            <w:tcW w:w="5384" w:type="dxa"/>
            <w:noWrap w:val="0"/>
            <w:vAlign w:val="center"/>
          </w:tcPr>
          <w:p w14:paraId="5DE624ED">
            <w:pPr>
              <w:ind w:firstLine="420"/>
              <w:jc w:val="center"/>
              <w:rPr>
                <w:rFonts w:ascii="仿宋" w:hAnsi="仿宋" w:eastAsia="仿宋"/>
                <w:color w:val="000000"/>
                <w:sz w:val="21"/>
                <w:szCs w:val="21"/>
              </w:rPr>
            </w:pPr>
          </w:p>
        </w:tc>
        <w:tc>
          <w:tcPr>
            <w:tcW w:w="2641" w:type="dxa"/>
            <w:noWrap w:val="0"/>
            <w:vAlign w:val="center"/>
          </w:tcPr>
          <w:p w14:paraId="617A418C">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2F28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206F1405">
            <w:pPr>
              <w:numPr>
                <w:ilvl w:val="1"/>
                <w:numId w:val="7"/>
              </w:numPr>
              <w:ind w:firstLine="420"/>
              <w:jc w:val="center"/>
              <w:rPr>
                <w:rFonts w:ascii="仿宋" w:hAnsi="仿宋" w:eastAsia="仿宋"/>
                <w:color w:val="000000"/>
                <w:sz w:val="21"/>
                <w:szCs w:val="21"/>
              </w:rPr>
            </w:pPr>
          </w:p>
        </w:tc>
        <w:tc>
          <w:tcPr>
            <w:tcW w:w="5384" w:type="dxa"/>
            <w:noWrap w:val="0"/>
            <w:vAlign w:val="center"/>
          </w:tcPr>
          <w:p w14:paraId="19F6DA06">
            <w:pPr>
              <w:ind w:firstLine="420"/>
              <w:jc w:val="center"/>
              <w:rPr>
                <w:rFonts w:ascii="仿宋" w:hAnsi="仿宋" w:eastAsia="仿宋"/>
                <w:color w:val="000000"/>
                <w:sz w:val="21"/>
                <w:szCs w:val="21"/>
              </w:rPr>
            </w:pPr>
          </w:p>
        </w:tc>
        <w:tc>
          <w:tcPr>
            <w:tcW w:w="2641" w:type="dxa"/>
            <w:noWrap w:val="0"/>
            <w:vAlign w:val="center"/>
          </w:tcPr>
          <w:p w14:paraId="29550221">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09A4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72F25718">
            <w:pPr>
              <w:numPr>
                <w:ilvl w:val="1"/>
                <w:numId w:val="7"/>
              </w:numPr>
              <w:ind w:firstLine="420"/>
              <w:jc w:val="center"/>
              <w:rPr>
                <w:rFonts w:ascii="仿宋" w:hAnsi="仿宋" w:eastAsia="仿宋"/>
                <w:color w:val="000000"/>
                <w:sz w:val="21"/>
                <w:szCs w:val="21"/>
              </w:rPr>
            </w:pPr>
          </w:p>
        </w:tc>
        <w:tc>
          <w:tcPr>
            <w:tcW w:w="5384" w:type="dxa"/>
            <w:noWrap w:val="0"/>
            <w:vAlign w:val="center"/>
          </w:tcPr>
          <w:p w14:paraId="417DBCBE">
            <w:pPr>
              <w:ind w:firstLine="420"/>
              <w:jc w:val="center"/>
              <w:rPr>
                <w:rFonts w:ascii="仿宋" w:hAnsi="仿宋" w:eastAsia="仿宋"/>
                <w:i/>
                <w:iCs/>
                <w:color w:val="000000"/>
                <w:sz w:val="21"/>
                <w:szCs w:val="21"/>
              </w:rPr>
            </w:pPr>
          </w:p>
        </w:tc>
        <w:tc>
          <w:tcPr>
            <w:tcW w:w="2641" w:type="dxa"/>
            <w:noWrap w:val="0"/>
            <w:vAlign w:val="center"/>
          </w:tcPr>
          <w:p w14:paraId="2561B752">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7B26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5E37B359">
            <w:pPr>
              <w:numPr>
                <w:ilvl w:val="1"/>
                <w:numId w:val="7"/>
              </w:numPr>
              <w:ind w:firstLine="420"/>
              <w:jc w:val="center"/>
              <w:rPr>
                <w:rFonts w:ascii="仿宋" w:hAnsi="仿宋" w:eastAsia="仿宋"/>
                <w:color w:val="000000"/>
                <w:sz w:val="21"/>
                <w:szCs w:val="21"/>
              </w:rPr>
            </w:pPr>
          </w:p>
        </w:tc>
        <w:tc>
          <w:tcPr>
            <w:tcW w:w="5384" w:type="dxa"/>
            <w:noWrap w:val="0"/>
            <w:vAlign w:val="center"/>
          </w:tcPr>
          <w:p w14:paraId="1FD81C0C">
            <w:pPr>
              <w:ind w:firstLine="420"/>
              <w:jc w:val="center"/>
              <w:rPr>
                <w:rFonts w:ascii="仿宋" w:hAnsi="仿宋" w:eastAsia="仿宋"/>
                <w:color w:val="000000"/>
                <w:sz w:val="21"/>
                <w:szCs w:val="21"/>
              </w:rPr>
            </w:pPr>
          </w:p>
        </w:tc>
        <w:tc>
          <w:tcPr>
            <w:tcW w:w="2641" w:type="dxa"/>
            <w:noWrap w:val="0"/>
            <w:vAlign w:val="center"/>
          </w:tcPr>
          <w:p w14:paraId="1C216D90">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5988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02EFAC37">
            <w:pPr>
              <w:numPr>
                <w:ilvl w:val="1"/>
                <w:numId w:val="7"/>
              </w:numPr>
              <w:ind w:firstLine="420"/>
              <w:jc w:val="center"/>
              <w:rPr>
                <w:rFonts w:ascii="仿宋" w:hAnsi="仿宋" w:eastAsia="仿宋"/>
                <w:color w:val="000000"/>
                <w:sz w:val="21"/>
                <w:szCs w:val="21"/>
              </w:rPr>
            </w:pPr>
          </w:p>
        </w:tc>
        <w:tc>
          <w:tcPr>
            <w:tcW w:w="5384" w:type="dxa"/>
            <w:noWrap w:val="0"/>
            <w:vAlign w:val="center"/>
          </w:tcPr>
          <w:p w14:paraId="526ABBB2">
            <w:pPr>
              <w:ind w:firstLine="420"/>
              <w:jc w:val="center"/>
              <w:rPr>
                <w:rFonts w:ascii="仿宋" w:hAnsi="仿宋" w:eastAsia="仿宋"/>
                <w:color w:val="000000"/>
                <w:sz w:val="21"/>
                <w:szCs w:val="21"/>
              </w:rPr>
            </w:pPr>
          </w:p>
        </w:tc>
        <w:tc>
          <w:tcPr>
            <w:tcW w:w="2641" w:type="dxa"/>
            <w:noWrap w:val="0"/>
            <w:vAlign w:val="center"/>
          </w:tcPr>
          <w:p w14:paraId="3A5CC9B4">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685A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5A097B7C">
            <w:pPr>
              <w:numPr>
                <w:ilvl w:val="1"/>
                <w:numId w:val="7"/>
              </w:numPr>
              <w:ind w:firstLine="420"/>
              <w:jc w:val="center"/>
              <w:rPr>
                <w:rFonts w:ascii="仿宋" w:hAnsi="仿宋" w:eastAsia="仿宋"/>
                <w:color w:val="000000"/>
                <w:sz w:val="21"/>
                <w:szCs w:val="21"/>
              </w:rPr>
            </w:pPr>
          </w:p>
        </w:tc>
        <w:tc>
          <w:tcPr>
            <w:tcW w:w="5384" w:type="dxa"/>
            <w:noWrap w:val="0"/>
            <w:vAlign w:val="center"/>
          </w:tcPr>
          <w:p w14:paraId="59B8BDA8">
            <w:pPr>
              <w:ind w:firstLine="420"/>
              <w:jc w:val="center"/>
              <w:rPr>
                <w:rFonts w:ascii="仿宋" w:hAnsi="仿宋" w:eastAsia="仿宋"/>
                <w:color w:val="000000"/>
                <w:sz w:val="21"/>
                <w:szCs w:val="21"/>
              </w:rPr>
            </w:pPr>
          </w:p>
        </w:tc>
        <w:tc>
          <w:tcPr>
            <w:tcW w:w="2641" w:type="dxa"/>
            <w:noWrap w:val="0"/>
            <w:vAlign w:val="center"/>
          </w:tcPr>
          <w:p w14:paraId="2AED0F00">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6CDA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398F86FC">
            <w:pPr>
              <w:numPr>
                <w:ilvl w:val="1"/>
                <w:numId w:val="7"/>
              </w:numPr>
              <w:ind w:firstLine="420"/>
              <w:jc w:val="center"/>
              <w:rPr>
                <w:rFonts w:ascii="仿宋" w:hAnsi="仿宋" w:eastAsia="仿宋"/>
                <w:color w:val="000000"/>
                <w:sz w:val="21"/>
                <w:szCs w:val="21"/>
              </w:rPr>
            </w:pPr>
          </w:p>
        </w:tc>
        <w:tc>
          <w:tcPr>
            <w:tcW w:w="5384" w:type="dxa"/>
            <w:noWrap w:val="0"/>
            <w:vAlign w:val="center"/>
          </w:tcPr>
          <w:p w14:paraId="5B88C90E">
            <w:pPr>
              <w:ind w:firstLine="420"/>
              <w:jc w:val="center"/>
              <w:rPr>
                <w:rFonts w:ascii="仿宋" w:hAnsi="仿宋" w:eastAsia="仿宋"/>
                <w:color w:val="000000"/>
                <w:sz w:val="21"/>
                <w:szCs w:val="21"/>
              </w:rPr>
            </w:pPr>
          </w:p>
        </w:tc>
        <w:tc>
          <w:tcPr>
            <w:tcW w:w="2641" w:type="dxa"/>
            <w:noWrap w:val="0"/>
            <w:vAlign w:val="center"/>
          </w:tcPr>
          <w:p w14:paraId="7117E6E2">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r w14:paraId="092F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78" w:type="dxa"/>
            <w:noWrap w:val="0"/>
            <w:vAlign w:val="center"/>
          </w:tcPr>
          <w:p w14:paraId="4949A0D1">
            <w:pPr>
              <w:ind w:firstLine="420"/>
              <w:jc w:val="center"/>
              <w:rPr>
                <w:rFonts w:ascii="仿宋" w:hAnsi="仿宋" w:eastAsia="仿宋"/>
                <w:color w:val="000000"/>
                <w:sz w:val="21"/>
                <w:szCs w:val="21"/>
              </w:rPr>
            </w:pPr>
            <w:r>
              <w:rPr>
                <w:rFonts w:hint="eastAsia" w:ascii="仿宋" w:hAnsi="仿宋" w:eastAsia="仿宋"/>
                <w:color w:val="000000"/>
                <w:sz w:val="21"/>
                <w:szCs w:val="21"/>
              </w:rPr>
              <w:t>……</w:t>
            </w:r>
          </w:p>
        </w:tc>
        <w:tc>
          <w:tcPr>
            <w:tcW w:w="5384" w:type="dxa"/>
            <w:noWrap w:val="0"/>
            <w:vAlign w:val="center"/>
          </w:tcPr>
          <w:p w14:paraId="1A3107C6">
            <w:pPr>
              <w:ind w:firstLine="420"/>
              <w:jc w:val="center"/>
              <w:rPr>
                <w:rFonts w:ascii="仿宋" w:hAnsi="仿宋" w:eastAsia="仿宋"/>
                <w:color w:val="000000"/>
                <w:sz w:val="21"/>
                <w:szCs w:val="21"/>
              </w:rPr>
            </w:pPr>
          </w:p>
        </w:tc>
        <w:tc>
          <w:tcPr>
            <w:tcW w:w="2641" w:type="dxa"/>
            <w:noWrap w:val="0"/>
            <w:vAlign w:val="center"/>
          </w:tcPr>
          <w:p w14:paraId="1A27FC5E">
            <w:pPr>
              <w:ind w:firstLine="420"/>
              <w:jc w:val="center"/>
              <w:rPr>
                <w:rFonts w:ascii="仿宋" w:hAnsi="仿宋" w:eastAsia="仿宋"/>
                <w:color w:val="000000"/>
                <w:sz w:val="21"/>
                <w:szCs w:val="21"/>
              </w:rPr>
            </w:pPr>
            <w:r>
              <w:rPr>
                <w:rFonts w:hint="eastAsia" w:ascii="仿宋" w:hAnsi="仿宋" w:eastAsia="仿宋"/>
                <w:color w:val="000000"/>
                <w:sz w:val="21"/>
                <w:szCs w:val="21"/>
              </w:rPr>
              <w:t>见响应文件（）页</w:t>
            </w:r>
          </w:p>
        </w:tc>
      </w:tr>
    </w:tbl>
    <w:p w14:paraId="27180A99">
      <w:pPr>
        <w:spacing w:line="360" w:lineRule="auto"/>
        <w:ind w:left="708" w:hanging="707" w:hangingChars="337"/>
        <w:rPr>
          <w:rFonts w:ascii="仿宋" w:hAnsi="仿宋" w:eastAsia="仿宋"/>
          <w:color w:val="000000"/>
          <w:sz w:val="21"/>
          <w:szCs w:val="21"/>
          <w:lang w:val="en-GB"/>
        </w:rPr>
      </w:pPr>
      <w:r>
        <w:rPr>
          <w:rFonts w:hint="eastAsia" w:ascii="仿宋" w:hAnsi="仿宋" w:eastAsia="仿宋"/>
          <w:color w:val="000000"/>
          <w:sz w:val="21"/>
          <w:szCs w:val="21"/>
          <w:lang w:val="en-GB"/>
        </w:rPr>
        <w:t>注： 1.此表内容必须与响应文件中所介绍的内容一致。</w:t>
      </w:r>
    </w:p>
    <w:p w14:paraId="315FB055">
      <w:pPr>
        <w:pStyle w:val="24"/>
        <w:ind w:firstLine="560"/>
        <w:rPr>
          <w:rFonts w:hint="eastAsia" w:ascii="方正小标宋简体" w:eastAsia="方正小标宋简体"/>
          <w:sz w:val="28"/>
          <w:szCs w:val="28"/>
        </w:rPr>
      </w:pPr>
    </w:p>
    <w:p w14:paraId="74AE0E1F">
      <w:pPr>
        <w:pStyle w:val="24"/>
        <w:ind w:firstLine="560"/>
        <w:rPr>
          <w:rFonts w:hint="eastAsia" w:ascii="方正小标宋简体" w:eastAsia="方正小标宋简体"/>
          <w:sz w:val="28"/>
          <w:szCs w:val="28"/>
        </w:rPr>
      </w:pPr>
    </w:p>
    <w:p w14:paraId="43CBFBDC">
      <w:pPr>
        <w:pStyle w:val="24"/>
        <w:ind w:firstLine="560"/>
        <w:rPr>
          <w:rFonts w:hint="eastAsia" w:ascii="方正小标宋简体" w:eastAsia="方正小标宋简体"/>
          <w:sz w:val="28"/>
          <w:szCs w:val="28"/>
        </w:rPr>
      </w:pPr>
    </w:p>
    <w:p w14:paraId="7038EA0A">
      <w:pPr>
        <w:pStyle w:val="24"/>
        <w:ind w:firstLine="560"/>
        <w:rPr>
          <w:rFonts w:hint="eastAsia" w:ascii="方正小标宋简体" w:eastAsia="方正小标宋简体"/>
          <w:sz w:val="28"/>
          <w:szCs w:val="28"/>
        </w:rPr>
      </w:pPr>
    </w:p>
    <w:p w14:paraId="091A7703">
      <w:pPr>
        <w:pStyle w:val="24"/>
        <w:ind w:firstLine="560"/>
        <w:rPr>
          <w:rFonts w:hint="eastAsia" w:ascii="方正小标宋简体" w:eastAsia="方正小标宋简体"/>
          <w:sz w:val="28"/>
          <w:szCs w:val="28"/>
        </w:rPr>
      </w:pPr>
    </w:p>
    <w:p w14:paraId="5DF19C61">
      <w:pPr>
        <w:pStyle w:val="24"/>
        <w:ind w:firstLine="560"/>
        <w:rPr>
          <w:rFonts w:hint="eastAsia" w:ascii="方正小标宋简体" w:eastAsia="方正小标宋简体"/>
          <w:sz w:val="28"/>
          <w:szCs w:val="28"/>
        </w:rPr>
      </w:pPr>
    </w:p>
    <w:p w14:paraId="60D647F1">
      <w:pPr>
        <w:pStyle w:val="24"/>
        <w:ind w:firstLine="560"/>
        <w:rPr>
          <w:rFonts w:hint="eastAsia" w:ascii="方正小标宋简体" w:eastAsia="方正小标宋简体"/>
          <w:sz w:val="28"/>
          <w:szCs w:val="28"/>
        </w:rPr>
      </w:pPr>
    </w:p>
    <w:p w14:paraId="1B9A1CD9">
      <w:pPr>
        <w:pStyle w:val="24"/>
        <w:ind w:firstLine="560"/>
        <w:rPr>
          <w:rFonts w:hint="eastAsia" w:ascii="方正小标宋简体" w:eastAsia="方正小标宋简体"/>
          <w:sz w:val="28"/>
          <w:szCs w:val="28"/>
        </w:rPr>
      </w:pPr>
    </w:p>
    <w:p w14:paraId="7AF52812">
      <w:pPr>
        <w:pStyle w:val="24"/>
        <w:ind w:firstLine="560"/>
        <w:rPr>
          <w:rFonts w:hint="eastAsia" w:ascii="方正小标宋简体" w:eastAsia="方正小标宋简体"/>
          <w:sz w:val="28"/>
          <w:szCs w:val="28"/>
        </w:rPr>
      </w:pPr>
    </w:p>
    <w:p w14:paraId="177F5E0B">
      <w:pPr>
        <w:pStyle w:val="24"/>
        <w:ind w:firstLine="560"/>
        <w:rPr>
          <w:rFonts w:hint="eastAsia" w:ascii="方正小标宋简体" w:eastAsia="方正小标宋简体"/>
          <w:sz w:val="28"/>
          <w:szCs w:val="28"/>
        </w:rPr>
      </w:pPr>
    </w:p>
    <w:p w14:paraId="04DDC9F7">
      <w:pPr>
        <w:pStyle w:val="24"/>
        <w:ind w:firstLine="560"/>
        <w:rPr>
          <w:rFonts w:hint="eastAsia" w:ascii="方正小标宋简体" w:eastAsia="方正小标宋简体"/>
          <w:sz w:val="28"/>
          <w:szCs w:val="28"/>
        </w:rPr>
      </w:pPr>
    </w:p>
    <w:p w14:paraId="0431EA41">
      <w:pPr>
        <w:pStyle w:val="24"/>
        <w:ind w:firstLine="560"/>
        <w:rPr>
          <w:rFonts w:hint="eastAsia" w:ascii="方正小标宋简体" w:eastAsia="方正小标宋简体"/>
          <w:sz w:val="28"/>
          <w:szCs w:val="28"/>
        </w:rPr>
      </w:pPr>
    </w:p>
    <w:p w14:paraId="3A9162E1">
      <w:pPr>
        <w:pStyle w:val="24"/>
        <w:ind w:firstLine="560"/>
        <w:rPr>
          <w:rFonts w:hint="eastAsia" w:ascii="方正小标宋简体" w:eastAsia="方正小标宋简体"/>
          <w:sz w:val="28"/>
          <w:szCs w:val="28"/>
        </w:rPr>
      </w:pPr>
    </w:p>
    <w:p w14:paraId="0CA613EE">
      <w:pPr>
        <w:pStyle w:val="24"/>
        <w:ind w:firstLine="560"/>
        <w:rPr>
          <w:rFonts w:hint="eastAsia" w:ascii="方正小标宋简体" w:eastAsia="方正小标宋简体"/>
          <w:sz w:val="28"/>
          <w:szCs w:val="28"/>
        </w:rPr>
      </w:pPr>
    </w:p>
    <w:p w14:paraId="3E6D2489">
      <w:pPr>
        <w:pStyle w:val="24"/>
        <w:ind w:firstLine="560"/>
        <w:rPr>
          <w:rFonts w:ascii="方正小标宋简体" w:eastAsia="方正小标宋简体"/>
          <w:color w:val="FF0000"/>
          <w:sz w:val="28"/>
          <w:szCs w:val="28"/>
        </w:rPr>
      </w:pPr>
      <w:r>
        <w:rPr>
          <w:rFonts w:hint="eastAsia" w:ascii="方正小标宋简体" w:eastAsia="方正小标宋简体"/>
          <w:sz w:val="28"/>
          <w:szCs w:val="28"/>
        </w:rPr>
        <w:t>（二）三证合一营业执照（副本）或事业单位法人证书（副本）复印件</w:t>
      </w:r>
    </w:p>
    <w:p w14:paraId="5311D444">
      <w:pPr>
        <w:pStyle w:val="24"/>
        <w:ind w:firstLine="560"/>
        <w:rPr>
          <w:rFonts w:ascii="方正小标宋简体" w:eastAsia="方正小标宋简体"/>
          <w:sz w:val="28"/>
          <w:szCs w:val="28"/>
        </w:rPr>
      </w:pPr>
    </w:p>
    <w:p w14:paraId="7D55A177">
      <w:pPr>
        <w:pStyle w:val="24"/>
        <w:ind w:firstLine="560"/>
        <w:rPr>
          <w:rFonts w:ascii="方正小标宋简体" w:eastAsia="方正小标宋简体"/>
          <w:sz w:val="28"/>
          <w:szCs w:val="28"/>
        </w:rPr>
      </w:pPr>
    </w:p>
    <w:p w14:paraId="4CC48279">
      <w:pPr>
        <w:pStyle w:val="24"/>
        <w:ind w:firstLine="480"/>
        <w:rPr>
          <w:rFonts w:hint="eastAsia"/>
        </w:rPr>
        <w:sectPr>
          <w:pgSz w:w="11907" w:h="16840"/>
          <w:pgMar w:top="1440" w:right="1077" w:bottom="1440" w:left="1077" w:header="964" w:footer="992" w:gutter="0"/>
          <w:cols w:space="720" w:num="1"/>
          <w:docGrid w:linePitch="354" w:charSpace="0"/>
        </w:sectPr>
      </w:pPr>
    </w:p>
    <w:p w14:paraId="09A5B619">
      <w:pPr>
        <w:tabs>
          <w:tab w:val="left" w:pos="6300"/>
        </w:tabs>
        <w:snapToGrid w:val="0"/>
        <w:spacing w:line="50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（三）法定代表人授权委托书（格式）</w:t>
      </w:r>
    </w:p>
    <w:p w14:paraId="12363ECF">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 xml:space="preserve">    </w:t>
      </w:r>
    </w:p>
    <w:p w14:paraId="215A4582">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采购项目名称：</w:t>
      </w:r>
      <w:r>
        <w:rPr>
          <w:rFonts w:hint="eastAsia" w:ascii="仿宋" w:hAnsi="仿宋" w:eastAsia="仿宋"/>
          <w:sz w:val="28"/>
          <w:szCs w:val="28"/>
          <w:u w:val="single"/>
          <w:lang w:val="en-US"/>
        </w:rPr>
        <w:t xml:space="preserve">                                                </w:t>
      </w:r>
    </w:p>
    <w:p w14:paraId="1B202235">
      <w:pPr>
        <w:pStyle w:val="11"/>
        <w:spacing w:line="360" w:lineRule="auto"/>
        <w:ind w:firstLine="420"/>
        <w:jc w:val="left"/>
        <w:rPr>
          <w:rFonts w:ascii="仿宋" w:hAnsi="仿宋" w:eastAsia="仿宋"/>
          <w:sz w:val="28"/>
          <w:szCs w:val="28"/>
        </w:rPr>
      </w:pPr>
    </w:p>
    <w:p w14:paraId="152CBCB7">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致：</w:t>
      </w:r>
      <w:r>
        <w:rPr>
          <w:rFonts w:hint="eastAsia" w:ascii="仿宋" w:hAnsi="仿宋" w:eastAsia="仿宋"/>
          <w:sz w:val="28"/>
          <w:szCs w:val="28"/>
          <w:u w:val="single"/>
          <w:lang w:val="en-US"/>
        </w:rPr>
        <w:t xml:space="preserve">    </w:t>
      </w:r>
      <w:r>
        <w:rPr>
          <w:rFonts w:hint="eastAsia" w:ascii="仿宋" w:hAnsi="仿宋" w:eastAsia="仿宋"/>
          <w:sz w:val="28"/>
          <w:szCs w:val="28"/>
          <w:u w:val="single"/>
          <w:lang w:val="en-US" w:eastAsia="zh-CN"/>
        </w:rPr>
        <w:t>白碱滩区机关事务服务中心</w:t>
      </w:r>
      <w:r>
        <w:rPr>
          <w:rFonts w:hint="eastAsia" w:ascii="仿宋" w:hAnsi="仿宋" w:eastAsia="仿宋"/>
          <w:sz w:val="28"/>
          <w:szCs w:val="28"/>
          <w:u w:val="single"/>
          <w:lang w:val="en-US"/>
        </w:rPr>
        <w:t xml:space="preserve">      </w:t>
      </w:r>
      <w:r>
        <w:rPr>
          <w:rFonts w:hint="eastAsia" w:ascii="仿宋" w:hAnsi="仿宋" w:eastAsia="仿宋"/>
          <w:sz w:val="28"/>
          <w:szCs w:val="28"/>
          <w:lang w:val="en-US"/>
        </w:rPr>
        <w:t>（采购机构名称）：</w:t>
      </w:r>
    </w:p>
    <w:p w14:paraId="664F3D18">
      <w:pPr>
        <w:pStyle w:val="11"/>
        <w:spacing w:line="360" w:lineRule="auto"/>
        <w:ind w:firstLine="420"/>
        <w:jc w:val="left"/>
        <w:rPr>
          <w:rFonts w:ascii="仿宋" w:hAnsi="仿宋" w:eastAsia="仿宋"/>
          <w:sz w:val="28"/>
          <w:szCs w:val="28"/>
        </w:rPr>
      </w:pPr>
      <w:r>
        <w:rPr>
          <w:rFonts w:hint="eastAsia" w:ascii="仿宋" w:hAnsi="仿宋" w:eastAsia="仿宋"/>
          <w:sz w:val="28"/>
          <w:szCs w:val="28"/>
          <w:u w:val="single"/>
          <w:lang w:val="en-US"/>
        </w:rPr>
        <w:t xml:space="preserve">            </w:t>
      </w:r>
      <w:r>
        <w:rPr>
          <w:rFonts w:hint="eastAsia" w:ascii="仿宋" w:hAnsi="仿宋" w:eastAsia="仿宋"/>
          <w:sz w:val="28"/>
          <w:szCs w:val="28"/>
          <w:lang w:val="en-US"/>
        </w:rPr>
        <w:t>（供应商法定代表人名称）是</w:t>
      </w:r>
      <w:r>
        <w:rPr>
          <w:rFonts w:hint="eastAsia" w:ascii="仿宋" w:hAnsi="仿宋" w:eastAsia="仿宋"/>
          <w:sz w:val="28"/>
          <w:szCs w:val="28"/>
          <w:u w:val="single"/>
          <w:lang w:val="en-US"/>
        </w:rPr>
        <w:t xml:space="preserve">                    </w:t>
      </w:r>
      <w:r>
        <w:rPr>
          <w:rFonts w:hint="eastAsia" w:ascii="仿宋" w:hAnsi="仿宋" w:eastAsia="仿宋"/>
          <w:sz w:val="28"/>
          <w:szCs w:val="28"/>
          <w:lang w:val="en-US"/>
        </w:rPr>
        <w:t>（供应商名称）的法定代表人，特授权</w:t>
      </w:r>
      <w:r>
        <w:rPr>
          <w:rFonts w:hint="eastAsia" w:ascii="仿宋" w:hAnsi="仿宋" w:eastAsia="仿宋"/>
          <w:sz w:val="28"/>
          <w:szCs w:val="28"/>
          <w:u w:val="single"/>
          <w:lang w:val="en-US"/>
        </w:rPr>
        <w:t xml:space="preserve">          </w:t>
      </w:r>
      <w:r>
        <w:rPr>
          <w:rFonts w:hint="eastAsia" w:ascii="仿宋" w:hAnsi="仿宋" w:eastAsia="仿宋"/>
          <w:sz w:val="28"/>
          <w:szCs w:val="28"/>
          <w:lang w:val="en-US"/>
        </w:rPr>
        <w:t>（被授权人姓名及身份证代码）代表我单位全权办理上述项目的</w:t>
      </w:r>
      <w:r>
        <w:rPr>
          <w:rFonts w:hint="eastAsia" w:ascii="仿宋" w:hAnsi="仿宋" w:eastAsia="仿宋"/>
          <w:sz w:val="28"/>
          <w:szCs w:val="28"/>
          <w:lang w:val="en-US" w:eastAsia="zh-CN"/>
        </w:rPr>
        <w:t>投标、</w:t>
      </w:r>
      <w:r>
        <w:rPr>
          <w:rFonts w:hint="eastAsia" w:ascii="仿宋" w:hAnsi="仿宋" w:eastAsia="仿宋"/>
          <w:sz w:val="28"/>
          <w:szCs w:val="28"/>
          <w:lang w:val="en-US"/>
        </w:rPr>
        <w:t>签约等具体工作，并签署全部有关文件、协议及合同。</w:t>
      </w:r>
    </w:p>
    <w:p w14:paraId="3C2DAB55">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我单位对被授权人的签字负全部责任。</w:t>
      </w:r>
    </w:p>
    <w:p w14:paraId="3D5BAB75">
      <w:pPr>
        <w:pStyle w:val="11"/>
        <w:spacing w:line="360" w:lineRule="auto"/>
        <w:ind w:firstLine="420"/>
        <w:jc w:val="left"/>
        <w:rPr>
          <w:rFonts w:hint="eastAsia" w:ascii="仿宋" w:hAnsi="仿宋" w:eastAsia="仿宋"/>
          <w:sz w:val="28"/>
          <w:szCs w:val="28"/>
          <w:lang w:eastAsia="zh-CN"/>
        </w:rPr>
      </w:pPr>
      <w:r>
        <w:rPr>
          <w:rFonts w:hint="eastAsia" w:ascii="仿宋" w:hAnsi="仿宋" w:eastAsia="仿宋"/>
          <w:sz w:val="28"/>
          <w:szCs w:val="28"/>
          <w:lang w:val="en-US"/>
        </w:rPr>
        <w:t>在撤消授权的书面通知以前，本授权书一直有效。被授权人在授权书有效期内签署的所有文件不因授权的撤消而失效。</w:t>
      </w:r>
    </w:p>
    <w:p w14:paraId="50E23B94">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被授权人：                        供应商法定代表人：</w:t>
      </w:r>
    </w:p>
    <w:p w14:paraId="0A873837">
      <w:pPr>
        <w:pStyle w:val="11"/>
        <w:spacing w:line="360" w:lineRule="auto"/>
        <w:ind w:firstLine="420"/>
        <w:jc w:val="left"/>
        <w:rPr>
          <w:rFonts w:ascii="仿宋" w:hAnsi="仿宋" w:eastAsia="仿宋"/>
          <w:sz w:val="28"/>
          <w:szCs w:val="28"/>
        </w:rPr>
      </w:pPr>
      <w:r>
        <w:rPr>
          <w:rFonts w:hint="eastAsia" w:ascii="仿宋" w:hAnsi="仿宋" w:eastAsia="仿宋"/>
          <w:sz w:val="28"/>
          <w:szCs w:val="28"/>
          <w:lang w:val="en-US"/>
        </w:rPr>
        <w:t>（签字或盖章）                      （签字或盖章）</w:t>
      </w:r>
    </w:p>
    <w:p w14:paraId="631E67F4">
      <w:pPr>
        <w:pStyle w:val="11"/>
        <w:spacing w:line="360" w:lineRule="auto"/>
        <w:ind w:firstLine="420"/>
        <w:jc w:val="left"/>
        <w:rPr>
          <w:rFonts w:ascii="仿宋" w:hAnsi="仿宋" w:eastAsia="仿宋"/>
          <w:sz w:val="28"/>
          <w:szCs w:val="28"/>
        </w:rPr>
      </w:pPr>
    </w:p>
    <w:p w14:paraId="16C33547">
      <w:pPr>
        <w:pStyle w:val="11"/>
        <w:spacing w:line="360" w:lineRule="auto"/>
        <w:jc w:val="left"/>
        <w:rPr>
          <w:rFonts w:hint="eastAsia" w:ascii="仿宋" w:hAnsi="仿宋" w:eastAsia="仿宋"/>
          <w:sz w:val="28"/>
          <w:szCs w:val="28"/>
          <w:lang w:val="en-US" w:eastAsia="zh-CN"/>
        </w:rPr>
      </w:pPr>
      <w:r>
        <w:rPr>
          <w:rFonts w:hint="eastAsia" w:ascii="仿宋" w:hAnsi="仿宋" w:eastAsia="仿宋"/>
          <w:sz w:val="28"/>
          <w:szCs w:val="28"/>
          <w:lang w:val="en-US"/>
        </w:rPr>
        <w:t>附</w:t>
      </w:r>
      <w:r>
        <w:rPr>
          <w:rFonts w:hint="eastAsia" w:ascii="仿宋" w:hAnsi="仿宋" w:eastAsia="仿宋"/>
          <w:sz w:val="28"/>
          <w:szCs w:val="28"/>
          <w:lang w:val="en-US" w:eastAsia="zh-CN"/>
        </w:rPr>
        <w:t>:</w:t>
      </w:r>
      <w:r>
        <w:rPr>
          <w:rFonts w:hint="eastAsia" w:ascii="仿宋" w:hAnsi="仿宋" w:eastAsia="仿宋"/>
          <w:sz w:val="28"/>
          <w:szCs w:val="28"/>
          <w:lang w:val="en-US"/>
        </w:rPr>
        <w:t>被授权人身份证正反面复印件</w:t>
      </w:r>
      <w:r>
        <w:rPr>
          <w:rFonts w:hint="eastAsia" w:ascii="仿宋" w:hAnsi="仿宋" w:eastAsia="仿宋"/>
          <w:sz w:val="28"/>
          <w:szCs w:val="28"/>
          <w:lang w:val="en-US" w:eastAsia="zh-CN"/>
        </w:rPr>
        <w:t>。</w:t>
      </w:r>
    </w:p>
    <w:p w14:paraId="6510F0C7">
      <w:pPr>
        <w:pStyle w:val="11"/>
        <w:spacing w:line="360" w:lineRule="auto"/>
        <w:ind w:right="1120" w:firstLine="420"/>
        <w:jc w:val="right"/>
        <w:rPr>
          <w:rFonts w:ascii="仿宋" w:hAnsi="仿宋" w:eastAsia="仿宋"/>
          <w:sz w:val="28"/>
          <w:szCs w:val="28"/>
        </w:rPr>
      </w:pPr>
      <w:r>
        <w:rPr>
          <w:rFonts w:hint="eastAsia" w:ascii="仿宋" w:hAnsi="仿宋" w:eastAsia="仿宋"/>
          <w:sz w:val="28"/>
          <w:szCs w:val="28"/>
          <w:lang w:val="en-US"/>
        </w:rPr>
        <w:t>（供应商公章）</w:t>
      </w:r>
    </w:p>
    <w:p w14:paraId="75C87CDB">
      <w:pPr>
        <w:pStyle w:val="11"/>
        <w:spacing w:line="360" w:lineRule="auto"/>
        <w:ind w:right="560" w:firstLine="420"/>
        <w:jc w:val="center"/>
        <w:rPr>
          <w:rFonts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lang w:val="en-US"/>
        </w:rPr>
        <w:t>年   月   日</w:t>
      </w:r>
    </w:p>
    <w:p w14:paraId="174393C5">
      <w:pPr>
        <w:tabs>
          <w:tab w:val="left" w:pos="6300"/>
        </w:tabs>
        <w:snapToGrid w:val="0"/>
        <w:spacing w:line="500" w:lineRule="exact"/>
        <w:jc w:val="center"/>
        <w:rPr>
          <w:rFonts w:ascii="方正小标宋简体" w:hAnsi="仿宋" w:eastAsia="方正小标宋简体"/>
          <w:sz w:val="36"/>
          <w:szCs w:val="36"/>
        </w:rPr>
        <w:sectPr>
          <w:headerReference r:id="rId8" w:type="default"/>
          <w:footerReference r:id="rId10" w:type="default"/>
          <w:headerReference r:id="rId9" w:type="even"/>
          <w:footerReference r:id="rId11" w:type="even"/>
          <w:pgSz w:w="11906" w:h="16838"/>
          <w:pgMar w:top="1134" w:right="1418" w:bottom="1134" w:left="1701" w:header="851" w:footer="709" w:gutter="0"/>
          <w:cols w:space="720" w:num="1"/>
          <w:docGrid w:linePitch="312" w:charSpace="0"/>
        </w:sectPr>
      </w:pPr>
    </w:p>
    <w:p w14:paraId="18B16F3A">
      <w:pPr>
        <w:adjustRightInd w:val="0"/>
        <w:snapToGrid w:val="0"/>
        <w:spacing w:line="360" w:lineRule="auto"/>
        <w:ind w:firstLine="720"/>
        <w:jc w:val="center"/>
        <w:rPr>
          <w:rFonts w:ascii="方正小标宋简体" w:hAnsi="仿宋" w:eastAsia="方正小标宋简体"/>
          <w:sz w:val="36"/>
          <w:szCs w:val="36"/>
        </w:rPr>
      </w:pPr>
      <w:r>
        <w:rPr>
          <w:rFonts w:hint="eastAsia" w:ascii="方正小标宋简体" w:hAnsi="仿宋" w:eastAsia="方正小标宋简体"/>
          <w:bCs/>
          <w:sz w:val="36"/>
          <w:szCs w:val="36"/>
        </w:rPr>
        <w:t>（四）政府采购领域诚信承诺书</w:t>
      </w:r>
    </w:p>
    <w:p w14:paraId="0418EC76">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(单位名称或个人)，</w:t>
      </w:r>
    </w:p>
    <w:p w14:paraId="7C0E3ADE">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统一社会信用代码（个人身份证号）是具备《政府采购法》第二十二条件的供应商，本单位在参加克拉玛依地区政府采购活动时，承诺如下：</w:t>
      </w:r>
    </w:p>
    <w:p w14:paraId="1707A9BC">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（一）严格遵守国家法律、法规和规章，全面履行应尽的责任和义务。</w:t>
      </w:r>
    </w:p>
    <w:p w14:paraId="24854988">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二）保证参加政府采购活动时所提供资料均合法、真实、有效，并对所提供资料的真实性负责；我单位（个人）在参加政府采购活动前三年在经营活动中没有《政府采购法》第二十二条第五项所称重大违法记录。</w:t>
      </w:r>
    </w:p>
    <w:p w14:paraId="61B90BEE">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（三）承诺本单位（个人）自觉接受行政管理部门、行业组织、社会公众、新闻舆论的监督。</w:t>
      </w:r>
    </w:p>
    <w:p w14:paraId="452181BD">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（四）承诺本单位（个人）将按照信用管理要求，按照规定通过克拉玛依诚信网向社会公示信用信息。</w:t>
      </w:r>
    </w:p>
    <w:p w14:paraId="4E43CB68">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（五）承诺本单位（个人）不制假售假、商标侵权、虚假宣传、违约毁约、价格欺诈、垄断和不正当竞争，守合同、重信用，维护经营者、消费者的合法权益。</w:t>
      </w:r>
    </w:p>
    <w:p w14:paraId="61A581E7">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（六）失信主体承诺本单位（个人）依法依规接受处罚、主动积极整改、不再触犯相关法律法规、今后全面做到履约守信等。</w:t>
      </w:r>
    </w:p>
    <w:p w14:paraId="5F3C0881">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七）承诺本单位（个人）同意将以上承诺上网公示。若违背承诺约定，经查实，愿意接受行业主管部门和信用管理部门相应的规定处罚，承担违约责任，并依法承担相应的法律责任。自愿按照信用管理相关规定，违背承诺约定行为作为失信信息，记录到市公共信用信息管理系统平台，并予以公开。</w:t>
      </w:r>
    </w:p>
    <w:p w14:paraId="7DA4AE59">
      <w:pPr>
        <w:pStyle w:val="11"/>
        <w:spacing w:line="360" w:lineRule="auto"/>
        <w:ind w:firstLine="420"/>
        <w:jc w:val="left"/>
        <w:rPr>
          <w:rFonts w:hint="eastAsia" w:ascii="仿宋" w:hAnsi="仿宋" w:eastAsia="仿宋" w:cs="Times New Roman"/>
          <w:sz w:val="28"/>
          <w:szCs w:val="28"/>
          <w:lang w:val="en-US"/>
        </w:rPr>
      </w:pPr>
    </w:p>
    <w:p w14:paraId="7B13F483">
      <w:pPr>
        <w:pStyle w:val="11"/>
        <w:spacing w:line="360" w:lineRule="auto"/>
        <w:ind w:firstLine="420"/>
        <w:jc w:val="left"/>
        <w:rPr>
          <w:rFonts w:hint="eastAsia" w:ascii="仿宋" w:hAnsi="仿宋" w:eastAsia="仿宋" w:cs="Times New Roman"/>
          <w:sz w:val="28"/>
          <w:szCs w:val="28"/>
          <w:lang w:val="en-US"/>
        </w:rPr>
      </w:pPr>
    </w:p>
    <w:p w14:paraId="4DE6F9D3">
      <w:pPr>
        <w:pStyle w:val="11"/>
        <w:spacing w:line="360" w:lineRule="auto"/>
        <w:ind w:firstLine="420"/>
        <w:jc w:val="left"/>
        <w:rPr>
          <w:rFonts w:hint="eastAsia" w:ascii="仿宋" w:hAnsi="仿宋" w:eastAsia="仿宋" w:cs="Times New Roman"/>
          <w:sz w:val="28"/>
          <w:szCs w:val="28"/>
          <w:lang w:val="en-US"/>
        </w:rPr>
      </w:pPr>
      <w:r>
        <w:rPr>
          <w:rFonts w:hint="eastAsia" w:ascii="仿宋" w:hAnsi="仿宋" w:eastAsia="仿宋" w:cs="Times New Roman"/>
          <w:sz w:val="28"/>
          <w:szCs w:val="28"/>
          <w:lang w:val="en-US"/>
        </w:rPr>
        <w:t>单位名称或个人(公章或签名)</w:t>
      </w:r>
    </w:p>
    <w:p w14:paraId="04CC93A6">
      <w:pPr>
        <w:pStyle w:val="11"/>
        <w:spacing w:line="360" w:lineRule="auto"/>
        <w:ind w:firstLine="420"/>
        <w:jc w:val="left"/>
        <w:rPr>
          <w:rFonts w:hint="eastAsia" w:ascii="仿宋" w:hAnsi="仿宋" w:eastAsia="仿宋" w:cs="Times New Roman"/>
          <w:sz w:val="28"/>
          <w:szCs w:val="28"/>
          <w:lang w:val="en-US"/>
        </w:rPr>
        <w:sectPr>
          <w:pgSz w:w="11907" w:h="16840"/>
          <w:pgMar w:top="1440" w:right="1077" w:bottom="1440" w:left="1077" w:header="964" w:footer="992" w:gutter="0"/>
          <w:cols w:space="720" w:num="1"/>
          <w:docGrid w:linePitch="354" w:charSpace="0"/>
        </w:sectPr>
      </w:pPr>
      <w:r>
        <w:rPr>
          <w:rFonts w:hint="eastAsia" w:ascii="仿宋" w:hAnsi="仿宋" w:eastAsia="仿宋" w:cs="Times New Roman"/>
          <w:sz w:val="28"/>
          <w:szCs w:val="28"/>
          <w:lang w:val="en-US"/>
        </w:rPr>
        <w:t xml:space="preserve">     年   月   日</w:t>
      </w:r>
    </w:p>
    <w:p w14:paraId="411371A8">
      <w:pPr>
        <w:pStyle w:val="24"/>
        <w:ind w:left="0" w:leftChars="0" w:firstLine="0" w:firstLineChars="0"/>
        <w:rPr>
          <w:rFonts w:hint="eastAsia" w:ascii="方正小标宋简体" w:eastAsia="方正小标宋简体"/>
          <w:sz w:val="28"/>
          <w:szCs w:val="28"/>
        </w:rPr>
      </w:pPr>
      <w:r>
        <w:rPr>
          <w:rFonts w:hint="eastAsia" w:ascii="方正小标宋简体" w:eastAsia="方正小标宋简体"/>
          <w:sz w:val="28"/>
          <w:szCs w:val="28"/>
        </w:rPr>
        <w:t>（五）法律、行政法规规定的其他条件</w:t>
      </w:r>
    </w:p>
    <w:p w14:paraId="4EEA6F2D">
      <w:pPr>
        <w:tabs>
          <w:tab w:val="left" w:pos="6300"/>
        </w:tabs>
        <w:snapToGrid w:val="0"/>
        <w:spacing w:line="500" w:lineRule="exact"/>
        <w:rPr>
          <w:rFonts w:ascii="仿宋" w:hAnsi="仿宋" w:eastAsia="仿宋"/>
          <w:sz w:val="24"/>
          <w:szCs w:val="24"/>
        </w:rPr>
      </w:pPr>
    </w:p>
    <w:p w14:paraId="7FE5B067">
      <w:pPr>
        <w:ind w:firstLine="161" w:firstLineChars="50"/>
        <w:rPr>
          <w:rFonts w:ascii="方正小标宋简体" w:hAnsi="仿宋" w:eastAsia="方正小标宋简体"/>
          <w:b/>
          <w:sz w:val="32"/>
          <w:szCs w:val="32"/>
        </w:rPr>
        <w:sectPr>
          <w:pgSz w:w="11906" w:h="16838"/>
          <w:pgMar w:top="1134" w:right="1418" w:bottom="1134" w:left="1701" w:header="851" w:footer="709" w:gutter="0"/>
          <w:cols w:space="720" w:num="1"/>
          <w:docGrid w:linePitch="312" w:charSpace="0"/>
        </w:sectPr>
      </w:pPr>
      <w:bookmarkStart w:id="103" w:name="_Toc316479513"/>
      <w:bookmarkStart w:id="104" w:name="_Toc322965784"/>
    </w:p>
    <w:p w14:paraId="311B5DAD">
      <w:pPr>
        <w:ind w:firstLine="161" w:firstLineChars="50"/>
        <w:rPr>
          <w:rFonts w:ascii="方正小标宋简体" w:hAnsi="仿宋" w:eastAsia="方正小标宋简体"/>
          <w:b/>
          <w:sz w:val="32"/>
          <w:szCs w:val="32"/>
        </w:rPr>
      </w:pPr>
      <w:r>
        <w:rPr>
          <w:rFonts w:hint="eastAsia" w:ascii="方正小标宋简体" w:hAnsi="仿宋" w:eastAsia="方正小标宋简体"/>
          <w:b/>
          <w:sz w:val="32"/>
          <w:szCs w:val="32"/>
        </w:rPr>
        <w:t>三、商务文件</w:t>
      </w:r>
      <w:bookmarkEnd w:id="103"/>
      <w:bookmarkEnd w:id="104"/>
    </w:p>
    <w:p w14:paraId="54A8E47E">
      <w:pPr>
        <w:tabs>
          <w:tab w:val="left" w:pos="6300"/>
        </w:tabs>
        <w:snapToGrid w:val="0"/>
        <w:spacing w:line="500" w:lineRule="exact"/>
        <w:ind w:firstLine="570"/>
        <w:jc w:val="left"/>
        <w:rPr>
          <w:rFonts w:ascii="方正小标宋简体" w:hAnsi="仿宋" w:eastAsia="方正小标宋简体"/>
          <w:sz w:val="36"/>
          <w:szCs w:val="36"/>
        </w:rPr>
      </w:pPr>
    </w:p>
    <w:p w14:paraId="78DAB77C">
      <w:pPr>
        <w:tabs>
          <w:tab w:val="left" w:pos="6300"/>
        </w:tabs>
        <w:snapToGrid w:val="0"/>
        <w:spacing w:line="500" w:lineRule="exact"/>
        <w:jc w:val="center"/>
        <w:rPr>
          <w:rFonts w:ascii="方正小标宋简体" w:hAnsi="仿宋" w:eastAsia="方正小标宋简体"/>
          <w:sz w:val="36"/>
          <w:szCs w:val="36"/>
        </w:rPr>
      </w:pPr>
      <w:bookmarkStart w:id="105" w:name="_Toc161727398"/>
      <w:r>
        <w:rPr>
          <w:rFonts w:hint="eastAsia" w:ascii="方正小标宋简体" w:hAnsi="仿宋" w:eastAsia="方正小标宋简体"/>
          <w:sz w:val="36"/>
          <w:szCs w:val="36"/>
        </w:rPr>
        <w:t>（一）响  应  函</w:t>
      </w:r>
    </w:p>
    <w:p w14:paraId="15C0F3D6">
      <w:pPr>
        <w:pStyle w:val="11"/>
        <w:ind w:firstLine="560"/>
        <w:rPr>
          <w:rFonts w:ascii="仿宋" w:hAnsi="仿宋" w:eastAsia="仿宋"/>
          <w:sz w:val="28"/>
          <w:szCs w:val="28"/>
        </w:rPr>
      </w:pPr>
    </w:p>
    <w:p w14:paraId="22D9F271">
      <w:pPr>
        <w:pStyle w:val="11"/>
        <w:ind w:firstLine="560"/>
        <w:rPr>
          <w:rFonts w:ascii="仿宋" w:hAnsi="仿宋" w:eastAsia="仿宋"/>
          <w:sz w:val="28"/>
          <w:szCs w:val="28"/>
        </w:rPr>
      </w:pPr>
    </w:p>
    <w:p w14:paraId="5A5D4B70">
      <w:pPr>
        <w:pStyle w:val="11"/>
        <w:ind w:firstLine="480"/>
        <w:rPr>
          <w:rFonts w:hint="eastAsia" w:ascii="仿宋" w:hAnsi="仿宋" w:eastAsia="仿宋"/>
          <w:sz w:val="24"/>
          <w:szCs w:val="24"/>
          <w:u w:val="single"/>
          <w:lang w:eastAsia="zh-CN"/>
        </w:rPr>
      </w:pPr>
      <w:r>
        <w:rPr>
          <w:rFonts w:hint="eastAsia" w:ascii="仿宋" w:hAnsi="仿宋" w:eastAsia="仿宋"/>
          <w:sz w:val="24"/>
          <w:szCs w:val="24"/>
        </w:rPr>
        <w:t>致：</w:t>
      </w:r>
      <w:r>
        <w:rPr>
          <w:rFonts w:hint="eastAsia" w:ascii="仿宋" w:hAnsi="仿宋" w:eastAsia="仿宋"/>
          <w:sz w:val="24"/>
          <w:szCs w:val="24"/>
          <w:u w:val="single"/>
          <w:lang w:eastAsia="zh-CN"/>
        </w:rPr>
        <w:t>白碱滩区机关事务服务中心</w:t>
      </w:r>
    </w:p>
    <w:p w14:paraId="76F8158E">
      <w:pPr>
        <w:pStyle w:val="11"/>
        <w:ind w:firstLine="480"/>
        <w:jc w:val="left"/>
        <w:rPr>
          <w:rFonts w:ascii="仿宋" w:hAnsi="仿宋" w:eastAsia="仿宋"/>
          <w:sz w:val="24"/>
          <w:szCs w:val="24"/>
        </w:rPr>
      </w:pPr>
    </w:p>
    <w:p w14:paraId="588CD806">
      <w:pPr>
        <w:pStyle w:val="11"/>
        <w:ind w:firstLine="480"/>
        <w:jc w:val="left"/>
        <w:rPr>
          <w:rFonts w:ascii="仿宋" w:hAnsi="仿宋" w:eastAsia="仿宋"/>
          <w:sz w:val="24"/>
          <w:szCs w:val="24"/>
        </w:rPr>
      </w:pPr>
      <w:r>
        <w:rPr>
          <w:rFonts w:hint="eastAsia" w:ascii="仿宋" w:hAnsi="仿宋" w:eastAsia="仿宋"/>
          <w:sz w:val="24"/>
          <w:szCs w:val="24"/>
        </w:rPr>
        <w:t>根据贵方</w:t>
      </w:r>
      <w:r>
        <w:rPr>
          <w:rFonts w:hint="eastAsia" w:ascii="仿宋" w:hAnsi="仿宋" w:eastAsia="仿宋"/>
          <w:sz w:val="24"/>
          <w:szCs w:val="24"/>
          <w:u w:val="single"/>
        </w:rPr>
        <w:t xml:space="preserve">                </w:t>
      </w:r>
      <w:r>
        <w:rPr>
          <w:rFonts w:hint="eastAsia" w:ascii="仿宋" w:hAnsi="仿宋" w:eastAsia="仿宋"/>
          <w:sz w:val="24"/>
          <w:szCs w:val="24"/>
        </w:rPr>
        <w:t>项目的采购文件（编号</w:t>
      </w:r>
      <w:r>
        <w:rPr>
          <w:rFonts w:hint="eastAsia" w:ascii="仿宋" w:hAnsi="仿宋" w:eastAsia="仿宋"/>
          <w:sz w:val="24"/>
          <w:szCs w:val="24"/>
          <w:u w:val="single"/>
        </w:rPr>
        <w:t xml:space="preserve">        </w:t>
      </w:r>
      <w:r>
        <w:rPr>
          <w:rFonts w:hint="eastAsia" w:ascii="仿宋" w:hAnsi="仿宋" w:eastAsia="仿宋"/>
          <w:sz w:val="24"/>
          <w:szCs w:val="24"/>
        </w:rPr>
        <w:t>），正式授权下述签字人</w:t>
      </w:r>
      <w:r>
        <w:rPr>
          <w:rFonts w:hint="eastAsia" w:ascii="仿宋" w:hAnsi="仿宋" w:eastAsia="仿宋"/>
          <w:sz w:val="24"/>
          <w:szCs w:val="24"/>
          <w:u w:val="single"/>
        </w:rPr>
        <w:t xml:space="preserve">                        </w:t>
      </w:r>
      <w:r>
        <w:rPr>
          <w:rFonts w:hint="eastAsia" w:ascii="仿宋" w:hAnsi="仿宋" w:eastAsia="仿宋"/>
          <w:sz w:val="24"/>
          <w:szCs w:val="24"/>
        </w:rPr>
        <w:t>（姓名和职务）代表供应商</w:t>
      </w:r>
      <w:r>
        <w:rPr>
          <w:rFonts w:hint="eastAsia" w:ascii="仿宋" w:hAnsi="仿宋" w:eastAsia="仿宋"/>
          <w:sz w:val="24"/>
          <w:szCs w:val="24"/>
          <w:u w:val="single"/>
        </w:rPr>
        <w:t xml:space="preserve">                                  </w:t>
      </w:r>
      <w:r>
        <w:rPr>
          <w:rFonts w:hint="eastAsia" w:ascii="仿宋" w:hAnsi="仿宋" w:eastAsia="仿宋"/>
          <w:sz w:val="24"/>
          <w:szCs w:val="24"/>
        </w:rPr>
        <w:t>供应商的名称），提交下述文件。</w:t>
      </w:r>
    </w:p>
    <w:p w14:paraId="43BBD4E3">
      <w:pPr>
        <w:ind w:firstLine="480"/>
        <w:rPr>
          <w:rFonts w:ascii="仿宋" w:hAnsi="仿宋" w:eastAsia="仿宋"/>
          <w:sz w:val="24"/>
          <w:szCs w:val="24"/>
        </w:rPr>
      </w:pPr>
      <w:r>
        <w:rPr>
          <w:rFonts w:hint="eastAsia" w:ascii="仿宋" w:hAnsi="仿宋" w:eastAsia="仿宋"/>
          <w:sz w:val="24"/>
          <w:szCs w:val="24"/>
        </w:rPr>
        <w:t>（1）响应函；</w:t>
      </w:r>
    </w:p>
    <w:p w14:paraId="219ACA6D">
      <w:pPr>
        <w:ind w:firstLine="480"/>
        <w:rPr>
          <w:rFonts w:ascii="仿宋" w:hAnsi="仿宋" w:eastAsia="仿宋"/>
          <w:sz w:val="24"/>
          <w:szCs w:val="24"/>
        </w:rPr>
      </w:pPr>
      <w:r>
        <w:rPr>
          <w:rFonts w:hint="eastAsia" w:ascii="仿宋" w:hAnsi="仿宋" w:eastAsia="仿宋"/>
          <w:sz w:val="24"/>
          <w:szCs w:val="24"/>
        </w:rPr>
        <w:t>（2）服务承诺</w:t>
      </w:r>
    </w:p>
    <w:p w14:paraId="74938B83">
      <w:pPr>
        <w:ind w:firstLine="480"/>
        <w:rPr>
          <w:rFonts w:ascii="仿宋" w:hAnsi="仿宋" w:eastAsia="仿宋"/>
          <w:sz w:val="24"/>
          <w:szCs w:val="24"/>
        </w:rPr>
      </w:pPr>
      <w:r>
        <w:rPr>
          <w:rFonts w:hint="eastAsia" w:ascii="仿宋" w:hAnsi="仿宋" w:eastAsia="仿宋"/>
          <w:sz w:val="24"/>
          <w:szCs w:val="24"/>
        </w:rPr>
        <w:t>（3）与此次</w:t>
      </w:r>
      <w:r>
        <w:rPr>
          <w:rFonts w:hint="eastAsia" w:ascii="仿宋" w:hAnsi="仿宋" w:eastAsia="仿宋"/>
          <w:sz w:val="24"/>
          <w:szCs w:val="24"/>
          <w:lang w:val="en-US" w:eastAsia="zh-CN"/>
        </w:rPr>
        <w:t>投标</w:t>
      </w:r>
      <w:r>
        <w:rPr>
          <w:rFonts w:hint="eastAsia" w:ascii="仿宋" w:hAnsi="仿宋" w:eastAsia="仿宋"/>
          <w:sz w:val="24"/>
          <w:szCs w:val="24"/>
        </w:rPr>
        <w:t>有关的商务、技术文件</w:t>
      </w:r>
    </w:p>
    <w:p w14:paraId="40E36058">
      <w:pPr>
        <w:pStyle w:val="11"/>
        <w:ind w:firstLine="480"/>
        <w:jc w:val="left"/>
        <w:rPr>
          <w:rFonts w:ascii="仿宋" w:hAnsi="仿宋" w:eastAsia="仿宋"/>
          <w:sz w:val="24"/>
          <w:szCs w:val="24"/>
        </w:rPr>
      </w:pPr>
    </w:p>
    <w:p w14:paraId="12F709F2">
      <w:pPr>
        <w:pStyle w:val="11"/>
        <w:ind w:firstLine="480"/>
        <w:jc w:val="left"/>
        <w:rPr>
          <w:rFonts w:ascii="仿宋" w:hAnsi="仿宋" w:eastAsia="仿宋"/>
          <w:sz w:val="24"/>
          <w:szCs w:val="24"/>
        </w:rPr>
      </w:pPr>
      <w:r>
        <w:rPr>
          <w:rFonts w:hint="eastAsia" w:ascii="仿宋" w:hAnsi="仿宋" w:eastAsia="仿宋"/>
          <w:sz w:val="24"/>
          <w:szCs w:val="24"/>
        </w:rPr>
        <w:t>据此函，签字人兹宣布同意如下：</w:t>
      </w:r>
    </w:p>
    <w:p w14:paraId="26A1BD68">
      <w:pPr>
        <w:pStyle w:val="11"/>
        <w:ind w:firstLine="480"/>
        <w:rPr>
          <w:rFonts w:ascii="仿宋" w:hAnsi="仿宋" w:eastAsia="仿宋"/>
          <w:sz w:val="24"/>
          <w:szCs w:val="24"/>
        </w:rPr>
      </w:pPr>
      <w:r>
        <w:rPr>
          <w:rFonts w:hint="eastAsia" w:ascii="仿宋" w:hAnsi="仿宋" w:eastAsia="仿宋"/>
          <w:sz w:val="24"/>
          <w:szCs w:val="24"/>
        </w:rPr>
        <w:t>1、我们承担根据采购文件的规定，完成合同的责任和义务。</w:t>
      </w:r>
    </w:p>
    <w:p w14:paraId="3E148C35">
      <w:pPr>
        <w:pStyle w:val="11"/>
        <w:ind w:firstLine="480"/>
        <w:rPr>
          <w:rFonts w:ascii="仿宋" w:hAnsi="仿宋" w:eastAsia="仿宋"/>
          <w:sz w:val="24"/>
          <w:szCs w:val="24"/>
        </w:rPr>
      </w:pPr>
      <w:r>
        <w:rPr>
          <w:rFonts w:hint="eastAsia" w:ascii="仿宋" w:hAnsi="仿宋" w:eastAsia="仿宋"/>
          <w:sz w:val="24"/>
          <w:szCs w:val="24"/>
        </w:rPr>
        <w:t>2、我们已详细审核全部采购文件，参考资料及有关附件，我们完全理解并同意放弃对这方面有不明或误解的权利。</w:t>
      </w:r>
    </w:p>
    <w:p w14:paraId="3867140E">
      <w:pPr>
        <w:pStyle w:val="11"/>
        <w:ind w:firstLine="480"/>
        <w:rPr>
          <w:rFonts w:ascii="仿宋" w:hAnsi="仿宋" w:eastAsia="仿宋"/>
          <w:sz w:val="24"/>
          <w:szCs w:val="24"/>
        </w:rPr>
      </w:pPr>
      <w:r>
        <w:rPr>
          <w:rFonts w:hint="eastAsia" w:ascii="仿宋" w:hAnsi="仿宋" w:eastAsia="仿宋"/>
          <w:sz w:val="24"/>
          <w:szCs w:val="24"/>
        </w:rPr>
        <w:t>3、我们同意在供应商须知规定的截止日期起遵循本响应文件，并在供应商须知规定的有效期满之前均具有约束力，并有可能成交。</w:t>
      </w:r>
    </w:p>
    <w:p w14:paraId="17B74460">
      <w:pPr>
        <w:pStyle w:val="11"/>
        <w:ind w:firstLine="480"/>
        <w:rPr>
          <w:rFonts w:ascii="仿宋" w:hAnsi="仿宋" w:eastAsia="仿宋"/>
          <w:sz w:val="24"/>
          <w:szCs w:val="24"/>
        </w:rPr>
      </w:pPr>
      <w:r>
        <w:rPr>
          <w:rFonts w:hint="eastAsia" w:ascii="仿宋" w:hAnsi="仿宋" w:eastAsia="仿宋"/>
          <w:sz w:val="24"/>
          <w:szCs w:val="24"/>
        </w:rPr>
        <w:t>4、同意向贵方提供贵方可能要求的与本</w:t>
      </w:r>
      <w:r>
        <w:rPr>
          <w:rFonts w:hint="eastAsia" w:ascii="仿宋" w:hAnsi="仿宋" w:eastAsia="仿宋"/>
          <w:sz w:val="24"/>
          <w:szCs w:val="24"/>
          <w:lang w:val="en-US" w:eastAsia="zh-CN"/>
        </w:rPr>
        <w:t>投标</w:t>
      </w:r>
      <w:r>
        <w:rPr>
          <w:rFonts w:hint="eastAsia" w:ascii="仿宋" w:hAnsi="仿宋" w:eastAsia="仿宋"/>
          <w:sz w:val="24"/>
          <w:szCs w:val="24"/>
        </w:rPr>
        <w:t>有关的任何数据或资料。</w:t>
      </w:r>
    </w:p>
    <w:p w14:paraId="36A12FAD">
      <w:pPr>
        <w:pStyle w:val="11"/>
        <w:ind w:firstLine="480"/>
        <w:rPr>
          <w:rFonts w:ascii="仿宋" w:hAnsi="仿宋" w:eastAsia="仿宋"/>
          <w:sz w:val="24"/>
          <w:szCs w:val="24"/>
        </w:rPr>
      </w:pPr>
      <w:r>
        <w:rPr>
          <w:rFonts w:hint="eastAsia" w:ascii="仿宋" w:hAnsi="仿宋" w:eastAsia="仿宋"/>
          <w:sz w:val="24"/>
          <w:szCs w:val="24"/>
        </w:rPr>
        <w:t>5、我们完全理解贵方有权决定成交供应商。</w:t>
      </w:r>
    </w:p>
    <w:p w14:paraId="0940F7E7">
      <w:pPr>
        <w:pStyle w:val="11"/>
        <w:ind w:firstLine="480"/>
        <w:rPr>
          <w:rFonts w:ascii="仿宋" w:hAnsi="仿宋" w:eastAsia="仿宋"/>
          <w:sz w:val="24"/>
          <w:szCs w:val="24"/>
        </w:rPr>
      </w:pPr>
    </w:p>
    <w:p w14:paraId="24AB81E6">
      <w:pPr>
        <w:pStyle w:val="11"/>
        <w:pageBreakBefore w:val="0"/>
        <w:kinsoku/>
        <w:topLinePunct w:val="0"/>
        <w:bidi w:val="0"/>
        <w:spacing w:line="560" w:lineRule="exact"/>
        <w:ind w:firstLine="480"/>
        <w:rPr>
          <w:rFonts w:ascii="仿宋" w:hAnsi="仿宋" w:eastAsia="仿宋"/>
          <w:sz w:val="24"/>
          <w:szCs w:val="24"/>
        </w:rPr>
      </w:pPr>
      <w:r>
        <w:rPr>
          <w:rFonts w:hint="eastAsia" w:ascii="仿宋" w:hAnsi="仿宋" w:eastAsia="仿宋"/>
          <w:color w:val="auto"/>
          <w:sz w:val="24"/>
          <w:szCs w:val="24"/>
          <w:highlight w:val="none"/>
        </w:rPr>
        <w:t>与本次投标有关的正式通讯地址为：</w:t>
      </w:r>
    </w:p>
    <w:p w14:paraId="43638247">
      <w:pPr>
        <w:pStyle w:val="11"/>
        <w:ind w:firstLine="480"/>
        <w:rPr>
          <w:rFonts w:ascii="仿宋" w:hAnsi="仿宋" w:eastAsia="仿宋"/>
          <w:sz w:val="24"/>
          <w:szCs w:val="24"/>
        </w:rPr>
      </w:pPr>
    </w:p>
    <w:p w14:paraId="7ADDD326">
      <w:pPr>
        <w:pStyle w:val="11"/>
        <w:ind w:firstLine="480"/>
        <w:rPr>
          <w:rFonts w:ascii="仿宋" w:hAnsi="仿宋" w:eastAsia="仿宋"/>
          <w:sz w:val="24"/>
          <w:szCs w:val="24"/>
          <w:u w:val="single"/>
        </w:rPr>
      </w:pPr>
      <w:r>
        <w:rPr>
          <w:rFonts w:hint="eastAsia" w:ascii="仿宋" w:hAnsi="仿宋" w:eastAsia="仿宋"/>
          <w:sz w:val="24"/>
          <w:szCs w:val="24"/>
        </w:rPr>
        <w:t>地址：</w:t>
      </w:r>
      <w:r>
        <w:rPr>
          <w:rFonts w:hint="eastAsia" w:ascii="仿宋" w:hAnsi="仿宋" w:eastAsia="仿宋"/>
          <w:sz w:val="24"/>
          <w:szCs w:val="24"/>
          <w:u w:val="single"/>
        </w:rPr>
        <w:t xml:space="preserve">                          </w:t>
      </w:r>
      <w:r>
        <w:rPr>
          <w:rFonts w:hint="eastAsia" w:ascii="仿宋" w:hAnsi="仿宋" w:eastAsia="仿宋"/>
          <w:sz w:val="24"/>
          <w:szCs w:val="24"/>
        </w:rPr>
        <w:t xml:space="preserve">  邮编：</w:t>
      </w:r>
      <w:r>
        <w:rPr>
          <w:rFonts w:hint="eastAsia" w:ascii="仿宋" w:hAnsi="仿宋" w:eastAsia="仿宋"/>
          <w:sz w:val="24"/>
          <w:szCs w:val="24"/>
          <w:u w:val="single"/>
        </w:rPr>
        <w:t xml:space="preserve">                 </w:t>
      </w:r>
    </w:p>
    <w:p w14:paraId="3E70391B">
      <w:pPr>
        <w:pStyle w:val="11"/>
        <w:ind w:firstLine="480"/>
        <w:rPr>
          <w:rFonts w:ascii="仿宋" w:hAnsi="仿宋" w:eastAsia="仿宋"/>
          <w:sz w:val="24"/>
          <w:szCs w:val="24"/>
          <w:u w:val="single"/>
        </w:rPr>
      </w:pPr>
      <w:r>
        <w:rPr>
          <w:rFonts w:hint="eastAsia" w:ascii="仿宋" w:hAnsi="仿宋" w:eastAsia="仿宋"/>
          <w:sz w:val="24"/>
          <w:szCs w:val="24"/>
        </w:rPr>
        <w:t>电话、传真：</w:t>
      </w:r>
      <w:r>
        <w:rPr>
          <w:rFonts w:hint="eastAsia" w:ascii="仿宋" w:hAnsi="仿宋" w:eastAsia="仿宋"/>
          <w:sz w:val="24"/>
          <w:szCs w:val="24"/>
          <w:u w:val="single"/>
        </w:rPr>
        <w:t xml:space="preserve">                                             </w:t>
      </w:r>
    </w:p>
    <w:p w14:paraId="3C46FA6E">
      <w:pPr>
        <w:pStyle w:val="11"/>
        <w:ind w:firstLine="480"/>
        <w:rPr>
          <w:rFonts w:ascii="仿宋" w:hAnsi="仿宋" w:eastAsia="仿宋"/>
          <w:sz w:val="24"/>
          <w:szCs w:val="24"/>
          <w:u w:val="single"/>
        </w:rPr>
      </w:pPr>
      <w:r>
        <w:rPr>
          <w:rFonts w:hint="eastAsia" w:ascii="仿宋" w:hAnsi="仿宋" w:eastAsia="仿宋"/>
          <w:sz w:val="24"/>
          <w:szCs w:val="24"/>
        </w:rPr>
        <w:t>开户银行：</w:t>
      </w:r>
      <w:r>
        <w:rPr>
          <w:rFonts w:hint="eastAsia" w:ascii="仿宋" w:hAnsi="仿宋" w:eastAsia="仿宋"/>
          <w:sz w:val="24"/>
          <w:szCs w:val="24"/>
          <w:u w:val="single"/>
        </w:rPr>
        <w:t xml:space="preserve">                                               </w:t>
      </w:r>
    </w:p>
    <w:p w14:paraId="220DE88A">
      <w:pPr>
        <w:pStyle w:val="11"/>
        <w:ind w:firstLine="480"/>
        <w:rPr>
          <w:rFonts w:ascii="仿宋" w:hAnsi="仿宋" w:eastAsia="仿宋"/>
          <w:sz w:val="24"/>
          <w:szCs w:val="24"/>
        </w:rPr>
      </w:pPr>
      <w:r>
        <w:rPr>
          <w:rFonts w:hint="eastAsia" w:ascii="仿宋" w:hAnsi="仿宋" w:eastAsia="仿宋"/>
          <w:sz w:val="24"/>
          <w:szCs w:val="24"/>
        </w:rPr>
        <w:t>银行账号：</w:t>
      </w:r>
      <w:r>
        <w:rPr>
          <w:rFonts w:hint="eastAsia" w:ascii="仿宋" w:hAnsi="仿宋" w:eastAsia="仿宋"/>
          <w:sz w:val="24"/>
          <w:szCs w:val="24"/>
          <w:u w:val="single"/>
        </w:rPr>
        <w:t xml:space="preserve">                                               </w:t>
      </w:r>
    </w:p>
    <w:p w14:paraId="18F28791">
      <w:pPr>
        <w:pStyle w:val="11"/>
        <w:ind w:firstLine="480"/>
        <w:rPr>
          <w:rFonts w:ascii="仿宋" w:hAnsi="仿宋" w:eastAsia="仿宋"/>
          <w:sz w:val="24"/>
          <w:szCs w:val="24"/>
          <w:u w:val="single"/>
        </w:rPr>
      </w:pPr>
      <w:r>
        <w:rPr>
          <w:rFonts w:hint="eastAsia" w:ascii="仿宋" w:hAnsi="仿宋" w:eastAsia="仿宋"/>
          <w:sz w:val="24"/>
          <w:szCs w:val="24"/>
        </w:rPr>
        <w:t>供应商代表姓名：</w:t>
      </w:r>
      <w:r>
        <w:rPr>
          <w:rFonts w:hint="eastAsia" w:ascii="仿宋" w:hAnsi="仿宋" w:eastAsia="仿宋"/>
          <w:sz w:val="24"/>
          <w:szCs w:val="24"/>
          <w:u w:val="single"/>
        </w:rPr>
        <w:t xml:space="preserve">                  </w:t>
      </w:r>
      <w:r>
        <w:rPr>
          <w:rFonts w:hint="eastAsia" w:ascii="仿宋" w:hAnsi="仿宋" w:eastAsia="仿宋"/>
          <w:sz w:val="24"/>
          <w:szCs w:val="24"/>
        </w:rPr>
        <w:t xml:space="preserve"> 职务：</w:t>
      </w:r>
      <w:r>
        <w:rPr>
          <w:rFonts w:hint="eastAsia" w:ascii="仿宋" w:hAnsi="仿宋" w:eastAsia="仿宋"/>
          <w:sz w:val="24"/>
          <w:szCs w:val="24"/>
          <w:u w:val="single"/>
        </w:rPr>
        <w:t xml:space="preserve">                </w:t>
      </w:r>
    </w:p>
    <w:p w14:paraId="46D7F5D9">
      <w:pPr>
        <w:pStyle w:val="11"/>
        <w:ind w:firstLine="480"/>
        <w:rPr>
          <w:rFonts w:ascii="仿宋" w:hAnsi="仿宋" w:eastAsia="仿宋"/>
          <w:sz w:val="24"/>
          <w:szCs w:val="24"/>
        </w:rPr>
      </w:pPr>
      <w:r>
        <w:rPr>
          <w:rFonts w:hint="eastAsia" w:ascii="仿宋" w:hAnsi="仿宋" w:eastAsia="仿宋"/>
          <w:sz w:val="24"/>
          <w:szCs w:val="24"/>
        </w:rPr>
        <w:t>供应商联系电话：</w:t>
      </w:r>
      <w:r>
        <w:rPr>
          <w:rFonts w:hint="eastAsia" w:ascii="仿宋" w:hAnsi="仿宋" w:eastAsia="仿宋"/>
          <w:sz w:val="24"/>
          <w:szCs w:val="24"/>
          <w:u w:val="single"/>
        </w:rPr>
        <w:t xml:space="preserve">                   </w:t>
      </w:r>
      <w:r>
        <w:rPr>
          <w:rFonts w:hint="eastAsia" w:ascii="仿宋" w:hAnsi="仿宋" w:eastAsia="仿宋"/>
          <w:sz w:val="24"/>
          <w:szCs w:val="24"/>
        </w:rPr>
        <w:t>手机：</w:t>
      </w:r>
      <w:r>
        <w:rPr>
          <w:rFonts w:hint="eastAsia" w:ascii="仿宋" w:hAnsi="仿宋" w:eastAsia="仿宋"/>
          <w:sz w:val="24"/>
          <w:szCs w:val="24"/>
          <w:u w:val="single"/>
        </w:rPr>
        <w:t xml:space="preserve">                   </w:t>
      </w:r>
    </w:p>
    <w:p w14:paraId="68786B5D">
      <w:pPr>
        <w:pStyle w:val="11"/>
        <w:ind w:firstLine="480"/>
        <w:rPr>
          <w:rFonts w:ascii="仿宋" w:hAnsi="仿宋" w:eastAsia="仿宋"/>
          <w:sz w:val="24"/>
          <w:szCs w:val="24"/>
        </w:rPr>
      </w:pPr>
      <w:r>
        <w:rPr>
          <w:rFonts w:hint="eastAsia" w:ascii="仿宋" w:hAnsi="仿宋" w:eastAsia="仿宋"/>
          <w:sz w:val="24"/>
          <w:szCs w:val="24"/>
        </w:rPr>
        <w:t>法定代表人（或授权代理人）签名：</w:t>
      </w:r>
      <w:r>
        <w:rPr>
          <w:rFonts w:hint="eastAsia" w:ascii="仿宋" w:hAnsi="仿宋" w:eastAsia="仿宋"/>
          <w:sz w:val="24"/>
          <w:szCs w:val="24"/>
          <w:u w:val="single"/>
        </w:rPr>
        <w:t xml:space="preserve">                             </w:t>
      </w:r>
    </w:p>
    <w:p w14:paraId="7F984D92">
      <w:pPr>
        <w:ind w:firstLine="480"/>
        <w:rPr>
          <w:rFonts w:ascii="仿宋" w:hAnsi="仿宋" w:eastAsia="仿宋"/>
          <w:sz w:val="24"/>
          <w:szCs w:val="24"/>
          <w:u w:val="single"/>
        </w:rPr>
      </w:pPr>
      <w:r>
        <w:rPr>
          <w:rFonts w:hint="eastAsia" w:ascii="仿宋" w:hAnsi="仿宋" w:eastAsia="仿宋"/>
          <w:sz w:val="24"/>
          <w:szCs w:val="24"/>
        </w:rPr>
        <w:t>日期：</w:t>
      </w:r>
      <w:r>
        <w:rPr>
          <w:rFonts w:hint="eastAsia" w:ascii="仿宋" w:hAnsi="仿宋" w:eastAsia="仿宋"/>
          <w:sz w:val="24"/>
          <w:szCs w:val="24"/>
          <w:u w:val="single"/>
        </w:rPr>
        <w:t xml:space="preserve">          年    月    日</w:t>
      </w:r>
    </w:p>
    <w:p w14:paraId="6B9420CF">
      <w:pPr>
        <w:widowControl/>
        <w:jc w:val="left"/>
        <w:rPr>
          <w:rFonts w:ascii="仿宋" w:hAnsi="仿宋" w:eastAsia="仿宋"/>
          <w:sz w:val="24"/>
          <w:szCs w:val="24"/>
        </w:rPr>
      </w:pPr>
      <w:r>
        <w:rPr>
          <w:rFonts w:ascii="仿宋" w:hAnsi="仿宋" w:eastAsia="仿宋"/>
          <w:b/>
          <w:sz w:val="24"/>
          <w:szCs w:val="24"/>
        </w:rPr>
        <w:br w:type="page"/>
      </w:r>
      <w:r>
        <w:rPr>
          <w:rFonts w:hint="eastAsia" w:ascii="方正小标宋简体" w:hAnsi="仿宋" w:eastAsia="方正小标宋简体"/>
          <w:sz w:val="36"/>
          <w:szCs w:val="36"/>
        </w:rPr>
        <w:t xml:space="preserve"> </w:t>
      </w:r>
    </w:p>
    <w:p w14:paraId="42AF1539">
      <w:pPr>
        <w:spacing w:line="360" w:lineRule="auto"/>
        <w:ind w:firstLine="720"/>
        <w:jc w:val="center"/>
        <w:rPr>
          <w:rFonts w:ascii="方正小标宋简体" w:hAnsi="仿宋" w:eastAsia="方正小标宋简体"/>
          <w:bCs/>
          <w:kern w:val="36"/>
          <w:sz w:val="36"/>
          <w:szCs w:val="36"/>
        </w:rPr>
      </w:pPr>
      <w:r>
        <w:rPr>
          <w:rFonts w:hint="eastAsia" w:ascii="方正小标宋简体" w:hAnsi="仿宋" w:eastAsia="方正小标宋简体"/>
          <w:bCs/>
          <w:kern w:val="36"/>
          <w:sz w:val="36"/>
          <w:szCs w:val="36"/>
        </w:rPr>
        <w:t>（二）中小企业声明函（货物）</w:t>
      </w:r>
    </w:p>
    <w:p w14:paraId="6D623B7A">
      <w:pPr>
        <w:spacing w:line="360" w:lineRule="auto"/>
        <w:ind w:firstLine="480"/>
        <w:rPr>
          <w:rFonts w:ascii="仿宋" w:hAnsi="仿宋" w:eastAsia="仿宋"/>
          <w:sz w:val="24"/>
          <w:szCs w:val="24"/>
        </w:rPr>
      </w:pPr>
      <w:r>
        <w:rPr>
          <w:rFonts w:hint="eastAsia" w:ascii="仿宋" w:hAnsi="仿宋" w:eastAsia="仿宋"/>
          <w:sz w:val="24"/>
          <w:szCs w:val="24"/>
        </w:rPr>
        <w:t>本公司（联合体）郑重声明，根据《政府采购促进中小企业发展管理办法》（财库﹝2020﹞46 号）的规定，本公司（联合体）参加</w:t>
      </w:r>
      <w:r>
        <w:rPr>
          <w:rFonts w:hint="eastAsia" w:ascii="仿宋" w:hAnsi="仿宋" w:eastAsia="仿宋"/>
          <w:sz w:val="24"/>
          <w:szCs w:val="24"/>
          <w:u w:val="single"/>
        </w:rPr>
        <w:t xml:space="preserve">         </w:t>
      </w:r>
      <w:r>
        <w:rPr>
          <w:rFonts w:hint="eastAsia" w:ascii="仿宋" w:hAnsi="仿宋" w:eastAsia="仿宋"/>
          <w:sz w:val="24"/>
          <w:szCs w:val="24"/>
        </w:rPr>
        <w:t>（单位名称） 的</w:t>
      </w:r>
      <w:r>
        <w:rPr>
          <w:rFonts w:hint="eastAsia" w:ascii="仿宋" w:hAnsi="仿宋" w:eastAsia="仿宋"/>
          <w:sz w:val="24"/>
          <w:szCs w:val="24"/>
          <w:u w:val="single"/>
        </w:rPr>
        <w:t xml:space="preserve">           </w:t>
      </w:r>
      <w:r>
        <w:rPr>
          <w:rFonts w:hint="eastAsia" w:ascii="仿宋" w:hAnsi="仿宋" w:eastAsia="仿宋"/>
          <w:sz w:val="24"/>
          <w:szCs w:val="24"/>
        </w:rPr>
        <w:t>（项目名称）采购活动，提供的货物全部由符合政策要求的中小企业制造。相关企业（含联合体中的中小企业、签订分包意向协议的中小企业）的具体情况如下：</w:t>
      </w:r>
    </w:p>
    <w:p w14:paraId="626F36AA">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sz w:val="24"/>
          <w:szCs w:val="24"/>
        </w:rPr>
      </w:pPr>
      <w:r>
        <w:rPr>
          <w:rFonts w:hint="eastAsia" w:ascii="仿宋" w:hAnsi="仿宋" w:eastAsia="仿宋" w:cs="宋体"/>
          <w:sz w:val="24"/>
        </w:rPr>
        <w:t xml:space="preserve">1. </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r>
        <w:rPr>
          <w:rFonts w:hint="eastAsia" w:ascii="仿宋" w:hAnsi="仿宋" w:eastAsia="仿宋"/>
          <w:sz w:val="24"/>
          <w:szCs w:val="24"/>
          <w:u w:val="single"/>
        </w:rPr>
        <w:t xml:space="preserve">      </w:t>
      </w:r>
      <w:r>
        <w:rPr>
          <w:rFonts w:hint="eastAsia" w:ascii="仿宋" w:hAnsi="仿宋" w:eastAsia="仿宋"/>
          <w:sz w:val="24"/>
          <w:szCs w:val="24"/>
        </w:rPr>
        <w:t>（标的名称），属于</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工业</w:t>
      </w:r>
      <w:r>
        <w:rPr>
          <w:rFonts w:hint="eastAsia" w:ascii="仿宋" w:hAnsi="仿宋" w:eastAsia="仿宋"/>
          <w:sz w:val="24"/>
          <w:szCs w:val="24"/>
          <w:u w:val="single"/>
        </w:rPr>
        <w:t xml:space="preserve">    </w:t>
      </w:r>
      <w:r>
        <w:rPr>
          <w:rFonts w:hint="eastAsia" w:ascii="仿宋" w:hAnsi="仿宋" w:eastAsia="仿宋"/>
          <w:sz w:val="24"/>
          <w:szCs w:val="24"/>
        </w:rPr>
        <w:t xml:space="preserve"> （采购文件中明确的所属行业）；制造商为</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r>
        <w:rPr>
          <w:rFonts w:hint="eastAsia" w:ascii="仿宋" w:hAnsi="仿宋" w:eastAsia="仿宋"/>
          <w:sz w:val="24"/>
          <w:szCs w:val="24"/>
        </w:rPr>
        <w:t>（企业名称），从业人员</w:t>
      </w:r>
      <w:r>
        <w:rPr>
          <w:rFonts w:hint="eastAsia" w:ascii="仿宋" w:hAnsi="仿宋" w:eastAsia="仿宋"/>
          <w:sz w:val="24"/>
          <w:szCs w:val="24"/>
          <w:u w:val="single"/>
        </w:rPr>
        <w:t xml:space="preserve">   </w:t>
      </w:r>
      <w:r>
        <w:rPr>
          <w:rFonts w:hint="eastAsia" w:ascii="仿宋" w:hAnsi="仿宋" w:eastAsia="仿宋"/>
          <w:sz w:val="24"/>
          <w:szCs w:val="24"/>
        </w:rPr>
        <w:t>人，营业收入为</w:t>
      </w:r>
      <w:r>
        <w:rPr>
          <w:rFonts w:hint="eastAsia" w:ascii="仿宋" w:hAnsi="仿宋" w:eastAsia="仿宋"/>
          <w:sz w:val="24"/>
          <w:szCs w:val="24"/>
          <w:u w:val="single"/>
        </w:rPr>
        <w:t xml:space="preserve">   </w:t>
      </w:r>
      <w:r>
        <w:rPr>
          <w:rFonts w:hint="eastAsia" w:ascii="仿宋" w:hAnsi="仿宋" w:eastAsia="仿宋"/>
          <w:sz w:val="24"/>
          <w:szCs w:val="24"/>
        </w:rPr>
        <w:t>万元，资产总额为</w:t>
      </w:r>
      <w:r>
        <w:rPr>
          <w:rFonts w:hint="eastAsia" w:ascii="仿宋" w:hAnsi="仿宋" w:eastAsia="仿宋"/>
          <w:sz w:val="24"/>
          <w:szCs w:val="24"/>
          <w:u w:val="single"/>
        </w:rPr>
        <w:t xml:space="preserve">   </w:t>
      </w:r>
      <w:r>
        <w:rPr>
          <w:rFonts w:hint="eastAsia" w:ascii="仿宋" w:hAnsi="仿宋" w:eastAsia="仿宋"/>
          <w:sz w:val="24"/>
          <w:szCs w:val="24"/>
        </w:rPr>
        <w:t>万元</w:t>
      </w:r>
      <w:r>
        <w:rPr>
          <w:rFonts w:hint="eastAsia" w:ascii="仿宋" w:hAnsi="仿宋" w:eastAsia="仿宋"/>
          <w:sz w:val="24"/>
          <w:szCs w:val="24"/>
          <w:vertAlign w:val="superscript"/>
        </w:rPr>
        <w:t xml:space="preserve"> </w:t>
      </w:r>
      <w:r>
        <w:rPr>
          <w:rFonts w:hint="eastAsia" w:ascii="仿宋" w:hAnsi="仿宋" w:eastAsia="仿宋"/>
          <w:sz w:val="24"/>
          <w:szCs w:val="24"/>
        </w:rPr>
        <w:t>，属于</w:t>
      </w:r>
      <w:r>
        <w:rPr>
          <w:rFonts w:hint="eastAsia" w:ascii="仿宋" w:hAnsi="仿宋" w:eastAsia="仿宋"/>
          <w:sz w:val="24"/>
          <w:szCs w:val="24"/>
          <w:u w:val="single"/>
        </w:rPr>
        <w:t xml:space="preserve">     </w:t>
      </w:r>
      <w:r>
        <w:rPr>
          <w:rFonts w:hint="eastAsia" w:ascii="仿宋" w:hAnsi="仿宋" w:eastAsia="仿宋"/>
          <w:sz w:val="24"/>
          <w:szCs w:val="24"/>
        </w:rPr>
        <w:t>（中型企业、小型企业、微型企业）；</w:t>
      </w:r>
    </w:p>
    <w:p w14:paraId="641CB4AB">
      <w:pPr>
        <w:spacing w:line="360" w:lineRule="auto"/>
        <w:rPr>
          <w:rFonts w:ascii="仿宋" w:hAnsi="仿宋" w:eastAsia="仿宋"/>
          <w:sz w:val="24"/>
          <w:szCs w:val="24"/>
        </w:rPr>
      </w:pPr>
      <w:r>
        <w:rPr>
          <w:rFonts w:hint="eastAsia" w:ascii="仿宋" w:hAnsi="仿宋" w:eastAsia="仿宋" w:cs="宋体"/>
          <w:sz w:val="24"/>
        </w:rPr>
        <w:t xml:space="preserve">2. </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 xml:space="preserve">      </w:t>
      </w:r>
      <w:r>
        <w:rPr>
          <w:rFonts w:hint="eastAsia" w:ascii="仿宋" w:hAnsi="仿宋" w:eastAsia="仿宋"/>
          <w:sz w:val="24"/>
          <w:szCs w:val="24"/>
          <w:u w:val="single"/>
        </w:rPr>
        <w:t xml:space="preserve">      </w:t>
      </w:r>
      <w:r>
        <w:rPr>
          <w:rFonts w:hint="eastAsia" w:ascii="仿宋" w:hAnsi="仿宋" w:eastAsia="仿宋"/>
          <w:sz w:val="24"/>
          <w:szCs w:val="24"/>
        </w:rPr>
        <w:t>（标的名称），属于</w:t>
      </w: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工业</w:t>
      </w:r>
      <w:r>
        <w:rPr>
          <w:rFonts w:hint="eastAsia" w:ascii="仿宋" w:hAnsi="仿宋" w:eastAsia="仿宋"/>
          <w:sz w:val="24"/>
          <w:szCs w:val="24"/>
          <w:u w:val="single"/>
        </w:rPr>
        <w:t xml:space="preserve">     </w:t>
      </w:r>
      <w:r>
        <w:rPr>
          <w:rFonts w:hint="eastAsia" w:ascii="仿宋" w:hAnsi="仿宋" w:eastAsia="仿宋"/>
          <w:sz w:val="24"/>
          <w:szCs w:val="24"/>
        </w:rPr>
        <w:t>（采购文件中明确的所属行业）；制造商为</w:t>
      </w:r>
      <w:r>
        <w:rPr>
          <w:rFonts w:hint="eastAsia" w:ascii="仿宋" w:hAnsi="仿宋" w:eastAsia="仿宋"/>
          <w:sz w:val="24"/>
          <w:szCs w:val="24"/>
          <w:u w:val="single"/>
        </w:rPr>
        <w:t xml:space="preserve">        </w:t>
      </w:r>
      <w:r>
        <w:rPr>
          <w:rFonts w:hint="eastAsia" w:ascii="仿宋" w:hAnsi="仿宋" w:eastAsia="仿宋"/>
          <w:sz w:val="24"/>
          <w:szCs w:val="24"/>
        </w:rPr>
        <w:t>（企业名称），从业人员</w:t>
      </w:r>
      <w:r>
        <w:rPr>
          <w:rFonts w:hint="eastAsia" w:ascii="仿宋" w:hAnsi="仿宋" w:eastAsia="仿宋"/>
          <w:sz w:val="24"/>
          <w:szCs w:val="24"/>
          <w:u w:val="single"/>
        </w:rPr>
        <w:t xml:space="preserve">   </w:t>
      </w:r>
      <w:r>
        <w:rPr>
          <w:rFonts w:hint="eastAsia" w:ascii="仿宋" w:hAnsi="仿宋" w:eastAsia="仿宋"/>
          <w:sz w:val="24"/>
          <w:szCs w:val="24"/>
        </w:rPr>
        <w:t>人，营业收入为</w:t>
      </w:r>
      <w:r>
        <w:rPr>
          <w:rFonts w:hint="eastAsia" w:ascii="仿宋" w:hAnsi="仿宋" w:eastAsia="仿宋"/>
          <w:sz w:val="24"/>
          <w:szCs w:val="24"/>
          <w:u w:val="single"/>
        </w:rPr>
        <w:t xml:space="preserve">   </w:t>
      </w:r>
      <w:r>
        <w:rPr>
          <w:rFonts w:hint="eastAsia" w:ascii="仿宋" w:hAnsi="仿宋" w:eastAsia="仿宋"/>
          <w:sz w:val="24"/>
          <w:szCs w:val="24"/>
        </w:rPr>
        <w:t>万元，资产总额为</w:t>
      </w:r>
      <w:r>
        <w:rPr>
          <w:rFonts w:hint="eastAsia" w:ascii="仿宋" w:hAnsi="仿宋" w:eastAsia="仿宋"/>
          <w:sz w:val="24"/>
          <w:szCs w:val="24"/>
          <w:u w:val="single"/>
        </w:rPr>
        <w:t xml:space="preserve">   </w:t>
      </w:r>
      <w:r>
        <w:rPr>
          <w:rFonts w:hint="eastAsia" w:ascii="仿宋" w:hAnsi="仿宋" w:eastAsia="仿宋"/>
          <w:sz w:val="24"/>
          <w:szCs w:val="24"/>
        </w:rPr>
        <w:t>万元</w:t>
      </w:r>
      <w:r>
        <w:rPr>
          <w:rFonts w:hint="eastAsia" w:ascii="仿宋" w:hAnsi="仿宋" w:eastAsia="仿宋"/>
          <w:sz w:val="24"/>
          <w:szCs w:val="24"/>
          <w:vertAlign w:val="superscript"/>
        </w:rPr>
        <w:t xml:space="preserve"> </w:t>
      </w:r>
      <w:r>
        <w:rPr>
          <w:rFonts w:hint="eastAsia" w:ascii="仿宋" w:hAnsi="仿宋" w:eastAsia="仿宋"/>
          <w:sz w:val="24"/>
          <w:szCs w:val="24"/>
        </w:rPr>
        <w:t>，属于</w:t>
      </w:r>
      <w:r>
        <w:rPr>
          <w:rFonts w:hint="eastAsia" w:ascii="仿宋" w:hAnsi="仿宋" w:eastAsia="仿宋"/>
          <w:sz w:val="24"/>
          <w:szCs w:val="24"/>
          <w:u w:val="single"/>
        </w:rPr>
        <w:t xml:space="preserve">     </w:t>
      </w:r>
      <w:r>
        <w:rPr>
          <w:rFonts w:hint="eastAsia" w:ascii="仿宋" w:hAnsi="仿宋" w:eastAsia="仿宋"/>
          <w:sz w:val="24"/>
          <w:szCs w:val="24"/>
        </w:rPr>
        <w:t>（中型企业、小型企业、微型企业）；</w:t>
      </w:r>
    </w:p>
    <w:p w14:paraId="66207D88">
      <w:pPr>
        <w:spacing w:line="360" w:lineRule="auto"/>
        <w:ind w:firstLine="480"/>
        <w:jc w:val="left"/>
        <w:rPr>
          <w:rFonts w:hint="eastAsia" w:ascii="仿宋" w:hAnsi="仿宋" w:eastAsia="仿宋" w:cs="宋体"/>
          <w:color w:val="FF0000"/>
          <w:sz w:val="24"/>
          <w:lang w:eastAsia="zh-CN"/>
        </w:rPr>
      </w:pPr>
      <w:r>
        <w:rPr>
          <w:rFonts w:hint="eastAsia" w:ascii="仿宋" w:hAnsi="仿宋" w:eastAsia="仿宋" w:cs="宋体"/>
          <w:sz w:val="24"/>
        </w:rPr>
        <w:t>……</w:t>
      </w:r>
      <w:r>
        <w:rPr>
          <w:rFonts w:hint="eastAsia" w:ascii="仿宋" w:hAnsi="仿宋" w:eastAsia="仿宋" w:cs="宋体"/>
          <w:b/>
          <w:bCs/>
          <w:color w:val="FF0000"/>
          <w:sz w:val="24"/>
          <w:lang w:eastAsia="zh-CN"/>
        </w:rPr>
        <w:t>（</w:t>
      </w:r>
      <w:r>
        <w:rPr>
          <w:rFonts w:hint="eastAsia" w:ascii="仿宋" w:hAnsi="仿宋" w:eastAsia="仿宋" w:cs="宋体"/>
          <w:b/>
          <w:bCs/>
          <w:color w:val="FF0000"/>
          <w:sz w:val="24"/>
          <w:lang w:val="en-US" w:eastAsia="zh-CN"/>
        </w:rPr>
        <w:t>每一项货物的制造商都需要填写，自行添加行填写即可</w:t>
      </w:r>
      <w:r>
        <w:rPr>
          <w:rFonts w:hint="eastAsia" w:ascii="仿宋" w:hAnsi="仿宋" w:eastAsia="仿宋" w:cs="宋体"/>
          <w:b/>
          <w:bCs/>
          <w:color w:val="FF0000"/>
          <w:sz w:val="24"/>
          <w:lang w:eastAsia="zh-CN"/>
        </w:rPr>
        <w:t>）</w:t>
      </w:r>
    </w:p>
    <w:p w14:paraId="74C0678B">
      <w:pPr>
        <w:spacing w:line="360" w:lineRule="auto"/>
        <w:ind w:firstLine="480"/>
        <w:rPr>
          <w:rFonts w:ascii="仿宋" w:hAnsi="仿宋" w:eastAsia="仿宋"/>
          <w:sz w:val="24"/>
          <w:szCs w:val="24"/>
        </w:rPr>
      </w:pPr>
      <w:r>
        <w:rPr>
          <w:rFonts w:hint="eastAsia" w:ascii="仿宋" w:hAnsi="仿宋" w:eastAsia="仿宋"/>
          <w:sz w:val="24"/>
          <w:szCs w:val="24"/>
        </w:rPr>
        <w:t>以上企业，不属于大企业的分支机构，不存在控股股东为大企业的情形，也不存在与大企业的负责人为同一人的情形。</w:t>
      </w:r>
    </w:p>
    <w:p w14:paraId="07543216">
      <w:pPr>
        <w:spacing w:line="360" w:lineRule="auto"/>
        <w:ind w:firstLine="480"/>
        <w:rPr>
          <w:rFonts w:ascii="仿宋" w:hAnsi="仿宋" w:eastAsia="仿宋"/>
          <w:sz w:val="24"/>
          <w:szCs w:val="24"/>
        </w:rPr>
      </w:pPr>
      <w:r>
        <w:rPr>
          <w:rFonts w:hint="eastAsia" w:ascii="仿宋" w:hAnsi="仿宋" w:eastAsia="仿宋"/>
          <w:sz w:val="24"/>
          <w:szCs w:val="24"/>
        </w:rPr>
        <w:t>本企业对上述声明内容的真实性负责。如有虚假，将依法承担相应责任。</w:t>
      </w:r>
    </w:p>
    <w:p w14:paraId="7671F03C">
      <w:pPr>
        <w:spacing w:line="360" w:lineRule="auto"/>
        <w:ind w:firstLine="480"/>
        <w:rPr>
          <w:rFonts w:ascii="仿宋" w:hAnsi="仿宋" w:eastAsia="仿宋"/>
          <w:sz w:val="24"/>
          <w:szCs w:val="24"/>
        </w:rPr>
      </w:pPr>
    </w:p>
    <w:p w14:paraId="14769E1F">
      <w:pPr>
        <w:spacing w:line="360" w:lineRule="auto"/>
        <w:ind w:firstLine="480"/>
        <w:rPr>
          <w:rFonts w:ascii="仿宋" w:hAnsi="仿宋" w:eastAsia="仿宋"/>
          <w:sz w:val="24"/>
          <w:szCs w:val="24"/>
        </w:rPr>
      </w:pPr>
    </w:p>
    <w:p w14:paraId="6A11D3A6">
      <w:pPr>
        <w:spacing w:line="360" w:lineRule="auto"/>
        <w:ind w:firstLine="4560" w:firstLineChars="1900"/>
        <w:rPr>
          <w:rFonts w:ascii="仿宋" w:hAnsi="仿宋" w:eastAsia="仿宋"/>
          <w:sz w:val="24"/>
          <w:szCs w:val="24"/>
        </w:rPr>
      </w:pPr>
      <w:r>
        <w:rPr>
          <w:rFonts w:hint="eastAsia" w:ascii="仿宋" w:hAnsi="仿宋" w:eastAsia="仿宋"/>
          <w:sz w:val="24"/>
          <w:szCs w:val="24"/>
        </w:rPr>
        <w:t>企业名称（盖章）：</w:t>
      </w:r>
    </w:p>
    <w:p w14:paraId="72E60C83">
      <w:pPr>
        <w:spacing w:line="360" w:lineRule="auto"/>
        <w:ind w:firstLine="4560" w:firstLineChars="1900"/>
        <w:rPr>
          <w:rFonts w:ascii="仿宋" w:hAnsi="仿宋" w:eastAsia="仿宋"/>
          <w:sz w:val="24"/>
          <w:szCs w:val="24"/>
        </w:rPr>
      </w:pPr>
      <w:r>
        <w:rPr>
          <w:rFonts w:hint="eastAsia" w:ascii="仿宋" w:hAnsi="仿宋" w:eastAsia="仿宋"/>
          <w:sz w:val="24"/>
          <w:szCs w:val="24"/>
        </w:rPr>
        <w:t>日 期：</w:t>
      </w:r>
    </w:p>
    <w:p w14:paraId="5C584ACB">
      <w:pPr>
        <w:spacing w:line="360" w:lineRule="auto"/>
        <w:ind w:firstLine="480"/>
        <w:rPr>
          <w:rFonts w:ascii="仿宋" w:hAnsi="仿宋" w:eastAsia="仿宋"/>
          <w:sz w:val="24"/>
          <w:szCs w:val="24"/>
        </w:rPr>
      </w:pPr>
    </w:p>
    <w:p w14:paraId="7C22B685">
      <w:pPr>
        <w:spacing w:line="360" w:lineRule="auto"/>
        <w:ind w:firstLine="480"/>
        <w:rPr>
          <w:rFonts w:ascii="仿宋" w:hAnsi="仿宋" w:eastAsia="仿宋"/>
          <w:sz w:val="24"/>
          <w:szCs w:val="24"/>
        </w:rPr>
      </w:pPr>
    </w:p>
    <w:p w14:paraId="63AD11A8">
      <w:pPr>
        <w:spacing w:line="360" w:lineRule="auto"/>
        <w:ind w:firstLine="480"/>
        <w:rPr>
          <w:rFonts w:ascii="仿宋" w:hAnsi="仿宋" w:eastAsia="仿宋"/>
          <w:sz w:val="24"/>
          <w:szCs w:val="24"/>
        </w:rPr>
      </w:pPr>
    </w:p>
    <w:p w14:paraId="6925D6D8">
      <w:pPr>
        <w:spacing w:line="360" w:lineRule="auto"/>
        <w:ind w:firstLine="480"/>
        <w:rPr>
          <w:rFonts w:ascii="仿宋" w:hAnsi="仿宋" w:eastAsia="仿宋"/>
          <w:sz w:val="24"/>
          <w:szCs w:val="24"/>
        </w:rPr>
      </w:pPr>
    </w:p>
    <w:p w14:paraId="5BAD4F49">
      <w:pPr>
        <w:spacing w:line="360" w:lineRule="auto"/>
        <w:ind w:firstLine="480"/>
        <w:rPr>
          <w:rFonts w:ascii="仿宋" w:hAnsi="仿宋" w:eastAsia="仿宋"/>
          <w:sz w:val="24"/>
          <w:szCs w:val="24"/>
        </w:rPr>
      </w:pPr>
      <w:r>
        <w:rPr>
          <w:rFonts w:hint="eastAsia" w:ascii="仿宋" w:hAnsi="仿宋" w:eastAsia="仿宋"/>
          <w:sz w:val="24"/>
          <w:szCs w:val="24"/>
        </w:rPr>
        <w:t>注：从业人员、营业收入、资产总额填报上一年度数据，无上一年度数据的新成立企业可不填报。</w:t>
      </w:r>
    </w:p>
    <w:p w14:paraId="5127A6DB">
      <w:pPr>
        <w:pStyle w:val="11"/>
        <w:ind w:firstLine="480"/>
        <w:rPr>
          <w:rFonts w:ascii="仿宋" w:hAnsi="仿宋" w:eastAsia="仿宋"/>
          <w:sz w:val="24"/>
          <w:szCs w:val="24"/>
        </w:rPr>
        <w:sectPr>
          <w:pgSz w:w="11907" w:h="16840"/>
          <w:pgMar w:top="1440" w:right="1077" w:bottom="1440" w:left="1077" w:header="964" w:footer="992" w:gutter="0"/>
          <w:cols w:space="720" w:num="1"/>
          <w:docGrid w:linePitch="354" w:charSpace="0"/>
        </w:sectPr>
      </w:pPr>
    </w:p>
    <w:p w14:paraId="04353C30">
      <w:pPr>
        <w:pStyle w:val="24"/>
        <w:ind w:firstLine="1440" w:firstLineChars="400"/>
        <w:rPr>
          <w:rFonts w:ascii="方正小标宋简体" w:eastAsia="方正小标宋简体"/>
          <w:sz w:val="36"/>
          <w:szCs w:val="36"/>
        </w:rPr>
      </w:pPr>
      <w:r>
        <w:rPr>
          <w:rFonts w:hint="eastAsia" w:ascii="方正小标宋简体" w:eastAsia="方正小标宋简体"/>
          <w:sz w:val="36"/>
          <w:szCs w:val="36"/>
        </w:rPr>
        <w:t>（三）售后服务（格式自定）</w:t>
      </w:r>
    </w:p>
    <w:p w14:paraId="715A415E">
      <w:pPr>
        <w:pStyle w:val="24"/>
        <w:ind w:firstLine="480"/>
      </w:pPr>
      <w:r>
        <w:rPr>
          <w:rFonts w:hint="eastAsia"/>
        </w:rPr>
        <w:t>以下内容可参考</w:t>
      </w:r>
    </w:p>
    <w:p w14:paraId="3ECB63D2">
      <w:pPr>
        <w:pStyle w:val="24"/>
        <w:ind w:firstLine="640"/>
        <w:rPr>
          <w:bCs/>
          <w:sz w:val="32"/>
          <w:szCs w:val="32"/>
        </w:rPr>
      </w:pPr>
      <w:r>
        <w:rPr>
          <w:rFonts w:hint="eastAsia"/>
          <w:bCs/>
          <w:sz w:val="32"/>
          <w:szCs w:val="32"/>
        </w:rPr>
        <w:t>拟任执行管理及技术人员情况</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936"/>
        <w:gridCol w:w="1048"/>
        <w:gridCol w:w="2532"/>
        <w:gridCol w:w="697"/>
        <w:gridCol w:w="697"/>
        <w:gridCol w:w="1567"/>
      </w:tblGrid>
      <w:tr w14:paraId="729A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exact"/>
          <w:jc w:val="center"/>
        </w:trPr>
        <w:tc>
          <w:tcPr>
            <w:tcW w:w="1526" w:type="dxa"/>
            <w:tcBorders>
              <w:top w:val="single" w:color="auto" w:sz="4" w:space="0"/>
              <w:left w:val="single" w:color="auto" w:sz="4" w:space="0"/>
              <w:bottom w:val="single" w:color="auto" w:sz="4" w:space="0"/>
              <w:right w:val="single" w:color="auto" w:sz="4" w:space="0"/>
            </w:tcBorders>
            <w:noWrap w:val="0"/>
            <w:vAlign w:val="center"/>
          </w:tcPr>
          <w:p w14:paraId="1340DF0C">
            <w:pPr>
              <w:pStyle w:val="24"/>
              <w:ind w:firstLine="0" w:firstLineChars="0"/>
              <w:rPr>
                <w:b/>
              </w:rPr>
            </w:pPr>
            <w:r>
              <w:rPr>
                <w:rFonts w:hint="eastAsia"/>
                <w:b/>
              </w:rPr>
              <w:t>职责分工</w:t>
            </w:r>
          </w:p>
        </w:tc>
        <w:tc>
          <w:tcPr>
            <w:tcW w:w="936" w:type="dxa"/>
            <w:tcBorders>
              <w:top w:val="single" w:color="auto" w:sz="4" w:space="0"/>
              <w:left w:val="single" w:color="auto" w:sz="4" w:space="0"/>
              <w:bottom w:val="single" w:color="auto" w:sz="4" w:space="0"/>
              <w:right w:val="single" w:color="auto" w:sz="4" w:space="0"/>
            </w:tcBorders>
            <w:noWrap w:val="0"/>
            <w:vAlign w:val="center"/>
          </w:tcPr>
          <w:p w14:paraId="3CE6A616">
            <w:pPr>
              <w:pStyle w:val="24"/>
              <w:ind w:firstLine="0" w:firstLineChars="0"/>
              <w:rPr>
                <w:b/>
              </w:rPr>
            </w:pPr>
            <w:r>
              <w:rPr>
                <w:rFonts w:hint="eastAsia"/>
                <w:b/>
              </w:rPr>
              <w:t>姓名</w:t>
            </w:r>
          </w:p>
        </w:tc>
        <w:tc>
          <w:tcPr>
            <w:tcW w:w="1048" w:type="dxa"/>
            <w:tcBorders>
              <w:top w:val="single" w:color="auto" w:sz="4" w:space="0"/>
              <w:left w:val="single" w:color="auto" w:sz="4" w:space="0"/>
              <w:bottom w:val="single" w:color="auto" w:sz="4" w:space="0"/>
            </w:tcBorders>
            <w:noWrap w:val="0"/>
            <w:vAlign w:val="center"/>
          </w:tcPr>
          <w:p w14:paraId="28C2C075">
            <w:pPr>
              <w:pStyle w:val="24"/>
              <w:ind w:firstLine="0" w:firstLineChars="0"/>
              <w:rPr>
                <w:b/>
              </w:rPr>
            </w:pPr>
            <w:r>
              <w:rPr>
                <w:rFonts w:hint="eastAsia"/>
                <w:b/>
              </w:rPr>
              <w:t>现职务</w:t>
            </w:r>
          </w:p>
        </w:tc>
        <w:tc>
          <w:tcPr>
            <w:tcW w:w="2532" w:type="dxa"/>
            <w:tcBorders>
              <w:top w:val="single" w:color="auto" w:sz="4" w:space="0"/>
              <w:bottom w:val="single" w:color="auto" w:sz="4" w:space="0"/>
            </w:tcBorders>
            <w:noWrap w:val="0"/>
            <w:vAlign w:val="center"/>
          </w:tcPr>
          <w:p w14:paraId="258EC6B9">
            <w:pPr>
              <w:pStyle w:val="24"/>
              <w:ind w:firstLine="0" w:firstLineChars="0"/>
              <w:rPr>
                <w:b/>
              </w:rPr>
            </w:pPr>
            <w:r>
              <w:rPr>
                <w:rFonts w:hint="eastAsia"/>
                <w:b/>
              </w:rPr>
              <w:t>曾主持/参与的同类项目经历</w:t>
            </w:r>
          </w:p>
        </w:tc>
        <w:tc>
          <w:tcPr>
            <w:tcW w:w="697" w:type="dxa"/>
            <w:tcBorders>
              <w:top w:val="single" w:color="auto" w:sz="4" w:space="0"/>
              <w:bottom w:val="single" w:color="auto" w:sz="4" w:space="0"/>
            </w:tcBorders>
            <w:noWrap w:val="0"/>
            <w:vAlign w:val="center"/>
          </w:tcPr>
          <w:p w14:paraId="735E734E">
            <w:pPr>
              <w:pStyle w:val="24"/>
              <w:ind w:firstLine="0" w:firstLineChars="0"/>
              <w:rPr>
                <w:b/>
              </w:rPr>
            </w:pPr>
            <w:r>
              <w:rPr>
                <w:rFonts w:hint="eastAsia"/>
                <w:b/>
              </w:rPr>
              <w:t>职称</w:t>
            </w:r>
          </w:p>
        </w:tc>
        <w:tc>
          <w:tcPr>
            <w:tcW w:w="697" w:type="dxa"/>
            <w:tcBorders>
              <w:top w:val="single" w:color="auto" w:sz="4" w:space="0"/>
              <w:bottom w:val="single" w:color="auto" w:sz="4" w:space="0"/>
              <w:right w:val="single" w:color="auto" w:sz="4" w:space="0"/>
            </w:tcBorders>
            <w:noWrap w:val="0"/>
            <w:vAlign w:val="center"/>
          </w:tcPr>
          <w:p w14:paraId="11DD431A">
            <w:pPr>
              <w:pStyle w:val="24"/>
              <w:ind w:firstLine="0" w:firstLineChars="0"/>
              <w:rPr>
                <w:b/>
              </w:rPr>
            </w:pPr>
            <w:r>
              <w:rPr>
                <w:rFonts w:hint="eastAsia"/>
                <w:b/>
              </w:rPr>
              <w:t>专业工龄</w:t>
            </w:r>
          </w:p>
        </w:tc>
        <w:tc>
          <w:tcPr>
            <w:tcW w:w="1567" w:type="dxa"/>
            <w:tcBorders>
              <w:top w:val="single" w:color="auto" w:sz="4" w:space="0"/>
              <w:bottom w:val="single" w:color="auto" w:sz="4" w:space="0"/>
              <w:right w:val="single" w:color="auto" w:sz="4" w:space="0"/>
            </w:tcBorders>
            <w:noWrap w:val="0"/>
            <w:vAlign w:val="center"/>
          </w:tcPr>
          <w:p w14:paraId="3878F60B">
            <w:pPr>
              <w:pStyle w:val="24"/>
              <w:ind w:firstLine="0" w:firstLineChars="0"/>
              <w:rPr>
                <w:b/>
              </w:rPr>
            </w:pPr>
            <w:r>
              <w:rPr>
                <w:rFonts w:hint="eastAsia"/>
                <w:b/>
              </w:rPr>
              <w:t>联系电话</w:t>
            </w:r>
          </w:p>
        </w:tc>
      </w:tr>
      <w:tr w14:paraId="6262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exact"/>
          <w:jc w:val="center"/>
        </w:trPr>
        <w:tc>
          <w:tcPr>
            <w:tcW w:w="1526" w:type="dxa"/>
            <w:tcBorders>
              <w:top w:val="single" w:color="auto" w:sz="4" w:space="0"/>
              <w:left w:val="single" w:color="auto" w:sz="4" w:space="0"/>
              <w:bottom w:val="nil"/>
              <w:right w:val="single" w:color="auto" w:sz="4" w:space="0"/>
            </w:tcBorders>
            <w:noWrap w:val="0"/>
            <w:vAlign w:val="center"/>
          </w:tcPr>
          <w:p w14:paraId="423B3FFE">
            <w:pPr>
              <w:pStyle w:val="24"/>
              <w:ind w:firstLine="480"/>
            </w:pPr>
            <w:r>
              <w:rPr>
                <w:rFonts w:hint="eastAsia"/>
              </w:rPr>
              <w:t>总负责人</w:t>
            </w:r>
          </w:p>
        </w:tc>
        <w:tc>
          <w:tcPr>
            <w:tcW w:w="936" w:type="dxa"/>
            <w:tcBorders>
              <w:top w:val="single" w:color="auto" w:sz="4" w:space="0"/>
              <w:left w:val="single" w:color="auto" w:sz="4" w:space="0"/>
              <w:bottom w:val="nil"/>
              <w:right w:val="single" w:color="auto" w:sz="4" w:space="0"/>
            </w:tcBorders>
            <w:noWrap w:val="0"/>
            <w:vAlign w:val="center"/>
          </w:tcPr>
          <w:p w14:paraId="2D98BC0C">
            <w:pPr>
              <w:pStyle w:val="24"/>
              <w:ind w:firstLine="480"/>
            </w:pPr>
          </w:p>
        </w:tc>
        <w:tc>
          <w:tcPr>
            <w:tcW w:w="1048" w:type="dxa"/>
            <w:tcBorders>
              <w:top w:val="single" w:color="auto" w:sz="4" w:space="0"/>
              <w:left w:val="single" w:color="auto" w:sz="4" w:space="0"/>
              <w:bottom w:val="nil"/>
            </w:tcBorders>
            <w:noWrap w:val="0"/>
            <w:vAlign w:val="center"/>
          </w:tcPr>
          <w:p w14:paraId="193B288D">
            <w:pPr>
              <w:pStyle w:val="24"/>
              <w:ind w:firstLine="480"/>
            </w:pPr>
          </w:p>
        </w:tc>
        <w:tc>
          <w:tcPr>
            <w:tcW w:w="2532" w:type="dxa"/>
            <w:tcBorders>
              <w:top w:val="single" w:color="auto" w:sz="4" w:space="0"/>
              <w:bottom w:val="nil"/>
            </w:tcBorders>
            <w:noWrap w:val="0"/>
            <w:vAlign w:val="center"/>
          </w:tcPr>
          <w:p w14:paraId="088D14C4">
            <w:pPr>
              <w:pStyle w:val="24"/>
              <w:ind w:firstLine="480"/>
            </w:pPr>
          </w:p>
        </w:tc>
        <w:tc>
          <w:tcPr>
            <w:tcW w:w="697" w:type="dxa"/>
            <w:tcBorders>
              <w:top w:val="single" w:color="auto" w:sz="4" w:space="0"/>
              <w:bottom w:val="nil"/>
            </w:tcBorders>
            <w:noWrap w:val="0"/>
            <w:vAlign w:val="center"/>
          </w:tcPr>
          <w:p w14:paraId="146F3DF0">
            <w:pPr>
              <w:pStyle w:val="24"/>
              <w:ind w:firstLine="480"/>
            </w:pPr>
          </w:p>
        </w:tc>
        <w:tc>
          <w:tcPr>
            <w:tcW w:w="697" w:type="dxa"/>
            <w:tcBorders>
              <w:top w:val="single" w:color="auto" w:sz="4" w:space="0"/>
              <w:bottom w:val="nil"/>
              <w:right w:val="single" w:color="auto" w:sz="4" w:space="0"/>
            </w:tcBorders>
            <w:noWrap w:val="0"/>
            <w:vAlign w:val="center"/>
          </w:tcPr>
          <w:p w14:paraId="39569868">
            <w:pPr>
              <w:pStyle w:val="24"/>
              <w:ind w:firstLine="480"/>
            </w:pPr>
          </w:p>
        </w:tc>
        <w:tc>
          <w:tcPr>
            <w:tcW w:w="1567" w:type="dxa"/>
            <w:tcBorders>
              <w:top w:val="single" w:color="auto" w:sz="4" w:space="0"/>
              <w:bottom w:val="nil"/>
              <w:right w:val="single" w:color="auto" w:sz="4" w:space="0"/>
            </w:tcBorders>
            <w:noWrap w:val="0"/>
            <w:vAlign w:val="center"/>
          </w:tcPr>
          <w:p w14:paraId="43809B2E">
            <w:pPr>
              <w:pStyle w:val="24"/>
              <w:ind w:firstLine="480"/>
            </w:pPr>
          </w:p>
        </w:tc>
      </w:tr>
      <w:tr w14:paraId="147B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26" w:type="dxa"/>
            <w:vMerge w:val="restart"/>
            <w:tcBorders>
              <w:left w:val="single" w:color="auto" w:sz="4" w:space="0"/>
              <w:right w:val="single" w:color="auto" w:sz="4" w:space="0"/>
            </w:tcBorders>
            <w:noWrap w:val="0"/>
            <w:vAlign w:val="center"/>
          </w:tcPr>
          <w:p w14:paraId="59FACD30">
            <w:pPr>
              <w:pStyle w:val="24"/>
              <w:ind w:firstLine="480"/>
            </w:pPr>
            <w:r>
              <w:rPr>
                <w:rFonts w:hint="eastAsia"/>
              </w:rPr>
              <w:t>其他主要技术人员</w:t>
            </w:r>
          </w:p>
        </w:tc>
        <w:tc>
          <w:tcPr>
            <w:tcW w:w="936" w:type="dxa"/>
            <w:tcBorders>
              <w:left w:val="single" w:color="auto" w:sz="4" w:space="0"/>
              <w:right w:val="single" w:color="auto" w:sz="4" w:space="0"/>
            </w:tcBorders>
            <w:noWrap w:val="0"/>
            <w:vAlign w:val="center"/>
          </w:tcPr>
          <w:p w14:paraId="756BFCEE">
            <w:pPr>
              <w:pStyle w:val="24"/>
              <w:ind w:firstLine="480"/>
            </w:pPr>
          </w:p>
        </w:tc>
        <w:tc>
          <w:tcPr>
            <w:tcW w:w="1048" w:type="dxa"/>
            <w:tcBorders>
              <w:left w:val="single" w:color="auto" w:sz="4" w:space="0"/>
            </w:tcBorders>
            <w:noWrap w:val="0"/>
            <w:vAlign w:val="center"/>
          </w:tcPr>
          <w:p w14:paraId="37973479">
            <w:pPr>
              <w:pStyle w:val="24"/>
              <w:ind w:firstLine="480"/>
            </w:pPr>
          </w:p>
        </w:tc>
        <w:tc>
          <w:tcPr>
            <w:tcW w:w="2532" w:type="dxa"/>
            <w:noWrap w:val="0"/>
            <w:vAlign w:val="center"/>
          </w:tcPr>
          <w:p w14:paraId="3139CB85">
            <w:pPr>
              <w:pStyle w:val="24"/>
              <w:ind w:firstLine="480"/>
            </w:pPr>
          </w:p>
        </w:tc>
        <w:tc>
          <w:tcPr>
            <w:tcW w:w="697" w:type="dxa"/>
            <w:noWrap w:val="0"/>
            <w:vAlign w:val="center"/>
          </w:tcPr>
          <w:p w14:paraId="08E1A068">
            <w:pPr>
              <w:pStyle w:val="24"/>
              <w:ind w:firstLine="480"/>
            </w:pPr>
          </w:p>
        </w:tc>
        <w:tc>
          <w:tcPr>
            <w:tcW w:w="697" w:type="dxa"/>
            <w:tcBorders>
              <w:right w:val="single" w:color="auto" w:sz="4" w:space="0"/>
            </w:tcBorders>
            <w:noWrap w:val="0"/>
            <w:vAlign w:val="center"/>
          </w:tcPr>
          <w:p w14:paraId="47A77372">
            <w:pPr>
              <w:pStyle w:val="24"/>
              <w:ind w:firstLine="480"/>
            </w:pPr>
          </w:p>
        </w:tc>
        <w:tc>
          <w:tcPr>
            <w:tcW w:w="1567" w:type="dxa"/>
            <w:tcBorders>
              <w:right w:val="single" w:color="auto" w:sz="4" w:space="0"/>
            </w:tcBorders>
            <w:noWrap w:val="0"/>
            <w:vAlign w:val="center"/>
          </w:tcPr>
          <w:p w14:paraId="12016CF5">
            <w:pPr>
              <w:pStyle w:val="24"/>
              <w:ind w:firstLine="480"/>
            </w:pPr>
          </w:p>
        </w:tc>
      </w:tr>
      <w:tr w14:paraId="0EA6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26" w:type="dxa"/>
            <w:vMerge w:val="continue"/>
            <w:tcBorders>
              <w:left w:val="single" w:color="auto" w:sz="4" w:space="0"/>
              <w:right w:val="single" w:color="auto" w:sz="4" w:space="0"/>
            </w:tcBorders>
            <w:noWrap w:val="0"/>
            <w:vAlign w:val="center"/>
          </w:tcPr>
          <w:p w14:paraId="25825A07">
            <w:pPr>
              <w:pStyle w:val="24"/>
              <w:ind w:firstLine="480"/>
            </w:pPr>
          </w:p>
        </w:tc>
        <w:tc>
          <w:tcPr>
            <w:tcW w:w="936" w:type="dxa"/>
            <w:tcBorders>
              <w:left w:val="single" w:color="auto" w:sz="4" w:space="0"/>
              <w:right w:val="single" w:color="auto" w:sz="4" w:space="0"/>
            </w:tcBorders>
            <w:noWrap w:val="0"/>
            <w:vAlign w:val="center"/>
          </w:tcPr>
          <w:p w14:paraId="24993651">
            <w:pPr>
              <w:pStyle w:val="24"/>
              <w:ind w:firstLine="480"/>
            </w:pPr>
          </w:p>
        </w:tc>
        <w:tc>
          <w:tcPr>
            <w:tcW w:w="1048" w:type="dxa"/>
            <w:tcBorders>
              <w:left w:val="single" w:color="auto" w:sz="4" w:space="0"/>
            </w:tcBorders>
            <w:noWrap w:val="0"/>
            <w:vAlign w:val="center"/>
          </w:tcPr>
          <w:p w14:paraId="6C0FE839">
            <w:pPr>
              <w:pStyle w:val="24"/>
              <w:ind w:firstLine="480"/>
            </w:pPr>
          </w:p>
        </w:tc>
        <w:tc>
          <w:tcPr>
            <w:tcW w:w="2532" w:type="dxa"/>
            <w:noWrap w:val="0"/>
            <w:vAlign w:val="center"/>
          </w:tcPr>
          <w:p w14:paraId="30AE5005">
            <w:pPr>
              <w:pStyle w:val="24"/>
              <w:ind w:firstLine="480"/>
            </w:pPr>
          </w:p>
        </w:tc>
        <w:tc>
          <w:tcPr>
            <w:tcW w:w="697" w:type="dxa"/>
            <w:noWrap w:val="0"/>
            <w:vAlign w:val="center"/>
          </w:tcPr>
          <w:p w14:paraId="79B39C9A">
            <w:pPr>
              <w:pStyle w:val="24"/>
              <w:ind w:firstLine="480"/>
            </w:pPr>
          </w:p>
        </w:tc>
        <w:tc>
          <w:tcPr>
            <w:tcW w:w="697" w:type="dxa"/>
            <w:tcBorders>
              <w:right w:val="single" w:color="auto" w:sz="4" w:space="0"/>
            </w:tcBorders>
            <w:noWrap w:val="0"/>
            <w:vAlign w:val="center"/>
          </w:tcPr>
          <w:p w14:paraId="3646891C">
            <w:pPr>
              <w:pStyle w:val="24"/>
              <w:ind w:firstLine="480"/>
            </w:pPr>
          </w:p>
        </w:tc>
        <w:tc>
          <w:tcPr>
            <w:tcW w:w="1567" w:type="dxa"/>
            <w:tcBorders>
              <w:right w:val="single" w:color="auto" w:sz="4" w:space="0"/>
            </w:tcBorders>
            <w:noWrap w:val="0"/>
            <w:vAlign w:val="center"/>
          </w:tcPr>
          <w:p w14:paraId="5DB754F9">
            <w:pPr>
              <w:pStyle w:val="24"/>
              <w:ind w:firstLine="480"/>
            </w:pPr>
          </w:p>
        </w:tc>
      </w:tr>
      <w:tr w14:paraId="073E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26" w:type="dxa"/>
            <w:vMerge w:val="continue"/>
            <w:tcBorders>
              <w:left w:val="single" w:color="auto" w:sz="4" w:space="0"/>
              <w:right w:val="single" w:color="auto" w:sz="4" w:space="0"/>
            </w:tcBorders>
            <w:noWrap w:val="0"/>
            <w:vAlign w:val="center"/>
          </w:tcPr>
          <w:p w14:paraId="4995793F">
            <w:pPr>
              <w:pStyle w:val="24"/>
              <w:ind w:firstLine="480"/>
            </w:pPr>
          </w:p>
        </w:tc>
        <w:tc>
          <w:tcPr>
            <w:tcW w:w="936" w:type="dxa"/>
            <w:tcBorders>
              <w:left w:val="single" w:color="auto" w:sz="4" w:space="0"/>
              <w:right w:val="single" w:color="auto" w:sz="4" w:space="0"/>
            </w:tcBorders>
            <w:noWrap w:val="0"/>
            <w:vAlign w:val="center"/>
          </w:tcPr>
          <w:p w14:paraId="4A2278B9">
            <w:pPr>
              <w:pStyle w:val="24"/>
              <w:ind w:firstLine="480"/>
            </w:pPr>
          </w:p>
        </w:tc>
        <w:tc>
          <w:tcPr>
            <w:tcW w:w="1048" w:type="dxa"/>
            <w:tcBorders>
              <w:left w:val="single" w:color="auto" w:sz="4" w:space="0"/>
            </w:tcBorders>
            <w:noWrap w:val="0"/>
            <w:vAlign w:val="center"/>
          </w:tcPr>
          <w:p w14:paraId="3711A9D0">
            <w:pPr>
              <w:pStyle w:val="24"/>
              <w:ind w:firstLine="480"/>
            </w:pPr>
          </w:p>
        </w:tc>
        <w:tc>
          <w:tcPr>
            <w:tcW w:w="2532" w:type="dxa"/>
            <w:noWrap w:val="0"/>
            <w:vAlign w:val="center"/>
          </w:tcPr>
          <w:p w14:paraId="45745D48">
            <w:pPr>
              <w:pStyle w:val="24"/>
              <w:ind w:firstLine="480"/>
            </w:pPr>
          </w:p>
        </w:tc>
        <w:tc>
          <w:tcPr>
            <w:tcW w:w="697" w:type="dxa"/>
            <w:noWrap w:val="0"/>
            <w:vAlign w:val="center"/>
          </w:tcPr>
          <w:p w14:paraId="6CE9C175">
            <w:pPr>
              <w:pStyle w:val="24"/>
              <w:ind w:firstLine="480"/>
            </w:pPr>
          </w:p>
        </w:tc>
        <w:tc>
          <w:tcPr>
            <w:tcW w:w="697" w:type="dxa"/>
            <w:tcBorders>
              <w:right w:val="single" w:color="auto" w:sz="4" w:space="0"/>
            </w:tcBorders>
            <w:noWrap w:val="0"/>
            <w:vAlign w:val="center"/>
          </w:tcPr>
          <w:p w14:paraId="1EA2F00B">
            <w:pPr>
              <w:pStyle w:val="24"/>
              <w:ind w:firstLine="480"/>
            </w:pPr>
          </w:p>
        </w:tc>
        <w:tc>
          <w:tcPr>
            <w:tcW w:w="1567" w:type="dxa"/>
            <w:tcBorders>
              <w:right w:val="single" w:color="auto" w:sz="4" w:space="0"/>
            </w:tcBorders>
            <w:noWrap w:val="0"/>
            <w:vAlign w:val="center"/>
          </w:tcPr>
          <w:p w14:paraId="59D6C549">
            <w:pPr>
              <w:pStyle w:val="24"/>
              <w:ind w:firstLine="480"/>
            </w:pPr>
          </w:p>
        </w:tc>
      </w:tr>
      <w:tr w14:paraId="7C8F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26" w:type="dxa"/>
            <w:vMerge w:val="continue"/>
            <w:tcBorders>
              <w:left w:val="single" w:color="auto" w:sz="4" w:space="0"/>
              <w:right w:val="single" w:color="auto" w:sz="4" w:space="0"/>
            </w:tcBorders>
            <w:noWrap w:val="0"/>
            <w:vAlign w:val="center"/>
          </w:tcPr>
          <w:p w14:paraId="36AA447F">
            <w:pPr>
              <w:pStyle w:val="24"/>
              <w:ind w:firstLine="480"/>
            </w:pPr>
          </w:p>
        </w:tc>
        <w:tc>
          <w:tcPr>
            <w:tcW w:w="936" w:type="dxa"/>
            <w:tcBorders>
              <w:left w:val="single" w:color="auto" w:sz="4" w:space="0"/>
              <w:right w:val="single" w:color="auto" w:sz="4" w:space="0"/>
            </w:tcBorders>
            <w:noWrap w:val="0"/>
            <w:vAlign w:val="center"/>
          </w:tcPr>
          <w:p w14:paraId="40B9B623">
            <w:pPr>
              <w:pStyle w:val="24"/>
              <w:ind w:firstLine="480"/>
            </w:pPr>
          </w:p>
        </w:tc>
        <w:tc>
          <w:tcPr>
            <w:tcW w:w="1048" w:type="dxa"/>
            <w:tcBorders>
              <w:left w:val="single" w:color="auto" w:sz="4" w:space="0"/>
            </w:tcBorders>
            <w:noWrap w:val="0"/>
            <w:vAlign w:val="center"/>
          </w:tcPr>
          <w:p w14:paraId="7A2BFC4F">
            <w:pPr>
              <w:pStyle w:val="24"/>
              <w:ind w:firstLine="480"/>
            </w:pPr>
          </w:p>
        </w:tc>
        <w:tc>
          <w:tcPr>
            <w:tcW w:w="2532" w:type="dxa"/>
            <w:noWrap w:val="0"/>
            <w:vAlign w:val="center"/>
          </w:tcPr>
          <w:p w14:paraId="3FCED6A7">
            <w:pPr>
              <w:pStyle w:val="24"/>
              <w:ind w:firstLine="480"/>
            </w:pPr>
          </w:p>
        </w:tc>
        <w:tc>
          <w:tcPr>
            <w:tcW w:w="697" w:type="dxa"/>
            <w:noWrap w:val="0"/>
            <w:vAlign w:val="center"/>
          </w:tcPr>
          <w:p w14:paraId="45ADFA0D">
            <w:pPr>
              <w:pStyle w:val="24"/>
              <w:ind w:firstLine="480"/>
            </w:pPr>
          </w:p>
        </w:tc>
        <w:tc>
          <w:tcPr>
            <w:tcW w:w="697" w:type="dxa"/>
            <w:tcBorders>
              <w:right w:val="single" w:color="auto" w:sz="4" w:space="0"/>
            </w:tcBorders>
            <w:noWrap w:val="0"/>
            <w:vAlign w:val="center"/>
          </w:tcPr>
          <w:p w14:paraId="0667D06D">
            <w:pPr>
              <w:pStyle w:val="24"/>
              <w:ind w:firstLine="480"/>
            </w:pPr>
          </w:p>
        </w:tc>
        <w:tc>
          <w:tcPr>
            <w:tcW w:w="1567" w:type="dxa"/>
            <w:tcBorders>
              <w:right w:val="single" w:color="auto" w:sz="4" w:space="0"/>
            </w:tcBorders>
            <w:noWrap w:val="0"/>
            <w:vAlign w:val="center"/>
          </w:tcPr>
          <w:p w14:paraId="28369B71">
            <w:pPr>
              <w:pStyle w:val="24"/>
              <w:ind w:firstLine="480"/>
            </w:pPr>
          </w:p>
        </w:tc>
      </w:tr>
      <w:tr w14:paraId="6AF6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26" w:type="dxa"/>
            <w:vMerge w:val="continue"/>
            <w:tcBorders>
              <w:left w:val="single" w:color="auto" w:sz="4" w:space="0"/>
              <w:right w:val="single" w:color="auto" w:sz="4" w:space="0"/>
            </w:tcBorders>
            <w:noWrap w:val="0"/>
            <w:vAlign w:val="center"/>
          </w:tcPr>
          <w:p w14:paraId="4DDCDCFA">
            <w:pPr>
              <w:pStyle w:val="24"/>
              <w:ind w:firstLine="480"/>
            </w:pPr>
          </w:p>
        </w:tc>
        <w:tc>
          <w:tcPr>
            <w:tcW w:w="936" w:type="dxa"/>
            <w:tcBorders>
              <w:left w:val="single" w:color="auto" w:sz="4" w:space="0"/>
              <w:right w:val="single" w:color="auto" w:sz="4" w:space="0"/>
            </w:tcBorders>
            <w:noWrap w:val="0"/>
            <w:vAlign w:val="center"/>
          </w:tcPr>
          <w:p w14:paraId="23C1DF0B">
            <w:pPr>
              <w:pStyle w:val="24"/>
              <w:ind w:firstLine="480"/>
            </w:pPr>
          </w:p>
        </w:tc>
        <w:tc>
          <w:tcPr>
            <w:tcW w:w="1048" w:type="dxa"/>
            <w:tcBorders>
              <w:left w:val="single" w:color="auto" w:sz="4" w:space="0"/>
            </w:tcBorders>
            <w:noWrap w:val="0"/>
            <w:vAlign w:val="center"/>
          </w:tcPr>
          <w:p w14:paraId="4A12A388">
            <w:pPr>
              <w:pStyle w:val="24"/>
              <w:ind w:firstLine="480"/>
            </w:pPr>
          </w:p>
        </w:tc>
        <w:tc>
          <w:tcPr>
            <w:tcW w:w="2532" w:type="dxa"/>
            <w:noWrap w:val="0"/>
            <w:vAlign w:val="center"/>
          </w:tcPr>
          <w:p w14:paraId="4394D87B">
            <w:pPr>
              <w:pStyle w:val="24"/>
              <w:ind w:firstLine="480"/>
            </w:pPr>
          </w:p>
        </w:tc>
        <w:tc>
          <w:tcPr>
            <w:tcW w:w="697" w:type="dxa"/>
            <w:noWrap w:val="0"/>
            <w:vAlign w:val="center"/>
          </w:tcPr>
          <w:p w14:paraId="5CEA7C4C">
            <w:pPr>
              <w:pStyle w:val="24"/>
              <w:ind w:firstLine="480"/>
            </w:pPr>
          </w:p>
        </w:tc>
        <w:tc>
          <w:tcPr>
            <w:tcW w:w="697" w:type="dxa"/>
            <w:tcBorders>
              <w:right w:val="single" w:color="auto" w:sz="4" w:space="0"/>
            </w:tcBorders>
            <w:noWrap w:val="0"/>
            <w:vAlign w:val="center"/>
          </w:tcPr>
          <w:p w14:paraId="556D3035">
            <w:pPr>
              <w:pStyle w:val="24"/>
              <w:ind w:firstLine="480"/>
            </w:pPr>
          </w:p>
        </w:tc>
        <w:tc>
          <w:tcPr>
            <w:tcW w:w="1567" w:type="dxa"/>
            <w:tcBorders>
              <w:right w:val="single" w:color="auto" w:sz="4" w:space="0"/>
            </w:tcBorders>
            <w:noWrap w:val="0"/>
            <w:vAlign w:val="center"/>
          </w:tcPr>
          <w:p w14:paraId="5DA4253D">
            <w:pPr>
              <w:pStyle w:val="24"/>
              <w:ind w:firstLine="480"/>
            </w:pPr>
          </w:p>
        </w:tc>
      </w:tr>
    </w:tbl>
    <w:p w14:paraId="483ACB02">
      <w:pPr>
        <w:pStyle w:val="24"/>
        <w:ind w:firstLine="480"/>
        <w:rPr>
          <w:lang w:val="en-GB"/>
        </w:rPr>
      </w:pPr>
      <w:r>
        <w:rPr>
          <w:rFonts w:hint="eastAsia"/>
          <w:lang w:val="en-GB"/>
        </w:rPr>
        <w:t>注：根据评审表的要求提交相应资料。</w:t>
      </w:r>
    </w:p>
    <w:p w14:paraId="6EAA0B90">
      <w:pPr>
        <w:pStyle w:val="24"/>
        <w:ind w:firstLine="480"/>
        <w:rPr>
          <w:b/>
          <w:bCs/>
        </w:rPr>
      </w:pPr>
      <w:r>
        <w:rPr>
          <w:rFonts w:hint="eastAsia"/>
          <w:b/>
          <w:bCs/>
        </w:rPr>
        <w:tab/>
      </w:r>
    </w:p>
    <w:p w14:paraId="4F47A291">
      <w:pPr>
        <w:pStyle w:val="24"/>
        <w:ind w:firstLine="640"/>
        <w:rPr>
          <w:bCs/>
          <w:sz w:val="32"/>
          <w:szCs w:val="32"/>
        </w:rPr>
      </w:pPr>
      <w:r>
        <w:rPr>
          <w:rFonts w:hint="eastAsia"/>
          <w:bCs/>
          <w:sz w:val="32"/>
          <w:szCs w:val="32"/>
        </w:rPr>
        <w:t>售后服务方案</w:t>
      </w:r>
    </w:p>
    <w:p w14:paraId="11457550">
      <w:pPr>
        <w:pStyle w:val="24"/>
        <w:ind w:firstLine="480"/>
        <w:rPr>
          <w:lang w:val="en-GB"/>
        </w:rPr>
      </w:pPr>
      <w:r>
        <w:rPr>
          <w:rFonts w:hint="eastAsia"/>
          <w:lang w:val="en-GB"/>
        </w:rPr>
        <w:t>售后服务须包括但不限于以下内容，主要根据采购文件的要求（格式自定）</w:t>
      </w:r>
    </w:p>
    <w:p w14:paraId="423B3001">
      <w:pPr>
        <w:pStyle w:val="24"/>
        <w:ind w:firstLine="480"/>
        <w:rPr>
          <w:lang w:val="en-GB"/>
        </w:rPr>
      </w:pPr>
      <w:r>
        <w:rPr>
          <w:rFonts w:hint="eastAsia"/>
          <w:lang w:val="en-GB"/>
        </w:rPr>
        <w:t>1.免费保修期；</w:t>
      </w:r>
    </w:p>
    <w:p w14:paraId="58D2A3F4">
      <w:pPr>
        <w:pStyle w:val="24"/>
        <w:ind w:firstLine="480"/>
        <w:rPr>
          <w:lang w:val="en-GB"/>
        </w:rPr>
      </w:pPr>
      <w:r>
        <w:rPr>
          <w:rFonts w:hint="eastAsia"/>
          <w:lang w:val="en-GB"/>
        </w:rPr>
        <w:t>2.应急维修时间安排；</w:t>
      </w:r>
    </w:p>
    <w:p w14:paraId="2584F314">
      <w:pPr>
        <w:pStyle w:val="24"/>
        <w:ind w:firstLine="480"/>
        <w:rPr>
          <w:lang w:val="en-GB"/>
        </w:rPr>
      </w:pPr>
      <w:r>
        <w:rPr>
          <w:rFonts w:hint="eastAsia"/>
          <w:lang w:val="en-GB"/>
        </w:rPr>
        <w:t>3.维修地点、地址、联系电话及技术服务人员（包括厂商认证工程师等人员）；</w:t>
      </w:r>
    </w:p>
    <w:p w14:paraId="05DC4537">
      <w:pPr>
        <w:pStyle w:val="24"/>
        <w:ind w:firstLine="480"/>
        <w:rPr>
          <w:lang w:val="en-GB"/>
        </w:rPr>
      </w:pPr>
      <w:r>
        <w:rPr>
          <w:rFonts w:hint="eastAsia"/>
          <w:lang w:val="en-GB"/>
        </w:rPr>
        <w:t>4.维修服务收费标准；</w:t>
      </w:r>
    </w:p>
    <w:p w14:paraId="2061C262">
      <w:pPr>
        <w:pStyle w:val="24"/>
        <w:ind w:firstLine="480"/>
        <w:rPr>
          <w:lang w:val="en-GB"/>
        </w:rPr>
      </w:pPr>
      <w:r>
        <w:rPr>
          <w:rFonts w:hint="eastAsia"/>
          <w:lang w:val="en-GB"/>
        </w:rPr>
        <w:t>5.制造商的技术支持；</w:t>
      </w:r>
    </w:p>
    <w:p w14:paraId="27069DE2">
      <w:pPr>
        <w:pStyle w:val="24"/>
        <w:ind w:firstLine="480"/>
        <w:rPr>
          <w:lang w:val="en-GB"/>
        </w:rPr>
      </w:pPr>
      <w:r>
        <w:rPr>
          <w:rFonts w:hint="eastAsia"/>
          <w:lang w:val="en-GB"/>
        </w:rPr>
        <w:t>6.其它服务承诺；</w:t>
      </w:r>
    </w:p>
    <w:p w14:paraId="1D1E0B37">
      <w:pPr>
        <w:pStyle w:val="24"/>
        <w:ind w:firstLine="480"/>
        <w:rPr>
          <w:lang w:val="en-GB"/>
        </w:rPr>
      </w:pPr>
      <w:r>
        <w:rPr>
          <w:rFonts w:hint="eastAsia"/>
          <w:lang w:val="en-GB"/>
        </w:rPr>
        <w:t>7.培训计划。</w:t>
      </w:r>
    </w:p>
    <w:bookmarkEnd w:id="105"/>
    <w:p w14:paraId="6AB730EF">
      <w:pPr>
        <w:pStyle w:val="24"/>
        <w:ind w:firstLine="641"/>
        <w:rPr>
          <w:b/>
          <w:sz w:val="32"/>
          <w:szCs w:val="32"/>
        </w:rPr>
        <w:sectPr>
          <w:pgSz w:w="11906" w:h="16838"/>
          <w:pgMar w:top="1134" w:right="1418" w:bottom="1134" w:left="1701" w:header="851" w:footer="709" w:gutter="0"/>
          <w:cols w:space="720" w:num="1"/>
          <w:docGrid w:linePitch="312" w:charSpace="0"/>
        </w:sectPr>
      </w:pPr>
    </w:p>
    <w:p w14:paraId="45CB59B1">
      <w:pPr>
        <w:pStyle w:val="24"/>
        <w:ind w:firstLine="641"/>
        <w:rPr>
          <w:b/>
          <w:sz w:val="32"/>
          <w:szCs w:val="32"/>
        </w:rPr>
      </w:pPr>
      <w:r>
        <w:rPr>
          <w:rFonts w:hint="eastAsia"/>
          <w:b/>
          <w:sz w:val="32"/>
          <w:szCs w:val="32"/>
        </w:rPr>
        <w:t>四、技术文件</w:t>
      </w:r>
    </w:p>
    <w:p w14:paraId="00FE88E8">
      <w:pPr>
        <w:pStyle w:val="24"/>
        <w:ind w:firstLine="720"/>
        <w:jc w:val="center"/>
        <w:rPr>
          <w:rFonts w:ascii="方正小标宋简体" w:eastAsia="方正小标宋简体"/>
          <w:sz w:val="36"/>
          <w:szCs w:val="36"/>
        </w:rPr>
      </w:pPr>
      <w:r>
        <w:rPr>
          <w:rFonts w:hint="eastAsia" w:ascii="方正小标宋简体" w:eastAsia="方正小标宋简体"/>
          <w:sz w:val="36"/>
          <w:szCs w:val="36"/>
        </w:rPr>
        <w:t>（一）技术参数响应表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279"/>
        <w:gridCol w:w="3155"/>
        <w:gridCol w:w="1701"/>
        <w:gridCol w:w="1114"/>
        <w:gridCol w:w="1260"/>
      </w:tblGrid>
      <w:tr w14:paraId="530D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687DA596">
            <w:pPr>
              <w:pStyle w:val="24"/>
              <w:ind w:firstLine="0" w:firstLineChars="0"/>
              <w:rPr>
                <w:b/>
                <w:color w:val="000000"/>
                <w:sz w:val="21"/>
                <w:szCs w:val="21"/>
              </w:rPr>
            </w:pPr>
            <w:r>
              <w:rPr>
                <w:rFonts w:hint="eastAsia"/>
                <w:b/>
                <w:color w:val="000000"/>
                <w:sz w:val="21"/>
                <w:szCs w:val="21"/>
              </w:rPr>
              <w:t>序号</w:t>
            </w:r>
          </w:p>
        </w:tc>
        <w:tc>
          <w:tcPr>
            <w:tcW w:w="1279" w:type="dxa"/>
            <w:noWrap w:val="0"/>
            <w:vAlign w:val="center"/>
          </w:tcPr>
          <w:p w14:paraId="6F043A36">
            <w:pPr>
              <w:pStyle w:val="24"/>
              <w:ind w:firstLine="0" w:firstLineChars="0"/>
              <w:rPr>
                <w:b/>
                <w:color w:val="000000"/>
                <w:sz w:val="21"/>
                <w:szCs w:val="21"/>
              </w:rPr>
            </w:pPr>
            <w:r>
              <w:rPr>
                <w:rFonts w:hint="eastAsia"/>
                <w:b/>
                <w:color w:val="000000"/>
                <w:sz w:val="21"/>
                <w:szCs w:val="21"/>
              </w:rPr>
              <w:t>规格/要求</w:t>
            </w:r>
          </w:p>
        </w:tc>
        <w:tc>
          <w:tcPr>
            <w:tcW w:w="3155" w:type="dxa"/>
            <w:noWrap w:val="0"/>
            <w:vAlign w:val="center"/>
          </w:tcPr>
          <w:p w14:paraId="680EE809">
            <w:pPr>
              <w:pStyle w:val="24"/>
              <w:ind w:firstLine="0" w:firstLineChars="0"/>
              <w:rPr>
                <w:b/>
                <w:color w:val="000000"/>
                <w:sz w:val="21"/>
                <w:szCs w:val="21"/>
              </w:rPr>
            </w:pPr>
            <w:r>
              <w:rPr>
                <w:rFonts w:hint="eastAsia"/>
                <w:b/>
                <w:color w:val="000000"/>
                <w:sz w:val="21"/>
                <w:szCs w:val="21"/>
              </w:rPr>
              <w:t>响应实际参数</w:t>
            </w:r>
          </w:p>
          <w:p w14:paraId="0D5A1218">
            <w:pPr>
              <w:pStyle w:val="24"/>
              <w:ind w:firstLine="0" w:firstLineChars="0"/>
              <w:rPr>
                <w:b/>
                <w:color w:val="000000"/>
                <w:sz w:val="21"/>
                <w:szCs w:val="21"/>
              </w:rPr>
            </w:pPr>
            <w:r>
              <w:rPr>
                <w:rFonts w:hint="eastAsia"/>
                <w:b/>
                <w:bCs/>
                <w:color w:val="000000"/>
                <w:sz w:val="21"/>
                <w:szCs w:val="21"/>
              </w:rPr>
              <w:t>(供应商应按响应货物/服务实际数据填写，不能复制采购需求)</w:t>
            </w:r>
          </w:p>
        </w:tc>
        <w:tc>
          <w:tcPr>
            <w:tcW w:w="1701" w:type="dxa"/>
            <w:noWrap w:val="0"/>
            <w:vAlign w:val="center"/>
          </w:tcPr>
          <w:p w14:paraId="5BD0DA26">
            <w:pPr>
              <w:pStyle w:val="24"/>
              <w:ind w:firstLine="0" w:firstLineChars="0"/>
              <w:rPr>
                <w:b/>
                <w:color w:val="000000"/>
                <w:sz w:val="21"/>
                <w:szCs w:val="21"/>
              </w:rPr>
            </w:pPr>
            <w:r>
              <w:rPr>
                <w:rFonts w:hint="eastAsia"/>
                <w:b/>
                <w:color w:val="000000"/>
                <w:sz w:val="21"/>
                <w:szCs w:val="21"/>
              </w:rPr>
              <w:t>是否偏离（无偏离/正偏离/负偏离）</w:t>
            </w:r>
          </w:p>
        </w:tc>
        <w:tc>
          <w:tcPr>
            <w:tcW w:w="1114" w:type="dxa"/>
            <w:noWrap w:val="0"/>
            <w:vAlign w:val="center"/>
          </w:tcPr>
          <w:p w14:paraId="47F6E034">
            <w:pPr>
              <w:pStyle w:val="24"/>
              <w:ind w:firstLine="0" w:firstLineChars="0"/>
              <w:rPr>
                <w:b/>
                <w:color w:val="000000"/>
                <w:sz w:val="21"/>
                <w:szCs w:val="21"/>
              </w:rPr>
            </w:pPr>
            <w:r>
              <w:rPr>
                <w:rFonts w:hint="eastAsia"/>
                <w:b/>
                <w:color w:val="000000"/>
                <w:sz w:val="21"/>
                <w:szCs w:val="21"/>
              </w:rPr>
              <w:t>偏离简述</w:t>
            </w:r>
          </w:p>
        </w:tc>
        <w:tc>
          <w:tcPr>
            <w:tcW w:w="1260" w:type="dxa"/>
            <w:noWrap w:val="0"/>
            <w:vAlign w:val="center"/>
          </w:tcPr>
          <w:p w14:paraId="7AD4FB91">
            <w:pPr>
              <w:pStyle w:val="24"/>
              <w:ind w:firstLine="0" w:firstLineChars="0"/>
              <w:rPr>
                <w:b/>
                <w:color w:val="000000"/>
                <w:sz w:val="21"/>
                <w:szCs w:val="21"/>
              </w:rPr>
            </w:pPr>
            <w:r>
              <w:rPr>
                <w:rFonts w:hint="eastAsia"/>
                <w:b/>
                <w:color w:val="000000"/>
                <w:sz w:val="21"/>
                <w:szCs w:val="21"/>
              </w:rPr>
              <w:t>证明文件</w:t>
            </w:r>
          </w:p>
        </w:tc>
      </w:tr>
      <w:tr w14:paraId="0865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59B5D2FA">
            <w:pPr>
              <w:pStyle w:val="24"/>
              <w:ind w:firstLine="480"/>
              <w:rPr>
                <w:color w:val="000000"/>
              </w:rPr>
            </w:pPr>
            <w:r>
              <w:rPr>
                <w:rFonts w:hint="eastAsia"/>
                <w:color w:val="000000"/>
              </w:rPr>
              <w:t>1</w:t>
            </w:r>
          </w:p>
        </w:tc>
        <w:tc>
          <w:tcPr>
            <w:tcW w:w="1279" w:type="dxa"/>
            <w:noWrap w:val="0"/>
            <w:vAlign w:val="center"/>
          </w:tcPr>
          <w:p w14:paraId="1D92E010">
            <w:pPr>
              <w:pStyle w:val="24"/>
              <w:ind w:firstLine="480"/>
              <w:rPr>
                <w:color w:val="000000"/>
              </w:rPr>
            </w:pPr>
          </w:p>
        </w:tc>
        <w:tc>
          <w:tcPr>
            <w:tcW w:w="3155" w:type="dxa"/>
            <w:noWrap w:val="0"/>
            <w:vAlign w:val="center"/>
          </w:tcPr>
          <w:p w14:paraId="26ED5E23">
            <w:pPr>
              <w:pStyle w:val="24"/>
              <w:ind w:firstLine="480"/>
              <w:rPr>
                <w:color w:val="000000"/>
              </w:rPr>
            </w:pPr>
          </w:p>
        </w:tc>
        <w:tc>
          <w:tcPr>
            <w:tcW w:w="1701" w:type="dxa"/>
            <w:noWrap w:val="0"/>
            <w:vAlign w:val="center"/>
          </w:tcPr>
          <w:p w14:paraId="593BD4B4">
            <w:pPr>
              <w:pStyle w:val="24"/>
              <w:ind w:firstLine="480"/>
              <w:rPr>
                <w:color w:val="000000"/>
              </w:rPr>
            </w:pPr>
          </w:p>
        </w:tc>
        <w:tc>
          <w:tcPr>
            <w:tcW w:w="1114" w:type="dxa"/>
            <w:noWrap w:val="0"/>
            <w:vAlign w:val="center"/>
          </w:tcPr>
          <w:p w14:paraId="54EC7906">
            <w:pPr>
              <w:pStyle w:val="24"/>
              <w:ind w:firstLine="480"/>
              <w:rPr>
                <w:color w:val="000000"/>
              </w:rPr>
            </w:pPr>
          </w:p>
        </w:tc>
        <w:tc>
          <w:tcPr>
            <w:tcW w:w="1260" w:type="dxa"/>
            <w:noWrap w:val="0"/>
            <w:vAlign w:val="top"/>
          </w:tcPr>
          <w:p w14:paraId="09D1B626">
            <w:pPr>
              <w:pStyle w:val="24"/>
              <w:ind w:firstLine="0" w:firstLineChars="0"/>
              <w:rPr>
                <w:color w:val="000000"/>
              </w:rPr>
            </w:pPr>
            <w:r>
              <w:rPr>
                <w:rFonts w:hint="eastAsia"/>
                <w:color w:val="000000"/>
              </w:rPr>
              <w:t>见响应文件（）页</w:t>
            </w:r>
          </w:p>
        </w:tc>
      </w:tr>
      <w:tr w14:paraId="7A85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4FDD2516">
            <w:pPr>
              <w:pStyle w:val="24"/>
              <w:ind w:firstLine="480"/>
              <w:rPr>
                <w:color w:val="000000"/>
              </w:rPr>
            </w:pPr>
            <w:r>
              <w:rPr>
                <w:rFonts w:hint="eastAsia"/>
                <w:color w:val="000000"/>
              </w:rPr>
              <w:t>2</w:t>
            </w:r>
          </w:p>
        </w:tc>
        <w:tc>
          <w:tcPr>
            <w:tcW w:w="1279" w:type="dxa"/>
            <w:noWrap w:val="0"/>
            <w:vAlign w:val="center"/>
          </w:tcPr>
          <w:p w14:paraId="6F7D0D7C">
            <w:pPr>
              <w:pStyle w:val="24"/>
              <w:ind w:firstLine="480"/>
              <w:rPr>
                <w:color w:val="000000"/>
              </w:rPr>
            </w:pPr>
          </w:p>
        </w:tc>
        <w:tc>
          <w:tcPr>
            <w:tcW w:w="3155" w:type="dxa"/>
            <w:noWrap w:val="0"/>
            <w:vAlign w:val="center"/>
          </w:tcPr>
          <w:p w14:paraId="2BA96581">
            <w:pPr>
              <w:pStyle w:val="24"/>
              <w:ind w:firstLine="480"/>
              <w:rPr>
                <w:color w:val="000000"/>
              </w:rPr>
            </w:pPr>
          </w:p>
        </w:tc>
        <w:tc>
          <w:tcPr>
            <w:tcW w:w="1701" w:type="dxa"/>
            <w:noWrap w:val="0"/>
            <w:vAlign w:val="center"/>
          </w:tcPr>
          <w:p w14:paraId="227EEBC1">
            <w:pPr>
              <w:pStyle w:val="24"/>
              <w:ind w:firstLine="480"/>
              <w:rPr>
                <w:color w:val="000000"/>
              </w:rPr>
            </w:pPr>
          </w:p>
        </w:tc>
        <w:tc>
          <w:tcPr>
            <w:tcW w:w="1114" w:type="dxa"/>
            <w:noWrap w:val="0"/>
            <w:vAlign w:val="center"/>
          </w:tcPr>
          <w:p w14:paraId="7201E074">
            <w:pPr>
              <w:pStyle w:val="24"/>
              <w:ind w:firstLine="480"/>
              <w:rPr>
                <w:color w:val="000000"/>
              </w:rPr>
            </w:pPr>
          </w:p>
        </w:tc>
        <w:tc>
          <w:tcPr>
            <w:tcW w:w="1260" w:type="dxa"/>
            <w:noWrap w:val="0"/>
            <w:vAlign w:val="top"/>
          </w:tcPr>
          <w:p w14:paraId="1B5D51DF">
            <w:pPr>
              <w:pStyle w:val="24"/>
              <w:ind w:firstLine="0" w:firstLineChars="0"/>
              <w:rPr>
                <w:color w:val="000000"/>
              </w:rPr>
            </w:pPr>
            <w:r>
              <w:rPr>
                <w:rFonts w:hint="eastAsia"/>
                <w:color w:val="000000"/>
              </w:rPr>
              <w:t>见响应文件（）页</w:t>
            </w:r>
          </w:p>
        </w:tc>
      </w:tr>
      <w:tr w14:paraId="3EDC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0FCD7301">
            <w:pPr>
              <w:pStyle w:val="24"/>
              <w:ind w:firstLine="480"/>
              <w:rPr>
                <w:color w:val="000000"/>
              </w:rPr>
            </w:pPr>
            <w:r>
              <w:rPr>
                <w:rFonts w:hint="eastAsia"/>
                <w:color w:val="000000"/>
              </w:rPr>
              <w:t>3</w:t>
            </w:r>
          </w:p>
        </w:tc>
        <w:tc>
          <w:tcPr>
            <w:tcW w:w="1279" w:type="dxa"/>
            <w:noWrap w:val="0"/>
            <w:vAlign w:val="center"/>
          </w:tcPr>
          <w:p w14:paraId="7250E46D">
            <w:pPr>
              <w:pStyle w:val="24"/>
              <w:ind w:firstLine="480"/>
              <w:rPr>
                <w:color w:val="000000"/>
              </w:rPr>
            </w:pPr>
          </w:p>
        </w:tc>
        <w:tc>
          <w:tcPr>
            <w:tcW w:w="3155" w:type="dxa"/>
            <w:noWrap w:val="0"/>
            <w:vAlign w:val="center"/>
          </w:tcPr>
          <w:p w14:paraId="49F75D8F">
            <w:pPr>
              <w:pStyle w:val="24"/>
              <w:ind w:firstLine="480"/>
              <w:rPr>
                <w:color w:val="000000"/>
              </w:rPr>
            </w:pPr>
          </w:p>
        </w:tc>
        <w:tc>
          <w:tcPr>
            <w:tcW w:w="1701" w:type="dxa"/>
            <w:noWrap w:val="0"/>
            <w:vAlign w:val="center"/>
          </w:tcPr>
          <w:p w14:paraId="4B25C156">
            <w:pPr>
              <w:pStyle w:val="24"/>
              <w:ind w:firstLine="480"/>
              <w:rPr>
                <w:color w:val="000000"/>
              </w:rPr>
            </w:pPr>
          </w:p>
        </w:tc>
        <w:tc>
          <w:tcPr>
            <w:tcW w:w="1114" w:type="dxa"/>
            <w:noWrap w:val="0"/>
            <w:vAlign w:val="center"/>
          </w:tcPr>
          <w:p w14:paraId="09C445A3">
            <w:pPr>
              <w:pStyle w:val="24"/>
              <w:ind w:firstLine="480"/>
              <w:rPr>
                <w:color w:val="000000"/>
              </w:rPr>
            </w:pPr>
          </w:p>
        </w:tc>
        <w:tc>
          <w:tcPr>
            <w:tcW w:w="1260" w:type="dxa"/>
            <w:noWrap w:val="0"/>
            <w:vAlign w:val="top"/>
          </w:tcPr>
          <w:p w14:paraId="31F3D8E5">
            <w:pPr>
              <w:pStyle w:val="24"/>
              <w:ind w:firstLine="0" w:firstLineChars="0"/>
              <w:rPr>
                <w:color w:val="000000"/>
              </w:rPr>
            </w:pPr>
            <w:r>
              <w:rPr>
                <w:rFonts w:hint="eastAsia"/>
                <w:color w:val="000000"/>
              </w:rPr>
              <w:t>见响应文件（）页</w:t>
            </w:r>
          </w:p>
        </w:tc>
      </w:tr>
      <w:tr w14:paraId="04EA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63358AAE">
            <w:pPr>
              <w:pStyle w:val="24"/>
              <w:ind w:firstLine="480"/>
              <w:rPr>
                <w:color w:val="000000"/>
              </w:rPr>
            </w:pPr>
            <w:r>
              <w:rPr>
                <w:rFonts w:hint="eastAsia"/>
                <w:color w:val="000000"/>
              </w:rPr>
              <w:t>4</w:t>
            </w:r>
          </w:p>
        </w:tc>
        <w:tc>
          <w:tcPr>
            <w:tcW w:w="1279" w:type="dxa"/>
            <w:noWrap w:val="0"/>
            <w:vAlign w:val="center"/>
          </w:tcPr>
          <w:p w14:paraId="05030B3A">
            <w:pPr>
              <w:pStyle w:val="24"/>
              <w:ind w:firstLine="480"/>
              <w:rPr>
                <w:color w:val="000000"/>
              </w:rPr>
            </w:pPr>
          </w:p>
        </w:tc>
        <w:tc>
          <w:tcPr>
            <w:tcW w:w="3155" w:type="dxa"/>
            <w:noWrap w:val="0"/>
            <w:vAlign w:val="center"/>
          </w:tcPr>
          <w:p w14:paraId="36A17DC7">
            <w:pPr>
              <w:pStyle w:val="24"/>
              <w:ind w:firstLine="480"/>
              <w:rPr>
                <w:color w:val="000000"/>
              </w:rPr>
            </w:pPr>
          </w:p>
        </w:tc>
        <w:tc>
          <w:tcPr>
            <w:tcW w:w="1701" w:type="dxa"/>
            <w:noWrap w:val="0"/>
            <w:vAlign w:val="center"/>
          </w:tcPr>
          <w:p w14:paraId="39839296">
            <w:pPr>
              <w:pStyle w:val="24"/>
              <w:ind w:firstLine="480"/>
              <w:rPr>
                <w:color w:val="000000"/>
              </w:rPr>
            </w:pPr>
          </w:p>
        </w:tc>
        <w:tc>
          <w:tcPr>
            <w:tcW w:w="1114" w:type="dxa"/>
            <w:noWrap w:val="0"/>
            <w:vAlign w:val="center"/>
          </w:tcPr>
          <w:p w14:paraId="48D21A61">
            <w:pPr>
              <w:pStyle w:val="24"/>
              <w:ind w:firstLine="480"/>
              <w:rPr>
                <w:color w:val="000000"/>
              </w:rPr>
            </w:pPr>
          </w:p>
        </w:tc>
        <w:tc>
          <w:tcPr>
            <w:tcW w:w="1260" w:type="dxa"/>
            <w:noWrap w:val="0"/>
            <w:vAlign w:val="top"/>
          </w:tcPr>
          <w:p w14:paraId="57C192C4">
            <w:pPr>
              <w:pStyle w:val="24"/>
              <w:ind w:firstLine="0" w:firstLineChars="0"/>
              <w:rPr>
                <w:color w:val="000000"/>
              </w:rPr>
            </w:pPr>
            <w:r>
              <w:rPr>
                <w:rFonts w:hint="eastAsia"/>
                <w:color w:val="000000"/>
              </w:rPr>
              <w:t>见响应文件（）页</w:t>
            </w:r>
          </w:p>
        </w:tc>
      </w:tr>
      <w:tr w14:paraId="087E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780028E3">
            <w:pPr>
              <w:pStyle w:val="24"/>
              <w:ind w:firstLine="480"/>
              <w:rPr>
                <w:color w:val="000000"/>
              </w:rPr>
            </w:pPr>
            <w:r>
              <w:rPr>
                <w:rFonts w:hint="eastAsia"/>
                <w:color w:val="000000"/>
              </w:rPr>
              <w:t>5</w:t>
            </w:r>
          </w:p>
        </w:tc>
        <w:tc>
          <w:tcPr>
            <w:tcW w:w="1279" w:type="dxa"/>
            <w:noWrap w:val="0"/>
            <w:vAlign w:val="center"/>
          </w:tcPr>
          <w:p w14:paraId="3E9AF91C">
            <w:pPr>
              <w:pStyle w:val="24"/>
              <w:ind w:firstLine="480"/>
              <w:rPr>
                <w:color w:val="000000"/>
              </w:rPr>
            </w:pPr>
          </w:p>
        </w:tc>
        <w:tc>
          <w:tcPr>
            <w:tcW w:w="3155" w:type="dxa"/>
            <w:noWrap w:val="0"/>
            <w:vAlign w:val="center"/>
          </w:tcPr>
          <w:p w14:paraId="34C3CE9E">
            <w:pPr>
              <w:pStyle w:val="24"/>
              <w:ind w:firstLine="480"/>
              <w:rPr>
                <w:color w:val="000000"/>
              </w:rPr>
            </w:pPr>
          </w:p>
        </w:tc>
        <w:tc>
          <w:tcPr>
            <w:tcW w:w="1701" w:type="dxa"/>
            <w:noWrap w:val="0"/>
            <w:vAlign w:val="center"/>
          </w:tcPr>
          <w:p w14:paraId="1C021087">
            <w:pPr>
              <w:pStyle w:val="24"/>
              <w:ind w:firstLine="480"/>
              <w:rPr>
                <w:color w:val="000000"/>
              </w:rPr>
            </w:pPr>
          </w:p>
        </w:tc>
        <w:tc>
          <w:tcPr>
            <w:tcW w:w="1114" w:type="dxa"/>
            <w:noWrap w:val="0"/>
            <w:vAlign w:val="center"/>
          </w:tcPr>
          <w:p w14:paraId="5ED3A524">
            <w:pPr>
              <w:pStyle w:val="24"/>
              <w:ind w:firstLine="480"/>
              <w:rPr>
                <w:color w:val="000000"/>
              </w:rPr>
            </w:pPr>
          </w:p>
        </w:tc>
        <w:tc>
          <w:tcPr>
            <w:tcW w:w="1260" w:type="dxa"/>
            <w:noWrap w:val="0"/>
            <w:vAlign w:val="top"/>
          </w:tcPr>
          <w:p w14:paraId="7E2BF3AD">
            <w:pPr>
              <w:pStyle w:val="24"/>
              <w:ind w:firstLine="0" w:firstLineChars="0"/>
              <w:rPr>
                <w:color w:val="000000"/>
              </w:rPr>
            </w:pPr>
            <w:r>
              <w:rPr>
                <w:rFonts w:hint="eastAsia"/>
                <w:color w:val="000000"/>
              </w:rPr>
              <w:t>见响应文件（）页</w:t>
            </w:r>
          </w:p>
        </w:tc>
      </w:tr>
      <w:tr w14:paraId="5002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0C253756">
            <w:pPr>
              <w:pStyle w:val="24"/>
              <w:ind w:firstLine="480"/>
              <w:rPr>
                <w:color w:val="000000"/>
              </w:rPr>
            </w:pPr>
            <w:r>
              <w:rPr>
                <w:rFonts w:hint="eastAsia"/>
                <w:color w:val="000000"/>
              </w:rPr>
              <w:t>6</w:t>
            </w:r>
          </w:p>
        </w:tc>
        <w:tc>
          <w:tcPr>
            <w:tcW w:w="1279" w:type="dxa"/>
            <w:noWrap w:val="0"/>
            <w:vAlign w:val="center"/>
          </w:tcPr>
          <w:p w14:paraId="62F6301B">
            <w:pPr>
              <w:pStyle w:val="24"/>
              <w:ind w:firstLine="480"/>
              <w:rPr>
                <w:color w:val="000000"/>
              </w:rPr>
            </w:pPr>
          </w:p>
        </w:tc>
        <w:tc>
          <w:tcPr>
            <w:tcW w:w="3155" w:type="dxa"/>
            <w:noWrap w:val="0"/>
            <w:vAlign w:val="center"/>
          </w:tcPr>
          <w:p w14:paraId="6FC3EFE3">
            <w:pPr>
              <w:pStyle w:val="24"/>
              <w:ind w:firstLine="480"/>
              <w:rPr>
                <w:color w:val="000000"/>
              </w:rPr>
            </w:pPr>
          </w:p>
        </w:tc>
        <w:tc>
          <w:tcPr>
            <w:tcW w:w="1701" w:type="dxa"/>
            <w:noWrap w:val="0"/>
            <w:vAlign w:val="center"/>
          </w:tcPr>
          <w:p w14:paraId="4060B1A2">
            <w:pPr>
              <w:pStyle w:val="24"/>
              <w:ind w:firstLine="480"/>
              <w:rPr>
                <w:color w:val="000000"/>
              </w:rPr>
            </w:pPr>
          </w:p>
        </w:tc>
        <w:tc>
          <w:tcPr>
            <w:tcW w:w="1114" w:type="dxa"/>
            <w:noWrap w:val="0"/>
            <w:vAlign w:val="center"/>
          </w:tcPr>
          <w:p w14:paraId="65CE1D7A">
            <w:pPr>
              <w:pStyle w:val="24"/>
              <w:ind w:firstLine="480"/>
              <w:rPr>
                <w:color w:val="000000"/>
              </w:rPr>
            </w:pPr>
          </w:p>
        </w:tc>
        <w:tc>
          <w:tcPr>
            <w:tcW w:w="1260" w:type="dxa"/>
            <w:noWrap w:val="0"/>
            <w:vAlign w:val="top"/>
          </w:tcPr>
          <w:p w14:paraId="22A84AB0">
            <w:pPr>
              <w:pStyle w:val="24"/>
              <w:ind w:firstLine="0" w:firstLineChars="0"/>
              <w:rPr>
                <w:color w:val="000000"/>
              </w:rPr>
            </w:pPr>
            <w:r>
              <w:rPr>
                <w:rFonts w:hint="eastAsia"/>
                <w:color w:val="000000"/>
              </w:rPr>
              <w:t>见响应文件（）页</w:t>
            </w:r>
          </w:p>
        </w:tc>
      </w:tr>
      <w:tr w14:paraId="319F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196AE491">
            <w:pPr>
              <w:pStyle w:val="24"/>
              <w:ind w:firstLine="480"/>
              <w:rPr>
                <w:color w:val="000000"/>
              </w:rPr>
            </w:pPr>
            <w:r>
              <w:rPr>
                <w:rFonts w:hint="eastAsia"/>
                <w:color w:val="000000"/>
              </w:rPr>
              <w:t>7</w:t>
            </w:r>
          </w:p>
        </w:tc>
        <w:tc>
          <w:tcPr>
            <w:tcW w:w="1279" w:type="dxa"/>
            <w:noWrap w:val="0"/>
            <w:vAlign w:val="center"/>
          </w:tcPr>
          <w:p w14:paraId="442CC8C9">
            <w:pPr>
              <w:pStyle w:val="24"/>
              <w:ind w:firstLine="480"/>
              <w:rPr>
                <w:color w:val="000000"/>
              </w:rPr>
            </w:pPr>
          </w:p>
        </w:tc>
        <w:tc>
          <w:tcPr>
            <w:tcW w:w="3155" w:type="dxa"/>
            <w:noWrap w:val="0"/>
            <w:vAlign w:val="center"/>
          </w:tcPr>
          <w:p w14:paraId="6D033D30">
            <w:pPr>
              <w:pStyle w:val="24"/>
              <w:ind w:firstLine="480"/>
              <w:rPr>
                <w:color w:val="000000"/>
              </w:rPr>
            </w:pPr>
          </w:p>
        </w:tc>
        <w:tc>
          <w:tcPr>
            <w:tcW w:w="1701" w:type="dxa"/>
            <w:noWrap w:val="0"/>
            <w:vAlign w:val="center"/>
          </w:tcPr>
          <w:p w14:paraId="2F135066">
            <w:pPr>
              <w:pStyle w:val="24"/>
              <w:ind w:firstLine="480"/>
              <w:rPr>
                <w:color w:val="000000"/>
              </w:rPr>
            </w:pPr>
          </w:p>
        </w:tc>
        <w:tc>
          <w:tcPr>
            <w:tcW w:w="1114" w:type="dxa"/>
            <w:noWrap w:val="0"/>
            <w:vAlign w:val="center"/>
          </w:tcPr>
          <w:p w14:paraId="67D919A1">
            <w:pPr>
              <w:pStyle w:val="24"/>
              <w:ind w:firstLine="480"/>
              <w:rPr>
                <w:color w:val="000000"/>
              </w:rPr>
            </w:pPr>
          </w:p>
        </w:tc>
        <w:tc>
          <w:tcPr>
            <w:tcW w:w="1260" w:type="dxa"/>
            <w:noWrap w:val="0"/>
            <w:vAlign w:val="top"/>
          </w:tcPr>
          <w:p w14:paraId="14A29461">
            <w:pPr>
              <w:pStyle w:val="24"/>
              <w:ind w:firstLine="0" w:firstLineChars="0"/>
              <w:rPr>
                <w:color w:val="000000"/>
              </w:rPr>
            </w:pPr>
            <w:r>
              <w:rPr>
                <w:rFonts w:hint="eastAsia"/>
                <w:color w:val="000000"/>
              </w:rPr>
              <w:t>见响应文件（）页</w:t>
            </w:r>
          </w:p>
        </w:tc>
      </w:tr>
      <w:tr w14:paraId="3976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7EF43431">
            <w:pPr>
              <w:pStyle w:val="24"/>
              <w:ind w:firstLine="480"/>
              <w:rPr>
                <w:color w:val="000000"/>
              </w:rPr>
            </w:pPr>
            <w:r>
              <w:rPr>
                <w:rFonts w:hint="eastAsia"/>
                <w:color w:val="000000"/>
              </w:rPr>
              <w:t>8</w:t>
            </w:r>
          </w:p>
        </w:tc>
        <w:tc>
          <w:tcPr>
            <w:tcW w:w="1279" w:type="dxa"/>
            <w:noWrap w:val="0"/>
            <w:vAlign w:val="center"/>
          </w:tcPr>
          <w:p w14:paraId="7BFC66CC">
            <w:pPr>
              <w:pStyle w:val="24"/>
              <w:ind w:firstLine="480"/>
              <w:rPr>
                <w:color w:val="000000"/>
              </w:rPr>
            </w:pPr>
          </w:p>
        </w:tc>
        <w:tc>
          <w:tcPr>
            <w:tcW w:w="3155" w:type="dxa"/>
            <w:noWrap w:val="0"/>
            <w:vAlign w:val="center"/>
          </w:tcPr>
          <w:p w14:paraId="0A79B9B4">
            <w:pPr>
              <w:pStyle w:val="24"/>
              <w:ind w:firstLine="480"/>
              <w:rPr>
                <w:color w:val="000000"/>
              </w:rPr>
            </w:pPr>
          </w:p>
        </w:tc>
        <w:tc>
          <w:tcPr>
            <w:tcW w:w="1701" w:type="dxa"/>
            <w:noWrap w:val="0"/>
            <w:vAlign w:val="center"/>
          </w:tcPr>
          <w:p w14:paraId="4E17B8A1">
            <w:pPr>
              <w:pStyle w:val="24"/>
              <w:ind w:firstLine="480"/>
              <w:rPr>
                <w:color w:val="000000"/>
              </w:rPr>
            </w:pPr>
          </w:p>
        </w:tc>
        <w:tc>
          <w:tcPr>
            <w:tcW w:w="1114" w:type="dxa"/>
            <w:noWrap w:val="0"/>
            <w:vAlign w:val="center"/>
          </w:tcPr>
          <w:p w14:paraId="779116DE">
            <w:pPr>
              <w:pStyle w:val="24"/>
              <w:ind w:firstLine="480"/>
              <w:rPr>
                <w:color w:val="000000"/>
              </w:rPr>
            </w:pPr>
          </w:p>
        </w:tc>
        <w:tc>
          <w:tcPr>
            <w:tcW w:w="1260" w:type="dxa"/>
            <w:noWrap w:val="0"/>
            <w:vAlign w:val="top"/>
          </w:tcPr>
          <w:p w14:paraId="721CD89C">
            <w:pPr>
              <w:pStyle w:val="24"/>
              <w:ind w:firstLine="0" w:firstLineChars="0"/>
              <w:rPr>
                <w:color w:val="000000"/>
              </w:rPr>
            </w:pPr>
            <w:r>
              <w:rPr>
                <w:rFonts w:hint="eastAsia"/>
                <w:color w:val="000000"/>
              </w:rPr>
              <w:t>见响应文件（）页</w:t>
            </w:r>
          </w:p>
        </w:tc>
      </w:tr>
      <w:tr w14:paraId="5A61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4" w:type="dxa"/>
            <w:noWrap w:val="0"/>
            <w:vAlign w:val="center"/>
          </w:tcPr>
          <w:p w14:paraId="3DFB8851">
            <w:pPr>
              <w:pStyle w:val="24"/>
              <w:ind w:firstLine="480"/>
              <w:rPr>
                <w:color w:val="000000"/>
              </w:rPr>
            </w:pPr>
            <w:r>
              <w:rPr>
                <w:rFonts w:hint="eastAsia"/>
                <w:color w:val="000000"/>
              </w:rPr>
              <w:t>…</w:t>
            </w:r>
          </w:p>
        </w:tc>
        <w:tc>
          <w:tcPr>
            <w:tcW w:w="1279" w:type="dxa"/>
            <w:noWrap w:val="0"/>
            <w:vAlign w:val="center"/>
          </w:tcPr>
          <w:p w14:paraId="1D4DDDCD">
            <w:pPr>
              <w:pStyle w:val="24"/>
              <w:ind w:firstLine="480"/>
              <w:rPr>
                <w:color w:val="000000"/>
              </w:rPr>
            </w:pPr>
          </w:p>
        </w:tc>
        <w:tc>
          <w:tcPr>
            <w:tcW w:w="3155" w:type="dxa"/>
            <w:noWrap w:val="0"/>
            <w:vAlign w:val="center"/>
          </w:tcPr>
          <w:p w14:paraId="4FF3E9C3">
            <w:pPr>
              <w:pStyle w:val="24"/>
              <w:ind w:firstLine="480"/>
              <w:rPr>
                <w:color w:val="000000"/>
              </w:rPr>
            </w:pPr>
          </w:p>
        </w:tc>
        <w:tc>
          <w:tcPr>
            <w:tcW w:w="1701" w:type="dxa"/>
            <w:noWrap w:val="0"/>
            <w:vAlign w:val="center"/>
          </w:tcPr>
          <w:p w14:paraId="2AF4049C">
            <w:pPr>
              <w:pStyle w:val="24"/>
              <w:ind w:firstLine="480"/>
              <w:rPr>
                <w:color w:val="000000"/>
              </w:rPr>
            </w:pPr>
          </w:p>
        </w:tc>
        <w:tc>
          <w:tcPr>
            <w:tcW w:w="1114" w:type="dxa"/>
            <w:noWrap w:val="0"/>
            <w:vAlign w:val="center"/>
          </w:tcPr>
          <w:p w14:paraId="495AC201">
            <w:pPr>
              <w:pStyle w:val="24"/>
              <w:ind w:firstLine="480"/>
              <w:rPr>
                <w:color w:val="000000"/>
              </w:rPr>
            </w:pPr>
          </w:p>
        </w:tc>
        <w:tc>
          <w:tcPr>
            <w:tcW w:w="1260" w:type="dxa"/>
            <w:noWrap w:val="0"/>
            <w:vAlign w:val="top"/>
          </w:tcPr>
          <w:p w14:paraId="6E675EBB">
            <w:pPr>
              <w:pStyle w:val="24"/>
              <w:ind w:firstLine="480"/>
              <w:rPr>
                <w:color w:val="000000"/>
              </w:rPr>
            </w:pPr>
          </w:p>
        </w:tc>
      </w:tr>
    </w:tbl>
    <w:p w14:paraId="1B83AAD4">
      <w:pPr>
        <w:pStyle w:val="24"/>
        <w:ind w:firstLine="420"/>
        <w:rPr>
          <w:color w:val="000000"/>
          <w:sz w:val="21"/>
          <w:szCs w:val="21"/>
        </w:rPr>
      </w:pPr>
      <w:r>
        <w:rPr>
          <w:rFonts w:hint="eastAsia"/>
          <w:color w:val="000000"/>
          <w:sz w:val="21"/>
          <w:szCs w:val="21"/>
        </w:rPr>
        <w:t>注：供应商响应采购需求应具体、明确，含糊不清、不确切或伪造、编造证明材料的，按照不完全响应或者完全不响应处理。构成提供虚假材料的，移送监管部门查处。</w:t>
      </w:r>
    </w:p>
    <w:p w14:paraId="3AB726CE">
      <w:pPr>
        <w:pStyle w:val="24"/>
        <w:ind w:firstLine="720"/>
        <w:rPr>
          <w:rFonts w:ascii="方正小标宋简体" w:eastAsia="方正小标宋简体"/>
          <w:sz w:val="36"/>
          <w:szCs w:val="36"/>
        </w:rPr>
      </w:pPr>
      <w:r>
        <w:rPr>
          <w:rFonts w:hint="eastAsia" w:ascii="方正小标宋简体" w:eastAsia="方正小标宋简体"/>
          <w:sz w:val="36"/>
          <w:szCs w:val="36"/>
        </w:rPr>
        <w:t>（二）同类项目业绩介绍</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373"/>
        <w:gridCol w:w="3014"/>
        <w:gridCol w:w="1133"/>
        <w:gridCol w:w="1808"/>
      </w:tblGrid>
      <w:tr w14:paraId="3A21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192F6560">
            <w:pPr>
              <w:pStyle w:val="24"/>
              <w:ind w:firstLine="0" w:firstLineChars="0"/>
              <w:rPr>
                <w:b/>
                <w:bCs/>
                <w:color w:val="000000"/>
              </w:rPr>
            </w:pPr>
            <w:r>
              <w:rPr>
                <w:rFonts w:hint="eastAsia"/>
                <w:b/>
                <w:bCs/>
                <w:color w:val="000000"/>
              </w:rPr>
              <w:t>序号</w:t>
            </w:r>
          </w:p>
        </w:tc>
        <w:tc>
          <w:tcPr>
            <w:tcW w:w="2373" w:type="dxa"/>
            <w:noWrap w:val="0"/>
            <w:vAlign w:val="center"/>
          </w:tcPr>
          <w:p w14:paraId="0DE78216">
            <w:pPr>
              <w:pStyle w:val="24"/>
              <w:ind w:firstLine="480"/>
              <w:rPr>
                <w:b/>
                <w:bCs/>
                <w:color w:val="000000"/>
              </w:rPr>
            </w:pPr>
            <w:r>
              <w:rPr>
                <w:rFonts w:hint="eastAsia"/>
                <w:b/>
                <w:bCs/>
                <w:color w:val="000000"/>
              </w:rPr>
              <w:t>客户名称</w:t>
            </w:r>
          </w:p>
        </w:tc>
        <w:tc>
          <w:tcPr>
            <w:tcW w:w="3014" w:type="dxa"/>
            <w:noWrap w:val="0"/>
            <w:vAlign w:val="center"/>
          </w:tcPr>
          <w:p w14:paraId="2009347D">
            <w:pPr>
              <w:pStyle w:val="24"/>
              <w:ind w:firstLine="480"/>
              <w:rPr>
                <w:b/>
                <w:bCs/>
                <w:color w:val="000000"/>
              </w:rPr>
            </w:pPr>
            <w:r>
              <w:rPr>
                <w:rFonts w:hint="eastAsia"/>
                <w:b/>
                <w:bCs/>
                <w:color w:val="000000"/>
              </w:rPr>
              <w:t>项目名称及</w:t>
            </w:r>
          </w:p>
          <w:p w14:paraId="064B583D">
            <w:pPr>
              <w:pStyle w:val="24"/>
              <w:ind w:firstLine="480"/>
              <w:rPr>
                <w:b/>
                <w:bCs/>
                <w:color w:val="000000"/>
              </w:rPr>
            </w:pPr>
            <w:r>
              <w:rPr>
                <w:rFonts w:hint="eastAsia"/>
                <w:b/>
                <w:bCs/>
                <w:color w:val="000000"/>
              </w:rPr>
              <w:t>合同金额（万元）</w:t>
            </w:r>
          </w:p>
        </w:tc>
        <w:tc>
          <w:tcPr>
            <w:tcW w:w="1133" w:type="dxa"/>
            <w:noWrap w:val="0"/>
            <w:vAlign w:val="center"/>
          </w:tcPr>
          <w:p w14:paraId="3A006CAC">
            <w:pPr>
              <w:pStyle w:val="24"/>
              <w:ind w:firstLine="0" w:firstLineChars="0"/>
              <w:rPr>
                <w:b/>
                <w:bCs/>
                <w:color w:val="000000"/>
              </w:rPr>
            </w:pPr>
            <w:r>
              <w:rPr>
                <w:rFonts w:hint="eastAsia"/>
                <w:b/>
                <w:bCs/>
                <w:color w:val="000000"/>
              </w:rPr>
              <w:t>实施</w:t>
            </w:r>
          </w:p>
          <w:p w14:paraId="4643347F">
            <w:pPr>
              <w:pStyle w:val="24"/>
              <w:ind w:firstLine="0" w:firstLineChars="0"/>
              <w:rPr>
                <w:b/>
                <w:bCs/>
                <w:color w:val="000000"/>
              </w:rPr>
            </w:pPr>
            <w:r>
              <w:rPr>
                <w:rFonts w:hint="eastAsia"/>
                <w:b/>
                <w:bCs/>
                <w:color w:val="000000"/>
              </w:rPr>
              <w:t>时间</w:t>
            </w:r>
          </w:p>
        </w:tc>
        <w:tc>
          <w:tcPr>
            <w:tcW w:w="1808" w:type="dxa"/>
            <w:noWrap w:val="0"/>
            <w:vAlign w:val="center"/>
          </w:tcPr>
          <w:p w14:paraId="37AF769A">
            <w:pPr>
              <w:pStyle w:val="24"/>
              <w:ind w:firstLine="0" w:firstLineChars="0"/>
              <w:rPr>
                <w:b/>
                <w:bCs/>
                <w:color w:val="000000"/>
              </w:rPr>
            </w:pPr>
            <w:r>
              <w:rPr>
                <w:rFonts w:hint="eastAsia"/>
                <w:b/>
                <w:bCs/>
                <w:color w:val="000000"/>
              </w:rPr>
              <w:t>联系人及电话</w:t>
            </w:r>
          </w:p>
        </w:tc>
      </w:tr>
      <w:tr w14:paraId="547B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31A21490">
            <w:pPr>
              <w:pStyle w:val="24"/>
              <w:ind w:firstLine="199" w:firstLineChars="83"/>
              <w:rPr>
                <w:color w:val="000000"/>
              </w:rPr>
            </w:pPr>
            <w:r>
              <w:rPr>
                <w:rFonts w:hint="eastAsia"/>
                <w:color w:val="000000"/>
              </w:rPr>
              <w:t>1</w:t>
            </w:r>
          </w:p>
        </w:tc>
        <w:tc>
          <w:tcPr>
            <w:tcW w:w="2373" w:type="dxa"/>
            <w:noWrap w:val="0"/>
            <w:vAlign w:val="center"/>
          </w:tcPr>
          <w:p w14:paraId="2A7DBA3D">
            <w:pPr>
              <w:pStyle w:val="24"/>
              <w:ind w:firstLine="480"/>
              <w:rPr>
                <w:color w:val="000000"/>
              </w:rPr>
            </w:pPr>
          </w:p>
        </w:tc>
        <w:tc>
          <w:tcPr>
            <w:tcW w:w="3014" w:type="dxa"/>
            <w:noWrap w:val="0"/>
            <w:vAlign w:val="center"/>
          </w:tcPr>
          <w:p w14:paraId="3FB36C1D">
            <w:pPr>
              <w:pStyle w:val="24"/>
              <w:ind w:firstLine="480"/>
              <w:rPr>
                <w:color w:val="000000"/>
              </w:rPr>
            </w:pPr>
          </w:p>
        </w:tc>
        <w:tc>
          <w:tcPr>
            <w:tcW w:w="1133" w:type="dxa"/>
            <w:noWrap w:val="0"/>
            <w:vAlign w:val="center"/>
          </w:tcPr>
          <w:p w14:paraId="7A29FEE1">
            <w:pPr>
              <w:pStyle w:val="24"/>
              <w:ind w:firstLine="480"/>
              <w:rPr>
                <w:color w:val="000000"/>
              </w:rPr>
            </w:pPr>
          </w:p>
        </w:tc>
        <w:tc>
          <w:tcPr>
            <w:tcW w:w="1808" w:type="dxa"/>
            <w:noWrap w:val="0"/>
            <w:vAlign w:val="center"/>
          </w:tcPr>
          <w:p w14:paraId="35DC964B">
            <w:pPr>
              <w:pStyle w:val="24"/>
              <w:ind w:firstLine="480"/>
              <w:rPr>
                <w:color w:val="000000"/>
              </w:rPr>
            </w:pPr>
          </w:p>
        </w:tc>
      </w:tr>
      <w:tr w14:paraId="2080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2CE44FC4">
            <w:pPr>
              <w:pStyle w:val="24"/>
              <w:ind w:firstLine="199" w:firstLineChars="83"/>
              <w:rPr>
                <w:color w:val="000000"/>
              </w:rPr>
            </w:pPr>
            <w:r>
              <w:rPr>
                <w:rFonts w:hint="eastAsia"/>
                <w:color w:val="000000"/>
              </w:rPr>
              <w:t>2</w:t>
            </w:r>
          </w:p>
        </w:tc>
        <w:tc>
          <w:tcPr>
            <w:tcW w:w="2373" w:type="dxa"/>
            <w:noWrap w:val="0"/>
            <w:vAlign w:val="center"/>
          </w:tcPr>
          <w:p w14:paraId="72F1E3FE">
            <w:pPr>
              <w:pStyle w:val="24"/>
              <w:ind w:firstLine="480"/>
              <w:rPr>
                <w:color w:val="000000"/>
              </w:rPr>
            </w:pPr>
          </w:p>
        </w:tc>
        <w:tc>
          <w:tcPr>
            <w:tcW w:w="3014" w:type="dxa"/>
            <w:noWrap w:val="0"/>
            <w:vAlign w:val="center"/>
          </w:tcPr>
          <w:p w14:paraId="66F7A59A">
            <w:pPr>
              <w:pStyle w:val="24"/>
              <w:ind w:firstLine="480"/>
              <w:rPr>
                <w:color w:val="000000"/>
              </w:rPr>
            </w:pPr>
          </w:p>
        </w:tc>
        <w:tc>
          <w:tcPr>
            <w:tcW w:w="1133" w:type="dxa"/>
            <w:noWrap w:val="0"/>
            <w:vAlign w:val="center"/>
          </w:tcPr>
          <w:p w14:paraId="4D97C6F4">
            <w:pPr>
              <w:pStyle w:val="24"/>
              <w:ind w:firstLine="480"/>
              <w:rPr>
                <w:color w:val="000000"/>
              </w:rPr>
            </w:pPr>
          </w:p>
        </w:tc>
        <w:tc>
          <w:tcPr>
            <w:tcW w:w="1808" w:type="dxa"/>
            <w:noWrap w:val="0"/>
            <w:vAlign w:val="center"/>
          </w:tcPr>
          <w:p w14:paraId="560AF0DC">
            <w:pPr>
              <w:pStyle w:val="24"/>
              <w:ind w:firstLine="480"/>
              <w:rPr>
                <w:color w:val="000000"/>
              </w:rPr>
            </w:pPr>
          </w:p>
        </w:tc>
      </w:tr>
      <w:tr w14:paraId="6268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363D3DC3">
            <w:pPr>
              <w:pStyle w:val="24"/>
              <w:ind w:firstLine="199" w:firstLineChars="83"/>
              <w:rPr>
                <w:color w:val="000000"/>
              </w:rPr>
            </w:pPr>
            <w:r>
              <w:rPr>
                <w:rFonts w:hint="eastAsia"/>
                <w:color w:val="000000"/>
              </w:rPr>
              <w:t>3</w:t>
            </w:r>
          </w:p>
        </w:tc>
        <w:tc>
          <w:tcPr>
            <w:tcW w:w="2373" w:type="dxa"/>
            <w:noWrap w:val="0"/>
            <w:vAlign w:val="center"/>
          </w:tcPr>
          <w:p w14:paraId="3B6CC8F8">
            <w:pPr>
              <w:pStyle w:val="24"/>
              <w:ind w:firstLine="480"/>
              <w:rPr>
                <w:color w:val="000000"/>
              </w:rPr>
            </w:pPr>
          </w:p>
        </w:tc>
        <w:tc>
          <w:tcPr>
            <w:tcW w:w="3014" w:type="dxa"/>
            <w:noWrap w:val="0"/>
            <w:vAlign w:val="center"/>
          </w:tcPr>
          <w:p w14:paraId="33B07D1D">
            <w:pPr>
              <w:pStyle w:val="24"/>
              <w:ind w:firstLine="480"/>
              <w:rPr>
                <w:color w:val="000000"/>
              </w:rPr>
            </w:pPr>
          </w:p>
        </w:tc>
        <w:tc>
          <w:tcPr>
            <w:tcW w:w="1133" w:type="dxa"/>
            <w:noWrap w:val="0"/>
            <w:vAlign w:val="center"/>
          </w:tcPr>
          <w:p w14:paraId="67F45747">
            <w:pPr>
              <w:pStyle w:val="24"/>
              <w:ind w:firstLine="480"/>
              <w:rPr>
                <w:color w:val="000000"/>
              </w:rPr>
            </w:pPr>
          </w:p>
        </w:tc>
        <w:tc>
          <w:tcPr>
            <w:tcW w:w="1808" w:type="dxa"/>
            <w:noWrap w:val="0"/>
            <w:vAlign w:val="center"/>
          </w:tcPr>
          <w:p w14:paraId="461B025C">
            <w:pPr>
              <w:pStyle w:val="24"/>
              <w:ind w:firstLine="480"/>
              <w:rPr>
                <w:color w:val="000000"/>
              </w:rPr>
            </w:pPr>
          </w:p>
        </w:tc>
      </w:tr>
      <w:tr w14:paraId="1DA0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0"/>
            <w:vAlign w:val="center"/>
          </w:tcPr>
          <w:p w14:paraId="7E23875A">
            <w:pPr>
              <w:pStyle w:val="24"/>
              <w:ind w:firstLine="199" w:firstLineChars="83"/>
              <w:rPr>
                <w:color w:val="000000"/>
              </w:rPr>
            </w:pPr>
            <w:r>
              <w:rPr>
                <w:rFonts w:hint="eastAsia"/>
                <w:color w:val="000000"/>
              </w:rPr>
              <w:t>…</w:t>
            </w:r>
          </w:p>
        </w:tc>
        <w:tc>
          <w:tcPr>
            <w:tcW w:w="2373" w:type="dxa"/>
            <w:noWrap w:val="0"/>
            <w:vAlign w:val="center"/>
          </w:tcPr>
          <w:p w14:paraId="6A5A89DB">
            <w:pPr>
              <w:pStyle w:val="24"/>
              <w:ind w:firstLine="480"/>
              <w:rPr>
                <w:color w:val="000000"/>
              </w:rPr>
            </w:pPr>
          </w:p>
        </w:tc>
        <w:tc>
          <w:tcPr>
            <w:tcW w:w="3014" w:type="dxa"/>
            <w:noWrap w:val="0"/>
            <w:vAlign w:val="center"/>
          </w:tcPr>
          <w:p w14:paraId="05CBB8A2">
            <w:pPr>
              <w:pStyle w:val="24"/>
              <w:ind w:firstLine="480"/>
              <w:rPr>
                <w:color w:val="000000"/>
              </w:rPr>
            </w:pPr>
          </w:p>
        </w:tc>
        <w:tc>
          <w:tcPr>
            <w:tcW w:w="1133" w:type="dxa"/>
            <w:noWrap w:val="0"/>
            <w:vAlign w:val="center"/>
          </w:tcPr>
          <w:p w14:paraId="2293D550">
            <w:pPr>
              <w:pStyle w:val="24"/>
              <w:ind w:firstLine="480"/>
              <w:rPr>
                <w:color w:val="000000"/>
              </w:rPr>
            </w:pPr>
          </w:p>
        </w:tc>
        <w:tc>
          <w:tcPr>
            <w:tcW w:w="1808" w:type="dxa"/>
            <w:noWrap w:val="0"/>
            <w:vAlign w:val="center"/>
          </w:tcPr>
          <w:p w14:paraId="65D97F07">
            <w:pPr>
              <w:pStyle w:val="24"/>
              <w:ind w:firstLine="480"/>
              <w:rPr>
                <w:color w:val="000000"/>
              </w:rPr>
            </w:pPr>
          </w:p>
        </w:tc>
      </w:tr>
    </w:tbl>
    <w:p w14:paraId="546431FF">
      <w:pPr>
        <w:pStyle w:val="24"/>
        <w:ind w:firstLine="480"/>
        <w:rPr>
          <w:color w:val="000000"/>
        </w:rPr>
      </w:pPr>
      <w:r>
        <w:rPr>
          <w:color w:val="000000"/>
        </w:rPr>
        <w:t>注：根据评审表的要求提交相应资料。</w:t>
      </w:r>
    </w:p>
    <w:p w14:paraId="44B38B72">
      <w:pPr>
        <w:pStyle w:val="24"/>
        <w:ind w:firstLine="641"/>
        <w:rPr>
          <w:b/>
          <w:sz w:val="32"/>
          <w:szCs w:val="32"/>
        </w:rPr>
      </w:pPr>
      <w:r>
        <w:rPr>
          <w:rFonts w:hint="eastAsia"/>
          <w:b/>
          <w:sz w:val="32"/>
          <w:szCs w:val="32"/>
        </w:rPr>
        <w:t>五、其他</w:t>
      </w:r>
    </w:p>
    <w:p w14:paraId="139A70BE">
      <w:pPr>
        <w:pStyle w:val="24"/>
        <w:ind w:firstLine="480"/>
      </w:pPr>
      <w:r>
        <w:rPr>
          <w:rFonts w:hint="eastAsia"/>
        </w:rPr>
        <w:t>其他与项目有关的资料</w:t>
      </w:r>
    </w:p>
    <w:p w14:paraId="79E5A6B7">
      <w:pPr>
        <w:pStyle w:val="24"/>
        <w:ind w:firstLine="0" w:firstLineChars="0"/>
      </w:pPr>
    </w:p>
    <w:p w14:paraId="381414F2">
      <w:pPr>
        <w:pStyle w:val="24"/>
        <w:ind w:firstLine="480"/>
      </w:pPr>
      <w:r>
        <w:rPr>
          <w:rFonts w:hint="eastAsia"/>
        </w:rPr>
        <w:t>（结束）</w:t>
      </w:r>
    </w:p>
    <w:p w14:paraId="7FF191C2">
      <w:pPr>
        <w:pStyle w:val="24"/>
        <w:ind w:firstLine="520"/>
        <w:rPr>
          <w:rFonts w:hint="eastAsia" w:ascii="宋体" w:hAnsi="Courier New" w:eastAsia="楷体_GB2312"/>
          <w:color w:val="auto"/>
          <w:sz w:val="26"/>
          <w:szCs w:val="20"/>
          <w:highlight w:val="none"/>
          <w:lang w:eastAsia="zh-CN"/>
        </w:rPr>
      </w:pPr>
    </w:p>
    <w:p w14:paraId="5BAD46C8">
      <w:pPr>
        <w:pStyle w:val="4"/>
      </w:pPr>
    </w:p>
    <w:bookmarkEnd w:id="87"/>
    <w:bookmarkEnd w:id="88"/>
    <w:bookmarkEnd w:id="89"/>
    <w:bookmarkEnd w:id="90"/>
    <w:bookmarkEnd w:id="91"/>
    <w:bookmarkEnd w:id="92"/>
    <w:bookmarkEnd w:id="93"/>
    <w:bookmarkEnd w:id="94"/>
    <w:bookmarkEnd w:id="95"/>
    <w:p w14:paraId="397DB55B"/>
    <w:sectPr>
      <w:headerReference r:id="rId12" w:type="default"/>
      <w:footerReference r:id="rId14" w:type="default"/>
      <w:headerReference r:id="rId13" w:type="even"/>
      <w:footerReference r:id="rId15" w:type="even"/>
      <w:pgSz w:w="11906" w:h="16838"/>
      <w:pgMar w:top="1134" w:right="1418" w:bottom="1134" w:left="1701" w:header="851" w:footer="709"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方正仿宋简体">
    <w:panose1 w:val="02000000000000000000"/>
    <w:charset w:val="86"/>
    <w:family w:val="auto"/>
    <w:pitch w:val="default"/>
    <w:sig w:usb0="A00002BF" w:usb1="184F6CFA" w:usb2="00000012" w:usb3="00000000" w:csb0="00040001" w:csb1="00000000"/>
  </w:font>
  <w:font w:name="创艺简仿宋">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4788C">
    <w:pPr>
      <w:pStyle w:val="13"/>
      <w:jc w:val="center"/>
    </w:pPr>
    <w:r>
      <w:fldChar w:fldCharType="begin"/>
    </w:r>
    <w:r>
      <w:instrText xml:space="preserve"> PAGE   \* MERGEFORMAT </w:instrText>
    </w:r>
    <w:r>
      <w:fldChar w:fldCharType="separate"/>
    </w:r>
    <w:r>
      <w:rPr>
        <w:lang w:val="zh-CN"/>
      </w:rPr>
      <w:t>-</w:t>
    </w:r>
    <w:r>
      <w:t xml:space="preserve"> 25 -</w:t>
    </w:r>
    <w:r>
      <w:fldChar w:fldCharType="end"/>
    </w:r>
  </w:p>
  <w:p w14:paraId="2E89381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502E6">
    <w:pPr>
      <w:pStyle w:val="13"/>
      <w:jc w:val="center"/>
    </w:pPr>
    <w:r>
      <w:fldChar w:fldCharType="begin"/>
    </w:r>
    <w:r>
      <w:instrText xml:space="preserve"> PAGE   \* MERGEFORMAT </w:instrText>
    </w:r>
    <w:r>
      <w:fldChar w:fldCharType="separate"/>
    </w:r>
    <w:r>
      <w:rPr>
        <w:lang w:val="zh-CN"/>
      </w:rPr>
      <w:t>-</w:t>
    </w:r>
    <w:r>
      <w:t xml:space="preserve"> 25 -</w:t>
    </w:r>
    <w:r>
      <w:fldChar w:fldCharType="end"/>
    </w:r>
  </w:p>
  <w:p w14:paraId="1885CDD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A4A11">
    <w:pPr>
      <w:pStyle w:val="13"/>
      <w:ind w:firstLine="360"/>
      <w:jc w:val="center"/>
    </w:pPr>
    <w:r>
      <w:fldChar w:fldCharType="begin"/>
    </w:r>
    <w:r>
      <w:instrText xml:space="preserve"> PAGE   \* MERGEFORMAT </w:instrText>
    </w:r>
    <w:r>
      <w:fldChar w:fldCharType="separate"/>
    </w:r>
    <w:r>
      <w:rPr>
        <w:lang w:val="zh-CN"/>
      </w:rPr>
      <w:t>43</w:t>
    </w:r>
    <w:r>
      <w:fldChar w:fldCharType="end"/>
    </w:r>
  </w:p>
  <w:p w14:paraId="4F2F0C28">
    <w:pPr>
      <w:pStyle w:val="13"/>
      <w:ind w:right="360"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499A6">
    <w:pPr>
      <w:pStyle w:val="13"/>
      <w:framePr w:wrap="around" w:vAnchor="text" w:hAnchor="margin" w:xAlign="right" w:y="1"/>
      <w:ind w:firstLine="360"/>
      <w:rPr>
        <w:rStyle w:val="20"/>
      </w:rPr>
    </w:pPr>
    <w:r>
      <w:fldChar w:fldCharType="begin"/>
    </w:r>
    <w:r>
      <w:rPr>
        <w:rStyle w:val="20"/>
      </w:rPr>
      <w:instrText xml:space="preserve">PAGE  </w:instrText>
    </w:r>
    <w:r>
      <w:fldChar w:fldCharType="end"/>
    </w:r>
  </w:p>
  <w:p w14:paraId="4349558B">
    <w:pPr>
      <w:pStyle w:val="1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979BE">
    <w:pPr>
      <w:pStyle w:val="13"/>
      <w:ind w:firstLine="360"/>
      <w:jc w:val="center"/>
    </w:pPr>
    <w:r>
      <w:fldChar w:fldCharType="begin"/>
    </w:r>
    <w:r>
      <w:instrText xml:space="preserve"> PAGE   \* MERGEFORMAT </w:instrText>
    </w:r>
    <w:r>
      <w:fldChar w:fldCharType="separate"/>
    </w:r>
    <w:r>
      <w:rPr>
        <w:lang w:val="zh-CN"/>
      </w:rPr>
      <w:t>49</w:t>
    </w:r>
    <w:r>
      <w:fldChar w:fldCharType="end"/>
    </w:r>
  </w:p>
  <w:p w14:paraId="0786651C">
    <w:pPr>
      <w:pStyle w:val="13"/>
      <w:ind w:right="36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F75B1">
    <w:pPr>
      <w:pStyle w:val="13"/>
      <w:framePr w:wrap="around" w:vAnchor="text" w:hAnchor="margin" w:xAlign="right" w:y="1"/>
      <w:ind w:firstLine="360"/>
      <w:rPr>
        <w:rStyle w:val="20"/>
      </w:rPr>
    </w:pPr>
    <w:r>
      <w:fldChar w:fldCharType="begin"/>
    </w:r>
    <w:r>
      <w:rPr>
        <w:rStyle w:val="20"/>
      </w:rPr>
      <w:instrText xml:space="preserve">PAGE  </w:instrText>
    </w:r>
    <w:r>
      <w:fldChar w:fldCharType="end"/>
    </w:r>
  </w:p>
  <w:p w14:paraId="602D7305">
    <w:pPr>
      <w:pStyle w:val="1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B80C">
    <w:pPr>
      <w:pStyle w:val="14"/>
      <w:pBdr>
        <w:bottom w:val="none" w:color="auto" w:sz="0" w:space="0"/>
      </w:pBdr>
      <w:ind w:firstLine="360"/>
      <w:rPr>
        <w:szCs w:val="24"/>
      </w:rPr>
    </w:pPr>
    <w:r>
      <w:rPr>
        <w:rFonts w:hint="eastAsia"/>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2B537">
    <w:pPr>
      <w:pStyle w:val="14"/>
      <w:pBdr>
        <w:bottom w:val="none" w:color="auto" w:sz="0" w:space="0"/>
      </w:pBdr>
      <w:ind w:firstLine="360"/>
      <w:rPr>
        <w:szCs w:val="24"/>
      </w:rPr>
    </w:pPr>
    <w:r>
      <w:rPr>
        <w:rFonts w:hint="eastAsia"/>
        <w:szCs w:val="24"/>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28A34">
    <w:pPr>
      <w:pStyle w:val="14"/>
      <w:pBdr>
        <w:bottom w:val="none" w:color="auto" w:sz="0" w:space="0"/>
      </w:pBdr>
      <w:ind w:firstLine="360"/>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8FA53">
    <w:pPr>
      <w:pStyle w:val="14"/>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09E79">
    <w:pPr>
      <w:pStyle w:val="14"/>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18B03">
    <w:pPr>
      <w:pStyle w:val="14"/>
      <w:pBdr>
        <w:bottom w:val="none" w:color="auto" w:sz="0" w:space="0"/>
      </w:pBdr>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97D8B">
    <w:pPr>
      <w:pStyle w:val="1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65030E"/>
    <w:multiLevelType w:val="singleLevel"/>
    <w:tmpl w:val="D065030E"/>
    <w:lvl w:ilvl="0" w:tentative="0">
      <w:start w:val="2"/>
      <w:numFmt w:val="chineseCounting"/>
      <w:suff w:val="space"/>
      <w:lvlText w:val="第%1篇"/>
      <w:lvlJc w:val="left"/>
      <w:rPr>
        <w:rFonts w:hint="eastAsia"/>
      </w:rPr>
    </w:lvl>
  </w:abstractNum>
  <w:abstractNum w:abstractNumId="1">
    <w:nsid w:val="F4647743"/>
    <w:multiLevelType w:val="singleLevel"/>
    <w:tmpl w:val="F4647743"/>
    <w:lvl w:ilvl="0" w:tentative="0">
      <w:start w:val="3"/>
      <w:numFmt w:val="chineseCounting"/>
      <w:suff w:val="nothing"/>
      <w:lvlText w:val="%1、"/>
      <w:lvlJc w:val="left"/>
      <w:rPr>
        <w:rFonts w:hint="eastAsia"/>
      </w:rPr>
    </w:lvl>
  </w:abstractNum>
  <w:abstractNum w:abstractNumId="2">
    <w:nsid w:val="13FC3BB1"/>
    <w:multiLevelType w:val="singleLevel"/>
    <w:tmpl w:val="13FC3BB1"/>
    <w:lvl w:ilvl="0" w:tentative="0">
      <w:start w:val="3"/>
      <w:numFmt w:val="decimal"/>
      <w:suff w:val="nothing"/>
      <w:lvlText w:val="（%1）"/>
      <w:lvlJc w:val="left"/>
      <w:rPr>
        <w:rFonts w:hint="default"/>
        <w:b/>
        <w:bCs/>
        <w:color w:val="FF0000"/>
        <w:sz w:val="24"/>
        <w:szCs w:val="24"/>
      </w:rPr>
    </w:lvl>
  </w:abstractNum>
  <w:abstractNum w:abstractNumId="3">
    <w:nsid w:val="183C604A"/>
    <w:multiLevelType w:val="singleLevel"/>
    <w:tmpl w:val="183C604A"/>
    <w:lvl w:ilvl="0" w:tentative="0">
      <w:start w:val="1"/>
      <w:numFmt w:val="japaneseCounting"/>
      <w:pStyle w:val="30"/>
      <w:lvlText w:val="%1、"/>
      <w:lvlJc w:val="left"/>
      <w:pPr>
        <w:tabs>
          <w:tab w:val="left" w:pos="960"/>
        </w:tabs>
        <w:ind w:left="960" w:hanging="480"/>
      </w:pPr>
      <w:rPr>
        <w:rFonts w:hint="eastAsia"/>
        <w:b/>
      </w:rPr>
    </w:lvl>
  </w:abstractNum>
  <w:abstractNum w:abstractNumId="4">
    <w:nsid w:val="4BECD495"/>
    <w:multiLevelType w:val="singleLevel"/>
    <w:tmpl w:val="4BECD495"/>
    <w:lvl w:ilvl="0" w:tentative="0">
      <w:start w:val="2"/>
      <w:numFmt w:val="chineseCounting"/>
      <w:suff w:val="nothing"/>
      <w:lvlText w:val="%1、"/>
      <w:lvlJc w:val="left"/>
      <w:rPr>
        <w:rFonts w:hint="eastAsia"/>
      </w:rPr>
    </w:lvl>
  </w:abstractNum>
  <w:abstractNum w:abstractNumId="5">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B5A1719"/>
    <w:multiLevelType w:val="multilevel"/>
    <w:tmpl w:val="6B5A171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F6203"/>
    <w:rsid w:val="02427655"/>
    <w:rsid w:val="03837010"/>
    <w:rsid w:val="1167377E"/>
    <w:rsid w:val="13201BEB"/>
    <w:rsid w:val="222F6203"/>
    <w:rsid w:val="22866859"/>
    <w:rsid w:val="24CE37EF"/>
    <w:rsid w:val="2E445076"/>
    <w:rsid w:val="325A7729"/>
    <w:rsid w:val="36584736"/>
    <w:rsid w:val="68953223"/>
    <w:rsid w:val="715A4C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_GB2312" w:cs="Times New Roman"/>
      <w:kern w:val="2"/>
      <w:sz w:val="26"/>
      <w:lang w:val="en-US" w:eastAsia="zh-CN" w:bidi="ar-SA"/>
    </w:rPr>
  </w:style>
  <w:style w:type="paragraph" w:styleId="5">
    <w:name w:val="heading 1"/>
    <w:basedOn w:val="1"/>
    <w:next w:val="1"/>
    <w:link w:val="22"/>
    <w:qFormat/>
    <w:uiPriority w:val="0"/>
    <w:pPr>
      <w:keepNext/>
      <w:keepLines/>
      <w:spacing w:before="340" w:after="330" w:line="578" w:lineRule="auto"/>
      <w:outlineLvl w:val="0"/>
    </w:pPr>
    <w:rPr>
      <w:b/>
      <w:kern w:val="44"/>
      <w:sz w:val="44"/>
    </w:rPr>
  </w:style>
  <w:style w:type="paragraph" w:styleId="6">
    <w:name w:val="heading 2"/>
    <w:basedOn w:val="1"/>
    <w:next w:val="1"/>
    <w:link w:val="23"/>
    <w:qFormat/>
    <w:uiPriority w:val="0"/>
    <w:pPr>
      <w:keepNext/>
      <w:keepLines/>
      <w:overflowPunct w:val="0"/>
      <w:adjustRightInd w:val="0"/>
      <w:jc w:val="left"/>
      <w:textAlignment w:val="baseline"/>
      <w:outlineLvl w:val="1"/>
    </w:pPr>
    <w:rPr>
      <w:rFonts w:ascii="宋体" w:hAnsi="宋体"/>
      <w:b/>
    </w:rPr>
  </w:style>
  <w:style w:type="paragraph" w:styleId="7">
    <w:name w:val="heading 3"/>
    <w:basedOn w:val="1"/>
    <w:next w:val="1"/>
    <w:qFormat/>
    <w:uiPriority w:val="0"/>
    <w:pPr>
      <w:keepNext/>
      <w:keepLines/>
      <w:adjustRightInd w:val="0"/>
      <w:jc w:val="left"/>
      <w:textAlignment w:val="baseline"/>
      <w:outlineLvl w:val="2"/>
    </w:pPr>
    <w:rPr>
      <w:b/>
    </w:rPr>
  </w:style>
  <w:style w:type="character" w:default="1" w:styleId="19">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表格文字"/>
    <w:basedOn w:val="1"/>
    <w:next w:val="3"/>
    <w:uiPriority w:val="0"/>
    <w:pPr>
      <w:spacing w:before="25" w:after="25"/>
      <w:jc w:val="left"/>
    </w:pPr>
    <w:rPr>
      <w:rFonts w:eastAsia="宋体"/>
      <w:bCs/>
      <w:spacing w:val="10"/>
      <w:kern w:val="0"/>
      <w:sz w:val="24"/>
    </w:rPr>
  </w:style>
  <w:style w:type="paragraph" w:styleId="3">
    <w:name w:val="Body Text"/>
    <w:basedOn w:val="1"/>
    <w:next w:val="4"/>
    <w:qFormat/>
    <w:uiPriority w:val="99"/>
    <w:rPr>
      <w:rFonts w:ascii="_x000B__x000C_" w:hAnsi="_x000B__x000C_" w:eastAsia="宋体"/>
      <w:sz w:val="21"/>
    </w:rPr>
  </w:style>
  <w:style w:type="paragraph" w:styleId="4">
    <w:name w:val="Body Text First Indent"/>
    <w:basedOn w:val="3"/>
    <w:next w:val="1"/>
    <w:qFormat/>
    <w:uiPriority w:val="0"/>
    <w:pPr>
      <w:spacing w:after="120"/>
      <w:ind w:firstLine="420" w:firstLineChars="100"/>
    </w:pPr>
    <w:rPr>
      <w:rFonts w:ascii="Times New Roman" w:hAnsi="Times New Roman"/>
      <w:szCs w:val="24"/>
    </w:rPr>
  </w:style>
  <w:style w:type="paragraph" w:styleId="8">
    <w:name w:val="caption"/>
    <w:basedOn w:val="1"/>
    <w:next w:val="1"/>
    <w:qFormat/>
    <w:uiPriority w:val="35"/>
    <w:rPr>
      <w:rFonts w:ascii="Arial" w:hAnsi="Arial" w:eastAsia="黑体" w:cs="Arial"/>
      <w:sz w:val="20"/>
    </w:rPr>
  </w:style>
  <w:style w:type="paragraph" w:styleId="9">
    <w:name w:val="Body Text 3"/>
    <w:basedOn w:val="1"/>
    <w:qFormat/>
    <w:uiPriority w:val="0"/>
    <w:pPr>
      <w:spacing w:after="120"/>
    </w:pPr>
    <w:rPr>
      <w:rFonts w:eastAsia="宋体"/>
      <w:sz w:val="16"/>
      <w:szCs w:val="16"/>
    </w:rPr>
  </w:style>
  <w:style w:type="paragraph" w:styleId="10">
    <w:name w:val="Body Text Indent"/>
    <w:basedOn w:val="1"/>
    <w:qFormat/>
    <w:uiPriority w:val="0"/>
    <w:pPr>
      <w:spacing w:line="520" w:lineRule="exact"/>
      <w:ind w:left="570"/>
    </w:pPr>
    <w:rPr>
      <w:rFonts w:ascii="方正仿宋简体" w:hAnsi="创艺简仿宋" w:eastAsia="方正仿宋简体"/>
      <w:sz w:val="24"/>
    </w:rPr>
  </w:style>
  <w:style w:type="paragraph" w:styleId="11">
    <w:name w:val="Plain Text"/>
    <w:basedOn w:val="1"/>
    <w:qFormat/>
    <w:uiPriority w:val="0"/>
    <w:rPr>
      <w:rFonts w:ascii="宋体" w:hAnsi="Courier New"/>
    </w:rPr>
  </w:style>
  <w:style w:type="paragraph" w:styleId="12">
    <w:name w:val="Date"/>
    <w:basedOn w:val="1"/>
    <w:next w:val="1"/>
    <w:qFormat/>
    <w:uiPriority w:val="0"/>
    <w:rPr>
      <w:rFonts w:ascii="宋体" w:hAnsi="宋体"/>
      <w:sz w:val="24"/>
    </w:r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rPr>
  </w:style>
  <w:style w:type="paragraph" w:styleId="15">
    <w:name w:val="footnote text"/>
    <w:basedOn w:val="1"/>
    <w:qFormat/>
    <w:uiPriority w:val="0"/>
    <w:pPr>
      <w:snapToGrid w:val="0"/>
      <w:jc w:val="left"/>
    </w:pPr>
    <w:rPr>
      <w:sz w:val="18"/>
    </w:rPr>
  </w:style>
  <w:style w:type="paragraph" w:styleId="16">
    <w:name w:val="Normal (Web)"/>
    <w:basedOn w:val="1"/>
    <w:unhideWhenUsed/>
    <w:qFormat/>
    <w:uiPriority w:val="0"/>
    <w:pPr>
      <w:widowControl/>
      <w:wordWrap w:val="0"/>
      <w:spacing w:before="100" w:beforeAutospacing="1" w:after="100" w:afterAutospacing="1"/>
      <w:jc w:val="left"/>
    </w:pPr>
    <w:rPr>
      <w:rFonts w:ascii="宋体" w:hAnsi="宋体" w:eastAsia="宋体"/>
      <w:kern w:val="0"/>
      <w:sz w:val="24"/>
      <w:szCs w:val="24"/>
    </w:r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uiPriority w:val="0"/>
  </w:style>
  <w:style w:type="character" w:styleId="21">
    <w:name w:val="footnote reference"/>
    <w:basedOn w:val="19"/>
    <w:qFormat/>
    <w:uiPriority w:val="0"/>
    <w:rPr>
      <w:vertAlign w:val="superscript"/>
    </w:rPr>
  </w:style>
  <w:style w:type="character" w:customStyle="1" w:styleId="22">
    <w:name w:val="标题 1 Char"/>
    <w:link w:val="5"/>
    <w:uiPriority w:val="0"/>
    <w:rPr>
      <w:b/>
      <w:kern w:val="44"/>
      <w:sz w:val="44"/>
    </w:rPr>
  </w:style>
  <w:style w:type="character" w:customStyle="1" w:styleId="23">
    <w:name w:val="标题 2 Char"/>
    <w:link w:val="6"/>
    <w:qFormat/>
    <w:uiPriority w:val="0"/>
    <w:rPr>
      <w:rFonts w:ascii="宋体" w:hAnsi="宋体"/>
      <w:b/>
    </w:rPr>
  </w:style>
  <w:style w:type="paragraph" w:customStyle="1" w:styleId="24">
    <w:name w:val="采购正文"/>
    <w:qFormat/>
    <w:uiPriority w:val="0"/>
    <w:pPr>
      <w:snapToGrid w:val="0"/>
      <w:spacing w:line="560" w:lineRule="exact"/>
      <w:ind w:firstLine="480" w:firstLineChars="200"/>
    </w:pPr>
    <w:rPr>
      <w:rFonts w:ascii="仿宋" w:hAnsi="仿宋" w:eastAsia="仿宋" w:cs="Times New Roman"/>
      <w:kern w:val="2"/>
      <w:sz w:val="24"/>
      <w:szCs w:val="24"/>
      <w:lang w:val="en-US" w:eastAsia="zh-CN" w:bidi="ar-SA"/>
    </w:rPr>
  </w:style>
  <w:style w:type="paragraph" w:customStyle="1" w:styleId="25">
    <w:name w:val="采购一级"/>
    <w:link w:val="26"/>
    <w:qFormat/>
    <w:uiPriority w:val="0"/>
    <w:pPr>
      <w:snapToGrid w:val="0"/>
      <w:spacing w:line="560" w:lineRule="exact"/>
      <w:jc w:val="center"/>
    </w:pPr>
    <w:rPr>
      <w:rFonts w:ascii="方正小标宋简体" w:hAnsi="仿宋" w:eastAsia="方正小标宋简体" w:cs="Times New Roman"/>
      <w:b/>
      <w:kern w:val="44"/>
      <w:sz w:val="36"/>
      <w:szCs w:val="36"/>
      <w:lang w:val="en-US" w:eastAsia="zh-CN" w:bidi="ar-SA"/>
    </w:rPr>
  </w:style>
  <w:style w:type="character" w:customStyle="1" w:styleId="26">
    <w:name w:val="采购一级 Char"/>
    <w:link w:val="25"/>
    <w:qFormat/>
    <w:uiPriority w:val="0"/>
    <w:rPr>
      <w:rFonts w:ascii="方正小标宋简体" w:hAnsi="仿宋" w:eastAsia="方正小标宋简体"/>
      <w:b/>
      <w:kern w:val="44"/>
      <w:sz w:val="36"/>
      <w:szCs w:val="36"/>
      <w:lang w:val="en-US" w:eastAsia="zh-CN" w:bidi="ar-SA"/>
    </w:rPr>
  </w:style>
  <w:style w:type="paragraph" w:customStyle="1" w:styleId="27">
    <w:name w:val="List Paragraph"/>
    <w:basedOn w:val="1"/>
    <w:qFormat/>
    <w:uiPriority w:val="34"/>
    <w:pPr>
      <w:ind w:firstLine="420" w:firstLineChars="200"/>
    </w:pPr>
  </w:style>
  <w:style w:type="paragraph" w:customStyle="1" w:styleId="28">
    <w:name w:val="列出段落1"/>
    <w:basedOn w:val="1"/>
    <w:qFormat/>
    <w:uiPriority w:val="0"/>
    <w:pPr>
      <w:spacing w:line="360" w:lineRule="auto"/>
      <w:ind w:firstLine="420" w:firstLineChars="200"/>
    </w:pPr>
    <w:rPr>
      <w:rFonts w:ascii="Arial" w:hAnsi="Arial" w:eastAsia="宋体"/>
      <w:sz w:val="24"/>
      <w:szCs w:val="24"/>
    </w:rPr>
  </w:style>
  <w:style w:type="paragraph" w:customStyle="1" w:styleId="29">
    <w:name w:val="采购二级"/>
    <w:qFormat/>
    <w:uiPriority w:val="0"/>
    <w:pPr>
      <w:snapToGrid w:val="0"/>
      <w:spacing w:line="560" w:lineRule="exact"/>
      <w:ind w:firstLine="200" w:firstLineChars="200"/>
      <w:jc w:val="both"/>
      <w:outlineLvl w:val="1"/>
    </w:pPr>
    <w:rPr>
      <w:rFonts w:ascii="仿宋" w:hAnsi="仿宋" w:eastAsia="仿宋" w:cs="Times New Roman"/>
      <w:b/>
      <w:kern w:val="2"/>
      <w:sz w:val="24"/>
      <w:szCs w:val="24"/>
      <w:lang w:val="en-US" w:eastAsia="zh-CN" w:bidi="ar-SA"/>
    </w:rPr>
  </w:style>
  <w:style w:type="paragraph" w:customStyle="1" w:styleId="30">
    <w:name w:val="Item List in Table"/>
    <w:basedOn w:val="1"/>
    <w:uiPriority w:val="0"/>
    <w:pPr>
      <w:numPr>
        <w:ilvl w:val="0"/>
        <w:numId w:val="1"/>
      </w:numPr>
      <w:tabs>
        <w:tab w:val="left" w:pos="420"/>
        <w:tab w:val="clear" w:pos="960"/>
      </w:tabs>
      <w:jc w:val="left"/>
    </w:pPr>
    <w:rPr>
      <w:rFonts w:eastAsia="宋体"/>
      <w:sz w:val="21"/>
      <w:szCs w:val="24"/>
    </w:rPr>
  </w:style>
  <w:style w:type="paragraph" w:customStyle="1" w:styleId="31">
    <w:name w:val="纯文本1"/>
    <w:basedOn w:val="1"/>
    <w:qFormat/>
    <w:uiPriority w:val="0"/>
    <w:rPr>
      <w:rFonts w:ascii="宋体" w:hAnsi="Courier New" w:eastAsia="宋体"/>
      <w:sz w:val="24"/>
    </w:rPr>
  </w:style>
  <w:style w:type="paragraph" w:customStyle="1" w:styleId="32">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33">
    <w:name w:val="题注4"/>
    <w:basedOn w:val="1"/>
    <w:next w:val="8"/>
    <w:uiPriority w:val="0"/>
    <w:pPr>
      <w:ind w:left="-132" w:leftChars="-64" w:right="-105" w:rightChars="-50" w:hanging="2"/>
      <w:jc w:val="center"/>
    </w:pPr>
    <w:rPr>
      <w:rFonts w:eastAsia="宋体"/>
      <w:b/>
      <w:color w:val="FF0000"/>
      <w:sz w:val="21"/>
      <w:szCs w:val="21"/>
      <w:lang w:val="en-GB"/>
    </w:rPr>
  </w:style>
  <w:style w:type="paragraph" w:customStyle="1" w:styleId="34">
    <w:name w:val="列表段落1"/>
    <w:basedOn w:val="1"/>
    <w:qFormat/>
    <w:uiPriority w:val="34"/>
    <w:pPr>
      <w:ind w:firstLine="420" w:firstLineChars="200"/>
    </w:pPr>
  </w:style>
  <w:style w:type="character" w:customStyle="1" w:styleId="35">
    <w:name w:val="font11"/>
    <w:basedOn w:val="19"/>
    <w:qFormat/>
    <w:uiPriority w:val="0"/>
    <w:rPr>
      <w:rFonts w:hint="eastAsia" w:ascii="宋体" w:hAnsi="宋体" w:eastAsia="宋体" w:cs="宋体"/>
      <w:color w:val="000000"/>
      <w:sz w:val="24"/>
      <w:szCs w:val="24"/>
      <w:u w:val="none"/>
    </w:rPr>
  </w:style>
  <w:style w:type="character" w:customStyle="1" w:styleId="36">
    <w:name w:val="font41"/>
    <w:basedOn w:val="19"/>
    <w:qFormat/>
    <w:uiPriority w:val="0"/>
    <w:rPr>
      <w:rFonts w:hint="eastAsia" w:ascii="宋体" w:hAnsi="宋体" w:eastAsia="宋体" w:cs="宋体"/>
      <w:color w:val="000000"/>
      <w:sz w:val="24"/>
      <w:szCs w:val="24"/>
      <w:u w:val="none"/>
    </w:rPr>
  </w:style>
  <w:style w:type="character" w:customStyle="1" w:styleId="37">
    <w:name w:val="font21"/>
    <w:basedOn w:val="19"/>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0</Words>
  <Characters>0</Characters>
  <Lines>0</Lines>
  <Paragraphs>0</Paragraphs>
  <TotalTime>61</TotalTime>
  <ScaleCrop>false</ScaleCrop>
  <LinksUpToDate>false</LinksUpToDate>
  <CharactersWithSpaces>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2026-06-22T04:11:00Z</dcterms:created>
  <dc:creator>Administrator</dc:creator>
  <cp:lastModifiedBy>Administrator</cp:lastModifiedBy>
  <dcterms:modified xsi:type="dcterms:W3CDTF">2026-06-23T03:24:55Z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8EA5F8FD54714D02A2A9AB2F4EE2CD86_13</vt:lpwstr>
  </property>
</Properties>
</file>