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版本号：N511801202600007420260527001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云桌面系统建设项目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N5118012026000074</w:t>
      </w:r>
    </w:p>
    <w:p>
      <w:pPr>
        <w:pStyle w:val="null3"/>
        <w:jc w:val="left"/>
        <w:outlineLvl w:val="2"/>
      </w:pPr>
      <w:r>
        <w:rPr>
          <w:rFonts w:ascii="仿宋_GB2312" w:hAnsi="仿宋_GB2312" w:cs="仿宋_GB2312" w:eastAsia="仿宋_GB2312"/>
          <w:sz w:val="28"/>
          <w:b/>
        </w:rPr>
        <w:t>雅安市名山区人民法院</w:t>
      </w:r>
    </w:p>
    <w:p>
      <w:pPr>
        <w:pStyle w:val="null3"/>
        <w:jc w:val="center"/>
        <w:outlineLvl w:val="2"/>
      </w:pPr>
      <w:r>
        <w:rPr>
          <w:rFonts w:ascii="仿宋_GB2312" w:hAnsi="仿宋_GB2312" w:cs="仿宋_GB2312" w:eastAsia="仿宋_GB2312"/>
          <w:sz w:val="28"/>
          <w:b/>
        </w:rPr>
        <w:t>雅安市名山区政府采购中心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雅安市名山区政府采购中心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雅安市名山区人民法院</w:t>
      </w:r>
      <w:r>
        <w:rPr>
          <w:rFonts w:ascii="仿宋_GB2312" w:hAnsi="仿宋_GB2312" w:cs="仿宋_GB2312" w:eastAsia="仿宋_GB2312"/>
        </w:rPr>
        <w:t xml:space="preserve"> 委托，拟对 </w:t>
      </w:r>
      <w:r>
        <w:rPr>
          <w:rFonts w:ascii="仿宋_GB2312" w:hAnsi="仿宋_GB2312" w:cs="仿宋_GB2312" w:eastAsia="仿宋_GB2312"/>
        </w:rPr>
        <w:t>云桌面系统建设项目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雅安市市本级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N5118012026000074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云桌面系统建设项目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随着应用创新建设进程的不断加快，办公终端作为关系到信息安全可靠的重要组成部分，其升级、改造、替换也是法院系统信息化建设中的关键内容。为保证数据的安全性、可靠性、终端的统一和集中安全管控以及运维管理效率，需将办公人员电脑的数据进行统一存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雅安市名山区人民法院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四川省雅安市名山区蒙阳街道茶都大道281号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0835-3222214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雅安市名山区政府采购中心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四川省雅安市名山区蒙阳街道彩虹南路5号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卢老师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0835-3222639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雅安市名山区人民法院</w:t>
      </w:r>
      <w:r>
        <w:rPr>
          <w:rFonts w:ascii="仿宋_GB2312" w:hAnsi="仿宋_GB2312" w:cs="仿宋_GB2312" w:eastAsia="仿宋_GB2312"/>
        </w:rPr>
        <w:t xml:space="preserve"> 和 </w:t>
      </w:r>
      <w:r>
        <w:rPr>
          <w:rFonts w:ascii="仿宋_GB2312" w:hAnsi="仿宋_GB2312" w:cs="仿宋_GB2312" w:eastAsia="仿宋_GB2312"/>
        </w:rPr>
        <w:t>雅安市名山区政府采购中心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雅安市名山区人民法院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雅安市名山区政府采购中心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在中标供应商提出验收申请之日起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如有，合同约定。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按国家有关规定以及招标文件的质量要求和技术指标(包括每一项技术要求的履约情况)，中标供应商的投标文件及承诺与本合同约定标准进行验收。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按国家有关规定以及招标文件的商务要求(包括每一项商务要求的履约情况)，中标供应商的投标文件及承诺与本合同约定标准进行验收。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1、在中标供应商提出验收申请之日起5日内组织验收，本项目现场验收由采购人组织，中标供应商配合进行。 2、按国家有关规定以及招标文件的质量要求和技术指标(包括每一项技术和商务要求的履约情况)，中标供应商的投标文件及承诺与本合同约定标准进行验收；双方如对质量要求和技术指标的约定标准有相互抵触或异议的事项，由采购人在招标文件中按质量要求和技术指标比较优胜的原则确定该项的约定标准进行验收；验收时如发现所交付的货物有短装、次品、损坏或其它不符合标准及本合同规定之情形者，采购人应做出详尽的现场记录，或由双方签署备忘录，此现场记录或备忘录可用作补充、缺失和更换损坏部件的有效证据，由此产生的时间延误与有关费用由中标供应商承担，验收期限相应顺延；如验收合格，双方签署验收报告；验收不合格且拒不整改的，将不予支付采购资金，还可能上报本项目同级财政部门按照政府采购法律法规等有关规定给予行政处罚。中标供应商应将所提供货物的装箱清单、配件、随机工具、用户使用手册、原厂保修卡等资料交付给采购人；中标供应商不能完整交付货物及本款规定的单证和工具的，必须负责补齐，否则视为未按合同约定交货。如货物经中标供应商3次维修或更换仍不能达到合同约定的质量标准，采购人有权退货，并视作中标供应商不能交付货物而违约，采购人可依法依约追究中标供应商的违约责任。（投标人在投标文件中承诺若为本项目的中标供应商按照本条要求执行；提供承诺函加盖投标人电子公章，格式自拟） 3、其他未尽事宜应严格按照政府采购相关法律法规以及财政部关于印发《政府采购需求管理办法》的通知（财库〔2021〕22号）、《财政部关于进一步加强政府采购需求和履约验收管理的指导意见》(财库〔2016〕205号) 和《雅安市财政局关于规范政府采购履约验收工作的通知》（雅财采〔2021〕50号）的要求进行验收。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如有，双方合同约定。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雅安市名山区人民法院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雅安市名山区政府采购中心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雅安市名山区政府采购中心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联系人：梁老师</w:t>
      </w:r>
    </w:p>
    <w:p>
      <w:pPr>
        <w:pStyle w:val="null3"/>
        <w:jc w:val="left"/>
      </w:pPr>
      <w:r>
        <w:rPr>
          <w:rFonts w:ascii="仿宋_GB2312" w:hAnsi="仿宋_GB2312" w:cs="仿宋_GB2312" w:eastAsia="仿宋_GB2312"/>
        </w:rPr>
        <w:t>联系电话：0835-3222214</w:t>
      </w:r>
    </w:p>
    <w:p>
      <w:pPr>
        <w:pStyle w:val="null3"/>
        <w:jc w:val="left"/>
      </w:pPr>
      <w:r>
        <w:rPr>
          <w:rFonts w:ascii="仿宋_GB2312" w:hAnsi="仿宋_GB2312" w:cs="仿宋_GB2312" w:eastAsia="仿宋_GB2312"/>
        </w:rPr>
        <w:t>地址：雅安市名山区蒙阳街道彩虹茶都大道281号</w:t>
      </w:r>
    </w:p>
    <w:p>
      <w:pPr>
        <w:pStyle w:val="null3"/>
        <w:jc w:val="left"/>
      </w:pPr>
      <w:r>
        <w:rPr>
          <w:rFonts w:ascii="仿宋_GB2312" w:hAnsi="仿宋_GB2312" w:cs="仿宋_GB2312" w:eastAsia="仿宋_GB2312"/>
        </w:rPr>
        <w:t>邮编：625100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联系人：赵老师</w:t>
      </w:r>
    </w:p>
    <w:p>
      <w:pPr>
        <w:pStyle w:val="null3"/>
        <w:jc w:val="left"/>
      </w:pPr>
      <w:r>
        <w:rPr>
          <w:rFonts w:ascii="仿宋_GB2312" w:hAnsi="仿宋_GB2312" w:cs="仿宋_GB2312" w:eastAsia="仿宋_GB2312"/>
        </w:rPr>
        <w:t>联系电话：0835-3235605</w:t>
      </w:r>
    </w:p>
    <w:p>
      <w:pPr>
        <w:pStyle w:val="null3"/>
        <w:jc w:val="left"/>
      </w:pPr>
      <w:r>
        <w:rPr>
          <w:rFonts w:ascii="仿宋_GB2312" w:hAnsi="仿宋_GB2312" w:cs="仿宋_GB2312" w:eastAsia="仿宋_GB2312"/>
        </w:rPr>
        <w:t>地址：雅安市名山区蒙阳街道彩虹南路5号</w:t>
      </w:r>
    </w:p>
    <w:p>
      <w:pPr>
        <w:pStyle w:val="null3"/>
        <w:jc w:val="left"/>
      </w:pPr>
      <w:r>
        <w:rPr>
          <w:rFonts w:ascii="仿宋_GB2312" w:hAnsi="仿宋_GB2312" w:cs="仿宋_GB2312" w:eastAsia="仿宋_GB2312"/>
        </w:rPr>
        <w:t>邮编：625100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1,600,000.00</w:t>
      </w:r>
    </w:p>
    <w:p>
      <w:pPr>
        <w:pStyle w:val="null3"/>
        <w:jc w:val="left"/>
      </w:pPr>
      <w:r>
        <w:rPr>
          <w:rFonts w:ascii="仿宋_GB2312" w:hAnsi="仿宋_GB2312" w:cs="仿宋_GB2312" w:eastAsia="仿宋_GB2312"/>
        </w:rPr>
        <w:t>采购包最高限价（元）: 1,600,000.00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A02010104 服务器</w:t>
            </w:r>
          </w:p>
        </w:tc>
        <w:tc>
          <w:tcPr>
            <w:tcW w:type="dxa" w:w="821"/>
          </w:tcPr>
          <w:p>
            <w:pPr>
              <w:pStyle w:val="null3"/>
              <w:jc w:val="left"/>
            </w:pPr>
            <w:r>
              <w:rPr>
                <w:rFonts w:ascii="仿宋_GB2312" w:hAnsi="仿宋_GB2312" w:cs="仿宋_GB2312" w:eastAsia="仿宋_GB2312"/>
              </w:rPr>
              <w:t>桌面云服务器</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1,150,000.00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A08060302 支撑软件</w:t>
            </w:r>
          </w:p>
        </w:tc>
        <w:tc>
          <w:tcPr>
            <w:tcW w:type="dxa" w:w="821"/>
          </w:tcPr>
          <w:p>
            <w:pPr>
              <w:pStyle w:val="null3"/>
              <w:jc w:val="left"/>
            </w:pPr>
            <w:r>
              <w:rPr>
                <w:rFonts w:ascii="仿宋_GB2312" w:hAnsi="仿宋_GB2312" w:cs="仿宋_GB2312" w:eastAsia="仿宋_GB2312"/>
              </w:rPr>
              <w:t>桌面云服务器授权</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185,000.00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桌面云接入管理软件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210,000.00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A02010202 交换设备</w:t>
            </w:r>
          </w:p>
        </w:tc>
        <w:tc>
          <w:tcPr>
            <w:tcW w:type="dxa" w:w="821"/>
          </w:tcPr>
          <w:p>
            <w:pPr>
              <w:pStyle w:val="null3"/>
              <w:jc w:val="left"/>
            </w:pPr>
            <w:r>
              <w:rPr>
                <w:rFonts w:ascii="仿宋_GB2312" w:hAnsi="仿宋_GB2312" w:cs="仿宋_GB2312" w:eastAsia="仿宋_GB2312"/>
              </w:rPr>
              <w:t>万兆交换机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桌面云服务器</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1,150,000.00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桌面云服务器授权</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185,000.00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桌面云接入管理软件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万兆交换机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A02010104 服务器</w:t>
            </w:r>
          </w:p>
        </w:tc>
        <w:tc>
          <w:tcPr>
            <w:tcW w:type="dxa" w:w="2492"/>
          </w:tcPr>
          <w:p>
            <w:pPr>
              <w:pStyle w:val="null3"/>
              <w:jc w:val="left"/>
            </w:pPr>
            <w:r>
              <w:rPr>
                <w:rFonts w:ascii="仿宋_GB2312" w:hAnsi="仿宋_GB2312" w:cs="仿宋_GB2312" w:eastAsia="仿宋_GB2312"/>
              </w:rPr>
              <w:t>桌面云服务器</w:t>
            </w:r>
          </w:p>
        </w:tc>
        <w:tc>
          <w:tcPr>
            <w:tcW w:type="dxa" w:w="2492"/>
          </w:tcPr>
          <w:p>
            <w:pPr>
              <w:pStyle w:val="null3"/>
              <w:jc w:val="left"/>
            </w:pPr>
            <w:r>
              <w:rPr>
                <w:rFonts w:ascii="仿宋_GB2312" w:hAnsi="仿宋_GB2312" w:cs="仿宋_GB2312" w:eastAsia="仿宋_GB2312"/>
              </w:rPr>
              <w:t>桌面云服务器</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A02010104 服务器</w:t>
            </w:r>
          </w:p>
        </w:tc>
        <w:tc>
          <w:tcPr>
            <w:tcW w:type="dxa" w:w="2492"/>
          </w:tcPr>
          <w:p>
            <w:pPr>
              <w:pStyle w:val="null3"/>
              <w:jc w:val="left"/>
            </w:pPr>
            <w:r>
              <w:rPr>
                <w:rFonts w:ascii="仿宋_GB2312" w:hAnsi="仿宋_GB2312" w:cs="仿宋_GB2312" w:eastAsia="仿宋_GB2312"/>
              </w:rPr>
              <w:t>桌面云服务器</w:t>
            </w:r>
          </w:p>
        </w:tc>
        <w:tc>
          <w:tcPr>
            <w:tcW w:type="dxa" w:w="2492"/>
          </w:tcPr>
          <w:p>
            <w:pPr>
              <w:pStyle w:val="null3"/>
              <w:jc w:val="left"/>
            </w:pPr>
            <w:r>
              <w:rPr>
                <w:rFonts w:ascii="仿宋_GB2312" w:hAnsi="仿宋_GB2312" w:cs="仿宋_GB2312" w:eastAsia="仿宋_GB2312"/>
              </w:rPr>
              <w:t>服务器</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标的名称：桌面云服务器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桌面云服务器</w:t>
            </w:r>
          </w:p>
        </w:tc>
        <w:tc>
          <w:tcPr>
            <w:tcW w:type="dxa" w:w="5814"/>
          </w:tcPr>
          <w:p>
            <w:pPr>
              <w:pStyle w:val="null3"/>
              <w:jc w:val="left"/>
            </w:pPr>
            <w:r>
              <w:rPr>
                <w:rFonts w:ascii="仿宋_GB2312" w:hAnsi="仿宋_GB2312" w:cs="仿宋_GB2312" w:eastAsia="仿宋_GB2312"/>
                <w:sz w:val="24"/>
                <w:color w:val="000000"/>
              </w:rPr>
              <w:t>★1、每节点配置2颗国产化</w:t>
            </w:r>
            <w:r>
              <w:rPr>
                <w:rFonts w:ascii="仿宋_GB2312" w:hAnsi="仿宋_GB2312" w:cs="仿宋_GB2312" w:eastAsia="仿宋_GB2312"/>
                <w:sz w:val="24"/>
                <w:color w:val="000000"/>
              </w:rPr>
              <w:t>X</w:t>
            </w:r>
            <w:r>
              <w:rPr>
                <w:rFonts w:ascii="仿宋_GB2312" w:hAnsi="仿宋_GB2312" w:cs="仿宋_GB2312" w:eastAsia="仿宋_GB2312"/>
                <w:sz w:val="24"/>
                <w:color w:val="000000"/>
              </w:rPr>
              <w:t>86架构CPU，每颗CPU核心数≥32核，每颗CPU主频≥2.5GHz。</w:t>
            </w:r>
          </w:p>
          <w:p>
            <w:pPr>
              <w:pStyle w:val="null3"/>
              <w:jc w:val="left"/>
            </w:pPr>
            <w:r>
              <w:rPr>
                <w:rFonts w:ascii="仿宋_GB2312" w:hAnsi="仿宋_GB2312" w:cs="仿宋_GB2312" w:eastAsia="仿宋_GB2312"/>
                <w:sz w:val="24"/>
                <w:color w:val="000000"/>
              </w:rPr>
              <w:t>★2、每节点配置≥480GB SATA SSD企业级硬盘，可用于安装操作系统；配置≥64 TB SATA HDD 企业级机械硬盘，用于数据存储；配置≥960 GB SSD固态硬盘，用于缓存加速。</w:t>
            </w:r>
          </w:p>
          <w:p>
            <w:pPr>
              <w:pStyle w:val="null3"/>
              <w:jc w:val="left"/>
            </w:pPr>
            <w:r>
              <w:rPr>
                <w:rFonts w:ascii="仿宋_GB2312" w:hAnsi="仿宋_GB2312" w:cs="仿宋_GB2312" w:eastAsia="仿宋_GB2312"/>
                <w:sz w:val="24"/>
                <w:color w:val="000000"/>
              </w:rPr>
              <w:t>★3、每节点配置≥512 GB内存条，配置≥2千兆电口，≥2个万兆光口，配置冗余电源。</w:t>
            </w:r>
          </w:p>
          <w:p>
            <w:pPr>
              <w:pStyle w:val="null3"/>
              <w:jc w:val="left"/>
            </w:pPr>
            <w:r>
              <w:rPr>
                <w:rFonts w:ascii="仿宋_GB2312" w:hAnsi="仿宋_GB2312" w:cs="仿宋_GB2312" w:eastAsia="仿宋_GB2312"/>
                <w:sz w:val="24"/>
                <w:color w:val="000000"/>
              </w:rPr>
              <w:t>▲4、在30MHz~1GHz、1GHz~5GHz频率范围内的辐射骚扰符合GB/T 9254</w:t>
            </w:r>
            <w:r>
              <w:rPr>
                <w:rFonts w:ascii="仿宋_GB2312" w:hAnsi="仿宋_GB2312" w:cs="仿宋_GB2312" w:eastAsia="仿宋_GB2312"/>
                <w:sz w:val="24"/>
                <w:color w:val="000000"/>
              </w:rPr>
              <w:t>.2-2021最新</w:t>
            </w:r>
            <w:r>
              <w:rPr>
                <w:rFonts w:ascii="仿宋_GB2312" w:hAnsi="仿宋_GB2312" w:cs="仿宋_GB2312" w:eastAsia="仿宋_GB2312"/>
                <w:sz w:val="24"/>
                <w:color w:val="000000"/>
              </w:rPr>
              <w:t>标准且测试结果为在生活环境中使用不会造成辐射以及无线电干扰。</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提供承诺函并</w:t>
            </w:r>
            <w:r>
              <w:rPr>
                <w:rFonts w:ascii="仿宋_GB2312" w:hAnsi="仿宋_GB2312" w:cs="仿宋_GB2312" w:eastAsia="仿宋_GB2312"/>
                <w:sz w:val="24"/>
                <w:b/>
                <w:color w:val="000000"/>
              </w:rPr>
              <w:t>加盖</w:t>
            </w:r>
            <w:r>
              <w:rPr>
                <w:rFonts w:ascii="仿宋_GB2312" w:hAnsi="仿宋_GB2312" w:cs="仿宋_GB2312" w:eastAsia="仿宋_GB2312"/>
                <w:sz w:val="24"/>
                <w:b/>
                <w:color w:val="000000"/>
              </w:rPr>
              <w:t>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、其他未列明的技术参数须符合《通用服务器政府采购需求标准（</w:t>
            </w:r>
            <w:r>
              <w:rPr>
                <w:rFonts w:ascii="仿宋_GB2312" w:hAnsi="仿宋_GB2312" w:cs="仿宋_GB2312" w:eastAsia="仿宋_GB2312"/>
                <w:sz w:val="24"/>
                <w:color w:val="000000"/>
              </w:rPr>
              <w:t>2023年版）》文件的要求。</w:t>
            </w:r>
          </w:p>
        </w:tc>
      </w:tr>
    </w:tbl>
    <w:p>
      <w:pPr>
        <w:pStyle w:val="null3"/>
        <w:jc w:val="left"/>
      </w:pPr>
      <w:r>
        <w:rPr>
          <w:rFonts w:ascii="仿宋_GB2312" w:hAnsi="仿宋_GB2312" w:cs="仿宋_GB2312" w:eastAsia="仿宋_GB2312"/>
        </w:rPr>
        <w:t>标的名称：桌面云服务器授权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桌面云服务器授权</w:t>
            </w:r>
          </w:p>
        </w:tc>
        <w:tc>
          <w:tcPr>
            <w:tcW w:type="dxa" w:w="5814"/>
          </w:tcPr>
          <w:p>
            <w:pPr>
              <w:pStyle w:val="null3"/>
              <w:jc w:val="left"/>
            </w:pPr>
            <w:r>
              <w:rPr>
                <w:rFonts w:ascii="仿宋_GB2312" w:hAnsi="仿宋_GB2312" w:cs="仿宋_GB2312" w:eastAsia="仿宋_GB2312"/>
                <w:sz w:val="24"/>
                <w:color w:val="000000"/>
              </w:rPr>
              <w:t>★1、配置≥10颗物理CPU授权许可的桌面云计算服务器虚拟化软件。</w:t>
            </w:r>
          </w:p>
          <w:p>
            <w:pPr>
              <w:pStyle w:val="null3"/>
              <w:jc w:val="left"/>
            </w:pPr>
            <w:r>
              <w:rPr>
                <w:rFonts w:ascii="仿宋_GB2312" w:hAnsi="仿宋_GB2312" w:cs="仿宋_GB2312" w:eastAsia="仿宋_GB2312"/>
                <w:sz w:val="24"/>
                <w:color w:val="000000"/>
              </w:rPr>
              <w:t>★2、配置≥10颗物理CPU授权许可的桌面云虚拟存储软件。</w:t>
            </w:r>
          </w:p>
          <w:p>
            <w:pPr>
              <w:pStyle w:val="null3"/>
              <w:jc w:val="left"/>
            </w:pPr>
            <w:r>
              <w:rPr>
                <w:rFonts w:ascii="仿宋_GB2312" w:hAnsi="仿宋_GB2312" w:cs="仿宋_GB2312" w:eastAsia="仿宋_GB2312"/>
                <w:sz w:val="24"/>
                <w:color w:val="000000"/>
              </w:rPr>
              <w:t>3、桌面云虚拟机可以实现物理机的全部功能，如具有自己的资源（内存、CPU、网卡、存储），可以指定单独的IP地址、MAC地址等。</w:t>
            </w:r>
          </w:p>
          <w:p>
            <w:pPr>
              <w:pStyle w:val="null3"/>
              <w:jc w:val="left"/>
            </w:pPr>
            <w:r>
              <w:rPr>
                <w:rFonts w:ascii="仿宋_GB2312" w:hAnsi="仿宋_GB2312" w:cs="仿宋_GB2312" w:eastAsia="仿宋_GB2312"/>
                <w:sz w:val="24"/>
                <w:color w:val="000000"/>
              </w:rPr>
              <w:t>▲4、支持Intel、AMD、海光等不同品牌CPU的服务器添加至一个计算集群进行统一管理，满足国产化趋势以及后续多场景扩容后便于统一运维管理。</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▲5、为保证云桌面使用体验，要求所投产品在分布式存储的方案下，集群模式下4KB块大小全随机100%读IOPS&gt;170万，1T数据重构时间≤15min。</w:t>
            </w:r>
            <w:r>
              <w:rPr>
                <w:rFonts w:ascii="仿宋_GB2312" w:hAnsi="仿宋_GB2312" w:cs="仿宋_GB2312" w:eastAsia="仿宋_GB2312"/>
                <w:sz w:val="24"/>
                <w:b/>
                <w:color w:val="000000"/>
              </w:rPr>
              <w:t>（提供第三方机构出具</w:t>
            </w:r>
            <w:r>
              <w:rPr>
                <w:rFonts w:ascii="仿宋_GB2312" w:hAnsi="仿宋_GB2312" w:cs="仿宋_GB2312" w:eastAsia="仿宋_GB2312"/>
                <w:sz w:val="24"/>
                <w:b/>
                <w:color w:val="000000"/>
              </w:rPr>
              <w:t>的检测</w:t>
            </w:r>
            <w:r>
              <w:rPr>
                <w:rFonts w:ascii="仿宋_GB2312" w:hAnsi="仿宋_GB2312" w:cs="仿宋_GB2312" w:eastAsia="仿宋_GB2312"/>
                <w:sz w:val="24"/>
                <w:b/>
                <w:color w:val="000000"/>
              </w:rPr>
              <w:t>/检验</w:t>
            </w:r>
            <w:r>
              <w:rPr>
                <w:rFonts w:ascii="仿宋_GB2312" w:hAnsi="仿宋_GB2312" w:cs="仿宋_GB2312" w:eastAsia="仿宋_GB2312"/>
                <w:sz w:val="24"/>
                <w:b/>
                <w:color w:val="000000"/>
              </w:rPr>
              <w:t>报告扫描件加盖</w:t>
            </w:r>
            <w:r>
              <w:rPr>
                <w:rFonts w:ascii="仿宋_GB2312" w:hAnsi="仿宋_GB2312" w:cs="仿宋_GB2312" w:eastAsia="仿宋_GB2312"/>
                <w:sz w:val="24"/>
                <w:b/>
                <w:color w:val="000000"/>
              </w:rPr>
              <w:t>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6、支持多级缓存技术，可以智能化地预先将热点数据从机械盘缓存到SSD和内存中，</w:t>
            </w:r>
            <w:r>
              <w:rPr>
                <w:rFonts w:ascii="仿宋_GB2312" w:hAnsi="仿宋_GB2312" w:cs="仿宋_GB2312" w:eastAsia="仿宋_GB2312"/>
                <w:sz w:val="24"/>
                <w:color w:val="000000"/>
              </w:rPr>
              <w:t>使</w:t>
            </w:r>
            <w:r>
              <w:rPr>
                <w:rFonts w:ascii="仿宋_GB2312" w:hAnsi="仿宋_GB2312" w:cs="仿宋_GB2312" w:eastAsia="仿宋_GB2312"/>
                <w:sz w:val="24"/>
                <w:color w:val="000000"/>
              </w:rPr>
              <w:t>热点数据的</w:t>
            </w:r>
            <w:r>
              <w:rPr>
                <w:rFonts w:ascii="仿宋_GB2312" w:hAnsi="仿宋_GB2312" w:cs="仿宋_GB2312" w:eastAsia="仿宋_GB2312"/>
                <w:sz w:val="24"/>
                <w:color w:val="000000"/>
              </w:rPr>
              <w:t>IO更加高效。</w:t>
            </w:r>
          </w:p>
          <w:p>
            <w:pPr>
              <w:pStyle w:val="null3"/>
              <w:jc w:val="left"/>
            </w:pPr>
            <w:r>
              <w:rPr>
                <w:rFonts w:ascii="仿宋_GB2312" w:hAnsi="仿宋_GB2312" w:cs="仿宋_GB2312" w:eastAsia="仿宋_GB2312"/>
                <w:sz w:val="24"/>
                <w:color w:val="000000"/>
              </w:rPr>
              <w:t>▲7、为优化虚拟机使用体验的同时，要求提供CPU弹性算力功能，支持配置弹性系数上限，在服务器资源空闲时能够为虚拟机自动提供更多的CPU核数；可配置弹性熔断阈值，在服务器CPU负载超过阈值时，自动限制虚拟机使用弹性算力。</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8、支持用户的统计分析，识别活跃用户，可导出报表，便于管理员统计不同部门用户的云资源使用情况和用户活跃情况。支持配置定时（可按每日、每周、每月）邮件通知，便捷管理员自动化接收并归档相应报表，支持用户登录会话性能的分析，统计用户登录会话次数和平均登录时长，分析登录性能。便于管理员在登录性能故障排查场景的运维效率提升。</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9、桌面云应支持分布式存储智能QoS，在后端存储资源有余情况下，可以为高I/O需求的用户自动提升QoS上限以提高用户体验。在后端存储繁忙情况下，能自动发现高I/O用户，并对其进行I/O限流避免其消耗过多的IO而影响其他用户的体验。</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10、管理平台支持飞书、企业微信、钉钉扫码登录，同时支持自定义告警信息，包括主机CPU使用率、内存使用率、系统盘剩余寿命、存储池使用率、磁盘健康状态、网卡状态等，并可通过邮件、短信、企业微信、飞书等发送告警通知，以便管理员及时获取平台环境状态信息，出现故障时进行快速处理。</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11、支持超载虚机的智能识别。可根据分析周期、CPU使用率阈值、内存使用率阈值、超阈值天数等条件自定义判断规则，便于管理员快速识别集群中超载的虚机。支持配置定时（可按每日、每周、每月）邮件通知，便捷管理员自动化接收并归档相应报表，从而增加虚拟机配置。</w:t>
            </w:r>
          </w:p>
          <w:p>
            <w:pPr>
              <w:pStyle w:val="null3"/>
              <w:jc w:val="left"/>
            </w:pPr>
            <w:r>
              <w:rPr>
                <w:rFonts w:ascii="仿宋_GB2312" w:hAnsi="仿宋_GB2312" w:cs="仿宋_GB2312" w:eastAsia="仿宋_GB2312"/>
                <w:sz w:val="24"/>
                <w:color w:val="000000"/>
              </w:rPr>
              <w:t>▲12、支持闲置虚机的智能识别，可根据分析周期、云桌面连接次数阈值及键鼠使用时长阈值等条件自定义判断规则，便于管理员快速识别集群中闲置的虚机。支持配置定时（可按每日、每周、每月）邮件通知，便捷管理员自动化接收并归档相应报表。</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tc>
      </w:tr>
    </w:tbl>
    <w:p>
      <w:pPr>
        <w:pStyle w:val="null3"/>
        <w:jc w:val="left"/>
      </w:pPr>
      <w:r>
        <w:rPr>
          <w:rFonts w:ascii="仿宋_GB2312" w:hAnsi="仿宋_GB2312" w:cs="仿宋_GB2312" w:eastAsia="仿宋_GB2312"/>
        </w:rPr>
        <w:t>标的名称：桌面云接入管理软件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桌面云接入管理软件</w:t>
            </w:r>
          </w:p>
        </w:tc>
        <w:tc>
          <w:tcPr>
            <w:tcW w:type="dxa" w:w="5814"/>
          </w:tcPr>
          <w:p>
            <w:pPr>
              <w:pStyle w:val="null3"/>
              <w:jc w:val="left"/>
            </w:pPr>
            <w:r>
              <w:rPr>
                <w:rFonts w:ascii="仿宋_GB2312" w:hAnsi="仿宋_GB2312" w:cs="仿宋_GB2312" w:eastAsia="仿宋_GB2312"/>
                <w:sz w:val="24"/>
                <w:color w:val="000000"/>
              </w:rPr>
              <w:t>★1、配置≥130套桌面云瘦终端接入授权，支持统一架构下同时交付个性桌面、还原桌面、GPU桌面、独享虚拟应用、共享虚拟应用、共享桌面、物理PC、TCI等，实现VDI软客户端、物理PC等统一管理。</w:t>
            </w:r>
          </w:p>
          <w:p>
            <w:pPr>
              <w:pStyle w:val="null3"/>
              <w:jc w:val="left"/>
            </w:pPr>
            <w:r>
              <w:rPr>
                <w:rFonts w:ascii="仿宋_GB2312" w:hAnsi="仿宋_GB2312" w:cs="仿宋_GB2312" w:eastAsia="仿宋_GB2312"/>
                <w:sz w:val="24"/>
                <w:color w:val="000000"/>
              </w:rPr>
              <w:t>2、集成云盘功能，支持个人云盘和公共云盘，支持创建用户群组，群成员可在组内分享文件，可实现以链接方式分享文件，用户登录云桌面时，云盘客户端可自动登录，可设置不同权限的管理员角色，权限包括查看权限、查看/上传权限、编辑权限等。</w:t>
            </w:r>
          </w:p>
          <w:p>
            <w:pPr>
              <w:pStyle w:val="null3"/>
              <w:jc w:val="left"/>
            </w:pPr>
            <w:r>
              <w:rPr>
                <w:rFonts w:ascii="仿宋_GB2312" w:hAnsi="仿宋_GB2312" w:cs="仿宋_GB2312" w:eastAsia="仿宋_GB2312"/>
                <w:sz w:val="24"/>
                <w:color w:val="000000"/>
              </w:rPr>
              <w:t>3、为了方便用户自主修复桌面，支持自助快照恢复，当用户自己误操作导致云桌面卡慢、蓝屏、死机或者中病毒的时候，用户通过导航条按钮，可以自助进行系统盘快照还原操作。</w:t>
            </w:r>
          </w:p>
          <w:p>
            <w:pPr>
              <w:pStyle w:val="null3"/>
              <w:jc w:val="left"/>
            </w:pPr>
            <w:r>
              <w:rPr>
                <w:rFonts w:ascii="仿宋_GB2312" w:hAnsi="仿宋_GB2312" w:cs="仿宋_GB2312" w:eastAsia="仿宋_GB2312"/>
                <w:sz w:val="24"/>
                <w:color w:val="000000"/>
              </w:rPr>
              <w:t>▲4、为满足在桌面故障后能快速恢复桌面环境，支持虚拟机桌面还原后，自动将故障原C盘（系统盘）作为数据盘挂载到新桌面内，便于用户拷贝数据。</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5、为提升管控力度以及用户体验，用户个人磁盘支持设置固定盘符和磁盘名称，支持用户桌面个性化数据重定向至个人磁盘中，同时提供文件导出审批与审计，可实现对导出文件的内容和可疑行为做相关审计工作。可配置一级与二级审批员，可定义文件导出动作是否需要审批，当需要审批才能传输时，需使用内置的文件导出工具。管理人员审批时，可以进行文件下载，并可驳回传输申请。管理员可定义文件流转规则，包括单次/每小时/单日导出文件数量、文件允许导出的时间等，在规则范围外的导出动作可进行告警。</w:t>
            </w:r>
            <w:r>
              <w:rPr>
                <w:rFonts w:ascii="仿宋_GB2312" w:hAnsi="仿宋_GB2312" w:cs="仿宋_GB2312" w:eastAsia="仿宋_GB2312"/>
                <w:sz w:val="24"/>
                <w:b/>
                <w:color w:val="000000"/>
              </w:rPr>
              <w:t>（提供</w:t>
            </w:r>
            <w:r>
              <w:rPr>
                <w:rFonts w:ascii="仿宋_GB2312" w:hAnsi="仿宋_GB2312" w:cs="仿宋_GB2312" w:eastAsia="仿宋_GB2312"/>
                <w:sz w:val="24"/>
                <w:b/>
                <w:color w:val="000000"/>
              </w:rPr>
              <w:t>承诺函并</w:t>
            </w:r>
            <w:r>
              <w:rPr>
                <w:rFonts w:ascii="仿宋_GB2312" w:hAnsi="仿宋_GB2312" w:cs="仿宋_GB2312" w:eastAsia="仿宋_GB2312"/>
                <w:sz w:val="24"/>
                <w:b/>
                <w:color w:val="000000"/>
              </w:rPr>
              <w:t>加盖投标人电子公章）</w:t>
            </w:r>
          </w:p>
          <w:p>
            <w:pPr>
              <w:pStyle w:val="null3"/>
              <w:jc w:val="left"/>
            </w:pPr>
            <w:r>
              <w:rPr>
                <w:rFonts w:ascii="仿宋_GB2312" w:hAnsi="仿宋_GB2312" w:cs="仿宋_GB2312" w:eastAsia="仿宋_GB2312"/>
                <w:sz w:val="24"/>
                <w:color w:val="000000"/>
              </w:rPr>
              <w:t>6、为了直观获取网络状态，支持云桌面导航条显示网络状态，支持导航条显示当前终端与云桌面控制台之间的网络状态，用户可以实时查看网络状态和时延、帧率、协议类型等。</w:t>
            </w:r>
          </w:p>
          <w:p>
            <w:pPr>
              <w:pStyle w:val="null3"/>
              <w:jc w:val="left"/>
            </w:pPr>
            <w:r>
              <w:rPr>
                <w:rFonts w:ascii="仿宋_GB2312" w:hAnsi="仿宋_GB2312" w:cs="仿宋_GB2312" w:eastAsia="仿宋_GB2312"/>
                <w:sz w:val="24"/>
                <w:color w:val="000000"/>
              </w:rPr>
              <w:t>7、支持临时权限，管理员可为用户开通临时权限，权限范围至少包括外设、剪切板、磁盘映射等策略，权限到期后自动回收该权限，保证数据安全。</w:t>
            </w:r>
          </w:p>
          <w:p>
            <w:pPr>
              <w:pStyle w:val="null3"/>
              <w:jc w:val="left"/>
            </w:pPr>
            <w:r>
              <w:rPr>
                <w:rFonts w:ascii="仿宋_GB2312" w:hAnsi="仿宋_GB2312" w:cs="仿宋_GB2312" w:eastAsia="仿宋_GB2312"/>
                <w:sz w:val="24"/>
                <w:color w:val="000000"/>
              </w:rPr>
              <w:t>▲8、为提升管理员故障排查效率，支持根据用户关键信息（如用户名、计算机名、虚拟机名或虚拟机IP）的快速检索，罗列满足相应检索条件的所有关联监控对象的信息（如告警、集群、主机、虚机及会话的监控信息），并且可统一查看所有监控集群内的用户报障信息并可直接进行远程协助。</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9、支持模板链接克隆及完整复制虚拟机。链接克隆可以提高上线维护效率，完整复制虚拟机可以让虚拟机保持独立，不受模板单点故障影响。</w:t>
            </w:r>
          </w:p>
          <w:p>
            <w:pPr>
              <w:pStyle w:val="null3"/>
              <w:jc w:val="left"/>
            </w:pPr>
            <w:r>
              <w:rPr>
                <w:rFonts w:ascii="仿宋_GB2312" w:hAnsi="仿宋_GB2312" w:cs="仿宋_GB2312" w:eastAsia="仿宋_GB2312"/>
                <w:sz w:val="24"/>
                <w:color w:val="000000"/>
              </w:rPr>
              <w:t>▲10、为确保云桌面及云应用接入安全，可针对同一用户的不同的桌面和云应用的访问进行准入控制。准入检测可针对终端“操作系统类型、文件、进程、注册表、高危端口、网络连通性和防火墙设置”等指标进行检测并管控访问接入。</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11、为便于及时将平台相关重要信息告知用户（如变更通知、使用异常提醒等），管理平台应支持管理员给在线用户推送消息和通知，管理员可以根据需求发给指定用户或者发给所有用户。</w:t>
            </w:r>
          </w:p>
          <w:p>
            <w:pPr>
              <w:pStyle w:val="null3"/>
              <w:jc w:val="left"/>
            </w:pPr>
            <w:r>
              <w:rPr>
                <w:rFonts w:ascii="仿宋_GB2312" w:hAnsi="仿宋_GB2312" w:cs="仿宋_GB2312" w:eastAsia="仿宋_GB2312"/>
                <w:sz w:val="24"/>
                <w:color w:val="000000"/>
              </w:rPr>
              <w:t>12、支持无代理防病毒功能，支持宿主机及虚拟机的防护，实现勒索病毒行为管控、恶意网站拦截、虚拟机文件缓存扫描等防护功能，提供本地扫描和云扫描，支持实时扫描（文件落地即扫描）、预设扫描、手动扫描和快速扫描，同时支持分时段防护能力、针对不同的恶意软件类型，定制处理措施。</w:t>
            </w:r>
          </w:p>
          <w:p>
            <w:pPr>
              <w:pStyle w:val="null3"/>
              <w:jc w:val="left"/>
            </w:pPr>
            <w:r>
              <w:rPr>
                <w:rFonts w:ascii="仿宋_GB2312" w:hAnsi="仿宋_GB2312" w:cs="仿宋_GB2312" w:eastAsia="仿宋_GB2312"/>
                <w:sz w:val="24"/>
                <w:color w:val="000000"/>
              </w:rPr>
              <w:t>▲13、为满足法院文件外发安全要求，当在云桌面内通过飞书、企业微信、钉钉、QQ、微信进行文件外发时，自动对该文件进行加密。当接收的工具运行环境是云桌面时，文件自动解密，可以正常打开和使用；接收环境为非虚拟桌面环境时，文件处于加密状态，无法正常打开和使用。防止用户在非安全环境内打开敏感数据，同时避免因为部署加密软件导致文件读写性能下降。要求产品提供AES-128、AES-192、AES-256、国密四种产品加密配置。</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Oauth2.0协议对接第三方统一身份认证中心(如竹云)以实现单点登录，同时支持预置、更新弱密码库，从而禁止用户设置弱密码，提升安全性。</w:t>
            </w:r>
            <w:r>
              <w:rPr>
                <w:rFonts w:ascii="仿宋_GB2312" w:hAnsi="仿宋_GB2312" w:cs="仿宋_GB2312" w:eastAsia="仿宋_GB2312"/>
                <w:sz w:val="24"/>
                <w:b/>
                <w:color w:val="000000"/>
              </w:rPr>
              <w:t>（提供</w:t>
            </w:r>
            <w:r>
              <w:rPr>
                <w:rFonts w:ascii="仿宋_GB2312" w:hAnsi="仿宋_GB2312" w:cs="仿宋_GB2312" w:eastAsia="仿宋_GB2312"/>
                <w:sz w:val="24"/>
                <w:b/>
                <w:color w:val="000000"/>
              </w:rPr>
              <w:t>承诺函</w:t>
            </w:r>
            <w:r>
              <w:rPr>
                <w:rFonts w:ascii="仿宋_GB2312" w:hAnsi="仿宋_GB2312" w:cs="仿宋_GB2312" w:eastAsia="仿宋_GB2312"/>
                <w:sz w:val="24"/>
                <w:b/>
                <w:color w:val="000000"/>
              </w:rPr>
              <w:t>并加盖投标人</w:t>
            </w:r>
            <w:r>
              <w:rPr>
                <w:rFonts w:ascii="仿宋_GB2312" w:hAnsi="仿宋_GB2312" w:cs="仿宋_GB2312" w:eastAsia="仿宋_GB2312"/>
                <w:sz w:val="24"/>
                <w:b/>
                <w:color w:val="000000"/>
              </w:rPr>
              <w:t>电子公章</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、支持水印功能，支持水印预览。当用户在内网使用云桌面环境不启用桌面水印，当用户在互联网环境使用云桌面环境启用桌面水印，云桌面环境包括</w:t>
            </w:r>
            <w:r>
              <w:rPr>
                <w:rFonts w:ascii="仿宋_GB2312" w:hAnsi="仿宋_GB2312" w:cs="仿宋_GB2312" w:eastAsia="仿宋_GB2312"/>
                <w:sz w:val="24"/>
                <w:color w:val="000000"/>
              </w:rPr>
              <w:t>VDI瘦客户端、VDI软客户端两种方式。其中明水印显示信息包括用户名，云桌面名，云桌面IP、云桌面MAC地址，支持自定义显示，且支持透明度，角度，字体大小和颜色的设置。</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、支持外设控制策略，包括禁用启用设备、以及读写权限控制，保障安全性；支持剪贴板权限管控，可对文件和字符传输权限进行管控。</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r>
              <w:rPr>
                <w:rFonts w:ascii="仿宋_GB2312" w:hAnsi="仿宋_GB2312" w:cs="仿宋_GB2312" w:eastAsia="仿宋_GB2312"/>
                <w:sz w:val="24"/>
                <w:color w:val="000000"/>
              </w:rPr>
              <w:t>、提供集中运维监控平台，在平台一个画面中可以对主机状态、授权状态、集群资源、云桌面在线情况、终端在线情况、用户情况、告警信息等进行总览。其中桌面在线情况支持查看一天、一个月、一年时间段内的数据，显示在线和休眠的数量，并以直观图表进行呈现。监控平台可自动、智能化的进行节电、碳排放计算并呈现数据。</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tc>
      </w:tr>
    </w:tbl>
    <w:p>
      <w:pPr>
        <w:pStyle w:val="null3"/>
        <w:jc w:val="left"/>
      </w:pPr>
      <w:r>
        <w:rPr>
          <w:rFonts w:ascii="仿宋_GB2312" w:hAnsi="仿宋_GB2312" w:cs="仿宋_GB2312" w:eastAsia="仿宋_GB2312"/>
        </w:rPr>
        <w:t>标的名称：万兆交换机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万兆交换机</w:t>
            </w:r>
          </w:p>
        </w:tc>
        <w:tc>
          <w:tcPr>
            <w:tcW w:type="dxa" w:w="5814"/>
          </w:tcPr>
          <w:p>
            <w:pPr>
              <w:pStyle w:val="null3"/>
              <w:jc w:val="left"/>
            </w:pPr>
            <w:r>
              <w:rPr>
                <w:rFonts w:ascii="仿宋_GB2312" w:hAnsi="仿宋_GB2312" w:cs="仿宋_GB2312" w:eastAsia="仿宋_GB2312"/>
                <w:sz w:val="24"/>
                <w:color w:val="000000"/>
              </w:rPr>
              <w:t>★1、采用国产CPU、国产交换芯片，支持10G SFP28接口数≥24个，100G/40G接口数≥8个，实配可拔插双模块化电源，实配可拔插模块化风扇≥3个</w:t>
            </w:r>
            <w:r>
              <w:rPr>
                <w:rFonts w:ascii="仿宋_GB2312" w:hAnsi="仿宋_GB2312" w:cs="仿宋_GB2312" w:eastAsia="仿宋_GB2312"/>
                <w:sz w:val="24"/>
                <w:color w:val="000000"/>
              </w:rPr>
              <w:t>。</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在投标文件中写明</w:t>
            </w:r>
            <w:r>
              <w:rPr>
                <w:rFonts w:ascii="仿宋_GB2312" w:hAnsi="仿宋_GB2312" w:cs="仿宋_GB2312" w:eastAsia="仿宋_GB2312"/>
                <w:sz w:val="24"/>
                <w:b/>
                <w:color w:val="000000"/>
              </w:rPr>
              <w:t>国产</w:t>
            </w:r>
            <w:r>
              <w:rPr>
                <w:rFonts w:ascii="仿宋_GB2312" w:hAnsi="仿宋_GB2312" w:cs="仿宋_GB2312" w:eastAsia="仿宋_GB2312"/>
                <w:sz w:val="24"/>
                <w:b/>
                <w:color w:val="000000"/>
              </w:rPr>
              <w:t>CPU、国产交换芯片品牌型号</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并</w:t>
            </w:r>
            <w:r>
              <w:rPr>
                <w:rFonts w:ascii="仿宋_GB2312" w:hAnsi="仿宋_GB2312" w:cs="仿宋_GB2312" w:eastAsia="仿宋_GB2312"/>
                <w:sz w:val="24"/>
                <w:b/>
                <w:color w:val="000000"/>
              </w:rPr>
              <w:t>提供承诺函</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公章，承诺函格式自拟</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▲2、交换容量≥4Tbps，包转发率≥1680Mpps</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（提供设备商官网</w:t>
            </w:r>
            <w:r>
              <w:rPr>
                <w:rFonts w:ascii="仿宋_GB2312" w:hAnsi="仿宋_GB2312" w:cs="仿宋_GB2312" w:eastAsia="仿宋_GB2312"/>
                <w:sz w:val="24"/>
                <w:b/>
                <w:color w:val="000000"/>
              </w:rPr>
              <w:t>链接</w:t>
            </w:r>
            <w:r>
              <w:rPr>
                <w:rFonts w:ascii="仿宋_GB2312" w:hAnsi="仿宋_GB2312" w:cs="仿宋_GB2312" w:eastAsia="仿宋_GB2312"/>
                <w:sz w:val="24"/>
                <w:b/>
                <w:color w:val="000000"/>
              </w:rPr>
              <w:t>和功能截图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公章</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3、支持硬件健康状态可视化，可以对风扇状态、电源、温度、板载电压进行监控，并通过设备智能定位及时发现电压异常前兆并处理</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4、支持硬件层级双boot冗余备份，采用两个FLASH芯片存储boot软件（系统引导程序），避免因FLASH芯片故障导致交换机无法启动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5、支持故障隔离技术，用于监测光模块状态，一旦出现故障，可马上识别、并将故障模块隔离，确保不影响其它端口和整机的正常运行，更换模块后该端口也可马上恢复正常工作</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6、支持IPV4/IPV6双协议栈；支持RIP，OSPF，BGP，RIPng，OSPFv3，BGP4+等路由协议，支持端口镜像、聚合链路的镜像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7、支持SNMP、Telnet/Console、RMON、Syslog等管理和维护方式，支持sFLOW，可利用数据流随机采样技术，对交换机的流量进行流信息采样。</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提供的产品是经检验合格的全新正品（含零部件</w:t>
            </w:r>
            <w:r>
              <w:rPr>
                <w:rFonts w:ascii="仿宋_GB2312" w:hAnsi="仿宋_GB2312" w:cs="仿宋_GB2312" w:eastAsia="仿宋_GB2312"/>
                <w:sz w:val="24"/>
                <w:color w:val="000000"/>
              </w:rPr>
              <w:t>、配件、使用说明书等），表面无划伤、无碰撞痕迹，不得以次充好，产品来源渠道必须合法以及符合本项目</w:t>
            </w:r>
            <w:r>
              <w:rPr>
                <w:rFonts w:ascii="仿宋_GB2312" w:hAnsi="仿宋_GB2312" w:cs="仿宋_GB2312" w:eastAsia="仿宋_GB2312"/>
                <w:sz w:val="24"/>
                <w:color w:val="000000"/>
              </w:rPr>
              <w:t>招标</w:t>
            </w:r>
            <w:r>
              <w:rPr>
                <w:rFonts w:ascii="仿宋_GB2312" w:hAnsi="仿宋_GB2312" w:cs="仿宋_GB2312" w:eastAsia="仿宋_GB2312"/>
                <w:sz w:val="24"/>
                <w:color w:val="000000"/>
              </w:rPr>
              <w:t>文件及技术协议</w:t>
            </w:r>
            <w:r>
              <w:rPr>
                <w:rFonts w:ascii="仿宋_GB2312" w:hAnsi="仿宋_GB2312" w:cs="仿宋_GB2312" w:eastAsia="仿宋_GB2312"/>
                <w:sz w:val="24"/>
                <w:color w:val="000000"/>
              </w:rPr>
              <w:t>的质量要求和技术指标与出厂标准。</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提供的产品</w:t>
            </w:r>
            <w:r>
              <w:rPr>
                <w:rFonts w:ascii="仿宋_GB2312" w:hAnsi="仿宋_GB2312" w:cs="仿宋_GB2312" w:eastAsia="仿宋_GB2312"/>
                <w:sz w:val="24"/>
                <w:color w:val="000000"/>
              </w:rPr>
              <w:t>符合或优于国家标准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行业标准、地方标准等标准、规范</w:t>
            </w:r>
            <w:r>
              <w:rPr>
                <w:rFonts w:ascii="仿宋_GB2312" w:hAnsi="仿宋_GB2312" w:cs="仿宋_GB2312" w:eastAsia="仿宋_GB2312"/>
                <w:sz w:val="24"/>
                <w:color w:val="000000"/>
              </w:rPr>
              <w:t>，且权属清楚、不得损害第三方的专利权、商标权或著作权。</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、货物制造或运输途中导致出现的质量问题，</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供应商负责包修、包退、包换，产生的费用由</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供应商一律承担。</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、货</w:t>
            </w:r>
            <w:r>
              <w:rPr>
                <w:rFonts w:ascii="仿宋_GB2312" w:hAnsi="仿宋_GB2312" w:cs="仿宋_GB2312" w:eastAsia="仿宋_GB2312"/>
                <w:sz w:val="24"/>
                <w:color w:val="000000"/>
              </w:rPr>
              <w:t>物到达现场后由于采购人保管不当造成的损坏，</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负责维修，收取合理的费用。</w:t>
            </w:r>
          </w:p>
          <w:p>
            <w:pPr>
              <w:pStyle w:val="null3"/>
              <w:ind w:firstLine="480"/>
              <w:jc w:val="left"/>
            </w:pPr>
            <w:r>
              <w:rPr>
                <w:rFonts w:ascii="仿宋_GB2312" w:hAnsi="仿宋_GB2312" w:cs="仿宋_GB2312" w:eastAsia="仿宋_GB2312"/>
                <w:sz w:val="24"/>
                <w:color w:val="000000"/>
              </w:rPr>
              <w:t>5、应保证</w:t>
            </w:r>
            <w:r>
              <w:rPr>
                <w:rFonts w:ascii="仿宋_GB2312" w:hAnsi="仿宋_GB2312" w:cs="仿宋_GB2312" w:eastAsia="仿宋_GB2312"/>
                <w:sz w:val="24"/>
                <w:color w:val="000000"/>
              </w:rPr>
              <w:t>全部货物各种部件齐备、充足供应，若因产品升级更新等原因造成采购人</w:t>
            </w:r>
            <w:r>
              <w:rPr>
                <w:rFonts w:ascii="仿宋_GB2312" w:hAnsi="仿宋_GB2312" w:cs="仿宋_GB2312" w:eastAsia="仿宋_GB2312"/>
                <w:sz w:val="24"/>
                <w:color w:val="000000"/>
              </w:rPr>
              <w:t>不能正常使用的</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中标供应商</w:t>
            </w:r>
            <w:r>
              <w:rPr>
                <w:rFonts w:ascii="仿宋_GB2312" w:hAnsi="仿宋_GB2312" w:cs="仿宋_GB2312" w:eastAsia="仿宋_GB2312"/>
                <w:sz w:val="24"/>
                <w:color w:val="000000"/>
              </w:rPr>
              <w:t>承担全部赔偿责任，在交货时需向采购人提供货物常规备品备件。</w:t>
            </w:r>
          </w:p>
          <w:p>
            <w:pPr>
              <w:pStyle w:val="null3"/>
              <w:ind w:firstLine="482"/>
              <w:jc w:val="left"/>
            </w:pPr>
            <w:r>
              <w:rPr>
                <w:rFonts w:ascii="仿宋_GB2312" w:hAnsi="仿宋_GB2312" w:cs="仿宋_GB2312" w:eastAsia="仿宋_GB2312"/>
                <w:sz w:val="24"/>
                <w:b/>
                <w:color w:val="000000"/>
              </w:rPr>
              <w:t>6、本项目采购标的：桌面云服务器</w:t>
            </w:r>
            <w:r>
              <w:rPr>
                <w:rFonts w:ascii="仿宋_GB2312" w:hAnsi="仿宋_GB2312" w:cs="仿宋_GB2312" w:eastAsia="仿宋_GB2312"/>
                <w:sz w:val="24"/>
                <w:b/>
                <w:color w:val="000000"/>
              </w:rPr>
              <w:t>属于强制性</w:t>
            </w:r>
            <w:r>
              <w:rPr>
                <w:rFonts w:ascii="仿宋_GB2312" w:hAnsi="仿宋_GB2312" w:cs="仿宋_GB2312" w:eastAsia="仿宋_GB2312"/>
                <w:sz w:val="24"/>
                <w:b/>
                <w:color w:val="000000"/>
              </w:rPr>
              <w:t>认证</w:t>
            </w:r>
            <w:r>
              <w:rPr>
                <w:rFonts w:ascii="仿宋_GB2312" w:hAnsi="仿宋_GB2312" w:cs="仿宋_GB2312" w:eastAsia="仿宋_GB2312"/>
                <w:sz w:val="24"/>
                <w:b/>
                <w:color w:val="000000"/>
              </w:rPr>
              <w:t>产品</w:t>
            </w:r>
            <w:r>
              <w:rPr>
                <w:rFonts w:ascii="仿宋_GB2312" w:hAnsi="仿宋_GB2312" w:cs="仿宋_GB2312" w:eastAsia="仿宋_GB2312"/>
                <w:sz w:val="24"/>
                <w:b/>
                <w:color w:val="000000"/>
              </w:rPr>
              <w:t>目录</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中标供应商应在签订合同前向采购人提供加盖单位鲜章的</w:t>
            </w:r>
            <w:r>
              <w:rPr>
                <w:rFonts w:ascii="仿宋_GB2312" w:hAnsi="仿宋_GB2312" w:cs="仿宋_GB2312" w:eastAsia="仿宋_GB2312"/>
                <w:sz w:val="24"/>
                <w:color w:val="000000"/>
              </w:rPr>
              <w:t>3C认证证书复印件。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其他商务要求</w:t>
            </w:r>
          </w:p>
        </w:tc>
        <w:tc>
          <w:tcPr>
            <w:tcW w:type="dxa" w:w="5814"/>
          </w:tcPr>
          <w:p>
            <w:pPr>
              <w:pStyle w:val="null3"/>
              <w:ind w:firstLine="480"/>
              <w:jc w:val="left"/>
            </w:pPr>
            <w:r>
              <w:rPr>
                <w:rFonts w:ascii="仿宋_GB2312" w:hAnsi="仿宋_GB2312" w:cs="仿宋_GB2312" w:eastAsia="仿宋_GB2312"/>
                <w:sz w:val="24"/>
                <w:color w:val="000000"/>
              </w:rPr>
              <w:t>1、费用支付要求：每次付款前，中标供应商应向采购人出具</w:t>
            </w:r>
            <w:r>
              <w:rPr>
                <w:rFonts w:ascii="仿宋_GB2312" w:hAnsi="仿宋_GB2312" w:cs="仿宋_GB2312" w:eastAsia="仿宋_GB2312"/>
                <w:sz w:val="24"/>
                <w:color w:val="000000"/>
              </w:rPr>
              <w:t>相应金额</w:t>
            </w:r>
            <w:r>
              <w:rPr>
                <w:rFonts w:ascii="仿宋_GB2312" w:hAnsi="仿宋_GB2312" w:cs="仿宋_GB2312" w:eastAsia="仿宋_GB2312"/>
                <w:sz w:val="24"/>
                <w:color w:val="000000"/>
              </w:rPr>
              <w:t>合法有效完整的增值税发票及凭证资料进行支付结算；如未按照前述要求提供资料导致逾期付款的，不视为采购人违约，采购人不承担任何责任。</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、报价要求：</w:t>
            </w:r>
            <w:r>
              <w:rPr>
                <w:rFonts w:ascii="仿宋_GB2312" w:hAnsi="仿宋_GB2312" w:cs="仿宋_GB2312" w:eastAsia="仿宋_GB2312"/>
                <w:sz w:val="24"/>
                <w:color w:val="000000"/>
              </w:rPr>
              <w:t>投标人的报价包含了完成本项目所涉及的软硬件成本及</w:t>
            </w:r>
            <w:r>
              <w:rPr>
                <w:rFonts w:ascii="仿宋_GB2312" w:hAnsi="仿宋_GB2312" w:cs="仿宋_GB2312" w:eastAsia="仿宋_GB2312"/>
                <w:sz w:val="24"/>
                <w:color w:val="000000"/>
              </w:rPr>
              <w:t>运输</w:t>
            </w:r>
            <w:r>
              <w:rPr>
                <w:rFonts w:ascii="仿宋_GB2312" w:hAnsi="仿宋_GB2312" w:cs="仿宋_GB2312" w:eastAsia="仿宋_GB2312"/>
                <w:sz w:val="24"/>
                <w:color w:val="000000"/>
              </w:rPr>
              <w:t>，</w:t>
            </w:r>
            <w:r>
              <w:rPr>
                <w:rFonts w:ascii="仿宋_GB2312" w:hAnsi="仿宋_GB2312" w:cs="仿宋_GB2312" w:eastAsia="仿宋_GB2312"/>
                <w:sz w:val="24"/>
                <w:color w:val="000000"/>
              </w:rPr>
              <w:t>所需的线缆、辅材、</w:t>
            </w:r>
            <w:r>
              <w:rPr>
                <w:rFonts w:ascii="仿宋_GB2312" w:hAnsi="仿宋_GB2312" w:cs="仿宋_GB2312" w:eastAsia="仿宋_GB2312"/>
                <w:sz w:val="24"/>
                <w:color w:val="000000"/>
              </w:rPr>
              <w:t>安装、调试、培</w:t>
            </w:r>
            <w:r>
              <w:rPr>
                <w:rFonts w:ascii="仿宋_GB2312" w:hAnsi="仿宋_GB2312" w:cs="仿宋_GB2312" w:eastAsia="仿宋_GB2312"/>
                <w:sz w:val="24"/>
                <w:color w:val="000000"/>
              </w:rPr>
              <w:t>训、</w:t>
            </w:r>
            <w:r>
              <w:rPr>
                <w:rFonts w:ascii="仿宋_GB2312" w:hAnsi="仿宋_GB2312" w:cs="仿宋_GB2312" w:eastAsia="仿宋_GB2312"/>
                <w:sz w:val="24"/>
                <w:color w:val="000000"/>
              </w:rPr>
              <w:t>拟派人员工资</w:t>
            </w:r>
            <w:r>
              <w:rPr>
                <w:rFonts w:ascii="仿宋_GB2312" w:hAnsi="仿宋_GB2312" w:cs="仿宋_GB2312" w:eastAsia="仿宋_GB2312"/>
                <w:sz w:val="24"/>
                <w:color w:val="000000"/>
              </w:rPr>
              <w:t>、利润、税金</w:t>
            </w:r>
            <w:r>
              <w:rPr>
                <w:rFonts w:ascii="仿宋_GB2312" w:hAnsi="仿宋_GB2312" w:cs="仿宋_GB2312" w:eastAsia="仿宋_GB2312"/>
                <w:sz w:val="24"/>
                <w:color w:val="000000"/>
              </w:rPr>
              <w:t>等相关的一切费用，采购人不再另行支付其他费用。</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、安全责任</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拟</w:t>
            </w:r>
            <w:r>
              <w:rPr>
                <w:rFonts w:ascii="仿宋_GB2312" w:hAnsi="仿宋_GB2312" w:cs="仿宋_GB2312" w:eastAsia="仿宋_GB2312"/>
                <w:sz w:val="24"/>
                <w:color w:val="000000"/>
              </w:rPr>
              <w:t>投入本项目工作人员的人身安全由投标人</w:t>
            </w:r>
            <w:r>
              <w:rPr>
                <w:rFonts w:ascii="仿宋_GB2312" w:hAnsi="仿宋_GB2312" w:cs="仿宋_GB2312" w:eastAsia="仿宋_GB2312"/>
                <w:sz w:val="24"/>
                <w:color w:val="000000"/>
              </w:rPr>
              <w:t>自行负责</w:t>
            </w:r>
            <w:r>
              <w:rPr>
                <w:rFonts w:ascii="仿宋_GB2312" w:hAnsi="仿宋_GB2312" w:cs="仿宋_GB2312" w:eastAsia="仿宋_GB2312"/>
                <w:sz w:val="24"/>
                <w:color w:val="000000"/>
              </w:rPr>
              <w:t>，应为本项目工作人员购买人身意外伤害险及与项目实施有关的一切保险。凡在项目实施过程中发生安全责任事故或其他责任事故，均由</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承担</w:t>
            </w:r>
            <w:r>
              <w:rPr>
                <w:rFonts w:ascii="仿宋_GB2312" w:hAnsi="仿宋_GB2312" w:cs="仿宋_GB2312" w:eastAsia="仿宋_GB2312"/>
                <w:sz w:val="24"/>
                <w:color w:val="000000"/>
              </w:rPr>
              <w:t>一切责任和赔偿所有经济损失</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在投标文件中</w:t>
            </w:r>
            <w:r>
              <w:rPr>
                <w:rFonts w:ascii="仿宋_GB2312" w:hAnsi="仿宋_GB2312" w:cs="仿宋_GB2312" w:eastAsia="仿宋_GB2312"/>
                <w:sz w:val="24"/>
                <w:color w:val="000000"/>
              </w:rPr>
              <w:t>提供承诺函加盖投标人</w:t>
            </w:r>
            <w:r>
              <w:rPr>
                <w:rFonts w:ascii="仿宋_GB2312" w:hAnsi="仿宋_GB2312" w:cs="仿宋_GB2312" w:eastAsia="仿宋_GB2312"/>
                <w:sz w:val="24"/>
                <w:color w:val="000000"/>
              </w:rPr>
              <w:t>电子</w:t>
            </w:r>
            <w:r>
              <w:rPr>
                <w:rFonts w:ascii="仿宋_GB2312" w:hAnsi="仿宋_GB2312" w:cs="仿宋_GB2312" w:eastAsia="仿宋_GB2312"/>
                <w:sz w:val="24"/>
                <w:color w:val="000000"/>
              </w:rPr>
              <w:t>公章</w:t>
            </w:r>
            <w:r>
              <w:rPr>
                <w:rFonts w:ascii="仿宋_GB2312" w:hAnsi="仿宋_GB2312" w:cs="仿宋_GB2312" w:eastAsia="仿宋_GB2312"/>
                <w:sz w:val="24"/>
                <w:color w:val="000000"/>
              </w:rPr>
              <w:t>，承诺中标后按照本条要求执行，格式自拟</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质保期：</w:t>
            </w:r>
            <w:r>
              <w:rPr>
                <w:rFonts w:ascii="仿宋_GB2312" w:hAnsi="仿宋_GB2312" w:cs="仿宋_GB2312" w:eastAsia="仿宋_GB2312"/>
                <w:sz w:val="24"/>
                <w:color w:val="000000"/>
              </w:rPr>
              <w:t>三年（</w:t>
            </w:r>
            <w:r>
              <w:rPr>
                <w:rFonts w:ascii="仿宋_GB2312" w:hAnsi="仿宋_GB2312" w:cs="仿宋_GB2312" w:eastAsia="仿宋_GB2312"/>
                <w:sz w:val="24"/>
                <w:color w:val="000000"/>
              </w:rPr>
              <w:t>验收合格之日起</w:t>
            </w:r>
            <w:r>
              <w:rPr>
                <w:rFonts w:ascii="仿宋_GB2312" w:hAnsi="仿宋_GB2312" w:cs="仿宋_GB2312" w:eastAsia="仿宋_GB2312"/>
                <w:sz w:val="24"/>
                <w:color w:val="000000"/>
              </w:rPr>
              <w:t>计算）</w:t>
            </w:r>
            <w:r>
              <w:rPr>
                <w:rFonts w:ascii="仿宋_GB2312" w:hAnsi="仿宋_GB2312" w:cs="仿宋_GB2312" w:eastAsia="仿宋_GB2312"/>
                <w:sz w:val="24"/>
                <w:color w:val="000000"/>
              </w:rPr>
              <w:t>。</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质保期内</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出现质量问题</w:t>
            </w:r>
            <w:r>
              <w:rPr>
                <w:rFonts w:ascii="仿宋_GB2312" w:hAnsi="仿宋_GB2312" w:cs="仿宋_GB2312" w:eastAsia="仿宋_GB2312"/>
                <w:sz w:val="24"/>
                <w:color w:val="000000"/>
              </w:rPr>
              <w:t>或故障问题</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中标供应商</w:t>
            </w:r>
            <w:r>
              <w:rPr>
                <w:rFonts w:ascii="仿宋_GB2312" w:hAnsi="仿宋_GB2312" w:cs="仿宋_GB2312" w:eastAsia="仿宋_GB2312"/>
                <w:sz w:val="24"/>
                <w:color w:val="000000"/>
              </w:rPr>
              <w:t>应在接到通知后</w:t>
            </w:r>
            <w:r>
              <w:rPr>
                <w:rFonts w:ascii="仿宋_GB2312" w:hAnsi="仿宋_GB2312" w:cs="仿宋_GB2312" w:eastAsia="仿宋_GB2312"/>
                <w:sz w:val="24"/>
                <w:color w:val="000000"/>
              </w:rPr>
              <w:t>30分钟响应，通过远程4小时内完成故障修复；远程不能解决的应在12小时内到达现场，24小时内完成故障修复；产品需要</w:t>
            </w:r>
            <w:r>
              <w:rPr>
                <w:rFonts w:ascii="仿宋_GB2312" w:hAnsi="仿宋_GB2312" w:cs="仿宋_GB2312" w:eastAsia="仿宋_GB2312"/>
                <w:sz w:val="24"/>
                <w:color w:val="000000"/>
              </w:rPr>
              <w:t>更换的应在</w:t>
            </w:r>
            <w:r>
              <w:rPr>
                <w:rFonts w:ascii="仿宋_GB2312" w:hAnsi="仿宋_GB2312" w:cs="仿宋_GB2312" w:eastAsia="仿宋_GB2312"/>
                <w:sz w:val="24"/>
                <w:color w:val="000000"/>
              </w:rPr>
              <w:t>2个工作日内完成</w:t>
            </w:r>
            <w:r>
              <w:rPr>
                <w:rFonts w:ascii="仿宋_GB2312" w:hAnsi="仿宋_GB2312" w:cs="仿宋_GB2312" w:eastAsia="仿宋_GB2312"/>
                <w:sz w:val="24"/>
                <w:color w:val="000000"/>
              </w:rPr>
              <w:t>。所有费用由中标供应商承担。</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质保期内，</w:t>
            </w:r>
            <w:r>
              <w:rPr>
                <w:rFonts w:ascii="仿宋_GB2312" w:hAnsi="仿宋_GB2312" w:cs="仿宋_GB2312" w:eastAsia="仿宋_GB2312"/>
                <w:sz w:val="24"/>
                <w:color w:val="000000"/>
              </w:rPr>
              <w:t>中标供应商对所有产品的</w:t>
            </w:r>
            <w:r>
              <w:rPr>
                <w:rFonts w:ascii="仿宋_GB2312" w:hAnsi="仿宋_GB2312" w:cs="仿宋_GB2312" w:eastAsia="仿宋_GB2312"/>
                <w:sz w:val="24"/>
                <w:color w:val="000000"/>
              </w:rPr>
              <w:t>巡视维护不低于</w:t>
            </w:r>
            <w:r>
              <w:rPr>
                <w:rFonts w:ascii="仿宋_GB2312" w:hAnsi="仿宋_GB2312" w:cs="仿宋_GB2312" w:eastAsia="仿宋_GB2312"/>
                <w:sz w:val="24"/>
                <w:color w:val="000000"/>
              </w:rPr>
              <w:t>2次，</w:t>
            </w:r>
            <w:r>
              <w:rPr>
                <w:rFonts w:ascii="仿宋_GB2312" w:hAnsi="仿宋_GB2312" w:cs="仿宋_GB2312" w:eastAsia="仿宋_GB2312"/>
                <w:sz w:val="24"/>
                <w:color w:val="000000"/>
              </w:rPr>
              <w:t>每年</w:t>
            </w:r>
            <w:r>
              <w:rPr>
                <w:rFonts w:ascii="仿宋_GB2312" w:hAnsi="仿宋_GB2312" w:cs="仿宋_GB2312" w:eastAsia="仿宋_GB2312"/>
                <w:sz w:val="24"/>
                <w:color w:val="000000"/>
              </w:rPr>
              <w:t>进行</w:t>
            </w:r>
            <w:r>
              <w:rPr>
                <w:rFonts w:ascii="仿宋_GB2312" w:hAnsi="仿宋_GB2312" w:cs="仿宋_GB2312" w:eastAsia="仿宋_GB2312"/>
                <w:sz w:val="24"/>
                <w:color w:val="000000"/>
              </w:rPr>
              <w:t>2次保养和安全检测</w:t>
            </w:r>
            <w:r>
              <w:rPr>
                <w:rFonts w:ascii="仿宋_GB2312" w:hAnsi="仿宋_GB2312" w:cs="仿宋_GB2312" w:eastAsia="仿宋_GB2312"/>
                <w:sz w:val="24"/>
                <w:color w:val="000000"/>
              </w:rPr>
              <w:t>，该费用已包含在投标报价中。</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质保期满前一个月，</w:t>
            </w:r>
            <w:r>
              <w:rPr>
                <w:rFonts w:ascii="仿宋_GB2312" w:hAnsi="仿宋_GB2312" w:cs="仿宋_GB2312" w:eastAsia="仿宋_GB2312"/>
                <w:sz w:val="24"/>
                <w:color w:val="000000"/>
              </w:rPr>
              <w:t>中标供应商还需对所有产品</w:t>
            </w:r>
            <w:r>
              <w:rPr>
                <w:rFonts w:ascii="仿宋_GB2312" w:hAnsi="仿宋_GB2312" w:cs="仿宋_GB2312" w:eastAsia="仿宋_GB2312"/>
                <w:sz w:val="24"/>
                <w:color w:val="000000"/>
              </w:rPr>
              <w:t>负责一次全面的检查、维护，并出具正式</w:t>
            </w:r>
            <w:r>
              <w:rPr>
                <w:rFonts w:ascii="仿宋_GB2312" w:hAnsi="仿宋_GB2312" w:cs="仿宋_GB2312" w:eastAsia="仿宋_GB2312"/>
                <w:sz w:val="24"/>
                <w:color w:val="000000"/>
              </w:rPr>
              <w:t>合格</w:t>
            </w:r>
            <w:r>
              <w:rPr>
                <w:rFonts w:ascii="仿宋_GB2312" w:hAnsi="仿宋_GB2312" w:cs="仿宋_GB2312" w:eastAsia="仿宋_GB2312"/>
                <w:sz w:val="24"/>
                <w:color w:val="000000"/>
              </w:rPr>
              <w:t>报告，</w:t>
            </w:r>
            <w:r>
              <w:rPr>
                <w:rFonts w:ascii="仿宋_GB2312" w:hAnsi="仿宋_GB2312" w:cs="仿宋_GB2312" w:eastAsia="仿宋_GB2312"/>
                <w:sz w:val="24"/>
                <w:color w:val="000000"/>
              </w:rPr>
              <w:t>该费用已包含在投标报价中。</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实施方案及其他要求（与评审因素相关的要求）</w:t>
            </w:r>
          </w:p>
        </w:tc>
        <w:tc>
          <w:tcPr>
            <w:tcW w:type="dxa" w:w="5814"/>
          </w:tcPr>
          <w:p>
            <w:pPr>
              <w:pStyle w:val="null3"/>
              <w:ind w:firstLine="480"/>
              <w:jc w:val="left"/>
            </w:pPr>
            <w:r>
              <w:rPr>
                <w:rFonts w:ascii="仿宋_GB2312" w:hAnsi="仿宋_GB2312" w:cs="仿宋_GB2312" w:eastAsia="仿宋_GB2312"/>
                <w:sz w:val="24"/>
              </w:rPr>
              <w:t>1、投标人针对本项目提供的实施方案包括但不限于：</w:t>
            </w:r>
            <w:r>
              <w:rPr>
                <w:rFonts w:ascii="仿宋_GB2312" w:hAnsi="仿宋_GB2312" w:cs="仿宋_GB2312" w:eastAsia="仿宋_GB2312"/>
                <w:sz w:val="24"/>
              </w:rPr>
              <w:t>①项目实施整体部署；②安装、调试措施；③质量保障措施；④进度计划及安排；⑤数据安全保障措施。</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投标人针对本项目提供的售后及运维方案包括但不限于：</w:t>
            </w:r>
            <w:r>
              <w:rPr>
                <w:rFonts w:ascii="仿宋_GB2312" w:hAnsi="仿宋_GB2312" w:cs="仿宋_GB2312" w:eastAsia="仿宋_GB2312"/>
                <w:sz w:val="24"/>
              </w:rPr>
              <w:t>①售后服务及管理；②用户安全方案；③平台安全方案；④终端统一管理方案；⑤软件更新方案；⑥桌面故障恢复方案；⑦巡检维护方案。</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投标人</w:t>
            </w:r>
            <w:r>
              <w:rPr>
                <w:rFonts w:ascii="仿宋_GB2312" w:hAnsi="仿宋_GB2312" w:cs="仿宋_GB2312" w:eastAsia="仿宋_GB2312"/>
                <w:sz w:val="24"/>
              </w:rPr>
              <w:t>针对本项目需提供的人员：</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项目经理具有人社部和工信部颁发的计算机技术与软件专业技术资格（信息系统项目管理师）</w:t>
            </w:r>
            <w:r>
              <w:rPr>
                <w:rFonts w:ascii="仿宋_GB2312" w:hAnsi="仿宋_GB2312" w:cs="仿宋_GB2312" w:eastAsia="仿宋_GB2312"/>
                <w:sz w:val="24"/>
                <w:color w:val="000000"/>
              </w:rPr>
              <w:t>证书</w:t>
            </w:r>
            <w:r>
              <w:rPr>
                <w:rFonts w:ascii="仿宋_GB2312" w:hAnsi="仿宋_GB2312" w:cs="仿宋_GB2312" w:eastAsia="仿宋_GB2312"/>
                <w:sz w:val="24"/>
                <w:color w:val="000000"/>
              </w:rPr>
              <w:t>；具有人社部和工信部颁发的计算机技术与软件专业技术资格（系统架构设计师）证书；具有通信</w:t>
            </w:r>
            <w:r>
              <w:rPr>
                <w:rFonts w:ascii="仿宋_GB2312" w:hAnsi="仿宋_GB2312" w:cs="仿宋_GB2312" w:eastAsia="仿宋_GB2312"/>
                <w:sz w:val="24"/>
                <w:color w:val="000000"/>
              </w:rPr>
              <w:t>类</w:t>
            </w:r>
            <w:r>
              <w:rPr>
                <w:rFonts w:ascii="仿宋_GB2312" w:hAnsi="仿宋_GB2312" w:cs="仿宋_GB2312" w:eastAsia="仿宋_GB2312"/>
                <w:sz w:val="24"/>
                <w:color w:val="000000"/>
              </w:rPr>
              <w:t>或计算机类高级</w:t>
            </w:r>
            <w:r>
              <w:rPr>
                <w:rFonts w:ascii="仿宋_GB2312" w:hAnsi="仿宋_GB2312" w:cs="仿宋_GB2312" w:eastAsia="仿宋_GB2312"/>
                <w:sz w:val="24"/>
                <w:color w:val="000000"/>
              </w:rPr>
              <w:t>及以上</w:t>
            </w:r>
            <w:r>
              <w:rPr>
                <w:rFonts w:ascii="仿宋_GB2312" w:hAnsi="仿宋_GB2312" w:cs="仿宋_GB2312" w:eastAsia="仿宋_GB2312"/>
                <w:sz w:val="24"/>
                <w:color w:val="000000"/>
              </w:rPr>
              <w:t>职称</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信息安全负责人具有人社部和工信部颁发的计算机技术与软件专业技术资格（系统集成项目管理工程师）</w:t>
            </w:r>
            <w:r>
              <w:rPr>
                <w:rFonts w:ascii="仿宋_GB2312" w:hAnsi="仿宋_GB2312" w:cs="仿宋_GB2312" w:eastAsia="仿宋_GB2312"/>
                <w:sz w:val="24"/>
                <w:color w:val="000000"/>
              </w:rPr>
              <w:t>证书</w:t>
            </w:r>
            <w:r>
              <w:rPr>
                <w:rFonts w:ascii="仿宋_GB2312" w:hAnsi="仿宋_GB2312" w:cs="仿宋_GB2312" w:eastAsia="仿宋_GB2312"/>
                <w:sz w:val="24"/>
                <w:color w:val="000000"/>
              </w:rPr>
              <w:t>；具有人社部和工信部颁发的计算机技术与软件专业技术资格（信息安全工程师）</w:t>
            </w:r>
            <w:r>
              <w:rPr>
                <w:rFonts w:ascii="仿宋_GB2312" w:hAnsi="仿宋_GB2312" w:cs="仿宋_GB2312" w:eastAsia="仿宋_GB2312"/>
                <w:sz w:val="24"/>
                <w:color w:val="000000"/>
              </w:rPr>
              <w:t>证书等</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其他技术人员具有人社部和工信部颁发的计算机技术与软件专业技术资格（网络工程师）证书</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4、投标人需提供类似项目经验。</w:t>
            </w:r>
          </w:p>
          <w:p>
            <w:pPr>
              <w:pStyle w:val="null3"/>
              <w:ind w:firstLine="480"/>
              <w:jc w:val="left"/>
            </w:pPr>
            <w:r>
              <w:rPr>
                <w:rFonts w:ascii="仿宋_GB2312" w:hAnsi="仿宋_GB2312" w:cs="仿宋_GB2312" w:eastAsia="仿宋_GB2312"/>
                <w:sz w:val="24"/>
                <w:color w:val="000000"/>
              </w:rPr>
              <w:t>5、投标人提供的产品属于优先环境标志产品的需提供相关证明材料。</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签订合同后60日内。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雅安市名山区人民法院。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1、政府采购合同签订生效后，达到付款条件起5日内，支付合同总金额的40.00%</w:t>
            </w:r>
          </w:p>
          <w:p>
            <w:pPr>
              <w:pStyle w:val="null3"/>
              <w:jc w:val="left"/>
            </w:pPr>
            <w:r>
              <w:rPr>
                <w:rFonts w:ascii="仿宋_GB2312" w:hAnsi="仿宋_GB2312" w:cs="仿宋_GB2312" w:eastAsia="仿宋_GB2312"/>
              </w:rPr>
              <w:t>2、验收合格后，达到付款条件起10日内，支付合同总金额的60.00%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1、在中标供应商提出验收申请之日起5日内组织验收，本项目现场验收由采购人组织，中标供应商配合进行。 2、按国家有关规定以及招标文件的质量要求和技术指标(包括每一项技术和商务要求的履约情况)，中标供应商的投标文件及承诺与本合同约定标准进行验收；双方如对质量要求和技术指标的约定标准有相互抵触或异议的事项，由采购人在招标文件中按质量要求和技术指标比较优胜的原则确定该项的约定标准进行验收；验收时如发现所交付的货物有短装、次品、损坏或其它不符合标准及本合同规定之情形者，采购人应做出详尽的现场记录，或由双方签署备忘录，此现场记录或备忘录可用作补充、缺失和更换损坏部件的有效证据，由此产生的时间延误与有关费用由中标供应商承担，验收期限相应顺延；如验收合格，双方签署验收报告；验收不合格且拒不整改的，将不予支付采购资金，还可能上报本项目同级财政部门按照政府采购法律法规等有关规定给予行政处罚。中标供应商应将所提供货物的装箱清单、配件、随机工具、用户使用手册、原厂保修卡等资料交付给采购人；中标供应商不能完整交付货物及本款规定的单证和工具的，必须负责补齐，否则视为未按合同约定交货。如货物经中标供应商3次维修或更换仍不能达到合同约定的质量标准，采购人有权退货，并视作中标供应商不能交付货物而违约，采购人可依法依约追究中标供应商的违约责任。（投标人在投标文件中承诺若为本项目的中标供应商按照本条要求执行；提供承诺函加盖投标人电子公章，格式自拟） 3、其他未尽事宜应严格按照政府采购相关法律法规以及财政部关于印发《政府采购需求管理办法》的通知（财库〔2021〕22号）、《财政部关于进一步加强政府采购需求和履约验收管理的指导意见》(财库〔2016〕205号) 和《雅安市财政局关于规范政府采购履约验收工作的通知》（雅财采〔2021〕50号）的要求进行验收。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质保期：三年（验收合格之日起计算）。 （1）质保期内产品出现质量问题或故障问题，中标供应商应在接到通知后30分钟响应，通过远程4小时内完成故障修复；远程不能解决的应在12小时内到达现场，24小时内完成故障修复；产品需要更换的应在2个工作日内完成。所有费用由中标供应商承担。 （2）质保期内，中标供应商对所有产品的巡视维护不低于2次，每年进行2次保养和安全检测，该费用已包含在投标报价中。 （3）质保期满前一个月，中标供应商还需对所有产品负责一次全面的检查、维护，并出具正式合格报告，该费用已包含在投标报价中。</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（一）甲方违约责任 1、甲方应遵守本合同并执行合同中的各项规定，保证本合同的正常履行； 2、甲方逾期支付合同款项的，除应及时付足合同款项外，应向乙方偿付欠款总额万分之一 /天的违约金；逾期付款超过六十天的，乙方有权终止合同； 3、甲方偿付的违约金不足以弥补乙方损失的，还应按乙方经济损失尚未弥补的部分，支付赔偿金给乙方。 （二）乙方违约责任 1、乙方必须遵守采购合同并执行合同中的各项规定，保证采购合同的正常履行； 2、如因乙方及工作人员在履行职务过程中的疏忽、失职、过错等故意或者过失原因违约，给甲方造成损失或侵害，包括但不限于甲方本身的财产损失、律师费、诉讼费、公证费、保全费、保全保险费、鉴定费等以及由此而导致的甲方对任何第三方的法律责任和罚款等，乙方对此均应承担全部的赔偿责任，并向甲方支付合同总价百分之二十的违约金。 3、乙方不能按时交货或逾期提供的，除应及时提供货物外，应向甲方偿付逾期提供部分货物总额的万分之一/天的违约金；逾期超过15天，甲方有权终止合同，乙方则应按合同总价百分之二十的款额向甲方偿付违约金，并须全额退还甲方已经付给乙方的费用及其利息（利息的计算标准为：按同期LPR的四倍计算利息），如涉及乙方为甲方已供货的货物由乙方自行清理（在十五日内拆除、搬离，否则视为乙方放弃货物所有权）； 4、乙方提供的货物甲方有权将所有货物送交具有法定资格的质量技术监督机构检测，如检测结果认定货物质量不符合投标文件承诺和不符合签订合同规定标准的，视为乙方没有按时交货而违约，乙方须在15天内无条件免费更换合格的货物，如逾期不能更换合格的货物，甲方有权终止本合同，如涉及甲方已支付给乙方的合同款项，乙方应在五个工作日内按照采购人指定的账户一次性全部退还，同时乙方应另付合同总价百分之二十的赔偿金给甲方，如涉及乙方为甲方已供货的货物由乙方自行清理（在十五日内拆除、搬离，否则视为乙方放弃货物所有权）； 5、有下列情形之一的，当事人可以解除合同： 5.1因不可抗力致使不能实现合同目的(由于非乙方或甲方原因，致使合同实质性条款无法实现的)； 5.2当事人一方迟延履行主要债务，经催告后在合理期限内仍未履行；5.3当事人一方迟延履行债务或者有其他违约行为致使不能实现合同目的；5.4法律规定的其他情形。 （三）解决争议的办法 1、因货物的质量问题发生争议，由甲方或其指定的第三方机构进行质量鉴定。货物符合标准的，鉴定费由甲方承担；货物不符合质量标准的，鉴定费由乙方承担； 2、合同履行期间，若双方发生争议，可协商或由有关部门调解解决，协商或调解不成的，向雅安仲裁委员会申请仲裁； 3、仲裁裁决应为最终决定，并对双方具有约束力； 4、除另有裁决外，仲裁费应由败诉方负担； 5、在仲裁期间，除正在进行仲裁部分外，合同其他部分继续执行。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投标人提供营业执照副本复印件。 注：①企业若已更换为三证合一的则提供营业执照副本复印件，事业单位提供事业单位法人证书，其他组织提供营业执照等证明文件，自然人提供身份证明均具备此条同等效力。②根据国务院办公厅关于加快推进“多证合一”改革的指导意见(国办发〔2017〕41号)等政策要求，若资格要求涉及的登记、备案等有关事项和各类证照已实行多证合一导致投标人无法提供该类证明材料的，投标人须提供承诺。③投标人属于银行、保险石油石化、电力、电信等有行业特殊情况的分支机构可参加采购活动(分支机构参与本项目时应提供具有独立法人资格的上级公司出具的授权书，并提供具有独立法人资格的上级公司的营业执照及参加采购活动分支机构的营业执照)，否则作无效响应处理;其他不属于上述情况的分支机构参加采购活动时作无效响应处理。④投标人投标承诺的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投标有效期</w:t>
            </w:r>
          </w:p>
        </w:tc>
        <w:tc>
          <w:tcPr>
            <w:tcW w:type="dxa" w:w="3322"/>
          </w:tcPr>
          <w:p>
            <w:pPr>
              <w:pStyle w:val="null3"/>
              <w:jc w:val="left"/>
            </w:pPr>
            <w:r>
              <w:rPr>
                <w:rFonts w:ascii="仿宋_GB2312" w:hAnsi="仿宋_GB2312" w:cs="仿宋_GB2312" w:eastAsia="仿宋_GB2312"/>
              </w:rPr>
              <w:t>投标人按文件第二章要求响应</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投标人按第三章技术、服务及其他要求中，带“★”的要求响应（包含不限于要求的承诺、证明材料等）。</w:t>
            </w:r>
          </w:p>
        </w:tc>
        <w:tc>
          <w:tcPr>
            <w:tcW w:type="dxa" w:w="1661"/>
          </w:tcPr>
          <w:p>
            <w:pPr>
              <w:pStyle w:val="null3"/>
              <w:jc w:val="left"/>
            </w:pPr>
            <w:r>
              <w:rPr>
                <w:rFonts w:ascii="仿宋_GB2312" w:hAnsi="仿宋_GB2312" w:cs="仿宋_GB2312" w:eastAsia="仿宋_GB2312"/>
              </w:rPr>
              <w:t>投标人应提交的相关证明材料,产品技术参数响应表,服务应答表,实质性要求响应.docx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本国产品要求</w:t>
            </w:r>
          </w:p>
        </w:tc>
        <w:tc>
          <w:tcPr>
            <w:tcW w:type="dxa" w:w="3322"/>
          </w:tcPr>
          <w:p>
            <w:pPr>
              <w:pStyle w:val="null3"/>
              <w:jc w:val="left"/>
            </w:pPr>
            <w:r>
              <w:rPr>
                <w:rFonts w:ascii="仿宋_GB2312" w:hAnsi="仿宋_GB2312" w:cs="仿宋_GB2312" w:eastAsia="仿宋_GB2312"/>
              </w:rPr>
              <w:t>投标人按要求响应</w:t>
            </w:r>
          </w:p>
        </w:tc>
        <w:tc>
          <w:tcPr>
            <w:tcW w:type="dxa" w:w="1661"/>
          </w:tcPr>
          <w:p>
            <w:pPr>
              <w:pStyle w:val="null3"/>
              <w:jc w:val="left"/>
            </w:pPr>
            <w:r>
              <w:rPr>
                <w:rFonts w:ascii="仿宋_GB2312" w:hAnsi="仿宋_GB2312" w:cs="仿宋_GB2312" w:eastAsia="仿宋_GB2312"/>
              </w:rPr>
              <w:t>关于符合本国产品标准的声明函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报价</w:t>
            </w:r>
          </w:p>
        </w:tc>
        <w:tc>
          <w:tcPr>
            <w:tcW w:type="dxa" w:w="3322"/>
          </w:tcPr>
          <w:p>
            <w:pPr>
              <w:pStyle w:val="null3"/>
              <w:jc w:val="left"/>
            </w:pPr>
            <w:r>
              <w:rPr>
                <w:rFonts w:ascii="仿宋_GB2312" w:hAnsi="仿宋_GB2312" w:cs="仿宋_GB2312" w:eastAsia="仿宋_GB2312"/>
              </w:rPr>
              <w:t>总价是否超过最高限价、投标人报价过低，有可能影响产品质量或者不能诚信履约的情形。</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满足招标文件要求没有负偏离的得26.1分。其中每有一项（“▲”技术参数18项）负偏离扣1.2分，每有一项（非“▲”、非“★”技术参数15项）负偏离扣0.3分，扣完为止。</w:t>
            </w:r>
          </w:p>
        </w:tc>
        <w:tc>
          <w:tcPr>
            <w:tcW w:type="dxa" w:w="831"/>
          </w:tcPr>
          <w:p>
            <w:pPr>
              <w:pStyle w:val="null3"/>
              <w:jc w:val="center"/>
            </w:pPr>
            <w:r>
              <w:rPr>
                <w:rFonts w:ascii="仿宋_GB2312" w:hAnsi="仿宋_GB2312" w:cs="仿宋_GB2312" w:eastAsia="仿宋_GB2312"/>
              </w:rPr>
              <w:t>26.1000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投标人针对本项目提供的实施方案包括但不限于：①项目实施整体部署；②安装、调试措施；③质量保障措施；④进度计划及安排；⑤数据安全保障措施。 方案内容完整齐全无缺失、无缺陷的得10分；每缺失一个方案内容的扣2分；每有一个子项方案中存在缺陷的扣1分/处，最多扣2分。 注：1、每缺失一个方案内容是指：要求提供的方案内容未提供或仅有标题无内容。2、每有一个子项方案中存在缺陷是指：①项目实施整体部署：未明确云桌面服务器、交换机、授权软件的部署架构与节点分工，无项目组织架构及人员职责对应安排。②安装、调试措施：未覆盖桌面云服务器、虚拟化授权、接入管理软件、万兆交换机的全流程安装、调试步骤与验证标准。③质量保障措施：未建立软硬件到货检验、安装过程管控、上线前测试、验收标准的全流程质量管控体系与责任机制。④进度计划及安排：未提供合同签订、到货、安装、调试、试运行、验收各阶段明确工期与重要节点，无进度保障措施。⑤数据安全保障措施：未明确云桌面数据存储、传输、备份、外发、审计及故障恢复的具体策略、周期与安全管控机制。⑥非专门针对本项目或存在与项目无关的内容；子项内容与标题无关；内容与本项目实际需求不完全相符；项目名称、实施地点与本项目不一致等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售后及运维方案</w:t>
            </w:r>
          </w:p>
        </w:tc>
        <w:tc>
          <w:tcPr>
            <w:tcW w:type="dxa" w:w="2575"/>
          </w:tcPr>
          <w:p>
            <w:pPr>
              <w:pStyle w:val="null3"/>
              <w:jc w:val="left"/>
            </w:pPr>
            <w:r>
              <w:rPr>
                <w:rFonts w:ascii="仿宋_GB2312" w:hAnsi="仿宋_GB2312" w:cs="仿宋_GB2312" w:eastAsia="仿宋_GB2312"/>
              </w:rPr>
              <w:t>投标人针对本项目提供的售后及运维方案包括但不限于：①售后服务及管理；②用户安全方案；③平台安全方案；④终端统一管理方案；⑤软件更新方案；⑥桌面故障恢复方案；⑦巡检维护方案。 方案内容完整齐全无缺失、无缺陷的得21分；每缺失一个方案内容的扣3分；每有一个子项方案中存在缺陷的扣1.5分/处，最多扣3分。 注：1、每缺失一个方案内容是指：要求提供的方案内容未提供或仅有标题无内容。2、每有一个子项方案中存在缺陷是指：①售后服务及管理：未明确售后服务响应渠道、故障分级处理流程及服务考核标准。②用户安全方案：未建立身份认证、权限管控、操作审计、数据防泄漏的全流程用户安全管控策略与规则。③平台安全方案：未明确云桌面平台虚拟化、存储、网络、主机的安全防护机制、风险点及加固措施。④终端统一管理方案：未制定终端资产台账、接入认证、状态监控、策略下发、外设管控的统一运维管理规则。⑤软件更新方案：未明确镜像更新、组件升级、漏洞修复的周期、方式、回退机制及业务中断保障措施。⑥桌面故障恢复方案：未按单终端/批量/平台级故障分级制定恢复时限、恢复方式、数据保护及切换验证标准。⑦巡检维护方案：未提供巡检周期、巡检内容、巡检指标、异常处理流程、巡检报告输出及质量管控要求。⑧非专门针对本项目或存在与项目无关的内容；子项内容与标题无关；内容与本项目实际需求不完全相符；项目名称、实施地点与本项目不一致等情形。</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经理（1名）：具有人社部和工信部颁发的计算机技术与软件专业技术资格（信息系统项目管理师）证书得1分，在此基础上：具有人社部和工信部颁发的计算机技术与软件专业技术资格（系统架构设计师）证书加1分；具有通信类或计算机类高级及以上职称加1分，本项最高得3分。 2、信息安全负责人（1名）：具有人社部和工信部颁发的计算机技术与软件专业技术资格（系统集成项目管理工程师）证书得1分；在此基础上，具有人社部和工信部颁发的计算机技术与软件专业技术资格（信息安全工程师）证书加1分；本项最高得2分。 3、其他技术人员：每有一名人员具有人社部和工信部颁发的计算机技术与软件专业技术资格（网络工程师）证书得1分；本项最高得2分。 注：以上人员不得重复得分；以上人员提供有效的证书扫描件加盖投标人电子公章；未提供不得分。</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类似经验</w:t>
            </w:r>
          </w:p>
        </w:tc>
        <w:tc>
          <w:tcPr>
            <w:tcW w:type="dxa" w:w="2575"/>
          </w:tcPr>
          <w:p>
            <w:pPr>
              <w:pStyle w:val="null3"/>
              <w:jc w:val="left"/>
            </w:pPr>
            <w:r>
              <w:rPr>
                <w:rFonts w:ascii="仿宋_GB2312" w:hAnsi="仿宋_GB2312" w:cs="仿宋_GB2312" w:eastAsia="仿宋_GB2312"/>
              </w:rPr>
              <w:t>投标人2023年01月01日（含）至今（投标文件提交截止之日止），每提供一个类似经验的得2分，本项最高得4分。 注：①以合同签订时间为准；②提供项目合同扫描件加盖投标人电子公章；未提供不得分。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环境标志产品政府采购政策</w:t>
            </w:r>
          </w:p>
        </w:tc>
        <w:tc>
          <w:tcPr>
            <w:tcW w:type="dxa" w:w="2575"/>
          </w:tcPr>
          <w:p>
            <w:pPr>
              <w:pStyle w:val="null3"/>
              <w:jc w:val="left"/>
            </w:pPr>
            <w:r>
              <w:rPr>
                <w:rFonts w:ascii="仿宋_GB2312" w:hAnsi="仿宋_GB2312" w:cs="仿宋_GB2312" w:eastAsia="仿宋_GB2312"/>
              </w:rPr>
              <w:t>投标人提供的投标产品属于《环境标志产品政府采购品目清单》中的，提供由国家确定的认证机构出具的、处于有效期之内的环境标志产品认证证书的原件扫描件，或“全国认证认可信息公共服务平台”(http://cx.cnca.cn)的认证信息截图，属于《环境标志产品政府采购品目清单》中的得1.9分，最多得1.9分。 注：不可重复得分；对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rFonts w:ascii="仿宋_GB2312" w:hAnsi="仿宋_GB2312" w:cs="仿宋_GB2312" w:eastAsia="仿宋_GB2312"/>
              </w:rPr>
              <w:t>1.9000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满足招标文件要求且投标总报价最低的为评标基准价，其价格分为满分，其他投标人的价格分统一按照下列公式计算：投标报价得分=(评标基准价／投标报价)×30%×100。 注：1、项目评审过程中，不得去掉报价中的最高报价和最低报价。 2、小微企业（残疾人福利性单位、监狱企业视同小微企业）价格扣除10%后参与评审。</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详见附件：实质性要求响应.docx</w:t>
      </w:r>
    </w:p>
    <w:p>
      <w:pPr>
        <w:pStyle w:val="null3"/>
        <w:ind w:firstLine="960"/>
        <w:jc w:val="left"/>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