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5DEE">
      <w:pPr>
        <w:pStyle w:val="12"/>
        <w:numPr>
          <w:ilvl w:val="0"/>
          <w:numId w:val="0"/>
        </w:numPr>
        <w:adjustRightInd/>
        <w:snapToGrid/>
        <w:outlineLvl w:val="9"/>
        <w:rPr>
          <w:rFonts w:hint="eastAsia" w:ascii="宋体" w:hAnsi="宋体" w:eastAsia="宋体" w:cs="宋体"/>
          <w:color w:val="000000"/>
          <w:sz w:val="32"/>
          <w:szCs w:val="22"/>
        </w:rPr>
      </w:pPr>
      <w:bookmarkStart w:id="0" w:name="_Toc13264"/>
      <w:bookmarkStart w:id="1" w:name="_Toc23680"/>
      <w:bookmarkStart w:id="2" w:name="_Toc18908"/>
      <w:bookmarkStart w:id="3" w:name="_Toc229"/>
      <w:bookmarkStart w:id="4" w:name="_Toc7547"/>
      <w:r>
        <w:rPr>
          <w:rFonts w:hint="eastAsia" w:ascii="宋体" w:hAnsi="宋体" w:eastAsia="宋体" w:cs="宋体"/>
          <w:color w:val="000000"/>
          <w:sz w:val="32"/>
          <w:szCs w:val="22"/>
        </w:rPr>
        <w:t>政府采购合同</w:t>
      </w:r>
      <w:bookmarkEnd w:id="0"/>
      <w:bookmarkEnd w:id="1"/>
      <w:bookmarkEnd w:id="2"/>
      <w:bookmarkEnd w:id="3"/>
      <w:bookmarkEnd w:id="4"/>
      <w:r>
        <w:rPr>
          <w:rFonts w:hint="eastAsia" w:ascii="宋体" w:hAnsi="宋体" w:eastAsia="宋体" w:cs="宋体"/>
          <w:color w:val="000000"/>
          <w:sz w:val="32"/>
          <w:szCs w:val="22"/>
        </w:rPr>
        <w:t>（草案）</w:t>
      </w:r>
    </w:p>
    <w:p w14:paraId="4F0104B7">
      <w:pPr>
        <w:spacing w:line="360" w:lineRule="auto"/>
        <w:ind w:firstLine="482" w:firstLineChars="200"/>
        <w:rPr>
          <w:rFonts w:hint="eastAsia" w:ascii="宋体" w:hAnsi="宋体" w:eastAsia="宋体" w:cs="宋体"/>
          <w:color w:val="000000"/>
          <w:sz w:val="20"/>
          <w:szCs w:val="22"/>
          <w:lang w:eastAsia="zh-CN"/>
        </w:rPr>
      </w:pPr>
      <w:r>
        <w:rPr>
          <w:rFonts w:hint="eastAsia" w:ascii="宋体" w:hAnsi="宋体" w:eastAsia="宋体" w:cs="宋体"/>
          <w:b/>
          <w:bCs/>
          <w:color w:val="000000"/>
          <w:szCs w:val="32"/>
        </w:rPr>
        <w:t>说明：此合同为模板合同，仅作为采购人与</w:t>
      </w:r>
      <w:r>
        <w:rPr>
          <w:rFonts w:hint="eastAsia" w:cs="宋体"/>
          <w:b/>
          <w:bCs/>
          <w:color w:val="000000"/>
          <w:szCs w:val="32"/>
          <w:lang w:val="en-US" w:eastAsia="zh-CN"/>
        </w:rPr>
        <w:t>中标</w:t>
      </w:r>
      <w:r>
        <w:rPr>
          <w:rFonts w:hint="eastAsia" w:ascii="宋体" w:hAnsi="宋体" w:eastAsia="宋体" w:cs="宋体"/>
          <w:b/>
          <w:bCs/>
          <w:color w:val="000000"/>
          <w:szCs w:val="32"/>
        </w:rPr>
        <w:t>供应商签订合同之时的参考，采购人有权根据实际情况对合同进行调整</w:t>
      </w:r>
      <w:r>
        <w:rPr>
          <w:rFonts w:hint="eastAsia" w:cs="宋体"/>
          <w:b/>
          <w:bCs/>
          <w:color w:val="000000"/>
          <w:szCs w:val="32"/>
          <w:lang w:eastAsia="zh-CN"/>
        </w:rPr>
        <w:t>，</w:t>
      </w:r>
      <w:r>
        <w:rPr>
          <w:rFonts w:hint="eastAsia" w:ascii="宋体" w:hAnsi="宋体" w:cs="宋体"/>
          <w:b/>
          <w:bCs/>
          <w:color w:val="000000" w:themeColor="text1"/>
          <w:sz w:val="24"/>
          <w:szCs w:val="32"/>
          <w14:textFill>
            <w14:solidFill>
              <w14:schemeClr w14:val="tx1"/>
            </w14:solidFill>
          </w14:textFill>
        </w:rPr>
        <w:t>但</w:t>
      </w:r>
      <w:r>
        <w:rPr>
          <w:rFonts w:hint="eastAsia" w:ascii="宋体" w:hAnsi="宋体" w:cs="宋体"/>
          <w:b/>
          <w:bCs/>
          <w:color w:val="000000" w:themeColor="text1"/>
          <w:sz w:val="24"/>
          <w:szCs w:val="32"/>
          <w:lang w:val="en-US" w:eastAsia="zh-CN"/>
          <w14:textFill>
            <w14:solidFill>
              <w14:schemeClr w14:val="tx1"/>
            </w14:solidFill>
          </w14:textFill>
        </w:rPr>
        <w:t>招标</w:t>
      </w:r>
      <w:r>
        <w:rPr>
          <w:rFonts w:hint="eastAsia" w:ascii="宋体" w:hAnsi="宋体" w:cs="宋体"/>
          <w:b/>
          <w:bCs/>
          <w:color w:val="000000" w:themeColor="text1"/>
          <w:sz w:val="24"/>
          <w:szCs w:val="32"/>
          <w14:textFill>
            <w14:solidFill>
              <w14:schemeClr w14:val="tx1"/>
            </w14:solidFill>
          </w14:textFill>
        </w:rPr>
        <w:t>文件要约及</w:t>
      </w:r>
      <w:r>
        <w:rPr>
          <w:rFonts w:hint="eastAsia" w:ascii="宋体" w:hAnsi="宋体" w:cs="宋体"/>
          <w:b/>
          <w:bCs/>
          <w:color w:val="000000" w:themeColor="text1"/>
          <w:sz w:val="24"/>
          <w:szCs w:val="32"/>
          <w:lang w:val="en-US" w:eastAsia="zh-CN"/>
          <w14:textFill>
            <w14:solidFill>
              <w14:schemeClr w14:val="tx1"/>
            </w14:solidFill>
          </w14:textFill>
        </w:rPr>
        <w:t>投标</w:t>
      </w:r>
      <w:r>
        <w:rPr>
          <w:rFonts w:hint="eastAsia" w:ascii="宋体" w:hAnsi="宋体" w:cs="宋体"/>
          <w:b/>
          <w:bCs/>
          <w:color w:val="000000" w:themeColor="text1"/>
          <w:sz w:val="24"/>
          <w:szCs w:val="32"/>
          <w14:textFill>
            <w14:solidFill>
              <w14:schemeClr w14:val="tx1"/>
            </w14:solidFill>
          </w14:textFill>
        </w:rPr>
        <w:t>文件承诺的实质性内容不得有任何负偏离。</w:t>
      </w:r>
    </w:p>
    <w:p w14:paraId="1C59F51D">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合同编号：</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w:t>
      </w:r>
    </w:p>
    <w:p w14:paraId="0ABE920D">
      <w:pPr>
        <w:spacing w:line="360" w:lineRule="auto"/>
        <w:ind w:firstLine="480" w:firstLineChars="20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计划号／备案号： </w:t>
      </w:r>
      <w:r>
        <w:rPr>
          <w:rFonts w:hint="eastAsia" w:ascii="宋体" w:hAnsi="宋体" w:eastAsia="宋体" w:cs="宋体"/>
          <w:color w:val="000000" w:themeColor="text1"/>
          <w:u w:val="single"/>
          <w14:textFill>
            <w14:solidFill>
              <w14:schemeClr w14:val="tx1"/>
            </w14:solidFill>
          </w14:textFill>
        </w:rPr>
        <w:t xml:space="preserve">                         </w:t>
      </w:r>
    </w:p>
    <w:p w14:paraId="6ED4224F">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签订地点： </w:t>
      </w:r>
      <w:r>
        <w:rPr>
          <w:rFonts w:hint="eastAsia" w:ascii="宋体" w:hAnsi="宋体" w:eastAsia="宋体" w:cs="宋体"/>
          <w:color w:val="000000" w:themeColor="text1"/>
          <w:u w:val="single"/>
          <w14:textFill>
            <w14:solidFill>
              <w14:schemeClr w14:val="tx1"/>
            </w14:solidFill>
          </w14:textFill>
        </w:rPr>
        <w:t xml:space="preserve">  </w:t>
      </w:r>
      <w:r>
        <w:rPr>
          <w:rFonts w:hint="eastAsia" w:cs="宋体"/>
          <w:color w:val="000000" w:themeColor="text1"/>
          <w:u w:val="single"/>
          <w:lang w:val="en-US" w:eastAsia="zh-CN"/>
          <w14:textFill>
            <w14:solidFill>
              <w14:schemeClr w14:val="tx1"/>
            </w14:solidFill>
          </w14:textFill>
        </w:rPr>
        <w:t>雅安市名山区人民法院</w:t>
      </w:r>
      <w:r>
        <w:rPr>
          <w:rFonts w:hint="eastAsia" w:ascii="宋体" w:hAnsi="宋体" w:eastAsia="宋体" w:cs="宋体"/>
          <w:color w:val="000000" w:themeColor="text1"/>
          <w:u w:val="single"/>
          <w14:textFill>
            <w14:solidFill>
              <w14:schemeClr w14:val="tx1"/>
            </w14:solidFill>
          </w14:textFill>
        </w:rPr>
        <w:t xml:space="preserve">   </w:t>
      </w:r>
    </w:p>
    <w:p w14:paraId="73752013">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签订时间： </w:t>
      </w:r>
      <w:r>
        <w:rPr>
          <w:rFonts w:hint="eastAsia" w:ascii="宋体" w:hAnsi="宋体" w:eastAsia="宋体" w:cs="宋体"/>
          <w:color w:val="000000" w:themeColor="text1"/>
          <w:u w:val="single"/>
          <w14:textFill>
            <w14:solidFill>
              <w14:schemeClr w14:val="tx1"/>
            </w14:solidFill>
          </w14:textFill>
        </w:rPr>
        <w:t xml:space="preserve">                         </w:t>
      </w:r>
    </w:p>
    <w:p w14:paraId="7E40FD4A">
      <w:pPr>
        <w:spacing w:line="360" w:lineRule="auto"/>
        <w:ind w:firstLine="480" w:firstLineChars="200"/>
        <w:rPr>
          <w:rFonts w:hint="eastAsia" w:ascii="宋体" w:hAnsi="宋体" w:eastAsia="宋体" w:cs="宋体"/>
          <w:color w:val="000000" w:themeColor="text1"/>
          <w:u w:val="singl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采购人名称（甲方）： </w:t>
      </w:r>
      <w:r>
        <w:rPr>
          <w:rFonts w:hint="eastAsia" w:ascii="宋体" w:hAnsi="宋体" w:eastAsia="宋体" w:cs="宋体"/>
          <w:color w:val="000000" w:themeColor="text1"/>
          <w:u w:val="single"/>
          <w14:textFill>
            <w14:solidFill>
              <w14:schemeClr w14:val="tx1"/>
            </w14:solidFill>
          </w14:textFill>
        </w:rPr>
        <w:t xml:space="preserve">  </w:t>
      </w:r>
      <w:r>
        <w:rPr>
          <w:rFonts w:hint="eastAsia" w:cs="宋体"/>
          <w:color w:val="000000" w:themeColor="text1"/>
          <w:u w:val="single"/>
          <w:lang w:val="en-US" w:eastAsia="zh-CN"/>
          <w14:textFill>
            <w14:solidFill>
              <w14:schemeClr w14:val="tx1"/>
            </w14:solidFill>
          </w14:textFill>
        </w:rPr>
        <w:t>雅安市名山区人民法院</w:t>
      </w:r>
      <w:r>
        <w:rPr>
          <w:rFonts w:hint="eastAsia" w:ascii="宋体" w:hAnsi="宋体" w:eastAsia="宋体" w:cs="宋体"/>
          <w:color w:val="000000" w:themeColor="text1"/>
          <w:u w:val="single"/>
          <w14:textFill>
            <w14:solidFill>
              <w14:schemeClr w14:val="tx1"/>
            </w14:solidFill>
          </w14:textFill>
        </w:rPr>
        <w:t xml:space="preserve">    </w:t>
      </w:r>
    </w:p>
    <w:p w14:paraId="64E4BF75">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cs="宋体"/>
          <w:color w:val="000000" w:themeColor="text1"/>
          <w:lang w:val="en-US" w:eastAsia="zh-CN"/>
          <w14:textFill>
            <w14:solidFill>
              <w14:schemeClr w14:val="tx1"/>
            </w14:solidFill>
          </w14:textFill>
        </w:rPr>
        <w:t>中标</w:t>
      </w:r>
      <w:r>
        <w:rPr>
          <w:rFonts w:hint="eastAsia" w:ascii="宋体" w:hAnsi="宋体" w:eastAsia="宋体" w:cs="宋体"/>
          <w:color w:val="000000" w:themeColor="text1"/>
          <w14:textFill>
            <w14:solidFill>
              <w14:schemeClr w14:val="tx1"/>
            </w14:solidFill>
          </w14:textFill>
        </w:rPr>
        <w:t>供应商名称（乙方）：</w:t>
      </w:r>
      <w:r>
        <w:rPr>
          <w:rFonts w:hint="eastAsia" w:ascii="宋体" w:hAnsi="宋体" w:eastAsia="宋体" w:cs="宋体"/>
          <w:color w:val="000000" w:themeColor="text1"/>
          <w:u w:val="single"/>
          <w14:textFill>
            <w14:solidFill>
              <w14:schemeClr w14:val="tx1"/>
            </w14:solidFill>
          </w14:textFill>
        </w:rPr>
        <w:t xml:space="preserve">     </w:t>
      </w:r>
      <w:r>
        <w:rPr>
          <w:rFonts w:hint="eastAsia"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p>
    <w:p w14:paraId="782A01A5">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根据</w:t>
      </w:r>
      <w:r>
        <w:rPr>
          <w:rFonts w:hint="eastAsia" w:cs="宋体"/>
          <w:b w:val="0"/>
          <w:bCs w:val="0"/>
          <w:color w:val="000000" w:themeColor="text1"/>
          <w:sz w:val="24"/>
          <w:lang w:val="en-US" w:eastAsia="zh-CN"/>
          <w14:textFill>
            <w14:solidFill>
              <w14:schemeClr w14:val="tx1"/>
            </w14:solidFill>
          </w14:textFill>
        </w:rPr>
        <w:t>《中华人民共和国政府采购法》、《中华人民共和国政府采购法实施条例》、《政府采购货物和服务招标投标管理办法》、</w:t>
      </w:r>
      <w:r>
        <w:rPr>
          <w:rFonts w:hint="eastAsia" w:ascii="宋体" w:hAnsi="宋体" w:eastAsia="宋体" w:cs="宋体"/>
          <w:color w:val="000000" w:themeColor="text1"/>
          <w14:textFill>
            <w14:solidFill>
              <w14:schemeClr w14:val="tx1"/>
            </w14:solidFill>
          </w14:textFill>
        </w:rPr>
        <w:t>《中华人民共和国民法典》等相关法律法规及云桌面系统建设项目（项目名称）（</w:t>
      </w:r>
      <w:r>
        <w:rPr>
          <w:rFonts w:hint="eastAsia" w:cs="宋体"/>
          <w:color w:val="000000" w:themeColor="text1"/>
          <w:lang w:val="en-US" w:eastAsia="zh-CN"/>
          <w14:textFill>
            <w14:solidFill>
              <w14:schemeClr w14:val="tx1"/>
            </w14:solidFill>
          </w14:textFill>
        </w:rPr>
        <w:t>招标</w:t>
      </w:r>
      <w:r>
        <w:rPr>
          <w:rFonts w:hint="eastAsia" w:ascii="宋体" w:hAnsi="宋体" w:eastAsia="宋体" w:cs="宋体"/>
          <w:color w:val="000000" w:themeColor="text1"/>
          <w14:textFill>
            <w14:solidFill>
              <w14:schemeClr w14:val="tx1"/>
            </w14:solidFill>
          </w14:textFill>
        </w:rPr>
        <w:t>编号：xxxxxxxx)的《</w:t>
      </w:r>
      <w:r>
        <w:rPr>
          <w:rFonts w:hint="eastAsia" w:cs="宋体"/>
          <w:color w:val="000000" w:themeColor="text1"/>
          <w:lang w:val="en-US" w:eastAsia="zh-CN"/>
          <w14:textFill>
            <w14:solidFill>
              <w14:schemeClr w14:val="tx1"/>
            </w14:solidFill>
          </w14:textFill>
        </w:rPr>
        <w:t>招标</w:t>
      </w:r>
      <w:r>
        <w:rPr>
          <w:rFonts w:hint="eastAsia" w:ascii="宋体" w:hAnsi="宋体" w:eastAsia="宋体" w:cs="宋体"/>
          <w:color w:val="000000" w:themeColor="text1"/>
          <w14:textFill>
            <w14:solidFill>
              <w14:schemeClr w14:val="tx1"/>
            </w14:solidFill>
          </w14:textFill>
        </w:rPr>
        <w:t>文件》、乙方的《</w:t>
      </w:r>
      <w:r>
        <w:rPr>
          <w:rFonts w:hint="eastAsia" w:cs="宋体"/>
          <w:color w:val="000000" w:themeColor="text1"/>
          <w:lang w:val="en-US" w:eastAsia="zh-CN"/>
          <w14:textFill>
            <w14:solidFill>
              <w14:schemeClr w14:val="tx1"/>
            </w14:solidFill>
          </w14:textFill>
        </w:rPr>
        <w:t>投标</w:t>
      </w:r>
      <w:r>
        <w:rPr>
          <w:rFonts w:hint="eastAsia" w:ascii="宋体" w:hAnsi="宋体" w:eastAsia="宋体" w:cs="宋体"/>
          <w:color w:val="000000" w:themeColor="text1"/>
          <w14:textFill>
            <w14:solidFill>
              <w14:schemeClr w14:val="tx1"/>
            </w14:solidFill>
          </w14:textFill>
        </w:rPr>
        <w:t>文件》及《</w:t>
      </w:r>
      <w:r>
        <w:rPr>
          <w:rFonts w:hint="eastAsia" w:cs="宋体"/>
          <w:color w:val="000000" w:themeColor="text1"/>
          <w:lang w:val="en-US" w:eastAsia="zh-CN"/>
          <w14:textFill>
            <w14:solidFill>
              <w14:schemeClr w14:val="tx1"/>
            </w14:solidFill>
          </w14:textFill>
        </w:rPr>
        <w:t>中标</w:t>
      </w:r>
      <w:r>
        <w:rPr>
          <w:rFonts w:hint="eastAsia" w:ascii="宋体" w:hAnsi="宋体" w:eastAsia="宋体" w:cs="宋体"/>
          <w:color w:val="000000" w:themeColor="text1"/>
          <w14:textFill>
            <w14:solidFill>
              <w14:schemeClr w14:val="tx1"/>
            </w14:solidFill>
          </w14:textFill>
        </w:rPr>
        <w:t>通知书》，甲、乙双方同意签订本合同。详细技术说明及其他有关合同项目的特定信息由合同附件予以说明，合同附件及本项目的</w:t>
      </w:r>
      <w:r>
        <w:rPr>
          <w:rFonts w:hint="eastAsia" w:cs="宋体"/>
          <w:color w:val="000000" w:themeColor="text1"/>
          <w:lang w:val="en-US" w:eastAsia="zh-CN"/>
          <w14:textFill>
            <w14:solidFill>
              <w14:schemeClr w14:val="tx1"/>
            </w14:solidFill>
          </w14:textFill>
        </w:rPr>
        <w:t>招标</w:t>
      </w:r>
      <w:r>
        <w:rPr>
          <w:rFonts w:hint="eastAsia" w:ascii="宋体" w:hAnsi="宋体" w:eastAsia="宋体" w:cs="宋体"/>
          <w:color w:val="000000" w:themeColor="text1"/>
          <w14:textFill>
            <w14:solidFill>
              <w14:schemeClr w14:val="tx1"/>
            </w14:solidFill>
          </w14:textFill>
        </w:rPr>
        <w:t>文件、</w:t>
      </w:r>
      <w:r>
        <w:rPr>
          <w:rFonts w:hint="eastAsia" w:cs="宋体"/>
          <w:color w:val="000000" w:themeColor="text1"/>
          <w:lang w:val="en-US" w:eastAsia="zh-CN"/>
          <w14:textFill>
            <w14:solidFill>
              <w14:schemeClr w14:val="tx1"/>
            </w14:solidFill>
          </w14:textFill>
        </w:rPr>
        <w:t>投标</w:t>
      </w:r>
      <w:r>
        <w:rPr>
          <w:rFonts w:hint="eastAsia" w:ascii="宋体" w:hAnsi="宋体" w:eastAsia="宋体" w:cs="宋体"/>
          <w:color w:val="000000" w:themeColor="text1"/>
          <w14:textFill>
            <w14:solidFill>
              <w14:schemeClr w14:val="tx1"/>
            </w14:solidFill>
          </w14:textFill>
        </w:rPr>
        <w:t>文件、《</w:t>
      </w:r>
      <w:r>
        <w:rPr>
          <w:rFonts w:hint="eastAsia" w:cs="宋体"/>
          <w:color w:val="000000" w:themeColor="text1"/>
          <w:lang w:val="en-US" w:eastAsia="zh-CN"/>
          <w14:textFill>
            <w14:solidFill>
              <w14:schemeClr w14:val="tx1"/>
            </w14:solidFill>
          </w14:textFill>
        </w:rPr>
        <w:t>中标</w:t>
      </w:r>
      <w:r>
        <w:rPr>
          <w:rFonts w:hint="eastAsia" w:ascii="宋体" w:hAnsi="宋体" w:eastAsia="宋体" w:cs="宋体"/>
          <w:color w:val="000000" w:themeColor="text1"/>
          <w14:textFill>
            <w14:solidFill>
              <w14:schemeClr w14:val="tx1"/>
            </w14:solidFill>
          </w14:textFill>
        </w:rPr>
        <w:t>通知书》等均为本合同不可分割的部分。双方同意共同遵守如下条款：</w:t>
      </w:r>
    </w:p>
    <w:p w14:paraId="4B33B15B">
      <w:pPr>
        <w:numPr>
          <w:ilvl w:val="0"/>
          <w:numId w:val="0"/>
        </w:numPr>
        <w:spacing w:line="360" w:lineRule="auto"/>
        <w:ind w:leftChars="0" w:firstLine="482" w:firstLineChars="200"/>
        <w:rPr>
          <w:rFonts w:hint="eastAsia" w:ascii="宋体" w:hAnsi="宋体" w:eastAsia="宋体" w:cs="宋体"/>
          <w:b/>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第一条  </w:t>
      </w:r>
      <w:r>
        <w:rPr>
          <w:rFonts w:hint="eastAsia" w:ascii="宋体" w:hAnsi="宋体" w:eastAsia="宋体" w:cs="宋体"/>
          <w:b/>
          <w:color w:val="000000" w:themeColor="text1"/>
          <w14:textFill>
            <w14:solidFill>
              <w14:schemeClr w14:val="tx1"/>
            </w14:solidFill>
          </w14:textFill>
        </w:rPr>
        <w:t>合同货物</w:t>
      </w:r>
    </w:p>
    <w:tbl>
      <w:tblPr>
        <w:tblStyle w:val="1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78"/>
        <w:gridCol w:w="1372"/>
        <w:gridCol w:w="818"/>
        <w:gridCol w:w="731"/>
        <w:gridCol w:w="1064"/>
        <w:gridCol w:w="888"/>
        <w:gridCol w:w="1036"/>
        <w:gridCol w:w="1486"/>
      </w:tblGrid>
      <w:tr w14:paraId="61137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1678" w:type="dxa"/>
            <w:vMerge w:val="restart"/>
            <w:tcBorders>
              <w:top w:val="single" w:color="auto" w:sz="4" w:space="0"/>
              <w:left w:val="single" w:color="auto" w:sz="4" w:space="0"/>
              <w:right w:val="single" w:color="auto" w:sz="4" w:space="0"/>
            </w:tcBorders>
            <w:vAlign w:val="center"/>
          </w:tcPr>
          <w:p w14:paraId="1C97F0F4">
            <w:pPr>
              <w:spacing w:line="360" w:lineRule="auto"/>
              <w:ind w:firstLine="240" w:firstLineChars="100"/>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cs="宋体"/>
                <w:color w:val="000000" w:themeColor="text1"/>
                <w:szCs w:val="21"/>
                <w:lang w:val="en-US" w:eastAsia="zh-CN"/>
                <w14:textFill>
                  <w14:solidFill>
                    <w14:schemeClr w14:val="tx1"/>
                  </w14:solidFill>
                </w14:textFill>
              </w:rPr>
              <w:t>标的名称</w:t>
            </w:r>
          </w:p>
        </w:tc>
        <w:tc>
          <w:tcPr>
            <w:tcW w:w="1372" w:type="dxa"/>
            <w:vMerge w:val="restart"/>
            <w:tcBorders>
              <w:top w:val="single" w:color="auto" w:sz="4" w:space="0"/>
              <w:left w:val="single" w:color="auto" w:sz="4" w:space="0"/>
              <w:right w:val="single" w:color="auto" w:sz="4" w:space="0"/>
            </w:tcBorders>
            <w:vAlign w:val="center"/>
          </w:tcPr>
          <w:p w14:paraId="6E8669F7">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cs="宋体"/>
                <w:color w:val="000000" w:themeColor="text1"/>
                <w:szCs w:val="21"/>
                <w:lang w:val="en-US" w:eastAsia="zh-CN"/>
                <w14:textFill>
                  <w14:solidFill>
                    <w14:schemeClr w14:val="tx1"/>
                  </w14:solidFill>
                </w14:textFill>
              </w:rPr>
              <w:t>制造厂家及</w:t>
            </w:r>
            <w:r>
              <w:rPr>
                <w:rFonts w:hint="eastAsia" w:ascii="宋体" w:hAnsi="宋体" w:eastAsia="宋体" w:cs="宋体"/>
                <w:color w:val="000000" w:themeColor="text1"/>
                <w:szCs w:val="21"/>
                <w14:textFill>
                  <w14:solidFill>
                    <w14:schemeClr w14:val="tx1"/>
                  </w14:solidFill>
                </w14:textFill>
              </w:rPr>
              <w:t>规格</w:t>
            </w:r>
          </w:p>
          <w:p w14:paraId="6B46D15E">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型号</w:t>
            </w:r>
          </w:p>
        </w:tc>
        <w:tc>
          <w:tcPr>
            <w:tcW w:w="818" w:type="dxa"/>
            <w:vMerge w:val="restart"/>
            <w:tcBorders>
              <w:top w:val="single" w:color="auto" w:sz="4" w:space="0"/>
              <w:left w:val="single" w:color="auto" w:sz="4" w:space="0"/>
              <w:right w:val="single" w:color="auto" w:sz="4" w:space="0"/>
            </w:tcBorders>
            <w:vAlign w:val="center"/>
          </w:tcPr>
          <w:p w14:paraId="37CE07B1">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单位</w:t>
            </w:r>
          </w:p>
        </w:tc>
        <w:tc>
          <w:tcPr>
            <w:tcW w:w="731" w:type="dxa"/>
            <w:vMerge w:val="restart"/>
            <w:tcBorders>
              <w:top w:val="single" w:color="auto" w:sz="4" w:space="0"/>
              <w:left w:val="single" w:color="auto" w:sz="4" w:space="0"/>
              <w:right w:val="single" w:color="auto" w:sz="4" w:space="0"/>
            </w:tcBorders>
            <w:vAlign w:val="center"/>
          </w:tcPr>
          <w:p w14:paraId="799A454A">
            <w:pPr>
              <w:spacing w:line="360" w:lineRule="auto"/>
              <w:ind w:firstLine="120" w:firstLineChars="5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数量</w:t>
            </w:r>
          </w:p>
        </w:tc>
        <w:tc>
          <w:tcPr>
            <w:tcW w:w="1064" w:type="dxa"/>
            <w:vMerge w:val="restart"/>
            <w:tcBorders>
              <w:top w:val="single" w:color="auto" w:sz="4" w:space="0"/>
              <w:left w:val="single" w:color="auto" w:sz="4" w:space="0"/>
              <w:right w:val="single" w:color="auto" w:sz="4" w:space="0"/>
            </w:tcBorders>
            <w:vAlign w:val="center"/>
          </w:tcPr>
          <w:p w14:paraId="297B2702">
            <w:pPr>
              <w:spacing w:line="360" w:lineRule="auto"/>
              <w:ind w:firstLine="120" w:firstLineChars="5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单价</w:t>
            </w:r>
          </w:p>
          <w:p w14:paraId="4DAB2F7D">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（元）</w:t>
            </w:r>
          </w:p>
        </w:tc>
        <w:tc>
          <w:tcPr>
            <w:tcW w:w="888" w:type="dxa"/>
            <w:vMerge w:val="restart"/>
            <w:tcBorders>
              <w:top w:val="single" w:color="auto" w:sz="4" w:space="0"/>
              <w:left w:val="single" w:color="auto" w:sz="4" w:space="0"/>
              <w:right w:val="single" w:color="auto" w:sz="4" w:space="0"/>
            </w:tcBorders>
            <w:vAlign w:val="center"/>
          </w:tcPr>
          <w:p w14:paraId="52546EBB">
            <w:pPr>
              <w:spacing w:line="360" w:lineRule="auto"/>
              <w:ind w:leftChars="-1" w:right="-101" w:rightChars="-42" w:hanging="2" w:hangingChars="1"/>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总价</w:t>
            </w:r>
          </w:p>
          <w:p w14:paraId="1E9EAA1D">
            <w:pPr>
              <w:spacing w:line="360" w:lineRule="auto"/>
              <w:ind w:leftChars="-1" w:right="-101" w:rightChars="-42" w:hanging="2" w:hangingChars="1"/>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（元）</w:t>
            </w:r>
          </w:p>
        </w:tc>
        <w:tc>
          <w:tcPr>
            <w:tcW w:w="1036" w:type="dxa"/>
            <w:vMerge w:val="restart"/>
            <w:tcBorders>
              <w:top w:val="single" w:color="auto" w:sz="4" w:space="0"/>
              <w:left w:val="single" w:color="auto" w:sz="4" w:space="0"/>
              <w:right w:val="single" w:color="auto" w:sz="4" w:space="0"/>
            </w:tcBorders>
            <w:vAlign w:val="center"/>
          </w:tcPr>
          <w:p w14:paraId="70E0B165">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随机</w:t>
            </w:r>
          </w:p>
          <w:p w14:paraId="1C793EF4">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配件</w:t>
            </w:r>
          </w:p>
        </w:tc>
        <w:tc>
          <w:tcPr>
            <w:tcW w:w="1486" w:type="dxa"/>
            <w:vMerge w:val="restart"/>
            <w:tcBorders>
              <w:top w:val="single" w:color="auto" w:sz="4" w:space="0"/>
              <w:left w:val="single" w:color="auto" w:sz="4" w:space="0"/>
              <w:right w:val="single" w:color="auto" w:sz="4" w:space="0"/>
            </w:tcBorders>
            <w:vAlign w:val="center"/>
          </w:tcPr>
          <w:p w14:paraId="59374B53">
            <w:pPr>
              <w:spacing w:line="360" w:lineRule="auto"/>
              <w:ind w:leftChars="-22" w:hanging="52" w:hangingChars="22"/>
              <w:jc w:val="center"/>
              <w:rPr>
                <w:rFonts w:hint="eastAsia" w:ascii="宋体" w:hAnsi="宋体" w:eastAsia="宋体" w:cs="宋体"/>
                <w:color w:val="000000" w:themeColor="text1"/>
                <w:szCs w:val="21"/>
                <w:lang w:eastAsia="zh-CN"/>
                <w14:textFill>
                  <w14:solidFill>
                    <w14:schemeClr w14:val="tx1"/>
                  </w14:solidFill>
                </w14:textFill>
              </w:rPr>
            </w:pPr>
            <w:r>
              <w:rPr>
                <w:rFonts w:hint="eastAsia" w:cs="宋体"/>
                <w:color w:val="000000" w:themeColor="text1"/>
                <w:szCs w:val="21"/>
                <w:lang w:val="en-US" w:eastAsia="zh-CN"/>
                <w14:textFill>
                  <w14:solidFill>
                    <w14:schemeClr w14:val="tx1"/>
                  </w14:solidFill>
                </w14:textFill>
              </w:rPr>
              <w:t>备注</w:t>
            </w:r>
          </w:p>
        </w:tc>
      </w:tr>
      <w:tr w14:paraId="0DD994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1678" w:type="dxa"/>
            <w:vMerge w:val="continue"/>
            <w:tcBorders>
              <w:left w:val="single" w:color="auto" w:sz="4" w:space="0"/>
              <w:bottom w:val="single" w:color="auto" w:sz="4" w:space="0"/>
              <w:right w:val="single" w:color="auto" w:sz="4" w:space="0"/>
            </w:tcBorders>
            <w:vAlign w:val="center"/>
          </w:tcPr>
          <w:p w14:paraId="6075E203">
            <w:pPr>
              <w:spacing w:line="360" w:lineRule="auto"/>
              <w:ind w:firstLine="240" w:firstLineChars="100"/>
              <w:rPr>
                <w:rFonts w:hint="eastAsia" w:ascii="宋体" w:hAnsi="宋体" w:eastAsia="宋体" w:cs="宋体"/>
                <w:color w:val="000000" w:themeColor="text1"/>
                <w:szCs w:val="21"/>
                <w14:textFill>
                  <w14:solidFill>
                    <w14:schemeClr w14:val="tx1"/>
                  </w14:solidFill>
                </w14:textFill>
              </w:rPr>
            </w:pPr>
          </w:p>
        </w:tc>
        <w:tc>
          <w:tcPr>
            <w:tcW w:w="1372" w:type="dxa"/>
            <w:vMerge w:val="continue"/>
            <w:tcBorders>
              <w:left w:val="single" w:color="auto" w:sz="4" w:space="0"/>
              <w:bottom w:val="single" w:color="auto" w:sz="4" w:space="0"/>
              <w:right w:val="single" w:color="auto" w:sz="4" w:space="0"/>
            </w:tcBorders>
            <w:vAlign w:val="center"/>
          </w:tcPr>
          <w:p w14:paraId="55B3DDD7">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818" w:type="dxa"/>
            <w:vMerge w:val="continue"/>
            <w:tcBorders>
              <w:left w:val="single" w:color="auto" w:sz="4" w:space="0"/>
              <w:bottom w:val="single" w:color="auto" w:sz="4" w:space="0"/>
              <w:right w:val="single" w:color="auto" w:sz="4" w:space="0"/>
            </w:tcBorders>
            <w:vAlign w:val="center"/>
          </w:tcPr>
          <w:p w14:paraId="0090F495">
            <w:pPr>
              <w:spacing w:line="360" w:lineRule="auto"/>
              <w:rPr>
                <w:rFonts w:hint="eastAsia" w:ascii="宋体" w:hAnsi="宋体" w:eastAsia="宋体" w:cs="宋体"/>
                <w:color w:val="000000" w:themeColor="text1"/>
                <w:szCs w:val="21"/>
                <w14:textFill>
                  <w14:solidFill>
                    <w14:schemeClr w14:val="tx1"/>
                  </w14:solidFill>
                </w14:textFill>
              </w:rPr>
            </w:pPr>
          </w:p>
        </w:tc>
        <w:tc>
          <w:tcPr>
            <w:tcW w:w="731" w:type="dxa"/>
            <w:vMerge w:val="continue"/>
            <w:tcBorders>
              <w:left w:val="single" w:color="auto" w:sz="4" w:space="0"/>
              <w:bottom w:val="single" w:color="auto" w:sz="4" w:space="0"/>
              <w:right w:val="single" w:color="auto" w:sz="4" w:space="0"/>
            </w:tcBorders>
            <w:vAlign w:val="center"/>
          </w:tcPr>
          <w:p w14:paraId="632390D9">
            <w:pPr>
              <w:spacing w:line="360" w:lineRule="auto"/>
              <w:ind w:firstLine="120" w:firstLineChars="50"/>
              <w:rPr>
                <w:rFonts w:hint="eastAsia" w:ascii="宋体" w:hAnsi="宋体" w:eastAsia="宋体" w:cs="宋体"/>
                <w:color w:val="000000" w:themeColor="text1"/>
                <w:szCs w:val="21"/>
                <w14:textFill>
                  <w14:solidFill>
                    <w14:schemeClr w14:val="tx1"/>
                  </w14:solidFill>
                </w14:textFill>
              </w:rPr>
            </w:pPr>
          </w:p>
        </w:tc>
        <w:tc>
          <w:tcPr>
            <w:tcW w:w="1064" w:type="dxa"/>
            <w:vMerge w:val="continue"/>
            <w:tcBorders>
              <w:left w:val="single" w:color="auto" w:sz="4" w:space="0"/>
              <w:bottom w:val="single" w:color="auto" w:sz="4" w:space="0"/>
              <w:right w:val="single" w:color="auto" w:sz="4" w:space="0"/>
            </w:tcBorders>
            <w:vAlign w:val="center"/>
          </w:tcPr>
          <w:p w14:paraId="5E320657">
            <w:pPr>
              <w:spacing w:line="360" w:lineRule="auto"/>
              <w:ind w:firstLine="120" w:firstLineChars="50"/>
              <w:jc w:val="center"/>
              <w:rPr>
                <w:rFonts w:hint="eastAsia" w:ascii="宋体" w:hAnsi="宋体" w:eastAsia="宋体" w:cs="宋体"/>
                <w:color w:val="000000" w:themeColor="text1"/>
                <w:szCs w:val="21"/>
                <w14:textFill>
                  <w14:solidFill>
                    <w14:schemeClr w14:val="tx1"/>
                  </w14:solidFill>
                </w14:textFill>
              </w:rPr>
            </w:pPr>
          </w:p>
        </w:tc>
        <w:tc>
          <w:tcPr>
            <w:tcW w:w="888" w:type="dxa"/>
            <w:vMerge w:val="continue"/>
            <w:tcBorders>
              <w:left w:val="single" w:color="auto" w:sz="4" w:space="0"/>
              <w:bottom w:val="single" w:color="auto" w:sz="4" w:space="0"/>
              <w:right w:val="single" w:color="auto" w:sz="4" w:space="0"/>
            </w:tcBorders>
            <w:vAlign w:val="center"/>
          </w:tcPr>
          <w:p w14:paraId="3133F1B1">
            <w:pPr>
              <w:spacing w:line="360" w:lineRule="auto"/>
              <w:ind w:firstLine="240" w:firstLineChars="100"/>
              <w:rPr>
                <w:rFonts w:hint="eastAsia" w:ascii="宋体" w:hAnsi="宋体" w:eastAsia="宋体" w:cs="宋体"/>
                <w:color w:val="000000" w:themeColor="text1"/>
                <w:szCs w:val="21"/>
                <w14:textFill>
                  <w14:solidFill>
                    <w14:schemeClr w14:val="tx1"/>
                  </w14:solidFill>
                </w14:textFill>
              </w:rPr>
            </w:pPr>
          </w:p>
        </w:tc>
        <w:tc>
          <w:tcPr>
            <w:tcW w:w="1036" w:type="dxa"/>
            <w:vMerge w:val="continue"/>
            <w:tcBorders>
              <w:left w:val="single" w:color="auto" w:sz="4" w:space="0"/>
              <w:bottom w:val="single" w:color="auto" w:sz="4" w:space="0"/>
              <w:right w:val="single" w:color="auto" w:sz="4" w:space="0"/>
            </w:tcBorders>
            <w:vAlign w:val="center"/>
          </w:tcPr>
          <w:p w14:paraId="56195790">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486" w:type="dxa"/>
            <w:vMerge w:val="continue"/>
            <w:tcBorders>
              <w:left w:val="single" w:color="auto" w:sz="4" w:space="0"/>
              <w:bottom w:val="single" w:color="auto" w:sz="4" w:space="0"/>
              <w:right w:val="single" w:color="auto" w:sz="4" w:space="0"/>
            </w:tcBorders>
            <w:vAlign w:val="center"/>
          </w:tcPr>
          <w:p w14:paraId="27B195C1">
            <w:pPr>
              <w:spacing w:line="360" w:lineRule="auto"/>
              <w:ind w:firstLine="120" w:firstLineChars="50"/>
              <w:rPr>
                <w:rFonts w:hint="eastAsia" w:ascii="宋体" w:hAnsi="宋体" w:eastAsia="宋体" w:cs="宋体"/>
                <w:color w:val="000000" w:themeColor="text1"/>
                <w:szCs w:val="21"/>
                <w14:textFill>
                  <w14:solidFill>
                    <w14:schemeClr w14:val="tx1"/>
                  </w14:solidFill>
                </w14:textFill>
              </w:rPr>
            </w:pPr>
          </w:p>
        </w:tc>
      </w:tr>
      <w:tr w14:paraId="208D87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14:paraId="2CD678E4">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cs="宋体"/>
                <w:color w:val="000000" w:themeColor="text1"/>
                <w:lang w:val="en-US" w:eastAsia="zh-CN"/>
                <w14:textFill>
                  <w14:solidFill>
                    <w14:schemeClr w14:val="tx1"/>
                  </w14:solidFill>
                </w14:textFill>
              </w:rPr>
              <w:t>.....</w:t>
            </w:r>
          </w:p>
        </w:tc>
        <w:tc>
          <w:tcPr>
            <w:tcW w:w="1372" w:type="dxa"/>
            <w:tcBorders>
              <w:top w:val="single" w:color="auto" w:sz="4" w:space="0"/>
              <w:left w:val="single" w:color="auto" w:sz="4" w:space="0"/>
              <w:bottom w:val="single" w:color="auto" w:sz="4" w:space="0"/>
              <w:right w:val="single" w:color="auto" w:sz="4" w:space="0"/>
            </w:tcBorders>
            <w:vAlign w:val="center"/>
          </w:tcPr>
          <w:p w14:paraId="29EC0353">
            <w:pPr>
              <w:spacing w:line="360" w:lineRule="auto"/>
              <w:jc w:val="center"/>
              <w:rPr>
                <w:rFonts w:hint="eastAsia" w:ascii="宋体" w:hAnsi="宋体" w:eastAsia="宋体" w:cs="宋体"/>
                <w:color w:val="000000" w:themeColor="text1"/>
                <w14:textFill>
                  <w14:solidFill>
                    <w14:schemeClr w14:val="tx1"/>
                  </w14:solidFill>
                </w14:textFill>
              </w:rPr>
            </w:pPr>
          </w:p>
        </w:tc>
        <w:tc>
          <w:tcPr>
            <w:tcW w:w="818" w:type="dxa"/>
            <w:tcBorders>
              <w:top w:val="single" w:color="auto" w:sz="4" w:space="0"/>
              <w:left w:val="single" w:color="auto" w:sz="4" w:space="0"/>
              <w:bottom w:val="single" w:color="auto" w:sz="4" w:space="0"/>
              <w:right w:val="single" w:color="auto" w:sz="4" w:space="0"/>
            </w:tcBorders>
            <w:vAlign w:val="center"/>
          </w:tcPr>
          <w:p w14:paraId="6154AD2A">
            <w:pPr>
              <w:spacing w:line="360" w:lineRule="auto"/>
              <w:jc w:val="center"/>
              <w:rPr>
                <w:rFonts w:hint="eastAsia" w:ascii="宋体" w:hAnsi="宋体" w:eastAsia="宋体" w:cs="宋体"/>
                <w:color w:val="000000" w:themeColor="text1"/>
                <w14:textFill>
                  <w14:solidFill>
                    <w14:schemeClr w14:val="tx1"/>
                  </w14:solidFill>
                </w14:textFill>
              </w:rPr>
            </w:pPr>
          </w:p>
        </w:tc>
        <w:tc>
          <w:tcPr>
            <w:tcW w:w="731" w:type="dxa"/>
            <w:tcBorders>
              <w:top w:val="single" w:color="auto" w:sz="4" w:space="0"/>
              <w:left w:val="single" w:color="auto" w:sz="4" w:space="0"/>
              <w:bottom w:val="single" w:color="auto" w:sz="4" w:space="0"/>
              <w:right w:val="single" w:color="auto" w:sz="4" w:space="0"/>
            </w:tcBorders>
            <w:vAlign w:val="center"/>
          </w:tcPr>
          <w:p w14:paraId="2166FC4F">
            <w:pPr>
              <w:spacing w:line="360" w:lineRule="auto"/>
              <w:jc w:val="center"/>
              <w:rPr>
                <w:rFonts w:hint="eastAsia" w:ascii="宋体" w:hAnsi="宋体" w:eastAsia="宋体" w:cs="宋体"/>
                <w:color w:val="000000" w:themeColor="text1"/>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vAlign w:val="center"/>
          </w:tcPr>
          <w:p w14:paraId="6550C803">
            <w:pPr>
              <w:spacing w:line="360" w:lineRule="auto"/>
              <w:jc w:val="center"/>
              <w:rPr>
                <w:rFonts w:hint="eastAsia" w:ascii="宋体" w:hAnsi="宋体" w:eastAsia="宋体" w:cs="宋体"/>
                <w:color w:val="000000" w:themeColor="text1"/>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vAlign w:val="center"/>
          </w:tcPr>
          <w:p w14:paraId="3F5FFA8E">
            <w:pPr>
              <w:spacing w:line="360" w:lineRule="auto"/>
              <w:jc w:val="center"/>
              <w:rPr>
                <w:rFonts w:hint="eastAsia" w:ascii="宋体" w:hAnsi="宋体" w:eastAsia="宋体" w:cs="宋体"/>
                <w:color w:val="000000" w:themeColor="text1"/>
                <w14:textFill>
                  <w14:solidFill>
                    <w14:schemeClr w14:val="tx1"/>
                  </w14:solidFill>
                </w14:textFill>
              </w:rPr>
            </w:pPr>
          </w:p>
        </w:tc>
        <w:tc>
          <w:tcPr>
            <w:tcW w:w="1036" w:type="dxa"/>
            <w:tcBorders>
              <w:top w:val="single" w:color="auto" w:sz="4" w:space="0"/>
              <w:left w:val="single" w:color="auto" w:sz="4" w:space="0"/>
              <w:bottom w:val="single" w:color="auto" w:sz="4" w:space="0"/>
              <w:right w:val="single" w:color="auto" w:sz="4" w:space="0"/>
            </w:tcBorders>
            <w:vAlign w:val="center"/>
          </w:tcPr>
          <w:p w14:paraId="4538929A">
            <w:pPr>
              <w:spacing w:line="360" w:lineRule="auto"/>
              <w:jc w:val="center"/>
              <w:rPr>
                <w:rFonts w:hint="eastAsia" w:ascii="宋体" w:hAnsi="宋体" w:eastAsia="宋体" w:cs="宋体"/>
                <w:color w:val="000000" w:themeColor="text1"/>
                <w14:textFill>
                  <w14:solidFill>
                    <w14:schemeClr w14:val="tx1"/>
                  </w14:solidFill>
                </w14:textFill>
              </w:rPr>
            </w:pPr>
          </w:p>
        </w:tc>
        <w:tc>
          <w:tcPr>
            <w:tcW w:w="1486" w:type="dxa"/>
            <w:tcBorders>
              <w:top w:val="single" w:color="auto" w:sz="4" w:space="0"/>
              <w:left w:val="single" w:color="auto" w:sz="4" w:space="0"/>
              <w:bottom w:val="single" w:color="auto" w:sz="4" w:space="0"/>
              <w:right w:val="single" w:color="auto" w:sz="4" w:space="0"/>
            </w:tcBorders>
            <w:vAlign w:val="center"/>
          </w:tcPr>
          <w:p w14:paraId="538C2E01">
            <w:pPr>
              <w:spacing w:line="360" w:lineRule="auto"/>
              <w:jc w:val="center"/>
              <w:rPr>
                <w:rFonts w:hint="eastAsia" w:ascii="宋体" w:hAnsi="宋体" w:eastAsia="宋体" w:cs="宋体"/>
                <w:color w:val="000000" w:themeColor="text1"/>
                <w14:textFill>
                  <w14:solidFill>
                    <w14:schemeClr w14:val="tx1"/>
                  </w14:solidFill>
                </w14:textFill>
              </w:rPr>
            </w:pPr>
          </w:p>
        </w:tc>
      </w:tr>
      <w:tr w14:paraId="48E031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14:paraId="0BC066F7">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cs="宋体"/>
                <w:color w:val="000000" w:themeColor="text1"/>
                <w:lang w:val="en-US" w:eastAsia="zh-CN"/>
                <w14:textFill>
                  <w14:solidFill>
                    <w14:schemeClr w14:val="tx1"/>
                  </w14:solidFill>
                </w14:textFill>
              </w:rPr>
              <w:t>.....</w:t>
            </w:r>
          </w:p>
        </w:tc>
        <w:tc>
          <w:tcPr>
            <w:tcW w:w="1372" w:type="dxa"/>
            <w:tcBorders>
              <w:top w:val="single" w:color="auto" w:sz="4" w:space="0"/>
              <w:left w:val="single" w:color="auto" w:sz="4" w:space="0"/>
              <w:bottom w:val="single" w:color="auto" w:sz="4" w:space="0"/>
              <w:right w:val="single" w:color="auto" w:sz="4" w:space="0"/>
            </w:tcBorders>
            <w:vAlign w:val="center"/>
          </w:tcPr>
          <w:p w14:paraId="5D23B8DE">
            <w:pPr>
              <w:spacing w:line="360" w:lineRule="auto"/>
              <w:jc w:val="center"/>
              <w:rPr>
                <w:rFonts w:hint="eastAsia" w:ascii="宋体" w:hAnsi="宋体" w:eastAsia="宋体" w:cs="宋体"/>
                <w:color w:val="000000" w:themeColor="text1"/>
                <w14:textFill>
                  <w14:solidFill>
                    <w14:schemeClr w14:val="tx1"/>
                  </w14:solidFill>
                </w14:textFill>
              </w:rPr>
            </w:pPr>
          </w:p>
        </w:tc>
        <w:tc>
          <w:tcPr>
            <w:tcW w:w="818" w:type="dxa"/>
            <w:tcBorders>
              <w:top w:val="single" w:color="auto" w:sz="4" w:space="0"/>
              <w:left w:val="single" w:color="auto" w:sz="4" w:space="0"/>
              <w:bottom w:val="single" w:color="auto" w:sz="4" w:space="0"/>
              <w:right w:val="single" w:color="auto" w:sz="4" w:space="0"/>
            </w:tcBorders>
            <w:vAlign w:val="center"/>
          </w:tcPr>
          <w:p w14:paraId="59AAAE88">
            <w:pPr>
              <w:spacing w:line="360" w:lineRule="auto"/>
              <w:jc w:val="center"/>
              <w:rPr>
                <w:rFonts w:hint="eastAsia" w:ascii="宋体" w:hAnsi="宋体" w:eastAsia="宋体" w:cs="宋体"/>
                <w:color w:val="000000" w:themeColor="text1"/>
                <w14:textFill>
                  <w14:solidFill>
                    <w14:schemeClr w14:val="tx1"/>
                  </w14:solidFill>
                </w14:textFill>
              </w:rPr>
            </w:pPr>
          </w:p>
        </w:tc>
        <w:tc>
          <w:tcPr>
            <w:tcW w:w="731" w:type="dxa"/>
            <w:tcBorders>
              <w:top w:val="single" w:color="auto" w:sz="4" w:space="0"/>
              <w:left w:val="single" w:color="auto" w:sz="4" w:space="0"/>
              <w:bottom w:val="single" w:color="auto" w:sz="4" w:space="0"/>
              <w:right w:val="single" w:color="auto" w:sz="4" w:space="0"/>
            </w:tcBorders>
            <w:vAlign w:val="center"/>
          </w:tcPr>
          <w:p w14:paraId="0F526D5F">
            <w:pPr>
              <w:spacing w:line="360" w:lineRule="auto"/>
              <w:jc w:val="center"/>
              <w:rPr>
                <w:rFonts w:hint="eastAsia" w:ascii="宋体" w:hAnsi="宋体" w:eastAsia="宋体" w:cs="宋体"/>
                <w:color w:val="000000" w:themeColor="text1"/>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vAlign w:val="center"/>
          </w:tcPr>
          <w:p w14:paraId="075B8D3E">
            <w:pPr>
              <w:spacing w:line="360" w:lineRule="auto"/>
              <w:jc w:val="center"/>
              <w:rPr>
                <w:rFonts w:hint="eastAsia" w:ascii="宋体" w:hAnsi="宋体" w:eastAsia="宋体" w:cs="宋体"/>
                <w:color w:val="000000" w:themeColor="text1"/>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vAlign w:val="center"/>
          </w:tcPr>
          <w:p w14:paraId="28DFF8C1">
            <w:pPr>
              <w:spacing w:line="360" w:lineRule="auto"/>
              <w:jc w:val="center"/>
              <w:rPr>
                <w:rFonts w:hint="eastAsia" w:ascii="宋体" w:hAnsi="宋体" w:eastAsia="宋体" w:cs="宋体"/>
                <w:color w:val="000000" w:themeColor="text1"/>
                <w14:textFill>
                  <w14:solidFill>
                    <w14:schemeClr w14:val="tx1"/>
                  </w14:solidFill>
                </w14:textFill>
              </w:rPr>
            </w:pPr>
          </w:p>
        </w:tc>
        <w:tc>
          <w:tcPr>
            <w:tcW w:w="1036" w:type="dxa"/>
            <w:tcBorders>
              <w:top w:val="single" w:color="auto" w:sz="4" w:space="0"/>
              <w:left w:val="single" w:color="auto" w:sz="4" w:space="0"/>
              <w:bottom w:val="single" w:color="auto" w:sz="4" w:space="0"/>
              <w:right w:val="single" w:color="auto" w:sz="4" w:space="0"/>
            </w:tcBorders>
            <w:vAlign w:val="center"/>
          </w:tcPr>
          <w:p w14:paraId="5647979E">
            <w:pPr>
              <w:spacing w:line="360" w:lineRule="auto"/>
              <w:jc w:val="center"/>
              <w:rPr>
                <w:rFonts w:hint="eastAsia" w:ascii="宋体" w:hAnsi="宋体" w:eastAsia="宋体" w:cs="宋体"/>
                <w:color w:val="000000" w:themeColor="text1"/>
                <w14:textFill>
                  <w14:solidFill>
                    <w14:schemeClr w14:val="tx1"/>
                  </w14:solidFill>
                </w14:textFill>
              </w:rPr>
            </w:pPr>
          </w:p>
        </w:tc>
        <w:tc>
          <w:tcPr>
            <w:tcW w:w="1486" w:type="dxa"/>
            <w:tcBorders>
              <w:top w:val="single" w:color="auto" w:sz="4" w:space="0"/>
              <w:left w:val="single" w:color="auto" w:sz="4" w:space="0"/>
              <w:bottom w:val="single" w:color="auto" w:sz="4" w:space="0"/>
              <w:right w:val="single" w:color="auto" w:sz="4" w:space="0"/>
            </w:tcBorders>
            <w:vAlign w:val="center"/>
          </w:tcPr>
          <w:p w14:paraId="4E3F2FCE">
            <w:pPr>
              <w:spacing w:line="360" w:lineRule="auto"/>
              <w:jc w:val="center"/>
              <w:rPr>
                <w:rFonts w:hint="eastAsia" w:ascii="宋体" w:hAnsi="宋体" w:eastAsia="宋体" w:cs="宋体"/>
                <w:color w:val="000000" w:themeColor="text1"/>
                <w14:textFill>
                  <w14:solidFill>
                    <w14:schemeClr w14:val="tx1"/>
                  </w14:solidFill>
                </w14:textFill>
              </w:rPr>
            </w:pPr>
          </w:p>
        </w:tc>
      </w:tr>
      <w:tr w14:paraId="3AE61E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14:paraId="4018991F">
            <w:pPr>
              <w:spacing w:line="360" w:lineRule="auto"/>
              <w:jc w:val="center"/>
              <w:rPr>
                <w:rFonts w:hint="default" w:ascii="宋体" w:hAnsi="宋体" w:eastAsia="宋体" w:cs="宋体"/>
                <w:color w:val="000000" w:themeColor="text1"/>
                <w:lang w:val="en-US" w:eastAsia="zh-CN"/>
                <w14:textFill>
                  <w14:solidFill>
                    <w14:schemeClr w14:val="tx1"/>
                  </w14:solidFill>
                </w14:textFill>
              </w:rPr>
            </w:pPr>
            <w:r>
              <w:rPr>
                <w:rFonts w:hint="eastAsia" w:cs="宋体"/>
                <w:color w:val="000000" w:themeColor="text1"/>
                <w:lang w:val="en-US" w:eastAsia="zh-CN"/>
                <w14:textFill>
                  <w14:solidFill>
                    <w14:schemeClr w14:val="tx1"/>
                  </w14:solidFill>
                </w14:textFill>
              </w:rPr>
              <w:t>......</w:t>
            </w:r>
          </w:p>
        </w:tc>
        <w:tc>
          <w:tcPr>
            <w:tcW w:w="1372" w:type="dxa"/>
            <w:tcBorders>
              <w:top w:val="single" w:color="auto" w:sz="4" w:space="0"/>
              <w:left w:val="single" w:color="auto" w:sz="4" w:space="0"/>
              <w:bottom w:val="single" w:color="auto" w:sz="4" w:space="0"/>
              <w:right w:val="single" w:color="auto" w:sz="4" w:space="0"/>
            </w:tcBorders>
            <w:vAlign w:val="center"/>
          </w:tcPr>
          <w:p w14:paraId="596125BC">
            <w:pPr>
              <w:spacing w:line="360" w:lineRule="auto"/>
              <w:jc w:val="center"/>
              <w:rPr>
                <w:rFonts w:hint="eastAsia" w:ascii="宋体" w:hAnsi="宋体" w:eastAsia="宋体" w:cs="宋体"/>
                <w:color w:val="000000" w:themeColor="text1"/>
                <w14:textFill>
                  <w14:solidFill>
                    <w14:schemeClr w14:val="tx1"/>
                  </w14:solidFill>
                </w14:textFill>
              </w:rPr>
            </w:pPr>
          </w:p>
        </w:tc>
        <w:tc>
          <w:tcPr>
            <w:tcW w:w="818" w:type="dxa"/>
            <w:tcBorders>
              <w:top w:val="single" w:color="auto" w:sz="4" w:space="0"/>
              <w:left w:val="single" w:color="auto" w:sz="4" w:space="0"/>
              <w:bottom w:val="single" w:color="auto" w:sz="4" w:space="0"/>
              <w:right w:val="single" w:color="auto" w:sz="4" w:space="0"/>
            </w:tcBorders>
            <w:vAlign w:val="center"/>
          </w:tcPr>
          <w:p w14:paraId="15B6ABDF">
            <w:pPr>
              <w:spacing w:line="360" w:lineRule="auto"/>
              <w:jc w:val="center"/>
              <w:rPr>
                <w:rFonts w:hint="eastAsia" w:ascii="宋体" w:hAnsi="宋体" w:eastAsia="宋体" w:cs="宋体"/>
                <w:color w:val="000000" w:themeColor="text1"/>
                <w14:textFill>
                  <w14:solidFill>
                    <w14:schemeClr w14:val="tx1"/>
                  </w14:solidFill>
                </w14:textFill>
              </w:rPr>
            </w:pPr>
          </w:p>
        </w:tc>
        <w:tc>
          <w:tcPr>
            <w:tcW w:w="731" w:type="dxa"/>
            <w:tcBorders>
              <w:top w:val="single" w:color="auto" w:sz="4" w:space="0"/>
              <w:left w:val="single" w:color="auto" w:sz="4" w:space="0"/>
              <w:bottom w:val="single" w:color="auto" w:sz="4" w:space="0"/>
              <w:right w:val="single" w:color="auto" w:sz="4" w:space="0"/>
            </w:tcBorders>
            <w:vAlign w:val="center"/>
          </w:tcPr>
          <w:p w14:paraId="2EBF9968">
            <w:pPr>
              <w:spacing w:line="360" w:lineRule="auto"/>
              <w:jc w:val="center"/>
              <w:rPr>
                <w:rFonts w:hint="eastAsia" w:ascii="宋体" w:hAnsi="宋体" w:eastAsia="宋体" w:cs="宋体"/>
                <w:color w:val="000000" w:themeColor="text1"/>
                <w14:textFill>
                  <w14:solidFill>
                    <w14:schemeClr w14:val="tx1"/>
                  </w14:solidFill>
                </w14:textFill>
              </w:rPr>
            </w:pPr>
          </w:p>
        </w:tc>
        <w:tc>
          <w:tcPr>
            <w:tcW w:w="1064" w:type="dxa"/>
            <w:tcBorders>
              <w:top w:val="single" w:color="auto" w:sz="4" w:space="0"/>
              <w:left w:val="single" w:color="auto" w:sz="4" w:space="0"/>
              <w:bottom w:val="single" w:color="auto" w:sz="4" w:space="0"/>
              <w:right w:val="single" w:color="auto" w:sz="4" w:space="0"/>
            </w:tcBorders>
            <w:vAlign w:val="center"/>
          </w:tcPr>
          <w:p w14:paraId="59C64212">
            <w:pPr>
              <w:spacing w:line="360" w:lineRule="auto"/>
              <w:jc w:val="center"/>
              <w:rPr>
                <w:rFonts w:hint="eastAsia" w:ascii="宋体" w:hAnsi="宋体" w:eastAsia="宋体" w:cs="宋体"/>
                <w:color w:val="000000" w:themeColor="text1"/>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vAlign w:val="center"/>
          </w:tcPr>
          <w:p w14:paraId="79382020">
            <w:pPr>
              <w:spacing w:line="360" w:lineRule="auto"/>
              <w:jc w:val="center"/>
              <w:rPr>
                <w:rFonts w:hint="eastAsia" w:ascii="宋体" w:hAnsi="宋体" w:eastAsia="宋体" w:cs="宋体"/>
                <w:color w:val="000000" w:themeColor="text1"/>
                <w14:textFill>
                  <w14:solidFill>
                    <w14:schemeClr w14:val="tx1"/>
                  </w14:solidFill>
                </w14:textFill>
              </w:rPr>
            </w:pPr>
          </w:p>
        </w:tc>
        <w:tc>
          <w:tcPr>
            <w:tcW w:w="1036" w:type="dxa"/>
            <w:tcBorders>
              <w:top w:val="single" w:color="auto" w:sz="4" w:space="0"/>
              <w:left w:val="single" w:color="auto" w:sz="4" w:space="0"/>
              <w:bottom w:val="single" w:color="auto" w:sz="4" w:space="0"/>
              <w:right w:val="single" w:color="auto" w:sz="4" w:space="0"/>
            </w:tcBorders>
            <w:vAlign w:val="center"/>
          </w:tcPr>
          <w:p w14:paraId="2CB27543">
            <w:pPr>
              <w:spacing w:line="360" w:lineRule="auto"/>
              <w:jc w:val="center"/>
              <w:rPr>
                <w:rFonts w:hint="eastAsia" w:ascii="宋体" w:hAnsi="宋体" w:eastAsia="宋体" w:cs="宋体"/>
                <w:color w:val="000000" w:themeColor="text1"/>
                <w14:textFill>
                  <w14:solidFill>
                    <w14:schemeClr w14:val="tx1"/>
                  </w14:solidFill>
                </w14:textFill>
              </w:rPr>
            </w:pPr>
          </w:p>
        </w:tc>
        <w:tc>
          <w:tcPr>
            <w:tcW w:w="1486" w:type="dxa"/>
            <w:tcBorders>
              <w:top w:val="single" w:color="auto" w:sz="4" w:space="0"/>
              <w:left w:val="single" w:color="auto" w:sz="4" w:space="0"/>
              <w:bottom w:val="single" w:color="auto" w:sz="4" w:space="0"/>
              <w:right w:val="single" w:color="auto" w:sz="4" w:space="0"/>
            </w:tcBorders>
            <w:vAlign w:val="center"/>
          </w:tcPr>
          <w:p w14:paraId="7775ED34">
            <w:pPr>
              <w:spacing w:line="360" w:lineRule="auto"/>
              <w:jc w:val="center"/>
              <w:rPr>
                <w:rFonts w:hint="eastAsia" w:ascii="宋体" w:hAnsi="宋体" w:eastAsia="宋体" w:cs="宋体"/>
                <w:color w:val="000000" w:themeColor="text1"/>
                <w14:textFill>
                  <w14:solidFill>
                    <w14:schemeClr w14:val="tx1"/>
                  </w14:solidFill>
                </w14:textFill>
              </w:rPr>
            </w:pPr>
          </w:p>
        </w:tc>
      </w:tr>
      <w:tr w14:paraId="2BFFD1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14:paraId="7B935C5F">
            <w:pPr>
              <w:spacing w:line="360" w:lineRule="auto"/>
              <w:jc w:val="center"/>
              <w:rPr>
                <w:rFonts w:hint="default" w:cs="宋体"/>
                <w:color w:val="000000" w:themeColor="text1"/>
                <w:lang w:val="en-US" w:eastAsia="zh-CN"/>
                <w14:textFill>
                  <w14:solidFill>
                    <w14:schemeClr w14:val="tx1"/>
                  </w14:solidFill>
                </w14:textFill>
              </w:rPr>
            </w:pPr>
            <w:r>
              <w:rPr>
                <w:rFonts w:hint="eastAsia" w:cs="宋体"/>
                <w:color w:val="000000" w:themeColor="text1"/>
                <w:lang w:val="en-US" w:eastAsia="zh-CN"/>
                <w14:textFill>
                  <w14:solidFill>
                    <w14:schemeClr w14:val="tx1"/>
                  </w14:solidFill>
                </w14:textFill>
              </w:rPr>
              <w:t>合计金额</w:t>
            </w:r>
          </w:p>
        </w:tc>
        <w:tc>
          <w:tcPr>
            <w:tcW w:w="7395" w:type="dxa"/>
            <w:gridSpan w:val="7"/>
            <w:tcBorders>
              <w:top w:val="single" w:color="auto" w:sz="4" w:space="0"/>
              <w:left w:val="single" w:color="auto" w:sz="4" w:space="0"/>
              <w:bottom w:val="single" w:color="auto" w:sz="4" w:space="0"/>
              <w:right w:val="single" w:color="auto" w:sz="4" w:space="0"/>
            </w:tcBorders>
            <w:vAlign w:val="center"/>
          </w:tcPr>
          <w:p w14:paraId="14F1CDD9">
            <w:pPr>
              <w:spacing w:line="360" w:lineRule="auto"/>
              <w:jc w:val="center"/>
              <w:rPr>
                <w:rFonts w:hint="eastAsia" w:ascii="宋体" w:hAnsi="宋体" w:eastAsia="宋体" w:cs="宋体"/>
                <w:color w:val="000000" w:themeColor="text1"/>
                <w14:textFill>
                  <w14:solidFill>
                    <w14:schemeClr w14:val="tx1"/>
                  </w14:solidFill>
                </w14:textFill>
              </w:rPr>
            </w:pPr>
          </w:p>
        </w:tc>
      </w:tr>
    </w:tbl>
    <w:p w14:paraId="5C34FEBA">
      <w:pPr>
        <w:spacing w:line="360" w:lineRule="auto"/>
        <w:rPr>
          <w:rFonts w:hint="eastAsia" w:ascii="宋体" w:hAnsi="宋体" w:eastAsia="宋体" w:cs="宋体"/>
          <w:b/>
          <w:color w:val="000000" w:themeColor="text1"/>
          <w14:textFill>
            <w14:solidFill>
              <w14:schemeClr w14:val="tx1"/>
            </w14:solidFill>
          </w14:textFill>
        </w:rPr>
      </w:pPr>
    </w:p>
    <w:p w14:paraId="258F931F">
      <w:pPr>
        <w:spacing w:line="360" w:lineRule="auto"/>
        <w:rPr>
          <w:rFonts w:hint="eastAsia" w:ascii="宋体" w:hAnsi="宋体" w:eastAsia="宋体" w:cs="宋体"/>
          <w:b/>
          <w:color w:val="000000" w:themeColor="text1"/>
          <w14:textFill>
            <w14:solidFill>
              <w14:schemeClr w14:val="tx1"/>
            </w14:solidFill>
          </w14:textFill>
        </w:rPr>
      </w:pPr>
    </w:p>
    <w:p w14:paraId="54667304">
      <w:pPr>
        <w:spacing w:line="360" w:lineRule="auto"/>
        <w:ind w:firstLine="482" w:firstLineChars="200"/>
        <w:rPr>
          <w:rFonts w:hint="eastAsia" w:ascii="宋体" w:hAnsi="宋体" w:eastAsia="宋体" w:cs="宋体"/>
          <w:b/>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第二条  </w:t>
      </w:r>
      <w:r>
        <w:rPr>
          <w:rFonts w:hint="eastAsia" w:ascii="宋体" w:hAnsi="宋体" w:eastAsia="宋体" w:cs="宋体"/>
          <w:b/>
          <w:color w:val="000000" w:themeColor="text1"/>
          <w14:textFill>
            <w14:solidFill>
              <w14:schemeClr w14:val="tx1"/>
            </w14:solidFill>
          </w14:textFill>
        </w:rPr>
        <w:t>合同总价</w:t>
      </w:r>
    </w:p>
    <w:p w14:paraId="4EE37ACA">
      <w:pPr>
        <w:spacing w:line="360" w:lineRule="auto"/>
        <w:ind w:firstLine="480" w:firstLineChars="200"/>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合同总价为人民币大写：</w:t>
      </w:r>
      <w:r>
        <w:rPr>
          <w:rFonts w:hint="eastAsia" w:ascii="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XXX</w:t>
      </w:r>
      <w:r>
        <w:rPr>
          <w:rFonts w:hint="eastAsia" w:ascii="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元，即RMB￥</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cs="宋体"/>
          <w:color w:val="000000" w:themeColor="text1"/>
          <w:u w:val="single"/>
          <w:lang w:val="en-US" w:eastAsia="zh-CN"/>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元</w:t>
      </w:r>
      <w:r>
        <w:rPr>
          <w:rFonts w:hint="eastAsia" w:cs="宋体"/>
          <w:color w:val="000000" w:themeColor="text1"/>
          <w:lang w:eastAsia="zh-CN"/>
          <w14:textFill>
            <w14:solidFill>
              <w14:schemeClr w14:val="tx1"/>
            </w14:solidFill>
          </w14:textFill>
        </w:rPr>
        <w:t>。</w:t>
      </w:r>
      <w:r>
        <w:rPr>
          <w:rFonts w:hint="eastAsia"/>
          <w:color w:val="000000" w:themeColor="text1"/>
          <w:kern w:val="0"/>
          <w:sz w:val="24"/>
          <w:szCs w:val="24"/>
          <w:highlight w:val="none"/>
          <w:lang w:val="en-US" w:eastAsia="zh-CN"/>
          <w14:textFill>
            <w14:solidFill>
              <w14:schemeClr w14:val="tx1"/>
            </w14:solidFill>
          </w14:textFill>
        </w:rPr>
        <w:t>乙方的报价包含了完成本项目所涉及的软硬件成本及</w:t>
      </w:r>
      <w:r>
        <w:rPr>
          <w:rFonts w:hint="eastAsia" w:ascii="宋体" w:hAnsi="宋体" w:cs="宋体"/>
          <w:color w:val="000000" w:themeColor="text1"/>
          <w:sz w:val="24"/>
          <w:highlight w:val="none"/>
          <w:lang w:val="en-US" w:eastAsia="zh-CN"/>
          <w14:textFill>
            <w14:solidFill>
              <w14:schemeClr w14:val="tx1"/>
            </w14:solidFill>
          </w14:textFill>
        </w:rPr>
        <w:t>运输</w:t>
      </w:r>
      <w:r>
        <w:rPr>
          <w:rFonts w:hint="eastAsia" w:cs="宋体"/>
          <w:color w:val="000000" w:themeColor="text1"/>
          <w:highlight w:val="none"/>
          <w:lang w:eastAsia="zh-CN"/>
          <w14:textFill>
            <w14:solidFill>
              <w14:schemeClr w14:val="tx1"/>
            </w14:solidFill>
          </w14:textFill>
        </w:rPr>
        <w:t>，</w:t>
      </w:r>
      <w:r>
        <w:rPr>
          <w:rFonts w:hint="eastAsia" w:cs="宋体"/>
          <w:color w:val="000000" w:themeColor="text1"/>
          <w:highlight w:val="none"/>
          <w:lang w:val="en-US" w:eastAsia="zh-CN"/>
          <w14:textFill>
            <w14:solidFill>
              <w14:schemeClr w14:val="tx1"/>
            </w14:solidFill>
          </w14:textFill>
        </w:rPr>
        <w:t>所需的线缆、辅材、</w:t>
      </w:r>
      <w:r>
        <w:rPr>
          <w:rFonts w:hint="eastAsia" w:ascii="宋体" w:hAnsi="宋体" w:eastAsia="宋体" w:cs="宋体"/>
          <w:color w:val="000000" w:themeColor="text1"/>
          <w:highlight w:val="none"/>
          <w14:textFill>
            <w14:solidFill>
              <w14:schemeClr w14:val="tx1"/>
            </w14:solidFill>
          </w14:textFill>
        </w:rPr>
        <w:t>安装、调试、培</w:t>
      </w:r>
      <w:r>
        <w:rPr>
          <w:rFonts w:hint="eastAsia" w:ascii="宋体" w:hAnsi="宋体" w:eastAsia="宋体" w:cs="宋体"/>
          <w:color w:val="000000"/>
          <w:highlight w:val="none"/>
        </w:rPr>
        <w:t>训、</w:t>
      </w:r>
      <w:r>
        <w:rPr>
          <w:rFonts w:hint="eastAsia" w:cs="宋体"/>
          <w:color w:val="000000"/>
          <w:highlight w:val="none"/>
          <w:lang w:val="en-US" w:eastAsia="zh-CN"/>
        </w:rPr>
        <w:t>拟派人员工资</w:t>
      </w:r>
      <w:r>
        <w:rPr>
          <w:rFonts w:hint="eastAsia" w:ascii="宋体" w:hAnsi="宋体" w:eastAsia="宋体" w:cs="宋体"/>
          <w:color w:val="000000"/>
          <w:lang w:val="zh-CN"/>
        </w:rPr>
        <w:t>、利润、税金</w:t>
      </w:r>
      <w:r>
        <w:rPr>
          <w:rFonts w:hint="eastAsia"/>
          <w:color w:val="000000" w:themeColor="text1"/>
          <w:kern w:val="0"/>
          <w:sz w:val="24"/>
          <w:szCs w:val="24"/>
          <w:highlight w:val="none"/>
          <w:lang w:val="en-US" w:eastAsia="zh-CN"/>
          <w14:textFill>
            <w14:solidFill>
              <w14:schemeClr w14:val="tx1"/>
            </w14:solidFill>
          </w14:textFill>
        </w:rPr>
        <w:t>等相关的一切费用，甲方不再另行支付其他费用。</w:t>
      </w:r>
    </w:p>
    <w:p w14:paraId="6FE9368E">
      <w:pPr>
        <w:numPr>
          <w:ilvl w:val="0"/>
          <w:numId w:val="0"/>
        </w:numPr>
        <w:tabs>
          <w:tab w:val="clear" w:pos="0"/>
        </w:tabs>
        <w:spacing w:line="360" w:lineRule="auto"/>
        <w:ind w:left="0" w:leftChars="0" w:firstLine="482" w:firstLineChars="200"/>
        <w:rPr>
          <w:rFonts w:hint="eastAsia" w:ascii="宋体" w:hAnsi="宋体" w:eastAsia="宋体" w:cs="宋体"/>
          <w:b/>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第三条  </w:t>
      </w:r>
      <w:r>
        <w:rPr>
          <w:rFonts w:hint="eastAsia" w:ascii="宋体" w:hAnsi="宋体" w:eastAsia="宋体" w:cs="宋体"/>
          <w:b/>
          <w:color w:val="000000" w:themeColor="text1"/>
          <w14:textFill>
            <w14:solidFill>
              <w14:schemeClr w14:val="tx1"/>
            </w14:solidFill>
          </w14:textFill>
        </w:rPr>
        <w:t>质量要求</w:t>
      </w:r>
      <w:r>
        <w:rPr>
          <w:rFonts w:hint="eastAsia" w:ascii="宋体" w:hAnsi="宋体" w:eastAsia="宋体" w:cs="宋体"/>
          <w:b/>
          <w:color w:val="000000" w:themeColor="text1"/>
          <w14:textFill>
            <w14:solidFill>
              <w14:schemeClr w14:val="tx1"/>
            </w14:solidFill>
          </w14:textFill>
        </w:rPr>
        <w:tab/>
      </w:r>
    </w:p>
    <w:p w14:paraId="1FFFDCAB">
      <w:pPr>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s="宋体"/>
          <w:color w:val="000000" w:themeColor="text1"/>
          <w:highlight w:val="none"/>
          <w:lang w:val="en-US" w:eastAsia="zh-CN"/>
          <w14:textFill>
            <w14:solidFill>
              <w14:schemeClr w14:val="tx1"/>
            </w14:solidFill>
          </w14:textFill>
        </w:rPr>
        <w:t>乙方</w:t>
      </w:r>
      <w:r>
        <w:rPr>
          <w:rFonts w:hint="eastAsia" w:ascii="宋体" w:hAnsi="宋体" w:eastAsia="宋体" w:cs="宋体"/>
          <w:color w:val="000000" w:themeColor="text1"/>
          <w:highlight w:val="none"/>
          <w14:textFill>
            <w14:solidFill>
              <w14:schemeClr w14:val="tx1"/>
            </w14:solidFill>
          </w14:textFill>
        </w:rPr>
        <w:t>提供的产品是经检验合格的全新正品（含零部件、配件、使用说明书等），表面无划伤、无碰撞痕迹，不得以次充好，产品来源渠道必须合法以及符合本项目</w:t>
      </w:r>
      <w:r>
        <w:rPr>
          <w:rFonts w:hint="eastAsia" w:cs="宋体"/>
          <w:color w:val="000000" w:themeColor="text1"/>
          <w:highlight w:val="none"/>
          <w:lang w:val="en-US" w:eastAsia="zh-CN"/>
          <w14:textFill>
            <w14:solidFill>
              <w14:schemeClr w14:val="tx1"/>
            </w14:solidFill>
          </w14:textFill>
        </w:rPr>
        <w:t>招标</w:t>
      </w:r>
      <w:r>
        <w:rPr>
          <w:rFonts w:hint="eastAsia" w:ascii="宋体" w:hAnsi="宋体" w:eastAsia="宋体" w:cs="宋体"/>
          <w:color w:val="000000" w:themeColor="text1"/>
          <w:highlight w:val="none"/>
          <w14:textFill>
            <w14:solidFill>
              <w14:schemeClr w14:val="tx1"/>
            </w14:solidFill>
          </w14:textFill>
        </w:rPr>
        <w:t>文件及技术协议的质量要求和技术指标与出厂标准。</w:t>
      </w:r>
    </w:p>
    <w:p w14:paraId="45DAF127">
      <w:pPr>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提供的产品</w:t>
      </w:r>
      <w:r>
        <w:rPr>
          <w:rFonts w:hint="eastAsia" w:ascii="宋体" w:hAnsi="宋体" w:eastAsia="宋体" w:cs="宋体"/>
          <w:color w:val="000000" w:themeColor="text1"/>
          <w:highlight w:val="none"/>
          <w14:textFill>
            <w14:solidFill>
              <w14:schemeClr w14:val="tx1"/>
            </w14:solidFill>
          </w14:textFill>
        </w:rPr>
        <w:t>符合或优于国家标准</w:t>
      </w:r>
      <w:r>
        <w:rPr>
          <w:rFonts w:hint="eastAsia" w:cs="宋体"/>
          <w:color w:val="000000" w:themeColor="text1"/>
          <w:highlight w:val="none"/>
          <w:lang w:eastAsia="zh-CN"/>
          <w14:textFill>
            <w14:solidFill>
              <w14:schemeClr w14:val="tx1"/>
            </w14:solidFill>
          </w14:textFill>
        </w:rPr>
        <w:t>、</w:t>
      </w:r>
      <w:r>
        <w:rPr>
          <w:rFonts w:hint="eastAsia" w:cs="宋体"/>
          <w:color w:val="000000" w:themeColor="text1"/>
          <w:highlight w:val="none"/>
          <w:lang w:val="en-US" w:eastAsia="zh-CN"/>
          <w14:textFill>
            <w14:solidFill>
              <w14:schemeClr w14:val="tx1"/>
            </w14:solidFill>
          </w14:textFill>
        </w:rPr>
        <w:t>行业标准、地方标准等标准、规范</w:t>
      </w:r>
      <w:r>
        <w:rPr>
          <w:rFonts w:hint="eastAsia" w:ascii="宋体" w:hAnsi="宋体" w:eastAsia="宋体" w:cs="宋体"/>
          <w:color w:val="000000" w:themeColor="text1"/>
          <w:highlight w:val="none"/>
          <w14:textFill>
            <w14:solidFill>
              <w14:schemeClr w14:val="tx1"/>
            </w14:solidFill>
          </w14:textFill>
        </w:rPr>
        <w:t>，且权属清楚、不得损害第三方的专利权、商标权或著作权。</w:t>
      </w:r>
    </w:p>
    <w:p w14:paraId="033BD443">
      <w:pPr>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、货物制造或运输途中导致出现的质量问题，</w:t>
      </w:r>
      <w:r>
        <w:rPr>
          <w:rFonts w:hint="eastAsia" w:cs="宋体"/>
          <w:color w:val="000000" w:themeColor="text1"/>
          <w:highlight w:val="none"/>
          <w:lang w:val="en-US" w:eastAsia="zh-CN"/>
          <w14:textFill>
            <w14:solidFill>
              <w14:schemeClr w14:val="tx1"/>
            </w14:solidFill>
          </w14:textFill>
        </w:rPr>
        <w:t>乙方</w:t>
      </w:r>
      <w:r>
        <w:rPr>
          <w:rFonts w:hint="eastAsia" w:ascii="宋体" w:hAnsi="宋体" w:eastAsia="宋体" w:cs="宋体"/>
          <w:color w:val="000000" w:themeColor="text1"/>
          <w:highlight w:val="none"/>
          <w14:textFill>
            <w14:solidFill>
              <w14:schemeClr w14:val="tx1"/>
            </w14:solidFill>
          </w14:textFill>
        </w:rPr>
        <w:t>负责包修、包退、包换，产生的费用由</w:t>
      </w:r>
      <w:r>
        <w:rPr>
          <w:rFonts w:hint="eastAsia" w:cs="宋体"/>
          <w:color w:val="000000" w:themeColor="text1"/>
          <w:highlight w:val="none"/>
          <w:lang w:val="en-US" w:eastAsia="zh-CN"/>
          <w14:textFill>
            <w14:solidFill>
              <w14:schemeClr w14:val="tx1"/>
            </w14:solidFill>
          </w14:textFill>
        </w:rPr>
        <w:t>乙方</w:t>
      </w:r>
      <w:r>
        <w:rPr>
          <w:rFonts w:hint="eastAsia" w:ascii="宋体" w:hAnsi="宋体" w:eastAsia="宋体" w:cs="宋体"/>
          <w:color w:val="000000" w:themeColor="text1"/>
          <w:highlight w:val="none"/>
          <w14:textFill>
            <w14:solidFill>
              <w14:schemeClr w14:val="tx1"/>
            </w14:solidFill>
          </w14:textFill>
        </w:rPr>
        <w:t>一律承担。</w:t>
      </w:r>
    </w:p>
    <w:p w14:paraId="267E34B4">
      <w:pPr>
        <w:pStyle w:val="6"/>
        <w:spacing w:line="360" w:lineRule="auto"/>
        <w:ind w:firstLine="480"/>
        <w:rPr>
          <w:rFonts w:hint="eastAsia" w:ascii="宋体" w:hAnsi="宋体" w:eastAsia="宋体" w:cs="宋体"/>
          <w:color w:val="000000" w:themeColor="text1"/>
          <w:highlight w:val="none"/>
          <w14:textFill>
            <w14:solidFill>
              <w14:schemeClr w14:val="tx1"/>
            </w14:solidFill>
          </w14:textFill>
        </w:rPr>
      </w:pPr>
      <w:r>
        <w:rPr>
          <w:rFonts w:hint="eastAsia" w:ascii="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、货物到达现场后由于</w:t>
      </w:r>
      <w:r>
        <w:rPr>
          <w:rFonts w:hint="eastAsia" w:ascii="宋体" w:cs="宋体"/>
          <w:color w:val="000000" w:themeColor="text1"/>
          <w:highlight w:val="none"/>
          <w:lang w:val="en-US" w:eastAsia="zh-CN"/>
          <w14:textFill>
            <w14:solidFill>
              <w14:schemeClr w14:val="tx1"/>
            </w14:solidFill>
          </w14:textFill>
        </w:rPr>
        <w:t>甲方</w:t>
      </w:r>
      <w:r>
        <w:rPr>
          <w:rFonts w:hint="eastAsia" w:ascii="宋体" w:hAnsi="宋体" w:eastAsia="宋体" w:cs="宋体"/>
          <w:color w:val="000000" w:themeColor="text1"/>
          <w:highlight w:val="none"/>
          <w14:textFill>
            <w14:solidFill>
              <w14:schemeClr w14:val="tx1"/>
            </w14:solidFill>
          </w14:textFill>
        </w:rPr>
        <w:t>保管不当造成的损坏，</w:t>
      </w:r>
      <w:r>
        <w:rPr>
          <w:rFonts w:hint="eastAsia" w:cs="宋体"/>
          <w:color w:val="000000" w:themeColor="text1"/>
          <w:highlight w:val="none"/>
          <w:lang w:val="en-US" w:eastAsia="zh-CN"/>
          <w14:textFill>
            <w14:solidFill>
              <w14:schemeClr w14:val="tx1"/>
            </w14:solidFill>
          </w14:textFill>
        </w:rPr>
        <w:t>乙方</w:t>
      </w:r>
      <w:r>
        <w:rPr>
          <w:rFonts w:hint="eastAsia" w:ascii="宋体" w:hAnsi="宋体" w:eastAsia="宋体" w:cs="宋体"/>
          <w:color w:val="000000" w:themeColor="text1"/>
          <w:highlight w:val="none"/>
          <w14:textFill>
            <w14:solidFill>
              <w14:schemeClr w14:val="tx1"/>
            </w14:solidFill>
          </w14:textFill>
        </w:rPr>
        <w:t>负责维修，收取合理的费用。</w:t>
      </w:r>
    </w:p>
    <w:p w14:paraId="5D608B3E">
      <w:pPr>
        <w:pStyle w:val="7"/>
        <w:ind w:left="0" w:leftChars="0" w:firstLine="480" w:firstLineChars="200"/>
        <w:rPr>
          <w:rFonts w:hint="eastAsia"/>
        </w:rPr>
      </w:pPr>
      <w:r>
        <w:rPr>
          <w:rFonts w:hint="eastAsia" w:cs="宋体"/>
          <w:color w:val="000000" w:themeColor="text1"/>
          <w:kern w:val="0"/>
          <w:sz w:val="24"/>
          <w:szCs w:val="24"/>
          <w:highlight w:val="none"/>
          <w:lang w:val="en-US" w:eastAsia="zh-CN"/>
          <w14:textFill>
            <w14:solidFill>
              <w14:schemeClr w14:val="tx1"/>
            </w14:solidFill>
          </w14:textFill>
        </w:rPr>
        <w:t>5、应保证</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全部货物各种部件齐备、充足供应，若因产品升级更新等原因造成</w:t>
      </w:r>
      <w:r>
        <w:rPr>
          <w:rFonts w:hint="eastAsia" w:cs="宋体"/>
          <w:color w:val="000000" w:themeColor="text1"/>
          <w:kern w:val="0"/>
          <w:sz w:val="24"/>
          <w:szCs w:val="24"/>
          <w:highlight w:val="none"/>
          <w:lang w:val="en-US" w:eastAsia="zh-CN"/>
          <w14:textFill>
            <w14:solidFill>
              <w14:schemeClr w14:val="tx1"/>
            </w14:solidFill>
          </w14:textFill>
        </w:rPr>
        <w:t>甲方不能正常使用的</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r>
        <w:rPr>
          <w:rFonts w:hint="eastAsia" w:cs="宋体"/>
          <w:color w:val="000000" w:themeColor="text1"/>
          <w:kern w:val="0"/>
          <w:sz w:val="24"/>
          <w:szCs w:val="24"/>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承担全部赔偿责任，在交货时需向</w:t>
      </w:r>
      <w:r>
        <w:rPr>
          <w:rFonts w:hint="eastAsia" w:cs="宋体"/>
          <w:color w:val="000000" w:themeColor="text1"/>
          <w:kern w:val="0"/>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提供货物常规备品备件。</w:t>
      </w:r>
    </w:p>
    <w:p w14:paraId="198806C3">
      <w:pPr>
        <w:spacing w:line="360" w:lineRule="auto"/>
        <w:ind w:firstLine="482" w:firstLineChars="200"/>
        <w:rPr>
          <w:rFonts w:hint="eastAsia" w:cs="宋体"/>
          <w:b/>
          <w:color w:val="000000" w:themeColor="text1"/>
          <w:lang w:val="en-US" w:eastAsia="zh-CN"/>
          <w14:textFill>
            <w14:solidFill>
              <w14:schemeClr w14:val="tx1"/>
            </w14:solidFill>
          </w14:textFill>
        </w:rPr>
      </w:pPr>
      <w:r>
        <w:rPr>
          <w:rFonts w:hint="eastAsia" w:cs="宋体"/>
          <w:b/>
          <w:color w:val="000000" w:themeColor="text1"/>
          <w:lang w:val="en-US" w:eastAsia="zh-CN"/>
          <w14:textFill>
            <w14:solidFill>
              <w14:schemeClr w14:val="tx1"/>
            </w14:solidFill>
          </w14:textFill>
        </w:rPr>
        <w:t>第四条  履约时间、地点及付款方式</w:t>
      </w:r>
    </w:p>
    <w:p w14:paraId="1980468F">
      <w:pPr>
        <w:spacing w:line="360" w:lineRule="auto"/>
        <w:ind w:firstLine="480" w:firstLineChars="200"/>
        <w:rPr>
          <w:rFonts w:hint="default"/>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1、履约时间：合同签订之日起60日内。</w:t>
      </w:r>
    </w:p>
    <w:p w14:paraId="303ACD6A">
      <w:pPr>
        <w:spacing w:line="360" w:lineRule="auto"/>
        <w:ind w:firstLine="480" w:firstLineChars="200"/>
        <w:rPr>
          <w:rFonts w:hint="eastAsia" w:eastAsia="宋体"/>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2、履约地点：雅安市名山区人民法院。</w:t>
      </w:r>
    </w:p>
    <w:p w14:paraId="6F88E999">
      <w:pPr>
        <w:spacing w:line="360" w:lineRule="auto"/>
        <w:ind w:firstLine="480" w:firstLineChars="200"/>
        <w:rPr>
          <w:rFonts w:hint="default"/>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3、支付方式：分期付款。</w:t>
      </w:r>
    </w:p>
    <w:p w14:paraId="552517C1">
      <w:pPr>
        <w:spacing w:line="360" w:lineRule="auto"/>
        <w:ind w:firstLine="480" w:firstLineChars="200"/>
        <w:rPr>
          <w:rFonts w:hint="eastAsia"/>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4、付款方式：</w:t>
      </w:r>
    </w:p>
    <w:p w14:paraId="623B149D">
      <w:pPr>
        <w:spacing w:line="360" w:lineRule="auto"/>
        <w:ind w:firstLine="480" w:firstLineChars="200"/>
        <w:rPr>
          <w:rFonts w:hint="eastAsia"/>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（1）政府采购合同签订生效后，达到付款条件起5日内，支付合同总金额的40%；</w:t>
      </w:r>
    </w:p>
    <w:p w14:paraId="63ACB308">
      <w:pPr>
        <w:spacing w:line="360" w:lineRule="auto"/>
        <w:ind w:firstLine="480" w:firstLineChars="200"/>
        <w:rPr>
          <w:rFonts w:hint="eastAsia"/>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（2）验收合格后，达到付款条件起10日内，支付合同总金额的60%。</w:t>
      </w:r>
    </w:p>
    <w:p w14:paraId="75B5C154">
      <w:pPr>
        <w:spacing w:line="360" w:lineRule="auto"/>
        <w:ind w:firstLine="480" w:firstLineChars="200"/>
        <w:rPr>
          <w:rFonts w:hint="eastAsia"/>
          <w:color w:val="000000" w:themeColor="text1"/>
          <w:kern w:val="0"/>
          <w:sz w:val="24"/>
          <w:szCs w:val="24"/>
          <w:highlight w:val="none"/>
          <w:lang w:val="en-US" w:eastAsia="zh-CN"/>
          <w14:textFill>
            <w14:solidFill>
              <w14:schemeClr w14:val="tx1"/>
            </w14:solidFill>
          </w14:textFill>
        </w:rPr>
      </w:pPr>
      <w:r>
        <w:rPr>
          <w:rFonts w:hint="eastAsia"/>
          <w:color w:val="000000" w:themeColor="text1"/>
          <w:kern w:val="0"/>
          <w:sz w:val="24"/>
          <w:szCs w:val="24"/>
          <w:highlight w:val="none"/>
          <w:lang w:val="en-US" w:eastAsia="zh-CN"/>
          <w14:textFill>
            <w14:solidFill>
              <w14:schemeClr w14:val="tx1"/>
            </w14:solidFill>
          </w14:textFill>
        </w:rPr>
        <w:t>注：</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每次付款前，</w:t>
      </w:r>
      <w:r>
        <w:rPr>
          <w:rFonts w:hint="eastAsia" w:cs="宋体"/>
          <w:color w:val="000000" w:themeColor="text1"/>
          <w:kern w:val="0"/>
          <w:sz w:val="24"/>
          <w:szCs w:val="24"/>
          <w:highlight w:val="none"/>
          <w:lang w:val="en-US" w:eastAsia="zh-CN"/>
          <w14:textFill>
            <w14:solidFill>
              <w14:schemeClr w14:val="tx1"/>
            </w14:solidFill>
          </w14:textFill>
        </w:rPr>
        <w:t>乙方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应向</w:t>
      </w:r>
      <w:r>
        <w:rPr>
          <w:rFonts w:hint="eastAsia" w:cs="宋体"/>
          <w:color w:val="000000" w:themeColor="text1"/>
          <w:kern w:val="0"/>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出具</w:t>
      </w:r>
      <w:r>
        <w:rPr>
          <w:rFonts w:hint="eastAsia" w:cs="宋体"/>
          <w:color w:val="000000" w:themeColor="text1"/>
          <w:kern w:val="0"/>
          <w:sz w:val="24"/>
          <w:szCs w:val="24"/>
          <w:highlight w:val="none"/>
          <w:lang w:val="en-US" w:eastAsia="zh-CN"/>
          <w14:textFill>
            <w14:solidFill>
              <w14:schemeClr w14:val="tx1"/>
            </w14:solidFill>
          </w14:textFill>
        </w:rPr>
        <w:t>相应金额</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合法有效完整的增值税发票及凭证资料进行支付结算；如未按照前述要求提供资料导致逾期付款的，不视为</w:t>
      </w:r>
      <w:r>
        <w:rPr>
          <w:rFonts w:hint="eastAsia" w:cs="宋体"/>
          <w:color w:val="000000" w:themeColor="text1"/>
          <w:kern w:val="0"/>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违约，</w:t>
      </w:r>
      <w:r>
        <w:rPr>
          <w:rFonts w:hint="eastAsia" w:cs="宋体"/>
          <w:color w:val="000000" w:themeColor="text1"/>
          <w:kern w:val="0"/>
          <w:sz w:val="24"/>
          <w:szCs w:val="24"/>
          <w:highlight w:val="none"/>
          <w:lang w:val="en-US" w:eastAsia="zh-CN"/>
          <w14:textFill>
            <w14:solidFill>
              <w14:schemeClr w14:val="tx1"/>
            </w14:solidFill>
          </w14:textFill>
        </w:rPr>
        <w:t>甲方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不承担任何责任。</w:t>
      </w:r>
    </w:p>
    <w:p w14:paraId="4CE79A96">
      <w:pPr>
        <w:spacing w:line="360" w:lineRule="auto"/>
        <w:ind w:firstLine="482" w:firstLineChars="200"/>
        <w:rPr>
          <w:rFonts w:cs="宋体"/>
          <w:b/>
          <w:bCs/>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第五条  </w:t>
      </w:r>
      <w:r>
        <w:rPr>
          <w:rFonts w:hint="eastAsia" w:cs="宋体"/>
          <w:b/>
          <w:bCs/>
          <w:color w:val="000000" w:themeColor="text1"/>
          <w14:textFill>
            <w14:solidFill>
              <w14:schemeClr w14:val="tx1"/>
            </w14:solidFill>
          </w14:textFill>
        </w:rPr>
        <w:t>知识产权</w:t>
      </w:r>
    </w:p>
    <w:p w14:paraId="6D84512E">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一）乙方应保证在本项目中使用的任何技术、产品和服务（包括部分使用），不会产生因第三方提出侵犯其专利权、商标权或其它知识产权而引起的法律和经济纠纷，如存在前述情形，由乙方承担所有相关责任。甲方享有本项目实施过程中产生的知识成果及知识产权。 </w:t>
      </w:r>
    </w:p>
    <w:p w14:paraId="669520F3">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二）乙方将在采购项目实施过程中采用自有或者第三方知识成果的，使用该知识成果后，乙方需提供开发接口和开发手册等技术资料，并承诺提供无限期支持，甲方享有使用权（含甲方委托第三方在该项目后续开发的使用权）。 </w:t>
      </w:r>
    </w:p>
    <w:p w14:paraId="7620BB34">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（三）如采用乙方所不拥有的知识产权，则在报价中已包括合法使用该知识产权的相关费用。</w:t>
      </w:r>
    </w:p>
    <w:p w14:paraId="4673D3BF">
      <w:pPr>
        <w:spacing w:line="360" w:lineRule="auto"/>
        <w:ind w:firstLine="482" w:firstLineChars="200"/>
        <w:rPr>
          <w:rFonts w:cs="宋体"/>
          <w:b/>
          <w:bCs/>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第六条  </w:t>
      </w:r>
      <w:r>
        <w:rPr>
          <w:rFonts w:hint="eastAsia" w:cs="宋体"/>
          <w:b/>
          <w:bCs/>
          <w:color w:val="000000" w:themeColor="text1"/>
          <w14:textFill>
            <w14:solidFill>
              <w14:schemeClr w14:val="tx1"/>
            </w14:solidFill>
          </w14:textFill>
        </w:rPr>
        <w:t>无产权瑕疵条款</w:t>
      </w:r>
    </w:p>
    <w:p w14:paraId="7F6386AA">
      <w:pPr>
        <w:spacing w:line="360" w:lineRule="auto"/>
        <w:ind w:firstLine="480" w:firstLineChars="200"/>
        <w:rPr>
          <w:rFonts w:cs="宋体"/>
          <w:b/>
          <w:bCs/>
          <w:color w:val="000000" w:themeColor="text1"/>
          <w14:textFill>
            <w14:solidFill>
              <w14:schemeClr w14:val="tx1"/>
            </w14:solidFill>
          </w14:textFill>
        </w:rPr>
      </w:pPr>
      <w:r>
        <w:rPr>
          <w:rFonts w:hint="eastAsia" w:cs="宋体"/>
          <w:color w:val="000000" w:themeColor="text1"/>
          <w14:textFill>
            <w14:solidFill>
              <w14:schemeClr w14:val="tx1"/>
            </w14:solidFill>
          </w14:textFill>
        </w:rPr>
        <w:t>乙方保证所提供的</w:t>
      </w:r>
      <w:r>
        <w:rPr>
          <w:rFonts w:hint="eastAsia" w:cs="宋体"/>
          <w:color w:val="000000" w:themeColor="text1"/>
          <w:lang w:val="en-US" w:eastAsia="zh-CN"/>
          <w14:textFill>
            <w14:solidFill>
              <w14:schemeClr w14:val="tx1"/>
            </w14:solidFill>
          </w14:textFill>
        </w:rPr>
        <w:t>货物或</w:t>
      </w:r>
      <w:r>
        <w:rPr>
          <w:rFonts w:hint="eastAsia" w:cs="宋体"/>
          <w:color w:val="000000" w:themeColor="text1"/>
          <w14:textFill>
            <w14:solidFill>
              <w14:schemeClr w14:val="tx1"/>
            </w14:solidFill>
          </w14:textFill>
        </w:rPr>
        <w:t>服务的所有权完全属于乙方且无任何抵押、查封等产权瑕疵。如有产权瑕疵的，视为乙方违约。乙方应负担由此而产生的一切损失。</w:t>
      </w:r>
    </w:p>
    <w:p w14:paraId="6CA625F5">
      <w:pPr>
        <w:spacing w:line="360" w:lineRule="auto"/>
        <w:ind w:firstLine="482" w:firstLineChars="200"/>
        <w:rPr>
          <w:rFonts w:cs="宋体"/>
          <w:b/>
          <w:bCs/>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第七条  </w:t>
      </w:r>
      <w:r>
        <w:rPr>
          <w:rFonts w:hint="eastAsia" w:cs="宋体"/>
          <w:b/>
          <w:bCs/>
          <w:color w:val="000000" w:themeColor="text1"/>
          <w14:textFill>
            <w14:solidFill>
              <w14:schemeClr w14:val="tx1"/>
            </w14:solidFill>
          </w14:textFill>
        </w:rPr>
        <w:t>履约保证金</w:t>
      </w:r>
    </w:p>
    <w:p w14:paraId="3032D36B">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本项目不收取履约保证金。</w:t>
      </w:r>
    </w:p>
    <w:p w14:paraId="03E05E0D">
      <w:pPr>
        <w:spacing w:line="360" w:lineRule="auto"/>
        <w:ind w:firstLine="482" w:firstLineChars="200"/>
        <w:rPr>
          <w:rFonts w:cs="宋体"/>
          <w:b/>
          <w:bCs/>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第</w:t>
      </w:r>
      <w:r>
        <w:rPr>
          <w:rFonts w:hint="eastAsia" w:cs="宋体"/>
          <w:b/>
          <w:bCs/>
          <w:color w:val="000000" w:themeColor="text1"/>
          <w:lang w:val="en-US" w:eastAsia="zh-CN"/>
          <w14:textFill>
            <w14:solidFill>
              <w14:schemeClr w14:val="tx1"/>
            </w14:solidFill>
          </w14:textFill>
        </w:rPr>
        <w:t>八</w:t>
      </w:r>
      <w:r>
        <w:rPr>
          <w:rFonts w:hint="eastAsia" w:cs="宋体"/>
          <w:b/>
          <w:color w:val="000000" w:themeColor="text1"/>
          <w:lang w:val="en-US" w:eastAsia="zh-CN"/>
          <w14:textFill>
            <w14:solidFill>
              <w14:schemeClr w14:val="tx1"/>
            </w14:solidFill>
          </w14:textFill>
        </w:rPr>
        <w:t xml:space="preserve">条  </w:t>
      </w:r>
      <w:r>
        <w:rPr>
          <w:rFonts w:hint="eastAsia" w:cs="宋体"/>
          <w:b/>
          <w:bCs/>
          <w:color w:val="000000" w:themeColor="text1"/>
          <w14:textFill>
            <w14:solidFill>
              <w14:schemeClr w14:val="tx1"/>
            </w14:solidFill>
          </w14:textFill>
        </w:rPr>
        <w:t>甲方的权利和义务</w:t>
      </w:r>
    </w:p>
    <w:p w14:paraId="515C037D">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（一）甲方有权对合同规定范围内乙方的服务行为进行监督和检查，拥有监管权。有权定期核对乙方提供服务所配备的人员数量。对认为不合理的部分有权下达整改通知书，并要求乙方限期整改。</w:t>
      </w:r>
    </w:p>
    <w:p w14:paraId="4CEDC17C">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（二）负责检查监督乙方管理工作的实施及制度的执行情况。</w:t>
      </w:r>
    </w:p>
    <w:p w14:paraId="2C08DE28">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（三）根据本合同规定，按时向乙方支付应付费用。</w:t>
      </w:r>
    </w:p>
    <w:p w14:paraId="4AE225A4">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（四）国家法律、法规所规定由甲方承担的其它责任。</w:t>
      </w:r>
    </w:p>
    <w:p w14:paraId="24896E12">
      <w:pPr>
        <w:spacing w:line="360" w:lineRule="auto"/>
        <w:ind w:firstLine="482" w:firstLineChars="200"/>
        <w:rPr>
          <w:rFonts w:cs="宋体"/>
          <w:b/>
          <w:bCs/>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第</w:t>
      </w:r>
      <w:r>
        <w:rPr>
          <w:rFonts w:hint="eastAsia" w:cs="宋体"/>
          <w:b/>
          <w:bCs/>
          <w:color w:val="000000" w:themeColor="text1"/>
          <w:lang w:val="en-US" w:eastAsia="zh-CN"/>
          <w14:textFill>
            <w14:solidFill>
              <w14:schemeClr w14:val="tx1"/>
            </w14:solidFill>
          </w14:textFill>
        </w:rPr>
        <w:t>九</w:t>
      </w:r>
      <w:r>
        <w:rPr>
          <w:rFonts w:hint="eastAsia" w:cs="宋体"/>
          <w:b/>
          <w:color w:val="000000" w:themeColor="text1"/>
          <w:lang w:val="en-US" w:eastAsia="zh-CN"/>
          <w14:textFill>
            <w14:solidFill>
              <w14:schemeClr w14:val="tx1"/>
            </w14:solidFill>
          </w14:textFill>
        </w:rPr>
        <w:t xml:space="preserve">条  </w:t>
      </w:r>
      <w:r>
        <w:rPr>
          <w:rFonts w:hint="eastAsia" w:cs="宋体"/>
          <w:b/>
          <w:bCs/>
          <w:color w:val="000000" w:themeColor="text1"/>
          <w14:textFill>
            <w14:solidFill>
              <w14:schemeClr w14:val="tx1"/>
            </w14:solidFill>
          </w14:textFill>
        </w:rPr>
        <w:t>乙方的权利和义务</w:t>
      </w:r>
    </w:p>
    <w:p w14:paraId="583645B5">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（一）对本合同规定的委托范围内的项目享有管理权及服务义务。</w:t>
      </w:r>
    </w:p>
    <w:p w14:paraId="6BF1E15C">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（二）根据本合同的规定向甲方收取相关费用，并有权在本项目管理范围内管理及合理使用。</w:t>
      </w:r>
    </w:p>
    <w:p w14:paraId="2AF5B16D">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（三）及时向甲方通告本项目服务范围内有关的重大事项。</w:t>
      </w:r>
    </w:p>
    <w:p w14:paraId="4FBB9547">
      <w:pPr>
        <w:spacing w:line="360" w:lineRule="auto"/>
        <w:ind w:firstLine="480" w:firstLineChars="20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（四）接受项目行业管理部门及政府有关部门的指导，接受甲方的监督。</w:t>
      </w:r>
    </w:p>
    <w:p w14:paraId="4B952C59">
      <w:pPr>
        <w:spacing w:line="360" w:lineRule="auto"/>
        <w:ind w:firstLine="480" w:firstLineChars="200"/>
        <w:rPr>
          <w:rFonts w:cs="宋体"/>
          <w:b/>
          <w:bCs/>
          <w:color w:val="000000" w:themeColor="text1"/>
          <w14:textFill>
            <w14:solidFill>
              <w14:schemeClr w14:val="tx1"/>
            </w14:solidFill>
          </w14:textFill>
        </w:rPr>
      </w:pPr>
      <w:r>
        <w:rPr>
          <w:rFonts w:hint="eastAsia" w:cs="宋体"/>
          <w:color w:val="000000" w:themeColor="text1"/>
          <w14:textFill>
            <w14:solidFill>
              <w14:schemeClr w14:val="tx1"/>
            </w14:solidFill>
          </w14:textFill>
        </w:rPr>
        <w:t>（五）国家法律、法规所规定由乙方承担的其它责任。</w:t>
      </w:r>
    </w:p>
    <w:p w14:paraId="2E7C7489">
      <w:pPr>
        <w:pStyle w:val="14"/>
        <w:numPr>
          <w:ilvl w:val="0"/>
          <w:numId w:val="0"/>
        </w:numPr>
        <w:spacing w:line="360" w:lineRule="auto"/>
        <w:ind w:firstLine="482" w:firstLineChars="200"/>
        <w:rPr>
          <w:rFonts w:hint="eastAsia" w:cs="宋体"/>
          <w:b/>
          <w:color w:val="000000" w:themeColor="text1"/>
          <w:highlight w:val="none"/>
          <w:lang w:val="en-US" w:eastAsia="zh-CN"/>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第十条 </w:t>
      </w:r>
      <w:r>
        <w:rPr>
          <w:rFonts w:hint="eastAsia" w:cs="宋体"/>
          <w:b/>
          <w:color w:val="000000" w:themeColor="text1"/>
          <w:highlight w:val="none"/>
          <w:lang w:val="en-US" w:eastAsia="zh-CN"/>
          <w14:textFill>
            <w14:solidFill>
              <w14:schemeClr w14:val="tx1"/>
            </w14:solidFill>
          </w14:textFill>
        </w:rPr>
        <w:t>验收要求</w:t>
      </w:r>
    </w:p>
    <w:p w14:paraId="3A5BB05F">
      <w:pPr>
        <w:spacing w:line="360" w:lineRule="auto"/>
        <w:ind w:firstLine="480" w:firstLineChars="200"/>
        <w:outlineLvl w:val="9"/>
        <w:rPr>
          <w:rFonts w:hint="eastAsia" w:ascii="宋体" w:hAnsi="宋体" w:eastAsia="宋体" w:cs="宋体"/>
          <w:b w:val="0"/>
          <w:bCs/>
          <w:color w:val="000000" w:themeColor="text1"/>
          <w:lang w:val="zh-CN"/>
          <w14:textFill>
            <w14:solidFill>
              <w14:schemeClr w14:val="tx1"/>
            </w14:solidFill>
          </w14:textFill>
        </w:rPr>
      </w:pPr>
      <w:r>
        <w:rPr>
          <w:rFonts w:hint="eastAsia" w:ascii="宋体" w:hAnsi="宋体" w:eastAsia="宋体" w:cs="宋体"/>
          <w:b w:val="0"/>
          <w:bCs/>
          <w:color w:val="000000" w:themeColor="text1"/>
          <w:lang w:val="zh-CN"/>
          <w14:textFill>
            <w14:solidFill>
              <w14:schemeClr w14:val="tx1"/>
            </w14:solidFill>
          </w14:textFill>
        </w:rPr>
        <w:t>1、验收组织方式：自行验收。</w:t>
      </w:r>
    </w:p>
    <w:p w14:paraId="3AF08FC9">
      <w:pPr>
        <w:spacing w:line="360" w:lineRule="auto"/>
        <w:ind w:firstLine="480" w:firstLineChars="200"/>
        <w:outlineLvl w:val="9"/>
        <w:rPr>
          <w:rFonts w:hint="eastAsia" w:ascii="宋体" w:hAnsi="宋体" w:eastAsia="宋体" w:cs="宋体"/>
          <w:b w:val="0"/>
          <w:bCs/>
          <w:color w:val="000000" w:themeColor="text1"/>
          <w:lang w:val="zh-CN"/>
          <w14:textFill>
            <w14:solidFill>
              <w14:schemeClr w14:val="tx1"/>
            </w14:solidFill>
          </w14:textFill>
        </w:rPr>
      </w:pPr>
      <w:r>
        <w:rPr>
          <w:rFonts w:hint="eastAsia" w:ascii="宋体" w:hAnsi="宋体" w:eastAsia="宋体" w:cs="宋体"/>
          <w:b w:val="0"/>
          <w:bCs/>
          <w:color w:val="000000" w:themeColor="text1"/>
          <w:lang w:val="zh-CN"/>
          <w14:textFill>
            <w14:solidFill>
              <w14:schemeClr w14:val="tx1"/>
            </w14:solidFill>
          </w14:textFill>
        </w:rPr>
        <w:t>2、是否邀请本项目的其他供应商：否。</w:t>
      </w:r>
    </w:p>
    <w:p w14:paraId="6F3756CF">
      <w:pPr>
        <w:spacing w:line="360" w:lineRule="auto"/>
        <w:ind w:firstLine="480" w:firstLineChars="200"/>
        <w:outlineLvl w:val="9"/>
        <w:rPr>
          <w:rFonts w:hint="eastAsia" w:ascii="宋体" w:hAnsi="宋体" w:eastAsia="宋体" w:cs="宋体"/>
          <w:b w:val="0"/>
          <w:bCs/>
          <w:color w:val="000000" w:themeColor="text1"/>
          <w:highlight w:val="none"/>
          <w:lang w:val="zh-CN"/>
          <w14:textFill>
            <w14:solidFill>
              <w14:schemeClr w14:val="tx1"/>
            </w14:solidFill>
          </w14:textFill>
        </w:rPr>
      </w:pPr>
      <w:r>
        <w:rPr>
          <w:rFonts w:hint="eastAsia" w:ascii="宋体" w:hAnsi="宋体" w:eastAsia="宋体" w:cs="宋体"/>
          <w:b w:val="0"/>
          <w:bCs/>
          <w:color w:val="000000" w:themeColor="text1"/>
          <w:highlight w:val="none"/>
          <w:lang w:val="zh-CN"/>
          <w14:textFill>
            <w14:solidFill>
              <w14:schemeClr w14:val="tx1"/>
            </w14:solidFill>
          </w14:textFill>
        </w:rPr>
        <w:t>3、是否邀请专家：</w:t>
      </w:r>
      <w:r>
        <w:rPr>
          <w:rFonts w:hint="eastAsia" w:cs="宋体"/>
          <w:b w:val="0"/>
          <w:bCs/>
          <w:color w:val="000000" w:themeColor="text1"/>
          <w:highlight w:val="none"/>
          <w:lang w:val="en-US" w:eastAsia="zh-CN"/>
          <w14:textFill>
            <w14:solidFill>
              <w14:schemeClr w14:val="tx1"/>
            </w14:solidFill>
          </w14:textFill>
        </w:rPr>
        <w:t>是</w:t>
      </w:r>
      <w:r>
        <w:rPr>
          <w:rFonts w:hint="eastAsia" w:ascii="宋体" w:hAnsi="宋体" w:eastAsia="宋体" w:cs="宋体"/>
          <w:b w:val="0"/>
          <w:bCs/>
          <w:color w:val="000000" w:themeColor="text1"/>
          <w:highlight w:val="none"/>
          <w:lang w:val="zh-CN"/>
          <w14:textFill>
            <w14:solidFill>
              <w14:schemeClr w14:val="tx1"/>
            </w14:solidFill>
          </w14:textFill>
        </w:rPr>
        <w:t>。</w:t>
      </w:r>
    </w:p>
    <w:p w14:paraId="3160C584">
      <w:pPr>
        <w:spacing w:line="360" w:lineRule="auto"/>
        <w:ind w:firstLine="480" w:firstLineChars="200"/>
        <w:outlineLvl w:val="9"/>
        <w:rPr>
          <w:rFonts w:hint="eastAsia" w:ascii="宋体" w:hAnsi="宋体" w:eastAsia="宋体" w:cs="宋体"/>
          <w:b w:val="0"/>
          <w:bCs/>
          <w:color w:val="000000" w:themeColor="text1"/>
          <w:lang w:val="zh-CN"/>
          <w14:textFill>
            <w14:solidFill>
              <w14:schemeClr w14:val="tx1"/>
            </w14:solidFill>
          </w14:textFill>
        </w:rPr>
      </w:pPr>
      <w:r>
        <w:rPr>
          <w:rFonts w:hint="eastAsia" w:ascii="宋体" w:hAnsi="宋体" w:eastAsia="宋体" w:cs="宋体"/>
          <w:b w:val="0"/>
          <w:bCs/>
          <w:color w:val="000000" w:themeColor="text1"/>
          <w:lang w:val="zh-CN"/>
          <w14:textFill>
            <w14:solidFill>
              <w14:schemeClr w14:val="tx1"/>
            </w14:solidFill>
          </w14:textFill>
        </w:rPr>
        <w:t>4、是否邀请服务对象：</w:t>
      </w:r>
      <w:r>
        <w:rPr>
          <w:rFonts w:hint="eastAsia" w:ascii="宋体" w:hAnsi="宋体" w:eastAsia="宋体" w:cs="宋体"/>
          <w:b w:val="0"/>
          <w:bCs/>
          <w:color w:val="000000" w:themeColor="text1"/>
          <w:lang w:val="en-US" w:eastAsia="zh-CN"/>
          <w14:textFill>
            <w14:solidFill>
              <w14:schemeClr w14:val="tx1"/>
            </w14:solidFill>
          </w14:textFill>
        </w:rPr>
        <w:t>否</w:t>
      </w:r>
      <w:r>
        <w:rPr>
          <w:rFonts w:hint="eastAsia" w:ascii="宋体" w:hAnsi="宋体" w:eastAsia="宋体" w:cs="宋体"/>
          <w:b w:val="0"/>
          <w:bCs/>
          <w:color w:val="000000" w:themeColor="text1"/>
          <w:lang w:val="zh-CN"/>
          <w14:textFill>
            <w14:solidFill>
              <w14:schemeClr w14:val="tx1"/>
            </w14:solidFill>
          </w14:textFill>
        </w:rPr>
        <w:t>。</w:t>
      </w:r>
    </w:p>
    <w:p w14:paraId="0651863C">
      <w:pPr>
        <w:spacing w:line="360" w:lineRule="auto"/>
        <w:ind w:firstLine="480" w:firstLineChars="200"/>
        <w:outlineLvl w:val="9"/>
        <w:rPr>
          <w:rFonts w:hint="eastAsia" w:ascii="宋体" w:hAnsi="宋体" w:eastAsia="宋体" w:cs="宋体"/>
          <w:b w:val="0"/>
          <w:bCs/>
          <w:color w:val="000000" w:themeColor="text1"/>
          <w:lang w:val="zh-CN"/>
          <w14:textFill>
            <w14:solidFill>
              <w14:schemeClr w14:val="tx1"/>
            </w14:solidFill>
          </w14:textFill>
        </w:rPr>
      </w:pPr>
      <w:r>
        <w:rPr>
          <w:rFonts w:hint="eastAsia" w:ascii="宋体" w:hAnsi="宋体" w:eastAsia="宋体" w:cs="宋体"/>
          <w:b w:val="0"/>
          <w:bCs/>
          <w:color w:val="000000" w:themeColor="text1"/>
          <w:lang w:val="zh-CN"/>
          <w14:textFill>
            <w14:solidFill>
              <w14:schemeClr w14:val="tx1"/>
            </w14:solidFill>
          </w14:textFill>
        </w:rPr>
        <w:t>5、是否邀请第三方检测机构：</w:t>
      </w:r>
      <w:r>
        <w:rPr>
          <w:rFonts w:hint="eastAsia" w:ascii="宋体" w:hAnsi="宋体" w:eastAsia="宋体" w:cs="宋体"/>
          <w:b w:val="0"/>
          <w:bCs/>
          <w:color w:val="000000" w:themeColor="text1"/>
          <w:lang w:val="en-US" w:eastAsia="zh-CN"/>
          <w14:textFill>
            <w14:solidFill>
              <w14:schemeClr w14:val="tx1"/>
            </w14:solidFill>
          </w14:textFill>
        </w:rPr>
        <w:t>否</w:t>
      </w:r>
      <w:r>
        <w:rPr>
          <w:rFonts w:hint="eastAsia" w:ascii="宋体" w:hAnsi="宋体" w:eastAsia="宋体" w:cs="宋体"/>
          <w:b w:val="0"/>
          <w:bCs/>
          <w:color w:val="000000" w:themeColor="text1"/>
          <w:lang w:val="zh-CN"/>
          <w14:textFill>
            <w14:solidFill>
              <w14:schemeClr w14:val="tx1"/>
            </w14:solidFill>
          </w14:textFill>
        </w:rPr>
        <w:t>。</w:t>
      </w:r>
    </w:p>
    <w:p w14:paraId="063DC44E">
      <w:pPr>
        <w:spacing w:line="360" w:lineRule="auto"/>
        <w:ind w:firstLine="480" w:firstLineChars="200"/>
        <w:outlineLvl w:val="9"/>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pPr>
      <w:r>
        <w:rPr>
          <w:rFonts w:hint="eastAsia" w:ascii="宋体" w:hAnsi="宋体" w:eastAsia="宋体" w:cs="宋体"/>
          <w:b w:val="0"/>
          <w:bCs/>
          <w:color w:val="000000" w:themeColor="text1"/>
          <w:highlight w:val="none"/>
          <w:lang w:val="zh-CN"/>
          <w14:textFill>
            <w14:solidFill>
              <w14:schemeClr w14:val="tx1"/>
            </w14:solidFill>
          </w14:textFill>
        </w:rPr>
        <w:t>6</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、履约验收程序：</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一次性</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验收。</w:t>
      </w:r>
    </w:p>
    <w:p w14:paraId="073E085E">
      <w:pPr>
        <w:pStyle w:val="15"/>
        <w:spacing w:line="360" w:lineRule="auto"/>
        <w:ind w:firstLine="480" w:firstLineChars="200"/>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7</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、在</w:t>
      </w:r>
      <w:r>
        <w:rPr>
          <w:rFonts w:hint="eastAsia" w:ascii="宋体" w:hAnsi="宋体"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提出验收申请之日起5日内组织验收，本项目现场验收由</w:t>
      </w:r>
      <w:r>
        <w:rPr>
          <w:rFonts w:hint="eastAsia"/>
          <w:color w:val="000000" w:themeColor="text1"/>
          <w:kern w:val="0"/>
          <w:sz w:val="24"/>
          <w:szCs w:val="24"/>
          <w:highlight w:val="none"/>
          <w:lang w:val="en-US" w:eastAsia="zh-CN"/>
          <w14:textFill>
            <w14:solidFill>
              <w14:schemeClr w14:val="tx1"/>
            </w14:solidFill>
          </w14:textFill>
        </w:rPr>
        <w:t>甲方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组织，</w:t>
      </w:r>
      <w:r>
        <w:rPr>
          <w:rFonts w:hint="eastAsia" w:ascii="宋体" w:hAnsi="宋体"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配合进行。</w:t>
      </w:r>
    </w:p>
    <w:p w14:paraId="32038DB6">
      <w:pPr>
        <w:pStyle w:val="16"/>
        <w:numPr>
          <w:ilvl w:val="1"/>
          <w:numId w:val="0"/>
        </w:numPr>
        <w:ind w:firstLine="480" w:firstLineChars="200"/>
        <w:outlineLvl w:val="9"/>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pPr>
      <w:r>
        <w:rPr>
          <w:rFonts w:hint="eastAsia" w:cs="宋体"/>
          <w:b w:val="0"/>
          <w:bCs/>
          <w:color w:val="000000" w:themeColor="text1"/>
          <w:kern w:val="2"/>
          <w:sz w:val="24"/>
          <w:szCs w:val="24"/>
          <w:highlight w:val="none"/>
          <w:lang w:val="en-US" w:eastAsia="zh-CN" w:bidi="ar-SA"/>
          <w14:textFill>
            <w14:solidFill>
              <w14:schemeClr w14:val="tx1"/>
            </w14:solidFill>
          </w14:textFill>
        </w:rPr>
        <w:t>8、</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按国家有关规定以及</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招标</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文件的质量要求和技术指标(包括每一项技术和商务要求的履约情况)，</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的</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投标</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文件及承诺与本合同约定标准进行验收；双方如对质量要求和技术指标的约定标准有相互抵触或异议的事项，由</w:t>
      </w:r>
      <w:r>
        <w:rPr>
          <w:rFonts w:hint="eastAsia" w:cs="宋体"/>
          <w:b w:val="0"/>
          <w:bCs/>
          <w:color w:val="000000" w:themeColor="text1"/>
          <w:kern w:val="2"/>
          <w:sz w:val="24"/>
          <w:szCs w:val="24"/>
          <w:highlight w:val="none"/>
          <w:lang w:val="en-US" w:eastAsia="zh-CN" w:bidi="ar-SA"/>
          <w14:textFill>
            <w14:solidFill>
              <w14:schemeClr w14:val="tx1"/>
            </w14:solidFill>
          </w14:textFill>
        </w:rPr>
        <w:t>甲方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在</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招标</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文件中按质量要求和技术指标比较优胜的原则确定该项的约定标准进行验收；验收时如发现所交付的货物有短装、次品、损坏或其它不符合标准及本合同规定之情形者，</w:t>
      </w:r>
      <w:r>
        <w:rPr>
          <w:rFonts w:hint="eastAsia" w:cs="宋体"/>
          <w:b w:val="0"/>
          <w:bCs/>
          <w:color w:val="000000" w:themeColor="text1"/>
          <w:kern w:val="2"/>
          <w:sz w:val="24"/>
          <w:szCs w:val="24"/>
          <w:highlight w:val="none"/>
          <w:lang w:val="en-US" w:eastAsia="zh-CN" w:bidi="ar-SA"/>
          <w14:textFill>
            <w14:solidFill>
              <w14:schemeClr w14:val="tx1"/>
            </w14:solidFill>
          </w14:textFill>
        </w:rPr>
        <w:t>甲方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应做出详尽的现场记录，或由双方签署备忘录，此现场记录或备忘录可用作补充、缺失和更换损坏部件的有效证据，由此产生的时间延误与有关费用由</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承担，验收期限相应顺延；如验收合格，双方签署验收报告；验收不合格且拒不整改的，将不予支付采购资金，还可能上报本项目同级财政部门按照政府采购法律法规等有关规定给予行政处罚。</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应将所提供货物的装箱清单、配件、随机工具、用户使用手册、原厂保修卡等资料交付给</w:t>
      </w:r>
      <w:r>
        <w:rPr>
          <w:rFonts w:hint="eastAsia" w:cs="宋体"/>
          <w:b w:val="0"/>
          <w:bCs/>
          <w:color w:val="000000" w:themeColor="text1"/>
          <w:kern w:val="2"/>
          <w:sz w:val="24"/>
          <w:szCs w:val="24"/>
          <w:highlight w:val="none"/>
          <w:lang w:val="en-US" w:eastAsia="zh-CN" w:bidi="ar-SA"/>
          <w14:textFill>
            <w14:solidFill>
              <w14:schemeClr w14:val="tx1"/>
            </w14:solidFill>
          </w14:textFill>
        </w:rPr>
        <w:t>甲方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不能完整交付货物及本款规定的单证和工具的，必须负责补齐，否则视为未按合同约定交货。如货物经</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3次维修或更换仍不能达到合同约定的质量标准，</w:t>
      </w:r>
      <w:r>
        <w:rPr>
          <w:rFonts w:hint="eastAsia" w:cs="宋体"/>
          <w:b w:val="0"/>
          <w:bCs/>
          <w:color w:val="000000" w:themeColor="text1"/>
          <w:kern w:val="2"/>
          <w:sz w:val="24"/>
          <w:szCs w:val="24"/>
          <w:highlight w:val="none"/>
          <w:lang w:val="en-US" w:eastAsia="zh-CN" w:bidi="ar-SA"/>
          <w14:textFill>
            <w14:solidFill>
              <w14:schemeClr w14:val="tx1"/>
            </w14:solidFill>
          </w14:textFill>
        </w:rPr>
        <w:t>甲方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有权退货，并视作</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不能交付货物而违约，</w:t>
      </w:r>
      <w:r>
        <w:rPr>
          <w:rFonts w:hint="eastAsia" w:cs="宋体"/>
          <w:b w:val="0"/>
          <w:bCs/>
          <w:color w:val="000000" w:themeColor="text1"/>
          <w:kern w:val="2"/>
          <w:sz w:val="24"/>
          <w:szCs w:val="24"/>
          <w:highlight w:val="none"/>
          <w:lang w:val="en-US" w:eastAsia="zh-CN" w:bidi="ar-SA"/>
          <w14:textFill>
            <w14:solidFill>
              <w14:schemeClr w14:val="tx1"/>
            </w14:solidFill>
          </w14:textFill>
        </w:rPr>
        <w:t>甲方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可依法依约追究</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t>的违约责任。</w:t>
      </w:r>
    </w:p>
    <w:p w14:paraId="670A169D">
      <w:pPr>
        <w:pStyle w:val="16"/>
        <w:numPr>
          <w:ilvl w:val="1"/>
          <w:numId w:val="0"/>
        </w:numPr>
        <w:ind w:firstLine="480" w:firstLineChars="200"/>
        <w:outlineLvl w:val="9"/>
        <w:rPr>
          <w:rFonts w:hint="eastAsia" w:ascii="宋体" w:hAnsi="宋体" w:eastAsia="宋体" w:cs="宋体"/>
          <w:b w:val="0"/>
          <w:bCs/>
          <w:color w:val="000000"/>
        </w:rPr>
      </w:pPr>
      <w:r>
        <w:rPr>
          <w:rFonts w:hint="eastAsia" w:cs="宋体"/>
          <w:b w:val="0"/>
          <w:bCs/>
          <w:color w:val="000000" w:themeColor="text1"/>
          <w:highlight w:val="none"/>
          <w:lang w:val="en-US" w:eastAsia="zh-CN"/>
          <w14:textFill>
            <w14:solidFill>
              <w14:schemeClr w14:val="tx1"/>
            </w14:solidFill>
          </w14:textFill>
        </w:rPr>
        <w:t>9</w:t>
      </w:r>
      <w:r>
        <w:rPr>
          <w:rFonts w:hint="eastAsia" w:ascii="宋体" w:hAnsi="宋体" w:eastAsia="宋体" w:cs="宋体"/>
          <w:b w:val="0"/>
          <w:bCs/>
          <w:color w:val="000000" w:themeColor="text1"/>
          <w:highlight w:val="none"/>
          <w:lang w:val="zh-CN"/>
          <w14:textFill>
            <w14:solidFill>
              <w14:schemeClr w14:val="tx1"/>
            </w14:solidFill>
          </w14:textFill>
        </w:rPr>
        <w:t>、</w:t>
      </w:r>
      <w:r>
        <w:rPr>
          <w:rFonts w:hint="eastAsia" w:ascii="宋体" w:hAnsi="宋体" w:eastAsia="宋体" w:cs="宋体"/>
          <w:b w:val="0"/>
          <w:bCs/>
          <w:color w:val="000000" w:themeColor="text1"/>
          <w:highlight w:val="none"/>
          <w:lang w:val="zh-CN" w:eastAsia="zh-CN"/>
          <w14:textFill>
            <w14:solidFill>
              <w14:schemeClr w14:val="tx1"/>
            </w14:solidFill>
          </w14:textFill>
        </w:rPr>
        <w:t>其他未尽事宜应严格按照政府采购相关法律法规以及财政部关于印发《政府采购需求管理办法》的通知（财库〔2021〕22号） 和《财政部关于进一步加强政府</w:t>
      </w:r>
      <w:r>
        <w:rPr>
          <w:rFonts w:hint="eastAsia" w:ascii="宋体" w:hAnsi="宋体" w:eastAsia="宋体" w:cs="宋体"/>
          <w:b w:val="0"/>
          <w:bCs/>
          <w:color w:val="000000" w:themeColor="text1"/>
          <w:lang w:val="zh-CN" w:eastAsia="zh-CN"/>
          <w14:textFill>
            <w14:solidFill>
              <w14:schemeClr w14:val="tx1"/>
            </w14:solidFill>
          </w14:textFill>
        </w:rPr>
        <w:t>采购需求和履约验收管理的指导意见》（财库〔2016〕205号）的要求进行验收。</w:t>
      </w:r>
    </w:p>
    <w:p w14:paraId="1B5A3D17">
      <w:pPr>
        <w:pStyle w:val="14"/>
        <w:numPr>
          <w:ilvl w:val="0"/>
          <w:numId w:val="0"/>
        </w:numPr>
        <w:spacing w:line="360" w:lineRule="auto"/>
        <w:ind w:left="0" w:leftChars="0" w:firstLine="482" w:firstLineChars="200"/>
        <w:rPr>
          <w:rFonts w:hint="eastAsia" w:cs="宋体"/>
          <w:b/>
          <w:color w:val="000000" w:themeColor="text1"/>
          <w:lang w:val="en-US" w:eastAsia="zh-CN"/>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第十一条 </w:t>
      </w:r>
      <w:r>
        <w:rPr>
          <w:rFonts w:hint="eastAsia" w:ascii="宋体" w:hAnsi="宋体" w:eastAsia="宋体" w:cs="宋体"/>
          <w:b/>
          <w:color w:val="000000" w:themeColor="text1"/>
          <w14:textFill>
            <w14:solidFill>
              <w14:schemeClr w14:val="tx1"/>
            </w14:solidFill>
          </w14:textFill>
        </w:rPr>
        <w:t>售后服务</w:t>
      </w:r>
    </w:p>
    <w:p w14:paraId="008323FC">
      <w:pPr>
        <w:spacing w:line="360" w:lineRule="auto"/>
        <w:ind w:firstLine="480" w:firstLineChars="200"/>
        <w:rPr>
          <w:rFonts w:hint="eastAsia"/>
          <w:color w:val="000000" w:themeColor="text1"/>
          <w:sz w:val="24"/>
          <w:szCs w:val="24"/>
          <w:highlight w:val="none"/>
          <w:lang w:val="en-US" w:eastAsia="zh-CN" w:bidi="ar-SA"/>
          <w14:textFill>
            <w14:solidFill>
              <w14:schemeClr w14:val="tx1"/>
            </w14:solidFill>
          </w14:textFill>
        </w:rPr>
      </w:pPr>
      <w:r>
        <w:rPr>
          <w:rFonts w:hint="eastAsia"/>
          <w:color w:val="000000" w:themeColor="text1"/>
          <w:sz w:val="24"/>
          <w:szCs w:val="24"/>
          <w:highlight w:val="none"/>
          <w:lang w:val="en-US" w:eastAsia="zh-CN" w:bidi="ar-SA"/>
          <w14:textFill>
            <w14:solidFill>
              <w14:schemeClr w14:val="tx1"/>
            </w14:solidFill>
          </w14:textFill>
        </w:rPr>
        <w:t>质保期：</w:t>
      </w:r>
      <w:r>
        <w:rPr>
          <w:rFonts w:hint="eastAsia" w:cs="宋体"/>
          <w:color w:val="000000" w:themeColor="text1"/>
          <w:kern w:val="0"/>
          <w:sz w:val="24"/>
          <w:szCs w:val="24"/>
          <w:highlight w:val="none"/>
          <w:lang w:val="en-US" w:eastAsia="zh-CN"/>
          <w14:textFill>
            <w14:solidFill>
              <w14:schemeClr w14:val="tx1"/>
            </w14:solidFill>
          </w14:textFill>
        </w:rPr>
        <w:t>三年（</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验收合格之日起</w:t>
      </w:r>
      <w:r>
        <w:rPr>
          <w:rFonts w:hint="eastAsia" w:cs="宋体"/>
          <w:color w:val="000000" w:themeColor="text1"/>
          <w:kern w:val="0"/>
          <w:sz w:val="24"/>
          <w:szCs w:val="24"/>
          <w:highlight w:val="none"/>
          <w:lang w:val="en-US" w:eastAsia="zh-CN"/>
          <w14:textFill>
            <w14:solidFill>
              <w14:schemeClr w14:val="tx1"/>
            </w14:solidFill>
          </w14:textFill>
        </w:rPr>
        <w:t>计算）</w:t>
      </w:r>
      <w:r>
        <w:rPr>
          <w:rFonts w:hint="eastAsia"/>
          <w:color w:val="000000" w:themeColor="text1"/>
          <w:sz w:val="24"/>
          <w:szCs w:val="24"/>
          <w:highlight w:val="none"/>
          <w:lang w:val="en-US" w:eastAsia="zh-CN" w:bidi="ar-SA"/>
          <w14:textFill>
            <w14:solidFill>
              <w14:schemeClr w14:val="tx1"/>
            </w14:solidFill>
          </w14:textFill>
        </w:rPr>
        <w:t xml:space="preserve">。 </w:t>
      </w:r>
    </w:p>
    <w:p w14:paraId="21838F2D">
      <w:pPr>
        <w:spacing w:line="360" w:lineRule="auto"/>
        <w:ind w:firstLine="240" w:firstLineChars="100"/>
        <w:rPr>
          <w:rFonts w:hint="eastAsia"/>
          <w:color w:val="000000" w:themeColor="text1"/>
          <w:sz w:val="24"/>
          <w:szCs w:val="24"/>
          <w:highlight w:val="none"/>
          <w:lang w:val="en-US" w:eastAsia="zh-CN" w:bidi="ar-SA"/>
          <w14:textFill>
            <w14:solidFill>
              <w14:schemeClr w14:val="tx1"/>
            </w14:solidFill>
          </w14:textFill>
        </w:rPr>
      </w:pPr>
      <w:r>
        <w:rPr>
          <w:rFonts w:hint="eastAsia"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质保期内</w:t>
      </w:r>
      <w:r>
        <w:rPr>
          <w:rFonts w:hint="eastAsia" w:cs="宋体"/>
          <w:color w:val="000000" w:themeColor="text1"/>
          <w:kern w:val="0"/>
          <w:sz w:val="24"/>
          <w:szCs w:val="24"/>
          <w:highlight w:val="none"/>
          <w:lang w:val="en-US" w:eastAsia="zh-CN"/>
          <w14:textFill>
            <w14:solidFill>
              <w14:schemeClr w14:val="tx1"/>
            </w14:solidFill>
          </w14:textFill>
        </w:rPr>
        <w:t>产品</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出现质量问题</w:t>
      </w:r>
      <w:r>
        <w:rPr>
          <w:rFonts w:hint="eastAsia" w:cs="宋体"/>
          <w:color w:val="000000" w:themeColor="text1"/>
          <w:kern w:val="0"/>
          <w:sz w:val="24"/>
          <w:szCs w:val="24"/>
          <w:highlight w:val="none"/>
          <w:lang w:val="en-US" w:eastAsia="zh-CN"/>
          <w14:textFill>
            <w14:solidFill>
              <w14:schemeClr w14:val="tx1"/>
            </w14:solidFill>
          </w14:textFill>
        </w:rPr>
        <w:t>或故障问题</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r>
        <w:rPr>
          <w:rFonts w:hint="eastAsia" w:ascii="宋体" w:hAnsi="宋体" w:cs="宋体"/>
          <w:b w:val="0"/>
          <w:bCs/>
          <w:color w:val="000000" w:themeColor="text1"/>
          <w:kern w:val="2"/>
          <w:sz w:val="24"/>
          <w:szCs w:val="24"/>
          <w:highlight w:val="none"/>
          <w:lang w:val="en-US" w:eastAsia="zh-CN" w:bidi="ar-SA"/>
          <w14:textFill>
            <w14:solidFill>
              <w14:schemeClr w14:val="tx1"/>
            </w14:solidFill>
          </w14:textFill>
        </w:rPr>
        <w:t>乙方</w:t>
      </w:r>
      <w:r>
        <w:rPr>
          <w:rFonts w:hint="eastAsia"/>
          <w:color w:val="000000" w:themeColor="text1"/>
          <w:sz w:val="24"/>
          <w:szCs w:val="24"/>
          <w:highlight w:val="none"/>
          <w:lang w:val="en-US" w:eastAsia="zh-CN" w:bidi="ar-SA"/>
          <w14:textFill>
            <w14:solidFill>
              <w14:schemeClr w14:val="tx1"/>
            </w14:solidFill>
          </w14:textFill>
        </w:rPr>
        <w:t>应在接到通知后30分钟响应，通过远程4小时内完成故障修复；远程不能解决的应在12小时内到达现场，24小时内完成故障修复；产品需要更换的应在2个工作日内完成。所有费用由</w:t>
      </w:r>
      <w:r>
        <w:rPr>
          <w:rFonts w:hint="eastAsia" w:ascii="宋体" w:hAnsi="宋体" w:cs="宋体"/>
          <w:b w:val="0"/>
          <w:bCs/>
          <w:color w:val="000000" w:themeColor="text1"/>
          <w:kern w:val="2"/>
          <w:sz w:val="24"/>
          <w:szCs w:val="24"/>
          <w:highlight w:val="none"/>
          <w:lang w:val="en-US" w:eastAsia="zh-CN" w:bidi="ar-SA"/>
          <w14:textFill>
            <w14:solidFill>
              <w14:schemeClr w14:val="tx1"/>
            </w14:solidFill>
          </w14:textFill>
        </w:rPr>
        <w:t>乙方</w:t>
      </w:r>
      <w:r>
        <w:rPr>
          <w:rFonts w:hint="eastAsia"/>
          <w:color w:val="000000" w:themeColor="text1"/>
          <w:sz w:val="24"/>
          <w:szCs w:val="24"/>
          <w:highlight w:val="none"/>
          <w:lang w:val="en-US" w:eastAsia="zh-CN" w:bidi="ar-SA"/>
          <w14:textFill>
            <w14:solidFill>
              <w14:schemeClr w14:val="tx1"/>
            </w14:solidFill>
          </w14:textFill>
        </w:rPr>
        <w:t>承担。</w:t>
      </w:r>
    </w:p>
    <w:p w14:paraId="1738AC5C">
      <w:pPr>
        <w:spacing w:line="360" w:lineRule="auto"/>
        <w:ind w:firstLine="240" w:firstLineChars="100"/>
        <w:rPr>
          <w:rFonts w:hint="default" w:cs="宋体"/>
          <w:color w:val="000000" w:themeColor="text1"/>
          <w:kern w:val="0"/>
          <w:sz w:val="24"/>
          <w:szCs w:val="24"/>
          <w:highlight w:val="none"/>
          <w:lang w:val="en-US" w:eastAsia="zh-CN"/>
          <w14:textFill>
            <w14:solidFill>
              <w14:schemeClr w14:val="tx1"/>
            </w14:solidFill>
          </w14:textFill>
        </w:rPr>
      </w:pPr>
      <w:r>
        <w:rPr>
          <w:rFonts w:hint="eastAsia" w:cs="宋体"/>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质保期内，</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cs="宋体"/>
          <w:color w:val="000000" w:themeColor="text1"/>
          <w:kern w:val="0"/>
          <w:sz w:val="24"/>
          <w:szCs w:val="24"/>
          <w:highlight w:val="none"/>
          <w:lang w:val="en-US" w:eastAsia="zh-CN"/>
          <w14:textFill>
            <w14:solidFill>
              <w14:schemeClr w14:val="tx1"/>
            </w14:solidFill>
          </w14:textFill>
        </w:rPr>
        <w:t>对所有产品的</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巡视维护不低于2次，</w:t>
      </w:r>
      <w:r>
        <w:rPr>
          <w:rFonts w:hint="eastAsia" w:cs="宋体"/>
          <w:color w:val="000000" w:themeColor="text1"/>
          <w:kern w:val="0"/>
          <w:sz w:val="24"/>
          <w:szCs w:val="24"/>
          <w:highlight w:val="none"/>
          <w:lang w:val="en-US" w:eastAsia="zh-CN"/>
          <w14:textFill>
            <w14:solidFill>
              <w14:schemeClr w14:val="tx1"/>
            </w14:solidFill>
          </w14:textFill>
        </w:rPr>
        <w:t>每年</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进行2次保养和安全检测</w:t>
      </w:r>
      <w:r>
        <w:rPr>
          <w:rFonts w:hint="eastAsia" w:cs="宋体"/>
          <w:color w:val="000000" w:themeColor="text1"/>
          <w:kern w:val="0"/>
          <w:sz w:val="24"/>
          <w:szCs w:val="24"/>
          <w:highlight w:val="none"/>
          <w:lang w:val="en-US" w:eastAsia="zh-CN"/>
          <w14:textFill>
            <w14:solidFill>
              <w14:schemeClr w14:val="tx1"/>
            </w14:solidFill>
          </w14:textFill>
        </w:rPr>
        <w:t>，该费用已包含在投标报价中。</w:t>
      </w:r>
    </w:p>
    <w:p w14:paraId="784C03B9">
      <w:pPr>
        <w:spacing w:line="360" w:lineRule="auto"/>
        <w:ind w:firstLine="240" w:firstLineChars="100"/>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cs="宋体"/>
          <w:color w:val="000000" w:themeColor="text1"/>
          <w:kern w:val="0"/>
          <w:sz w:val="24"/>
          <w:szCs w:val="24"/>
          <w:highlight w:val="none"/>
          <w:lang w:val="en-US" w:eastAsia="zh-CN"/>
          <w14:textFill>
            <w14:solidFill>
              <w14:schemeClr w14:val="tx1"/>
            </w14:solidFill>
          </w14:textFill>
        </w:rPr>
        <w:t>（3）</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质保期满前一个月，</w:t>
      </w:r>
      <w:r>
        <w:rPr>
          <w:rFonts w:hint="eastAsia" w:cs="宋体"/>
          <w:b w:val="0"/>
          <w:bCs/>
          <w:color w:val="000000" w:themeColor="text1"/>
          <w:kern w:val="2"/>
          <w:sz w:val="24"/>
          <w:szCs w:val="24"/>
          <w:highlight w:val="none"/>
          <w:lang w:val="en-US" w:eastAsia="zh-CN" w:bidi="ar-SA"/>
          <w14:textFill>
            <w14:solidFill>
              <w14:schemeClr w14:val="tx1"/>
            </w14:solidFill>
          </w14:textFill>
        </w:rPr>
        <w:t>乙方</w:t>
      </w:r>
      <w:r>
        <w:rPr>
          <w:rFonts w:hint="eastAsia" w:cs="宋体"/>
          <w:color w:val="000000" w:themeColor="text1"/>
          <w:kern w:val="0"/>
          <w:sz w:val="24"/>
          <w:szCs w:val="24"/>
          <w:highlight w:val="none"/>
          <w:lang w:val="en-US" w:eastAsia="zh-CN"/>
          <w14:textFill>
            <w14:solidFill>
              <w14:schemeClr w14:val="tx1"/>
            </w14:solidFill>
          </w14:textFill>
        </w:rPr>
        <w:t>还需对所有产品</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负责一次全面的检查、维护，并出具正式</w:t>
      </w:r>
      <w:r>
        <w:rPr>
          <w:rFonts w:hint="eastAsia" w:cs="宋体"/>
          <w:color w:val="000000" w:themeColor="text1"/>
          <w:kern w:val="0"/>
          <w:sz w:val="24"/>
          <w:szCs w:val="24"/>
          <w:highlight w:val="none"/>
          <w:lang w:val="en-US" w:eastAsia="zh-CN"/>
          <w14:textFill>
            <w14:solidFill>
              <w14:schemeClr w14:val="tx1"/>
            </w14:solidFill>
          </w14:textFill>
        </w:rPr>
        <w:t>合格</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报告，</w:t>
      </w:r>
      <w:r>
        <w:rPr>
          <w:rFonts w:hint="eastAsia" w:cs="宋体"/>
          <w:color w:val="000000" w:themeColor="text1"/>
          <w:kern w:val="0"/>
          <w:sz w:val="24"/>
          <w:szCs w:val="24"/>
          <w:highlight w:val="none"/>
          <w:lang w:val="en-US" w:eastAsia="zh-CN"/>
          <w14:textFill>
            <w14:solidFill>
              <w14:schemeClr w14:val="tx1"/>
            </w14:solidFill>
          </w14:textFill>
        </w:rPr>
        <w:t>该费用已包含在投标报价中。</w:t>
      </w:r>
    </w:p>
    <w:p w14:paraId="53E21C56">
      <w:pPr>
        <w:numPr>
          <w:ilvl w:val="0"/>
          <w:numId w:val="0"/>
        </w:numPr>
        <w:spacing w:line="360" w:lineRule="auto"/>
        <w:ind w:firstLine="482" w:firstLineChars="200"/>
        <w:rPr>
          <w:rFonts w:hint="eastAsia" w:ascii="宋体" w:hAnsi="宋体" w:eastAsia="宋体" w:cs="宋体"/>
          <w:b/>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第十二条  </w:t>
      </w:r>
      <w:r>
        <w:rPr>
          <w:rFonts w:hint="eastAsia" w:ascii="宋体" w:hAnsi="宋体" w:eastAsia="宋体" w:cs="宋体"/>
          <w:b/>
          <w:color w:val="000000" w:themeColor="text1"/>
          <w14:textFill>
            <w14:solidFill>
              <w14:schemeClr w14:val="tx1"/>
            </w14:solidFill>
          </w14:textFill>
        </w:rPr>
        <w:t>违约责任</w:t>
      </w:r>
    </w:p>
    <w:p w14:paraId="559D447E">
      <w:pPr>
        <w:pStyle w:val="15"/>
        <w:keepNext w:val="0"/>
        <w:keepLines w:val="0"/>
        <w:pageBreakBefore w:val="0"/>
        <w:kinsoku/>
        <w:overflowPunct/>
        <w:autoSpaceDE/>
        <w:autoSpaceDN/>
        <w:bidi w:val="0"/>
        <w:adjustRightInd w:val="0"/>
        <w:snapToGrid w:val="0"/>
        <w:spacing w:line="360" w:lineRule="auto"/>
        <w:ind w:right="0" w:rightChars="0" w:firstLine="241" w:firstLineChars="100"/>
        <w:textAlignment w:val="auto"/>
        <w:rPr>
          <w:rFonts w:hint="eastAsia" w:ascii="宋体" w:hAnsi="宋体" w:eastAsia="宋体" w:cs="宋体"/>
          <w:b/>
          <w:bCs w:val="0"/>
          <w:color w:val="000000"/>
          <w:kern w:val="2"/>
          <w:sz w:val="24"/>
          <w:szCs w:val="24"/>
          <w:highlight w:val="none"/>
          <w:lang w:val="en-US" w:eastAsia="zh-CN" w:bidi="ar-SA"/>
        </w:rPr>
      </w:pPr>
      <w:r>
        <w:rPr>
          <w:rFonts w:hint="eastAsia" w:ascii="宋体" w:hAnsi="宋体" w:eastAsia="宋体" w:cs="宋体"/>
          <w:b/>
          <w:bCs w:val="0"/>
          <w:color w:val="000000"/>
          <w:kern w:val="2"/>
          <w:sz w:val="24"/>
          <w:szCs w:val="24"/>
          <w:highlight w:val="none"/>
          <w:lang w:val="en-US" w:eastAsia="zh-CN" w:bidi="ar-SA"/>
        </w:rPr>
        <w:t xml:space="preserve">（一）甲方违约责任 </w:t>
      </w:r>
    </w:p>
    <w:p w14:paraId="07D96E56">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 xml:space="preserve">1、甲方应遵守本合同并执行合同中的各项规定，保证本合同的正常履行； </w:t>
      </w:r>
    </w:p>
    <w:p w14:paraId="57097FD5">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2、甲方逾期支付合同款项的，除应及时付足合同款项外，应向乙方偿付欠款总额万分之一 /天的违约金；逾期付款超过六十天的，乙方有权终止合同；</w:t>
      </w:r>
    </w:p>
    <w:p w14:paraId="131B3940">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 w:val="0"/>
          <w:bCs/>
          <w:strike w:val="0"/>
          <w:dstrike w:val="0"/>
          <w:color w:val="FF0000"/>
          <w:kern w:val="2"/>
          <w:sz w:val="24"/>
          <w:szCs w:val="24"/>
          <w:highlight w:val="none"/>
          <w:lang w:val="en-US" w:eastAsia="zh-CN" w:bidi="ar-SA"/>
        </w:rPr>
      </w:pPr>
      <w:r>
        <w:rPr>
          <w:rFonts w:hint="eastAsia" w:ascii="宋体" w:hAnsi="宋体" w:eastAsia="宋体" w:cs="宋体"/>
          <w:b w:val="0"/>
          <w:bCs/>
          <w:strike w:val="0"/>
          <w:dstrike w:val="0"/>
          <w:color w:val="000000"/>
          <w:kern w:val="2"/>
          <w:sz w:val="24"/>
          <w:szCs w:val="24"/>
          <w:highlight w:val="none"/>
          <w:lang w:val="en-US" w:eastAsia="zh-CN" w:bidi="ar-SA"/>
        </w:rPr>
        <w:t xml:space="preserve">3、甲方偿付的违约金不足以弥补乙方损失的，还应按乙方经济损失尚未弥补的部分，支付赔偿金给乙方。 </w:t>
      </w:r>
    </w:p>
    <w:p w14:paraId="2A9D3428">
      <w:pPr>
        <w:pStyle w:val="15"/>
        <w:keepNext w:val="0"/>
        <w:keepLines w:val="0"/>
        <w:pageBreakBefore w:val="0"/>
        <w:kinsoku/>
        <w:overflowPunct/>
        <w:autoSpaceDE/>
        <w:autoSpaceDN/>
        <w:bidi w:val="0"/>
        <w:adjustRightInd w:val="0"/>
        <w:snapToGrid w:val="0"/>
        <w:spacing w:line="360" w:lineRule="auto"/>
        <w:ind w:right="0" w:rightChars="0" w:firstLine="241" w:firstLineChars="100"/>
        <w:textAlignment w:val="auto"/>
        <w:rPr>
          <w:rFonts w:hint="eastAsia" w:ascii="宋体" w:hAnsi="宋体" w:eastAsia="宋体" w:cs="宋体"/>
          <w:b/>
          <w:bCs w:val="0"/>
          <w:color w:val="000000"/>
          <w:kern w:val="2"/>
          <w:sz w:val="24"/>
          <w:szCs w:val="24"/>
          <w:highlight w:val="none"/>
          <w:lang w:val="en-US" w:eastAsia="zh-CN" w:bidi="ar-SA"/>
        </w:rPr>
      </w:pPr>
      <w:r>
        <w:rPr>
          <w:rFonts w:hint="eastAsia" w:ascii="宋体" w:hAnsi="宋体" w:eastAsia="宋体" w:cs="宋体"/>
          <w:b/>
          <w:bCs w:val="0"/>
          <w:color w:val="000000"/>
          <w:kern w:val="2"/>
          <w:sz w:val="24"/>
          <w:szCs w:val="24"/>
          <w:highlight w:val="none"/>
          <w:lang w:val="en-US" w:eastAsia="zh-CN" w:bidi="ar-SA"/>
        </w:rPr>
        <w:t xml:space="preserve">（二）乙方违约责任 </w:t>
      </w:r>
    </w:p>
    <w:p w14:paraId="0741E46A">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 w:val="0"/>
          <w:bCs/>
          <w:strike w:val="0"/>
          <w:dstrike w:val="0"/>
          <w:color w:val="000000"/>
          <w:kern w:val="2"/>
          <w:sz w:val="24"/>
          <w:szCs w:val="24"/>
          <w:highlight w:val="none"/>
          <w:lang w:val="en-US" w:eastAsia="zh-CN" w:bidi="ar-SA"/>
        </w:rPr>
      </w:pPr>
      <w:r>
        <w:rPr>
          <w:rFonts w:hint="eastAsia" w:ascii="宋体" w:hAnsi="宋体" w:eastAsia="宋体" w:cs="宋体"/>
          <w:b w:val="0"/>
          <w:bCs/>
          <w:strike w:val="0"/>
          <w:dstrike w:val="0"/>
          <w:color w:val="000000"/>
          <w:kern w:val="2"/>
          <w:sz w:val="24"/>
          <w:szCs w:val="24"/>
          <w:highlight w:val="none"/>
          <w:lang w:val="en-US" w:eastAsia="zh-CN" w:bidi="ar-SA"/>
        </w:rPr>
        <w:t>1、乙方必须遵守采购合同并执行合同中的各项规定，保证采购合同的正常履行；</w:t>
      </w:r>
    </w:p>
    <w:p w14:paraId="1E248A90">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2、</w:t>
      </w:r>
      <w:r>
        <w:rPr>
          <w:rFonts w:hint="eastAsia" w:ascii="宋体" w:hAnsi="宋体" w:eastAsia="宋体" w:cs="宋体"/>
          <w:color w:val="000000"/>
          <w:sz w:val="24"/>
          <w:szCs w:val="24"/>
          <w:highlight w:val="none"/>
          <w:lang w:val="zh-CN" w:eastAsia="zh-CN"/>
        </w:rPr>
        <w:t>如因乙方</w:t>
      </w:r>
      <w:r>
        <w:rPr>
          <w:rFonts w:hint="eastAsia" w:cs="宋体"/>
          <w:color w:val="000000"/>
          <w:sz w:val="24"/>
          <w:szCs w:val="24"/>
          <w:highlight w:val="none"/>
          <w:lang w:val="en-US" w:eastAsia="zh-CN"/>
        </w:rPr>
        <w:t>及</w:t>
      </w:r>
      <w:r>
        <w:rPr>
          <w:rFonts w:hint="eastAsia" w:ascii="宋体" w:hAnsi="宋体" w:eastAsia="宋体" w:cs="宋体"/>
          <w:color w:val="000000"/>
          <w:sz w:val="24"/>
          <w:szCs w:val="24"/>
          <w:highlight w:val="none"/>
          <w:lang w:val="zh-CN" w:eastAsia="zh-CN"/>
        </w:rPr>
        <w:t>工作人员在履行职务过程中的疏忽、失职、过错等故意或者过失原因</w:t>
      </w:r>
      <w:r>
        <w:rPr>
          <w:rFonts w:hint="eastAsia" w:cs="宋体"/>
          <w:color w:val="000000"/>
          <w:sz w:val="24"/>
          <w:szCs w:val="24"/>
          <w:highlight w:val="none"/>
          <w:lang w:val="en-US" w:eastAsia="zh-CN"/>
        </w:rPr>
        <w:t>违约，</w:t>
      </w:r>
      <w:r>
        <w:rPr>
          <w:rFonts w:hint="eastAsia" w:ascii="宋体" w:hAnsi="宋体" w:eastAsia="宋体" w:cs="宋体"/>
          <w:color w:val="000000"/>
          <w:sz w:val="24"/>
          <w:szCs w:val="24"/>
          <w:highlight w:val="none"/>
          <w:lang w:val="zh-CN" w:eastAsia="zh-CN"/>
        </w:rPr>
        <w:t>给甲方造成损失或侵害，包括但不限于甲方本身的财产损失、律师费、诉讼费、公证费、保全费、保全保险费、鉴定费等以及由此而导致的甲方对任何第三方的法律责任</w:t>
      </w:r>
      <w:r>
        <w:rPr>
          <w:rFonts w:hint="eastAsia" w:cs="宋体"/>
          <w:color w:val="000000"/>
          <w:sz w:val="24"/>
          <w:szCs w:val="24"/>
          <w:highlight w:val="none"/>
          <w:lang w:val="en-US" w:eastAsia="zh-CN"/>
        </w:rPr>
        <w:t>和罚款</w:t>
      </w:r>
      <w:r>
        <w:rPr>
          <w:rFonts w:hint="eastAsia" w:ascii="宋体" w:hAnsi="宋体" w:eastAsia="宋体" w:cs="宋体"/>
          <w:color w:val="000000"/>
          <w:sz w:val="24"/>
          <w:szCs w:val="24"/>
          <w:highlight w:val="none"/>
          <w:lang w:val="zh-CN" w:eastAsia="zh-CN"/>
        </w:rPr>
        <w:t>等，乙方对此均应承担全部的赔偿责任</w:t>
      </w:r>
      <w:r>
        <w:rPr>
          <w:rFonts w:hint="eastAsia" w:cs="宋体"/>
          <w:color w:val="000000"/>
          <w:sz w:val="24"/>
          <w:szCs w:val="24"/>
          <w:highlight w:val="none"/>
          <w:lang w:val="zh-CN" w:eastAsia="zh-CN"/>
        </w:rPr>
        <w:t>，</w:t>
      </w:r>
      <w:r>
        <w:rPr>
          <w:rFonts w:hint="eastAsia" w:cs="宋体"/>
          <w:color w:val="000000"/>
          <w:sz w:val="24"/>
          <w:szCs w:val="24"/>
          <w:highlight w:val="none"/>
          <w:lang w:val="en-US" w:eastAsia="zh-CN"/>
        </w:rPr>
        <w:t>并向甲方支付合同总价百分之二十</w:t>
      </w:r>
      <w:r>
        <w:rPr>
          <w:rFonts w:hint="eastAsia" w:cs="宋体"/>
          <w:color w:val="000000"/>
          <w:sz w:val="24"/>
          <w:szCs w:val="24"/>
          <w:highlight w:val="none"/>
          <w:u w:val="none"/>
          <w:lang w:val="en-US" w:eastAsia="zh-CN"/>
        </w:rPr>
        <w:t>的违约金</w:t>
      </w:r>
      <w:r>
        <w:rPr>
          <w:rFonts w:hint="eastAsia" w:cs="宋体"/>
          <w:color w:val="000000"/>
          <w:sz w:val="24"/>
          <w:szCs w:val="24"/>
          <w:highlight w:val="none"/>
          <w:lang w:val="zh-CN" w:eastAsia="zh-CN"/>
        </w:rPr>
        <w:t>。</w:t>
      </w:r>
    </w:p>
    <w:p w14:paraId="4AB93DC5">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3、乙方不能按时交货或逾期提供的，除应及时提供货物外，应向甲方偿付逾期提供部分货物总额的万分之一/天的违约金；逾期超过15天，甲方有权终止合同，乙方则应按合同总价百分之二十的款额向甲方偿付违约金，并须全额退还甲方已经付给乙方的费用及其利息（利息的计算标准为：按同期LPR的四倍计算利息），如涉及乙方为甲方已供货的货物由乙方自行清理（在十五日内拆除、搬离，否则视为乙方放弃货物所有权）；</w:t>
      </w:r>
    </w:p>
    <w:p w14:paraId="5B77924A">
      <w:pPr>
        <w:pStyle w:val="15"/>
        <w:keepNext w:val="0"/>
        <w:keepLines w:val="0"/>
        <w:pageBreakBefore w:val="0"/>
        <w:kinsoku/>
        <w:overflowPunct/>
        <w:autoSpaceDE/>
        <w:autoSpaceDN/>
        <w:bidi w:val="0"/>
        <w:adjustRightInd w:val="0"/>
        <w:snapToGrid w:val="0"/>
        <w:spacing w:line="360" w:lineRule="auto"/>
        <w:ind w:left="0" w:leftChars="0" w:right="0" w:rightChars="0" w:firstLine="480" w:firstLineChars="200"/>
        <w:textAlignment w:val="auto"/>
        <w:rPr>
          <w:rFonts w:hint="eastAsia" w:ascii="宋体" w:hAnsi="宋体" w:eastAsia="宋体" w:cs="宋体"/>
          <w:bCs/>
          <w:color w:val="000000"/>
          <w:kern w:val="2"/>
          <w:sz w:val="24"/>
          <w:szCs w:val="24"/>
          <w:highlight w:val="none"/>
          <w:lang w:eastAsia="zh-CN"/>
        </w:rPr>
      </w:pPr>
      <w:r>
        <w:rPr>
          <w:rFonts w:hint="eastAsia" w:ascii="宋体" w:hAnsi="宋体" w:eastAsia="宋体" w:cs="宋体"/>
          <w:b w:val="0"/>
          <w:bCs/>
          <w:color w:val="000000"/>
          <w:kern w:val="2"/>
          <w:sz w:val="24"/>
          <w:szCs w:val="24"/>
          <w:highlight w:val="none"/>
          <w:lang w:val="en-US" w:eastAsia="zh-CN" w:bidi="ar-SA"/>
        </w:rPr>
        <w:t>4、乙方提供的货物甲方有权将所有货</w:t>
      </w:r>
      <w:r>
        <w:rPr>
          <w:rFonts w:hint="eastAsia" w:ascii="宋体" w:hAnsi="宋体" w:eastAsia="宋体" w:cs="宋体"/>
          <w:bCs/>
          <w:color w:val="000000"/>
          <w:kern w:val="2"/>
          <w:sz w:val="24"/>
          <w:szCs w:val="24"/>
          <w:highlight w:val="none"/>
          <w:lang w:val="en-US" w:eastAsia="zh-CN"/>
        </w:rPr>
        <w:t>物</w:t>
      </w:r>
      <w:r>
        <w:rPr>
          <w:rFonts w:hint="eastAsia" w:ascii="宋体" w:hAnsi="宋体" w:eastAsia="宋体" w:cs="宋体"/>
          <w:bCs/>
          <w:color w:val="000000"/>
          <w:kern w:val="2"/>
          <w:sz w:val="24"/>
          <w:szCs w:val="24"/>
          <w:highlight w:val="none"/>
          <w:lang w:eastAsia="zh-CN"/>
        </w:rPr>
        <w:t>送交具有法定资格的质量技术监督机构检测，如检测结果认定货物质量不符合</w:t>
      </w:r>
      <w:r>
        <w:rPr>
          <w:rFonts w:hint="eastAsia" w:ascii="宋体" w:hAnsi="宋体" w:eastAsia="宋体" w:cs="宋体"/>
          <w:bCs/>
          <w:color w:val="000000"/>
          <w:kern w:val="2"/>
          <w:sz w:val="24"/>
          <w:szCs w:val="24"/>
          <w:highlight w:val="none"/>
          <w:lang w:val="en-US" w:eastAsia="zh-CN"/>
        </w:rPr>
        <w:t>投标文件承诺和不符合签订</w:t>
      </w:r>
      <w:r>
        <w:rPr>
          <w:rFonts w:hint="eastAsia" w:ascii="宋体" w:hAnsi="宋体" w:eastAsia="宋体" w:cs="宋体"/>
          <w:bCs/>
          <w:color w:val="000000"/>
          <w:kern w:val="2"/>
          <w:sz w:val="24"/>
          <w:szCs w:val="24"/>
          <w:highlight w:val="none"/>
          <w:lang w:eastAsia="zh-CN"/>
        </w:rPr>
        <w:t>合同规定标准的，视为乙方没有按时交货而违约，乙方须在15天内无条件</w:t>
      </w:r>
      <w:r>
        <w:rPr>
          <w:rFonts w:hint="eastAsia" w:ascii="宋体" w:hAnsi="宋体" w:eastAsia="宋体" w:cs="宋体"/>
          <w:bCs/>
          <w:color w:val="000000"/>
          <w:kern w:val="2"/>
          <w:sz w:val="24"/>
          <w:szCs w:val="24"/>
          <w:highlight w:val="none"/>
          <w:lang w:val="en-US" w:eastAsia="zh-CN"/>
        </w:rPr>
        <w:t>免费</w:t>
      </w:r>
      <w:r>
        <w:rPr>
          <w:rFonts w:hint="eastAsia" w:ascii="宋体" w:hAnsi="宋体" w:eastAsia="宋体" w:cs="宋体"/>
          <w:bCs/>
          <w:color w:val="000000"/>
          <w:kern w:val="2"/>
          <w:sz w:val="24"/>
          <w:szCs w:val="24"/>
          <w:highlight w:val="none"/>
          <w:lang w:eastAsia="zh-CN"/>
        </w:rPr>
        <w:t>更换合格的货物，如逾期不能更换合格的货物，甲方有权终止本合同，</w:t>
      </w:r>
      <w:r>
        <w:rPr>
          <w:rFonts w:hint="eastAsia" w:ascii="宋体" w:hAnsi="宋体" w:eastAsia="宋体" w:cs="宋体"/>
          <w:bCs/>
          <w:color w:val="000000"/>
          <w:kern w:val="2"/>
          <w:sz w:val="24"/>
          <w:szCs w:val="24"/>
          <w:highlight w:val="none"/>
          <w:lang w:val="en-US" w:eastAsia="zh-CN"/>
        </w:rPr>
        <w:t>如涉及甲方已支付给乙方的合同款项，乙方应在五个工作日内按照</w:t>
      </w:r>
      <w:r>
        <w:rPr>
          <w:rFonts w:hint="eastAsia" w:cs="宋体"/>
          <w:b w:val="0"/>
          <w:bCs/>
          <w:color w:val="000000" w:themeColor="text1"/>
          <w:kern w:val="2"/>
          <w:sz w:val="24"/>
          <w:szCs w:val="24"/>
          <w:highlight w:val="none"/>
          <w:lang w:val="en-US" w:eastAsia="zh-CN" w:bidi="ar-SA"/>
          <w14:textFill>
            <w14:solidFill>
              <w14:schemeClr w14:val="tx1"/>
            </w14:solidFill>
          </w14:textFill>
        </w:rPr>
        <w:t>甲方</w:t>
      </w:r>
      <w:r>
        <w:rPr>
          <w:rFonts w:hint="eastAsia" w:ascii="宋体" w:hAnsi="宋体" w:eastAsia="宋体" w:cs="宋体"/>
          <w:bCs/>
          <w:color w:val="000000"/>
          <w:kern w:val="2"/>
          <w:sz w:val="24"/>
          <w:szCs w:val="24"/>
          <w:highlight w:val="none"/>
          <w:lang w:val="en-US" w:eastAsia="zh-CN"/>
        </w:rPr>
        <w:t>指定的账户一次性全部退还，同时</w:t>
      </w:r>
      <w:r>
        <w:rPr>
          <w:rFonts w:hint="eastAsia" w:ascii="宋体" w:hAnsi="宋体" w:eastAsia="宋体" w:cs="宋体"/>
          <w:bCs/>
          <w:color w:val="000000"/>
          <w:kern w:val="2"/>
          <w:sz w:val="24"/>
          <w:szCs w:val="24"/>
          <w:highlight w:val="none"/>
          <w:lang w:eastAsia="zh-CN"/>
        </w:rPr>
        <w:t>乙方应另付合同总价百分之</w:t>
      </w:r>
      <w:r>
        <w:rPr>
          <w:rFonts w:hint="eastAsia" w:ascii="宋体" w:hAnsi="宋体" w:eastAsia="宋体" w:cs="宋体"/>
          <w:bCs/>
          <w:color w:val="000000"/>
          <w:kern w:val="2"/>
          <w:sz w:val="24"/>
          <w:szCs w:val="24"/>
          <w:highlight w:val="none"/>
          <w:lang w:val="en-US" w:eastAsia="zh-CN"/>
        </w:rPr>
        <w:t>二十</w:t>
      </w:r>
      <w:r>
        <w:rPr>
          <w:rFonts w:hint="eastAsia" w:ascii="宋体" w:hAnsi="宋体" w:eastAsia="宋体" w:cs="宋体"/>
          <w:bCs/>
          <w:color w:val="000000"/>
          <w:kern w:val="2"/>
          <w:sz w:val="24"/>
          <w:szCs w:val="24"/>
          <w:highlight w:val="none"/>
          <w:lang w:eastAsia="zh-CN"/>
        </w:rPr>
        <w:t>的赔偿金给甲方，</w:t>
      </w:r>
      <w:r>
        <w:rPr>
          <w:rFonts w:hint="eastAsia" w:ascii="宋体" w:hAnsi="宋体" w:eastAsia="宋体" w:cs="宋体"/>
          <w:b w:val="0"/>
          <w:bCs/>
          <w:color w:val="000000"/>
          <w:kern w:val="2"/>
          <w:sz w:val="24"/>
          <w:szCs w:val="24"/>
          <w:highlight w:val="none"/>
          <w:lang w:val="en-US" w:eastAsia="zh-CN" w:bidi="ar-SA"/>
        </w:rPr>
        <w:t>如涉及乙方为甲方已供货的货物由乙方自行清理（在十五日内拆除、搬离，否则视为乙方放弃货物所有权）</w:t>
      </w:r>
      <w:r>
        <w:rPr>
          <w:rFonts w:hint="eastAsia" w:ascii="宋体" w:hAnsi="宋体" w:eastAsia="宋体" w:cs="宋体"/>
          <w:bCs/>
          <w:color w:val="000000"/>
          <w:kern w:val="2"/>
          <w:sz w:val="24"/>
          <w:szCs w:val="24"/>
          <w:highlight w:val="none"/>
          <w:lang w:eastAsia="zh-CN"/>
        </w:rPr>
        <w:t>；</w:t>
      </w:r>
    </w:p>
    <w:p w14:paraId="02EE4B22">
      <w:pPr>
        <w:numPr>
          <w:ilvl w:val="0"/>
          <w:numId w:val="0"/>
        </w:numPr>
        <w:spacing w:line="360" w:lineRule="auto"/>
        <w:ind w:left="0" w:leftChars="0" w:firstLine="480" w:firstLineChars="200"/>
        <w:rPr>
          <w:rFonts w:hint="eastAsia" w:ascii="宋体" w:hAnsi="宋体" w:eastAsia="宋体" w:cs="宋体"/>
          <w:bCs/>
          <w:color w:val="000000"/>
          <w:kern w:val="2"/>
          <w:sz w:val="24"/>
          <w:szCs w:val="24"/>
          <w:highlight w:val="none"/>
          <w:lang w:val="en-US" w:eastAsia="zh-CN"/>
        </w:rPr>
      </w:pPr>
      <w:r>
        <w:rPr>
          <w:rFonts w:hint="eastAsia" w:ascii="宋体" w:hAnsi="宋体" w:eastAsia="宋体" w:cs="宋体"/>
          <w:bCs/>
          <w:color w:val="000000"/>
          <w:kern w:val="2"/>
          <w:sz w:val="24"/>
          <w:szCs w:val="24"/>
          <w:highlight w:val="none"/>
          <w:lang w:val="en-US" w:eastAsia="zh-CN"/>
        </w:rPr>
        <w:t>5、有下列情形之一的，当事人可以解除合同： 5.1因不可抗力致使不能实现合同目的(由于非乙方或甲方原因，致使合同实质性条款无法实现的)； 5.2当事人一方迟延履行主要债务，经催告后在合理期限内仍未履行；5.3当事人一方迟延履行债务或者有其他违约行为致使不能实现合同目的；5.4法律规定的其他情形。</w:t>
      </w:r>
    </w:p>
    <w:p w14:paraId="6005E67D">
      <w:pPr>
        <w:numPr>
          <w:ilvl w:val="0"/>
          <w:numId w:val="0"/>
        </w:numPr>
        <w:spacing w:line="360" w:lineRule="auto"/>
        <w:ind w:left="0" w:leftChars="0" w:firstLine="482" w:firstLineChars="200"/>
        <w:rPr>
          <w:rFonts w:hint="eastAsia" w:ascii="宋体" w:hAnsi="宋体" w:eastAsia="宋体" w:cs="宋体"/>
          <w:b/>
          <w:color w:val="000000" w:themeColor="text1"/>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第十三条  </w:t>
      </w:r>
      <w:r>
        <w:rPr>
          <w:rFonts w:hint="eastAsia" w:ascii="宋体" w:hAnsi="宋体" w:eastAsia="宋体" w:cs="宋体"/>
          <w:b/>
          <w:color w:val="000000" w:themeColor="text1"/>
          <w14:textFill>
            <w14:solidFill>
              <w14:schemeClr w14:val="tx1"/>
            </w14:solidFill>
          </w14:textFill>
        </w:rPr>
        <w:t>争议解决办法</w:t>
      </w:r>
    </w:p>
    <w:p w14:paraId="323C1FE3">
      <w:pPr>
        <w:pStyle w:val="15"/>
        <w:spacing w:line="360" w:lineRule="auto"/>
        <w:ind w:firstLine="480" w:firstLineChars="200"/>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1、因货物的质量问题发生争议，由甲方或其指定的第三方机构进行质量鉴定。货物符合标准的，鉴定费由甲方承担；货物不符合质量标准的，鉴定费由乙方承担； </w:t>
      </w:r>
    </w:p>
    <w:p w14:paraId="508B658F">
      <w:pPr>
        <w:pStyle w:val="15"/>
        <w:spacing w:line="360" w:lineRule="auto"/>
        <w:ind w:firstLine="480" w:firstLineChars="200"/>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2、合同履行期间，若双方发生争议，可协商或由有关部门调解解决，协商或调解不成的，按照下列方式解决(任选一项，且只能选择一项，在选定的一项前的方框内打“√”)： ☑ 向</w:t>
      </w:r>
      <w:r>
        <w:rPr>
          <w:rFonts w:hint="eastAsia" w:ascii="宋体" w:hAnsi="宋体" w:cs="宋体"/>
          <w:b w:val="0"/>
          <w:bCs/>
          <w:color w:val="000000" w:themeColor="text1"/>
          <w:kern w:val="2"/>
          <w:sz w:val="24"/>
          <w:szCs w:val="24"/>
          <w:highlight w:val="none"/>
          <w:lang w:val="en-US" w:eastAsia="zh-CN" w:bidi="ar-SA"/>
          <w14:textFill>
            <w14:solidFill>
              <w14:schemeClr w14:val="tx1"/>
            </w14:solidFill>
          </w14:textFill>
        </w:rPr>
        <w:t>雅安</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仲裁委员会申请仲裁；□ 向项目所在地人民法院起诉；</w:t>
      </w:r>
    </w:p>
    <w:p w14:paraId="7FA5D7D5">
      <w:pPr>
        <w:pStyle w:val="15"/>
        <w:spacing w:line="360" w:lineRule="auto"/>
        <w:ind w:firstLine="480" w:firstLineChars="200"/>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3、仲裁裁决应为最终决定，并对双方具有约束力； </w:t>
      </w:r>
    </w:p>
    <w:p w14:paraId="60C2FBD3">
      <w:pPr>
        <w:pStyle w:val="15"/>
        <w:spacing w:line="360" w:lineRule="auto"/>
        <w:ind w:firstLine="480" w:firstLineChars="200"/>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4、除另有裁决外，仲裁费应由败诉方负担；</w:t>
      </w:r>
    </w:p>
    <w:p w14:paraId="048C735D">
      <w:pPr>
        <w:pStyle w:val="15"/>
        <w:spacing w:line="360" w:lineRule="auto"/>
        <w:ind w:firstLine="480" w:firstLineChars="200"/>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5、在仲裁期间，除正在进行仲裁部分外，合同其他部分继续执行。</w:t>
      </w:r>
    </w:p>
    <w:p w14:paraId="69ACE1CD">
      <w:pPr>
        <w:spacing w:line="360" w:lineRule="auto"/>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cs="宋体"/>
          <w:b/>
          <w:color w:val="000000" w:themeColor="text1"/>
          <w:lang w:val="en-US" w:eastAsia="zh-CN"/>
          <w14:textFill>
            <w14:solidFill>
              <w14:schemeClr w14:val="tx1"/>
            </w14:solidFill>
          </w14:textFill>
        </w:rPr>
        <w:t xml:space="preserve">第十四条 </w:t>
      </w:r>
      <w:r>
        <w:rPr>
          <w:rFonts w:hint="eastAsia" w:ascii="宋体" w:hAnsi="宋体" w:eastAsia="宋体" w:cs="宋体"/>
          <w:b/>
          <w:bCs/>
          <w:color w:val="000000" w:themeColor="text1"/>
          <w:sz w:val="24"/>
          <w14:textFill>
            <w14:solidFill>
              <w14:schemeClr w14:val="tx1"/>
            </w14:solidFill>
          </w14:textFill>
        </w:rPr>
        <w:t>合同生效及其他</w:t>
      </w:r>
    </w:p>
    <w:p w14:paraId="19C6E7ED">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一</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合同经双方法定代表人或授权</w:t>
      </w:r>
      <w:r>
        <w:rPr>
          <w:rFonts w:hint="eastAsia" w:ascii="宋体" w:hAnsi="宋体" w:eastAsia="宋体" w:cs="宋体"/>
          <w:color w:val="000000" w:themeColor="text1"/>
          <w:sz w:val="24"/>
          <w:lang w:val="en-US" w:eastAsia="zh-CN"/>
          <w14:textFill>
            <w14:solidFill>
              <w14:schemeClr w14:val="tx1"/>
            </w14:solidFill>
          </w14:textFill>
        </w:rPr>
        <w:t>代表</w:t>
      </w:r>
      <w:r>
        <w:rPr>
          <w:rFonts w:hint="eastAsia" w:ascii="宋体" w:hAnsi="宋体" w:eastAsia="宋体" w:cs="宋体"/>
          <w:color w:val="000000" w:themeColor="text1"/>
          <w:sz w:val="24"/>
          <w14:textFill>
            <w14:solidFill>
              <w14:schemeClr w14:val="tx1"/>
            </w14:solidFill>
          </w14:textFill>
        </w:rPr>
        <w:t>签字并加盖公章后生效。</w:t>
      </w:r>
    </w:p>
    <w:p w14:paraId="271C6F10">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二</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政府采购合同履行中，甲方需追加与合同标的相同的</w:t>
      </w:r>
      <w:r>
        <w:rPr>
          <w:rFonts w:hint="eastAsia" w:cs="宋体"/>
          <w:color w:val="000000" w:themeColor="text1"/>
          <w:sz w:val="24"/>
          <w:lang w:val="en-US" w:eastAsia="zh-CN"/>
          <w14:textFill>
            <w14:solidFill>
              <w14:schemeClr w14:val="tx1"/>
            </w14:solidFill>
          </w14:textFill>
        </w:rPr>
        <w:t>货物或者服务</w:t>
      </w:r>
      <w:r>
        <w:rPr>
          <w:rFonts w:hint="eastAsia" w:ascii="宋体" w:hAnsi="宋体" w:eastAsia="宋体" w:cs="宋体"/>
          <w:color w:val="000000" w:themeColor="text1"/>
          <w:sz w:val="24"/>
          <w14:textFill>
            <w14:solidFill>
              <w14:schemeClr w14:val="tx1"/>
            </w14:solidFill>
          </w14:textFill>
        </w:rPr>
        <w:t>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0531BFAA">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三</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本合同一式</w:t>
      </w:r>
      <w:r>
        <w:rPr>
          <w:rFonts w:hint="eastAsia" w:ascii="宋体" w:hAnsi="宋体" w:eastAsia="宋体" w:cs="宋体"/>
          <w:color w:val="000000" w:themeColor="text1"/>
          <w:sz w:val="24"/>
          <w:lang w:val="en-US" w:eastAsia="zh-CN"/>
          <w14:textFill>
            <w14:solidFill>
              <w14:schemeClr w14:val="tx1"/>
            </w14:solidFill>
          </w14:textFill>
        </w:rPr>
        <w:t>XX</w:t>
      </w:r>
      <w:r>
        <w:rPr>
          <w:rFonts w:hint="eastAsia" w:ascii="宋体" w:hAnsi="宋体" w:eastAsia="宋体" w:cs="宋体"/>
          <w:color w:val="000000" w:themeColor="text1"/>
          <w:sz w:val="24"/>
          <w14:textFill>
            <w14:solidFill>
              <w14:schemeClr w14:val="tx1"/>
            </w14:solidFill>
          </w14:textFill>
        </w:rPr>
        <w:t>份， 自双方签章之日起生效。甲方持有</w:t>
      </w:r>
      <w:r>
        <w:rPr>
          <w:rFonts w:hint="eastAsia" w:ascii="宋体" w:hAnsi="宋体" w:eastAsia="宋体" w:cs="宋体"/>
          <w:color w:val="000000" w:themeColor="text1"/>
          <w:sz w:val="24"/>
          <w:lang w:val="en-US" w:eastAsia="zh-CN"/>
          <w14:textFill>
            <w14:solidFill>
              <w14:schemeClr w14:val="tx1"/>
            </w14:solidFill>
          </w14:textFill>
        </w:rPr>
        <w:t>XX</w:t>
      </w:r>
      <w:r>
        <w:rPr>
          <w:rFonts w:hint="eastAsia" w:ascii="宋体" w:hAnsi="宋体" w:eastAsia="宋体" w:cs="宋体"/>
          <w:color w:val="000000" w:themeColor="text1"/>
          <w:sz w:val="24"/>
          <w14:textFill>
            <w14:solidFill>
              <w14:schemeClr w14:val="tx1"/>
            </w14:solidFill>
          </w14:textFill>
        </w:rPr>
        <w:t>份，乙方持有</w:t>
      </w:r>
      <w:r>
        <w:rPr>
          <w:rFonts w:hint="eastAsia" w:ascii="宋体" w:hAnsi="宋体" w:eastAsia="宋体" w:cs="宋体"/>
          <w:color w:val="000000" w:themeColor="text1"/>
          <w:sz w:val="24"/>
          <w:lang w:val="en-US" w:eastAsia="zh-CN"/>
          <w14:textFill>
            <w14:solidFill>
              <w14:schemeClr w14:val="tx1"/>
            </w14:solidFill>
          </w14:textFill>
        </w:rPr>
        <w:t>XX</w:t>
      </w:r>
      <w:r>
        <w:rPr>
          <w:rFonts w:hint="eastAsia" w:ascii="宋体" w:hAnsi="宋体" w:eastAsia="宋体" w:cs="宋体"/>
          <w:color w:val="000000" w:themeColor="text1"/>
          <w:sz w:val="24"/>
          <w14:textFill>
            <w14:solidFill>
              <w14:schemeClr w14:val="tx1"/>
            </w14:solidFill>
          </w14:textFill>
        </w:rPr>
        <w:t>份，</w:t>
      </w:r>
      <w:r>
        <w:rPr>
          <w:rFonts w:hint="eastAsia" w:ascii="宋体" w:hAnsi="宋体" w:eastAsia="宋体" w:cs="宋体"/>
          <w:color w:val="000000" w:themeColor="text1"/>
          <w:sz w:val="24"/>
          <w:lang w:val="en-US" w:eastAsia="zh-CN"/>
          <w14:textFill>
            <w14:solidFill>
              <w14:schemeClr w14:val="tx1"/>
            </w14:solidFill>
          </w14:textFill>
        </w:rPr>
        <w:t>每份</w:t>
      </w:r>
      <w:r>
        <w:rPr>
          <w:rFonts w:hint="eastAsia" w:ascii="宋体" w:hAnsi="宋体" w:eastAsia="宋体" w:cs="宋体"/>
          <w:color w:val="000000" w:themeColor="text1"/>
          <w:sz w:val="24"/>
          <w14:textFill>
            <w14:solidFill>
              <w14:schemeClr w14:val="tx1"/>
            </w14:solidFill>
          </w14:textFill>
        </w:rPr>
        <w:t>具有同等法律效力。</w:t>
      </w:r>
    </w:p>
    <w:p w14:paraId="7826DA7A">
      <w:pPr>
        <w:spacing w:line="360" w:lineRule="auto"/>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cs="宋体"/>
          <w:b/>
          <w:color w:val="000000" w:themeColor="text1"/>
          <w:lang w:val="en-US" w:eastAsia="zh-CN"/>
          <w14:textFill>
            <w14:solidFill>
              <w14:schemeClr w14:val="tx1"/>
            </w14:solidFill>
          </w14:textFill>
        </w:rPr>
        <w:t>第十五条</w:t>
      </w:r>
      <w:r>
        <w:rPr>
          <w:rFonts w:hint="eastAsia" w:ascii="宋体" w:hAnsi="宋体" w:eastAsia="宋体" w:cs="宋体"/>
          <w:b/>
          <w:color w:val="000000" w:themeColor="text1"/>
          <w:sz w:val="24"/>
          <w:szCs w:val="24"/>
          <w14:textFill>
            <w14:solidFill>
              <w14:schemeClr w14:val="tx1"/>
            </w14:solidFill>
          </w14:textFill>
        </w:rPr>
        <w:t xml:space="preserve"> </w:t>
      </w:r>
      <w:r>
        <w:rPr>
          <w:rFonts w:hint="eastAsia"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附件</w:t>
      </w:r>
    </w:p>
    <w:p w14:paraId="74CF5DF2">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（一）项目</w:t>
      </w:r>
      <w:r>
        <w:rPr>
          <w:rFonts w:hint="eastAsia" w:cs="宋体"/>
          <w:color w:val="000000" w:themeColor="text1"/>
          <w:lang w:val="en-US" w:eastAsia="zh-CN"/>
          <w14:textFill>
            <w14:solidFill>
              <w14:schemeClr w14:val="tx1"/>
            </w14:solidFill>
          </w14:textFill>
        </w:rPr>
        <w:t>招标</w:t>
      </w:r>
      <w:r>
        <w:rPr>
          <w:rFonts w:hint="eastAsia" w:ascii="宋体" w:hAnsi="宋体" w:eastAsia="宋体" w:cs="宋体"/>
          <w:color w:val="000000" w:themeColor="text1"/>
          <w14:textFill>
            <w14:solidFill>
              <w14:schemeClr w14:val="tx1"/>
            </w14:solidFill>
          </w14:textFill>
        </w:rPr>
        <w:t>文件。</w:t>
      </w:r>
    </w:p>
    <w:p w14:paraId="455EF977">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r>
        <w:rPr>
          <w:rFonts w:hint="eastAsia" w:cs="宋体"/>
          <w:color w:val="000000" w:themeColor="text1"/>
          <w:lang w:val="en-US" w:eastAsia="zh-CN"/>
          <w14:textFill>
            <w14:solidFill>
              <w14:schemeClr w14:val="tx1"/>
            </w14:solidFill>
          </w14:textFill>
        </w:rPr>
        <w:t>二</w:t>
      </w:r>
      <w:r>
        <w:rPr>
          <w:rFonts w:hint="eastAsia" w:ascii="宋体" w:hAnsi="宋体" w:eastAsia="宋体" w:cs="宋体"/>
          <w:color w:val="000000" w:themeColor="text1"/>
          <w14:textFill>
            <w14:solidFill>
              <w14:schemeClr w14:val="tx1"/>
            </w14:solidFill>
          </w14:textFill>
        </w:rPr>
        <w:t>）项目</w:t>
      </w:r>
      <w:r>
        <w:rPr>
          <w:rFonts w:hint="eastAsia" w:cs="宋体"/>
          <w:color w:val="000000" w:themeColor="text1"/>
          <w:lang w:val="en-US" w:eastAsia="zh-CN"/>
          <w14:textFill>
            <w14:solidFill>
              <w14:schemeClr w14:val="tx1"/>
            </w14:solidFill>
          </w14:textFill>
        </w:rPr>
        <w:t>投标</w:t>
      </w:r>
      <w:r>
        <w:rPr>
          <w:rFonts w:hint="eastAsia" w:ascii="宋体" w:hAnsi="宋体" w:eastAsia="宋体" w:cs="宋体"/>
          <w:color w:val="000000" w:themeColor="text1"/>
          <w14:textFill>
            <w14:solidFill>
              <w14:schemeClr w14:val="tx1"/>
            </w14:solidFill>
          </w14:textFill>
        </w:rPr>
        <w:t>文件。</w:t>
      </w:r>
    </w:p>
    <w:p w14:paraId="32ECBE75">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r>
        <w:rPr>
          <w:rFonts w:hint="eastAsia" w:cs="宋体"/>
          <w:color w:val="000000" w:themeColor="text1"/>
          <w:lang w:val="en-US" w:eastAsia="zh-CN"/>
          <w14:textFill>
            <w14:solidFill>
              <w14:schemeClr w14:val="tx1"/>
            </w14:solidFill>
          </w14:textFill>
        </w:rPr>
        <w:t>三</w:t>
      </w:r>
      <w:r>
        <w:rPr>
          <w:rFonts w:hint="eastAsia" w:ascii="宋体" w:hAnsi="宋体" w:eastAsia="宋体" w:cs="宋体"/>
          <w:color w:val="000000" w:themeColor="text1"/>
          <w14:textFill>
            <w14:solidFill>
              <w14:schemeClr w14:val="tx1"/>
            </w14:solidFill>
          </w14:textFill>
        </w:rPr>
        <w:t>）</w:t>
      </w:r>
      <w:r>
        <w:rPr>
          <w:rFonts w:hint="eastAsia" w:cs="宋体"/>
          <w:color w:val="000000" w:themeColor="text1"/>
          <w:lang w:val="en-US" w:eastAsia="zh-CN"/>
          <w14:textFill>
            <w14:solidFill>
              <w14:schemeClr w14:val="tx1"/>
            </w14:solidFill>
          </w14:textFill>
        </w:rPr>
        <w:t>中标</w:t>
      </w:r>
      <w:r>
        <w:rPr>
          <w:rFonts w:hint="eastAsia" w:ascii="宋体" w:hAnsi="宋体" w:eastAsia="宋体" w:cs="宋体"/>
          <w:color w:val="000000" w:themeColor="text1"/>
          <w14:textFill>
            <w14:solidFill>
              <w14:schemeClr w14:val="tx1"/>
            </w14:solidFill>
          </w14:textFill>
        </w:rPr>
        <w:t>通知书。</w:t>
      </w:r>
    </w:p>
    <w:p w14:paraId="0574E0A9">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t>
      </w:r>
      <w:r>
        <w:rPr>
          <w:rFonts w:hint="eastAsia" w:cs="宋体"/>
          <w:color w:val="000000" w:themeColor="text1"/>
          <w:lang w:val="en-US" w:eastAsia="zh-CN"/>
          <w14:textFill>
            <w14:solidFill>
              <w14:schemeClr w14:val="tx1"/>
            </w14:solidFill>
          </w14:textFill>
        </w:rPr>
        <w:t>四</w:t>
      </w:r>
      <w:r>
        <w:rPr>
          <w:rFonts w:hint="eastAsia" w:ascii="宋体" w:hAnsi="宋体" w:eastAsia="宋体" w:cs="宋体"/>
          <w:color w:val="000000" w:themeColor="text1"/>
          <w14:textFill>
            <w14:solidFill>
              <w14:schemeClr w14:val="tx1"/>
            </w14:solidFill>
          </w14:textFill>
        </w:rPr>
        <w:t>）其他。</w:t>
      </w:r>
    </w:p>
    <w:p w14:paraId="24DC1DB0">
      <w:pPr>
        <w:spacing w:line="360" w:lineRule="auto"/>
        <w:rPr>
          <w:rFonts w:hint="eastAsia" w:ascii="宋体" w:hAnsi="宋体" w:eastAsia="宋体" w:cs="宋体"/>
          <w:color w:val="000000" w:themeColor="text1"/>
          <w14:textFill>
            <w14:solidFill>
              <w14:schemeClr w14:val="tx1"/>
            </w14:solidFill>
          </w14:textFill>
        </w:rPr>
      </w:pPr>
    </w:p>
    <w:p w14:paraId="0BA58827">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甲方：   （盖单位公章）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乙方：   （盖单位公章）</w:t>
      </w:r>
    </w:p>
    <w:p w14:paraId="7805D41E">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法定代表人（</w:t>
      </w:r>
      <w:r>
        <w:rPr>
          <w:rFonts w:hint="eastAsia" w:cs="宋体"/>
          <w:color w:val="000000" w:themeColor="text1"/>
          <w:lang w:val="en-US" w:eastAsia="zh-CN"/>
          <w14:textFill>
            <w14:solidFill>
              <w14:schemeClr w14:val="tx1"/>
            </w14:solidFill>
          </w14:textFill>
        </w:rPr>
        <w:t>或</w:t>
      </w:r>
      <w:r>
        <w:rPr>
          <w:rFonts w:hint="eastAsia" w:ascii="宋体" w:hAnsi="宋体" w:eastAsia="宋体" w:cs="宋体"/>
          <w:color w:val="000000" w:themeColor="text1"/>
          <w14:textFill>
            <w14:solidFill>
              <w14:schemeClr w14:val="tx1"/>
            </w14:solidFill>
          </w14:textFill>
        </w:rPr>
        <w:t>授权代表）：           法定代表人（</w:t>
      </w:r>
      <w:r>
        <w:rPr>
          <w:rFonts w:hint="eastAsia" w:cs="宋体"/>
          <w:color w:val="000000" w:themeColor="text1"/>
          <w:lang w:val="en-US" w:eastAsia="zh-CN"/>
          <w14:textFill>
            <w14:solidFill>
              <w14:schemeClr w14:val="tx1"/>
            </w14:solidFill>
          </w14:textFill>
        </w:rPr>
        <w:t>或</w:t>
      </w:r>
      <w:r>
        <w:rPr>
          <w:rFonts w:hint="eastAsia" w:ascii="宋体" w:hAnsi="宋体" w:eastAsia="宋体" w:cs="宋体"/>
          <w:color w:val="000000" w:themeColor="text1"/>
          <w14:textFill>
            <w14:solidFill>
              <w14:schemeClr w14:val="tx1"/>
            </w14:solidFill>
          </w14:textFill>
        </w:rPr>
        <w:t>授权代表）：</w:t>
      </w:r>
    </w:p>
    <w:p w14:paraId="4E72CBBF">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地    址：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地    址：</w:t>
      </w:r>
    </w:p>
    <w:p w14:paraId="2915D167">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开户银行：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开户银行：</w:t>
      </w:r>
    </w:p>
    <w:p w14:paraId="0D378AD6">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账号：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账号：</w:t>
      </w:r>
    </w:p>
    <w:p w14:paraId="0BF220AD">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电    话：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电    话：</w:t>
      </w:r>
    </w:p>
    <w:p w14:paraId="086B2EDC">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传    真：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传    真：</w:t>
      </w:r>
    </w:p>
    <w:p w14:paraId="06D09060">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签约日期：  年  月  日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签约日期：  年  月  日</w:t>
      </w:r>
    </w:p>
    <w:p w14:paraId="246776A2">
      <w:pPr>
        <w:pStyle w:val="5"/>
        <w:rPr>
          <w:rFonts w:hint="eastAsia" w:ascii="宋体" w:hAnsi="宋体" w:eastAsia="宋体" w:cs="宋体"/>
          <w:color w:val="000000" w:themeColor="text1"/>
          <w14:textFill>
            <w14:solidFill>
              <w14:schemeClr w14:val="tx1"/>
            </w14:solidFill>
          </w14:textFill>
        </w:rPr>
      </w:pPr>
    </w:p>
    <w:p w14:paraId="7CEBB04F">
      <w:bookmarkStart w:id="5" w:name="_GoBack"/>
      <w:bookmarkEnd w:id="5"/>
    </w:p>
    <w:sectPr>
      <w:headerReference r:id="rId5" w:type="default"/>
      <w:footerReference r:id="rId6" w:type="default"/>
      <w:pgSz w:w="11906" w:h="16838"/>
      <w:pgMar w:top="1440" w:right="1080" w:bottom="1440" w:left="1080" w:header="851" w:footer="992" w:gutter="0"/>
      <w:cols w:space="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371A3">
    <w:pPr>
      <w:pStyle w:val="8"/>
      <w:tabs>
        <w:tab w:val="clear" w:pos="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3FA3D">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A3FA3D">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4B2AA">
    <w:pPr>
      <w:pStyle w:val="9"/>
      <w:pBdr>
        <w:bottom w:val="none" w:color="auto" w:sz="0" w:space="1"/>
      </w:pBdr>
      <w:tabs>
        <w:tab w:val="clear" w:pos="0"/>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chineseCounting"/>
      <w:pStyle w:val="12"/>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16"/>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0000006"/>
    <w:multiLevelType w:val="multilevel"/>
    <w:tmpl w:val="00000006"/>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E53D6"/>
    <w:rsid w:val="65BE5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pPr>
    <w:rPr>
      <w:rFonts w:ascii="宋体" w:hAnsi="宋体" w:eastAsia="宋体" w:cs="宋体"/>
      <w:kern w:val="2"/>
      <w:sz w:val="24"/>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标题 5（有编号）（绿盟科技）"/>
    <w:basedOn w:val="3"/>
    <w:next w:val="5"/>
    <w:autoRedefine/>
    <w:qFormat/>
    <w:uiPriority w:val="0"/>
    <w:pPr>
      <w:keepNext/>
      <w:keepLines/>
      <w:numPr>
        <w:ilvl w:val="4"/>
        <w:numId w:val="1"/>
      </w:numPr>
      <w:tabs>
        <w:tab w:val="left" w:pos="0"/>
      </w:tabs>
      <w:spacing w:before="280" w:after="156" w:line="377" w:lineRule="auto"/>
      <w:outlineLvl w:val="4"/>
    </w:pPr>
    <w:rPr>
      <w:rFonts w:ascii="Arial" w:hAnsi="Arial" w:eastAsia="黑体"/>
      <w:b/>
      <w:kern w:val="0"/>
      <w:szCs w:val="28"/>
    </w:rPr>
  </w:style>
  <w:style w:type="paragraph" w:customStyle="1" w:styleId="3">
    <w:name w:val="正文1"/>
    <w:next w:val="4"/>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4">
    <w:name w:val="正文2"/>
    <w:basedOn w:val="3"/>
    <w:next w:val="1"/>
    <w:autoRedefine/>
    <w:qFormat/>
    <w:uiPriority w:val="0"/>
    <w:rPr>
      <w:rFonts w:ascii="Times New Roman" w:hAnsi="Times New Roman"/>
      <w:sz w:val="24"/>
      <w:lang w:eastAsia="en-US"/>
    </w:rPr>
  </w:style>
  <w:style w:type="paragraph" w:customStyle="1" w:styleId="5">
    <w:name w:val="正文（绿盟科技）"/>
    <w:autoRedefine/>
    <w:qFormat/>
    <w:uiPriority w:val="0"/>
    <w:pPr>
      <w:spacing w:line="300" w:lineRule="auto"/>
    </w:pPr>
    <w:rPr>
      <w:rFonts w:ascii="Arial" w:hAnsi="Arial" w:eastAsia="宋体" w:cs="黑体"/>
      <w:sz w:val="21"/>
      <w:szCs w:val="21"/>
      <w:lang w:val="en-US" w:eastAsia="zh-CN" w:bidi="ar-SA"/>
    </w:rPr>
  </w:style>
  <w:style w:type="paragraph" w:styleId="6">
    <w:name w:val="Normal Indent"/>
    <w:basedOn w:val="1"/>
    <w:next w:val="7"/>
    <w:qFormat/>
    <w:uiPriority w:val="0"/>
    <w:pPr>
      <w:ind w:firstLine="420" w:firstLineChars="200"/>
    </w:pPr>
    <w:rPr>
      <w:rFonts w:ascii="Times New Roman"/>
    </w:rPr>
  </w:style>
  <w:style w:type="paragraph" w:styleId="7">
    <w:name w:val="index 7"/>
    <w:basedOn w:val="1"/>
    <w:next w:val="1"/>
    <w:qFormat/>
    <w:uiPriority w:val="99"/>
    <w:pPr>
      <w:ind w:left="1200" w:leftChars="1200"/>
    </w:pPr>
  </w:style>
  <w:style w:type="paragraph" w:styleId="8">
    <w:name w:val="footer"/>
    <w:basedOn w:val="1"/>
    <w:qFormat/>
    <w:uiPriority w:val="0"/>
    <w:pPr>
      <w:spacing w:line="240" w:lineRule="auto"/>
    </w:pPr>
    <w:rPr>
      <w:sz w:val="18"/>
      <w:szCs w:val="18"/>
    </w:rPr>
  </w:style>
  <w:style w:type="paragraph" w:styleId="9">
    <w:name w:val="header"/>
    <w:basedOn w:val="1"/>
    <w:qFormat/>
    <w:uiPriority w:val="0"/>
    <w:pPr>
      <w:pBdr>
        <w:bottom w:val="single" w:color="auto" w:sz="6" w:space="1"/>
      </w:pBdr>
      <w:wordWrap w:val="0"/>
      <w:topLinePunct/>
      <w:spacing w:line="240" w:lineRule="auto"/>
      <w:jc w:val="center"/>
    </w:pPr>
    <w:rPr>
      <w:sz w:val="18"/>
      <w:szCs w:val="18"/>
    </w:rPr>
  </w:style>
  <w:style w:type="paragraph" w:customStyle="1" w:styleId="12">
    <w:name w:val="14、“第一章”一级标题"/>
    <w:basedOn w:val="13"/>
    <w:autoRedefine/>
    <w:qFormat/>
    <w:uiPriority w:val="0"/>
    <w:pPr>
      <w:numPr>
        <w:ilvl w:val="0"/>
        <w:numId w:val="2"/>
      </w:numPr>
      <w:spacing w:beforeLines="50" w:afterLines="50" w:line="240" w:lineRule="auto"/>
      <w:jc w:val="center"/>
      <w:outlineLvl w:val="0"/>
    </w:pPr>
    <w:rPr>
      <w:b/>
      <w:sz w:val="36"/>
    </w:rPr>
  </w:style>
  <w:style w:type="paragraph" w:customStyle="1" w:styleId="13">
    <w:name w:val="01、普通正文"/>
    <w:basedOn w:val="1"/>
    <w:autoRedefine/>
    <w:qFormat/>
    <w:uiPriority w:val="0"/>
    <w:pPr>
      <w:wordWrap w:val="0"/>
      <w:topLinePunct/>
    </w:pPr>
    <w:rPr>
      <w:snapToGrid w:val="0"/>
    </w:rPr>
  </w:style>
  <w:style w:type="paragraph" w:customStyle="1" w:styleId="14">
    <w:name w:val="样式 首行缩进:  2 字符"/>
    <w:basedOn w:val="1"/>
    <w:autoRedefine/>
    <w:qFormat/>
    <w:uiPriority w:val="0"/>
    <w:pPr>
      <w:spacing w:line="400" w:lineRule="exact"/>
      <w:ind w:firstLine="200" w:firstLineChars="200"/>
    </w:pPr>
    <w:rPr>
      <w:rFonts w:cs="宋体"/>
    </w:rPr>
  </w:style>
  <w:style w:type="paragraph" w:customStyle="1" w:styleId="15">
    <w:name w:val="null3"/>
    <w:autoRedefine/>
    <w:qFormat/>
    <w:uiPriority w:val="0"/>
    <w:rPr>
      <w:rFonts w:hint="eastAsia" w:ascii="Calibri" w:hAnsi="Calibri" w:eastAsia="宋体" w:cs="Times New Roman"/>
      <w:lang w:val="en-US" w:eastAsia="zh-Hans"/>
    </w:rPr>
  </w:style>
  <w:style w:type="paragraph" w:customStyle="1" w:styleId="16">
    <w:name w:val="15、“一、”二级标题"/>
    <w:basedOn w:val="1"/>
    <w:autoRedefine/>
    <w:qFormat/>
    <w:uiPriority w:val="0"/>
    <w:pPr>
      <w:numPr>
        <w:ilvl w:val="1"/>
        <w:numId w:val="2"/>
      </w:numPr>
      <w:wordWrap w:val="0"/>
      <w:topLinePunct/>
      <w:ind w:firstLine="803" w:firstLineChars="200"/>
      <w:outlineLvl w:val="1"/>
    </w:pPr>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2026-05-28T06:23:00Z</dcterms:created>
  <dc:creator>WPS_1601463405</dc:creator>
  <cp:lastModifiedBy>WPS_1601463405</cp:lastModifiedBy>
  <dcterms:modified xsi:type="dcterms:W3CDTF">2026-05-28T06:23:51Z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A237DE5170F342EAB0D8DF177208447F_11</vt:lpwstr>
  </property>
  <property fmtid="{D5CDD505-2E9C-101B-9397-08002B2CF9AE}" pid="4" name="KSOTemplateDocerSaveRecord">
    <vt:lpwstr>eyJoZGlkIjoiOTZhYmFmYjY1MjlmNDE1M2NjYjQzMmIzYTAxOGFiODYiLCJ1c2VySWQiOiIxMTI2MTA3OTMzIn0=</vt:lpwstr>
  </property>
</Properties>
</file>