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版本号：N510108202600014920260618001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台式计算机采购(二次)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N5101082026000149</w:t>
      </w:r>
    </w:p>
    <w:p>
      <w:pPr>
        <w:pStyle w:val="null3"/>
        <w:jc w:val="left"/>
        <w:outlineLvl w:val="2"/>
      </w:pPr>
      <w:r>
        <w:rPr>
          <w:rFonts w:ascii="仿宋_GB2312" w:hAnsi="仿宋_GB2312" w:cs="仿宋_GB2312" w:eastAsia="仿宋_GB2312"/>
          <w:sz w:val="28"/>
          <w:b/>
        </w:rPr>
        <w:t>四川省成都华西中学</w:t>
      </w:r>
    </w:p>
    <w:p>
      <w:pPr>
        <w:pStyle w:val="null3"/>
        <w:jc w:val="center"/>
        <w:outlineLvl w:val="2"/>
      </w:pPr>
      <w:r>
        <w:rPr>
          <w:rFonts w:ascii="仿宋_GB2312" w:hAnsi="仿宋_GB2312" w:cs="仿宋_GB2312" w:eastAsia="仿宋_GB2312"/>
          <w:sz w:val="28"/>
          <w:b/>
        </w:rPr>
        <w:t>成都市成华区政府采购中心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成都市成华区政府采购中心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四川省成都华西中学</w:t>
      </w:r>
      <w:r>
        <w:rPr>
          <w:rFonts w:ascii="仿宋_GB2312" w:hAnsi="仿宋_GB2312" w:cs="仿宋_GB2312" w:eastAsia="仿宋_GB2312"/>
        </w:rPr>
        <w:t xml:space="preserve"> 委托，拟对 </w:t>
      </w:r>
      <w:r>
        <w:rPr>
          <w:rFonts w:ascii="仿宋_GB2312" w:hAnsi="仿宋_GB2312" w:cs="仿宋_GB2312" w:eastAsia="仿宋_GB2312"/>
        </w:rPr>
        <w:t>台式计算机采购(二次)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成都市成华区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N5101082026000149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台式计算机采购(二次)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本项目为支撑四川省成都华西中学教育教学信息化工作的发展，满足教师日常数字化教学需求，全面提升教师信息技术办公、教学能力，拟采购一批台式计算机</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四川省成都华西中学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成都市双建路南巷1号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唐仲林</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028-83266171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成都市成华区政府采购中心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四川省成都市成华区成都市一环路东三段119号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028-84301771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采购包1：724,565.00元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四川省成都华西中学</w:t>
      </w:r>
      <w:r>
        <w:rPr>
          <w:rFonts w:ascii="仿宋_GB2312" w:hAnsi="仿宋_GB2312" w:cs="仿宋_GB2312" w:eastAsia="仿宋_GB2312"/>
        </w:rPr>
        <w:t xml:space="preserve"> 和 </w:t>
      </w:r>
      <w:r>
        <w:rPr>
          <w:rFonts w:ascii="仿宋_GB2312" w:hAnsi="仿宋_GB2312" w:cs="仿宋_GB2312" w:eastAsia="仿宋_GB2312"/>
        </w:rPr>
        <w:t>成都市成华区政府采购中心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四川省成都华西中学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成都市成华区政府采购中心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详见第三章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四川省成都华西中学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成都市成华区政府采购中心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成都市成华区政府采购中心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联系人：唐仲林</w:t>
      </w:r>
    </w:p>
    <w:p>
      <w:pPr>
        <w:pStyle w:val="null3"/>
        <w:jc w:val="left"/>
      </w:pPr>
      <w:r>
        <w:rPr>
          <w:rFonts w:ascii="仿宋_GB2312" w:hAnsi="仿宋_GB2312" w:cs="仿宋_GB2312" w:eastAsia="仿宋_GB2312"/>
        </w:rPr>
        <w:t>联系电话： 028-83266171</w:t>
      </w:r>
    </w:p>
    <w:p>
      <w:pPr>
        <w:pStyle w:val="null3"/>
        <w:jc w:val="left"/>
      </w:pPr>
      <w:r>
        <w:rPr>
          <w:rFonts w:ascii="仿宋_GB2312" w:hAnsi="仿宋_GB2312" w:cs="仿宋_GB2312" w:eastAsia="仿宋_GB2312"/>
        </w:rPr>
        <w:t>地址：四川省成都市成华区双建路双建南巷1号</w:t>
      </w:r>
    </w:p>
    <w:p>
      <w:pPr>
        <w:pStyle w:val="null3"/>
        <w:jc w:val="left"/>
      </w:pPr>
      <w:r>
        <w:rPr>
          <w:rFonts w:ascii="仿宋_GB2312" w:hAnsi="仿宋_GB2312" w:cs="仿宋_GB2312" w:eastAsia="仿宋_GB2312"/>
        </w:rPr>
        <w:t>邮编：610057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联系人：陈伊含</w:t>
      </w:r>
    </w:p>
    <w:p>
      <w:pPr>
        <w:pStyle w:val="null3"/>
        <w:jc w:val="left"/>
      </w:pPr>
      <w:r>
        <w:rPr>
          <w:rFonts w:ascii="仿宋_GB2312" w:hAnsi="仿宋_GB2312" w:cs="仿宋_GB2312" w:eastAsia="仿宋_GB2312"/>
        </w:rPr>
        <w:t>联系电话：028-84301771</w:t>
      </w:r>
    </w:p>
    <w:p>
      <w:pPr>
        <w:pStyle w:val="null3"/>
        <w:jc w:val="left"/>
      </w:pPr>
      <w:r>
        <w:rPr>
          <w:rFonts w:ascii="仿宋_GB2312" w:hAnsi="仿宋_GB2312" w:cs="仿宋_GB2312" w:eastAsia="仿宋_GB2312"/>
        </w:rPr>
        <w:t>地址： 四川省成都市成华区成都市一环路东三段119号</w:t>
      </w:r>
    </w:p>
    <w:p>
      <w:pPr>
        <w:pStyle w:val="null3"/>
        <w:jc w:val="left"/>
      </w:pPr>
      <w:r>
        <w:rPr>
          <w:rFonts w:ascii="仿宋_GB2312" w:hAnsi="仿宋_GB2312" w:cs="仿宋_GB2312" w:eastAsia="仿宋_GB2312"/>
        </w:rPr>
        <w:t>邮编：610051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724,565.00</w:t>
      </w:r>
    </w:p>
    <w:p>
      <w:pPr>
        <w:pStyle w:val="null3"/>
        <w:jc w:val="left"/>
      </w:pPr>
      <w:r>
        <w:rPr>
          <w:rFonts w:ascii="仿宋_GB2312" w:hAnsi="仿宋_GB2312" w:cs="仿宋_GB2312" w:eastAsia="仿宋_GB2312"/>
        </w:rPr>
        <w:t>采购包最高限价（元）: 724,565.00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145.00（台）</w:t>
            </w:r>
          </w:p>
        </w:tc>
        <w:tc>
          <w:tcPr>
            <w:tcW w:type="dxa" w:w="821"/>
          </w:tcPr>
          <w:p>
            <w:pPr>
              <w:pStyle w:val="null3"/>
              <w:jc w:val="right"/>
            </w:pPr>
            <w:r>
              <w:rPr>
                <w:rFonts w:ascii="仿宋_GB2312" w:hAnsi="仿宋_GB2312" w:cs="仿宋_GB2312" w:eastAsia="仿宋_GB2312"/>
              </w:rPr>
              <w:t>724,565.00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145.00（台）</w:t>
            </w:r>
          </w:p>
        </w:tc>
        <w:tc>
          <w:tcPr>
            <w:tcW w:type="dxa" w:w="1365"/>
          </w:tcPr>
          <w:p>
            <w:pPr>
              <w:pStyle w:val="null3"/>
              <w:jc w:val="center"/>
            </w:pPr>
            <w:r>
              <w:rPr>
                <w:rFonts w:ascii="仿宋_GB2312" w:hAnsi="仿宋_GB2312" w:cs="仿宋_GB2312" w:eastAsia="仿宋_GB2312"/>
              </w:rPr>
              <w:t>724,565.00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台式计算机-显示器</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台式计算机-显示器</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台式电脑</w:t>
            </w:r>
          </w:p>
        </w:tc>
        <w:tc>
          <w:tcPr>
            <w:tcW w:type="dxa" w:w="5814"/>
          </w:tcPr>
          <w:p>
            <w:pPr>
              <w:pStyle w:val="null3"/>
              <w:ind w:firstLine="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处理器</w:t>
            </w:r>
            <w:r>
              <w:rPr>
                <w:rFonts w:ascii="仿宋_GB2312" w:hAnsi="仿宋_GB2312" w:cs="仿宋_GB2312" w:eastAsia="仿宋_GB2312"/>
                <w:sz w:val="24"/>
                <w:color w:val="000000"/>
              </w:rPr>
              <w:t>:CPU物理核心数≥8核，每颗CPU主频≥3.0GHz，三级缓存≥16MB，支持超线程技术（CPU符合安全可靠测评要求,</w:t>
            </w:r>
            <w:r>
              <w:rPr>
                <w:rFonts w:ascii="仿宋_GB2312" w:hAnsi="仿宋_GB2312" w:cs="仿宋_GB2312" w:eastAsia="仿宋_GB2312"/>
                <w:sz w:val="24"/>
                <w:color w:val="000000"/>
              </w:rPr>
              <w:t>通过中国信息安全测评中心《安全可靠测评产品名录》</w:t>
            </w:r>
            <w:r>
              <w:rPr>
                <w:rFonts w:ascii="仿宋_GB2312" w:hAnsi="仿宋_GB2312" w:cs="仿宋_GB2312" w:eastAsia="仿宋_GB2312"/>
                <w:sz w:val="24"/>
                <w:color w:val="000000"/>
              </w:rPr>
              <w:t>I级或Ⅱ级</w:t>
            </w:r>
            <w:r>
              <w:rPr>
                <w:rFonts w:ascii="仿宋_GB2312" w:hAnsi="仿宋_GB2312" w:cs="仿宋_GB2312" w:eastAsia="仿宋_GB2312"/>
                <w:sz w:val="24"/>
                <w:color w:val="000000"/>
              </w:rPr>
              <w:t>）；</w:t>
            </w:r>
          </w:p>
          <w:p>
            <w:pPr>
              <w:pStyle w:val="null3"/>
              <w:spacing w:before="90"/>
              <w:ind w:right="210" w:firstLine="238"/>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GB DDR4 UDIMM内存，配置≥4个内存插槽;</w:t>
            </w:r>
          </w:p>
          <w:p>
            <w:pPr>
              <w:pStyle w:val="null3"/>
              <w:spacing w:before="90"/>
              <w:ind w:right="210" w:firstLine="238"/>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显卡</w:t>
            </w:r>
            <w:r>
              <w:rPr>
                <w:rFonts w:ascii="仿宋_GB2312" w:hAnsi="仿宋_GB2312" w:cs="仿宋_GB2312" w:eastAsia="仿宋_GB2312"/>
                <w:sz w:val="24"/>
                <w:color w:val="000000"/>
              </w:rPr>
              <w:t>:≥2G独立显卡，支持VGA+HDMI视频输出显示；</w:t>
            </w:r>
          </w:p>
          <w:p>
            <w:pPr>
              <w:pStyle w:val="null3"/>
              <w:spacing w:before="90"/>
              <w:ind w:right="210" w:firstLine="238"/>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w:t>
            </w:r>
            <w:r>
              <w:rPr>
                <w:rFonts w:ascii="仿宋_GB2312" w:hAnsi="仿宋_GB2312" w:cs="仿宋_GB2312" w:eastAsia="仿宋_GB2312"/>
                <w:sz w:val="24"/>
                <w:color w:val="000000"/>
              </w:rPr>
              <w:t>512</w:t>
            </w:r>
            <w:r>
              <w:rPr>
                <w:rFonts w:ascii="仿宋_GB2312" w:hAnsi="仿宋_GB2312" w:cs="仿宋_GB2312" w:eastAsia="仿宋_GB2312"/>
                <w:sz w:val="24"/>
                <w:color w:val="000000"/>
              </w:rPr>
              <w:t xml:space="preserve">GB M.2接口NVME协议SSD；  </w:t>
            </w:r>
          </w:p>
          <w:p>
            <w:pPr>
              <w:pStyle w:val="null3"/>
              <w:spacing w:before="90"/>
              <w:ind w:right="210" w:firstLine="238"/>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电源功率：</w:t>
            </w:r>
            <w:r>
              <w:rPr>
                <w:rFonts w:ascii="仿宋_GB2312" w:hAnsi="仿宋_GB2312" w:cs="仿宋_GB2312" w:eastAsia="仿宋_GB2312"/>
                <w:sz w:val="24"/>
                <w:color w:val="000000"/>
              </w:rPr>
              <w:t>≤200W；</w:t>
            </w:r>
          </w:p>
          <w:p>
            <w:pPr>
              <w:pStyle w:val="null3"/>
              <w:spacing w:before="90"/>
              <w:ind w:right="210" w:firstLine="238"/>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网络</w:t>
            </w:r>
            <w:r>
              <w:rPr>
                <w:rFonts w:ascii="仿宋_GB2312" w:hAnsi="仿宋_GB2312" w:cs="仿宋_GB2312" w:eastAsia="仿宋_GB2312"/>
                <w:sz w:val="24"/>
                <w:color w:val="000000"/>
              </w:rPr>
              <w:t xml:space="preserve">: 1个RJ45 10/100/1000自适应以太网口；  </w:t>
            </w:r>
          </w:p>
          <w:p>
            <w:pPr>
              <w:pStyle w:val="null3"/>
              <w:ind w:firstLine="238"/>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接口扩展</w:t>
            </w:r>
            <w:r>
              <w:rPr>
                <w:rFonts w:ascii="仿宋_GB2312" w:hAnsi="仿宋_GB2312" w:cs="仿宋_GB2312" w:eastAsia="仿宋_GB2312"/>
                <w:sz w:val="24"/>
                <w:color w:val="000000"/>
              </w:rPr>
              <w:t>:≥1个PCIe x16，≥1个PCIe x8，≥1个PCIe x1扩展槽；USB接口：≥8个（其中前置USB3.0 ≥4个，后置USB3.0接口≥4个）；音频接口：前置麦克风≥1个，耳机≥1个；后端≥3个Audio音频接口；配套鼠标≥1个，键盘≥1个</w:t>
            </w:r>
            <w:r>
              <w:rPr>
                <w:rFonts w:ascii="仿宋_GB2312" w:hAnsi="仿宋_GB2312" w:cs="仿宋_GB2312" w:eastAsia="仿宋_GB2312"/>
                <w:sz w:val="24"/>
                <w:color w:val="000000"/>
              </w:rPr>
              <w:t>。</w:t>
            </w:r>
          </w:p>
          <w:p>
            <w:pPr>
              <w:pStyle w:val="null3"/>
              <w:spacing w:before="90"/>
              <w:ind w:right="210" w:firstLine="238"/>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机箱</w:t>
            </w:r>
            <w:r>
              <w:rPr>
                <w:rFonts w:ascii="仿宋_GB2312" w:hAnsi="仿宋_GB2312" w:cs="仿宋_GB2312" w:eastAsia="仿宋_GB2312"/>
                <w:sz w:val="24"/>
                <w:color w:val="000000"/>
              </w:rPr>
              <w:t>:≥13.6L，支持全高全长扩展卡；</w:t>
            </w:r>
          </w:p>
          <w:p>
            <w:pPr>
              <w:pStyle w:val="null3"/>
              <w:spacing w:before="90"/>
              <w:ind w:right="210" w:firstLine="238"/>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易用性：免工具拆卸机箱，便于维护（不接受组装），支持键盘开机，产品可使用</w:t>
            </w:r>
            <w:r>
              <w:rPr>
                <w:rFonts w:ascii="仿宋_GB2312" w:hAnsi="仿宋_GB2312" w:cs="仿宋_GB2312" w:eastAsia="仿宋_GB2312"/>
                <w:sz w:val="24"/>
                <w:color w:val="000000"/>
              </w:rPr>
              <w:t>USB键盘组合键开机，产品接口具有功能标识；</w:t>
            </w:r>
          </w:p>
          <w:p>
            <w:pPr>
              <w:pStyle w:val="null3"/>
              <w:spacing w:before="90"/>
              <w:ind w:right="210" w:firstLine="238"/>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数据安全：当硬盘分区遭到破坏</w:t>
            </w:r>
            <w:r>
              <w:rPr>
                <w:rFonts w:ascii="仿宋_GB2312" w:hAnsi="仿宋_GB2312" w:cs="仿宋_GB2312" w:eastAsia="仿宋_GB2312"/>
                <w:sz w:val="24"/>
                <w:color w:val="000000"/>
              </w:rPr>
              <w:t>(使用fdisk工具删除或破坏分区)，导致系统无法启动情况下，可在不连接网络及外部存储（U盘、移动硬盘）情况下，使用基于安全区特性的备份恢复系统将主机恢复到可用状态；BIOS级USB屏蔽及智能USB数据保护：USB支持BIOS下全部接口一键开关，前后分组开关；针对存储设备支持全部USB接口一键切换禁止访问模式/只读模式（</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在响应文件中提供承诺，</w:t>
            </w:r>
            <w:r>
              <w:rPr>
                <w:rFonts w:ascii="仿宋_GB2312" w:hAnsi="仿宋_GB2312" w:cs="仿宋_GB2312" w:eastAsia="仿宋_GB2312"/>
                <w:sz w:val="24"/>
                <w:b/>
                <w:color w:val="000000"/>
              </w:rPr>
              <w:t>验收时</w:t>
            </w:r>
            <w:r>
              <w:rPr>
                <w:rFonts w:ascii="仿宋_GB2312" w:hAnsi="仿宋_GB2312" w:cs="仿宋_GB2312" w:eastAsia="仿宋_GB2312"/>
                <w:sz w:val="24"/>
                <w:b/>
                <w:color w:val="000000"/>
              </w:rPr>
              <w:t>提供此功能操作界面截图并加盖公章</w:t>
            </w:r>
            <w:r>
              <w:rPr>
                <w:rFonts w:ascii="仿宋_GB2312" w:hAnsi="仿宋_GB2312" w:cs="仿宋_GB2312" w:eastAsia="仿宋_GB2312"/>
                <w:sz w:val="24"/>
                <w:color w:val="000000"/>
              </w:rPr>
              <w:t>）；</w:t>
            </w:r>
          </w:p>
          <w:p>
            <w:pPr>
              <w:pStyle w:val="null3"/>
              <w:spacing w:before="90"/>
              <w:ind w:right="210" w:firstLine="238"/>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主板规格：主板采用全固态电容，避免爆浆、漏液</w:t>
            </w:r>
            <w:r>
              <w:rPr>
                <w:rFonts w:ascii="仿宋_GB2312" w:hAnsi="仿宋_GB2312" w:cs="仿宋_GB2312" w:eastAsia="仿宋_GB2312"/>
                <w:sz w:val="24"/>
                <w:color w:val="000000"/>
              </w:rPr>
              <w:t>。</w:t>
            </w:r>
          </w:p>
          <w:p>
            <w:pPr>
              <w:pStyle w:val="null3"/>
              <w:ind w:firstLine="238"/>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≥23.8寸显示器，分辨率≥1920*1080，刷新频率≥100Hz，对比度≥3000:1，接口：VGA≥1，HDMI≥1</w:t>
            </w:r>
            <w:r>
              <w:rPr>
                <w:rFonts w:ascii="仿宋_GB2312" w:hAnsi="仿宋_GB2312" w:cs="仿宋_GB2312" w:eastAsia="仿宋_GB2312"/>
                <w:sz w:val="24"/>
                <w:color w:val="000000"/>
              </w:rPr>
              <w:t>。</w:t>
            </w:r>
          </w:p>
          <w:p>
            <w:pPr>
              <w:pStyle w:val="null3"/>
              <w:spacing w:before="90"/>
              <w:ind w:right="210" w:firstLine="238"/>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操作系统：预装符合《财政部工业和信息化</w:t>
            </w:r>
            <w:r>
              <w:rPr>
                <w:rFonts w:ascii="仿宋_GB2312" w:hAnsi="仿宋_GB2312" w:cs="仿宋_GB2312" w:eastAsia="仿宋_GB2312"/>
                <w:sz w:val="24"/>
                <w:color w:val="000000"/>
              </w:rPr>
              <w:t>部关于</w:t>
            </w:r>
            <w:r>
              <w:rPr>
                <w:rFonts w:ascii="仿宋_GB2312" w:hAnsi="仿宋_GB2312" w:cs="仿宋_GB2312" w:eastAsia="仿宋_GB2312"/>
                <w:sz w:val="24"/>
                <w:color w:val="000000"/>
              </w:rPr>
              <w:t>印发</w:t>
            </w:r>
            <w:r>
              <w:rPr>
                <w:rFonts w:ascii="仿宋_GB2312" w:hAnsi="仿宋_GB2312" w:cs="仿宋_GB2312" w:eastAsia="仿宋_GB2312"/>
                <w:sz w:val="24"/>
                <w:color w:val="000000"/>
              </w:rPr>
              <w:t>&lt;操作系统政府采购需求标准（2023年版）&gt;的通知</w:t>
            </w:r>
            <w:r>
              <w:rPr>
                <w:rFonts w:ascii="仿宋_GB2312" w:hAnsi="仿宋_GB2312" w:cs="仿宋_GB2312" w:eastAsia="仿宋_GB2312"/>
              </w:rPr>
              <w:t xml:space="preserve"> </w:t>
            </w:r>
            <w:r>
              <w:rPr>
                <w:rFonts w:ascii="仿宋_GB2312" w:hAnsi="仿宋_GB2312" w:cs="仿宋_GB2312" w:eastAsia="仿宋_GB2312"/>
                <w:sz w:val="24"/>
                <w:color w:val="000000"/>
              </w:rPr>
              <w:t>》（财库〔</w:t>
            </w:r>
            <w:r>
              <w:rPr>
                <w:rFonts w:ascii="仿宋_GB2312" w:hAnsi="仿宋_GB2312" w:cs="仿宋_GB2312" w:eastAsia="仿宋_GB2312"/>
                <w:sz w:val="24"/>
                <w:color w:val="000000"/>
              </w:rPr>
              <w:t>2023〕34号）的附件“操作系统政府采购需求标准（2023年版</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（操作系统符合安全可靠测评要求,</w:t>
            </w:r>
            <w:r>
              <w:rPr>
                <w:rFonts w:ascii="仿宋_GB2312" w:hAnsi="仿宋_GB2312" w:cs="仿宋_GB2312" w:eastAsia="仿宋_GB2312"/>
                <w:sz w:val="24"/>
                <w:color w:val="000000"/>
              </w:rPr>
              <w:t>通过中国信息安全测评中心《安全可靠测评产品名录》</w:t>
            </w:r>
            <w:r>
              <w:rPr>
                <w:rFonts w:ascii="仿宋_GB2312" w:hAnsi="仿宋_GB2312" w:cs="仿宋_GB2312" w:eastAsia="仿宋_GB2312"/>
                <w:sz w:val="24"/>
                <w:color w:val="000000"/>
              </w:rPr>
              <w:t>I级或Ⅱ级</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spacing w:before="90"/>
              <w:ind w:right="210" w:firstLine="238"/>
              <w:jc w:val="left"/>
            </w:pPr>
            <w:r>
              <w:rPr>
                <w:rFonts w:ascii="仿宋_GB2312" w:hAnsi="仿宋_GB2312" w:cs="仿宋_GB2312" w:eastAsia="仿宋_GB2312"/>
                <w:sz w:val="24"/>
                <w:color w:val="000000"/>
              </w:rPr>
              <w:t>14.操作系统授权许可：成交后提供针对终端用户的产品授权许可证书，并可通过扫描证书二维码进行真伪验证。（</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在响应文件中提供承诺，</w:t>
            </w:r>
            <w:r>
              <w:rPr>
                <w:rFonts w:ascii="仿宋_GB2312" w:hAnsi="仿宋_GB2312" w:cs="仿宋_GB2312" w:eastAsia="仿宋_GB2312"/>
                <w:sz w:val="24"/>
                <w:b/>
                <w:color w:val="000000"/>
              </w:rPr>
              <w:t>验收时</w:t>
            </w:r>
            <w:r>
              <w:rPr>
                <w:rFonts w:ascii="仿宋_GB2312" w:hAnsi="仿宋_GB2312" w:cs="仿宋_GB2312" w:eastAsia="仿宋_GB2312"/>
                <w:sz w:val="24"/>
                <w:b/>
                <w:color w:val="000000"/>
              </w:rPr>
              <w:t>提供许可证书并加盖公章</w:t>
            </w:r>
            <w:r>
              <w:rPr>
                <w:rFonts w:ascii="仿宋_GB2312" w:hAnsi="仿宋_GB2312" w:cs="仿宋_GB2312" w:eastAsia="仿宋_GB2312"/>
                <w:sz w:val="24"/>
                <w:color w:val="000000"/>
              </w:rPr>
              <w:t>）</w:t>
            </w:r>
          </w:p>
          <w:p>
            <w:pPr>
              <w:pStyle w:val="null3"/>
              <w:spacing w:before="105"/>
              <w:ind w:left="120"/>
              <w:jc w:val="left"/>
            </w:pPr>
            <w:r>
              <w:rPr>
                <w:rFonts w:ascii="仿宋_GB2312" w:hAnsi="仿宋_GB2312" w:cs="仿宋_GB2312" w:eastAsia="仿宋_GB2312"/>
                <w:sz w:val="24"/>
                <w:color w:val="000000"/>
              </w:rPr>
              <w:t>15.配置教学管理</w:t>
            </w:r>
            <w:r>
              <w:rPr>
                <w:rFonts w:ascii="仿宋_GB2312" w:hAnsi="仿宋_GB2312" w:cs="仿宋_GB2312" w:eastAsia="仿宋_GB2312"/>
                <w:sz w:val="24"/>
                <w:color w:val="000000"/>
              </w:rPr>
              <w:t>软件：</w:t>
            </w:r>
          </w:p>
          <w:p>
            <w:pPr>
              <w:pStyle w:val="null3"/>
              <w:spacing w:before="90"/>
              <w:ind w:right="21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支持智慧对拷功能，可预设</w:t>
            </w:r>
            <w:r>
              <w:rPr>
                <w:rFonts w:ascii="仿宋_GB2312" w:hAnsi="仿宋_GB2312" w:cs="仿宋_GB2312" w:eastAsia="仿宋_GB2312"/>
                <w:sz w:val="24"/>
                <w:color w:val="000000"/>
              </w:rPr>
              <w:t>P2P、广播、组播、单播等对拷数据发送方式，根据网络状况预设全速、高速、快速、流畅等延时时间；同时支持对终端进行智慧排序IP分配、参数对拷等操作</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在响应文件中提供承诺，</w:t>
            </w:r>
            <w:r>
              <w:rPr>
                <w:rFonts w:ascii="仿宋_GB2312" w:hAnsi="仿宋_GB2312" w:cs="仿宋_GB2312" w:eastAsia="仿宋_GB2312"/>
                <w:sz w:val="24"/>
                <w:b/>
                <w:color w:val="000000"/>
              </w:rPr>
              <w:t>验收时</w:t>
            </w:r>
            <w:r>
              <w:rPr>
                <w:rFonts w:ascii="仿宋_GB2312" w:hAnsi="仿宋_GB2312" w:cs="仿宋_GB2312" w:eastAsia="仿宋_GB2312"/>
                <w:sz w:val="24"/>
                <w:b/>
                <w:color w:val="000000"/>
              </w:rPr>
              <w:t>提供此功能操作界面截图并加盖公章）</w:t>
            </w:r>
            <w:r>
              <w:rPr>
                <w:rFonts w:ascii="仿宋_GB2312" w:hAnsi="仿宋_GB2312" w:cs="仿宋_GB2312" w:eastAsia="仿宋_GB2312"/>
                <w:sz w:val="24"/>
                <w:color w:val="000000"/>
              </w:rPr>
              <w:t>。</w:t>
            </w:r>
          </w:p>
          <w:p>
            <w:pPr>
              <w:pStyle w:val="null3"/>
              <w:spacing w:before="90"/>
              <w:ind w:right="21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支持网络影院功能，可进行全屏或窗口广播，支持</w:t>
            </w:r>
            <w:r>
              <w:rPr>
                <w:rFonts w:ascii="仿宋_GB2312" w:hAnsi="仿宋_GB2312" w:cs="仿宋_GB2312" w:eastAsia="仿宋_GB2312"/>
                <w:sz w:val="24"/>
                <w:color w:val="000000"/>
              </w:rPr>
              <w:t>mp4、avi、wmv等多种不同格式视频文件播放，实现多媒体高清教学，可根据不同的终端硬件配置选择FFMPEG解码器、DXVA2解码器多种不同的解码方式</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在响应文件中提供承诺，</w:t>
            </w:r>
            <w:r>
              <w:rPr>
                <w:rFonts w:ascii="仿宋_GB2312" w:hAnsi="仿宋_GB2312" w:cs="仿宋_GB2312" w:eastAsia="仿宋_GB2312"/>
                <w:sz w:val="24"/>
                <w:b/>
                <w:color w:val="000000"/>
              </w:rPr>
              <w:t>验收时</w:t>
            </w:r>
            <w:r>
              <w:rPr>
                <w:rFonts w:ascii="仿宋_GB2312" w:hAnsi="仿宋_GB2312" w:cs="仿宋_GB2312" w:eastAsia="仿宋_GB2312"/>
                <w:sz w:val="24"/>
                <w:b/>
                <w:color w:val="000000"/>
              </w:rPr>
              <w:t>提供此功能操作界面截图并加盖公章）</w:t>
            </w:r>
            <w:r>
              <w:rPr>
                <w:rFonts w:ascii="仿宋_GB2312" w:hAnsi="仿宋_GB2312" w:cs="仿宋_GB2312" w:eastAsia="仿宋_GB2312"/>
                <w:sz w:val="24"/>
                <w:color w:val="000000"/>
              </w:rPr>
              <w:t>。</w:t>
            </w:r>
          </w:p>
          <w:p>
            <w:pPr>
              <w:pStyle w:val="null3"/>
              <w:spacing w:before="90"/>
              <w:ind w:right="21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支持设备锁定功能，满足不同教学场景下对学生端的设备管控，提供锁定键鼠、锁定屏幕、锁定</w:t>
            </w:r>
            <w:r>
              <w:rPr>
                <w:rFonts w:ascii="仿宋_GB2312" w:hAnsi="仿宋_GB2312" w:cs="仿宋_GB2312" w:eastAsia="仿宋_GB2312"/>
                <w:sz w:val="24"/>
                <w:color w:val="000000"/>
              </w:rPr>
              <w:t>USB、黑屏肃静、禁用/锁定网络、禁止举手，支持禁用扬声器、锁定光驱等操作</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在响应文件中提供承诺，</w:t>
            </w:r>
            <w:r>
              <w:rPr>
                <w:rFonts w:ascii="仿宋_GB2312" w:hAnsi="仿宋_GB2312" w:cs="仿宋_GB2312" w:eastAsia="仿宋_GB2312"/>
                <w:sz w:val="24"/>
                <w:b/>
                <w:color w:val="000000"/>
              </w:rPr>
              <w:t>验收时</w:t>
            </w:r>
            <w:r>
              <w:rPr>
                <w:rFonts w:ascii="仿宋_GB2312" w:hAnsi="仿宋_GB2312" w:cs="仿宋_GB2312" w:eastAsia="仿宋_GB2312"/>
                <w:sz w:val="24"/>
                <w:b/>
                <w:color w:val="000000"/>
              </w:rPr>
              <w:t>提供此功能操作界面截图并加盖公章）</w:t>
            </w:r>
            <w:r>
              <w:rPr>
                <w:rFonts w:ascii="仿宋_GB2312" w:hAnsi="仿宋_GB2312" w:cs="仿宋_GB2312" w:eastAsia="仿宋_GB2312"/>
                <w:sz w:val="24"/>
                <w:color w:val="000000"/>
              </w:rPr>
              <w:t>。</w:t>
            </w:r>
          </w:p>
          <w:p>
            <w:pPr>
              <w:pStyle w:val="null3"/>
              <w:spacing w:before="90"/>
              <w:ind w:right="21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参数设置功能，可对学生端各个分区的还原策略（包括不还原、每次开机、定时、手动还原）、纯净模式（包括隐藏启动界面、隐藏系统信息、隐藏功能按钮）、启动设置（包括默认启动操作系统以及进入系统延时时间）、学生端软件启动密码等信息进行批量设置支持隐藏进度条、以及对系统分区设置启动密码，无需在终端逐台操作，快速完成桌面环境配置</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在响应文件中提供承诺，</w:t>
            </w:r>
            <w:r>
              <w:rPr>
                <w:rFonts w:ascii="仿宋_GB2312" w:hAnsi="仿宋_GB2312" w:cs="仿宋_GB2312" w:eastAsia="仿宋_GB2312"/>
                <w:sz w:val="24"/>
                <w:b/>
                <w:color w:val="000000"/>
              </w:rPr>
              <w:t>验收时</w:t>
            </w:r>
            <w:r>
              <w:rPr>
                <w:rFonts w:ascii="仿宋_GB2312" w:hAnsi="仿宋_GB2312" w:cs="仿宋_GB2312" w:eastAsia="仿宋_GB2312"/>
                <w:sz w:val="24"/>
                <w:b/>
                <w:color w:val="000000"/>
              </w:rPr>
              <w:t>提供此功能操作界面截图并加盖公章）</w:t>
            </w:r>
            <w:r>
              <w:rPr>
                <w:rFonts w:ascii="仿宋_GB2312" w:hAnsi="仿宋_GB2312" w:cs="仿宋_GB2312" w:eastAsia="仿宋_GB2312"/>
                <w:sz w:val="24"/>
                <w:color w:val="000000"/>
              </w:rPr>
              <w:t>。</w:t>
            </w:r>
          </w:p>
          <w:p>
            <w:pPr>
              <w:pStyle w:val="null3"/>
              <w:spacing w:before="90"/>
              <w:ind w:right="21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BIOS底层管理，无需进入系统下即可完成对硬盘分区新建、删除和编辑维护，及IP地址、ID信息、计算机名、管理密码信息的修改和关机重启操作</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在响应文件中提供承诺，</w:t>
            </w:r>
            <w:r>
              <w:rPr>
                <w:rFonts w:ascii="仿宋_GB2312" w:hAnsi="仿宋_GB2312" w:cs="仿宋_GB2312" w:eastAsia="仿宋_GB2312"/>
                <w:sz w:val="24"/>
                <w:b/>
                <w:color w:val="000000"/>
              </w:rPr>
              <w:t>验收时</w:t>
            </w:r>
            <w:r>
              <w:rPr>
                <w:rFonts w:ascii="仿宋_GB2312" w:hAnsi="仿宋_GB2312" w:cs="仿宋_GB2312" w:eastAsia="仿宋_GB2312"/>
                <w:sz w:val="24"/>
                <w:b/>
                <w:color w:val="000000"/>
              </w:rPr>
              <w:t>提供此功能操作界面截图并加盖公章）</w:t>
            </w:r>
            <w:r>
              <w:rPr>
                <w:rFonts w:ascii="仿宋_GB2312" w:hAnsi="仿宋_GB2312" w:cs="仿宋_GB2312" w:eastAsia="仿宋_GB2312"/>
                <w:sz w:val="24"/>
                <w:color w:val="000000"/>
              </w:rPr>
              <w:t>。</w:t>
            </w:r>
          </w:p>
          <w:p>
            <w:pPr>
              <w:pStyle w:val="null3"/>
              <w:spacing w:before="90"/>
              <w:ind w:right="21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Windows、UOS或Kylin系统下的广播教学、学生演示、网络影院、打开网页 、收取作业、文件分发、电子点名、在线考试、屏幕录制等多种课堂教学功能</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在响应文件中提供承诺，</w:t>
            </w:r>
            <w:r>
              <w:rPr>
                <w:rFonts w:ascii="仿宋_GB2312" w:hAnsi="仿宋_GB2312" w:cs="仿宋_GB2312" w:eastAsia="仿宋_GB2312"/>
                <w:sz w:val="24"/>
                <w:b/>
                <w:color w:val="000000"/>
              </w:rPr>
              <w:t>验收时</w:t>
            </w:r>
            <w:r>
              <w:rPr>
                <w:rFonts w:ascii="仿宋_GB2312" w:hAnsi="仿宋_GB2312" w:cs="仿宋_GB2312" w:eastAsia="仿宋_GB2312"/>
                <w:sz w:val="24"/>
                <w:b/>
                <w:color w:val="000000"/>
              </w:rPr>
              <w:t>提供此功能操作界面截图并加盖公章）</w:t>
            </w:r>
            <w:r>
              <w:rPr>
                <w:rFonts w:ascii="仿宋_GB2312" w:hAnsi="仿宋_GB2312" w:cs="仿宋_GB2312" w:eastAsia="仿宋_GB2312"/>
                <w:sz w:val="24"/>
                <w:color w:val="000000"/>
              </w:rPr>
              <w:t>。</w:t>
            </w:r>
          </w:p>
          <w:p>
            <w:pPr>
              <w:pStyle w:val="null3"/>
              <w:spacing w:before="90"/>
              <w:ind w:right="21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支持文件分发功能，可实时查看分发进度，支持自定义设置接收端收取文件的目标路径；在</w:t>
            </w:r>
            <w:r>
              <w:rPr>
                <w:rFonts w:ascii="仿宋_GB2312" w:hAnsi="仿宋_GB2312" w:cs="仿宋_GB2312" w:eastAsia="仿宋_GB2312"/>
                <w:sz w:val="24"/>
                <w:color w:val="000000"/>
              </w:rPr>
              <w:t>UOS、Kylin以及方德系统下，教师端可对单个、多个或全部学生端批量下发不同类型的文件，下发时可选择覆盖已存在的文件、仅传输、传输并用关联程序打开、传输并打开目标文件夹、传输并安装程序（软件分发）等不同操作</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在响应文件中提供承诺，</w:t>
            </w:r>
            <w:r>
              <w:rPr>
                <w:rFonts w:ascii="仿宋_GB2312" w:hAnsi="仿宋_GB2312" w:cs="仿宋_GB2312" w:eastAsia="仿宋_GB2312"/>
                <w:sz w:val="24"/>
                <w:b/>
                <w:color w:val="000000"/>
              </w:rPr>
              <w:t>验收时</w:t>
            </w:r>
            <w:r>
              <w:rPr>
                <w:rFonts w:ascii="仿宋_GB2312" w:hAnsi="仿宋_GB2312" w:cs="仿宋_GB2312" w:eastAsia="仿宋_GB2312"/>
                <w:sz w:val="24"/>
                <w:b/>
                <w:color w:val="000000"/>
              </w:rPr>
              <w:t>提供此功能操作界面截图并加盖公章）</w:t>
            </w:r>
            <w:r>
              <w:rPr>
                <w:rFonts w:ascii="仿宋_GB2312" w:hAnsi="仿宋_GB2312" w:cs="仿宋_GB2312" w:eastAsia="仿宋_GB2312"/>
                <w:sz w:val="24"/>
                <w:color w:val="000000"/>
              </w:rPr>
              <w:t>。</w:t>
            </w:r>
          </w:p>
          <w:p>
            <w:pPr>
              <w:pStyle w:val="null3"/>
              <w:spacing w:before="90"/>
              <w:ind w:right="210" w:firstLine="238"/>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供应商响应产品具有①网络设置、②快速保存、③快速还原、④分区设置、⑤模式管理、⑥系统切换、⑦系统更新、⑧智能USB、⑨文件粉碎共9种本机管理功能。</w:t>
            </w:r>
            <w:r>
              <w:rPr>
                <w:rFonts w:ascii="仿宋_GB2312" w:hAnsi="仿宋_GB2312" w:cs="仿宋_GB2312" w:eastAsia="仿宋_GB2312"/>
                <w:sz w:val="24"/>
                <w:b/>
                <w:color w:val="000000"/>
              </w:rPr>
              <w:t>（供应商提供此功能操作界面完整全屏截图并加盖公章）</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17.</w:t>
            </w:r>
            <w:r>
              <w:rPr>
                <w:rFonts w:ascii="仿宋_GB2312" w:hAnsi="仿宋_GB2312" w:cs="仿宋_GB2312" w:eastAsia="仿宋_GB2312"/>
                <w:sz w:val="24"/>
                <w:color w:val="000000"/>
              </w:rPr>
              <w:t>除以上技术参数与性能指标外，供应商所投台式计算</w:t>
            </w:r>
            <w:r>
              <w:rPr>
                <w:rFonts w:ascii="仿宋_GB2312" w:hAnsi="仿宋_GB2312" w:cs="仿宋_GB2312" w:eastAsia="仿宋_GB2312"/>
                <w:sz w:val="24"/>
                <w:color w:val="000000"/>
              </w:rPr>
              <w:t>机主机、台式计算机显示器还应满足《财政部</w:t>
            </w:r>
            <w:r>
              <w:rPr>
                <w:rFonts w:ascii="仿宋_GB2312" w:hAnsi="仿宋_GB2312" w:cs="仿宋_GB2312" w:eastAsia="仿宋_GB2312"/>
                <w:sz w:val="24"/>
                <w:color w:val="000000"/>
              </w:rPr>
              <w:t>工业和信</w:t>
            </w:r>
            <w:r>
              <w:rPr>
                <w:rFonts w:ascii="仿宋_GB2312" w:hAnsi="仿宋_GB2312" w:cs="仿宋_GB2312" w:eastAsia="仿宋_GB2312"/>
                <w:sz w:val="24"/>
                <w:color w:val="000000"/>
              </w:rPr>
              <w:t>息化部关于印发</w:t>
            </w:r>
            <w:r>
              <w:rPr>
                <w:rFonts w:ascii="仿宋_GB2312" w:hAnsi="仿宋_GB2312" w:cs="仿宋_GB2312" w:eastAsia="仿宋_GB2312"/>
                <w:sz w:val="24"/>
                <w:color w:val="000000"/>
              </w:rPr>
              <w:t>&lt;台式计算机政府采购需求标准（2023</w:t>
            </w:r>
            <w:r>
              <w:rPr>
                <w:rFonts w:ascii="仿宋_GB2312" w:hAnsi="仿宋_GB2312" w:cs="仿宋_GB2312" w:eastAsia="仿宋_GB2312"/>
                <w:sz w:val="24"/>
                <w:color w:val="000000"/>
              </w:rPr>
              <w:t>年版）</w:t>
            </w:r>
            <w:r>
              <w:rPr>
                <w:rFonts w:ascii="仿宋_GB2312" w:hAnsi="仿宋_GB2312" w:cs="仿宋_GB2312" w:eastAsia="仿宋_GB2312"/>
                <w:sz w:val="24"/>
                <w:color w:val="000000"/>
              </w:rPr>
              <w:t>&gt;的通知》（财库〔2023〕29号）的附件“台式计</w:t>
            </w:r>
            <w:r>
              <w:rPr>
                <w:rFonts w:ascii="仿宋_GB2312" w:hAnsi="仿宋_GB2312" w:cs="仿宋_GB2312" w:eastAsia="仿宋_GB2312"/>
                <w:sz w:val="24"/>
                <w:color w:val="000000"/>
              </w:rPr>
              <w:t>算机政府采购需求标准（</w:t>
            </w:r>
            <w:r>
              <w:rPr>
                <w:rFonts w:ascii="仿宋_GB2312" w:hAnsi="仿宋_GB2312" w:cs="仿宋_GB2312" w:eastAsia="仿宋_GB2312"/>
                <w:sz w:val="24"/>
                <w:color w:val="000000"/>
              </w:rPr>
              <w:t>2023年版）”中全部加“*”指</w:t>
            </w:r>
            <w:r>
              <w:rPr>
                <w:rFonts w:ascii="仿宋_GB2312" w:hAnsi="仿宋_GB2312" w:cs="仿宋_GB2312" w:eastAsia="仿宋_GB2312"/>
                <w:sz w:val="24"/>
                <w:color w:val="000000"/>
              </w:rPr>
              <w:t>标要求。</w:t>
            </w:r>
            <w:r>
              <w:rPr>
                <w:rFonts w:ascii="仿宋_GB2312" w:hAnsi="仿宋_GB2312" w:cs="仿宋_GB2312" w:eastAsia="仿宋_GB2312"/>
                <w:sz w:val="24"/>
                <w:b/>
                <w:color w:val="000000"/>
              </w:rPr>
              <w:t>（说明：供应商在响应文件中提供承诺）</w:t>
            </w:r>
          </w:p>
          <w:p>
            <w:pPr>
              <w:pStyle w:val="null3"/>
              <w:ind w:firstLine="240"/>
              <w:jc w:val="left"/>
            </w:pPr>
            <w:r>
              <w:rPr>
                <w:rFonts w:ascii="仿宋_GB2312" w:hAnsi="仿宋_GB2312" w:cs="仿宋_GB2312" w:eastAsia="仿宋_GB2312"/>
                <w:sz w:val="24"/>
                <w:color w:val="000000"/>
              </w:rPr>
              <w:t>18.供应商所投台式计算机主机、台式计算机显示器应具</w:t>
            </w:r>
            <w:r>
              <w:rPr>
                <w:rFonts w:ascii="仿宋_GB2312" w:hAnsi="仿宋_GB2312" w:cs="仿宋_GB2312" w:eastAsia="仿宋_GB2312"/>
                <w:sz w:val="24"/>
                <w:color w:val="000000"/>
              </w:rPr>
              <w:t>有国家确定的认证机构出具的处于有效期之内的节能产</w:t>
            </w:r>
            <w:r>
              <w:rPr>
                <w:rFonts w:ascii="仿宋_GB2312" w:hAnsi="仿宋_GB2312" w:cs="仿宋_GB2312" w:eastAsia="仿宋_GB2312"/>
                <w:sz w:val="24"/>
                <w:color w:val="000000"/>
              </w:rPr>
              <w:t>品认证证书。</w:t>
            </w:r>
            <w:r>
              <w:rPr>
                <w:rFonts w:ascii="仿宋_GB2312" w:hAnsi="仿宋_GB2312" w:cs="仿宋_GB2312" w:eastAsia="仿宋_GB2312"/>
                <w:sz w:val="24"/>
                <w:b/>
                <w:color w:val="000000"/>
              </w:rPr>
              <w:t>（说明：</w:t>
            </w:r>
            <w:r>
              <w:rPr>
                <w:rFonts w:ascii="仿宋_GB2312" w:hAnsi="仿宋_GB2312" w:cs="仿宋_GB2312" w:eastAsia="仿宋_GB2312"/>
                <w:sz w:val="24"/>
                <w:b/>
                <w:color w:val="000000"/>
              </w:rPr>
              <w:t>1.提供由国家确定的认证机构出</w:t>
            </w:r>
            <w:r>
              <w:rPr>
                <w:rFonts w:ascii="仿宋_GB2312" w:hAnsi="仿宋_GB2312" w:cs="仿宋_GB2312" w:eastAsia="仿宋_GB2312"/>
                <w:sz w:val="24"/>
                <w:b/>
                <w:color w:val="000000"/>
              </w:rPr>
              <w:t>具的、处于有效期之内的节能产品认证证书的原件扫描</w:t>
            </w:r>
            <w:r>
              <w:rPr>
                <w:rFonts w:ascii="仿宋_GB2312" w:hAnsi="仿宋_GB2312" w:cs="仿宋_GB2312" w:eastAsia="仿宋_GB2312"/>
                <w:sz w:val="24"/>
                <w:b/>
                <w:color w:val="000000"/>
              </w:rPr>
              <w:t>件，或</w:t>
            </w:r>
            <w:r>
              <w:rPr>
                <w:rFonts w:ascii="仿宋_GB2312" w:hAnsi="仿宋_GB2312" w:cs="仿宋_GB2312" w:eastAsia="仿宋_GB2312"/>
                <w:sz w:val="24"/>
                <w:b/>
                <w:color w:val="000000"/>
              </w:rPr>
              <w:t>“全国认证认可信息公共服务平台”（http://c</w:t>
            </w:r>
            <w:r>
              <w:rPr>
                <w:rFonts w:ascii="仿宋_GB2312" w:hAnsi="仿宋_GB2312" w:cs="仿宋_GB2312" w:eastAsia="仿宋_GB2312"/>
                <w:sz w:val="24"/>
                <w:b/>
                <w:color w:val="000000"/>
              </w:rPr>
              <w:t>x.cnca.cn）的认证信息截图。2.若提供“全国认证认</w:t>
            </w:r>
            <w:r>
              <w:rPr>
                <w:rFonts w:ascii="仿宋_GB2312" w:hAnsi="仿宋_GB2312" w:cs="仿宋_GB2312" w:eastAsia="仿宋_GB2312"/>
                <w:sz w:val="24"/>
                <w:b/>
                <w:color w:val="000000"/>
              </w:rPr>
              <w:t>可信息公共服务平台</w:t>
            </w:r>
            <w:r>
              <w:rPr>
                <w:rFonts w:ascii="仿宋_GB2312" w:hAnsi="仿宋_GB2312" w:cs="仿宋_GB2312" w:eastAsia="仿宋_GB2312"/>
                <w:sz w:val="24"/>
                <w:b/>
                <w:color w:val="000000"/>
              </w:rPr>
              <w:t>”（http://cx.cnca.cn）的认证</w:t>
            </w:r>
            <w:r>
              <w:rPr>
                <w:rFonts w:ascii="仿宋_GB2312" w:hAnsi="仿宋_GB2312" w:cs="仿宋_GB2312" w:eastAsia="仿宋_GB2312"/>
                <w:sz w:val="24"/>
                <w:b/>
                <w:color w:val="000000"/>
              </w:rPr>
              <w:t>信息截图的，截图内容至少包含证书到期日期、认证依</w:t>
            </w:r>
            <w:r>
              <w:rPr>
                <w:rFonts w:ascii="仿宋_GB2312" w:hAnsi="仿宋_GB2312" w:cs="仿宋_GB2312" w:eastAsia="仿宋_GB2312"/>
                <w:sz w:val="24"/>
                <w:b/>
                <w:color w:val="000000"/>
              </w:rPr>
              <w:t>据的标准和技术要求以及响应产品规格型号。）</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315"/>
              <w:jc w:val="left"/>
              <w:outlineLvl w:val="0"/>
            </w:pPr>
            <w:r>
              <w:rPr>
                <w:rFonts w:ascii="仿宋_GB2312" w:hAnsi="仿宋_GB2312" w:cs="仿宋_GB2312" w:eastAsia="仿宋_GB2312"/>
                <w:sz w:val="24"/>
                <w:b/>
              </w:rPr>
              <w:t>1、供应商为本项目提供的所有产品、辅材符合现行的强制性国家相关标准、行业标准。（说明：供应商在响应文件中提供承诺。）</w:t>
            </w:r>
          </w:p>
          <w:p>
            <w:pPr>
              <w:pStyle w:val="null3"/>
              <w:spacing w:before="315"/>
              <w:ind w:left="600"/>
              <w:jc w:val="left"/>
              <w:outlineLvl w:val="0"/>
            </w:pPr>
            <w:r>
              <w:rPr>
                <w:rFonts w:ascii="仿宋_GB2312" w:hAnsi="仿宋_GB2312" w:cs="仿宋_GB2312" w:eastAsia="仿宋_GB2312"/>
                <w:sz w:val="24"/>
                <w:b/>
              </w:rPr>
              <w:t>2、供应商为本项目提供的所有产品、辅材中属于《国家强制性产品认证目录》范围内产品的，均通过国家强制性产品认证并取得认证证书；（说明：供应商在响应文件中提供承诺。）</w:t>
            </w:r>
          </w:p>
          <w:p>
            <w:pPr>
              <w:pStyle w:val="null3"/>
              <w:spacing w:before="315"/>
              <w:ind w:left="600"/>
              <w:jc w:val="left"/>
              <w:outlineLvl w:val="0"/>
            </w:pPr>
            <w:r>
              <w:rPr>
                <w:rFonts w:ascii="仿宋_GB2312" w:hAnsi="仿宋_GB2312" w:cs="仿宋_GB2312" w:eastAsia="仿宋_GB2312"/>
                <w:sz w:val="24"/>
                <w:b/>
              </w:rPr>
              <w:t>3、如涉及本项目的标准或政策若有适时变化，按最新标准或政策执行。（说明：供应商在响应文件中提供承诺。）</w:t>
            </w:r>
          </w:p>
          <w:p>
            <w:pPr>
              <w:pStyle w:val="null3"/>
              <w:spacing w:before="315"/>
              <w:ind w:left="600"/>
              <w:jc w:val="left"/>
              <w:outlineLvl w:val="0"/>
            </w:pPr>
            <w:r>
              <w:rPr>
                <w:rFonts w:ascii="仿宋_GB2312" w:hAnsi="仿宋_GB2312" w:cs="仿宋_GB2312" w:eastAsia="仿宋_GB2312"/>
                <w:sz w:val="24"/>
                <w:b/>
              </w:rPr>
              <w:t>4、采购内容中的所有标的（标的名称以报价要求为准），供应商必须在报价表中载明响应报价、产地、品牌、规格型号、制造商、响应产品的单价，台式计算机必须在规格型号中分别载明台式计算机主机和台式计算机显示器的规格型号。供应商在报价表中针对产品所报单价，不得超过对应产品的单价最高限价，否则作无效响应处理。</w:t>
            </w:r>
          </w:p>
          <w:p>
            <w:pPr>
              <w:pStyle w:val="null3"/>
              <w:spacing w:before="315"/>
              <w:ind w:left="600"/>
              <w:jc w:val="left"/>
              <w:outlineLvl w:val="0"/>
            </w:pPr>
            <w:r>
              <w:rPr>
                <w:rFonts w:ascii="仿宋_GB2312" w:hAnsi="仿宋_GB2312" w:cs="仿宋_GB2312" w:eastAsia="仿宋_GB2312"/>
                <w:sz w:val="24"/>
                <w:b/>
              </w:rPr>
              <w:t>5、合同签订要求：供应商向采购人承诺验收时：（1）提供成交产品参数表，采购人根据提供的成交产品参数初验表，与供应商逐条核对成交参数，初验无误后，由供应商单位代表签字，此凭证作为最终验收材料中的验收附件之一；（2）同时需向采购人承诺验收时提供如下资料：①所采购的每台设备的操作系统厂商对所使用操作系统的授权书，所授权使用的操作系统期限为永久，标明操作系统版本号、授权数量、有效期相关信息。（说明：供应商在响应文件中提供承诺。）</w:t>
            </w:r>
          </w:p>
          <w:p>
            <w:pPr>
              <w:pStyle w:val="null3"/>
              <w:jc w:val="left"/>
            </w:pPr>
            <w:r>
              <w:rPr>
                <w:rFonts w:ascii="仿宋_GB2312" w:hAnsi="仿宋_GB2312" w:cs="仿宋_GB2312" w:eastAsia="仿宋_GB2312"/>
              </w:rPr>
              <w:t xml:space="preserve"> </w:t>
            </w:r>
          </w:p>
          <w:p>
            <w:pPr>
              <w:pStyle w:val="null3"/>
              <w:spacing w:before="105" w:after="105"/>
              <w:ind w:firstLine="1044"/>
              <w:jc w:val="both"/>
              <w:outlineLvl w:val="0"/>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 15 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四川省成都华西中学（双建校区），成都市成华区双建路双建南巷1号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1、合同签订后，供应商提供有效发票，采购人自收到发票后，达到付款条件起10日内，支付合同总金额的50.00%</w:t>
            </w:r>
          </w:p>
          <w:p>
            <w:pPr>
              <w:pStyle w:val="null3"/>
              <w:jc w:val="left"/>
            </w:pPr>
            <w:r>
              <w:rPr>
                <w:rFonts w:ascii="仿宋_GB2312" w:hAnsi="仿宋_GB2312" w:cs="仿宋_GB2312" w:eastAsia="仿宋_GB2312"/>
              </w:rPr>
              <w:t>2、所有货物安装调试完毕，且经采购人最终验收合格并签署验收合格报告后，供应商提供有效发票，采购人自收到发票后，达到付款条件起10日内，支付合同总金额的50.00%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本项目履约验收由四川省成都华西中学组织。采购人可以邀请专家、服务对象参与验收，验收时采取随机抽检方式逐条核对产品配置参数，所供产品证明材料，包括但不限于：检测报告、产品彩页、现场功能演示等。验收结果需采购人代表与供应商共同签字确认；供应商所投产品配置应为原厂原配，非后期改装配置，验收时，先提供签合同时承诺的相关资料，采购人可拨打厂商官方400电话核实；验收时如发现所提交的货物不符合采购参数标准及合同规定之情形者，采购人应做出详尽的现场记录，或由双方签署备忘录，此现场记录或备忘录可用作补充、缺失和整改的有效证据，由此产生的时间延误与有关费用由供应商承担，验收期限相应顺延；验收合格，双方签署验收合格报告；供应商凭验收合格报告结算剩余需支付的合同金额。验收不合格且供应商拒不整改的，采购人将不予支付剩余需支付的合同金额。鉴于所采购货物均属于标准化通用产品且通过相关检测，本次性能验收进行随机抽检，如随机抽检通过，则视为项目整体性能达标，项目抽检不影响原厂质保承诺。其他未尽事宜应严格按照《财政部关于进一步加强政府采购需求和履约验收管理的指导意见》 (财库〔2016〕205 号)、《政府采购需求管理办法》 (财库〔2021〕22 号)及询价通知书的相关规定组织验收。采购⼈、成交供应商双⽅如对质量要求和技术指标的约定标准有相互抵触或异议的事项，由采购⼈在采购与投标（响应）⽂件中按质量要求和技术指标⽐较优胜的原则确定该项的约定标准进⾏验收。成交供应商需在项目实施阶段提供不少于两名技术服务人员配合采购人完成货物的安装调试及相关验收工作。</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质保期从验收合格之日起开始计算。本次采购项目所有系统及设备的质保期为 36 个月。</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（1）采购人违约责任 ①采购人无正当理由拒收货物的，采购人应偿付合同总价千分之一的违约金；②采购人逾期支付货款的，除应及时付足货款外，应向供应商偿付欠款总额万分之 1/天的违约金；但累计违约金不得超过未付价款的千分之 1。 （2）供应商违约责任 ①供应商交付的货物质量不符合合同约定的，供应商应向采购人支付合同总价的百分之 10 的违约金，并须在合同规定的交货时间内更换合格的货物给采购人，否则，视作供应商不能交付货物而违约，按本条本款下述第“② ”项规定由供应商偿付违约赔偿金给采购人。②供应商不能交付货物或逾期交付货物而违约的，除应及时交足货物外，应向采购人偿付逾期交货部分货款总额的百分之一/天的违约金；逾期交货超过 15 个工作日，采购人有权终止合同，供应商则应按合同总价的百分之 20 的款额向采购人偿付赔偿金，并须全额退还采购人已经付给供应商的货款及其利息。③供应商货物经采购人送交具有法定资格条件的质量技术监督机构检测后，如检测结果认定货物质量不符合本合同规定标准的，则视为供应商没有按时交货而违约，供应商须在 5 天内无条件更换合格的货物，如逾期不能更换合格的货物，采购人有权终止本合同，供应商应另付合同总价的百分之 20 的赔偿金给采购人。④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 20的款额向采购人支付违约金并赔偿因此给采购人造成的一切损失。⑤供应商偿付的违约金不足以弥补采购人损失的，还应按采购人损失尚未弥补的部分，支付赔偿金给采购人。⑥供应商未经采购人书面同意，不得擅自分包、转包，否则采购人有权立即终止合同，并要求供应商停止分包、 转包行为，同时有权要求供应商承担合同总金额 20%的违约金。⑦若因供应商提供的货物质量问题或供应商及其工作人员、聘用人员在履行职务过程中故意或过失等原因造成任何人身、财产损失的，由供应商承担全部赔偿及法律责任；若因此造成采购人或任意第三人任何损失的（包括但不限于采购人支付的任何赔偿、补偿、罚款等），采购人有权向供应商全额追偿。本项目所称损失包括但不限于守约方直接损失、守约方对第三方的赔偿费用、守约方为维权产生的仲裁费、律师费、保全费、保全担保费、鉴定费、公证费、交通费、住宿费、餐饮费、消除影响的费用以及其他相关费用。供应商违约应当支付的上述费用，采购人有权于未付款项中予以扣除。⑧因供应商原因导致合同解除的，不足以弥补采购人实际损失的，采购人有权另行主张损失赔偿并对供应商进行差价追偿。采购人有权在解除合同后，向第三方采购同规格的替代货物或服务。若替代交易的价格超过本合同约定的价款，则超出部分的差价损失由违约方承担。 （3）解决争议的方法 ①因货物的质量问题发生争议，由质量技术监督部门或其指定的质量鉴定机构进行质量鉴定，鉴定费用由供应商先行垫付。货物符合标准的，鉴定费由采购人承担；货物不符合质量标准的，鉴定费由供应商承担。 ②合同履行期间,若双方发生争议，可协商或由有关部门调解解决，协商或调解不成的，由采购人所在地法院管辖。</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1.全生命周期成本报价要求（以下为独立填报项，不计入总价）    为落实全生命周期成本理念，供应商应在报价文件中一并提供以下全生命周期相关费用的报价，作为采购人评审时的重要参考以及后续合同履约、验收、结算的依据：   （1）质保期满后年度维保费用报价：供应商须明确本项目所投台式计算机在约定的免费质保期（3年）届满后，每年每台计算机的维保服务费用（单位：      元/年·台），并说明维保服务的具体内容范围（包括但不限于：硬件故障维修、配件更换、远程技术支持、现场服务等）。   （2）专用耗材报价：若所投计算机使用专用耗材（如特定型号的电源适配器、电池、键盘、鼠标等非通用配件），供应商须提供专用耗材的清单及单价（专用耗材清单及单价报价表格式自拟）。供应商承诺：在约定期限内（自合同签订之日起3年内），以不高于专用耗材报价文件中所报价格向采购人提供上述专用耗材。   （3）处置报废费用报价：供应商须报出本项目计算机在达到使用年限后（按7年计算），由供应商进行环保处置回收的单台费用（单位：    元/台），或由采购人自行处置时可能产生的环保处置成本估算。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供应商需在使用投标(响应)客户端编制投标文件时，按要求填写《投标（响应）函》完成承诺并进行电子签章。2、行贿犯罪记录：在行贿犯罪信息查询期限内，供应商及其现任法定代人、主要负责人没有行贿犯罪记录的书面声明材料。【说明：①按招标文件的要求提供书面声明材料，响应文件中不需提供中国裁判文书网（https://wenshu.court.gov.cn）查询结果的证明材料；②在行贿犯罪信息查询期限内，供应商及其现任法定代表人、主要负责人没有行贿犯罪记录。】3、未被列入失信被执行人、重大税收违法案件当事人名单、政府采购严重违法失信行为记录名单：1.供应商未列入失信被执行人、重大税收违法案件当事人名单、政府采购严重违法失信行为记录名单的书面声明材料。【说明：①供应商未列入失信被执行人、重大税收违法案件当事人名单、政府采购严重违法失信行为记录名单；②按采购文件的要求提供书面声明材料。】 2. 评审委员会根据“信用中国”和“中国政府采购网”网站的查询结果，在资格审查期间对供应商在参加政府采购活动前三年内，在经营活动中是否被列入失信被执行人、重大税收违法案件当事人名单、政府采购严重违法失信行为记录名单进行审查。【说明：供应商未列入失信被执行人、重大税收违法案件当事人名单、政府采购严重违法失信行为记录名单。】4、未处于被行政部门禁止参与政府采购活动的期限内：供应商未处于被行政部门禁止参与政府采购活动的期限内。【说明：①按采购文件的要求提供书面声明材料；②供应商未处于被行政部门禁止参与政府采购活动的期限内。】5、不属于其他国家相关法律法规规定的禁止参加投标的供应商：1.根据采购文件的要求不属于禁止参加投标或投标无效的供应商；2.评审委员会未发现或者未知晓供应商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需要投标人进行承诺的实质性要求。（因系统格式原因以本条为准）</w:t>
            </w:r>
          </w:p>
        </w:tc>
        <w:tc>
          <w:tcPr>
            <w:tcW w:type="dxa" w:w="3322"/>
          </w:tcPr>
          <w:p>
            <w:pPr>
              <w:pStyle w:val="null3"/>
              <w:jc w:val="left"/>
            </w:pPr>
            <w:r>
              <w:rPr>
                <w:rFonts w:ascii="仿宋_GB2312" w:hAnsi="仿宋_GB2312" w:cs="仿宋_GB2312" w:eastAsia="仿宋_GB2312"/>
              </w:rPr>
              <w:t>采购文件中明确要求单独提供承诺函的,供应商按照采购文件要求上传承诺函;无需供应商单独提供材料进行响应，只需供应商承诺严格遵守并执行的相关实质性要求。编制、提交响应文件的计算机网卡MAC地址、CPU序列号、硬盘序列号等硬件信息由供应商在提交响应文件时进行确认，评审委员会通过开标记录表进行查看。</w:t>
            </w:r>
          </w:p>
        </w:tc>
        <w:tc>
          <w:tcPr>
            <w:tcW w:type="dxa" w:w="1661"/>
          </w:tcPr>
          <w:p>
            <w:pPr>
              <w:pStyle w:val="null3"/>
              <w:jc w:val="left"/>
            </w:pPr>
            <w:r>
              <w:rPr>
                <w:rFonts w:ascii="仿宋_GB2312" w:hAnsi="仿宋_GB2312" w:cs="仿宋_GB2312" w:eastAsia="仿宋_GB2312"/>
              </w:rPr>
              <w:t>响应文件封面,承诺函.docx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响应文件的计量单位、语 言、报价货币、响应有效期、知识产权等采购文件实质性要求或是否应当作无效响应处理。</w:t>
            </w:r>
          </w:p>
        </w:tc>
        <w:tc>
          <w:tcPr>
            <w:tcW w:type="dxa" w:w="3322"/>
          </w:tcPr>
          <w:p>
            <w:pPr>
              <w:pStyle w:val="null3"/>
              <w:jc w:val="left"/>
            </w:pPr>
            <w:r>
              <w:rPr>
                <w:rFonts w:ascii="仿宋_GB2312" w:hAnsi="仿宋_GB2312" w:cs="仿宋_GB2312" w:eastAsia="仿宋_GB2312"/>
              </w:rPr>
              <w:t>响应文件的计量单位、语言、报价货币、响应有效期、知识产权等均符合采购文件的实质性要求以及不应当作无效响应处理。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1、报价唯一（说明：响应文件报价出现前后不一致的，按照采购文件第4章评审办法规定予以修正，修正后的报价经供应商通过项目电子化交易系统进行确认，并加盖供应商（法定名称）电子印章，供应商未在规定时间内确认的，其响应无效。询价小组不得未经要求供应商确认，直接将供应商响应文件作无效处理。） 。 2、未超过采购文件规定的最高限价。 3、报价应包含本次采购要求的所有货物及服务的费用。 4、符合采购文件2.4.5.响应报价要求。</w:t>
            </w:r>
          </w:p>
        </w:tc>
        <w:tc>
          <w:tcPr>
            <w:tcW w:type="dxa" w:w="1661"/>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打★号的技术参数、服务、商务和其他要求</w:t>
            </w:r>
          </w:p>
        </w:tc>
        <w:tc>
          <w:tcPr>
            <w:tcW w:type="dxa" w:w="3322"/>
          </w:tcPr>
          <w:p>
            <w:pPr>
              <w:pStyle w:val="null3"/>
              <w:jc w:val="left"/>
            </w:pPr>
            <w:r>
              <w:rPr>
                <w:rFonts w:ascii="仿宋_GB2312" w:hAnsi="仿宋_GB2312" w:cs="仿宋_GB2312" w:eastAsia="仿宋_GB2312"/>
              </w:rPr>
              <w:t>响应文件均实质性响应采购文件中加★号的技术、服务、商务和其他要求。</w:t>
            </w:r>
          </w:p>
        </w:tc>
        <w:tc>
          <w:tcPr>
            <w:tcW w:type="dxa" w:w="1661"/>
          </w:tcPr>
          <w:p>
            <w:pPr>
              <w:pStyle w:val="null3"/>
              <w:jc w:val="left"/>
            </w:pPr>
            <w:r>
              <w:rPr>
                <w:rFonts w:ascii="仿宋_GB2312" w:hAnsi="仿宋_GB2312" w:cs="仿宋_GB2312" w:eastAsia="仿宋_GB2312"/>
              </w:rPr>
              <w:t>产品技术参数响应表,商务要求应答表.docx,报价表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法定代表人或主要负责人的身份证明书.docx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不属于禁止参加询价或响应无效的供应商</w:t>
            </w:r>
          </w:p>
        </w:tc>
        <w:tc>
          <w:tcPr>
            <w:tcW w:type="dxa" w:w="3322"/>
          </w:tcPr>
          <w:p>
            <w:pPr>
              <w:pStyle w:val="null3"/>
              <w:jc w:val="left"/>
            </w:pPr>
            <w:r>
              <w:rPr>
                <w:rFonts w:ascii="仿宋_GB2312" w:hAnsi="仿宋_GB2312" w:cs="仿宋_GB2312" w:eastAsia="仿宋_GB2312"/>
              </w:rPr>
              <w:t>1、根据采购文件的要求不属于禁止参加询价或响应无效的供应商； 2、询价小组未发现或者未知晓供应商存在属于国家相关法律法规规定的禁止参加询价或响应无效的供应商。</w:t>
            </w:r>
          </w:p>
        </w:tc>
        <w:tc>
          <w:tcPr>
            <w:tcW w:type="dxa" w:w="1661"/>
          </w:tcPr>
          <w:p>
            <w:pPr>
              <w:pStyle w:val="null3"/>
              <w:jc w:val="left"/>
            </w:pPr>
            <w:r>
              <w:rPr>
                <w:rFonts w:ascii="仿宋_GB2312" w:hAnsi="仿宋_GB2312" w:cs="仿宋_GB2312" w:eastAsia="仿宋_GB2312"/>
              </w:rPr>
              <w:t>其他.docx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响应产品制造商为采购文件载明的采购标的及其所属行业（本项目采购标的及其所属行业详见询价通知书3.1采购内容）的小型或微型企业的，则给予其报价10%的价格扣除，用扣除后的价格参与评审。[说明：①响应产品为中小企业制造的货物提供中小企业申明函；响应产品为残疾人福利性单位制造的货物提供残疾人福利性单位声明函；响应产品中为监狱企业制造的货物应提供由省级以上监狱管理局、戒毒管理局（含新疆生产建设兵团）出具的制造商属于监狱企业的证明文件复印件；②残疾人福利性单位、监狱企业视同为小型、微型企业；③同一货物仅作一次价格扣除；④提供的货物既有中小企业制造货物，也有大型企业制造货物的，不享受价格扣除。</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产品技术参数响应表,报价表,其他.docx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详见附件：法定代表人或主要负责人的身份证明书.docx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详见附件：声明函.docx</w:t>
      </w:r>
    </w:p>
    <w:p>
      <w:pPr>
        <w:pStyle w:val="null3"/>
        <w:ind w:firstLine="960"/>
        <w:jc w:val="left"/>
      </w:pPr>
      <w:r>
        <w:rPr>
          <w:rFonts w:ascii="仿宋_GB2312" w:hAnsi="仿宋_GB2312" w:cs="仿宋_GB2312" w:eastAsia="仿宋_GB2312"/>
        </w:rPr>
        <w:t>详见附件：其他.docx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