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仿宋_GB2312" w:hAnsi="仿宋_GB2312" w:eastAsia="仿宋_GB2312" w:cs="仿宋_GB2312"/>
          <w:color w:val="auto"/>
          <w:highlight w:val="none"/>
        </w:rPr>
      </w:pPr>
    </w:p>
    <w:p>
      <w:pPr>
        <w:jc w:val="center"/>
        <w:rPr>
          <w:rFonts w:hint="eastAsia" w:ascii="仿宋_GB2312" w:hAnsi="仿宋_GB2312" w:eastAsia="仿宋_GB2312" w:cs="仿宋_GB2312"/>
          <w:color w:val="auto"/>
          <w:sz w:val="32"/>
          <w:szCs w:val="32"/>
          <w:highlight w:val="none"/>
        </w:rPr>
      </w:pPr>
    </w:p>
    <w:p>
      <w:pPr>
        <w:jc w:val="center"/>
        <w:rPr>
          <w:rFonts w:hint="default" w:ascii="仿宋_GB2312" w:hAnsi="仿宋_GB2312" w:eastAsia="仿宋_GB2312" w:cs="仿宋_GB2312"/>
          <w:b/>
          <w:color w:val="auto"/>
          <w:sz w:val="36"/>
          <w:szCs w:val="36"/>
          <w:highlight w:val="none"/>
          <w:lang w:val="en-US" w:eastAsia="zh-CN"/>
        </w:rPr>
      </w:pPr>
      <w:r>
        <w:rPr>
          <w:rFonts w:hint="default" w:ascii="仿宋_GB2312" w:hAnsi="仿宋_GB2312" w:eastAsia="仿宋_GB2312" w:cs="仿宋_GB2312"/>
          <w:b/>
          <w:color w:val="auto"/>
          <w:sz w:val="36"/>
          <w:szCs w:val="36"/>
          <w:highlight w:val="none"/>
          <w:lang w:val="en-US" w:eastAsia="zh-CN"/>
        </w:rPr>
        <w:t>浙江国际海运职业技术学院公共机房教学电脑采购</w:t>
      </w:r>
    </w:p>
    <w:p>
      <w:pPr>
        <w:tabs>
          <w:tab w:val="left" w:pos="5985"/>
        </w:tabs>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b/>
      </w:r>
    </w:p>
    <w:p>
      <w:pPr>
        <w:pStyle w:val="3"/>
        <w:jc w:val="center"/>
        <w:rPr>
          <w:rFonts w:hint="eastAsia" w:ascii="仿宋_GB2312" w:hAnsi="仿宋_GB2312" w:eastAsia="仿宋_GB2312" w:cs="仿宋_GB2312"/>
          <w:color w:val="auto"/>
          <w:highlight w:val="none"/>
        </w:rPr>
      </w:pPr>
    </w:p>
    <w:p>
      <w:pPr>
        <w:jc w:val="center"/>
        <w:rPr>
          <w:rFonts w:hint="eastAsia" w:ascii="仿宋_GB2312" w:hAnsi="仿宋_GB2312" w:eastAsia="仿宋_GB2312" w:cs="仿宋_GB2312"/>
          <w:color w:val="auto"/>
          <w:sz w:val="24"/>
          <w:szCs w:val="24"/>
          <w:highlight w:val="none"/>
        </w:rPr>
      </w:pPr>
    </w:p>
    <w:p>
      <w:pPr>
        <w:jc w:val="center"/>
        <w:rPr>
          <w:rFonts w:hint="eastAsia" w:ascii="仿宋_GB2312" w:hAnsi="仿宋_GB2312" w:eastAsia="仿宋_GB2312" w:cs="仿宋_GB2312"/>
          <w:color w:val="auto"/>
          <w:sz w:val="24"/>
          <w:szCs w:val="24"/>
          <w:highlight w:val="none"/>
        </w:rPr>
      </w:pPr>
    </w:p>
    <w:p>
      <w:pPr>
        <w:spacing w:line="60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公开招标文件</w:t>
      </w:r>
    </w:p>
    <w:p>
      <w:pPr>
        <w:spacing w:line="60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（电子招投标）</w:t>
      </w:r>
    </w:p>
    <w:p>
      <w:pPr>
        <w:spacing w:line="600" w:lineRule="exact"/>
        <w:jc w:val="center"/>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编号:</w:t>
      </w:r>
      <w:r>
        <w:rPr>
          <w:rFonts w:hint="eastAsia" w:ascii="仿宋_GB2312" w:hAnsi="仿宋_GB2312" w:eastAsia="仿宋_GB2312" w:cs="仿宋_GB2312"/>
          <w:color w:val="auto"/>
          <w:sz w:val="30"/>
          <w:szCs w:val="30"/>
          <w:highlight w:val="none"/>
          <w:lang w:eastAsia="zh-CN"/>
        </w:rPr>
        <w:t>ZSZFCG2026-ZB-032</w:t>
      </w:r>
    </w:p>
    <w:p>
      <w:pPr>
        <w:spacing w:line="600" w:lineRule="exact"/>
        <w:jc w:val="center"/>
        <w:rPr>
          <w:rFonts w:hint="eastAsia" w:ascii="仿宋_GB2312" w:hAnsi="仿宋_GB2312" w:eastAsia="仿宋_GB2312" w:cs="仿宋_GB2312"/>
          <w:color w:val="auto"/>
          <w:sz w:val="30"/>
          <w:szCs w:val="30"/>
          <w:highlight w:val="none"/>
        </w:rPr>
      </w:pPr>
    </w:p>
    <w:p>
      <w:pPr>
        <w:spacing w:line="600" w:lineRule="exact"/>
        <w:jc w:val="center"/>
        <w:rPr>
          <w:rFonts w:hint="eastAsia" w:ascii="仿宋_GB2312" w:hAnsi="仿宋_GB2312" w:eastAsia="仿宋_GB2312" w:cs="仿宋_GB2312"/>
          <w:color w:val="auto"/>
          <w:sz w:val="30"/>
          <w:szCs w:val="30"/>
          <w:highlight w:val="none"/>
        </w:rPr>
      </w:pPr>
    </w:p>
    <w:p>
      <w:pPr>
        <w:spacing w:line="600" w:lineRule="exact"/>
        <w:jc w:val="center"/>
        <w:rPr>
          <w:rFonts w:hint="eastAsia" w:ascii="仿宋_GB2312" w:hAnsi="仿宋_GB2312" w:eastAsia="仿宋_GB2312" w:cs="仿宋_GB2312"/>
          <w:color w:val="auto"/>
          <w:sz w:val="30"/>
          <w:szCs w:val="30"/>
          <w:highlight w:val="none"/>
        </w:rPr>
      </w:pPr>
    </w:p>
    <w:p>
      <w:pPr>
        <w:spacing w:line="600" w:lineRule="exact"/>
        <w:jc w:val="center"/>
        <w:rPr>
          <w:rFonts w:hint="eastAsia" w:ascii="仿宋_GB2312" w:hAnsi="仿宋_GB2312" w:eastAsia="仿宋_GB2312" w:cs="仿宋_GB2312"/>
          <w:color w:val="auto"/>
          <w:sz w:val="30"/>
          <w:szCs w:val="30"/>
          <w:highlight w:val="none"/>
        </w:rPr>
      </w:pPr>
    </w:p>
    <w:p>
      <w:pPr>
        <w:adjustRightInd w:val="0"/>
        <w:snapToGrid w:val="0"/>
        <w:spacing w:line="600" w:lineRule="exact"/>
        <w:jc w:val="center"/>
        <w:rPr>
          <w:rFonts w:hint="eastAsia" w:ascii="仿宋_GB2312" w:hAnsi="仿宋_GB2312" w:eastAsia="仿宋_GB2312" w:cs="仿宋_GB2312"/>
          <w:color w:val="auto"/>
          <w:sz w:val="30"/>
          <w:szCs w:val="30"/>
          <w:highlight w:val="none"/>
          <w:shd w:val="clear" w:color="auto" w:fill="FFFFFF"/>
          <w:lang w:eastAsia="zh-CN"/>
        </w:rPr>
      </w:pPr>
      <w:r>
        <w:rPr>
          <w:rFonts w:hint="eastAsia" w:ascii="仿宋_GB2312" w:hAnsi="仿宋_GB2312" w:eastAsia="仿宋_GB2312" w:cs="仿宋_GB2312"/>
          <w:color w:val="auto"/>
          <w:sz w:val="30"/>
          <w:szCs w:val="30"/>
          <w:highlight w:val="none"/>
          <w:shd w:val="clear" w:color="auto" w:fill="FFFFFF"/>
          <w:lang w:eastAsia="zh-CN"/>
        </w:rPr>
        <w:t>浙江国际海运职业技术学院</w:t>
      </w:r>
    </w:p>
    <w:p>
      <w:pPr>
        <w:adjustRightInd w:val="0"/>
        <w:snapToGrid w:val="0"/>
        <w:spacing w:line="60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舟山市公共资源交易中心</w:t>
      </w:r>
    </w:p>
    <w:p>
      <w:pPr>
        <w:adjustRightInd w:val="0"/>
        <w:snapToGrid w:val="0"/>
        <w:spacing w:line="60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月</w:t>
      </w:r>
    </w:p>
    <w:p>
      <w:pPr>
        <w:adjustRightInd w:val="0"/>
        <w:snapToGrid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bookmarkStart w:id="0" w:name="_Hlt67893495"/>
      <w:bookmarkEnd w:id="0"/>
    </w:p>
    <w:p>
      <w:pPr>
        <w:rPr>
          <w:rFonts w:hint="eastAsia" w:ascii="仿宋_GB2312" w:hAnsi="仿宋_GB2312" w:eastAsia="仿宋_GB2312" w:cs="仿宋_GB2312"/>
          <w:color w:val="auto"/>
          <w:sz w:val="24"/>
          <w:szCs w:val="24"/>
          <w:highlight w:val="none"/>
        </w:rPr>
      </w:pPr>
    </w:p>
    <w:p>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目录</w:t>
      </w:r>
    </w:p>
    <w:p>
      <w:pPr>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招标公告</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投标人须知</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采购需求</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评标办法</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拟签订的合同文本</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第六部分  应提交的有关格式范例</w:t>
      </w:r>
    </w:p>
    <w:p>
      <w:pPr>
        <w:rPr>
          <w:rFonts w:hint="eastAsia" w:ascii="仿宋_GB2312" w:hAnsi="仿宋_GB2312" w:eastAsia="仿宋_GB2312" w:cs="仿宋_GB2312"/>
          <w:color w:val="auto"/>
          <w:sz w:val="24"/>
          <w:szCs w:val="24"/>
          <w:highlight w:val="none"/>
        </w:rPr>
      </w:pPr>
      <w:bookmarkStart w:id="1" w:name="_Hlt91233176"/>
      <w:bookmarkEnd w:id="1"/>
      <w:bookmarkStart w:id="2" w:name="_Toc91899869"/>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ind w:firstLine="3360" w:firstLineChars="1400"/>
        <w:outlineLvl w:val="0"/>
        <w:rPr>
          <w:rFonts w:hint="eastAsia" w:ascii="仿宋_GB2312" w:hAnsi="仿宋_GB2312" w:eastAsia="仿宋_GB2312" w:cs="仿宋_GB2312"/>
          <w:b/>
          <w:color w:val="auto"/>
          <w:sz w:val="28"/>
          <w:szCs w:val="28"/>
          <w:highlight w:val="none"/>
        </w:rPr>
      </w:pPr>
      <w:bookmarkStart w:id="3" w:name="第一部分"/>
      <w:r>
        <w:rPr>
          <w:rFonts w:hint="eastAsia" w:ascii="仿宋_GB2312" w:hAnsi="仿宋_GB2312" w:eastAsia="仿宋_GB2312" w:cs="仿宋_GB2312"/>
          <w:color w:val="auto"/>
          <w:sz w:val="24"/>
          <w:szCs w:val="24"/>
          <w:highlight w:val="none"/>
        </w:rPr>
        <w:br w:type="page"/>
      </w:r>
      <w:bookmarkEnd w:id="2"/>
      <w:bookmarkEnd w:id="3"/>
      <w:bookmarkStart w:id="4" w:name="_Hlt74728647"/>
      <w:bookmarkEnd w:id="4"/>
      <w:bookmarkStart w:id="5" w:name="_Hlt74649545"/>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仿宋_GB2312" w:hAnsi="仿宋_GB2312" w:eastAsia="仿宋_GB2312" w:cs="仿宋_GB2312"/>
          <w:color w:val="auto"/>
          <w:sz w:val="32"/>
          <w:szCs w:val="32"/>
          <w:highlight w:val="none"/>
        </w:rPr>
        <w:t>第一部分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招标公告</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浙江国际海运职业技术学院公共机房教学电脑采购的潜在投标人应在政采云平台</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"https://www.zcygov.cn/）获取（下载）招标文件，并于2024年8月9日9点%2015分00秒" </w:instrText>
      </w:r>
      <w:r>
        <w:rPr>
          <w:rFonts w:hint="eastAsia" w:ascii="仿宋_GB2312" w:hAnsi="仿宋_GB2312" w:eastAsia="仿宋_GB2312" w:cs="仿宋_GB2312"/>
          <w:b w:val="0"/>
          <w:bCs w:val="0"/>
          <w:color w:val="auto"/>
          <w:highlight w:val="none"/>
        </w:rPr>
        <w:fldChar w:fldCharType="separate"/>
      </w:r>
      <w:r>
        <w:rPr>
          <w:rStyle w:val="33"/>
          <w:rFonts w:hint="eastAsia" w:ascii="仿宋_GB2312" w:hAnsi="仿宋_GB2312" w:eastAsia="仿宋_GB2312" w:cs="仿宋_GB2312"/>
          <w:b w:val="0"/>
          <w:bCs w:val="0"/>
          <w:color w:val="auto"/>
          <w:sz w:val="24"/>
          <w:szCs w:val="24"/>
          <w:highlight w:val="none"/>
        </w:rPr>
        <w:t>https://www.zcygov.cn/）获取（下载）招标文件，并于202</w:t>
      </w:r>
      <w:r>
        <w:rPr>
          <w:rStyle w:val="33"/>
          <w:rFonts w:hint="eastAsia" w:ascii="仿宋_GB2312" w:hAnsi="仿宋_GB2312" w:eastAsia="仿宋_GB2312" w:cs="仿宋_GB2312"/>
          <w:b w:val="0"/>
          <w:bCs w:val="0"/>
          <w:color w:val="auto"/>
          <w:sz w:val="24"/>
          <w:szCs w:val="24"/>
          <w:highlight w:val="none"/>
          <w:lang w:val="en-US" w:eastAsia="zh-CN"/>
        </w:rPr>
        <w:t>6</w:t>
      </w:r>
      <w:r>
        <w:rPr>
          <w:rStyle w:val="33"/>
          <w:rFonts w:hint="eastAsia" w:ascii="仿宋_GB2312" w:hAnsi="仿宋_GB2312" w:eastAsia="仿宋_GB2312" w:cs="仿宋_GB2312"/>
          <w:b w:val="0"/>
          <w:bCs w:val="0"/>
          <w:color w:val="auto"/>
          <w:sz w:val="24"/>
          <w:szCs w:val="24"/>
          <w:highlight w:val="none"/>
        </w:rPr>
        <w:t>年</w:t>
      </w:r>
      <w:r>
        <w:rPr>
          <w:rStyle w:val="33"/>
          <w:rFonts w:hint="eastAsia" w:ascii="仿宋_GB2312" w:hAnsi="仿宋_GB2312" w:eastAsia="仿宋_GB2312" w:cs="仿宋_GB2312"/>
          <w:b w:val="0"/>
          <w:bCs w:val="0"/>
          <w:color w:val="auto"/>
          <w:sz w:val="24"/>
          <w:szCs w:val="24"/>
          <w:highlight w:val="none"/>
          <w:lang w:val="en-US" w:eastAsia="zh-CN"/>
        </w:rPr>
        <w:t>6</w:t>
      </w:r>
      <w:r>
        <w:rPr>
          <w:rStyle w:val="33"/>
          <w:rFonts w:hint="eastAsia" w:ascii="仿宋_GB2312" w:hAnsi="仿宋_GB2312" w:eastAsia="仿宋_GB2312" w:cs="仿宋_GB2312"/>
          <w:b w:val="0"/>
          <w:bCs w:val="0"/>
          <w:color w:val="auto"/>
          <w:sz w:val="24"/>
          <w:szCs w:val="24"/>
          <w:highlight w:val="none"/>
        </w:rPr>
        <w:t>月</w:t>
      </w:r>
      <w:r>
        <w:rPr>
          <w:rStyle w:val="33"/>
          <w:rFonts w:hint="eastAsia" w:ascii="仿宋_GB2312" w:hAnsi="仿宋_GB2312" w:eastAsia="仿宋_GB2312" w:cs="仿宋_GB2312"/>
          <w:b w:val="0"/>
          <w:bCs w:val="0"/>
          <w:color w:val="auto"/>
          <w:sz w:val="24"/>
          <w:szCs w:val="24"/>
          <w:highlight w:val="none"/>
          <w:lang w:val="en-US" w:eastAsia="zh-CN"/>
        </w:rPr>
        <w:t>25</w:t>
      </w:r>
      <w:r>
        <w:rPr>
          <w:rStyle w:val="33"/>
          <w:rFonts w:hint="eastAsia" w:ascii="仿宋_GB2312" w:hAnsi="仿宋_GB2312" w:eastAsia="仿宋_GB2312" w:cs="仿宋_GB2312"/>
          <w:b w:val="0"/>
          <w:bCs w:val="0"/>
          <w:color w:val="auto"/>
          <w:sz w:val="24"/>
          <w:szCs w:val="24"/>
          <w:highlight w:val="none"/>
        </w:rPr>
        <w:t>日9点 15分00秒</w:t>
      </w:r>
      <w:r>
        <w:rPr>
          <w:rStyle w:val="33"/>
          <w:rFonts w:hint="eastAsia" w:ascii="仿宋_GB2312" w:hAnsi="仿宋_GB2312" w:eastAsia="仿宋_GB2312" w:cs="仿宋_GB2312"/>
          <w:b w:val="0"/>
          <w:bCs w:val="0"/>
          <w:color w:val="auto"/>
          <w:sz w:val="24"/>
          <w:szCs w:val="24"/>
          <w:highlight w:val="none"/>
        </w:rPr>
        <w:fldChar w:fldCharType="end"/>
      </w:r>
      <w:r>
        <w:rPr>
          <w:rFonts w:hint="eastAsia" w:ascii="仿宋_GB2312" w:hAnsi="仿宋_GB2312" w:eastAsia="仿宋_GB2312" w:cs="仿宋_GB2312"/>
          <w:color w:val="auto"/>
          <w:sz w:val="24"/>
          <w:szCs w:val="24"/>
          <w:highlight w:val="none"/>
        </w:rPr>
        <w:t>（北京时间）前递交（上传）投标文件。</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一、项目基本情况</w:t>
      </w:r>
    </w:p>
    <w:p>
      <w:pPr>
        <w:spacing w:line="420" w:lineRule="exact"/>
        <w:ind w:firstLine="480" w:firstLineChars="200"/>
        <w:contextualSpacing/>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ZSZFCG2026-ZB-032</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项目名称：浙江国际海运职业技术学院公共机房教学电脑采购</w:t>
      </w:r>
    </w:p>
    <w:p>
      <w:pPr>
        <w:spacing w:line="420" w:lineRule="exact"/>
        <w:ind w:firstLine="480" w:firstLineChars="200"/>
        <w:contextualSpacing/>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eastAsia="zh-CN"/>
        </w:rPr>
        <w:t>预算金额（元）:</w:t>
      </w:r>
      <w:r>
        <w:rPr>
          <w:rFonts w:hint="eastAsia" w:ascii="仿宋_GB2312" w:hAnsi="仿宋_GB2312" w:eastAsia="仿宋_GB2312" w:cs="仿宋_GB2312"/>
          <w:bCs/>
          <w:color w:val="auto"/>
          <w:sz w:val="24"/>
          <w:szCs w:val="24"/>
          <w:highlight w:val="none"/>
          <w:lang w:val="en-US" w:eastAsia="zh-CN"/>
        </w:rPr>
        <w:t>1260000</w:t>
      </w:r>
    </w:p>
    <w:p>
      <w:pPr>
        <w:spacing w:line="420" w:lineRule="exact"/>
        <w:ind w:firstLine="480" w:firstLineChars="200"/>
        <w:contextualSpacing/>
        <w:rPr>
          <w:rFonts w:hint="default" w:ascii="仿宋_GB2312" w:hAnsi="仿宋_GB2312" w:eastAsia="宋体"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eastAsia="zh-CN"/>
        </w:rPr>
        <w:t>最高限价（元）:</w:t>
      </w:r>
      <w:r>
        <w:rPr>
          <w:rFonts w:hint="eastAsia" w:ascii="仿宋_GB2312" w:hAnsi="仿宋_GB2312" w:eastAsia="仿宋_GB2312" w:cs="仿宋_GB2312"/>
          <w:bCs/>
          <w:color w:val="auto"/>
          <w:sz w:val="24"/>
          <w:szCs w:val="24"/>
          <w:highlight w:val="none"/>
          <w:lang w:val="en-US" w:eastAsia="zh-CN"/>
        </w:rPr>
        <w:t>1260000</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采购需求：详见招标文件第三部分采购需求</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合同履约期限：详见采购文件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本项目接受联合体投标：</w:t>
      </w: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否</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是</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二、申请人的资格要求：</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满足《中华人民共和国政府采购法》第二十二条规定；未被“信用中国”（www.creditchina.gov.cn)、中国政府采购网（www.ccgp.gov.cn）列入失信被执行人、重大税收违法失信主体、政府采购严重违法失信行为记录名单；</w:t>
      </w:r>
    </w:p>
    <w:p>
      <w:pPr>
        <w:spacing w:line="420" w:lineRule="exact"/>
        <w:ind w:firstLine="552"/>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2.落实政府采购政策需满足的资格要求：</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w:t>
      </w:r>
    </w:p>
    <w:p>
      <w:pPr>
        <w:spacing w:line="420" w:lineRule="exact"/>
        <w:ind w:firstLine="42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专门面向中小企业</w:t>
      </w:r>
    </w:p>
    <w:p>
      <w:pPr>
        <w:spacing w:line="420" w:lineRule="exact"/>
        <w:ind w:firstLine="840" w:firstLineChars="4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货物全部由符合政策要求的中小企业制造，提供中小企业声明函；</w:t>
      </w:r>
    </w:p>
    <w:p>
      <w:pPr>
        <w:spacing w:line="420" w:lineRule="exact"/>
        <w:ind w:firstLine="960" w:firstLineChars="4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☐货物全部由符合政策要求的小微企业制造，提供中小企业声明函；</w:t>
      </w:r>
    </w:p>
    <w:p>
      <w:pPr>
        <w:spacing w:line="420" w:lineRule="exact"/>
        <w:ind w:firstLine="960" w:firstLineChars="4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☐服务全部由符合政策要求的中小企业承接，提供中小企业声明函；</w:t>
      </w:r>
    </w:p>
    <w:p>
      <w:pPr>
        <w:spacing w:line="420" w:lineRule="exact"/>
        <w:ind w:firstLine="960" w:firstLineChars="4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☐服务全部由符合政策要求的小微企业承接，提供中小企业声明函；</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☐要求以联合体形式参加，提供联合协议和中小企业声明函，联合协议中中小企业合同金额应当</w:t>
      </w:r>
      <w:r>
        <w:rPr>
          <w:rFonts w:hint="eastAsia" w:ascii="仿宋_GB2312" w:hAnsi="仿宋_GB2312" w:eastAsia="仿宋_GB2312" w:cs="仿宋_GB2312"/>
          <w:color w:val="auto"/>
          <w:sz w:val="24"/>
          <w:szCs w:val="24"/>
          <w:highlight w:val="none"/>
          <w:lang w:eastAsia="zh-CN"/>
        </w:rPr>
        <w:t>达到合同总金额的</w:t>
      </w:r>
      <w:r>
        <w:rPr>
          <w:rFonts w:hint="eastAsia" w:ascii="仿宋_GB2312" w:hAnsi="仿宋_GB2312" w:eastAsia="仿宋_GB2312" w:cs="仿宋_GB2312"/>
          <w:color w:val="auto"/>
          <w:sz w:val="24"/>
          <w:szCs w:val="24"/>
          <w:highlight w:val="none"/>
          <w:lang w:val="en-US" w:eastAsia="zh-CN"/>
        </w:rPr>
        <w:t>40%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小微企业合同金额应当</w:t>
      </w:r>
      <w:r>
        <w:rPr>
          <w:rFonts w:hint="eastAsia" w:ascii="仿宋_GB2312" w:hAnsi="仿宋_GB2312" w:eastAsia="仿宋_GB2312" w:cs="仿宋_GB2312"/>
          <w:color w:val="auto"/>
          <w:sz w:val="24"/>
          <w:szCs w:val="24"/>
          <w:highlight w:val="none"/>
          <w:lang w:eastAsia="zh-CN"/>
        </w:rPr>
        <w:t>达到合同总金额的</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%;如果供应商本身提供所有标的均由中小企业制造，视同符合了资格条件，无需再与其他中小企业组成联合体参加政府采购活动，无需提供联合协议；</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☐要求合同分包，提供分包意向协议和中小企业声明函，分包意向协议中中小企业合同份额应当</w:t>
      </w:r>
      <w:r>
        <w:rPr>
          <w:rFonts w:hint="eastAsia" w:ascii="仿宋_GB2312" w:hAnsi="仿宋_GB2312" w:eastAsia="仿宋_GB2312" w:cs="仿宋_GB2312"/>
          <w:color w:val="auto"/>
          <w:sz w:val="24"/>
          <w:szCs w:val="24"/>
          <w:highlight w:val="none"/>
          <w:lang w:eastAsia="zh-CN"/>
        </w:rPr>
        <w:t>达到合同总金额的</w:t>
      </w:r>
      <w:r>
        <w:rPr>
          <w:rFonts w:hint="eastAsia" w:ascii="仿宋_GB2312" w:hAnsi="仿宋_GB2312" w:eastAsia="仿宋_GB2312" w:cs="仿宋_GB2312"/>
          <w:color w:val="auto"/>
          <w:sz w:val="24"/>
          <w:szCs w:val="24"/>
          <w:highlight w:val="none"/>
          <w:lang w:val="en-US" w:eastAsia="zh-CN"/>
        </w:rPr>
        <w:t>40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小微企业合同金额应当</w:t>
      </w:r>
      <w:r>
        <w:rPr>
          <w:rFonts w:hint="eastAsia" w:ascii="仿宋_GB2312" w:hAnsi="仿宋_GB2312" w:eastAsia="仿宋_GB2312" w:cs="仿宋_GB2312"/>
          <w:color w:val="auto"/>
          <w:sz w:val="24"/>
          <w:szCs w:val="24"/>
          <w:highlight w:val="none"/>
          <w:lang w:eastAsia="zh-CN"/>
        </w:rPr>
        <w:t>达到合同总金额的</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%;如果供应商本身提供所有标的均由中</w:t>
      </w:r>
      <w:r>
        <w:rPr>
          <w:rFonts w:hint="eastAsia" w:ascii="仿宋_GB2312" w:hAnsi="仿宋_GB2312" w:eastAsia="仿宋_GB2312" w:cs="仿宋_GB2312"/>
          <w:color w:val="auto"/>
          <w:sz w:val="24"/>
          <w:szCs w:val="24"/>
          <w:highlight w:val="none"/>
          <w:lang w:eastAsia="zh-CN"/>
        </w:rPr>
        <w:t>小</w:t>
      </w:r>
      <w:r>
        <w:rPr>
          <w:rFonts w:hint="eastAsia" w:ascii="仿宋_GB2312" w:hAnsi="仿宋_GB2312" w:eastAsia="仿宋_GB2312" w:cs="仿宋_GB2312"/>
          <w:color w:val="auto"/>
          <w:sz w:val="24"/>
          <w:szCs w:val="24"/>
          <w:highlight w:val="none"/>
        </w:rPr>
        <w:t>企业制造、承建或承接，视同符合了资格条件，无需再向中小微企业分包，无需提供分包意向协议；</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3.本项目的特定资格要求：无</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三、获取招标文件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时间：/至202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日，每天上午00:00至12:00 ，下午12:00至23:59（北京时间，线上获取法定节假日均可，线下获取文件法定节假日除外的工作时间）</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地点（网址）：政采云平台（https://www.zcygov.cn/）</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方式：供应商登录政采云平台https://www.zcygov.cn/在线申请获取采购文件（进入“项目采购”应用，在获取采购文件菜单中选择项目，申请获取采购文件）。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售价（元）：0 </w:t>
      </w:r>
      <w:r>
        <w:rPr>
          <w:rFonts w:hint="eastAsia" w:ascii="仿宋_GB2312" w:hAnsi="仿宋_GB2312" w:eastAsia="仿宋_GB2312" w:cs="仿宋_GB2312"/>
          <w:color w:val="auto"/>
          <w:sz w:val="24"/>
          <w:szCs w:val="24"/>
          <w:highlight w:val="none"/>
        </w:rPr>
        <w:tab/>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四、提交投标文件截止时间、开标时间和地点</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提交投标文件截止时间：202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日9点15分 （北京时间）</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投标地点（网址）：政采云平台（https://www.zcygov.cn/） </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开标时间：202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 xml:space="preserve"> 6</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 xml:space="preserve">日9点15分 </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开标地点（网址）：政采云平台（https://www.zcygov.cn/）</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五、公告期限</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自本公告发布之日起5个工作日。</w:t>
      </w:r>
    </w:p>
    <w:p>
      <w:pPr>
        <w:spacing w:line="420" w:lineRule="exact"/>
        <w:ind w:firstLine="482"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六、其他补充事宜</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w:t>
      </w:r>
    </w:p>
    <w:p>
      <w:pPr>
        <w:spacing w:line="420" w:lineRule="exact"/>
        <w:ind w:firstLine="602" w:firstLineChars="25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七、对本次采购提出询问、质疑、投诉，请按以下方式联系</w:t>
      </w:r>
    </w:p>
    <w:p>
      <w:pPr>
        <w:spacing w:line="360" w:lineRule="auto"/>
        <w:ind w:left="479" w:leftChars="228"/>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采购人信息：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名称:浙江国际海运职业技术学院</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地址:浙江省舟山市临城新区海天大道268号</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传真:0580-2095003</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项目联系人（询问）:朱老师</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项目联系方式（询问）：0580-2095988</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质疑联系人：周老师</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质疑联系方式：0580-2095055</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2.采购代理机构信息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名称：舟山市公共资源交易中心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地址：舟山市新城翁山路555号四楼（大宗商品交易中心同幢西边）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传真：/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项目联系人（询问）：</w:t>
      </w:r>
      <w:r>
        <w:rPr>
          <w:rFonts w:hint="eastAsia" w:ascii="仿宋_GB2312" w:hAnsi="仿宋_GB2312" w:eastAsia="仿宋_GB2312" w:cs="仿宋_GB2312"/>
          <w:color w:val="auto"/>
          <w:sz w:val="24"/>
          <w:highlight w:val="none"/>
          <w:lang w:eastAsia="zh-CN"/>
        </w:rPr>
        <w:t>陈女士</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项目联系方式（询问）：</w:t>
      </w:r>
      <w:r>
        <w:rPr>
          <w:rFonts w:hint="eastAsia" w:ascii="仿宋_GB2312" w:hAnsi="仿宋_GB2312" w:eastAsia="仿宋_GB2312" w:cs="仿宋_GB2312"/>
          <w:color w:val="auto"/>
          <w:sz w:val="24"/>
          <w:highlight w:val="none"/>
          <w:lang w:val="en-US" w:eastAsia="zh-CN"/>
        </w:rPr>
        <w:t>0580-2280952</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质疑联系人：丁先生</w:t>
      </w:r>
    </w:p>
    <w:p>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质疑联系方式：0580-2280948　</w:t>
      </w:r>
    </w:p>
    <w:p>
      <w:pPr>
        <w:keepNext w:val="0"/>
        <w:keepLines w:val="0"/>
        <w:pageBreakBefore w:val="0"/>
        <w:numPr>
          <w:ilvl w:val="0"/>
          <w:numId w:val="3"/>
        </w:numPr>
        <w:kinsoku/>
        <w:wordWrap/>
        <w:overflowPunct/>
        <w:topLinePunct w:val="0"/>
        <w:autoSpaceDE/>
        <w:autoSpaceDN/>
        <w:bidi w:val="0"/>
        <w:adjustRightInd/>
        <w:snapToGrid/>
        <w:spacing w:line="360" w:lineRule="auto"/>
        <w:ind w:firstLine="48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同级政府采购监督管理部门</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名称：舟山市财政局政府采购监管处</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地址：舟山市定海区新城海天大道681号</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传真：0580-2282591</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联系人：王女士</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监督投诉电话：0580-2282591</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若对项目采购电子交易系统操作有疑问，可登录政采云（https://www.zcygov.cn/），点击右侧咨询小采，获取采小蜜智能服务管家帮助，或拨打政采云服务热线95763获取热线服务帮助。</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CA问题联系电话（人工）：汇信CA 400-888-4636；天谷CA 400-087-8198。</w:t>
      </w:r>
    </w:p>
    <w:p>
      <w:pPr>
        <w:spacing w:line="540" w:lineRule="exact"/>
        <w:contextualSpacing/>
        <w:rPr>
          <w:rFonts w:hint="eastAsia" w:ascii="仿宋_GB2312" w:hAnsi="仿宋_GB2312" w:eastAsia="仿宋_GB2312" w:cs="仿宋_GB2312"/>
          <w:color w:val="auto"/>
          <w:sz w:val="28"/>
          <w:szCs w:val="28"/>
          <w:highlight w:val="none"/>
        </w:rPr>
      </w:pPr>
    </w:p>
    <w:p>
      <w:pPr>
        <w:ind w:firstLine="2380" w:firstLineChars="850"/>
        <w:outlineLvl w:val="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color w:val="auto"/>
          <w:sz w:val="32"/>
          <w:szCs w:val="32"/>
          <w:highlight w:val="none"/>
        </w:rPr>
        <w:t>第二部分</w:t>
      </w:r>
      <w:bookmarkEnd w:id="8"/>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投标人须知</w:t>
      </w:r>
      <w:bookmarkEnd w:id="9"/>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前附表</w:t>
      </w:r>
    </w:p>
    <w:tbl>
      <w:tblPr>
        <w:tblStyle w:val="27"/>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noWrap w:val="0"/>
            <w:vAlign w:val="top"/>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91"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有关本项目实施所需的所有费用（含税费）均计入报价。</w:t>
            </w:r>
            <w:r>
              <w:rPr>
                <w:rFonts w:hint="eastAsia" w:ascii="仿宋_GB2312" w:hAnsi="仿宋_GB2312" w:eastAsia="仿宋_GB2312" w:cs="仿宋_GB2312"/>
                <w:b/>
                <w:color w:val="auto"/>
                <w:sz w:val="24"/>
                <w:szCs w:val="24"/>
                <w:highlight w:val="none"/>
              </w:rPr>
              <w:t>投标文件开标一览表（报价表）是报价的唯一载体，如投标人在政府采购云平台填写的投标报价与投标文件报价文件中开标一览表（报价表）不一致的，以报价文件中开标一览表（报价表）为准。</w:t>
            </w:r>
            <w:r>
              <w:rPr>
                <w:rFonts w:hint="eastAsia" w:ascii="仿宋_GB2312" w:hAnsi="仿宋_GB2312" w:eastAsia="仿宋_GB2312" w:cs="仿宋_GB2312"/>
                <w:color w:val="auto"/>
                <w:sz w:val="24"/>
                <w:szCs w:val="24"/>
                <w:highlight w:val="none"/>
              </w:rPr>
              <w:t>投标文件中价格全部采用人民币报价。招标文件未列明，而投标人认为必需的费用也需列入报价。</w:t>
            </w:r>
            <w:r>
              <w:rPr>
                <w:rFonts w:hint="eastAsia" w:ascii="仿宋_GB2312" w:hAnsi="仿宋_GB2312" w:eastAsia="仿宋_GB2312" w:cs="仿宋_GB2312"/>
                <w:b/>
                <w:color w:val="auto"/>
                <w:sz w:val="24"/>
                <w:szCs w:val="24"/>
                <w:highlight w:val="none"/>
              </w:rPr>
              <w:t>提醒：验收时检测费用由采购人承担，不包含在投标总价中。</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color w:val="auto"/>
                <w:highlight w:val="none"/>
                <w:lang w:eastAsia="zh-CN"/>
              </w:rPr>
              <w:t>（</w:t>
            </w:r>
            <w:r>
              <w:rPr>
                <w:rFonts w:hint="eastAsia" w:ascii="仿宋_GB2312" w:hAnsi="仿宋_GB2312" w:eastAsia="仿宋_GB2312" w:cs="仿宋_GB2312"/>
                <w:color w:val="auto"/>
                <w:kern w:val="2"/>
                <w:sz w:val="24"/>
                <w:szCs w:val="24"/>
                <w:highlight w:val="none"/>
                <w:lang w:val="en-US" w:eastAsia="zh-CN" w:bidi="ar-SA"/>
              </w:rPr>
              <w:t>2）政府采购评审中出现下列情形之一的，评审委员会应当启动异常低价投标（响应）审查程序：</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1.投标（响应）报价低于全部通过符合性审查供应商投标（响应）报价平均值 50 %的，即投标（响应）报价&lt;全部通过符合性审查供应商投标（响应）报价平均值× 50 %；</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2.投标（响应）报价低于通过符合性审查的次低报价供应商投标（响应）报价 50 %的，即投标（响应）报价&lt;通过符合性审查的次低报价供应商投标（响应）报价× 50 %；</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3.投标（响应）报价低于采购项目最高限价 45 %的，即投标（响应）报价&lt;采购项目最高限价× 45 %；</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4.评审委员会基于专业判断，认为供应商报价过低，有可能影响产品质量或者不能诚信履约的其他情形。</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评标委员会发起询标后，投标人必须在评审现场合理的时间内提供书面说明及必要的证明材料，对投标价格作出解释。书面说明、证明材料主要是项目具体成本测算等与报价合理性相关的说明、材料，包括但不限于原材料成本、人工成本、制造费用等。</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（3）投标报价出现下列情形的，投标无效：</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1.投标文件出现不是唯一的、有选择性投标报价的；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2.投标报价超过招标文件中规定的预算金额或者最高限价的;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3.报价明显低于其他通过符合性审查投标人的报价，有可能影响产品质量或者不能诚信履约的，未能按要求提供书面说明或者提交相关证明材料证明其报价合理性的;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4.启动异常低价审查后，投标人不能在合理的时间内提供书面说明、证明材料，或者提供的书面说明、证明材料不能证明其报价合理性的。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5.投标人对根据修正原则修正后的报价不确认的。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63"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A同意将非主、非关键性的</w:t>
            </w:r>
            <w:r>
              <w:rPr>
                <w:rFonts w:hint="eastAsia" w:ascii="仿宋_GB2312" w:hAnsi="仿宋_GB2312" w:eastAsia="仿宋_GB2312" w:cs="仿宋_GB2312"/>
                <w:color w:val="auto"/>
                <w:sz w:val="24"/>
                <w:szCs w:val="24"/>
                <w:highlight w:val="none"/>
                <w:u w:val="single"/>
                <w:lang w:val="en-US" w:eastAsia="zh-CN"/>
              </w:rPr>
              <w:t>同传软件</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u w:val="none"/>
              </w:rPr>
              <w:t>分</w:t>
            </w:r>
            <w:r>
              <w:rPr>
                <w:rFonts w:hint="eastAsia" w:ascii="仿宋_GB2312" w:hAnsi="仿宋_GB2312" w:eastAsia="仿宋_GB2312" w:cs="仿宋_GB2312"/>
                <w:color w:val="auto"/>
                <w:sz w:val="24"/>
                <w:szCs w:val="24"/>
                <w:highlight w:val="none"/>
              </w:rPr>
              <w:t>包。</w:t>
            </w:r>
          </w:p>
          <w:p>
            <w:pPr>
              <w:spacing w:line="400" w:lineRule="exact"/>
              <w:contextualSpacing/>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B不同意分包。</w:t>
            </w:r>
          </w:p>
          <w:p>
            <w:pPr>
              <w:pStyle w:val="3"/>
              <w:ind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843" w:type="dxa"/>
            <w:vMerge w:val="restart"/>
            <w:tcBorders>
              <w:top w:val="single" w:color="000000" w:sz="8" w:space="0"/>
              <w:left w:val="single" w:color="auto" w:sz="4" w:space="0"/>
              <w:right w:val="single" w:color="000000" w:sz="8"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（1）资格证明文件：见招标文件第二部分11.1。</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8" w:hRule="atLeast"/>
          <w:tblHeader/>
        </w:trPr>
        <w:tc>
          <w:tcPr>
            <w:tcW w:w="629" w:type="dxa"/>
            <w:vMerge w:val="continue"/>
            <w:tcBorders>
              <w:left w:val="single" w:color="auto" w:sz="4" w:space="0"/>
              <w:bottom w:val="single" w:color="auto" w:sz="4" w:space="0"/>
              <w:right w:val="single" w:color="auto" w:sz="4" w:space="0"/>
            </w:tcBorders>
            <w:noWrap w:val="0"/>
            <w:vAlign w:val="top"/>
          </w:tcPr>
          <w:p>
            <w:pPr>
              <w:spacing w:line="540" w:lineRule="exact"/>
              <w:contextualSpacing/>
              <w:rPr>
                <w:rFonts w:hint="eastAsia" w:ascii="仿宋_GB2312" w:hAnsi="仿宋_GB2312" w:eastAsia="仿宋_GB2312" w:cs="仿宋_GB2312"/>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p>
        </w:tc>
        <w:tc>
          <w:tcPr>
            <w:tcW w:w="6095" w:type="dxa"/>
            <w:tcBorders>
              <w:top w:val="single" w:color="auto" w:sz="4"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开标前答疑会或现场</w:t>
            </w:r>
            <w:r>
              <w:rPr>
                <w:rFonts w:hint="eastAsia" w:ascii="仿宋_GB2312" w:hAnsi="仿宋_GB2312" w:eastAsia="仿宋_GB2312" w:cs="仿宋_GB2312"/>
                <w:color w:val="auto"/>
                <w:sz w:val="24"/>
                <w:szCs w:val="24"/>
                <w:highlight w:val="none"/>
                <w:lang w:eastAsia="zh-CN"/>
              </w:rPr>
              <w:t>勘</w:t>
            </w:r>
            <w:r>
              <w:rPr>
                <w:rFonts w:hint="eastAsia" w:ascii="仿宋_GB2312" w:hAnsi="仿宋_GB2312" w:eastAsia="仿宋_GB2312" w:cs="仿宋_GB2312"/>
                <w:color w:val="auto"/>
                <w:sz w:val="24"/>
                <w:szCs w:val="24"/>
                <w:highlight w:val="none"/>
              </w:rPr>
              <w:t>察</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A不组织。</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☐B组织</w:t>
            </w:r>
            <w:r>
              <w:rPr>
                <w:rFonts w:hint="eastAsia" w:ascii="仿宋_GB2312" w:hAnsi="仿宋_GB2312" w:eastAsia="仿宋_GB2312" w:cs="仿宋_GB2312"/>
                <w:color w:val="auto"/>
                <w:sz w:val="24"/>
                <w:szCs w:val="24"/>
                <w:highlight w:val="none"/>
                <w:lang w:eastAsia="zh-CN"/>
              </w:rPr>
              <w:t>现场勘察</w:t>
            </w:r>
            <w:r>
              <w:rPr>
                <w:rFonts w:hint="eastAsia" w:ascii="仿宋_GB2312" w:hAnsi="仿宋_GB2312" w:eastAsia="仿宋_GB2312" w:cs="仿宋_GB2312"/>
                <w:color w:val="auto"/>
                <w:sz w:val="24"/>
                <w:szCs w:val="24"/>
                <w:highlight w:val="none"/>
              </w:rPr>
              <w:t>，时间 ,地点</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联系</w:t>
            </w:r>
            <w:r>
              <w:rPr>
                <w:rFonts w:hint="eastAsia" w:ascii="仿宋_GB2312" w:hAnsi="仿宋_GB2312" w:eastAsia="仿宋_GB2312" w:cs="仿宋_GB2312"/>
                <w:color w:val="auto"/>
                <w:sz w:val="24"/>
                <w:szCs w:val="24"/>
                <w:highlight w:val="none"/>
                <w:lang w:eastAsia="zh-CN"/>
              </w:rPr>
              <w:t>人</w:t>
            </w:r>
            <w:r>
              <w:rPr>
                <w:rFonts w:hint="eastAsia" w:ascii="仿宋_GB2312" w:hAnsi="仿宋_GB2312" w:eastAsia="仿宋_GB2312" w:cs="仿宋_GB2312"/>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A不要求提供。</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☐B要求提供，</w:t>
            </w:r>
          </w:p>
          <w:p>
            <w:pPr>
              <w:spacing w:line="40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snapToGrid w:val="0"/>
                <w:color w:val="auto"/>
                <w:kern w:val="28"/>
                <w:sz w:val="24"/>
                <w:highlight w:val="none"/>
              </w:rPr>
              <w:t>样品</w:t>
            </w:r>
            <w:r>
              <w:rPr>
                <w:rFonts w:hint="eastAsia" w:ascii="仿宋_GB2312" w:hAnsi="仿宋_GB2312" w:eastAsia="仿宋_GB2312" w:cs="仿宋_GB2312"/>
                <w:color w:val="auto"/>
                <w:kern w:val="0"/>
                <w:sz w:val="24"/>
                <w:highlight w:val="none"/>
              </w:rPr>
              <w:t>；</w:t>
            </w:r>
          </w:p>
          <w:p>
            <w:pPr>
              <w:spacing w:line="40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snapToGrid w:val="0"/>
                <w:color w:val="auto"/>
                <w:kern w:val="28"/>
                <w:sz w:val="24"/>
                <w:highlight w:val="none"/>
              </w:rPr>
              <w:t>样品制作的标准和要求</w:t>
            </w:r>
            <w:r>
              <w:rPr>
                <w:rFonts w:hint="eastAsia" w:ascii="仿宋_GB2312" w:hAnsi="仿宋_GB2312" w:eastAsia="仿宋_GB2312" w:cs="仿宋_GB2312"/>
                <w:color w:val="auto"/>
                <w:kern w:val="0"/>
                <w:sz w:val="24"/>
                <w:highlight w:val="none"/>
              </w:rPr>
              <w:t>；</w:t>
            </w:r>
          </w:p>
          <w:p>
            <w:pPr>
              <w:spacing w:line="40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（3）样品的评审方法以及评审标准</w:t>
            </w:r>
            <w:r>
              <w:rPr>
                <w:rFonts w:hint="eastAsia" w:ascii="仿宋_GB2312" w:hAnsi="仿宋_GB2312" w:eastAsia="仿宋_GB2312" w:cs="仿宋_GB2312"/>
                <w:snapToGrid w:val="0"/>
                <w:color w:val="auto"/>
                <w:kern w:val="28"/>
                <w:sz w:val="24"/>
                <w:highlight w:val="none"/>
              </w:rPr>
              <w:t>：详见</w:t>
            </w:r>
            <w:r>
              <w:rPr>
                <w:rFonts w:hint="eastAsia" w:ascii="仿宋_GB2312" w:hAnsi="仿宋_GB2312" w:eastAsia="仿宋_GB2312" w:cs="仿宋_GB2312"/>
                <w:color w:val="auto"/>
                <w:sz w:val="24"/>
                <w:highlight w:val="none"/>
                <w:u w:val="single"/>
              </w:rPr>
              <w:t>评标办法</w:t>
            </w:r>
            <w:r>
              <w:rPr>
                <w:rFonts w:hint="eastAsia" w:ascii="仿宋_GB2312" w:hAnsi="仿宋_GB2312" w:eastAsia="仿宋_GB2312" w:cs="仿宋_GB2312"/>
                <w:color w:val="auto"/>
                <w:kern w:val="0"/>
                <w:sz w:val="24"/>
                <w:highlight w:val="none"/>
              </w:rPr>
              <w:t>；</w:t>
            </w:r>
          </w:p>
          <w:p>
            <w:pPr>
              <w:spacing w:line="40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（4）是否需要随样品提交检测报告：☐否；☐是，检测机构的要求</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rPr>
              <w:t>；检测内容</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rPr>
              <w:t>。</w:t>
            </w:r>
          </w:p>
          <w:p>
            <w:pPr>
              <w:spacing w:line="40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（5）提供样品的时间：</w:t>
            </w:r>
            <w:r>
              <w:rPr>
                <w:rFonts w:hint="eastAsia" w:ascii="仿宋_GB2312" w:hAnsi="仿宋_GB2312" w:eastAsia="仿宋_GB2312" w:cs="仿宋_GB2312"/>
                <w:color w:val="auto"/>
                <w:kern w:val="0"/>
                <w:sz w:val="24"/>
                <w:highlight w:val="none"/>
              </w:rPr>
              <w:t>；地点：；联系人</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28"/>
                <w:sz w:val="24"/>
                <w:highlight w:val="none"/>
              </w:rPr>
              <w:t>联系电话：</w:t>
            </w:r>
            <w:r>
              <w:rPr>
                <w:rFonts w:hint="eastAsia" w:ascii="仿宋_GB2312" w:hAnsi="仿宋_GB2312" w:eastAsia="仿宋_GB2312" w:cs="仿宋_GB2312"/>
                <w:color w:val="auto"/>
                <w:sz w:val="24"/>
                <w:highlight w:val="none"/>
              </w:rPr>
              <w:t>。请投标人在上述时间内提供样品并按规定位置安装完毕。超过截止时间的，采购人或采购代理机构将不予接收，并将清场并封闭样品现场。</w:t>
            </w:r>
          </w:p>
          <w:p>
            <w:pPr>
              <w:spacing w:line="40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A不组织。</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☐B组织。</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（1）在评标时安排每个投标人进行方案讲解演示。每个投标人时间不超过</w:t>
            </w:r>
            <w:r>
              <w:rPr>
                <w:rFonts w:hint="eastAsia" w:ascii="仿宋_GB2312" w:hAnsi="仿宋_GB2312" w:eastAsia="仿宋_GB2312" w:cs="仿宋_GB2312"/>
                <w:color w:val="auto"/>
                <w:sz w:val="24"/>
                <w:szCs w:val="24"/>
                <w:highlight w:val="none"/>
                <w:u w:val="single"/>
              </w:rPr>
              <w:t>20（编制时可根据项目情况进行调整）</w:t>
            </w:r>
            <w:r>
              <w:rPr>
                <w:rFonts w:hint="eastAsia" w:ascii="仿宋_GB2312" w:hAnsi="仿宋_GB2312" w:eastAsia="仿宋_GB2312" w:cs="仿宋_GB2312"/>
                <w:color w:val="auto"/>
                <w:sz w:val="24"/>
                <w:szCs w:val="24"/>
                <w:highlight w:val="none"/>
              </w:rPr>
              <w:t>分钟，讲解次序以投标文件解密时间先后次序为准，讲解演示人员不超过</w:t>
            </w:r>
            <w:r>
              <w:rPr>
                <w:rFonts w:hint="eastAsia" w:ascii="仿宋_GB2312" w:hAnsi="仿宋_GB2312" w:eastAsia="仿宋_GB2312" w:cs="仿宋_GB2312"/>
                <w:color w:val="auto"/>
                <w:sz w:val="24"/>
                <w:szCs w:val="24"/>
                <w:highlight w:val="none"/>
                <w:u w:val="single"/>
              </w:rPr>
              <w:t>3（编制时可根据项目情况进行调整）</w:t>
            </w:r>
            <w:r>
              <w:rPr>
                <w:rFonts w:hint="eastAsia" w:ascii="仿宋_GB2312" w:hAnsi="仿宋_GB2312" w:eastAsia="仿宋_GB2312" w:cs="仿宋_GB2312"/>
                <w:color w:val="auto"/>
                <w:sz w:val="24"/>
                <w:szCs w:val="24"/>
                <w:highlight w:val="none"/>
              </w:rPr>
              <w:t>人。讲解演示结束后按要求解答评标委员会提问。</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（2）方案讲解演示可选择以下其中一种方式：</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政采云平台在线讲解演示。政采云平台在线讲解需投标人根据政采云平台操作要求做好准备工作，提前完善软硬件配置环境。</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☐交易中心现场讲解演示。现场讲解地点为，讲解演示所用电脑等设备由投标人自备。现场讲解演示人员进场时提供讲解人员名单（加盖公章）及身份证明，否则不得讲解演示。</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9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本项目不允许采购进口产品。</w:t>
            </w:r>
          </w:p>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02"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本国产品</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keepNext w:val="0"/>
              <w:keepLines w:val="0"/>
              <w:pageBreakBefore w:val="0"/>
              <w:widowControl w:val="0"/>
              <w:kinsoku/>
              <w:wordWrap w:val="0"/>
              <w:overflowPunct/>
              <w:topLinePunct w:val="0"/>
              <w:bidi w:val="0"/>
              <w:adjustRightInd w:val="0"/>
              <w:snapToGrid w:val="0"/>
              <w:spacing w:line="440" w:lineRule="exact"/>
              <w:ind w:left="0" w:leftChars="0" w:right="0" w:rightChars="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0"/>
                <w:sz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pageBreakBefore w:val="0"/>
              <w:widowControl w:val="0"/>
              <w:kinsoku/>
              <w:wordWrap w:val="0"/>
              <w:overflowPunct/>
              <w:topLinePunct w:val="0"/>
              <w:bidi w:val="0"/>
              <w:adjustRightInd w:val="0"/>
              <w:snapToGrid w:val="0"/>
              <w:spacing w:line="440" w:lineRule="exact"/>
              <w:ind w:left="0" w:leftChars="0" w:right="0" w:rightChars="0"/>
              <w:jc w:val="left"/>
              <w:rPr>
                <w:rFonts w:hint="default" w:ascii="仿宋_GB2312" w:hAnsi="仿宋_GB2312" w:eastAsia="仿宋_GB2312" w:cs="仿宋_GB2312"/>
                <w:color w:val="auto"/>
                <w:szCs w:val="24"/>
                <w:highlight w:val="none"/>
                <w:lang w:val="en-US"/>
              </w:rPr>
            </w:pPr>
            <w:r>
              <w:rPr>
                <w:rFonts w:hint="eastAsia" w:ascii="仿宋" w:hAnsi="仿宋" w:eastAsia="仿宋" w:cs="仿宋"/>
                <w:color w:val="auto"/>
                <w:kern w:val="0"/>
                <w:sz w:val="24"/>
                <w:highlight w:val="none"/>
                <w:lang w:eastAsia="zh-CN"/>
              </w:rPr>
              <w:sym w:font="Wingdings 2" w:char="00A3"/>
            </w:r>
            <w:r>
              <w:rPr>
                <w:rFonts w:hint="eastAsia" w:ascii="仿宋_GB2312" w:hAnsi="仿宋_GB2312" w:eastAsia="仿宋_GB2312" w:cs="仿宋_GB2312"/>
                <w:color w:val="auto"/>
                <w:kern w:val="0"/>
                <w:sz w:val="24"/>
                <w:highlight w:val="none"/>
              </w:rPr>
              <w:t>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pStyle w:val="3"/>
              <w:ind w:left="0" w:leftChars="0" w:firstLine="0" w:firstLineChars="0"/>
              <w:rPr>
                <w:rFonts w:hint="default"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Cs w:val="24"/>
                <w:highlight w:val="none"/>
              </w:rPr>
              <w:t>货物类，单一产品或核心产品为：</w:t>
            </w:r>
            <w:r>
              <w:rPr>
                <w:rFonts w:hint="eastAsia" w:ascii="仿宋_GB2312" w:hAnsi="仿宋_GB2312" w:eastAsia="仿宋_GB2312" w:cs="仿宋_GB2312"/>
                <w:color w:val="auto"/>
                <w:sz w:val="24"/>
                <w:szCs w:val="24"/>
                <w:highlight w:val="none"/>
              </w:rPr>
              <w:t>台式</w:t>
            </w:r>
            <w:r>
              <w:rPr>
                <w:rFonts w:hint="eastAsia" w:ascii="仿宋_GB2312" w:hAnsi="仿宋_GB2312" w:eastAsia="仿宋_GB2312" w:cs="仿宋_GB2312"/>
                <w:color w:val="auto"/>
                <w:sz w:val="24"/>
                <w:szCs w:val="24"/>
                <w:highlight w:val="none"/>
                <w:lang w:eastAsia="zh-CN"/>
              </w:rPr>
              <w:t>计算机</w:t>
            </w:r>
            <w:r>
              <w:rPr>
                <w:rFonts w:hint="eastAsia" w:ascii="仿宋_GB2312" w:hAnsi="仿宋_GB2312" w:eastAsia="仿宋_GB2312" w:cs="仿宋_GB2312"/>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采购标的对应的中小企业划分标准所属行业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napToGrid w:val="0"/>
              <w:spacing w:line="360" w:lineRule="auto"/>
              <w:rPr>
                <w:rFonts w:hint="eastAsia" w:ascii="仿宋_GB2312" w:hAnsi="仿宋_GB2312" w:eastAsia="仿宋_GB2312" w:cs="仿宋_GB2312"/>
                <w:color w:val="auto"/>
                <w:kern w:val="2"/>
                <w:sz w:val="24"/>
                <w:szCs w:val="22"/>
                <w:highlight w:val="none"/>
                <w:lang w:val="en-US" w:eastAsia="zh-CN" w:bidi="ar-SA"/>
              </w:rPr>
            </w:pPr>
            <w:r>
              <w:rPr>
                <w:rFonts w:hint="eastAsia" w:ascii="仿宋_GB2312" w:hAnsi="仿宋_GB2312" w:eastAsia="仿宋_GB2312" w:cs="仿宋_GB2312"/>
                <w:color w:val="auto"/>
                <w:sz w:val="24"/>
                <w:highlight w:val="none"/>
              </w:rPr>
              <w:t>采购标的：</w:t>
            </w:r>
            <w:r>
              <w:rPr>
                <w:rFonts w:hint="eastAsia" w:ascii="仿宋_GB2312" w:hAnsi="仿宋_GB2312" w:eastAsia="仿宋_GB2312" w:cs="仿宋_GB2312"/>
                <w:color w:val="auto"/>
                <w:sz w:val="24"/>
                <w:highlight w:val="none"/>
                <w:u w:val="single"/>
              </w:rPr>
              <w:t>详见采购需求</w:t>
            </w:r>
            <w:r>
              <w:rPr>
                <w:rFonts w:hint="eastAsia" w:ascii="仿宋_GB2312" w:hAnsi="仿宋_GB2312" w:eastAsia="仿宋_GB2312" w:cs="仿宋_GB2312"/>
                <w:color w:val="auto"/>
                <w:sz w:val="24"/>
                <w:highlight w:val="none"/>
              </w:rPr>
              <w:t>，所属行业：</w:t>
            </w:r>
            <w:r>
              <w:rPr>
                <w:rFonts w:hint="eastAsia" w:ascii="仿宋_GB2312" w:hAnsi="仿宋_GB2312" w:eastAsia="仿宋_GB2312" w:cs="仿宋_GB2312"/>
                <w:color w:val="auto"/>
                <w:sz w:val="24"/>
                <w:highlight w:val="none"/>
                <w:u w:val="single"/>
              </w:rPr>
              <w:t>详见采购需求</w:t>
            </w:r>
            <w:r>
              <w:rPr>
                <w:rFonts w:hint="eastAsia" w:ascii="仿宋_GB2312" w:hAnsi="仿宋_GB2312" w:eastAsia="仿宋_GB2312" w:cs="仿宋_GB2312"/>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41" w:hRule="atLeast"/>
          <w:tblHeader/>
        </w:trPr>
        <w:tc>
          <w:tcPr>
            <w:tcW w:w="629" w:type="dxa"/>
            <w:tcBorders>
              <w:top w:val="single" w:color="auto" w:sz="4" w:space="0"/>
              <w:left w:val="single" w:color="000000" w:sz="8"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1843" w:type="dxa"/>
            <w:tcBorders>
              <w:top w:val="single" w:color="000000" w:sz="8" w:space="0"/>
              <w:left w:val="single" w:color="000000" w:sz="2"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ind w:firstLine="42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rPr>
              <w:t>依据国家确定的认证机构出具的、处于有效期之内的节能产品认证证书，对获得证书的产品实施政府优先采购或强制采购；其中，☐对</w:t>
            </w:r>
            <w:r>
              <w:rPr>
                <w:rFonts w:hint="eastAsia" w:ascii="仿宋_GB2312" w:hAnsi="仿宋_GB2312" w:eastAsia="仿宋_GB2312" w:cs="仿宋_GB2312"/>
                <w:b/>
                <w:b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实施政府优先采购，详见评分标准；</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b/>
                <w:b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台式</w:t>
            </w:r>
            <w:r>
              <w:rPr>
                <w:rFonts w:hint="eastAsia" w:ascii="仿宋_GB2312" w:hAnsi="仿宋_GB2312" w:eastAsia="仿宋_GB2312" w:cs="仿宋_GB2312"/>
                <w:color w:val="auto"/>
                <w:sz w:val="24"/>
                <w:szCs w:val="24"/>
                <w:highlight w:val="none"/>
                <w:u w:val="single"/>
                <w:lang w:eastAsia="zh-CN"/>
              </w:rPr>
              <w:t>计算机</w:t>
            </w:r>
            <w:r>
              <w:rPr>
                <w:rFonts w:hint="eastAsia" w:ascii="仿宋_GB2312" w:hAnsi="仿宋_GB2312" w:eastAsia="仿宋_GB2312" w:cs="仿宋_GB2312"/>
                <w:color w:val="auto"/>
                <w:sz w:val="24"/>
                <w:szCs w:val="24"/>
                <w:highlight w:val="none"/>
                <w:u w:val="single"/>
              </w:rPr>
              <w:t>（1）</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电脑</w:t>
            </w:r>
            <w:r>
              <w:rPr>
                <w:rFonts w:hint="eastAsia" w:ascii="仿宋_GB2312" w:hAnsi="仿宋_GB2312" w:eastAsia="仿宋_GB2312" w:cs="仿宋_GB2312"/>
                <w:color w:val="auto"/>
                <w:sz w:val="24"/>
                <w:szCs w:val="24"/>
                <w:highlight w:val="none"/>
                <w:u w:val="single"/>
                <w:lang w:eastAsia="zh-CN"/>
              </w:rPr>
              <w:t>显示器</w:t>
            </w:r>
            <w:r>
              <w:rPr>
                <w:rFonts w:hint="eastAsia" w:ascii="仿宋_GB2312" w:hAnsi="仿宋_GB2312" w:eastAsia="仿宋_GB2312" w:cs="仿宋_GB2312"/>
                <w:color w:val="auto"/>
                <w:sz w:val="24"/>
                <w:szCs w:val="24"/>
                <w:highlight w:val="none"/>
              </w:rPr>
              <w:t>实施政府强制采购，投标人就相应的投标产品未提供国家确定的认证机构出具的、处于有效期之内的节能产品认证证书的，投标无效。</w:t>
            </w:r>
          </w:p>
          <w:p>
            <w:pPr>
              <w:spacing w:line="400" w:lineRule="exact"/>
              <w:ind w:firstLine="42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rPr>
              <w:t>依据国家确定的认证机构出具的、处于有效期之内的环境标志产品认证证书，对获得证书的</w:t>
            </w:r>
            <w:r>
              <w:rPr>
                <w:rFonts w:hint="eastAsia" w:ascii="仿宋_GB2312" w:hAnsi="仿宋_GB2312" w:eastAsia="仿宋_GB2312" w:cs="仿宋_GB2312"/>
                <w:color w:val="auto"/>
                <w:sz w:val="24"/>
                <w:szCs w:val="24"/>
                <w:highlight w:val="none"/>
                <w:u w:val="single"/>
              </w:rPr>
              <w:t>台式</w:t>
            </w:r>
            <w:r>
              <w:rPr>
                <w:rFonts w:hint="eastAsia" w:ascii="仿宋_GB2312" w:hAnsi="仿宋_GB2312" w:eastAsia="仿宋_GB2312" w:cs="仿宋_GB2312"/>
                <w:color w:val="auto"/>
                <w:sz w:val="24"/>
                <w:szCs w:val="24"/>
                <w:highlight w:val="none"/>
                <w:u w:val="single"/>
                <w:lang w:eastAsia="zh-CN"/>
              </w:rPr>
              <w:t>计算机</w:t>
            </w:r>
            <w:r>
              <w:rPr>
                <w:rFonts w:hint="eastAsia" w:ascii="仿宋_GB2312" w:hAnsi="仿宋_GB2312" w:eastAsia="仿宋_GB2312" w:cs="仿宋_GB2312"/>
                <w:color w:val="auto"/>
                <w:sz w:val="24"/>
                <w:szCs w:val="24"/>
                <w:highlight w:val="none"/>
                <w:u w:val="single"/>
              </w:rPr>
              <w:t>（1）</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电脑</w:t>
            </w:r>
            <w:r>
              <w:rPr>
                <w:rFonts w:hint="eastAsia" w:ascii="仿宋_GB2312" w:hAnsi="仿宋_GB2312" w:eastAsia="仿宋_GB2312" w:cs="仿宋_GB2312"/>
                <w:color w:val="auto"/>
                <w:sz w:val="24"/>
                <w:szCs w:val="24"/>
                <w:highlight w:val="none"/>
                <w:u w:val="single"/>
                <w:lang w:eastAsia="zh-CN"/>
              </w:rPr>
              <w:t>显示器</w:t>
            </w:r>
            <w:r>
              <w:rPr>
                <w:rFonts w:hint="eastAsia" w:ascii="仿宋_GB2312" w:hAnsi="仿宋_GB2312" w:eastAsia="仿宋_GB2312" w:cs="仿宋_GB2312"/>
                <w:color w:val="auto"/>
                <w:sz w:val="24"/>
                <w:szCs w:val="24"/>
                <w:highlight w:val="none"/>
              </w:rPr>
              <w:t>实施政府优先采购，详见评分标准。</w:t>
            </w:r>
          </w:p>
          <w:p>
            <w:pPr>
              <w:spacing w:line="400" w:lineRule="exact"/>
              <w:ind w:firstLine="420" w:firstLineChars="200"/>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0"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政采贷</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pPr>
              <w:pStyle w:val="4"/>
              <w:spacing w:line="40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备份投标文件的送达地点和签收人员详见招标文件第二部分15.3；15.4。采购人、采购代理机构不强制或变相强制投标人提交备份投标文件。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0" w:hRule="atLeast"/>
          <w:tblHeader/>
        </w:trPr>
        <w:tc>
          <w:tcPr>
            <w:tcW w:w="629" w:type="dxa"/>
            <w:tcBorders>
              <w:top w:val="single" w:color="auto" w:sz="4" w:space="0"/>
              <w:left w:val="single" w:color="auto" w:sz="4"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1843" w:type="dxa"/>
            <w:tcBorders>
              <w:top w:val="single" w:color="000000" w:sz="8" w:space="0"/>
              <w:left w:val="single" w:color="000000" w:sz="2" w:space="0"/>
              <w:bottom w:val="single" w:color="auto" w:sz="4"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履约保证金</w:t>
            </w:r>
          </w:p>
        </w:tc>
        <w:tc>
          <w:tcPr>
            <w:tcW w:w="6095" w:type="dxa"/>
            <w:tcBorders>
              <w:top w:val="single" w:color="000000" w:sz="8" w:space="0"/>
              <w:left w:val="single" w:color="000000" w:sz="2" w:space="0"/>
              <w:bottom w:val="single" w:color="auto" w:sz="4"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 xml:space="preserve">是否需要履约保证金: </w:t>
            </w: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是</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88" w:hRule="atLeast"/>
          <w:tblHeader/>
        </w:trPr>
        <w:tc>
          <w:tcPr>
            <w:tcW w:w="629" w:type="dxa"/>
            <w:tcBorders>
              <w:top w:val="single" w:color="auto" w:sz="4" w:space="0"/>
              <w:left w:val="single" w:color="auto" w:sz="4" w:space="0"/>
              <w:bottom w:val="single" w:color="auto" w:sz="4" w:space="0"/>
              <w:right w:val="single" w:color="000000" w:sz="2" w:space="0"/>
            </w:tcBorders>
            <w:noWrap w:val="0"/>
            <w:vAlign w:val="center"/>
          </w:tcPr>
          <w:p>
            <w:pPr>
              <w:spacing w:line="400" w:lineRule="exact"/>
              <w:contextualSpacing/>
              <w:jc w:val="center"/>
              <w:rPr>
                <w:rFonts w:hint="default" w:ascii="仿宋_GB2312" w:hAnsi="仿宋_GB2312" w:eastAsia="仿宋_GB2312" w:cs="仿宋_GB2312"/>
                <w:color w:val="auto"/>
                <w:sz w:val="24"/>
                <w:szCs w:val="24"/>
                <w:highlight w:val="none"/>
                <w:lang w:val="en-US" w:eastAsia="zh-CN"/>
              </w:rPr>
            </w:pPr>
            <w:bookmarkStart w:id="11" w:name="第三部分"/>
            <w:bookmarkStart w:id="12" w:name="_Toc164416483"/>
            <w:r>
              <w:rPr>
                <w:rFonts w:hint="eastAsia" w:ascii="仿宋_GB2312" w:hAnsi="仿宋_GB2312" w:eastAsia="仿宋_GB2312" w:cs="仿宋_GB2312"/>
                <w:color w:val="auto"/>
                <w:sz w:val="24"/>
                <w:szCs w:val="24"/>
                <w:highlight w:val="none"/>
                <w:lang w:val="en-US" w:eastAsia="zh-CN"/>
              </w:rPr>
              <w:t>15</w:t>
            </w:r>
          </w:p>
        </w:tc>
        <w:tc>
          <w:tcPr>
            <w:tcW w:w="1843" w:type="dxa"/>
            <w:tcBorders>
              <w:top w:val="single" w:color="auto" w:sz="4"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特别说明</w:t>
            </w:r>
          </w:p>
        </w:tc>
        <w:tc>
          <w:tcPr>
            <w:tcW w:w="6095" w:type="dxa"/>
            <w:tcBorders>
              <w:top w:val="single" w:color="auto" w:sz="4"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联合体投标的，联合体各方分别提供与联合体协议中规定的分工内容相应的业绩证明材料，业绩数量以提供材料较少的一方为准。</w:t>
            </w: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rPr>
              <w:t>联合体投标的，联合体各方均需按招标文件第四部分评标办法提供资信证明文件，否则视为不符合相关要求。</w:t>
            </w:r>
          </w:p>
          <w:p>
            <w:pPr>
              <w:pStyle w:val="4"/>
              <w:spacing w:line="400" w:lineRule="exact"/>
              <w:rPr>
                <w:rFonts w:hint="eastAsia" w:ascii="Calibri" w:hAnsi="Calibri" w:eastAsia="宋体" w:cs="宋体"/>
                <w:color w:val="auto"/>
                <w:kern w:val="2"/>
                <w:sz w:val="21"/>
                <w:szCs w:val="22"/>
                <w:highlight w:val="none"/>
                <w:lang w:val="en-US" w:eastAsia="zh-CN" w:bidi="ar-SA"/>
              </w:rPr>
            </w:pP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color w:val="auto"/>
                <w:sz w:val="24"/>
                <w:szCs w:val="24"/>
                <w:highlight w:val="none"/>
              </w:rPr>
              <w:t>联合体投标的，联合体中有一方或者联合体成员根据分工按招标文件第四部分评标办法提供资信证明文件的，视为符合了相关要求。</w:t>
            </w:r>
          </w:p>
        </w:tc>
      </w:tr>
      <w:bookmarkEnd w:id="10"/>
    </w:tbl>
    <w:p>
      <w:pPr>
        <w:spacing w:line="420" w:lineRule="exact"/>
        <w:ind w:firstLine="472" w:firstLineChars="196"/>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一、总则</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1.适用范围</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本招标文件适用于该项目的招标、投标、开标、资格审查及信用信息查询、评标、定标、合同、验收等行为（法律、法规另有规定的，从其规定）。</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2.定义</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“采购人”系指招标公告中载明的本项目的采购人。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“采购代理机构”系指招标公告中载明的本项目的采购代理机构。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 “投标人”系指是指响应招标、参加投标竞争的法人、其他组织或者自然人。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“负责人”系指法人企业的法定负责人，或其他组织为法律、行政法规规定代表单位行使职权的主要负责人，或自然人本人。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2.6“电子交易平台”是指本项目政府采购活动所依托的政府采购云平台（https://www.zcygov.cn/）。</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 “▲”系指实质性要求条款，“</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 w:val="24"/>
          <w:szCs w:val="24"/>
          <w:highlight w:val="none"/>
        </w:rPr>
        <w:t>”系产品采购项目中单一产品或核心产品，“</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”系指适用本项目的要求，“☐”系指不适用本项目的要求。</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 采购项目需要落实的政府采购政策</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 支持绿色发展。</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3.2.2 修缮、装修类项目采购建材的，采购人应将绿色建筑和绿色建材性能、指标等作为实质性条件纳入招标文件和合同。</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pStyle w:val="4"/>
        <w:spacing w:line="4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3.2.4 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3.3支持中小企业发展</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符合中小企业划分标准的个体工商户，在政府采购活动中视同中小企业。</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3.3.2在政府采购活动中，投标人提供的货物、工程或者服务符合下列情形的，享受中小企业扶持政策：</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3.3.2.1在货物采购项目中，货物由中小企业制造，即货物由中小企业生产且使用该中小企业商号或者注册商标；</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3.3.2.2在工程采购项目中，工程由中小企业承建，即工程施工单位为中小企业；</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3.3.2.3在服务采购项目中，服务由中小企业承接，即提供服务的人员为中小企业依照《中华人民共和国劳动合同法》订立劳动合同的从业人员。</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在货物采购项目中，投标人提供的货物既有中小企业制造货物，也有大型企业制造货物的，不享受中小企业扶持政策。</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以联合体形式参加政府采购活动，联合体各方均为中小企业的，联合体视同中小企业。其中，联合体各方均为小微企业的，联合体视同小微企业。</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3.3.3对于未预留份额专门面向中小企业的政府采购项目，以及预留份额政府采购项目中的非预留部分标项，对小型和微型企业的投标报价给予</w:t>
      </w:r>
      <w:r>
        <w:rPr>
          <w:rFonts w:hint="eastAsia" w:ascii="仿宋_GB2312" w:hAnsi="仿宋_GB2312" w:eastAsia="仿宋_GB2312" w:cs="仿宋_GB2312"/>
          <w:color w:val="auto"/>
          <w:sz w:val="24"/>
          <w:szCs w:val="24"/>
          <w:highlight w:val="none"/>
          <w:u w:val="single"/>
        </w:rPr>
        <w:t>10%</w:t>
      </w:r>
      <w:r>
        <w:rPr>
          <w:rFonts w:hint="eastAsia" w:ascii="仿宋_GB2312" w:hAnsi="仿宋_GB2312" w:eastAsia="仿宋_GB2312" w:cs="仿宋_GB2312"/>
          <w:color w:val="auto"/>
          <w:sz w:val="24"/>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hint="eastAsia" w:ascii="仿宋_GB2312" w:hAnsi="仿宋_GB2312" w:eastAsia="仿宋_GB2312" w:cs="仿宋_GB2312"/>
          <w:color w:val="auto"/>
          <w:sz w:val="24"/>
          <w:szCs w:val="24"/>
          <w:highlight w:val="none"/>
          <w:u w:val="single"/>
        </w:rPr>
        <w:t>4%</w:t>
      </w:r>
      <w:r>
        <w:rPr>
          <w:rFonts w:hint="eastAsia" w:ascii="仿宋_GB2312" w:hAnsi="仿宋_GB2312" w:eastAsia="仿宋_GB2312" w:cs="仿宋_GB2312"/>
          <w:color w:val="auto"/>
          <w:sz w:val="24"/>
          <w:szCs w:val="24"/>
          <w:highlight w:val="none"/>
        </w:rPr>
        <w:t>的扣除，用扣除后的价格参加评审。组成联合体或者接受分包的小微企业与联合体内其他企业、分包企业之间存在直接控股、管理关系的，不享受价格扣除优惠政策。专门面向中小企业采购的项目或者采购包，不再执行价格评审优惠的扶持政策。</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3.3.4符合《关于促进残疾人就业政府采购政策的通知》（财库〔2017〕141号）规定的条件并提供《残疾人福利性单位声明函》（附件1）的残疾人福利性单位视同小型、微型企业；</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3.3.7中小企业享受扶持政策获得政府采购合同的，小微企业不得将合同分包给大中型企业，中型企业不得将合同分包给大型企业。</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3.4支持创新发展</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 采购人优先采购被认定为首台套产品和“制造精品”的自主创新产品。</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3.5平等对待内外资企业和符合条件的破产重整企业</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平等对待内外资企业和符合条件的破产重整企业，切实保障企业公平竞争，平等维护企业的合法利益。</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pPr>
        <w:spacing w:line="420" w:lineRule="exact"/>
        <w:ind w:firstLine="480" w:firstLineChars="200"/>
        <w:contextualSpacing/>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3.7 支持本国产品</w:t>
      </w:r>
    </w:p>
    <w:p>
      <w:pPr>
        <w:spacing w:line="420" w:lineRule="exact"/>
        <w:ind w:firstLine="480" w:firstLineChars="200"/>
        <w:contextualSpacing/>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3.7.1 本项目既有本国产品又有非本国产品参与竞争的，对本国产品的报价给予20%的价格扣除，用扣除后的价格参与评审。</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3.7.2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 询问、质疑、投诉</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在线询问、质疑、投诉。根据《浙江省财政厅关于进一步促进政府采购公平竞争打造最优营商环境的通知》（浙财采监（2021）22号）文件关于“健全行政裁决机制”要求，鼓励供应商询问线上提起，路径为：政采云-项目采购-询问质疑投诉-询问列表；鼓励供应商质疑线上提起，路径为：政采云-项目采购-询问质疑投诉-质疑列表。质疑供应商对线上质疑答复不满意的，可线上提起投诉，路径为：浙江政务服务网-政府采购投诉处理-在线办理。</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4.2供应商询问</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4.3供应商质疑</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4.3.1提出质疑的供应商应当是参与所质疑项目采购活动的供应商。潜在供应商已依法获取其可质疑的招标文件的，可以对该文件提出质疑。</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4.3.2供应商认为招标文件、采购过程和中标结果使自己的权益受到损害的，可以在知道或者应知其权益受到损害之日起七个工作日内，以书面形式或线上向采购人或者采购代理机构提出质疑，否则，采购人或者采购代理机构不予受理：</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4.3.2.1对招标文件提出质疑的，质疑期限为供应商获得招标文件之日或者招标文件公告期限届满之日起计算。供应商获得招标文件在公告期限届满之日后的，应当自招标文件公告期限届满之日起计算，且应当在采购响应截止时间之前提出，否则采购人或者采购代理机构不予受理。对招标文件中特定资格条件、采购需求、评分办法提出的质疑，原则上由采购人负责答复；对招标文件中其他内容提出的质疑，原则上由采购代理机构负责答复。</w:t>
      </w:r>
    </w:p>
    <w:p>
      <w:pPr>
        <w:spacing w:line="360" w:lineRule="auto"/>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4.3.2.2对采购过程提出质疑的，质疑期限为各采购程序环节结束之日起计算。对同一采购程序环节的质疑，供应商须在法定质疑期内一次性提出。对采购过程中有关现场考察或开标前答疑会事项提出的质疑，原则上由采购人负责答复；对采购过程中其它事项提出的质疑，原则上由采购代理机构负责答复。</w:t>
      </w:r>
    </w:p>
    <w:p>
      <w:pPr>
        <w:spacing w:line="360" w:lineRule="auto"/>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4.3.2.3对采购结果提出质疑的，质疑期限自采购结果公告期限届满之日起计算。对采购结果提出质疑的，采购代理机构负责答复。</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4.3.3供应商提出质疑应当提交质疑函和必要的证明材料。质疑函应当包括下列内容：</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4.3.3.1供应商的姓名或者名称、地址、邮编、联系人及联系电话；</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4.3.3.2质疑项目的名称、编号；</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4.3.3.3具体、明确的质疑事项和与质疑事项相关的请求；</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4.3.3.4事实依据；</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4.3.3.5必要的法律依据；</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4.3.3.6提出质疑的日期。</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供应商线下提交质疑函的，质疑函需一式三份。供应商为自然人的，应当由本人签字；供应商为法人或者其他组织的，应当由法定代表人、主要负责人，或者其授权代表签字或者盖章，并加盖公章。</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质疑函范本及制作说明详见附件2。</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4.3.4采购人或者采购代理机构应当在收到供应商的书面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质疑答复后5个工作日内，在浙江政府采购网的“其他公告”栏目公开质疑答复，答复内容应当完整。质疑函作为附件上传。</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4.3.5询问或者质疑事项可能影响采购结果的，采购人应当暂停签订合同，已经签订合同的，应当中止履行合同。</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4.4供应商投诉</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4.4.1质疑供应商对采购人、采购代理机构的答复不满意或者采购人、采购代理机构未在规定的时间内作出答复的，可以在答复期满后十五个工作日内向同级政府采购监督管理部门提出投诉。</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4.4.2供应商投诉的事项不得超出已质疑事项的范围，基于质疑答复内容提出的投诉事项除外。</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4.4.3供应商投诉应当有明确的请求和必要的证明材料。</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4.4.5 以联合体形式参加政府采购活动的，其投诉应当由组成联合体的所有供应商共同提出。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投诉书范本及制作说明详见附件3。</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二、招标文件的构成、澄清、修改</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5．招标文件的构成</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 招标文件包括下列文件及附件：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5.1.1招标公告；</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5.1.2投标人须知；</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5.1.3采购需求；</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5.1.4评标办法；</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5.1.5拟签订的合同文本；</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5.1.6应提交的有关格式范例。</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5.2与本项目有关的澄清或者修改的内容为招标文件的组成部分。</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 招标文件的澄清、修改</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6.1已获取招标文件的潜在投标人，若有问题需要澄清，应于投标截止时间前，以书面形式向采购代理机构提出。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spacing w:line="420" w:lineRule="exact"/>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三、投标</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 招标文件的获取</w:t>
      </w:r>
    </w:p>
    <w:p>
      <w:pPr>
        <w:spacing w:line="42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详见招标公告中获取招标文件的时间期限、地点、方式及招标文件售价。</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8.开标前答疑会或现场考察</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采购人组织潜在投标人现场考察或者召开开标前答疑会的，潜在投标人按第二部分投标人须知前附表的规定参加现场考察或者开标前答疑会。</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9.投标保证金</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本项目不需缴纳投标保证金。</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 投标文件的语言</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投标文件及投标人与采购有关的来往通知、函件和文件均应使用中文。</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投标文件的组成</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投标文件的组成</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11.1资格文件：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11.1.1符合参加政府采购活动应当具备的一般条件的承诺函；</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11.1.2联合协议（如果有）；</w:t>
      </w:r>
    </w:p>
    <w:p>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11.1.3落实政府采购政策需满足的资格要求（如果有）;</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11.1.4本项目的特定资格要求（如果有）。</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  商务技术文件：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11.2.1投标函； </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11.2.2联合协议（如果有）；</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11.2.3分包意向协议（如果有）；</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11.2.4符合性审查资料；</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11.2.5拟投入的项目班子格式；</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11.2.6评标标准相应的商务技术资料；</w:t>
      </w:r>
    </w:p>
    <w:p>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11.2.7投标标的清单（如果有）；</w:t>
      </w:r>
    </w:p>
    <w:p>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11.2.8商务技术偏离表；</w:t>
      </w:r>
    </w:p>
    <w:p>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11.2.9政府采购供应商廉洁自律承诺书。</w:t>
      </w:r>
    </w:p>
    <w:p>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11.3报价文件： </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11.3.1开标一览表（报价表）；</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11.3.2中小企业声明函；</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11.3.3 关于符合本国产品标准的声明函（如果有）；</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11.3.4</w:t>
      </w:r>
      <w:r>
        <w:rPr>
          <w:rFonts w:hint="eastAsia" w:ascii="仿宋_GB2312" w:eastAsia="仿宋_GB2312"/>
          <w:color w:val="auto"/>
          <w:sz w:val="24"/>
          <w:szCs w:val="24"/>
          <w:highlight w:val="none"/>
          <w:lang w:eastAsia="zh-CN"/>
        </w:rPr>
        <w:t>书面说明及必要的证明材料，对投标价格作出解释。（如果报价低于项目最高限价</w:t>
      </w: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lang w:eastAsia="zh-CN"/>
        </w:rPr>
        <w:t>5%的）</w:t>
      </w:r>
      <w:r>
        <w:rPr>
          <w:rFonts w:hint="eastAsia" w:ascii="仿宋_GB2312" w:hAnsi="仿宋_GB2312" w:eastAsia="仿宋_GB2312" w:cs="仿宋_GB2312"/>
          <w:color w:val="auto"/>
          <w:sz w:val="24"/>
          <w:szCs w:val="24"/>
          <w:highlight w:val="none"/>
        </w:rPr>
        <w:t>。</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12.投标文件的编制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12.2投标人进行电子投标应安装客户端软件—“政采云电子交易客户端”，并按照招标文件和电子交易平台的要求编制并加密投标文件。投标人未按规定加密的投标文件，电子交易平台将拒收并提示。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12.3使用“政采云电子交易客户端”需要提前申领CA数字证书，申领流程请自行前往“浙江政府采购网-下载专区-电子交易客户端-CA驱动和申领流程”进行查阅。</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13.投标文件的签署、盖章</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13.1投标文件按照招标文件第六部分格式要求进行签署、盖章。▲</w:t>
      </w:r>
      <w:r>
        <w:rPr>
          <w:rFonts w:hint="eastAsia" w:ascii="仿宋_GB2312" w:hAnsi="仿宋_GB2312" w:eastAsia="仿宋_GB2312" w:cs="仿宋_GB2312"/>
          <w:b/>
          <w:color w:val="auto"/>
          <w:sz w:val="24"/>
          <w:szCs w:val="24"/>
          <w:highlight w:val="none"/>
        </w:rPr>
        <w:t>投标人的投标文件未按照招标文件要求签署、盖章的，其投标无效</w:t>
      </w:r>
      <w:r>
        <w:rPr>
          <w:rFonts w:hint="eastAsia" w:ascii="仿宋_GB2312" w:hAnsi="仿宋_GB2312" w:eastAsia="仿宋_GB2312" w:cs="仿宋_GB2312"/>
          <w:color w:val="auto"/>
          <w:sz w:val="24"/>
          <w:szCs w:val="24"/>
          <w:highlight w:val="none"/>
        </w:rPr>
        <w:t>。</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13.2为确保网上操作合法、有效和安全，投标人应当在投标截止时间前完成在“政府采购云平台”的身份认证，确保在电子投标过程中能够对相关数据电文进行加密和使用电子签名。</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13.3招标文件对投标文件签署、盖章的要求适用于电子签名。</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14.投标文件的提交、补充、修改、撤回</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15.备份投标文件</w:t>
      </w:r>
    </w:p>
    <w:p>
      <w:pPr>
        <w:spacing w:line="42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15.1投标人在电子交易平台传输递交投标文件后，还可以在投标截止时间前直接提交或者以邮政快递方式递交备份投标文件1份，但采购人、采购代理机构不强制或变相强制投标人提交备份投标文件。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15.2备份投标文件须在“政采云投标客户端”制作生成，并储存在介质存储中。备份投标文件应当密封包装并在包装上加盖公章并注明投标项目名称，投标人名称(联合体投标的，包装物封面需注明联合体投标，并注明联合体成员各方的名称和联合协议中约定的牵头人的名称)。不符合上述制作、存储、密封规定的备份投标文件将被视为无效或者被拒绝接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15.3直接提交备份投标文件的，投标人应于开标当日投标截止时间前将备份投标文件按要求密封和标记后送达舟山市新城翁山路555号四楼（大宗商品交易中心同幢西边）4楼政府采购窗口；送达时间以签收人签收时间为准（签收人：曹女士，联系电话：0580-2281591）。采购代理机构将拒绝接受逾期送达的备份投标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15.4以邮政快递方式递交备份投标文件的，投标人应先将备份投标文件按要求密封和标记，再进行邮政快递包装后邮寄。备份投标文件须在投标截止时间之前送达舟山市翁山路555号4楼4024室；送达时间以签收人签收时间为准（签收人：曹女士，联系电话：0580-2281591）。采购代理机构将拒绝接受逾期送达的备份投标文件。邮寄过程中，电子备份投标文件发生泄露、遗失、损坏或延期送达等情况的，由投标人自行负责。</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15.5投标人仅提交备份投标文件，没有在电子交易平台传输递交投标文件的，投标无效。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16.投标文件的无效处理</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有招标文件第四部分4.2项规定的情形之一的，投标无效。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17.投标有效期</w:t>
      </w:r>
    </w:p>
    <w:p>
      <w:pPr>
        <w:spacing w:line="420" w:lineRule="exact"/>
        <w:ind w:firstLine="480"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17.1投标有效期为从提交投标文件的截止之日起90天。▲</w:t>
      </w:r>
      <w:r>
        <w:rPr>
          <w:rFonts w:hint="eastAsia" w:ascii="仿宋_GB2312" w:hAnsi="仿宋_GB2312" w:eastAsia="仿宋_GB2312" w:cs="仿宋_GB2312"/>
          <w:b/>
          <w:color w:val="auto"/>
          <w:sz w:val="24"/>
          <w:szCs w:val="24"/>
          <w:highlight w:val="none"/>
        </w:rPr>
        <w:t>投标人的投标文件中承诺的投标有效期少于招标文件中载明的投标有效期的，投标无效。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17.2投标文件合格投递后，自投标截止日期起，在投标有效期内有效。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四、开标、资格审查与信用信息查询</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18.开标</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18.1采购代理机构按照招标文件规定的时间通过电子交易平台组织开标，所有投标人均应当准时在线参加。</w:t>
      </w:r>
    </w:p>
    <w:p>
      <w:pPr>
        <w:spacing w:line="42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18.2开标时，电子交易平台按开标时间自动提取所有投标文件。采购代理机构依托电子交易平台发起开始解密指令，投标人按照平台提示和招标文件的规定在半小时内完成在线解密。</w:t>
      </w:r>
    </w:p>
    <w:p>
      <w:pPr>
        <w:spacing w:line="42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18.3</w:t>
      </w:r>
      <w:r>
        <w:rPr>
          <w:rFonts w:hint="eastAsia" w:ascii="仿宋_GB2312" w:hAnsi="仿宋_GB2312" w:eastAsia="仿宋_GB2312" w:cs="仿宋_GB2312"/>
          <w:b/>
          <w:color w:val="auto"/>
          <w:sz w:val="24"/>
          <w:szCs w:val="24"/>
          <w:highlight w:val="none"/>
        </w:rPr>
        <w:t>投标文件未按时解密，投标人提供了备份投标文件的，以备份投标文件作为依据，否则视为投标文件撤回。投标文件已按时解密的，备份投标文件自动失效。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19.资格审查</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19.1开标后，采购人将依法对投标人的资格进行审查。</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19.2采购人依据法律法规和招标文件的规定，对投标人的基本资格条件、特定资格条件进行审查。</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19.3投标人未按照招标文件要求提供与基本资格条件、特定资格条件相应的有效资格证明材料的，视为投标人不具备招标文件中规定的资格要求，其投标无效。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19.4对未通过资格审查的投标人，采购人或采购代理机构告知其未通过的原因。</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19.5合格投标人不足3家的，不再评标。</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20.信用信息查询</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20.1信用信息查询渠道及截止时间：采购代理机构将通过“信用中国”网站(www.creditchina.gov.cn)、中国政府采购网(www.ccgp.gov.cn)渠道查询投标人投标截止时间当天的信用记录。</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20.2信用信息查询记录和证据留存的具体方式：现场查询的投标人的信用记录、查询结果经确认后将与采购文件一起存档。</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20.3信用信息的使用规则：经查询列入失信被执行人名单、重大税收违法失信主体、政府采购严重违法失信行为记录名单、参加政府采购活动前三年内在经营活动中有重大违法记录的投标人将被拒绝参与政府采购活动。</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五、评标</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bookmarkStart w:id="13" w:name="_Toc91899903"/>
      <w:r>
        <w:rPr>
          <w:rFonts w:hint="eastAsia" w:ascii="仿宋_GB2312" w:hAnsi="仿宋_GB2312" w:eastAsia="仿宋_GB2312" w:cs="仿宋_GB2312"/>
          <w:color w:val="auto"/>
          <w:sz w:val="24"/>
          <w:szCs w:val="24"/>
          <w:highlight w:val="none"/>
        </w:rPr>
        <w:t>21. 评标委员会将根据招标文件和有关规定，履行评标工作职责，并按照评标办法及评分标准，全面衡量各投标人对招标文件的响应情况。对实质上响应招标文件的投标人，按照评审得分由高到低排序，并按顺序提出授标建议。评标办法详见招标文件第四部分。本项目由采购人授权评审委员会（谈判小组、询价小组）根据中标（成交）候选人名单及排序，直接确定中标人（成交供应商）。</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六、定标</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22.确定中标供应商</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候选人撤销投标（响应）文件不能成为采购人不确认采购结果的正当理由（采购文件中明确）。中标、成交通知书和中标、成交结果公告应当在规定时间内同时发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23.中标通知与中标结果公告</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23.1自中标人确定之日起2个工作日内，采购代理机构通过电子交易平台向中标人发出中标通知书，同时编制发布采购结果公告。采购代理机构也可以以纸质形式进行中标通知。</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23.3公告期限为1个工作日。</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七、合同授予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合同主要条款详见第五部分拟签订的合同文本。</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 合同的签订</w:t>
      </w:r>
    </w:p>
    <w:p>
      <w:pPr>
        <w:spacing w:line="420" w:lineRule="exact"/>
        <w:ind w:firstLine="480" w:firstLineChars="200"/>
        <w:contextualSpacing/>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25.1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采购人与中标供应商按照采购文件确定的事项签订政府采购合同，并及时上传发布。</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25.2中标人按规定的日期、时间、地点，由法定代表人或其授权代表与采购人代表签订合同。如中标人为联合体的，由联合体成员各方法定代表人或其授权代表与采购人代表签订合同。</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25.3中标供应商拒绝与采购人签订合同的，采购人可以按照评审报告推荐的中标或者成交候选人名单排序，确定下一候选人为中标供应商，也可以重新开展政府采购活动。</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25.4中标供应商放弃中标资格导致重新采购的，应当承担支付专家评审费等费用在内的赔偿责任。</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25.5采购合同由采购人与中标供应商根据招标文件、投标文件等内容通过政府采购电子交易平台在线签订，自动备案。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 履约保证金</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拟签订的合同文本要求中标供应商提交履约保证金的，供应商应当以支票、汇票、本票或者金融机构、担保机构出具的保函等非现金形式提交。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 预付款</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八、电子交易活动的中止</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 电子交易活动的中止。采购过程中出现以下情形，导致电子交易平台无法正常运行，或者无法保证电子交易的公平、公正和安全时，采购代理机构可中止电子交易活动：</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28.1电子交易平台发生故障而无法登录访问的；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28.2电子交易平台应用或数据库出现错误，不能进行正常操作的；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28.3电子交易平台发现严重安全漏洞，有潜在泄密危险的；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28.4病毒发作导致不能进行正常操作的；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28.5其他无法保证电子交易的公平、公正和安全的情况。</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九、验收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30.验收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30.2采购人可以邀请参加本项目的其他投标人或者第三方机构参与验收。参与验收的投标人或者第三方机构的意见作为验收书的参考资料一并存档。</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pPr>
        <w:spacing w:line="540" w:lineRule="exact"/>
        <w:contextualSpacing/>
        <w:rPr>
          <w:rFonts w:hint="eastAsia" w:ascii="仿宋_GB2312" w:hAnsi="仿宋_GB2312" w:eastAsia="仿宋_GB2312" w:cs="仿宋_GB2312"/>
          <w:color w:val="auto"/>
          <w:sz w:val="24"/>
          <w:szCs w:val="24"/>
          <w:highlight w:val="none"/>
        </w:rPr>
        <w:sectPr>
          <w:footerReference r:id="rId6" w:type="first"/>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117"/>
        </w:sectPr>
      </w:pPr>
      <w:bookmarkStart w:id="14" w:name="_Hlt74707468"/>
      <w:bookmarkEnd w:id="14"/>
      <w:bookmarkStart w:id="15" w:name="_Hlt74714665"/>
      <w:bookmarkEnd w:id="15"/>
      <w:bookmarkStart w:id="16" w:name="_Hlt75236101"/>
      <w:bookmarkEnd w:id="16"/>
      <w:bookmarkStart w:id="17" w:name="_Hlt68072998"/>
      <w:bookmarkEnd w:id="17"/>
      <w:bookmarkStart w:id="18" w:name="_Hlt75236011"/>
      <w:bookmarkEnd w:id="18"/>
      <w:bookmarkStart w:id="19" w:name="_Hlt75236290"/>
      <w:bookmarkEnd w:id="19"/>
      <w:bookmarkStart w:id="20" w:name="_Hlt68072990"/>
      <w:bookmarkEnd w:id="20"/>
      <w:bookmarkStart w:id="21" w:name="_Hlt74730295"/>
      <w:bookmarkEnd w:id="21"/>
      <w:bookmarkStart w:id="22" w:name="_Hlt68403820"/>
      <w:bookmarkEnd w:id="22"/>
      <w:bookmarkStart w:id="23" w:name="_Hlt74729768"/>
      <w:bookmarkEnd w:id="23"/>
      <w:bookmarkStart w:id="24" w:name="_Hlt68057669"/>
      <w:bookmarkEnd w:id="24"/>
      <w:bookmarkStart w:id="25" w:name="_Hlt68073093"/>
      <w:bookmarkEnd w:id="25"/>
    </w:p>
    <w:bookmarkEnd w:id="11"/>
    <w:bookmarkEnd w:id="12"/>
    <w:p>
      <w:pPr>
        <w:jc w:val="center"/>
        <w:outlineLvl w:val="0"/>
        <w:rPr>
          <w:rFonts w:hint="eastAsia" w:ascii="仿宋_GB2312" w:hAnsi="仿宋_GB2312" w:eastAsia="仿宋_GB2312" w:cs="仿宋_GB2312"/>
          <w:b/>
          <w:color w:val="auto"/>
          <w:sz w:val="32"/>
          <w:szCs w:val="32"/>
          <w:highlight w:val="none"/>
        </w:rPr>
      </w:pPr>
      <w:bookmarkStart w:id="26" w:name="第四部分"/>
      <w:r>
        <w:rPr>
          <w:rFonts w:hint="eastAsia" w:ascii="仿宋_GB2312" w:hAnsi="仿宋_GB2312" w:eastAsia="仿宋_GB2312" w:cs="仿宋_GB2312"/>
          <w:b/>
          <w:color w:val="auto"/>
          <w:sz w:val="32"/>
          <w:szCs w:val="32"/>
          <w:highlight w:val="none"/>
        </w:rPr>
        <w:t>第三部分</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采购需求</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auto"/>
          <w:sz w:val="24"/>
          <w:szCs w:val="24"/>
          <w:highlight w:val="none"/>
        </w:rPr>
      </w:pPr>
    </w:p>
    <w:p>
      <w:pPr>
        <w:pStyle w:val="6"/>
        <w:rPr>
          <w:rFonts w:hint="eastAsia" w:ascii="仿宋_GB2312" w:hAnsi="仿宋_GB2312" w:eastAsia="仿宋_GB2312" w:cs="仿宋_GB2312"/>
          <w:color w:val="auto"/>
          <w:sz w:val="24"/>
          <w:szCs w:val="24"/>
          <w:highlight w:val="none"/>
          <w14:ligatures w14:val="none"/>
        </w:rPr>
      </w:pPr>
      <w:r>
        <w:rPr>
          <w:rFonts w:hint="eastAsia" w:ascii="仿宋_GB2312" w:hAnsi="仿宋_GB2312" w:eastAsia="仿宋_GB2312" w:cs="仿宋_GB2312"/>
          <w:color w:val="auto"/>
          <w:sz w:val="24"/>
          <w:szCs w:val="24"/>
          <w:highlight w:val="none"/>
          <w14:ligatures w14:val="none"/>
        </w:rPr>
        <w:t>一、采购设备清单及控制价</w:t>
      </w:r>
    </w:p>
    <w:tbl>
      <w:tblPr>
        <w:tblStyle w:val="27"/>
        <w:tblW w:w="8935" w:type="dxa"/>
        <w:tblInd w:w="-6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2159"/>
        <w:gridCol w:w="1292"/>
        <w:gridCol w:w="1847"/>
        <w:gridCol w:w="1407"/>
        <w:gridCol w:w="1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标的名称</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数量单位</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技术规范和服务要求</w:t>
            </w:r>
          </w:p>
        </w:tc>
        <w:tc>
          <w:tcPr>
            <w:tcW w:w="14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质保</w:t>
            </w:r>
          </w:p>
        </w:tc>
        <w:tc>
          <w:tcPr>
            <w:tcW w:w="1270"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960" w:type="dxa"/>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159" w:type="dxa"/>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★台式</w:t>
            </w:r>
            <w:r>
              <w:rPr>
                <w:rFonts w:hint="eastAsia" w:ascii="仿宋_GB2312" w:hAnsi="仿宋_GB2312" w:eastAsia="仿宋_GB2312" w:cs="仿宋_GB2312"/>
                <w:color w:val="auto"/>
                <w:sz w:val="24"/>
                <w:szCs w:val="24"/>
                <w:highlight w:val="none"/>
                <w:lang w:eastAsia="zh-CN"/>
              </w:rPr>
              <w:t>计算机</w:t>
            </w:r>
            <w:r>
              <w:rPr>
                <w:rFonts w:hint="eastAsia" w:ascii="仿宋_GB2312" w:hAnsi="仿宋_GB2312" w:eastAsia="仿宋_GB2312" w:cs="仿宋_GB2312"/>
                <w:color w:val="auto"/>
                <w:sz w:val="24"/>
                <w:szCs w:val="24"/>
                <w:highlight w:val="none"/>
              </w:rPr>
              <w:t>（1）</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r>
              <w:rPr>
                <w:rFonts w:hint="eastAsia" w:ascii="仿宋_GB2312" w:hAnsi="仿宋_GB2312" w:eastAsia="仿宋_GB2312" w:cs="仿宋_GB2312"/>
                <w:color w:val="auto"/>
                <w:sz w:val="24"/>
                <w:szCs w:val="24"/>
                <w:highlight w:val="none"/>
              </w:rPr>
              <w:t>套</w:t>
            </w:r>
          </w:p>
        </w:tc>
        <w:tc>
          <w:tcPr>
            <w:tcW w:w="1847" w:type="dxa"/>
            <w:vMerge w:val="restart"/>
            <w:tcBorders>
              <w:top w:val="single" w:color="auto" w:sz="4" w:space="0"/>
              <w:left w:val="single" w:color="000000" w:sz="4" w:space="0"/>
              <w:right w:val="single" w:color="000000" w:sz="4" w:space="0"/>
            </w:tcBorders>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详见技术要求</w:t>
            </w:r>
          </w:p>
        </w:tc>
        <w:tc>
          <w:tcPr>
            <w:tcW w:w="1407" w:type="dxa"/>
            <w:vMerge w:val="restart"/>
            <w:tcBorders>
              <w:top w:val="single" w:color="auto" w:sz="4" w:space="0"/>
              <w:left w:val="single" w:color="000000" w:sz="4" w:space="0"/>
              <w:right w:val="single" w:color="000000" w:sz="4" w:space="0"/>
            </w:tcBorders>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三年免费质保</w:t>
            </w:r>
          </w:p>
        </w:tc>
        <w:tc>
          <w:tcPr>
            <w:tcW w:w="1270" w:type="dxa"/>
            <w:tcBorders>
              <w:top w:val="single" w:color="auto" w:sz="4" w:space="0"/>
              <w:left w:val="single" w:color="000000" w:sz="4" w:space="0"/>
              <w:right w:val="single" w:color="auto"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960" w:type="dxa"/>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159" w:type="dxa"/>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同传软件</w:t>
            </w:r>
            <w:r>
              <w:rPr>
                <w:rFonts w:hint="eastAsia" w:ascii="仿宋_GB2312" w:hAnsi="仿宋_GB2312" w:eastAsia="仿宋_GB2312" w:cs="仿宋_GB2312"/>
                <w:color w:val="auto"/>
                <w:sz w:val="24"/>
                <w:szCs w:val="24"/>
                <w:highlight w:val="none"/>
              </w:rPr>
              <w:t>（2）</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r>
              <w:rPr>
                <w:rFonts w:hint="eastAsia" w:ascii="仿宋_GB2312" w:hAnsi="仿宋_GB2312" w:eastAsia="仿宋_GB2312" w:cs="仿宋_GB2312"/>
                <w:color w:val="auto"/>
                <w:sz w:val="24"/>
                <w:szCs w:val="24"/>
                <w:highlight w:val="none"/>
              </w:rPr>
              <w:t>套</w:t>
            </w:r>
          </w:p>
        </w:tc>
        <w:tc>
          <w:tcPr>
            <w:tcW w:w="1847" w:type="dxa"/>
            <w:vMerge w:val="continue"/>
            <w:tcBorders>
              <w:top w:val="single" w:color="auto" w:sz="4" w:space="0"/>
              <w:left w:val="single" w:color="000000" w:sz="4" w:space="0"/>
              <w:right w:val="single" w:color="000000" w:sz="4" w:space="0"/>
            </w:tcBorders>
            <w:vAlign w:val="center"/>
          </w:tcPr>
          <w:p>
            <w:pPr>
              <w:rPr>
                <w:rFonts w:hint="eastAsia" w:ascii="仿宋_GB2312" w:hAnsi="仿宋_GB2312" w:eastAsia="仿宋_GB2312" w:cs="仿宋_GB2312"/>
                <w:color w:val="auto"/>
                <w:sz w:val="24"/>
                <w:szCs w:val="24"/>
                <w:highlight w:val="none"/>
              </w:rPr>
            </w:pPr>
          </w:p>
        </w:tc>
        <w:tc>
          <w:tcPr>
            <w:tcW w:w="1407" w:type="dxa"/>
            <w:vMerge w:val="continue"/>
            <w:tcBorders>
              <w:top w:val="single" w:color="auto" w:sz="4" w:space="0"/>
              <w:left w:val="single" w:color="000000" w:sz="4" w:space="0"/>
              <w:right w:val="single" w:color="000000" w:sz="4" w:space="0"/>
            </w:tcBorders>
            <w:vAlign w:val="center"/>
          </w:tcPr>
          <w:p>
            <w:pPr>
              <w:rPr>
                <w:rFonts w:hint="eastAsia" w:ascii="仿宋_GB2312" w:hAnsi="仿宋_GB2312" w:eastAsia="仿宋_GB2312" w:cs="仿宋_GB2312"/>
                <w:color w:val="auto"/>
                <w:sz w:val="24"/>
                <w:szCs w:val="24"/>
                <w:highlight w:val="none"/>
              </w:rPr>
            </w:pPr>
          </w:p>
        </w:tc>
        <w:tc>
          <w:tcPr>
            <w:tcW w:w="1270" w:type="dxa"/>
            <w:tcBorders>
              <w:top w:val="single" w:color="auto" w:sz="4" w:space="0"/>
              <w:left w:val="single" w:color="000000" w:sz="4" w:space="0"/>
              <w:right w:val="single" w:color="auto"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软件和信息技术服务</w:t>
            </w:r>
          </w:p>
        </w:tc>
      </w:tr>
    </w:tbl>
    <w:p>
      <w:pPr>
        <w:pStyle w:val="6"/>
        <w:rPr>
          <w:rFonts w:hint="eastAsia" w:ascii="仿宋_GB2312" w:hAnsi="仿宋_GB2312" w:eastAsia="仿宋_GB2312" w:cs="仿宋_GB2312"/>
          <w:color w:val="auto"/>
          <w:sz w:val="24"/>
          <w:szCs w:val="24"/>
          <w:highlight w:val="none"/>
          <w14:ligatures w14:val="none"/>
        </w:rPr>
      </w:pPr>
      <w:r>
        <w:rPr>
          <w:rFonts w:hint="eastAsia" w:ascii="仿宋_GB2312" w:hAnsi="仿宋_GB2312" w:eastAsia="仿宋_GB2312" w:cs="仿宋_GB2312"/>
          <w:color w:val="auto"/>
          <w:sz w:val="24"/>
          <w:szCs w:val="24"/>
          <w:highlight w:val="none"/>
          <w14:ligatures w14:val="none"/>
        </w:rPr>
        <w:t>二、技术要求</w:t>
      </w:r>
    </w:p>
    <w:p>
      <w:pPr>
        <w:pStyle w:val="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台式</w:t>
      </w:r>
      <w:r>
        <w:rPr>
          <w:rFonts w:hint="eastAsia" w:ascii="仿宋_GB2312" w:hAnsi="仿宋_GB2312" w:eastAsia="仿宋_GB2312" w:cs="仿宋_GB2312"/>
          <w:color w:val="auto"/>
          <w:sz w:val="24"/>
          <w:szCs w:val="24"/>
          <w:highlight w:val="none"/>
          <w:lang w:eastAsia="zh-CN"/>
        </w:rPr>
        <w:t>计算机</w:t>
      </w:r>
      <w:r>
        <w:rPr>
          <w:rFonts w:hint="eastAsia" w:ascii="仿宋_GB2312" w:hAnsi="仿宋_GB2312" w:eastAsia="仿宋_GB2312" w:cs="仿宋_GB2312"/>
          <w:color w:val="auto"/>
          <w:sz w:val="24"/>
          <w:szCs w:val="24"/>
          <w:highlight w:val="none"/>
        </w:rPr>
        <w:t>（1）</w:t>
      </w:r>
    </w:p>
    <w:tbl>
      <w:tblPr>
        <w:tblStyle w:val="28"/>
        <w:tblW w:w="921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86"/>
        <w:gridCol w:w="1506"/>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noWrap/>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0" w:type="auto"/>
            <w:noWrap/>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一级指标</w:t>
            </w:r>
          </w:p>
        </w:tc>
        <w:tc>
          <w:tcPr>
            <w:tcW w:w="0" w:type="auto"/>
            <w:vAlign w:val="center"/>
          </w:tcPr>
          <w:p>
            <w:pPr>
              <w:pStyle w:val="4"/>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二级指标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▲CPU规格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▲CPU 信息</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≥英特尔® 酷睿™ </w:t>
            </w:r>
            <w:r>
              <w:rPr>
                <w:rFonts w:hint="eastAsia" w:ascii="仿宋_GB2312" w:hAnsi="仿宋_GB2312" w:eastAsia="仿宋_GB2312" w:cs="仿宋_GB2312"/>
                <w:color w:val="auto"/>
                <w:sz w:val="24"/>
                <w:szCs w:val="24"/>
                <w:highlight w:val="none"/>
                <w:lang w:val="en-US" w:eastAsia="zh-CN"/>
              </w:rPr>
              <w:t>14 代I5处理器</w:t>
            </w:r>
            <w:r>
              <w:rPr>
                <w:rFonts w:hint="eastAsia" w:ascii="仿宋_GB2312" w:hAnsi="仿宋_GB2312" w:eastAsia="仿宋_GB2312" w:cs="仿宋_GB2312"/>
                <w:color w:val="auto"/>
                <w:sz w:val="24"/>
                <w:szCs w:val="24"/>
                <w:highlight w:val="none"/>
              </w:rPr>
              <w:t>、物理核数≥</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个，线程数≥</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个，主频≥</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睿频</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4.9</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缓存≥</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MB，基础功耗TDP≥65W，内存支持的最高速率≥</w:t>
            </w:r>
            <w:r>
              <w:rPr>
                <w:rFonts w:hint="eastAsia" w:ascii="仿宋_GB2312" w:hAnsi="仿宋_GB2312" w:eastAsia="仿宋_GB2312" w:cs="仿宋_GB2312"/>
                <w:color w:val="auto"/>
                <w:sz w:val="24"/>
                <w:szCs w:val="24"/>
                <w:highlight w:val="none"/>
                <w:lang w:val="en-US" w:eastAsia="zh-CN"/>
              </w:rPr>
              <w:t>3200</w:t>
            </w:r>
            <w:r>
              <w:rPr>
                <w:rFonts w:hint="eastAsia" w:ascii="仿宋_GB2312" w:hAnsi="仿宋_GB2312" w:eastAsia="仿宋_GB2312" w:cs="仿宋_GB2312"/>
                <w:color w:val="auto"/>
                <w:sz w:val="24"/>
                <w:szCs w:val="24"/>
                <w:highlight w:val="none"/>
              </w:rPr>
              <w:t>MT/s、通道数≥2个、位宽≥64bit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▲内存配置容量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▲内存类型</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 DDR</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及以上内存类型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▲内存条配置数量（板载内存不涉及）</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▲主板规格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▲主板集成模块</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集成资源扩展模块、计算处理模块、音频扩展模块等，主板的互联拓扑可通过处理器或交换电路实现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▲主板支持的 CPU和内存情况</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供应商给出主板支持的 CPU 和内存型号和数量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主板内置PCIe 插槽数量</w:t>
            </w:r>
          </w:p>
        </w:tc>
        <w:tc>
          <w:tcPr>
            <w:tcW w:w="0" w:type="auto"/>
            <w:vAlign w:val="center"/>
          </w:tcPr>
          <w:p>
            <w:pPr>
              <w:pStyle w:val="4"/>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支持 PCI</w:t>
            </w:r>
            <w:r>
              <w:rPr>
                <w:rFonts w:hint="eastAsia" w:ascii="仿宋_GB2312" w:hAnsi="仿宋_GB2312" w:eastAsia="仿宋_GB2312" w:cs="仿宋_GB2312"/>
                <w:color w:val="auto"/>
                <w:sz w:val="24"/>
                <w:szCs w:val="24"/>
                <w:highlight w:val="none"/>
                <w:lang w:val="en-US" w:eastAsia="zh-CN"/>
              </w:rPr>
              <w:t>e</w:t>
            </w:r>
            <w:r>
              <w:rPr>
                <w:rFonts w:hint="eastAsia" w:ascii="仿宋_GB2312" w:hAnsi="仿宋_GB2312" w:eastAsia="仿宋_GB2312" w:cs="仿宋_GB2312"/>
                <w:color w:val="auto"/>
                <w:sz w:val="24"/>
                <w:szCs w:val="24"/>
                <w:highlight w:val="none"/>
              </w:rPr>
              <w:t>x16插槽数量≥</w:t>
            </w:r>
            <w:r>
              <w:rPr>
                <w:rFonts w:hint="eastAsia" w:ascii="仿宋_GB2312" w:hAnsi="仿宋_GB2312" w:eastAsia="仿宋_GB2312" w:cs="仿宋_GB2312"/>
                <w:color w:val="auto"/>
                <w:sz w:val="24"/>
                <w:szCs w:val="24"/>
                <w:highlight w:val="none"/>
                <w:lang w:val="en-US" w:eastAsia="zh-CN"/>
              </w:rPr>
              <w:t>1.支持</w:t>
            </w:r>
            <w:r>
              <w:rPr>
                <w:rFonts w:hint="eastAsia" w:ascii="仿宋_GB2312" w:hAnsi="仿宋_GB2312" w:eastAsia="仿宋_GB2312" w:cs="仿宋_GB2312"/>
                <w:color w:val="auto"/>
                <w:sz w:val="24"/>
                <w:szCs w:val="24"/>
                <w:highlight w:val="none"/>
              </w:rPr>
              <w:t>PCIEx1</w:t>
            </w:r>
            <w:r>
              <w:rPr>
                <w:rFonts w:hint="eastAsia" w:ascii="仿宋_GB2312" w:hAnsi="仿宋_GB2312" w:eastAsia="仿宋_GB2312" w:cs="仿宋_GB2312"/>
                <w:color w:val="auto"/>
                <w:sz w:val="24"/>
                <w:szCs w:val="24"/>
                <w:highlight w:val="none"/>
                <w:lang w:val="en-US" w:eastAsia="zh-CN"/>
              </w:rPr>
              <w:t>插槽数量</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特殊孔位及接口</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▲主板其他内置接口</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SATA</w:t>
            </w:r>
            <w:r>
              <w:rPr>
                <w:rFonts w:hint="eastAsia" w:ascii="仿宋_GB2312" w:hAnsi="仿宋_GB2312" w:eastAsia="仿宋_GB2312" w:cs="仿宋_GB2312"/>
                <w:color w:val="auto"/>
                <w:sz w:val="24"/>
                <w:szCs w:val="24"/>
                <w:highlight w:val="none"/>
                <w:lang w:val="en-US" w:eastAsia="zh-CN"/>
              </w:rPr>
              <w:t>3接口</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、M.2</w:t>
            </w:r>
            <w:r>
              <w:rPr>
                <w:rFonts w:hint="eastAsia" w:ascii="仿宋_GB2312" w:hAnsi="仿宋_GB2312" w:eastAsia="仿宋_GB2312" w:cs="仿宋_GB2312"/>
                <w:color w:val="auto"/>
                <w:sz w:val="24"/>
                <w:szCs w:val="24"/>
                <w:highlight w:val="none"/>
                <w:lang w:val="en-US" w:eastAsia="zh-CN"/>
              </w:rPr>
              <w:t>拓展槽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▲单内存插槽最大可支持容量（板载内存不涉及）</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▲内存插槽满配时提供的最高内存总容量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64</w:t>
            </w:r>
            <w:r>
              <w:rPr>
                <w:rFonts w:hint="eastAsia" w:ascii="仿宋_GB2312" w:hAnsi="仿宋_GB2312" w:eastAsia="仿宋_GB2312" w:cs="仿宋_GB2312"/>
                <w:color w:val="auto"/>
                <w:sz w:val="24"/>
                <w:szCs w:val="24"/>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▲存储设备规格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▲固态盘数量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▲固态存储容量</w:t>
            </w:r>
          </w:p>
        </w:tc>
        <w:tc>
          <w:tcPr>
            <w:tcW w:w="0" w:type="auto"/>
            <w:vAlign w:val="center"/>
          </w:tcPr>
          <w:p>
            <w:pPr>
              <w:pStyle w:val="4"/>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512GB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▲机械硬盘数量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▲机械硬盘总容量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▲机械硬盘转速</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机械硬盘接口协议</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 SATA3.0 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▲机械硬盘形态</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 英寸或 3.5 英寸等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固态存储接口协议</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UFS/SATA/PCIe/NVMe 等类型接口协议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▲固态存储形态</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采用插卡或板载等形态，可选用符合M.2 或 2.5 寸 SATA 或 mSATA 等标准的插卡形态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存储设备扩展盘位</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▲存储设备其他参数要求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a)固态盘应符合 SJ/T 11654 相关规定；</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b)机械硬盘准备时间应不大于 30s；侧面固定螺丝孔数量可为 4 孔或 6 孔；工作状态环境温度应满足 5℃~55℃ ;其它参数应符合 GB/T 12628 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▲显卡类型</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独立</w:t>
            </w:r>
            <w:r>
              <w:rPr>
                <w:rFonts w:hint="eastAsia" w:ascii="仿宋_GB2312" w:hAnsi="仿宋_GB2312" w:eastAsia="仿宋_GB2312" w:cs="仿宋_GB2312"/>
                <w:color w:val="auto"/>
                <w:sz w:val="24"/>
                <w:szCs w:val="24"/>
                <w:highlight w:val="none"/>
              </w:rPr>
              <w:t>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▲独立显卡显存类型</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独立显卡，显存类型应为DDR3/DDR4/GDDR5/GDDR6/LPDDR4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▲独立显卡显存位宽</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独立显卡，显存位宽≥</w:t>
            </w:r>
            <w:r>
              <w:rPr>
                <w:rFonts w:hint="eastAsia" w:ascii="仿宋_GB2312" w:hAnsi="仿宋_GB2312" w:eastAsia="仿宋_GB2312" w:cs="仿宋_GB2312"/>
                <w:color w:val="auto"/>
                <w:sz w:val="24"/>
                <w:szCs w:val="24"/>
                <w:highlight w:val="none"/>
                <w:lang w:val="en-US" w:eastAsia="zh-CN"/>
              </w:rPr>
              <w:t>64</w:t>
            </w:r>
            <w:r>
              <w:rPr>
                <w:rFonts w:hint="eastAsia" w:ascii="仿宋_GB2312" w:hAnsi="仿宋_GB2312" w:eastAsia="仿宋_GB2312" w:cs="仿宋_GB2312"/>
                <w:color w:val="auto"/>
                <w:sz w:val="24"/>
                <w:szCs w:val="24"/>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▲独立显卡显存容量</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独立显卡，显存容量≥</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独立显卡接口协议</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产品支持PCIe 协议版本≥ 2.0或 HT（HyperTransport）协议版本≥ 3.0的独立显卡接口协议。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▲显示设备规格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▲显示屏屏占比</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▲显示屏分辨率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显示屏像素密度</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≥85 像素/英寸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显示屏可视角度</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水平≥170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▲显示屏尺寸</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≥23.8 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▲显示屏屏幕比例</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▲显示器外观颜色</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▲显示屏防蓝光</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支持防蓝光模式，蓝光加权辐射亮度比应≤0.0012W/(·cd·sr)（瓦每坎特拉每球面度）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▲显示屏低频闪</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显示屏应支持低频闪≤-35dB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▲显示屏防炫目</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显示屏镜面反射率≤10%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▲外设规格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传声器数量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扬声器数量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▲鼠标数量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摄像头数量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光驱数量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▲键盘按键数目</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104 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摄像头像素</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摄像头分辨率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扬声器功率</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扬声器频率范围</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扬声器总谐波失真</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扬声器最大声压级</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▲键盘连接方式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▲键盘键程</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▲键盘按键压力</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按键压力应在 0.54 N±0.14N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▲有线键盘连接线</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▲键盘颜色</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键盘其他要求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键盘外观结构、连接方式、主要功能、安全、电磁兼容性、可靠性应符合 GB/T14081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▲鼠标连接方式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有线或无线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▲有线鼠标连接线</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▲鼠标 DPI分辨率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▲鼠标颜色</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▲鼠标其他要求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其它参数应符合 GB/T 26245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内置光驱</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支持内置光驱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▲网络设备规格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▲有线网卡数量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无线网卡及天线数量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单无线网卡天线数量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66</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▲外部接口规格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▲USB 接口数量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机箱前面板应提供不少于 </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 USB 接口</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后置接口不少于6个USB接口</w:t>
            </w:r>
            <w:r>
              <w:rPr>
                <w:rFonts w:hint="eastAsia" w:ascii="仿宋_GB2312" w:hAnsi="仿宋_GB2312" w:eastAsia="仿宋_GB2312" w:cs="仿宋_GB2312"/>
                <w:color w:val="auto"/>
                <w:sz w:val="24"/>
                <w:szCs w:val="24"/>
                <w:highlight w:val="none"/>
              </w:rPr>
              <w:t>（含 2 个 USB3.0 及以上接口）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USB 母座接口要求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▲视频接口数量</w:t>
            </w:r>
          </w:p>
        </w:tc>
        <w:tc>
          <w:tcPr>
            <w:tcW w:w="0" w:type="auto"/>
            <w:vAlign w:val="center"/>
          </w:tcPr>
          <w:p>
            <w:pPr>
              <w:pStyle w:val="4"/>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▲音频接口数量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存储卡接口数量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▲整机基础规格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▲整机外观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 产品表面不应有凹痕、划伤、裂缝、变形和污染等。表面涂层均匀，不应起泡、龟裂、脱落和磨损，金属零部件无锈蚀及其它机械损伤；</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 产品表面说明功能的文字、符号、标志，应清晰、端正、牢固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▲状态指示灯</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在产品显著位置提供状态指示功能，如运行状态，并由供应商提供详细参数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▲整机结构</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 机箱应符合 GB/T 4208、GB/T 26246的相关规定；</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 产品内部结构应符合通用部件的安装需求；</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c) 所有输入输出接口应符合相关国家或行业标准；</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d) 产品零部件应紧固无松动，可插拔部件应可靠连接，开关、按钮和其它控制部件应灵活可靠，布局应方便使用；</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e) 所有 I/O 连接器及需插接线缆的部位应预留采购人操作空间，方便插拔解锁与插拔线缆；</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f) 可插拔板卡插槽部位应预留安装、拆卸或更换板卡空间；</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g) 拆装可能接触到的金属剪口或金属尖角部位应做防划伤处理，以保证安全；</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h) 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i) 如需通过孔走线，过线孔应做防割线处理；</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j) 各插头位置和插拔方向应合理，应做到插拔无障碍设计，具备防呆设计，有效避免误操作；</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k) 各主要部件拆装无障碍，使用常规工具拆装，无特殊拆装工具需求；</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l) 各主要部件拆装步骤要少，各自拆装需避免相互干扰；</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m) 对于整机或零部件外表面为高亮面的，应粘贴保护膜，保护膜需粘贴牢固，运输、组装等过程不易脱落，撕下无残留；</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n) 其它要求应符合 GB/T 9813.1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▲机箱防护要求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机箱应符合 GB/T 4208 中 IP20 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▲整机噪音</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产品工作在空闲状态下，产品的声功率级应不超过 4.5 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▲整机散热</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在环境温度 25℃及处理器满载情况下，产品表面温度应符合如下要求：</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a) 出风口在机箱后面板情况下，出风口温度不高于 55℃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 可触及面温度不高于 45℃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c) 显示器表面温度：显示屏不高于38℃ , 显示屏上下灯带位置温度（如涉及）不高于 40℃ , 出风口温度不高于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▲整机能效限定值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产品能效限定值应达到 GB 28380-2012标准中能效等级 2 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▲机身材质</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塑料/金属等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▲机身颜色</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灰色/黑色等商务色系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▲机箱尺寸容量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机箱体积应</w:t>
            </w:r>
            <w:r>
              <w:rPr>
                <w:rFonts w:hint="eastAsia" w:ascii="仿宋_GB2312" w:hAnsi="仿宋_GB2312" w:eastAsia="仿宋_GB2312" w:cs="仿宋_GB2312"/>
                <w:color w:val="auto"/>
                <w:sz w:val="24"/>
                <w:szCs w:val="24"/>
                <w:highlight w:val="none"/>
                <w:lang w:val="en-US" w:eastAsia="zh-CN"/>
              </w:rPr>
              <w:t>为21-24</w:t>
            </w:r>
            <w:r>
              <w:rPr>
                <w:rFonts w:hint="eastAsia" w:ascii="仿宋_GB2312" w:hAnsi="仿宋_GB2312" w:eastAsia="仿宋_GB2312" w:cs="仿宋_GB2312"/>
                <w:color w:val="auto"/>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▲CPU性能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▲CPU 物理核数</w:t>
            </w:r>
          </w:p>
        </w:tc>
        <w:tc>
          <w:tcPr>
            <w:tcW w:w="0" w:type="auto"/>
            <w:vAlign w:val="center"/>
          </w:tcPr>
          <w:p>
            <w:pPr>
              <w:pStyle w:val="4"/>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▲CPU 主频</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▲CPU 末级缓存容量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18</w:t>
            </w:r>
            <w:r>
              <w:rPr>
                <w:rFonts w:hint="eastAsia" w:ascii="仿宋_GB2312" w:hAnsi="仿宋_GB2312" w:eastAsia="仿宋_GB2312" w:cs="仿宋_GB2312"/>
                <w:color w:val="auto"/>
                <w:sz w:val="24"/>
                <w:szCs w:val="24"/>
                <w:highlight w:val="none"/>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▲CPU 支持的内存最高速率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3200</w:t>
            </w:r>
            <w:r>
              <w:rPr>
                <w:rFonts w:hint="eastAsia" w:ascii="仿宋_GB2312" w:hAnsi="仿宋_GB2312" w:eastAsia="仿宋_GB2312" w:cs="仿宋_GB2312"/>
                <w:color w:val="auto"/>
                <w:sz w:val="24"/>
                <w:szCs w:val="24"/>
                <w:highlight w:val="none"/>
              </w:rPr>
              <w:t xml:space="preserve"> 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85</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▲内存性能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▲内存读写速率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3200</w:t>
            </w:r>
            <w:r>
              <w:rPr>
                <w:rFonts w:hint="eastAsia" w:ascii="仿宋_GB2312" w:hAnsi="仿宋_GB2312" w:eastAsia="仿宋_GB2312" w:cs="仿宋_GB2312"/>
                <w:color w:val="auto"/>
                <w:sz w:val="24"/>
                <w:szCs w:val="24"/>
                <w:highlight w:val="none"/>
              </w:rPr>
              <w:t xml:space="preserve"> 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86</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▲显卡性能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▲显示分辨率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▲显卡显示芯片核心频率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▲显存等效频率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▲显卡可支持多屏同时显示数量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显卡应支持 2 块屏幕同时显示，分辨率应不低于 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90</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▲显示设备性能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▲显示屏刷新率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▲显示屏位深</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▲显示屏色域</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≥99% 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▲显示屏色准</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 ≤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▲显示屏响应时间</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▲显示屏亮度</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≥250 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▲显示屏亮度一致性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▲显示屏对比度</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▲显示屏其他参数</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其它参数应符合 SJ/T 11292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99</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▲网络设备性能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▲有线网卡速率</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最高速率应不低于 1000Mbps，应支持10Mbps、100Mbps、1000Mbps 速率自适应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支持无线网络通信技术协议</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 WAP I 或 WiFi5.0 及以上协议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无线网卡频宽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102</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▲主板功能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▲内存扩展接口(板载内存不涉及)</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存储扩展接口(板载存储不涉及)</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供应商给出主板支持存储扩展接口类型，如 UFS3.0、SATA3.0、SAS3.0、M.2等类型接口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▲主板 USB瞬间过流保护</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支持有瞬间过流保护功能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▲主板防静电保护</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支持防静电保护功能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▲I/O 接口功能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107</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▲显卡外接显示接口</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显卡至少支持 VGA、HDMI、DVI、DP、Type-C 中 </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种显示接口，并与显示器接口相匹配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独立显卡数量</w:t>
            </w:r>
          </w:p>
        </w:tc>
        <w:tc>
          <w:tcPr>
            <w:tcW w:w="0" w:type="auto"/>
            <w:vAlign w:val="center"/>
          </w:tcPr>
          <w:p>
            <w:pPr>
              <w:pStyle w:val="4"/>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109</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▲显示设备功能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▲显示器接口</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显示器应与显卡外接显示接口匹配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▲显示器支架</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显示器应提供显示器支架，根据采购人需求支持屏幕旋转、升降等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▲显示器参数调节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a)提供 OSD 选单按钮用于调节色彩、模式等；</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b)支持色温、亮度、对比度调节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外设功能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摄像头物理隐私保护开关</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传声器降噪</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键盘背光</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光驱功能</w:t>
            </w:r>
          </w:p>
        </w:tc>
        <w:tc>
          <w:tcPr>
            <w:tcW w:w="0" w:type="auto"/>
            <w:vAlign w:val="center"/>
          </w:tcPr>
          <w:p>
            <w:pPr>
              <w:pStyle w:val="4"/>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116</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 SATA 固态存储/PCIe 固态存储/UFS 固态存储/SATA 硬磁盘等存储部件提供存储功能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内置控制器固态存储加密</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固态存储通过内置控制器硬件支持加密，不依赖处理器，保障数据安全性，但不得影响存储性能。</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a) 支持加密功能，且加密功能开启不影响 SSD 读写性能；</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 支持固件加密、安全启动和安全升级；</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c) 支持数据的安全擦除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118</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▲网络设备功能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▲网络功能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a)支持网络连接、网络开启/关闭功能；b)支持访问网络和数据交换功能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无线网卡频段</w:t>
            </w:r>
          </w:p>
        </w:tc>
        <w:tc>
          <w:tcPr>
            <w:tcW w:w="0" w:type="auto"/>
            <w:vAlign w:val="center"/>
          </w:tcPr>
          <w:p>
            <w:pPr>
              <w:pStyle w:val="4"/>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物理开关</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▲数据传输</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支持数据传输能力，并提供数据流量和异常日志记录功能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蓝牙协议</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若支持蓝牙模块，蓝牙协议不低于 5.0版本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▲有线网卡接口类型</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 RJ45 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无线网卡标准</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若配备无线网卡，产品应符合 GB15629.11 所有部分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▲网络设备拆装</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网络设备支持物理拆装，包括无线网卡和蓝牙模块等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126</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▲外部接口功能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▲音频接口类型</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 3.5mm 孔径 3 段式或 4 段式接口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▲视频接口类型</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至少支持 VGA、HDMI、DVI、DP、Type-C中 </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种显示接口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▲HDMI、DP、Type-C 显示接口要求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若提供 HDMI 或 DP 或 Type-C 作为显示接口，应支持音频和视频同步输出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其他接口</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 支持串行接口，可实现 GB/T 6107的功能；</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 支持并行接口，可实现 GB/T18235.1 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存储卡接口类型</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131</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▲电源功能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▲电源线适配能力</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电源适配器电线组件应符合 GB/T15934 的要求，可拆线的插头和连接器可以不做要求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132</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▲操作系统及软件功能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▲中文信息处理要求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 18030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▲操作系统备份及还原功能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▲固件备份还原能力</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支持备份及还原固件的功能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▲操作系统及驱动升级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支持通过网络、闪存盘等方式对操作系统、驱动进行升级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▲固件升级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支持通过网络、闪存盘等方式对固件进行升级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▲BIOS 支持关闭通讯接口</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 BIOS 关闭以太网及 USB 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▲固件查看信息</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支持查看固件版本、内存信息、主板信息、处理器信息和系统时间信息等功能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▲固件设置启动顺序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支持设置启动顺序功能，并按照设置的启动顺序启动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▲固件设置口令</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支持设置口令、修改口令、验证口令功能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▲固件设置网络引导</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142</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生物识别功能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指纹识别</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人脸识别</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静脉识别</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145</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硬件加速功能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NPU/GPU等A I 加速模块</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视频编解码加速模块</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影像处理加速模块</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148</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存储设备可靠性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固态存储寿命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TBW ≥ </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0TB（条件：</w:t>
            </w:r>
            <w:r>
              <w:rPr>
                <w:rFonts w:hint="eastAsia" w:ascii="仿宋_GB2312" w:hAnsi="仿宋_GB2312" w:eastAsia="仿宋_GB2312" w:cs="仿宋_GB2312"/>
                <w:color w:val="auto"/>
                <w:sz w:val="24"/>
                <w:szCs w:val="24"/>
                <w:highlight w:val="none"/>
                <w:lang w:val="en-US" w:eastAsia="zh-CN"/>
              </w:rPr>
              <w:t>512</w:t>
            </w:r>
            <w:r>
              <w:rPr>
                <w:rFonts w:hint="eastAsia" w:ascii="仿宋_GB2312" w:hAnsi="仿宋_GB2312" w:eastAsia="仿宋_GB2312" w:cs="仿宋_GB2312"/>
                <w:color w:val="auto"/>
                <w:sz w:val="24"/>
                <w:szCs w:val="24"/>
                <w:highlight w:val="none"/>
              </w:rPr>
              <w:t>GB 硬盘容量）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机械硬盘寿命</w:t>
            </w:r>
          </w:p>
        </w:tc>
        <w:tc>
          <w:tcPr>
            <w:tcW w:w="0" w:type="auto"/>
            <w:vAlign w:val="center"/>
          </w:tcPr>
          <w:p>
            <w:pPr>
              <w:pStyle w:val="4"/>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150</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▲显示设备可靠性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▲显示屏屏幕失效点</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GB/T 9813.2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151</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▲外设可靠性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▲键盘按键寿命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▲鼠标按键寿命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≥500 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▲键盘鼠标线材寿命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键盘鼠标所用线材经±60 °弯折不低于 3000 次，功能、外观完好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▲风扇寿命</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 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155</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▲整机可靠性要求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▲电磁兼容性要求的抗扰度</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GB/T 9254.2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▲环境条件要求的气候环境适应性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GB/T 9813.1 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▲环境条件要求的振动适应性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GB/T 9813.1 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▲环境条件要求的冲击适应性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GB/T 9813.1 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▲环境条件要求的碰撞适应性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GB/T 9813.1 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▲环境条件要求的运输包装件跌落适应性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GB/T 9813.1 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▲MTBF 测试</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MTBF(m1)≥3 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162</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▲兼容要求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▲常用软件兼容</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支持流式软件、版式软件、浏览器、邮件采购人端、解压软件、多媒体、图形图像处理等常用软件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▲数据库兼容</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▲中间件兼容</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兼容 3 个及以上厂商中间件产品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▲平台软件兼容</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兼容 3 个及以上厂商云计算及大数据平台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166</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▲包装及运输要求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▲标志、包装、运输和贮存</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GB/T 9813.1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167</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▲配置检查工具</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供应商提供自检测试工具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▲服务响应</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a)供应商提供电话、电子邮件、远程连接等多种形式服务；</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b)供应商提供同城 4h、异地 12h 技术响应服务，2 个工作日解决问题，对于未能解决的问题和故障应提供可行的升级方案，并提供周转设备或更换设备；</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c)建立全国技术服务体系和服务团体，符合专业服务体系标准要求，提供原厂中文服务；</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d)服务周期内提供产品的维修、换件和升级服务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▲服务周期</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 设备停产后应继续提供质量保障服务（含备品备件），服务终止时间与最后一批设备交付时间间隔不低于6 年；</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 产品停止服务时间应提前 1 年告知；</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c) 应明确产品发布日期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170</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▲预装操作系统</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预装符合桌面操作系统政府采购需求标准的正版操作系统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171</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▲培训服务</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▲典型问题解决手册</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供应商提供典型问题解决说明文档或视频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▲厂家升级软件与扩容服务</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供应商提供上门升级部件/软件与扩容的增值服务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174</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▲整机质量服务要求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免费服务周期（含换件和维修）应不小于 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▲合格证书要求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▲开箱组装/使用指导要求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供应商提供开箱组装/使用指导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▲驱动下载服务要求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供应商提供驱动光盘或下载方式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▲兼容适配软件下载服务要求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供应商提供兼容适配软件下载渠道（光盘、网站）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跨架构平台应用兼容</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180</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▲供应链合规性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▲产品部件保障</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供应商保障产品主要部件，提供 6 年的备件服务能力（自购买之日起），或提供可兼容原设备的升级换代产品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181</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▲供应链质量</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▲抗干扰性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当产品部件出现供应风险时，供应商应通知采购人并提供风险应对方案确保产品的服务保障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182</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▲供应能力证明</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供应商提供供应链稳定承诺书，确保产品的部件在产品服务周期内稳定供货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183</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▲关键部件安全要求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▲关键部件安全要求</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184</w:t>
            </w:r>
          </w:p>
        </w:tc>
        <w:tc>
          <w:tcPr>
            <w:tcW w:w="0" w:type="auto"/>
            <w:vMerge w:val="restart"/>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▲整机安全性要求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▲密码算法实现</w:t>
            </w:r>
          </w:p>
        </w:tc>
        <w:tc>
          <w:tcPr>
            <w:tcW w:w="0" w:type="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185</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USB 端口管控</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 USB 端口管控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186</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安全物理锁</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支持安全物理锁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187</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▲信息安全基本要求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 产品应符合 GB/T 39276 的 5.2 的规定；</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b) 生产厂商应建立漏洞跟踪表，保证产品版本涉及到的漏洞(如驱动程序等)可查看；</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c) 产品不得包含已知的恶意代码或漏洞，不存在未声明的指令、功能、接口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188</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▲固件安全启动</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支持固件安全启动功能，固件启动过程中只有通过启动校验才能正常启动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189</w:t>
            </w:r>
          </w:p>
        </w:tc>
        <w:tc>
          <w:tcPr>
            <w:tcW w:w="0" w:type="auto"/>
            <w:vMerge w:val="continue"/>
            <w:vAlign w:val="center"/>
          </w:tcPr>
          <w:p>
            <w:pPr>
              <w:pStyle w:val="4"/>
              <w:rPr>
                <w:rFonts w:hint="eastAsia" w:ascii="仿宋_GB2312" w:hAnsi="仿宋_GB2312" w:eastAsia="仿宋_GB2312" w:cs="仿宋_GB2312"/>
                <w:color w:val="auto"/>
                <w:sz w:val="24"/>
                <w:szCs w:val="24"/>
                <w:highlight w:val="none"/>
              </w:rPr>
            </w:pP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▲限用物质的限量要求</w:t>
            </w:r>
          </w:p>
        </w:tc>
        <w:tc>
          <w:tcPr>
            <w:tcW w:w="0" w:type="auto"/>
            <w:vAlign w:val="center"/>
          </w:tcPr>
          <w:p>
            <w:pPr>
              <w:pStyle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 GB/T 26572 中规定</w:t>
            </w:r>
          </w:p>
        </w:tc>
      </w:tr>
    </w:tbl>
    <w:p>
      <w:pPr>
        <w:rPr>
          <w:rFonts w:hint="eastAsia" w:ascii="仿宋_GB2312" w:hAnsi="仿宋_GB2312" w:eastAsia="仿宋_GB2312" w:cs="仿宋_GB2312"/>
          <w:color w:val="auto"/>
          <w:sz w:val="24"/>
          <w:szCs w:val="24"/>
          <w:highlight w:val="none"/>
        </w:rPr>
      </w:pPr>
    </w:p>
    <w:p>
      <w:pPr>
        <w:pStyle w:val="8"/>
        <w:rPr>
          <w:rStyle w:val="32"/>
          <w:rFonts w:hint="eastAsia" w:ascii="仿宋_GB2312" w:hAnsi="仿宋_GB2312" w:eastAsia="仿宋_GB2312" w:cs="仿宋_GB2312"/>
          <w:i w:val="0"/>
          <w:color w:val="auto"/>
          <w:sz w:val="24"/>
          <w:szCs w:val="24"/>
          <w:highlight w:val="none"/>
        </w:rPr>
      </w:pPr>
      <w:r>
        <w:rPr>
          <w:rStyle w:val="32"/>
          <w:rFonts w:hint="eastAsia" w:ascii="仿宋_GB2312" w:hAnsi="仿宋_GB2312" w:eastAsia="仿宋_GB2312" w:cs="仿宋_GB2312"/>
          <w:i w:val="0"/>
          <w:color w:val="auto"/>
          <w:sz w:val="24"/>
          <w:szCs w:val="24"/>
          <w:highlight w:val="none"/>
        </w:rPr>
        <w:t xml:space="preserve">2.2 </w:t>
      </w:r>
      <w:r>
        <w:rPr>
          <w:rStyle w:val="32"/>
          <w:rFonts w:hint="eastAsia" w:ascii="仿宋_GB2312" w:hAnsi="仿宋_GB2312" w:eastAsia="仿宋_GB2312" w:cs="仿宋_GB2312"/>
          <w:i w:val="0"/>
          <w:color w:val="auto"/>
          <w:sz w:val="24"/>
          <w:szCs w:val="24"/>
          <w:highlight w:val="none"/>
          <w:lang w:val="en-US" w:eastAsia="zh-CN"/>
        </w:rPr>
        <w:t>同传软件</w:t>
      </w:r>
      <w:r>
        <w:rPr>
          <w:rFonts w:hint="eastAsia" w:ascii="仿宋_GB2312" w:hAnsi="仿宋_GB2312" w:eastAsia="仿宋_GB2312" w:cs="仿宋_GB2312"/>
          <w:color w:val="auto"/>
          <w:sz w:val="24"/>
          <w:szCs w:val="24"/>
          <w:highlight w:val="none"/>
        </w:rPr>
        <w:t>（2）</w:t>
      </w:r>
    </w:p>
    <w:tbl>
      <w:tblPr>
        <w:tblStyle w:val="28"/>
        <w:tblW w:w="0" w:type="auto"/>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5" w:type="dxa"/>
            <w:vMerge w:val="restart"/>
          </w:tcPr>
          <w:p>
            <w:pP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同传软件</w:t>
            </w: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支持B /S管理架构，可通过移动设备通过网页方式对机房进行远程管理，包括远程开关机、时间同步、系统切换、消息广播等操作；（提供第三方检测机构出具的具备CMA标识的产品功能测试报告）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支持对Ubuntu、Redhat、Centos、Fedora等系统的立即还原和ip地址自动分配</w:t>
            </w:r>
          </w:p>
          <w:p>
            <w:pPr>
              <w:rPr>
                <w:rFonts w:hint="eastAsia" w:ascii="仿宋_GB2312" w:hAnsi="仿宋_GB2312" w:eastAsia="仿宋_GB2312" w:cs="仿宋_GB2312"/>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支持电脑本地硬盘操作系统（xp\win7\win8\win10\linux）的立即还原和还原点瞬间创建(提供功能界面截图)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支持MBR分区系统和GPT分区系统混合安装,可支持60个以上的不同操作系统。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支持对客户端内多块硬盘进行分区、系统装载、还原、还原方式设置，满足多硬盘系统还原和管理；（提供第三方检测机构出具的具备CMA标识的产品功能测试报告）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支持从WINDOWS界面对1000台以上的电脑进行数据差异拷贝，非增量拷贝、变量拷贝、进度同步等上一代部署方式。根据网络状况可选择广播、组播、单播等方式（提供支持1000台以上机位的界面截图）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支持差异拷贝接收端网络环境检测，可检测接收端网卡连接速度，提前发现问题网点，排查处理影响差异拷贝的终端；(提供可检测接收端连接速度的功能界面截图)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支持操作系统分权管理，可分配不同的管理员管理不同的操作系统。(提供功能界面截图)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支持学期课表的编辑，可设置学期开始和结束时间，按学期课表时间自动启动相应的操作系统，支持操作系统拖拽式导入学期课表(提供功能界面截图)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管理员可给教师单独分配用户名和密码，教师可凭此用户名和密码在教学的电脑上瞬间创建自己独立的备课系统，其他人员不可见，也不影响正常的教学系统，支持用户设定的密码找回功能，为了防止泄露不可用初始密码或可网上搜索到的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支持将当前的教学系统，无需新增分区的情况下瞬间复制一个不保护的系统，用于学生自主实验或计算机等级考试。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支持文件夹穿透，可在当前保护的分区下设定一个开放的文件夹,保存更新设置，重启分区还原其它数据还原，此文件夹中的数据不还原。（提供第三方检测机构出具的具备CMA标识的产品功能测试报告）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支持批量修改Windows用户登录名、计算机名和IP地址；（提供第三方检测机构出具的具备CMA标识的产品功能测试报告）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支持硬件虚拟化功能，针对硬件识别码的软件可实现软件统一注册，大幅度降低激活软件带来的工作量。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支持网络限制策略，能够设定禁用外网或禁用全部网络，并支持设置例外，例外类型包括ip地址、网址、端口，并设置生效时间区间，能够精确到秒，支持按天执行、按周执行、按月执行(提供功能界面截图)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能够针对学生软件使用、上网操作进行记录，并支持按照应用、访问网址进行查询，能够根据时间段进行搜索，搜索时间精确到秒，针对上网操作，能够展示网址及网站标题信息，支持表格导出。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vertAlign w:val="baseline"/>
                <w:lang w:val="en-US" w:eastAsia="zh-CN"/>
              </w:rPr>
              <w:t>△支持对内置光驱、移动光驱、虚拟光驱、U 盘、移动硬盘、USB外接设备等进行使用控制，可设置例外设备保障教学外设使用；(提供功能界面截图)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45" w:type="dxa"/>
            <w:vMerge w:val="continue"/>
          </w:tcPr>
          <w:p>
            <w:pPr>
              <w:rPr>
                <w:rFonts w:hint="eastAsia" w:ascii="仿宋_GB2312" w:hAnsi="仿宋_GB2312" w:eastAsia="仿宋_GB2312" w:cs="仿宋_GB2312"/>
                <w:color w:val="auto"/>
                <w:sz w:val="24"/>
                <w:szCs w:val="24"/>
                <w:highlight w:val="none"/>
                <w:vertAlign w:val="baseline"/>
              </w:rPr>
            </w:pPr>
          </w:p>
        </w:tc>
        <w:tc>
          <w:tcPr>
            <w:tcW w:w="6983" w:type="dxa"/>
          </w:tcPr>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val="0"/>
                <w:bCs w:val="0"/>
                <w:color w:val="auto"/>
                <w:sz w:val="24"/>
                <w:szCs w:val="24"/>
                <w:highlight w:val="none"/>
                <w:vertAlign w:val="baseline"/>
                <w:lang w:val="en-US" w:eastAsia="zh-CN"/>
              </w:rPr>
              <w:t>软件厂商具备基于ISO/IEC 20000-1的服务管理体系认证证书以及ITSS服务能力认证证书，提供证书。</w:t>
            </w:r>
          </w:p>
        </w:tc>
      </w:tr>
    </w:tbl>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auto"/>
          <w:sz w:val="24"/>
          <w:szCs w:val="24"/>
          <w:highlight w:val="none"/>
        </w:rPr>
      </w:pPr>
    </w:p>
    <w:p>
      <w:pPr>
        <w:pStyle w:val="23"/>
        <w:spacing w:beforeAutospacing="0" w:afterAutospacing="0" w:line="276"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备注：标有“▲”的技术参数为实质性响应要求，投标人要特别加以注意，必须对此响应并完全满足这些要求，否则将按无效投标处理，标有“△”的技术参数为重要技术要求，负偏离导致扣分。</w:t>
      </w:r>
    </w:p>
    <w:p>
      <w:pPr>
        <w:rPr>
          <w:rFonts w:hint="eastAsia" w:ascii="仿宋" w:hAnsi="仿宋" w:eastAsia="仿宋" w:cs="仿宋"/>
          <w:color w:val="auto"/>
          <w:highlight w:val="none"/>
        </w:rPr>
      </w:pPr>
    </w:p>
    <w:p>
      <w:pPr>
        <w:pStyle w:val="6"/>
        <w:bidi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商务要求</w:t>
      </w:r>
    </w:p>
    <w:p>
      <w:pPr>
        <w:pStyle w:val="6"/>
        <w:keepNext/>
        <w:keepLines/>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交付（实施）的时间（期限）：合同签订后</w:t>
      </w: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天内。</w:t>
      </w:r>
    </w:p>
    <w:p>
      <w:pPr>
        <w:pStyle w:val="6"/>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项目实施期间，中标人应遵守有关部门的管理，并遵照相关的规定。系统设备安装（包括所使用的设备、材料、布线方法、安装工艺、调试开通等）必须符合国家、行业法规和规范要求。在施工中应做好对其他设施的保护，凡造成其他设施、设备损坏的，一律由施工单位负责赔偿。</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3.提供的设备、配件必须提供随机资料（如产品说明书）。其他附件及材料必须符合国家有关标准。</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4.除项目负责人外，项目组须配备专职的实施人员。</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5.项目完工后，采购人组织人员在中标人的指导下上岗操作；设备的免费质保期从采购人对产品验收合格之日起计算。</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▲6.本项目要求</w:t>
      </w:r>
      <w:r>
        <w:rPr>
          <w:rFonts w:hint="eastAsia" w:ascii="仿宋_GB2312" w:hAnsi="仿宋_GB2312" w:eastAsia="仿宋_GB2312" w:cs="仿宋_GB2312"/>
          <w:b w:val="0"/>
          <w:bCs/>
          <w:color w:val="auto"/>
          <w:sz w:val="24"/>
          <w:szCs w:val="24"/>
          <w:highlight w:val="none"/>
          <w:lang w:val="en-US" w:eastAsia="zh-CN"/>
        </w:rPr>
        <w:t>三</w:t>
      </w:r>
      <w:r>
        <w:rPr>
          <w:rFonts w:hint="eastAsia" w:ascii="仿宋_GB2312" w:hAnsi="仿宋_GB2312" w:eastAsia="仿宋_GB2312" w:cs="仿宋_GB2312"/>
          <w:b w:val="0"/>
          <w:bCs/>
          <w:color w:val="auto"/>
          <w:sz w:val="24"/>
          <w:szCs w:val="24"/>
          <w:highlight w:val="none"/>
        </w:rPr>
        <w:t>年原厂整体质保（项目终验通过之日起计算），原厂质保期高于投标人质保承诺的按原厂执行。（质保期同运维期）</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7.质保期内投标人应提供7*24小时的现场质保和技术支持服务。接到用户报修电话，4小时内响应并提供上门维护；24小时内修复；无法修复的，投标人应提供备用设备或部件替换，不能因此影响学校教育教学活动。提供电话及远程服务，一般问题一天内解决，重大问题三天内解决。</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8.质保期内所有硬件设备的故障由中标人进行免费的更换、维修等，包括配件费，材料费，人工费等，确保用户的正常使用；软件系统由中标人进行免费升级和优化服务。合同期内，中标人应成立专门的团队，负责售后及运维服务。指定专门的负责人负责与用户的对接及协调。质保期外设备出现故障需要维修的，只收取成本费。</w:t>
      </w:r>
    </w:p>
    <w:p>
      <w:pPr>
        <w:pStyle w:val="6"/>
        <w:bidi w:val="0"/>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9.在质保期和合同期结束前，中标人须对本项目采购设备进行一次对软硬件系统的全面检查，任何缺陷问题必须由中标人负责整改，完善；在整改、完善之后，中标单位须将缺陷原因、修理内容、完成修理及恢复正常的时间和日期等报告给采购人。</w:t>
      </w:r>
    </w:p>
    <w:p>
      <w:pPr>
        <w:pStyle w:val="6"/>
        <w:bidi w:val="0"/>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10.专利权：投标人应保证所提供的产品或其任何一部分均不会侵犯任何第三方的专利权、商标权或工业设计权等知识产权。如果任何第三方提出侵权指控，中标人须与第三方交涉并承担可能发生的一切法律责任和费用。</w:t>
      </w:r>
    </w:p>
    <w:p>
      <w:pPr>
        <w:pStyle w:val="6"/>
        <w:bidi w:val="0"/>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11.项目</w:t>
      </w:r>
      <w:r>
        <w:rPr>
          <w:rFonts w:hint="eastAsia" w:ascii="仿宋_GB2312" w:hAnsi="仿宋_GB2312" w:eastAsia="仿宋_GB2312" w:cs="仿宋_GB2312"/>
          <w:b w:val="0"/>
          <w:bCs/>
          <w:color w:val="auto"/>
          <w:sz w:val="24"/>
          <w:szCs w:val="24"/>
          <w:highlight w:val="none"/>
          <w:lang w:val="en-US" w:eastAsia="zh-CN"/>
        </w:rPr>
        <w:t>验收</w:t>
      </w:r>
      <w:r>
        <w:rPr>
          <w:rFonts w:hint="eastAsia" w:ascii="仿宋_GB2312" w:hAnsi="仿宋_GB2312" w:eastAsia="仿宋_GB2312" w:cs="仿宋_GB2312"/>
          <w:b w:val="0"/>
          <w:bCs/>
          <w:color w:val="auto"/>
          <w:sz w:val="24"/>
          <w:szCs w:val="24"/>
          <w:highlight w:val="none"/>
        </w:rPr>
        <w:t>时，采购人将随机对实际设备进行功能测试，以满足整网设备功能要求，若中标人未按照投标时承诺的技术参数提供，导致无法及时验收的，视为合同违约，由投标人承担一切责任。</w:t>
      </w:r>
    </w:p>
    <w:p>
      <w:pPr>
        <w:pStyle w:val="6"/>
        <w:bidi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）付款条件（进度和方式）：</w:t>
      </w:r>
    </w:p>
    <w:p>
      <w:pPr>
        <w:spacing w:line="560" w:lineRule="exact"/>
        <w:ind w:left="-7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（1）预付款：在合同生效后以及具备实施条件后的7个工作日内，采购人根据供应商提供的正规发票，按财政部门规定的支付方式支付合同金额的50%给供应商。</w:t>
      </w:r>
    </w:p>
    <w:p>
      <w:pPr>
        <w:spacing w:line="560" w:lineRule="exact"/>
        <w:ind w:left="-70"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（2）剩余款项：项目通过验收后7个工作日内，按财政部门规定的支付方式支付合同金额的50%给供应商。</w:t>
      </w:r>
    </w:p>
    <w:p>
      <w:pPr>
        <w:pStyle w:val="24"/>
        <w:jc w:val="both"/>
        <w:rPr>
          <w:rFonts w:hint="eastAsia"/>
          <w:color w:val="auto"/>
          <w:sz w:val="24"/>
          <w:szCs w:val="24"/>
          <w:highlight w:val="none"/>
        </w:rPr>
      </w:pPr>
    </w:p>
    <w:p>
      <w:pPr>
        <w:jc w:val="center"/>
        <w:outlineLvl w:val="0"/>
        <w:rPr>
          <w:rFonts w:hint="eastAsia" w:ascii="仿宋_GB2312" w:hAnsi="仿宋_GB2312" w:eastAsia="仿宋_GB2312" w:cs="仿宋_GB2312"/>
          <w:b/>
          <w:color w:val="auto"/>
          <w:sz w:val="24"/>
          <w:szCs w:val="24"/>
          <w:highlight w:val="none"/>
        </w:rPr>
      </w:pPr>
    </w:p>
    <w:p>
      <w:pPr>
        <w:pStyle w:val="2"/>
        <w:rPr>
          <w:rFonts w:hint="eastAsia" w:ascii="仿宋_GB2312" w:hAnsi="仿宋_GB2312" w:eastAsia="仿宋_GB2312" w:cs="仿宋_GB2312"/>
          <w:b/>
          <w:color w:val="auto"/>
          <w:sz w:val="32"/>
          <w:szCs w:val="32"/>
          <w:highlight w:val="none"/>
        </w:rPr>
      </w:pPr>
    </w:p>
    <w:p>
      <w:pPr>
        <w:pStyle w:val="4"/>
        <w:rPr>
          <w:rFonts w:hint="eastAsia" w:ascii="仿宋_GB2312" w:hAnsi="仿宋_GB2312" w:eastAsia="仿宋_GB2312" w:cs="仿宋_GB2312"/>
          <w:b/>
          <w:color w:val="auto"/>
          <w:sz w:val="32"/>
          <w:szCs w:val="32"/>
          <w:highlight w:val="none"/>
        </w:rPr>
      </w:pPr>
    </w:p>
    <w:p>
      <w:pPr>
        <w:rPr>
          <w:rFonts w:hint="eastAsia" w:ascii="仿宋_GB2312" w:hAnsi="仿宋_GB2312" w:eastAsia="仿宋_GB2312" w:cs="仿宋_GB2312"/>
          <w:b/>
          <w:color w:val="auto"/>
          <w:sz w:val="32"/>
          <w:szCs w:val="32"/>
          <w:highlight w:val="none"/>
        </w:rPr>
      </w:pPr>
    </w:p>
    <w:p>
      <w:pPr>
        <w:pStyle w:val="24"/>
        <w:rPr>
          <w:rFonts w:hint="eastAsia" w:ascii="仿宋_GB2312" w:hAnsi="仿宋_GB2312" w:eastAsia="仿宋_GB2312" w:cs="仿宋_GB2312"/>
          <w:b/>
          <w:color w:val="auto"/>
          <w:sz w:val="32"/>
          <w:szCs w:val="32"/>
          <w:highlight w:val="none"/>
        </w:rPr>
      </w:pPr>
    </w:p>
    <w:p>
      <w:pPr>
        <w:rPr>
          <w:rFonts w:hint="eastAsia" w:ascii="仿宋_GB2312" w:hAnsi="仿宋_GB2312" w:eastAsia="仿宋_GB2312" w:cs="仿宋_GB2312"/>
          <w:b/>
          <w:color w:val="auto"/>
          <w:sz w:val="32"/>
          <w:szCs w:val="32"/>
          <w:highlight w:val="none"/>
        </w:rPr>
      </w:pPr>
    </w:p>
    <w:p>
      <w:pPr>
        <w:pStyle w:val="24"/>
        <w:rPr>
          <w:rFonts w:hint="eastAsia" w:ascii="仿宋_GB2312" w:hAnsi="仿宋_GB2312" w:eastAsia="仿宋_GB2312" w:cs="仿宋_GB2312"/>
          <w:b/>
          <w:color w:val="auto"/>
          <w:sz w:val="32"/>
          <w:szCs w:val="32"/>
          <w:highlight w:val="none"/>
        </w:rPr>
      </w:pPr>
    </w:p>
    <w:p>
      <w:pPr>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4"/>
        <w:rPr>
          <w:rFonts w:hint="eastAsia" w:ascii="仿宋_GB2312" w:hAnsi="仿宋_GB2312" w:eastAsia="仿宋_GB2312" w:cs="仿宋_GB2312"/>
          <w:b/>
          <w:color w:val="auto"/>
          <w:sz w:val="32"/>
          <w:szCs w:val="32"/>
          <w:highlight w:val="none"/>
        </w:rPr>
      </w:pPr>
    </w:p>
    <w:p>
      <w:pPr>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4"/>
        <w:rPr>
          <w:rFonts w:hint="eastAsia"/>
          <w:color w:val="auto"/>
          <w:highlight w:val="none"/>
        </w:rPr>
      </w:pPr>
    </w:p>
    <w:p>
      <w:pPr>
        <w:pStyle w:val="24"/>
        <w:rPr>
          <w:rFonts w:hint="eastAsia"/>
          <w:color w:val="auto"/>
          <w:highlight w:val="none"/>
        </w:rPr>
      </w:pPr>
    </w:p>
    <w:p>
      <w:pPr>
        <w:pStyle w:val="2"/>
        <w:rPr>
          <w:rFonts w:hint="eastAsia"/>
          <w:color w:val="auto"/>
          <w:highlight w:val="none"/>
        </w:rPr>
      </w:pPr>
    </w:p>
    <w:p>
      <w:pPr>
        <w:jc w:val="center"/>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第四部分</w:t>
      </w:r>
      <w:bookmarkStart w:id="27" w:name="_Toc184313304"/>
      <w:bookmarkEnd w:id="27"/>
      <w:bookmarkStart w:id="28" w:name="_Toc184308070"/>
      <w:bookmarkEnd w:id="28"/>
      <w:bookmarkStart w:id="29" w:name="_Toc184310306"/>
      <w:bookmarkEnd w:id="29"/>
      <w:bookmarkStart w:id="30" w:name="_Toc184308101"/>
      <w:bookmarkEnd w:id="30"/>
      <w:bookmarkStart w:id="31" w:name="_Toc184308063"/>
      <w:bookmarkEnd w:id="31"/>
      <w:bookmarkStart w:id="32" w:name="_Toc184313306"/>
      <w:bookmarkEnd w:id="32"/>
      <w:bookmarkStart w:id="33" w:name="_Toc184308046"/>
      <w:bookmarkEnd w:id="33"/>
      <w:bookmarkStart w:id="34" w:name="_Toc184313282"/>
      <w:bookmarkEnd w:id="34"/>
      <w:bookmarkStart w:id="35" w:name="_Toc184312129"/>
      <w:bookmarkEnd w:id="35"/>
      <w:bookmarkStart w:id="36" w:name="_Toc184312134"/>
      <w:bookmarkEnd w:id="36"/>
      <w:bookmarkStart w:id="37" w:name="_Toc184313248"/>
      <w:bookmarkEnd w:id="37"/>
      <w:bookmarkStart w:id="38" w:name="_Toc184314427"/>
      <w:bookmarkEnd w:id="38"/>
      <w:bookmarkStart w:id="39" w:name="_Toc184310334"/>
      <w:bookmarkEnd w:id="39"/>
      <w:bookmarkStart w:id="40" w:name="_Toc184314434"/>
      <w:bookmarkEnd w:id="40"/>
      <w:bookmarkStart w:id="41" w:name="_Toc184314462"/>
      <w:bookmarkEnd w:id="41"/>
      <w:bookmarkStart w:id="42" w:name="_Toc184313295"/>
      <w:bookmarkEnd w:id="42"/>
      <w:bookmarkStart w:id="43" w:name="_Toc184314482"/>
      <w:bookmarkEnd w:id="43"/>
      <w:bookmarkStart w:id="44" w:name="_Toc184308038"/>
      <w:bookmarkEnd w:id="44"/>
      <w:bookmarkStart w:id="45" w:name="_Toc184308066"/>
      <w:bookmarkEnd w:id="45"/>
      <w:bookmarkStart w:id="46" w:name="_Toc184313270"/>
      <w:bookmarkEnd w:id="46"/>
      <w:bookmarkStart w:id="47" w:name="_Toc184313281"/>
      <w:bookmarkEnd w:id="47"/>
      <w:bookmarkStart w:id="48" w:name="_Toc184312135"/>
      <w:bookmarkEnd w:id="48"/>
      <w:bookmarkStart w:id="49" w:name="_Toc184312125"/>
      <w:bookmarkEnd w:id="49"/>
      <w:bookmarkStart w:id="50" w:name="_Toc184313293"/>
      <w:bookmarkEnd w:id="50"/>
      <w:bookmarkStart w:id="51" w:name="_Toc184314478"/>
      <w:bookmarkEnd w:id="51"/>
      <w:bookmarkStart w:id="52" w:name="_Toc184314455"/>
      <w:bookmarkEnd w:id="52"/>
      <w:bookmarkStart w:id="53" w:name="_Toc184308045"/>
      <w:bookmarkEnd w:id="53"/>
      <w:bookmarkStart w:id="54" w:name="_Toc184312085"/>
      <w:bookmarkEnd w:id="54"/>
      <w:bookmarkStart w:id="55" w:name="_Toc184310343"/>
      <w:bookmarkEnd w:id="55"/>
      <w:bookmarkStart w:id="56" w:name="_Toc184308099"/>
      <w:bookmarkEnd w:id="56"/>
      <w:bookmarkStart w:id="57" w:name="_Toc184313239"/>
      <w:bookmarkEnd w:id="57"/>
      <w:bookmarkStart w:id="58" w:name="_Toc184313294"/>
      <w:bookmarkEnd w:id="58"/>
      <w:bookmarkStart w:id="59" w:name="_Toc184310344"/>
      <w:bookmarkEnd w:id="59"/>
      <w:bookmarkStart w:id="60" w:name="_Toc184312096"/>
      <w:bookmarkEnd w:id="60"/>
      <w:bookmarkStart w:id="61" w:name="_Toc184310322"/>
      <w:bookmarkEnd w:id="61"/>
      <w:bookmarkStart w:id="62" w:name="_Toc184308074"/>
      <w:bookmarkEnd w:id="62"/>
      <w:bookmarkStart w:id="63" w:name="_Toc184312077"/>
      <w:bookmarkEnd w:id="63"/>
      <w:bookmarkStart w:id="64" w:name="_Toc184313278"/>
      <w:bookmarkEnd w:id="64"/>
      <w:bookmarkStart w:id="65" w:name="_Toc184312083"/>
      <w:bookmarkEnd w:id="65"/>
      <w:bookmarkStart w:id="66" w:name="_Toc184310290"/>
      <w:bookmarkEnd w:id="66"/>
      <w:bookmarkStart w:id="67" w:name="_Toc184313240"/>
      <w:bookmarkEnd w:id="67"/>
      <w:bookmarkStart w:id="68" w:name="_Toc184308069"/>
      <w:bookmarkEnd w:id="68"/>
      <w:bookmarkStart w:id="69" w:name="_Toc184314437"/>
      <w:bookmarkEnd w:id="69"/>
      <w:bookmarkStart w:id="70" w:name="_Toc184314431"/>
      <w:bookmarkEnd w:id="70"/>
      <w:bookmarkStart w:id="71" w:name="_Toc184314472"/>
      <w:bookmarkEnd w:id="71"/>
      <w:bookmarkStart w:id="72" w:name="_Toc184313250"/>
      <w:bookmarkEnd w:id="72"/>
      <w:bookmarkStart w:id="73" w:name="_Toc184310311"/>
      <w:bookmarkEnd w:id="73"/>
      <w:bookmarkStart w:id="74" w:name="_Toc184310278"/>
      <w:bookmarkEnd w:id="74"/>
      <w:bookmarkStart w:id="75" w:name="_Toc184314425"/>
      <w:bookmarkEnd w:id="75"/>
      <w:bookmarkStart w:id="76" w:name="_Toc184308041"/>
      <w:bookmarkEnd w:id="76"/>
      <w:bookmarkStart w:id="77" w:name="_Toc184310324"/>
      <w:bookmarkEnd w:id="77"/>
      <w:bookmarkStart w:id="78" w:name="_Toc184313310"/>
      <w:bookmarkEnd w:id="78"/>
      <w:bookmarkStart w:id="79" w:name="_Toc184312114"/>
      <w:bookmarkEnd w:id="79"/>
      <w:bookmarkStart w:id="80" w:name="_Toc184312128"/>
      <w:bookmarkEnd w:id="80"/>
      <w:bookmarkStart w:id="81" w:name="_Toc184310331"/>
      <w:bookmarkEnd w:id="81"/>
      <w:bookmarkStart w:id="82" w:name="_Toc184314410"/>
      <w:bookmarkEnd w:id="82"/>
      <w:bookmarkStart w:id="83" w:name="_Toc184312076"/>
      <w:bookmarkEnd w:id="83"/>
      <w:bookmarkStart w:id="84" w:name="_Toc184314460"/>
      <w:bookmarkEnd w:id="84"/>
      <w:bookmarkStart w:id="85" w:name="_Toc184312101"/>
      <w:bookmarkEnd w:id="85"/>
      <w:bookmarkStart w:id="86" w:name="_Toc184310298"/>
      <w:bookmarkEnd w:id="86"/>
      <w:bookmarkStart w:id="87" w:name="_Toc184313244"/>
      <w:bookmarkEnd w:id="87"/>
      <w:bookmarkStart w:id="88" w:name="_Toc184313301"/>
      <w:bookmarkEnd w:id="88"/>
      <w:bookmarkStart w:id="89" w:name="_Toc184314428"/>
      <w:bookmarkEnd w:id="89"/>
      <w:bookmarkStart w:id="90" w:name="_Toc184314453"/>
      <w:bookmarkEnd w:id="90"/>
      <w:bookmarkStart w:id="91" w:name="_Toc184308076"/>
      <w:bookmarkEnd w:id="91"/>
      <w:bookmarkStart w:id="92" w:name="_Toc184312137"/>
      <w:bookmarkEnd w:id="92"/>
      <w:bookmarkStart w:id="93" w:name="_Toc184308053"/>
      <w:bookmarkEnd w:id="93"/>
      <w:bookmarkStart w:id="94" w:name="_Toc184310321"/>
      <w:bookmarkEnd w:id="94"/>
      <w:bookmarkStart w:id="95" w:name="_Toc184308106"/>
      <w:bookmarkEnd w:id="95"/>
      <w:bookmarkStart w:id="96" w:name="_Toc184313279"/>
      <w:bookmarkEnd w:id="96"/>
      <w:bookmarkStart w:id="97" w:name="_Toc184313276"/>
      <w:bookmarkEnd w:id="97"/>
      <w:bookmarkStart w:id="98" w:name="_Toc184310337"/>
      <w:bookmarkEnd w:id="98"/>
      <w:bookmarkStart w:id="99" w:name="_Toc184310340"/>
      <w:bookmarkEnd w:id="99"/>
      <w:bookmarkStart w:id="100" w:name="_Toc184310289"/>
      <w:bookmarkEnd w:id="100"/>
      <w:bookmarkStart w:id="101" w:name="_Toc184310299"/>
      <w:bookmarkEnd w:id="101"/>
      <w:bookmarkStart w:id="102" w:name="_Toc184308077"/>
      <w:bookmarkEnd w:id="102"/>
      <w:bookmarkStart w:id="103" w:name="_Toc184312094"/>
      <w:bookmarkEnd w:id="103"/>
      <w:bookmarkStart w:id="104" w:name="_Toc184314474"/>
      <w:bookmarkEnd w:id="104"/>
      <w:bookmarkStart w:id="105" w:name="_Toc184314443"/>
      <w:bookmarkEnd w:id="105"/>
      <w:bookmarkStart w:id="106" w:name="_Toc184313309"/>
      <w:bookmarkEnd w:id="106"/>
      <w:bookmarkStart w:id="107" w:name="_Toc184308092"/>
      <w:bookmarkEnd w:id="107"/>
      <w:bookmarkStart w:id="108" w:name="_Toc184314450"/>
      <w:bookmarkEnd w:id="108"/>
      <w:bookmarkStart w:id="109" w:name="_Toc184314418"/>
      <w:bookmarkEnd w:id="109"/>
      <w:bookmarkStart w:id="110" w:name="_Toc184314419"/>
      <w:bookmarkEnd w:id="110"/>
      <w:bookmarkStart w:id="111" w:name="_Toc184314420"/>
      <w:bookmarkEnd w:id="111"/>
      <w:bookmarkStart w:id="112" w:name="_Toc184308058"/>
      <w:bookmarkEnd w:id="112"/>
      <w:bookmarkStart w:id="113" w:name="_Toc184310300"/>
      <w:bookmarkEnd w:id="113"/>
      <w:bookmarkStart w:id="114" w:name="_Toc184313265"/>
      <w:bookmarkEnd w:id="114"/>
      <w:bookmarkStart w:id="115" w:name="_Toc184310323"/>
      <w:bookmarkEnd w:id="115"/>
      <w:bookmarkStart w:id="116" w:name="_Toc184308056"/>
      <w:bookmarkEnd w:id="116"/>
      <w:bookmarkStart w:id="117" w:name="_Toc184313275"/>
      <w:bookmarkEnd w:id="117"/>
      <w:bookmarkStart w:id="118" w:name="_Toc184310341"/>
      <w:bookmarkEnd w:id="118"/>
      <w:bookmarkStart w:id="119" w:name="_Toc184308055"/>
      <w:bookmarkEnd w:id="119"/>
      <w:bookmarkStart w:id="120" w:name="_Toc184310336"/>
      <w:bookmarkEnd w:id="120"/>
      <w:bookmarkStart w:id="121" w:name="_Toc184312130"/>
      <w:bookmarkEnd w:id="121"/>
      <w:bookmarkStart w:id="122" w:name="_Toc184310286"/>
      <w:bookmarkEnd w:id="122"/>
      <w:bookmarkStart w:id="123" w:name="_Toc184312102"/>
      <w:bookmarkEnd w:id="123"/>
      <w:bookmarkStart w:id="124" w:name="_Toc184314480"/>
      <w:bookmarkEnd w:id="124"/>
      <w:bookmarkStart w:id="125" w:name="_Toc184310333"/>
      <w:bookmarkEnd w:id="125"/>
      <w:bookmarkStart w:id="126" w:name="_Toc184308096"/>
      <w:bookmarkEnd w:id="126"/>
      <w:bookmarkStart w:id="127" w:name="_Toc184313245"/>
      <w:bookmarkEnd w:id="127"/>
      <w:bookmarkStart w:id="128" w:name="_Toc184308078"/>
      <w:bookmarkEnd w:id="128"/>
      <w:bookmarkStart w:id="129" w:name="_Toc184308075"/>
      <w:bookmarkEnd w:id="129"/>
      <w:bookmarkStart w:id="130" w:name="_Toc184312104"/>
      <w:bookmarkEnd w:id="130"/>
      <w:bookmarkStart w:id="131" w:name="_Toc184312100"/>
      <w:bookmarkEnd w:id="131"/>
      <w:bookmarkStart w:id="132" w:name="_Toc184312073"/>
      <w:bookmarkEnd w:id="132"/>
      <w:bookmarkStart w:id="133" w:name="_Toc184312091"/>
      <w:bookmarkEnd w:id="133"/>
      <w:bookmarkStart w:id="134" w:name="_Toc184314423"/>
      <w:bookmarkEnd w:id="134"/>
      <w:bookmarkStart w:id="135" w:name="_Toc184313299"/>
      <w:bookmarkEnd w:id="135"/>
      <w:bookmarkStart w:id="136" w:name="_Toc184313284"/>
      <w:bookmarkEnd w:id="136"/>
      <w:bookmarkStart w:id="137" w:name="_Toc184308093"/>
      <w:bookmarkEnd w:id="137"/>
      <w:bookmarkStart w:id="138" w:name="_Toc184314464"/>
      <w:bookmarkEnd w:id="138"/>
      <w:bookmarkStart w:id="139" w:name="_Toc184314417"/>
      <w:bookmarkEnd w:id="139"/>
      <w:bookmarkStart w:id="140" w:name="_Toc184310277"/>
      <w:bookmarkEnd w:id="140"/>
      <w:bookmarkStart w:id="141" w:name="_Toc184313273"/>
      <w:bookmarkEnd w:id="141"/>
      <w:bookmarkStart w:id="142" w:name="_Toc184310274"/>
      <w:bookmarkEnd w:id="142"/>
      <w:bookmarkStart w:id="143" w:name="_Toc184312121"/>
      <w:bookmarkEnd w:id="143"/>
      <w:bookmarkStart w:id="144" w:name="_Toc184312106"/>
      <w:bookmarkEnd w:id="144"/>
      <w:bookmarkStart w:id="145" w:name="_Toc184313307"/>
      <w:bookmarkEnd w:id="145"/>
      <w:bookmarkStart w:id="146" w:name="_Toc184308091"/>
      <w:bookmarkEnd w:id="146"/>
      <w:bookmarkStart w:id="147" w:name="_Toc184313267"/>
      <w:bookmarkEnd w:id="147"/>
      <w:bookmarkStart w:id="148" w:name="_Toc184313302"/>
      <w:bookmarkEnd w:id="148"/>
      <w:bookmarkStart w:id="149" w:name="_Toc184312127"/>
      <w:bookmarkEnd w:id="149"/>
      <w:bookmarkStart w:id="150" w:name="_Toc184314429"/>
      <w:bookmarkEnd w:id="150"/>
      <w:bookmarkStart w:id="151" w:name="_Toc184310316"/>
      <w:bookmarkEnd w:id="151"/>
      <w:bookmarkStart w:id="152" w:name="_Toc184313269"/>
      <w:bookmarkEnd w:id="152"/>
      <w:bookmarkStart w:id="153" w:name="_Toc184314432"/>
      <w:bookmarkEnd w:id="153"/>
      <w:bookmarkStart w:id="154" w:name="_Toc184313303"/>
      <w:bookmarkEnd w:id="154"/>
      <w:bookmarkStart w:id="155" w:name="_Toc184314456"/>
      <w:bookmarkEnd w:id="155"/>
      <w:bookmarkStart w:id="156" w:name="_Toc184313257"/>
      <w:bookmarkEnd w:id="156"/>
      <w:bookmarkStart w:id="157" w:name="_Toc184312107"/>
      <w:bookmarkEnd w:id="157"/>
      <w:bookmarkStart w:id="158" w:name="_Toc184310327"/>
      <w:bookmarkEnd w:id="158"/>
      <w:bookmarkStart w:id="159" w:name="_Toc184308044"/>
      <w:bookmarkEnd w:id="159"/>
      <w:bookmarkStart w:id="160" w:name="_Toc184308103"/>
      <w:bookmarkEnd w:id="160"/>
      <w:bookmarkStart w:id="161" w:name="_Toc184312088"/>
      <w:bookmarkEnd w:id="161"/>
      <w:bookmarkStart w:id="162" w:name="_Toc184308065"/>
      <w:bookmarkEnd w:id="162"/>
      <w:bookmarkStart w:id="163" w:name="_Toc184308085"/>
      <w:bookmarkEnd w:id="163"/>
      <w:bookmarkStart w:id="164" w:name="_Toc184313292"/>
      <w:bookmarkEnd w:id="164"/>
      <w:bookmarkStart w:id="165" w:name="_Toc184308049"/>
      <w:bookmarkEnd w:id="165"/>
      <w:bookmarkStart w:id="166" w:name="_Toc184313247"/>
      <w:bookmarkEnd w:id="166"/>
      <w:bookmarkStart w:id="167" w:name="_Toc184308090"/>
      <w:bookmarkEnd w:id="167"/>
      <w:bookmarkStart w:id="168" w:name="_Toc184312098"/>
      <w:bookmarkEnd w:id="168"/>
      <w:bookmarkStart w:id="169" w:name="_Toc184313254"/>
      <w:bookmarkEnd w:id="169"/>
      <w:bookmarkStart w:id="170" w:name="_Toc184312136"/>
      <w:bookmarkEnd w:id="170"/>
      <w:bookmarkStart w:id="171" w:name="_Toc184308102"/>
      <w:bookmarkEnd w:id="171"/>
      <w:bookmarkStart w:id="172" w:name="_Toc184308086"/>
      <w:bookmarkEnd w:id="172"/>
      <w:bookmarkStart w:id="173" w:name="_Toc184310329"/>
      <w:bookmarkEnd w:id="173"/>
      <w:bookmarkStart w:id="174" w:name="_Toc184312105"/>
      <w:bookmarkEnd w:id="174"/>
      <w:bookmarkStart w:id="175" w:name="_Toc184310284"/>
      <w:bookmarkEnd w:id="175"/>
      <w:bookmarkStart w:id="176" w:name="_Toc184310280"/>
      <w:bookmarkEnd w:id="176"/>
      <w:bookmarkStart w:id="177" w:name="_Toc184313305"/>
      <w:bookmarkEnd w:id="177"/>
      <w:bookmarkStart w:id="178" w:name="_Toc184312072"/>
      <w:bookmarkEnd w:id="178"/>
      <w:bookmarkStart w:id="179" w:name="_Toc184313241"/>
      <w:bookmarkEnd w:id="179"/>
      <w:bookmarkStart w:id="180" w:name="_Toc184314452"/>
      <w:bookmarkEnd w:id="180"/>
      <w:bookmarkStart w:id="181" w:name="_Toc184310296"/>
      <w:bookmarkEnd w:id="181"/>
      <w:bookmarkStart w:id="182" w:name="_Toc184308061"/>
      <w:bookmarkEnd w:id="182"/>
      <w:bookmarkStart w:id="183" w:name="_Toc184313261"/>
      <w:bookmarkEnd w:id="183"/>
      <w:bookmarkStart w:id="184" w:name="_Toc184310304"/>
      <w:bookmarkEnd w:id="184"/>
      <w:bookmarkStart w:id="185" w:name="_Toc184310292"/>
      <w:bookmarkEnd w:id="185"/>
      <w:bookmarkStart w:id="186" w:name="_Toc184313258"/>
      <w:bookmarkEnd w:id="186"/>
      <w:bookmarkStart w:id="187" w:name="_Toc184313252"/>
      <w:bookmarkEnd w:id="187"/>
      <w:bookmarkStart w:id="188" w:name="_Toc184308072"/>
      <w:bookmarkEnd w:id="188"/>
      <w:bookmarkStart w:id="189" w:name="_Toc184308042"/>
      <w:bookmarkEnd w:id="189"/>
      <w:bookmarkStart w:id="190" w:name="_Toc184310332"/>
      <w:bookmarkEnd w:id="190"/>
      <w:bookmarkStart w:id="191" w:name="_Toc184313268"/>
      <w:bookmarkEnd w:id="191"/>
      <w:bookmarkStart w:id="192" w:name="_Toc184313288"/>
      <w:bookmarkEnd w:id="192"/>
      <w:bookmarkStart w:id="193" w:name="_Toc184314424"/>
      <w:bookmarkEnd w:id="193"/>
      <w:bookmarkStart w:id="194" w:name="_Toc184312075"/>
      <w:bookmarkEnd w:id="194"/>
      <w:bookmarkStart w:id="195" w:name="_Toc184308081"/>
      <w:bookmarkEnd w:id="195"/>
      <w:bookmarkStart w:id="196" w:name="_Toc184313264"/>
      <w:bookmarkEnd w:id="196"/>
      <w:bookmarkStart w:id="197" w:name="_Toc184314477"/>
      <w:bookmarkEnd w:id="197"/>
      <w:bookmarkStart w:id="198" w:name="_Toc184314468"/>
      <w:bookmarkEnd w:id="198"/>
      <w:bookmarkStart w:id="199" w:name="_Toc184314471"/>
      <w:bookmarkEnd w:id="199"/>
      <w:bookmarkStart w:id="200" w:name="_Toc184310310"/>
      <w:bookmarkEnd w:id="200"/>
      <w:bookmarkStart w:id="201" w:name="_Toc184310326"/>
      <w:bookmarkEnd w:id="201"/>
      <w:bookmarkStart w:id="202" w:name="_Toc184308043"/>
      <w:bookmarkEnd w:id="202"/>
      <w:bookmarkStart w:id="203" w:name="_Toc184312070"/>
      <w:bookmarkEnd w:id="203"/>
      <w:bookmarkStart w:id="204" w:name="_Toc184312081"/>
      <w:bookmarkEnd w:id="204"/>
      <w:bookmarkStart w:id="205" w:name="_Toc184314421"/>
      <w:bookmarkEnd w:id="205"/>
      <w:bookmarkStart w:id="206" w:name="_Toc184310314"/>
      <w:bookmarkEnd w:id="206"/>
      <w:bookmarkStart w:id="207" w:name="_Toc184308104"/>
      <w:bookmarkEnd w:id="207"/>
      <w:bookmarkStart w:id="208" w:name="_Toc184312068"/>
      <w:bookmarkEnd w:id="208"/>
      <w:bookmarkStart w:id="209" w:name="_Toc184313308"/>
      <w:bookmarkEnd w:id="209"/>
      <w:bookmarkStart w:id="210" w:name="_Toc184308037"/>
      <w:bookmarkEnd w:id="210"/>
      <w:bookmarkStart w:id="211" w:name="_Toc184308062"/>
      <w:bookmarkEnd w:id="211"/>
      <w:bookmarkStart w:id="212" w:name="_Toc184308039"/>
      <w:bookmarkEnd w:id="212"/>
      <w:bookmarkStart w:id="213" w:name="_Toc184308051"/>
      <w:bookmarkEnd w:id="213"/>
      <w:bookmarkStart w:id="214" w:name="_Toc184310291"/>
      <w:bookmarkEnd w:id="214"/>
      <w:bookmarkStart w:id="215" w:name="_Toc184314454"/>
      <w:bookmarkEnd w:id="215"/>
      <w:bookmarkStart w:id="216" w:name="_Toc184308060"/>
      <w:bookmarkEnd w:id="216"/>
      <w:bookmarkStart w:id="217" w:name="_Toc184313253"/>
      <w:bookmarkEnd w:id="217"/>
      <w:bookmarkStart w:id="218" w:name="_Toc184313266"/>
      <w:bookmarkEnd w:id="218"/>
      <w:bookmarkStart w:id="219" w:name="_Toc184314438"/>
      <w:bookmarkEnd w:id="219"/>
      <w:bookmarkStart w:id="220" w:name="_Toc184310320"/>
      <w:bookmarkEnd w:id="220"/>
      <w:bookmarkStart w:id="221" w:name="_Toc184312071"/>
      <w:bookmarkEnd w:id="221"/>
      <w:bookmarkStart w:id="222" w:name="_Toc184312087"/>
      <w:bookmarkEnd w:id="222"/>
      <w:bookmarkStart w:id="223" w:name="_Toc184312092"/>
      <w:bookmarkEnd w:id="223"/>
      <w:bookmarkStart w:id="224" w:name="_Toc184312132"/>
      <w:bookmarkEnd w:id="224"/>
      <w:bookmarkStart w:id="225" w:name="_Toc184313251"/>
      <w:bookmarkEnd w:id="225"/>
      <w:bookmarkStart w:id="226" w:name="_Toc184312079"/>
      <w:bookmarkEnd w:id="226"/>
      <w:bookmarkStart w:id="227" w:name="_Toc184312103"/>
      <w:bookmarkEnd w:id="227"/>
      <w:bookmarkStart w:id="228" w:name="_Toc184310313"/>
      <w:bookmarkEnd w:id="228"/>
      <w:bookmarkStart w:id="229" w:name="_Toc184314433"/>
      <w:bookmarkEnd w:id="229"/>
      <w:bookmarkStart w:id="230" w:name="_Toc184310305"/>
      <w:bookmarkEnd w:id="230"/>
      <w:bookmarkStart w:id="231" w:name="_Toc184310295"/>
      <w:bookmarkEnd w:id="231"/>
      <w:bookmarkStart w:id="232" w:name="_Toc184310294"/>
      <w:bookmarkEnd w:id="232"/>
      <w:bookmarkStart w:id="233" w:name="_Toc184313255"/>
      <w:bookmarkEnd w:id="233"/>
      <w:bookmarkStart w:id="234" w:name="_Toc184310272"/>
      <w:bookmarkEnd w:id="234"/>
      <w:bookmarkStart w:id="235" w:name="_Toc184314457"/>
      <w:bookmarkEnd w:id="235"/>
      <w:bookmarkStart w:id="236" w:name="_Toc184312115"/>
      <w:bookmarkEnd w:id="236"/>
      <w:bookmarkStart w:id="237" w:name="_Toc184308088"/>
      <w:bookmarkEnd w:id="237"/>
      <w:bookmarkStart w:id="238" w:name="_Toc184310281"/>
      <w:bookmarkEnd w:id="238"/>
      <w:bookmarkStart w:id="239" w:name="_Toc184312067"/>
      <w:bookmarkEnd w:id="239"/>
      <w:bookmarkStart w:id="240" w:name="_Toc184312133"/>
      <w:bookmarkEnd w:id="240"/>
      <w:bookmarkStart w:id="241" w:name="_Toc184313297"/>
      <w:bookmarkEnd w:id="241"/>
      <w:bookmarkStart w:id="242" w:name="_Toc184312122"/>
      <w:bookmarkEnd w:id="242"/>
      <w:bookmarkStart w:id="243" w:name="_Toc184310315"/>
      <w:bookmarkEnd w:id="243"/>
      <w:bookmarkStart w:id="244" w:name="_Toc184308098"/>
      <w:bookmarkEnd w:id="244"/>
      <w:bookmarkStart w:id="245" w:name="_Toc184310342"/>
      <w:bookmarkEnd w:id="245"/>
      <w:bookmarkStart w:id="246" w:name="_Toc184310301"/>
      <w:bookmarkEnd w:id="246"/>
      <w:bookmarkStart w:id="247" w:name="_Toc184308048"/>
      <w:bookmarkEnd w:id="247"/>
      <w:bookmarkStart w:id="248" w:name="_Toc184312111"/>
      <w:bookmarkEnd w:id="248"/>
      <w:bookmarkStart w:id="249" w:name="_Toc184308057"/>
      <w:bookmarkEnd w:id="249"/>
      <w:bookmarkStart w:id="250" w:name="_Toc184313243"/>
      <w:bookmarkEnd w:id="250"/>
      <w:bookmarkStart w:id="251" w:name="_Toc184312095"/>
      <w:bookmarkEnd w:id="251"/>
      <w:bookmarkStart w:id="252" w:name="_Toc184314475"/>
      <w:bookmarkEnd w:id="252"/>
      <w:bookmarkStart w:id="253" w:name="_Toc184310287"/>
      <w:bookmarkEnd w:id="253"/>
      <w:bookmarkStart w:id="254" w:name="_Toc184310288"/>
      <w:bookmarkEnd w:id="254"/>
      <w:bookmarkStart w:id="255" w:name="_Toc184310297"/>
      <w:bookmarkEnd w:id="255"/>
      <w:bookmarkStart w:id="256" w:name="_Toc184312138"/>
      <w:bookmarkEnd w:id="256"/>
      <w:bookmarkStart w:id="257" w:name="_Toc184314463"/>
      <w:bookmarkEnd w:id="257"/>
      <w:bookmarkStart w:id="258" w:name="_Toc184312124"/>
      <w:bookmarkEnd w:id="258"/>
      <w:bookmarkStart w:id="259" w:name="_Toc184313291"/>
      <w:bookmarkEnd w:id="259"/>
      <w:bookmarkStart w:id="260" w:name="_Toc184312119"/>
      <w:bookmarkEnd w:id="260"/>
      <w:bookmarkStart w:id="261" w:name="_Toc184310307"/>
      <w:bookmarkEnd w:id="261"/>
      <w:bookmarkStart w:id="262" w:name="_Toc184308100"/>
      <w:bookmarkEnd w:id="262"/>
      <w:bookmarkStart w:id="263" w:name="_Toc184314436"/>
      <w:bookmarkEnd w:id="263"/>
      <w:bookmarkStart w:id="264" w:name="_Toc184308105"/>
      <w:bookmarkEnd w:id="264"/>
      <w:bookmarkStart w:id="265" w:name="_Toc184312131"/>
      <w:bookmarkEnd w:id="265"/>
      <w:bookmarkStart w:id="266" w:name="_Toc184310282"/>
      <w:bookmarkEnd w:id="266"/>
      <w:bookmarkStart w:id="267" w:name="_Toc184313287"/>
      <w:bookmarkEnd w:id="267"/>
      <w:bookmarkStart w:id="268" w:name="_Toc184314445"/>
      <w:bookmarkEnd w:id="268"/>
      <w:bookmarkStart w:id="269" w:name="_Toc184314411"/>
      <w:bookmarkEnd w:id="269"/>
      <w:bookmarkStart w:id="270" w:name="_Toc184313285"/>
      <w:bookmarkEnd w:id="270"/>
      <w:bookmarkStart w:id="271" w:name="_Toc184308107"/>
      <w:bookmarkEnd w:id="271"/>
      <w:bookmarkStart w:id="272" w:name="_Toc184310273"/>
      <w:bookmarkEnd w:id="272"/>
      <w:bookmarkStart w:id="273" w:name="_Toc184308073"/>
      <w:bookmarkEnd w:id="273"/>
      <w:bookmarkStart w:id="274" w:name="_Toc184312112"/>
      <w:bookmarkEnd w:id="274"/>
      <w:bookmarkStart w:id="275" w:name="_Toc184310309"/>
      <w:bookmarkEnd w:id="275"/>
      <w:bookmarkStart w:id="276" w:name="_Toc184314426"/>
      <w:bookmarkEnd w:id="276"/>
      <w:bookmarkStart w:id="277" w:name="_Toc184313262"/>
      <w:bookmarkEnd w:id="277"/>
      <w:bookmarkStart w:id="278" w:name="_Toc184314451"/>
      <w:bookmarkEnd w:id="278"/>
      <w:bookmarkStart w:id="279" w:name="_Toc184312086"/>
      <w:bookmarkEnd w:id="279"/>
      <w:bookmarkStart w:id="280" w:name="_Toc184312069"/>
      <w:bookmarkEnd w:id="280"/>
      <w:bookmarkStart w:id="281" w:name="_Toc184308052"/>
      <w:bookmarkEnd w:id="281"/>
      <w:bookmarkStart w:id="282" w:name="_Toc184314476"/>
      <w:bookmarkEnd w:id="282"/>
      <w:bookmarkStart w:id="283" w:name="_Toc184310335"/>
      <w:bookmarkEnd w:id="283"/>
      <w:bookmarkStart w:id="284" w:name="_Toc184314447"/>
      <w:bookmarkEnd w:id="284"/>
      <w:bookmarkStart w:id="285" w:name="_Toc184312109"/>
      <w:bookmarkEnd w:id="285"/>
      <w:bookmarkStart w:id="286" w:name="_Toc184313289"/>
      <w:bookmarkEnd w:id="286"/>
      <w:bookmarkStart w:id="287" w:name="_Toc184313272"/>
      <w:bookmarkEnd w:id="287"/>
      <w:bookmarkStart w:id="288" w:name="_Toc184314440"/>
      <w:bookmarkEnd w:id="288"/>
      <w:bookmarkStart w:id="289" w:name="_Toc184310338"/>
      <w:bookmarkEnd w:id="289"/>
      <w:bookmarkStart w:id="290" w:name="_Toc184313259"/>
      <w:bookmarkEnd w:id="290"/>
      <w:bookmarkStart w:id="291" w:name="_Toc184312089"/>
      <w:bookmarkEnd w:id="291"/>
      <w:bookmarkStart w:id="292" w:name="_Toc184313249"/>
      <w:bookmarkEnd w:id="292"/>
      <w:bookmarkStart w:id="293" w:name="_Toc184310339"/>
      <w:bookmarkEnd w:id="293"/>
      <w:bookmarkStart w:id="294" w:name="_Toc184314439"/>
      <w:bookmarkEnd w:id="294"/>
      <w:bookmarkStart w:id="295" w:name="_Toc184308084"/>
      <w:bookmarkEnd w:id="295"/>
      <w:bookmarkStart w:id="296" w:name="_Toc184308087"/>
      <w:bookmarkEnd w:id="296"/>
      <w:bookmarkStart w:id="297" w:name="_Toc184314461"/>
      <w:bookmarkEnd w:id="297"/>
      <w:bookmarkStart w:id="298" w:name="_Toc184313300"/>
      <w:bookmarkEnd w:id="298"/>
      <w:bookmarkStart w:id="299" w:name="_Toc184312097"/>
      <w:bookmarkEnd w:id="299"/>
      <w:bookmarkStart w:id="300" w:name="_Toc184314481"/>
      <w:bookmarkEnd w:id="300"/>
      <w:bookmarkStart w:id="301" w:name="_Toc184310318"/>
      <w:bookmarkEnd w:id="301"/>
      <w:bookmarkStart w:id="302" w:name="_Toc184313283"/>
      <w:bookmarkEnd w:id="302"/>
      <w:bookmarkStart w:id="303" w:name="_Toc184314435"/>
      <w:bookmarkEnd w:id="303"/>
      <w:bookmarkStart w:id="304" w:name="_Toc184313238"/>
      <w:bookmarkEnd w:id="304"/>
      <w:bookmarkStart w:id="305" w:name="_Toc184310308"/>
      <w:bookmarkEnd w:id="305"/>
      <w:bookmarkStart w:id="306" w:name="_Toc184314469"/>
      <w:bookmarkEnd w:id="306"/>
      <w:bookmarkStart w:id="307" w:name="_Toc184310319"/>
      <w:bookmarkEnd w:id="307"/>
      <w:bookmarkStart w:id="308" w:name="_Toc184312108"/>
      <w:bookmarkEnd w:id="308"/>
      <w:bookmarkStart w:id="309" w:name="_Toc184308095"/>
      <w:bookmarkEnd w:id="309"/>
      <w:bookmarkStart w:id="310" w:name="_Toc184310330"/>
      <w:bookmarkEnd w:id="310"/>
      <w:bookmarkStart w:id="311" w:name="_Toc184312099"/>
      <w:bookmarkEnd w:id="311"/>
      <w:bookmarkStart w:id="312" w:name="_Toc184308036"/>
      <w:bookmarkEnd w:id="312"/>
      <w:bookmarkStart w:id="313" w:name="_Toc184312139"/>
      <w:bookmarkEnd w:id="313"/>
      <w:bookmarkStart w:id="314" w:name="_Toc184314414"/>
      <w:bookmarkEnd w:id="314"/>
      <w:bookmarkStart w:id="315" w:name="_Toc184313290"/>
      <w:bookmarkEnd w:id="315"/>
      <w:bookmarkStart w:id="316" w:name="_Toc184313280"/>
      <w:bookmarkEnd w:id="316"/>
      <w:bookmarkStart w:id="317" w:name="_Toc184314442"/>
      <w:bookmarkEnd w:id="317"/>
      <w:bookmarkStart w:id="318" w:name="_Toc184313246"/>
      <w:bookmarkEnd w:id="318"/>
      <w:bookmarkStart w:id="319" w:name="_Toc184312078"/>
      <w:bookmarkEnd w:id="319"/>
      <w:bookmarkStart w:id="320" w:name="_Toc184310312"/>
      <w:bookmarkEnd w:id="320"/>
      <w:bookmarkStart w:id="321" w:name="_Toc184308083"/>
      <w:bookmarkEnd w:id="321"/>
      <w:bookmarkStart w:id="322" w:name="_Toc184308097"/>
      <w:bookmarkEnd w:id="322"/>
      <w:bookmarkStart w:id="323" w:name="_Toc184312082"/>
      <w:bookmarkEnd w:id="323"/>
      <w:bookmarkStart w:id="324" w:name="_Toc184312123"/>
      <w:bookmarkEnd w:id="324"/>
      <w:bookmarkStart w:id="325" w:name="_Toc184314412"/>
      <w:bookmarkEnd w:id="325"/>
      <w:bookmarkStart w:id="326" w:name="_Toc184310276"/>
      <w:bookmarkEnd w:id="326"/>
      <w:bookmarkStart w:id="327" w:name="_Toc184314479"/>
      <w:bookmarkEnd w:id="327"/>
      <w:bookmarkStart w:id="328" w:name="_Toc184312093"/>
      <w:bookmarkEnd w:id="328"/>
      <w:bookmarkStart w:id="329" w:name="_Toc184310285"/>
      <w:bookmarkEnd w:id="329"/>
      <w:bookmarkStart w:id="330" w:name="_Toc184313271"/>
      <w:bookmarkEnd w:id="330"/>
      <w:bookmarkStart w:id="331" w:name="_Toc184308108"/>
      <w:bookmarkEnd w:id="331"/>
      <w:bookmarkStart w:id="332" w:name="_Toc184308054"/>
      <w:bookmarkEnd w:id="332"/>
      <w:bookmarkStart w:id="333" w:name="_Toc184312118"/>
      <w:bookmarkEnd w:id="333"/>
      <w:bookmarkStart w:id="334" w:name="_Toc184314441"/>
      <w:bookmarkEnd w:id="334"/>
      <w:bookmarkStart w:id="335" w:name="_Toc184310302"/>
      <w:bookmarkEnd w:id="335"/>
      <w:bookmarkStart w:id="336" w:name="_Toc184308068"/>
      <w:bookmarkEnd w:id="336"/>
      <w:bookmarkStart w:id="337" w:name="_Toc184313263"/>
      <w:bookmarkEnd w:id="337"/>
      <w:bookmarkStart w:id="338" w:name="_Toc184312110"/>
      <w:bookmarkEnd w:id="338"/>
      <w:bookmarkStart w:id="339" w:name="_Toc184314466"/>
      <w:bookmarkEnd w:id="339"/>
      <w:bookmarkStart w:id="340" w:name="_Toc184313256"/>
      <w:bookmarkEnd w:id="340"/>
      <w:bookmarkStart w:id="341" w:name="_Toc184312080"/>
      <w:bookmarkEnd w:id="341"/>
      <w:bookmarkStart w:id="342" w:name="_Toc184310325"/>
      <w:bookmarkEnd w:id="342"/>
      <w:bookmarkStart w:id="343" w:name="_Toc184310317"/>
      <w:bookmarkEnd w:id="343"/>
      <w:bookmarkStart w:id="344" w:name="_Toc184313242"/>
      <w:bookmarkEnd w:id="344"/>
      <w:bookmarkStart w:id="345" w:name="_Toc184308071"/>
      <w:bookmarkEnd w:id="345"/>
      <w:bookmarkStart w:id="346" w:name="_Toc184312090"/>
      <w:bookmarkEnd w:id="346"/>
      <w:bookmarkStart w:id="347" w:name="_Toc184308079"/>
      <w:bookmarkEnd w:id="347"/>
      <w:bookmarkStart w:id="348" w:name="_Toc184308059"/>
      <w:bookmarkEnd w:id="348"/>
      <w:bookmarkStart w:id="349" w:name="_Toc184312126"/>
      <w:bookmarkEnd w:id="349"/>
      <w:bookmarkStart w:id="350" w:name="_Toc184313260"/>
      <w:bookmarkEnd w:id="350"/>
      <w:bookmarkStart w:id="351" w:name="_Toc184314422"/>
      <w:bookmarkEnd w:id="351"/>
      <w:bookmarkStart w:id="352" w:name="_Toc184314465"/>
      <w:bookmarkEnd w:id="352"/>
      <w:bookmarkStart w:id="353" w:name="_Toc184308047"/>
      <w:bookmarkEnd w:id="353"/>
      <w:bookmarkStart w:id="354" w:name="_Toc184308080"/>
      <w:bookmarkEnd w:id="354"/>
      <w:bookmarkStart w:id="355" w:name="_Toc184314446"/>
      <w:bookmarkEnd w:id="355"/>
      <w:bookmarkStart w:id="356" w:name="_Toc184312120"/>
      <w:bookmarkEnd w:id="356"/>
      <w:bookmarkStart w:id="357" w:name="_Toc184314415"/>
      <w:bookmarkEnd w:id="357"/>
      <w:bookmarkStart w:id="358" w:name="_Toc184312116"/>
      <w:bookmarkEnd w:id="358"/>
      <w:bookmarkStart w:id="359" w:name="_Toc184313274"/>
      <w:bookmarkEnd w:id="359"/>
      <w:bookmarkStart w:id="360" w:name="_Toc184314448"/>
      <w:bookmarkEnd w:id="360"/>
      <w:bookmarkStart w:id="361" w:name="_Toc184314473"/>
      <w:bookmarkEnd w:id="361"/>
      <w:bookmarkStart w:id="362" w:name="_Toc184308089"/>
      <w:bookmarkEnd w:id="362"/>
      <w:bookmarkStart w:id="363" w:name="_Toc184310275"/>
      <w:bookmarkEnd w:id="363"/>
      <w:bookmarkStart w:id="364" w:name="_Toc184308082"/>
      <w:bookmarkEnd w:id="364"/>
      <w:bookmarkStart w:id="365" w:name="_Toc184308040"/>
      <w:bookmarkEnd w:id="365"/>
      <w:bookmarkStart w:id="366" w:name="_Toc184314470"/>
      <w:bookmarkEnd w:id="366"/>
      <w:bookmarkStart w:id="367" w:name="_Toc184313296"/>
      <w:bookmarkEnd w:id="367"/>
      <w:bookmarkStart w:id="368" w:name="_Toc184313298"/>
      <w:bookmarkEnd w:id="368"/>
      <w:bookmarkStart w:id="369" w:name="_Toc184310303"/>
      <w:bookmarkEnd w:id="369"/>
      <w:bookmarkStart w:id="370" w:name="_Toc184312074"/>
      <w:bookmarkEnd w:id="370"/>
      <w:bookmarkStart w:id="371" w:name="_Toc184308094"/>
      <w:bookmarkEnd w:id="371"/>
      <w:bookmarkStart w:id="372" w:name="_Toc184313286"/>
      <w:bookmarkEnd w:id="372"/>
      <w:bookmarkStart w:id="373" w:name="_Toc184310293"/>
      <w:bookmarkEnd w:id="373"/>
      <w:bookmarkStart w:id="374" w:name="_Toc184312113"/>
      <w:bookmarkEnd w:id="374"/>
      <w:bookmarkStart w:id="375" w:name="_Toc184313277"/>
      <w:bookmarkEnd w:id="375"/>
      <w:bookmarkStart w:id="376" w:name="_Toc184314430"/>
      <w:bookmarkEnd w:id="376"/>
      <w:bookmarkStart w:id="377" w:name="_Toc184308067"/>
      <w:bookmarkEnd w:id="377"/>
      <w:bookmarkStart w:id="378" w:name="_Toc184308064"/>
      <w:bookmarkEnd w:id="378"/>
      <w:bookmarkStart w:id="379" w:name="_Toc184308050"/>
      <w:bookmarkEnd w:id="379"/>
      <w:bookmarkStart w:id="380" w:name="_Toc184312117"/>
      <w:bookmarkEnd w:id="380"/>
      <w:bookmarkStart w:id="381" w:name="_Toc184310279"/>
      <w:bookmarkEnd w:id="381"/>
      <w:bookmarkStart w:id="382" w:name="_Toc184314444"/>
      <w:bookmarkEnd w:id="382"/>
      <w:bookmarkStart w:id="383" w:name="_Toc184314449"/>
      <w:bookmarkEnd w:id="383"/>
      <w:bookmarkStart w:id="384" w:name="_Toc184314459"/>
      <w:bookmarkEnd w:id="384"/>
      <w:bookmarkStart w:id="385" w:name="_Toc184314458"/>
      <w:bookmarkEnd w:id="385"/>
      <w:bookmarkStart w:id="386" w:name="_Toc184314416"/>
      <w:bookmarkEnd w:id="386"/>
      <w:bookmarkStart w:id="387" w:name="_Toc184312084"/>
      <w:bookmarkEnd w:id="387"/>
      <w:bookmarkStart w:id="388" w:name="_Toc184310283"/>
      <w:bookmarkEnd w:id="388"/>
      <w:bookmarkStart w:id="389" w:name="_Toc184314413"/>
      <w:bookmarkEnd w:id="389"/>
      <w:bookmarkStart w:id="390" w:name="_Toc184310328"/>
      <w:bookmarkEnd w:id="390"/>
      <w:bookmarkStart w:id="391" w:name="_Toc184314467"/>
      <w:bookmarkEnd w:id="391"/>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评标办法</w:t>
      </w:r>
    </w:p>
    <w:p>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评标办法前附表</w:t>
      </w:r>
    </w:p>
    <w:tbl>
      <w:tblPr>
        <w:tblStyle w:val="2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50"/>
        <w:gridCol w:w="4725"/>
        <w:gridCol w:w="710"/>
        <w:gridCol w:w="81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ind w:right="3"/>
              <w:jc w:val="center"/>
              <w:rPr>
                <w:rFonts w:hint="eastAsia" w:ascii="仿宋_GB2312" w:hAnsi="仿宋_GB2312" w:eastAsia="仿宋_GB2312" w:cs="仿宋_GB2312"/>
                <w:b/>
                <w:color w:val="auto"/>
                <w:spacing w:val="4"/>
                <w:sz w:val="24"/>
                <w:szCs w:val="24"/>
                <w:highlight w:val="none"/>
              </w:rPr>
            </w:pPr>
            <w:r>
              <w:rPr>
                <w:rFonts w:hint="eastAsia" w:ascii="仿宋_GB2312" w:hAnsi="仿宋_GB2312" w:eastAsia="仿宋_GB2312" w:cs="仿宋_GB2312"/>
                <w:b/>
                <w:color w:val="auto"/>
                <w:spacing w:val="4"/>
                <w:sz w:val="24"/>
                <w:szCs w:val="24"/>
                <w:highlight w:val="none"/>
              </w:rPr>
              <w:t>类别</w:t>
            </w:r>
          </w:p>
        </w:tc>
        <w:tc>
          <w:tcPr>
            <w:tcW w:w="650" w:type="dxa"/>
            <w:tcBorders>
              <w:top w:val="single" w:color="auto" w:sz="4" w:space="0"/>
              <w:left w:val="single" w:color="auto" w:sz="4" w:space="0"/>
              <w:bottom w:val="single" w:color="auto" w:sz="4" w:space="0"/>
              <w:right w:val="single" w:color="auto" w:sz="4" w:space="0"/>
            </w:tcBorders>
            <w:noWrap w:val="0"/>
            <w:vAlign w:val="center"/>
          </w:tcPr>
          <w:p>
            <w:pPr>
              <w:ind w:right="3"/>
              <w:jc w:val="center"/>
              <w:rPr>
                <w:rFonts w:hint="eastAsia" w:ascii="仿宋_GB2312" w:hAnsi="仿宋_GB2312" w:eastAsia="仿宋_GB2312" w:cs="仿宋_GB2312"/>
                <w:b/>
                <w:color w:val="auto"/>
                <w:spacing w:val="4"/>
                <w:sz w:val="24"/>
                <w:szCs w:val="24"/>
                <w:highlight w:val="none"/>
              </w:rPr>
            </w:pPr>
            <w:r>
              <w:rPr>
                <w:rFonts w:hint="eastAsia" w:ascii="仿宋_GB2312" w:hAnsi="仿宋_GB2312" w:eastAsia="仿宋_GB2312" w:cs="仿宋_GB2312"/>
                <w:b/>
                <w:color w:val="auto"/>
                <w:spacing w:val="4"/>
                <w:sz w:val="24"/>
                <w:szCs w:val="24"/>
                <w:highlight w:val="none"/>
              </w:rPr>
              <w:t>序号</w:t>
            </w:r>
          </w:p>
        </w:tc>
        <w:tc>
          <w:tcPr>
            <w:tcW w:w="47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pacing w:val="4"/>
                <w:sz w:val="24"/>
                <w:szCs w:val="24"/>
                <w:highlight w:val="none"/>
              </w:rPr>
              <w:t>评分标准</w:t>
            </w:r>
          </w:p>
        </w:tc>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pacing w:val="4"/>
                <w:sz w:val="24"/>
                <w:szCs w:val="24"/>
                <w:highlight w:val="none"/>
              </w:rPr>
            </w:pPr>
            <w:r>
              <w:rPr>
                <w:rFonts w:hint="eastAsia" w:ascii="仿宋_GB2312" w:hAnsi="仿宋_GB2312" w:eastAsia="仿宋_GB2312" w:cs="仿宋_GB2312"/>
                <w:b/>
                <w:color w:val="auto"/>
                <w:spacing w:val="4"/>
                <w:sz w:val="24"/>
                <w:szCs w:val="24"/>
                <w:highlight w:val="none"/>
              </w:rPr>
              <w:t>权重</w:t>
            </w: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pacing w:val="4"/>
                <w:sz w:val="24"/>
                <w:szCs w:val="24"/>
                <w:highlight w:val="none"/>
              </w:rPr>
            </w:pPr>
            <w:r>
              <w:rPr>
                <w:rFonts w:hint="eastAsia" w:ascii="仿宋_GB2312" w:hAnsi="仿宋_GB2312" w:eastAsia="仿宋_GB2312" w:cs="仿宋_GB2312"/>
                <w:b/>
                <w:color w:val="auto"/>
                <w:spacing w:val="4"/>
                <w:sz w:val="24"/>
                <w:szCs w:val="24"/>
                <w:highlight w:val="none"/>
              </w:rPr>
              <w:t>主观分/客观分属性</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pacing w:val="4"/>
                <w:sz w:val="24"/>
                <w:szCs w:val="24"/>
                <w:highlight w:val="none"/>
              </w:rPr>
            </w:pPr>
            <w:r>
              <w:rPr>
                <w:rFonts w:hint="eastAsia" w:ascii="仿宋_GB2312" w:hAnsi="仿宋_GB2312" w:eastAsia="仿宋_GB2312" w:cs="仿宋_GB2312"/>
                <w:b/>
                <w:color w:val="auto"/>
                <w:spacing w:val="4"/>
                <w:sz w:val="24"/>
                <w:szCs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720" w:type="dxa"/>
            <w:vMerge w:val="restart"/>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商务部分（</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分）</w:t>
            </w:r>
          </w:p>
        </w:tc>
        <w:tc>
          <w:tcPr>
            <w:tcW w:w="65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根据投标人提供的相关认证证书情况打分: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1.</w:t>
            </w:r>
            <w:r>
              <w:rPr>
                <w:rFonts w:hint="default" w:ascii="仿宋_GB2312" w:hAnsi="宋体" w:eastAsia="仿宋_GB2312" w:cs="仿宋_GB2312"/>
                <w:i w:val="0"/>
                <w:iCs w:val="0"/>
                <w:color w:val="auto"/>
                <w:kern w:val="0"/>
                <w:sz w:val="24"/>
                <w:szCs w:val="24"/>
                <w:highlight w:val="none"/>
                <w:u w:val="none"/>
                <w:lang w:val="en-US" w:eastAsia="zh-CN" w:bidi="ar"/>
              </w:rPr>
              <w:t>投标人具有有效期内的ISO9</w:t>
            </w:r>
            <w:r>
              <w:rPr>
                <w:rFonts w:hint="eastAsia" w:ascii="仿宋_GB2312" w:hAnsi="宋体" w:eastAsia="仿宋_GB2312" w:cs="仿宋_GB2312"/>
                <w:i w:val="0"/>
                <w:iCs w:val="0"/>
                <w:color w:val="auto"/>
                <w:kern w:val="0"/>
                <w:sz w:val="24"/>
                <w:szCs w:val="24"/>
                <w:highlight w:val="none"/>
                <w:u w:val="none"/>
                <w:lang w:val="en-US" w:eastAsia="zh-CN" w:bidi="ar"/>
              </w:rPr>
              <w:t>0</w:t>
            </w:r>
            <w:r>
              <w:rPr>
                <w:rFonts w:hint="default" w:ascii="仿宋_GB2312" w:hAnsi="宋体" w:eastAsia="仿宋_GB2312" w:cs="仿宋_GB2312"/>
                <w:i w:val="0"/>
                <w:iCs w:val="0"/>
                <w:color w:val="auto"/>
                <w:kern w:val="0"/>
                <w:sz w:val="24"/>
                <w:szCs w:val="24"/>
                <w:highlight w:val="none"/>
                <w:u w:val="none"/>
                <w:lang w:val="en-US" w:eastAsia="zh-CN" w:bidi="ar"/>
              </w:rPr>
              <w:t>001质量管理体系认证证书的得1分；</w:t>
            </w:r>
            <w:r>
              <w:rPr>
                <w:rFonts w:hint="default" w:ascii="仿宋_GB2312" w:hAnsi="宋体" w:eastAsia="仿宋_GB2312" w:cs="仿宋_GB2312"/>
                <w:i w:val="0"/>
                <w:iCs w:val="0"/>
                <w:color w:val="auto"/>
                <w:kern w:val="0"/>
                <w:sz w:val="24"/>
                <w:szCs w:val="24"/>
                <w:highlight w:val="none"/>
                <w:u w:val="none"/>
                <w:lang w:val="en-US" w:eastAsia="zh-CN" w:bidi="ar"/>
              </w:rPr>
              <w:br w:type="textWrapping"/>
            </w:r>
            <w:r>
              <w:rPr>
                <w:rFonts w:hint="default" w:ascii="仿宋_GB2312" w:hAnsi="宋体" w:eastAsia="仿宋_GB2312" w:cs="仿宋_GB2312"/>
                <w:i w:val="0"/>
                <w:iCs w:val="0"/>
                <w:color w:val="auto"/>
                <w:kern w:val="0"/>
                <w:sz w:val="24"/>
                <w:szCs w:val="24"/>
                <w:highlight w:val="none"/>
                <w:u w:val="none"/>
                <w:lang w:val="en-US" w:eastAsia="zh-CN" w:bidi="ar"/>
              </w:rPr>
              <w:t>2.投标人具有有效期内的IS014001环境管理体系认证的得1分；</w:t>
            </w:r>
            <w:r>
              <w:rPr>
                <w:rFonts w:hint="default" w:ascii="仿宋_GB2312" w:hAnsi="宋体" w:eastAsia="仿宋_GB2312" w:cs="仿宋_GB2312"/>
                <w:i w:val="0"/>
                <w:iCs w:val="0"/>
                <w:color w:val="auto"/>
                <w:kern w:val="0"/>
                <w:sz w:val="24"/>
                <w:szCs w:val="24"/>
                <w:highlight w:val="none"/>
                <w:u w:val="none"/>
                <w:lang w:val="en-US" w:eastAsia="zh-CN" w:bidi="ar"/>
              </w:rPr>
              <w:br w:type="textWrapping"/>
            </w:r>
            <w:r>
              <w:rPr>
                <w:rFonts w:hint="default" w:ascii="仿宋_GB2312" w:hAnsi="宋体" w:eastAsia="仿宋_GB2312" w:cs="仿宋_GB2312"/>
                <w:i w:val="0"/>
                <w:iCs w:val="0"/>
                <w:color w:val="auto"/>
                <w:kern w:val="0"/>
                <w:sz w:val="24"/>
                <w:szCs w:val="24"/>
                <w:highlight w:val="none"/>
                <w:u w:val="none"/>
                <w:lang w:val="en-US" w:eastAsia="zh-CN" w:bidi="ar"/>
              </w:rPr>
              <w:t>3.投标人具有有效期内的ISO27001信息安全管理体系认证证书的得1分。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注：1.提供有效期内的证书及全国认证认可信息公共服务平台网站</w:t>
            </w:r>
            <w:r>
              <w:rPr>
                <w:rFonts w:hint="default" w:ascii="仿宋_GB2312" w:hAnsi="宋体" w:eastAsia="仿宋_GB2312" w:cs="仿宋_GB2312"/>
                <w:b/>
                <w:bCs/>
                <w:i w:val="0"/>
                <w:iCs w:val="0"/>
                <w:color w:val="auto"/>
                <w:kern w:val="0"/>
                <w:sz w:val="24"/>
                <w:szCs w:val="24"/>
                <w:highlight w:val="none"/>
                <w:u w:val="none"/>
                <w:lang w:val="en-US" w:eastAsia="zh-CN" w:bidi="ar"/>
              </w:rPr>
              <w:t>。</w:t>
            </w:r>
            <w:r>
              <w:rPr>
                <w:rFonts w:hint="eastAsia" w:ascii="仿宋_GB2312" w:hAnsi="仿宋_GB2312" w:eastAsia="仿宋_GB2312" w:cs="仿宋_GB2312"/>
                <w:b/>
                <w:color w:val="auto"/>
                <w:sz w:val="24"/>
                <w:szCs w:val="24"/>
                <w:highlight w:val="none"/>
              </w:rPr>
              <w:t>http://www.cnca.gov.cn/查询页面截图,未按要求提供的，不得分。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仿宋_GB2312" w:hAnsi="仿宋_GB2312" w:eastAsia="仿宋_GB2312" w:cs="仿宋_GB2312"/>
                <w:b/>
                <w:color w:val="auto"/>
                <w:kern w:val="2"/>
                <w:sz w:val="24"/>
                <w:szCs w:val="24"/>
                <w:highlight w:val="none"/>
                <w:lang w:val="en-US" w:eastAsia="zh-CN" w:bidi="ar-SA"/>
              </w:rPr>
              <w:t>2.上述证书适用范围需包括“通信网络维护”或“计算机销售”，否则不得分。</w:t>
            </w:r>
          </w:p>
        </w:tc>
        <w:tc>
          <w:tcPr>
            <w:tcW w:w="710"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jc w:val="center"/>
              <w:outlineLvl w:val="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20"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650"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w:t>
            </w:r>
          </w:p>
        </w:tc>
        <w:tc>
          <w:tcPr>
            <w:tcW w:w="47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仿宋_GB2312"/>
                <w:color w:val="auto"/>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投标人具有类似业绩案例的，每提供1个得1分，最多得</w:t>
            </w:r>
            <w:r>
              <w:rPr>
                <w:rFonts w:hint="eastAsia" w:ascii="仿宋_GB2312" w:eastAsia="仿宋_GB2312" w:cs="仿宋_GB2312"/>
                <w:i w:val="0"/>
                <w:iCs w:val="0"/>
                <w:color w:val="auto"/>
                <w:kern w:val="0"/>
                <w:sz w:val="24"/>
                <w:szCs w:val="24"/>
                <w:highlight w:val="none"/>
                <w:u w:val="none"/>
                <w:lang w:val="en-US" w:eastAsia="zh-CN" w:bidi="ar"/>
              </w:rPr>
              <w:t>3</w:t>
            </w:r>
            <w:r>
              <w:rPr>
                <w:rFonts w:hint="default" w:ascii="仿宋_GB2312" w:hAnsi="宋体" w:eastAsia="仿宋_GB2312" w:cs="仿宋_GB2312"/>
                <w:i w:val="0"/>
                <w:iCs w:val="0"/>
                <w:color w:val="auto"/>
                <w:kern w:val="0"/>
                <w:sz w:val="24"/>
                <w:szCs w:val="24"/>
                <w:highlight w:val="none"/>
                <w:u w:val="none"/>
                <w:lang w:val="en-US" w:eastAsia="zh-CN" w:bidi="ar"/>
              </w:rPr>
              <w:t>分。</w:t>
            </w:r>
            <w:r>
              <w:rPr>
                <w:rFonts w:hint="default" w:ascii="仿宋_GB2312" w:hAnsi="宋体" w:eastAsia="仿宋_GB2312" w:cs="仿宋_GB2312"/>
                <w:i w:val="0"/>
                <w:iCs w:val="0"/>
                <w:color w:val="auto"/>
                <w:kern w:val="0"/>
                <w:sz w:val="24"/>
                <w:szCs w:val="24"/>
                <w:highlight w:val="none"/>
                <w:u w:val="none"/>
                <w:lang w:val="en-US" w:eastAsia="zh-CN" w:bidi="ar"/>
              </w:rPr>
              <w:br w:type="textWrapping"/>
            </w:r>
            <w:r>
              <w:rPr>
                <w:rFonts w:hint="default" w:ascii="仿宋_GB2312" w:hAnsi="宋体" w:eastAsia="仿宋_GB2312" w:cs="仿宋_GB2312"/>
                <w:b/>
                <w:bCs/>
                <w:i w:val="0"/>
                <w:iCs w:val="0"/>
                <w:color w:val="auto"/>
                <w:kern w:val="0"/>
                <w:sz w:val="24"/>
                <w:szCs w:val="24"/>
                <w:highlight w:val="none"/>
                <w:u w:val="none"/>
                <w:lang w:val="en-US" w:eastAsia="zh-CN" w:bidi="ar"/>
              </w:rPr>
              <w:t>注：1.合同签订时间为 20</w:t>
            </w:r>
            <w:r>
              <w:rPr>
                <w:rFonts w:hint="eastAsia" w:ascii="仿宋_GB2312" w:hAnsi="宋体" w:eastAsia="仿宋_GB2312" w:cs="仿宋_GB2312"/>
                <w:b/>
                <w:bCs/>
                <w:i w:val="0"/>
                <w:iCs w:val="0"/>
                <w:color w:val="auto"/>
                <w:kern w:val="0"/>
                <w:sz w:val="24"/>
                <w:szCs w:val="24"/>
                <w:highlight w:val="none"/>
                <w:u w:val="none"/>
                <w:lang w:val="en-US" w:eastAsia="zh-CN" w:bidi="ar"/>
              </w:rPr>
              <w:t>23</w:t>
            </w:r>
            <w:r>
              <w:rPr>
                <w:rFonts w:hint="default" w:ascii="仿宋_GB2312" w:hAnsi="宋体" w:eastAsia="仿宋_GB2312" w:cs="仿宋_GB2312"/>
                <w:b/>
                <w:bCs/>
                <w:i w:val="0"/>
                <w:iCs w:val="0"/>
                <w:color w:val="auto"/>
                <w:kern w:val="0"/>
                <w:sz w:val="24"/>
                <w:szCs w:val="24"/>
                <w:highlight w:val="none"/>
                <w:u w:val="none"/>
                <w:lang w:val="en-US" w:eastAsia="zh-CN" w:bidi="ar"/>
              </w:rPr>
              <w:t>年1月1日（含）至开标截止时间的时间段内，合同由投标人签订，否则不得分。</w:t>
            </w:r>
            <w:r>
              <w:rPr>
                <w:rFonts w:hint="default" w:ascii="仿宋_GB2312" w:hAnsi="宋体" w:eastAsia="仿宋_GB2312" w:cs="仿宋_GB2312"/>
                <w:b/>
                <w:bCs/>
                <w:i w:val="0"/>
                <w:iCs w:val="0"/>
                <w:color w:val="auto"/>
                <w:kern w:val="0"/>
                <w:sz w:val="24"/>
                <w:szCs w:val="24"/>
                <w:highlight w:val="none"/>
                <w:u w:val="none"/>
                <w:lang w:val="en-US" w:eastAsia="zh-CN" w:bidi="ar"/>
              </w:rPr>
              <w:br w:type="textWrapping"/>
            </w:r>
            <w:r>
              <w:rPr>
                <w:rFonts w:hint="default" w:ascii="仿宋_GB2312" w:hAnsi="宋体" w:eastAsia="仿宋_GB2312" w:cs="仿宋_GB2312"/>
                <w:b/>
                <w:bCs/>
                <w:i w:val="0"/>
                <w:iCs w:val="0"/>
                <w:color w:val="auto"/>
                <w:kern w:val="0"/>
                <w:sz w:val="24"/>
                <w:szCs w:val="24"/>
                <w:highlight w:val="none"/>
                <w:u w:val="none"/>
                <w:lang w:val="en-US" w:eastAsia="zh-CN" w:bidi="ar"/>
              </w:rPr>
              <w:t>2.类似案例业绩是</w:t>
            </w:r>
            <w:r>
              <w:rPr>
                <w:rFonts w:hint="eastAsia" w:ascii="仿宋_GB2312" w:hAnsi="仿宋_GB2312" w:eastAsia="仿宋_GB2312" w:cs="仿宋_GB2312"/>
                <w:b/>
                <w:bCs/>
                <w:color w:val="auto"/>
                <w:kern w:val="0"/>
                <w:szCs w:val="24"/>
                <w:highlight w:val="none"/>
              </w:rPr>
              <w:t>指</w:t>
            </w:r>
            <w:r>
              <w:rPr>
                <w:rFonts w:hint="default" w:ascii="仿宋_GB2312" w:hAnsi="宋体" w:eastAsia="仿宋_GB2312" w:cs="仿宋_GB2312"/>
                <w:b/>
                <w:bCs/>
                <w:i w:val="0"/>
                <w:iCs w:val="0"/>
                <w:color w:val="auto"/>
                <w:kern w:val="0"/>
                <w:sz w:val="24"/>
                <w:szCs w:val="24"/>
                <w:highlight w:val="none"/>
                <w:u w:val="none"/>
                <w:lang w:val="en-US" w:eastAsia="zh-CN" w:bidi="ar"/>
              </w:rPr>
              <w:t>合同内容中须包含“计算机、电脑、工作站”中至少一个关键词，否则不得分。</w:t>
            </w:r>
          </w:p>
        </w:tc>
        <w:tc>
          <w:tcPr>
            <w:tcW w:w="710" w:type="dxa"/>
            <w:tcBorders>
              <w:top w:val="single" w:color="auto" w:sz="4" w:space="0"/>
              <w:left w:val="single" w:color="auto" w:sz="4" w:space="0"/>
              <w:bottom w:val="single" w:color="auto" w:sz="4" w:space="0"/>
              <w:right w:val="single" w:color="auto" w:sz="4" w:space="0"/>
            </w:tcBorders>
            <w:noWrap w:val="0"/>
            <w:vAlign w:val="center"/>
          </w:tcPr>
          <w:p>
            <w:pPr>
              <w:ind w:firstLine="249" w:firstLineChars="100"/>
              <w:jc w:val="center"/>
              <w:outlineLvl w:val="0"/>
              <w:rPr>
                <w:rFonts w:hint="default" w:ascii="仿宋_GB2312" w:hAnsi="仿宋_GB2312" w:eastAsia="仿宋_GB2312" w:cs="仿宋_GB2312"/>
                <w:b/>
                <w:color w:val="auto"/>
                <w:spacing w:val="4"/>
                <w:sz w:val="24"/>
                <w:szCs w:val="24"/>
                <w:highlight w:val="none"/>
                <w:lang w:val="en-US" w:eastAsia="zh-CN"/>
              </w:rPr>
            </w:pPr>
            <w:r>
              <w:rPr>
                <w:rFonts w:hint="eastAsia" w:ascii="仿宋_GB2312" w:hAnsi="仿宋_GB2312" w:eastAsia="仿宋_GB2312" w:cs="仿宋_GB2312"/>
                <w:b/>
                <w:color w:val="auto"/>
                <w:spacing w:val="4"/>
                <w:sz w:val="24"/>
                <w:szCs w:val="24"/>
                <w:highlight w:val="none"/>
                <w:lang w:val="en-US" w:eastAsia="zh-CN"/>
              </w:rPr>
              <w:t>3</w:t>
            </w: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pacing w:val="4"/>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20"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650"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4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_GB2312" w:hAnsi="宋体" w:eastAsia="仿宋_GB2312" w:cs="仿宋_GB2312"/>
                <w:b w:val="0"/>
                <w:bCs w:val="0"/>
                <w:i w:val="0"/>
                <w:iCs w:val="0"/>
                <w:color w:val="auto"/>
                <w:kern w:val="0"/>
                <w:sz w:val="24"/>
                <w:szCs w:val="24"/>
                <w:highlight w:val="none"/>
                <w:u w:val="none"/>
                <w:lang w:val="en-US" w:eastAsia="zh-CN" w:bidi="ar"/>
              </w:rPr>
            </w:pPr>
            <w:r>
              <w:rPr>
                <w:rFonts w:hint="default" w:ascii="仿宋_GB2312" w:hAnsi="宋体" w:eastAsia="仿宋_GB2312" w:cs="仿宋_GB2312"/>
                <w:b w:val="0"/>
                <w:bCs w:val="0"/>
                <w:i w:val="0"/>
                <w:iCs w:val="0"/>
                <w:color w:val="auto"/>
                <w:kern w:val="0"/>
                <w:sz w:val="24"/>
                <w:szCs w:val="24"/>
                <w:highlight w:val="none"/>
                <w:u w:val="none"/>
                <w:lang w:val="en-US" w:eastAsia="zh-CN" w:bidi="ar"/>
              </w:rPr>
              <w:t>1.投标人拟派的项目经理（1人）具有颁发信息系统项目管理师的得2分，具有互联网技术（中级及以上）的得1分，最多得3分；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_GB2312" w:hAnsi="宋体" w:eastAsia="仿宋_GB2312" w:cs="仿宋_GB2312"/>
                <w:b w:val="0"/>
                <w:bCs w:val="0"/>
                <w:i w:val="0"/>
                <w:iCs w:val="0"/>
                <w:color w:val="auto"/>
                <w:kern w:val="0"/>
                <w:sz w:val="24"/>
                <w:szCs w:val="24"/>
                <w:highlight w:val="none"/>
                <w:u w:val="none"/>
                <w:lang w:val="en-US" w:eastAsia="zh-CN" w:bidi="ar"/>
              </w:rPr>
            </w:pPr>
            <w:r>
              <w:rPr>
                <w:rFonts w:hint="default" w:ascii="仿宋_GB2312" w:hAnsi="宋体" w:eastAsia="仿宋_GB2312" w:cs="仿宋_GB2312"/>
                <w:b w:val="0"/>
                <w:bCs w:val="0"/>
                <w:i w:val="0"/>
                <w:iCs w:val="0"/>
                <w:color w:val="auto"/>
                <w:kern w:val="0"/>
                <w:sz w:val="24"/>
                <w:szCs w:val="24"/>
                <w:highlight w:val="none"/>
                <w:u w:val="none"/>
                <w:lang w:val="en-US" w:eastAsia="zh-CN" w:bidi="ar"/>
              </w:rPr>
              <w:t>2.投标人拟派的技术负责人（1人）具有通信专业技术人员职业资格中级（专业：设备环境）的得2分最多得2分；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_GB2312" w:hAnsi="宋体" w:eastAsia="仿宋_GB2312" w:cs="仿宋_GB2312"/>
                <w:b w:val="0"/>
                <w:bCs w:val="0"/>
                <w:i w:val="0"/>
                <w:iCs w:val="0"/>
                <w:color w:val="auto"/>
                <w:kern w:val="0"/>
                <w:sz w:val="24"/>
                <w:szCs w:val="24"/>
                <w:highlight w:val="none"/>
                <w:u w:val="none"/>
                <w:lang w:val="en-US" w:eastAsia="zh-CN" w:bidi="ar"/>
              </w:rPr>
            </w:pPr>
            <w:r>
              <w:rPr>
                <w:rFonts w:hint="default" w:ascii="仿宋_GB2312" w:hAnsi="宋体" w:eastAsia="仿宋_GB2312" w:cs="仿宋_GB2312"/>
                <w:b w:val="0"/>
                <w:bCs w:val="0"/>
                <w:i w:val="0"/>
                <w:iCs w:val="0"/>
                <w:color w:val="auto"/>
                <w:kern w:val="0"/>
                <w:sz w:val="24"/>
                <w:szCs w:val="24"/>
                <w:highlight w:val="none"/>
                <w:u w:val="none"/>
                <w:lang w:val="en-US" w:eastAsia="zh-CN" w:bidi="ar"/>
              </w:rPr>
              <w:t>3、投标人拟派的项目团队（除项目经理和技术负责人外）具有本项目相关专业（互联网技术、网络工程师、终端与业务）中级资格及以上证书的每人得1分，最多得3分</w:t>
            </w:r>
            <w:r>
              <w:rPr>
                <w:rFonts w:hint="eastAsia" w:ascii="仿宋_GB2312" w:hAnsi="宋体" w:eastAsia="仿宋_GB2312" w:cs="仿宋_GB2312"/>
                <w:b w:val="0"/>
                <w:bCs w:val="0"/>
                <w:i w:val="0"/>
                <w:iCs w:val="0"/>
                <w:color w:val="auto"/>
                <w:kern w:val="0"/>
                <w:sz w:val="24"/>
                <w:szCs w:val="24"/>
                <w:highlight w:val="none"/>
                <w:u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24"/>
                <w:szCs w:val="24"/>
                <w:highlight w:val="none"/>
                <w:lang w:val="en-US" w:eastAsia="zh-CN"/>
              </w:rPr>
            </w:pPr>
            <w:r>
              <w:rPr>
                <w:rFonts w:hint="default" w:ascii="仿宋_GB2312" w:hAnsi="宋体" w:eastAsia="仿宋_GB2312" w:cs="仿宋_GB2312"/>
                <w:b/>
                <w:bCs/>
                <w:i w:val="0"/>
                <w:iCs w:val="0"/>
                <w:color w:val="auto"/>
                <w:kern w:val="0"/>
                <w:sz w:val="24"/>
                <w:szCs w:val="24"/>
                <w:highlight w:val="none"/>
                <w:u w:val="none"/>
                <w:lang w:val="en-US" w:eastAsia="zh-CN" w:bidi="ar"/>
              </w:rPr>
              <w:t>注：</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投标人应提供</w:t>
            </w:r>
            <w:r>
              <w:rPr>
                <w:rFonts w:hint="eastAsia" w:ascii="仿宋_GB2312" w:hAnsi="仿宋_GB2312" w:eastAsia="仿宋_GB2312" w:cs="仿宋_GB2312"/>
                <w:b/>
                <w:bCs/>
                <w:color w:val="auto"/>
                <w:sz w:val="24"/>
                <w:szCs w:val="24"/>
                <w:highlight w:val="none"/>
                <w:lang w:eastAsia="zh-CN"/>
              </w:rPr>
              <w:t>人社</w:t>
            </w:r>
            <w:r>
              <w:rPr>
                <w:rFonts w:hint="eastAsia" w:ascii="仿宋_GB2312" w:hAnsi="仿宋_GB2312" w:eastAsia="仿宋_GB2312" w:cs="仿宋_GB2312"/>
                <w:b/>
                <w:bCs/>
                <w:color w:val="auto"/>
                <w:sz w:val="24"/>
                <w:szCs w:val="24"/>
                <w:highlight w:val="none"/>
              </w:rPr>
              <w:t>部门</w:t>
            </w:r>
            <w:r>
              <w:rPr>
                <w:rFonts w:hint="eastAsia" w:ascii="仿宋_GB2312" w:hAnsi="仿宋_GB2312" w:eastAsia="仿宋_GB2312" w:cs="仿宋_GB2312"/>
                <w:b/>
                <w:bCs/>
                <w:color w:val="auto"/>
                <w:sz w:val="24"/>
                <w:szCs w:val="24"/>
                <w:highlight w:val="none"/>
                <w:lang w:val="en-US" w:eastAsia="zh-CN"/>
              </w:rPr>
              <w:t>颁发的证书及上述人员在本单位的社保证明（2026年3月、4月、5月、6月</w:t>
            </w:r>
            <w:r>
              <w:rPr>
                <w:rFonts w:hint="eastAsia" w:ascii="仿宋_GB2312" w:hAnsi="仿宋_GB2312" w:eastAsia="仿宋_GB2312" w:cs="仿宋_GB2312"/>
                <w:b/>
                <w:bCs/>
                <w:color w:val="auto"/>
                <w:sz w:val="24"/>
                <w:szCs w:val="24"/>
                <w:highlight w:val="none"/>
                <w:lang w:val="zh-TW" w:eastAsia="zh-CN"/>
              </w:rPr>
              <w:t>中的任意一个月</w:t>
            </w:r>
            <w:r>
              <w:rPr>
                <w:rFonts w:hint="eastAsia" w:ascii="仿宋_GB2312" w:hAnsi="仿宋_GB2312" w:eastAsia="仿宋_GB2312" w:cs="仿宋_GB2312"/>
                <w:b/>
                <w:bCs/>
                <w:color w:val="auto"/>
                <w:sz w:val="24"/>
                <w:szCs w:val="24"/>
                <w:highlight w:val="none"/>
                <w:lang w:val="en-US" w:eastAsia="zh-CN"/>
              </w:rPr>
              <w:t>），否则不得分。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lang w:val="en-US" w:eastAsia="en-US"/>
              </w:rPr>
              <w:t>投标人提供的同类证书等级高于上述证书的，视作满足要求。</w:t>
            </w:r>
          </w:p>
        </w:tc>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仿宋_GB2312" w:hAnsi="仿宋_GB2312" w:eastAsia="仿宋_GB2312" w:cs="仿宋_GB2312"/>
                <w:b/>
                <w:color w:val="auto"/>
                <w:spacing w:val="4"/>
                <w:sz w:val="24"/>
                <w:szCs w:val="24"/>
                <w:highlight w:val="none"/>
                <w:lang w:val="en-US" w:eastAsia="zh-CN"/>
              </w:rPr>
            </w:pPr>
            <w:r>
              <w:rPr>
                <w:rFonts w:hint="eastAsia" w:ascii="仿宋_GB2312" w:hAnsi="仿宋_GB2312" w:eastAsia="仿宋_GB2312" w:cs="仿宋_GB2312"/>
                <w:b/>
                <w:color w:val="auto"/>
                <w:spacing w:val="4"/>
                <w:sz w:val="24"/>
                <w:szCs w:val="24"/>
                <w:highlight w:val="none"/>
                <w:lang w:val="en-US" w:eastAsia="zh-CN"/>
              </w:rPr>
              <w:t>8</w:t>
            </w: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pacing w:val="4"/>
                <w:sz w:val="24"/>
                <w:szCs w:val="24"/>
                <w:highlight w:val="none"/>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0"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auto"/>
                <w:sz w:val="24"/>
                <w:szCs w:val="24"/>
                <w:highlight w:val="none"/>
              </w:rPr>
            </w:pPr>
          </w:p>
        </w:tc>
        <w:tc>
          <w:tcPr>
            <w:tcW w:w="650"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4</w:t>
            </w:r>
          </w:p>
        </w:tc>
        <w:tc>
          <w:tcPr>
            <w:tcW w:w="4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投标人提供所投电脑</w:t>
            </w:r>
            <w:r>
              <w:rPr>
                <w:rFonts w:hint="eastAsia" w:ascii="仿宋_GB2312" w:hAnsi="仿宋_GB2312" w:eastAsia="仿宋_GB2312" w:cs="仿宋_GB2312"/>
                <w:color w:val="auto"/>
                <w:sz w:val="24"/>
                <w:szCs w:val="24"/>
                <w:highlight w:val="none"/>
                <w:lang w:eastAsia="zh-CN"/>
              </w:rPr>
              <w:t>、电脑显示器</w:t>
            </w:r>
            <w:r>
              <w:rPr>
                <w:rFonts w:hint="eastAsia" w:ascii="仿宋_GB2312" w:hAnsi="仿宋_GB2312" w:eastAsia="仿宋_GB2312" w:cs="仿宋_GB2312"/>
                <w:color w:val="auto"/>
                <w:sz w:val="24"/>
                <w:szCs w:val="24"/>
                <w:highlight w:val="none"/>
              </w:rPr>
              <w:t>产品具有有效期内的环境产品认证证书的，每项得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分，最多得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color w:val="auto"/>
                <w:sz w:val="24"/>
                <w:szCs w:val="24"/>
                <w:highlight w:val="none"/>
              </w:rPr>
              <w:t>注：出具机构须在国家市场监督管理总局公布的《参与实施政府采购环境标志产品认证机构名录》内。</w:t>
            </w:r>
          </w:p>
        </w:tc>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auto"/>
                <w:spacing w:val="4"/>
                <w:kern w:val="2"/>
                <w:sz w:val="24"/>
                <w:szCs w:val="24"/>
                <w:highlight w:val="none"/>
                <w:lang w:val="en-US" w:eastAsia="zh-CN" w:bidi="ar-SA"/>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0" w:type="dxa"/>
            <w:vMerge w:val="restart"/>
            <w:tcBorders>
              <w:left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技术部分（</w:t>
            </w:r>
            <w:r>
              <w:rPr>
                <w:rFonts w:hint="eastAsia" w:ascii="仿宋_GB2312" w:hAnsi="仿宋_GB2312" w:eastAsia="仿宋_GB2312" w:cs="仿宋_GB2312"/>
                <w:color w:val="auto"/>
                <w:sz w:val="24"/>
                <w:szCs w:val="24"/>
                <w:highlight w:val="none"/>
                <w:lang w:val="en-US" w:eastAsia="zh-CN"/>
              </w:rPr>
              <w:t>54</w:t>
            </w:r>
            <w:r>
              <w:rPr>
                <w:rFonts w:hint="eastAsia" w:ascii="仿宋_GB2312" w:hAnsi="仿宋_GB2312" w:eastAsia="仿宋_GB2312" w:cs="仿宋_GB2312"/>
                <w:color w:val="auto"/>
                <w:sz w:val="24"/>
                <w:szCs w:val="24"/>
                <w:highlight w:val="none"/>
              </w:rPr>
              <w:t>）</w:t>
            </w:r>
          </w:p>
        </w:tc>
        <w:tc>
          <w:tcPr>
            <w:tcW w:w="650"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4725" w:type="dxa"/>
            <w:tcBorders>
              <w:top w:val="single" w:color="auto" w:sz="4" w:space="0"/>
              <w:left w:val="single" w:color="auto" w:sz="4" w:space="0"/>
              <w:right w:val="single" w:color="auto" w:sz="4" w:space="0"/>
            </w:tcBorders>
            <w:shd w:val="clear" w:color="auto" w:fill="auto"/>
            <w:noWrap w:val="0"/>
            <w:vAlign w:val="top"/>
          </w:tcPr>
          <w:p>
            <w:pPr>
              <w:spacing w:line="360" w:lineRule="auto"/>
              <w:rPr>
                <w:color w:val="auto"/>
                <w:highlight w:val="none"/>
              </w:rPr>
            </w:pPr>
            <w:r>
              <w:rPr>
                <w:rFonts w:hint="eastAsia" w:ascii="仿宋_GB2312" w:hAnsi="仿宋" w:eastAsia="仿宋_GB2312"/>
                <w:color w:val="auto"/>
                <w:sz w:val="24"/>
                <w:szCs w:val="24"/>
                <w:highlight w:val="none"/>
              </w:rPr>
              <w:t>根据投标人的投标文件是否满足本次招标文件第三部分采购需求中标注“△”的技术参数要求打分，标注“△”的技术要求共</w:t>
            </w:r>
            <w:r>
              <w:rPr>
                <w:rFonts w:hint="eastAsia" w:ascii="仿宋_GB2312" w:hAnsi="仿宋" w:eastAsia="仿宋_GB2312"/>
                <w:color w:val="auto"/>
                <w:sz w:val="24"/>
                <w:szCs w:val="24"/>
                <w:highlight w:val="none"/>
                <w:lang w:val="en-US" w:eastAsia="zh-CN"/>
              </w:rPr>
              <w:t>19</w:t>
            </w:r>
            <w:r>
              <w:rPr>
                <w:rFonts w:hint="eastAsia" w:ascii="仿宋_GB2312" w:hAnsi="仿宋" w:eastAsia="仿宋_GB2312"/>
                <w:color w:val="auto"/>
                <w:sz w:val="24"/>
                <w:szCs w:val="24"/>
                <w:highlight w:val="none"/>
              </w:rPr>
              <w:t>项</w:t>
            </w:r>
            <w:r>
              <w:rPr>
                <w:rFonts w:hint="eastAsia" w:ascii="仿宋_GB2312" w:hAnsi="仿宋" w:eastAsia="仿宋_GB2312"/>
                <w:color w:val="auto"/>
                <w:sz w:val="24"/>
                <w:szCs w:val="24"/>
                <w:highlight w:val="none"/>
                <w:lang w:val="en-US" w:eastAsia="zh-CN"/>
              </w:rPr>
              <w:t>38</w:t>
            </w:r>
            <w:r>
              <w:rPr>
                <w:rFonts w:hint="eastAsia" w:ascii="仿宋_GB2312" w:hAnsi="仿宋" w:eastAsia="仿宋_GB2312"/>
                <w:color w:val="auto"/>
                <w:sz w:val="24"/>
                <w:szCs w:val="24"/>
                <w:highlight w:val="none"/>
              </w:rPr>
              <w:t>分，负偏离的每项扣</w:t>
            </w:r>
            <w:r>
              <w:rPr>
                <w:rFonts w:hint="eastAsia" w:ascii="仿宋_GB2312" w:hAnsi="仿宋" w:eastAsia="仿宋_GB2312"/>
                <w:color w:val="auto"/>
                <w:sz w:val="24"/>
                <w:szCs w:val="24"/>
                <w:highlight w:val="none"/>
                <w:lang w:val="en-US" w:eastAsia="zh-CN"/>
              </w:rPr>
              <w:t>2</w:t>
            </w:r>
            <w:r>
              <w:rPr>
                <w:rFonts w:hint="eastAsia" w:ascii="仿宋_GB2312" w:hAnsi="仿宋" w:eastAsia="仿宋_GB2312"/>
                <w:color w:val="auto"/>
                <w:sz w:val="24"/>
                <w:szCs w:val="24"/>
                <w:highlight w:val="none"/>
              </w:rPr>
              <w:t>分，扣光为止。</w:t>
            </w:r>
          </w:p>
          <w:p>
            <w:pPr>
              <w:pStyle w:val="3"/>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Cs w:val="24"/>
                <w:highlight w:val="none"/>
              </w:rPr>
              <w:t>注：投标人未按要求提供相关证明的，视作不符合要求，该项不得分。</w:t>
            </w:r>
          </w:p>
        </w:tc>
        <w:tc>
          <w:tcPr>
            <w:tcW w:w="710" w:type="dxa"/>
            <w:tcBorders>
              <w:top w:val="single" w:color="auto" w:sz="4" w:space="0"/>
              <w:left w:val="single" w:color="auto" w:sz="4" w:space="0"/>
              <w:right w:val="single" w:color="auto" w:sz="4" w:space="0"/>
            </w:tcBorders>
            <w:shd w:val="clear" w:color="auto" w:fill="auto"/>
            <w:noWrap w:val="0"/>
            <w:vAlign w:val="center"/>
          </w:tcPr>
          <w:p>
            <w:pPr>
              <w:jc w:val="center"/>
              <w:rPr>
                <w:rFonts w:hint="default" w:ascii="仿宋_GB2312" w:hAnsi="仿宋_GB2312" w:eastAsia="仿宋_GB2312" w:cs="仿宋_GB2312"/>
                <w:b/>
                <w:color w:val="auto"/>
                <w:spacing w:val="4"/>
                <w:kern w:val="2"/>
                <w:sz w:val="21"/>
                <w:szCs w:val="21"/>
                <w:highlight w:val="none"/>
                <w:lang w:val="en-US" w:eastAsia="zh-CN" w:bidi="ar-SA"/>
              </w:rPr>
            </w:pPr>
            <w:r>
              <w:rPr>
                <w:rFonts w:hint="eastAsia" w:ascii="仿宋_GB2312" w:hAnsi="仿宋_GB2312" w:eastAsia="仿宋_GB2312" w:cs="仿宋_GB2312"/>
                <w:b/>
                <w:color w:val="auto"/>
                <w:spacing w:val="4"/>
                <w:szCs w:val="21"/>
                <w:highlight w:val="none"/>
                <w:lang w:val="en-US" w:eastAsia="zh-CN"/>
              </w:rPr>
              <w:t>38</w:t>
            </w:r>
          </w:p>
        </w:tc>
        <w:tc>
          <w:tcPr>
            <w:tcW w:w="816" w:type="dxa"/>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rPr>
                <w:rFonts w:hint="eastAsia" w:ascii="仿宋_GB2312" w:hAnsi="仿宋_GB2312" w:eastAsia="仿宋_GB2312" w:cs="仿宋_GB2312"/>
                <w:b/>
                <w:color w:val="auto"/>
                <w:spacing w:val="4"/>
                <w:szCs w:val="21"/>
                <w:highlight w:val="none"/>
              </w:rPr>
            </w:pPr>
          </w:p>
          <w:p>
            <w:pPr>
              <w:adjustRightInd w:val="0"/>
              <w:snapToGrid w:val="0"/>
              <w:jc w:val="center"/>
              <w:rPr>
                <w:rFonts w:hint="eastAsia" w:ascii="仿宋_GB2312" w:hAnsi="仿宋_GB2312" w:eastAsia="仿宋_GB2312" w:cs="仿宋_GB2312"/>
                <w:b/>
                <w:color w:val="auto"/>
                <w:spacing w:val="4"/>
                <w:kern w:val="2"/>
                <w:sz w:val="21"/>
                <w:szCs w:val="21"/>
                <w:highlight w:val="none"/>
                <w:lang w:val="en-US" w:eastAsia="zh-CN" w:bidi="ar-SA"/>
              </w:rPr>
            </w:pPr>
            <w:r>
              <w:rPr>
                <w:rFonts w:hint="eastAsia" w:ascii="仿宋_GB2312" w:hAnsi="仿宋_GB2312" w:eastAsia="仿宋_GB2312" w:cs="仿宋_GB2312"/>
                <w:b/>
                <w:color w:val="auto"/>
                <w:spacing w:val="4"/>
                <w:szCs w:val="21"/>
                <w:highlight w:val="none"/>
              </w:rPr>
              <w:t>客观分</w:t>
            </w:r>
          </w:p>
        </w:tc>
        <w:tc>
          <w:tcPr>
            <w:tcW w:w="1440"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20"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highlight w:val="none"/>
              </w:rPr>
            </w:pPr>
          </w:p>
        </w:tc>
        <w:tc>
          <w:tcPr>
            <w:tcW w:w="650"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4725"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根据投标人提供</w:t>
            </w:r>
            <w:r>
              <w:rPr>
                <w:rFonts w:hint="eastAsia" w:ascii="仿宋_GB2312" w:hAnsi="仿宋_GB2312" w:eastAsia="仿宋_GB2312" w:cs="仿宋_GB2312"/>
                <w:color w:val="auto"/>
                <w:sz w:val="24"/>
                <w:szCs w:val="24"/>
                <w:highlight w:val="none"/>
                <w:lang w:eastAsia="zh-CN"/>
              </w:rPr>
              <w:t>实施方案，包括</w:t>
            </w:r>
            <w:r>
              <w:rPr>
                <w:rFonts w:hint="eastAsia" w:ascii="仿宋_GB2312" w:hAnsi="仿宋_GB2312" w:eastAsia="仿宋_GB2312" w:cs="仿宋_GB2312"/>
                <w:color w:val="auto"/>
                <w:sz w:val="24"/>
                <w:szCs w:val="24"/>
                <w:highlight w:val="none"/>
                <w:lang w:val="en-US" w:eastAsia="zh-CN"/>
              </w:rPr>
              <w:t>设备供货、进度计划安排、</w:t>
            </w:r>
            <w:r>
              <w:rPr>
                <w:rFonts w:hint="eastAsia" w:ascii="仿宋_GB2312" w:hAnsi="仿宋_GB2312" w:eastAsia="仿宋_GB2312" w:cs="仿宋_GB2312"/>
                <w:color w:val="auto"/>
                <w:sz w:val="24"/>
                <w:szCs w:val="24"/>
                <w:highlight w:val="none"/>
              </w:rPr>
              <w:t>安装调试、验收方案</w:t>
            </w:r>
            <w:r>
              <w:rPr>
                <w:rFonts w:hint="eastAsia" w:ascii="仿宋_GB2312" w:hAnsi="仿宋_GB2312" w:eastAsia="仿宋_GB2312" w:cs="仿宋_GB2312"/>
                <w:color w:val="auto"/>
                <w:sz w:val="24"/>
                <w:szCs w:val="24"/>
                <w:highlight w:val="none"/>
                <w:lang w:eastAsia="zh-CN"/>
              </w:rPr>
              <w:t>打分，</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以上每点，描述完整详细且与采购人实际需求完全契合的</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得</w:t>
            </w:r>
            <w:r>
              <w:rPr>
                <w:rFonts w:hint="eastAsia" w:ascii="仿宋_GB2312" w:hAnsi="仿宋_GB2312" w:eastAsia="仿宋_GB2312" w:cs="仿宋_GB2312"/>
                <w:color w:val="auto"/>
                <w:szCs w:val="24"/>
                <w:highlight w:val="none"/>
                <w:lang w:val="en-US" w:eastAsia="zh-CN"/>
              </w:rPr>
              <w:t>2</w:t>
            </w:r>
            <w:r>
              <w:rPr>
                <w:rFonts w:hint="eastAsia" w:ascii="仿宋_GB2312" w:hAnsi="仿宋_GB2312" w:eastAsia="仿宋_GB2312" w:cs="仿宋_GB2312"/>
                <w:color w:val="auto"/>
                <w:szCs w:val="24"/>
                <w:highlight w:val="none"/>
              </w:rPr>
              <w:t>分</w:t>
            </w:r>
            <w:r>
              <w:rPr>
                <w:rFonts w:hint="eastAsia" w:ascii="仿宋_GB2312" w:hAnsi="仿宋_GB2312" w:eastAsia="仿宋_GB2312" w:cs="仿宋_GB2312"/>
                <w:color w:val="auto"/>
                <w:szCs w:val="24"/>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color w:val="auto"/>
                <w:highlight w:val="none"/>
                <w:lang w:val="en-US" w:eastAsia="zh-CN"/>
              </w:rPr>
            </w:pPr>
            <w:r>
              <w:rPr>
                <w:rFonts w:hint="eastAsia" w:ascii="仿宋_GB2312" w:hAnsi="仿宋_GB2312" w:eastAsia="仿宋_GB2312" w:cs="仿宋_GB2312"/>
                <w:color w:val="auto"/>
                <w:szCs w:val="24"/>
                <w:highlight w:val="none"/>
              </w:rPr>
              <w:t>描述较详细完整或与采购人实际需求部分符合的</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得</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rPr>
              <w:t>分</w:t>
            </w:r>
            <w:r>
              <w:rPr>
                <w:rFonts w:hint="eastAsia" w:ascii="仿宋_GB2312" w:hAnsi="仿宋_GB2312" w:eastAsia="仿宋_GB2312" w:cs="仿宋_GB2312"/>
                <w:color w:val="auto"/>
                <w:szCs w:val="24"/>
                <w:highlight w:val="none"/>
                <w:lang w:val="en-US" w:eastAsia="zh-CN"/>
              </w:rPr>
              <w:t>,</w:t>
            </w:r>
            <w:r>
              <w:rPr>
                <w:rFonts w:hint="eastAsia" w:ascii="仿宋_GB2312" w:hAnsi="仿宋_GB2312" w:eastAsia="仿宋_GB2312" w:cs="仿宋_GB2312"/>
                <w:color w:val="auto"/>
                <w:szCs w:val="24"/>
                <w:highlight w:val="none"/>
              </w:rPr>
              <w:t>未提供或完全不符合采购人需求的</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得0分</w:t>
            </w:r>
            <w:r>
              <w:rPr>
                <w:rFonts w:hint="eastAsia" w:ascii="仿宋_GB2312" w:hAnsi="仿宋_GB2312" w:eastAsia="仿宋_GB2312" w:cs="仿宋_GB2312"/>
                <w:color w:val="auto"/>
                <w:szCs w:val="24"/>
                <w:highlight w:val="none"/>
                <w:lang w:val="en-US" w:eastAsia="zh-CN"/>
              </w:rPr>
              <w:t>,本项最多得8分。</w:t>
            </w:r>
          </w:p>
        </w:tc>
        <w:tc>
          <w:tcPr>
            <w:tcW w:w="71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bidi w:val="0"/>
              <w:spacing w:line="240" w:lineRule="auto"/>
              <w:ind w:firstLine="210" w:firstLineChars="100"/>
              <w:jc w:val="center"/>
              <w:textAlignment w:val="auto"/>
              <w:outlineLvl w:val="0"/>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8</w:t>
            </w:r>
          </w:p>
        </w:tc>
        <w:tc>
          <w:tcPr>
            <w:tcW w:w="816" w:type="dxa"/>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rPr>
                <w:rFonts w:hint="eastAsia" w:ascii="仿宋_GB2312" w:hAnsi="仿宋_GB2312" w:eastAsia="仿宋_GB2312" w:cs="仿宋_GB2312"/>
                <w:b/>
                <w:color w:val="auto"/>
                <w:spacing w:val="4"/>
                <w:kern w:val="2"/>
                <w:sz w:val="24"/>
                <w:szCs w:val="24"/>
                <w:highlight w:val="none"/>
                <w:lang w:val="en-US" w:eastAsia="zh-CN" w:bidi="ar-SA"/>
              </w:rPr>
            </w:pPr>
            <w:r>
              <w:rPr>
                <w:rFonts w:hint="eastAsia" w:ascii="仿宋_GB2312" w:hAnsi="仿宋_GB2312" w:eastAsia="仿宋_GB2312" w:cs="仿宋_GB2312"/>
                <w:b/>
                <w:color w:val="auto"/>
                <w:spacing w:val="4"/>
                <w:sz w:val="21"/>
                <w:szCs w:val="21"/>
                <w:highlight w:val="none"/>
                <w:lang w:eastAsia="zh-CN"/>
              </w:rPr>
              <w:t>主观分</w:t>
            </w:r>
          </w:p>
        </w:tc>
        <w:tc>
          <w:tcPr>
            <w:tcW w:w="1440" w:type="dxa"/>
            <w:tcBorders>
              <w:top w:val="single" w:color="auto" w:sz="4" w:space="0"/>
              <w:left w:val="single" w:color="auto" w:sz="4" w:space="0"/>
              <w:right w:val="single" w:color="auto" w:sz="4" w:space="0"/>
            </w:tcBorders>
            <w:shd w:val="clear" w:color="auto" w:fill="auto"/>
            <w:noWrap w:val="0"/>
            <w:vAlign w:val="top"/>
          </w:tcPr>
          <w:p>
            <w:pPr>
              <w:adjustRightInd w:val="0"/>
              <w:snapToGrid w:val="0"/>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highlight w:val="none"/>
              </w:rPr>
            </w:pPr>
          </w:p>
        </w:tc>
        <w:tc>
          <w:tcPr>
            <w:tcW w:w="650"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4725"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宋体"/>
                <w:color w:val="auto"/>
                <w:kern w:val="2"/>
                <w:sz w:val="21"/>
                <w:szCs w:val="22"/>
                <w:highlight w:val="none"/>
                <w:lang w:val="en-US" w:eastAsia="zh-CN" w:bidi="ar-SA"/>
              </w:rPr>
            </w:pPr>
            <w:r>
              <w:rPr>
                <w:rFonts w:hint="eastAsia" w:ascii="仿宋_GB2312" w:hAnsi="仿宋_GB2312" w:eastAsia="仿宋_GB2312" w:cs="仿宋_GB2312"/>
                <w:color w:val="auto"/>
                <w:sz w:val="24"/>
                <w:szCs w:val="24"/>
                <w:highlight w:val="none"/>
                <w:lang w:val="en-US" w:eastAsia="zh-CN"/>
              </w:rPr>
              <w:t>根据投标人为本项目提供的售后服务方案包括售后服务体系、售后管理考核、售</w:t>
            </w:r>
            <w:r>
              <w:rPr>
                <w:rFonts w:hint="eastAsia" w:ascii="仿宋_GB2312" w:hAnsi="仿宋_GB2312" w:eastAsia="仿宋_GB2312" w:cs="仿宋_GB2312"/>
                <w:b w:val="0"/>
                <w:bCs w:val="0"/>
                <w:color w:val="auto"/>
                <w:kern w:val="2"/>
                <w:sz w:val="24"/>
                <w:szCs w:val="24"/>
                <w:highlight w:val="none"/>
                <w:lang w:val="en-US" w:eastAsia="zh-CN" w:bidi="ar-SA"/>
              </w:rPr>
              <w:t>后服务力量、</w:t>
            </w:r>
            <w:r>
              <w:rPr>
                <w:rFonts w:hint="eastAsia" w:ascii="仿宋_GB2312" w:hAnsi="仿宋_GB2312" w:eastAsia="仿宋_GB2312" w:cs="仿宋_GB2312"/>
                <w:color w:val="auto"/>
                <w:sz w:val="24"/>
                <w:szCs w:val="24"/>
                <w:highlight w:val="none"/>
                <w:lang w:val="en-US" w:eastAsia="zh-CN"/>
              </w:rPr>
              <w:t>故障响应承诺时间，以上每点，描述完整详细且与采购人实际需求完全契合的得1分，描述较详细完整或与采购人实际需求部分符合的得0.5分，未提供或完全不符合采购人需求的得0分，本项最多得4分。</w:t>
            </w:r>
          </w:p>
        </w:tc>
        <w:tc>
          <w:tcPr>
            <w:tcW w:w="71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bidi w:val="0"/>
              <w:spacing w:line="240" w:lineRule="auto"/>
              <w:ind w:firstLine="210" w:firstLineChars="100"/>
              <w:jc w:val="center"/>
              <w:textAlignment w:val="auto"/>
              <w:outlineLvl w:val="0"/>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p>
        </w:tc>
        <w:tc>
          <w:tcPr>
            <w:tcW w:w="816" w:type="dxa"/>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rPr>
                <w:rFonts w:hint="eastAsia" w:ascii="仿宋_GB2312" w:hAnsi="仿宋_GB2312" w:eastAsia="仿宋_GB2312" w:cs="仿宋_GB2312"/>
                <w:b/>
                <w:color w:val="auto"/>
                <w:spacing w:val="4"/>
                <w:kern w:val="2"/>
                <w:sz w:val="24"/>
                <w:szCs w:val="24"/>
                <w:highlight w:val="none"/>
                <w:lang w:val="en-US" w:eastAsia="zh-CN" w:bidi="ar-SA"/>
              </w:rPr>
            </w:pPr>
            <w:r>
              <w:rPr>
                <w:rFonts w:hint="eastAsia" w:ascii="仿宋_GB2312" w:hAnsi="仿宋_GB2312" w:eastAsia="仿宋_GB2312" w:cs="仿宋_GB2312"/>
                <w:b/>
                <w:color w:val="auto"/>
                <w:spacing w:val="4"/>
                <w:sz w:val="21"/>
                <w:szCs w:val="21"/>
                <w:highlight w:val="none"/>
                <w:lang w:eastAsia="zh-CN"/>
              </w:rPr>
              <w:t>主观分</w:t>
            </w:r>
          </w:p>
        </w:tc>
        <w:tc>
          <w:tcPr>
            <w:tcW w:w="1440" w:type="dxa"/>
            <w:tcBorders>
              <w:top w:val="single" w:color="auto" w:sz="4" w:space="0"/>
              <w:left w:val="single" w:color="auto" w:sz="4" w:space="0"/>
              <w:right w:val="single" w:color="auto" w:sz="4" w:space="0"/>
            </w:tcBorders>
            <w:shd w:val="clear" w:color="auto" w:fill="auto"/>
            <w:noWrap w:val="0"/>
            <w:vAlign w:val="top"/>
          </w:tcPr>
          <w:p>
            <w:pPr>
              <w:adjustRightInd w:val="0"/>
              <w:snapToGrid w:val="0"/>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720"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highlight w:val="none"/>
              </w:rPr>
            </w:pPr>
          </w:p>
        </w:tc>
        <w:tc>
          <w:tcPr>
            <w:tcW w:w="650" w:type="dxa"/>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pacing w:val="4"/>
                <w:kern w:val="2"/>
                <w:sz w:val="24"/>
                <w:szCs w:val="24"/>
                <w:highlight w:val="none"/>
                <w:lang w:val="en-US" w:eastAsia="zh-CN" w:bidi="ar-SA"/>
              </w:rPr>
            </w:pPr>
            <w:r>
              <w:rPr>
                <w:rFonts w:hint="eastAsia" w:ascii="仿宋_GB2312" w:hAnsi="仿宋_GB2312" w:eastAsia="仿宋_GB2312" w:cs="仿宋_GB2312"/>
                <w:color w:val="auto"/>
                <w:spacing w:val="4"/>
                <w:kern w:val="2"/>
                <w:sz w:val="24"/>
                <w:szCs w:val="24"/>
                <w:highlight w:val="none"/>
                <w:lang w:val="en-US" w:eastAsia="zh-CN" w:bidi="ar-SA"/>
              </w:rPr>
              <w:t>8</w:t>
            </w:r>
          </w:p>
        </w:tc>
        <w:tc>
          <w:tcPr>
            <w:tcW w:w="4725" w:type="dxa"/>
            <w:tcBorders>
              <w:top w:val="single" w:color="auto" w:sz="4" w:space="0"/>
              <w:left w:val="single" w:color="auto" w:sz="4" w:space="0"/>
              <w:right w:val="single" w:color="auto" w:sz="4" w:space="0"/>
            </w:tcBorders>
            <w:shd w:val="clear" w:color="auto" w:fill="auto"/>
            <w:noWrap w:val="0"/>
            <w:vAlign w:val="top"/>
          </w:tcPr>
          <w:p>
            <w:pPr>
              <w:pStyle w:val="37"/>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kern w:val="2"/>
                <w:sz w:val="24"/>
                <w:szCs w:val="24"/>
                <w:highlight w:val="none"/>
                <w:lang w:val="en-US" w:eastAsia="zh-CN" w:bidi="ar-SA"/>
              </w:rPr>
              <w:t>据投标人为本项目提供的培训方案包括培培训计划、培训场地、课程安排</w:t>
            </w:r>
            <w:r>
              <w:rPr>
                <w:rFonts w:hint="eastAsia" w:ascii="仿宋_GB2312" w:hAnsi="仿宋_GB2312" w:cs="仿宋_GB2312"/>
                <w:color w:val="auto"/>
                <w:spacing w:val="0"/>
                <w:kern w:val="2"/>
                <w:sz w:val="24"/>
                <w:szCs w:val="24"/>
                <w:highlight w:val="none"/>
                <w:lang w:val="en-US" w:eastAsia="zh-CN" w:bidi="ar-SA"/>
              </w:rPr>
              <w:t>、</w:t>
            </w:r>
            <w:r>
              <w:rPr>
                <w:rFonts w:hint="eastAsia" w:ascii="仿宋_GB2312" w:hAnsi="仿宋_GB2312" w:eastAsia="仿宋_GB2312" w:cs="仿宋_GB2312"/>
                <w:color w:val="auto"/>
                <w:spacing w:val="0"/>
                <w:kern w:val="2"/>
                <w:sz w:val="24"/>
                <w:szCs w:val="22"/>
                <w:highlight w:val="none"/>
                <w:lang w:val="en-US" w:eastAsia="zh-CN" w:bidi="ar-SA"/>
              </w:rPr>
              <w:t>人员结构</w:t>
            </w:r>
            <w:r>
              <w:rPr>
                <w:rFonts w:hint="eastAsia" w:ascii="仿宋_GB2312" w:hAnsi="仿宋_GB2312" w:eastAsia="仿宋_GB2312" w:cs="仿宋_GB2312"/>
                <w:color w:val="auto"/>
                <w:spacing w:val="0"/>
                <w:kern w:val="2"/>
                <w:sz w:val="24"/>
                <w:szCs w:val="24"/>
                <w:highlight w:val="none"/>
                <w:lang w:val="en-US" w:eastAsia="zh-CN" w:bidi="ar-SA"/>
              </w:rPr>
              <w:t>等情况打分，以上每点，描述完整详细且与采购人实际需求完全契合的得</w:t>
            </w:r>
            <w:r>
              <w:rPr>
                <w:rFonts w:hint="eastAsia" w:ascii="仿宋_GB2312" w:hAnsi="仿宋_GB2312" w:cs="仿宋_GB2312"/>
                <w:color w:val="auto"/>
                <w:spacing w:val="0"/>
                <w:kern w:val="2"/>
                <w:sz w:val="24"/>
                <w:szCs w:val="24"/>
                <w:highlight w:val="none"/>
                <w:lang w:val="en-US" w:eastAsia="zh-CN" w:bidi="ar-SA"/>
              </w:rPr>
              <w:t>1</w:t>
            </w:r>
            <w:r>
              <w:rPr>
                <w:rFonts w:hint="eastAsia" w:ascii="仿宋_GB2312" w:hAnsi="仿宋_GB2312" w:eastAsia="仿宋_GB2312" w:cs="仿宋_GB2312"/>
                <w:color w:val="auto"/>
                <w:spacing w:val="0"/>
                <w:kern w:val="2"/>
                <w:sz w:val="24"/>
                <w:szCs w:val="24"/>
                <w:highlight w:val="none"/>
                <w:lang w:val="en-US" w:eastAsia="zh-CN" w:bidi="ar-SA"/>
              </w:rPr>
              <w:t>分，描述较详细完整或与采购人实际需求部分符合的得</w:t>
            </w:r>
            <w:r>
              <w:rPr>
                <w:rFonts w:hint="eastAsia" w:ascii="仿宋_GB2312" w:hAnsi="仿宋_GB2312" w:cs="仿宋_GB2312"/>
                <w:color w:val="auto"/>
                <w:spacing w:val="0"/>
                <w:kern w:val="2"/>
                <w:sz w:val="24"/>
                <w:szCs w:val="24"/>
                <w:highlight w:val="none"/>
                <w:lang w:val="en-US" w:eastAsia="zh-CN" w:bidi="ar-SA"/>
              </w:rPr>
              <w:t>0.5</w:t>
            </w:r>
            <w:r>
              <w:rPr>
                <w:rFonts w:hint="eastAsia" w:ascii="仿宋_GB2312" w:hAnsi="仿宋_GB2312" w:eastAsia="仿宋_GB2312" w:cs="仿宋_GB2312"/>
                <w:color w:val="auto"/>
                <w:spacing w:val="0"/>
                <w:kern w:val="2"/>
                <w:sz w:val="24"/>
                <w:szCs w:val="24"/>
                <w:highlight w:val="none"/>
                <w:lang w:val="en-US" w:eastAsia="zh-CN" w:bidi="ar-SA"/>
              </w:rPr>
              <w:t>分，未提供或完全不符合采购人需求的得0分,本项最多得</w:t>
            </w:r>
            <w:r>
              <w:rPr>
                <w:rFonts w:hint="eastAsia" w:ascii="仿宋_GB2312" w:hAnsi="仿宋_GB2312" w:cs="仿宋_GB2312"/>
                <w:color w:val="auto"/>
                <w:spacing w:val="0"/>
                <w:kern w:val="2"/>
                <w:sz w:val="24"/>
                <w:szCs w:val="24"/>
                <w:highlight w:val="none"/>
                <w:lang w:val="en-US" w:eastAsia="zh-CN" w:bidi="ar-SA"/>
              </w:rPr>
              <w:t>4</w:t>
            </w:r>
            <w:r>
              <w:rPr>
                <w:rFonts w:hint="eastAsia" w:ascii="仿宋_GB2312" w:hAnsi="仿宋_GB2312" w:eastAsia="仿宋_GB2312" w:cs="仿宋_GB2312"/>
                <w:color w:val="auto"/>
                <w:spacing w:val="0"/>
                <w:kern w:val="2"/>
                <w:sz w:val="24"/>
                <w:szCs w:val="24"/>
                <w:highlight w:val="none"/>
                <w:lang w:val="en-US" w:eastAsia="zh-CN" w:bidi="ar-SA"/>
              </w:rPr>
              <w:t>分。</w:t>
            </w:r>
          </w:p>
        </w:tc>
        <w:tc>
          <w:tcPr>
            <w:tcW w:w="71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bidi w:val="0"/>
              <w:spacing w:line="240" w:lineRule="auto"/>
              <w:ind w:firstLine="240" w:firstLineChars="100"/>
              <w:jc w:val="center"/>
              <w:textAlignment w:val="auto"/>
              <w:outlineLvl w:val="0"/>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kern w:val="2"/>
                <w:sz w:val="24"/>
                <w:szCs w:val="24"/>
                <w:highlight w:val="none"/>
                <w:lang w:val="en-US" w:eastAsia="zh-CN" w:bidi="ar-SA"/>
              </w:rPr>
              <w:t>4</w:t>
            </w:r>
          </w:p>
        </w:tc>
        <w:tc>
          <w:tcPr>
            <w:tcW w:w="816"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auto"/>
                <w:spacing w:val="4"/>
                <w:sz w:val="24"/>
                <w:szCs w:val="24"/>
                <w:highlight w:val="none"/>
              </w:rPr>
            </w:pPr>
            <w:r>
              <w:rPr>
                <w:rFonts w:hint="eastAsia" w:ascii="仿宋_GB2312" w:hAnsi="仿宋_GB2312" w:eastAsia="仿宋_GB2312" w:cs="仿宋_GB2312"/>
                <w:b/>
                <w:color w:val="auto"/>
                <w:spacing w:val="4"/>
                <w:sz w:val="21"/>
                <w:szCs w:val="21"/>
                <w:highlight w:val="none"/>
                <w:lang w:eastAsia="zh-CN"/>
              </w:rPr>
              <w:t>主观分</w:t>
            </w:r>
          </w:p>
        </w:tc>
        <w:tc>
          <w:tcPr>
            <w:tcW w:w="1440" w:type="dxa"/>
            <w:tcBorders>
              <w:top w:val="single" w:color="auto" w:sz="4" w:space="0"/>
              <w:left w:val="single" w:color="auto" w:sz="4" w:space="0"/>
              <w:right w:val="single" w:color="auto" w:sz="4" w:space="0"/>
            </w:tcBorders>
            <w:shd w:val="clear" w:color="auto" w:fill="auto"/>
            <w:noWrap w:val="0"/>
            <w:vAlign w:val="top"/>
          </w:tcPr>
          <w:p>
            <w:pPr>
              <w:adjustRightInd w:val="0"/>
              <w:snapToGrid w:val="0"/>
              <w:rPr>
                <w:rFonts w:hint="eastAsia" w:ascii="仿宋_GB2312" w:hAnsi="仿宋_GB2312" w:eastAsia="仿宋_GB2312" w:cs="仿宋_GB2312"/>
                <w:color w:val="auto"/>
                <w:spacing w:val="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left w:val="single" w:color="auto" w:sz="4" w:space="0"/>
              <w:right w:val="single" w:color="auto" w:sz="4" w:space="0"/>
            </w:tcBorders>
            <w:noWrap w:val="0"/>
            <w:vAlign w:val="center"/>
          </w:tcPr>
          <w:p>
            <w:pPr>
              <w:topLinePunct/>
              <w:spacing w:line="360" w:lineRule="auto"/>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w:t>
            </w:r>
          </w:p>
          <w:p>
            <w:pPr>
              <w:ind w:firstLine="120" w:firstLineChars="50"/>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0分）</w:t>
            </w:r>
          </w:p>
        </w:tc>
        <w:tc>
          <w:tcPr>
            <w:tcW w:w="65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pacing w:val="4"/>
                <w:sz w:val="24"/>
                <w:szCs w:val="24"/>
                <w:highlight w:val="none"/>
                <w:lang w:val="en-US" w:eastAsia="zh-CN" w:bidi="en-US"/>
              </w:rPr>
            </w:pPr>
            <w:r>
              <w:rPr>
                <w:rFonts w:hint="eastAsia" w:ascii="仿宋_GB2312" w:hAnsi="仿宋_GB2312" w:eastAsia="仿宋_GB2312" w:cs="仿宋_GB2312"/>
                <w:color w:val="auto"/>
                <w:spacing w:val="4"/>
                <w:kern w:val="2"/>
                <w:sz w:val="24"/>
                <w:szCs w:val="24"/>
                <w:highlight w:val="none"/>
                <w:lang w:val="en-US" w:eastAsia="zh-CN" w:bidi="ar-SA"/>
              </w:rPr>
              <w:t>9</w:t>
            </w:r>
          </w:p>
        </w:tc>
        <w:tc>
          <w:tcPr>
            <w:tcW w:w="4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有效投标报价的最低价作为评标基准价，其最低报价为满分；按［投标报价得分=（评标基准价/投标报价）*</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0］的计算公式计算。</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评标过程中，不得去掉报价中的最高报价和最低报价。</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因落实政府采购政策需要进行价格调整的，以调整后的价格计算评标基准价和投标报价。</w:t>
            </w:r>
          </w:p>
        </w:tc>
        <w:tc>
          <w:tcPr>
            <w:tcW w:w="710"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outlineLvl w:val="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30</w:t>
            </w: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价格分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szCs w:val="24"/>
                <w:highlight w:val="none"/>
              </w:rPr>
            </w:pPr>
          </w:p>
        </w:tc>
      </w:tr>
    </w:tbl>
    <w:p>
      <w:pPr>
        <w:spacing w:line="420" w:lineRule="exact"/>
        <w:ind w:firstLine="472" w:firstLineChars="196"/>
        <w:contextualSpacing/>
        <w:rPr>
          <w:rFonts w:hint="eastAsia" w:ascii="仿宋_GB2312" w:hAnsi="仿宋_GB2312" w:eastAsia="仿宋_GB2312" w:cs="仿宋_GB2312"/>
          <w:b/>
          <w:color w:val="auto"/>
          <w:sz w:val="24"/>
          <w:szCs w:val="24"/>
          <w:highlight w:val="none"/>
        </w:rPr>
      </w:pPr>
    </w:p>
    <w:p>
      <w:pPr>
        <w:spacing w:line="420" w:lineRule="exact"/>
        <w:ind w:firstLine="472" w:firstLineChars="196"/>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*备注：投标人编制投标文件（商务技术文件部分）时，建议按此目录（序号和内容）提供评标标准相应的商务技术资料。 </w:t>
      </w:r>
    </w:p>
    <w:p>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一、评标方法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1.本项目采用综合评分法。综合评分法，是指投标文件满足招标文件全部实质性要求，且按照评审因素的量化指标评审得分最高的投标人为中标候选人的评标方法。评分过程中采用四舍五入法，并保留小数2位。</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二、评标标准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评标标准：见评标办法前附表。</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三、评标程序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3.1符合性审查。评标委员会应当对符合资格的投标人的投标文件进行符合性审查，以确定其是否满足招标文件的实质性要求。不满足招标文件的实质性要求的，投标无效。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 比较与评价。评标委员会应当按照招标文件中规定的评标方法和标准，对符合性审查合格的投标文件进行商务和技术评估，综合比较与评价。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3.3汇总商务技术得分。评标委员会各成员应当独立对每个投标人的商务和技术文件进行评价，并汇总商务技术得分情况。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3.4报价评审。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3.4.1投标文件报价出现前后不一致的，按照下列规定修正：</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3.4.1.1投标文件中开标一览表(报价表)内容与投标文件中相应内容不一致的，以开标一览表(报价表)为准;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3.4.2投标文件出现不是唯一的、有选择性投标报价的，投标无效。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3.4.3投标报价超过招标文件中规定的预算金额或者最高限价的，投标无效。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3.4.5评标委员会对投标人的报价启动异常低价审查的，应当要求其在合理的时间内提供书面说明，投标人不能在合理的时间内提供相关书面说明、证明材料，或者提供的书面说明、证明材料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排序与推荐。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编写评标报告。评标委员会根据全体评标成员签字的原始评标记录和评标结果编写评标报告，由采购人委托评标委员会在评标报告确定的中标候选人名单中按顺序确定中标人。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snapToGrid/>
        <w:spacing w:line="420" w:lineRule="exact"/>
        <w:ind w:firstLine="602" w:firstLineChars="250"/>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四、评标中的其他事项</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5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投标人澄清、说明或者补正。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4.2投标无效。有下列情况之一的，投标无效：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4.2.1单位负责人为同一人或者存在直接控股、管理关系的不同供应商参加同一合同项下的政府采购活动的（均无效）；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4.2.2为采购项目提供整体设计、规范编制或者项目管理、监理、检测等服务的供应商再参加该采购项目的其他采购活动的； </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4.2.3投标人不具备招标文件中规定的资格要求的（投标人未提供有效的资格证明文件的，视为投标人不具备招标文件中规定的资格要求）；</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4.2.4如以联合体形式参加政府采购活动的，联合体协议不符合招标文件规定的联合体协议要求的；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4.2.5投标文件未按招标文件的澄清、修改的内容编制，又不符合实质性要求的；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4.2.6投标文件组成不全或内容字迹模糊辨认不清的而导致评标无法正常进行（经评标委员会认定并允许其当场更正的笔误除外的）；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投标文件未按照招标文件要求签署、盖章的；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采购人拟采购的产品属于政府强制采购的节能产品品目清单范围的，投标人未按招标文件要求提供国家确定的认证机构出具的、处于有效期之内的节能产品认证证书的；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投标文件含有采购人不能接受的附加条件的；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投标文件中承诺的投标有效期少于招标文件中载明的投标有效期的；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投标人所投内容不符合招标文件中实质性要求的；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投标文件出现不是唯一的、有选择性投标报价的;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投标报价高于本项目采购预算或者最高限价的;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报价明显低于其他通过符合性审查投标人的报价，有可能影响产品质量或者不能诚信履约的，未能按要求提供书面说明或者提交相关证明材料，不能证明其报价合理性的;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《开标一览表（报价表）》填写不完整或字迹不能辨认或有漏项的；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投标人对根据修正原则修正后的报价不确认的；</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投标人提供虚假材料投标的（包括但不限于以下情节）；</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.1使用伪造、变造的许可证件；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.2提供虚假的财务状况或者业绩；</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.3提供虚假的项目负责人或者主要技术人员简历、劳动关系证明；</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.4提供虚假的信用状况；</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.5其他弄虚作假的行为。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投标人有恶意串通、妨碍其他投标人的竞争行为、损害采购人或者其他投标人的合法权益情形的；有下列情形之一的，属于或视为恶意串通，其投标无效：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.1供应商直接或者间接从采购人或者采购代理机构处获得其他供应商的相关情况并修改其投标文件或者响应文件；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.2供应商按照采购人或者采购代理机构的授意撤换、修改投标文件或者响应文件；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.3供应商之间协商报价、技术方案等投标文件或者响应文件的实质性内容；</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.4属于同一集团、协会、商会等组织成员的供应商按照该组织要求协同参加政府采购活动；</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.5供应商之间事先约定由某一特定供应商中标、成交；</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.6供应商之间商定部分供应商放弃参加政府采购活动或者放弃中标、成交；</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.7供应商与采购人或者采购代理机构之间、供应商相互之间，为谋求特定供应商中标、成交或者排斥其他供应商的其他串通行为。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.8不同投标人的投标文件由同一单位或者个人编制；</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.9不同投标人委托同一单位或者个人办理投标事宜；</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.10不同投标人的投标文件载明的项目管理成员或者联系人员为同一人；</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.11不同投标人的投标文件异常一致或者投标报价呈规律性差异；</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.12不同投标人的投标文件相互混装；</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19</w:t>
      </w:r>
      <w:r>
        <w:rPr>
          <w:rFonts w:hint="eastAsia" w:ascii="仿宋_GB2312" w:hAnsi="仿宋_GB2312" w:eastAsia="仿宋_GB2312" w:cs="仿宋_GB2312"/>
          <w:color w:val="auto"/>
          <w:sz w:val="24"/>
          <w:szCs w:val="24"/>
          <w:highlight w:val="none"/>
        </w:rPr>
        <w:t>投标人仅提交备份投标文件，没有在电子交易平台传输递交投标文件的，投标无效；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以联合体形式投标的，在资格文件和商务技术文件中均未提供联合协议的，投标无效；</w:t>
      </w:r>
    </w:p>
    <w:p>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以分包方式履行合同的，在资格文件和商务技术文件中均未提供分包意向协议的，投标无效；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 xml:space="preserve"> 专门面向中小企业采购的，在资格文件和商务技术文件中均未提供中小企业声明函的，投标无效；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法律、法规、规章（适用本市的）及省级以上规范性文件（适用本市的）规定的其他无效情形；</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参与同一个采购包（标</w:t>
      </w:r>
      <w:r>
        <w:rPr>
          <w:rFonts w:hint="eastAsia" w:ascii="仿宋_GB2312" w:hAnsi="仿宋_GB2312" w:eastAsia="仿宋_GB2312" w:cs="仿宋_GB2312"/>
          <w:color w:val="auto"/>
          <w:sz w:val="24"/>
          <w:szCs w:val="24"/>
          <w:highlight w:val="none"/>
          <w:lang w:eastAsia="zh-CN"/>
        </w:rPr>
        <w:t>项</w:t>
      </w:r>
      <w:r>
        <w:rPr>
          <w:rFonts w:hint="eastAsia" w:ascii="仿宋_GB2312" w:hAnsi="仿宋_GB2312" w:eastAsia="仿宋_GB2312" w:cs="仿宋_GB2312"/>
          <w:color w:val="auto"/>
          <w:sz w:val="24"/>
          <w:szCs w:val="24"/>
          <w:highlight w:val="none"/>
        </w:rPr>
        <w:t>）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投标文件不满足招标文件的其它实质性要求的。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5.废标。根据《中华人民共和国政府采购法》第三十六条之规定，在采购中，出现下列情形之一的，应予废标：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5.1符合专业条件的供应商或者对招标文件作实质响应的供应商不足3家的；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5.2出现影响采购公正的违法、违规行为的；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5.3投标人的报价均超过了采购预算，采购人不能支付的；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废标后，采购代理机构应当将废标理由通知所有投标人。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修改招标文件，重新组织采购活动。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7.重新开展采购。有政府采购法第七十一条、第七十二条规定的违法行为之一，影响或者可能影响中标、成交结果的，依照下列规定处理：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7.1未确定中标或者中标人的，终止本次政府采购活动，重新开展政府采购活动。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7.2已确定中标或者中标人但尚未签订政府采购合同的，中标或者成交结果无效，从合格的中标或者成交候选人中另行确定中标或者中标人；没有合格的中标或者成交候选人的，重新开展政府采购活动。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7.3政府采购合同已签订但尚未履行的，撤销合同，从合格的中标或者成交候选人中另行确定中标或者中标人；没有合格的中标或者成交候选人的，重新开展政府采购活动。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7.4政府采购合同已经履行，给采购人、供应商造成损失的，由责任人承担赔偿责任。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7.5政府采购当事人有其他违反政府采购法或者政府采购法实施条例等法律法规规定的行为，经改正后仍然影响或者可能影响中标、成交结果或者依法被认定为中标、成交无效的，依照7.1-7.4规定处理。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8.评审过程的保密与录像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保密。评审活动在严格保密的情况下进行。评审过程中凡是与采购响应文件评审和比较、中标人推荐等评审有关的情况，以及涉及国家秘密和商业秘密等信息，评审委员会成员、采购人和采购代理机构工作人员、相关监督人员等与评审有关的人员应当予以保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9.录音录像。采购代理机构对评审工作现场进行全过程录音录像，录音录像资料作为采购项目文件随其他文件一并存档。</w:t>
      </w:r>
      <w:bookmarkEnd w:id="26"/>
      <w:bookmarkStart w:id="392" w:name="_Toc86217003"/>
      <w:bookmarkStart w:id="393" w:name="第五部分"/>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both"/>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第五部分</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拟签订的合同文本</w:t>
      </w:r>
    </w:p>
    <w:p>
      <w:pPr>
        <w:snapToGrid w:val="0"/>
        <w:spacing w:beforeLines="50" w:afterLines="50"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（具体条款以甲方为主协商确定）</w:t>
      </w:r>
    </w:p>
    <w:p>
      <w:pPr>
        <w:snapToGrid w:val="0"/>
        <w:spacing w:line="360" w:lineRule="auto"/>
        <w:ind w:firstLine="480" w:firstLineChars="20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lang w:val="en-US" w:eastAsia="zh-CN"/>
        </w:rPr>
        <w:fldChar w:fldCharType="begin">
          <w:ffData>
            <w:name w:val="ManulField1"/>
            <w:enabled/>
            <w:calcOnExit w:val="0"/>
            <w:statusText w:type="text" w:val="不同步字段"/>
            <w:textInput/>
          </w:ffData>
        </w:fldChar>
      </w:r>
      <w:bookmarkStart w:id="394" w:name="ManulField1"/>
      <w:r>
        <w:rPr>
          <w:rFonts w:hint="eastAsia" w:ascii="仿宋_GB2312" w:hAnsi="仿宋_GB2312" w:eastAsia="仿宋_GB2312" w:cs="仿宋_GB2312"/>
          <w:color w:val="auto"/>
          <w:sz w:val="24"/>
          <w:szCs w:val="24"/>
          <w:highlight w:val="none"/>
          <w:u w:val="single"/>
          <w:lang w:val="en-US" w:eastAsia="zh-CN"/>
        </w:rPr>
        <w:instrText xml:space="preserve">FORMTEXT</w:instrText>
      </w:r>
      <w:r>
        <w:rPr>
          <w:rFonts w:hint="eastAsia" w:ascii="仿宋_GB2312" w:hAnsi="仿宋_GB2312" w:eastAsia="仿宋_GB2312" w:cs="仿宋_GB2312"/>
          <w:color w:val="auto"/>
          <w:sz w:val="24"/>
          <w:szCs w:val="24"/>
          <w:highlight w:val="none"/>
          <w:u w:val="single"/>
          <w:lang w:val="en-US" w:eastAsia="zh-CN"/>
        </w:rPr>
        <w:fldChar w:fldCharType="separate"/>
      </w:r>
      <w:r>
        <w:rPr>
          <w:rFonts w:hint="eastAsia" w:ascii="仿宋_GB2312" w:hAnsi="仿宋_GB2312" w:eastAsia="仿宋_GB2312" w:cs="仿宋_GB2312"/>
          <w:color w:val="auto"/>
          <w:sz w:val="24"/>
          <w:szCs w:val="24"/>
          <w:highlight w:val="none"/>
          <w:u w:val="single"/>
          <w:lang w:val="en-US" w:eastAsia="zh-CN"/>
        </w:rPr>
        <w:t>     </w:t>
      </w:r>
      <w:r>
        <w:rPr>
          <w:rFonts w:hint="eastAsia" w:ascii="仿宋_GB2312" w:hAnsi="仿宋_GB2312" w:eastAsia="仿宋_GB2312" w:cs="仿宋_GB2312"/>
          <w:color w:val="auto"/>
          <w:sz w:val="24"/>
          <w:szCs w:val="24"/>
          <w:highlight w:val="none"/>
          <w:u w:val="single"/>
          <w:lang w:val="en-US" w:eastAsia="zh-CN"/>
        </w:rPr>
        <w:fldChar w:fldCharType="end"/>
      </w:r>
      <w:bookmarkEnd w:id="394"/>
    </w:p>
    <w:p>
      <w:pPr>
        <w:snapToGrid w:val="0"/>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甲方：（买方）</w:t>
      </w:r>
      <w:bookmarkStart w:id="395" w:name="ManulField2"/>
      <w:r>
        <w:rPr>
          <w:rFonts w:hint="eastAsia" w:ascii="仿宋_GB2312" w:hAnsi="仿宋_GB2312" w:eastAsia="仿宋_GB2312" w:cs="仿宋_GB2312"/>
          <w:color w:val="auto"/>
          <w:sz w:val="24"/>
          <w:szCs w:val="24"/>
          <w:highlight w:val="none"/>
          <w:u w:val="single"/>
        </w:rPr>
        <w:fldChar w:fldCharType="begin">
          <w:ffData>
            <w:name w:val="ManulField2"/>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395"/>
      <w:r>
        <w:rPr>
          <w:rFonts w:hint="eastAsia" w:ascii="仿宋_GB2312" w:hAnsi="仿宋_GB2312" w:eastAsia="仿宋_GB2312" w:cs="仿宋_GB2312"/>
          <w:color w:val="auto"/>
          <w:sz w:val="24"/>
          <w:szCs w:val="24"/>
          <w:highlight w:val="none"/>
          <w:lang w:val="en-US" w:eastAsia="zh-CN"/>
        </w:rPr>
        <w:t xml:space="preserve">  </w:t>
      </w:r>
    </w:p>
    <w:p>
      <w:pPr>
        <w:snapToGrid w:val="0"/>
        <w:spacing w:line="360" w:lineRule="auto"/>
        <w:ind w:firstLine="480" w:firstLineChars="20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rPr>
        <w:t>乙方：（卖方）</w:t>
      </w:r>
      <w:r>
        <w:rPr>
          <w:rFonts w:hint="eastAsia" w:ascii="仿宋_GB2312" w:hAnsi="仿宋_GB2312" w:eastAsia="仿宋_GB2312" w:cs="仿宋_GB2312"/>
          <w:color w:val="auto"/>
          <w:sz w:val="24"/>
          <w:szCs w:val="24"/>
          <w:highlight w:val="none"/>
          <w:u w:val="single"/>
        </w:rPr>
        <w:fldChar w:fldCharType="begin">
          <w:ffData>
            <w:name w:val="ManulField30"/>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p>
    <w:p>
      <w:pPr>
        <w:snapToGrid w:val="0"/>
        <w:spacing w:line="360" w:lineRule="auto"/>
        <w:ind w:left="210" w:leftChars="100" w:firstLine="240" w:firstLineChars="1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甲、乙双方根据</w:t>
      </w:r>
      <w:bookmarkStart w:id="396" w:name="ManulField4"/>
      <w:r>
        <w:rPr>
          <w:rFonts w:hint="eastAsia" w:ascii="仿宋_GB2312" w:hAnsi="仿宋_GB2312" w:eastAsia="仿宋_GB2312" w:cs="仿宋_GB2312"/>
          <w:color w:val="auto"/>
          <w:sz w:val="24"/>
          <w:szCs w:val="24"/>
          <w:highlight w:val="none"/>
          <w:u w:val="single"/>
        </w:rPr>
        <w:fldChar w:fldCharType="begin">
          <w:ffData>
            <w:name w:val="ManulField4"/>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396"/>
      <w:r>
        <w:rPr>
          <w:rFonts w:hint="eastAsia" w:ascii="仿宋_GB2312" w:hAnsi="仿宋_GB2312" w:eastAsia="仿宋_GB2312" w:cs="仿宋_GB2312"/>
          <w:color w:val="auto"/>
          <w:sz w:val="24"/>
          <w:szCs w:val="24"/>
          <w:highlight w:val="none"/>
        </w:rPr>
        <w:t>，签署本合同。</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一、货物内容</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bookmarkStart w:id="397" w:name="ManulField5"/>
      <w:r>
        <w:rPr>
          <w:rFonts w:hint="eastAsia" w:ascii="仿宋_GB2312" w:hAnsi="仿宋_GB2312" w:eastAsia="仿宋_GB2312" w:cs="仿宋_GB2312"/>
          <w:b/>
          <w:color w:val="auto"/>
          <w:sz w:val="24"/>
          <w:szCs w:val="24"/>
          <w:highlight w:val="none"/>
          <w:u w:val="single"/>
        </w:rPr>
        <w:fldChar w:fldCharType="begin">
          <w:ffData>
            <w:name w:val="ManulField5"/>
            <w:enabled/>
            <w:calcOnExit w:val="0"/>
            <w:statusText w:type="text" w:val="不同步字段"/>
            <w:textInput/>
          </w:ffData>
        </w:fldChar>
      </w:r>
      <w:r>
        <w:rPr>
          <w:rFonts w:hint="eastAsia" w:ascii="仿宋_GB2312" w:hAnsi="仿宋_GB2312" w:eastAsia="仿宋_GB2312" w:cs="仿宋_GB2312"/>
          <w:b/>
          <w:color w:val="auto"/>
          <w:sz w:val="24"/>
          <w:szCs w:val="24"/>
          <w:highlight w:val="none"/>
          <w:u w:val="single"/>
        </w:rPr>
        <w:instrText xml:space="preserve">FORMTEXT</w:instrText>
      </w:r>
      <w:r>
        <w:rPr>
          <w:rFonts w:hint="eastAsia" w:ascii="仿宋_GB2312" w:hAnsi="仿宋_GB2312" w:eastAsia="仿宋_GB2312" w:cs="仿宋_GB2312"/>
          <w:b/>
          <w:color w:val="auto"/>
          <w:sz w:val="24"/>
          <w:szCs w:val="24"/>
          <w:highlight w:val="none"/>
          <w:u w:val="single"/>
        </w:rPr>
        <w:fldChar w:fldCharType="separate"/>
      </w:r>
      <w:r>
        <w:rPr>
          <w:rFonts w:hint="eastAsia" w:ascii="仿宋_GB2312" w:hAnsi="仿宋_GB2312" w:eastAsia="仿宋_GB2312" w:cs="仿宋_GB2312"/>
          <w:b/>
          <w:color w:val="auto"/>
          <w:sz w:val="24"/>
          <w:szCs w:val="24"/>
          <w:highlight w:val="none"/>
          <w:u w:val="single"/>
          <w:lang w:val="en-US"/>
        </w:rPr>
        <w:t>     </w:t>
      </w:r>
      <w:r>
        <w:rPr>
          <w:rFonts w:hint="eastAsia" w:ascii="仿宋_GB2312" w:hAnsi="仿宋_GB2312" w:eastAsia="仿宋_GB2312" w:cs="仿宋_GB2312"/>
          <w:b/>
          <w:color w:val="auto"/>
          <w:sz w:val="24"/>
          <w:szCs w:val="24"/>
          <w:highlight w:val="none"/>
          <w:u w:val="single"/>
        </w:rPr>
        <w:fldChar w:fldCharType="end"/>
      </w:r>
      <w:bookmarkEnd w:id="397"/>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二、合同金额</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bookmarkStart w:id="398" w:name="ManulField6"/>
      <w:r>
        <w:rPr>
          <w:rFonts w:hint="eastAsia" w:ascii="仿宋_GB2312" w:hAnsi="仿宋_GB2312" w:eastAsia="仿宋_GB2312" w:cs="仿宋_GB2312"/>
          <w:color w:val="auto"/>
          <w:sz w:val="24"/>
          <w:szCs w:val="24"/>
          <w:highlight w:val="none"/>
          <w:u w:val="single"/>
        </w:rPr>
        <w:fldChar w:fldCharType="begin">
          <w:ffData>
            <w:name w:val="ManulField6"/>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398"/>
      <w:r>
        <w:rPr>
          <w:rFonts w:hint="eastAsia" w:ascii="仿宋_GB2312" w:hAnsi="仿宋_GB2312" w:eastAsia="仿宋_GB2312" w:cs="仿宋_GB2312"/>
          <w:color w:val="auto"/>
          <w:sz w:val="24"/>
          <w:szCs w:val="24"/>
          <w:highlight w:val="none"/>
        </w:rPr>
        <w:t>金额为（大写）：</w:t>
      </w:r>
      <w:bookmarkStart w:id="399" w:name="ManulField7"/>
      <w:r>
        <w:rPr>
          <w:rFonts w:hint="eastAsia" w:ascii="仿宋_GB2312" w:hAnsi="仿宋_GB2312" w:eastAsia="仿宋_GB2312" w:cs="仿宋_GB2312"/>
          <w:color w:val="auto"/>
          <w:sz w:val="24"/>
          <w:szCs w:val="24"/>
          <w:highlight w:val="none"/>
          <w:u w:val="single"/>
        </w:rPr>
        <w:fldChar w:fldCharType="begin">
          <w:ffData>
            <w:name w:val="ManulField7"/>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399"/>
      <w:r>
        <w:rPr>
          <w:rFonts w:hint="eastAsia" w:ascii="仿宋_GB2312" w:hAnsi="仿宋_GB2312" w:eastAsia="仿宋_GB2312" w:cs="仿宋_GB2312"/>
          <w:color w:val="auto"/>
          <w:sz w:val="24"/>
          <w:szCs w:val="24"/>
          <w:highlight w:val="none"/>
        </w:rPr>
        <w:t>（￥</w:t>
      </w:r>
      <w:bookmarkStart w:id="400" w:name="ManulField8"/>
      <w:r>
        <w:rPr>
          <w:rFonts w:hint="eastAsia" w:ascii="仿宋_GB2312" w:hAnsi="仿宋_GB2312" w:eastAsia="仿宋_GB2312" w:cs="仿宋_GB2312"/>
          <w:color w:val="auto"/>
          <w:sz w:val="24"/>
          <w:szCs w:val="24"/>
          <w:highlight w:val="none"/>
          <w:u w:val="single"/>
        </w:rPr>
        <w:fldChar w:fldCharType="begin">
          <w:ffData>
            <w:name w:val="ManulField8"/>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00"/>
      <w:r>
        <w:rPr>
          <w:rFonts w:hint="eastAsia" w:ascii="仿宋_GB2312" w:hAnsi="仿宋_GB2312" w:eastAsia="仿宋_GB2312" w:cs="仿宋_GB2312"/>
          <w:color w:val="auto"/>
          <w:sz w:val="24"/>
          <w:szCs w:val="24"/>
          <w:highlight w:val="none"/>
        </w:rPr>
        <w:t>元）人民币。</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三、技术资料</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乙方应按招标文件规定的时间向甲方提供使用货物的有关技术资料。</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四、知识产权</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乙方应保证所提供的货物或其任何一部分均不会侵犯任何第三方的知识产权。</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五、产权担保</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乙方保证所交付的货物的所有权完全属于</w:t>
      </w:r>
      <w:r>
        <w:rPr>
          <w:rFonts w:hint="eastAsia" w:ascii="仿宋_GB2312" w:hAnsi="仿宋_GB2312" w:eastAsia="仿宋_GB2312" w:cs="仿宋_GB2312"/>
          <w:color w:val="auto"/>
          <w:sz w:val="24"/>
          <w:szCs w:val="24"/>
          <w:highlight w:val="none"/>
          <w:lang w:val="en-US" w:eastAsia="zh-CN"/>
        </w:rPr>
        <w:t>甲</w:t>
      </w:r>
      <w:r>
        <w:rPr>
          <w:rFonts w:hint="eastAsia" w:ascii="仿宋_GB2312" w:hAnsi="仿宋_GB2312" w:eastAsia="仿宋_GB2312" w:cs="仿宋_GB2312"/>
          <w:color w:val="auto"/>
          <w:sz w:val="24"/>
          <w:szCs w:val="24"/>
          <w:highlight w:val="none"/>
        </w:rPr>
        <w:t>方且无任何抵押、查封等产权瑕疵。</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六、质保期</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设备免费质保期：从项目终验合格之日起计算，乙方提供对本次投标的设备</w:t>
      </w:r>
      <w:r>
        <w:rPr>
          <w:rFonts w:hint="eastAsia" w:ascii="仿宋_GB2312" w:hAnsi="仿宋_GB2312" w:eastAsia="仿宋_GB2312" w:cs="仿宋_GB2312"/>
          <w:color w:val="auto"/>
          <w:sz w:val="24"/>
          <w:szCs w:val="24"/>
          <w:highlight w:val="none"/>
          <w:u w:val="single"/>
          <w:lang w:val="en-US" w:eastAsia="zh-CN"/>
        </w:rPr>
        <w:t>3年</w:t>
      </w:r>
      <w:r>
        <w:rPr>
          <w:rFonts w:hint="eastAsia" w:ascii="仿宋_GB2312" w:hAnsi="仿宋_GB2312" w:eastAsia="仿宋_GB2312" w:cs="仿宋_GB2312"/>
          <w:color w:val="auto"/>
          <w:sz w:val="24"/>
          <w:szCs w:val="24"/>
          <w:highlight w:val="none"/>
        </w:rPr>
        <w:t>的免费质保服务。 招标需求中另有要求的，按招标需求执行。质保期内，乙方需在</w:t>
      </w:r>
      <w:r>
        <w:rPr>
          <w:rFonts w:hint="eastAsia" w:ascii="仿宋_GB2312" w:hAnsi="仿宋_GB2312" w:eastAsia="仿宋_GB2312" w:cs="仿宋_GB2312"/>
          <w:color w:val="auto"/>
          <w:sz w:val="24"/>
          <w:szCs w:val="24"/>
          <w:highlight w:val="none"/>
          <w:u w:val="single"/>
          <w:lang w:val="en-US" w:eastAsia="zh-CN"/>
        </w:rPr>
        <w:t>2小时</w:t>
      </w:r>
      <w:r>
        <w:rPr>
          <w:rFonts w:hint="eastAsia" w:ascii="仿宋_GB2312" w:hAnsi="仿宋_GB2312" w:eastAsia="仿宋_GB2312" w:cs="仿宋_GB2312"/>
          <w:color w:val="auto"/>
          <w:sz w:val="24"/>
          <w:szCs w:val="24"/>
          <w:highlight w:val="none"/>
        </w:rPr>
        <w:t>内赶到现场开始服务，直至故障排除。在此期间，因产品质量问题而引起的维修费用（包括材料的人工费以及措施费等一切费用）均由乙方承担。</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七、交货期、交货方式</w:t>
      </w:r>
    </w:p>
    <w:p>
      <w:pPr>
        <w:snapToGrid w:val="0"/>
        <w:spacing w:line="360" w:lineRule="auto"/>
        <w:ind w:firstLine="480" w:firstLineChars="20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rPr>
        <w:t>1.</w:t>
      </w:r>
      <w:bookmarkStart w:id="401" w:name="ManulField11"/>
      <w:r>
        <w:rPr>
          <w:rFonts w:hint="eastAsia" w:ascii="仿宋_GB2312" w:hAnsi="仿宋_GB2312" w:eastAsia="仿宋_GB2312" w:cs="仿宋_GB2312"/>
          <w:color w:val="auto"/>
          <w:sz w:val="24"/>
          <w:szCs w:val="24"/>
          <w:highlight w:val="none"/>
          <w:u w:val="single"/>
        </w:rPr>
        <w:fldChar w:fldCharType="begin">
          <w:ffData>
            <w:name w:val="ManulField11"/>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01"/>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2.交货方式：</w:t>
      </w:r>
      <w:bookmarkStart w:id="402" w:name="ManulField12"/>
      <w:r>
        <w:rPr>
          <w:rFonts w:hint="eastAsia" w:ascii="仿宋_GB2312" w:hAnsi="仿宋_GB2312" w:eastAsia="仿宋_GB2312" w:cs="仿宋_GB2312"/>
          <w:color w:val="auto"/>
          <w:sz w:val="24"/>
          <w:szCs w:val="24"/>
          <w:highlight w:val="none"/>
          <w:u w:val="single"/>
        </w:rPr>
        <w:fldChar w:fldCharType="begin">
          <w:ffData>
            <w:name w:val="ManulField12"/>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02"/>
      <w:r>
        <w:rPr>
          <w:rFonts w:hint="eastAsia" w:ascii="仿宋_GB2312" w:hAnsi="仿宋_GB2312" w:eastAsia="仿宋_GB2312" w:cs="仿宋_GB2312"/>
          <w:color w:val="auto"/>
          <w:sz w:val="24"/>
          <w:szCs w:val="24"/>
          <w:highlight w:val="none"/>
        </w:rPr>
        <w:t xml:space="preserve">     </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八、货款支付</w:t>
      </w:r>
    </w:p>
    <w:p>
      <w:pPr>
        <w:snapToGrid w:val="0"/>
        <w:spacing w:line="360" w:lineRule="auto"/>
        <w:ind w:firstLine="480" w:firstLineChars="20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kern w:val="2"/>
          <w:sz w:val="24"/>
          <w:szCs w:val="24"/>
          <w:highlight w:val="none"/>
          <w:u w:val="none"/>
          <w:lang w:val="en-US" w:eastAsia="zh-CN" w:bidi="ar-SA"/>
        </w:rPr>
        <w:t>1.预付款：在合同生效后以及具备实施条件后的7个工作日内，采购人根据供应商提供的正规发票，按财政部门规定的支付方式支付合同金额的50%给供应商。</w:t>
      </w:r>
    </w:p>
    <w:p>
      <w:pPr>
        <w:snapToGrid w:val="0"/>
        <w:spacing w:line="360" w:lineRule="auto"/>
        <w:ind w:firstLine="480" w:firstLineChars="20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kern w:val="2"/>
          <w:sz w:val="24"/>
          <w:szCs w:val="24"/>
          <w:highlight w:val="none"/>
          <w:u w:val="none"/>
          <w:lang w:val="en-US" w:eastAsia="zh-CN" w:bidi="ar-SA"/>
        </w:rPr>
        <w:t>2.剩余款项：项目通过验收后7个工作日内，按财政部门规定的支付方式支付合同金额的50%给供应商。</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九、税费</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本合同执行中相关的一切</w:t>
      </w:r>
      <w:bookmarkStart w:id="403" w:name="ManulField14"/>
      <w:r>
        <w:rPr>
          <w:rFonts w:hint="eastAsia" w:ascii="仿宋_GB2312" w:hAnsi="仿宋_GB2312" w:eastAsia="仿宋_GB2312" w:cs="仿宋_GB2312"/>
          <w:color w:val="auto"/>
          <w:sz w:val="24"/>
          <w:szCs w:val="24"/>
          <w:highlight w:val="none"/>
          <w:u w:val="single"/>
        </w:rPr>
        <w:fldChar w:fldCharType="begin">
          <w:ffData>
            <w:name w:val="ManulField14"/>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03"/>
      <w:r>
        <w:rPr>
          <w:rFonts w:hint="eastAsia" w:ascii="仿宋_GB2312" w:hAnsi="仿宋_GB2312" w:eastAsia="仿宋_GB2312" w:cs="仿宋_GB2312"/>
          <w:color w:val="auto"/>
          <w:sz w:val="24"/>
          <w:szCs w:val="24"/>
          <w:highlight w:val="none"/>
        </w:rPr>
        <w:t>均由乙方负担。</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十、质量保证及售后服务</w:t>
      </w:r>
    </w:p>
    <w:p>
      <w:pPr>
        <w:snapToGrid w:val="0"/>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 乙方应按招标文件规定的货物性能、技术要求、质量标准向甲方提供原厂原包装全新产品，原厂整机到客户指定地点,所有硬件设备客户信息均为“</w:t>
      </w:r>
      <w:bookmarkStart w:id="404" w:name="ManulField15"/>
      <w:r>
        <w:rPr>
          <w:rFonts w:hint="eastAsia" w:ascii="仿宋_GB2312" w:hAnsi="仿宋_GB2312" w:eastAsia="仿宋_GB2312" w:cs="仿宋_GB2312"/>
          <w:color w:val="auto"/>
          <w:sz w:val="24"/>
          <w:szCs w:val="24"/>
          <w:highlight w:val="none"/>
          <w:u w:val="single"/>
        </w:rPr>
        <w:fldChar w:fldCharType="begin">
          <w:ffData>
            <w:name w:val="ManulField15"/>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04"/>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乙方提供的货物在质保期内因货物本身的质量问题发生故障，乙方应负责免费更换。对达不到技术要求者，根据实际情况，经双方协商，可按以下办法处理：</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⑴更换：由乙方承担所发生的全部费用。⑵贬值处理：由甲乙双方合议定价。</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⑶退货处理：乙方应退还甲方支付的合同款，同时应承担该货物的直接费用（运输、保险、检验、货款利息及银行手续费等）。</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 在质保期内，乙方应对货物出现的质量及安全问题负责处理解决并承担一切费用。</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4．上述的货物免费原厂质保期为</w:t>
      </w:r>
      <w:bookmarkStart w:id="405" w:name="ManulField16"/>
      <w:r>
        <w:rPr>
          <w:rFonts w:hint="eastAsia" w:ascii="仿宋_GB2312" w:hAnsi="仿宋_GB2312" w:eastAsia="仿宋_GB2312" w:cs="仿宋_GB2312"/>
          <w:color w:val="auto"/>
          <w:sz w:val="24"/>
          <w:szCs w:val="24"/>
          <w:highlight w:val="none"/>
          <w:u w:val="single"/>
        </w:rPr>
        <w:fldChar w:fldCharType="begin">
          <w:ffData>
            <w:name w:val="ManulField16"/>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05"/>
      <w:r>
        <w:rPr>
          <w:rFonts w:hint="eastAsia" w:ascii="仿宋_GB2312" w:hAnsi="仿宋_GB2312" w:eastAsia="仿宋_GB2312" w:cs="仿宋_GB2312"/>
          <w:color w:val="auto"/>
          <w:sz w:val="24"/>
          <w:szCs w:val="24"/>
          <w:highlight w:val="none"/>
        </w:rPr>
        <w:t>。（自交货验收合格之日起计），因人为因素出现的故障不在免费保修范围内。超过保修期的机器设备，终生维修，维修时只收部件成本费。</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 如在使用过程中发生质量问题，乙方在接到甲方通知后，在规定时限内进行修复，</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分钟</w:t>
      </w:r>
      <w:r>
        <w:rPr>
          <w:rFonts w:hint="eastAsia" w:ascii="仿宋_GB2312" w:hAnsi="仿宋_GB2312" w:eastAsia="仿宋_GB2312" w:cs="仿宋_GB2312"/>
          <w:color w:val="auto"/>
          <w:sz w:val="24"/>
          <w:szCs w:val="24"/>
          <w:highlight w:val="none"/>
          <w:u w:val="none"/>
          <w:lang w:val="en-US" w:eastAsia="zh-CN"/>
        </w:rPr>
        <w:t>内</w:t>
      </w:r>
      <w:r>
        <w:rPr>
          <w:rFonts w:hint="eastAsia" w:ascii="仿宋_GB2312" w:hAnsi="仿宋_GB2312" w:eastAsia="仿宋_GB2312" w:cs="仿宋_GB2312"/>
          <w:color w:val="auto"/>
          <w:sz w:val="24"/>
          <w:szCs w:val="24"/>
          <w:highlight w:val="none"/>
        </w:rPr>
        <w:t>确认故障情况，</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小时内修复（除设备故障）。甲方应积极予以协助配合。乙方承诺将甲方作为集团重要客户进行后续服务，确保提供专职客户经理一对一的服务，客户经理</w:t>
      </w:r>
      <w:bookmarkStart w:id="406" w:name="ManulField19"/>
      <w:r>
        <w:rPr>
          <w:rFonts w:hint="eastAsia" w:ascii="仿宋_GB2312" w:hAnsi="仿宋_GB2312" w:eastAsia="仿宋_GB2312" w:cs="仿宋_GB2312"/>
          <w:color w:val="auto"/>
          <w:sz w:val="24"/>
          <w:szCs w:val="24"/>
          <w:highlight w:val="none"/>
          <w:u w:val="single"/>
        </w:rPr>
        <w:fldChar w:fldCharType="begin">
          <w:ffData>
            <w:name w:val="ManulField19"/>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06"/>
      <w:r>
        <w:rPr>
          <w:rFonts w:hint="eastAsia" w:ascii="仿宋_GB2312" w:hAnsi="仿宋_GB2312" w:eastAsia="仿宋_GB2312" w:cs="仿宋_GB2312"/>
          <w:color w:val="auto"/>
          <w:sz w:val="24"/>
          <w:szCs w:val="24"/>
          <w:highlight w:val="none"/>
        </w:rPr>
        <w:t>，联系电话</w:t>
      </w:r>
      <w:bookmarkStart w:id="407" w:name="ManulField20"/>
      <w:r>
        <w:rPr>
          <w:rFonts w:hint="eastAsia" w:ascii="仿宋_GB2312" w:hAnsi="仿宋_GB2312" w:eastAsia="仿宋_GB2312" w:cs="仿宋_GB2312"/>
          <w:color w:val="auto"/>
          <w:sz w:val="24"/>
          <w:szCs w:val="24"/>
          <w:highlight w:val="none"/>
          <w:u w:val="single"/>
        </w:rPr>
        <w:fldChar w:fldCharType="begin">
          <w:ffData>
            <w:name w:val="ManulField20"/>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07"/>
      <w:r>
        <w:rPr>
          <w:rFonts w:hint="eastAsia" w:ascii="仿宋_GB2312" w:hAnsi="仿宋_GB2312" w:eastAsia="仿宋_GB2312" w:cs="仿宋_GB2312"/>
          <w:color w:val="auto"/>
          <w:sz w:val="24"/>
          <w:szCs w:val="24"/>
          <w:highlight w:val="none"/>
        </w:rPr>
        <w:t>。</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6.指派专人（姓名：</w:t>
      </w:r>
      <w:bookmarkStart w:id="408" w:name="ManulField21"/>
      <w:r>
        <w:rPr>
          <w:rFonts w:hint="eastAsia" w:ascii="仿宋_GB2312" w:hAnsi="仿宋_GB2312" w:eastAsia="仿宋_GB2312" w:cs="仿宋_GB2312"/>
          <w:color w:val="auto"/>
          <w:sz w:val="24"/>
          <w:szCs w:val="24"/>
          <w:highlight w:val="none"/>
          <w:u w:val="single"/>
        </w:rPr>
        <w:fldChar w:fldCharType="begin">
          <w:ffData>
            <w:name w:val="ManulField21"/>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08"/>
      <w:r>
        <w:rPr>
          <w:rFonts w:hint="eastAsia" w:ascii="仿宋_GB2312" w:hAnsi="仿宋_GB2312" w:eastAsia="仿宋_GB2312" w:cs="仿宋_GB2312"/>
          <w:color w:val="auto"/>
          <w:sz w:val="24"/>
          <w:szCs w:val="24"/>
          <w:highlight w:val="none"/>
        </w:rPr>
        <w:t xml:space="preserve"> 电话</w:t>
      </w:r>
      <w:r>
        <w:rPr>
          <w:rFonts w:hint="eastAsia" w:ascii="仿宋_GB2312" w:hAnsi="仿宋_GB2312" w:eastAsia="仿宋_GB2312" w:cs="仿宋_GB2312"/>
          <w:color w:val="auto"/>
          <w:sz w:val="24"/>
          <w:szCs w:val="24"/>
          <w:highlight w:val="none"/>
          <w:lang w:eastAsia="zh-CN"/>
        </w:rPr>
        <w:t>：</w:t>
      </w:r>
      <w:bookmarkStart w:id="409" w:name="ManulField22"/>
      <w:r>
        <w:rPr>
          <w:rFonts w:hint="eastAsia" w:ascii="仿宋_GB2312" w:hAnsi="仿宋_GB2312" w:eastAsia="仿宋_GB2312" w:cs="仿宋_GB2312"/>
          <w:color w:val="auto"/>
          <w:sz w:val="24"/>
          <w:szCs w:val="24"/>
          <w:highlight w:val="none"/>
          <w:u w:val="single"/>
          <w:lang w:eastAsia="zh-CN"/>
        </w:rPr>
        <w:fldChar w:fldCharType="begin">
          <w:ffData>
            <w:name w:val="ManulField22"/>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lang w:eastAsia="zh-CN"/>
        </w:rPr>
        <w:instrText xml:space="preserve">FORMTEXT</w:instrText>
      </w:r>
      <w:r>
        <w:rPr>
          <w:rFonts w:hint="eastAsia" w:ascii="仿宋_GB2312" w:hAnsi="仿宋_GB2312" w:eastAsia="仿宋_GB2312" w:cs="仿宋_GB2312"/>
          <w:color w:val="auto"/>
          <w:sz w:val="24"/>
          <w:szCs w:val="24"/>
          <w:highlight w:val="none"/>
          <w:u w:val="single"/>
          <w:lang w:eastAsia="zh-CN"/>
        </w:rPr>
        <w:fldChar w:fldCharType="separate"/>
      </w:r>
      <w:r>
        <w:rPr>
          <w:rFonts w:hint="eastAsia" w:ascii="仿宋_GB2312" w:hAnsi="仿宋_GB2312" w:eastAsia="仿宋_GB2312" w:cs="仿宋_GB2312"/>
          <w:color w:val="auto"/>
          <w:sz w:val="24"/>
          <w:szCs w:val="24"/>
          <w:highlight w:val="none"/>
          <w:u w:val="single"/>
          <w:lang w:val="en-US" w:eastAsia="zh-CN"/>
        </w:rPr>
        <w:t>     </w:t>
      </w:r>
      <w:r>
        <w:rPr>
          <w:rFonts w:hint="eastAsia" w:ascii="仿宋_GB2312" w:hAnsi="仿宋_GB2312" w:eastAsia="仿宋_GB2312" w:cs="仿宋_GB2312"/>
          <w:color w:val="auto"/>
          <w:sz w:val="24"/>
          <w:szCs w:val="24"/>
          <w:highlight w:val="none"/>
          <w:u w:val="single"/>
          <w:lang w:eastAsia="zh-CN"/>
        </w:rPr>
        <w:fldChar w:fldCharType="end"/>
      </w:r>
      <w:bookmarkEnd w:id="409"/>
      <w:r>
        <w:rPr>
          <w:rFonts w:hint="eastAsia" w:ascii="仿宋_GB2312" w:hAnsi="仿宋_GB2312" w:eastAsia="仿宋_GB2312" w:cs="仿宋_GB2312"/>
          <w:color w:val="auto"/>
          <w:sz w:val="24"/>
          <w:szCs w:val="24"/>
          <w:highlight w:val="none"/>
        </w:rPr>
        <w:t>）为本项目的代表，负责本项目的对接工作。</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十一、调试和验收</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甲方对乙方提交的货物依据招标文件上的技术规格要求和国家有关质量标准进行现场初步验收，外观、说明书符合招标文件技术要求的，给予签收，初步验收不合格的不予签收。</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乙方交货前应对产品作出全面检查和对验收文件进行整理，并列出清单，作为甲方收货验收和使用的技术条件依据，检验的结果应随货物交甲方。</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 甲方对乙方提供的货物在使用前进行调试时，乙方需负责安装并培训甲方的使用操作人员，并协助甲方一起调试，直到符合技术要求，甲方才做最终验收。</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 对技术复杂的货物，甲方应请国家认可的专业检测机构参与初步验收及最终验收，并由其出具质量检测报告。</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 验收时乙方必须在现场，验收完毕后作出验收结果报告；验收费用由乙方负责。</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十二、货物包装、发运及运输</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乙方应在货物发运前对其进行满足运输距离、防潮、防震、防锈和防破损装卸等要求包装，以保证货物安全运达甲方指定地点。</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使用说明书、质量检验证明书、随配附件和工具以及清单一并附于货物内。</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 乙方在货物发运手续办理完毕后</w:t>
      </w:r>
      <w:bookmarkStart w:id="410" w:name="ManulField24"/>
      <w:r>
        <w:rPr>
          <w:rFonts w:hint="eastAsia" w:ascii="仿宋_GB2312" w:hAnsi="仿宋_GB2312" w:eastAsia="仿宋_GB2312" w:cs="仿宋_GB2312"/>
          <w:color w:val="auto"/>
          <w:sz w:val="24"/>
          <w:szCs w:val="24"/>
          <w:highlight w:val="none"/>
          <w:u w:val="single"/>
        </w:rPr>
        <w:fldChar w:fldCharType="begin">
          <w:ffData>
            <w:name w:val="ManulField24"/>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lang w:val="en-US" w:eastAsia="zh-CN"/>
        </w:rPr>
        <w:t>24</w:t>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10"/>
      <w:r>
        <w:rPr>
          <w:rFonts w:hint="eastAsia" w:ascii="仿宋_GB2312" w:hAnsi="仿宋_GB2312" w:eastAsia="仿宋_GB2312" w:cs="仿宋_GB2312"/>
          <w:color w:val="auto"/>
          <w:sz w:val="24"/>
          <w:szCs w:val="24"/>
          <w:highlight w:val="none"/>
        </w:rPr>
        <w:t>小时内或货到甲方</w:t>
      </w:r>
      <w:r>
        <w:rPr>
          <w:rFonts w:hint="eastAsia" w:ascii="仿宋_GB2312" w:hAnsi="仿宋_GB2312" w:eastAsia="仿宋_GB2312" w:cs="仿宋_GB2312"/>
          <w:color w:val="auto"/>
          <w:sz w:val="24"/>
          <w:szCs w:val="24"/>
          <w:highlight w:val="none"/>
          <w:u w:val="single"/>
        </w:rPr>
        <w:fldChar w:fldCharType="begin">
          <w:ffData>
            <w:name w:val="ManulField24"/>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lang w:val="en-US" w:eastAsia="zh-CN"/>
        </w:rPr>
        <w:t>24</w:t>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r>
        <w:rPr>
          <w:rFonts w:hint="eastAsia" w:ascii="仿宋_GB2312" w:hAnsi="仿宋_GB2312" w:eastAsia="仿宋_GB2312" w:cs="仿宋_GB2312"/>
          <w:color w:val="auto"/>
          <w:sz w:val="24"/>
          <w:szCs w:val="24"/>
          <w:highlight w:val="none"/>
        </w:rPr>
        <w:t>小时前通知甲方，以准备接货。</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 货物在交付甲方前发生的风险均由乙方负责。</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 货物在规定的交付期限内由乙方送达甲方指定的地点视为交付，乙方同时需通知甲方货物已送达。</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十三、违约责任</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甲方无正当理由拒收货物的，甲方向乙方偿付拒收货款总值的百分之五违约金。</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甲方无故逾期验收和办理货款支付手续的,甲方应按逾期付款总额每日万分之五向乙方支付违约金。</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 乙方逾期交付货物的，乙方应按逾期交货总额每日万分之五向甲方支付违约金，由甲方从待付货款中扣除。逾期超过约定日期</w:t>
      </w:r>
      <w:bookmarkStart w:id="411" w:name="ManulField26"/>
      <w:r>
        <w:rPr>
          <w:rFonts w:hint="eastAsia" w:ascii="仿宋_GB2312" w:hAnsi="仿宋_GB2312" w:eastAsia="仿宋_GB2312" w:cs="仿宋_GB2312"/>
          <w:color w:val="auto"/>
          <w:sz w:val="24"/>
          <w:szCs w:val="24"/>
          <w:highlight w:val="none"/>
          <w:u w:val="single"/>
        </w:rPr>
        <w:fldChar w:fldCharType="begin">
          <w:ffData>
            <w:name w:val="ManulField26"/>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lang w:val="en-US" w:eastAsia="zh-CN"/>
        </w:rPr>
        <w:t>15</w:t>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11"/>
      <w:r>
        <w:rPr>
          <w:rFonts w:hint="eastAsia" w:ascii="仿宋_GB2312" w:hAnsi="仿宋_GB2312" w:eastAsia="仿宋_GB2312" w:cs="仿宋_GB2312"/>
          <w:color w:val="auto"/>
          <w:sz w:val="24"/>
          <w:szCs w:val="24"/>
          <w:highlight w:val="none"/>
        </w:rPr>
        <w:t>个工作日不能交货的，甲方可解除本合同。乙方因逾期交货或因其他违约行为导致甲方解除合同的，乙方应向甲方支付合同总值</w:t>
      </w:r>
      <w:bookmarkStart w:id="412" w:name="ManulField32"/>
      <w:r>
        <w:rPr>
          <w:rFonts w:hint="eastAsia" w:ascii="仿宋_GB2312" w:hAnsi="仿宋_GB2312" w:eastAsia="仿宋_GB2312" w:cs="仿宋_GB2312"/>
          <w:color w:val="auto"/>
          <w:sz w:val="24"/>
          <w:szCs w:val="24"/>
          <w:highlight w:val="none"/>
          <w:u w:val="single"/>
        </w:rPr>
        <w:fldChar w:fldCharType="begin">
          <w:ffData>
            <w:name w:val="ManulField32"/>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lang w:val="en-US" w:eastAsia="zh-CN"/>
        </w:rPr>
        <w:t>10</w:t>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12"/>
      <w:r>
        <w:rPr>
          <w:rFonts w:hint="eastAsia" w:ascii="仿宋_GB2312" w:hAnsi="仿宋_GB2312" w:eastAsia="仿宋_GB2312" w:cs="仿宋_GB2312"/>
          <w:color w:val="auto"/>
          <w:sz w:val="24"/>
          <w:szCs w:val="24"/>
          <w:highlight w:val="none"/>
        </w:rPr>
        <w:t xml:space="preserve">%的违约金，如造成甲方损失超过违约金的，超出部分由乙方继续承担赔偿责任。 </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napToGrid w:val="0"/>
        <w:spacing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合同任一方被法院纳入失信被执行人的，其他方有权迟延付款或者迟延交付且不视为违约，同时其他方有权随时解除合同。</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十四、不可抗力事件处理</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在合同有效期内，任何一方因不可抗力事件导致不能履行合同，则合同履行期可延长，其延长期与不可抗力影响期相同。</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不可抗力事件发生后，应立即通知对方，并寄送有关权威机构出具的证明。</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 不可抗力事件延续120天以上，双方应通过友好协商，确定是否继续履行合同。</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十五、诉讼</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双方在执行合同中所发生的一切争议，应通过协商解决。如协商不成，可向甲方所在地法院起诉。</w:t>
      </w:r>
    </w:p>
    <w:p>
      <w:pPr>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十六、合同生效及其它</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合同</w:t>
      </w:r>
      <w:r>
        <w:rPr>
          <w:rFonts w:hint="eastAsia" w:ascii="仿宋_GB2312" w:hAnsi="仿宋_GB2312" w:eastAsia="仿宋_GB2312" w:cs="仿宋_GB2312"/>
          <w:color w:val="auto"/>
          <w:sz w:val="24"/>
          <w:szCs w:val="24"/>
          <w:highlight w:val="none"/>
          <w:lang w:eastAsia="zh-CN"/>
        </w:rPr>
        <w:t>有效期</w:t>
      </w:r>
      <w:bookmarkStart w:id="413" w:name="ManulField27"/>
      <w:r>
        <w:rPr>
          <w:rFonts w:hint="eastAsia" w:ascii="仿宋_GB2312" w:hAnsi="仿宋_GB2312" w:eastAsia="仿宋_GB2312" w:cs="仿宋_GB2312"/>
          <w:color w:val="auto"/>
          <w:sz w:val="24"/>
          <w:szCs w:val="24"/>
          <w:highlight w:val="none"/>
          <w:u w:val="single"/>
          <w:lang w:eastAsia="zh-CN"/>
        </w:rPr>
        <w:fldChar w:fldCharType="begin">
          <w:ffData>
            <w:name w:val="ManulField27"/>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lang w:eastAsia="zh-CN"/>
        </w:rPr>
        <w:instrText xml:space="preserve">FORMTEXT</w:instrText>
      </w:r>
      <w:r>
        <w:rPr>
          <w:rFonts w:hint="eastAsia" w:ascii="仿宋_GB2312" w:hAnsi="仿宋_GB2312" w:eastAsia="仿宋_GB2312" w:cs="仿宋_GB2312"/>
          <w:color w:val="auto"/>
          <w:sz w:val="24"/>
          <w:szCs w:val="24"/>
          <w:highlight w:val="none"/>
          <w:u w:val="single"/>
          <w:lang w:eastAsia="zh-CN"/>
        </w:rPr>
        <w:fldChar w:fldCharType="separate"/>
      </w:r>
      <w:r>
        <w:rPr>
          <w:rFonts w:hint="eastAsia" w:ascii="仿宋_GB2312" w:hAnsi="仿宋_GB2312" w:eastAsia="仿宋_GB2312" w:cs="仿宋_GB2312"/>
          <w:color w:val="auto"/>
          <w:sz w:val="24"/>
          <w:szCs w:val="24"/>
          <w:highlight w:val="none"/>
          <w:u w:val="single"/>
          <w:lang w:val="en-US" w:eastAsia="zh-CN"/>
        </w:rPr>
        <w:t>     </w:t>
      </w:r>
      <w:r>
        <w:rPr>
          <w:rFonts w:hint="eastAsia" w:ascii="仿宋_GB2312" w:hAnsi="仿宋_GB2312" w:eastAsia="仿宋_GB2312" w:cs="仿宋_GB2312"/>
          <w:color w:val="auto"/>
          <w:sz w:val="24"/>
          <w:szCs w:val="24"/>
          <w:highlight w:val="none"/>
          <w:u w:val="single"/>
          <w:lang w:eastAsia="zh-CN"/>
        </w:rPr>
        <w:fldChar w:fldCharType="end"/>
      </w:r>
      <w:bookmarkEnd w:id="413"/>
      <w:r>
        <w:rPr>
          <w:rFonts w:hint="eastAsia" w:ascii="仿宋_GB2312" w:hAnsi="仿宋_GB2312" w:eastAsia="仿宋_GB2312" w:cs="仿宋_GB2312"/>
          <w:color w:val="auto"/>
          <w:sz w:val="24"/>
          <w:szCs w:val="24"/>
          <w:highlight w:val="none"/>
        </w:rPr>
        <w:t>。</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2．本合同未尽事宜，遵照《</w:t>
      </w:r>
      <w:r>
        <w:rPr>
          <w:rFonts w:hint="eastAsia" w:ascii="仿宋_GB2312" w:hAnsi="仿宋_GB2312" w:eastAsia="仿宋_GB2312" w:cs="仿宋_GB2312"/>
          <w:color w:val="auto"/>
          <w:sz w:val="24"/>
          <w:szCs w:val="24"/>
          <w:highlight w:val="none"/>
          <w:lang w:val="en-US" w:eastAsia="zh-CN"/>
        </w:rPr>
        <w:t>民法典</w:t>
      </w:r>
      <w:r>
        <w:rPr>
          <w:rFonts w:hint="eastAsia" w:ascii="仿宋_GB2312" w:hAnsi="仿宋_GB2312" w:eastAsia="仿宋_GB2312" w:cs="仿宋_GB2312"/>
          <w:color w:val="auto"/>
          <w:sz w:val="24"/>
          <w:szCs w:val="24"/>
          <w:highlight w:val="none"/>
        </w:rPr>
        <w:t>》有关条文执行。</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3．本合同正本一式</w:t>
      </w:r>
      <w:bookmarkStart w:id="414" w:name="ManulField28"/>
      <w:r>
        <w:rPr>
          <w:rFonts w:hint="eastAsia" w:ascii="仿宋_GB2312" w:hAnsi="仿宋_GB2312" w:eastAsia="仿宋_GB2312" w:cs="仿宋_GB2312"/>
          <w:color w:val="auto"/>
          <w:sz w:val="24"/>
          <w:szCs w:val="24"/>
          <w:highlight w:val="none"/>
          <w:u w:val="single"/>
        </w:rPr>
        <w:fldChar w:fldCharType="begin">
          <w:ffData>
            <w:name w:val="ManulField28"/>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14"/>
      <w:r>
        <w:rPr>
          <w:rFonts w:hint="eastAsia" w:ascii="仿宋_GB2312" w:hAnsi="仿宋_GB2312" w:eastAsia="仿宋_GB2312" w:cs="仿宋_GB2312"/>
          <w:color w:val="auto"/>
          <w:sz w:val="24"/>
          <w:szCs w:val="24"/>
          <w:highlight w:val="none"/>
        </w:rPr>
        <w:t>份，具有同等法律效力，甲乙双方各执</w:t>
      </w:r>
      <w:bookmarkStart w:id="415" w:name="ManulField29"/>
      <w:r>
        <w:rPr>
          <w:rFonts w:hint="eastAsia" w:ascii="仿宋_GB2312" w:hAnsi="仿宋_GB2312" w:eastAsia="仿宋_GB2312" w:cs="仿宋_GB2312"/>
          <w:color w:val="auto"/>
          <w:sz w:val="24"/>
          <w:szCs w:val="24"/>
          <w:highlight w:val="none"/>
          <w:u w:val="single"/>
        </w:rPr>
        <w:fldChar w:fldCharType="begin">
          <w:ffData>
            <w:name w:val="ManulField29"/>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15"/>
      <w:r>
        <w:rPr>
          <w:rFonts w:hint="eastAsia" w:ascii="仿宋_GB2312" w:hAnsi="仿宋_GB2312" w:eastAsia="仿宋_GB2312" w:cs="仿宋_GB2312"/>
          <w:color w:val="auto"/>
          <w:sz w:val="24"/>
          <w:szCs w:val="24"/>
          <w:highlight w:val="none"/>
        </w:rPr>
        <w:t>份；</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w:t>
      </w:r>
      <w:bookmarkStart w:id="416" w:name="ManulField30"/>
      <w:r>
        <w:rPr>
          <w:rFonts w:hint="eastAsia" w:ascii="仿宋_GB2312" w:hAnsi="仿宋_GB2312" w:eastAsia="仿宋_GB2312" w:cs="仿宋_GB2312"/>
          <w:color w:val="auto"/>
          <w:sz w:val="24"/>
          <w:szCs w:val="24"/>
          <w:highlight w:val="none"/>
          <w:u w:val="single"/>
        </w:rPr>
        <w:fldChar w:fldCharType="begin">
          <w:ffData>
            <w:name w:val="ManulField30"/>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16"/>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u w:val="single"/>
        </w:rPr>
        <w:fldChar w:fldCharType="begin">
          <w:ffData>
            <w:name w:val="ManulField30"/>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r>
        <w:rPr>
          <w:rFonts w:hint="eastAsia" w:ascii="仿宋_GB2312" w:hAnsi="仿宋_GB2312" w:eastAsia="仿宋_GB2312" w:cs="仿宋_GB2312"/>
          <w:color w:val="auto"/>
          <w:sz w:val="24"/>
          <w:szCs w:val="24"/>
          <w:highlight w:val="none"/>
        </w:rPr>
        <w:t xml:space="preserve"> </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w:t>
      </w:r>
      <w:bookmarkStart w:id="417" w:name="ManulField31"/>
      <w:r>
        <w:rPr>
          <w:rFonts w:hint="eastAsia" w:ascii="仿宋_GB2312" w:hAnsi="仿宋_GB2312" w:eastAsia="仿宋_GB2312" w:cs="仿宋_GB2312"/>
          <w:color w:val="auto"/>
          <w:sz w:val="24"/>
          <w:szCs w:val="24"/>
          <w:highlight w:val="none"/>
          <w:u w:val="single"/>
        </w:rPr>
        <w:fldChar w:fldCharType="begin">
          <w:ffData>
            <w:name w:val="ManulField31"/>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bookmarkEnd w:id="417"/>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u w:val="single"/>
        </w:rPr>
        <w:fldChar w:fldCharType="begin">
          <w:ffData>
            <w:name w:val="ManulField30"/>
            <w:enabled/>
            <w:calcOnExit w:val="0"/>
            <w:statusText w:type="text" w:val="不同步字段"/>
            <w:textInput/>
          </w:ffData>
        </w:fldChar>
      </w:r>
      <w:r>
        <w:rPr>
          <w:rFonts w:hint="eastAsia" w:ascii="仿宋_GB2312" w:hAnsi="仿宋_GB2312" w:eastAsia="仿宋_GB2312" w:cs="仿宋_GB2312"/>
          <w:color w:val="auto"/>
          <w:sz w:val="24"/>
          <w:szCs w:val="24"/>
          <w:highlight w:val="none"/>
          <w:u w:val="single"/>
        </w:rPr>
        <w:instrText xml:space="preserve">FORMTEXT</w:instrText>
      </w:r>
      <w:r>
        <w:rPr>
          <w:rFonts w:hint="eastAsia" w:ascii="仿宋_GB2312" w:hAnsi="仿宋_GB2312" w:eastAsia="仿宋_GB2312" w:cs="仿宋_GB2312"/>
          <w:color w:val="auto"/>
          <w:sz w:val="24"/>
          <w:szCs w:val="24"/>
          <w:highlight w:val="none"/>
          <w:u w:val="single"/>
        </w:rPr>
        <w:fldChar w:fldCharType="separate"/>
      </w:r>
      <w:r>
        <w:rPr>
          <w:rFonts w:hint="eastAsia" w:ascii="仿宋_GB2312" w:hAnsi="仿宋_GB2312" w:eastAsia="仿宋_GB2312" w:cs="仿宋_GB2312"/>
          <w:color w:val="auto"/>
          <w:sz w:val="24"/>
          <w:szCs w:val="24"/>
          <w:highlight w:val="none"/>
          <w:u w:val="single"/>
          <w:lang w:val="en-US"/>
        </w:rPr>
        <w:t>     </w:t>
      </w:r>
      <w:r>
        <w:rPr>
          <w:rFonts w:hint="eastAsia" w:ascii="仿宋_GB2312" w:hAnsi="仿宋_GB2312" w:eastAsia="仿宋_GB2312" w:cs="仿宋_GB2312"/>
          <w:color w:val="auto"/>
          <w:sz w:val="24"/>
          <w:szCs w:val="24"/>
          <w:highlight w:val="none"/>
          <w:u w:val="single"/>
        </w:rPr>
        <w:fldChar w:fldCharType="end"/>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法定（授权）代表人：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法定（授权）代表人：</w:t>
      </w:r>
    </w:p>
    <w:p>
      <w:pPr>
        <w:snapToGrid w:val="0"/>
        <w:spacing w:line="360" w:lineRule="auto"/>
        <w:ind w:firstLine="360" w:firstLineChars="1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pPr>
        <w:snapToGrid w:val="0"/>
        <w:spacing w:line="360" w:lineRule="auto"/>
        <w:ind w:firstLine="360" w:firstLineChars="1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签字日期：   年  月  日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签字日期：   年  月  日</w:t>
      </w:r>
    </w:p>
    <w:p>
      <w:pPr>
        <w:pStyle w:val="3"/>
        <w:rPr>
          <w:rFonts w:hint="eastAsia" w:ascii="仿宋_GB2312" w:hAnsi="仿宋_GB2312" w:eastAsia="仿宋_GB2312" w:cs="仿宋_GB2312"/>
          <w:b/>
          <w:color w:val="auto"/>
          <w:sz w:val="28"/>
          <w:szCs w:val="28"/>
          <w:highlight w:val="none"/>
        </w:rPr>
      </w:pPr>
    </w:p>
    <w:p>
      <w:pPr>
        <w:pStyle w:val="3"/>
        <w:rPr>
          <w:rFonts w:hint="eastAsia" w:ascii="仿宋_GB2312" w:hAnsi="仿宋_GB2312" w:eastAsia="仿宋_GB2312" w:cs="仿宋_GB2312"/>
          <w:b/>
          <w:color w:val="auto"/>
          <w:sz w:val="28"/>
          <w:szCs w:val="28"/>
          <w:highlight w:val="none"/>
        </w:rPr>
      </w:pPr>
    </w:p>
    <w:p>
      <w:pPr>
        <w:pStyle w:val="3"/>
        <w:rPr>
          <w:rFonts w:hint="eastAsia" w:ascii="仿宋_GB2312" w:hAnsi="仿宋_GB2312" w:eastAsia="仿宋_GB2312" w:cs="仿宋_GB2312"/>
          <w:b/>
          <w:color w:val="auto"/>
          <w:sz w:val="28"/>
          <w:szCs w:val="28"/>
          <w:highlight w:val="none"/>
        </w:rPr>
      </w:pPr>
    </w:p>
    <w:p>
      <w:pPr>
        <w:pStyle w:val="3"/>
        <w:ind w:left="0" w:leftChars="0" w:firstLine="0" w:firstLineChars="0"/>
        <w:rPr>
          <w:rFonts w:hint="eastAsia" w:ascii="仿宋_GB2312" w:hAnsi="仿宋_GB2312" w:eastAsia="仿宋_GB2312" w:cs="仿宋_GB2312"/>
          <w:b/>
          <w:color w:val="auto"/>
          <w:sz w:val="28"/>
          <w:szCs w:val="28"/>
          <w:highlight w:val="none"/>
        </w:rPr>
      </w:pPr>
    </w:p>
    <w:p>
      <w:pPr>
        <w:pStyle w:val="3"/>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b/>
          <w:color w:val="auto"/>
          <w:sz w:val="28"/>
          <w:szCs w:val="28"/>
          <w:highlight w:val="none"/>
        </w:rPr>
      </w:pPr>
    </w:p>
    <w:p>
      <w:pPr>
        <w:pStyle w:val="2"/>
        <w:rPr>
          <w:rFonts w:hint="eastAsia" w:ascii="仿宋_GB2312" w:hAnsi="仿宋_GB2312" w:eastAsia="仿宋_GB2312" w:cs="仿宋_GB2312"/>
          <w:b/>
          <w:color w:val="auto"/>
          <w:sz w:val="28"/>
          <w:szCs w:val="28"/>
          <w:highlight w:val="none"/>
        </w:rPr>
      </w:pPr>
    </w:p>
    <w:p>
      <w:pPr>
        <w:pStyle w:val="4"/>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b/>
          <w:color w:val="auto"/>
          <w:sz w:val="28"/>
          <w:szCs w:val="28"/>
          <w:highlight w:val="none"/>
        </w:rPr>
      </w:pPr>
    </w:p>
    <w:p>
      <w:pPr>
        <w:pStyle w:val="2"/>
        <w:rPr>
          <w:rFonts w:hint="eastAsia" w:ascii="仿宋_GB2312" w:hAnsi="仿宋_GB2312" w:eastAsia="仿宋_GB2312" w:cs="仿宋_GB2312"/>
          <w:b/>
          <w:color w:val="auto"/>
          <w:sz w:val="28"/>
          <w:szCs w:val="28"/>
          <w:highlight w:val="none"/>
        </w:rPr>
      </w:pPr>
    </w:p>
    <w:p>
      <w:pPr>
        <w:pStyle w:val="4"/>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b/>
          <w:color w:val="auto"/>
          <w:sz w:val="28"/>
          <w:szCs w:val="28"/>
          <w:highlight w:val="none"/>
        </w:rPr>
      </w:pPr>
    </w:p>
    <w:p>
      <w:pPr>
        <w:pStyle w:val="2"/>
        <w:rPr>
          <w:rFonts w:hint="eastAsia"/>
          <w:color w:val="auto"/>
          <w:highlight w:val="none"/>
        </w:rPr>
      </w:pPr>
    </w:p>
    <w:p>
      <w:pPr>
        <w:spacing w:line="540" w:lineRule="exact"/>
        <w:contextualSpacing/>
        <w:jc w:val="both"/>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第六部分</w:t>
      </w:r>
      <w:bookmarkEnd w:id="392"/>
      <w:bookmarkEnd w:id="393"/>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应提交的有关格式范例</w:t>
      </w:r>
    </w:p>
    <w:p>
      <w:pPr>
        <w:spacing w:line="540" w:lineRule="exact"/>
        <w:contextualSpacing/>
        <w:rPr>
          <w:rFonts w:hint="eastAsia" w:ascii="仿宋_GB2312" w:hAnsi="仿宋_GB2312" w:eastAsia="仿宋_GB2312" w:cs="仿宋_GB2312"/>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资格文件部分</w:t>
      </w:r>
    </w:p>
    <w:p>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目录</w:t>
      </w:r>
    </w:p>
    <w:p>
      <w:pPr>
        <w:spacing w:line="540" w:lineRule="exact"/>
        <w:contextualSpacing/>
        <w:rPr>
          <w:rFonts w:hint="eastAsia" w:ascii="仿宋_GB2312" w:hAnsi="仿宋_GB2312" w:eastAsia="仿宋_GB2312" w:cs="仿宋_GB2312"/>
          <w:color w:val="auto"/>
          <w:sz w:val="28"/>
          <w:szCs w:val="28"/>
          <w:highlight w:val="none"/>
        </w:rPr>
      </w:pPr>
    </w:p>
    <w:p>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一、符合参加政府采购活动应当具备的一般条件的承诺函…………（页码）</w:t>
      </w:r>
    </w:p>
    <w:p>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二、联合协议（如果有）………………………………………………（页码）</w:t>
      </w:r>
    </w:p>
    <w:p>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三、落实政府采购政策需满足的资格要求（如果有）………………（页码）</w:t>
      </w:r>
    </w:p>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28"/>
          <w:highlight w:val="none"/>
        </w:rPr>
        <w:t>四、本项目的特定资格要求（如果有）………………………………（页码）</w:t>
      </w:r>
      <w:r>
        <w:rPr>
          <w:rFonts w:hint="eastAsia" w:ascii="仿宋_GB2312" w:hAnsi="仿宋_GB2312" w:eastAsia="仿宋_GB2312" w:cs="仿宋_GB2312"/>
          <w:color w:val="auto"/>
          <w:sz w:val="24"/>
          <w:szCs w:val="24"/>
          <w:highlight w:val="none"/>
        </w:rPr>
        <w:br w:type="page"/>
      </w:r>
    </w:p>
    <w:p>
      <w:pPr>
        <w:spacing w:line="540" w:lineRule="exact"/>
        <w:contextualSpacing/>
        <w:jc w:val="center"/>
        <w:rPr>
          <w:rFonts w:hint="eastAsia" w:ascii="仿宋_GB2312" w:hAnsi="仿宋_GB2312" w:eastAsia="仿宋_GB2312" w:cs="仿宋_GB2312"/>
          <w:color w:val="auto"/>
          <w:sz w:val="24"/>
          <w:szCs w:val="24"/>
          <w:highlight w:val="none"/>
        </w:rPr>
      </w:pPr>
    </w:p>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8"/>
          <w:szCs w:val="28"/>
          <w:highlight w:val="none"/>
        </w:rPr>
        <w:t>一、符合参加政府采购活动应当具备的一般条件的承诺函</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我方参与（项目名称）【招标编号：（采购编号）】政府采购活动，郑重承诺：</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（一）具备《中华人民共和国政府采购法》第二十二条第一款规定的条件：</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1.具有独立承担民事责任的能力；</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2.具有良好的商业信誉和健全的财务会计制度；</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3.具有履行合同所必需的设备和专业技术能力；</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4.有依法缴纳税收和社会保障资金的良好记录；</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5.参加政府采购活动前三年内，在经营活动中没有重大违法记录；</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6.具有法律、行政法规规定的其他条件。</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（二）未被信用中国（www.creditchina.gov.cn)、中国政府采购网（www.ccgp.gov.cn）列入失信被执行人、重大税收违法失信主体、政府采购严重违法失信行为记录名单。</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（三）不存在以下情况：</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1.单位负责人为同一人或者存在直接控股、管理关系的不同供应商参加同一合同项下的政府采购活动的；</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2.为采购项目提供整体设计、规范编制或者项目管理、监理、检测等服务后再参加该采购项目的其他采购活动的。</w:t>
      </w:r>
    </w:p>
    <w:p>
      <w:pPr>
        <w:pStyle w:val="3"/>
        <w:ind w:left="479" w:leftChars="228" w:firstLine="0" w:firstLineChars="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（四）如我方中标，我方承诺：</w:t>
      </w:r>
    </w:p>
    <w:p>
      <w:pPr>
        <w:pStyle w:val="3"/>
        <w:ind w:left="0" w:leftChars="0" w:firstLine="480"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1.在签订合同前向采购人提交在投标（响应）中涉及客观分评审内容的检测报告、</w:t>
      </w:r>
      <w:r>
        <w:rPr>
          <w:rFonts w:hint="eastAsia" w:ascii="仿宋_GB2312" w:hAnsi="仿宋_GB2312" w:eastAsia="仿宋_GB2312" w:cs="仿宋_GB2312"/>
          <w:color w:val="auto"/>
          <w:kern w:val="2"/>
          <w:sz w:val="24"/>
          <w:szCs w:val="24"/>
          <w:highlight w:val="none"/>
          <w:lang w:val="en-US" w:eastAsia="zh-CN" w:bidi="ar-SA"/>
        </w:rPr>
        <w:br w:type="textWrapping"/>
      </w:r>
      <w:r>
        <w:rPr>
          <w:rFonts w:hint="eastAsia" w:ascii="仿宋_GB2312" w:hAnsi="仿宋_GB2312" w:eastAsia="仿宋_GB2312" w:cs="仿宋_GB2312"/>
          <w:color w:val="auto"/>
          <w:kern w:val="2"/>
          <w:sz w:val="24"/>
          <w:szCs w:val="24"/>
          <w:highlight w:val="none"/>
          <w:lang w:val="en-US" w:eastAsia="zh-CN" w:bidi="ar-SA"/>
        </w:rPr>
        <w:t>认证证书等资料；</w:t>
      </w:r>
      <w:r>
        <w:rPr>
          <w:rFonts w:hint="eastAsia" w:ascii="仿宋_GB2312" w:hAnsi="仿宋_GB2312" w:eastAsia="仿宋_GB2312" w:cs="仿宋_GB2312"/>
          <w:color w:val="auto"/>
          <w:kern w:val="2"/>
          <w:sz w:val="24"/>
          <w:szCs w:val="24"/>
          <w:highlight w:val="none"/>
          <w:lang w:val="en-US" w:eastAsia="zh-CN" w:bidi="ar-SA"/>
        </w:rPr>
        <w:br w:type="textWrapping"/>
      </w:r>
      <w:r>
        <w:rPr>
          <w:rFonts w:hint="eastAsia" w:ascii="仿宋_GB2312" w:hAnsi="仿宋_GB2312" w:eastAsia="仿宋_GB2312" w:cs="仿宋_GB2312"/>
          <w:color w:val="auto"/>
          <w:kern w:val="2"/>
          <w:sz w:val="24"/>
          <w:szCs w:val="24"/>
          <w:highlight w:val="none"/>
          <w:lang w:val="en-US" w:eastAsia="zh-CN" w:bidi="ar-SA"/>
        </w:rPr>
        <w:t xml:space="preserve">   2.除采购文件中要求在投标文件中提供的认证证书外，采购人拟采购的产品按政策须进行国家强制认证的产品，在项目验收时提供该产品相关认证证书复印件或证明材料。</w:t>
      </w:r>
    </w:p>
    <w:p>
      <w:pPr>
        <w:spacing w:line="500" w:lineRule="exact"/>
        <w:ind w:firstLine="480" w:firstLineChars="200"/>
        <w:contextualSpacing/>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（五）本承诺函条款不得变动，如供应商擅自变动的，作无效供应商处理。</w:t>
      </w:r>
    </w:p>
    <w:p>
      <w:pPr>
        <w:spacing w:line="540" w:lineRule="exact"/>
        <w:ind w:firstLine="5520" w:firstLineChars="23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40" w:lineRule="exact"/>
        <w:ind w:firstLine="5640" w:firstLineChars="23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pPr>
        <w:widowControl/>
        <w:spacing w:line="360" w:lineRule="auto"/>
        <w:jc w:val="both"/>
        <w:rPr>
          <w:rFonts w:hint="eastAsia" w:ascii="仿宋_GB2312" w:hAnsi="仿宋_GB2312" w:eastAsia="仿宋_GB2312" w:cs="仿宋_GB2312"/>
          <w:b/>
          <w:color w:val="auto"/>
          <w:kern w:val="0"/>
          <w:sz w:val="32"/>
          <w:szCs w:val="32"/>
          <w:highlight w:val="none"/>
        </w:rPr>
      </w:pPr>
    </w:p>
    <w:p>
      <w:pPr>
        <w:widowControl/>
        <w:spacing w:line="560" w:lineRule="exact"/>
        <w:ind w:firstLine="482" w:firstLineChars="20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二、联合协议（如果有）</w:t>
      </w:r>
    </w:p>
    <w:p>
      <w:pPr>
        <w:widowControl/>
        <w:spacing w:line="560" w:lineRule="exact"/>
        <w:ind w:firstLine="482"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[以联合体形式投标的，提供联合协议（附件6）；本项目不接受联合体投标或者投标人不以联合体形式投标的，则不需要提供）]</w:t>
      </w:r>
    </w:p>
    <w:p>
      <w:pPr>
        <w:snapToGrid w:val="0"/>
        <w:spacing w:line="560" w:lineRule="exact"/>
        <w:ind w:right="480"/>
        <w:jc w:val="center"/>
        <w:rPr>
          <w:rFonts w:hint="eastAsia" w:ascii="仿宋_GB2312" w:hAnsi="仿宋_GB2312" w:eastAsia="仿宋_GB2312" w:cs="仿宋_GB2312"/>
          <w:b/>
          <w:color w:val="auto"/>
          <w:kern w:val="0"/>
          <w:sz w:val="24"/>
          <w:szCs w:val="24"/>
          <w:highlight w:val="none"/>
        </w:rPr>
      </w:pPr>
    </w:p>
    <w:p>
      <w:pPr>
        <w:pStyle w:val="4"/>
        <w:rPr>
          <w:rFonts w:hint="eastAsia" w:ascii="仿宋_GB2312" w:hAnsi="仿宋_GB2312" w:eastAsia="仿宋_GB2312" w:cs="仿宋_GB2312"/>
          <w:color w:val="auto"/>
          <w:sz w:val="24"/>
          <w:szCs w:val="24"/>
          <w:highlight w:val="none"/>
        </w:rPr>
      </w:pPr>
    </w:p>
    <w:p>
      <w:pPr>
        <w:snapToGrid w:val="0"/>
        <w:spacing w:line="560" w:lineRule="exact"/>
        <w:ind w:right="480"/>
        <w:jc w:val="center"/>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三、落实政府采购政策需满足的资格要求</w:t>
      </w:r>
    </w:p>
    <w:p>
      <w:pPr>
        <w:spacing w:line="560" w:lineRule="exact"/>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（根据招标公告落实政府采购政策需满足的资格要求选择提供相应的材料；未要求的，无需提供）</w:t>
      </w:r>
    </w:p>
    <w:p>
      <w:pPr>
        <w:snapToGrid w:val="0"/>
        <w:spacing w:before="50" w:after="50" w:line="560" w:lineRule="exact"/>
        <w:ind w:firstLine="472" w:firstLineChars="196"/>
        <w:jc w:val="left"/>
        <w:rPr>
          <w:rFonts w:ascii="仿宋_GB2312" w:hAnsi="宋体" w:eastAsia="仿宋_GB2312" w:cs="宋体"/>
          <w:color w:val="auto"/>
          <w:sz w:val="24"/>
          <w:szCs w:val="24"/>
          <w:highlight w:val="none"/>
        </w:rPr>
      </w:pPr>
      <w:r>
        <w:rPr>
          <w:rFonts w:hint="eastAsia" w:ascii="仿宋_GB2312" w:hAnsi="宋体" w:eastAsia="仿宋_GB2312" w:cs="宋体"/>
          <w:b/>
          <w:color w:val="auto"/>
          <w:sz w:val="24"/>
          <w:szCs w:val="24"/>
          <w:highlight w:val="none"/>
        </w:rPr>
        <w:t>A</w:t>
      </w:r>
      <w:r>
        <w:rPr>
          <w:rFonts w:hint="eastAsia" w:ascii="仿宋_GB2312" w:hAnsi="宋体" w:eastAsia="仿宋_GB2312" w:cs="宋体"/>
          <w:color w:val="auto"/>
          <w:sz w:val="24"/>
          <w:szCs w:val="24"/>
          <w:highlight w:val="none"/>
        </w:rPr>
        <w:t>.专门面向中小企业，</w:t>
      </w:r>
      <w:r>
        <w:rPr>
          <w:rFonts w:hint="eastAsia" w:ascii="仿宋_GB2312" w:eastAsia="仿宋_GB2312"/>
          <w:color w:val="auto"/>
          <w:sz w:val="24"/>
          <w:szCs w:val="24"/>
          <w:highlight w:val="none"/>
        </w:rPr>
        <w:t>货物全部由符合政策要求的中小企业制造，提供中小企业声明函</w:t>
      </w:r>
      <w:r>
        <w:rPr>
          <w:rFonts w:hint="eastAsia" w:ascii="仿宋_GB2312" w:hAnsi="宋体" w:eastAsia="仿宋_GB2312" w:cs="宋体"/>
          <w:color w:val="auto"/>
          <w:sz w:val="24"/>
          <w:szCs w:val="24"/>
          <w:highlight w:val="none"/>
        </w:rPr>
        <w:t xml:space="preserve">（附件5）。 </w:t>
      </w:r>
    </w:p>
    <w:p>
      <w:pPr>
        <w:widowControl/>
        <w:spacing w:line="560" w:lineRule="exact"/>
        <w:ind w:firstLine="472" w:firstLineChars="196"/>
        <w:jc w:val="left"/>
        <w:rPr>
          <w:rFonts w:ascii="仿宋_GB2312" w:hAnsi="宋体" w:eastAsia="仿宋_GB2312" w:cs="宋体"/>
          <w:color w:val="auto"/>
          <w:sz w:val="24"/>
          <w:szCs w:val="24"/>
          <w:highlight w:val="none"/>
        </w:rPr>
      </w:pPr>
      <w:r>
        <w:rPr>
          <w:rFonts w:hint="eastAsia" w:ascii="仿宋_GB2312" w:hAnsi="宋体" w:eastAsia="仿宋_GB2312" w:cs="宋体"/>
          <w:b/>
          <w:color w:val="auto"/>
          <w:sz w:val="24"/>
          <w:szCs w:val="24"/>
          <w:highlight w:val="none"/>
        </w:rPr>
        <w:t>B.</w:t>
      </w:r>
      <w:r>
        <w:rPr>
          <w:rFonts w:hint="eastAsia" w:ascii="仿宋_GB2312" w:hAnsi="宋体" w:eastAsia="仿宋_GB2312" w:cs="宋体"/>
          <w:color w:val="auto"/>
          <w:sz w:val="24"/>
          <w:szCs w:val="24"/>
          <w:highlight w:val="none"/>
        </w:rPr>
        <w:t>要求以联合体形式参加的，提供联合协议（附件6）和中小企业声明函（附件</w:t>
      </w:r>
      <w:r>
        <w:rPr>
          <w:rFonts w:hint="eastAsia" w:ascii="仿宋_GB2312" w:hAnsi="宋体" w:eastAsia="仿宋_GB2312" w:cs="宋体"/>
          <w:color w:val="auto"/>
          <w:sz w:val="24"/>
          <w:szCs w:val="24"/>
          <w:highlight w:val="none"/>
          <w:lang w:val="en-US" w:eastAsia="zh-CN"/>
        </w:rPr>
        <w:t>5</w:t>
      </w:r>
      <w:r>
        <w:rPr>
          <w:rFonts w:hint="eastAsia" w:ascii="仿宋_GB2312" w:hAnsi="宋体" w:eastAsia="仿宋_GB2312" w:cs="宋体"/>
          <w:color w:val="auto"/>
          <w:sz w:val="24"/>
          <w:szCs w:val="24"/>
          <w:highlight w:val="none"/>
        </w:rPr>
        <w:t>），联合协议中中小企业合同金额应当达到招标公告载明的比例；如果供应商本身提供所有标的均由中小企业</w:t>
      </w:r>
      <w:r>
        <w:rPr>
          <w:rFonts w:hint="eastAsia" w:ascii="仿宋_GB2312" w:hAnsi="宋体" w:eastAsia="仿宋_GB2312" w:cs="宋体"/>
          <w:color w:val="auto"/>
          <w:sz w:val="24"/>
          <w:szCs w:val="24"/>
          <w:highlight w:val="none"/>
          <w:lang w:eastAsia="zh-CN"/>
        </w:rPr>
        <w:t>制造</w:t>
      </w:r>
      <w:r>
        <w:rPr>
          <w:rFonts w:hint="eastAsia" w:ascii="仿宋_GB2312" w:hAnsi="宋体" w:eastAsia="仿宋_GB2312" w:cs="宋体"/>
          <w:color w:val="auto"/>
          <w:sz w:val="24"/>
          <w:szCs w:val="24"/>
          <w:highlight w:val="none"/>
        </w:rPr>
        <w:t>的，</w:t>
      </w:r>
      <w:r>
        <w:rPr>
          <w:rFonts w:hint="eastAsia" w:ascii="仿宋_GB2312" w:hAnsi="宋体" w:eastAsia="仿宋_GB2312" w:cs="宋体"/>
          <w:color w:val="auto"/>
          <w:spacing w:val="8"/>
          <w:kern w:val="0"/>
          <w:sz w:val="24"/>
          <w:szCs w:val="24"/>
          <w:highlight w:val="none"/>
        </w:rPr>
        <w:t>并相应达到了前述比例要求，</w:t>
      </w:r>
      <w:r>
        <w:rPr>
          <w:rFonts w:hint="eastAsia" w:ascii="仿宋_GB2312" w:hAnsi="宋体" w:eastAsia="仿宋_GB2312" w:cs="宋体"/>
          <w:color w:val="auto"/>
          <w:sz w:val="24"/>
          <w:szCs w:val="24"/>
          <w:highlight w:val="none"/>
        </w:rPr>
        <w:t>视同符合了资格条件，无需再与其他中小企业组成联合体参加政府采购活动，无需提供联合协议。</w:t>
      </w:r>
    </w:p>
    <w:p>
      <w:pPr>
        <w:snapToGrid w:val="0"/>
        <w:spacing w:before="50" w:after="50" w:line="560" w:lineRule="exact"/>
        <w:jc w:val="left"/>
        <w:rPr>
          <w:rFonts w:ascii="仿宋_GB2312" w:hAnsi="宋体" w:eastAsia="仿宋_GB2312" w:cs="宋体"/>
          <w:color w:val="auto"/>
          <w:sz w:val="24"/>
          <w:szCs w:val="24"/>
          <w:highlight w:val="none"/>
        </w:rPr>
      </w:pPr>
      <w:r>
        <w:rPr>
          <w:rFonts w:hint="eastAsia" w:ascii="仿宋_GB2312" w:hAnsi="宋体" w:eastAsia="仿宋_GB2312" w:cs="宋体"/>
          <w:b/>
          <w:color w:val="auto"/>
          <w:sz w:val="24"/>
          <w:szCs w:val="24"/>
          <w:highlight w:val="none"/>
        </w:rPr>
        <w:t xml:space="preserve">    C.</w:t>
      </w:r>
      <w:r>
        <w:rPr>
          <w:rFonts w:hint="eastAsia" w:ascii="仿宋_GB2312" w:hAnsi="宋体" w:eastAsia="仿宋_GB2312" w:cs="宋体"/>
          <w:color w:val="auto"/>
          <w:sz w:val="24"/>
          <w:szCs w:val="24"/>
          <w:highlight w:val="none"/>
        </w:rPr>
        <w:t>要求合同分包的，提供分包意向协议（附件7）和中小企业声明函（附件</w:t>
      </w:r>
      <w:r>
        <w:rPr>
          <w:rFonts w:hint="eastAsia" w:ascii="仿宋_GB2312" w:hAnsi="宋体" w:eastAsia="仿宋_GB2312" w:cs="宋体"/>
          <w:color w:val="auto"/>
          <w:sz w:val="24"/>
          <w:szCs w:val="24"/>
          <w:highlight w:val="none"/>
          <w:lang w:val="en-US" w:eastAsia="zh-CN"/>
        </w:rPr>
        <w:t>5</w:t>
      </w:r>
      <w:r>
        <w:rPr>
          <w:rFonts w:hint="eastAsia" w:ascii="仿宋_GB2312" w:hAnsi="宋体" w:eastAsia="仿宋_GB2312" w:cs="宋体"/>
          <w:color w:val="auto"/>
          <w:sz w:val="24"/>
          <w:szCs w:val="24"/>
          <w:highlight w:val="none"/>
        </w:rPr>
        <w:t>），分包意向协议中中小企业合同金额应当达到招标公告载明的比例；如果供应商本身提供所有标的均由中小企业</w:t>
      </w:r>
      <w:r>
        <w:rPr>
          <w:rFonts w:hint="eastAsia" w:ascii="仿宋_GB2312" w:hAnsi="宋体" w:eastAsia="仿宋_GB2312" w:cs="宋体"/>
          <w:color w:val="auto"/>
          <w:sz w:val="24"/>
          <w:szCs w:val="24"/>
          <w:highlight w:val="none"/>
          <w:lang w:eastAsia="zh-CN"/>
        </w:rPr>
        <w:t>制造</w:t>
      </w:r>
      <w:r>
        <w:rPr>
          <w:rFonts w:hint="eastAsia" w:ascii="仿宋_GB2312" w:hAnsi="宋体" w:eastAsia="仿宋_GB2312" w:cs="宋体"/>
          <w:color w:val="auto"/>
          <w:sz w:val="24"/>
          <w:szCs w:val="24"/>
          <w:highlight w:val="none"/>
        </w:rPr>
        <w:t>的，</w:t>
      </w:r>
      <w:r>
        <w:rPr>
          <w:rFonts w:hint="eastAsia" w:ascii="仿宋_GB2312" w:hAnsi="宋体" w:eastAsia="仿宋_GB2312" w:cs="宋体"/>
          <w:color w:val="auto"/>
          <w:spacing w:val="8"/>
          <w:kern w:val="0"/>
          <w:sz w:val="24"/>
          <w:szCs w:val="24"/>
          <w:highlight w:val="none"/>
        </w:rPr>
        <w:t>并相应达到了前述比例要求，</w:t>
      </w:r>
      <w:r>
        <w:rPr>
          <w:rFonts w:hint="eastAsia" w:ascii="仿宋_GB2312" w:hAnsi="宋体" w:eastAsia="仿宋_GB2312" w:cs="宋体"/>
          <w:color w:val="auto"/>
          <w:sz w:val="24"/>
          <w:szCs w:val="24"/>
          <w:highlight w:val="none"/>
        </w:rPr>
        <w:t>视同符合了资格条件，无需再向中小企业分包，无需提供分包意向协议。</w:t>
      </w:r>
    </w:p>
    <w:p>
      <w:pPr>
        <w:widowControl/>
        <w:spacing w:line="560" w:lineRule="exact"/>
        <w:ind w:left="150"/>
        <w:jc w:val="center"/>
        <w:rPr>
          <w:rFonts w:hint="eastAsia" w:ascii="仿宋_GB2312" w:hAnsi="仿宋_GB2312" w:eastAsia="仿宋_GB2312" w:cs="仿宋_GB2312"/>
          <w:b/>
          <w:color w:val="auto"/>
          <w:kern w:val="0"/>
          <w:sz w:val="24"/>
          <w:szCs w:val="24"/>
          <w:highlight w:val="none"/>
        </w:rPr>
      </w:pPr>
    </w:p>
    <w:p>
      <w:pPr>
        <w:widowControl/>
        <w:spacing w:line="560" w:lineRule="exact"/>
        <w:ind w:firstLine="482" w:firstLineChars="20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kern w:val="0"/>
          <w:sz w:val="24"/>
          <w:szCs w:val="24"/>
          <w:highlight w:val="none"/>
        </w:rPr>
        <w:t>四、本项目的特定资格要求</w:t>
      </w:r>
      <w:r>
        <w:rPr>
          <w:rFonts w:hint="eastAsia" w:ascii="仿宋_GB2312" w:hAnsi="仿宋_GB2312" w:eastAsia="仿宋_GB2312" w:cs="仿宋_GB2312"/>
          <w:b/>
          <w:color w:val="auto"/>
          <w:sz w:val="24"/>
          <w:szCs w:val="24"/>
          <w:highlight w:val="none"/>
        </w:rPr>
        <w:t>（如果有）</w:t>
      </w:r>
    </w:p>
    <w:p>
      <w:pPr>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（根据招标公告本项目的特定资格要求提供相应的材料；未要求的，无需提供）</w:t>
      </w:r>
    </w:p>
    <w:p>
      <w:pPr>
        <w:spacing w:line="560" w:lineRule="exact"/>
        <w:contextualSpacing/>
        <w:jc w:val="center"/>
        <w:rPr>
          <w:rFonts w:hint="eastAsia" w:ascii="仿宋_GB2312" w:hAnsi="仿宋_GB2312" w:eastAsia="仿宋_GB2312" w:cs="仿宋_GB2312"/>
          <w:b/>
          <w:color w:val="auto"/>
          <w:sz w:val="24"/>
          <w:szCs w:val="24"/>
          <w:highlight w:val="none"/>
        </w:rPr>
      </w:pPr>
    </w:p>
    <w:p>
      <w:pPr>
        <w:pStyle w:val="3"/>
        <w:ind w:left="0" w:leftChars="0" w:firstLine="0" w:firstLineChars="0"/>
        <w:rPr>
          <w:rFonts w:hint="eastAsia" w:ascii="仿宋_GB2312" w:hAnsi="仿宋_GB2312" w:eastAsia="仿宋_GB2312" w:cs="仿宋_GB2312"/>
          <w:color w:val="auto"/>
          <w:highlight w:val="none"/>
        </w:rPr>
      </w:pPr>
    </w:p>
    <w:p>
      <w:pPr>
        <w:pStyle w:val="3"/>
        <w:ind w:left="0" w:leftChars="0" w:firstLine="0" w:firstLineChars="0"/>
        <w:rPr>
          <w:rFonts w:hint="eastAsia" w:ascii="仿宋_GB2312" w:hAnsi="仿宋_GB2312" w:eastAsia="仿宋_GB2312" w:cs="仿宋_GB2312"/>
          <w:color w:val="auto"/>
          <w:highlight w:val="none"/>
        </w:rPr>
      </w:pPr>
    </w:p>
    <w:p>
      <w:pPr>
        <w:spacing w:line="56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商务技术文件部分</w:t>
      </w:r>
    </w:p>
    <w:p>
      <w:pPr>
        <w:spacing w:line="560" w:lineRule="exact"/>
        <w:contextualSpacing/>
        <w:rPr>
          <w:rFonts w:hint="eastAsia" w:ascii="仿宋_GB2312" w:hAnsi="仿宋_GB2312" w:eastAsia="仿宋_GB2312" w:cs="仿宋_GB2312"/>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目录</w:t>
      </w:r>
    </w:p>
    <w:p>
      <w:pPr>
        <w:pStyle w:val="62"/>
        <w:numPr>
          <w:ilvl w:val="0"/>
          <w:numId w:val="6"/>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投标函…………………………………………………………………………（页码）</w:t>
      </w:r>
    </w:p>
    <w:p>
      <w:pPr>
        <w:pStyle w:val="62"/>
        <w:numPr>
          <w:ilvl w:val="0"/>
          <w:numId w:val="6"/>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联合协议（如果有）…………………………………………………………（页码）</w:t>
      </w:r>
    </w:p>
    <w:p>
      <w:pPr>
        <w:pStyle w:val="62"/>
        <w:numPr>
          <w:ilvl w:val="0"/>
          <w:numId w:val="6"/>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分包意向协议（如果有）……………………………………………………（页码）</w:t>
      </w:r>
    </w:p>
    <w:p>
      <w:pPr>
        <w:pStyle w:val="62"/>
        <w:numPr>
          <w:ilvl w:val="0"/>
          <w:numId w:val="6"/>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符合性审查资料………………………………………………………………（页码）</w:t>
      </w:r>
    </w:p>
    <w:p>
      <w:pPr>
        <w:pStyle w:val="62"/>
        <w:numPr>
          <w:ilvl w:val="0"/>
          <w:numId w:val="6"/>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拟投入的项目班子格式（如果有）…………………………………………（页码）</w:t>
      </w:r>
    </w:p>
    <w:p>
      <w:pPr>
        <w:pStyle w:val="62"/>
        <w:numPr>
          <w:ilvl w:val="0"/>
          <w:numId w:val="6"/>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评标标准相应的商务技术资料………………………………………………（页码）</w:t>
      </w:r>
    </w:p>
    <w:p>
      <w:pPr>
        <w:pStyle w:val="62"/>
        <w:numPr>
          <w:ilvl w:val="0"/>
          <w:numId w:val="6"/>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投标标的清单………………………………………………………………（页码）</w:t>
      </w:r>
    </w:p>
    <w:p>
      <w:pPr>
        <w:pStyle w:val="62"/>
        <w:numPr>
          <w:ilvl w:val="0"/>
          <w:numId w:val="6"/>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商务技术偏离表……………………………………………………………（页码）</w:t>
      </w:r>
    </w:p>
    <w:p>
      <w:pPr>
        <w:pStyle w:val="62"/>
        <w:numPr>
          <w:ilvl w:val="0"/>
          <w:numId w:val="6"/>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政府采购供应商廉洁自律承诺书……………………………………………（页码）</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pStyle w:val="4"/>
        <w:rPr>
          <w:rFonts w:hint="eastAsia" w:ascii="仿宋_GB2312" w:hAnsi="仿宋_GB2312" w:eastAsia="仿宋_GB2312" w:cs="仿宋_GB2312"/>
          <w:color w:val="auto"/>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pStyle w:val="3"/>
        <w:rPr>
          <w:rFonts w:hint="eastAsia" w:ascii="仿宋_GB2312" w:hAnsi="仿宋_GB2312" w:eastAsia="仿宋_GB2312" w:cs="仿宋_GB2312"/>
          <w:color w:val="auto"/>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一、投标函</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我方参加你方组织的（项目名称）【招标编号：（采购编号）】招标的有关活动，并对此项目进行投标。为此：</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我方承诺投标有效期从提交投标文件的截止之日起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天（不少于90天），本投标文件在投标有效期满之前均具有约束力。</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1.我方的投标文件包括以下内容：</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2.1资格文件：</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2.1.1承诺函；</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2.1.2联合协议（如果有)；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2.1.3落实政府采购政策需满足的资格要求（如果有)；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2.2.4本项目的特定资格要求（如果有）。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商务技术文件：</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2.2.1投标函； </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联合协议（如果有）；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分包意向协议（如果有）；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符合性审查资料；</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拟投入的项目班子格式；</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评标标准相应的商务技术资料；</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投标标的清单（如果有）；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商务技术偏离表；</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政府采购供应商廉洁自律承诺书。</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2.3报价文件</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2.3.1开标一览表（报价表）；</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2.3.2中小企业声明函（如果有）；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2.3.3关于符合本国产品标准的声明函（如果有）；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2.3.4</w:t>
      </w:r>
      <w:r>
        <w:rPr>
          <w:rFonts w:hint="eastAsia" w:ascii="仿宋_GB2312" w:eastAsia="仿宋_GB2312"/>
          <w:color w:val="auto"/>
          <w:sz w:val="24"/>
          <w:szCs w:val="24"/>
          <w:highlight w:val="none"/>
          <w:lang w:eastAsia="zh-CN"/>
        </w:rPr>
        <w:t>书面说明及必要的证明材料，对投标价格作出解释。（如果报价低于项目最高限价</w:t>
      </w: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lang w:eastAsia="zh-CN"/>
        </w:rPr>
        <w:t>5%的）</w:t>
      </w:r>
      <w:r>
        <w:rPr>
          <w:rFonts w:hint="eastAsia" w:ascii="仿宋_GB2312" w:hAnsi="仿宋_GB2312" w:eastAsia="仿宋_GB2312" w:cs="仿宋_GB2312"/>
          <w:color w:val="auto"/>
          <w:sz w:val="24"/>
          <w:szCs w:val="24"/>
          <w:highlight w:val="none"/>
        </w:rPr>
        <w:t>。</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3.我方承诺除商务技术偏离表（如果有）列出的偏离外，我方响应招标文件的全部要求。</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4.如我方中标，我方承诺：</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4.1在收到中标通知书后，在中标通知书规定的期限内与你方签订合同；</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4.2在签订合同时不向你方提出附加条件；</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4.3按照招标文件要求提交履约保证金；</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4.4在合同约定的期限内完成合同规定的全部义务。</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5.其他补充说明:。</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ind w:firstLine="3840" w:firstLineChars="16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40" w:lineRule="exact"/>
        <w:ind w:firstLine="3840" w:firstLineChars="16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pStyle w:val="4"/>
        <w:rPr>
          <w:rFonts w:hint="eastAsia" w:ascii="仿宋_GB2312" w:hAnsi="仿宋_GB2312" w:eastAsia="仿宋_GB2312" w:cs="仿宋_GB2312"/>
          <w:color w:val="auto"/>
          <w:highlight w:val="none"/>
        </w:rPr>
      </w:pPr>
    </w:p>
    <w:p>
      <w:pPr>
        <w:widowControl/>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二</w:t>
      </w:r>
      <w:r>
        <w:rPr>
          <w:rFonts w:hint="eastAsia" w:ascii="仿宋_GB2312" w:hAnsi="仿宋_GB2312" w:eastAsia="仿宋_GB2312" w:cs="仿宋_GB2312"/>
          <w:b/>
          <w:color w:val="auto"/>
          <w:sz w:val="28"/>
          <w:szCs w:val="28"/>
          <w:highlight w:val="none"/>
        </w:rPr>
        <w:t>、联合协议（如果有）</w:t>
      </w:r>
    </w:p>
    <w:p>
      <w:pPr>
        <w:widowControl/>
        <w:spacing w:line="560" w:lineRule="exact"/>
        <w:ind w:firstLine="562"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[以联合体形式投标的，提供联合协议（附件6）；本项目不接受联合体投标或者投标人不以联合体形式投标的，则不需要提供）]</w:t>
      </w:r>
    </w:p>
    <w:p>
      <w:pPr>
        <w:pStyle w:val="4"/>
        <w:rPr>
          <w:rFonts w:hint="eastAsia" w:ascii="仿宋_GB2312" w:hAnsi="仿宋_GB2312" w:eastAsia="仿宋_GB2312" w:cs="仿宋_GB2312"/>
          <w:color w:val="auto"/>
          <w:highlight w:val="none"/>
        </w:rPr>
      </w:pPr>
    </w:p>
    <w:p>
      <w:pPr>
        <w:rPr>
          <w:rFonts w:hint="eastAsia"/>
          <w:color w:val="auto"/>
          <w:highlight w:val="none"/>
        </w:rPr>
      </w:pPr>
    </w:p>
    <w:p>
      <w:pPr>
        <w:snapToGrid w:val="0"/>
        <w:spacing w:line="360" w:lineRule="auto"/>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lang w:eastAsia="zh-CN"/>
        </w:rPr>
        <w:t>三</w:t>
      </w:r>
      <w:r>
        <w:rPr>
          <w:rFonts w:hint="eastAsia" w:ascii="仿宋_GB2312" w:hAnsi="仿宋_GB2312" w:eastAsia="仿宋_GB2312" w:cs="仿宋_GB2312"/>
          <w:b/>
          <w:color w:val="auto"/>
          <w:kern w:val="0"/>
          <w:sz w:val="28"/>
          <w:szCs w:val="28"/>
          <w:highlight w:val="none"/>
        </w:rPr>
        <w:t>、分包意向协议（如果有）</w:t>
      </w:r>
    </w:p>
    <w:p>
      <w:pPr>
        <w:widowControl/>
        <w:spacing w:line="360" w:lineRule="auto"/>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中标后以分包方式履行合同的，提供分包意向协议(附件7)；采购人不同意分包或者投标人中标后不以分包方式履行合同的，则不需要提供。</w:t>
      </w:r>
      <w:r>
        <w:rPr>
          <w:rFonts w:hint="eastAsia" w:ascii="仿宋_GB2312" w:hAnsi="仿宋_GB2312" w:eastAsia="仿宋_GB2312" w:cs="仿宋_GB2312"/>
          <w:color w:val="auto"/>
          <w:sz w:val="28"/>
          <w:szCs w:val="28"/>
          <w:highlight w:val="none"/>
        </w:rPr>
        <w:t>]</w:t>
      </w:r>
    </w:p>
    <w:p>
      <w:pPr>
        <w:pStyle w:val="3"/>
        <w:rPr>
          <w:rFonts w:hint="eastAsia" w:ascii="仿宋_GB2312" w:hAnsi="仿宋_GB2312" w:eastAsia="仿宋_GB2312" w:cs="仿宋_GB2312"/>
          <w:color w:val="auto"/>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四</w:t>
      </w:r>
      <w:r>
        <w:rPr>
          <w:rFonts w:hint="eastAsia" w:ascii="仿宋_GB2312" w:hAnsi="仿宋_GB2312" w:eastAsia="仿宋_GB2312" w:cs="仿宋_GB2312"/>
          <w:b/>
          <w:color w:val="auto"/>
          <w:sz w:val="28"/>
          <w:szCs w:val="28"/>
          <w:highlight w:val="none"/>
        </w:rPr>
        <w:t>、符合性审查资料</w:t>
      </w:r>
    </w:p>
    <w:tbl>
      <w:tblPr>
        <w:tblStyle w:val="2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4991"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实质性要求</w:t>
            </w:r>
          </w:p>
        </w:tc>
        <w:tc>
          <w:tcPr>
            <w:tcW w:w="2551"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需要提供的符合性审查资料</w:t>
            </w:r>
          </w:p>
        </w:tc>
        <w:tc>
          <w:tcPr>
            <w:tcW w:w="1418"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91" w:type="dxa"/>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投标文件按照招标文件要求签署、盖章。</w:t>
            </w:r>
          </w:p>
        </w:tc>
        <w:tc>
          <w:tcPr>
            <w:tcW w:w="2551" w:type="dxa"/>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需要使用电子签名或者签字盖章的投标文件的组成部分</w:t>
            </w:r>
          </w:p>
        </w:tc>
        <w:tc>
          <w:tcPr>
            <w:tcW w:w="1418"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w:t>
            </w:r>
          </w:p>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991" w:type="dxa"/>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采购人拟采购的产品属于政府强制采购的节能产品品目清单范围的，投标人按招标文件要求提供国家确定的认证机构出具的、处于有效期之内的节能产品认证证书。</w:t>
            </w:r>
          </w:p>
        </w:tc>
        <w:tc>
          <w:tcPr>
            <w:tcW w:w="2551" w:type="dxa"/>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节能产品认证证书（本项目拟采购的产品不属于政府强制采购的节能产品品目清单范围的，无需提供）</w:t>
            </w:r>
          </w:p>
        </w:tc>
        <w:tc>
          <w:tcPr>
            <w:tcW w:w="1418"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w:t>
            </w:r>
          </w:p>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991" w:type="dxa"/>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投标文件中承诺的投标有效期不少于招标文件中载明的投标有效期。</w:t>
            </w:r>
          </w:p>
        </w:tc>
        <w:tc>
          <w:tcPr>
            <w:tcW w:w="2551" w:type="dxa"/>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投标函</w:t>
            </w:r>
          </w:p>
        </w:tc>
        <w:tc>
          <w:tcPr>
            <w:tcW w:w="1418"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991" w:type="dxa"/>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投标文件满足招标文件的其它实质性要求。</w:t>
            </w:r>
          </w:p>
        </w:tc>
        <w:tc>
          <w:tcPr>
            <w:tcW w:w="2551" w:type="dxa"/>
            <w:noWrap w:val="0"/>
            <w:vAlign w:val="center"/>
          </w:tcPr>
          <w:p>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招标文件其它实质性要求相应的材料（“▲”系指实质性要求条款，招标文件无其它实质性要求的，无需提供）</w:t>
            </w:r>
          </w:p>
        </w:tc>
        <w:tc>
          <w:tcPr>
            <w:tcW w:w="1418" w:type="dxa"/>
            <w:noWrap w:val="0"/>
            <w:vAlign w:val="center"/>
          </w:tcPr>
          <w:p>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见投标文件第页</w:t>
            </w:r>
          </w:p>
        </w:tc>
      </w:tr>
    </w:tbl>
    <w:p>
      <w:pPr>
        <w:spacing w:line="540" w:lineRule="exact"/>
        <w:ind w:firstLine="4440" w:firstLineChars="1850"/>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40" w:lineRule="exact"/>
        <w:ind w:firstLine="4440" w:firstLineChars="1850"/>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lang w:eastAsia="zh-CN"/>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、拟投入的项目班子格式（如果有）</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（格式仅供参考）</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项目负责人简历表</w:t>
      </w:r>
    </w:p>
    <w:tbl>
      <w:tblPr>
        <w:tblStyle w:val="2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09"/>
        <w:gridCol w:w="456"/>
        <w:gridCol w:w="1155"/>
        <w:gridCol w:w="686"/>
        <w:gridCol w:w="469"/>
        <w:gridCol w:w="1232"/>
        <w:gridCol w:w="15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165"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5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年龄</w:t>
            </w:r>
          </w:p>
        </w:tc>
        <w:tc>
          <w:tcPr>
            <w:tcW w:w="1155"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2745"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1800"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1165"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5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155"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2745"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拟在本项目任职</w:t>
            </w:r>
          </w:p>
        </w:tc>
        <w:tc>
          <w:tcPr>
            <w:tcW w:w="1800"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毕业院校</w:t>
            </w:r>
          </w:p>
        </w:tc>
        <w:tc>
          <w:tcPr>
            <w:tcW w:w="8020" w:type="dxa"/>
            <w:gridSpan w:val="8"/>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4" w:type="dxa"/>
            <w:gridSpan w:val="9"/>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p>
        </w:tc>
        <w:tc>
          <w:tcPr>
            <w:tcW w:w="2297" w:type="dxa"/>
            <w:gridSpan w:val="3"/>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参加过类似项目</w:t>
            </w:r>
          </w:p>
        </w:tc>
        <w:tc>
          <w:tcPr>
            <w:tcW w:w="1701"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担任职务</w:t>
            </w:r>
          </w:p>
        </w:tc>
        <w:tc>
          <w:tcPr>
            <w:tcW w:w="3313"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业主及联系电话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2297" w:type="dxa"/>
            <w:gridSpan w:val="3"/>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701"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3313"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2297" w:type="dxa"/>
            <w:gridSpan w:val="3"/>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701"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3313" w:type="dxa"/>
            <w:gridSpan w:val="2"/>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bl>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附：执业资格证书、职称证书等证明材料</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项目班子一览表</w:t>
      </w:r>
    </w:p>
    <w:tbl>
      <w:tblPr>
        <w:tblStyle w:val="2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984"/>
        <w:gridCol w:w="1843"/>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418"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98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专业技术资格</w:t>
            </w:r>
          </w:p>
        </w:tc>
        <w:tc>
          <w:tcPr>
            <w:tcW w:w="184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证书编号</w:t>
            </w:r>
          </w:p>
        </w:tc>
        <w:tc>
          <w:tcPr>
            <w:tcW w:w="275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实施经验说明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8"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98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84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275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418"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98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84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275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bl>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附：相关人员的专业技术资格证书证明材料</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540" w:lineRule="exact"/>
        <w:contextualSpacing/>
        <w:jc w:val="center"/>
        <w:rPr>
          <w:rFonts w:hint="eastAsia" w:ascii="仿宋_GB2312" w:hAnsi="仿宋_GB2312" w:eastAsia="仿宋_GB2312" w:cs="仿宋_GB2312"/>
          <w:b/>
          <w:color w:val="auto"/>
          <w:sz w:val="24"/>
          <w:szCs w:val="24"/>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pStyle w:val="2"/>
        <w:rPr>
          <w:rFonts w:hint="eastAsia"/>
          <w:color w:val="auto"/>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、评标标准相应的商务技术资料</w:t>
      </w:r>
    </w:p>
    <w:p>
      <w:pPr>
        <w:spacing w:line="540" w:lineRule="exact"/>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（按招标文件第四部分评标办法前附表中“投标文件中评标标准相应的商务技术资料目录”提供资料）</w:t>
      </w:r>
    </w:p>
    <w:p>
      <w:pPr>
        <w:ind w:firstLine="2891" w:firstLineChars="900"/>
        <w:rPr>
          <w:rFonts w:hint="eastAsia" w:ascii="仿宋_GB2312" w:hAnsi="仿宋_GB2312" w:eastAsia="仿宋_GB2312" w:cs="仿宋_GB2312"/>
          <w:b/>
          <w:color w:val="auto"/>
          <w:kern w:val="0"/>
          <w:sz w:val="32"/>
          <w:szCs w:val="32"/>
          <w:highlight w:val="none"/>
        </w:rPr>
      </w:pPr>
    </w:p>
    <w:p>
      <w:pPr>
        <w:rPr>
          <w:rFonts w:hint="eastAsia" w:ascii="仿宋_GB2312" w:hAnsi="仿宋_GB2312" w:eastAsia="仿宋_GB2312" w:cs="仿宋_GB2312"/>
          <w:b/>
          <w:color w:val="auto"/>
          <w:kern w:val="0"/>
          <w:sz w:val="32"/>
          <w:szCs w:val="32"/>
          <w:highlight w:val="none"/>
        </w:rPr>
      </w:pPr>
    </w:p>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lang w:eastAsia="zh-CN"/>
        </w:rPr>
        <w:t>七</w:t>
      </w:r>
      <w:r>
        <w:rPr>
          <w:rFonts w:hint="eastAsia" w:ascii="仿宋_GB2312" w:hAnsi="仿宋_GB2312" w:eastAsia="仿宋_GB2312" w:cs="仿宋_GB2312"/>
          <w:b/>
          <w:color w:val="auto"/>
          <w:kern w:val="0"/>
          <w:sz w:val="28"/>
          <w:szCs w:val="28"/>
          <w:highlight w:val="none"/>
        </w:rPr>
        <w:t>、投标标的清单</w:t>
      </w:r>
    </w:p>
    <w:tbl>
      <w:tblPr>
        <w:tblStyle w:val="27"/>
        <w:tblW w:w="9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
        <w:gridCol w:w="2126"/>
        <w:gridCol w:w="851"/>
        <w:gridCol w:w="1701"/>
        <w:gridCol w:w="992"/>
        <w:gridCol w:w="1134"/>
        <w:gridCol w:w="851"/>
        <w:gridCol w:w="6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品牌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规格型号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产地</w:t>
            </w:r>
          </w:p>
        </w:tc>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851" w:type="dxa"/>
            <w:tcBorders>
              <w:top w:val="single" w:color="auto" w:sz="4" w:space="0"/>
              <w:left w:val="single" w:color="auto" w:sz="4" w:space="0"/>
              <w:bottom w:val="nil"/>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c>
          <w:tcPr>
            <w:tcW w:w="699" w:type="dxa"/>
            <w:tcBorders>
              <w:top w:val="single" w:color="auto" w:sz="4" w:space="0"/>
              <w:left w:val="single" w:color="auto" w:sz="4" w:space="0"/>
              <w:bottom w:val="nil"/>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6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highlight w:val="none"/>
              </w:rPr>
            </w:pPr>
          </w:p>
        </w:tc>
      </w:tr>
    </w:tbl>
    <w:p>
      <w:pPr>
        <w:pStyle w:val="4"/>
        <w:rPr>
          <w:rFonts w:hint="eastAsia" w:ascii="仿宋_GB2312" w:hAnsi="仿宋_GB2312" w:eastAsia="仿宋_GB2312" w:cs="仿宋_GB2312"/>
          <w:color w:val="auto"/>
          <w:highlight w:val="none"/>
        </w:rPr>
      </w:pPr>
    </w:p>
    <w:p>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jc w:val="center"/>
        <w:rPr>
          <w:rFonts w:hint="eastAsia" w:ascii="仿宋_GB2312" w:hAnsi="仿宋_GB2312" w:eastAsia="仿宋_GB2312" w:cs="仿宋_GB2312"/>
          <w:b/>
          <w:color w:val="auto"/>
          <w:kern w:val="0"/>
          <w:sz w:val="28"/>
          <w:szCs w:val="28"/>
          <w:highlight w:val="none"/>
        </w:rPr>
      </w:pPr>
    </w:p>
    <w:p>
      <w:pPr>
        <w:jc w:val="center"/>
        <w:rPr>
          <w:rFonts w:hint="eastAsia" w:ascii="仿宋_GB2312" w:hAnsi="仿宋_GB2312" w:eastAsia="仿宋_GB2312" w:cs="仿宋_GB2312"/>
          <w:b/>
          <w:color w:val="auto"/>
          <w:kern w:val="0"/>
          <w:sz w:val="28"/>
          <w:szCs w:val="28"/>
          <w:highlight w:val="none"/>
        </w:rPr>
      </w:pPr>
    </w:p>
    <w:p>
      <w:pPr>
        <w:jc w:val="center"/>
        <w:rPr>
          <w:rFonts w:hint="eastAsia" w:ascii="仿宋_GB2312" w:hAnsi="仿宋_GB2312" w:eastAsia="仿宋_GB2312" w:cs="仿宋_GB2312"/>
          <w:b/>
          <w:color w:val="auto"/>
          <w:kern w:val="0"/>
          <w:sz w:val="28"/>
          <w:szCs w:val="28"/>
          <w:highlight w:val="none"/>
        </w:rPr>
      </w:pPr>
    </w:p>
    <w:p>
      <w:pPr>
        <w:jc w:val="center"/>
        <w:rPr>
          <w:rFonts w:hint="eastAsia" w:ascii="仿宋_GB2312" w:hAnsi="仿宋_GB2312" w:eastAsia="仿宋_GB2312" w:cs="仿宋_GB2312"/>
          <w:b/>
          <w:color w:val="auto"/>
          <w:kern w:val="0"/>
          <w:sz w:val="28"/>
          <w:szCs w:val="28"/>
          <w:highlight w:val="none"/>
        </w:rPr>
      </w:pPr>
    </w:p>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lang w:eastAsia="zh-CN"/>
        </w:rPr>
        <w:t>八</w:t>
      </w:r>
      <w:r>
        <w:rPr>
          <w:rFonts w:hint="eastAsia" w:ascii="仿宋_GB2312" w:hAnsi="仿宋_GB2312" w:eastAsia="仿宋_GB2312" w:cs="仿宋_GB2312"/>
          <w:b/>
          <w:color w:val="auto"/>
          <w:kern w:val="0"/>
          <w:sz w:val="28"/>
          <w:szCs w:val="28"/>
          <w:highlight w:val="none"/>
        </w:rPr>
        <w:t>、商务技术偏离表</w:t>
      </w:r>
    </w:p>
    <w:tbl>
      <w:tblPr>
        <w:tblStyle w:val="28"/>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序号</w:t>
            </w:r>
          </w:p>
        </w:tc>
        <w:tc>
          <w:tcPr>
            <w:tcW w:w="3683" w:type="dxa"/>
            <w:noWrap w:val="0"/>
            <w:vAlign w:val="top"/>
          </w:tcPr>
          <w:p>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招标文件章节及具体内容</w:t>
            </w:r>
          </w:p>
        </w:tc>
        <w:tc>
          <w:tcPr>
            <w:tcW w:w="3546" w:type="dxa"/>
            <w:noWrap w:val="0"/>
            <w:vAlign w:val="top"/>
          </w:tcPr>
          <w:p>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投标文件章节及具体内容</w:t>
            </w:r>
          </w:p>
        </w:tc>
        <w:tc>
          <w:tcPr>
            <w:tcW w:w="1512" w:type="dxa"/>
            <w:noWrap w:val="0"/>
            <w:vAlign w:val="top"/>
          </w:tcPr>
          <w:p>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c>
          <w:tcPr>
            <w:tcW w:w="3683" w:type="dxa"/>
            <w:noWrap w:val="0"/>
            <w:vAlign w:val="top"/>
          </w:tcPr>
          <w:p>
            <w:pPr>
              <w:jc w:val="center"/>
              <w:rPr>
                <w:rFonts w:hint="eastAsia" w:ascii="仿宋_GB2312" w:hAnsi="仿宋_GB2312" w:eastAsia="仿宋_GB2312" w:cs="仿宋_GB2312"/>
                <w:b/>
                <w:color w:val="auto"/>
                <w:kern w:val="0"/>
                <w:sz w:val="28"/>
                <w:szCs w:val="28"/>
                <w:highlight w:val="none"/>
              </w:rPr>
            </w:pPr>
          </w:p>
        </w:tc>
        <w:tc>
          <w:tcPr>
            <w:tcW w:w="3546" w:type="dxa"/>
            <w:noWrap w:val="0"/>
            <w:vAlign w:val="top"/>
          </w:tcPr>
          <w:p>
            <w:pPr>
              <w:jc w:val="center"/>
              <w:rPr>
                <w:rFonts w:hint="eastAsia" w:ascii="仿宋_GB2312" w:hAnsi="仿宋_GB2312" w:eastAsia="仿宋_GB2312" w:cs="仿宋_GB2312"/>
                <w:b/>
                <w:color w:val="auto"/>
                <w:kern w:val="0"/>
                <w:sz w:val="28"/>
                <w:szCs w:val="28"/>
                <w:highlight w:val="none"/>
              </w:rPr>
            </w:pPr>
          </w:p>
        </w:tc>
        <w:tc>
          <w:tcPr>
            <w:tcW w:w="1512" w:type="dxa"/>
            <w:noWrap w:val="0"/>
            <w:vAlign w:val="top"/>
          </w:tcPr>
          <w:p>
            <w:pPr>
              <w:jc w:val="center"/>
              <w:rPr>
                <w:rFonts w:hint="eastAsia" w:ascii="仿宋_GB2312" w:hAnsi="仿宋_GB2312" w:eastAsia="仿宋_GB2312" w:cs="仿宋_GB2312"/>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c>
          <w:tcPr>
            <w:tcW w:w="3683" w:type="dxa"/>
            <w:noWrap w:val="0"/>
            <w:vAlign w:val="top"/>
          </w:tcPr>
          <w:p>
            <w:pPr>
              <w:jc w:val="center"/>
              <w:rPr>
                <w:rFonts w:hint="eastAsia" w:ascii="仿宋_GB2312" w:hAnsi="仿宋_GB2312" w:eastAsia="仿宋_GB2312" w:cs="仿宋_GB2312"/>
                <w:b/>
                <w:color w:val="auto"/>
                <w:kern w:val="0"/>
                <w:sz w:val="28"/>
                <w:szCs w:val="28"/>
                <w:highlight w:val="none"/>
              </w:rPr>
            </w:pPr>
          </w:p>
        </w:tc>
        <w:tc>
          <w:tcPr>
            <w:tcW w:w="3546" w:type="dxa"/>
            <w:noWrap w:val="0"/>
            <w:vAlign w:val="top"/>
          </w:tcPr>
          <w:p>
            <w:pPr>
              <w:jc w:val="center"/>
              <w:rPr>
                <w:rFonts w:hint="eastAsia" w:ascii="仿宋_GB2312" w:hAnsi="仿宋_GB2312" w:eastAsia="仿宋_GB2312" w:cs="仿宋_GB2312"/>
                <w:b/>
                <w:color w:val="auto"/>
                <w:kern w:val="0"/>
                <w:sz w:val="28"/>
                <w:szCs w:val="28"/>
                <w:highlight w:val="none"/>
              </w:rPr>
            </w:pPr>
          </w:p>
        </w:tc>
        <w:tc>
          <w:tcPr>
            <w:tcW w:w="1512" w:type="dxa"/>
            <w:noWrap w:val="0"/>
            <w:vAlign w:val="top"/>
          </w:tcPr>
          <w:p>
            <w:pPr>
              <w:jc w:val="center"/>
              <w:rPr>
                <w:rFonts w:hint="eastAsia" w:ascii="仿宋_GB2312" w:hAnsi="仿宋_GB2312" w:eastAsia="仿宋_GB2312" w:cs="仿宋_GB2312"/>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tc>
        <w:tc>
          <w:tcPr>
            <w:tcW w:w="3683" w:type="dxa"/>
            <w:noWrap w:val="0"/>
            <w:vAlign w:val="top"/>
          </w:tcPr>
          <w:p>
            <w:pPr>
              <w:jc w:val="center"/>
              <w:rPr>
                <w:rFonts w:hint="eastAsia" w:ascii="仿宋_GB2312" w:hAnsi="仿宋_GB2312" w:eastAsia="仿宋_GB2312" w:cs="仿宋_GB2312"/>
                <w:b/>
                <w:color w:val="auto"/>
                <w:kern w:val="0"/>
                <w:sz w:val="28"/>
                <w:szCs w:val="28"/>
                <w:highlight w:val="none"/>
              </w:rPr>
            </w:pPr>
          </w:p>
        </w:tc>
        <w:tc>
          <w:tcPr>
            <w:tcW w:w="3546" w:type="dxa"/>
            <w:noWrap w:val="0"/>
            <w:vAlign w:val="top"/>
          </w:tcPr>
          <w:p>
            <w:pPr>
              <w:jc w:val="center"/>
              <w:rPr>
                <w:rFonts w:hint="eastAsia" w:ascii="仿宋_GB2312" w:hAnsi="仿宋_GB2312" w:eastAsia="仿宋_GB2312" w:cs="仿宋_GB2312"/>
                <w:b/>
                <w:color w:val="auto"/>
                <w:kern w:val="0"/>
                <w:sz w:val="28"/>
                <w:szCs w:val="28"/>
                <w:highlight w:val="none"/>
              </w:rPr>
            </w:pPr>
          </w:p>
        </w:tc>
        <w:tc>
          <w:tcPr>
            <w:tcW w:w="1512" w:type="dxa"/>
            <w:noWrap w:val="0"/>
            <w:vAlign w:val="top"/>
          </w:tcPr>
          <w:p>
            <w:pPr>
              <w:jc w:val="center"/>
              <w:rPr>
                <w:rFonts w:hint="eastAsia" w:ascii="仿宋_GB2312" w:hAnsi="仿宋_GB2312" w:eastAsia="仿宋_GB2312" w:cs="仿宋_GB2312"/>
                <w:b/>
                <w:color w:val="auto"/>
                <w:kern w:val="0"/>
                <w:sz w:val="28"/>
                <w:szCs w:val="28"/>
                <w:highlight w:val="none"/>
              </w:rPr>
            </w:pPr>
          </w:p>
        </w:tc>
      </w:tr>
    </w:tbl>
    <w:p>
      <w:pPr>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投标人保证：除商务技术偏离表列出的偏离外，投标人响应招标文件的全部要求</w:t>
      </w:r>
    </w:p>
    <w:p>
      <w:pPr>
        <w:jc w:val="center"/>
        <w:rPr>
          <w:rFonts w:hint="eastAsia" w:ascii="仿宋_GB2312" w:hAnsi="仿宋_GB2312" w:eastAsia="仿宋_GB2312" w:cs="仿宋_GB2312"/>
          <w:b/>
          <w:color w:val="auto"/>
          <w:kern w:val="0"/>
          <w:sz w:val="28"/>
          <w:szCs w:val="28"/>
          <w:highlight w:val="none"/>
        </w:rPr>
      </w:pPr>
    </w:p>
    <w:p>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jc w:val="center"/>
        <w:rPr>
          <w:rFonts w:hint="eastAsia" w:ascii="仿宋_GB2312" w:hAnsi="仿宋_GB2312" w:eastAsia="仿宋_GB2312" w:cs="仿宋_GB2312"/>
          <w:b/>
          <w:color w:val="auto"/>
          <w:sz w:val="24"/>
          <w:szCs w:val="24"/>
          <w:highlight w:val="none"/>
        </w:rPr>
      </w:pPr>
    </w:p>
    <w:p>
      <w:pPr>
        <w:spacing w:line="540" w:lineRule="exact"/>
        <w:contextualSpacing/>
        <w:jc w:val="center"/>
        <w:rPr>
          <w:rFonts w:hint="eastAsia" w:ascii="仿宋_GB2312" w:hAnsi="仿宋_GB2312" w:eastAsia="仿宋_GB2312" w:cs="仿宋_GB2312"/>
          <w:b/>
          <w:color w:val="auto"/>
          <w:sz w:val="24"/>
          <w:szCs w:val="24"/>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、政府采购供应商廉洁自律承诺书</w:t>
      </w:r>
    </w:p>
    <w:p>
      <w:pPr>
        <w:spacing w:line="540" w:lineRule="exact"/>
        <w:contextualSpacing/>
        <w:rPr>
          <w:rFonts w:hint="eastAsia" w:ascii="仿宋_GB2312" w:hAnsi="仿宋_GB2312" w:eastAsia="仿宋_GB2312" w:cs="仿宋_GB2312"/>
          <w:color w:val="auto"/>
          <w:sz w:val="24"/>
          <w:szCs w:val="24"/>
          <w:highlight w:val="none"/>
        </w:rPr>
      </w:pPr>
    </w:p>
    <w:p>
      <w:pPr>
        <w:spacing w:line="5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我单位响应你单位项目招标要求参加投标。在这次投标过程中和中标后，我们将严格遵守国家法律法规要求，并郑重承诺：</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一、不向项目有关人员及部门赠送礼金礼物、有价证券、回扣以及中介费、介绍费、咨询费等好处费；</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二、不为项目有关人员及部门报销应由你方单位或个人支付的费用；</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三、不向项目有关人员及部门提供有可能影响公正的宴请和健身娱乐等活动；</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四、不为项目有关人员及部门出国（境）、旅游等提供方便；</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五、不为项目有关人员个人装修住房、婚丧嫁娶、配偶子女工作安排等提供好处；</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六、严格遵守《中华人民共和国政府采购法》《中华人民共和国招标投标法》《中华人民共和国民法典》等法律法规，诚实守信，合法经营，坚决抵制各种违法违纪行为。</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pPr>
        <w:spacing w:line="500" w:lineRule="exact"/>
        <w:contextualSpacing/>
        <w:rPr>
          <w:rFonts w:hint="eastAsia" w:ascii="仿宋_GB2312" w:hAnsi="仿宋_GB2312" w:eastAsia="仿宋_GB2312" w:cs="仿宋_GB2312"/>
          <w:color w:val="auto"/>
          <w:sz w:val="24"/>
          <w:szCs w:val="24"/>
          <w:highlight w:val="none"/>
        </w:rPr>
      </w:pPr>
    </w:p>
    <w:p>
      <w:pPr>
        <w:pStyle w:val="4"/>
        <w:rPr>
          <w:rFonts w:hint="eastAsia" w:ascii="仿宋_GB2312" w:hAnsi="仿宋_GB2312" w:eastAsia="仿宋_GB2312" w:cs="仿宋_GB2312"/>
          <w:color w:val="auto"/>
          <w:highlight w:val="none"/>
        </w:rPr>
      </w:pPr>
    </w:p>
    <w:p>
      <w:pPr>
        <w:spacing w:line="500" w:lineRule="exact"/>
        <w:ind w:firstLine="4560" w:firstLineChars="19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00" w:lineRule="exact"/>
        <w:ind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pPr>
        <w:spacing w:line="540" w:lineRule="exact"/>
        <w:contextualSpacing/>
        <w:rPr>
          <w:rFonts w:hint="eastAsia" w:ascii="仿宋_GB2312" w:hAnsi="仿宋_GB2312" w:eastAsia="仿宋_GB2312" w:cs="仿宋_GB2312"/>
          <w:color w:val="auto"/>
          <w:sz w:val="24"/>
          <w:szCs w:val="24"/>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报价文件部分</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（1）开标一览表（报价表）…………………………………………………………（页码）</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（2）中小企业声明函（如果有）……………………………………………………（页码）</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（3）关于符合本国产品标准的声明函（如果有）…………………………………（页码）</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）书面说明及必要的证明材料，对投标价格作出解释。（如果报价低于项目</w:t>
      </w:r>
      <w:r>
        <w:rPr>
          <w:rFonts w:hint="eastAsia" w:ascii="仿宋_GB2312" w:hAnsi="仿宋_GB2312" w:eastAsia="仿宋_GB2312" w:cs="仿宋_GB2312"/>
          <w:color w:val="auto"/>
          <w:sz w:val="24"/>
          <w:szCs w:val="24"/>
          <w:highlight w:val="none"/>
          <w:lang w:eastAsia="zh-CN"/>
        </w:rPr>
        <w:t>最高限价</w:t>
      </w:r>
      <w:r>
        <w:rPr>
          <w:rFonts w:hint="eastAsia" w:ascii="仿宋_GB2312" w:hAnsi="仿宋_GB2312" w:eastAsia="仿宋_GB2312" w:cs="仿宋_GB2312"/>
          <w:color w:val="auto"/>
          <w:sz w:val="24"/>
          <w:szCs w:val="24"/>
          <w:highlight w:val="none"/>
          <w:lang w:val="en-US" w:eastAsia="zh-CN"/>
        </w:rPr>
        <w:t>45</w:t>
      </w:r>
      <w:r>
        <w:rPr>
          <w:rFonts w:hint="eastAsia" w:ascii="仿宋_GB2312" w:hAnsi="仿宋_GB2312" w:eastAsia="仿宋_GB2312" w:cs="仿宋_GB2312"/>
          <w:color w:val="auto"/>
          <w:sz w:val="24"/>
          <w:szCs w:val="24"/>
          <w:highlight w:val="none"/>
        </w:rPr>
        <w:t>%的）……………………………………………………………………………（页码）</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一、开标一览表（报价表）</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按你方招标文件要求，我们，本投标文件签字方，谨此向你方发出要约如下：如你方接受本投标，我方承诺按照如下开标一览表（报价表）的价格完成（项目名称）【招标编号：（采购编号）】的实施。</w:t>
      </w:r>
    </w:p>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开标一览表（报价表）(单位均为人民币元)</w:t>
      </w:r>
    </w:p>
    <w:tbl>
      <w:tblPr>
        <w:tblStyle w:val="27"/>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893"/>
        <w:gridCol w:w="929"/>
        <w:gridCol w:w="835"/>
        <w:gridCol w:w="823"/>
        <w:gridCol w:w="1134"/>
        <w:gridCol w:w="141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90"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893"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w:t>
            </w:r>
          </w:p>
        </w:tc>
        <w:tc>
          <w:tcPr>
            <w:tcW w:w="929"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品牌</w:t>
            </w:r>
          </w:p>
        </w:tc>
        <w:tc>
          <w:tcPr>
            <w:tcW w:w="835"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规格型号</w:t>
            </w:r>
          </w:p>
        </w:tc>
        <w:tc>
          <w:tcPr>
            <w:tcW w:w="823"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单价</w:t>
            </w:r>
          </w:p>
        </w:tc>
        <w:tc>
          <w:tcPr>
            <w:tcW w:w="1134"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1417"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tc>
        <w:tc>
          <w:tcPr>
            <w:tcW w:w="965"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89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89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90" w:type="dxa"/>
            <w:noWrap w:val="0"/>
            <w:vAlign w:val="center"/>
          </w:tcPr>
          <w:p>
            <w:pPr>
              <w:spacing w:line="540" w:lineRule="exact"/>
              <w:contextualSpacing/>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893" w:type="dxa"/>
            <w:noWrap w:val="0"/>
            <w:vAlign w:val="center"/>
          </w:tcPr>
          <w:p>
            <w:pPr>
              <w:spacing w:line="540" w:lineRule="exact"/>
              <w:contextualSpacing/>
              <w:rPr>
                <w:rFonts w:hint="default" w:ascii="仿宋_GB2312" w:hAnsi="仿宋_GB2312" w:eastAsia="仿宋_GB2312" w:cs="仿宋_GB2312"/>
                <w:color w:val="auto"/>
                <w:sz w:val="24"/>
                <w:szCs w:val="24"/>
                <w:highlight w:val="none"/>
                <w:lang w:val="en-US" w:eastAsia="zh-CN"/>
              </w:rPr>
            </w:pPr>
          </w:p>
        </w:tc>
        <w:tc>
          <w:tcPr>
            <w:tcW w:w="929"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204" w:type="dxa"/>
            <w:gridSpan w:val="6"/>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投标报价（小写）</w:t>
            </w:r>
          </w:p>
        </w:tc>
        <w:tc>
          <w:tcPr>
            <w:tcW w:w="2382" w:type="dxa"/>
            <w:gridSpan w:val="2"/>
            <w:noWrap w:val="0"/>
            <w:vAlign w:val="top"/>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04" w:type="dxa"/>
            <w:gridSpan w:val="6"/>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投标报价（大写）</w:t>
            </w:r>
          </w:p>
        </w:tc>
        <w:tc>
          <w:tcPr>
            <w:tcW w:w="2382" w:type="dxa"/>
            <w:gridSpan w:val="2"/>
            <w:noWrap w:val="0"/>
            <w:vAlign w:val="top"/>
          </w:tcPr>
          <w:p>
            <w:pPr>
              <w:spacing w:line="540" w:lineRule="exact"/>
              <w:contextualSpacing/>
              <w:rPr>
                <w:rFonts w:hint="eastAsia" w:ascii="仿宋_GB2312" w:hAnsi="仿宋_GB2312" w:eastAsia="仿宋_GB2312" w:cs="仿宋_GB2312"/>
                <w:color w:val="auto"/>
                <w:sz w:val="24"/>
                <w:szCs w:val="24"/>
                <w:highlight w:val="none"/>
              </w:rPr>
            </w:pPr>
          </w:p>
        </w:tc>
      </w:tr>
    </w:tbl>
    <w:p>
      <w:pPr>
        <w:spacing w:line="540" w:lineRule="exact"/>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注：</w:t>
      </w:r>
    </w:p>
    <w:p>
      <w:pPr>
        <w:spacing w:line="540" w:lineRule="exact"/>
        <w:ind w:firstLine="472" w:firstLineChars="196"/>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投标报价中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2.特别提示：采购代理机构将对项目名称和项目编号，中标供应商名称、地址和中标金额，主要中标标的的名称、规格型号、数量、单价、服务要求等予以公示。</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4.投标报价一经涂改，应在涂改处加盖单位公章或投标人代表签字（或盖章），否则其投标作无效标处理。</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报价应包括产品、产品标准配件、备品备件、专用工具、包装、工时、运输、装卸、保险、税金、设备保护、安装、调试与试运行、培训、保修、售后服务费、工程配套费、以及实施本项目所需的其他一切费用。</w:t>
      </w:r>
    </w:p>
    <w:p>
      <w:pPr>
        <w:spacing w:line="540" w:lineRule="exact"/>
        <w:contextualSpacing/>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lang w:val="en-US" w:eastAsia="zh-CN"/>
        </w:rPr>
        <w:t>6.特别说明：供应商投标报价低于项目最高限价45%的，应当在报价文件中提供书面说明及必要的证明材料，对投标价格作出解释。书面说明、证明材料主要是项目具体成本测算等与报价合理性相关的说明、材料，包括但不限于原材料成本、人工成本、制造费用等。</w:t>
      </w:r>
    </w:p>
    <w:p>
      <w:pPr>
        <w:pStyle w:val="26"/>
        <w:rPr>
          <w:rFonts w:hint="eastAsia" w:ascii="仿宋_GB2312" w:hAnsi="仿宋_GB2312" w:eastAsia="仿宋_GB2312" w:cs="仿宋_GB2312"/>
          <w:color w:val="auto"/>
          <w:sz w:val="24"/>
          <w:szCs w:val="24"/>
          <w:highlight w:val="none"/>
        </w:rPr>
      </w:pPr>
    </w:p>
    <w:p>
      <w:pPr>
        <w:rPr>
          <w:rFonts w:hint="eastAsia"/>
          <w:color w:val="auto"/>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ind w:right="480"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00" w:lineRule="exact"/>
        <w:ind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pPr>
        <w:pStyle w:val="4"/>
        <w:rPr>
          <w:rFonts w:hint="eastAsia" w:ascii="仿宋_GB2312" w:hAnsi="仿宋_GB2312" w:eastAsia="仿宋_GB2312" w:cs="仿宋_GB2312"/>
          <w:color w:val="auto"/>
          <w:highlight w:val="none"/>
        </w:rPr>
      </w:pPr>
    </w:p>
    <w:p>
      <w:pPr>
        <w:pStyle w:val="2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二、中小企业声明函（如果有）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pPr>
        <w:spacing w:line="540" w:lineRule="exact"/>
        <w:contextualSpacing/>
        <w:jc w:val="center"/>
        <w:rPr>
          <w:rFonts w:hint="eastAsia" w:ascii="仿宋_GB2312" w:hAnsi="仿宋_GB2312" w:eastAsia="仿宋_GB2312" w:cs="仿宋_GB2312"/>
          <w:b/>
          <w:color w:val="auto"/>
          <w:sz w:val="28"/>
          <w:szCs w:val="28"/>
          <w:highlight w:val="none"/>
        </w:rPr>
      </w:pPr>
    </w:p>
    <w:p>
      <w:pPr>
        <w:pStyle w:val="2"/>
        <w:rPr>
          <w:rFonts w:hint="eastAsia" w:ascii="仿宋_GB2312" w:hAnsi="仿宋_GB2312" w:eastAsia="仿宋_GB2312" w:cs="仿宋_GB2312"/>
          <w:b/>
          <w:color w:val="auto"/>
          <w:sz w:val="28"/>
          <w:szCs w:val="28"/>
          <w:highlight w:val="none"/>
        </w:rPr>
      </w:pPr>
    </w:p>
    <w:p>
      <w:pPr>
        <w:pStyle w:val="4"/>
        <w:rPr>
          <w:rFonts w:hint="eastAsia" w:ascii="仿宋_GB2312" w:hAnsi="仿宋_GB2312" w:eastAsia="仿宋_GB2312" w:cs="仿宋_GB2312"/>
          <w:b/>
          <w:color w:val="auto"/>
          <w:sz w:val="28"/>
          <w:szCs w:val="28"/>
          <w:highlight w:val="none"/>
        </w:rPr>
      </w:pPr>
    </w:p>
    <w:p>
      <w:pPr>
        <w:pStyle w:val="26"/>
        <w:rPr>
          <w:rFonts w:hint="eastAsia"/>
          <w:color w:val="auto"/>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三、关于符合本国产品标准的声明函（如果有）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符合《国务院办公厅关于在政府采购中实施本国产品标准及相关政策的通知》规定的本国产品拟享受价格扣除政策的，需提供关于符合本国产品标准的声明函（附件8）。</w:t>
      </w:r>
    </w:p>
    <w:p>
      <w:pPr>
        <w:pStyle w:val="6"/>
        <w:rPr>
          <w:rFonts w:hint="eastAsia"/>
          <w:color w:val="auto"/>
          <w:highlight w:val="none"/>
          <w:lang w:val="en-US" w:eastAsia="zh-CN"/>
        </w:rPr>
      </w:pPr>
    </w:p>
    <w:p>
      <w:pPr>
        <w:rPr>
          <w:rFonts w:hint="eastAsia"/>
          <w:color w:val="auto"/>
          <w:highlight w:val="none"/>
          <w:lang w:val="en-US" w:eastAsia="zh-CN"/>
        </w:rPr>
      </w:pPr>
    </w:p>
    <w:p>
      <w:pPr>
        <w:pStyle w:val="6"/>
        <w:rPr>
          <w:rFonts w:hint="eastAsia"/>
          <w:color w:val="auto"/>
          <w:highlight w:val="none"/>
          <w:lang w:val="en-US" w:eastAsia="zh-CN"/>
        </w:rPr>
      </w:pPr>
    </w:p>
    <w:p>
      <w:pPr>
        <w:rPr>
          <w:rFonts w:hint="eastAsia"/>
          <w:color w:val="auto"/>
          <w:highlight w:val="none"/>
          <w:lang w:val="en-US" w:eastAsia="zh-CN"/>
        </w:rPr>
      </w:pPr>
    </w:p>
    <w:p>
      <w:pPr>
        <w:pStyle w:val="2"/>
        <w:rPr>
          <w:rFonts w:hint="eastAsia" w:eastAsiaTheme="minorEastAsia"/>
          <w:color w:val="auto"/>
          <w:sz w:val="28"/>
          <w:szCs w:val="28"/>
          <w:highlight w:val="none"/>
          <w:lang w:val="en-US" w:eastAsia="zh-CN"/>
        </w:rPr>
      </w:pPr>
      <w:r>
        <w:rPr>
          <w:rFonts w:hint="eastAsia" w:ascii="方正仿宋_GB2312" w:hAnsi="方正仿宋_GB2312" w:eastAsia="方正仿宋_GB2312" w:cs="方正仿宋_GB2312"/>
          <w:b/>
          <w:color w:val="auto"/>
          <w:sz w:val="28"/>
          <w:szCs w:val="28"/>
          <w:highlight w:val="none"/>
          <w:lang w:eastAsia="zh-CN"/>
        </w:rPr>
        <w:t>四</w:t>
      </w:r>
      <w:r>
        <w:rPr>
          <w:rFonts w:hint="eastAsia" w:ascii="方正仿宋_GB2312" w:hAnsi="方正仿宋_GB2312" w:eastAsia="方正仿宋_GB2312" w:cs="方正仿宋_GB2312"/>
          <w:b/>
          <w:color w:val="auto"/>
          <w:sz w:val="28"/>
          <w:szCs w:val="28"/>
          <w:highlight w:val="none"/>
        </w:rPr>
        <w:t>、书面说明及必要的证明材料，对投标价格作出解释。（如果报价低于项目</w:t>
      </w:r>
      <w:r>
        <w:rPr>
          <w:rFonts w:hint="eastAsia" w:ascii="方正仿宋_GB2312" w:hAnsi="方正仿宋_GB2312" w:eastAsia="方正仿宋_GB2312" w:cs="方正仿宋_GB2312"/>
          <w:b/>
          <w:color w:val="auto"/>
          <w:sz w:val="28"/>
          <w:szCs w:val="28"/>
          <w:highlight w:val="none"/>
          <w:lang w:eastAsia="zh-CN"/>
        </w:rPr>
        <w:t>最高限价</w:t>
      </w:r>
      <w:r>
        <w:rPr>
          <w:rFonts w:hint="eastAsia" w:ascii="方正仿宋_GB2312" w:hAnsi="方正仿宋_GB2312" w:eastAsia="方正仿宋_GB2312" w:cs="方正仿宋_GB2312"/>
          <w:b/>
          <w:color w:val="auto"/>
          <w:sz w:val="28"/>
          <w:szCs w:val="28"/>
          <w:highlight w:val="none"/>
          <w:lang w:val="en-US" w:eastAsia="zh-CN"/>
        </w:rPr>
        <w:t>45</w:t>
      </w:r>
      <w:r>
        <w:rPr>
          <w:rFonts w:hint="eastAsia" w:ascii="方正仿宋_GB2312" w:hAnsi="方正仿宋_GB2312" w:eastAsia="方正仿宋_GB2312" w:cs="方正仿宋_GB2312"/>
          <w:b/>
          <w:color w:val="auto"/>
          <w:sz w:val="28"/>
          <w:szCs w:val="28"/>
          <w:highlight w:val="none"/>
        </w:rPr>
        <w:t>%的）</w:t>
      </w:r>
    </w:p>
    <w:p>
      <w:pPr>
        <w:spacing w:line="540" w:lineRule="exact"/>
        <w:ind w:firstLine="470" w:firstLineChars="196"/>
        <w:contextualSpacing/>
        <w:rPr>
          <w:rFonts w:hint="eastAsia" w:ascii="仿宋_GB2312" w:eastAsia="仿宋_GB2312"/>
          <w:b w:val="0"/>
          <w:bCs w:val="0"/>
          <w:color w:val="auto"/>
          <w:sz w:val="24"/>
          <w:szCs w:val="24"/>
          <w:highlight w:val="none"/>
          <w:lang w:eastAsia="zh-CN"/>
        </w:rPr>
      </w:pPr>
      <w:r>
        <w:rPr>
          <w:rFonts w:hint="eastAsia" w:ascii="仿宋_GB2312" w:eastAsia="仿宋_GB2312"/>
          <w:b w:val="0"/>
          <w:bCs w:val="0"/>
          <w:color w:val="auto"/>
          <w:sz w:val="24"/>
          <w:szCs w:val="24"/>
          <w:highlight w:val="none"/>
        </w:rPr>
        <w:t>特别说明：供应商投标报价低于项目</w:t>
      </w:r>
      <w:r>
        <w:rPr>
          <w:rFonts w:hint="eastAsia" w:ascii="仿宋_GB2312" w:hAnsi="仿宋_GB2312" w:eastAsia="仿宋_GB2312" w:cs="仿宋_GB2312"/>
          <w:b w:val="0"/>
          <w:bCs w:val="0"/>
          <w:i w:val="0"/>
          <w:iCs w:val="0"/>
          <w:caps w:val="0"/>
          <w:color w:val="auto"/>
          <w:spacing w:val="0"/>
          <w:w w:val="100"/>
          <w:kern w:val="0"/>
          <w:sz w:val="24"/>
          <w:szCs w:val="24"/>
          <w:highlight w:val="none"/>
          <w:shd w:val="clear" w:fill="FFFFFF"/>
          <w:vertAlign w:val="baseline"/>
          <w:lang w:val="en-US" w:eastAsia="zh-CN" w:bidi="ar"/>
        </w:rPr>
        <w:t>最高限价</w:t>
      </w:r>
      <w:r>
        <w:rPr>
          <w:rFonts w:hint="eastAsia" w:ascii="仿宋_GB2312" w:eastAsia="仿宋_GB2312"/>
          <w:b w:val="0"/>
          <w:bCs w:val="0"/>
          <w:color w:val="auto"/>
          <w:sz w:val="24"/>
          <w:szCs w:val="24"/>
          <w:highlight w:val="none"/>
          <w:lang w:val="en-US" w:eastAsia="zh-CN"/>
        </w:rPr>
        <w:t>45</w:t>
      </w:r>
      <w:r>
        <w:rPr>
          <w:rFonts w:hint="eastAsia" w:ascii="仿宋_GB2312" w:eastAsia="仿宋_GB2312"/>
          <w:b w:val="0"/>
          <w:bCs w:val="0"/>
          <w:color w:val="auto"/>
          <w:sz w:val="24"/>
          <w:szCs w:val="24"/>
          <w:highlight w:val="none"/>
        </w:rPr>
        <w:t>%的，应当在报价文件中</w:t>
      </w:r>
      <w:r>
        <w:rPr>
          <w:rFonts w:hint="eastAsia" w:ascii="仿宋_GB2312" w:eastAsia="仿宋_GB2312"/>
          <w:b w:val="0"/>
          <w:bCs w:val="0"/>
          <w:color w:val="auto"/>
          <w:sz w:val="24"/>
          <w:szCs w:val="24"/>
          <w:highlight w:val="none"/>
          <w:lang w:eastAsia="zh-CN"/>
        </w:rPr>
        <w:t>提供书面说明及必要的证明材料，对投标价格作出解释。书面说明、证明材料主要是项目具体成本测算等与报价合理性相关的说明、材料，包括但不限于原材料成本、人工成本、制造费用等。</w:t>
      </w:r>
    </w:p>
    <w:p>
      <w:pPr>
        <w:pStyle w:val="2"/>
        <w:rPr>
          <w:rFonts w:hint="eastAsia"/>
          <w:b w:val="0"/>
          <w:bCs w:val="0"/>
          <w:color w:val="auto"/>
          <w:highlight w:val="none"/>
          <w:lang w:val="en-US" w:eastAsia="zh-CN"/>
        </w:rPr>
        <w:sectPr>
          <w:pgSz w:w="11906" w:h="16838"/>
          <w:pgMar w:top="1247" w:right="1418" w:bottom="1276" w:left="1418" w:header="851" w:footer="992" w:gutter="0"/>
          <w:cols w:space="720" w:num="1"/>
          <w:titlePg/>
          <w:docGrid w:linePitch="312" w:charSpace="0"/>
        </w:sectPr>
      </w:pPr>
    </w:p>
    <w:p>
      <w:pPr>
        <w:spacing w:line="540" w:lineRule="exact"/>
        <w:contextualSpacing/>
        <w:jc w:val="center"/>
        <w:rPr>
          <w:rFonts w:hint="eastAsia" w:ascii="仿宋_GB2312" w:hAnsi="仿宋_GB2312" w:eastAsia="仿宋_GB2312" w:cs="仿宋_GB2312"/>
          <w:b/>
          <w:color w:val="auto"/>
          <w:sz w:val="28"/>
          <w:szCs w:val="28"/>
          <w:highlight w:val="none"/>
        </w:rPr>
      </w:pPr>
      <w:bookmarkStart w:id="418" w:name="_Toc465665161"/>
      <w:r>
        <w:rPr>
          <w:rFonts w:hint="eastAsia" w:ascii="仿宋_GB2312" w:hAnsi="仿宋_GB2312" w:eastAsia="仿宋_GB2312" w:cs="仿宋_GB2312"/>
          <w:b/>
          <w:color w:val="auto"/>
          <w:sz w:val="28"/>
          <w:szCs w:val="28"/>
          <w:highlight w:val="none"/>
        </w:rPr>
        <w:t>附件</w:t>
      </w:r>
      <w:bookmarkEnd w:id="418"/>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附件1：</w:t>
      </w:r>
    </w:p>
    <w:p>
      <w:pPr>
        <w:spacing w:line="540" w:lineRule="exact"/>
        <w:contextualSpacing/>
        <w:jc w:val="center"/>
        <w:rPr>
          <w:rFonts w:hint="eastAsia" w:ascii="仿宋_GB2312" w:hAnsi="仿宋_GB2312" w:eastAsia="仿宋_GB2312" w:cs="仿宋_GB2312"/>
          <w:color w:val="auto"/>
          <w:sz w:val="24"/>
          <w:szCs w:val="24"/>
          <w:highlight w:val="none"/>
        </w:rPr>
      </w:pPr>
      <w:bookmarkStart w:id="419" w:name="OLE_LINK14"/>
      <w:bookmarkStart w:id="420" w:name="OLE_LINK13"/>
      <w:r>
        <w:rPr>
          <w:rFonts w:hint="eastAsia" w:ascii="仿宋_GB2312" w:hAnsi="仿宋_GB2312" w:eastAsia="仿宋_GB2312" w:cs="仿宋_GB2312"/>
          <w:color w:val="auto"/>
          <w:sz w:val="24"/>
          <w:szCs w:val="24"/>
          <w:highlight w:val="none"/>
        </w:rPr>
        <w:t>残疾人福利性单位声明函</w:t>
      </w:r>
    </w:p>
    <w:bookmarkEnd w:id="419"/>
    <w:bookmarkEnd w:id="420"/>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仿宋_GB2312" w:hAnsi="仿宋_GB2312" w:eastAsia="仿宋_GB2312" w:cs="仿宋_GB2312"/>
          <w:color w:val="auto"/>
          <w:sz w:val="24"/>
          <w:szCs w:val="24"/>
          <w:highlight w:val="none"/>
          <w:u w:val="single"/>
        </w:rPr>
        <w:t>(采购人)</w:t>
      </w:r>
      <w:r>
        <w:rPr>
          <w:rFonts w:hint="eastAsia" w:ascii="仿宋_GB2312" w:hAnsi="仿宋_GB2312" w:eastAsia="仿宋_GB2312" w:cs="仿宋_GB2312"/>
          <w:color w:val="auto"/>
          <w:sz w:val="24"/>
          <w:szCs w:val="24"/>
          <w:highlight w:val="none"/>
        </w:rPr>
        <w:t>单位的</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本单位对上述声明的真实性负责。如有虚假，将依法承担相应责任。</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40" w:lineRule="exact"/>
        <w:contextualSpacing/>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附件2：</w:t>
      </w:r>
      <w:r>
        <w:rPr>
          <w:rFonts w:hint="eastAsia" w:ascii="仿宋_GB2312" w:hAnsi="仿宋_GB2312" w:eastAsia="仿宋_GB2312" w:cs="仿宋_GB2312"/>
          <w:b/>
          <w:color w:val="auto"/>
          <w:sz w:val="28"/>
          <w:szCs w:val="28"/>
          <w:highlight w:val="none"/>
        </w:rPr>
        <w:t>质疑函范本及制作说明</w:t>
      </w: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质疑函范本</w:t>
      </w:r>
    </w:p>
    <w:p>
      <w:pPr>
        <w:snapToGrid w:val="0"/>
        <w:spacing w:before="312" w:beforeLines="100"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一、质疑供应商基本信息</w:t>
      </w:r>
    </w:p>
    <w:p>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质疑供应商：</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地址：邮编：</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联系人：联系电话：</w:t>
      </w:r>
    </w:p>
    <w:p>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授权代表：</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地址：邮编：</w:t>
      </w:r>
    </w:p>
    <w:p>
      <w:pPr>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二、质疑项目基本情况</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质疑项目的编号：包号：</w:t>
      </w:r>
    </w:p>
    <w:p>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采购人名称：</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采购文件获取日期：</w:t>
      </w:r>
    </w:p>
    <w:p>
      <w:pPr>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三、质疑事项具体内容</w:t>
      </w:r>
    </w:p>
    <w:p>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质疑事项1：</w:t>
      </w:r>
    </w:p>
    <w:p>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事实依据：</w:t>
      </w:r>
    </w:p>
    <w:p>
      <w:pPr>
        <w:snapToGrid w:val="0"/>
        <w:spacing w:line="360" w:lineRule="auto"/>
        <w:rPr>
          <w:rFonts w:hint="eastAsia" w:ascii="仿宋_GB2312" w:hAnsi="仿宋_GB2312" w:eastAsia="仿宋_GB2312" w:cs="仿宋_GB2312"/>
          <w:color w:val="auto"/>
          <w:sz w:val="24"/>
          <w:highlight w:val="none"/>
        </w:rPr>
      </w:pPr>
    </w:p>
    <w:p>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法律依据：</w:t>
      </w:r>
    </w:p>
    <w:p>
      <w:pPr>
        <w:snapToGrid w:val="0"/>
        <w:spacing w:line="360" w:lineRule="auto"/>
        <w:rPr>
          <w:rFonts w:hint="eastAsia" w:ascii="仿宋_GB2312" w:hAnsi="仿宋_GB2312" w:eastAsia="仿宋_GB2312" w:cs="仿宋_GB2312"/>
          <w:color w:val="auto"/>
          <w:sz w:val="24"/>
          <w:highlight w:val="none"/>
          <w:u w:val="dotted"/>
        </w:rPr>
      </w:pPr>
    </w:p>
    <w:p>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质疑事项2</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p>
      <w:pPr>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四、与质疑事项相关的质疑请求</w:t>
      </w:r>
    </w:p>
    <w:p>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请求：</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签字(签章)：公章：</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w:t>
      </w:r>
    </w:p>
    <w:p>
      <w:pPr>
        <w:spacing w:line="360" w:lineRule="auto"/>
        <w:jc w:val="center"/>
        <w:rPr>
          <w:rFonts w:hint="eastAsia" w:ascii="仿宋_GB2312" w:hAnsi="仿宋_GB2312" w:eastAsia="仿宋_GB2312" w:cs="仿宋_GB2312"/>
          <w:b/>
          <w:bCs/>
          <w:color w:val="auto"/>
          <w:sz w:val="24"/>
          <w:highlight w:val="none"/>
        </w:rPr>
      </w:pPr>
    </w:p>
    <w:p>
      <w:pPr>
        <w:spacing w:line="360" w:lineRule="auto"/>
        <w:rPr>
          <w:rFonts w:hint="eastAsia" w:ascii="仿宋_GB2312" w:hAnsi="仿宋_GB2312" w:eastAsia="仿宋_GB2312" w:cs="仿宋_GB2312"/>
          <w:b/>
          <w:color w:val="auto"/>
          <w:sz w:val="24"/>
          <w:highlight w:val="none"/>
        </w:rPr>
      </w:pPr>
    </w:p>
    <w:p>
      <w:pPr>
        <w:spacing w:line="360" w:lineRule="auto"/>
        <w:rPr>
          <w:rFonts w:hint="eastAsia" w:ascii="仿宋_GB2312" w:hAnsi="仿宋_GB2312" w:eastAsia="仿宋_GB2312" w:cs="仿宋_GB2312"/>
          <w:b/>
          <w:color w:val="auto"/>
          <w:sz w:val="24"/>
          <w:highlight w:val="none"/>
        </w:rPr>
      </w:pPr>
    </w:p>
    <w:p>
      <w:pPr>
        <w:spacing w:line="360" w:lineRule="auto"/>
        <w:rPr>
          <w:rFonts w:hint="eastAsia" w:ascii="仿宋_GB2312" w:hAnsi="仿宋_GB2312" w:eastAsia="仿宋_GB2312" w:cs="仿宋_GB2312"/>
          <w:b/>
          <w:color w:val="auto"/>
          <w:sz w:val="24"/>
          <w:highlight w:val="none"/>
        </w:rPr>
      </w:pPr>
    </w:p>
    <w:p>
      <w:pPr>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质疑函制作说明：</w:t>
      </w:r>
    </w:p>
    <w:p>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1.供应商提出质疑时，应提交质疑函和必要的证明材料。</w:t>
      </w:r>
    </w:p>
    <w:p>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2.质疑供应商若委托代理人进行质疑的，质疑函应按要求列明“授权代表”的有关内容，并在附件中提交由质疑</w:t>
      </w:r>
      <w:r>
        <w:rPr>
          <w:rFonts w:hint="eastAsia" w:ascii="仿宋_GB2312" w:hAnsi="仿宋_GB2312" w:eastAsia="仿宋_GB2312" w:cs="仿宋_GB2312"/>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3.质疑供应商若对项目的某一分包进行质疑，质疑函中应列明具体分包号。</w:t>
      </w:r>
    </w:p>
    <w:p>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4.质疑函的质疑事项应具体、明确，并有必要的事实依据和法律依据。</w:t>
      </w:r>
    </w:p>
    <w:p>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5.质疑函的质疑请求应与质疑事项相关。</w:t>
      </w:r>
    </w:p>
    <w:p>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6.质疑供应商为自然人的，质疑函应由本人签字；质疑供应商为法人或者其他组织的，质疑函应由法定代表人、主要负责人，或者其授权代表签字或者盖章，并加盖公章。</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pStyle w:val="4"/>
        <w:rPr>
          <w:rFonts w:hint="eastAsia" w:ascii="仿宋_GB2312" w:hAnsi="仿宋_GB2312" w:eastAsia="仿宋_GB2312" w:cs="仿宋_GB2312"/>
          <w:color w:val="auto"/>
          <w:highlight w:val="none"/>
        </w:rPr>
      </w:pPr>
    </w:p>
    <w:p>
      <w:pPr>
        <w:pStyle w:val="21"/>
        <w:rPr>
          <w:rFonts w:hint="eastAsia" w:ascii="仿宋_GB2312" w:hAnsi="仿宋_GB2312" w:eastAsia="仿宋_GB2312" w:cs="仿宋_GB2312"/>
          <w:color w:val="auto"/>
          <w:highlight w:val="none"/>
        </w:rPr>
      </w:pPr>
    </w:p>
    <w:p>
      <w:pPr>
        <w:spacing w:line="54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附件3：</w:t>
      </w: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投诉书范本及制作说明</w:t>
      </w:r>
    </w:p>
    <w:p>
      <w:pPr>
        <w:spacing w:line="540" w:lineRule="exact"/>
        <w:contextualSpacing/>
        <w:rPr>
          <w:rFonts w:hint="eastAsia" w:ascii="仿宋_GB2312" w:hAnsi="仿宋_GB2312" w:eastAsia="仿宋_GB2312" w:cs="仿宋_GB2312"/>
          <w:color w:val="auto"/>
          <w:sz w:val="24"/>
          <w:szCs w:val="24"/>
          <w:highlight w:val="none"/>
        </w:rPr>
      </w:pPr>
    </w:p>
    <w:p>
      <w:pPr>
        <w:spacing w:line="360" w:lineRule="auto"/>
        <w:jc w:val="center"/>
        <w:rPr>
          <w:rFonts w:hint="eastAsia" w:ascii="仿宋_GB2312" w:hAnsi="仿宋_GB2312" w:eastAsia="仿宋_GB2312" w:cs="仿宋_GB2312"/>
          <w:b/>
          <w:color w:val="auto"/>
          <w:spacing w:val="6"/>
          <w:sz w:val="24"/>
          <w:szCs w:val="24"/>
          <w:highlight w:val="none"/>
        </w:rPr>
      </w:pPr>
      <w:r>
        <w:rPr>
          <w:rFonts w:hint="eastAsia" w:ascii="仿宋_GB2312" w:hAnsi="仿宋_GB2312" w:eastAsia="仿宋_GB2312" w:cs="仿宋_GB2312"/>
          <w:b/>
          <w:color w:val="auto"/>
          <w:spacing w:val="6"/>
          <w:sz w:val="24"/>
          <w:szCs w:val="24"/>
          <w:highlight w:val="none"/>
        </w:rPr>
        <w:t>投诉书范本</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一、投诉相关主体基本情况</w:t>
      </w:r>
    </w:p>
    <w:p>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投诉人：</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地址：邮编：</w:t>
      </w:r>
    </w:p>
    <w:p>
      <w:pPr>
        <w:tabs>
          <w:tab w:val="left" w:pos="6510"/>
        </w:tabs>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法定代表人/主要负责人：</w:t>
      </w:r>
    </w:p>
    <w:p>
      <w:pPr>
        <w:tabs>
          <w:tab w:val="left" w:pos="6510"/>
        </w:tabs>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联系电话：</w:t>
      </w:r>
    </w:p>
    <w:p>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授权代表：联系电话</w:t>
      </w:r>
      <w:r>
        <w:rPr>
          <w:rFonts w:hint="eastAsia" w:ascii="仿宋_GB2312" w:hAnsi="仿宋_GB2312" w:eastAsia="仿宋_GB2312" w:cs="仿宋_GB2312"/>
          <w:color w:val="auto"/>
          <w:sz w:val="24"/>
          <w:szCs w:val="24"/>
          <w:highlight w:val="none"/>
          <w:u w:val="dotted"/>
        </w:rPr>
        <w:t>：</w:t>
      </w:r>
    </w:p>
    <w:p>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地址：邮编：</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被投诉人1：</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地址：邮编：</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联系人：联系电话：</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被投诉人2</w:t>
      </w:r>
    </w:p>
    <w:p>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相关供应商：</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地址：邮编：</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联系人：联系电话：</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二、投诉项目基本情况</w:t>
      </w:r>
    </w:p>
    <w:p>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采购项目名称：</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采购项目编号：包号：</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采购人名称：</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代理机构名称：</w:t>
      </w:r>
    </w:p>
    <w:p>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采购文件公告:</w:t>
      </w:r>
      <w:r>
        <w:rPr>
          <w:rFonts w:hint="eastAsia" w:ascii="仿宋_GB2312" w:hAnsi="仿宋_GB2312" w:eastAsia="仿宋_GB2312" w:cs="仿宋_GB2312"/>
          <w:color w:val="auto"/>
          <w:sz w:val="24"/>
          <w:szCs w:val="24"/>
          <w:highlight w:val="none"/>
          <w:u w:val="dotted"/>
        </w:rPr>
        <w:t>是/否</w:t>
      </w:r>
      <w:r>
        <w:rPr>
          <w:rFonts w:hint="eastAsia" w:ascii="仿宋_GB2312" w:hAnsi="仿宋_GB2312" w:eastAsia="仿宋_GB2312" w:cs="仿宋_GB2312"/>
          <w:color w:val="auto"/>
          <w:sz w:val="24"/>
          <w:szCs w:val="24"/>
          <w:highlight w:val="none"/>
        </w:rPr>
        <w:t>公告期限：</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采购结果公告:</w:t>
      </w:r>
      <w:r>
        <w:rPr>
          <w:rFonts w:hint="eastAsia" w:ascii="仿宋_GB2312" w:hAnsi="仿宋_GB2312" w:eastAsia="仿宋_GB2312" w:cs="仿宋_GB2312"/>
          <w:color w:val="auto"/>
          <w:sz w:val="24"/>
          <w:szCs w:val="24"/>
          <w:highlight w:val="none"/>
          <w:u w:val="dotted"/>
        </w:rPr>
        <w:t>是/否</w:t>
      </w:r>
      <w:r>
        <w:rPr>
          <w:rFonts w:hint="eastAsia" w:ascii="仿宋_GB2312" w:hAnsi="仿宋_GB2312" w:eastAsia="仿宋_GB2312" w:cs="仿宋_GB2312"/>
          <w:color w:val="auto"/>
          <w:sz w:val="24"/>
          <w:szCs w:val="24"/>
          <w:highlight w:val="none"/>
        </w:rPr>
        <w:t>公告期限：</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三、质疑基本情况</w:t>
      </w:r>
    </w:p>
    <w:p>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投诉人于年月日,向提出质疑，质疑事项为：</w:t>
      </w:r>
    </w:p>
    <w:p>
      <w:pPr>
        <w:spacing w:line="360" w:lineRule="auto"/>
        <w:rPr>
          <w:rFonts w:hint="eastAsia" w:ascii="仿宋_GB2312" w:hAnsi="仿宋_GB2312" w:eastAsia="仿宋_GB2312" w:cs="仿宋_GB2312"/>
          <w:color w:val="auto"/>
          <w:sz w:val="24"/>
          <w:szCs w:val="24"/>
          <w:highlight w:val="none"/>
          <w:u w:val="dotted"/>
        </w:rPr>
      </w:pP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dotted"/>
        </w:rPr>
        <w:t>采购人/代理机构</w:t>
      </w:r>
      <w:r>
        <w:rPr>
          <w:rFonts w:hint="eastAsia" w:ascii="仿宋_GB2312" w:hAnsi="仿宋_GB2312" w:eastAsia="仿宋_GB2312" w:cs="仿宋_GB2312"/>
          <w:color w:val="auto"/>
          <w:sz w:val="24"/>
          <w:szCs w:val="24"/>
          <w:highlight w:val="none"/>
        </w:rPr>
        <w:t>于年月日,就质疑事项作出了答复/没有在法定期限内作出答复。</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四、投诉事项具体内容</w:t>
      </w: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投诉事项 1：</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事实依据：</w:t>
      </w:r>
    </w:p>
    <w:p>
      <w:pPr>
        <w:spacing w:line="360" w:lineRule="auto"/>
        <w:rPr>
          <w:rFonts w:hint="eastAsia" w:ascii="仿宋_GB2312" w:hAnsi="仿宋_GB2312" w:eastAsia="仿宋_GB2312" w:cs="仿宋_GB2312"/>
          <w:color w:val="auto"/>
          <w:sz w:val="24"/>
          <w:szCs w:val="24"/>
          <w:highlight w:val="none"/>
          <w:u w:val="dotted"/>
        </w:rPr>
      </w:pPr>
    </w:p>
    <w:p>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法律依据：</w:t>
      </w:r>
    </w:p>
    <w:p>
      <w:pPr>
        <w:spacing w:line="360" w:lineRule="auto"/>
        <w:rPr>
          <w:rFonts w:hint="eastAsia" w:ascii="仿宋_GB2312" w:hAnsi="仿宋_GB2312" w:eastAsia="仿宋_GB2312" w:cs="仿宋_GB2312"/>
          <w:color w:val="auto"/>
          <w:sz w:val="24"/>
          <w:szCs w:val="24"/>
          <w:highlight w:val="none"/>
          <w:u w:val="dotted"/>
        </w:rPr>
      </w:pP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投诉事项2</w:t>
      </w:r>
    </w:p>
    <w:p>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五、与投诉事项相关的投诉请求</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请求：</w:t>
      </w:r>
    </w:p>
    <w:p>
      <w:pPr>
        <w:spacing w:line="360" w:lineRule="auto"/>
        <w:rPr>
          <w:rFonts w:hint="eastAsia" w:ascii="仿宋_GB2312" w:hAnsi="仿宋_GB2312" w:eastAsia="仿宋_GB2312" w:cs="仿宋_GB2312"/>
          <w:color w:val="auto"/>
          <w:sz w:val="24"/>
          <w:szCs w:val="24"/>
          <w:highlight w:val="none"/>
          <w:u w:val="single"/>
        </w:rPr>
      </w:pP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签字(签章)：公章：</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360" w:lineRule="auto"/>
        <w:rPr>
          <w:rFonts w:hint="eastAsia" w:ascii="仿宋_GB2312" w:hAnsi="仿宋_GB2312" w:eastAsia="仿宋_GB2312" w:cs="仿宋_GB2312"/>
          <w:b/>
          <w:color w:val="auto"/>
          <w:sz w:val="24"/>
          <w:szCs w:val="24"/>
          <w:highlight w:val="none"/>
        </w:rPr>
      </w:pPr>
    </w:p>
    <w:p>
      <w:pPr>
        <w:spacing w:line="360" w:lineRule="auto"/>
        <w:rPr>
          <w:rFonts w:hint="eastAsia" w:ascii="仿宋_GB2312" w:hAnsi="仿宋_GB2312" w:eastAsia="仿宋_GB2312" w:cs="仿宋_GB2312"/>
          <w:b/>
          <w:color w:val="auto"/>
          <w:sz w:val="24"/>
          <w:szCs w:val="24"/>
          <w:highlight w:val="none"/>
        </w:rPr>
      </w:pPr>
    </w:p>
    <w:p>
      <w:pPr>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投诉书制作说明：</w:t>
      </w:r>
    </w:p>
    <w:p>
      <w:pPr>
        <w:widowControl/>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2.投诉人若委托代理人进行投诉的，投诉书应按照要求列明“授权代表”的有关内容，并在附件中提交由</w:t>
      </w:r>
      <w:r>
        <w:rPr>
          <w:rFonts w:hint="eastAsia" w:ascii="仿宋_GB2312" w:hAnsi="仿宋_GB2312" w:eastAsia="仿宋_GB2312" w:cs="仿宋_GB2312"/>
          <w:color w:val="auto"/>
          <w:kern w:val="0"/>
          <w:sz w:val="24"/>
          <w:szCs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3.投诉人若对项目的某一分包进行投诉，投诉书应列明具体分包号。</w:t>
      </w:r>
    </w:p>
    <w:p>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4.投诉书应简要列明质疑事项，质疑函、质疑答复等作为附件材料提供。</w:t>
      </w:r>
    </w:p>
    <w:p>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5.投诉书的投诉事项应具体、明确，并有必要的事实依据和法律依据。</w:t>
      </w:r>
    </w:p>
    <w:p>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6.投诉书的投诉请求应与投诉事项相关。</w:t>
      </w:r>
    </w:p>
    <w:p>
      <w:pPr>
        <w:spacing w:line="360" w:lineRule="auto"/>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7.投诉人为自然人的，投诉书应当由本人签字；投诉人为法人或者其他组织的，投诉书应当由法定代表人、主要负责人，或者其授权代表签字或者盖章，并加盖公章。</w:t>
      </w:r>
    </w:p>
    <w:p>
      <w:pPr>
        <w:spacing w:line="540" w:lineRule="exact"/>
        <w:contextualSpacing/>
        <w:rPr>
          <w:rFonts w:hint="eastAsia" w:ascii="仿宋_GB2312" w:hAnsi="仿宋_GB2312" w:eastAsia="仿宋_GB2312" w:cs="仿宋_GB2312"/>
          <w:color w:val="auto"/>
          <w:sz w:val="28"/>
          <w:szCs w:val="28"/>
          <w:highlight w:val="none"/>
        </w:rPr>
      </w:pPr>
    </w:p>
    <w:p>
      <w:pPr>
        <w:spacing w:line="54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附件4：</w:t>
      </w: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业务专用章使用说明函</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我方(投标人全称)是中华人民共和国依法登记注册的合法企业，在参加你方组织的</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rPr>
        <w:t>项目【招标编号：</w:t>
      </w:r>
      <w:r>
        <w:rPr>
          <w:rFonts w:hint="eastAsia" w:ascii="仿宋_GB2312" w:hAnsi="仿宋_GB2312" w:eastAsia="仿宋_GB2312" w:cs="仿宋_GB2312"/>
          <w:color w:val="auto"/>
          <w:sz w:val="24"/>
          <w:szCs w:val="24"/>
          <w:highlight w:val="none"/>
          <w:u w:val="single"/>
        </w:rPr>
        <w:t>（采购编号）</w:t>
      </w:r>
      <w:r>
        <w:rPr>
          <w:rFonts w:hint="eastAsia" w:ascii="仿宋_GB2312" w:hAnsi="仿宋_GB2312" w:eastAsia="仿宋_GB2312" w:cs="仿宋_GB2312"/>
          <w:color w:val="auto"/>
          <w:sz w:val="24"/>
          <w:szCs w:val="24"/>
          <w:highlight w:val="none"/>
        </w:rPr>
        <w:t>】投标活动中作如下说明：我方所使用的“XX专用章”与法定名称章具有同等的法律效力，对使用“XX专用章”的行为予以完全承认，并愿意承担相应责任。</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特此说明。</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ind w:firstLine="3600" w:firstLineChars="1500"/>
        <w:contextualSpacing/>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投标单位（法定名称章）：</w:t>
      </w:r>
    </w:p>
    <w:p>
      <w:pPr>
        <w:spacing w:line="540" w:lineRule="exact"/>
        <w:ind w:firstLine="5040" w:firstLineChars="2100"/>
        <w:contextualSpacing/>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投标单位法定名称章（印模）投标单位“XX专用章”（印模）</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13335</wp:posOffset>
                </wp:positionV>
                <wp:extent cx="1213485" cy="715010"/>
                <wp:effectExtent l="5080" t="4445" r="15875" b="12065"/>
                <wp:wrapNone/>
                <wp:docPr id="1" name="1026"/>
                <wp:cNvGraphicFramePr/>
                <a:graphic xmlns:a="http://schemas.openxmlformats.org/drawingml/2006/main">
                  <a:graphicData uri="http://schemas.microsoft.com/office/word/2010/wordprocessingShape">
                    <wps:wsp>
                      <wps:cNvSpPr/>
                      <wps:spPr>
                        <a:xfrm>
                          <a:off x="0" y="0"/>
                          <a:ext cx="1213485" cy="7150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1026" o:spid="_x0000_s1026" o:spt="1" style="position:absolute;left:0pt;margin-left:238.9pt;margin-top:1.05pt;height:56.3pt;width:95.55pt;z-index:-251657216;mso-width-relative:page;mso-height-relative:page;" fillcolor="#FFFFFF" filled="t" stroked="t" coordsize="21600,21600" o:gfxdata="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JkmuLXAAAACQEAAA8AAAAAAAAAAQAgAAAAIgAAAGRycy9kb3ducmV2LnhtbFBLAQIU&#10;ABQAAAAIAIdO4kClobj29AEAACgEAAAOAAAAAAAAAAEAIAAAACYBAABkcnMvZTJvRG9jLnhtbFBL&#10;BQYAAAAABgAGAFkBAACMBQAAAAA=&#10;">
                <v:fill on="t" focussize="0,0"/>
                <v:stroke color="#000000" joinstyle="miter"/>
                <v:imagedata o:title=""/>
                <o:lock v:ext="edit" aspectratio="f"/>
              </v:rect>
            </w:pict>
          </mc:Fallback>
        </mc:AlternateContent>
      </w: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column">
                  <wp:posOffset>-45720</wp:posOffset>
                </wp:positionH>
                <wp:positionV relativeFrom="paragraph">
                  <wp:posOffset>13335</wp:posOffset>
                </wp:positionV>
                <wp:extent cx="1188085" cy="715010"/>
                <wp:effectExtent l="4445" t="4445" r="11430" b="12065"/>
                <wp:wrapNone/>
                <wp:docPr id="2" name="1027"/>
                <wp:cNvGraphicFramePr/>
                <a:graphic xmlns:a="http://schemas.openxmlformats.org/drawingml/2006/main">
                  <a:graphicData uri="http://schemas.microsoft.com/office/word/2010/wordprocessingShape">
                    <wps:wsp>
                      <wps:cNvSpPr/>
                      <wps:spPr>
                        <a:xfrm>
                          <a:off x="0" y="0"/>
                          <a:ext cx="1188085" cy="7150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1027" o:spid="_x0000_s1026" o:spt="1" style="position:absolute;left:0pt;margin-left:-3.6pt;margin-top:1.05pt;height:56.3pt;width:93.55pt;z-index:-251656192;mso-width-relative:page;mso-height-relative:page;" fillcolor="#FFFFFF" filled="t" stroked="t" coordsize="21600,21600" o:gfxdata="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mi3RNcAAAAIAQAADwAAAAAAAAABACAAAAAiAAAAZHJzL2Rvd25yZXYueG1sUEsBAhQA&#10;FAAAAAgAh07iQLcWT+jzAQAAKAQAAA4AAAAAAAAAAQAgAAAAJgEAAGRycy9lMm9Eb2MueG1sUEsF&#10;BgAAAAAGAAYAWQEAAIsFAAAAAA==&#10;">
                <v:fill on="t" focussize="0,0"/>
                <v:stroke color="#000000" joinstyle="miter"/>
                <v:imagedata o:title=""/>
                <o:lock v:ext="edit" aspectratio="f"/>
              </v:rect>
            </w:pict>
          </mc:Fallback>
        </mc:AlternateConten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pStyle w:val="3"/>
        <w:rPr>
          <w:rFonts w:hint="eastAsia" w:ascii="仿宋_GB2312" w:hAnsi="仿宋_GB2312" w:eastAsia="仿宋_GB2312" w:cs="仿宋_GB2312"/>
          <w:color w:val="auto"/>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附件5：</w:t>
      </w:r>
    </w:p>
    <w:p>
      <w:pPr>
        <w:spacing w:line="540" w:lineRule="exact"/>
        <w:contextualSpacing/>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中小企业声明函（货物）</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u w:val="single"/>
          <w:lang w:eastAsia="zh-CN"/>
        </w:rPr>
        <w:t>采购人</w:t>
      </w:r>
      <w:r>
        <w:rPr>
          <w:rFonts w:hint="eastAsia" w:ascii="仿宋_GB2312" w:hAnsi="仿宋_GB2312" w:eastAsia="仿宋_GB2312" w:cs="仿宋_GB2312"/>
          <w:color w:val="auto"/>
          <w:sz w:val="24"/>
          <w:szCs w:val="24"/>
          <w:highlight w:val="none"/>
          <w:u w:val="single"/>
        </w:rPr>
        <w:t>单位名称）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lang w:val="en-US" w:eastAsia="zh-CN"/>
        </w:rPr>
        <w:t xml:space="preserve"> （项目名称） </w:t>
      </w:r>
      <w:r>
        <w:rPr>
          <w:rFonts w:hint="eastAsia" w:ascii="仿宋_GB2312" w:hAnsi="仿宋_GB2312" w:eastAsia="仿宋_GB2312" w:cs="仿宋_GB2312"/>
          <w:color w:val="auto"/>
          <w:sz w:val="24"/>
          <w:szCs w:val="24"/>
          <w:highlight w:val="none"/>
        </w:rPr>
        <w:t>采购活动，提供的货物全部由符合政策要求的中小企业制造。相关企业（含联合体中的中小企业、签订分包意向协议的中小企业）的具体情况如下：</w:t>
      </w:r>
    </w:p>
    <w:tbl>
      <w:tblPr>
        <w:tblStyle w:val="2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242"/>
        <w:gridCol w:w="1266"/>
        <w:gridCol w:w="936"/>
        <w:gridCol w:w="1239"/>
        <w:gridCol w:w="113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2122" w:type="dxa"/>
            <w:noWrap w:val="0"/>
            <w:vAlign w:val="center"/>
          </w:tcPr>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标的名称</w:t>
            </w:r>
          </w:p>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lang w:eastAsia="zh-CN"/>
              </w:rPr>
              <w:t>（请根据采购文件</w:t>
            </w:r>
            <w:r>
              <w:rPr>
                <w:rFonts w:hint="eastAsia" w:ascii="仿宋_GB2312" w:hAnsi="仿宋_GB2312" w:eastAsia="仿宋_GB2312" w:cs="仿宋_GB2312"/>
                <w:color w:val="auto"/>
                <w:kern w:val="0"/>
                <w:szCs w:val="24"/>
                <w:highlight w:val="none"/>
              </w:rPr>
              <w:t>第三部分采购需求</w:t>
            </w:r>
            <w:r>
              <w:rPr>
                <w:rFonts w:hint="eastAsia" w:ascii="仿宋_GB2312" w:hAnsi="仿宋_GB2312" w:eastAsia="仿宋_GB2312" w:cs="仿宋_GB2312"/>
                <w:color w:val="auto"/>
                <w:kern w:val="0"/>
                <w:szCs w:val="24"/>
                <w:highlight w:val="none"/>
                <w:lang w:eastAsia="zh-CN"/>
              </w:rPr>
              <w:t>中</w:t>
            </w:r>
            <w:r>
              <w:rPr>
                <w:rFonts w:hint="eastAsia" w:ascii="仿宋_GB2312" w:hAnsi="仿宋_GB2312" w:eastAsia="仿宋_GB2312" w:cs="仿宋_GB2312"/>
                <w:color w:val="auto"/>
                <w:kern w:val="0"/>
                <w:szCs w:val="24"/>
                <w:highlight w:val="none"/>
              </w:rPr>
              <w:t>二采购清单中的设备标的名称</w:t>
            </w:r>
            <w:r>
              <w:rPr>
                <w:rFonts w:hint="eastAsia" w:ascii="仿宋_GB2312" w:hAnsi="仿宋_GB2312" w:eastAsia="仿宋_GB2312" w:cs="仿宋_GB2312"/>
                <w:color w:val="auto"/>
                <w:kern w:val="0"/>
                <w:szCs w:val="24"/>
                <w:highlight w:val="none"/>
                <w:lang w:eastAsia="zh-CN"/>
              </w:rPr>
              <w:t>填写）</w:t>
            </w:r>
          </w:p>
        </w:tc>
        <w:tc>
          <w:tcPr>
            <w:tcW w:w="1242" w:type="dxa"/>
            <w:noWrap w:val="0"/>
            <w:vAlign w:val="center"/>
          </w:tcPr>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采购文件中明确的所属行业</w:t>
            </w:r>
          </w:p>
        </w:tc>
        <w:tc>
          <w:tcPr>
            <w:tcW w:w="1266" w:type="dxa"/>
            <w:noWrap w:val="0"/>
            <w:vAlign w:val="center"/>
          </w:tcPr>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制造商</w:t>
            </w:r>
          </w:p>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（企业名称）</w:t>
            </w:r>
          </w:p>
        </w:tc>
        <w:tc>
          <w:tcPr>
            <w:tcW w:w="936" w:type="dxa"/>
            <w:noWrap w:val="0"/>
            <w:vAlign w:val="center"/>
          </w:tcPr>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从业人员（人）</w:t>
            </w:r>
          </w:p>
        </w:tc>
        <w:tc>
          <w:tcPr>
            <w:tcW w:w="1239" w:type="dxa"/>
            <w:noWrap w:val="0"/>
            <w:vAlign w:val="center"/>
          </w:tcPr>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营业收入（万元）</w:t>
            </w:r>
          </w:p>
        </w:tc>
        <w:tc>
          <w:tcPr>
            <w:tcW w:w="1134" w:type="dxa"/>
            <w:noWrap w:val="0"/>
            <w:vAlign w:val="center"/>
          </w:tcPr>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资产总额（万元）</w:t>
            </w:r>
          </w:p>
        </w:tc>
        <w:tc>
          <w:tcPr>
            <w:tcW w:w="1824" w:type="dxa"/>
            <w:noWrap w:val="0"/>
            <w:vAlign w:val="center"/>
          </w:tcPr>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属于</w:t>
            </w:r>
          </w:p>
          <w:p>
            <w:pPr>
              <w:pStyle w:val="72"/>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 w:val="21"/>
                <w:szCs w:val="21"/>
                <w:highlight w:val="none"/>
              </w:rPr>
              <w:t>（中型企业、小型企业、微型企业）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auto"/>
                <w:kern w:val="0"/>
                <w:sz w:val="24"/>
                <w:szCs w:val="24"/>
                <w:highlight w:val="none"/>
              </w:rPr>
            </w:pPr>
          </w:p>
        </w:tc>
        <w:tc>
          <w:tcPr>
            <w:tcW w:w="1242" w:type="dxa"/>
            <w:noWrap w:val="0"/>
            <w:vAlign w:val="center"/>
          </w:tcPr>
          <w:p>
            <w:pPr>
              <w:jc w:val="center"/>
              <w:rPr>
                <w:rFonts w:hint="eastAsia" w:ascii="仿宋_GB2312" w:hAnsi="仿宋_GB2312" w:eastAsia="仿宋_GB2312" w:cs="仿宋_GB2312"/>
                <w:color w:val="auto"/>
                <w:kern w:val="0"/>
                <w:sz w:val="24"/>
                <w:szCs w:val="20"/>
                <w:highlight w:val="none"/>
              </w:rPr>
            </w:pPr>
          </w:p>
        </w:tc>
        <w:tc>
          <w:tcPr>
            <w:tcW w:w="1266" w:type="dxa"/>
            <w:noWrap w:val="0"/>
            <w:vAlign w:val="center"/>
          </w:tcPr>
          <w:p>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pPr>
              <w:pStyle w:val="72"/>
              <w:rPr>
                <w:rFonts w:hint="eastAsia" w:ascii="仿宋_GB2312" w:hAnsi="仿宋_GB2312" w:eastAsia="仿宋_GB2312" w:cs="仿宋_GB2312"/>
                <w:color w:val="auto"/>
                <w:kern w:val="0"/>
                <w:highlight w:val="none"/>
              </w:rPr>
            </w:pPr>
          </w:p>
        </w:tc>
        <w:tc>
          <w:tcPr>
            <w:tcW w:w="1239" w:type="dxa"/>
            <w:noWrap w:val="0"/>
            <w:vAlign w:val="top"/>
          </w:tcPr>
          <w:p>
            <w:pPr>
              <w:pStyle w:val="72"/>
              <w:rPr>
                <w:rFonts w:hint="eastAsia" w:ascii="仿宋_GB2312" w:hAnsi="仿宋_GB2312" w:eastAsia="仿宋_GB2312" w:cs="仿宋_GB2312"/>
                <w:color w:val="auto"/>
                <w:kern w:val="0"/>
                <w:highlight w:val="none"/>
              </w:rPr>
            </w:pPr>
          </w:p>
        </w:tc>
        <w:tc>
          <w:tcPr>
            <w:tcW w:w="1134" w:type="dxa"/>
            <w:noWrap w:val="0"/>
            <w:vAlign w:val="top"/>
          </w:tcPr>
          <w:p>
            <w:pPr>
              <w:pStyle w:val="72"/>
              <w:rPr>
                <w:rFonts w:hint="eastAsia" w:ascii="仿宋_GB2312" w:hAnsi="仿宋_GB2312" w:eastAsia="仿宋_GB2312" w:cs="仿宋_GB2312"/>
                <w:color w:val="auto"/>
                <w:kern w:val="0"/>
                <w:highlight w:val="none"/>
              </w:rPr>
            </w:pPr>
          </w:p>
        </w:tc>
        <w:tc>
          <w:tcPr>
            <w:tcW w:w="1824" w:type="dxa"/>
            <w:noWrap w:val="0"/>
            <w:vAlign w:val="top"/>
          </w:tcPr>
          <w:p>
            <w:pPr>
              <w:pStyle w:val="72"/>
              <w:ind w:firstLine="0" w:firstLineChars="0"/>
              <w:jc w:val="center"/>
              <w:rPr>
                <w:rFonts w:hint="eastAsia" w:ascii="仿宋_GB2312" w:hAnsi="仿宋_GB2312" w:eastAsia="仿宋_GB2312" w:cs="仿宋_GB2312"/>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auto"/>
                <w:kern w:val="0"/>
                <w:sz w:val="24"/>
                <w:szCs w:val="24"/>
                <w:highlight w:val="none"/>
              </w:rPr>
            </w:pPr>
          </w:p>
        </w:tc>
        <w:tc>
          <w:tcPr>
            <w:tcW w:w="1242" w:type="dxa"/>
            <w:noWrap w:val="0"/>
            <w:vAlign w:val="center"/>
          </w:tcPr>
          <w:p>
            <w:pPr>
              <w:jc w:val="center"/>
              <w:rPr>
                <w:rFonts w:hint="eastAsia" w:ascii="仿宋_GB2312" w:hAnsi="仿宋_GB2312" w:eastAsia="仿宋_GB2312" w:cs="仿宋_GB2312"/>
                <w:color w:val="auto"/>
                <w:kern w:val="0"/>
                <w:sz w:val="24"/>
                <w:szCs w:val="20"/>
                <w:highlight w:val="none"/>
              </w:rPr>
            </w:pPr>
          </w:p>
        </w:tc>
        <w:tc>
          <w:tcPr>
            <w:tcW w:w="1266" w:type="dxa"/>
            <w:noWrap w:val="0"/>
            <w:vAlign w:val="center"/>
          </w:tcPr>
          <w:p>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pPr>
              <w:pStyle w:val="72"/>
              <w:rPr>
                <w:rFonts w:hint="eastAsia" w:ascii="仿宋_GB2312" w:hAnsi="仿宋_GB2312" w:eastAsia="仿宋_GB2312" w:cs="仿宋_GB2312"/>
                <w:color w:val="auto"/>
                <w:kern w:val="0"/>
                <w:highlight w:val="none"/>
              </w:rPr>
            </w:pPr>
          </w:p>
        </w:tc>
        <w:tc>
          <w:tcPr>
            <w:tcW w:w="1239" w:type="dxa"/>
            <w:noWrap w:val="0"/>
            <w:vAlign w:val="top"/>
          </w:tcPr>
          <w:p>
            <w:pPr>
              <w:pStyle w:val="72"/>
              <w:rPr>
                <w:rFonts w:hint="eastAsia" w:ascii="仿宋_GB2312" w:hAnsi="仿宋_GB2312" w:eastAsia="仿宋_GB2312" w:cs="仿宋_GB2312"/>
                <w:color w:val="auto"/>
                <w:kern w:val="0"/>
                <w:highlight w:val="none"/>
              </w:rPr>
            </w:pPr>
          </w:p>
        </w:tc>
        <w:tc>
          <w:tcPr>
            <w:tcW w:w="1134" w:type="dxa"/>
            <w:noWrap w:val="0"/>
            <w:vAlign w:val="top"/>
          </w:tcPr>
          <w:p>
            <w:pPr>
              <w:pStyle w:val="72"/>
              <w:rPr>
                <w:rFonts w:hint="eastAsia" w:ascii="仿宋_GB2312" w:hAnsi="仿宋_GB2312" w:eastAsia="仿宋_GB2312" w:cs="仿宋_GB2312"/>
                <w:color w:val="auto"/>
                <w:kern w:val="0"/>
                <w:highlight w:val="none"/>
              </w:rPr>
            </w:pPr>
          </w:p>
        </w:tc>
        <w:tc>
          <w:tcPr>
            <w:tcW w:w="1824" w:type="dxa"/>
            <w:noWrap w:val="0"/>
            <w:vAlign w:val="top"/>
          </w:tcPr>
          <w:p>
            <w:pPr>
              <w:pStyle w:val="72"/>
              <w:ind w:firstLine="0" w:firstLineChars="0"/>
              <w:jc w:val="center"/>
              <w:rPr>
                <w:rFonts w:hint="eastAsia" w:ascii="仿宋_GB2312" w:hAnsi="仿宋_GB2312" w:eastAsia="仿宋_GB2312" w:cs="仿宋_GB2312"/>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auto"/>
                <w:kern w:val="0"/>
                <w:sz w:val="24"/>
                <w:szCs w:val="24"/>
                <w:highlight w:val="none"/>
              </w:rPr>
            </w:pPr>
          </w:p>
        </w:tc>
        <w:tc>
          <w:tcPr>
            <w:tcW w:w="1242" w:type="dxa"/>
            <w:noWrap w:val="0"/>
            <w:vAlign w:val="center"/>
          </w:tcPr>
          <w:p>
            <w:pPr>
              <w:jc w:val="center"/>
              <w:rPr>
                <w:rFonts w:hint="eastAsia" w:ascii="仿宋_GB2312" w:hAnsi="仿宋_GB2312" w:eastAsia="仿宋_GB2312" w:cs="仿宋_GB2312"/>
                <w:color w:val="auto"/>
                <w:kern w:val="0"/>
                <w:sz w:val="24"/>
                <w:szCs w:val="20"/>
                <w:highlight w:val="none"/>
              </w:rPr>
            </w:pPr>
          </w:p>
        </w:tc>
        <w:tc>
          <w:tcPr>
            <w:tcW w:w="1266" w:type="dxa"/>
            <w:noWrap w:val="0"/>
            <w:vAlign w:val="center"/>
          </w:tcPr>
          <w:p>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pPr>
              <w:pStyle w:val="72"/>
              <w:rPr>
                <w:rFonts w:hint="eastAsia" w:ascii="仿宋_GB2312" w:hAnsi="仿宋_GB2312" w:eastAsia="仿宋_GB2312" w:cs="仿宋_GB2312"/>
                <w:color w:val="auto"/>
                <w:kern w:val="0"/>
                <w:highlight w:val="none"/>
              </w:rPr>
            </w:pPr>
          </w:p>
        </w:tc>
        <w:tc>
          <w:tcPr>
            <w:tcW w:w="1239" w:type="dxa"/>
            <w:noWrap w:val="0"/>
            <w:vAlign w:val="top"/>
          </w:tcPr>
          <w:p>
            <w:pPr>
              <w:pStyle w:val="72"/>
              <w:rPr>
                <w:rFonts w:hint="eastAsia" w:ascii="仿宋_GB2312" w:hAnsi="仿宋_GB2312" w:eastAsia="仿宋_GB2312" w:cs="仿宋_GB2312"/>
                <w:color w:val="auto"/>
                <w:kern w:val="0"/>
                <w:highlight w:val="none"/>
              </w:rPr>
            </w:pPr>
          </w:p>
        </w:tc>
        <w:tc>
          <w:tcPr>
            <w:tcW w:w="1134" w:type="dxa"/>
            <w:noWrap w:val="0"/>
            <w:vAlign w:val="top"/>
          </w:tcPr>
          <w:p>
            <w:pPr>
              <w:pStyle w:val="72"/>
              <w:rPr>
                <w:rFonts w:hint="eastAsia" w:ascii="仿宋_GB2312" w:hAnsi="仿宋_GB2312" w:eastAsia="仿宋_GB2312" w:cs="仿宋_GB2312"/>
                <w:color w:val="auto"/>
                <w:kern w:val="0"/>
                <w:highlight w:val="none"/>
              </w:rPr>
            </w:pPr>
          </w:p>
        </w:tc>
        <w:tc>
          <w:tcPr>
            <w:tcW w:w="1824" w:type="dxa"/>
            <w:noWrap w:val="0"/>
            <w:vAlign w:val="top"/>
          </w:tcPr>
          <w:p>
            <w:pPr>
              <w:pStyle w:val="72"/>
              <w:ind w:firstLine="0" w:firstLineChars="0"/>
              <w:jc w:val="center"/>
              <w:rPr>
                <w:rFonts w:hint="eastAsia" w:ascii="仿宋_GB2312" w:hAnsi="仿宋_GB2312" w:eastAsia="仿宋_GB2312" w:cs="仿宋_GB2312"/>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auto"/>
                <w:sz w:val="24"/>
                <w:szCs w:val="24"/>
                <w:highlight w:val="none"/>
              </w:rPr>
            </w:pPr>
          </w:p>
        </w:tc>
        <w:tc>
          <w:tcPr>
            <w:tcW w:w="1242" w:type="dxa"/>
            <w:noWrap w:val="0"/>
            <w:vAlign w:val="center"/>
          </w:tcPr>
          <w:p>
            <w:pPr>
              <w:jc w:val="center"/>
              <w:rPr>
                <w:rFonts w:hint="eastAsia" w:ascii="仿宋_GB2312" w:hAnsi="仿宋_GB2312" w:eastAsia="仿宋_GB2312" w:cs="仿宋_GB2312"/>
                <w:color w:val="auto"/>
                <w:kern w:val="0"/>
                <w:sz w:val="24"/>
                <w:szCs w:val="20"/>
                <w:highlight w:val="none"/>
              </w:rPr>
            </w:pPr>
          </w:p>
        </w:tc>
        <w:tc>
          <w:tcPr>
            <w:tcW w:w="1266" w:type="dxa"/>
            <w:noWrap w:val="0"/>
            <w:vAlign w:val="center"/>
          </w:tcPr>
          <w:p>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pPr>
              <w:pStyle w:val="72"/>
              <w:rPr>
                <w:rFonts w:hint="eastAsia" w:ascii="仿宋_GB2312" w:hAnsi="仿宋_GB2312" w:eastAsia="仿宋_GB2312" w:cs="仿宋_GB2312"/>
                <w:color w:val="auto"/>
                <w:kern w:val="0"/>
                <w:highlight w:val="none"/>
              </w:rPr>
            </w:pPr>
          </w:p>
        </w:tc>
        <w:tc>
          <w:tcPr>
            <w:tcW w:w="1239" w:type="dxa"/>
            <w:noWrap w:val="0"/>
            <w:vAlign w:val="top"/>
          </w:tcPr>
          <w:p>
            <w:pPr>
              <w:pStyle w:val="72"/>
              <w:rPr>
                <w:rFonts w:hint="eastAsia" w:ascii="仿宋_GB2312" w:hAnsi="仿宋_GB2312" w:eastAsia="仿宋_GB2312" w:cs="仿宋_GB2312"/>
                <w:color w:val="auto"/>
                <w:kern w:val="0"/>
                <w:highlight w:val="none"/>
              </w:rPr>
            </w:pPr>
          </w:p>
        </w:tc>
        <w:tc>
          <w:tcPr>
            <w:tcW w:w="1134" w:type="dxa"/>
            <w:noWrap w:val="0"/>
            <w:vAlign w:val="top"/>
          </w:tcPr>
          <w:p>
            <w:pPr>
              <w:pStyle w:val="72"/>
              <w:rPr>
                <w:rFonts w:hint="eastAsia" w:ascii="仿宋_GB2312" w:hAnsi="仿宋_GB2312" w:eastAsia="仿宋_GB2312" w:cs="仿宋_GB2312"/>
                <w:color w:val="auto"/>
                <w:kern w:val="0"/>
                <w:highlight w:val="none"/>
              </w:rPr>
            </w:pPr>
          </w:p>
        </w:tc>
        <w:tc>
          <w:tcPr>
            <w:tcW w:w="1824" w:type="dxa"/>
            <w:noWrap w:val="0"/>
            <w:vAlign w:val="top"/>
          </w:tcPr>
          <w:p>
            <w:pPr>
              <w:pStyle w:val="72"/>
              <w:ind w:firstLine="0" w:firstLineChars="0"/>
              <w:jc w:val="center"/>
              <w:rPr>
                <w:rFonts w:hint="eastAsia" w:ascii="仿宋_GB2312" w:hAnsi="仿宋_GB2312" w:eastAsia="仿宋_GB2312" w:cs="仿宋_GB2312"/>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auto"/>
                <w:kern w:val="0"/>
                <w:sz w:val="24"/>
                <w:szCs w:val="24"/>
                <w:highlight w:val="none"/>
              </w:rPr>
            </w:pPr>
          </w:p>
        </w:tc>
        <w:tc>
          <w:tcPr>
            <w:tcW w:w="1242" w:type="dxa"/>
            <w:noWrap w:val="0"/>
            <w:vAlign w:val="center"/>
          </w:tcPr>
          <w:p>
            <w:pPr>
              <w:jc w:val="center"/>
              <w:rPr>
                <w:rFonts w:hint="eastAsia" w:ascii="仿宋_GB2312" w:hAnsi="仿宋_GB2312" w:eastAsia="仿宋_GB2312" w:cs="仿宋_GB2312"/>
                <w:color w:val="auto"/>
                <w:kern w:val="0"/>
                <w:sz w:val="24"/>
                <w:szCs w:val="20"/>
                <w:highlight w:val="none"/>
              </w:rPr>
            </w:pPr>
          </w:p>
        </w:tc>
        <w:tc>
          <w:tcPr>
            <w:tcW w:w="1266" w:type="dxa"/>
            <w:noWrap w:val="0"/>
            <w:vAlign w:val="center"/>
          </w:tcPr>
          <w:p>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pPr>
              <w:pStyle w:val="72"/>
              <w:rPr>
                <w:rFonts w:hint="eastAsia" w:ascii="仿宋_GB2312" w:hAnsi="仿宋_GB2312" w:eastAsia="仿宋_GB2312" w:cs="仿宋_GB2312"/>
                <w:color w:val="auto"/>
                <w:kern w:val="0"/>
                <w:highlight w:val="none"/>
              </w:rPr>
            </w:pPr>
          </w:p>
        </w:tc>
        <w:tc>
          <w:tcPr>
            <w:tcW w:w="1239" w:type="dxa"/>
            <w:noWrap w:val="0"/>
            <w:vAlign w:val="top"/>
          </w:tcPr>
          <w:p>
            <w:pPr>
              <w:pStyle w:val="72"/>
              <w:rPr>
                <w:rFonts w:hint="eastAsia" w:ascii="仿宋_GB2312" w:hAnsi="仿宋_GB2312" w:eastAsia="仿宋_GB2312" w:cs="仿宋_GB2312"/>
                <w:color w:val="auto"/>
                <w:kern w:val="0"/>
                <w:highlight w:val="none"/>
              </w:rPr>
            </w:pPr>
          </w:p>
        </w:tc>
        <w:tc>
          <w:tcPr>
            <w:tcW w:w="1134" w:type="dxa"/>
            <w:noWrap w:val="0"/>
            <w:vAlign w:val="top"/>
          </w:tcPr>
          <w:p>
            <w:pPr>
              <w:pStyle w:val="72"/>
              <w:rPr>
                <w:rFonts w:hint="eastAsia" w:ascii="仿宋_GB2312" w:hAnsi="仿宋_GB2312" w:eastAsia="仿宋_GB2312" w:cs="仿宋_GB2312"/>
                <w:color w:val="auto"/>
                <w:kern w:val="0"/>
                <w:highlight w:val="none"/>
              </w:rPr>
            </w:pPr>
          </w:p>
        </w:tc>
        <w:tc>
          <w:tcPr>
            <w:tcW w:w="1824" w:type="dxa"/>
            <w:noWrap w:val="0"/>
            <w:vAlign w:val="top"/>
          </w:tcPr>
          <w:p>
            <w:pPr>
              <w:pStyle w:val="72"/>
              <w:rPr>
                <w:rFonts w:hint="eastAsia" w:ascii="仿宋_GB2312" w:hAnsi="仿宋_GB2312" w:eastAsia="仿宋_GB2312" w:cs="仿宋_GB2312"/>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auto"/>
                <w:kern w:val="0"/>
                <w:sz w:val="24"/>
                <w:szCs w:val="24"/>
                <w:highlight w:val="none"/>
              </w:rPr>
            </w:pPr>
          </w:p>
        </w:tc>
        <w:tc>
          <w:tcPr>
            <w:tcW w:w="1242" w:type="dxa"/>
            <w:noWrap w:val="0"/>
            <w:vAlign w:val="center"/>
          </w:tcPr>
          <w:p>
            <w:pPr>
              <w:jc w:val="center"/>
              <w:rPr>
                <w:rFonts w:hint="eastAsia" w:ascii="仿宋_GB2312" w:hAnsi="仿宋_GB2312" w:eastAsia="仿宋_GB2312" w:cs="仿宋_GB2312"/>
                <w:color w:val="auto"/>
                <w:kern w:val="0"/>
                <w:sz w:val="24"/>
                <w:szCs w:val="20"/>
                <w:highlight w:val="none"/>
              </w:rPr>
            </w:pPr>
          </w:p>
        </w:tc>
        <w:tc>
          <w:tcPr>
            <w:tcW w:w="1266" w:type="dxa"/>
            <w:noWrap w:val="0"/>
            <w:vAlign w:val="center"/>
          </w:tcPr>
          <w:p>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pPr>
              <w:pStyle w:val="72"/>
              <w:rPr>
                <w:rFonts w:hint="eastAsia" w:ascii="仿宋_GB2312" w:hAnsi="仿宋_GB2312" w:eastAsia="仿宋_GB2312" w:cs="仿宋_GB2312"/>
                <w:color w:val="auto"/>
                <w:kern w:val="0"/>
                <w:highlight w:val="none"/>
              </w:rPr>
            </w:pPr>
          </w:p>
        </w:tc>
        <w:tc>
          <w:tcPr>
            <w:tcW w:w="1239" w:type="dxa"/>
            <w:noWrap w:val="0"/>
            <w:vAlign w:val="top"/>
          </w:tcPr>
          <w:p>
            <w:pPr>
              <w:pStyle w:val="72"/>
              <w:rPr>
                <w:rFonts w:hint="eastAsia" w:ascii="仿宋_GB2312" w:hAnsi="仿宋_GB2312" w:eastAsia="仿宋_GB2312" w:cs="仿宋_GB2312"/>
                <w:color w:val="auto"/>
                <w:kern w:val="0"/>
                <w:highlight w:val="none"/>
              </w:rPr>
            </w:pPr>
          </w:p>
        </w:tc>
        <w:tc>
          <w:tcPr>
            <w:tcW w:w="1134" w:type="dxa"/>
            <w:noWrap w:val="0"/>
            <w:vAlign w:val="top"/>
          </w:tcPr>
          <w:p>
            <w:pPr>
              <w:pStyle w:val="72"/>
              <w:rPr>
                <w:rFonts w:hint="eastAsia" w:ascii="仿宋_GB2312" w:hAnsi="仿宋_GB2312" w:eastAsia="仿宋_GB2312" w:cs="仿宋_GB2312"/>
                <w:color w:val="auto"/>
                <w:kern w:val="0"/>
                <w:highlight w:val="none"/>
              </w:rPr>
            </w:pPr>
          </w:p>
        </w:tc>
        <w:tc>
          <w:tcPr>
            <w:tcW w:w="1824" w:type="dxa"/>
            <w:noWrap w:val="0"/>
            <w:vAlign w:val="top"/>
          </w:tcPr>
          <w:p>
            <w:pPr>
              <w:pStyle w:val="72"/>
              <w:rPr>
                <w:rFonts w:hint="eastAsia" w:ascii="仿宋_GB2312" w:hAnsi="仿宋_GB2312" w:eastAsia="仿宋_GB2312" w:cs="仿宋_GB2312"/>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2" w:type="dxa"/>
            <w:noWrap w:val="0"/>
            <w:vAlign w:val="center"/>
          </w:tcPr>
          <w:p>
            <w:pPr>
              <w:spacing w:line="440" w:lineRule="exact"/>
              <w:rPr>
                <w:rFonts w:hint="eastAsia" w:ascii="仿宋_GB2312" w:hAnsi="仿宋_GB2312" w:eastAsia="仿宋_GB2312" w:cs="仿宋_GB2312"/>
                <w:color w:val="auto"/>
                <w:highlight w:val="none"/>
              </w:rPr>
            </w:pPr>
          </w:p>
        </w:tc>
        <w:tc>
          <w:tcPr>
            <w:tcW w:w="1242" w:type="dxa"/>
            <w:noWrap w:val="0"/>
            <w:vAlign w:val="center"/>
          </w:tcPr>
          <w:p>
            <w:pPr>
              <w:jc w:val="center"/>
              <w:rPr>
                <w:rFonts w:hint="eastAsia" w:ascii="仿宋_GB2312" w:hAnsi="仿宋_GB2312" w:eastAsia="仿宋_GB2312" w:cs="仿宋_GB2312"/>
                <w:color w:val="auto"/>
                <w:kern w:val="0"/>
                <w:sz w:val="24"/>
                <w:szCs w:val="20"/>
                <w:highlight w:val="none"/>
              </w:rPr>
            </w:pPr>
          </w:p>
        </w:tc>
        <w:tc>
          <w:tcPr>
            <w:tcW w:w="1266" w:type="dxa"/>
            <w:noWrap w:val="0"/>
            <w:vAlign w:val="top"/>
          </w:tcPr>
          <w:p>
            <w:pPr>
              <w:pStyle w:val="72"/>
              <w:rPr>
                <w:rFonts w:hint="eastAsia" w:ascii="仿宋_GB2312" w:hAnsi="仿宋_GB2312" w:eastAsia="仿宋_GB2312" w:cs="仿宋_GB2312"/>
                <w:color w:val="auto"/>
                <w:kern w:val="0"/>
                <w:highlight w:val="none"/>
              </w:rPr>
            </w:pPr>
          </w:p>
        </w:tc>
        <w:tc>
          <w:tcPr>
            <w:tcW w:w="936" w:type="dxa"/>
            <w:noWrap w:val="0"/>
            <w:vAlign w:val="top"/>
          </w:tcPr>
          <w:p>
            <w:pPr>
              <w:pStyle w:val="72"/>
              <w:rPr>
                <w:rFonts w:hint="eastAsia" w:ascii="仿宋_GB2312" w:hAnsi="仿宋_GB2312" w:eastAsia="仿宋_GB2312" w:cs="仿宋_GB2312"/>
                <w:color w:val="auto"/>
                <w:kern w:val="0"/>
                <w:highlight w:val="none"/>
              </w:rPr>
            </w:pPr>
          </w:p>
        </w:tc>
        <w:tc>
          <w:tcPr>
            <w:tcW w:w="1239" w:type="dxa"/>
            <w:noWrap w:val="0"/>
            <w:vAlign w:val="top"/>
          </w:tcPr>
          <w:p>
            <w:pPr>
              <w:pStyle w:val="72"/>
              <w:rPr>
                <w:rFonts w:hint="eastAsia" w:ascii="仿宋_GB2312" w:hAnsi="仿宋_GB2312" w:eastAsia="仿宋_GB2312" w:cs="仿宋_GB2312"/>
                <w:color w:val="auto"/>
                <w:kern w:val="0"/>
                <w:highlight w:val="none"/>
              </w:rPr>
            </w:pPr>
          </w:p>
        </w:tc>
        <w:tc>
          <w:tcPr>
            <w:tcW w:w="1134" w:type="dxa"/>
            <w:noWrap w:val="0"/>
            <w:vAlign w:val="top"/>
          </w:tcPr>
          <w:p>
            <w:pPr>
              <w:pStyle w:val="72"/>
              <w:rPr>
                <w:rFonts w:hint="eastAsia" w:ascii="仿宋_GB2312" w:hAnsi="仿宋_GB2312" w:eastAsia="仿宋_GB2312" w:cs="仿宋_GB2312"/>
                <w:color w:val="auto"/>
                <w:kern w:val="0"/>
                <w:highlight w:val="none"/>
              </w:rPr>
            </w:pPr>
          </w:p>
        </w:tc>
        <w:tc>
          <w:tcPr>
            <w:tcW w:w="1824" w:type="dxa"/>
            <w:noWrap w:val="0"/>
            <w:vAlign w:val="top"/>
          </w:tcPr>
          <w:p>
            <w:pPr>
              <w:pStyle w:val="72"/>
              <w:rPr>
                <w:rFonts w:hint="eastAsia" w:ascii="仿宋_GB2312" w:hAnsi="仿宋_GB2312" w:eastAsia="仿宋_GB2312" w:cs="仿宋_GB2312"/>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2" w:type="dxa"/>
            <w:noWrap w:val="0"/>
            <w:vAlign w:val="center"/>
          </w:tcPr>
          <w:p>
            <w:pPr>
              <w:pStyle w:val="37"/>
              <w:ind w:firstLine="0" w:firstLineChars="0"/>
              <w:rPr>
                <w:rFonts w:hint="eastAsia" w:ascii="仿宋_GB2312" w:hAnsi="仿宋_GB2312" w:eastAsia="仿宋_GB2312" w:cs="仿宋_GB2312"/>
                <w:color w:val="auto"/>
                <w:szCs w:val="24"/>
                <w:highlight w:val="none"/>
              </w:rPr>
            </w:pPr>
          </w:p>
        </w:tc>
        <w:tc>
          <w:tcPr>
            <w:tcW w:w="1242" w:type="dxa"/>
            <w:noWrap w:val="0"/>
            <w:vAlign w:val="center"/>
          </w:tcPr>
          <w:p>
            <w:pPr>
              <w:jc w:val="center"/>
              <w:rPr>
                <w:rFonts w:hint="eastAsia" w:ascii="仿宋_GB2312" w:hAnsi="仿宋_GB2312" w:eastAsia="仿宋_GB2312" w:cs="仿宋_GB2312"/>
                <w:color w:val="auto"/>
                <w:kern w:val="0"/>
                <w:sz w:val="24"/>
                <w:szCs w:val="20"/>
                <w:highlight w:val="none"/>
              </w:rPr>
            </w:pPr>
          </w:p>
        </w:tc>
        <w:tc>
          <w:tcPr>
            <w:tcW w:w="1266" w:type="dxa"/>
            <w:noWrap w:val="0"/>
            <w:vAlign w:val="top"/>
          </w:tcPr>
          <w:p>
            <w:pPr>
              <w:pStyle w:val="72"/>
              <w:rPr>
                <w:rFonts w:hint="eastAsia" w:ascii="仿宋_GB2312" w:hAnsi="仿宋_GB2312" w:eastAsia="仿宋_GB2312" w:cs="仿宋_GB2312"/>
                <w:color w:val="auto"/>
                <w:kern w:val="0"/>
                <w:highlight w:val="none"/>
              </w:rPr>
            </w:pPr>
          </w:p>
        </w:tc>
        <w:tc>
          <w:tcPr>
            <w:tcW w:w="936" w:type="dxa"/>
            <w:noWrap w:val="0"/>
            <w:vAlign w:val="top"/>
          </w:tcPr>
          <w:p>
            <w:pPr>
              <w:pStyle w:val="72"/>
              <w:rPr>
                <w:rFonts w:hint="eastAsia" w:ascii="仿宋_GB2312" w:hAnsi="仿宋_GB2312" w:eastAsia="仿宋_GB2312" w:cs="仿宋_GB2312"/>
                <w:color w:val="auto"/>
                <w:kern w:val="0"/>
                <w:highlight w:val="none"/>
              </w:rPr>
            </w:pPr>
          </w:p>
        </w:tc>
        <w:tc>
          <w:tcPr>
            <w:tcW w:w="1239" w:type="dxa"/>
            <w:noWrap w:val="0"/>
            <w:vAlign w:val="top"/>
          </w:tcPr>
          <w:p>
            <w:pPr>
              <w:pStyle w:val="72"/>
              <w:rPr>
                <w:rFonts w:hint="eastAsia" w:ascii="仿宋_GB2312" w:hAnsi="仿宋_GB2312" w:eastAsia="仿宋_GB2312" w:cs="仿宋_GB2312"/>
                <w:color w:val="auto"/>
                <w:kern w:val="0"/>
                <w:highlight w:val="none"/>
              </w:rPr>
            </w:pPr>
          </w:p>
        </w:tc>
        <w:tc>
          <w:tcPr>
            <w:tcW w:w="1134" w:type="dxa"/>
            <w:noWrap w:val="0"/>
            <w:vAlign w:val="top"/>
          </w:tcPr>
          <w:p>
            <w:pPr>
              <w:pStyle w:val="72"/>
              <w:rPr>
                <w:rFonts w:hint="eastAsia" w:ascii="仿宋_GB2312" w:hAnsi="仿宋_GB2312" w:eastAsia="仿宋_GB2312" w:cs="仿宋_GB2312"/>
                <w:color w:val="auto"/>
                <w:kern w:val="0"/>
                <w:highlight w:val="none"/>
              </w:rPr>
            </w:pPr>
          </w:p>
        </w:tc>
        <w:tc>
          <w:tcPr>
            <w:tcW w:w="1824" w:type="dxa"/>
            <w:noWrap w:val="0"/>
            <w:vAlign w:val="top"/>
          </w:tcPr>
          <w:p>
            <w:pPr>
              <w:pStyle w:val="72"/>
              <w:rPr>
                <w:rFonts w:hint="eastAsia" w:ascii="仿宋_GB2312" w:hAnsi="仿宋_GB2312" w:eastAsia="仿宋_GB2312" w:cs="仿宋_GB2312"/>
                <w:color w:val="auto"/>
                <w:kern w:val="0"/>
                <w:highlight w:val="none"/>
              </w:rPr>
            </w:pPr>
          </w:p>
        </w:tc>
      </w:tr>
    </w:tbl>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本企业对上述声明内容的真实性负责。如有虚假，将依法承担相应责任。</w:t>
      </w:r>
    </w:p>
    <w:p>
      <w:pPr>
        <w:spacing w:line="500" w:lineRule="exact"/>
        <w:ind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00" w:lineRule="exact"/>
        <w:ind w:firstLine="5520" w:firstLineChars="23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46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1.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ind w:right="42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填写要求：①“标的名称”、“采购文件中明确的所属行业”依据招标文件第二部分投标人须知前附表中“采购标的及其对应的中小企业划分标准所属行业”的指引逐一填写，“制造商”按实际填写，以上内容不得缺漏；②从业人员、营业收入、资产总额应填报上一年度数据，无上一年度数据的新成立企业可不填报；③中型企业、小型企业、微型企业等3种企业类型，结合以上数据，应依据《中小企业划型标准规定》（工信部联企业〔2011〕300号）确定；④投标人提供的《中小企业声明函》与实际情况不符的或者未按以上要求填写的，中小企业声明函无效，不享受中小企业扶持政策；作为资格条件的，视作不符合资格要求。声明内容不实的，属于提供虚假材料谋取中标、成交的，依法承担法律责任。</w:t>
      </w: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autoSpaceDE w:val="0"/>
        <w:autoSpaceDN w:val="0"/>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rPr>
        <w:t>附件6：</w:t>
      </w:r>
    </w:p>
    <w:p>
      <w:pPr>
        <w:autoSpaceDE w:val="0"/>
        <w:autoSpaceDN w:val="0"/>
        <w:jc w:val="center"/>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联合协议</w:t>
      </w:r>
    </w:p>
    <w:p>
      <w:pPr>
        <w:widowControl/>
        <w:spacing w:line="360" w:lineRule="auto"/>
        <w:ind w:firstLine="482"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（以联合体形式投标的，提供联合协议；本项目不接受联合体投标或者投标人不以联合体形式投标的，则不需要提供）</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（联合体所有成员名称）</w:t>
      </w:r>
      <w:r>
        <w:rPr>
          <w:rFonts w:hint="eastAsia" w:ascii="仿宋_GB2312" w:hAnsi="仿宋_GB2312" w:eastAsia="仿宋_GB2312" w:cs="仿宋_GB2312"/>
          <w:color w:val="auto"/>
          <w:kern w:val="0"/>
          <w:sz w:val="24"/>
          <w:szCs w:val="24"/>
          <w:highlight w:val="none"/>
        </w:rPr>
        <w:t>自愿</w:t>
      </w:r>
      <w:r>
        <w:rPr>
          <w:rFonts w:hint="eastAsia" w:ascii="仿宋_GB2312" w:hAnsi="仿宋_GB2312" w:eastAsia="仿宋_GB2312" w:cs="仿宋_GB2312"/>
          <w:color w:val="auto"/>
          <w:kern w:val="0"/>
          <w:sz w:val="24"/>
          <w:szCs w:val="24"/>
          <w:highlight w:val="none"/>
          <w:lang w:val="zh-CN"/>
        </w:rPr>
        <w:t>组成一个联合体，以一个投标人的身份</w:t>
      </w:r>
      <w:r>
        <w:rPr>
          <w:rFonts w:hint="eastAsia" w:ascii="仿宋_GB2312" w:hAnsi="仿宋_GB2312" w:eastAsia="仿宋_GB2312" w:cs="仿宋_GB2312"/>
          <w:color w:val="auto"/>
          <w:kern w:val="0"/>
          <w:sz w:val="24"/>
          <w:szCs w:val="24"/>
          <w:highlight w:val="none"/>
        </w:rPr>
        <w:t>参加</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rPr>
        <w:t>【招标编号：</w:t>
      </w:r>
      <w:r>
        <w:rPr>
          <w:rFonts w:hint="eastAsia" w:ascii="仿宋_GB2312" w:hAnsi="仿宋_GB2312" w:eastAsia="仿宋_GB2312" w:cs="仿宋_GB2312"/>
          <w:color w:val="auto"/>
          <w:sz w:val="24"/>
          <w:szCs w:val="24"/>
          <w:highlight w:val="none"/>
          <w:u w:val="single"/>
        </w:rPr>
        <w:t>（采购编号）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lang w:val="zh-CN"/>
        </w:rPr>
        <w:t>投标。</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一、各方一致决定，</w:t>
      </w:r>
      <w:r>
        <w:rPr>
          <w:rFonts w:hint="eastAsia" w:ascii="仿宋_GB2312" w:hAnsi="仿宋_GB2312" w:eastAsia="仿宋_GB2312" w:cs="仿宋_GB2312"/>
          <w:color w:val="auto"/>
          <w:kern w:val="0"/>
          <w:sz w:val="24"/>
          <w:szCs w:val="24"/>
          <w:highlight w:val="none"/>
          <w:u w:val="single"/>
        </w:rPr>
        <w:t>（某联合体成员名称）</w:t>
      </w:r>
      <w:r>
        <w:rPr>
          <w:rFonts w:hint="eastAsia" w:ascii="仿宋_GB2312" w:hAnsi="仿宋_GB2312" w:eastAsia="仿宋_GB2312" w:cs="仿宋_GB2312"/>
          <w:color w:val="auto"/>
          <w:kern w:val="0"/>
          <w:sz w:val="24"/>
          <w:szCs w:val="24"/>
          <w:highlight w:val="none"/>
        </w:rPr>
        <w:t>为联合体</w:t>
      </w:r>
      <w:r>
        <w:rPr>
          <w:rFonts w:hint="eastAsia" w:ascii="仿宋_GB2312" w:hAnsi="仿宋_GB2312" w:eastAsia="仿宋_GB2312" w:cs="仿宋_GB2312"/>
          <w:color w:val="auto"/>
          <w:kern w:val="0"/>
          <w:sz w:val="24"/>
          <w:szCs w:val="24"/>
          <w:highlight w:val="none"/>
          <w:lang w:val="zh-CN"/>
        </w:rPr>
        <w:t>牵头人</w:t>
      </w:r>
      <w:r>
        <w:rPr>
          <w:rFonts w:hint="eastAsia" w:ascii="仿宋_GB2312" w:hAnsi="仿宋_GB2312" w:eastAsia="仿宋_GB2312" w:cs="仿宋_GB2312"/>
          <w:color w:val="auto"/>
          <w:sz w:val="24"/>
          <w:szCs w:val="24"/>
          <w:highlight w:val="none"/>
        </w:rPr>
        <w:t>，代表所有联合体成员负责投标和合同实施阶段的主办、协调工作</w:t>
      </w:r>
      <w:r>
        <w:rPr>
          <w:rFonts w:hint="eastAsia" w:ascii="仿宋_GB2312" w:hAnsi="仿宋_GB2312" w:eastAsia="仿宋_GB2312" w:cs="仿宋_GB2312"/>
          <w:color w:val="auto"/>
          <w:kern w:val="0"/>
          <w:sz w:val="24"/>
          <w:szCs w:val="24"/>
          <w:highlight w:val="none"/>
          <w:lang w:val="zh-CN"/>
        </w:rPr>
        <w:t>。</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二、</w:t>
      </w:r>
      <w:r>
        <w:rPr>
          <w:rFonts w:hint="eastAsia" w:ascii="仿宋_GB2312" w:hAnsi="仿宋_GB2312" w:eastAsia="仿宋_GB2312" w:cs="仿宋_GB2312"/>
          <w:color w:val="auto"/>
          <w:sz w:val="24"/>
          <w:szCs w:val="24"/>
          <w:highlight w:val="none"/>
        </w:rPr>
        <w:t>所有联合体成员各方签署授权书，授权书载明的</w:t>
      </w:r>
      <w:r>
        <w:rPr>
          <w:rFonts w:hint="eastAsia" w:ascii="仿宋_GB2312" w:hAnsi="仿宋_GB2312" w:eastAsia="仿宋_GB2312" w:cs="仿宋_GB2312"/>
          <w:color w:val="auto"/>
          <w:kern w:val="0"/>
          <w:sz w:val="24"/>
          <w:szCs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三、本次联合投标中，分工如下：</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（联合体成员1）</w:t>
      </w:r>
      <w:r>
        <w:rPr>
          <w:rFonts w:hint="eastAsia" w:ascii="仿宋_GB2312" w:hAnsi="仿宋_GB2312" w:eastAsia="仿宋_GB2312" w:cs="仿宋_GB2312"/>
          <w:color w:val="auto"/>
          <w:kern w:val="0"/>
          <w:sz w:val="24"/>
          <w:szCs w:val="24"/>
          <w:highlight w:val="none"/>
          <w:lang w:val="zh-CN"/>
        </w:rPr>
        <w:t>承担的工作和义务为：；</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（联合体成员2）</w:t>
      </w:r>
      <w:r>
        <w:rPr>
          <w:rFonts w:hint="eastAsia" w:ascii="仿宋_GB2312" w:hAnsi="仿宋_GB2312" w:eastAsia="仿宋_GB2312" w:cs="仿宋_GB2312"/>
          <w:color w:val="auto"/>
          <w:kern w:val="0"/>
          <w:sz w:val="24"/>
          <w:szCs w:val="24"/>
          <w:highlight w:val="none"/>
          <w:lang w:val="zh-CN"/>
        </w:rPr>
        <w:t>承担的工作和义务为：；</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四、联合体成员中小企业合同份额。</w:t>
      </w:r>
    </w:p>
    <w:p>
      <w:pPr>
        <w:snapToGrid w:val="0"/>
        <w:spacing w:line="360" w:lineRule="auto"/>
        <w:ind w:firstLine="576"/>
        <w:rPr>
          <w:rFonts w:hint="eastAsia" w:ascii="仿宋_GB2312" w:hAnsi="仿宋_GB2312" w:eastAsia="仿宋_GB2312" w:cs="仿宋_GB2312"/>
          <w:b/>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1、</w:t>
      </w:r>
      <w:r>
        <w:rPr>
          <w:rFonts w:hint="eastAsia" w:ascii="仿宋_GB2312" w:hAnsi="仿宋_GB2312" w:eastAsia="仿宋_GB2312" w:cs="仿宋_GB2312"/>
          <w:color w:val="auto"/>
          <w:kern w:val="0"/>
          <w:sz w:val="24"/>
          <w:szCs w:val="24"/>
          <w:highlight w:val="none"/>
          <w:u w:val="single"/>
        </w:rPr>
        <w:t>（</w:t>
      </w:r>
      <w:bookmarkStart w:id="421" w:name="_Hlk101131882"/>
      <w:r>
        <w:rPr>
          <w:rFonts w:hint="eastAsia" w:ascii="仿宋_GB2312" w:hAnsi="仿宋_GB2312" w:eastAsia="仿宋_GB2312" w:cs="仿宋_GB2312"/>
          <w:color w:val="auto"/>
          <w:kern w:val="0"/>
          <w:sz w:val="24"/>
          <w:szCs w:val="24"/>
          <w:highlight w:val="none"/>
          <w:u w:val="single"/>
        </w:rPr>
        <w:t>联合体成员X,……</w:t>
      </w:r>
      <w:bookmarkEnd w:id="421"/>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rPr>
        <w:t>提供的</w:t>
      </w:r>
      <w:r>
        <w:rPr>
          <w:rFonts w:hint="eastAsia" w:ascii="仿宋_GB2312" w:eastAsia="仿宋_GB2312"/>
          <w:color w:val="auto"/>
          <w:sz w:val="24"/>
          <w:szCs w:val="24"/>
          <w:highlight w:val="none"/>
        </w:rPr>
        <w:t>货物全部由符合政策要求的中小企业制造</w:t>
      </w:r>
      <w:r>
        <w:rPr>
          <w:rFonts w:hint="eastAsia" w:ascii="仿宋_GB2312" w:hAnsi="仿宋_GB2312" w:eastAsia="仿宋_GB2312" w:cs="仿宋_GB2312"/>
          <w:color w:val="auto"/>
          <w:kern w:val="0"/>
          <w:sz w:val="24"/>
          <w:szCs w:val="24"/>
          <w:highlight w:val="none"/>
        </w:rPr>
        <w:t>，其合同份额占到合同总金额%以上</w:t>
      </w: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b/>
          <w:color w:val="auto"/>
          <w:kern w:val="0"/>
          <w:sz w:val="24"/>
          <w:szCs w:val="24"/>
          <w:highlight w:val="none"/>
          <w:lang w:val="zh-CN"/>
        </w:rPr>
        <w:t>（</w:t>
      </w:r>
      <w:bookmarkStart w:id="422" w:name="_Hlk101133598"/>
      <w:r>
        <w:rPr>
          <w:rFonts w:hint="eastAsia" w:ascii="仿宋_GB2312" w:hAnsi="仿宋_GB2312" w:eastAsia="仿宋_GB2312" w:cs="仿宋_GB2312"/>
          <w:b/>
          <w:color w:val="auto"/>
          <w:kern w:val="0"/>
          <w:sz w:val="24"/>
          <w:szCs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_GB2312" w:hAnsi="仿宋_GB2312" w:eastAsia="仿宋_GB2312" w:cs="仿宋_GB2312"/>
          <w:b/>
          <w:color w:val="auto"/>
          <w:sz w:val="24"/>
          <w:szCs w:val="24"/>
          <w:highlight w:val="none"/>
        </w:rPr>
        <w:t>拟享受以上价格扣除政策的，填写有关内容。</w:t>
      </w:r>
      <w:bookmarkEnd w:id="422"/>
      <w:r>
        <w:rPr>
          <w:rFonts w:hint="eastAsia" w:ascii="仿宋_GB2312" w:hAnsi="仿宋_GB2312" w:eastAsia="仿宋_GB2312" w:cs="仿宋_GB2312"/>
          <w:b/>
          <w:color w:val="auto"/>
          <w:kern w:val="0"/>
          <w:sz w:val="24"/>
          <w:szCs w:val="24"/>
          <w:highlight w:val="none"/>
          <w:lang w:val="zh-CN"/>
        </w:rPr>
        <w:t>）</w:t>
      </w:r>
    </w:p>
    <w:p>
      <w:pPr>
        <w:spacing w:line="360" w:lineRule="auto"/>
        <w:ind w:firstLine="480" w:firstLineChars="200"/>
        <w:rPr>
          <w:rFonts w:hint="eastAsia" w:ascii="仿宋_GB2312" w:hAnsi="仿宋_GB2312" w:eastAsia="仿宋_GB2312" w:cs="仿宋_GB2312"/>
          <w:b/>
          <w:bCs/>
          <w:color w:val="auto"/>
          <w:kern w:val="0"/>
          <w:sz w:val="24"/>
          <w:szCs w:val="24"/>
          <w:highlight w:val="none"/>
          <w:lang w:val="zh-CN"/>
        </w:rPr>
      </w:pPr>
      <w:r>
        <w:rPr>
          <w:rFonts w:hint="eastAsia" w:ascii="仿宋_GB2312" w:hAnsi="仿宋_GB2312" w:eastAsia="仿宋_GB2312" w:cs="仿宋_GB2312"/>
          <w:color w:val="auto"/>
          <w:sz w:val="24"/>
          <w:szCs w:val="24"/>
          <w:highlight w:val="none"/>
        </w:rPr>
        <w:t>2、</w:t>
      </w:r>
      <w:bookmarkStart w:id="423" w:name="_Hlk101133173"/>
      <w:r>
        <w:rPr>
          <w:rFonts w:hint="eastAsia" w:ascii="仿宋_GB2312" w:hAnsi="仿宋_GB2312" w:eastAsia="仿宋_GB2312" w:cs="仿宋_GB2312"/>
          <w:color w:val="auto"/>
          <w:sz w:val="24"/>
          <w:szCs w:val="24"/>
          <w:highlight w:val="none"/>
        </w:rPr>
        <w:t>中小企业合同金额达到%，小微企业合同金额达到%</w:t>
      </w: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b/>
          <w:bCs/>
          <w:color w:val="auto"/>
          <w:kern w:val="0"/>
          <w:sz w:val="24"/>
          <w:szCs w:val="24"/>
          <w:highlight w:val="none"/>
          <w:lang w:val="zh-CN"/>
        </w:rPr>
        <w:t>（</w:t>
      </w:r>
      <w:r>
        <w:rPr>
          <w:rFonts w:hint="eastAsia" w:ascii="仿宋_GB2312" w:hAnsi="仿宋_GB2312" w:eastAsia="仿宋_GB2312" w:cs="仿宋_GB2312"/>
          <w:b/>
          <w:bCs/>
          <w:color w:val="auto"/>
          <w:sz w:val="24"/>
          <w:szCs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_GB2312" w:hAnsi="仿宋_GB2312" w:eastAsia="仿宋_GB2312" w:cs="仿宋_GB2312"/>
          <w:b/>
          <w:bCs/>
          <w:color w:val="auto"/>
          <w:kern w:val="0"/>
          <w:sz w:val="24"/>
          <w:szCs w:val="24"/>
          <w:highlight w:val="none"/>
          <w:lang w:val="zh-CN"/>
        </w:rPr>
        <w:t>）</w:t>
      </w:r>
      <w:bookmarkEnd w:id="423"/>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五、如果中标，</w:t>
      </w:r>
      <w:r>
        <w:rPr>
          <w:rFonts w:hint="eastAsia" w:ascii="仿宋_GB2312" w:hAnsi="仿宋_GB2312" w:eastAsia="仿宋_GB2312" w:cs="仿宋_GB2312"/>
          <w:color w:val="auto"/>
          <w:sz w:val="24"/>
          <w:szCs w:val="24"/>
          <w:highlight w:val="none"/>
        </w:rPr>
        <w:t>联合体各成员方共同与采购人签订合同，并就采购合同约定的事项对采购人承担连带责任。</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六、有关本次联合投标的其他事宜：</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1、联合体各方不再单独参加或者与其他供应商另外组成联合体参加同一合同项下的政府采购活动。</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联合体成员名称(电子签名/公章)：</w:t>
      </w:r>
    </w:p>
    <w:p>
      <w:pPr>
        <w:snapToGrid w:val="0"/>
        <w:spacing w:line="360" w:lineRule="auto"/>
        <w:ind w:firstLine="5040" w:firstLineChars="21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联合体成员名称(电子签名/公章)：</w:t>
      </w:r>
    </w:p>
    <w:p>
      <w:pPr>
        <w:snapToGrid w:val="0"/>
        <w:spacing w:line="360" w:lineRule="auto"/>
        <w:ind w:right="960"/>
        <w:jc w:val="center"/>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w:t>
      </w:r>
    </w:p>
    <w:p>
      <w:pPr>
        <w:snapToGrid w:val="0"/>
        <w:spacing w:line="360" w:lineRule="auto"/>
        <w:jc w:val="right"/>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日期：年月日</w:t>
      </w:r>
    </w:p>
    <w:p>
      <w:pPr>
        <w:spacing w:line="540" w:lineRule="exact"/>
        <w:contextualSpacing/>
        <w:jc w:val="center"/>
        <w:rPr>
          <w:rFonts w:hint="eastAsia" w:ascii="仿宋_GB2312" w:hAnsi="仿宋_GB2312" w:eastAsia="仿宋_GB2312" w:cs="仿宋_GB2312"/>
          <w:b/>
          <w:color w:val="auto"/>
          <w:sz w:val="24"/>
          <w:szCs w:val="24"/>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4"/>
        <w:rPr>
          <w:rFonts w:hint="eastAsia" w:ascii="仿宋_GB2312" w:hAnsi="仿宋_GB2312" w:eastAsia="仿宋_GB2312" w:cs="仿宋_GB2312"/>
          <w:color w:val="auto"/>
          <w:highlight w:val="none"/>
        </w:rPr>
      </w:pPr>
    </w:p>
    <w:p>
      <w:pPr>
        <w:rPr>
          <w:rFonts w:hint="eastAsia"/>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snapToGrid w:val="0"/>
        <w:spacing w:line="360" w:lineRule="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rPr>
        <w:t>附件7：</w:t>
      </w:r>
    </w:p>
    <w:p>
      <w:pPr>
        <w:snapToGrid w:val="0"/>
        <w:spacing w:line="360" w:lineRule="auto"/>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分包意向协议</w:t>
      </w:r>
    </w:p>
    <w:p>
      <w:pPr>
        <w:widowControl/>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color w:val="auto"/>
          <w:sz w:val="24"/>
          <w:szCs w:val="24"/>
          <w:highlight w:val="none"/>
        </w:rPr>
        <w:t>中标后以分包方式履行合同的，提供分包意向协议；采购人不同意分包或者投标人中标后不以分包方式履行合同的，则不需要提供。</w:t>
      </w:r>
      <w:r>
        <w:rPr>
          <w:rFonts w:hint="eastAsia" w:ascii="仿宋_GB2312" w:hAnsi="仿宋_GB2312" w:eastAsia="仿宋_GB2312" w:cs="仿宋_GB2312"/>
          <w:color w:val="auto"/>
          <w:sz w:val="24"/>
          <w:szCs w:val="24"/>
          <w:highlight w:val="none"/>
        </w:rPr>
        <w:t>）</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（投标人名称）</w:t>
      </w:r>
      <w:r>
        <w:rPr>
          <w:rFonts w:hint="eastAsia" w:ascii="仿宋_GB2312" w:hAnsi="仿宋_GB2312" w:eastAsia="仿宋_GB2312" w:cs="仿宋_GB2312"/>
          <w:color w:val="auto"/>
          <w:kern w:val="0"/>
          <w:sz w:val="24"/>
          <w:szCs w:val="24"/>
          <w:highlight w:val="none"/>
          <w:lang w:val="zh-CN"/>
        </w:rPr>
        <w:t>若成为</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rPr>
        <w:t>【招标编号：</w:t>
      </w:r>
      <w:r>
        <w:rPr>
          <w:rFonts w:hint="eastAsia" w:ascii="仿宋_GB2312" w:hAnsi="仿宋_GB2312" w:eastAsia="仿宋_GB2312" w:cs="仿宋_GB2312"/>
          <w:color w:val="auto"/>
          <w:sz w:val="24"/>
          <w:szCs w:val="24"/>
          <w:highlight w:val="none"/>
          <w:u w:val="single"/>
        </w:rPr>
        <w:t>（采购编号）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lang w:val="zh-CN"/>
        </w:rPr>
        <w:t>的中标供应商，将依法采取分包方式履行合同。</w:t>
      </w:r>
      <w:r>
        <w:rPr>
          <w:rFonts w:hint="eastAsia" w:ascii="仿宋_GB2312" w:hAnsi="仿宋_GB2312" w:eastAsia="仿宋_GB2312" w:cs="仿宋_GB2312"/>
          <w:color w:val="auto"/>
          <w:kern w:val="0"/>
          <w:sz w:val="24"/>
          <w:szCs w:val="24"/>
          <w:highlight w:val="none"/>
          <w:u w:val="single"/>
        </w:rPr>
        <w:t>（投标人名称）</w:t>
      </w:r>
      <w:r>
        <w:rPr>
          <w:rFonts w:hint="eastAsia" w:ascii="仿宋_GB2312" w:hAnsi="仿宋_GB2312" w:eastAsia="仿宋_GB2312" w:cs="仿宋_GB2312"/>
          <w:color w:val="auto"/>
          <w:kern w:val="0"/>
          <w:sz w:val="24"/>
          <w:szCs w:val="24"/>
          <w:highlight w:val="none"/>
        </w:rPr>
        <w:t>与</w:t>
      </w:r>
      <w:r>
        <w:rPr>
          <w:rFonts w:hint="eastAsia" w:ascii="仿宋_GB2312" w:hAnsi="仿宋_GB2312" w:eastAsia="仿宋_GB2312" w:cs="仿宋_GB2312"/>
          <w:color w:val="auto"/>
          <w:kern w:val="0"/>
          <w:sz w:val="24"/>
          <w:szCs w:val="24"/>
          <w:highlight w:val="none"/>
          <w:u w:val="single"/>
        </w:rPr>
        <w:t>（所有分包供应商名称）</w:t>
      </w:r>
      <w:r>
        <w:rPr>
          <w:rFonts w:hint="eastAsia" w:ascii="仿宋_GB2312" w:hAnsi="仿宋_GB2312" w:eastAsia="仿宋_GB2312" w:cs="仿宋_GB2312"/>
          <w:color w:val="auto"/>
          <w:kern w:val="0"/>
          <w:sz w:val="24"/>
          <w:szCs w:val="24"/>
          <w:highlight w:val="none"/>
        </w:rPr>
        <w:t>达成分包意向协议</w:t>
      </w:r>
      <w:r>
        <w:rPr>
          <w:rFonts w:hint="eastAsia" w:ascii="仿宋_GB2312" w:hAnsi="仿宋_GB2312" w:eastAsia="仿宋_GB2312" w:cs="仿宋_GB2312"/>
          <w:color w:val="auto"/>
          <w:kern w:val="0"/>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firstLine="576"/>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一、分包标的及数量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（投标人名称）将工作分包如下：</w:t>
      </w:r>
      <w:r>
        <w:rPr>
          <w:rFonts w:hint="eastAsia" w:ascii="仿宋_GB2312" w:hAnsi="仿宋_GB2312" w:eastAsia="仿宋_GB2312" w:cs="仿宋_GB2312"/>
          <w:b/>
          <w:bCs/>
          <w:color w:val="auto"/>
          <w:sz w:val="24"/>
          <w:szCs w:val="24"/>
          <w:highlight w:val="none"/>
        </w:rPr>
        <w:t>（注：投标人只能将招标文件第二部分中“前附表”的“分包”规定的</w:t>
      </w:r>
      <w:r>
        <w:rPr>
          <w:rFonts w:hint="eastAsia" w:ascii="仿宋_GB2312" w:hAnsi="仿宋_GB2312" w:eastAsia="仿宋_GB2312" w:cs="仿宋_GB2312"/>
          <w:b/>
          <w:bCs/>
          <w:color w:val="auto"/>
          <w:sz w:val="24"/>
          <w:szCs w:val="24"/>
          <w:highlight w:val="none"/>
          <w:lang w:eastAsia="zh-CN"/>
        </w:rPr>
        <w:t>采购内容</w:t>
      </w:r>
      <w:r>
        <w:rPr>
          <w:rFonts w:hint="eastAsia" w:ascii="仿宋_GB2312" w:hAnsi="仿宋_GB2312" w:eastAsia="仿宋_GB2312" w:cs="仿宋_GB2312"/>
          <w:b/>
          <w:bCs/>
          <w:color w:val="auto"/>
          <w:sz w:val="24"/>
          <w:szCs w:val="24"/>
          <w:highlight w:val="none"/>
        </w:rPr>
        <w:t>进行分包）</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将   XX工作内容   分包给（分包供应商1名称）；</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将   XX工作内容   分包给（分包供应商2名称）；</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仿宋_GB2312" w:hAnsi="仿宋_GB2312" w:eastAsia="仿宋_GB2312" w:cs="仿宋_GB2312"/>
          <w:color w:val="auto"/>
          <w:sz w:val="24"/>
          <w:szCs w:val="24"/>
          <w:highlight w:val="none"/>
        </w:rPr>
        <w:t>以上分包供应商具备所承担分包工作内容相应的资质条件且不得再次分包。</w:t>
      </w:r>
    </w:p>
    <w:p>
      <w:pPr>
        <w:keepNext w:val="0"/>
        <w:keepLines w:val="0"/>
        <w:pageBreakBefore w:val="0"/>
        <w:widowControl w:val="0"/>
        <w:kinsoku/>
        <w:wordWrap/>
        <w:overflowPunct/>
        <w:topLinePunct w:val="0"/>
        <w:autoSpaceDE/>
        <w:autoSpaceDN/>
        <w:bidi w:val="0"/>
        <w:adjustRightInd/>
        <w:snapToGrid w:val="0"/>
        <w:spacing w:line="360" w:lineRule="auto"/>
        <w:ind w:firstLine="576"/>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二、分包供应商中小企业合同份额</w:t>
      </w:r>
    </w:p>
    <w:p>
      <w:pPr>
        <w:snapToGrid w:val="0"/>
        <w:spacing w:line="360" w:lineRule="auto"/>
        <w:ind w:firstLine="576"/>
        <w:rPr>
          <w:rFonts w:hint="eastAsia" w:ascii="仿宋_GB2312" w:hAnsi="仿宋_GB2312" w:eastAsia="仿宋_GB2312" w:cs="仿宋_GB2312"/>
          <w:b/>
          <w:bCs/>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1、（分包供应商X,……）提供的货物全部由小微企业制造，其合同份额占到合同总金额     %以上。</w:t>
      </w:r>
      <w:r>
        <w:rPr>
          <w:rFonts w:hint="eastAsia" w:ascii="仿宋_GB2312" w:hAnsi="仿宋_GB2312" w:eastAsia="仿宋_GB2312" w:cs="仿宋_GB2312"/>
          <w:b/>
          <w:bCs/>
          <w:color w:val="auto"/>
          <w:kern w:val="0"/>
          <w:sz w:val="24"/>
          <w:szCs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拟享受以上价格扣除政策的，填写有关内容。）</w:t>
      </w:r>
    </w:p>
    <w:p>
      <w:pPr>
        <w:snapToGrid w:val="0"/>
        <w:spacing w:line="360" w:lineRule="auto"/>
        <w:ind w:firstLine="576"/>
        <w:rPr>
          <w:rFonts w:hint="eastAsia" w:ascii="仿宋_GB2312" w:hAnsi="仿宋_GB2312" w:eastAsia="仿宋_GB2312" w:cs="仿宋_GB2312"/>
          <w:b/>
          <w:bCs/>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2、中小企业合同金额达到  %，其中小微企业合同金额达到 %。</w:t>
      </w:r>
      <w:r>
        <w:rPr>
          <w:rFonts w:hint="eastAsia" w:ascii="仿宋_GB2312" w:hAnsi="仿宋_GB2312" w:eastAsia="仿宋_GB2312" w:cs="仿宋_GB2312"/>
          <w:b/>
          <w:bCs/>
          <w:color w:val="auto"/>
          <w:kern w:val="0"/>
          <w:sz w:val="24"/>
          <w:szCs w:val="24"/>
          <w:highlight w:val="none"/>
          <w:lang w:val="zh-CN"/>
        </w:rPr>
        <w:t>（要求合同分包形式参加的项目或采购包，供应商按招标文件第一部分招标公告申请人的资格要求中规定的分包意向协议中中小企业、小微企业合同金额应当达到的比例要求填写。）</w:t>
      </w:r>
    </w:p>
    <w:p>
      <w:pPr>
        <w:snapToGrid w:val="0"/>
        <w:spacing w:line="360" w:lineRule="auto"/>
        <w:ind w:firstLine="576"/>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0"/>
          <w:sz w:val="24"/>
          <w:szCs w:val="24"/>
          <w:highlight w:val="none"/>
          <w:lang w:val="zh-CN"/>
        </w:rPr>
        <w:t>三、分包工作履行期限、地点、方式</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四、质量</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五、价款或者报酬</w:t>
      </w:r>
    </w:p>
    <w:p>
      <w:pPr>
        <w:snapToGrid w:val="0"/>
        <w:spacing w:line="360" w:lineRule="auto"/>
        <w:ind w:left="573" w:leftChars="273"/>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六、违约责任</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七、争议解决的办法</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八、其他</w:t>
      </w:r>
    </w:p>
    <w:p>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p>
    <w:p>
      <w:pPr>
        <w:snapToGrid w:val="0"/>
        <w:spacing w:line="360" w:lineRule="auto"/>
        <w:ind w:left="5746" w:leftChars="2622" w:hanging="240" w:hangingChars="1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投标人名称(电子签名)：</w:t>
      </w:r>
    </w:p>
    <w:p>
      <w:pPr>
        <w:snapToGrid w:val="0"/>
        <w:spacing w:line="360" w:lineRule="auto"/>
        <w:jc w:val="right"/>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分包供应商名称(电子签名/公章)：</w:t>
      </w:r>
    </w:p>
    <w:p>
      <w:pPr>
        <w:snapToGrid w:val="0"/>
        <w:spacing w:line="360" w:lineRule="auto"/>
        <w:ind w:firstLine="5760" w:firstLineChars="24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zh-CN"/>
        </w:rPr>
        <w:t>……</w:t>
      </w:r>
    </w:p>
    <w:p>
      <w:pPr>
        <w:snapToGrid w:val="0"/>
        <w:spacing w:line="360" w:lineRule="auto"/>
        <w:ind w:left="5758" w:leftChars="342" w:hanging="5040" w:hangingChars="2100"/>
        <w:jc w:val="right"/>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日期：年月日</w:t>
      </w:r>
    </w:p>
    <w:p>
      <w:pPr>
        <w:pStyle w:val="26"/>
        <w:ind w:left="0" w:leftChars="0" w:firstLine="0" w:firstLineChars="0"/>
        <w:rPr>
          <w:rFonts w:hint="eastAsia" w:ascii="仿宋_GB2312" w:hAnsi="仿宋_GB2312" w:eastAsia="仿宋_GB2312" w:cs="仿宋_GB2312"/>
          <w:color w:val="auto"/>
          <w:highlight w:val="none"/>
        </w:rPr>
      </w:pPr>
    </w:p>
    <w:p>
      <w:pPr>
        <w:snapToGrid w:val="0"/>
        <w:spacing w:line="360" w:lineRule="auto"/>
        <w:rPr>
          <w:rFonts w:hint="eastAsia" w:ascii="仿宋_GB2312" w:hAnsi="仿宋_GB2312" w:eastAsia="仿宋_GB2312" w:cs="仿宋_GB2312"/>
          <w:color w:val="auto"/>
          <w:spacing w:val="6"/>
          <w:sz w:val="28"/>
          <w:szCs w:val="28"/>
          <w:highlight w:val="none"/>
          <w:lang w:val="en-US"/>
        </w:rPr>
      </w:pPr>
      <w:r>
        <w:rPr>
          <w:rFonts w:hint="eastAsia" w:ascii="仿宋_GB2312" w:hAnsi="仿宋_GB2312" w:eastAsia="仿宋_GB2312" w:cs="仿宋_GB2312"/>
          <w:color w:val="auto"/>
          <w:spacing w:val="6"/>
          <w:sz w:val="28"/>
          <w:szCs w:val="28"/>
          <w:highlight w:val="none"/>
          <w:lang w:val="en-US" w:eastAsia="zh-CN"/>
        </w:rPr>
        <w:t xml:space="preserve">附件8 </w:t>
      </w:r>
    </w:p>
    <w:p>
      <w:pPr>
        <w:snapToGrid w:val="0"/>
        <w:spacing w:before="0" w:line="360" w:lineRule="auto"/>
        <w:ind w:left="0"/>
        <w:jc w:val="center"/>
        <w:outlineLvl w:val="9"/>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b/>
          <w:color w:val="auto"/>
          <w:spacing w:val="0"/>
          <w:sz w:val="32"/>
          <w:szCs w:val="32"/>
          <w:highlight w:val="none"/>
          <w:lang w:val="zh-CN"/>
        </w:rPr>
        <w:t>关于符合本国产品标准的声明函</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本公司（单位）郑重声明，根据《国务院办公厅关于在政府采购中实施本国产品标准及相关政策的通知》（国办发〔2025〕34号）的规定，本公司（单位）提供的以下产品属于本国产品。具体情况如下：</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1.（产品名称1）1，生产厂为（厂名）2，厂址为（生产厂址）。（产品名称1）的中国境内生产的组件成本占比≥（规定比例）3。（产品名称1）的（关键组件）4在中国境内生产。（产品名称1）的（关键工序）5在中国境内完成。</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2.（产品名称2），生产厂为（厂名），厂址为（生产厂址）。（产品名称2）</w:t>
      </w:r>
      <w:r>
        <w:rPr>
          <w:rFonts w:hint="eastAsia" w:ascii="仿宋_GB2312" w:hAnsi="仿宋_GB2312" w:eastAsia="仿宋_GB2312" w:cs="仿宋_GB2312"/>
          <w:color w:val="auto"/>
          <w:kern w:val="0"/>
          <w:sz w:val="24"/>
          <w:szCs w:val="24"/>
          <w:highlight w:val="none"/>
          <w:u w:val="single"/>
          <w:lang w:val="zh-CN"/>
        </w:rPr>
        <w:tab/>
      </w:r>
      <w:r>
        <w:rPr>
          <w:rFonts w:hint="eastAsia" w:ascii="仿宋_GB2312" w:hAnsi="仿宋_GB2312" w:eastAsia="仿宋_GB2312" w:cs="仿宋_GB2312"/>
          <w:color w:val="auto"/>
          <w:kern w:val="0"/>
          <w:sz w:val="24"/>
          <w:szCs w:val="24"/>
          <w:highlight w:val="none"/>
          <w:u w:val="single"/>
          <w:lang w:val="zh-CN"/>
        </w:rPr>
        <w:t xml:space="preserve"> 的中国境内生产的组件成本占比≥（规定比例）。（产品名称2）的（关键组件）在中国境内生产。（产品名称2）的（关键工序）在中国境内完成。</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w:t>
      </w:r>
    </w:p>
    <w:p>
      <w:pPr>
        <w:snapToGrid w:val="0"/>
        <w:spacing w:line="360" w:lineRule="auto"/>
        <w:ind w:firstLine="576"/>
        <w:rPr>
          <w:rFonts w:hint="eastAsia" w:ascii="仿宋_GB2312" w:hAnsi="仿宋_GB2312" w:eastAsia="仿宋_GB2312" w:cs="仿宋_GB2312"/>
          <w:color w:val="auto"/>
          <w:kern w:val="0"/>
          <w:sz w:val="24"/>
          <w:szCs w:val="24"/>
          <w:highlight w:val="none"/>
          <w:u w:val="none"/>
          <w:lang w:val="zh-CN"/>
        </w:rPr>
      </w:pPr>
      <w:r>
        <w:rPr>
          <w:rFonts w:hint="eastAsia" w:ascii="仿宋_GB2312" w:hAnsi="仿宋_GB2312" w:eastAsia="仿宋_GB2312" w:cs="仿宋_GB2312"/>
          <w:color w:val="auto"/>
          <w:kern w:val="0"/>
          <w:sz w:val="24"/>
          <w:szCs w:val="24"/>
          <w:highlight w:val="none"/>
          <w:u w:val="none"/>
          <w:lang w:val="zh-CN"/>
        </w:rPr>
        <w:t>二、多个产品的承诺(如有):</w:t>
      </w:r>
    </w:p>
    <w:p>
      <w:pPr>
        <w:keepNext w:val="0"/>
        <w:keepLines w:val="0"/>
        <w:pageBreakBefore w:val="0"/>
        <w:widowControl/>
        <w:kinsoku/>
        <w:wordWrap/>
        <w:overflowPunct/>
        <w:topLinePunct w:val="0"/>
        <w:autoSpaceDE/>
        <w:autoSpaceDN/>
        <w:bidi w:val="0"/>
        <w:adjustRightInd w:val="0"/>
        <w:snapToGrid/>
        <w:spacing w:before="30" w:after="30" w:line="450" w:lineRule="atLeast"/>
        <w:ind w:firstLine="480" w:firstLineChars="200"/>
        <w:jc w:val="left"/>
        <w:textAlignment w:val="auto"/>
        <w:rPr>
          <w:rFonts w:ascii="宋体" w:hAnsi="宋体" w:cs="仿宋"/>
          <w:i w:val="0"/>
          <w:iCs w:val="0"/>
          <w:color w:val="auto"/>
          <w:sz w:val="24"/>
          <w:szCs w:val="24"/>
          <w:highlight w:val="none"/>
        </w:rPr>
      </w:pPr>
      <w:r>
        <w:rPr>
          <w:rFonts w:ascii="宋体" w:hAnsi="宋体" w:cs="仿宋"/>
          <w:i w:val="0"/>
          <w:iCs w:val="0"/>
          <w:color w:val="auto"/>
          <w:sz w:val="24"/>
          <w:szCs w:val="24"/>
          <w:highlight w:val="none"/>
        </w:rPr>
        <w:sym w:font="Wingdings 2" w:char="F0A3"/>
      </w:r>
      <w:r>
        <w:rPr>
          <w:rFonts w:hint="eastAsia" w:ascii="仿宋_GB2312" w:hAnsi="仿宋_GB2312" w:eastAsia="仿宋_GB2312" w:cs="仿宋_GB2312"/>
          <w:color w:val="auto"/>
          <w:kern w:val="0"/>
          <w:sz w:val="24"/>
          <w:szCs w:val="24"/>
          <w:highlight w:val="none"/>
          <w:u w:val="none"/>
          <w:lang w:val="zh-CN"/>
        </w:rPr>
        <w:t>上述提供的符合本国产品标准的所有产品的成本之和，占本次投标全部产品（含本声明所列产品及其他配套产品）成本总和的比例达到80%。</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本公司（单位）对上述声明内容的真实性负责。如有虚假，愿承担相应法律责任。</w:t>
      </w:r>
    </w:p>
    <w:p>
      <w:pPr>
        <w:snapToGrid w:val="0"/>
        <w:spacing w:line="360" w:lineRule="auto"/>
        <w:ind w:firstLine="576"/>
        <w:jc w:val="right"/>
        <w:rPr>
          <w:rFonts w:hint="eastAsia" w:ascii="仿宋_GB2312" w:hAnsi="仿宋_GB2312" w:eastAsia="仿宋_GB2312" w:cs="仿宋_GB2312"/>
          <w:color w:val="auto"/>
          <w:kern w:val="0"/>
          <w:sz w:val="24"/>
          <w:szCs w:val="24"/>
          <w:highlight w:val="none"/>
          <w:u w:val="single"/>
          <w:lang w:val="zh-CN"/>
        </w:rPr>
      </w:pPr>
    </w:p>
    <w:p>
      <w:pPr>
        <w:snapToGrid w:val="0"/>
        <w:spacing w:line="360" w:lineRule="auto"/>
        <w:ind w:firstLine="576"/>
        <w:jc w:val="right"/>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lang w:val="zh-CN"/>
        </w:rPr>
        <w:t>公司（单位）名称（盖章）：</w:t>
      </w:r>
    </w:p>
    <w:p>
      <w:pPr>
        <w:snapToGrid w:val="0"/>
        <w:spacing w:line="360" w:lineRule="auto"/>
        <w:ind w:firstLine="576"/>
        <w:jc w:val="right"/>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drawing>
          <wp:anchor distT="0" distB="0" distL="114300" distR="11430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9" name="IM 10"/>
            <wp:cNvGraphicFramePr/>
            <a:graphic xmlns:a="http://schemas.openxmlformats.org/drawingml/2006/main">
              <a:graphicData uri="http://schemas.openxmlformats.org/drawingml/2006/picture">
                <pic:pic xmlns:pic="http://schemas.openxmlformats.org/drawingml/2006/picture">
                  <pic:nvPicPr>
                    <pic:cNvPr id="19" name="IM 10"/>
                    <pic:cNvPicPr/>
                  </pic:nvPicPr>
                  <pic:blipFill>
                    <a:blip r:embed="rId21"/>
                    <a:stretch>
                      <a:fillRect/>
                    </a:stretch>
                  </pic:blipFill>
                  <pic:spPr>
                    <a:xfrm>
                      <a:off x="0" y="0"/>
                      <a:ext cx="1066165" cy="6350"/>
                    </a:xfrm>
                    <a:prstGeom prst="rect">
                      <a:avLst/>
                    </a:prstGeom>
                    <a:noFill/>
                    <a:ln>
                      <a:noFill/>
                    </a:ln>
                  </pic:spPr>
                </pic:pic>
              </a:graphicData>
            </a:graphic>
          </wp:anchor>
        </w:drawing>
      </w:r>
      <w:r>
        <w:rPr>
          <w:rFonts w:hint="eastAsia" w:ascii="仿宋_GB2312" w:hAnsi="仿宋_GB2312" w:eastAsia="仿宋_GB2312" w:cs="仿宋_GB2312"/>
          <w:color w:val="auto"/>
          <w:kern w:val="0"/>
          <w:sz w:val="24"/>
          <w:szCs w:val="24"/>
          <w:highlight w:val="none"/>
          <w:u w:val="single"/>
          <w:lang w:val="zh-CN"/>
        </w:rPr>
        <w:t>日期：       年    月     日</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1.产品如有型号，请在“产品名称”栏一并填写。</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2.生产厂名与厂址应与生产厂营业执照载明的相关信息保持一致。</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3.该产品的中国境内生产的组件成本占比相关要求实施前，“规定比例”栏可不填，下同。</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4.该产品的关键组件要求实施前，“关键组件”栏可不填，下同。</w:t>
      </w:r>
    </w:p>
    <w:p>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5.该产品的关键工序要求实施前，“关键工序”栏可不填，下同</w:t>
      </w:r>
      <w:r>
        <w:rPr>
          <w:rFonts w:hint="eastAsia" w:ascii="仿宋_GB2312" w:hAnsi="仿宋_GB2312" w:eastAsia="仿宋_GB2312" w:cs="仿宋_GB2312"/>
          <w:color w:val="auto"/>
          <w:kern w:val="0"/>
          <w:sz w:val="24"/>
          <w:szCs w:val="24"/>
          <w:highlight w:val="none"/>
          <w:u w:val="single"/>
          <w:lang w:val="zh-CN" w:eastAsia="zh-CN"/>
        </w:rPr>
        <w:t>。</w:t>
      </w:r>
    </w:p>
    <w:p>
      <w:pPr>
        <w:snapToGrid w:val="0"/>
        <w:spacing w:line="360" w:lineRule="auto"/>
        <w:ind w:firstLine="576"/>
        <w:rPr>
          <w:rFonts w:hint="eastAsia" w:ascii="仿宋_GB2312" w:hAnsi="仿宋_GB2312" w:eastAsia="仿宋_GB2312" w:cs="仿宋_GB2312"/>
          <w:b/>
          <w:bCs/>
          <w:color w:val="auto"/>
          <w:kern w:val="0"/>
          <w:sz w:val="24"/>
          <w:szCs w:val="24"/>
          <w:highlight w:val="none"/>
          <w:u w:val="single"/>
          <w:lang w:val="en-US" w:eastAsia="zh-CN"/>
        </w:rPr>
      </w:pPr>
      <w:r>
        <w:rPr>
          <w:rFonts w:hint="eastAsia" w:ascii="仿宋_GB2312" w:hAnsi="仿宋_GB2312" w:eastAsia="仿宋_GB2312" w:cs="仿宋_GB2312"/>
          <w:b/>
          <w:bCs/>
          <w:color w:val="auto"/>
          <w:kern w:val="0"/>
          <w:sz w:val="24"/>
          <w:szCs w:val="24"/>
          <w:highlight w:val="none"/>
          <w:u w:val="single"/>
          <w:lang w:val="en-US" w:eastAsia="zh-CN"/>
        </w:rPr>
        <w:t>6.涉及多个产品的承诺，请予第二项处打勾，否则不予承认。</w:t>
      </w:r>
    </w:p>
    <w:p>
      <w:pPr>
        <w:spacing w:line="540" w:lineRule="exact"/>
        <w:contextualSpacing/>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政采贷</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下表：</w:t>
      </w:r>
    </w:p>
    <w:tbl>
      <w:tblPr>
        <w:tblStyle w:val="27"/>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975"/>
        <w:gridCol w:w="222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63" w:type="dxa"/>
            <w:gridSpan w:val="4"/>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舟山市政府采购信用融资合作银行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银行名称</w:t>
            </w:r>
          </w:p>
        </w:tc>
        <w:tc>
          <w:tcPr>
            <w:tcW w:w="3975"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各银行介绍的产品特点</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经办人</w:t>
            </w:r>
          </w:p>
        </w:tc>
        <w:tc>
          <w:tcPr>
            <w:tcW w:w="1908"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中国工商银行股份有限公司舟山分行</w:t>
            </w:r>
          </w:p>
        </w:tc>
        <w:tc>
          <w:tcPr>
            <w:tcW w:w="3975" w:type="dxa"/>
            <w:noWrap w:val="0"/>
            <w:vAlign w:val="top"/>
          </w:tcPr>
          <w:p>
            <w:pPr>
              <w:numPr>
                <w:ilvl w:val="0"/>
                <w:numId w:val="7"/>
              </w:num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融资额度高，融资金额最高可至订单金额70%，线上申请，随借随还。2.融资利率低，最低可至当期LPR利率。</w:t>
            </w:r>
          </w:p>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3.担保方式灵活，以政府采购合同进行融资，无需另外抵押。</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柳超颖</w:t>
            </w:r>
          </w:p>
        </w:tc>
        <w:tc>
          <w:tcPr>
            <w:tcW w:w="1908"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0580-2166242, 15858076468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中国建设银行股份有限公司舟山分行</w:t>
            </w:r>
          </w:p>
        </w:tc>
        <w:tc>
          <w:tcPr>
            <w:tcW w:w="3975" w:type="dxa"/>
            <w:noWrap w:val="0"/>
            <w:vAlign w:val="top"/>
          </w:tcPr>
          <w:p>
            <w:pPr>
              <w:numPr>
                <w:ilvl w:val="0"/>
                <w:numId w:val="8"/>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快速便捷：全流程线上操作，通过浙江省政府采购网数据审核信用额度，建行供应链平台快速放款。</w:t>
            </w:r>
          </w:p>
          <w:p>
            <w:pPr>
              <w:numPr>
                <w:ilvl w:val="0"/>
                <w:numId w:val="8"/>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申请额度高：单笔融资额度最高可达政府采购合同金额的90%，单户额度最高可达3000万。</w:t>
            </w:r>
          </w:p>
          <w:p>
            <w:pPr>
              <w:numPr>
                <w:ilvl w:val="0"/>
                <w:numId w:val="8"/>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无需额外抵押：以浙江省政府采购网备案公示的政府采购合同进行融资，无需额外抵押担保。</w:t>
            </w:r>
          </w:p>
          <w:p>
            <w:pPr>
              <w:numPr>
                <w:ilvl w:val="0"/>
                <w:numId w:val="8"/>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利率优惠：给予流动资金贷款最优惠利率。</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普陀片区：蔡妮妮</w:t>
            </w:r>
          </w:p>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定海片区：杨莹</w:t>
            </w:r>
          </w:p>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自贸区片区：方晓</w:t>
            </w:r>
          </w:p>
        </w:tc>
        <w:tc>
          <w:tcPr>
            <w:tcW w:w="1908"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普陀片区：13957201791</w:t>
            </w:r>
          </w:p>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定海片区：13655803997</w:t>
            </w:r>
          </w:p>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自贸区片区：13587086324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杭州银行股份有限公司舟山市分行</w:t>
            </w:r>
          </w:p>
        </w:tc>
        <w:tc>
          <w:tcPr>
            <w:tcW w:w="3975" w:type="dxa"/>
            <w:noWrap w:val="0"/>
            <w:vAlign w:val="top"/>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方经理</w:t>
            </w:r>
          </w:p>
        </w:tc>
        <w:tc>
          <w:tcPr>
            <w:tcW w:w="1908"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0580-2185201，18205800451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招商银行股份有限公司浙江自贸试验区舟山分行</w:t>
            </w:r>
          </w:p>
        </w:tc>
        <w:tc>
          <w:tcPr>
            <w:tcW w:w="3975" w:type="dxa"/>
            <w:noWrap w:val="0"/>
            <w:vAlign w:val="top"/>
          </w:tcPr>
          <w:p>
            <w:pPr>
              <w:spacing w:line="4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李玲</w:t>
            </w:r>
          </w:p>
        </w:tc>
        <w:tc>
          <w:tcPr>
            <w:tcW w:w="1908"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0580-2061710，13957227971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温州银行股份有限公司舟山市分行</w:t>
            </w:r>
          </w:p>
        </w:tc>
        <w:tc>
          <w:tcPr>
            <w:tcW w:w="3975" w:type="dxa"/>
            <w:noWrap w:val="0"/>
            <w:vAlign w:val="top"/>
          </w:tcPr>
          <w:p>
            <w:pPr>
              <w:numPr>
                <w:ilvl w:val="0"/>
                <w:numId w:val="9"/>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单户授信敞口最高不超过1000万元，且最高额度核定一般不超过借款人（含实际控制人控制的其他经营实体）最近13个月合计有效中标合同金额的70%。</w:t>
            </w:r>
          </w:p>
          <w:p>
            <w:pPr>
              <w:numPr>
                <w:ilvl w:val="0"/>
                <w:numId w:val="9"/>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单笔借款额度最高不超过1000万元，单笔业务授信额度不超过“政采云平台”提供的中标通知书承载的中标金额或本次申请授信提供的采购合同金额的80%，且用信金额不超过采购合同未付金额的80%。</w:t>
            </w:r>
          </w:p>
          <w:p>
            <w:pPr>
              <w:numPr>
                <w:ilvl w:val="0"/>
                <w:numId w:val="9"/>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借款人中标采购人自行采购项目并向我行发起授信申请的，单笔业务授信敞口不超500万元，且不超过借款人中标通知书承载的中标金额或本次申请授信提供的采购合同的80%。</w:t>
            </w:r>
          </w:p>
          <w:p>
            <w:pPr>
              <w:numPr>
                <w:ilvl w:val="0"/>
                <w:numId w:val="9"/>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符合我行采购人资质的，且负债率不超75%，配合应收账款质押登记确认的，并可出具确认函，单笔借款额度可按不超过采购合同的90%办理。</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郑贤栋</w:t>
            </w:r>
          </w:p>
        </w:tc>
        <w:tc>
          <w:tcPr>
            <w:tcW w:w="1908"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0580—8866086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交通银行股份有限公司舟山分行</w:t>
            </w:r>
          </w:p>
        </w:tc>
        <w:tc>
          <w:tcPr>
            <w:tcW w:w="3975" w:type="dxa"/>
            <w:noWrap w:val="0"/>
            <w:vAlign w:val="top"/>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w:t>
            </w:r>
            <w:r>
              <w:rPr>
                <w:rFonts w:hint="eastAsia" w:ascii="仿宋_GB2312" w:hAnsi="仿宋_GB2312" w:eastAsia="仿宋_GB2312" w:cs="仿宋_GB2312"/>
                <w:color w:val="auto"/>
                <w:highlight w:val="none"/>
              </w:rPr>
              <w:t>PR。</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赵争艳</w:t>
            </w:r>
          </w:p>
        </w:tc>
        <w:tc>
          <w:tcPr>
            <w:tcW w:w="1908"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0580-2260728</w:t>
            </w:r>
          </w:p>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13758007280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中信银行股份有限公司舟山分行</w:t>
            </w:r>
          </w:p>
        </w:tc>
        <w:tc>
          <w:tcPr>
            <w:tcW w:w="3975" w:type="dxa"/>
            <w:noWrap w:val="0"/>
            <w:vAlign w:val="top"/>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黄丽</w:t>
            </w:r>
          </w:p>
        </w:tc>
        <w:tc>
          <w:tcPr>
            <w:tcW w:w="1908"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13905808032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泰隆银行舟山市分行</w:t>
            </w:r>
          </w:p>
        </w:tc>
        <w:tc>
          <w:tcPr>
            <w:tcW w:w="3975" w:type="dxa"/>
            <w:noWrap w:val="0"/>
            <w:vAlign w:val="top"/>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胡亢宇</w:t>
            </w:r>
          </w:p>
        </w:tc>
        <w:tc>
          <w:tcPr>
            <w:tcW w:w="1908"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17605868703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中国农业银行股份有限公司舟山分行</w:t>
            </w:r>
          </w:p>
        </w:tc>
        <w:tc>
          <w:tcPr>
            <w:tcW w:w="3975" w:type="dxa"/>
            <w:noWrap w:val="0"/>
            <w:vAlign w:val="top"/>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苏华瞻</w:t>
            </w:r>
          </w:p>
        </w:tc>
        <w:tc>
          <w:tcPr>
            <w:tcW w:w="1908"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13967228926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中国邮政储蓄银行股份有限公司舟山市分行</w:t>
            </w:r>
          </w:p>
        </w:tc>
        <w:tc>
          <w:tcPr>
            <w:tcW w:w="3975" w:type="dxa"/>
            <w:noWrap w:val="0"/>
            <w:vAlign w:val="top"/>
          </w:tcPr>
          <w:p>
            <w:pPr>
              <w:tabs>
                <w:tab w:val="left" w:pos="0"/>
              </w:tabs>
              <w:spacing w:line="40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符合我行基本准入，授信额度使用期最高为2年，单户授信最高为500万，担保方式享受信用贷款执行，利率最低可至当期LPR ，有无还本续贷，12月份线上产品可以自主自贷。</w:t>
            </w:r>
          </w:p>
        </w:tc>
        <w:tc>
          <w:tcPr>
            <w:tcW w:w="2220" w:type="dxa"/>
            <w:noWrap w:val="0"/>
            <w:vAlign w:val="center"/>
          </w:tcPr>
          <w:p>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蒋志燕</w:t>
            </w:r>
          </w:p>
        </w:tc>
        <w:tc>
          <w:tcPr>
            <w:tcW w:w="1908" w:type="dxa"/>
            <w:noWrap w:val="0"/>
            <w:vAlign w:val="center"/>
          </w:tcPr>
          <w:p>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13732527321</w:t>
            </w:r>
          </w:p>
        </w:tc>
      </w:tr>
    </w:tbl>
    <w:p>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一般步骤</w:t>
      </w:r>
    </w:p>
    <w:p>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（1）供应商先与银行对接，办理融资前期手续；</w:t>
      </w:r>
    </w:p>
    <w:p>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（2）供应商成交后，凭成交通知书等材料，向相关合作银行发出融资申请；</w:t>
      </w:r>
    </w:p>
    <w:p>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（3）银行、供应商线上办理审批、放贷事宜。</w:t>
      </w:r>
    </w:p>
    <w:p>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注意事项</w:t>
      </w:r>
    </w:p>
    <w:p>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（1）成交供应商需确保政府采购合同的收款账户与融资银行开户账户一致。</w:t>
      </w:r>
    </w:p>
    <w:p>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（2）用于政府采购信用融资的政府采购合同，应当包含如下条款：“第条：</w:t>
      </w:r>
    </w:p>
    <w:p>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政府采购合同贷款本合同同时用于乙方向银行（金融机构）申请政府采购信用贷款。本合同一经签订，原则上不得更改乙方收款账户信息。确须更改的，乙方应取得原合同收款账户开户银行书面同意，否则修改后的合同不予备案，采购资金不予支付。”</w:t>
      </w:r>
    </w:p>
    <w:p>
      <w:pPr>
        <w:spacing w:line="540" w:lineRule="exact"/>
        <w:contextualSpacing/>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sectPr>
      <w:headerReference r:id="rId16" w:type="first"/>
      <w:footerReference r:id="rId19" w:type="first"/>
      <w:headerReference r:id="rId15" w:type="default"/>
      <w:footerReference r:id="rId17" w:type="default"/>
      <w:footerReference r:id="rId18" w:type="even"/>
      <w:pgSz w:w="11906" w:h="16838"/>
      <w:pgMar w:top="1276" w:right="1418"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decorative"/>
    <w:pitch w:val="default"/>
    <w:sig w:usb0="00000000" w:usb1="0000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22</w:t>
    </w:r>
    <w:r>
      <w:rPr>
        <w:lang w:val="zh-CN"/>
      </w:rPr>
      <w:fldChar w:fldCharType="end"/>
    </w:r>
  </w:p>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82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33</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23</w:t>
    </w:r>
    <w:r>
      <w:rPr>
        <w:lang w:val="zh-CN"/>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81</w:t>
    </w:r>
    <w:r>
      <w:rPr>
        <w:lang w:val="zh-CN"/>
      </w:rPr>
      <w:fldChar w:fldCharType="end"/>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79</w:t>
    </w:r>
    <w:r>
      <w:rPr>
        <w:lang w:val="zh-CN"/>
      </w:rPr>
      <w:fldChar w:fldCharType="end"/>
    </w: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97</w:t>
    </w:r>
    <w:r>
      <w:rPr>
        <w:lang w:val="zh-CN"/>
      </w:rPr>
      <w:fldChar w:fldCharType="end"/>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B56A1"/>
    <w:multiLevelType w:val="singleLevel"/>
    <w:tmpl w:val="A70B56A1"/>
    <w:lvl w:ilvl="0" w:tentative="0">
      <w:start w:val="1"/>
      <w:numFmt w:val="decimal"/>
      <w:lvlText w:val="%1."/>
      <w:lvlJc w:val="left"/>
      <w:pPr>
        <w:ind w:left="425" w:hanging="425"/>
      </w:pPr>
      <w:rPr>
        <w:rFonts w:hint="default"/>
      </w:rPr>
    </w:lvl>
  </w:abstractNum>
  <w:abstractNum w:abstractNumId="1">
    <w:nsid w:val="E8E03806"/>
    <w:multiLevelType w:val="singleLevel"/>
    <w:tmpl w:val="E8E03806"/>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2"/>
    <w:multiLevelType w:val="multilevel"/>
    <w:tmpl w:val="00000002"/>
    <w:lvl w:ilvl="0" w:tentative="0">
      <w:start w:val="1"/>
      <w:numFmt w:val="chineseCountingThousand"/>
      <w:pStyle w:val="82"/>
      <w:suff w:val="space"/>
      <w:lvlText w:val="%1. "/>
      <w:lvlJc w:val="left"/>
      <w:pPr>
        <w:ind w:left="1179" w:hanging="907"/>
      </w:pPr>
    </w:lvl>
    <w:lvl w:ilvl="1" w:tentative="0">
      <w:start w:val="1"/>
      <w:numFmt w:val="decimal"/>
      <w:pStyle w:val="83"/>
      <w:isLgl/>
      <w:suff w:val="space"/>
      <w:lvlText w:val="%1.%2 "/>
      <w:lvlJc w:val="left"/>
      <w:pPr>
        <w:ind w:left="1362" w:hanging="794"/>
      </w:pPr>
    </w:lvl>
    <w:lvl w:ilvl="2" w:tentative="0">
      <w:start w:val="1"/>
      <w:numFmt w:val="decimal"/>
      <w:pStyle w:val="84"/>
      <w:isLgl/>
      <w:suff w:val="space"/>
      <w:lvlText w:val="%1.%2.%3 "/>
      <w:lvlJc w:val="left"/>
      <w:pPr>
        <w:ind w:left="907" w:hanging="907"/>
      </w:pPr>
    </w:lvl>
    <w:lvl w:ilvl="3" w:tentative="0">
      <w:start w:val="1"/>
      <w:numFmt w:val="decimal"/>
      <w:pStyle w:val="86"/>
      <w:isLgl/>
      <w:suff w:val="space"/>
      <w:lvlText w:val="%1.%2.%3.%4 "/>
      <w:lvlJc w:val="left"/>
      <w:pPr>
        <w:ind w:left="1021" w:hanging="1021"/>
      </w:pPr>
    </w:lvl>
    <w:lvl w:ilvl="4" w:tentative="0">
      <w:start w:val="1"/>
      <w:numFmt w:val="decimal"/>
      <w:pStyle w:val="87"/>
      <w:isLgl/>
      <w:suff w:val="space"/>
      <w:lvlText w:val="%1.%2.%3.%4.%5 "/>
      <w:lvlJc w:val="left"/>
      <w:pPr>
        <w:ind w:left="1134" w:hanging="1134"/>
      </w:pPr>
    </w:lvl>
    <w:lvl w:ilvl="5" w:tentative="0">
      <w:start w:val="1"/>
      <w:numFmt w:val="decimal"/>
      <w:pStyle w:val="88"/>
      <w:isLgl/>
      <w:suff w:val="space"/>
      <w:lvlText w:val="%1.%2.%3.%4.%5.%6 "/>
      <w:lvlJc w:val="left"/>
      <w:pPr>
        <w:ind w:left="1247" w:hanging="1247"/>
      </w:pPr>
    </w:lvl>
    <w:lvl w:ilvl="6" w:tentative="0">
      <w:start w:val="1"/>
      <w:numFmt w:val="decimal"/>
      <w:isLgl/>
      <w:suff w:val="space"/>
      <w:lvlText w:val="图 %1.%7 "/>
      <w:lvlJc w:val="left"/>
      <w:pPr>
        <w:ind w:left="0" w:firstLine="0"/>
      </w:pPr>
    </w:lvl>
    <w:lvl w:ilvl="7" w:tentative="0">
      <w:start w:val="1"/>
      <w:numFmt w:val="decimal"/>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4">
    <w:nsid w:val="00000003"/>
    <w:multiLevelType w:val="multilevel"/>
    <w:tmpl w:val="00000003"/>
    <w:lvl w:ilvl="0" w:tentative="0">
      <w:start w:val="1"/>
      <w:numFmt w:val="decimal"/>
      <w:lvlText w:val="%1."/>
      <w:lvlJc w:val="left"/>
      <w:pPr>
        <w:tabs>
          <w:tab w:val="left" w:pos="312"/>
        </w:tabs>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4"/>
    <w:multiLevelType w:val="singleLevel"/>
    <w:tmpl w:val="00000004"/>
    <w:lvl w:ilvl="0" w:tentative="0">
      <w:start w:val="3"/>
      <w:numFmt w:val="decimal"/>
      <w:lvlText w:val="%1."/>
      <w:lvlJc w:val="left"/>
      <w:pPr>
        <w:tabs>
          <w:tab w:val="left" w:pos="312"/>
        </w:tabs>
      </w:pPr>
    </w:lvl>
  </w:abstractNum>
  <w:abstractNum w:abstractNumId="6">
    <w:nsid w:val="00000005"/>
    <w:multiLevelType w:val="singleLevel"/>
    <w:tmpl w:val="00000005"/>
    <w:lvl w:ilvl="0" w:tentative="0">
      <w:start w:val="1"/>
      <w:numFmt w:val="decimal"/>
      <w:lvlText w:val="%1."/>
      <w:lvlJc w:val="left"/>
      <w:pPr>
        <w:tabs>
          <w:tab w:val="left" w:pos="312"/>
        </w:tabs>
      </w:pPr>
    </w:lvl>
  </w:abstractNum>
  <w:abstractNum w:abstractNumId="7">
    <w:nsid w:val="3EBB3C91"/>
    <w:multiLevelType w:val="multilevel"/>
    <w:tmpl w:val="3EBB3C91"/>
    <w:lvl w:ilvl="0" w:tentative="0">
      <w:start w:val="1"/>
      <w:numFmt w:val="chineseCountingThousand"/>
      <w:pStyle w:val="100"/>
      <w:suff w:val="space"/>
      <w:lvlText w:val="%1. "/>
      <w:lvlJc w:val="left"/>
      <w:pPr>
        <w:ind w:left="1179" w:hanging="907"/>
      </w:pPr>
    </w:lvl>
    <w:lvl w:ilvl="1" w:tentative="0">
      <w:start w:val="1"/>
      <w:numFmt w:val="decimal"/>
      <w:isLgl/>
      <w:suff w:val="space"/>
      <w:lvlText w:val="%1.%2 "/>
      <w:lvlJc w:val="left"/>
      <w:pPr>
        <w:ind w:left="1362" w:hanging="794"/>
      </w:pPr>
    </w:lvl>
    <w:lvl w:ilvl="2" w:tentative="0">
      <w:start w:val="1"/>
      <w:numFmt w:val="decimal"/>
      <w:isLgl/>
      <w:suff w:val="space"/>
      <w:lvlText w:val="%1.%2.%3 "/>
      <w:lvlJc w:val="left"/>
      <w:pPr>
        <w:ind w:left="907" w:hanging="907"/>
      </w:pPr>
    </w:lvl>
    <w:lvl w:ilvl="3" w:tentative="0">
      <w:start w:val="1"/>
      <w:numFmt w:val="decimal"/>
      <w:isLgl/>
      <w:suff w:val="space"/>
      <w:lvlText w:val="%1.%2.%3.%4 "/>
      <w:lvlJc w:val="left"/>
      <w:pPr>
        <w:ind w:left="1021" w:hanging="1021"/>
      </w:pPr>
    </w:lvl>
    <w:lvl w:ilvl="4" w:tentative="0">
      <w:start w:val="1"/>
      <w:numFmt w:val="decimal"/>
      <w:isLgl/>
      <w:suff w:val="space"/>
      <w:lvlText w:val="%1.%2.%3.%4.%5 "/>
      <w:lvlJc w:val="left"/>
      <w:pPr>
        <w:ind w:left="1134" w:hanging="1134"/>
      </w:pPr>
    </w:lvl>
    <w:lvl w:ilvl="5" w:tentative="0">
      <w:start w:val="1"/>
      <w:numFmt w:val="decimal"/>
      <w:isLgl/>
      <w:suff w:val="space"/>
      <w:lvlText w:val="%1.%2.%3.%4.%5.%6 "/>
      <w:lvlJc w:val="left"/>
      <w:pPr>
        <w:ind w:left="1247" w:hanging="1247"/>
      </w:pPr>
    </w:lvl>
    <w:lvl w:ilvl="6" w:tentative="0">
      <w:start w:val="1"/>
      <w:numFmt w:val="decimal"/>
      <w:lvlRestart w:val="1"/>
      <w:isLgl/>
      <w:suff w:val="space"/>
      <w:lvlText w:val="图 %1.%7 "/>
      <w:lvlJc w:val="left"/>
      <w:pPr>
        <w:ind w:left="0" w:firstLine="0"/>
      </w:pPr>
    </w:lvl>
    <w:lvl w:ilvl="7" w:tentative="0">
      <w:start w:val="1"/>
      <w:numFmt w:val="decimal"/>
      <w:lvlRestart w:val="1"/>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8">
    <w:nsid w:val="7A9B6140"/>
    <w:multiLevelType w:val="singleLevel"/>
    <w:tmpl w:val="7A9B6140"/>
    <w:lvl w:ilvl="0" w:tentative="0">
      <w:start w:val="1"/>
      <w:numFmt w:val="decimal"/>
      <w:lvlText w:val="%1."/>
      <w:lvlJc w:val="left"/>
      <w:pPr>
        <w:tabs>
          <w:tab w:val="left" w:pos="312"/>
        </w:tabs>
      </w:pPr>
    </w:lvl>
  </w:abstractNum>
  <w:num w:numId="1">
    <w:abstractNumId w:val="3"/>
  </w:num>
  <w:num w:numId="2">
    <w:abstractNumId w:val="7"/>
  </w:num>
  <w:num w:numId="3">
    <w:abstractNumId w:val="5"/>
  </w:num>
  <w:num w:numId="4">
    <w:abstractNumId w:val="0"/>
  </w:num>
  <w:num w:numId="5">
    <w:abstractNumId w:val="1"/>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Mjk4NWVmYmNhMzg5MjZlNmIyYTM0ZDhkZjQwYWYifQ=="/>
  </w:docVars>
  <w:rsids>
    <w:rsidRoot w:val="00D17E4D"/>
    <w:rsid w:val="000059A4"/>
    <w:rsid w:val="00011159"/>
    <w:rsid w:val="000157A0"/>
    <w:rsid w:val="00021F3F"/>
    <w:rsid w:val="00035DB6"/>
    <w:rsid w:val="00042F9F"/>
    <w:rsid w:val="00053B45"/>
    <w:rsid w:val="00062BBC"/>
    <w:rsid w:val="00076E53"/>
    <w:rsid w:val="00084ACE"/>
    <w:rsid w:val="000B02D0"/>
    <w:rsid w:val="000B62A1"/>
    <w:rsid w:val="000F2F54"/>
    <w:rsid w:val="001011B4"/>
    <w:rsid w:val="00104C89"/>
    <w:rsid w:val="001172B0"/>
    <w:rsid w:val="00134331"/>
    <w:rsid w:val="00135D23"/>
    <w:rsid w:val="00147FB7"/>
    <w:rsid w:val="0015191E"/>
    <w:rsid w:val="0015451D"/>
    <w:rsid w:val="00157435"/>
    <w:rsid w:val="00157D62"/>
    <w:rsid w:val="001616D8"/>
    <w:rsid w:val="0016540F"/>
    <w:rsid w:val="00176A78"/>
    <w:rsid w:val="001A31E6"/>
    <w:rsid w:val="001A4182"/>
    <w:rsid w:val="001B396A"/>
    <w:rsid w:val="001C4D70"/>
    <w:rsid w:val="001C733E"/>
    <w:rsid w:val="001E4B66"/>
    <w:rsid w:val="001E7509"/>
    <w:rsid w:val="001F509A"/>
    <w:rsid w:val="00214F14"/>
    <w:rsid w:val="00232A2B"/>
    <w:rsid w:val="00234C56"/>
    <w:rsid w:val="00237FFB"/>
    <w:rsid w:val="00240926"/>
    <w:rsid w:val="00252FE7"/>
    <w:rsid w:val="0025625E"/>
    <w:rsid w:val="00273789"/>
    <w:rsid w:val="00280EE4"/>
    <w:rsid w:val="002923B4"/>
    <w:rsid w:val="002A487C"/>
    <w:rsid w:val="002C42A0"/>
    <w:rsid w:val="002E0E31"/>
    <w:rsid w:val="002E0FD6"/>
    <w:rsid w:val="002E10C9"/>
    <w:rsid w:val="002E41D9"/>
    <w:rsid w:val="002F6E78"/>
    <w:rsid w:val="00301BF4"/>
    <w:rsid w:val="00302A55"/>
    <w:rsid w:val="00304000"/>
    <w:rsid w:val="00310F98"/>
    <w:rsid w:val="003124F0"/>
    <w:rsid w:val="003173B7"/>
    <w:rsid w:val="00333A85"/>
    <w:rsid w:val="0034529B"/>
    <w:rsid w:val="0034600E"/>
    <w:rsid w:val="003501DB"/>
    <w:rsid w:val="00356572"/>
    <w:rsid w:val="00360950"/>
    <w:rsid w:val="00366837"/>
    <w:rsid w:val="00382235"/>
    <w:rsid w:val="003C3687"/>
    <w:rsid w:val="003C53FE"/>
    <w:rsid w:val="003D452F"/>
    <w:rsid w:val="003D4E0E"/>
    <w:rsid w:val="00402B8A"/>
    <w:rsid w:val="004056D2"/>
    <w:rsid w:val="00406A38"/>
    <w:rsid w:val="00417FE5"/>
    <w:rsid w:val="00426D1B"/>
    <w:rsid w:val="00427945"/>
    <w:rsid w:val="004310E0"/>
    <w:rsid w:val="004339C6"/>
    <w:rsid w:val="00436876"/>
    <w:rsid w:val="00442AA0"/>
    <w:rsid w:val="00446197"/>
    <w:rsid w:val="00455720"/>
    <w:rsid w:val="004827B3"/>
    <w:rsid w:val="00485956"/>
    <w:rsid w:val="0049069A"/>
    <w:rsid w:val="00491128"/>
    <w:rsid w:val="0049281D"/>
    <w:rsid w:val="004A13B9"/>
    <w:rsid w:val="004B4B62"/>
    <w:rsid w:val="004C094D"/>
    <w:rsid w:val="004C7DCF"/>
    <w:rsid w:val="004D7236"/>
    <w:rsid w:val="004E158E"/>
    <w:rsid w:val="004E3200"/>
    <w:rsid w:val="004F1914"/>
    <w:rsid w:val="00502419"/>
    <w:rsid w:val="005073DA"/>
    <w:rsid w:val="00510775"/>
    <w:rsid w:val="005171E2"/>
    <w:rsid w:val="00533438"/>
    <w:rsid w:val="00534468"/>
    <w:rsid w:val="00554450"/>
    <w:rsid w:val="00556153"/>
    <w:rsid w:val="0055687A"/>
    <w:rsid w:val="00557E25"/>
    <w:rsid w:val="005634AA"/>
    <w:rsid w:val="00566EBD"/>
    <w:rsid w:val="00572713"/>
    <w:rsid w:val="00575C59"/>
    <w:rsid w:val="00585E9F"/>
    <w:rsid w:val="00591CFA"/>
    <w:rsid w:val="00594E6C"/>
    <w:rsid w:val="00597461"/>
    <w:rsid w:val="005A1B6C"/>
    <w:rsid w:val="005B726F"/>
    <w:rsid w:val="005C5FAD"/>
    <w:rsid w:val="005E40D9"/>
    <w:rsid w:val="005E648F"/>
    <w:rsid w:val="005E7102"/>
    <w:rsid w:val="005F4F14"/>
    <w:rsid w:val="006068D5"/>
    <w:rsid w:val="00606B84"/>
    <w:rsid w:val="00613AA6"/>
    <w:rsid w:val="00615C5B"/>
    <w:rsid w:val="00621030"/>
    <w:rsid w:val="00626B39"/>
    <w:rsid w:val="00627127"/>
    <w:rsid w:val="00632D5C"/>
    <w:rsid w:val="00632FD1"/>
    <w:rsid w:val="00652985"/>
    <w:rsid w:val="006573A5"/>
    <w:rsid w:val="0066276C"/>
    <w:rsid w:val="0066393F"/>
    <w:rsid w:val="006739BB"/>
    <w:rsid w:val="006858A0"/>
    <w:rsid w:val="006870EA"/>
    <w:rsid w:val="006A0F59"/>
    <w:rsid w:val="006A1E3B"/>
    <w:rsid w:val="006B164C"/>
    <w:rsid w:val="006C3675"/>
    <w:rsid w:val="006C4152"/>
    <w:rsid w:val="006D5934"/>
    <w:rsid w:val="006F630B"/>
    <w:rsid w:val="007030CE"/>
    <w:rsid w:val="007056C9"/>
    <w:rsid w:val="00707E38"/>
    <w:rsid w:val="00715C45"/>
    <w:rsid w:val="007161F4"/>
    <w:rsid w:val="00722EC2"/>
    <w:rsid w:val="0073315C"/>
    <w:rsid w:val="007852C3"/>
    <w:rsid w:val="007966CF"/>
    <w:rsid w:val="007973D0"/>
    <w:rsid w:val="007A4AFA"/>
    <w:rsid w:val="007A4F6E"/>
    <w:rsid w:val="007B1A31"/>
    <w:rsid w:val="007B6A50"/>
    <w:rsid w:val="007C13AE"/>
    <w:rsid w:val="007C4FA7"/>
    <w:rsid w:val="007C74C2"/>
    <w:rsid w:val="007D5114"/>
    <w:rsid w:val="007E1E1B"/>
    <w:rsid w:val="007F1057"/>
    <w:rsid w:val="007F7787"/>
    <w:rsid w:val="00804E9F"/>
    <w:rsid w:val="00806F53"/>
    <w:rsid w:val="008111E6"/>
    <w:rsid w:val="00824DFA"/>
    <w:rsid w:val="00834044"/>
    <w:rsid w:val="008364CE"/>
    <w:rsid w:val="0084607D"/>
    <w:rsid w:val="008478AB"/>
    <w:rsid w:val="00847C06"/>
    <w:rsid w:val="00847D24"/>
    <w:rsid w:val="008500E3"/>
    <w:rsid w:val="008520EE"/>
    <w:rsid w:val="00863908"/>
    <w:rsid w:val="00875864"/>
    <w:rsid w:val="00884D18"/>
    <w:rsid w:val="00886980"/>
    <w:rsid w:val="00890BBC"/>
    <w:rsid w:val="008944CC"/>
    <w:rsid w:val="0089566D"/>
    <w:rsid w:val="008A7C60"/>
    <w:rsid w:val="008B2441"/>
    <w:rsid w:val="008B471C"/>
    <w:rsid w:val="008C07B4"/>
    <w:rsid w:val="008E779C"/>
    <w:rsid w:val="00905FC2"/>
    <w:rsid w:val="00906FCC"/>
    <w:rsid w:val="00912A64"/>
    <w:rsid w:val="00917A7C"/>
    <w:rsid w:val="00923A87"/>
    <w:rsid w:val="009266C8"/>
    <w:rsid w:val="00940931"/>
    <w:rsid w:val="009437B6"/>
    <w:rsid w:val="00950F71"/>
    <w:rsid w:val="0096088C"/>
    <w:rsid w:val="00963BD9"/>
    <w:rsid w:val="0097690B"/>
    <w:rsid w:val="00980C7F"/>
    <w:rsid w:val="00981C5F"/>
    <w:rsid w:val="00994412"/>
    <w:rsid w:val="009A5B24"/>
    <w:rsid w:val="009B2CAB"/>
    <w:rsid w:val="009B6498"/>
    <w:rsid w:val="009C0D0B"/>
    <w:rsid w:val="009C3C43"/>
    <w:rsid w:val="009C4153"/>
    <w:rsid w:val="009C64C8"/>
    <w:rsid w:val="009F67F9"/>
    <w:rsid w:val="00A20251"/>
    <w:rsid w:val="00A731EE"/>
    <w:rsid w:val="00AA14F5"/>
    <w:rsid w:val="00AA3061"/>
    <w:rsid w:val="00AA40A4"/>
    <w:rsid w:val="00AA50B6"/>
    <w:rsid w:val="00AB29F3"/>
    <w:rsid w:val="00AC4213"/>
    <w:rsid w:val="00AD0C2A"/>
    <w:rsid w:val="00AE0FA9"/>
    <w:rsid w:val="00B01C32"/>
    <w:rsid w:val="00B13BEC"/>
    <w:rsid w:val="00B312E6"/>
    <w:rsid w:val="00B4082F"/>
    <w:rsid w:val="00B5443F"/>
    <w:rsid w:val="00B57045"/>
    <w:rsid w:val="00B6258F"/>
    <w:rsid w:val="00B72185"/>
    <w:rsid w:val="00B72C18"/>
    <w:rsid w:val="00B77E47"/>
    <w:rsid w:val="00B96472"/>
    <w:rsid w:val="00B969B9"/>
    <w:rsid w:val="00BA6E13"/>
    <w:rsid w:val="00BD2BE4"/>
    <w:rsid w:val="00BD2DB4"/>
    <w:rsid w:val="00BD78E1"/>
    <w:rsid w:val="00BE03BF"/>
    <w:rsid w:val="00BE58FE"/>
    <w:rsid w:val="00BF0140"/>
    <w:rsid w:val="00BF648C"/>
    <w:rsid w:val="00C064EF"/>
    <w:rsid w:val="00C20DED"/>
    <w:rsid w:val="00C22071"/>
    <w:rsid w:val="00C30258"/>
    <w:rsid w:val="00C35BCE"/>
    <w:rsid w:val="00C517FD"/>
    <w:rsid w:val="00C6215C"/>
    <w:rsid w:val="00C635A7"/>
    <w:rsid w:val="00C87BD2"/>
    <w:rsid w:val="00CB3C62"/>
    <w:rsid w:val="00CD05FD"/>
    <w:rsid w:val="00CD3E81"/>
    <w:rsid w:val="00CD794E"/>
    <w:rsid w:val="00CF529E"/>
    <w:rsid w:val="00D011FF"/>
    <w:rsid w:val="00D17E4D"/>
    <w:rsid w:val="00D30FE6"/>
    <w:rsid w:val="00D40840"/>
    <w:rsid w:val="00D50677"/>
    <w:rsid w:val="00D54994"/>
    <w:rsid w:val="00D7477C"/>
    <w:rsid w:val="00D87E66"/>
    <w:rsid w:val="00DA53EC"/>
    <w:rsid w:val="00DB4E33"/>
    <w:rsid w:val="00DB7912"/>
    <w:rsid w:val="00DC1580"/>
    <w:rsid w:val="00E04B0A"/>
    <w:rsid w:val="00E05F6E"/>
    <w:rsid w:val="00E07C14"/>
    <w:rsid w:val="00E230F4"/>
    <w:rsid w:val="00E45D56"/>
    <w:rsid w:val="00E6462D"/>
    <w:rsid w:val="00E649F3"/>
    <w:rsid w:val="00E8444B"/>
    <w:rsid w:val="00E96894"/>
    <w:rsid w:val="00EA5F5D"/>
    <w:rsid w:val="00EB57C0"/>
    <w:rsid w:val="00EB6236"/>
    <w:rsid w:val="00EC170C"/>
    <w:rsid w:val="00EC3D63"/>
    <w:rsid w:val="00EE0949"/>
    <w:rsid w:val="00F038E5"/>
    <w:rsid w:val="00F04F38"/>
    <w:rsid w:val="00F411E9"/>
    <w:rsid w:val="00F44EAB"/>
    <w:rsid w:val="00F51E56"/>
    <w:rsid w:val="00F5590D"/>
    <w:rsid w:val="00F61C31"/>
    <w:rsid w:val="00F66378"/>
    <w:rsid w:val="00F801F4"/>
    <w:rsid w:val="00FA40C7"/>
    <w:rsid w:val="00FA6275"/>
    <w:rsid w:val="00FB5667"/>
    <w:rsid w:val="00FC1E3E"/>
    <w:rsid w:val="00FC62E3"/>
    <w:rsid w:val="00FE569B"/>
    <w:rsid w:val="00FF5B91"/>
    <w:rsid w:val="00FF6A4F"/>
    <w:rsid w:val="00FF7A23"/>
    <w:rsid w:val="012C74FF"/>
    <w:rsid w:val="01695C5A"/>
    <w:rsid w:val="01EA5051"/>
    <w:rsid w:val="02417606"/>
    <w:rsid w:val="0264611C"/>
    <w:rsid w:val="029F53A6"/>
    <w:rsid w:val="02A15615"/>
    <w:rsid w:val="031605A5"/>
    <w:rsid w:val="032908F4"/>
    <w:rsid w:val="0346189F"/>
    <w:rsid w:val="03587630"/>
    <w:rsid w:val="036E32FA"/>
    <w:rsid w:val="04131BA8"/>
    <w:rsid w:val="049A7BD3"/>
    <w:rsid w:val="05695D98"/>
    <w:rsid w:val="062E4A77"/>
    <w:rsid w:val="0654330D"/>
    <w:rsid w:val="06640499"/>
    <w:rsid w:val="06AE6DD2"/>
    <w:rsid w:val="075C714F"/>
    <w:rsid w:val="07825F0E"/>
    <w:rsid w:val="07A330EF"/>
    <w:rsid w:val="085B1D6F"/>
    <w:rsid w:val="08CC04B1"/>
    <w:rsid w:val="08DA6189"/>
    <w:rsid w:val="090A22D0"/>
    <w:rsid w:val="099B2368"/>
    <w:rsid w:val="0ACD72E3"/>
    <w:rsid w:val="0ADE7138"/>
    <w:rsid w:val="0AE162B1"/>
    <w:rsid w:val="0B120B26"/>
    <w:rsid w:val="0B74712A"/>
    <w:rsid w:val="0B754EF6"/>
    <w:rsid w:val="0CB06C4E"/>
    <w:rsid w:val="0CB16402"/>
    <w:rsid w:val="0DBD4932"/>
    <w:rsid w:val="0DF2282E"/>
    <w:rsid w:val="0E20076C"/>
    <w:rsid w:val="0E2C213E"/>
    <w:rsid w:val="0E2E3EEC"/>
    <w:rsid w:val="0E3E1F17"/>
    <w:rsid w:val="0E6179B4"/>
    <w:rsid w:val="0F101810"/>
    <w:rsid w:val="0F876CAA"/>
    <w:rsid w:val="0FC24482"/>
    <w:rsid w:val="1002331F"/>
    <w:rsid w:val="10817E99"/>
    <w:rsid w:val="1090605D"/>
    <w:rsid w:val="10D85E5D"/>
    <w:rsid w:val="10FF162B"/>
    <w:rsid w:val="113F0AC9"/>
    <w:rsid w:val="115640DB"/>
    <w:rsid w:val="119B4F8B"/>
    <w:rsid w:val="11DA1F57"/>
    <w:rsid w:val="11F37F62"/>
    <w:rsid w:val="1224715D"/>
    <w:rsid w:val="12FE5795"/>
    <w:rsid w:val="133C3FF8"/>
    <w:rsid w:val="134A0B53"/>
    <w:rsid w:val="136D0AFA"/>
    <w:rsid w:val="13776361"/>
    <w:rsid w:val="14573510"/>
    <w:rsid w:val="14D520BF"/>
    <w:rsid w:val="153D68B5"/>
    <w:rsid w:val="15C96B44"/>
    <w:rsid w:val="15D7016F"/>
    <w:rsid w:val="16893F4C"/>
    <w:rsid w:val="16E830BB"/>
    <w:rsid w:val="16F1160C"/>
    <w:rsid w:val="170665BD"/>
    <w:rsid w:val="17384607"/>
    <w:rsid w:val="1778450C"/>
    <w:rsid w:val="17C00B7E"/>
    <w:rsid w:val="17D62AA1"/>
    <w:rsid w:val="18215DD1"/>
    <w:rsid w:val="1839615F"/>
    <w:rsid w:val="189D47B5"/>
    <w:rsid w:val="18A9070A"/>
    <w:rsid w:val="18C63235"/>
    <w:rsid w:val="190B0C48"/>
    <w:rsid w:val="192C2F88"/>
    <w:rsid w:val="193C265E"/>
    <w:rsid w:val="19745C69"/>
    <w:rsid w:val="19E41BC5"/>
    <w:rsid w:val="1A192F67"/>
    <w:rsid w:val="1A3D12D5"/>
    <w:rsid w:val="1A561332"/>
    <w:rsid w:val="1A6C5B5B"/>
    <w:rsid w:val="1A704A61"/>
    <w:rsid w:val="1B0A18B9"/>
    <w:rsid w:val="1B0F4742"/>
    <w:rsid w:val="1B2508D5"/>
    <w:rsid w:val="1BAB6B0C"/>
    <w:rsid w:val="1BB6133F"/>
    <w:rsid w:val="1C98564D"/>
    <w:rsid w:val="1CC7132A"/>
    <w:rsid w:val="1D207125"/>
    <w:rsid w:val="1D303373"/>
    <w:rsid w:val="1D3249F5"/>
    <w:rsid w:val="1DC2204A"/>
    <w:rsid w:val="1E1B36DB"/>
    <w:rsid w:val="1E2477C2"/>
    <w:rsid w:val="1E661FAD"/>
    <w:rsid w:val="1E766B63"/>
    <w:rsid w:val="1E7F6837"/>
    <w:rsid w:val="1F3A65D6"/>
    <w:rsid w:val="1FF117D2"/>
    <w:rsid w:val="20351931"/>
    <w:rsid w:val="2043583E"/>
    <w:rsid w:val="20A66E00"/>
    <w:rsid w:val="20A93B08"/>
    <w:rsid w:val="20CF69FF"/>
    <w:rsid w:val="215575AF"/>
    <w:rsid w:val="21D0685C"/>
    <w:rsid w:val="21FE64EE"/>
    <w:rsid w:val="222B66B5"/>
    <w:rsid w:val="222F040E"/>
    <w:rsid w:val="223B2725"/>
    <w:rsid w:val="22587809"/>
    <w:rsid w:val="2277734E"/>
    <w:rsid w:val="228D5F39"/>
    <w:rsid w:val="22C759AB"/>
    <w:rsid w:val="22CC58EC"/>
    <w:rsid w:val="22ED4CA6"/>
    <w:rsid w:val="231837DC"/>
    <w:rsid w:val="23416C12"/>
    <w:rsid w:val="236C2E3A"/>
    <w:rsid w:val="239105B4"/>
    <w:rsid w:val="23B4085A"/>
    <w:rsid w:val="24D02351"/>
    <w:rsid w:val="2580476C"/>
    <w:rsid w:val="258C1663"/>
    <w:rsid w:val="25A61BFE"/>
    <w:rsid w:val="25FF773D"/>
    <w:rsid w:val="26052FFB"/>
    <w:rsid w:val="26197BED"/>
    <w:rsid w:val="263D67D5"/>
    <w:rsid w:val="26972C36"/>
    <w:rsid w:val="278506FB"/>
    <w:rsid w:val="27B67DCF"/>
    <w:rsid w:val="27B9546F"/>
    <w:rsid w:val="27ED550F"/>
    <w:rsid w:val="27F51441"/>
    <w:rsid w:val="28153891"/>
    <w:rsid w:val="28DC5E47"/>
    <w:rsid w:val="29233D8C"/>
    <w:rsid w:val="29354CE1"/>
    <w:rsid w:val="29AB5C6C"/>
    <w:rsid w:val="2A324DD9"/>
    <w:rsid w:val="2AED63FF"/>
    <w:rsid w:val="2B2F6CA2"/>
    <w:rsid w:val="2B5B5D7C"/>
    <w:rsid w:val="2B6C1A1A"/>
    <w:rsid w:val="2BC37160"/>
    <w:rsid w:val="2C896895"/>
    <w:rsid w:val="2C8C26AF"/>
    <w:rsid w:val="2CC47634"/>
    <w:rsid w:val="2D3A16A4"/>
    <w:rsid w:val="2D4A7B39"/>
    <w:rsid w:val="2D8A43D9"/>
    <w:rsid w:val="2D935D5E"/>
    <w:rsid w:val="2DA46DB0"/>
    <w:rsid w:val="2E1B4B77"/>
    <w:rsid w:val="2F2D3959"/>
    <w:rsid w:val="2F3E011F"/>
    <w:rsid w:val="30041AF2"/>
    <w:rsid w:val="306C1C3E"/>
    <w:rsid w:val="30C43730"/>
    <w:rsid w:val="310F5891"/>
    <w:rsid w:val="313343F4"/>
    <w:rsid w:val="31441B75"/>
    <w:rsid w:val="317727D0"/>
    <w:rsid w:val="31817421"/>
    <w:rsid w:val="31D75850"/>
    <w:rsid w:val="32432DA9"/>
    <w:rsid w:val="32F02868"/>
    <w:rsid w:val="33003238"/>
    <w:rsid w:val="33370B5F"/>
    <w:rsid w:val="33705E1F"/>
    <w:rsid w:val="33A819B6"/>
    <w:rsid w:val="33B977C6"/>
    <w:rsid w:val="34781430"/>
    <w:rsid w:val="34D76FBE"/>
    <w:rsid w:val="34F8431E"/>
    <w:rsid w:val="3529097C"/>
    <w:rsid w:val="35426B9B"/>
    <w:rsid w:val="35477D7F"/>
    <w:rsid w:val="354F5B00"/>
    <w:rsid w:val="3575596F"/>
    <w:rsid w:val="35B069A7"/>
    <w:rsid w:val="35ED589A"/>
    <w:rsid w:val="35FFD3E8"/>
    <w:rsid w:val="361A178B"/>
    <w:rsid w:val="369FF079"/>
    <w:rsid w:val="36A96F67"/>
    <w:rsid w:val="36AC013E"/>
    <w:rsid w:val="373F5BE4"/>
    <w:rsid w:val="374D654E"/>
    <w:rsid w:val="37774B8E"/>
    <w:rsid w:val="37C36E10"/>
    <w:rsid w:val="37E53299"/>
    <w:rsid w:val="381D59F7"/>
    <w:rsid w:val="383C2774"/>
    <w:rsid w:val="38792D0F"/>
    <w:rsid w:val="38BF191C"/>
    <w:rsid w:val="38F0675A"/>
    <w:rsid w:val="390A7E99"/>
    <w:rsid w:val="391F1931"/>
    <w:rsid w:val="392A4AF1"/>
    <w:rsid w:val="39316051"/>
    <w:rsid w:val="397D3044"/>
    <w:rsid w:val="3A0A0D7C"/>
    <w:rsid w:val="3A276198"/>
    <w:rsid w:val="3A8C79E3"/>
    <w:rsid w:val="3AFC4BC0"/>
    <w:rsid w:val="3B04079B"/>
    <w:rsid w:val="3B14DD25"/>
    <w:rsid w:val="3B2935D2"/>
    <w:rsid w:val="3C322BEA"/>
    <w:rsid w:val="3C922FF7"/>
    <w:rsid w:val="3C940DD1"/>
    <w:rsid w:val="3CE82ECA"/>
    <w:rsid w:val="3D017000"/>
    <w:rsid w:val="3D0D4F42"/>
    <w:rsid w:val="3D510A70"/>
    <w:rsid w:val="3D564C7B"/>
    <w:rsid w:val="3D567E34"/>
    <w:rsid w:val="3D7529B0"/>
    <w:rsid w:val="3DA1745A"/>
    <w:rsid w:val="3DD015AE"/>
    <w:rsid w:val="3DD31B91"/>
    <w:rsid w:val="3E007984"/>
    <w:rsid w:val="3ED54C8A"/>
    <w:rsid w:val="3F762A0F"/>
    <w:rsid w:val="3FF4732A"/>
    <w:rsid w:val="3FFFCB76"/>
    <w:rsid w:val="4012405C"/>
    <w:rsid w:val="409F5F96"/>
    <w:rsid w:val="410B7187"/>
    <w:rsid w:val="41175EEF"/>
    <w:rsid w:val="41391777"/>
    <w:rsid w:val="413C1F28"/>
    <w:rsid w:val="41E15A93"/>
    <w:rsid w:val="430A16DB"/>
    <w:rsid w:val="43C51A5D"/>
    <w:rsid w:val="43D42754"/>
    <w:rsid w:val="443C6BC0"/>
    <w:rsid w:val="4490613A"/>
    <w:rsid w:val="44C02694"/>
    <w:rsid w:val="44D81DAB"/>
    <w:rsid w:val="45034D45"/>
    <w:rsid w:val="4550160D"/>
    <w:rsid w:val="458F2F5C"/>
    <w:rsid w:val="45A831F7"/>
    <w:rsid w:val="45C675F1"/>
    <w:rsid w:val="45EE43E6"/>
    <w:rsid w:val="460F3276"/>
    <w:rsid w:val="4646138E"/>
    <w:rsid w:val="467F3637"/>
    <w:rsid w:val="46C62F65"/>
    <w:rsid w:val="47B15601"/>
    <w:rsid w:val="47C95850"/>
    <w:rsid w:val="47FD7C5D"/>
    <w:rsid w:val="48170989"/>
    <w:rsid w:val="48235060"/>
    <w:rsid w:val="483F42E6"/>
    <w:rsid w:val="484E277B"/>
    <w:rsid w:val="48534FEC"/>
    <w:rsid w:val="48577D5B"/>
    <w:rsid w:val="48922EE5"/>
    <w:rsid w:val="48B44D68"/>
    <w:rsid w:val="48B65D2E"/>
    <w:rsid w:val="4911760F"/>
    <w:rsid w:val="492D1D60"/>
    <w:rsid w:val="49872699"/>
    <w:rsid w:val="49AF444A"/>
    <w:rsid w:val="4A056E6A"/>
    <w:rsid w:val="4AC850E1"/>
    <w:rsid w:val="4B1B0B6E"/>
    <w:rsid w:val="4B942086"/>
    <w:rsid w:val="4BBA406B"/>
    <w:rsid w:val="4BCB7C3F"/>
    <w:rsid w:val="4C68043A"/>
    <w:rsid w:val="4C9C5D5E"/>
    <w:rsid w:val="4DC87745"/>
    <w:rsid w:val="4E332E37"/>
    <w:rsid w:val="4E6A373F"/>
    <w:rsid w:val="4ECE0E1B"/>
    <w:rsid w:val="4F3B50DC"/>
    <w:rsid w:val="4FA80E84"/>
    <w:rsid w:val="4FF24DF2"/>
    <w:rsid w:val="50874A7C"/>
    <w:rsid w:val="508800CA"/>
    <w:rsid w:val="50B639AC"/>
    <w:rsid w:val="50F61095"/>
    <w:rsid w:val="51FE2459"/>
    <w:rsid w:val="52232583"/>
    <w:rsid w:val="522F264F"/>
    <w:rsid w:val="523F1387"/>
    <w:rsid w:val="52636E23"/>
    <w:rsid w:val="52D774F2"/>
    <w:rsid w:val="535350EA"/>
    <w:rsid w:val="53B316E5"/>
    <w:rsid w:val="53E14128"/>
    <w:rsid w:val="53EA7771"/>
    <w:rsid w:val="54630EBF"/>
    <w:rsid w:val="54650160"/>
    <w:rsid w:val="548265AD"/>
    <w:rsid w:val="54D940C9"/>
    <w:rsid w:val="551C2433"/>
    <w:rsid w:val="55964B44"/>
    <w:rsid w:val="56073F6A"/>
    <w:rsid w:val="56693205"/>
    <w:rsid w:val="56D41610"/>
    <w:rsid w:val="56F9318A"/>
    <w:rsid w:val="57517B92"/>
    <w:rsid w:val="576C33A5"/>
    <w:rsid w:val="58562F86"/>
    <w:rsid w:val="5866597E"/>
    <w:rsid w:val="58E654C7"/>
    <w:rsid w:val="599A1430"/>
    <w:rsid w:val="59DA5D72"/>
    <w:rsid w:val="5B647768"/>
    <w:rsid w:val="5B9E120E"/>
    <w:rsid w:val="5BA109BC"/>
    <w:rsid w:val="5BE7117C"/>
    <w:rsid w:val="5C000168"/>
    <w:rsid w:val="5C180C7F"/>
    <w:rsid w:val="5C2E2841"/>
    <w:rsid w:val="5C700ABB"/>
    <w:rsid w:val="5C8F4399"/>
    <w:rsid w:val="5CCA3EEF"/>
    <w:rsid w:val="5D32630C"/>
    <w:rsid w:val="5D5C2DED"/>
    <w:rsid w:val="5EB44D5F"/>
    <w:rsid w:val="5EEF35D7"/>
    <w:rsid w:val="5F0E6369"/>
    <w:rsid w:val="5F7EEC0A"/>
    <w:rsid w:val="5F9E50E6"/>
    <w:rsid w:val="5FB73A8B"/>
    <w:rsid w:val="5FBA587D"/>
    <w:rsid w:val="60332E9C"/>
    <w:rsid w:val="608C7E04"/>
    <w:rsid w:val="609E09A0"/>
    <w:rsid w:val="60D24480"/>
    <w:rsid w:val="60E76189"/>
    <w:rsid w:val="610F5818"/>
    <w:rsid w:val="613C786D"/>
    <w:rsid w:val="61503E28"/>
    <w:rsid w:val="617939F4"/>
    <w:rsid w:val="61992383"/>
    <w:rsid w:val="62363C23"/>
    <w:rsid w:val="62734E40"/>
    <w:rsid w:val="62A52B40"/>
    <w:rsid w:val="62B03DB0"/>
    <w:rsid w:val="62C03E1E"/>
    <w:rsid w:val="62D73E37"/>
    <w:rsid w:val="62F87114"/>
    <w:rsid w:val="633C786A"/>
    <w:rsid w:val="6359415A"/>
    <w:rsid w:val="63844E4C"/>
    <w:rsid w:val="643F5A4B"/>
    <w:rsid w:val="64406728"/>
    <w:rsid w:val="644B7E9A"/>
    <w:rsid w:val="648B4026"/>
    <w:rsid w:val="64CC303B"/>
    <w:rsid w:val="64D67364"/>
    <w:rsid w:val="65247DF1"/>
    <w:rsid w:val="65402FF4"/>
    <w:rsid w:val="669072D8"/>
    <w:rsid w:val="66AF3A48"/>
    <w:rsid w:val="66EA6A5C"/>
    <w:rsid w:val="67136ED0"/>
    <w:rsid w:val="674E4A5E"/>
    <w:rsid w:val="67746F85"/>
    <w:rsid w:val="67947E23"/>
    <w:rsid w:val="67E908AD"/>
    <w:rsid w:val="68103D7E"/>
    <w:rsid w:val="68106CAE"/>
    <w:rsid w:val="68515FB2"/>
    <w:rsid w:val="68955405"/>
    <w:rsid w:val="68B7181F"/>
    <w:rsid w:val="69042303"/>
    <w:rsid w:val="699B6A4B"/>
    <w:rsid w:val="69B00DA5"/>
    <w:rsid w:val="69C77DFE"/>
    <w:rsid w:val="69CB37D4"/>
    <w:rsid w:val="6A2C4F62"/>
    <w:rsid w:val="6A407061"/>
    <w:rsid w:val="6A7A2B04"/>
    <w:rsid w:val="6ACE4BFE"/>
    <w:rsid w:val="6ADB15C1"/>
    <w:rsid w:val="6B3709F5"/>
    <w:rsid w:val="6B4D72A6"/>
    <w:rsid w:val="6B6D7A82"/>
    <w:rsid w:val="6BD46218"/>
    <w:rsid w:val="6C5940BA"/>
    <w:rsid w:val="6C7C7008"/>
    <w:rsid w:val="6CC83AE0"/>
    <w:rsid w:val="6CDE126B"/>
    <w:rsid w:val="6E0A419F"/>
    <w:rsid w:val="6E55586F"/>
    <w:rsid w:val="6EE42C42"/>
    <w:rsid w:val="6F6C53DE"/>
    <w:rsid w:val="6F777D7A"/>
    <w:rsid w:val="6FBA7A41"/>
    <w:rsid w:val="6FDD600F"/>
    <w:rsid w:val="6FF84BF7"/>
    <w:rsid w:val="70157D3D"/>
    <w:rsid w:val="706C3851"/>
    <w:rsid w:val="70831F71"/>
    <w:rsid w:val="70EE2D4A"/>
    <w:rsid w:val="712A7399"/>
    <w:rsid w:val="73490637"/>
    <w:rsid w:val="73507137"/>
    <w:rsid w:val="737A1DC7"/>
    <w:rsid w:val="74841862"/>
    <w:rsid w:val="748B42AD"/>
    <w:rsid w:val="74D07320"/>
    <w:rsid w:val="74EE0377"/>
    <w:rsid w:val="750C3FCB"/>
    <w:rsid w:val="75A938A5"/>
    <w:rsid w:val="760805F4"/>
    <w:rsid w:val="76790114"/>
    <w:rsid w:val="769E013D"/>
    <w:rsid w:val="76B178AE"/>
    <w:rsid w:val="77146957"/>
    <w:rsid w:val="777F0DB7"/>
    <w:rsid w:val="778C10EB"/>
    <w:rsid w:val="77F77772"/>
    <w:rsid w:val="78061E7B"/>
    <w:rsid w:val="782E5EC7"/>
    <w:rsid w:val="785B5D23"/>
    <w:rsid w:val="78A815FE"/>
    <w:rsid w:val="78E52892"/>
    <w:rsid w:val="79A16740"/>
    <w:rsid w:val="7A0F1171"/>
    <w:rsid w:val="7A5F3C76"/>
    <w:rsid w:val="7AA1E5A1"/>
    <w:rsid w:val="7AE565A4"/>
    <w:rsid w:val="7B1F5CAB"/>
    <w:rsid w:val="7B4C229B"/>
    <w:rsid w:val="7B5F93FC"/>
    <w:rsid w:val="7B905F16"/>
    <w:rsid w:val="7BBC3169"/>
    <w:rsid w:val="7BFC0690"/>
    <w:rsid w:val="7BFE1317"/>
    <w:rsid w:val="7C084414"/>
    <w:rsid w:val="7C3005B5"/>
    <w:rsid w:val="7C8D2C1A"/>
    <w:rsid w:val="7CFB03C1"/>
    <w:rsid w:val="7D221505"/>
    <w:rsid w:val="7D247ECA"/>
    <w:rsid w:val="7D424115"/>
    <w:rsid w:val="7D754069"/>
    <w:rsid w:val="7DD56578"/>
    <w:rsid w:val="7DE245E8"/>
    <w:rsid w:val="7DEA2FEE"/>
    <w:rsid w:val="7E2412AD"/>
    <w:rsid w:val="7EDA7510"/>
    <w:rsid w:val="7FD33494"/>
    <w:rsid w:val="7FF01447"/>
    <w:rsid w:val="D9E7D366"/>
    <w:rsid w:val="DDBFF338"/>
    <w:rsid w:val="E8B5CCBE"/>
    <w:rsid w:val="EEBF8930"/>
    <w:rsid w:val="F3D19FAD"/>
    <w:rsid w:val="F75B92BE"/>
    <w:rsid w:val="FFFFC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99"/>
    <w:pPr>
      <w:keepNext/>
      <w:keepLines/>
      <w:spacing w:before="260" w:after="260" w:line="412" w:lineRule="auto"/>
      <w:outlineLvl w:val="1"/>
    </w:pPr>
    <w:rPr>
      <w:rFonts w:ascii="Arial" w:hAnsi="Arial" w:cs="Times New Roman"/>
      <w:b/>
      <w:sz w:val="32"/>
      <w:szCs w:val="28"/>
    </w:rPr>
  </w:style>
  <w:style w:type="paragraph" w:styleId="7">
    <w:name w:val="heading 3"/>
    <w:basedOn w:val="1"/>
    <w:next w:val="1"/>
    <w:link w:val="42"/>
    <w:qFormat/>
    <w:uiPriority w:val="9"/>
    <w:pPr>
      <w:keepNext/>
      <w:keepLines/>
      <w:spacing w:before="260" w:after="260" w:line="416" w:lineRule="auto"/>
      <w:outlineLvl w:val="2"/>
    </w:pPr>
    <w:rPr>
      <w:b/>
      <w:bCs/>
      <w:sz w:val="32"/>
      <w:szCs w:val="32"/>
    </w:rPr>
  </w:style>
  <w:style w:type="paragraph" w:styleId="8">
    <w:name w:val="heading 4"/>
    <w:basedOn w:val="1"/>
    <w:next w:val="1"/>
    <w:link w:val="43"/>
    <w:qFormat/>
    <w:uiPriority w:val="9"/>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link w:val="57"/>
    <w:qFormat/>
    <w:uiPriority w:val="99"/>
    <w:pPr>
      <w:spacing w:after="120" w:line="240" w:lineRule="auto"/>
      <w:ind w:left="420" w:leftChars="200" w:firstLine="420"/>
    </w:pPr>
    <w:rPr>
      <w:rFonts w:ascii="Calibri" w:hAnsi="Calibri"/>
      <w:sz w:val="21"/>
    </w:rPr>
  </w:style>
  <w:style w:type="paragraph" w:styleId="3">
    <w:name w:val="Body Text Indent"/>
    <w:basedOn w:val="1"/>
    <w:next w:val="1"/>
    <w:link w:val="47"/>
    <w:qFormat/>
    <w:uiPriority w:val="0"/>
    <w:pPr>
      <w:spacing w:line="480" w:lineRule="exact"/>
      <w:ind w:firstLine="480" w:firstLineChars="200"/>
    </w:pPr>
    <w:rPr>
      <w:rFonts w:ascii="宋体" w:hAnsi="宋体"/>
      <w:sz w:val="24"/>
    </w:rPr>
  </w:style>
  <w:style w:type="paragraph" w:styleId="4">
    <w:name w:val="Body Text"/>
    <w:basedOn w:val="1"/>
    <w:next w:val="1"/>
    <w:link w:val="38"/>
    <w:qFormat/>
    <w:uiPriority w:val="99"/>
    <w:pPr>
      <w:spacing w:after="120"/>
    </w:pPr>
  </w:style>
  <w:style w:type="paragraph" w:styleId="9">
    <w:name w:val="List Number"/>
    <w:basedOn w:val="1"/>
    <w:qFormat/>
    <w:uiPriority w:val="0"/>
    <w:pPr>
      <w:widowControl/>
      <w:tabs>
        <w:tab w:val="left" w:pos="360"/>
        <w:tab w:val="left" w:pos="454"/>
        <w:tab w:val="left" w:pos="720"/>
      </w:tabs>
      <w:spacing w:afterLines="50"/>
      <w:ind w:left="454" w:hanging="284"/>
      <w:jc w:val="left"/>
    </w:pPr>
    <w:rPr>
      <w:rFonts w:ascii="Times New Roman" w:hAnsi="Times New Roman" w:cs="Times New Roman"/>
      <w:kern w:val="0"/>
      <w:sz w:val="24"/>
      <w:szCs w:val="20"/>
    </w:rPr>
  </w:style>
  <w:style w:type="paragraph" w:styleId="10">
    <w:name w:val="Normal Indent"/>
    <w:basedOn w:val="1"/>
    <w:link w:val="44"/>
    <w:qFormat/>
    <w:uiPriority w:val="0"/>
    <w:pPr>
      <w:ind w:firstLine="420"/>
    </w:pPr>
  </w:style>
  <w:style w:type="paragraph" w:styleId="11">
    <w:name w:val="Document Map"/>
    <w:basedOn w:val="1"/>
    <w:link w:val="45"/>
    <w:qFormat/>
    <w:uiPriority w:val="99"/>
    <w:rPr>
      <w:rFonts w:ascii="宋体"/>
      <w:sz w:val="18"/>
      <w:szCs w:val="18"/>
    </w:rPr>
  </w:style>
  <w:style w:type="paragraph" w:styleId="12">
    <w:name w:val="annotation text"/>
    <w:basedOn w:val="1"/>
    <w:link w:val="46"/>
    <w:qFormat/>
    <w:uiPriority w:val="0"/>
    <w:pPr>
      <w:jc w:val="left"/>
    </w:pPr>
  </w:style>
  <w:style w:type="paragraph" w:styleId="13">
    <w:name w:val="Block Text"/>
    <w:basedOn w:val="1"/>
    <w:qFormat/>
    <w:uiPriority w:val="0"/>
    <w:pPr>
      <w:spacing w:line="360" w:lineRule="auto"/>
      <w:ind w:left="-359" w:leftChars="-171" w:right="-153" w:rightChars="-73" w:firstLine="420" w:firstLineChars="200"/>
    </w:pPr>
    <w:rPr>
      <w:rFonts w:ascii="仿宋_GB2312" w:hAnsi="宋体" w:eastAsia="仿宋_GB2312"/>
      <w:szCs w:val="21"/>
    </w:rPr>
  </w:style>
  <w:style w:type="paragraph" w:styleId="14">
    <w:name w:val="Plain Text"/>
    <w:basedOn w:val="1"/>
    <w:link w:val="48"/>
    <w:qFormat/>
    <w:uiPriority w:val="0"/>
    <w:pPr>
      <w:snapToGrid w:val="0"/>
      <w:spacing w:line="440" w:lineRule="exact"/>
      <w:jc w:val="left"/>
    </w:pPr>
    <w:rPr>
      <w:rFonts w:ascii="仿宋_GB2312" w:hAnsi="Courier New" w:eastAsia="仿宋_GB2312"/>
      <w:sz w:val="24"/>
      <w:szCs w:val="24"/>
    </w:rPr>
  </w:style>
  <w:style w:type="paragraph" w:styleId="15">
    <w:name w:val="Date"/>
    <w:basedOn w:val="1"/>
    <w:next w:val="1"/>
    <w:link w:val="49"/>
    <w:qFormat/>
    <w:uiPriority w:val="99"/>
    <w:pPr>
      <w:ind w:left="100" w:leftChars="2500"/>
    </w:pPr>
  </w:style>
  <w:style w:type="paragraph" w:styleId="16">
    <w:name w:val="Body Text Indent 2"/>
    <w:basedOn w:val="1"/>
    <w:link w:val="50"/>
    <w:qFormat/>
    <w:uiPriority w:val="99"/>
    <w:pPr>
      <w:spacing w:after="120" w:line="480" w:lineRule="auto"/>
      <w:ind w:left="420" w:leftChars="200"/>
    </w:pPr>
    <w:rPr>
      <w:rFonts w:ascii="Times New Roman" w:hAnsi="Times New Roman" w:cs="Times New Roman"/>
    </w:rPr>
  </w:style>
  <w:style w:type="paragraph" w:styleId="17">
    <w:name w:val="Balloon Text"/>
    <w:basedOn w:val="1"/>
    <w:link w:val="51"/>
    <w:qFormat/>
    <w:uiPriority w:val="99"/>
    <w:rPr>
      <w:sz w:val="18"/>
      <w:szCs w:val="18"/>
    </w:rPr>
  </w:style>
  <w:style w:type="paragraph" w:styleId="18">
    <w:name w:val="footer"/>
    <w:basedOn w:val="1"/>
    <w:link w:val="52"/>
    <w:qFormat/>
    <w:uiPriority w:val="0"/>
    <w:pPr>
      <w:tabs>
        <w:tab w:val="center" w:pos="4153"/>
        <w:tab w:val="right" w:pos="8306"/>
      </w:tabs>
      <w:snapToGrid w:val="0"/>
      <w:jc w:val="left"/>
    </w:pPr>
    <w:rPr>
      <w:sz w:val="18"/>
      <w:szCs w:val="18"/>
    </w:rPr>
  </w:style>
  <w:style w:type="paragraph" w:styleId="19">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0">
    <w:name w:val="toc 4"/>
    <w:basedOn w:val="1"/>
    <w:next w:val="1"/>
    <w:qFormat/>
    <w:uiPriority w:val="0"/>
    <w:pPr>
      <w:ind w:left="600" w:leftChars="600"/>
    </w:pPr>
  </w:style>
  <w:style w:type="paragraph" w:styleId="21">
    <w:name w:val="Subtitle"/>
    <w:basedOn w:val="1"/>
    <w:next w:val="1"/>
    <w:link w:val="54"/>
    <w:qFormat/>
    <w:uiPriority w:val="11"/>
    <w:pPr>
      <w:adjustRightInd w:val="0"/>
      <w:snapToGrid w:val="0"/>
      <w:spacing w:before="240" w:after="480"/>
      <w:jc w:val="center"/>
    </w:pPr>
    <w:rPr>
      <w:rFonts w:ascii="Arial" w:hAnsi="Arial" w:eastAsia="隶书"/>
      <w:b/>
      <w:bCs/>
      <w:kern w:val="28"/>
      <w:sz w:val="44"/>
      <w:szCs w:val="32"/>
    </w:rPr>
  </w:style>
  <w:style w:type="paragraph" w:styleId="22">
    <w:name w:val="toc 2"/>
    <w:basedOn w:val="1"/>
    <w:next w:val="1"/>
    <w:qFormat/>
    <w:uiPriority w:val="0"/>
    <w:pPr>
      <w:widowControl/>
      <w:spacing w:before="120"/>
      <w:ind w:left="240"/>
      <w:jc w:val="left"/>
    </w:pPr>
    <w:rPr>
      <w:b/>
      <w:bCs/>
      <w:kern w:val="0"/>
      <w:sz w:val="22"/>
    </w:rPr>
  </w:style>
  <w:style w:type="paragraph" w:styleId="23">
    <w:name w:val="Normal (Web)"/>
    <w:basedOn w:val="1"/>
    <w:qFormat/>
    <w:uiPriority w:val="99"/>
    <w:pPr>
      <w:spacing w:beforeAutospacing="1" w:afterAutospacing="1"/>
      <w:jc w:val="left"/>
    </w:pPr>
    <w:rPr>
      <w:rFonts w:cs="Times New Roman"/>
      <w:kern w:val="0"/>
      <w:sz w:val="24"/>
    </w:rPr>
  </w:style>
  <w:style w:type="paragraph" w:styleId="24">
    <w:name w:val="Title"/>
    <w:basedOn w:val="1"/>
    <w:next w:val="1"/>
    <w:link w:val="55"/>
    <w:qFormat/>
    <w:uiPriority w:val="0"/>
    <w:pPr>
      <w:widowControl/>
      <w:spacing w:before="240" w:after="60"/>
      <w:jc w:val="center"/>
      <w:outlineLvl w:val="0"/>
    </w:pPr>
    <w:rPr>
      <w:rFonts w:ascii="Cambria" w:hAnsi="Cambria"/>
      <w:b/>
      <w:bCs/>
      <w:kern w:val="28"/>
      <w:sz w:val="32"/>
      <w:szCs w:val="32"/>
      <w:lang w:eastAsia="en-US" w:bidi="en-US"/>
    </w:rPr>
  </w:style>
  <w:style w:type="paragraph" w:styleId="25">
    <w:name w:val="annotation subject"/>
    <w:basedOn w:val="12"/>
    <w:next w:val="12"/>
    <w:link w:val="56"/>
    <w:qFormat/>
    <w:uiPriority w:val="99"/>
    <w:rPr>
      <w:b/>
      <w:bCs/>
    </w:rPr>
  </w:style>
  <w:style w:type="paragraph" w:styleId="26">
    <w:name w:val="Body Text First Indent"/>
    <w:basedOn w:val="4"/>
    <w:link w:val="39"/>
    <w:qFormat/>
    <w:uiPriority w:val="0"/>
    <w:pPr>
      <w:widowControl/>
      <w:ind w:firstLine="420" w:firstLineChars="100"/>
      <w:jc w:val="left"/>
    </w:pPr>
    <w:rPr>
      <w:rFonts w:ascii="Times New Roman" w:cs="Times New Roman"/>
      <w:kern w:val="0"/>
      <w:sz w:val="24"/>
      <w:szCs w:val="24"/>
      <w:lang w:eastAsia="en-US" w:bidi="en-US"/>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cs="Times New Roman"/>
      <w:b/>
      <w:bCs/>
    </w:rPr>
  </w:style>
  <w:style w:type="character" w:styleId="31">
    <w:name w:val="page number"/>
    <w:basedOn w:val="29"/>
    <w:qFormat/>
    <w:uiPriority w:val="0"/>
  </w:style>
  <w:style w:type="character" w:styleId="32">
    <w:name w:val="Emphasis"/>
    <w:basedOn w:val="29"/>
    <w:qFormat/>
    <w:uiPriority w:val="20"/>
    <w:rPr>
      <w:i/>
      <w:iCs/>
    </w:rPr>
  </w:style>
  <w:style w:type="character" w:styleId="33">
    <w:name w:val="Hyperlink"/>
    <w:basedOn w:val="29"/>
    <w:qFormat/>
    <w:uiPriority w:val="99"/>
    <w:rPr>
      <w:color w:val="0000FF"/>
      <w:u w:val="single"/>
    </w:rPr>
  </w:style>
  <w:style w:type="character" w:styleId="34">
    <w:name w:val="annotation reference"/>
    <w:basedOn w:val="29"/>
    <w:qFormat/>
    <w:uiPriority w:val="0"/>
    <w:rPr>
      <w:sz w:val="21"/>
      <w:szCs w:val="21"/>
    </w:rPr>
  </w:style>
  <w:style w:type="paragraph" w:customStyle="1" w:styleId="3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表格文字"/>
    <w:basedOn w:val="14"/>
    <w:next w:val="4"/>
    <w:qFormat/>
    <w:uiPriority w:val="0"/>
    <w:pPr>
      <w:ind w:firstLine="200" w:firstLineChars="200"/>
    </w:pPr>
    <w:rPr>
      <w:rFonts w:ascii="Arial" w:hAnsi="Arial" w:cs="Times New Roman"/>
      <w:spacing w:val="-5"/>
      <w:kern w:val="0"/>
      <w:sz w:val="24"/>
      <w:szCs w:val="20"/>
    </w:rPr>
  </w:style>
  <w:style w:type="character" w:customStyle="1" w:styleId="38">
    <w:name w:val="正文文本 Char"/>
    <w:basedOn w:val="29"/>
    <w:link w:val="4"/>
    <w:qFormat/>
    <w:uiPriority w:val="99"/>
  </w:style>
  <w:style w:type="character" w:customStyle="1" w:styleId="39">
    <w:name w:val="正文首行缩进 Char"/>
    <w:basedOn w:val="38"/>
    <w:link w:val="26"/>
    <w:qFormat/>
    <w:uiPriority w:val="0"/>
    <w:rPr>
      <w:rFonts w:ascii="Times New Roman" w:cs="Times New Roman"/>
      <w:kern w:val="0"/>
      <w:sz w:val="24"/>
      <w:szCs w:val="24"/>
      <w:lang w:eastAsia="en-US" w:bidi="en-US"/>
    </w:rPr>
  </w:style>
  <w:style w:type="character" w:customStyle="1" w:styleId="40">
    <w:name w:val="标题 1 Char"/>
    <w:basedOn w:val="29"/>
    <w:link w:val="5"/>
    <w:qFormat/>
    <w:uiPriority w:val="9"/>
    <w:rPr>
      <w:b/>
      <w:bCs/>
      <w:kern w:val="44"/>
      <w:sz w:val="44"/>
      <w:szCs w:val="44"/>
    </w:rPr>
  </w:style>
  <w:style w:type="character" w:customStyle="1" w:styleId="41">
    <w:name w:val="标题 2 Char"/>
    <w:basedOn w:val="29"/>
    <w:link w:val="6"/>
    <w:qFormat/>
    <w:uiPriority w:val="99"/>
    <w:rPr>
      <w:rFonts w:ascii="Arial" w:hAnsi="Arial" w:eastAsia="宋体" w:cs="Times New Roman"/>
      <w:b/>
      <w:sz w:val="32"/>
      <w:szCs w:val="28"/>
    </w:rPr>
  </w:style>
  <w:style w:type="character" w:customStyle="1" w:styleId="42">
    <w:name w:val="标题 3 Char"/>
    <w:basedOn w:val="29"/>
    <w:link w:val="7"/>
    <w:qFormat/>
    <w:uiPriority w:val="9"/>
    <w:rPr>
      <w:b/>
      <w:bCs/>
      <w:sz w:val="32"/>
      <w:szCs w:val="32"/>
    </w:rPr>
  </w:style>
  <w:style w:type="character" w:customStyle="1" w:styleId="43">
    <w:name w:val="标题 4 Char"/>
    <w:basedOn w:val="29"/>
    <w:link w:val="8"/>
    <w:qFormat/>
    <w:uiPriority w:val="9"/>
    <w:rPr>
      <w:rFonts w:ascii="Cambria" w:hAnsi="Cambria" w:eastAsia="宋体" w:cs="宋体"/>
      <w:b/>
      <w:bCs/>
      <w:sz w:val="28"/>
      <w:szCs w:val="28"/>
    </w:rPr>
  </w:style>
  <w:style w:type="character" w:customStyle="1" w:styleId="44">
    <w:name w:val="正文缩进 Char"/>
    <w:link w:val="10"/>
    <w:qFormat/>
    <w:uiPriority w:val="0"/>
    <w:rPr>
      <w:rFonts w:eastAsia="宋体"/>
    </w:rPr>
  </w:style>
  <w:style w:type="character" w:customStyle="1" w:styleId="45">
    <w:name w:val="文档结构图 Char"/>
    <w:basedOn w:val="29"/>
    <w:link w:val="11"/>
    <w:qFormat/>
    <w:uiPriority w:val="99"/>
    <w:rPr>
      <w:rFonts w:ascii="宋体" w:eastAsia="宋体"/>
      <w:sz w:val="18"/>
      <w:szCs w:val="18"/>
    </w:rPr>
  </w:style>
  <w:style w:type="character" w:customStyle="1" w:styleId="46">
    <w:name w:val="批注文字 Char1"/>
    <w:basedOn w:val="29"/>
    <w:link w:val="12"/>
    <w:qFormat/>
    <w:uiPriority w:val="0"/>
  </w:style>
  <w:style w:type="character" w:customStyle="1" w:styleId="47">
    <w:name w:val="正文文本缩进 Char"/>
    <w:basedOn w:val="29"/>
    <w:link w:val="3"/>
    <w:qFormat/>
    <w:uiPriority w:val="0"/>
    <w:rPr>
      <w:rFonts w:ascii="宋体" w:hAnsi="宋体"/>
      <w:sz w:val="24"/>
    </w:rPr>
  </w:style>
  <w:style w:type="character" w:customStyle="1" w:styleId="48">
    <w:name w:val="纯文本 Char"/>
    <w:basedOn w:val="29"/>
    <w:link w:val="14"/>
    <w:qFormat/>
    <w:uiPriority w:val="0"/>
    <w:rPr>
      <w:rFonts w:ascii="仿宋_GB2312" w:hAnsi="Courier New" w:eastAsia="仿宋_GB2312" w:cs="宋体"/>
      <w:kern w:val="2"/>
      <w:sz w:val="24"/>
      <w:szCs w:val="24"/>
    </w:rPr>
  </w:style>
  <w:style w:type="character" w:customStyle="1" w:styleId="49">
    <w:name w:val="日期 Char1"/>
    <w:basedOn w:val="29"/>
    <w:link w:val="15"/>
    <w:qFormat/>
    <w:uiPriority w:val="99"/>
  </w:style>
  <w:style w:type="character" w:customStyle="1" w:styleId="50">
    <w:name w:val="正文文本缩进 2 Char"/>
    <w:basedOn w:val="29"/>
    <w:link w:val="16"/>
    <w:qFormat/>
    <w:uiPriority w:val="99"/>
    <w:rPr>
      <w:kern w:val="2"/>
      <w:sz w:val="21"/>
      <w:szCs w:val="22"/>
    </w:rPr>
  </w:style>
  <w:style w:type="character" w:customStyle="1" w:styleId="51">
    <w:name w:val="批注框文本 Char"/>
    <w:basedOn w:val="29"/>
    <w:link w:val="17"/>
    <w:qFormat/>
    <w:uiPriority w:val="99"/>
    <w:rPr>
      <w:sz w:val="18"/>
      <w:szCs w:val="18"/>
    </w:rPr>
  </w:style>
  <w:style w:type="character" w:customStyle="1" w:styleId="52">
    <w:name w:val="页脚 Char"/>
    <w:basedOn w:val="29"/>
    <w:link w:val="18"/>
    <w:qFormat/>
    <w:uiPriority w:val="0"/>
    <w:rPr>
      <w:sz w:val="18"/>
      <w:szCs w:val="18"/>
    </w:rPr>
  </w:style>
  <w:style w:type="character" w:customStyle="1" w:styleId="53">
    <w:name w:val="页眉 Char"/>
    <w:basedOn w:val="29"/>
    <w:link w:val="19"/>
    <w:qFormat/>
    <w:uiPriority w:val="99"/>
    <w:rPr>
      <w:sz w:val="18"/>
      <w:szCs w:val="18"/>
    </w:rPr>
  </w:style>
  <w:style w:type="character" w:customStyle="1" w:styleId="54">
    <w:name w:val="副标题 Char"/>
    <w:basedOn w:val="29"/>
    <w:link w:val="21"/>
    <w:qFormat/>
    <w:uiPriority w:val="11"/>
    <w:rPr>
      <w:rFonts w:ascii="Arial" w:hAnsi="Arial" w:eastAsia="隶书"/>
      <w:b/>
      <w:bCs/>
      <w:kern w:val="28"/>
      <w:sz w:val="44"/>
      <w:szCs w:val="32"/>
    </w:rPr>
  </w:style>
  <w:style w:type="character" w:customStyle="1" w:styleId="55">
    <w:name w:val="标题 Char"/>
    <w:basedOn w:val="29"/>
    <w:link w:val="24"/>
    <w:qFormat/>
    <w:uiPriority w:val="0"/>
    <w:rPr>
      <w:rFonts w:ascii="Cambria" w:hAnsi="Cambria" w:eastAsia="宋体" w:cs="宋体"/>
      <w:b/>
      <w:bCs/>
      <w:kern w:val="28"/>
      <w:sz w:val="32"/>
      <w:szCs w:val="32"/>
      <w:lang w:eastAsia="en-US" w:bidi="en-US"/>
    </w:rPr>
  </w:style>
  <w:style w:type="character" w:customStyle="1" w:styleId="56">
    <w:name w:val="批注主题 Char1"/>
    <w:basedOn w:val="46"/>
    <w:link w:val="25"/>
    <w:qFormat/>
    <w:uiPriority w:val="99"/>
    <w:rPr>
      <w:b/>
      <w:bCs/>
    </w:rPr>
  </w:style>
  <w:style w:type="character" w:customStyle="1" w:styleId="57">
    <w:name w:val="正文首行缩进 2 Char"/>
    <w:basedOn w:val="47"/>
    <w:link w:val="2"/>
    <w:qFormat/>
    <w:uiPriority w:val="99"/>
    <w:rPr>
      <w:rFonts w:ascii="宋体" w:hAnsi="宋体"/>
      <w:sz w:val="24"/>
    </w:rPr>
  </w:style>
  <w:style w:type="character" w:customStyle="1" w:styleId="58">
    <w:name w:val="批注文字 Char"/>
    <w:basedOn w:val="29"/>
    <w:qFormat/>
    <w:uiPriority w:val="0"/>
  </w:style>
  <w:style w:type="character" w:customStyle="1" w:styleId="59">
    <w:name w:val="日期 Char"/>
    <w:basedOn w:val="29"/>
    <w:qFormat/>
    <w:uiPriority w:val="99"/>
  </w:style>
  <w:style w:type="character" w:customStyle="1" w:styleId="60">
    <w:name w:val="批注主题 Char"/>
    <w:basedOn w:val="58"/>
    <w:qFormat/>
    <w:uiPriority w:val="99"/>
    <w:rPr>
      <w:b/>
      <w:bCs/>
    </w:rPr>
  </w:style>
  <w:style w:type="paragraph" w:customStyle="1" w:styleId="61">
    <w:name w:val="[Normal]"/>
    <w:qFormat/>
    <w:uiPriority w:val="0"/>
    <w:rPr>
      <w:rFonts w:ascii="宋体" w:hAnsi="宋体" w:eastAsia="宋体" w:cs="Times New Roman"/>
      <w:sz w:val="24"/>
      <w:szCs w:val="22"/>
      <w:lang w:val="zh-CN" w:eastAsia="zh-CN" w:bidi="ar-SA"/>
    </w:rPr>
  </w:style>
  <w:style w:type="paragraph" w:customStyle="1" w:styleId="62">
    <w:name w:val="列出段落1"/>
    <w:basedOn w:val="1"/>
    <w:qFormat/>
    <w:uiPriority w:val="34"/>
    <w:pPr>
      <w:ind w:firstLine="420" w:firstLineChars="200"/>
    </w:pPr>
  </w:style>
  <w:style w:type="paragraph" w:customStyle="1" w:styleId="63">
    <w:name w:val="Fließtext"/>
    <w:basedOn w:val="1"/>
    <w:qFormat/>
    <w:uiPriority w:val="0"/>
    <w:pPr>
      <w:overflowPunct w:val="0"/>
      <w:autoSpaceDE w:val="0"/>
      <w:autoSpaceDN w:val="0"/>
      <w:adjustRightInd w:val="0"/>
      <w:textAlignment w:val="baseline"/>
    </w:pPr>
    <w:rPr>
      <w:rFonts w:ascii="Times New Roman" w:hAnsi="Times New Roman" w:cs="Times New Roman"/>
      <w:kern w:val="28"/>
      <w:szCs w:val="20"/>
    </w:rPr>
  </w:style>
  <w:style w:type="paragraph" w:customStyle="1" w:styleId="64">
    <w:name w:val="正文缩进1"/>
    <w:basedOn w:val="1"/>
    <w:qFormat/>
    <w:uiPriority w:val="0"/>
    <w:pPr>
      <w:widowControl/>
      <w:autoSpaceDE w:val="0"/>
      <w:autoSpaceDN w:val="0"/>
      <w:adjustRightInd w:val="0"/>
      <w:ind w:firstLine="420"/>
      <w:jc w:val="left"/>
    </w:pPr>
    <w:rPr>
      <w:rFonts w:ascii="宋体" w:hAnsi="Times New Roman" w:cs="Times New Roman"/>
      <w:kern w:val="0"/>
      <w:sz w:val="24"/>
      <w:szCs w:val="20"/>
      <w:lang w:eastAsia="en-US" w:bidi="en-US"/>
    </w:rPr>
  </w:style>
  <w:style w:type="paragraph" w:customStyle="1" w:styleId="65">
    <w:name w:val="索引 11"/>
    <w:basedOn w:val="1"/>
    <w:next w:val="1"/>
    <w:qFormat/>
    <w:uiPriority w:val="99"/>
    <w:pPr>
      <w:widowControl/>
      <w:spacing w:line="360" w:lineRule="auto"/>
      <w:jc w:val="left"/>
    </w:pPr>
    <w:rPr>
      <w:rFonts w:ascii="仿宋_GB2312" w:hAnsi="Times New Roman" w:eastAsia="仿宋_GB2312" w:cs="Times New Roman"/>
      <w:kern w:val="0"/>
      <w:sz w:val="24"/>
      <w:szCs w:val="20"/>
      <w:lang w:eastAsia="en-US" w:bidi="en-US"/>
    </w:rPr>
  </w:style>
  <w:style w:type="paragraph" w:customStyle="1" w:styleId="66">
    <w:name w:val="Other|1"/>
    <w:basedOn w:val="1"/>
    <w:qFormat/>
    <w:uiPriority w:val="0"/>
    <w:pPr>
      <w:spacing w:line="408" w:lineRule="auto"/>
      <w:ind w:firstLine="400"/>
    </w:pPr>
    <w:rPr>
      <w:rFonts w:ascii="宋体" w:hAnsi="宋体"/>
      <w:sz w:val="28"/>
      <w:szCs w:val="28"/>
      <w:lang w:val="zh-TW" w:eastAsia="zh-TW" w:bidi="zh-TW"/>
    </w:rPr>
  </w:style>
  <w:style w:type="character" w:customStyle="1" w:styleId="67">
    <w:name w:val="正文缩进 Char2"/>
    <w:qFormat/>
    <w:uiPriority w:val="0"/>
    <w:rPr>
      <w:rFonts w:ascii="宋体" w:eastAsia="宋体"/>
      <w:snapToGrid w:val="0"/>
      <w:color w:val="000000"/>
      <w:kern w:val="28"/>
      <w:sz w:val="28"/>
      <w:lang w:val="en-US" w:eastAsia="zh-CN" w:bidi="ar-SA"/>
    </w:rPr>
  </w:style>
  <w:style w:type="character" w:customStyle="1" w:styleId="68">
    <w:name w:val="纯文本 Char1"/>
    <w:link w:val="69"/>
    <w:qFormat/>
    <w:uiPriority w:val="0"/>
    <w:rPr>
      <w:rFonts w:ascii="宋体" w:hAnsi="Courier New"/>
    </w:rPr>
  </w:style>
  <w:style w:type="paragraph" w:customStyle="1" w:styleId="69">
    <w:name w:val="纯文本1"/>
    <w:basedOn w:val="1"/>
    <w:link w:val="68"/>
    <w:qFormat/>
    <w:uiPriority w:val="0"/>
    <w:rPr>
      <w:rFonts w:ascii="宋体" w:hAnsi="Courier New"/>
    </w:rPr>
  </w:style>
  <w:style w:type="paragraph" w:customStyle="1" w:styleId="70">
    <w:name w:val="text-tag"/>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71">
    <w:name w:val="部分1"/>
    <w:basedOn w:val="1"/>
    <w:qFormat/>
    <w:uiPriority w:val="0"/>
    <w:pPr>
      <w:keepNext/>
      <w:pageBreakBefore/>
      <w:tabs>
        <w:tab w:val="left" w:pos="720"/>
      </w:tabs>
      <w:adjustRightInd w:val="0"/>
      <w:spacing w:line="360" w:lineRule="auto"/>
      <w:jc w:val="center"/>
      <w:outlineLvl w:val="0"/>
    </w:pPr>
    <w:rPr>
      <w:rFonts w:ascii="Times New Roman" w:hAnsi="Times New Roman" w:eastAsia="黑体" w:cs="Times New Roman"/>
      <w:b/>
      <w:kern w:val="44"/>
      <w:sz w:val="36"/>
      <w:szCs w:val="20"/>
    </w:rPr>
  </w:style>
  <w:style w:type="paragraph" w:customStyle="1" w:styleId="72">
    <w:name w:val="首行缩进"/>
    <w:basedOn w:val="1"/>
    <w:next w:val="1"/>
    <w:qFormat/>
    <w:uiPriority w:val="0"/>
    <w:pPr>
      <w:spacing w:line="360" w:lineRule="auto"/>
      <w:ind w:firstLine="480" w:firstLineChars="200"/>
    </w:pPr>
    <w:rPr>
      <w:rFonts w:ascii="宋体"/>
      <w:sz w:val="24"/>
      <w:szCs w:val="20"/>
    </w:rPr>
  </w:style>
  <w:style w:type="paragraph" w:customStyle="1" w:styleId="73">
    <w:name w:val="表格"/>
    <w:basedOn w:val="1"/>
    <w:qFormat/>
    <w:uiPriority w:val="0"/>
    <w:rPr>
      <w:rFonts w:ascii="Times New Roman" w:hAnsi="Times New Roman" w:cs="Times New Roman"/>
    </w:rPr>
  </w:style>
  <w:style w:type="paragraph" w:customStyle="1" w:styleId="74">
    <w:name w:val="List Paragraph1"/>
    <w:basedOn w:val="1"/>
    <w:qFormat/>
    <w:uiPriority w:val="99"/>
    <w:pPr>
      <w:ind w:firstLine="420" w:firstLineChars="200"/>
    </w:pPr>
    <w:rPr>
      <w:rFonts w:ascii="等线" w:hAnsi="等线" w:eastAsia="等线"/>
      <w:szCs w:val="24"/>
    </w:rPr>
  </w:style>
  <w:style w:type="paragraph" w:customStyle="1" w:styleId="75">
    <w:name w:val="纯文本111"/>
    <w:basedOn w:val="1"/>
    <w:qFormat/>
    <w:uiPriority w:val="0"/>
    <w:pPr>
      <w:adjustRightInd w:val="0"/>
    </w:pPr>
    <w:rPr>
      <w:rFonts w:hint="eastAsia" w:ascii="宋体" w:hAnsi="Courier New" w:eastAsia="楷体_GB2312" w:cs="Times New Roman"/>
      <w:sz w:val="28"/>
      <w:szCs w:val="20"/>
    </w:rPr>
  </w:style>
  <w:style w:type="paragraph" w:customStyle="1" w:styleId="76">
    <w:name w:val="文档正文"/>
    <w:basedOn w:val="1"/>
    <w:qFormat/>
    <w:uiPriority w:val="0"/>
    <w:rPr>
      <w:rFonts w:ascii="宋体" w:cs="Arial"/>
      <w:bCs/>
      <w:szCs w:val="21"/>
    </w:rPr>
  </w:style>
  <w:style w:type="paragraph" w:customStyle="1" w:styleId="77">
    <w:name w:val="列出段落2"/>
    <w:basedOn w:val="1"/>
    <w:qFormat/>
    <w:uiPriority w:val="34"/>
    <w:pPr>
      <w:ind w:firstLine="420" w:firstLineChars="200"/>
    </w:pPr>
    <w:rPr>
      <w:rFonts w:ascii="Times New Roman" w:hAnsi="Times New Roman" w:cs="Times New Roman"/>
      <w:szCs w:val="20"/>
    </w:rPr>
  </w:style>
  <w:style w:type="character" w:customStyle="1" w:styleId="78">
    <w:name w:val="正文2 Char Char"/>
    <w:link w:val="79"/>
    <w:qFormat/>
    <w:uiPriority w:val="0"/>
    <w:rPr>
      <w:rFonts w:ascii="仿宋_GB2312" w:hAnsi="宋体" w:eastAsia="仿宋_GB2312"/>
      <w:color w:val="000000"/>
      <w:sz w:val="24"/>
      <w:szCs w:val="24"/>
    </w:rPr>
  </w:style>
  <w:style w:type="paragraph" w:customStyle="1" w:styleId="79">
    <w:name w:val="正文2"/>
    <w:basedOn w:val="1"/>
    <w:link w:val="78"/>
    <w:qFormat/>
    <w:uiPriority w:val="0"/>
    <w:pPr>
      <w:adjustRightInd w:val="0"/>
      <w:snapToGrid w:val="0"/>
      <w:spacing w:line="440" w:lineRule="exact"/>
      <w:ind w:firstLine="480" w:firstLineChars="200"/>
    </w:pPr>
    <w:rPr>
      <w:rFonts w:ascii="仿宋_GB2312" w:hAnsi="宋体" w:eastAsia="仿宋_GB2312" w:cs="Times New Roman"/>
      <w:color w:val="000000"/>
      <w:kern w:val="0"/>
      <w:sz w:val="24"/>
      <w:szCs w:val="24"/>
    </w:rPr>
  </w:style>
  <w:style w:type="paragraph" w:customStyle="1" w:styleId="80">
    <w:name w:val="正文1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纯文本 Char3"/>
    <w:qFormat/>
    <w:uiPriority w:val="99"/>
    <w:rPr>
      <w:rFonts w:ascii="宋体" w:hAnsi="Courier New" w:eastAsia="黑体" w:cs="Times New Roman"/>
      <w:snapToGrid w:val="0"/>
      <w:szCs w:val="21"/>
    </w:rPr>
  </w:style>
  <w:style w:type="paragraph" w:customStyle="1" w:styleId="82">
    <w:name w:val="标题 1（洛）"/>
    <w:basedOn w:val="5"/>
    <w:next w:val="1"/>
    <w:qFormat/>
    <w:uiPriority w:val="0"/>
    <w:pPr>
      <w:pageBreakBefore/>
      <w:numPr>
        <w:ilvl w:val="0"/>
        <w:numId w:val="1"/>
      </w:numPr>
      <w:spacing w:before="600" w:line="360" w:lineRule="auto"/>
      <w:jc w:val="left"/>
    </w:pPr>
    <w:rPr>
      <w:rFonts w:ascii="Arial" w:hAnsi="Arial" w:eastAsia="汉仪大黑简" w:cs="Times New Roman"/>
      <w:color w:val="000000"/>
      <w:sz w:val="36"/>
    </w:rPr>
  </w:style>
  <w:style w:type="paragraph" w:customStyle="1" w:styleId="83">
    <w:name w:val="标题 2（洛）"/>
    <w:basedOn w:val="6"/>
    <w:next w:val="1"/>
    <w:qFormat/>
    <w:uiPriority w:val="0"/>
    <w:pPr>
      <w:numPr>
        <w:ilvl w:val="1"/>
        <w:numId w:val="1"/>
      </w:numPr>
      <w:spacing w:line="413" w:lineRule="auto"/>
      <w:ind w:left="1004" w:leftChars="100" w:right="210" w:rightChars="100"/>
      <w:jc w:val="left"/>
    </w:pPr>
    <w:rPr>
      <w:rFonts w:eastAsia="黑体"/>
      <w:szCs w:val="32"/>
    </w:rPr>
  </w:style>
  <w:style w:type="paragraph" w:customStyle="1" w:styleId="84">
    <w:name w:val="标题 3（洛）"/>
    <w:basedOn w:val="7"/>
    <w:next w:val="1"/>
    <w:link w:val="85"/>
    <w:qFormat/>
    <w:uiPriority w:val="0"/>
    <w:pPr>
      <w:numPr>
        <w:ilvl w:val="2"/>
        <w:numId w:val="1"/>
      </w:numPr>
      <w:tabs>
        <w:tab w:val="left" w:pos="960"/>
      </w:tabs>
      <w:spacing w:line="412" w:lineRule="auto"/>
      <w:jc w:val="left"/>
    </w:pPr>
    <w:rPr>
      <w:rFonts w:ascii="Arial" w:hAnsi="Arial" w:eastAsia="黑体" w:cs="Times New Roman"/>
      <w:bCs w:val="0"/>
      <w:kern w:val="0"/>
      <w:sz w:val="30"/>
      <w:szCs w:val="30"/>
    </w:rPr>
  </w:style>
  <w:style w:type="character" w:customStyle="1" w:styleId="85">
    <w:name w:val="标题 3（洛） Char"/>
    <w:link w:val="84"/>
    <w:qFormat/>
    <w:uiPriority w:val="0"/>
    <w:rPr>
      <w:rFonts w:ascii="Arial" w:hAnsi="Arial" w:eastAsia="黑体" w:cs="Times New Roman"/>
      <w:b/>
      <w:kern w:val="0"/>
      <w:sz w:val="30"/>
      <w:szCs w:val="30"/>
    </w:rPr>
  </w:style>
  <w:style w:type="paragraph" w:customStyle="1" w:styleId="86">
    <w:name w:val="标题 4（洛）"/>
    <w:basedOn w:val="8"/>
    <w:next w:val="1"/>
    <w:qFormat/>
    <w:uiPriority w:val="0"/>
    <w:pPr>
      <w:widowControl/>
      <w:numPr>
        <w:ilvl w:val="3"/>
        <w:numId w:val="1"/>
      </w:numPr>
      <w:spacing w:after="156" w:line="374" w:lineRule="auto"/>
      <w:jc w:val="left"/>
    </w:pPr>
    <w:rPr>
      <w:rFonts w:ascii="Arial" w:hAnsi="Arial" w:eastAsia="黑体" w:cs="Times New Roman"/>
      <w:bCs w:val="0"/>
      <w:kern w:val="0"/>
    </w:rPr>
  </w:style>
  <w:style w:type="paragraph" w:customStyle="1" w:styleId="87">
    <w:name w:val="标题 5（洛）"/>
    <w:basedOn w:val="1"/>
    <w:next w:val="1"/>
    <w:qFormat/>
    <w:uiPriority w:val="0"/>
    <w:pPr>
      <w:keepNext/>
      <w:keepLines/>
      <w:numPr>
        <w:ilvl w:val="4"/>
        <w:numId w:val="1"/>
      </w:numPr>
      <w:spacing w:before="280" w:after="156" w:line="376" w:lineRule="auto"/>
      <w:jc w:val="left"/>
      <w:outlineLvl w:val="4"/>
    </w:pPr>
    <w:rPr>
      <w:rFonts w:ascii="Arial" w:hAnsi="Arial" w:eastAsia="黑体" w:cs="Times New Roman"/>
      <w:b/>
      <w:kern w:val="0"/>
      <w:sz w:val="24"/>
      <w:szCs w:val="28"/>
    </w:rPr>
  </w:style>
  <w:style w:type="paragraph" w:customStyle="1" w:styleId="88">
    <w:name w:val="标题 6（洛）"/>
    <w:basedOn w:val="1"/>
    <w:next w:val="1"/>
    <w:qFormat/>
    <w:uiPriority w:val="0"/>
    <w:pPr>
      <w:keepNext/>
      <w:keepLines/>
      <w:numPr>
        <w:ilvl w:val="5"/>
        <w:numId w:val="1"/>
      </w:numPr>
      <w:spacing w:before="240" w:after="64" w:line="316" w:lineRule="auto"/>
      <w:jc w:val="left"/>
      <w:outlineLvl w:val="5"/>
    </w:pPr>
    <w:rPr>
      <w:rFonts w:ascii="Arial" w:hAnsi="Arial" w:eastAsia="黑体" w:cs="Times New Roman"/>
      <w:b/>
      <w:kern w:val="0"/>
      <w:szCs w:val="24"/>
    </w:rPr>
  </w:style>
  <w:style w:type="paragraph" w:customStyle="1" w:styleId="89">
    <w:name w:val="图表（洛）"/>
    <w:basedOn w:val="1"/>
    <w:link w:val="90"/>
    <w:qFormat/>
    <w:uiPriority w:val="0"/>
    <w:pPr>
      <w:jc w:val="left"/>
    </w:pPr>
    <w:rPr>
      <w:sz w:val="18"/>
      <w:szCs w:val="18"/>
    </w:rPr>
  </w:style>
  <w:style w:type="character" w:customStyle="1" w:styleId="90">
    <w:name w:val="图表（洛） Char"/>
    <w:basedOn w:val="29"/>
    <w:link w:val="89"/>
    <w:qFormat/>
    <w:uiPriority w:val="0"/>
    <w:rPr>
      <w:rFonts w:cs="宋体"/>
      <w:sz w:val="18"/>
      <w:szCs w:val="18"/>
    </w:rPr>
  </w:style>
  <w:style w:type="paragraph" w:customStyle="1" w:styleId="91">
    <w:name w:val="修订1"/>
    <w:qFormat/>
    <w:uiPriority w:val="99"/>
    <w:rPr>
      <w:rFonts w:ascii="Calibri" w:hAnsi="Calibri" w:eastAsia="宋体" w:cs="宋体"/>
      <w:kern w:val="2"/>
      <w:sz w:val="21"/>
      <w:szCs w:val="22"/>
      <w:lang w:val="en-US" w:eastAsia="zh-CN" w:bidi="ar-SA"/>
    </w:rPr>
  </w:style>
  <w:style w:type="paragraph" w:customStyle="1" w:styleId="92">
    <w:name w:val="Body text|1"/>
    <w:basedOn w:val="1"/>
    <w:qFormat/>
    <w:uiPriority w:val="0"/>
    <w:pPr>
      <w:spacing w:line="391" w:lineRule="auto"/>
      <w:ind w:firstLine="400"/>
    </w:pPr>
    <w:rPr>
      <w:rFonts w:ascii="宋体" w:hAnsi="宋体"/>
      <w:sz w:val="30"/>
      <w:szCs w:val="30"/>
      <w:lang w:val="zh-TW" w:eastAsia="zh-TW" w:bidi="zh-TW"/>
    </w:rPr>
  </w:style>
  <w:style w:type="paragraph" w:customStyle="1" w:styleId="93">
    <w:name w:val="正文ok"/>
    <w:qFormat/>
    <w:uiPriority w:val="0"/>
    <w:pPr>
      <w:spacing w:line="360" w:lineRule="auto"/>
      <w:ind w:firstLine="200" w:firstLineChars="200"/>
    </w:pPr>
    <w:rPr>
      <w:rFonts w:ascii="宋体" w:hAnsi="Times New Roman" w:eastAsia="宋体" w:cs="宋体"/>
      <w:sz w:val="24"/>
      <w:szCs w:val="24"/>
      <w:lang w:val="en-US" w:eastAsia="zh-CN" w:bidi="ar-SA"/>
    </w:rPr>
  </w:style>
  <w:style w:type="paragraph" w:customStyle="1" w:styleId="94">
    <w:name w:val="正文1"/>
    <w:basedOn w:val="1"/>
    <w:next w:val="1"/>
    <w:qFormat/>
    <w:uiPriority w:val="0"/>
    <w:pPr>
      <w:spacing w:before="156"/>
      <w:ind w:firstLine="510" w:firstLineChars="200"/>
    </w:pPr>
    <w:rPr>
      <w:rFonts w:ascii="Times New Roman" w:hAnsi="Times New Roman" w:cs="Times New Roman"/>
      <w:szCs w:val="24"/>
    </w:rPr>
  </w:style>
  <w:style w:type="paragraph" w:customStyle="1" w:styleId="95">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6">
    <w:name w:val="修订2"/>
    <w:unhideWhenUsed/>
    <w:qFormat/>
    <w:uiPriority w:val="99"/>
    <w:rPr>
      <w:rFonts w:ascii="Calibri" w:hAnsi="Calibri" w:eastAsia="宋体" w:cs="宋体"/>
      <w:kern w:val="2"/>
      <w:sz w:val="21"/>
      <w:szCs w:val="22"/>
      <w:lang w:val="en-US" w:eastAsia="zh-CN" w:bidi="ar-SA"/>
    </w:rPr>
  </w:style>
  <w:style w:type="paragraph" w:styleId="97">
    <w:name w:val="List Paragraph"/>
    <w:basedOn w:val="1"/>
    <w:unhideWhenUsed/>
    <w:qFormat/>
    <w:uiPriority w:val="34"/>
    <w:pPr>
      <w:ind w:firstLine="420" w:firstLineChars="200"/>
    </w:pPr>
    <w:rPr>
      <w:rFonts w:ascii="Calibri" w:hAnsi="Calibri" w:eastAsia="宋体" w:cs="Times New Roman"/>
      <w:szCs w:val="24"/>
    </w:rPr>
  </w:style>
  <w:style w:type="paragraph" w:customStyle="1" w:styleId="98">
    <w:name w:val="Table Text"/>
    <w:basedOn w:val="1"/>
    <w:qFormat/>
    <w:uiPriority w:val="0"/>
    <w:pPr>
      <w:widowControl/>
      <w:adjustRightInd w:val="0"/>
      <w:spacing w:before="60" w:after="60"/>
      <w:jc w:val="left"/>
    </w:pPr>
    <w:rPr>
      <w:rFonts w:ascii="Times New Roman" w:hAnsi="Times New Roman" w:eastAsia="宋体" w:cs="Times New Roman"/>
      <w:kern w:val="0"/>
      <w:sz w:val="24"/>
    </w:rPr>
  </w:style>
  <w:style w:type="table" w:customStyle="1" w:styleId="99">
    <w:name w:val="Table Normal"/>
    <w:semiHidden/>
    <w:unhideWhenUsed/>
    <w:qFormat/>
    <w:uiPriority w:val="0"/>
    <w:tblPr>
      <w:tblCellMar>
        <w:top w:w="0" w:type="dxa"/>
        <w:left w:w="0" w:type="dxa"/>
        <w:bottom w:w="0" w:type="dxa"/>
        <w:right w:w="0" w:type="dxa"/>
      </w:tblCellMar>
    </w:tblPr>
  </w:style>
  <w:style w:type="paragraph" w:customStyle="1" w:styleId="100">
    <w:name w:val="标1洛"/>
    <w:basedOn w:val="5"/>
    <w:next w:val="101"/>
    <w:qFormat/>
    <w:uiPriority w:val="0"/>
    <w:pPr>
      <w:pageBreakBefore/>
      <w:widowControl/>
      <w:numPr>
        <w:ilvl w:val="0"/>
        <w:numId w:val="2"/>
      </w:numPr>
      <w:spacing w:before="600" w:line="360" w:lineRule="auto"/>
      <w:jc w:val="left"/>
    </w:pPr>
    <w:rPr>
      <w:rFonts w:ascii="Arial" w:hAnsi="Arial" w:eastAsia="汉仪大黑简" w:cs="Times New Roman"/>
      <w:color w:val="000000" w:themeColor="text1"/>
      <w:sz w:val="36"/>
      <w14:textFill>
        <w14:solidFill>
          <w14:schemeClr w14:val="tx1"/>
        </w14:solidFill>
      </w14:textFill>
    </w:rPr>
  </w:style>
  <w:style w:type="paragraph" w:customStyle="1" w:styleId="101">
    <w:name w:val="正文（洛）"/>
    <w:basedOn w:val="1"/>
    <w:qFormat/>
    <w:uiPriority w:val="0"/>
    <w:pPr>
      <w:widowControl/>
      <w:spacing w:after="160" w:line="360" w:lineRule="auto"/>
      <w:ind w:firstLine="480" w:firstLineChars="200"/>
      <w:jc w:val="left"/>
    </w:pPr>
    <w:rPr>
      <w:rFonts w:ascii="Times New Roman" w:hAnsi="Times New Roman" w:eastAsia="仿宋" w:cs="Times New Roman"/>
      <w:color w:val="000000"/>
      <w:kern w:val="0"/>
      <w:sz w:val="24"/>
      <w:szCs w:val="24"/>
    </w:rPr>
  </w:style>
  <w:style w:type="character" w:customStyle="1" w:styleId="102">
    <w:name w:val="font21"/>
    <w:basedOn w:val="29"/>
    <w:qFormat/>
    <w:uiPriority w:val="0"/>
    <w:rPr>
      <w:rFonts w:hint="eastAsia" w:ascii="宋体" w:hAnsi="宋体" w:eastAsia="宋体" w:cs="宋体"/>
      <w:color w:val="FF0000"/>
      <w:sz w:val="22"/>
      <w:szCs w:val="22"/>
      <w:u w:val="none"/>
    </w:rPr>
  </w:style>
  <w:style w:type="paragraph" w:customStyle="1" w:styleId="103">
    <w:name w:val="正文_1_0"/>
    <w:basedOn w:val="104"/>
    <w:qFormat/>
    <w:uiPriority w:val="0"/>
  </w:style>
  <w:style w:type="paragraph" w:customStyle="1" w:styleId="10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_Style 14"/>
    <w:basedOn w:val="1"/>
    <w:next w:val="97"/>
    <w:qFormat/>
    <w:uiPriority w:val="34"/>
    <w:pPr>
      <w:widowControl/>
      <w:ind w:firstLine="420" w:firstLineChars="200"/>
      <w:jc w:val="left"/>
    </w:pPr>
    <w:rPr>
      <w:rFonts w:ascii="宋体" w:hAnsi="宋体" w:eastAsia="宋体" w:cs="Times New Roman"/>
      <w:kern w:val="0"/>
      <w:sz w:val="24"/>
      <w:szCs w:val="24"/>
      <w:lang w:val="zh-CN"/>
    </w:rPr>
  </w:style>
  <w:style w:type="paragraph" w:styleId="10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7">
    <w:name w:val="正文空2字"/>
    <w:basedOn w:val="108"/>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08">
    <w:name w:val="左对齐正文"/>
    <w:qFormat/>
    <w:uiPriority w:val="99"/>
    <w:rPr>
      <w:rFonts w:ascii="Calibri" w:hAnsi="Calibri" w:eastAsia="仿宋_GB2312" w:cs="Calibri"/>
      <w:kern w:val="2"/>
      <w:sz w:val="32"/>
      <w:szCs w:val="32"/>
      <w:lang w:val="en-US" w:eastAsia="zh-CN" w:bidi="ar-SA"/>
    </w:rPr>
  </w:style>
  <w:style w:type="character" w:customStyle="1" w:styleId="109">
    <w:name w:val="font11"/>
    <w:basedOn w:val="2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80</Pages>
  <Words>12300</Words>
  <Characters>13245</Characters>
  <Lines>445</Lines>
  <Paragraphs>125</Paragraphs>
  <TotalTime>17</TotalTime>
  <ScaleCrop>false</ScaleCrop>
  <LinksUpToDate>false</LinksUpToDate>
  <CharactersWithSpaces>13368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2024-03-08T08:21:00Z</dcterms:created>
  <dc:creator>NTKO</dc:creator>
  <cp:lastModifiedBy>Administrator</cp:lastModifiedBy>
  <cp:lastPrinted>2026-04-16T18:52:00Z</cp:lastPrinted>
  <dcterms:modified xsi:type="dcterms:W3CDTF">2026-06-05T00:56:10Z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6831F7CDD9E74083A372BD3C52116394</vt:lpwstr>
  </property>
  <property fmtid="{D5CDD505-2E9C-101B-9397-08002B2CF9AE}" pid="3" name="KSOProductBuildVer">
    <vt:lpwstr>2052-11.8.2.12085</vt:lpwstr>
  </property>
  <property fmtid="{D5CDD505-2E9C-101B-9397-08002B2CF9AE}" pid="4" name="KSOTemplateDocerSaveRecord">
    <vt:lpwstr>eyJoZGlkIjoiY2I3Mjk4NWVmYmNhMzg5MjZlNmIyYTM0ZDhkZjQwYWYiLCJ1c2VySWQiOiIxMTQ1NzQ0Mzg5In0=</vt:lpwstr>
  </property>
</Properties>
</file>