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C71DE">
      <w:pPr>
        <w:spacing w:line="360" w:lineRule="auto"/>
        <w:jc w:val="center"/>
        <w:rPr>
          <w:rFonts w:ascii="宋体" w:hAnsi="宋体" w:cs="宋体"/>
          <w:b/>
          <w:color w:val="auto"/>
          <w:sz w:val="24"/>
          <w:highlight w:val="none"/>
        </w:rPr>
      </w:pPr>
    </w:p>
    <w:p w14:paraId="652650B1">
      <w:pPr>
        <w:spacing w:line="360" w:lineRule="auto"/>
        <w:jc w:val="center"/>
        <w:rPr>
          <w:rFonts w:ascii="宋体" w:hAnsi="宋体" w:cs="宋体"/>
          <w:b/>
          <w:color w:val="auto"/>
          <w:sz w:val="24"/>
          <w:highlight w:val="none"/>
        </w:rPr>
      </w:pPr>
    </w:p>
    <w:p w14:paraId="5133481C">
      <w:pPr>
        <w:adjustRightInd/>
        <w:spacing w:line="360" w:lineRule="auto"/>
        <w:jc w:val="center"/>
        <w:rPr>
          <w:rFonts w:ascii="宋体" w:hAnsi="宋体" w:cs="宋体"/>
          <w:b/>
          <w:color w:val="auto"/>
          <w:sz w:val="44"/>
          <w:szCs w:val="44"/>
          <w:highlight w:val="none"/>
        </w:rPr>
      </w:pPr>
    </w:p>
    <w:p w14:paraId="45E7C625">
      <w:pPr>
        <w:adjustRightInd/>
        <w:spacing w:line="360" w:lineRule="auto"/>
        <w:jc w:val="center"/>
        <w:rPr>
          <w:rFonts w:ascii="宋体" w:hAnsi="宋体" w:cs="宋体"/>
          <w:b/>
          <w:color w:val="auto"/>
          <w:sz w:val="48"/>
          <w:szCs w:val="48"/>
          <w:highlight w:val="none"/>
        </w:rPr>
      </w:pPr>
    </w:p>
    <w:p w14:paraId="1331BFD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杭州职业技术大学</w:t>
      </w:r>
    </w:p>
    <w:p w14:paraId="68DAF4B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val="en-US" w:eastAsia="zh-CN"/>
        </w:rPr>
        <w:t>新安江</w:t>
      </w:r>
      <w:r>
        <w:rPr>
          <w:rFonts w:hint="eastAsia" w:ascii="宋体" w:hAnsi="宋体" w:cs="宋体"/>
          <w:color w:val="auto"/>
          <w:sz w:val="48"/>
          <w:szCs w:val="48"/>
          <w:highlight w:val="none"/>
        </w:rPr>
        <w:t>校区多媒体教室建设项目</w:t>
      </w:r>
    </w:p>
    <w:p w14:paraId="4F70769E">
      <w:pPr>
        <w:adjustRightInd/>
        <w:spacing w:line="360" w:lineRule="auto"/>
        <w:jc w:val="center"/>
        <w:rPr>
          <w:rFonts w:ascii="宋体" w:hAnsi="宋体" w:cs="宋体"/>
          <w:color w:val="auto"/>
          <w:sz w:val="48"/>
          <w:szCs w:val="48"/>
          <w:highlight w:val="none"/>
        </w:rPr>
      </w:pPr>
      <w:bookmarkStart w:id="413" w:name="_GoBack"/>
      <w:bookmarkEnd w:id="413"/>
    </w:p>
    <w:p w14:paraId="501089F5">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D663387">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A0137A2">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编号:HZZFCG-2026-072</w:t>
      </w:r>
    </w:p>
    <w:p w14:paraId="55558E4B">
      <w:pPr>
        <w:adjustRightInd/>
        <w:spacing w:line="360" w:lineRule="auto"/>
        <w:rPr>
          <w:rFonts w:ascii="宋体" w:hAnsi="宋体" w:cs="宋体"/>
          <w:color w:val="auto"/>
          <w:sz w:val="28"/>
          <w:szCs w:val="20"/>
          <w:highlight w:val="none"/>
        </w:rPr>
      </w:pPr>
    </w:p>
    <w:p w14:paraId="5CB652C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41356289">
      <w:pPr>
        <w:spacing w:line="360" w:lineRule="auto"/>
        <w:jc w:val="center"/>
        <w:rPr>
          <w:rFonts w:ascii="宋体" w:hAnsi="宋体" w:cs="宋体"/>
          <w:color w:val="auto"/>
          <w:sz w:val="24"/>
          <w:highlight w:val="none"/>
        </w:rPr>
      </w:pPr>
    </w:p>
    <w:p w14:paraId="1931A409">
      <w:pPr>
        <w:spacing w:line="360" w:lineRule="auto"/>
        <w:rPr>
          <w:rFonts w:ascii="宋体" w:hAnsi="宋体" w:cs="宋体"/>
          <w:color w:val="auto"/>
          <w:sz w:val="32"/>
          <w:szCs w:val="32"/>
          <w:highlight w:val="none"/>
        </w:rPr>
      </w:pPr>
    </w:p>
    <w:p w14:paraId="79BAA48A">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杭州职业技术大学</w:t>
      </w:r>
    </w:p>
    <w:p w14:paraId="1F822337">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杭州市公共资源交易中心</w:t>
      </w:r>
    </w:p>
    <w:p w14:paraId="7D42F80F">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eastAsia="zh-CN"/>
        </w:rPr>
        <w:t>六</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eastAsia="zh-CN"/>
        </w:rPr>
        <w:t>一</w:t>
      </w:r>
      <w:r>
        <w:rPr>
          <w:rFonts w:hint="eastAsia" w:ascii="宋体" w:hAnsi="宋体" w:cs="宋体"/>
          <w:bCs/>
          <w:color w:val="auto"/>
          <w:sz w:val="32"/>
          <w:szCs w:val="32"/>
          <w:highlight w:val="none"/>
        </w:rPr>
        <w:t>日</w:t>
      </w:r>
    </w:p>
    <w:p w14:paraId="68D556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A0B7F25">
      <w:pPr>
        <w:spacing w:line="360" w:lineRule="auto"/>
        <w:jc w:val="center"/>
        <w:rPr>
          <w:rFonts w:ascii="宋体" w:hAnsi="宋体" w:cs="宋体"/>
          <w:color w:val="auto"/>
          <w:sz w:val="24"/>
          <w:highlight w:val="none"/>
        </w:rPr>
      </w:pPr>
    </w:p>
    <w:p w14:paraId="042345EE">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9BAD201">
      <w:pPr>
        <w:spacing w:line="360" w:lineRule="auto"/>
        <w:rPr>
          <w:rFonts w:ascii="宋体" w:hAnsi="宋体" w:cs="宋体"/>
          <w:color w:val="auto"/>
          <w:sz w:val="32"/>
          <w:szCs w:val="32"/>
          <w:highlight w:val="none"/>
        </w:rPr>
      </w:pPr>
    </w:p>
    <w:p w14:paraId="43A0ABE7">
      <w:pPr>
        <w:spacing w:line="360" w:lineRule="auto"/>
        <w:rPr>
          <w:rFonts w:ascii="宋体" w:hAnsi="宋体" w:cs="宋体"/>
          <w:color w:val="auto"/>
          <w:sz w:val="32"/>
          <w:szCs w:val="32"/>
          <w:highlight w:val="none"/>
        </w:rPr>
      </w:pPr>
    </w:p>
    <w:p w14:paraId="24FB016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5F32AC7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790C71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107D3CF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6F46C17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58347B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3639A22A">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85A2726">
      <w:pPr>
        <w:spacing w:line="360" w:lineRule="auto"/>
        <w:ind w:firstLine="549" w:firstLineChars="229"/>
        <w:rPr>
          <w:rFonts w:ascii="宋体" w:hAnsi="宋体" w:cs="宋体"/>
          <w:color w:val="auto"/>
          <w:sz w:val="24"/>
          <w:highlight w:val="none"/>
        </w:rPr>
      </w:pPr>
    </w:p>
    <w:p w14:paraId="70CD6560">
      <w:pPr>
        <w:spacing w:line="360" w:lineRule="auto"/>
        <w:ind w:firstLine="549" w:firstLineChars="229"/>
        <w:rPr>
          <w:rFonts w:ascii="宋体" w:hAnsi="宋体" w:cs="宋体"/>
          <w:color w:val="auto"/>
          <w:sz w:val="24"/>
          <w:highlight w:val="none"/>
        </w:rPr>
      </w:pPr>
    </w:p>
    <w:p w14:paraId="541C5990">
      <w:pPr>
        <w:spacing w:line="360" w:lineRule="auto"/>
        <w:ind w:firstLine="549" w:firstLineChars="229"/>
        <w:rPr>
          <w:rFonts w:ascii="宋体" w:hAnsi="宋体" w:cs="宋体"/>
          <w:color w:val="auto"/>
          <w:sz w:val="24"/>
          <w:highlight w:val="none"/>
        </w:rPr>
      </w:pPr>
    </w:p>
    <w:p w14:paraId="4A633931">
      <w:pPr>
        <w:spacing w:line="360" w:lineRule="auto"/>
        <w:ind w:firstLine="549" w:firstLineChars="229"/>
        <w:rPr>
          <w:rFonts w:ascii="宋体" w:hAnsi="宋体" w:cs="宋体"/>
          <w:color w:val="auto"/>
          <w:sz w:val="24"/>
          <w:highlight w:val="none"/>
        </w:rPr>
      </w:pPr>
    </w:p>
    <w:p w14:paraId="57F66F00">
      <w:pPr>
        <w:spacing w:line="360" w:lineRule="auto"/>
        <w:ind w:firstLine="549" w:firstLineChars="229"/>
        <w:rPr>
          <w:rFonts w:ascii="宋体" w:hAnsi="宋体" w:cs="宋体"/>
          <w:color w:val="auto"/>
          <w:sz w:val="24"/>
          <w:highlight w:val="none"/>
        </w:rPr>
      </w:pPr>
    </w:p>
    <w:p w14:paraId="325434FE">
      <w:pPr>
        <w:spacing w:line="360" w:lineRule="auto"/>
        <w:ind w:firstLine="549" w:firstLineChars="229"/>
        <w:rPr>
          <w:rFonts w:ascii="宋体" w:hAnsi="宋体" w:cs="宋体"/>
          <w:color w:val="auto"/>
          <w:sz w:val="24"/>
          <w:highlight w:val="none"/>
        </w:rPr>
      </w:pPr>
    </w:p>
    <w:p w14:paraId="233C5E7B">
      <w:pPr>
        <w:spacing w:line="360" w:lineRule="auto"/>
        <w:ind w:firstLine="549" w:firstLineChars="229"/>
        <w:rPr>
          <w:rFonts w:ascii="宋体" w:hAnsi="宋体" w:cs="宋体"/>
          <w:color w:val="auto"/>
          <w:sz w:val="24"/>
          <w:highlight w:val="none"/>
        </w:rPr>
      </w:pPr>
    </w:p>
    <w:p w14:paraId="2B6F6725">
      <w:pPr>
        <w:spacing w:line="360" w:lineRule="auto"/>
        <w:ind w:firstLine="549" w:firstLineChars="229"/>
        <w:rPr>
          <w:rFonts w:ascii="宋体" w:hAnsi="宋体" w:cs="宋体"/>
          <w:color w:val="auto"/>
          <w:sz w:val="24"/>
          <w:highlight w:val="none"/>
        </w:rPr>
      </w:pPr>
    </w:p>
    <w:p w14:paraId="087E3BBC">
      <w:pPr>
        <w:spacing w:line="360" w:lineRule="auto"/>
        <w:ind w:firstLine="549" w:firstLineChars="229"/>
        <w:rPr>
          <w:rFonts w:ascii="宋体" w:hAnsi="宋体" w:cs="宋体"/>
          <w:color w:val="auto"/>
          <w:sz w:val="24"/>
          <w:highlight w:val="none"/>
        </w:rPr>
      </w:pPr>
    </w:p>
    <w:p w14:paraId="36C695FF">
      <w:pPr>
        <w:spacing w:line="360" w:lineRule="auto"/>
        <w:ind w:firstLine="549" w:firstLineChars="229"/>
        <w:rPr>
          <w:rFonts w:ascii="宋体" w:hAnsi="宋体" w:cs="宋体"/>
          <w:color w:val="auto"/>
          <w:sz w:val="24"/>
          <w:highlight w:val="none"/>
        </w:rPr>
      </w:pPr>
    </w:p>
    <w:p w14:paraId="1D9360A7">
      <w:pPr>
        <w:spacing w:line="360" w:lineRule="auto"/>
        <w:ind w:firstLine="549" w:firstLineChars="229"/>
        <w:rPr>
          <w:rFonts w:ascii="宋体" w:hAnsi="宋体" w:cs="宋体"/>
          <w:color w:val="auto"/>
          <w:sz w:val="24"/>
          <w:highlight w:val="none"/>
        </w:rPr>
      </w:pPr>
    </w:p>
    <w:p w14:paraId="30439E46">
      <w:pPr>
        <w:spacing w:line="360" w:lineRule="auto"/>
        <w:ind w:firstLine="549" w:firstLineChars="229"/>
        <w:rPr>
          <w:rFonts w:ascii="宋体" w:hAnsi="宋体" w:cs="宋体"/>
          <w:color w:val="auto"/>
          <w:sz w:val="24"/>
          <w:highlight w:val="none"/>
        </w:rPr>
      </w:pPr>
    </w:p>
    <w:p w14:paraId="55E0D6C6">
      <w:pPr>
        <w:spacing w:line="360" w:lineRule="auto"/>
        <w:rPr>
          <w:rFonts w:ascii="宋体" w:hAnsi="宋体" w:cs="宋体"/>
          <w:color w:val="auto"/>
          <w:sz w:val="24"/>
          <w:highlight w:val="none"/>
        </w:rPr>
      </w:pPr>
    </w:p>
    <w:p w14:paraId="3D0B8790">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E4B7A9D">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7B5D5EC">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杭州职业技术大学</w:t>
      </w:r>
      <w:r>
        <w:rPr>
          <w:rFonts w:hint="eastAsia" w:cs="仿宋_GB2312" w:asciiTheme="minorEastAsia" w:hAnsiTheme="minorEastAsia" w:eastAsiaTheme="minorEastAsia"/>
          <w:color w:val="auto"/>
          <w:sz w:val="24"/>
          <w:highlight w:val="none"/>
          <w:u w:val="single"/>
          <w:lang w:val="en-US" w:eastAsia="zh-CN"/>
        </w:rPr>
        <w:t>新安江</w:t>
      </w:r>
      <w:r>
        <w:rPr>
          <w:rFonts w:hint="eastAsia" w:cs="仿宋_GB2312" w:asciiTheme="minorEastAsia" w:hAnsiTheme="minorEastAsia" w:eastAsiaTheme="minorEastAsia"/>
          <w:color w:val="auto"/>
          <w:sz w:val="24"/>
          <w:highlight w:val="none"/>
          <w:u w:val="single"/>
        </w:rPr>
        <w:t>校区多媒体教室建设项目</w:t>
      </w:r>
      <w:r>
        <w:rPr>
          <w:rFonts w:hint="eastAsia" w:asciiTheme="minorEastAsia" w:hAnsiTheme="minorEastAsia" w:eastAsiaTheme="minorEastAsia"/>
          <w:color w:val="auto"/>
          <w:sz w:val="24"/>
          <w:highlight w:val="none"/>
        </w:rPr>
        <w:t>招标项目的潜在投标人应在政采云平台（</w:t>
      </w:r>
      <w:r>
        <w:rPr>
          <w:rFonts w:asciiTheme="minorEastAsia" w:hAnsiTheme="minorEastAsia" w:eastAsiaTheme="minorEastAsia"/>
          <w:color w:val="auto"/>
          <w:sz w:val="24"/>
          <w:highlight w:val="none"/>
        </w:rPr>
        <w:t>https://www.zcygov.cn/）获取（下载）招标文件，并于</w:t>
      </w:r>
      <w:r>
        <w:rPr>
          <w:rFonts w:hint="eastAsia" w:cs="仿宋_GB2312" w:asciiTheme="minorEastAsia" w:hAnsiTheme="minorEastAsia" w:eastAsiaTheme="minorEastAsia"/>
          <w:color w:val="auto"/>
          <w:sz w:val="24"/>
          <w:highlight w:val="none"/>
          <w:u w:val="single"/>
        </w:rPr>
        <w:t>2026</w:t>
      </w:r>
      <w:r>
        <w:rPr>
          <w:rFonts w:cs="仿宋_GB2312" w:asciiTheme="minorEastAsia" w:hAnsiTheme="minorEastAsia" w:eastAsiaTheme="minorEastAsia"/>
          <w:color w:val="auto"/>
          <w:sz w:val="24"/>
          <w:highlight w:val="none"/>
          <w:u w:val="single"/>
        </w:rPr>
        <w:t>年</w:t>
      </w:r>
      <w:r>
        <w:rPr>
          <w:rFonts w:hint="eastAsia" w:cs="仿宋_GB2312" w:asciiTheme="minorEastAsia" w:hAnsiTheme="minorEastAsia" w:eastAsiaTheme="minorEastAsia"/>
          <w:color w:val="auto"/>
          <w:sz w:val="24"/>
          <w:highlight w:val="none"/>
          <w:u w:val="single"/>
          <w:lang w:val="en-US" w:eastAsia="zh-CN"/>
        </w:rPr>
        <w:t>6</w:t>
      </w:r>
      <w:r>
        <w:rPr>
          <w:rFonts w:hint="eastAsia" w:cs="仿宋_GB2312" w:asciiTheme="minorEastAsia" w:hAnsiTheme="minorEastAsia" w:eastAsiaTheme="minorEastAsia"/>
          <w:color w:val="auto"/>
          <w:sz w:val="24"/>
          <w:highlight w:val="none"/>
          <w:u w:val="single"/>
        </w:rPr>
        <w:t>月</w:t>
      </w:r>
      <w:r>
        <w:rPr>
          <w:rFonts w:hint="eastAsia" w:cs="仿宋_GB2312" w:asciiTheme="minorEastAsia" w:hAnsiTheme="minorEastAsia" w:eastAsiaTheme="minorEastAsia"/>
          <w:color w:val="auto"/>
          <w:sz w:val="24"/>
          <w:highlight w:val="none"/>
          <w:u w:val="single"/>
          <w:lang w:val="en-US" w:eastAsia="zh-CN"/>
        </w:rPr>
        <w:t>23</w:t>
      </w:r>
      <w:r>
        <w:rPr>
          <w:rFonts w:hint="eastAsia" w:cs="仿宋_GB2312" w:asciiTheme="minorEastAsia" w:hAnsiTheme="minorEastAsia" w:eastAsiaTheme="minorEastAsia"/>
          <w:color w:val="auto"/>
          <w:sz w:val="24"/>
          <w:highlight w:val="none"/>
          <w:u w:val="single"/>
        </w:rPr>
        <w:t>日</w:t>
      </w:r>
      <w:r>
        <w:rPr>
          <w:rFonts w:hint="eastAsia" w:cs="仿宋_GB2312" w:asciiTheme="minorEastAsia" w:hAnsiTheme="minorEastAsia" w:eastAsiaTheme="minorEastAsia"/>
          <w:color w:val="auto"/>
          <w:sz w:val="24"/>
          <w:highlight w:val="none"/>
          <w:u w:val="single"/>
          <w:lang w:val="en-US" w:eastAsia="zh-CN"/>
        </w:rPr>
        <w:t>10</w:t>
      </w:r>
      <w:r>
        <w:rPr>
          <w:rFonts w:hint="eastAsia" w:cs="仿宋_GB2312" w:asciiTheme="minorEastAsia" w:hAnsiTheme="minorEastAsia" w:eastAsiaTheme="minorEastAsia"/>
          <w:color w:val="auto"/>
          <w:sz w:val="24"/>
          <w:highlight w:val="none"/>
          <w:u w:val="single"/>
        </w:rPr>
        <w:t>点</w:t>
      </w:r>
      <w:r>
        <w:rPr>
          <w:rFonts w:hint="eastAsia" w:cs="仿宋_GB2312" w:asciiTheme="minorEastAsia" w:hAnsiTheme="minorEastAsia" w:eastAsiaTheme="minorEastAsia"/>
          <w:color w:val="auto"/>
          <w:sz w:val="24"/>
          <w:highlight w:val="none"/>
          <w:u w:val="single"/>
          <w:lang w:val="en-US" w:eastAsia="zh-CN"/>
        </w:rPr>
        <w:t>30</w:t>
      </w:r>
      <w:r>
        <w:rPr>
          <w:rFonts w:hint="eastAsia" w:cs="仿宋_GB2312" w:asciiTheme="minorEastAsia" w:hAnsiTheme="minorEastAsia" w:eastAsiaTheme="minorEastAsia"/>
          <w:color w:val="auto"/>
          <w:sz w:val="24"/>
          <w:highlight w:val="none"/>
          <w:u w:val="single"/>
        </w:rPr>
        <w:t>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3EC7DA7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7321F9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rPr>
        <w:t>HZZFCG-2026-072</w:t>
      </w:r>
    </w:p>
    <w:p w14:paraId="5C1B4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杭州职业技术大学</w:t>
      </w:r>
      <w:r>
        <w:rPr>
          <w:rFonts w:hint="eastAsia" w:ascii="宋体" w:hAnsi="宋体" w:cs="宋体"/>
          <w:color w:val="auto"/>
          <w:sz w:val="24"/>
          <w:highlight w:val="none"/>
          <w:lang w:val="en-US" w:eastAsia="zh-CN"/>
        </w:rPr>
        <w:t>新安江</w:t>
      </w:r>
      <w:r>
        <w:rPr>
          <w:rFonts w:hint="eastAsia" w:ascii="宋体" w:hAnsi="宋体" w:cs="宋体"/>
          <w:color w:val="auto"/>
          <w:sz w:val="24"/>
          <w:highlight w:val="none"/>
        </w:rPr>
        <w:t>校区多媒体教室建设项目</w:t>
      </w:r>
    </w:p>
    <w:p w14:paraId="0E0C04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rPr>
        <w:t xml:space="preserve">4975000 </w:t>
      </w:r>
    </w:p>
    <w:p w14:paraId="1A066620">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rPr>
        <w:t xml:space="preserve">4975000 </w:t>
      </w:r>
    </w:p>
    <w:p w14:paraId="39ADE058">
      <w:pPr>
        <w:pStyle w:val="5"/>
        <w:spacing w:line="360" w:lineRule="auto"/>
        <w:ind w:firstLine="482"/>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杭州职业技术大学</w:t>
      </w:r>
      <w:r>
        <w:rPr>
          <w:rFonts w:hint="eastAsia" w:hAnsi="宋体" w:cs="宋体"/>
          <w:bCs/>
          <w:snapToGrid/>
          <w:color w:val="auto"/>
          <w:kern w:val="2"/>
          <w:sz w:val="24"/>
          <w:szCs w:val="24"/>
          <w:highlight w:val="none"/>
          <w:lang w:val="en-US" w:eastAsia="zh-CN"/>
        </w:rPr>
        <w:t>新安江</w:t>
      </w:r>
      <w:r>
        <w:rPr>
          <w:rFonts w:hint="eastAsia" w:hAnsi="宋体" w:cs="宋体"/>
          <w:bCs/>
          <w:snapToGrid/>
          <w:color w:val="auto"/>
          <w:kern w:val="2"/>
          <w:sz w:val="24"/>
          <w:szCs w:val="24"/>
          <w:highlight w:val="none"/>
        </w:rPr>
        <w:t>校区多媒体教室建设项目主要内容：杭州职业技术大学新建</w:t>
      </w:r>
      <w:r>
        <w:rPr>
          <w:rFonts w:hint="eastAsia" w:hAnsi="宋体" w:cs="宋体"/>
          <w:bCs/>
          <w:snapToGrid/>
          <w:color w:val="auto"/>
          <w:kern w:val="2"/>
          <w:sz w:val="24"/>
          <w:szCs w:val="24"/>
          <w:highlight w:val="none"/>
          <w:lang w:eastAsia="zh-CN"/>
        </w:rPr>
        <w:t>新安江校区</w:t>
      </w:r>
      <w:r>
        <w:rPr>
          <w:rFonts w:hint="eastAsia" w:hAnsi="宋体" w:cs="宋体"/>
          <w:bCs/>
          <w:snapToGrid/>
          <w:color w:val="auto"/>
          <w:kern w:val="2"/>
          <w:sz w:val="24"/>
          <w:szCs w:val="24"/>
          <w:highlight w:val="none"/>
        </w:rPr>
        <w:t>，2026年9月新生入学并投入使用。拟新建36间标准化多媒体教室，14间机房、2间200座阶梯教室、2间艺术教室、建设内容涵盖核心教学设备集成与环境整体布置，每间教室标配高清一体机、多媒体讲台、功放音响及数字板书设备、教学互动和拍摄系统等，实现智能化、网络化统一管理，满足日常教学、班级活动以及各类讲座报告等需要。</w:t>
      </w:r>
      <w:r>
        <w:rPr>
          <w:rFonts w:hint="eastAsia" w:asciiTheme="minorEastAsia" w:hAnsiTheme="minorEastAsia" w:eastAsiaTheme="minorEastAsia"/>
          <w:snapToGrid/>
          <w:color w:val="auto"/>
          <w:kern w:val="2"/>
          <w:sz w:val="24"/>
          <w:szCs w:val="24"/>
          <w:highlight w:val="none"/>
        </w:rPr>
        <w:t>具体以招标文件第三部分采购需求为准。</w:t>
      </w:r>
    </w:p>
    <w:p w14:paraId="2C6F7BD1">
      <w:pPr>
        <w:pStyle w:val="131"/>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hAnsi="宋体" w:cs="宋体"/>
          <w:bCs/>
          <w:color w:val="auto"/>
          <w:szCs w:val="24"/>
          <w:highlight w:val="none"/>
        </w:rPr>
        <w:t>合同签订</w:t>
      </w:r>
      <w:r>
        <w:rPr>
          <w:rFonts w:hint="eastAsia" w:hAnsi="宋体" w:cs="宋体"/>
          <w:bCs/>
          <w:color w:val="auto"/>
          <w:szCs w:val="24"/>
          <w:highlight w:val="none"/>
          <w:lang w:val="en-US" w:eastAsia="zh-CN"/>
        </w:rPr>
        <w:t>且接到进场指令</w:t>
      </w:r>
      <w:r>
        <w:rPr>
          <w:rFonts w:hint="eastAsia" w:hAnsi="宋体" w:cs="宋体"/>
          <w:bCs/>
          <w:color w:val="auto"/>
          <w:szCs w:val="24"/>
          <w:highlight w:val="none"/>
        </w:rPr>
        <w:t>后45天内完成所有设备的供货、安装、调试工作</w:t>
      </w:r>
      <w:r>
        <w:rPr>
          <w:rFonts w:hint="eastAsia" w:hAnsi="宋体" w:cs="宋体"/>
          <w:bCs/>
          <w:color w:val="auto"/>
          <w:szCs w:val="24"/>
          <w:highlight w:val="none"/>
          <w:lang w:eastAsia="zh-CN"/>
        </w:rPr>
        <w:t>，</w:t>
      </w:r>
      <w:r>
        <w:rPr>
          <w:rFonts w:hint="eastAsia" w:hAnsi="宋体" w:cs="宋体"/>
          <w:bCs/>
          <w:color w:val="auto"/>
          <w:szCs w:val="24"/>
          <w:highlight w:val="none"/>
          <w:lang w:val="en-US" w:eastAsia="zh-CN"/>
        </w:rPr>
        <w:t>如果由于采购人工程进度原因延期，则工期顺延</w:t>
      </w:r>
      <w:r>
        <w:rPr>
          <w:rFonts w:hint="eastAsia" w:hAnsi="宋体" w:cs="宋体"/>
          <w:bCs/>
          <w:color w:val="auto"/>
          <w:szCs w:val="24"/>
          <w:highlight w:val="none"/>
        </w:rPr>
        <w:t>。</w:t>
      </w:r>
    </w:p>
    <w:p w14:paraId="6C5B187D">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30B7C700">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57F277C5">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83957F4">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61615711">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AF7036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47E3022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72912957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0F2F0799">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73212304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货物全部由符合政策要求的中小微企业制造，按要求提供中小企业声明函；</w:t>
      </w:r>
    </w:p>
    <w:p w14:paraId="0A27910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50376581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货物全部由符合政策要求的小微企业制造，按要求提供中小企业声明函；</w:t>
      </w:r>
    </w:p>
    <w:p w14:paraId="05D5937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1144900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供应商应以联合体形式参加，并按要求提供联合协议和中小企业声明函，联合协议中，中小企业合同金额应当达到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如果供应商提供的所有标的均由中小企业制造、承建或承接，并相应达到了前述比例要求，无需再与其他中小企业组成联合体参加政府采购活动，</w:t>
      </w:r>
      <w:r>
        <w:rPr>
          <w:rFonts w:hint="eastAsia" w:ascii="宋体" w:hAnsi="宋体" w:cs="宋体"/>
          <w:color w:val="auto"/>
          <w:sz w:val="24"/>
          <w:highlight w:val="none"/>
        </w:rPr>
        <w:t>按要求提供中小企业声明函；</w:t>
      </w:r>
    </w:p>
    <w:bookmarkEnd w:id="12"/>
    <w:p w14:paraId="55FFA46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供应商应以合同分包形式参加，并按要求提供分包意向协议和中小企业声明函，分包意向协议中，中小企业合同金额应当达到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如果供应商提供的所有标的均由中小企业制造、承建或承接，并相应达到了前述比例要求，无需再向中小企业分包，</w:t>
      </w:r>
      <w:r>
        <w:rPr>
          <w:rFonts w:hint="eastAsia" w:ascii="宋体" w:hAnsi="宋体" w:cs="宋体"/>
          <w:color w:val="auto"/>
          <w:sz w:val="24"/>
          <w:highlight w:val="none"/>
        </w:rPr>
        <w:t>按要求提供中小企业声明函；</w:t>
      </w:r>
    </w:p>
    <w:p w14:paraId="083B9F3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6A12CEB">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1902865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无。</w:t>
      </w:r>
    </w:p>
    <w:p w14:paraId="42FAC2B2">
      <w:pPr>
        <w:snapToGrid w:val="0"/>
        <w:spacing w:line="360" w:lineRule="auto"/>
        <w:ind w:firstLine="480" w:firstLineChars="200"/>
        <w:rPr>
          <w:rFonts w:ascii="宋体" w:hAnsi="宋体" w:cs="宋体"/>
          <w:color w:val="auto"/>
          <w:sz w:val="24"/>
          <w:highlight w:val="none"/>
          <w:u w:val="single"/>
        </w:rPr>
      </w:pPr>
      <w:sdt>
        <w:sdtPr>
          <w:rPr>
            <w:rFonts w:hint="eastAsia" w:ascii="宋体" w:hAnsi="宋体" w:cs="宋体"/>
            <w:color w:val="auto"/>
            <w:kern w:val="0"/>
            <w:sz w:val="24"/>
            <w:highlight w:val="none"/>
          </w:rPr>
          <w:id w:val="3750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A8266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DC126F8">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200606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18DE870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DABF65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470CC44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73BCA3F">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433961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730FC56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C470938">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p>
    <w:p w14:paraId="6435F59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136248BA">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138C0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D2243FE">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4F383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65AFAA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6C4B1B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53C24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4C12399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558F50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032874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称：杭州职业技术大学 </w:t>
      </w:r>
    </w:p>
    <w:p w14:paraId="3A7814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址：杭州下沙高教园区学源街68号</w:t>
      </w:r>
    </w:p>
    <w:p w14:paraId="56E8366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w:t>
      </w:r>
    </w:p>
    <w:p w14:paraId="74B0B3C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项目联系人（询问）：寿老师</w:t>
      </w:r>
    </w:p>
    <w:p w14:paraId="18C241E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项目联系方式（询问）：0571-56700034</w:t>
      </w:r>
    </w:p>
    <w:p w14:paraId="60A91921">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阿比</w:t>
      </w:r>
    </w:p>
    <w:p w14:paraId="1BBEB0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质疑联系方式：0571-567000</w:t>
      </w:r>
      <w:r>
        <w:rPr>
          <w:rFonts w:hint="eastAsia" w:ascii="宋体" w:hAnsi="宋体" w:cs="宋体"/>
          <w:color w:val="auto"/>
          <w:sz w:val="24"/>
          <w:highlight w:val="none"/>
          <w:lang w:val="en-US" w:eastAsia="zh-CN"/>
        </w:rPr>
        <w:t>65</w:t>
      </w:r>
      <w:r>
        <w:rPr>
          <w:rFonts w:hint="eastAsia" w:ascii="宋体" w:hAnsi="宋体" w:cs="宋体"/>
          <w:color w:val="auto"/>
          <w:sz w:val="24"/>
          <w:highlight w:val="none"/>
        </w:rPr>
        <w:t>（请通过以下路径在线提起质疑：政采云-项目采购-询问质疑投诉-质疑列表）</w:t>
      </w:r>
    </w:p>
    <w:p w14:paraId="39086C1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8402FD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称：杭州市公共资源交易中心</w:t>
      </w:r>
    </w:p>
    <w:p w14:paraId="02222E8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址：杭州市上城区之江路925号</w:t>
      </w:r>
    </w:p>
    <w:p w14:paraId="6D4D61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AD2F2A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 潘工、张工</w:t>
      </w:r>
    </w:p>
    <w:p w14:paraId="6598E42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项目联系方式（询问）：0571-89587861、89587802</w:t>
      </w:r>
    </w:p>
    <w:p w14:paraId="6C0E090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质疑联系人：谢栋华</w:t>
      </w:r>
    </w:p>
    <w:p w14:paraId="185AC7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质疑联系方式：0571-</w:t>
      </w:r>
      <w:r>
        <w:rPr>
          <w:rFonts w:ascii="宋体" w:hAnsi="宋体" w:cs="宋体"/>
          <w:color w:val="auto"/>
          <w:sz w:val="24"/>
          <w:highlight w:val="none"/>
        </w:rPr>
        <w:t>89587838</w:t>
      </w:r>
      <w:r>
        <w:rPr>
          <w:rFonts w:hint="eastAsia" w:ascii="宋体" w:hAnsi="宋体" w:cs="宋体"/>
          <w:color w:val="auto"/>
          <w:sz w:val="24"/>
          <w:highlight w:val="none"/>
        </w:rPr>
        <w:t>（请通过以下路径在线提起质疑：政采云-项目采购-询问质疑投诉-质疑列表）</w:t>
      </w:r>
    </w:p>
    <w:p w14:paraId="7FD473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7DD4578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1F3F701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14:paraId="640BC9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533B4E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10929C2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监督投诉电话：0571-87227671,0571-87800218    </w:t>
      </w:r>
    </w:p>
    <w:p w14:paraId="011EFBD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政策咨询：沈先生、陈先生，0571-89580457、89580460</w:t>
      </w:r>
    </w:p>
    <w:p w14:paraId="6F49C1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64B2E9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7311474">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0060D359">
      <w:pPr>
        <w:pStyle w:val="3"/>
        <w:rPr>
          <w:rFonts w:ascii="宋体"/>
          <w:snapToGrid w:val="0"/>
          <w:color w:val="auto"/>
          <w:highlight w:val="none"/>
        </w:rPr>
      </w:pPr>
      <w:r>
        <w:rPr>
          <w:color w:val="auto"/>
          <w:highlight w:val="none"/>
        </w:rPr>
        <w:br w:type="page"/>
      </w:r>
    </w:p>
    <w:p w14:paraId="15DE2530">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4B718D03">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16FF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5F965CE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5CC37B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44AD2EA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3E7F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5" w:hRule="atLeast"/>
        </w:trPr>
        <w:tc>
          <w:tcPr>
            <w:tcW w:w="629" w:type="dxa"/>
            <w:vAlign w:val="center"/>
          </w:tcPr>
          <w:p w14:paraId="15BA5E3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66B7FD6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vAlign w:val="center"/>
          </w:tcPr>
          <w:p w14:paraId="2F443CAA">
            <w:pPr>
              <w:spacing w:line="360" w:lineRule="auto"/>
              <w:rPr>
                <w:rFonts w:ascii="宋体" w:hAnsi="宋体" w:cs="宋体"/>
                <w:color w:val="auto"/>
                <w:sz w:val="24"/>
                <w:highlight w:val="none"/>
              </w:rPr>
            </w:pPr>
            <w:r>
              <w:rPr>
                <w:rFonts w:hint="eastAsia" w:ascii="宋体" w:hAnsi="宋体" w:cs="宋体"/>
                <w:color w:val="auto"/>
                <w:sz w:val="24"/>
                <w:highlight w:val="none"/>
              </w:rPr>
              <w:t>货物类。</w:t>
            </w:r>
          </w:p>
          <w:p w14:paraId="7DEE5165">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98寸智慧屏 </w:t>
            </w:r>
            <w:r>
              <w:rPr>
                <w:rFonts w:hint="eastAsia" w:ascii="宋体" w:hAnsi="宋体" w:cs="宋体"/>
                <w:color w:val="auto"/>
                <w:sz w:val="24"/>
                <w:highlight w:val="none"/>
              </w:rPr>
              <w:t>。</w:t>
            </w:r>
          </w:p>
        </w:tc>
      </w:tr>
      <w:tr w14:paraId="3B02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72A39D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7C60F3E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tbl>
            <w:tblPr>
              <w:tblStyle w:val="62"/>
              <w:tblW w:w="4741" w:type="pct"/>
              <w:jc w:val="center"/>
              <w:tblLayout w:type="fixed"/>
              <w:tblCellMar>
                <w:top w:w="0" w:type="dxa"/>
                <w:left w:w="108" w:type="dxa"/>
                <w:bottom w:w="0" w:type="dxa"/>
                <w:right w:w="108" w:type="dxa"/>
              </w:tblCellMar>
            </w:tblPr>
            <w:tblGrid>
              <w:gridCol w:w="1164"/>
              <w:gridCol w:w="2280"/>
              <w:gridCol w:w="2283"/>
            </w:tblGrid>
            <w:tr w14:paraId="3106ACE0">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01363CC3">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2252" w:type="dxa"/>
                  <w:tcBorders>
                    <w:top w:val="single" w:color="000000" w:sz="4" w:space="0"/>
                    <w:left w:val="nil"/>
                    <w:bottom w:val="single" w:color="000000" w:sz="4" w:space="0"/>
                    <w:right w:val="single" w:color="000000" w:sz="4" w:space="0"/>
                  </w:tcBorders>
                  <w:vAlign w:val="center"/>
                </w:tcPr>
                <w:p w14:paraId="3E09A92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标的名称</w:t>
                  </w:r>
                </w:p>
              </w:tc>
              <w:tc>
                <w:tcPr>
                  <w:tcW w:w="2255" w:type="dxa"/>
                  <w:tcBorders>
                    <w:top w:val="single" w:color="000000" w:sz="4" w:space="0"/>
                    <w:left w:val="nil"/>
                    <w:bottom w:val="single" w:color="000000" w:sz="4" w:space="0"/>
                    <w:right w:val="single" w:color="000000" w:sz="4" w:space="0"/>
                  </w:tcBorders>
                  <w:vAlign w:val="center"/>
                </w:tcPr>
                <w:p w14:paraId="3B943AB6">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对应的中小企业划分标准所属行业</w:t>
                  </w:r>
                </w:p>
              </w:tc>
            </w:tr>
            <w:tr w14:paraId="0646FF55">
              <w:tblPrEx>
                <w:tblCellMar>
                  <w:top w:w="0" w:type="dxa"/>
                  <w:left w:w="108" w:type="dxa"/>
                  <w:bottom w:w="0" w:type="dxa"/>
                  <w:right w:w="108" w:type="dxa"/>
                </w:tblCellMar>
              </w:tblPrEx>
              <w:trPr>
                <w:jc w:val="center"/>
              </w:trPr>
              <w:tc>
                <w:tcPr>
                  <w:tcW w:w="5657" w:type="dxa"/>
                  <w:gridSpan w:val="3"/>
                  <w:tcBorders>
                    <w:top w:val="single" w:color="000000" w:sz="4" w:space="0"/>
                    <w:left w:val="single" w:color="000000" w:sz="4" w:space="0"/>
                    <w:bottom w:val="single" w:color="000000" w:sz="4" w:space="0"/>
                    <w:right w:val="single" w:color="000000" w:sz="4" w:space="0"/>
                  </w:tcBorders>
                  <w:vAlign w:val="center"/>
                </w:tcPr>
                <w:p w14:paraId="5F637D95">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一、多媒体教室设施设备</w:t>
                  </w:r>
                </w:p>
              </w:tc>
            </w:tr>
            <w:tr w14:paraId="15C9FB18">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46A11D67">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w:t>
                  </w:r>
                </w:p>
              </w:tc>
              <w:tc>
                <w:tcPr>
                  <w:tcW w:w="2252" w:type="dxa"/>
                  <w:tcBorders>
                    <w:top w:val="single" w:color="000000" w:sz="4" w:space="0"/>
                    <w:left w:val="nil"/>
                    <w:bottom w:val="single" w:color="000000" w:sz="4" w:space="0"/>
                    <w:right w:val="single" w:color="000000" w:sz="4" w:space="0"/>
                  </w:tcBorders>
                  <w:vAlign w:val="center"/>
                </w:tcPr>
                <w:p w14:paraId="22B6315B">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98寸智慧屏</w:t>
                  </w:r>
                </w:p>
              </w:tc>
              <w:tc>
                <w:tcPr>
                  <w:tcW w:w="2255" w:type="dxa"/>
                  <w:tcBorders>
                    <w:top w:val="single" w:color="000000" w:sz="4" w:space="0"/>
                    <w:left w:val="nil"/>
                    <w:bottom w:val="single" w:color="000000" w:sz="4" w:space="0"/>
                    <w:right w:val="single" w:color="000000" w:sz="4" w:space="0"/>
                  </w:tcBorders>
                  <w:vAlign w:val="center"/>
                </w:tcPr>
                <w:p w14:paraId="2E550F90">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2F5C104E">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0A95AEC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w:t>
                  </w:r>
                </w:p>
              </w:tc>
              <w:tc>
                <w:tcPr>
                  <w:tcW w:w="2252" w:type="dxa"/>
                  <w:tcBorders>
                    <w:top w:val="single" w:color="000000" w:sz="4" w:space="0"/>
                    <w:left w:val="nil"/>
                    <w:bottom w:val="single" w:color="000000" w:sz="4" w:space="0"/>
                    <w:right w:val="single" w:color="000000" w:sz="4" w:space="0"/>
                  </w:tcBorders>
                  <w:vAlign w:val="center"/>
                </w:tcPr>
                <w:p w14:paraId="680397E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智能书写板</w:t>
                  </w:r>
                </w:p>
              </w:tc>
              <w:tc>
                <w:tcPr>
                  <w:tcW w:w="2255" w:type="dxa"/>
                  <w:tcBorders>
                    <w:top w:val="single" w:color="000000" w:sz="4" w:space="0"/>
                    <w:left w:val="nil"/>
                    <w:bottom w:val="single" w:color="000000" w:sz="4" w:space="0"/>
                    <w:right w:val="single" w:color="000000" w:sz="4" w:space="0"/>
                  </w:tcBorders>
                  <w:vAlign w:val="center"/>
                </w:tcPr>
                <w:p w14:paraId="67CE19A1">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4B874E0E">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711697C7">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3</w:t>
                  </w:r>
                </w:p>
              </w:tc>
              <w:tc>
                <w:tcPr>
                  <w:tcW w:w="2252" w:type="dxa"/>
                  <w:tcBorders>
                    <w:top w:val="single" w:color="000000" w:sz="4" w:space="0"/>
                    <w:left w:val="nil"/>
                    <w:bottom w:val="single" w:color="000000" w:sz="4" w:space="0"/>
                    <w:right w:val="single" w:color="000000" w:sz="4" w:space="0"/>
                  </w:tcBorders>
                  <w:vAlign w:val="center"/>
                </w:tcPr>
                <w:p w14:paraId="4CAF5F7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讲台智慧屏</w:t>
                  </w:r>
                </w:p>
              </w:tc>
              <w:tc>
                <w:tcPr>
                  <w:tcW w:w="2255" w:type="dxa"/>
                  <w:tcBorders>
                    <w:top w:val="single" w:color="000000" w:sz="4" w:space="0"/>
                    <w:left w:val="nil"/>
                    <w:bottom w:val="single" w:color="000000" w:sz="4" w:space="0"/>
                    <w:right w:val="single" w:color="000000" w:sz="4" w:space="0"/>
                  </w:tcBorders>
                  <w:vAlign w:val="center"/>
                </w:tcPr>
                <w:p w14:paraId="7D108B3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2C06CBD6">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1F56FDE3">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4</w:t>
                  </w:r>
                </w:p>
              </w:tc>
              <w:tc>
                <w:tcPr>
                  <w:tcW w:w="2252" w:type="dxa"/>
                  <w:tcBorders>
                    <w:top w:val="single" w:color="000000" w:sz="4" w:space="0"/>
                    <w:left w:val="nil"/>
                    <w:bottom w:val="single" w:color="000000" w:sz="4" w:space="0"/>
                    <w:right w:val="single" w:color="000000" w:sz="4" w:space="0"/>
                  </w:tcBorders>
                  <w:vAlign w:val="center"/>
                </w:tcPr>
                <w:p w14:paraId="21B42E16">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讲台1</w:t>
                  </w:r>
                </w:p>
              </w:tc>
              <w:tc>
                <w:tcPr>
                  <w:tcW w:w="2255" w:type="dxa"/>
                  <w:tcBorders>
                    <w:top w:val="single" w:color="000000" w:sz="4" w:space="0"/>
                    <w:left w:val="nil"/>
                    <w:bottom w:val="single" w:color="000000" w:sz="4" w:space="0"/>
                    <w:right w:val="single" w:color="000000" w:sz="4" w:space="0"/>
                  </w:tcBorders>
                  <w:vAlign w:val="center"/>
                </w:tcPr>
                <w:p w14:paraId="723C20CD">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1578F44A">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7C7F6C23">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5</w:t>
                  </w:r>
                </w:p>
              </w:tc>
              <w:tc>
                <w:tcPr>
                  <w:tcW w:w="2252" w:type="dxa"/>
                  <w:tcBorders>
                    <w:top w:val="single" w:color="000000" w:sz="4" w:space="0"/>
                    <w:left w:val="nil"/>
                    <w:bottom w:val="single" w:color="000000" w:sz="4" w:space="0"/>
                    <w:right w:val="single" w:color="000000" w:sz="4" w:space="0"/>
                  </w:tcBorders>
                  <w:vAlign w:val="center"/>
                </w:tcPr>
                <w:p w14:paraId="2B94D87D">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讲台2</w:t>
                  </w:r>
                </w:p>
              </w:tc>
              <w:tc>
                <w:tcPr>
                  <w:tcW w:w="2255" w:type="dxa"/>
                  <w:tcBorders>
                    <w:top w:val="single" w:color="000000" w:sz="4" w:space="0"/>
                    <w:left w:val="nil"/>
                    <w:bottom w:val="single" w:color="000000" w:sz="4" w:space="0"/>
                    <w:right w:val="single" w:color="000000" w:sz="4" w:space="0"/>
                  </w:tcBorders>
                  <w:vAlign w:val="center"/>
                </w:tcPr>
                <w:p w14:paraId="19D93AC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344493EB">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4B8B2186">
                  <w:pPr>
                    <w:widowControl/>
                    <w:jc w:val="center"/>
                    <w:textAlignment w:val="center"/>
                    <w:rPr>
                      <w:rFonts w:ascii="宋体" w:hAnsi="宋体" w:cs="宋体"/>
                      <w:color w:val="auto"/>
                      <w:kern w:val="0"/>
                      <w:szCs w:val="21"/>
                      <w:highlight w:val="none"/>
                    </w:rPr>
                  </w:pPr>
                  <w:r>
                    <w:rPr>
                      <w:rFonts w:hint="eastAsia" w:ascii="宋体" w:hAnsi="宋体" w:cs="宋体"/>
                      <w:color w:val="auto"/>
                      <w:kern w:val="0"/>
                      <w:sz w:val="20"/>
                      <w:szCs w:val="20"/>
                      <w:highlight w:val="none"/>
                      <w:lang w:bidi="ar"/>
                    </w:rPr>
                    <w:t>6</w:t>
                  </w:r>
                </w:p>
              </w:tc>
              <w:tc>
                <w:tcPr>
                  <w:tcW w:w="2252" w:type="dxa"/>
                  <w:tcBorders>
                    <w:top w:val="single" w:color="000000" w:sz="4" w:space="0"/>
                    <w:left w:val="nil"/>
                    <w:bottom w:val="single" w:color="000000" w:sz="4" w:space="0"/>
                    <w:right w:val="single" w:color="000000" w:sz="4" w:space="0"/>
                  </w:tcBorders>
                  <w:vAlign w:val="center"/>
                </w:tcPr>
                <w:p w14:paraId="728A7250">
                  <w:pPr>
                    <w:widowControl/>
                    <w:jc w:val="center"/>
                    <w:textAlignment w:val="center"/>
                    <w:rPr>
                      <w:rFonts w:ascii="宋体" w:hAnsi="宋体" w:cs="宋体"/>
                      <w:color w:val="auto"/>
                      <w:kern w:val="0"/>
                      <w:szCs w:val="21"/>
                      <w:highlight w:val="none"/>
                    </w:rPr>
                  </w:pPr>
                  <w:r>
                    <w:rPr>
                      <w:rFonts w:hint="eastAsia" w:ascii="宋体" w:hAnsi="宋体" w:cs="宋体"/>
                      <w:color w:val="auto"/>
                      <w:kern w:val="0"/>
                      <w:sz w:val="20"/>
                      <w:szCs w:val="20"/>
                      <w:highlight w:val="none"/>
                      <w:lang w:bidi="ar"/>
                    </w:rPr>
                    <w:t>音柱</w:t>
                  </w:r>
                </w:p>
              </w:tc>
              <w:tc>
                <w:tcPr>
                  <w:tcW w:w="2255" w:type="dxa"/>
                  <w:tcBorders>
                    <w:top w:val="single" w:color="000000" w:sz="4" w:space="0"/>
                    <w:left w:val="nil"/>
                    <w:bottom w:val="single" w:color="000000" w:sz="4" w:space="0"/>
                    <w:right w:val="single" w:color="000000" w:sz="4" w:space="0"/>
                  </w:tcBorders>
                  <w:vAlign w:val="center"/>
                </w:tcPr>
                <w:p w14:paraId="158EF52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5A2B617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50A9B6B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7</w:t>
                  </w:r>
                </w:p>
              </w:tc>
              <w:tc>
                <w:tcPr>
                  <w:tcW w:w="2252" w:type="dxa"/>
                  <w:tcBorders>
                    <w:top w:val="single" w:color="000000" w:sz="4" w:space="0"/>
                    <w:left w:val="nil"/>
                    <w:bottom w:val="single" w:color="000000" w:sz="4" w:space="0"/>
                    <w:right w:val="single" w:color="000000" w:sz="4" w:space="0"/>
                  </w:tcBorders>
                  <w:vAlign w:val="center"/>
                </w:tcPr>
                <w:p w14:paraId="51DE1B9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功放</w:t>
                  </w:r>
                </w:p>
              </w:tc>
              <w:tc>
                <w:tcPr>
                  <w:tcW w:w="2255" w:type="dxa"/>
                  <w:tcBorders>
                    <w:top w:val="single" w:color="000000" w:sz="4" w:space="0"/>
                    <w:left w:val="nil"/>
                    <w:bottom w:val="single" w:color="000000" w:sz="4" w:space="0"/>
                    <w:right w:val="single" w:color="000000" w:sz="4" w:space="0"/>
                  </w:tcBorders>
                  <w:vAlign w:val="center"/>
                </w:tcPr>
                <w:p w14:paraId="6FFA074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0E9D10D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5C3A392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8</w:t>
                  </w:r>
                </w:p>
              </w:tc>
              <w:tc>
                <w:tcPr>
                  <w:tcW w:w="2252" w:type="dxa"/>
                  <w:tcBorders>
                    <w:top w:val="single" w:color="000000" w:sz="4" w:space="0"/>
                    <w:left w:val="nil"/>
                    <w:bottom w:val="single" w:color="000000" w:sz="4" w:space="0"/>
                    <w:right w:val="single" w:color="000000" w:sz="4" w:space="0"/>
                  </w:tcBorders>
                  <w:vAlign w:val="center"/>
                </w:tcPr>
                <w:p w14:paraId="34E1EED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无线麦克风</w:t>
                  </w:r>
                </w:p>
              </w:tc>
              <w:tc>
                <w:tcPr>
                  <w:tcW w:w="2255" w:type="dxa"/>
                  <w:tcBorders>
                    <w:top w:val="single" w:color="000000" w:sz="4" w:space="0"/>
                    <w:left w:val="nil"/>
                    <w:bottom w:val="single" w:color="000000" w:sz="4" w:space="0"/>
                    <w:right w:val="single" w:color="000000" w:sz="4" w:space="0"/>
                  </w:tcBorders>
                  <w:vAlign w:val="center"/>
                </w:tcPr>
                <w:p w14:paraId="76948C53">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0BEEEA0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757ABB13">
                  <w:pPr>
                    <w:widowControl/>
                    <w:jc w:val="center"/>
                    <w:textAlignment w:val="center"/>
                    <w:rPr>
                      <w:rFonts w:ascii="宋体" w:hAnsi="宋体" w:cs="宋体"/>
                      <w:color w:val="auto"/>
                      <w:kern w:val="0"/>
                      <w:szCs w:val="21"/>
                      <w:highlight w:val="none"/>
                    </w:rPr>
                  </w:pPr>
                  <w:r>
                    <w:rPr>
                      <w:rFonts w:hint="eastAsia" w:ascii="宋体" w:hAnsi="宋体" w:cs="宋体"/>
                      <w:color w:val="auto"/>
                      <w:kern w:val="0"/>
                      <w:sz w:val="20"/>
                      <w:szCs w:val="20"/>
                      <w:highlight w:val="none"/>
                      <w:lang w:bidi="ar"/>
                    </w:rPr>
                    <w:t>9</w:t>
                  </w:r>
                </w:p>
              </w:tc>
              <w:tc>
                <w:tcPr>
                  <w:tcW w:w="2252" w:type="dxa"/>
                  <w:tcBorders>
                    <w:top w:val="single" w:color="000000" w:sz="4" w:space="0"/>
                    <w:left w:val="nil"/>
                    <w:bottom w:val="single" w:color="000000" w:sz="4" w:space="0"/>
                    <w:right w:val="single" w:color="000000" w:sz="4" w:space="0"/>
                  </w:tcBorders>
                  <w:vAlign w:val="center"/>
                </w:tcPr>
                <w:p w14:paraId="45A9643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录播主机</w:t>
                  </w:r>
                </w:p>
              </w:tc>
              <w:tc>
                <w:tcPr>
                  <w:tcW w:w="2255" w:type="dxa"/>
                  <w:tcBorders>
                    <w:top w:val="single" w:color="000000" w:sz="4" w:space="0"/>
                    <w:left w:val="nil"/>
                    <w:bottom w:val="single" w:color="000000" w:sz="4" w:space="0"/>
                    <w:right w:val="single" w:color="000000" w:sz="4" w:space="0"/>
                  </w:tcBorders>
                  <w:vAlign w:val="center"/>
                </w:tcPr>
                <w:p w14:paraId="00C5712A">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50B633B7">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5D7D376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10</w:t>
                  </w:r>
                </w:p>
              </w:tc>
              <w:tc>
                <w:tcPr>
                  <w:tcW w:w="2252" w:type="dxa"/>
                  <w:tcBorders>
                    <w:top w:val="single" w:color="000000" w:sz="4" w:space="0"/>
                    <w:left w:val="nil"/>
                    <w:bottom w:val="single" w:color="000000" w:sz="4" w:space="0"/>
                    <w:right w:val="single" w:color="000000" w:sz="4" w:space="0"/>
                  </w:tcBorders>
                  <w:vAlign w:val="center"/>
                </w:tcPr>
                <w:p w14:paraId="504898E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导播系统</w:t>
                  </w:r>
                </w:p>
              </w:tc>
              <w:tc>
                <w:tcPr>
                  <w:tcW w:w="2255" w:type="dxa"/>
                  <w:tcBorders>
                    <w:top w:val="single" w:color="000000" w:sz="4" w:space="0"/>
                    <w:left w:val="nil"/>
                    <w:bottom w:val="single" w:color="000000" w:sz="4" w:space="0"/>
                    <w:right w:val="single" w:color="000000" w:sz="4" w:space="0"/>
                  </w:tcBorders>
                  <w:vAlign w:val="center"/>
                </w:tcPr>
                <w:p w14:paraId="4EF40668">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753BD49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0AAEA4D2">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11</w:t>
                  </w:r>
                </w:p>
              </w:tc>
              <w:tc>
                <w:tcPr>
                  <w:tcW w:w="2252" w:type="dxa"/>
                  <w:tcBorders>
                    <w:top w:val="single" w:color="000000" w:sz="4" w:space="0"/>
                    <w:left w:val="nil"/>
                    <w:bottom w:val="single" w:color="000000" w:sz="4" w:space="0"/>
                    <w:right w:val="single" w:color="000000" w:sz="4" w:space="0"/>
                  </w:tcBorders>
                  <w:vAlign w:val="center"/>
                </w:tcPr>
                <w:p w14:paraId="0867969B">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互动系统</w:t>
                  </w:r>
                </w:p>
              </w:tc>
              <w:tc>
                <w:tcPr>
                  <w:tcW w:w="2255" w:type="dxa"/>
                  <w:tcBorders>
                    <w:top w:val="single" w:color="000000" w:sz="4" w:space="0"/>
                    <w:left w:val="nil"/>
                    <w:bottom w:val="single" w:color="000000" w:sz="4" w:space="0"/>
                    <w:right w:val="single" w:color="000000" w:sz="4" w:space="0"/>
                  </w:tcBorders>
                  <w:vAlign w:val="center"/>
                </w:tcPr>
                <w:p w14:paraId="3114A0A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497807FB">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177BB757">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12</w:t>
                  </w:r>
                </w:p>
              </w:tc>
              <w:tc>
                <w:tcPr>
                  <w:tcW w:w="2252" w:type="dxa"/>
                  <w:tcBorders>
                    <w:top w:val="single" w:color="000000" w:sz="4" w:space="0"/>
                    <w:left w:val="nil"/>
                    <w:bottom w:val="single" w:color="000000" w:sz="4" w:space="0"/>
                    <w:right w:val="single" w:color="000000" w:sz="4" w:space="0"/>
                  </w:tcBorders>
                  <w:vAlign w:val="center"/>
                </w:tcPr>
                <w:p w14:paraId="49F81BF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视频处理系统</w:t>
                  </w:r>
                </w:p>
              </w:tc>
              <w:tc>
                <w:tcPr>
                  <w:tcW w:w="2255" w:type="dxa"/>
                  <w:tcBorders>
                    <w:top w:val="single" w:color="000000" w:sz="4" w:space="0"/>
                    <w:left w:val="nil"/>
                    <w:bottom w:val="single" w:color="000000" w:sz="4" w:space="0"/>
                    <w:right w:val="single" w:color="000000" w:sz="4" w:space="0"/>
                  </w:tcBorders>
                  <w:vAlign w:val="center"/>
                </w:tcPr>
                <w:p w14:paraId="76852A3A">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3095FD5B">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2F30246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13</w:t>
                  </w:r>
                </w:p>
              </w:tc>
              <w:tc>
                <w:tcPr>
                  <w:tcW w:w="2252" w:type="dxa"/>
                  <w:tcBorders>
                    <w:top w:val="single" w:color="000000" w:sz="4" w:space="0"/>
                    <w:left w:val="nil"/>
                    <w:bottom w:val="single" w:color="000000" w:sz="4" w:space="0"/>
                    <w:right w:val="single" w:color="000000" w:sz="4" w:space="0"/>
                  </w:tcBorders>
                  <w:vAlign w:val="center"/>
                </w:tcPr>
                <w:p w14:paraId="4FAE468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远程互动课堂软件</w:t>
                  </w:r>
                </w:p>
              </w:tc>
              <w:tc>
                <w:tcPr>
                  <w:tcW w:w="2255" w:type="dxa"/>
                  <w:tcBorders>
                    <w:top w:val="single" w:color="000000" w:sz="4" w:space="0"/>
                    <w:left w:val="nil"/>
                    <w:bottom w:val="single" w:color="000000" w:sz="4" w:space="0"/>
                    <w:right w:val="single" w:color="000000" w:sz="4" w:space="0"/>
                  </w:tcBorders>
                  <w:vAlign w:val="center"/>
                </w:tcPr>
                <w:p w14:paraId="45D1ADE0">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42D85FF1">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551216F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14</w:t>
                  </w:r>
                </w:p>
              </w:tc>
              <w:tc>
                <w:tcPr>
                  <w:tcW w:w="2252" w:type="dxa"/>
                  <w:tcBorders>
                    <w:top w:val="single" w:color="000000" w:sz="4" w:space="0"/>
                    <w:left w:val="nil"/>
                    <w:bottom w:val="single" w:color="000000" w:sz="4" w:space="0"/>
                    <w:right w:val="single" w:color="000000" w:sz="4" w:space="0"/>
                  </w:tcBorders>
                  <w:vAlign w:val="center"/>
                </w:tcPr>
                <w:p w14:paraId="2CB92AFE">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教师摄像机</w:t>
                  </w:r>
                </w:p>
              </w:tc>
              <w:tc>
                <w:tcPr>
                  <w:tcW w:w="2255" w:type="dxa"/>
                  <w:tcBorders>
                    <w:top w:val="single" w:color="000000" w:sz="4" w:space="0"/>
                    <w:left w:val="nil"/>
                    <w:bottom w:val="single" w:color="000000" w:sz="4" w:space="0"/>
                    <w:right w:val="single" w:color="000000" w:sz="4" w:space="0"/>
                  </w:tcBorders>
                  <w:vAlign w:val="center"/>
                </w:tcPr>
                <w:p w14:paraId="0A77FE08">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27608DB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40EC8DAE">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15</w:t>
                  </w:r>
                </w:p>
              </w:tc>
              <w:tc>
                <w:tcPr>
                  <w:tcW w:w="2252" w:type="dxa"/>
                  <w:tcBorders>
                    <w:top w:val="single" w:color="000000" w:sz="4" w:space="0"/>
                    <w:left w:val="nil"/>
                    <w:bottom w:val="single" w:color="000000" w:sz="4" w:space="0"/>
                    <w:right w:val="single" w:color="000000" w:sz="4" w:space="0"/>
                  </w:tcBorders>
                  <w:vAlign w:val="center"/>
                </w:tcPr>
                <w:p w14:paraId="4CC7D461">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学生摄像机</w:t>
                  </w:r>
                </w:p>
              </w:tc>
              <w:tc>
                <w:tcPr>
                  <w:tcW w:w="2255" w:type="dxa"/>
                  <w:tcBorders>
                    <w:top w:val="single" w:color="000000" w:sz="4" w:space="0"/>
                    <w:left w:val="nil"/>
                    <w:bottom w:val="single" w:color="000000" w:sz="4" w:space="0"/>
                    <w:right w:val="single" w:color="000000" w:sz="4" w:space="0"/>
                  </w:tcBorders>
                  <w:vAlign w:val="center"/>
                </w:tcPr>
                <w:p w14:paraId="4FF0DD0A">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1E139EC0">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2590ACC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16</w:t>
                  </w:r>
                </w:p>
              </w:tc>
              <w:tc>
                <w:tcPr>
                  <w:tcW w:w="2252" w:type="dxa"/>
                  <w:tcBorders>
                    <w:top w:val="single" w:color="000000" w:sz="4" w:space="0"/>
                    <w:left w:val="nil"/>
                    <w:bottom w:val="single" w:color="000000" w:sz="4" w:space="0"/>
                    <w:right w:val="single" w:color="000000" w:sz="4" w:space="0"/>
                  </w:tcBorders>
                  <w:vAlign w:val="center"/>
                </w:tcPr>
                <w:p w14:paraId="0C631082">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教师云台摄像机</w:t>
                  </w:r>
                </w:p>
              </w:tc>
              <w:tc>
                <w:tcPr>
                  <w:tcW w:w="2255" w:type="dxa"/>
                  <w:tcBorders>
                    <w:top w:val="single" w:color="000000" w:sz="4" w:space="0"/>
                    <w:left w:val="nil"/>
                    <w:bottom w:val="single" w:color="000000" w:sz="4" w:space="0"/>
                    <w:right w:val="single" w:color="000000" w:sz="4" w:space="0"/>
                  </w:tcBorders>
                  <w:vAlign w:val="center"/>
                </w:tcPr>
                <w:p w14:paraId="0E522B8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6017B04D">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CE89A31">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17</w:t>
                  </w:r>
                </w:p>
              </w:tc>
              <w:tc>
                <w:tcPr>
                  <w:tcW w:w="2252" w:type="dxa"/>
                  <w:tcBorders>
                    <w:top w:val="single" w:color="000000" w:sz="4" w:space="0"/>
                    <w:left w:val="nil"/>
                    <w:bottom w:val="single" w:color="000000" w:sz="4" w:space="0"/>
                    <w:right w:val="single" w:color="000000" w:sz="4" w:space="0"/>
                  </w:tcBorders>
                  <w:vAlign w:val="center"/>
                </w:tcPr>
                <w:p w14:paraId="4BAE77B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全向麦克风</w:t>
                  </w:r>
                </w:p>
              </w:tc>
              <w:tc>
                <w:tcPr>
                  <w:tcW w:w="2255" w:type="dxa"/>
                  <w:tcBorders>
                    <w:top w:val="single" w:color="000000" w:sz="4" w:space="0"/>
                    <w:left w:val="nil"/>
                    <w:bottom w:val="single" w:color="000000" w:sz="4" w:space="0"/>
                    <w:right w:val="single" w:color="000000" w:sz="4" w:space="0"/>
                  </w:tcBorders>
                  <w:vAlign w:val="center"/>
                </w:tcPr>
                <w:p w14:paraId="21FD487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5BE16A47">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4F881E6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18</w:t>
                  </w:r>
                </w:p>
              </w:tc>
              <w:tc>
                <w:tcPr>
                  <w:tcW w:w="2252" w:type="dxa"/>
                  <w:tcBorders>
                    <w:top w:val="single" w:color="000000" w:sz="4" w:space="0"/>
                    <w:left w:val="nil"/>
                    <w:bottom w:val="single" w:color="000000" w:sz="4" w:space="0"/>
                    <w:right w:val="single" w:color="000000" w:sz="4" w:space="0"/>
                  </w:tcBorders>
                  <w:vAlign w:val="center"/>
                </w:tcPr>
                <w:p w14:paraId="2641F8A4">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中控主机</w:t>
                  </w:r>
                </w:p>
              </w:tc>
              <w:tc>
                <w:tcPr>
                  <w:tcW w:w="2255" w:type="dxa"/>
                  <w:tcBorders>
                    <w:top w:val="single" w:color="000000" w:sz="4" w:space="0"/>
                    <w:left w:val="nil"/>
                    <w:bottom w:val="single" w:color="000000" w:sz="4" w:space="0"/>
                    <w:right w:val="single" w:color="000000" w:sz="4" w:space="0"/>
                  </w:tcBorders>
                  <w:vAlign w:val="center"/>
                </w:tcPr>
                <w:p w14:paraId="3455016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5486E18C">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1351768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19</w:t>
                  </w:r>
                </w:p>
              </w:tc>
              <w:tc>
                <w:tcPr>
                  <w:tcW w:w="2252" w:type="dxa"/>
                  <w:tcBorders>
                    <w:top w:val="single" w:color="000000" w:sz="4" w:space="0"/>
                    <w:left w:val="nil"/>
                    <w:bottom w:val="single" w:color="000000" w:sz="4" w:space="0"/>
                    <w:right w:val="single" w:color="000000" w:sz="4" w:space="0"/>
                  </w:tcBorders>
                  <w:vAlign w:val="center"/>
                </w:tcPr>
                <w:p w14:paraId="015254E2">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中控面板</w:t>
                  </w:r>
                </w:p>
              </w:tc>
              <w:tc>
                <w:tcPr>
                  <w:tcW w:w="2255" w:type="dxa"/>
                  <w:tcBorders>
                    <w:top w:val="single" w:color="000000" w:sz="4" w:space="0"/>
                    <w:left w:val="nil"/>
                    <w:bottom w:val="single" w:color="000000" w:sz="4" w:space="0"/>
                    <w:right w:val="single" w:color="000000" w:sz="4" w:space="0"/>
                  </w:tcBorders>
                  <w:vAlign w:val="center"/>
                </w:tcPr>
                <w:p w14:paraId="4A485D3F">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32B11F0F">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1BAE79D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20</w:t>
                  </w:r>
                </w:p>
              </w:tc>
              <w:tc>
                <w:tcPr>
                  <w:tcW w:w="2252" w:type="dxa"/>
                  <w:tcBorders>
                    <w:top w:val="single" w:color="000000" w:sz="4" w:space="0"/>
                    <w:left w:val="nil"/>
                    <w:bottom w:val="single" w:color="000000" w:sz="4" w:space="0"/>
                    <w:right w:val="single" w:color="000000" w:sz="4" w:space="0"/>
                  </w:tcBorders>
                  <w:vAlign w:val="center"/>
                </w:tcPr>
                <w:p w14:paraId="0EE983BF">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考场数字定焦广角摄像机</w:t>
                  </w:r>
                </w:p>
              </w:tc>
              <w:tc>
                <w:tcPr>
                  <w:tcW w:w="2255" w:type="dxa"/>
                  <w:tcBorders>
                    <w:top w:val="single" w:color="000000" w:sz="4" w:space="0"/>
                    <w:left w:val="nil"/>
                    <w:bottom w:val="single" w:color="000000" w:sz="4" w:space="0"/>
                    <w:right w:val="single" w:color="000000" w:sz="4" w:space="0"/>
                  </w:tcBorders>
                  <w:vAlign w:val="center"/>
                </w:tcPr>
                <w:p w14:paraId="21FCAB87">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1064FF06">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476CA11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21</w:t>
                  </w:r>
                </w:p>
              </w:tc>
              <w:tc>
                <w:tcPr>
                  <w:tcW w:w="2252" w:type="dxa"/>
                  <w:tcBorders>
                    <w:top w:val="single" w:color="000000" w:sz="4" w:space="0"/>
                    <w:left w:val="nil"/>
                    <w:bottom w:val="single" w:color="000000" w:sz="4" w:space="0"/>
                    <w:right w:val="single" w:color="000000" w:sz="4" w:space="0"/>
                  </w:tcBorders>
                  <w:vAlign w:val="center"/>
                </w:tcPr>
                <w:p w14:paraId="1C6B582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LED显示屏</w:t>
                  </w:r>
                </w:p>
              </w:tc>
              <w:tc>
                <w:tcPr>
                  <w:tcW w:w="2255" w:type="dxa"/>
                  <w:tcBorders>
                    <w:top w:val="single" w:color="000000" w:sz="4" w:space="0"/>
                    <w:left w:val="nil"/>
                    <w:bottom w:val="single" w:color="000000" w:sz="4" w:space="0"/>
                    <w:right w:val="single" w:color="000000" w:sz="4" w:space="0"/>
                  </w:tcBorders>
                  <w:vAlign w:val="center"/>
                </w:tcPr>
                <w:p w14:paraId="69FCDB77">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63E61D5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2FD8846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22</w:t>
                  </w:r>
                </w:p>
              </w:tc>
              <w:tc>
                <w:tcPr>
                  <w:tcW w:w="2252" w:type="dxa"/>
                  <w:tcBorders>
                    <w:top w:val="single" w:color="000000" w:sz="4" w:space="0"/>
                    <w:left w:val="nil"/>
                    <w:bottom w:val="single" w:color="000000" w:sz="4" w:space="0"/>
                    <w:right w:val="single" w:color="000000" w:sz="4" w:space="0"/>
                  </w:tcBorders>
                  <w:vAlign w:val="center"/>
                </w:tcPr>
                <w:p w14:paraId="4FE584D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导播终端</w:t>
                  </w:r>
                </w:p>
              </w:tc>
              <w:tc>
                <w:tcPr>
                  <w:tcW w:w="2255" w:type="dxa"/>
                  <w:tcBorders>
                    <w:top w:val="single" w:color="000000" w:sz="4" w:space="0"/>
                    <w:left w:val="nil"/>
                    <w:bottom w:val="single" w:color="000000" w:sz="4" w:space="0"/>
                    <w:right w:val="single" w:color="000000" w:sz="4" w:space="0"/>
                  </w:tcBorders>
                  <w:vAlign w:val="center"/>
                </w:tcPr>
                <w:p w14:paraId="7EC56CE9">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4F34A2BB">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3006DF4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23</w:t>
                  </w:r>
                </w:p>
              </w:tc>
              <w:tc>
                <w:tcPr>
                  <w:tcW w:w="2252" w:type="dxa"/>
                  <w:tcBorders>
                    <w:top w:val="single" w:color="000000" w:sz="4" w:space="0"/>
                    <w:left w:val="nil"/>
                    <w:bottom w:val="single" w:color="000000" w:sz="4" w:space="0"/>
                    <w:right w:val="single" w:color="000000" w:sz="4" w:space="0"/>
                  </w:tcBorders>
                  <w:vAlign w:val="center"/>
                </w:tcPr>
                <w:p w14:paraId="08A9F8B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控制型智慧讲台</w:t>
                  </w:r>
                </w:p>
              </w:tc>
              <w:tc>
                <w:tcPr>
                  <w:tcW w:w="2255" w:type="dxa"/>
                  <w:tcBorders>
                    <w:top w:val="single" w:color="000000" w:sz="4" w:space="0"/>
                    <w:left w:val="nil"/>
                    <w:bottom w:val="single" w:color="000000" w:sz="4" w:space="0"/>
                    <w:right w:val="single" w:color="000000" w:sz="4" w:space="0"/>
                  </w:tcBorders>
                  <w:vAlign w:val="center"/>
                </w:tcPr>
                <w:p w14:paraId="6926FC06">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13C8F17A">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3E429B6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24</w:t>
                  </w:r>
                </w:p>
              </w:tc>
              <w:tc>
                <w:tcPr>
                  <w:tcW w:w="2252" w:type="dxa"/>
                  <w:tcBorders>
                    <w:top w:val="single" w:color="000000" w:sz="4" w:space="0"/>
                    <w:left w:val="nil"/>
                    <w:bottom w:val="single" w:color="000000" w:sz="4" w:space="0"/>
                    <w:right w:val="single" w:color="000000" w:sz="4" w:space="0"/>
                  </w:tcBorders>
                  <w:vAlign w:val="center"/>
                </w:tcPr>
                <w:p w14:paraId="34F9B76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智能电源管理器</w:t>
                  </w:r>
                </w:p>
              </w:tc>
              <w:tc>
                <w:tcPr>
                  <w:tcW w:w="2255" w:type="dxa"/>
                  <w:tcBorders>
                    <w:top w:val="single" w:color="000000" w:sz="4" w:space="0"/>
                    <w:left w:val="nil"/>
                    <w:bottom w:val="single" w:color="000000" w:sz="4" w:space="0"/>
                    <w:right w:val="single" w:color="000000" w:sz="4" w:space="0"/>
                  </w:tcBorders>
                  <w:vAlign w:val="center"/>
                </w:tcPr>
                <w:p w14:paraId="00A9DBB1">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67A5F676">
              <w:tblPrEx>
                <w:tblCellMar>
                  <w:top w:w="0" w:type="dxa"/>
                  <w:left w:w="108" w:type="dxa"/>
                  <w:bottom w:w="0" w:type="dxa"/>
                  <w:right w:w="108" w:type="dxa"/>
                </w:tblCellMar>
              </w:tblPrEx>
              <w:trPr>
                <w:trHeight w:val="235" w:hRule="atLeast"/>
                <w:jc w:val="center"/>
              </w:trPr>
              <w:tc>
                <w:tcPr>
                  <w:tcW w:w="5657" w:type="dxa"/>
                  <w:gridSpan w:val="3"/>
                  <w:tcBorders>
                    <w:top w:val="single" w:color="000000" w:sz="4" w:space="0"/>
                    <w:left w:val="single" w:color="000000" w:sz="4" w:space="0"/>
                    <w:bottom w:val="single" w:color="000000" w:sz="4" w:space="0"/>
                    <w:right w:val="single" w:color="000000" w:sz="4" w:space="0"/>
                  </w:tcBorders>
                  <w:vAlign w:val="center"/>
                </w:tcPr>
                <w:p w14:paraId="017C2EEE">
                  <w:pPr>
                    <w:widowControl/>
                    <w:jc w:val="center"/>
                    <w:textAlignment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lang w:bidi="ar"/>
                    </w:rPr>
                    <w:t>二、教师管理系统集成</w:t>
                  </w:r>
                </w:p>
              </w:tc>
            </w:tr>
            <w:tr w14:paraId="08FC7196">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2BB628C1">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25</w:t>
                  </w:r>
                </w:p>
              </w:tc>
              <w:tc>
                <w:tcPr>
                  <w:tcW w:w="2252" w:type="dxa"/>
                  <w:tcBorders>
                    <w:top w:val="single" w:color="000000" w:sz="4" w:space="0"/>
                    <w:left w:val="nil"/>
                    <w:bottom w:val="single" w:color="000000" w:sz="4" w:space="0"/>
                    <w:right w:val="single" w:color="000000" w:sz="4" w:space="0"/>
                  </w:tcBorders>
                  <w:vAlign w:val="center"/>
                </w:tcPr>
                <w:p w14:paraId="6BF03CE7">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显示大屏</w:t>
                  </w:r>
                </w:p>
              </w:tc>
              <w:tc>
                <w:tcPr>
                  <w:tcW w:w="2255" w:type="dxa"/>
                  <w:tcBorders>
                    <w:top w:val="single" w:color="000000" w:sz="4" w:space="0"/>
                    <w:left w:val="nil"/>
                    <w:bottom w:val="single" w:color="000000" w:sz="4" w:space="0"/>
                    <w:right w:val="single" w:color="000000" w:sz="4" w:space="0"/>
                  </w:tcBorders>
                  <w:vAlign w:val="center"/>
                </w:tcPr>
                <w:p w14:paraId="3A53E93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4A65E931">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702398B9">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26</w:t>
                  </w:r>
                </w:p>
              </w:tc>
              <w:tc>
                <w:tcPr>
                  <w:tcW w:w="2252" w:type="dxa"/>
                  <w:tcBorders>
                    <w:top w:val="single" w:color="000000" w:sz="4" w:space="0"/>
                    <w:left w:val="nil"/>
                    <w:bottom w:val="single" w:color="000000" w:sz="4" w:space="0"/>
                    <w:right w:val="single" w:color="000000" w:sz="4" w:space="0"/>
                  </w:tcBorders>
                  <w:vAlign w:val="center"/>
                </w:tcPr>
                <w:p w14:paraId="4F2A422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服务器</w:t>
                  </w:r>
                </w:p>
              </w:tc>
              <w:tc>
                <w:tcPr>
                  <w:tcW w:w="2255" w:type="dxa"/>
                  <w:tcBorders>
                    <w:top w:val="single" w:color="000000" w:sz="4" w:space="0"/>
                    <w:left w:val="nil"/>
                    <w:bottom w:val="single" w:color="000000" w:sz="4" w:space="0"/>
                    <w:right w:val="single" w:color="000000" w:sz="4" w:space="0"/>
                  </w:tcBorders>
                  <w:vAlign w:val="center"/>
                </w:tcPr>
                <w:p w14:paraId="1AECC61C">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716363F1">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70E67A0C">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27</w:t>
                  </w:r>
                </w:p>
              </w:tc>
              <w:tc>
                <w:tcPr>
                  <w:tcW w:w="2252" w:type="dxa"/>
                  <w:tcBorders>
                    <w:top w:val="single" w:color="000000" w:sz="4" w:space="0"/>
                    <w:left w:val="nil"/>
                    <w:bottom w:val="single" w:color="000000" w:sz="4" w:space="0"/>
                    <w:right w:val="single" w:color="000000" w:sz="4" w:space="0"/>
                  </w:tcBorders>
                  <w:vAlign w:val="center"/>
                </w:tcPr>
                <w:p w14:paraId="305C334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控制电脑</w:t>
                  </w:r>
                </w:p>
              </w:tc>
              <w:tc>
                <w:tcPr>
                  <w:tcW w:w="2255" w:type="dxa"/>
                  <w:tcBorders>
                    <w:top w:val="single" w:color="000000" w:sz="4" w:space="0"/>
                    <w:left w:val="nil"/>
                    <w:bottom w:val="single" w:color="000000" w:sz="4" w:space="0"/>
                    <w:right w:val="single" w:color="000000" w:sz="4" w:space="0"/>
                  </w:tcBorders>
                  <w:vAlign w:val="center"/>
                </w:tcPr>
                <w:p w14:paraId="2801EAE3">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08AB9558">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8C5CBC9">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28</w:t>
                  </w:r>
                </w:p>
              </w:tc>
              <w:tc>
                <w:tcPr>
                  <w:tcW w:w="2252" w:type="dxa"/>
                  <w:tcBorders>
                    <w:top w:val="single" w:color="000000" w:sz="4" w:space="0"/>
                    <w:left w:val="nil"/>
                    <w:bottom w:val="single" w:color="000000" w:sz="4" w:space="0"/>
                    <w:right w:val="single" w:color="000000" w:sz="4" w:space="0"/>
                  </w:tcBorders>
                  <w:vAlign w:val="center"/>
                </w:tcPr>
                <w:p w14:paraId="44E3E33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控制桌</w:t>
                  </w:r>
                </w:p>
              </w:tc>
              <w:tc>
                <w:tcPr>
                  <w:tcW w:w="2255" w:type="dxa"/>
                  <w:tcBorders>
                    <w:top w:val="single" w:color="000000" w:sz="4" w:space="0"/>
                    <w:left w:val="nil"/>
                    <w:bottom w:val="single" w:color="000000" w:sz="4" w:space="0"/>
                    <w:right w:val="single" w:color="000000" w:sz="4" w:space="0"/>
                  </w:tcBorders>
                  <w:vAlign w:val="center"/>
                </w:tcPr>
                <w:p w14:paraId="26A2FFE8">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0BDD2B05">
              <w:tblPrEx>
                <w:tblCellMar>
                  <w:top w:w="0" w:type="dxa"/>
                  <w:left w:w="108" w:type="dxa"/>
                  <w:bottom w:w="0" w:type="dxa"/>
                  <w:right w:w="108" w:type="dxa"/>
                </w:tblCellMar>
              </w:tblPrEx>
              <w:trPr>
                <w:trHeight w:val="291" w:hRule="atLeast"/>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AF4D54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29</w:t>
                  </w:r>
                </w:p>
              </w:tc>
              <w:tc>
                <w:tcPr>
                  <w:tcW w:w="2252" w:type="dxa"/>
                  <w:tcBorders>
                    <w:top w:val="single" w:color="000000" w:sz="4" w:space="0"/>
                    <w:left w:val="nil"/>
                    <w:bottom w:val="single" w:color="000000" w:sz="4" w:space="0"/>
                    <w:right w:val="single" w:color="000000" w:sz="4" w:space="0"/>
                  </w:tcBorders>
                  <w:vAlign w:val="center"/>
                </w:tcPr>
                <w:p w14:paraId="069CB74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录直播资源管理平台</w:t>
                  </w:r>
                </w:p>
              </w:tc>
              <w:tc>
                <w:tcPr>
                  <w:tcW w:w="2255" w:type="dxa"/>
                  <w:tcBorders>
                    <w:top w:val="single" w:color="000000" w:sz="4" w:space="0"/>
                    <w:left w:val="nil"/>
                    <w:bottom w:val="single" w:color="000000" w:sz="4" w:space="0"/>
                    <w:right w:val="single" w:color="000000" w:sz="4" w:space="0"/>
                  </w:tcBorders>
                  <w:vAlign w:val="center"/>
                </w:tcPr>
                <w:p w14:paraId="372C94D2">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6DFA3089">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35062B1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30</w:t>
                  </w:r>
                </w:p>
              </w:tc>
              <w:tc>
                <w:tcPr>
                  <w:tcW w:w="2252" w:type="dxa"/>
                  <w:tcBorders>
                    <w:top w:val="single" w:color="000000" w:sz="4" w:space="0"/>
                    <w:left w:val="nil"/>
                    <w:bottom w:val="single" w:color="000000" w:sz="4" w:space="0"/>
                    <w:right w:val="single" w:color="000000" w:sz="4" w:space="0"/>
                  </w:tcBorders>
                  <w:vAlign w:val="center"/>
                </w:tcPr>
                <w:p w14:paraId="7CC11F6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教学管理平台</w:t>
                  </w:r>
                </w:p>
              </w:tc>
              <w:tc>
                <w:tcPr>
                  <w:tcW w:w="2255" w:type="dxa"/>
                  <w:tcBorders>
                    <w:top w:val="single" w:color="000000" w:sz="4" w:space="0"/>
                    <w:left w:val="nil"/>
                    <w:bottom w:val="single" w:color="000000" w:sz="4" w:space="0"/>
                    <w:right w:val="single" w:color="000000" w:sz="4" w:space="0"/>
                  </w:tcBorders>
                  <w:vAlign w:val="center"/>
                </w:tcPr>
                <w:p w14:paraId="577483B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00700CB0">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83DABCB">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31</w:t>
                  </w:r>
                </w:p>
              </w:tc>
              <w:tc>
                <w:tcPr>
                  <w:tcW w:w="2252" w:type="dxa"/>
                  <w:tcBorders>
                    <w:top w:val="single" w:color="000000" w:sz="4" w:space="0"/>
                    <w:left w:val="nil"/>
                    <w:bottom w:val="single" w:color="000000" w:sz="4" w:space="0"/>
                    <w:right w:val="single" w:color="000000" w:sz="4" w:space="0"/>
                  </w:tcBorders>
                  <w:vAlign w:val="center"/>
                </w:tcPr>
                <w:p w14:paraId="011FF8D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SIP 服务器</w:t>
                  </w:r>
                </w:p>
              </w:tc>
              <w:tc>
                <w:tcPr>
                  <w:tcW w:w="2255" w:type="dxa"/>
                  <w:tcBorders>
                    <w:top w:val="single" w:color="000000" w:sz="4" w:space="0"/>
                    <w:left w:val="nil"/>
                    <w:bottom w:val="single" w:color="000000" w:sz="4" w:space="0"/>
                    <w:right w:val="single" w:color="000000" w:sz="4" w:space="0"/>
                  </w:tcBorders>
                  <w:vAlign w:val="center"/>
                </w:tcPr>
                <w:p w14:paraId="62043E7B">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34642B65">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96FB6A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32</w:t>
                  </w:r>
                </w:p>
              </w:tc>
              <w:tc>
                <w:tcPr>
                  <w:tcW w:w="2252" w:type="dxa"/>
                  <w:tcBorders>
                    <w:top w:val="single" w:color="000000" w:sz="4" w:space="0"/>
                    <w:left w:val="nil"/>
                    <w:bottom w:val="single" w:color="000000" w:sz="4" w:space="0"/>
                    <w:right w:val="single" w:color="000000" w:sz="4" w:space="0"/>
                  </w:tcBorders>
                  <w:vAlign w:val="center"/>
                </w:tcPr>
                <w:p w14:paraId="4575F05E">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4路网络音视频解码器</w:t>
                  </w:r>
                </w:p>
              </w:tc>
              <w:tc>
                <w:tcPr>
                  <w:tcW w:w="2255" w:type="dxa"/>
                  <w:tcBorders>
                    <w:top w:val="single" w:color="000000" w:sz="4" w:space="0"/>
                    <w:left w:val="nil"/>
                    <w:bottom w:val="single" w:color="000000" w:sz="4" w:space="0"/>
                    <w:right w:val="single" w:color="000000" w:sz="4" w:space="0"/>
                  </w:tcBorders>
                  <w:vAlign w:val="center"/>
                </w:tcPr>
                <w:p w14:paraId="5C5B8426">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630E61B8">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157EFDB2">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33</w:t>
                  </w:r>
                </w:p>
              </w:tc>
              <w:tc>
                <w:tcPr>
                  <w:tcW w:w="2252" w:type="dxa"/>
                  <w:tcBorders>
                    <w:top w:val="single" w:color="000000" w:sz="4" w:space="0"/>
                    <w:left w:val="nil"/>
                    <w:bottom w:val="single" w:color="000000" w:sz="4" w:space="0"/>
                    <w:right w:val="single" w:color="000000" w:sz="4" w:space="0"/>
                  </w:tcBorders>
                  <w:vAlign w:val="center"/>
                </w:tcPr>
                <w:p w14:paraId="5AC1AFA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64路NVR存储设备</w:t>
                  </w:r>
                </w:p>
              </w:tc>
              <w:tc>
                <w:tcPr>
                  <w:tcW w:w="2255" w:type="dxa"/>
                  <w:tcBorders>
                    <w:top w:val="single" w:color="000000" w:sz="4" w:space="0"/>
                    <w:left w:val="nil"/>
                    <w:bottom w:val="single" w:color="000000" w:sz="4" w:space="0"/>
                    <w:right w:val="single" w:color="000000" w:sz="4" w:space="0"/>
                  </w:tcBorders>
                  <w:vAlign w:val="center"/>
                </w:tcPr>
                <w:p w14:paraId="3FF6CA5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26C54723">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6CA3229">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34</w:t>
                  </w:r>
                </w:p>
              </w:tc>
              <w:tc>
                <w:tcPr>
                  <w:tcW w:w="2252" w:type="dxa"/>
                  <w:tcBorders>
                    <w:top w:val="single" w:color="000000" w:sz="4" w:space="0"/>
                    <w:left w:val="nil"/>
                    <w:bottom w:val="single" w:color="000000" w:sz="4" w:space="0"/>
                    <w:right w:val="single" w:color="000000" w:sz="4" w:space="0"/>
                  </w:tcBorders>
                  <w:vAlign w:val="center"/>
                </w:tcPr>
                <w:p w14:paraId="5C29EDF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硬盘</w:t>
                  </w:r>
                </w:p>
              </w:tc>
              <w:tc>
                <w:tcPr>
                  <w:tcW w:w="2255" w:type="dxa"/>
                  <w:tcBorders>
                    <w:top w:val="single" w:color="000000" w:sz="4" w:space="0"/>
                    <w:left w:val="nil"/>
                    <w:bottom w:val="single" w:color="000000" w:sz="4" w:space="0"/>
                    <w:right w:val="single" w:color="000000" w:sz="4" w:space="0"/>
                  </w:tcBorders>
                  <w:vAlign w:val="center"/>
                </w:tcPr>
                <w:p w14:paraId="77CE15C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110BD56E">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11A9D60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35</w:t>
                  </w:r>
                </w:p>
              </w:tc>
              <w:tc>
                <w:tcPr>
                  <w:tcW w:w="2252" w:type="dxa"/>
                  <w:tcBorders>
                    <w:top w:val="single" w:color="000000" w:sz="4" w:space="0"/>
                    <w:left w:val="nil"/>
                    <w:bottom w:val="single" w:color="000000" w:sz="4" w:space="0"/>
                    <w:right w:val="single" w:color="000000" w:sz="4" w:space="0"/>
                  </w:tcBorders>
                  <w:vAlign w:val="center"/>
                </w:tcPr>
                <w:p w14:paraId="5D18EC71">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教育考试网上巡查系统软件</w:t>
                  </w:r>
                </w:p>
              </w:tc>
              <w:tc>
                <w:tcPr>
                  <w:tcW w:w="2255" w:type="dxa"/>
                  <w:tcBorders>
                    <w:top w:val="single" w:color="000000" w:sz="4" w:space="0"/>
                    <w:left w:val="nil"/>
                    <w:bottom w:val="single" w:color="000000" w:sz="4" w:space="0"/>
                    <w:right w:val="single" w:color="000000" w:sz="4" w:space="0"/>
                  </w:tcBorders>
                  <w:vAlign w:val="center"/>
                </w:tcPr>
                <w:p w14:paraId="2FF2EDBE">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软件和信息技术服务业</w:t>
                  </w:r>
                </w:p>
              </w:tc>
            </w:tr>
            <w:tr w14:paraId="002CA0CB">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CFC213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36</w:t>
                  </w:r>
                </w:p>
              </w:tc>
              <w:tc>
                <w:tcPr>
                  <w:tcW w:w="2252" w:type="dxa"/>
                  <w:tcBorders>
                    <w:top w:val="single" w:color="000000" w:sz="4" w:space="0"/>
                    <w:left w:val="nil"/>
                    <w:bottom w:val="single" w:color="000000" w:sz="4" w:space="0"/>
                    <w:right w:val="single" w:color="000000" w:sz="4" w:space="0"/>
                  </w:tcBorders>
                  <w:vAlign w:val="center"/>
                </w:tcPr>
                <w:p w14:paraId="49B013F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机柜</w:t>
                  </w:r>
                </w:p>
              </w:tc>
              <w:tc>
                <w:tcPr>
                  <w:tcW w:w="2255" w:type="dxa"/>
                  <w:tcBorders>
                    <w:top w:val="single" w:color="000000" w:sz="4" w:space="0"/>
                    <w:left w:val="nil"/>
                    <w:bottom w:val="single" w:color="000000" w:sz="4" w:space="0"/>
                    <w:right w:val="single" w:color="000000" w:sz="4" w:space="0"/>
                  </w:tcBorders>
                  <w:vAlign w:val="center"/>
                </w:tcPr>
                <w:p w14:paraId="353AC65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04DDABDC">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387D096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37</w:t>
                  </w:r>
                </w:p>
              </w:tc>
              <w:tc>
                <w:tcPr>
                  <w:tcW w:w="2252" w:type="dxa"/>
                  <w:tcBorders>
                    <w:top w:val="single" w:color="000000" w:sz="4" w:space="0"/>
                    <w:left w:val="nil"/>
                    <w:bottom w:val="single" w:color="000000" w:sz="4" w:space="0"/>
                    <w:right w:val="single" w:color="000000" w:sz="4" w:space="0"/>
                  </w:tcBorders>
                  <w:vAlign w:val="center"/>
                </w:tcPr>
                <w:p w14:paraId="4CF6FBE7">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多媒体播放器</w:t>
                  </w:r>
                </w:p>
              </w:tc>
              <w:tc>
                <w:tcPr>
                  <w:tcW w:w="2255" w:type="dxa"/>
                  <w:tcBorders>
                    <w:top w:val="single" w:color="000000" w:sz="4" w:space="0"/>
                    <w:left w:val="nil"/>
                    <w:bottom w:val="single" w:color="000000" w:sz="4" w:space="0"/>
                    <w:right w:val="single" w:color="000000" w:sz="4" w:space="0"/>
                  </w:tcBorders>
                  <w:vAlign w:val="center"/>
                </w:tcPr>
                <w:p w14:paraId="62B42EBB">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4916E07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28ADA015">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38</w:t>
                  </w:r>
                </w:p>
              </w:tc>
              <w:tc>
                <w:tcPr>
                  <w:tcW w:w="2252" w:type="dxa"/>
                  <w:tcBorders>
                    <w:top w:val="single" w:color="000000" w:sz="4" w:space="0"/>
                    <w:left w:val="nil"/>
                    <w:bottom w:val="single" w:color="000000" w:sz="4" w:space="0"/>
                    <w:right w:val="single" w:color="000000" w:sz="4" w:space="0"/>
                  </w:tcBorders>
                  <w:vAlign w:val="center"/>
                </w:tcPr>
                <w:p w14:paraId="69D564A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程控调频发射机</w:t>
                  </w:r>
                </w:p>
              </w:tc>
              <w:tc>
                <w:tcPr>
                  <w:tcW w:w="2255" w:type="dxa"/>
                  <w:tcBorders>
                    <w:top w:val="single" w:color="000000" w:sz="4" w:space="0"/>
                    <w:left w:val="nil"/>
                    <w:bottom w:val="single" w:color="000000" w:sz="4" w:space="0"/>
                    <w:right w:val="single" w:color="000000" w:sz="4" w:space="0"/>
                  </w:tcBorders>
                  <w:vAlign w:val="center"/>
                </w:tcPr>
                <w:p w14:paraId="1694D63C">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039588B6">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43309C62">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39</w:t>
                  </w:r>
                </w:p>
              </w:tc>
              <w:tc>
                <w:tcPr>
                  <w:tcW w:w="2252" w:type="dxa"/>
                  <w:tcBorders>
                    <w:top w:val="single" w:color="000000" w:sz="4" w:space="0"/>
                    <w:left w:val="nil"/>
                    <w:bottom w:val="single" w:color="000000" w:sz="4" w:space="0"/>
                    <w:right w:val="single" w:color="000000" w:sz="4" w:space="0"/>
                  </w:tcBorders>
                  <w:vAlign w:val="center"/>
                </w:tcPr>
                <w:p w14:paraId="65542A8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系统避雷器</w:t>
                  </w:r>
                </w:p>
              </w:tc>
              <w:tc>
                <w:tcPr>
                  <w:tcW w:w="2255" w:type="dxa"/>
                  <w:tcBorders>
                    <w:top w:val="single" w:color="000000" w:sz="4" w:space="0"/>
                    <w:left w:val="nil"/>
                    <w:bottom w:val="single" w:color="000000" w:sz="4" w:space="0"/>
                    <w:right w:val="single" w:color="000000" w:sz="4" w:space="0"/>
                  </w:tcBorders>
                  <w:vAlign w:val="center"/>
                </w:tcPr>
                <w:p w14:paraId="20D0E9F8">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21392802">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6FEA56F3">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40</w:t>
                  </w:r>
                </w:p>
              </w:tc>
              <w:tc>
                <w:tcPr>
                  <w:tcW w:w="2252" w:type="dxa"/>
                  <w:tcBorders>
                    <w:top w:val="single" w:color="000000" w:sz="4" w:space="0"/>
                    <w:left w:val="nil"/>
                    <w:bottom w:val="single" w:color="000000" w:sz="4" w:space="0"/>
                    <w:right w:val="single" w:color="000000" w:sz="4" w:space="0"/>
                  </w:tcBorders>
                  <w:vAlign w:val="center"/>
                </w:tcPr>
                <w:p w14:paraId="7DD125A3">
                  <w:pPr>
                    <w:widowControl/>
                    <w:jc w:val="center"/>
                    <w:textAlignment w:val="center"/>
                    <w:rPr>
                      <w:rFonts w:ascii="宋体" w:hAnsi="宋体" w:cs="宋体"/>
                      <w:b/>
                      <w:bCs/>
                      <w:color w:val="auto"/>
                      <w:szCs w:val="21"/>
                      <w:highlight w:val="none"/>
                    </w:rPr>
                  </w:pPr>
                  <w:r>
                    <w:rPr>
                      <w:rFonts w:hint="eastAsia" w:ascii="宋体" w:hAnsi="宋体" w:cs="宋体"/>
                      <w:color w:val="auto"/>
                      <w:kern w:val="0"/>
                      <w:sz w:val="20"/>
                      <w:szCs w:val="20"/>
                      <w:highlight w:val="none"/>
                      <w:lang w:bidi="ar"/>
                    </w:rPr>
                    <w:t>户外调频发射天线</w:t>
                  </w:r>
                </w:p>
              </w:tc>
              <w:tc>
                <w:tcPr>
                  <w:tcW w:w="2255" w:type="dxa"/>
                  <w:tcBorders>
                    <w:top w:val="single" w:color="000000" w:sz="4" w:space="0"/>
                    <w:left w:val="nil"/>
                    <w:bottom w:val="single" w:color="000000" w:sz="4" w:space="0"/>
                    <w:right w:val="single" w:color="000000" w:sz="4" w:space="0"/>
                  </w:tcBorders>
                  <w:vAlign w:val="center"/>
                </w:tcPr>
                <w:p w14:paraId="4A196813">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r w14:paraId="7B410B0E">
              <w:tblPrEx>
                <w:tblCellMar>
                  <w:top w:w="0" w:type="dxa"/>
                  <w:left w:w="108" w:type="dxa"/>
                  <w:bottom w:w="0" w:type="dxa"/>
                  <w:right w:w="108" w:type="dxa"/>
                </w:tblCellMar>
              </w:tblPrEx>
              <w:trPr>
                <w:jc w:val="center"/>
              </w:trPr>
              <w:tc>
                <w:tcPr>
                  <w:tcW w:w="1150" w:type="dxa"/>
                  <w:tcBorders>
                    <w:top w:val="single" w:color="000000" w:sz="4" w:space="0"/>
                    <w:left w:val="single" w:color="000000" w:sz="4" w:space="0"/>
                    <w:bottom w:val="single" w:color="000000" w:sz="4" w:space="0"/>
                    <w:right w:val="single" w:color="000000" w:sz="4" w:space="0"/>
                  </w:tcBorders>
                  <w:vAlign w:val="center"/>
                </w:tcPr>
                <w:p w14:paraId="0583373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bidi="ar"/>
                    </w:rPr>
                    <w:t>41</w:t>
                  </w:r>
                </w:p>
              </w:tc>
              <w:tc>
                <w:tcPr>
                  <w:tcW w:w="2252" w:type="dxa"/>
                  <w:tcBorders>
                    <w:top w:val="single" w:color="000000" w:sz="4" w:space="0"/>
                    <w:left w:val="nil"/>
                    <w:bottom w:val="single" w:color="000000" w:sz="4" w:space="0"/>
                    <w:right w:val="single" w:color="000000" w:sz="4" w:space="0"/>
                  </w:tcBorders>
                  <w:noWrap/>
                  <w:vAlign w:val="center"/>
                </w:tcPr>
                <w:p w14:paraId="2828795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系统馈线</w:t>
                  </w:r>
                </w:p>
              </w:tc>
              <w:tc>
                <w:tcPr>
                  <w:tcW w:w="2255" w:type="dxa"/>
                  <w:tcBorders>
                    <w:top w:val="single" w:color="000000" w:sz="4" w:space="0"/>
                    <w:left w:val="nil"/>
                    <w:bottom w:val="single" w:color="000000" w:sz="4" w:space="0"/>
                    <w:right w:val="single" w:color="000000" w:sz="4" w:space="0"/>
                  </w:tcBorders>
                  <w:noWrap/>
                  <w:vAlign w:val="center"/>
                </w:tcPr>
                <w:p w14:paraId="569A56F4">
                  <w:pPr>
                    <w:widowControl/>
                    <w:jc w:val="center"/>
                    <w:textAlignment w:val="center"/>
                    <w:rPr>
                      <w:rFonts w:ascii="宋体" w:hAnsi="宋体" w:cs="宋体"/>
                      <w:color w:val="auto"/>
                      <w:kern w:val="0"/>
                      <w:sz w:val="20"/>
                      <w:szCs w:val="20"/>
                      <w:highlight w:val="none"/>
                    </w:rPr>
                  </w:pPr>
                  <w:r>
                    <w:rPr>
                      <w:rFonts w:hint="eastAsia" w:ascii="宋体" w:hAnsi="宋体" w:cs="宋体"/>
                      <w:color w:val="auto"/>
                      <w:kern w:val="0"/>
                      <w:szCs w:val="21"/>
                      <w:highlight w:val="none"/>
                      <w:lang w:bidi="ar"/>
                    </w:rPr>
                    <w:t>工业</w:t>
                  </w:r>
                </w:p>
              </w:tc>
            </w:tr>
          </w:tbl>
          <w:p w14:paraId="5CCB6F90">
            <w:pPr>
              <w:rPr>
                <w:rFonts w:ascii="宋体" w:hAnsi="宋体" w:cs="宋体"/>
                <w:color w:val="auto"/>
                <w:highlight w:val="none"/>
              </w:rPr>
            </w:pPr>
            <w:r>
              <w:rPr>
                <w:rFonts w:hint="eastAsia" w:ascii="宋体" w:hAnsi="宋体" w:cs="宋体"/>
                <w:color w:val="auto"/>
                <w:sz w:val="24"/>
                <w:highlight w:val="none"/>
              </w:rPr>
              <w:t>注：中小企业划型标准详见附件8。</w:t>
            </w:r>
          </w:p>
        </w:tc>
      </w:tr>
      <w:tr w14:paraId="700C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56B8D0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7B69AB7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1F8CDEB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44670265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152A29E4">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9216376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3979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216384B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4ABFDE7D">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3220C40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42192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运输、安装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448AF4A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164147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3A5B1E5">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7CDB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47215B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12EF8D0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444A973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40113446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E5E1B0B">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70867986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32199085">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C不统一组织，供应商在获取采购文件后，自行至项目现场考察。地点：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7EB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4614AE2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6AEEC30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47E1CB4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3116337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0FA1525">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B要求提供（未提供样品或提供样品不满足采购需求实质性条件的供应商，投标无效）：</w:t>
            </w:r>
          </w:p>
          <w:p w14:paraId="19B90EE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；（注：非核心产品不能设置为样品）</w:t>
            </w:r>
            <w:r>
              <w:rPr>
                <w:rFonts w:ascii="宋体" w:hAnsi="宋体" w:cs="宋体"/>
                <w:color w:val="auto"/>
                <w:kern w:val="0"/>
                <w:sz w:val="24"/>
                <w:highlight w:val="none"/>
              </w:rPr>
              <w:t xml:space="preserve"> </w:t>
            </w:r>
          </w:p>
          <w:p w14:paraId="6A0E8DA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81D4AF7">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4D48C02E">
            <w:pPr>
              <w:spacing w:line="360" w:lineRule="auto"/>
              <w:ind w:firstLine="240" w:firstLineChars="100"/>
              <w:rPr>
                <w:rFonts w:ascii="宋体" w:hAnsi="宋体" w:cs="宋体"/>
                <w:color w:val="auto"/>
                <w:sz w:val="24"/>
                <w:highlight w:val="none"/>
              </w:rPr>
            </w:pPr>
            <w:sdt>
              <w:sdtPr>
                <w:rPr>
                  <w:rFonts w:hint="eastAsia" w:ascii="宋体" w:hAnsi="宋体" w:cs="宋体"/>
                  <w:color w:val="auto"/>
                  <w:kern w:val="0"/>
                  <w:sz w:val="24"/>
                  <w:highlight w:val="none"/>
                </w:rPr>
                <w:id w:val="18653879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样品分未超过价格分的50%；</w:t>
            </w:r>
          </w:p>
          <w:p w14:paraId="7F0D76FC">
            <w:pPr>
              <w:spacing w:line="360" w:lineRule="auto"/>
              <w:ind w:firstLine="240" w:firstLineChars="100"/>
              <w:rPr>
                <w:rFonts w:ascii="宋体" w:hAnsi="宋体" w:cs="宋体"/>
                <w:color w:val="auto"/>
                <w:kern w:val="0"/>
                <w:sz w:val="24"/>
                <w:highlight w:val="none"/>
              </w:rPr>
            </w:pPr>
            <w:sdt>
              <w:sdtPr>
                <w:rPr>
                  <w:rFonts w:hint="eastAsia" w:ascii="宋体" w:hAnsi="宋体" w:cs="宋体"/>
                  <w:color w:val="auto"/>
                  <w:kern w:val="0"/>
                  <w:sz w:val="24"/>
                  <w:highlight w:val="none"/>
                </w:rPr>
                <w:id w:val="9788865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C9D1D7D">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14:paraId="297123E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F4A2667">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（工作时间内）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37469F58">
            <w:pPr>
              <w:spacing w:line="360" w:lineRule="auto"/>
              <w:rPr>
                <w:rFonts w:ascii="宋体" w:hAnsi="宋体" w:cs="宋体"/>
                <w:color w:val="auto"/>
                <w:sz w:val="24"/>
                <w:highlight w:val="none"/>
              </w:rPr>
            </w:pPr>
            <w:r>
              <w:rPr>
                <w:rFonts w:hint="eastAsia" w:ascii="宋体" w:hAnsi="宋体" w:cs="宋体"/>
                <w:color w:val="auto"/>
                <w:sz w:val="24"/>
                <w:highlight w:val="none"/>
              </w:rPr>
              <w:t>（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3EE4A6A2">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534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69AF492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11C531C9">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2B2B6E5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77106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7B8C5F3">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B组织。</w:t>
            </w:r>
          </w:p>
          <w:p w14:paraId="1F8E2F9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265678E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12FE5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2AED62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杭州市公共资源交易中心4楼答疑室（讲标室）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5EE03CF3">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FFC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305008B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2A2A5DF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投标人应当提供的资格、资信、资质等证明文件</w:t>
            </w:r>
          </w:p>
        </w:tc>
        <w:tc>
          <w:tcPr>
            <w:tcW w:w="6095" w:type="dxa"/>
            <w:vAlign w:val="center"/>
          </w:tcPr>
          <w:p w14:paraId="6272A45B">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FB1B6E6">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F9C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29" w:type="dxa"/>
            <w:vMerge w:val="continue"/>
            <w:vAlign w:val="center"/>
          </w:tcPr>
          <w:p w14:paraId="5070D4F9">
            <w:pPr>
              <w:snapToGrid w:val="0"/>
              <w:spacing w:line="360" w:lineRule="auto"/>
              <w:jc w:val="center"/>
              <w:rPr>
                <w:rFonts w:ascii="宋体" w:hAnsi="宋体" w:cs="宋体"/>
                <w:color w:val="auto"/>
                <w:sz w:val="24"/>
                <w:highlight w:val="none"/>
              </w:rPr>
            </w:pPr>
          </w:p>
        </w:tc>
        <w:tc>
          <w:tcPr>
            <w:tcW w:w="1843" w:type="dxa"/>
            <w:vMerge w:val="continue"/>
            <w:vAlign w:val="center"/>
          </w:tcPr>
          <w:p w14:paraId="5B81BF23">
            <w:pPr>
              <w:snapToGrid w:val="0"/>
              <w:spacing w:line="360" w:lineRule="auto"/>
              <w:jc w:val="center"/>
              <w:rPr>
                <w:rFonts w:ascii="宋体" w:hAnsi="宋体" w:cs="宋体"/>
                <w:b/>
                <w:color w:val="auto"/>
                <w:sz w:val="24"/>
                <w:highlight w:val="none"/>
              </w:rPr>
            </w:pPr>
          </w:p>
        </w:tc>
        <w:tc>
          <w:tcPr>
            <w:tcW w:w="6095" w:type="dxa"/>
            <w:vAlign w:val="center"/>
          </w:tcPr>
          <w:p w14:paraId="20153C5E">
            <w:pPr>
              <w:spacing w:line="360" w:lineRule="auto"/>
              <w:rPr>
                <w:rFonts w:ascii="宋体" w:hAnsi="宋体" w:cs="宋体"/>
                <w:color w:val="auto"/>
                <w:sz w:val="24"/>
                <w:highlight w:val="none"/>
              </w:rPr>
            </w:pPr>
            <w:r>
              <w:rPr>
                <w:rFonts w:hint="eastAsia" w:ascii="宋体" w:hAnsi="宋体" w:cs="宋体"/>
                <w:color w:val="auto"/>
                <w:sz w:val="24"/>
                <w:highlight w:val="none"/>
              </w:rPr>
              <w:t>（2）资信、资质等证明文件：根据招标文件第四部分评标标准提供有效的资信、资质等证明文件。</w:t>
            </w:r>
          </w:p>
        </w:tc>
      </w:tr>
      <w:tr w14:paraId="347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rPr>
        <w:tc>
          <w:tcPr>
            <w:tcW w:w="629" w:type="dxa"/>
            <w:vAlign w:val="center"/>
          </w:tcPr>
          <w:p w14:paraId="7ACCEF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13DC4FD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vAlign w:val="center"/>
          </w:tcPr>
          <w:p w14:paraId="0E1C2CB7">
            <w:pPr>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采购人拟采购的产品属于品目清单范围的，采购人将依据国家确定的认证机构出具的、处于有效期之内的节能产品、环境标志产品认证证书，对获得证书的产品实施政府优先采购或强制采购。</w:t>
            </w:r>
          </w:p>
          <w:p w14:paraId="64B6842F">
            <w:pPr>
              <w:pStyle w:val="964"/>
              <w:spacing w:line="360" w:lineRule="auto"/>
              <w:ind w:firstLine="480"/>
              <w:jc w:val="both"/>
              <w:rPr>
                <w:rFonts w:ascii="宋体" w:hAnsi="宋体" w:eastAsia="宋体" w:cs="宋体"/>
                <w:color w:val="auto"/>
                <w:sz w:val="24"/>
                <w:highlight w:val="none"/>
                <w:lang w:val="zh-CN"/>
              </w:rPr>
            </w:pPr>
            <w:sdt>
              <w:sdtPr>
                <w:rPr>
                  <w:rFonts w:hint="eastAsia" w:ascii="宋体" w:hAnsi="宋体" w:eastAsia="宋体" w:cs="宋体"/>
                  <w:color w:val="auto"/>
                  <w:kern w:val="2"/>
                  <w:sz w:val="24"/>
                  <w:szCs w:val="24"/>
                  <w:highlight w:val="none"/>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ascii="Wingdings" w:hAnsi="Wingdings"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强制采购。产品：</w:t>
            </w:r>
            <w:r>
              <w:rPr>
                <w:rFonts w:hint="eastAsia" w:ascii="宋体" w:hAnsi="宋体" w:eastAsia="宋体" w:cs="宋体"/>
                <w:color w:val="auto"/>
                <w:kern w:val="2"/>
                <w:sz w:val="24"/>
                <w:szCs w:val="24"/>
                <w:highlight w:val="none"/>
                <w:u w:val="single"/>
              </w:rPr>
              <w:t xml:space="preserve"> 序号2</w:t>
            </w:r>
            <w:r>
              <w:rPr>
                <w:rFonts w:hint="eastAsia" w:ascii="宋体" w:hAnsi="宋体" w:eastAsia="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rPr>
              <w:t>：导播终端、序号：</w:t>
            </w:r>
            <w:r>
              <w:rPr>
                <w:rFonts w:hint="eastAsia" w:ascii="宋体" w:hAnsi="宋体" w:eastAsia="宋体" w:cs="宋体"/>
                <w:color w:val="auto"/>
                <w:kern w:val="2"/>
                <w:sz w:val="24"/>
                <w:szCs w:val="24"/>
                <w:highlight w:val="none"/>
                <w:u w:val="single"/>
                <w:lang w:val="en-US" w:eastAsia="zh-CN"/>
              </w:rPr>
              <w:t>27</w:t>
            </w:r>
            <w:r>
              <w:rPr>
                <w:rFonts w:hint="eastAsia" w:ascii="宋体" w:hAnsi="宋体" w:eastAsia="宋体" w:cs="宋体"/>
                <w:color w:val="auto"/>
                <w:kern w:val="2"/>
                <w:sz w:val="24"/>
                <w:szCs w:val="24"/>
                <w:highlight w:val="none"/>
                <w:u w:val="single"/>
              </w:rPr>
              <w:t>控制电脑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实施政府强制采购，</w:t>
            </w:r>
            <w:r>
              <w:rPr>
                <w:rFonts w:hint="eastAsia" w:ascii="宋体" w:hAnsi="宋体" w:eastAsia="宋体" w:cs="宋体"/>
                <w:b/>
                <w:bCs/>
                <w:color w:val="auto"/>
                <w:sz w:val="24"/>
                <w:highlight w:val="none"/>
                <w:lang w:val="zh-CN"/>
              </w:rPr>
              <w:t>投标人</w:t>
            </w:r>
            <w:r>
              <w:rPr>
                <w:rFonts w:hint="eastAsia" w:ascii="宋体" w:hAnsi="宋体" w:eastAsia="宋体" w:cs="宋体"/>
                <w:b/>
                <w:bCs/>
                <w:color w:val="auto"/>
                <w:sz w:val="24"/>
                <w:highlight w:val="none"/>
              </w:rPr>
              <w:t>就</w:t>
            </w:r>
            <w:r>
              <w:rPr>
                <w:rFonts w:hint="eastAsia" w:ascii="宋体" w:hAnsi="宋体" w:eastAsia="宋体" w:cs="宋体"/>
                <w:b/>
                <w:bCs/>
                <w:color w:val="auto"/>
                <w:sz w:val="24"/>
                <w:highlight w:val="none"/>
                <w:lang w:val="zh-CN"/>
              </w:rPr>
              <w:t>相应的投标产品未</w:t>
            </w:r>
            <w:r>
              <w:rPr>
                <w:rFonts w:hint="eastAsia" w:ascii="宋体" w:hAnsi="宋体" w:eastAsia="宋体" w:cs="宋体"/>
                <w:b/>
                <w:bCs/>
                <w:color w:val="auto"/>
                <w:sz w:val="24"/>
                <w:highlight w:val="none"/>
              </w:rPr>
              <w:t>提供</w:t>
            </w:r>
            <w:r>
              <w:rPr>
                <w:rFonts w:hint="eastAsia" w:ascii="宋体" w:hAnsi="宋体" w:eastAsia="宋体" w:cs="宋体"/>
                <w:b/>
                <w:bCs/>
                <w:color w:val="auto"/>
                <w:sz w:val="24"/>
                <w:highlight w:val="none"/>
                <w:lang w:val="zh-CN"/>
              </w:rPr>
              <w:t>国家确定的认证机构出具的、处于有效期之内的节能产品认证证书的，投标无效</w:t>
            </w:r>
            <w:r>
              <w:rPr>
                <w:rFonts w:hint="eastAsia" w:ascii="宋体" w:hAnsi="宋体" w:eastAsia="宋体" w:cs="宋体"/>
                <w:color w:val="auto"/>
                <w:sz w:val="24"/>
                <w:highlight w:val="none"/>
                <w:lang w:val="zh-CN"/>
              </w:rPr>
              <w:t>。</w:t>
            </w:r>
          </w:p>
          <w:p w14:paraId="4EA7FB1A">
            <w:pPr>
              <w:pStyle w:val="964"/>
              <w:widowControl w:val="0"/>
              <w:spacing w:line="360" w:lineRule="auto"/>
              <w:ind w:firstLine="48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□优先采购节能产品。产品：</w:t>
            </w:r>
            <w:r>
              <w:rPr>
                <w:rFonts w:hint="eastAsia" w:ascii="宋体" w:hAnsi="宋体" w:eastAsia="宋体" w:cs="宋体"/>
                <w:color w:val="auto"/>
                <w:kern w:val="2"/>
                <w:sz w:val="24"/>
                <w:szCs w:val="24"/>
                <w:highlight w:val="none"/>
                <w:u w:val="single"/>
              </w:rPr>
              <w:t xml:space="preserve">        </w:t>
            </w:r>
          </w:p>
          <w:p w14:paraId="75F05ADC">
            <w:pPr>
              <w:pStyle w:val="964"/>
              <w:spacing w:line="360" w:lineRule="auto"/>
              <w:ind w:firstLine="480"/>
              <w:jc w:val="both"/>
              <w:rPr>
                <w:rFonts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☑优先采购环保产品。产品：</w:t>
            </w:r>
            <w:r>
              <w:rPr>
                <w:rFonts w:hint="eastAsia" w:ascii="宋体" w:hAnsi="宋体" w:eastAsia="宋体" w:cs="宋体"/>
                <w:color w:val="auto"/>
                <w:kern w:val="2"/>
                <w:sz w:val="24"/>
                <w:szCs w:val="24"/>
                <w:highlight w:val="none"/>
                <w:u w:val="single"/>
              </w:rPr>
              <w:t xml:space="preserve"> 序号1：98寸智慧屏、序号2</w:t>
            </w:r>
            <w:r>
              <w:rPr>
                <w:rFonts w:hint="eastAsia" w:ascii="宋体" w:hAnsi="宋体" w:eastAsia="宋体" w:cs="宋体"/>
                <w:color w:val="auto"/>
                <w:kern w:val="2"/>
                <w:sz w:val="24"/>
                <w:szCs w:val="24"/>
                <w:highlight w:val="none"/>
                <w:u w:val="single"/>
                <w:lang w:val="en-US" w:eastAsia="zh-CN"/>
              </w:rPr>
              <w:t>2</w:t>
            </w:r>
            <w:r>
              <w:rPr>
                <w:rFonts w:hint="eastAsia" w:ascii="宋体" w:hAnsi="宋体" w:eastAsia="宋体" w:cs="宋体"/>
                <w:color w:val="auto"/>
                <w:kern w:val="2"/>
                <w:sz w:val="24"/>
                <w:szCs w:val="24"/>
                <w:highlight w:val="none"/>
                <w:u w:val="single"/>
              </w:rPr>
              <w:t>：导播终端、序号3：讲台智慧屏、序号2</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：LED显示屏、序号2</w:t>
            </w:r>
            <w:r>
              <w:rPr>
                <w:rFonts w:hint="eastAsia" w:ascii="宋体" w:hAnsi="宋体" w:eastAsia="宋体" w:cs="宋体"/>
                <w:color w:val="auto"/>
                <w:kern w:val="2"/>
                <w:sz w:val="24"/>
                <w:szCs w:val="24"/>
                <w:highlight w:val="none"/>
                <w:u w:val="single"/>
                <w:lang w:val="en-US" w:eastAsia="zh-CN"/>
              </w:rPr>
              <w:t>5</w:t>
            </w:r>
            <w:r>
              <w:rPr>
                <w:rFonts w:hint="eastAsia" w:ascii="宋体" w:hAnsi="宋体" w:eastAsia="宋体" w:cs="宋体"/>
                <w:color w:val="auto"/>
                <w:kern w:val="2"/>
                <w:sz w:val="24"/>
                <w:szCs w:val="24"/>
                <w:highlight w:val="none"/>
                <w:u w:val="single"/>
              </w:rPr>
              <w:t>：显示大屏、序号2</w:t>
            </w:r>
            <w:r>
              <w:rPr>
                <w:rFonts w:hint="eastAsia" w:ascii="宋体" w:hAnsi="宋体" w:eastAsia="宋体" w:cs="宋体"/>
                <w:color w:val="auto"/>
                <w:kern w:val="2"/>
                <w:sz w:val="24"/>
                <w:szCs w:val="24"/>
                <w:highlight w:val="none"/>
                <w:u w:val="single"/>
                <w:lang w:val="en-US" w:eastAsia="zh-CN"/>
              </w:rPr>
              <w:t>6</w:t>
            </w:r>
            <w:r>
              <w:rPr>
                <w:rFonts w:hint="eastAsia" w:ascii="宋体" w:hAnsi="宋体" w:eastAsia="宋体" w:cs="宋体"/>
                <w:color w:val="auto"/>
                <w:kern w:val="2"/>
                <w:sz w:val="24"/>
                <w:szCs w:val="24"/>
                <w:highlight w:val="none"/>
                <w:u w:val="single"/>
              </w:rPr>
              <w:t>：服务器、序号</w:t>
            </w:r>
            <w:r>
              <w:rPr>
                <w:rFonts w:hint="eastAsia" w:ascii="宋体" w:hAnsi="宋体" w:eastAsia="宋体" w:cs="宋体"/>
                <w:color w:val="auto"/>
                <w:kern w:val="2"/>
                <w:sz w:val="24"/>
                <w:szCs w:val="24"/>
                <w:highlight w:val="none"/>
                <w:u w:val="single"/>
                <w:lang w:val="en-US" w:eastAsia="zh-CN"/>
              </w:rPr>
              <w:t>27</w:t>
            </w:r>
            <w:r>
              <w:rPr>
                <w:rFonts w:hint="eastAsia" w:ascii="宋体" w:hAnsi="宋体" w:eastAsia="宋体" w:cs="宋体"/>
                <w:color w:val="auto"/>
                <w:kern w:val="2"/>
                <w:sz w:val="24"/>
                <w:szCs w:val="24"/>
                <w:highlight w:val="none"/>
                <w:u w:val="single"/>
              </w:rPr>
              <w:t>：控制电脑、序号3</w:t>
            </w:r>
            <w:r>
              <w:rPr>
                <w:rFonts w:hint="eastAsia" w:ascii="宋体" w:hAnsi="宋体" w:eastAsia="宋体" w:cs="宋体"/>
                <w:color w:val="auto"/>
                <w:kern w:val="2"/>
                <w:sz w:val="24"/>
                <w:szCs w:val="24"/>
                <w:highlight w:val="none"/>
                <w:u w:val="single"/>
                <w:lang w:val="en-US" w:eastAsia="zh-CN"/>
              </w:rPr>
              <w:t>1</w:t>
            </w:r>
            <w:r>
              <w:rPr>
                <w:rFonts w:hint="eastAsia" w:ascii="宋体" w:hAnsi="宋体" w:eastAsia="宋体" w:cs="宋体"/>
                <w:color w:val="auto"/>
                <w:kern w:val="2"/>
                <w:sz w:val="24"/>
                <w:szCs w:val="24"/>
                <w:highlight w:val="none"/>
                <w:u w:val="single"/>
              </w:rPr>
              <w:t xml:space="preserve">：SIP 服务器 </w:t>
            </w:r>
          </w:p>
          <w:p w14:paraId="3103D2A7">
            <w:pPr>
              <w:pStyle w:val="3"/>
              <w:rPr>
                <w:color w:val="auto"/>
                <w:highlight w:val="none"/>
              </w:rPr>
            </w:pPr>
            <w:r>
              <w:rPr>
                <w:rFonts w:hint="eastAsia"/>
                <w:color w:val="auto"/>
                <w:highlight w:val="none"/>
              </w:rPr>
              <w:t>□</w:t>
            </w:r>
            <w:r>
              <w:rPr>
                <w:rFonts w:hint="eastAsia" w:eastAsia="宋体"/>
                <w:color w:val="auto"/>
                <w:highlight w:val="none"/>
              </w:rPr>
              <w:t>无。</w:t>
            </w:r>
          </w:p>
        </w:tc>
      </w:tr>
      <w:tr w14:paraId="568F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25C00D0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0767749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65B2134D">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1EE834C3">
            <w:pPr>
              <w:widowControl/>
              <w:shd w:val="clear" w:color="auto" w:fill="FFFFFF"/>
              <w:spacing w:line="480" w:lineRule="atLeast"/>
              <w:textAlignment w:val="baseline"/>
              <w:rPr>
                <w:rFonts w:ascii="Calibri" w:hAnsi="Calibri" w:cs="Calibri"/>
                <w:b/>
                <w:bCs/>
                <w:color w:val="auto"/>
                <w:szCs w:val="21"/>
                <w:highlight w:val="none"/>
              </w:rPr>
            </w:pPr>
            <w:r>
              <w:rPr>
                <w:rFonts w:hint="eastAsia" w:ascii="宋体" w:hAnsi="宋体" w:cs="宋体"/>
                <w:b/>
                <w:bCs/>
                <w:color w:val="auto"/>
                <w:kern w:val="0"/>
                <w:sz w:val="24"/>
                <w:highlight w:val="none"/>
                <w:shd w:val="clear" w:color="auto" w:fill="FFFFFF"/>
                <w:lang w:bidi="ar"/>
              </w:rPr>
              <w:t>（2）政府采购评审中出现下列情形之一的，评审委员会应当启动异常低价投标（响应）审查程序：</w:t>
            </w:r>
          </w:p>
          <w:p w14:paraId="3E1147A3">
            <w:pPr>
              <w:widowControl/>
              <w:shd w:val="clear" w:color="auto" w:fill="FFFFFF"/>
              <w:spacing w:line="480" w:lineRule="atLeast"/>
              <w:textAlignment w:val="baseline"/>
              <w:rPr>
                <w:rFonts w:ascii="Calibri" w:hAnsi="Calibri" w:cs="Calibri"/>
                <w:b/>
                <w:bCs/>
                <w:color w:val="auto"/>
                <w:szCs w:val="21"/>
                <w:highlight w:val="none"/>
              </w:rPr>
            </w:pPr>
            <w:r>
              <w:rPr>
                <w:rFonts w:hint="eastAsia" w:ascii="宋体" w:hAnsi="宋体" w:cs="宋体"/>
                <w:b/>
                <w:bCs/>
                <w:color w:val="auto"/>
                <w:kern w:val="0"/>
                <w:sz w:val="24"/>
                <w:highlight w:val="none"/>
                <w:shd w:val="clear" w:color="auto" w:fill="FFFFFF"/>
                <w:lang w:bidi="ar"/>
              </w:rPr>
              <w:t>1.投标（响应）报价低于全部通过符合性审查供应商投标（响应）报价平均值</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的，即投标（响应）报价&lt;全部通过符合性审查供应商投标（响应）报价平均值×</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w:t>
            </w:r>
          </w:p>
          <w:p w14:paraId="2651C8BC">
            <w:pPr>
              <w:widowControl/>
              <w:shd w:val="clear" w:color="auto" w:fill="FFFFFF"/>
              <w:spacing w:line="480" w:lineRule="atLeast"/>
              <w:textAlignment w:val="baseline"/>
              <w:rPr>
                <w:rFonts w:ascii="Calibri" w:hAnsi="Calibri" w:cs="Calibri"/>
                <w:b/>
                <w:bCs/>
                <w:color w:val="auto"/>
                <w:szCs w:val="21"/>
                <w:highlight w:val="none"/>
              </w:rPr>
            </w:pPr>
            <w:r>
              <w:rPr>
                <w:rFonts w:hint="eastAsia" w:ascii="宋体" w:hAnsi="宋体" w:cs="宋体"/>
                <w:b/>
                <w:bCs/>
                <w:color w:val="auto"/>
                <w:kern w:val="0"/>
                <w:sz w:val="24"/>
                <w:highlight w:val="none"/>
                <w:shd w:val="clear" w:color="auto" w:fill="FFFFFF"/>
                <w:lang w:bidi="ar"/>
              </w:rPr>
              <w:t>2.投标（响应）报价低于通过符合性审查的次低报价供应商投标（响应）报价</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的，即投标（响应）报价&lt;通过符合性审查的次低报价供应商投标（响应）报价×</w:t>
            </w:r>
            <w:r>
              <w:rPr>
                <w:rFonts w:hint="eastAsia" w:ascii="宋体" w:hAnsi="宋体" w:cs="宋体"/>
                <w:b/>
                <w:bCs/>
                <w:color w:val="auto"/>
                <w:kern w:val="0"/>
                <w:sz w:val="24"/>
                <w:highlight w:val="none"/>
                <w:u w:val="single"/>
                <w:shd w:val="clear" w:color="auto" w:fill="FFFFFF"/>
                <w:lang w:bidi="ar"/>
              </w:rPr>
              <w:t xml:space="preserve"> 50 %</w:t>
            </w:r>
            <w:r>
              <w:rPr>
                <w:rFonts w:hint="eastAsia" w:ascii="宋体" w:hAnsi="宋体" w:cs="宋体"/>
                <w:b/>
                <w:bCs/>
                <w:color w:val="auto"/>
                <w:kern w:val="0"/>
                <w:sz w:val="24"/>
                <w:highlight w:val="none"/>
                <w:shd w:val="clear" w:color="auto" w:fill="FFFFFF"/>
                <w:lang w:bidi="ar"/>
              </w:rPr>
              <w:t>；</w:t>
            </w:r>
          </w:p>
          <w:p w14:paraId="20A53D63">
            <w:pPr>
              <w:widowControl/>
              <w:shd w:val="clear" w:color="auto" w:fill="FFFFFF"/>
              <w:spacing w:line="480" w:lineRule="atLeast"/>
              <w:textAlignment w:val="baseline"/>
              <w:rPr>
                <w:rFonts w:ascii="宋体" w:hAnsi="宋体" w:cs="宋体"/>
                <w:b/>
                <w:bCs/>
                <w:color w:val="auto"/>
                <w:kern w:val="0"/>
                <w:sz w:val="24"/>
                <w:highlight w:val="none"/>
                <w:shd w:val="clear" w:color="auto" w:fill="FFFFFF"/>
                <w:lang w:bidi="ar"/>
              </w:rPr>
            </w:pPr>
            <w:r>
              <w:rPr>
                <w:rFonts w:hint="eastAsia" w:ascii="宋体" w:hAnsi="宋体" w:cs="宋体"/>
                <w:b/>
                <w:bCs/>
                <w:color w:val="auto"/>
                <w:kern w:val="0"/>
                <w:sz w:val="24"/>
                <w:highlight w:val="none"/>
                <w:shd w:val="clear" w:color="auto" w:fill="FFFFFF"/>
                <w:lang w:bidi="ar"/>
              </w:rPr>
              <w:t>3.投标（响应）报价低于采购项目最高限价</w:t>
            </w:r>
            <w:r>
              <w:rPr>
                <w:rFonts w:hint="eastAsia" w:ascii="宋体" w:hAnsi="宋体" w:cs="宋体"/>
                <w:b/>
                <w:bCs/>
                <w:color w:val="auto"/>
                <w:kern w:val="0"/>
                <w:sz w:val="24"/>
                <w:highlight w:val="none"/>
                <w:u w:val="single"/>
                <w:shd w:val="clear" w:color="auto" w:fill="FFFFFF"/>
                <w:lang w:bidi="ar"/>
              </w:rPr>
              <w:t xml:space="preserve"> 65 %</w:t>
            </w:r>
            <w:r>
              <w:rPr>
                <w:rFonts w:hint="eastAsia" w:ascii="宋体" w:hAnsi="宋体" w:cs="宋体"/>
                <w:b/>
                <w:bCs/>
                <w:color w:val="auto"/>
                <w:kern w:val="0"/>
                <w:sz w:val="24"/>
                <w:highlight w:val="none"/>
                <w:shd w:val="clear" w:color="auto" w:fill="FFFFFF"/>
                <w:lang w:bidi="ar"/>
              </w:rPr>
              <w:t>的，即投标（响应）报价&lt;采购项目最高限价×</w:t>
            </w:r>
            <w:r>
              <w:rPr>
                <w:rFonts w:hint="eastAsia" w:ascii="宋体" w:hAnsi="宋体" w:cs="宋体"/>
                <w:b/>
                <w:bCs/>
                <w:color w:val="auto"/>
                <w:kern w:val="0"/>
                <w:sz w:val="24"/>
                <w:highlight w:val="none"/>
                <w:u w:val="single"/>
                <w:shd w:val="clear" w:color="auto" w:fill="FFFFFF"/>
                <w:lang w:bidi="ar"/>
              </w:rPr>
              <w:t xml:space="preserve"> 65 %</w:t>
            </w:r>
            <w:r>
              <w:rPr>
                <w:rFonts w:hint="eastAsia" w:ascii="宋体" w:hAnsi="宋体" w:cs="宋体"/>
                <w:b/>
                <w:bCs/>
                <w:color w:val="auto"/>
                <w:kern w:val="0"/>
                <w:sz w:val="24"/>
                <w:highlight w:val="none"/>
                <w:shd w:val="clear" w:color="auto" w:fill="FFFFFF"/>
                <w:lang w:bidi="ar"/>
              </w:rPr>
              <w:t>；</w:t>
            </w:r>
          </w:p>
          <w:p w14:paraId="5896B51C">
            <w:pPr>
              <w:widowControl/>
              <w:shd w:val="clear" w:color="auto" w:fill="FFFFFF"/>
              <w:spacing w:after="120" w:afterLines="50" w:line="480" w:lineRule="atLeast"/>
              <w:textAlignment w:val="baseline"/>
              <w:rPr>
                <w:rFonts w:ascii="宋体" w:hAnsi="宋体" w:cs="宋体"/>
                <w:b/>
                <w:bCs/>
                <w:color w:val="auto"/>
                <w:kern w:val="0"/>
                <w:sz w:val="24"/>
                <w:highlight w:val="none"/>
                <w:lang w:bidi="ar"/>
              </w:rPr>
            </w:pPr>
            <w:r>
              <w:rPr>
                <w:rFonts w:hint="eastAsia" w:ascii="宋体" w:hAnsi="宋体" w:cs="宋体"/>
                <w:b/>
                <w:bCs/>
                <w:color w:val="auto"/>
                <w:kern w:val="0"/>
                <w:sz w:val="24"/>
                <w:highlight w:val="none"/>
                <w:shd w:val="clear" w:color="auto" w:fill="FFFFFF"/>
                <w:lang w:bidi="ar"/>
              </w:rPr>
              <w:t>4.评审委员会基于专业判断</w:t>
            </w:r>
            <w:r>
              <w:rPr>
                <w:rFonts w:hint="eastAsia" w:ascii="宋体" w:hAnsi="宋体" w:cs="宋体"/>
                <w:b/>
                <w:bCs/>
                <w:color w:val="auto"/>
                <w:kern w:val="0"/>
                <w:sz w:val="24"/>
                <w:highlight w:val="none"/>
                <w:lang w:bidi="ar"/>
              </w:rPr>
              <w:t>，认为供应商报价过低，有可能影响产品质量或者不能诚信履约的其他情形。</w:t>
            </w:r>
          </w:p>
          <w:p w14:paraId="64629F0F">
            <w:pPr>
              <w:widowControl/>
              <w:shd w:val="clear" w:color="auto" w:fill="FFFFFF"/>
              <w:spacing w:after="120" w:afterLines="50" w:line="480" w:lineRule="atLeast"/>
              <w:textAlignment w:val="baseline"/>
              <w:rPr>
                <w:color w:val="auto"/>
                <w:highlight w:val="none"/>
              </w:rPr>
            </w:pPr>
            <w:r>
              <w:rPr>
                <w:rFonts w:hint="eastAsia" w:ascii="宋体" w:hAnsi="宋体" w:cs="宋体"/>
                <w:b/>
                <w:bCs/>
                <w:color w:val="auto"/>
                <w:kern w:val="0"/>
                <w:sz w:val="24"/>
                <w:highlight w:val="none"/>
                <w:lang w:bidi="ar"/>
              </w:rPr>
              <w:t>注：采购人可以结合具体项目实际情况，提高上述第1项至第3项中启动异常低价投标（响应）审查的数值标准，并在招标文件中予以明确，但是最高不得超过65%。</w:t>
            </w:r>
          </w:p>
          <w:p w14:paraId="6E4D4D75">
            <w:pPr>
              <w:widowControl/>
              <w:shd w:val="clear" w:color="auto" w:fill="FFFFFF"/>
              <w:spacing w:after="120" w:afterLines="50" w:line="480" w:lineRule="atLeast"/>
              <w:textAlignment w:val="baseline"/>
              <w:rPr>
                <w:color w:val="auto"/>
                <w:highlight w:val="none"/>
              </w:rPr>
            </w:pPr>
            <w:r>
              <w:rPr>
                <w:rFonts w:hint="eastAsia" w:ascii="宋体" w:hAnsi="宋体" w:cs="宋体"/>
                <w:b/>
                <w:bCs/>
                <w:color w:val="auto"/>
                <w:kern w:val="0"/>
                <w:sz w:val="24"/>
                <w:highlight w:val="none"/>
                <w:shd w:val="clear" w:color="auto" w:fill="FFFFFF"/>
                <w:lang w:bidi="ar"/>
              </w:rPr>
              <w:t>相关法律法规对供应商报价有规定的，从其规定。</w:t>
            </w:r>
          </w:p>
          <w:p w14:paraId="2B63C2FB">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zh-CN"/>
              </w:rPr>
              <w:t>）投标报价出现下列情形的，投标无效：</w:t>
            </w:r>
          </w:p>
          <w:p w14:paraId="2B548887">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4D444819">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756E91D6">
            <w:pPr>
              <w:spacing w:line="360" w:lineRule="auto"/>
              <w:ind w:firstLine="241" w:firstLineChars="100"/>
              <w:rPr>
                <w:rFonts w:ascii="宋体" w:hAnsi="宋体" w:cs="宋体"/>
                <w:b/>
                <w:color w:val="auto"/>
                <w:sz w:val="24"/>
                <w:highlight w:val="none"/>
              </w:rPr>
            </w:pPr>
            <w:r>
              <w:rPr>
                <w:rFonts w:hint="eastAsia" w:ascii="宋体" w:hAnsi="宋体" w:cs="宋体"/>
                <w:b/>
                <w:bCs/>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3B27085D">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5FC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5" w:hRule="atLeast"/>
        </w:trPr>
        <w:tc>
          <w:tcPr>
            <w:tcW w:w="629" w:type="dxa"/>
            <w:vAlign w:val="center"/>
          </w:tcPr>
          <w:p w14:paraId="7C273E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47C87D0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7425FC4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443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14:paraId="7FD71EB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0B27727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14:paraId="3E7D8A44">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杭州市之江路925号临江金座2号楼1010室（杭州市公共资源交易中心政府采购处）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0571-89587880</w:t>
            </w:r>
            <w:r>
              <w:rPr>
                <w:rFonts w:hint="eastAsia" w:hAnsi="宋体" w:cs="宋体"/>
                <w:color w:val="auto"/>
                <w:sz w:val="24"/>
                <w:szCs w:val="24"/>
                <w:highlight w:val="none"/>
              </w:rPr>
              <w:t>。</w:t>
            </w:r>
            <w:r>
              <w:rPr>
                <w:rFonts w:hint="eastAsia" w:hAnsi="宋体" w:cs="宋体"/>
                <w:b/>
                <w:color w:val="auto"/>
                <w:sz w:val="24"/>
                <w:szCs w:val="24"/>
                <w:highlight w:val="none"/>
              </w:rPr>
              <w:t>采购人、采购机构不强制或变相强制投标人提交备份投标文件。</w:t>
            </w:r>
          </w:p>
        </w:tc>
      </w:tr>
      <w:tr w14:paraId="2AF5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111B6D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14:paraId="18FAA06B">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5A3232A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69F9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385D9FB5">
            <w:pPr>
              <w:snapToGrid w:val="0"/>
              <w:spacing w:line="360" w:lineRule="auto"/>
              <w:jc w:val="center"/>
              <w:rPr>
                <w:rFonts w:ascii="宋体" w:hAnsi="宋体" w:cs="宋体"/>
                <w:color w:val="auto"/>
                <w:sz w:val="24"/>
                <w:highlight w:val="none"/>
              </w:rPr>
            </w:pPr>
          </w:p>
        </w:tc>
        <w:tc>
          <w:tcPr>
            <w:tcW w:w="1843" w:type="dxa"/>
            <w:vMerge w:val="continue"/>
            <w:vAlign w:val="center"/>
          </w:tcPr>
          <w:p w14:paraId="681A526E">
            <w:pPr>
              <w:snapToGrid w:val="0"/>
              <w:spacing w:line="360" w:lineRule="auto"/>
              <w:jc w:val="center"/>
              <w:rPr>
                <w:rFonts w:ascii="宋体" w:hAnsi="宋体" w:cs="宋体"/>
                <w:b/>
                <w:color w:val="auto"/>
                <w:sz w:val="24"/>
                <w:highlight w:val="none"/>
              </w:rPr>
            </w:pPr>
          </w:p>
        </w:tc>
        <w:tc>
          <w:tcPr>
            <w:tcW w:w="6095" w:type="dxa"/>
            <w:vAlign w:val="center"/>
          </w:tcPr>
          <w:p w14:paraId="7450297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3962425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57963B2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44FA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14:paraId="76373435">
            <w:pPr>
              <w:snapToGrid w:val="0"/>
              <w:spacing w:line="360" w:lineRule="auto"/>
              <w:jc w:val="center"/>
              <w:rPr>
                <w:rFonts w:ascii="宋体" w:hAnsi="宋体" w:cs="宋体"/>
                <w:color w:val="auto"/>
                <w:sz w:val="24"/>
                <w:highlight w:val="none"/>
              </w:rPr>
            </w:pPr>
          </w:p>
        </w:tc>
        <w:tc>
          <w:tcPr>
            <w:tcW w:w="1843" w:type="dxa"/>
            <w:vMerge w:val="continue"/>
            <w:vAlign w:val="center"/>
          </w:tcPr>
          <w:p w14:paraId="565B8562">
            <w:pPr>
              <w:snapToGrid w:val="0"/>
              <w:spacing w:line="360" w:lineRule="auto"/>
              <w:jc w:val="center"/>
              <w:rPr>
                <w:rFonts w:ascii="宋体" w:hAnsi="宋体" w:cs="宋体"/>
                <w:b/>
                <w:color w:val="auto"/>
                <w:sz w:val="24"/>
                <w:highlight w:val="none"/>
              </w:rPr>
            </w:pPr>
          </w:p>
        </w:tc>
        <w:tc>
          <w:tcPr>
            <w:tcW w:w="6095" w:type="dxa"/>
            <w:vAlign w:val="center"/>
          </w:tcPr>
          <w:p w14:paraId="5E042962">
            <w:pPr>
              <w:spacing w:line="360" w:lineRule="auto"/>
              <w:rPr>
                <w:rFonts w:cs="Arial" w:asciiTheme="minorEastAsia" w:hAnsiTheme="minorEastAsia" w:eastAsiaTheme="minorEastAsia"/>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22E1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6400A9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14:paraId="3230055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14:paraId="5D4AC2D5">
            <w:pPr>
              <w:spacing w:line="360" w:lineRule="auto"/>
              <w:jc w:val="left"/>
              <w:rPr>
                <w:rFonts w:ascii="宋体" w:hAnsi="宋体" w:cs="宋体"/>
                <w:color w:val="auto"/>
                <w:kern w:val="0"/>
                <w:sz w:val="24"/>
                <w:highlight w:val="none"/>
                <w:lang w:val="en"/>
              </w:rPr>
            </w:pPr>
            <w:r>
              <w:rPr>
                <w:rFonts w:hint="eastAsia" w:ascii="宋体" w:hAnsi="宋体" w:cs="Arial"/>
                <w:color w:val="auto"/>
                <w:kern w:val="0"/>
                <w:sz w:val="24"/>
                <w:highlight w:val="none"/>
                <w:lang w:val="en"/>
              </w:rPr>
              <w:t>本项目推荐的中标候选人数：</w:t>
            </w:r>
            <w:r>
              <w:rPr>
                <w:rFonts w:hint="eastAsia" w:ascii="宋体" w:hAnsi="宋体" w:cs="Arial"/>
                <w:color w:val="auto"/>
                <w:kern w:val="0"/>
                <w:sz w:val="24"/>
                <w:highlight w:val="none"/>
                <w:u w:val="single"/>
              </w:rPr>
              <w:t xml:space="preserve">  1 </w:t>
            </w:r>
            <w:r>
              <w:rPr>
                <w:rFonts w:hint="eastAsia" w:ascii="宋体" w:hAnsi="宋体" w:cs="Arial"/>
                <w:color w:val="auto"/>
                <w:kern w:val="0"/>
                <w:sz w:val="24"/>
                <w:highlight w:val="none"/>
                <w:lang w:val="en"/>
              </w:rPr>
              <w:t>。</w:t>
            </w:r>
          </w:p>
        </w:tc>
      </w:tr>
      <w:tr w14:paraId="350F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4CB90C2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15</w:t>
            </w:r>
          </w:p>
        </w:tc>
        <w:tc>
          <w:tcPr>
            <w:tcW w:w="1843" w:type="dxa"/>
            <w:vAlign w:val="center"/>
          </w:tcPr>
          <w:p w14:paraId="528910CA">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代理费用收取方式及标准</w:t>
            </w:r>
          </w:p>
        </w:tc>
        <w:tc>
          <w:tcPr>
            <w:tcW w:w="6095" w:type="dxa"/>
            <w:vAlign w:val="center"/>
          </w:tcPr>
          <w:p w14:paraId="16E38C2A">
            <w:pPr>
              <w:spacing w:line="360" w:lineRule="auto"/>
              <w:jc w:val="left"/>
              <w:rPr>
                <w:rFonts w:ascii="宋体" w:hAnsi="宋体" w:cs="宋体"/>
                <w:color w:val="auto"/>
                <w:kern w:val="0"/>
                <w:sz w:val="24"/>
                <w:highlight w:val="none"/>
                <w:lang w:val="en"/>
              </w:rPr>
            </w:pPr>
            <w:r>
              <w:rPr>
                <w:rFonts w:hint="eastAsia" w:ascii="宋体" w:hAnsi="宋体" w:cs="Arial"/>
                <w:color w:val="auto"/>
                <w:kern w:val="0"/>
                <w:sz w:val="24"/>
                <w:highlight w:val="none"/>
              </w:rPr>
              <w:t>本项目不收取代理费。</w:t>
            </w:r>
          </w:p>
        </w:tc>
      </w:tr>
    </w:tbl>
    <w:p w14:paraId="17BECEDD">
      <w:pPr>
        <w:snapToGrid w:val="0"/>
        <w:spacing w:line="360" w:lineRule="auto"/>
        <w:jc w:val="center"/>
        <w:rPr>
          <w:rFonts w:ascii="宋体" w:hAnsi="宋体" w:cs="宋体"/>
          <w:b/>
          <w:color w:val="auto"/>
          <w:sz w:val="32"/>
          <w:szCs w:val="20"/>
          <w:highlight w:val="none"/>
        </w:rPr>
      </w:pPr>
    </w:p>
    <w:bookmarkEnd w:id="10"/>
    <w:p w14:paraId="5C8F3A89">
      <w:pPr>
        <w:adjustRightInd/>
        <w:spacing w:line="360" w:lineRule="auto"/>
        <w:ind w:firstLine="3845" w:firstLineChars="1197"/>
        <w:outlineLvl w:val="0"/>
        <w:rPr>
          <w:rFonts w:ascii="宋体" w:hAnsi="宋体" w:cs="宋体"/>
          <w:b/>
          <w:color w:val="auto"/>
          <w:sz w:val="32"/>
          <w:szCs w:val="20"/>
          <w:highlight w:val="none"/>
        </w:rPr>
      </w:pPr>
      <w:bookmarkStart w:id="13" w:name="第三部分"/>
      <w:bookmarkStart w:id="14" w:name="_Toc164416483"/>
      <w:r>
        <w:rPr>
          <w:rFonts w:hint="eastAsia" w:ascii="宋体" w:hAnsi="宋体" w:cs="宋体"/>
          <w:b/>
          <w:color w:val="auto"/>
          <w:sz w:val="32"/>
          <w:szCs w:val="20"/>
          <w:highlight w:val="none"/>
        </w:rPr>
        <w:t>一、总则</w:t>
      </w:r>
    </w:p>
    <w:p w14:paraId="70DD702A">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31D103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4BB51A9">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3AC9EF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46671E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“采购机构”系指招标公告中载明的本项目的采购机构。</w:t>
      </w:r>
    </w:p>
    <w:p w14:paraId="64599D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75FD40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50671D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CB93F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30EC6E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E0845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6BFDCA6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D916BA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9B01AF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19F361A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w:t>
      </w:r>
      <w:r>
        <w:rPr>
          <w:rFonts w:hint="eastAsia" w:ascii="宋体" w:hAnsi="宋体" w:cs="宋体"/>
          <w:b/>
          <w:bCs/>
          <w:color w:val="auto"/>
          <w:kern w:val="0"/>
          <w:sz w:val="24"/>
          <w:highlight w:val="none"/>
          <w:lang w:val="zh-CN"/>
        </w:rPr>
        <w:t>实施政府强制采购的</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投标人</w:t>
      </w:r>
      <w:r>
        <w:rPr>
          <w:rFonts w:hint="eastAsia" w:ascii="宋体" w:hAnsi="宋体" w:cs="宋体"/>
          <w:b/>
          <w:bCs/>
          <w:color w:val="auto"/>
          <w:kern w:val="0"/>
          <w:sz w:val="24"/>
          <w:highlight w:val="none"/>
        </w:rPr>
        <w:t>就</w:t>
      </w:r>
      <w:r>
        <w:rPr>
          <w:rFonts w:hint="eastAsia" w:ascii="宋体" w:hAnsi="宋体" w:cs="宋体"/>
          <w:b/>
          <w:bCs/>
          <w:color w:val="auto"/>
          <w:kern w:val="0"/>
          <w:sz w:val="24"/>
          <w:highlight w:val="none"/>
          <w:lang w:val="zh-CN"/>
        </w:rPr>
        <w:t>相应的投标产品未</w:t>
      </w:r>
      <w:r>
        <w:rPr>
          <w:rFonts w:hint="eastAsia" w:ascii="宋体" w:hAnsi="宋体" w:cs="宋体"/>
          <w:b/>
          <w:bCs/>
          <w:color w:val="auto"/>
          <w:kern w:val="0"/>
          <w:sz w:val="24"/>
          <w:highlight w:val="none"/>
        </w:rPr>
        <w:t>提供</w:t>
      </w:r>
      <w:r>
        <w:rPr>
          <w:rFonts w:hint="eastAsia" w:ascii="宋体" w:hAnsi="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7E22F5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534430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14:paraId="4686C9B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D6C1B0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766F7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50E35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F9ADB3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2496A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728171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15BB38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569C09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23AFF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CE02D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2A769FB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6777E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首台套、“制造精品”、“专精特新”等创新产品按规定享受政府采购支持政策。</w:t>
      </w:r>
    </w:p>
    <w:p w14:paraId="3F0C4C90">
      <w:pPr>
        <w:pStyle w:val="3"/>
        <w:rPr>
          <w:color w:val="auto"/>
          <w:highlight w:val="none"/>
        </w:rPr>
      </w:pPr>
      <w:r>
        <w:rPr>
          <w:rFonts w:hint="eastAsia"/>
          <w:color w:val="auto"/>
          <w:highlight w:val="none"/>
        </w:rPr>
        <w:t>3.4.2 采购人应当贯彻落实知识产权保护相关法律法规，应当采购使用正版软件。</w:t>
      </w:r>
    </w:p>
    <w:p w14:paraId="2E96ABC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0FC93ED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rPr>
        <w:t xml:space="preserve">  3.6 支持本国产品</w:t>
      </w:r>
    </w:p>
    <w:p w14:paraId="063B7DF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3.6.1 本国产品标准适用于货物，包括政府采购货物项目和服务项目中涉及的货物。</w:t>
      </w:r>
    </w:p>
    <w:p w14:paraId="22D2CDD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3.6.2 本项目既有本国产品又有非本国产品参与竞争的，对本国产品的报价给予20%的价格扣除，用扣除后的价格参与评审。</w:t>
      </w:r>
    </w:p>
    <w:p w14:paraId="699134F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24D2D67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3.6.4 评审委员会</w:t>
      </w:r>
      <w:r>
        <w:rPr>
          <w:rFonts w:hint="eastAsia" w:ascii="宋体" w:hAnsi="宋体" w:cs="宋体"/>
          <w:color w:val="auto"/>
          <w:sz w:val="24"/>
          <w:highlight w:val="none"/>
          <w:shd w:val="clear" w:color="auto" w:fill="FFFFFF"/>
        </w:rPr>
        <w:t>应当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cs="宋体"/>
          <w:color w:val="auto"/>
          <w:sz w:val="24"/>
          <w:highlight w:val="none"/>
        </w:rPr>
        <w:t>。</w:t>
      </w:r>
    </w:p>
    <w:p w14:paraId="10354436">
      <w:pPr>
        <w:spacing w:line="360" w:lineRule="auto"/>
        <w:ind w:firstLine="482" w:firstLineChars="200"/>
        <w:rPr>
          <w:b/>
          <w:color w:val="auto"/>
          <w:sz w:val="24"/>
          <w:highlight w:val="none"/>
        </w:rPr>
      </w:pPr>
      <w:r>
        <w:rPr>
          <w:rFonts w:hint="eastAsia"/>
          <w:b/>
          <w:color w:val="auto"/>
          <w:sz w:val="24"/>
          <w:highlight w:val="none"/>
        </w:rPr>
        <w:t>4. 询问、质疑、投诉、补偿救济</w:t>
      </w:r>
    </w:p>
    <w:p w14:paraId="0124201F">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55C66581">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color w:val="auto"/>
          <w:highlight w:val="none"/>
        </w:rPr>
        <w:t>政采云平台-项目采购-询问质疑投诉-投诉列表</w:t>
      </w:r>
      <w:r>
        <w:rPr>
          <w:rFonts w:hint="eastAsia"/>
          <w:color w:val="auto"/>
          <w:highlight w:val="none"/>
          <w:lang w:val="zh-CN"/>
        </w:rPr>
        <w:t>。</w:t>
      </w:r>
    </w:p>
    <w:p w14:paraId="5DA685C0">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D26C02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4DFD5AC">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7826B25">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6A688F99">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46CED535">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4B25CDCF">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4365737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9D92E7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44F4EF3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6D1097C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0F82A1D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9FE336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30180C09">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1258C0E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A7BF53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2ADE7E1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4A2BCD57">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.5采购人或者采购机构应当在根据</w:t>
      </w:r>
      <w:r>
        <w:rPr>
          <w:rFonts w:hint="eastAsia" w:asciiTheme="minorEastAsia" w:hAnsiTheme="minorEastAsia" w:eastAsiaTheme="minorEastAsia"/>
          <w:color w:val="auto"/>
          <w:highlight w:val="none"/>
        </w:rPr>
        <w:t>《杭州市集中采购委托协议》的约定，</w:t>
      </w:r>
      <w:r>
        <w:rPr>
          <w:rFonts w:hint="eastAsia"/>
          <w:color w:val="auto"/>
          <w:highlight w:val="none"/>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质疑答复按照相关规定留存，答复内容应当完整。质疑函作为附件上传。</w:t>
      </w:r>
    </w:p>
    <w:p w14:paraId="37BD58AD">
      <w:pPr>
        <w:pStyle w:val="889"/>
        <w:shd w:val="clear" w:color="auto" w:fill="FFFFFF"/>
        <w:snapToGrid w:val="0"/>
        <w:spacing w:after="240" w:line="360" w:lineRule="auto"/>
        <w:ind w:firstLine="400"/>
        <w:contextualSpacing/>
        <w:rPr>
          <w:color w:val="auto"/>
          <w:highlight w:val="none"/>
        </w:rPr>
      </w:pPr>
      <w:r>
        <w:rPr>
          <w:rFonts w:hint="eastAsia"/>
          <w:color w:val="auto"/>
          <w:highlight w:val="none"/>
        </w:rPr>
        <w:t>询问、质疑答复责任主体如下：</w:t>
      </w:r>
    </w:p>
    <w:p w14:paraId="794B4C6A">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询问、质疑答复责任主体一览表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7B3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05C07B85">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询问、质疑内容</w:t>
            </w:r>
          </w:p>
        </w:tc>
        <w:tc>
          <w:tcPr>
            <w:tcW w:w="2232" w:type="dxa"/>
            <w:vAlign w:val="center"/>
          </w:tcPr>
          <w:p w14:paraId="216A78CA">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询问、质疑答复</w:t>
            </w:r>
          </w:p>
          <w:p w14:paraId="724C5489">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229D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2239E7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14:paraId="7CF62470">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对采购文件中“申请人的资格要求”、“采购需求”、“评审办法”、“采购合同的主要条款”、“采购文件前附表内容”、“报价内容”的询问、质疑</w:t>
            </w:r>
          </w:p>
        </w:tc>
        <w:tc>
          <w:tcPr>
            <w:tcW w:w="2232" w:type="dxa"/>
            <w:vAlign w:val="center"/>
          </w:tcPr>
          <w:p w14:paraId="262A6585">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A9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4C06EDF">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42DE9742">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14:paraId="713A63EC">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0FFA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CA7BDC9">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对采购过程、采购结果提出询问、质疑</w:t>
            </w:r>
          </w:p>
        </w:tc>
        <w:tc>
          <w:tcPr>
            <w:tcW w:w="4536" w:type="dxa"/>
            <w:vAlign w:val="center"/>
          </w:tcPr>
          <w:p w14:paraId="76FB6BEB">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对“现场考察、答疑会”、 “甲方负责接收和保存的样品” 、“资格审查”、“评审”等环节的询问、质疑</w:t>
            </w:r>
          </w:p>
        </w:tc>
        <w:tc>
          <w:tcPr>
            <w:tcW w:w="2232" w:type="dxa"/>
            <w:vAlign w:val="center"/>
          </w:tcPr>
          <w:p w14:paraId="0013DC5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2500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265F4E89">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39B195FB">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对采购过程、采购结果其他环节的询问、质疑</w:t>
            </w:r>
          </w:p>
        </w:tc>
        <w:tc>
          <w:tcPr>
            <w:tcW w:w="2232" w:type="dxa"/>
            <w:vAlign w:val="center"/>
          </w:tcPr>
          <w:p w14:paraId="384CCD36">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2EB1A19C">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59CBEF59">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465217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643DA8C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BB1435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AFB090C">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6C6D97B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朱女士、王女士，电话：0571-87227671,0571-87800218。</w:t>
      </w:r>
    </w:p>
    <w:p w14:paraId="47835641">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4.5 补偿救济</w:t>
      </w:r>
    </w:p>
    <w:p w14:paraId="506FA240">
      <w:pPr>
        <w:pStyle w:val="889"/>
        <w:shd w:val="clear" w:color="auto" w:fill="FFFFFF"/>
        <w:snapToGrid w:val="0"/>
        <w:spacing w:after="240" w:afterAutospacing="0" w:line="360" w:lineRule="auto"/>
        <w:ind w:firstLine="400"/>
        <w:contextualSpacing/>
        <w:rPr>
          <w:color w:val="auto"/>
          <w:highlight w:val="none"/>
        </w:rPr>
      </w:pPr>
      <w:r>
        <w:rPr>
          <w:rFonts w:hint="eastAsia" w:cs="仿宋"/>
          <w:color w:val="auto"/>
          <w:highlight w:val="none"/>
        </w:rPr>
        <w:t>采购人因政策变化、规划调整而不履行政府采购合同的，供应商可依据《杭州市涉企补偿救济实施办法（试行）》向采购人提起补偿申请。</w:t>
      </w:r>
    </w:p>
    <w:p w14:paraId="3D5FBAA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E5D00DA">
      <w:pPr>
        <w:pStyle w:val="131"/>
        <w:snapToGrid w:val="0"/>
        <w:spacing w:before="0"/>
        <w:ind w:firstLine="360"/>
        <w:rPr>
          <w:rFonts w:ascii="宋体" w:hAnsi="宋体" w:cs="宋体"/>
          <w:color w:val="auto"/>
          <w:sz w:val="18"/>
          <w:szCs w:val="18"/>
          <w:highlight w:val="none"/>
        </w:rPr>
      </w:pPr>
    </w:p>
    <w:p w14:paraId="6B433417">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3085A04">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65219A0">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280A791">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1E7AF794">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209B4D8">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8DC8F93">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283268F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205B5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61DB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8827955">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F1A78F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6.1已获取招标文件的潜在投标人，若有问题需要澄清，应于投标截止时间前，以书面形式向采购机构提出。</w:t>
      </w:r>
    </w:p>
    <w:p w14:paraId="36B6696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AA400B0">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6A51E650">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E407747">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73DA2833">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2D22511">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5EF3E5A">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6F59C49">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2A1DC17">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261D786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E9E1D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F0DE0D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4B9E78C">
      <w:pPr>
        <w:snapToGrid w:val="0"/>
        <w:spacing w:line="360" w:lineRule="auto"/>
        <w:ind w:firstLine="482" w:firstLineChars="200"/>
        <w:rPr>
          <w:rFonts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6A06D8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25F6D8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9B4F49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End w:id="16"/>
      <w:r>
        <w:rPr>
          <w:rFonts w:hint="eastAsia" w:ascii="宋体" w:hAnsi="宋体" w:cs="宋体"/>
          <w:snapToGrid w:val="0"/>
          <w:color w:val="auto"/>
          <w:kern w:val="28"/>
          <w:sz w:val="24"/>
          <w:szCs w:val="20"/>
          <w:highlight w:val="none"/>
        </w:rPr>
        <w:t>（如果有)；</w:t>
      </w:r>
    </w:p>
    <w:p w14:paraId="0ECCEE1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7C71E0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F18BD17">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67D781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F8798E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38EFC9E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AB4E5C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76131B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FB458E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DF6A92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46521C3">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75B5D5E">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A2C0A6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5965C05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11.3.2</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lang w:val="en-US" w:eastAsia="zh-CN"/>
        </w:rPr>
        <w:t>证明材料</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46EC6D4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11.3.3中小企业声明函（如果有）。</w:t>
      </w:r>
    </w:p>
    <w:p w14:paraId="2B4DE745">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313C43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20FC1A8B">
      <w:pPr>
        <w:spacing w:line="360" w:lineRule="auto"/>
        <w:ind w:firstLine="720" w:firstLineChars="300"/>
        <w:rPr>
          <w:color w:val="auto"/>
          <w:sz w:val="24"/>
          <w:highlight w:val="none"/>
          <w:shd w:val="clear" w:color="auto" w:fill="FFFFFF"/>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投标人应对投标文件中材料的真实性、合法性负责。投标人可事先在公开官网查询、核对相关证书和报告内容，确保投标文件资料准确无误。</w:t>
      </w:r>
    </w:p>
    <w:p w14:paraId="3447CC8A">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BA1A345">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2F8C3A0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35A146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CF618CE">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7752AEB1">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618E8E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66F1F65">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09A8B6A">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089796A">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529F4D21">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cs="宋体"/>
          <w:color w:val="auto"/>
          <w:szCs w:val="24"/>
          <w:highlight w:val="none"/>
        </w:rPr>
        <w:tab/>
      </w:r>
    </w:p>
    <w:p w14:paraId="152F0F21">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7CDF46D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6899873">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但采购人、采购机构不强制或变相强制投标人提交备份投标文件。</w:t>
      </w:r>
    </w:p>
    <w:p w14:paraId="5F6C240D">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390DC035">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5C93B888">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0CD06ECE">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03D303B">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C0949F2">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E11039F">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5DD5720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3E8595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BB5CE4A">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139BB346">
      <w:pPr>
        <w:pStyle w:val="131"/>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50B25E1D">
      <w:pPr>
        <w:pStyle w:val="131"/>
        <w:spacing w:before="0"/>
        <w:ind w:firstLine="643"/>
        <w:rPr>
          <w:rFonts w:ascii="宋体" w:hAnsi="宋体" w:cs="宋体"/>
          <w:b/>
          <w:color w:val="auto"/>
          <w:sz w:val="32"/>
          <w:highlight w:val="none"/>
        </w:rPr>
      </w:pPr>
    </w:p>
    <w:p w14:paraId="4B015109">
      <w:pPr>
        <w:pStyle w:val="131"/>
        <w:spacing w:before="0"/>
        <w:ind w:firstLine="3534" w:firstLineChars="1100"/>
        <w:rPr>
          <w:rFonts w:ascii="宋体" w:hAnsi="宋体" w:cs="宋体"/>
          <w:b/>
          <w:color w:val="auto"/>
          <w:sz w:val="32"/>
          <w:highlight w:val="none"/>
        </w:rPr>
      </w:pPr>
      <w:r>
        <w:rPr>
          <w:rFonts w:hint="eastAsia" w:ascii="宋体" w:hAnsi="宋体" w:cs="宋体"/>
          <w:b/>
          <w:color w:val="auto"/>
          <w:sz w:val="32"/>
          <w:highlight w:val="none"/>
        </w:rPr>
        <w:t>四、开标</w:t>
      </w:r>
    </w:p>
    <w:p w14:paraId="018C1228">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5DBB38B6">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18.1采购机构按照招标文件规定的时间通过电子交易平台组织开标，所有投标人均应当准时在线参加。投标人不足3家的，不得开标。</w:t>
      </w:r>
    </w:p>
    <w:p w14:paraId="69E00DA9">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4A76DB92">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716E839">
      <w:pPr>
        <w:widowControl/>
        <w:spacing w:before="100" w:beforeAutospacing="1" w:after="240" w:line="360" w:lineRule="auto"/>
        <w:jc w:val="center"/>
        <w:rPr>
          <w:rFonts w:ascii="宋体" w:hAnsi="宋体" w:cs="宋体"/>
          <w:b/>
          <w:color w:val="auto"/>
          <w:sz w:val="32"/>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rPr>
        <w:t>五、资格审查</w:t>
      </w:r>
    </w:p>
    <w:p w14:paraId="13B16069">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0069350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1B12899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68B12CE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2B224CE">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5F8B076E">
      <w:pPr>
        <w:pStyle w:val="131"/>
        <w:spacing w:before="0"/>
        <w:ind w:firstLine="241" w:firstLineChars="100"/>
        <w:rPr>
          <w:rFonts w:ascii="宋体" w:hAnsi="宋体" w:cs="宋体"/>
          <w:b/>
          <w:color w:val="auto"/>
          <w:szCs w:val="24"/>
          <w:highlight w:val="none"/>
        </w:rPr>
      </w:pPr>
      <w:r>
        <w:rPr>
          <w:rFonts w:hint="eastAsia" w:ascii="宋体" w:hAnsi="宋体" w:cs="宋体"/>
          <w:b/>
          <w:color w:val="auto"/>
          <w:szCs w:val="24"/>
          <w:highlight w:val="none"/>
        </w:rPr>
        <w:t>20、信用信息查询</w:t>
      </w:r>
    </w:p>
    <w:p w14:paraId="563C7CEB">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20.1信用信息查询渠道及截止时间：采购人将在资格审查时通过“信用中国”网站(www.creditchina.gov.cn)、中国政府采购网(www.ccgp.gov.cn)渠道查询投标人接受资格审查时的信用记录。</w:t>
      </w:r>
    </w:p>
    <w:p w14:paraId="0EF1907C">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08827A7">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A5BD798">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B490910">
      <w:pPr>
        <w:pStyle w:val="131"/>
        <w:spacing w:before="0"/>
        <w:ind w:firstLine="0" w:firstLineChars="0"/>
        <w:rPr>
          <w:rFonts w:ascii="宋体" w:hAnsi="宋体" w:cs="宋体"/>
          <w:color w:val="auto"/>
          <w:kern w:val="0"/>
          <w:szCs w:val="24"/>
          <w:highlight w:val="none"/>
        </w:rPr>
      </w:pPr>
    </w:p>
    <w:p w14:paraId="12878BBD">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六、评标</w:t>
      </w:r>
    </w:p>
    <w:p w14:paraId="61FA2FBF">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8F95C49">
      <w:pPr>
        <w:spacing w:line="360" w:lineRule="auto"/>
        <w:rPr>
          <w:rFonts w:ascii="宋体" w:hAnsi="宋体" w:cs="宋体"/>
          <w:b/>
          <w:color w:val="auto"/>
          <w:sz w:val="24"/>
          <w:highlight w:val="none"/>
        </w:rPr>
      </w:pPr>
    </w:p>
    <w:p w14:paraId="66D36570">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七、定 标</w:t>
      </w:r>
    </w:p>
    <w:p w14:paraId="0A0BE3A0">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0691BB94">
      <w:pPr>
        <w:pStyle w:val="131"/>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通知书和中标结果公告应当在规定时间内同时发出。</w:t>
      </w:r>
    </w:p>
    <w:p w14:paraId="3FBD8D74">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6D8A4F90">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5977E70A">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中标公告期限以及评审专家名单。</w:t>
      </w:r>
    </w:p>
    <w:p w14:paraId="30E42BFE">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456CECFD">
      <w:pPr>
        <w:pStyle w:val="3"/>
        <w:ind w:left="0" w:leftChars="0" w:firstLine="482" w:firstLineChars="200"/>
        <w:rPr>
          <w:rFonts w:cs="仿宋_GB2312"/>
          <w:color w:val="auto"/>
          <w:sz w:val="24"/>
          <w:szCs w:val="24"/>
          <w:highlight w:val="none"/>
        </w:rPr>
      </w:pPr>
      <w:r>
        <w:rPr>
          <w:rFonts w:cs="仿宋_GB2312"/>
          <w:color w:val="auto"/>
          <w:sz w:val="24"/>
          <w:szCs w:val="24"/>
          <w:highlight w:val="none"/>
        </w:rPr>
        <w:t>24.</w:t>
      </w:r>
      <w:r>
        <w:rPr>
          <w:rFonts w:hint="eastAsia"/>
          <w:color w:val="auto"/>
          <w:sz w:val="24"/>
          <w:szCs w:val="24"/>
          <w:highlight w:val="none"/>
        </w:rPr>
        <w:t>投标材料复核。在评审结束后、确认采购结果前，采购人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r>
        <w:rPr>
          <w:rFonts w:cs="仿宋_GB2312"/>
          <w:color w:val="auto"/>
          <w:sz w:val="24"/>
          <w:szCs w:val="24"/>
          <w:highlight w:val="none"/>
        </w:rPr>
        <w:t>。</w:t>
      </w:r>
    </w:p>
    <w:p w14:paraId="476161CF">
      <w:pPr>
        <w:rPr>
          <w:color w:val="auto"/>
          <w:highlight w:val="none"/>
        </w:rPr>
      </w:pPr>
    </w:p>
    <w:p w14:paraId="6E6A1E09">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八、合同授予</w:t>
      </w:r>
    </w:p>
    <w:p w14:paraId="137001DD">
      <w:pPr>
        <w:pStyle w:val="24"/>
        <w:spacing w:line="360" w:lineRule="auto"/>
        <w:ind w:left="479" w:hanging="479" w:hangingChars="199"/>
        <w:rPr>
          <w:rFonts w:cs="宋体"/>
          <w:b/>
          <w:color w:val="auto"/>
          <w:highlight w:val="none"/>
        </w:rPr>
      </w:pPr>
      <w:r>
        <w:rPr>
          <w:rFonts w:hint="eastAsia" w:cs="宋体"/>
          <w:b/>
          <w:color w:val="auto"/>
          <w:highlight w:val="none"/>
        </w:rPr>
        <w:t xml:space="preserve">25. </w:t>
      </w:r>
      <w:r>
        <w:rPr>
          <w:rFonts w:hint="eastAsia" w:cs="宋体"/>
          <w:color w:val="auto"/>
          <w:highlight w:val="none"/>
        </w:rPr>
        <w:t>合同主要条款详见第五部分拟签订的合同文本。</w:t>
      </w:r>
    </w:p>
    <w:p w14:paraId="7EDB6E17">
      <w:pPr>
        <w:pStyle w:val="24"/>
        <w:spacing w:line="360" w:lineRule="auto"/>
        <w:ind w:left="479" w:hanging="479" w:hangingChars="199"/>
        <w:rPr>
          <w:rFonts w:cs="宋体"/>
          <w:b/>
          <w:color w:val="auto"/>
          <w:highlight w:val="none"/>
        </w:rPr>
      </w:pPr>
      <w:r>
        <w:rPr>
          <w:rFonts w:hint="eastAsia" w:cs="宋体"/>
          <w:b/>
          <w:color w:val="auto"/>
          <w:highlight w:val="none"/>
        </w:rPr>
        <w:t>26. 合同的签订</w:t>
      </w:r>
    </w:p>
    <w:p w14:paraId="6A050435">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26.1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1870739">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1E245E8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26.3如签订合同并生效后，供应商无故拒绝或延期，除按照合同条款处理外，列入不良行为记录一次，并给予通报。</w:t>
      </w:r>
    </w:p>
    <w:p w14:paraId="6CF3EDB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26.4中标供应商拒绝与采购人签订合同的，采购人可以按照评审报告推荐的中标或者成交候选人名单排序，确定下一候选人为中标供应商，也可以重新开展政府采购活动。</w:t>
      </w:r>
    </w:p>
    <w:p w14:paraId="43F0D290">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26.5采购合同由采购人与中标供应商根据招标文件、投标文件等内容通过政府采购电子交易平台在线签订，自动备案。</w:t>
      </w:r>
    </w:p>
    <w:p w14:paraId="146C3F77">
      <w:pPr>
        <w:pStyle w:val="24"/>
        <w:spacing w:line="360" w:lineRule="auto"/>
        <w:ind w:left="479" w:hanging="479" w:hangingChars="199"/>
        <w:rPr>
          <w:rFonts w:cs="宋体"/>
          <w:b/>
          <w:color w:val="auto"/>
          <w:highlight w:val="none"/>
        </w:rPr>
      </w:pPr>
      <w:r>
        <w:rPr>
          <w:rFonts w:hint="eastAsia" w:cs="宋体"/>
          <w:b/>
          <w:color w:val="auto"/>
          <w:highlight w:val="none"/>
        </w:rPr>
        <w:t>27. 履约保证金</w:t>
      </w:r>
    </w:p>
    <w:p w14:paraId="1A498353">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4C84B47">
      <w:pPr>
        <w:tabs>
          <w:tab w:val="left" w:pos="0"/>
        </w:tabs>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67BD8EEC">
      <w:pPr>
        <w:pStyle w:val="24"/>
        <w:spacing w:line="360" w:lineRule="auto"/>
        <w:ind w:left="479" w:hanging="479" w:hangingChars="199"/>
        <w:rPr>
          <w:rFonts w:cs="宋体"/>
          <w:b/>
          <w:color w:val="auto"/>
          <w:highlight w:val="none"/>
        </w:rPr>
      </w:pPr>
      <w:r>
        <w:rPr>
          <w:rFonts w:hint="eastAsia" w:cs="宋体"/>
          <w:b/>
          <w:color w:val="auto"/>
          <w:highlight w:val="none"/>
        </w:rPr>
        <w:t>28.预付款</w:t>
      </w:r>
    </w:p>
    <w:p w14:paraId="4619983D">
      <w:pPr>
        <w:tabs>
          <w:tab w:val="left" w:pos="0"/>
        </w:tabs>
        <w:spacing w:line="360" w:lineRule="auto"/>
        <w:ind w:firstLine="482"/>
        <w:rPr>
          <w:rFonts w:ascii="宋体" w:hAnsi="宋体" w:cs="宋体"/>
          <w:color w:val="auto"/>
          <w:kern w:val="0"/>
          <w:sz w:val="24"/>
          <w:highlight w:val="none"/>
        </w:rPr>
      </w:pPr>
      <w:r>
        <w:rPr>
          <w:rFonts w:hint="eastAsia" w:ascii="宋体" w:hAnsi="宋体" w:cs="宋体"/>
          <w:color w:val="auto"/>
          <w:kern w:val="0"/>
          <w:sz w:val="24"/>
          <w:highlight w:val="none"/>
        </w:rPr>
        <w:t>采购单位应当在政府采购合同中约定预付款，对中小企业合同预付款比例原则上不低于合同金额的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0％，不高于合同金额的70%；项目分年安排预算的，每年预付款比例不低于项目年度计划支付资金额的</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cs="宋体"/>
          <w:snapToGrid w:val="0"/>
          <w:color w:val="auto"/>
          <w:kern w:val="28"/>
          <w:sz w:val="24"/>
          <w:highlight w:val="none"/>
        </w:rPr>
        <w:t>95763</w:t>
      </w:r>
      <w:r>
        <w:rPr>
          <w:rFonts w:hint="eastAsia" w:ascii="宋体" w:hAnsi="宋体" w:cs="宋体"/>
          <w:color w:val="auto"/>
          <w:kern w:val="0"/>
          <w:sz w:val="24"/>
          <w:highlight w:val="none"/>
        </w:rPr>
        <w:t>。</w:t>
      </w:r>
    </w:p>
    <w:p w14:paraId="2E9BAC47">
      <w:pPr>
        <w:snapToGrid w:val="0"/>
        <w:spacing w:line="360" w:lineRule="auto"/>
        <w:ind w:firstLine="3357" w:firstLineChars="1045"/>
        <w:rPr>
          <w:rFonts w:ascii="宋体" w:hAnsi="宋体" w:cs="宋体"/>
          <w:b/>
          <w:color w:val="auto"/>
          <w:sz w:val="32"/>
          <w:highlight w:val="none"/>
        </w:rPr>
      </w:pPr>
    </w:p>
    <w:p w14:paraId="2C005D1C">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九、电子交易活动的中止</w:t>
      </w:r>
    </w:p>
    <w:p w14:paraId="4112A425">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rPr>
        <w:t>9.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采购过程中出现以下情形，导致电子交易平台无法正常运行，或者无法保证电子交易的公平、公正和安全时，采购机构可中止电子交易活动：</w:t>
      </w:r>
    </w:p>
    <w:p w14:paraId="71C36EC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29.1电子交易平台发生故障而无法登录访问的； </w:t>
      </w:r>
    </w:p>
    <w:p w14:paraId="27840C3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29.2电子交易平台应用或数据库出现错误，不能进行正常操作的；</w:t>
      </w:r>
    </w:p>
    <w:p w14:paraId="6BE5BFC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29.3电子交易平台发现严重安全漏洞，有潜在泄密危险的；</w:t>
      </w:r>
    </w:p>
    <w:p w14:paraId="11BAFD0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29.4病毒发作导致不能进行正常操作的； </w:t>
      </w:r>
    </w:p>
    <w:p w14:paraId="5EBFE36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29.5其他无法保证电子交易的公平、公正和安全的情况。</w:t>
      </w:r>
    </w:p>
    <w:p w14:paraId="3E61ACAC">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21C9CF0F">
      <w:pPr>
        <w:tabs>
          <w:tab w:val="left" w:pos="0"/>
        </w:tabs>
        <w:spacing w:line="360" w:lineRule="auto"/>
        <w:ind w:firstLine="480"/>
        <w:rPr>
          <w:rFonts w:ascii="宋体" w:hAnsi="宋体" w:cs="宋体"/>
          <w:color w:val="auto"/>
          <w:sz w:val="24"/>
          <w:highlight w:val="none"/>
        </w:rPr>
      </w:pPr>
    </w:p>
    <w:p w14:paraId="1F4365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十、验收</w:t>
      </w:r>
    </w:p>
    <w:p w14:paraId="55EE28F8">
      <w:pPr>
        <w:pStyle w:val="24"/>
        <w:spacing w:line="360" w:lineRule="auto"/>
        <w:ind w:firstLine="0" w:firstLineChars="0"/>
        <w:rPr>
          <w:rFonts w:cs="宋体"/>
          <w:b/>
          <w:color w:val="auto"/>
          <w:highlight w:val="none"/>
        </w:rPr>
      </w:pPr>
      <w:r>
        <w:rPr>
          <w:rFonts w:hint="eastAsia" w:cs="宋体"/>
          <w:b/>
          <w:color w:val="auto"/>
          <w:highlight w:val="none"/>
        </w:rPr>
        <w:t>31.验收</w:t>
      </w:r>
    </w:p>
    <w:p w14:paraId="3FF7139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66D5400">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31.2采购人可以邀请参加本项目的其他投标人或者第三方机构参与验收。参与验收的投标人或者第三方机构的意见作为验收书的参考资料一并存档。</w:t>
      </w:r>
    </w:p>
    <w:p w14:paraId="146BC8D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CB781B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5EC77E0">
      <w:pPr>
        <w:pStyle w:val="80"/>
        <w:spacing w:line="360" w:lineRule="auto"/>
        <w:ind w:firstLine="480"/>
        <w:rPr>
          <w:color w:val="auto"/>
          <w:highlight w:val="none"/>
        </w:rPr>
      </w:pPr>
      <w:r>
        <w:rPr>
          <w:rFonts w:hint="eastAsia" w:ascii="宋体" w:hAnsi="宋体" w:eastAsia="宋体" w:cs="宋体"/>
          <w:color w:val="auto"/>
          <w:kern w:val="0"/>
          <w:sz w:val="24"/>
          <w:szCs w:val="24"/>
          <w:highlight w:val="none"/>
          <w:lang w:val="en-US"/>
        </w:rPr>
        <w:t>31.5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7"/>
    <w:p w14:paraId="378637A9">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18" w:name="_Hlt74707468"/>
      <w:bookmarkEnd w:id="18"/>
      <w:bookmarkStart w:id="19" w:name="_Hlt74729768"/>
      <w:bookmarkEnd w:id="19"/>
      <w:bookmarkStart w:id="20" w:name="_Hlt68403820"/>
      <w:bookmarkEnd w:id="20"/>
      <w:bookmarkStart w:id="21" w:name="_Hlt74714665"/>
      <w:bookmarkEnd w:id="21"/>
      <w:bookmarkStart w:id="22" w:name="_Hlt68057669"/>
      <w:bookmarkEnd w:id="22"/>
      <w:bookmarkStart w:id="23" w:name="_Hlt68072998"/>
      <w:bookmarkEnd w:id="23"/>
      <w:bookmarkStart w:id="24" w:name="_Hlt75236290"/>
      <w:bookmarkEnd w:id="24"/>
      <w:bookmarkStart w:id="25" w:name="_Hlt68073093"/>
      <w:bookmarkEnd w:id="25"/>
      <w:bookmarkStart w:id="26" w:name="_Hlt74730295"/>
      <w:bookmarkEnd w:id="26"/>
      <w:bookmarkStart w:id="27" w:name="_Hlt75236011"/>
      <w:bookmarkEnd w:id="27"/>
      <w:bookmarkStart w:id="28" w:name="_Hlt68072990"/>
      <w:bookmarkEnd w:id="28"/>
      <w:bookmarkStart w:id="29" w:name="_Hlt75236101"/>
      <w:bookmarkEnd w:id="29"/>
    </w:p>
    <w:bookmarkEnd w:id="13"/>
    <w:bookmarkEnd w:id="14"/>
    <w:p w14:paraId="024BE0C0">
      <w:pPr>
        <w:spacing w:line="360" w:lineRule="auto"/>
        <w:jc w:val="center"/>
        <w:outlineLvl w:val="0"/>
        <w:rPr>
          <w:rFonts w:ascii="宋体" w:hAnsi="宋体" w:cs="宋体"/>
          <w:b/>
          <w:color w:val="auto"/>
          <w:sz w:val="36"/>
          <w:szCs w:val="36"/>
          <w:highlight w:val="none"/>
        </w:rPr>
      </w:pPr>
      <w:bookmarkStart w:id="30" w:name="第四部分"/>
      <w:r>
        <w:rPr>
          <w:rFonts w:hint="eastAsia" w:ascii="宋体" w:hAnsi="宋体" w:cs="宋体"/>
          <w:b/>
          <w:color w:val="auto"/>
          <w:sz w:val="36"/>
          <w:szCs w:val="36"/>
          <w:highlight w:val="none"/>
        </w:rPr>
        <w:t>第三部分   采购需求</w:t>
      </w:r>
    </w:p>
    <w:p w14:paraId="0BFC5AF0">
      <w:pPr>
        <w:snapToGrid w:val="0"/>
        <w:spacing w:line="288" w:lineRule="auto"/>
        <w:outlineLvl w:val="1"/>
        <w:rPr>
          <w:rFonts w:ascii="宋体" w:hAnsi="宋体"/>
          <w:b/>
          <w:color w:val="auto"/>
          <w:szCs w:val="21"/>
          <w:highlight w:val="none"/>
        </w:rPr>
      </w:pPr>
      <w:r>
        <w:rPr>
          <w:rFonts w:hint="eastAsia" w:ascii="宋体" w:hAnsi="宋体"/>
          <w:b/>
          <w:color w:val="auto"/>
          <w:szCs w:val="21"/>
          <w:highlight w:val="none"/>
        </w:rPr>
        <w:t>一、采购资金的支付方式、时间、条件</w:t>
      </w:r>
    </w:p>
    <w:tbl>
      <w:tblPr>
        <w:tblStyle w:val="6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48"/>
        <w:gridCol w:w="6845"/>
      </w:tblGrid>
      <w:tr w14:paraId="11A53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trPr>
        <w:tc>
          <w:tcPr>
            <w:tcW w:w="970" w:type="pct"/>
            <w:tcBorders>
              <w:top w:val="single" w:color="auto" w:sz="4" w:space="0"/>
              <w:left w:val="single" w:color="auto" w:sz="4" w:space="0"/>
              <w:bottom w:val="single" w:color="auto" w:sz="4" w:space="0"/>
              <w:right w:val="single" w:color="auto" w:sz="4" w:space="0"/>
            </w:tcBorders>
            <w:vAlign w:val="center"/>
          </w:tcPr>
          <w:p w14:paraId="1EE567ED">
            <w:pPr>
              <w:snapToGrid w:val="0"/>
              <w:spacing w:line="288" w:lineRule="auto"/>
              <w:jc w:val="center"/>
              <w:rPr>
                <w:rFonts w:ascii="宋体" w:hAnsi="宋体"/>
                <w:b/>
                <w:color w:val="auto"/>
                <w:spacing w:val="-6"/>
                <w:szCs w:val="21"/>
                <w:highlight w:val="none"/>
              </w:rPr>
            </w:pPr>
            <w:bookmarkStart w:id="31" w:name="_Hlk45005608"/>
            <w:r>
              <w:rPr>
                <w:rFonts w:hint="eastAsia" w:ascii="宋体" w:hAnsi="宋体"/>
                <w:b/>
                <w:color w:val="auto"/>
                <w:spacing w:val="-6"/>
                <w:szCs w:val="21"/>
                <w:highlight w:val="none"/>
              </w:rPr>
              <w:t>▲履约保证金</w:t>
            </w:r>
          </w:p>
        </w:tc>
        <w:tc>
          <w:tcPr>
            <w:tcW w:w="6845" w:type="dxa"/>
            <w:tcBorders>
              <w:top w:val="single" w:color="auto" w:sz="4" w:space="0"/>
              <w:left w:val="single" w:color="auto" w:sz="4" w:space="0"/>
              <w:bottom w:val="single" w:color="auto" w:sz="4" w:space="0"/>
              <w:right w:val="single" w:color="auto" w:sz="4" w:space="0"/>
            </w:tcBorders>
            <w:vAlign w:val="center"/>
          </w:tcPr>
          <w:p w14:paraId="2FA33B1E">
            <w:pPr>
              <w:snapToGrid w:val="0"/>
              <w:spacing w:line="288" w:lineRule="auto"/>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1.合同签订后5个工作日内，中标人向采购人提交合同总价</w:t>
            </w:r>
            <w:r>
              <w:rPr>
                <w:rFonts w:ascii="宋体" w:hAnsi="宋体" w:cs="宋体"/>
                <w:color w:val="auto"/>
                <w:spacing w:val="-6"/>
                <w:kern w:val="0"/>
                <w:szCs w:val="21"/>
                <w:highlight w:val="none"/>
              </w:rPr>
              <w:t>1</w:t>
            </w:r>
            <w:r>
              <w:rPr>
                <w:rFonts w:hint="eastAsia" w:ascii="宋体" w:hAnsi="宋体" w:cs="宋体"/>
                <w:color w:val="auto"/>
                <w:spacing w:val="-6"/>
                <w:kern w:val="0"/>
                <w:szCs w:val="21"/>
                <w:highlight w:val="none"/>
              </w:rPr>
              <w:t>% 的履约保证金，履约保证金在合同履约期间无违约情形的，项目验收结束后，于</w:t>
            </w:r>
            <w:r>
              <w:rPr>
                <w:rFonts w:ascii="宋体" w:hAnsi="宋体" w:cs="宋体"/>
                <w:color w:val="auto"/>
                <w:spacing w:val="-6"/>
                <w:kern w:val="0"/>
                <w:szCs w:val="21"/>
                <w:highlight w:val="none"/>
              </w:rPr>
              <w:t>一周内</w:t>
            </w:r>
            <w:r>
              <w:rPr>
                <w:rFonts w:hint="eastAsia" w:ascii="宋体" w:hAnsi="宋体" w:cs="宋体"/>
                <w:color w:val="auto"/>
                <w:spacing w:val="-6"/>
                <w:kern w:val="0"/>
                <w:szCs w:val="21"/>
                <w:highlight w:val="none"/>
              </w:rPr>
              <w:t>退还（不计息）；</w:t>
            </w:r>
          </w:p>
          <w:p w14:paraId="2907E9FC">
            <w:pPr>
              <w:snapToGrid w:val="0"/>
              <w:spacing w:line="288" w:lineRule="auto"/>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2.提交方式：支票、汇票、本票或银行出具的保函等非现金形式（若提供保函的，保函有效期到本项目完成时间后的一个月）。</w:t>
            </w:r>
          </w:p>
          <w:p w14:paraId="602875A0">
            <w:pPr>
              <w:pStyle w:val="3"/>
              <w:rPr>
                <w:color w:val="auto"/>
                <w:highlight w:val="none"/>
              </w:rPr>
            </w:pPr>
            <w:r>
              <w:rPr>
                <w:rFonts w:hint="eastAsia"/>
                <w:color w:val="auto"/>
                <w:highlight w:val="none"/>
              </w:rPr>
              <w:t>提供上述内容承诺，否则投标无效。</w:t>
            </w:r>
          </w:p>
        </w:tc>
      </w:tr>
      <w:tr w14:paraId="04D63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70" w:type="pct"/>
            <w:tcBorders>
              <w:top w:val="single" w:color="auto" w:sz="4" w:space="0"/>
              <w:left w:val="single" w:color="auto" w:sz="4" w:space="0"/>
              <w:bottom w:val="single" w:color="auto" w:sz="4" w:space="0"/>
              <w:right w:val="single" w:color="auto" w:sz="4" w:space="0"/>
            </w:tcBorders>
            <w:vAlign w:val="center"/>
          </w:tcPr>
          <w:p w14:paraId="579EF626">
            <w:pPr>
              <w:snapToGrid w:val="0"/>
              <w:spacing w:line="288" w:lineRule="auto"/>
              <w:jc w:val="center"/>
              <w:rPr>
                <w:rFonts w:ascii="宋体" w:hAnsi="宋体"/>
                <w:b/>
                <w:color w:val="auto"/>
                <w:spacing w:val="-6"/>
                <w:szCs w:val="21"/>
                <w:highlight w:val="none"/>
              </w:rPr>
            </w:pPr>
            <w:r>
              <w:rPr>
                <w:rFonts w:hint="eastAsia" w:ascii="宋体" w:hAnsi="宋体"/>
                <w:b/>
                <w:color w:val="auto"/>
                <w:spacing w:val="-6"/>
                <w:szCs w:val="21"/>
                <w:highlight w:val="none"/>
              </w:rPr>
              <w:t>付款方式</w:t>
            </w:r>
          </w:p>
        </w:tc>
        <w:tc>
          <w:tcPr>
            <w:tcW w:w="6845" w:type="dxa"/>
            <w:tcBorders>
              <w:top w:val="single" w:color="auto" w:sz="4" w:space="0"/>
              <w:left w:val="single" w:color="auto" w:sz="4" w:space="0"/>
              <w:bottom w:val="single" w:color="auto" w:sz="4" w:space="0"/>
              <w:right w:val="single" w:color="auto" w:sz="4" w:space="0"/>
            </w:tcBorders>
            <w:vAlign w:val="center"/>
          </w:tcPr>
          <w:p w14:paraId="1601B783">
            <w:pPr>
              <w:autoSpaceDE w:val="0"/>
              <w:autoSpaceDN w:val="0"/>
              <w:snapToGrid w:val="0"/>
              <w:spacing w:line="288" w:lineRule="auto"/>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（1）合同生效以及具备实施条件后</w:t>
            </w:r>
            <w:r>
              <w:rPr>
                <w:rFonts w:ascii="宋体" w:hAnsi="宋体" w:cs="宋体"/>
                <w:color w:val="auto"/>
                <w:spacing w:val="-6"/>
                <w:kern w:val="0"/>
                <w:szCs w:val="21"/>
                <w:highlight w:val="none"/>
              </w:rPr>
              <w:t>5</w:t>
            </w:r>
            <w:r>
              <w:rPr>
                <w:rFonts w:hint="eastAsia" w:ascii="宋体" w:hAnsi="宋体" w:cs="宋体"/>
                <w:color w:val="auto"/>
                <w:spacing w:val="-6"/>
                <w:kern w:val="0"/>
                <w:szCs w:val="21"/>
                <w:highlight w:val="none"/>
              </w:rPr>
              <w:t>个工作日内，且中标人已向采购人提交银行出具的（等额）预付款保函的，采购人向中标人支付合同总价的40%，若中标人未向采购人提交银行出具的（等额）预付款保函则采购人有权延迟或不支付预付款（预付款保函的有效期到本项目完成时间后的一个月）；</w:t>
            </w:r>
          </w:p>
          <w:p w14:paraId="23E623D9">
            <w:pPr>
              <w:autoSpaceDE w:val="0"/>
              <w:autoSpaceDN w:val="0"/>
              <w:snapToGrid w:val="0"/>
              <w:spacing w:line="288" w:lineRule="auto"/>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（2）项目履约完成，经采购人验收合格后，收到发票后</w:t>
            </w:r>
            <w:r>
              <w:rPr>
                <w:rFonts w:ascii="宋体" w:hAnsi="宋体" w:cs="宋体"/>
                <w:color w:val="auto"/>
                <w:spacing w:val="-6"/>
                <w:kern w:val="0"/>
                <w:szCs w:val="21"/>
                <w:highlight w:val="none"/>
              </w:rPr>
              <w:t>5</w:t>
            </w:r>
            <w:r>
              <w:rPr>
                <w:rFonts w:hint="eastAsia" w:ascii="宋体" w:hAnsi="宋体" w:cs="宋体"/>
                <w:color w:val="auto"/>
                <w:spacing w:val="-6"/>
                <w:kern w:val="0"/>
                <w:szCs w:val="21"/>
                <w:highlight w:val="none"/>
              </w:rPr>
              <w:t>个工作日内，采购人向中标人据实支付剩余款项。</w:t>
            </w:r>
          </w:p>
          <w:p w14:paraId="7545CAA0">
            <w:pPr>
              <w:autoSpaceDE w:val="0"/>
              <w:autoSpaceDN w:val="0"/>
              <w:snapToGrid w:val="0"/>
              <w:spacing w:line="288" w:lineRule="auto"/>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w:t>
            </w:r>
            <w:r>
              <w:rPr>
                <w:rFonts w:hint="eastAsia" w:ascii="宋体" w:hAnsi="宋体" w:cs="宋体"/>
                <w:color w:val="auto"/>
                <w:spacing w:val="-6"/>
                <w:kern w:val="0"/>
                <w:szCs w:val="21"/>
                <w:highlight w:val="none"/>
                <w:lang w:val="en-US" w:eastAsia="zh-CN"/>
              </w:rPr>
              <w:t>3</w:t>
            </w:r>
            <w:r>
              <w:rPr>
                <w:rFonts w:hint="eastAsia" w:ascii="宋体" w:hAnsi="宋体" w:cs="宋体"/>
                <w:color w:val="auto"/>
                <w:spacing w:val="-6"/>
                <w:kern w:val="0"/>
                <w:szCs w:val="21"/>
                <w:highlight w:val="none"/>
              </w:rPr>
              <w:t>）在签订合同时，中标人明确表示无需预付款或者主动要求降低预付款比例的，可零预付款或降低预付款比例（预付款保函同步调整）。</w:t>
            </w:r>
          </w:p>
        </w:tc>
      </w:tr>
      <w:bookmarkEnd w:id="31"/>
    </w:tbl>
    <w:p w14:paraId="7C6BB4E9">
      <w:pPr>
        <w:snapToGrid w:val="0"/>
        <w:spacing w:line="288" w:lineRule="auto"/>
        <w:rPr>
          <w:rFonts w:ascii="宋体" w:hAnsi="宋体"/>
          <w:color w:val="auto"/>
          <w:spacing w:val="-4"/>
          <w:szCs w:val="21"/>
          <w:highlight w:val="none"/>
        </w:rPr>
      </w:pPr>
    </w:p>
    <w:p w14:paraId="449D0672">
      <w:pPr>
        <w:snapToGrid w:val="0"/>
        <w:spacing w:line="288" w:lineRule="auto"/>
        <w:outlineLvl w:val="1"/>
        <w:rPr>
          <w:rFonts w:ascii="宋体" w:hAnsi="宋体"/>
          <w:b/>
          <w:color w:val="auto"/>
          <w:szCs w:val="21"/>
          <w:highlight w:val="none"/>
        </w:rPr>
      </w:pPr>
      <w:r>
        <w:rPr>
          <w:rFonts w:hint="eastAsia" w:ascii="宋体" w:hAnsi="宋体"/>
          <w:b/>
          <w:color w:val="auto"/>
          <w:szCs w:val="21"/>
          <w:highlight w:val="none"/>
        </w:rPr>
        <w:t>二、服务要求（技术要求里另有注明的以技术要求为准）</w:t>
      </w:r>
    </w:p>
    <w:tbl>
      <w:tblPr>
        <w:tblStyle w:val="6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48"/>
        <w:gridCol w:w="6844"/>
      </w:tblGrid>
      <w:tr w14:paraId="789A3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970" w:type="pct"/>
            <w:tcBorders>
              <w:top w:val="single" w:color="auto" w:sz="4" w:space="0"/>
              <w:left w:val="single" w:color="auto" w:sz="4" w:space="0"/>
              <w:bottom w:val="single" w:color="auto" w:sz="4" w:space="0"/>
              <w:right w:val="single" w:color="auto" w:sz="4" w:space="0"/>
            </w:tcBorders>
            <w:vAlign w:val="center"/>
          </w:tcPr>
          <w:p w14:paraId="089CB679">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交付时间</w:t>
            </w:r>
          </w:p>
        </w:tc>
        <w:tc>
          <w:tcPr>
            <w:tcW w:w="4029" w:type="pct"/>
            <w:tcBorders>
              <w:top w:val="single" w:color="auto" w:sz="4" w:space="0"/>
              <w:left w:val="single" w:color="auto" w:sz="4" w:space="0"/>
              <w:bottom w:val="single" w:color="auto" w:sz="4" w:space="0"/>
              <w:right w:val="single" w:color="auto" w:sz="4" w:space="0"/>
            </w:tcBorders>
            <w:vAlign w:val="center"/>
          </w:tcPr>
          <w:p w14:paraId="63F16E3A">
            <w:pPr>
              <w:snapToGrid w:val="0"/>
              <w:spacing w:line="288"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合同签订并接到交货通知后45天内完成所有设备的供货、安装、调试工作</w:t>
            </w:r>
            <w:r>
              <w:rPr>
                <w:rFonts w:hint="eastAsia" w:ascii="宋体" w:hAnsi="宋体" w:cs="宋体"/>
                <w:color w:val="auto"/>
                <w:szCs w:val="21"/>
                <w:highlight w:val="none"/>
                <w:lang w:eastAsia="zh-CN"/>
              </w:rPr>
              <w:t>，如果由于采购人工程进度原因延期，则工期顺延。</w:t>
            </w:r>
          </w:p>
        </w:tc>
      </w:tr>
      <w:tr w14:paraId="0410E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0" w:type="pct"/>
            <w:tcBorders>
              <w:top w:val="single" w:color="auto" w:sz="4" w:space="0"/>
              <w:left w:val="single" w:color="auto" w:sz="4" w:space="0"/>
              <w:bottom w:val="single" w:color="auto" w:sz="4" w:space="0"/>
              <w:right w:val="single" w:color="auto" w:sz="4" w:space="0"/>
            </w:tcBorders>
            <w:vAlign w:val="center"/>
          </w:tcPr>
          <w:p w14:paraId="0D15B775">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交付地点</w:t>
            </w:r>
          </w:p>
        </w:tc>
        <w:tc>
          <w:tcPr>
            <w:tcW w:w="4029" w:type="pct"/>
            <w:tcBorders>
              <w:top w:val="single" w:color="auto" w:sz="4" w:space="0"/>
              <w:left w:val="single" w:color="auto" w:sz="4" w:space="0"/>
              <w:bottom w:val="single" w:color="auto" w:sz="4" w:space="0"/>
              <w:right w:val="single" w:color="auto" w:sz="4" w:space="0"/>
            </w:tcBorders>
            <w:vAlign w:val="center"/>
          </w:tcPr>
          <w:p w14:paraId="45B2C87C">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采购人指定地点</w:t>
            </w:r>
          </w:p>
        </w:tc>
      </w:tr>
      <w:tr w14:paraId="4DA4D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0" w:type="pct"/>
            <w:tcBorders>
              <w:top w:val="single" w:color="auto" w:sz="4" w:space="0"/>
              <w:left w:val="single" w:color="auto" w:sz="4" w:space="0"/>
              <w:bottom w:val="single" w:color="auto" w:sz="4" w:space="0"/>
              <w:right w:val="single" w:color="auto" w:sz="4" w:space="0"/>
            </w:tcBorders>
            <w:vAlign w:val="center"/>
          </w:tcPr>
          <w:p w14:paraId="309A029D">
            <w:pPr>
              <w:snapToGrid w:val="0"/>
              <w:spacing w:line="288" w:lineRule="auto"/>
              <w:jc w:val="center"/>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质保期</w:t>
            </w:r>
          </w:p>
        </w:tc>
        <w:tc>
          <w:tcPr>
            <w:tcW w:w="4029" w:type="pct"/>
            <w:tcBorders>
              <w:top w:val="single" w:color="auto" w:sz="4" w:space="0"/>
              <w:left w:val="single" w:color="auto" w:sz="4" w:space="0"/>
              <w:bottom w:val="single" w:color="auto" w:sz="4" w:space="0"/>
              <w:right w:val="single" w:color="auto" w:sz="4" w:space="0"/>
            </w:tcBorders>
            <w:vAlign w:val="center"/>
          </w:tcPr>
          <w:p w14:paraId="7BC9D7B8">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3年，项目验收合格后开始计算。</w:t>
            </w:r>
            <w:r>
              <w:rPr>
                <w:rFonts w:hint="eastAsia" w:ascii="宋体" w:hAnsi="宋体"/>
                <w:color w:val="auto"/>
                <w:spacing w:val="-6"/>
                <w:szCs w:val="21"/>
                <w:highlight w:val="none"/>
              </w:rPr>
              <w:t>投标时提供承诺，否则投标无效。</w:t>
            </w:r>
          </w:p>
        </w:tc>
      </w:tr>
      <w:tr w14:paraId="34871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970" w:type="pct"/>
            <w:tcBorders>
              <w:top w:val="single" w:color="auto" w:sz="4" w:space="0"/>
              <w:left w:val="single" w:color="auto" w:sz="4" w:space="0"/>
              <w:bottom w:val="single" w:color="auto" w:sz="4" w:space="0"/>
              <w:right w:val="single" w:color="auto" w:sz="4" w:space="0"/>
            </w:tcBorders>
            <w:vAlign w:val="center"/>
          </w:tcPr>
          <w:p w14:paraId="24A48C40">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服务标准、期限、效率</w:t>
            </w:r>
          </w:p>
        </w:tc>
        <w:tc>
          <w:tcPr>
            <w:tcW w:w="4029" w:type="pct"/>
            <w:tcBorders>
              <w:top w:val="single" w:color="auto" w:sz="4" w:space="0"/>
              <w:left w:val="single" w:color="auto" w:sz="4" w:space="0"/>
              <w:bottom w:val="single" w:color="auto" w:sz="4" w:space="0"/>
              <w:right w:val="single" w:color="auto" w:sz="4" w:space="0"/>
            </w:tcBorders>
            <w:vAlign w:val="center"/>
          </w:tcPr>
          <w:p w14:paraId="61EC202D">
            <w:pPr>
              <w:snapToGrid w:val="0"/>
              <w:spacing w:line="288" w:lineRule="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.在质保期内，供应商应对货物出现的质量及安全问题负责处理解决并承担一切费用。</w:t>
            </w:r>
          </w:p>
          <w:p w14:paraId="071E667D">
            <w:pPr>
              <w:snapToGrid w:val="0"/>
              <w:spacing w:line="288"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质保期内出现无法排除的故障，供应商需无条件更换同型号产品。</w:t>
            </w:r>
          </w:p>
          <w:p w14:paraId="2F3735C0">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质保期满后，供应商继续为采购人服务，仅收取零配件成本费。</w:t>
            </w:r>
          </w:p>
          <w:p w14:paraId="4EFB2E15">
            <w:pPr>
              <w:snapToGrid w:val="0"/>
              <w:spacing w:line="288"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因人为因素出现的故障不在免费保修范围内。</w:t>
            </w:r>
          </w:p>
          <w:p w14:paraId="38DDDD0A">
            <w:pPr>
              <w:snapToGrid w:val="0"/>
              <w:spacing w:line="288" w:lineRule="auto"/>
              <w:rPr>
                <w:rFonts w:ascii="宋体" w:hAnsi="宋体" w:cs="宋体"/>
                <w:color w:val="auto"/>
                <w:szCs w:val="21"/>
                <w:highlight w:val="none"/>
                <w:u w:val="single"/>
              </w:rPr>
            </w:pPr>
            <w:r>
              <w:rPr>
                <w:rFonts w:ascii="宋体" w:hAnsi="宋体" w:cs="宋体"/>
                <w:color w:val="auto"/>
                <w:szCs w:val="21"/>
                <w:highlight w:val="none"/>
              </w:rPr>
              <w:t>5</w:t>
            </w:r>
            <w:r>
              <w:rPr>
                <w:rFonts w:hint="eastAsia" w:ascii="宋体" w:hAnsi="宋体" w:cs="宋体"/>
                <w:color w:val="auto"/>
                <w:szCs w:val="21"/>
                <w:highlight w:val="none"/>
              </w:rPr>
              <w:t>.如在使用过程中发生质量问题，供应商维修响应时间：</w:t>
            </w:r>
            <w:r>
              <w:rPr>
                <w:rFonts w:hint="eastAsia" w:ascii="宋体" w:hAnsi="宋体" w:cs="宋体"/>
                <w:color w:val="auto"/>
                <w:szCs w:val="21"/>
                <w:highlight w:val="none"/>
                <w:u w:val="single"/>
              </w:rPr>
              <w:t xml:space="preserve">  1 小时内；</w:t>
            </w:r>
          </w:p>
          <w:p w14:paraId="3F390C6B">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电话技术支持时间：</w:t>
            </w:r>
            <w:r>
              <w:rPr>
                <w:rFonts w:hint="eastAsia" w:ascii="宋体" w:hAnsi="宋体" w:cs="宋体"/>
                <w:color w:val="auto"/>
                <w:szCs w:val="21"/>
                <w:highlight w:val="none"/>
                <w:u w:val="single"/>
              </w:rPr>
              <w:t xml:space="preserve"> 2 小时以内；</w:t>
            </w:r>
          </w:p>
          <w:p w14:paraId="630FAAE6">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若需上门维修，则在：</w:t>
            </w:r>
            <w:r>
              <w:rPr>
                <w:rFonts w:hint="eastAsia" w:ascii="宋体" w:hAnsi="宋体" w:cs="宋体"/>
                <w:color w:val="auto"/>
                <w:szCs w:val="21"/>
                <w:highlight w:val="none"/>
                <w:u w:val="single"/>
              </w:rPr>
              <w:t xml:space="preserve"> 8 小时内到达现场并进行维修；</w:t>
            </w:r>
          </w:p>
          <w:p w14:paraId="7716C605">
            <w:pPr>
              <w:snapToGrid w:val="0"/>
              <w:spacing w:line="288" w:lineRule="auto"/>
              <w:rPr>
                <w:rFonts w:ascii="宋体" w:hAnsi="宋体" w:cs="宋体"/>
                <w:color w:val="auto"/>
                <w:szCs w:val="21"/>
                <w:highlight w:val="none"/>
                <w:u w:val="single"/>
              </w:rPr>
            </w:pPr>
            <w:r>
              <w:rPr>
                <w:rFonts w:hint="eastAsia" w:ascii="宋体" w:hAnsi="宋体" w:cs="宋体"/>
                <w:color w:val="auto"/>
                <w:szCs w:val="21"/>
                <w:highlight w:val="none"/>
              </w:rPr>
              <w:t>6.供应商应提供详细的售后服务方案、售后服务承诺、售后服务保障措施。</w:t>
            </w:r>
          </w:p>
        </w:tc>
      </w:tr>
      <w:tr w14:paraId="47497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0" w:type="pct"/>
            <w:tcBorders>
              <w:top w:val="single" w:color="auto" w:sz="4" w:space="0"/>
              <w:left w:val="single" w:color="auto" w:sz="4" w:space="0"/>
              <w:bottom w:val="single" w:color="auto" w:sz="4" w:space="0"/>
              <w:right w:val="single" w:color="auto" w:sz="4" w:space="0"/>
            </w:tcBorders>
            <w:vAlign w:val="center"/>
          </w:tcPr>
          <w:p w14:paraId="2A83B078">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其他技术、服务要求</w:t>
            </w:r>
          </w:p>
        </w:tc>
        <w:tc>
          <w:tcPr>
            <w:tcW w:w="4029" w:type="pct"/>
            <w:tcBorders>
              <w:top w:val="single" w:color="auto" w:sz="4" w:space="0"/>
              <w:left w:val="single" w:color="auto" w:sz="4" w:space="0"/>
              <w:bottom w:val="single" w:color="auto" w:sz="4" w:space="0"/>
              <w:right w:val="single" w:color="auto" w:sz="4" w:space="0"/>
            </w:tcBorders>
            <w:vAlign w:val="center"/>
          </w:tcPr>
          <w:p w14:paraId="791C5D8D">
            <w:pPr>
              <w:snapToGrid w:val="0"/>
              <w:spacing w:line="288" w:lineRule="auto"/>
              <w:rPr>
                <w:rFonts w:ascii="宋体" w:hAnsi="宋体"/>
                <w:color w:val="auto"/>
                <w:spacing w:val="-6"/>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供应商应按招标文件规定向采购人提供全新的原装合格产品，产品应符合国家法律法规规定。</w:t>
            </w:r>
            <w:r>
              <w:rPr>
                <w:rFonts w:hint="eastAsia" w:ascii="宋体" w:hAnsi="宋体"/>
                <w:color w:val="auto"/>
                <w:spacing w:val="-6"/>
                <w:szCs w:val="21"/>
                <w:highlight w:val="none"/>
              </w:rPr>
              <w:t>供应商应保证所提供的货物或其中任何一部分均不会侵犯第三方的知识产权。投标时提供承诺，否则投标无效。</w:t>
            </w:r>
          </w:p>
          <w:p w14:paraId="4AFEF99F">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2.供应商应提供有关的全套技术文件。</w:t>
            </w:r>
          </w:p>
          <w:p w14:paraId="0A1F6BE2">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.安装调试：</w:t>
            </w:r>
          </w:p>
          <w:p w14:paraId="0BC0B9BD">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.1安装地点：采购人指定地点；</w:t>
            </w:r>
          </w:p>
          <w:p w14:paraId="71D9C9E2">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.2安装完成时间：接到采购人通知后在规定时间内完成安装和调试，如在规定的时间内由于供应商的原因不能完成安装和调试，供应商应承担由此给采购人造成的损失；</w:t>
            </w:r>
          </w:p>
          <w:p w14:paraId="4FAC10ED">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.3如供应商委托国内代理（或其他机构）负责安装或配合安装应在签约时指明，但供应商仍要对合同货物及其安装质量负全部责任；</w:t>
            </w:r>
          </w:p>
          <w:p w14:paraId="6771AAF4">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.4安装标准：符合我国国家有关技术规范要求和技术标准，所有的软件和硬件必须保证同时安装到位；</w:t>
            </w:r>
          </w:p>
          <w:p w14:paraId="7DEB9B94">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.5供应商提供合同货物的安装调试服务；</w:t>
            </w:r>
          </w:p>
          <w:p w14:paraId="6FC0F3AF">
            <w:pPr>
              <w:snapToGrid w:val="0"/>
              <w:spacing w:line="288"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.6供应商应提供安装所有货物的线材及附件（包括不限于电线、网线、视频线、音频线、挂架、HDMI高清线材等），费用包含在本项目投标报价中。</w:t>
            </w:r>
          </w:p>
          <w:p w14:paraId="05B032B3">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3.7供应商在投标文件中应提供安装调试计划和安装调试方案。</w:t>
            </w:r>
          </w:p>
          <w:p w14:paraId="5F2200C6">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4.技术支持：</w:t>
            </w:r>
          </w:p>
          <w:p w14:paraId="19567685">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供应商应及时提供合同货物软件的升级，提供合同货物新功能和应用的资料。</w:t>
            </w:r>
          </w:p>
          <w:p w14:paraId="61B60711">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color w:val="auto"/>
                <w:spacing w:val="-1"/>
                <w:highlight w:val="none"/>
              </w:rPr>
              <w:t>为实现统一管理与利旧兼容，要求供应商所投设备均可接入校内原有设备管控平台（设备管控平台品牌：希沃），实现统一信息发布，软件下发等功能。现有系统呈现的数据都可免费开放，如定制特定数据字段及要求需双方协商而定。</w:t>
            </w:r>
          </w:p>
          <w:p w14:paraId="41B61D7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6.供应商应提供质保期满后主要零部件报价单、质保期满后维护费、软件升级及其相关服务内容；提供产品相关配件、附件、备品备件及耗材的准备和保障措施、消耗水平和成本方案。</w:t>
            </w:r>
          </w:p>
          <w:p w14:paraId="54F2ED1D">
            <w:p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7.软件管理平台数据及功能对接相关要求</w:t>
            </w:r>
          </w:p>
          <w:p w14:paraId="038524D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7.1上行数据：新建业务系统数据需无条件且以完全免费的形式全量同步至校级数据中心，提供相对应的文档资料（包括但不限于数据字典、业务数据表结构以及每个字段的详细解释，每个数据表之间的关联关系说明等，确保对接技术人员能够清晰、准确地理解数据结构和内容）；可根据学校数据采集需、校内其它系统的协同调用等需求，免费支持后期接口扩展与需求，建立相应的表或视图，配合校方技术人员完成数据采集或调用工作；</w:t>
            </w:r>
          </w:p>
          <w:p w14:paraId="1B675E27">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7.2下行数据：新建业务系统通过数据中台获取学校其他业务信息系统产生的权威的结构化数据，并自动定期更新到所建业务信息系统中（如人员信息、组织架构等）。凡是学校数据中台已有的数据不允许在业务系统中再产生或维护，需全部来源于数据中台，且未经学校信息中心审核，不得与其他业务系统直接对接。</w:t>
            </w:r>
          </w:p>
          <w:p w14:paraId="688E71DE">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7.3‌统一身份认证集成‌：新建业务系统如需师生登录，则必须对接学校统一身份认证平台，完成系统首页及有关审批、查询类等次级页面的单点登录改造和适配；</w:t>
            </w:r>
          </w:p>
          <w:p w14:paraId="2DE6070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7.4新建业务系统需支持模块化扩展，适应未来业务变化；系统须支持信创环境部署（如暂时不具备条件，须承诺后续完成信创适配改造）；</w:t>
            </w:r>
          </w:p>
          <w:p w14:paraId="2AB0EBB7">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7.5中标供应商负责完成所建业务系统的深度渗透测试，完成系统（含系统运行所需的全部软件环境）的测评整改。如有产生费用，由中标供应商负责。</w:t>
            </w:r>
          </w:p>
          <w:p w14:paraId="0FD97FAF">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8.根据《职业院校数字基座高职数据标准及接口规范(试行)V3.0》要求，同步智慧教室设备运行（包括设备编码、设备名称、教室号、开始运行时间、结束运行时间等）相关数据到学校数据中心。</w:t>
            </w:r>
          </w:p>
          <w:p w14:paraId="0D07981C">
            <w:pPr>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9.合同期内，中标单位免费提供接口，以保障与学校第三方应用系统和数字化校园数据中心平台的无缝衔接，涉及到的对接费用均已包含在内，不得再单独收费。</w:t>
            </w:r>
          </w:p>
          <w:p w14:paraId="3E5EAFB0">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10.施工要求：</w:t>
            </w:r>
          </w:p>
          <w:p w14:paraId="527FBD0A">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（1）项目实施以施工图纸（详见附件图纸）及现场实际为准；</w:t>
            </w:r>
          </w:p>
          <w:p w14:paraId="2756A9A3">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（2）充分利用现场已施工完成的强弱电预留点位，所购智慧屏、讲台、摄像机等设备尺寸须与现场安装、运输条件匹配,涉及改移及修复费用，由中标单位承担；</w:t>
            </w:r>
          </w:p>
          <w:p w14:paraId="2E018617">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（3）多媒体教室图纸（详见附件图纸）中已预留有线全向麦线管，中标供应商自行完成全向麦布线；</w:t>
            </w:r>
          </w:p>
          <w:p w14:paraId="3833BBA2">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（4）中标供应商中标后需按模板1要求提供《垃圾清运处置承诺书》；</w:t>
            </w:r>
          </w:p>
          <w:p w14:paraId="34D29B34">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（5）施工水电费用由中标单位自行向施工总承包单位结算支付；</w:t>
            </w:r>
          </w:p>
          <w:p w14:paraId="7969D368">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（6）中标供应商须与施工总承包单位签订安全生产管理协议，协议内容详见模板2《安全生产管理协议》；</w:t>
            </w:r>
          </w:p>
          <w:p w14:paraId="2FBA6E5F">
            <w:pPr>
              <w:snapToGrid w:val="0"/>
              <w:spacing w:line="288"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（7）中标单位在施工全过程须严格落实成品保护措施，做好室内外成品保护，施工完毕后须立即恢复原状；</w:t>
            </w:r>
          </w:p>
          <w:p w14:paraId="5BB5DCEA">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lang w:val="en-US" w:eastAsia="zh-CN"/>
              </w:rPr>
              <w:t>（8）本项目施工不得影响施工总承包单位正常竣工验收工作。</w:t>
            </w:r>
          </w:p>
        </w:tc>
      </w:tr>
      <w:tr w14:paraId="43364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0" w:type="pct"/>
            <w:tcBorders>
              <w:top w:val="single" w:color="auto" w:sz="4" w:space="0"/>
              <w:left w:val="single" w:color="auto" w:sz="4" w:space="0"/>
              <w:bottom w:val="single" w:color="auto" w:sz="4" w:space="0"/>
              <w:right w:val="single" w:color="auto" w:sz="4" w:space="0"/>
            </w:tcBorders>
            <w:vAlign w:val="center"/>
          </w:tcPr>
          <w:p w14:paraId="336E71B2">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培训</w:t>
            </w:r>
          </w:p>
        </w:tc>
        <w:tc>
          <w:tcPr>
            <w:tcW w:w="4029" w:type="pct"/>
            <w:tcBorders>
              <w:top w:val="single" w:color="auto" w:sz="4" w:space="0"/>
              <w:left w:val="single" w:color="auto" w:sz="4" w:space="0"/>
              <w:bottom w:val="single" w:color="auto" w:sz="4" w:space="0"/>
              <w:right w:val="single" w:color="auto" w:sz="4" w:space="0"/>
            </w:tcBorders>
            <w:vAlign w:val="center"/>
          </w:tcPr>
          <w:p w14:paraId="0C018596">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1.供应商应对采购人的操作人员、维修人员免费进行培训；</w:t>
            </w:r>
          </w:p>
          <w:p w14:paraId="677B7938">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2.培训实现方式、时间、地点、人数应在投标文件中详细说明；</w:t>
            </w:r>
          </w:p>
          <w:p w14:paraId="19008070">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3.供应商应提供相应的培训计划、培训范围，实施方案。</w:t>
            </w:r>
          </w:p>
        </w:tc>
      </w:tr>
      <w:tr w14:paraId="468DF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0" w:type="pct"/>
            <w:tcBorders>
              <w:top w:val="single" w:color="auto" w:sz="4" w:space="0"/>
              <w:left w:val="single" w:color="auto" w:sz="4" w:space="0"/>
              <w:bottom w:val="single" w:color="auto" w:sz="4" w:space="0"/>
              <w:right w:val="single" w:color="auto" w:sz="4" w:space="0"/>
            </w:tcBorders>
            <w:vAlign w:val="center"/>
          </w:tcPr>
          <w:p w14:paraId="13ABF574">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验收标准</w:t>
            </w:r>
          </w:p>
        </w:tc>
        <w:tc>
          <w:tcPr>
            <w:tcW w:w="4029" w:type="pct"/>
            <w:tcBorders>
              <w:top w:val="single" w:color="auto" w:sz="4" w:space="0"/>
              <w:left w:val="single" w:color="auto" w:sz="4" w:space="0"/>
              <w:bottom w:val="single" w:color="auto" w:sz="4" w:space="0"/>
              <w:right w:val="single" w:color="auto" w:sz="4" w:space="0"/>
            </w:tcBorders>
            <w:vAlign w:val="center"/>
          </w:tcPr>
          <w:p w14:paraId="2FD7C30C">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1.验收由采购人负责实施；</w:t>
            </w:r>
          </w:p>
          <w:p w14:paraId="053946F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2.验收依据：</w:t>
            </w:r>
          </w:p>
          <w:p w14:paraId="717CCF5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2.1合同、招标文件、投标文件；</w:t>
            </w:r>
          </w:p>
          <w:p w14:paraId="7A842226">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2.2供应商提供的技术规格、经采购人认可的合同货物的有效检验文件；</w:t>
            </w:r>
          </w:p>
          <w:p w14:paraId="592B240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2.3供应商投标文件中提供的经采购人认可的合同货物的验收标准（符合中国有关的国家、地方、行业标准）和检测办法及相应检测手段。</w:t>
            </w:r>
          </w:p>
          <w:p w14:paraId="1B2D2C4E">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3.供应商应派员在所供货物到采购人处时进行到货验收，有需要时能联系产品制造商到场共同验收，若发现任何损坏及质量问题，供应商负责妥善处理直至采购人满意，由此产生的费用由供应商承担。</w:t>
            </w:r>
          </w:p>
          <w:p w14:paraId="2710055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4.验收合格的条件：</w:t>
            </w:r>
          </w:p>
          <w:p w14:paraId="5817094D">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4.1所供货物符合产品标准和合同的要求；</w:t>
            </w:r>
          </w:p>
          <w:p w14:paraId="5ADC03A9">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4.2在进行测试和验收过程中发现的问题已被解决并得到采购人的认可；</w:t>
            </w:r>
          </w:p>
          <w:p w14:paraId="58B56BDE">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4.3合同中规定的所有货物和材料均已交付；</w:t>
            </w:r>
          </w:p>
          <w:p w14:paraId="6B53A59F">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4.4所供货物已通过使用单位组织的验收；</w:t>
            </w:r>
          </w:p>
          <w:p w14:paraId="454735D3">
            <w:pPr>
              <w:snapToGrid w:val="0"/>
              <w:spacing w:line="288" w:lineRule="auto"/>
              <w:rPr>
                <w:rFonts w:ascii="宋体" w:hAnsi="宋体" w:cs="宋体"/>
                <w:b/>
                <w:bCs/>
                <w:color w:val="auto"/>
                <w:szCs w:val="21"/>
                <w:highlight w:val="none"/>
              </w:rPr>
            </w:pPr>
            <w:r>
              <w:rPr>
                <w:rFonts w:hint="eastAsia" w:ascii="宋体" w:hAnsi="宋体" w:cs="宋体"/>
                <w:color w:val="auto"/>
                <w:szCs w:val="21"/>
                <w:highlight w:val="none"/>
              </w:rPr>
              <w:t>4.5所有相关的技术文件及资料均已提交并得到接受。</w:t>
            </w:r>
          </w:p>
        </w:tc>
      </w:tr>
    </w:tbl>
    <w:p w14:paraId="0478AA3F">
      <w:pPr>
        <w:snapToGrid w:val="0"/>
        <w:spacing w:line="288" w:lineRule="auto"/>
        <w:rPr>
          <w:rFonts w:ascii="宋体" w:hAnsi="宋体"/>
          <w:b/>
          <w:color w:val="auto"/>
          <w:szCs w:val="21"/>
          <w:highlight w:val="none"/>
        </w:rPr>
      </w:pPr>
    </w:p>
    <w:p w14:paraId="5CE32614">
      <w:pPr>
        <w:snapToGrid w:val="0"/>
        <w:spacing w:line="288" w:lineRule="auto"/>
        <w:outlineLvl w:val="1"/>
        <w:rPr>
          <w:rFonts w:ascii="宋体" w:hAnsi="宋体"/>
          <w:b/>
          <w:color w:val="auto"/>
          <w:szCs w:val="21"/>
          <w:highlight w:val="none"/>
        </w:rPr>
      </w:pPr>
      <w:r>
        <w:rPr>
          <w:rFonts w:hint="eastAsia" w:ascii="宋体" w:hAnsi="宋体"/>
          <w:b/>
          <w:color w:val="auto"/>
          <w:szCs w:val="21"/>
          <w:highlight w:val="none"/>
        </w:rPr>
        <w:t>三、技术要求</w:t>
      </w:r>
    </w:p>
    <w:p w14:paraId="4F825052">
      <w:pPr>
        <w:snapToGrid w:val="0"/>
        <w:spacing w:line="288" w:lineRule="auto"/>
        <w:rPr>
          <w:rFonts w:ascii="宋体" w:hAnsi="宋体" w:cs="宋体"/>
          <w:b/>
          <w:bCs/>
          <w:color w:val="auto"/>
          <w:szCs w:val="21"/>
          <w:highlight w:val="none"/>
        </w:rPr>
      </w:pPr>
      <w:bookmarkStart w:id="32" w:name="_Hlk92271413"/>
      <w:r>
        <w:rPr>
          <w:rFonts w:hint="eastAsia" w:ascii="宋体" w:hAnsi="宋体" w:cs="宋体"/>
          <w:b/>
          <w:bCs/>
          <w:color w:val="auto"/>
          <w:szCs w:val="21"/>
          <w:highlight w:val="none"/>
        </w:rPr>
        <w:t>1</w:t>
      </w:r>
      <w:r>
        <w:rPr>
          <w:rFonts w:ascii="宋体" w:hAnsi="宋体" w:cs="宋体"/>
          <w:b/>
          <w:bCs/>
          <w:color w:val="auto"/>
          <w:szCs w:val="21"/>
          <w:highlight w:val="none"/>
        </w:rPr>
        <w:t>.</w:t>
      </w:r>
      <w:r>
        <w:rPr>
          <w:rFonts w:hint="eastAsia" w:ascii="宋体" w:hAnsi="宋体" w:cs="宋体"/>
          <w:b/>
          <w:bCs/>
          <w:color w:val="auto"/>
          <w:szCs w:val="21"/>
          <w:highlight w:val="none"/>
        </w:rPr>
        <w:t>需执行的国家相关标准、行业标准、地方标准或者其他标准、规范：</w:t>
      </w:r>
      <w:bookmarkStart w:id="33" w:name="_Hlk94018176"/>
    </w:p>
    <w:p w14:paraId="76F9045C">
      <w:p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▲（1）采购清单中的设备如果国家有强制进行3C认证的，必须通过国家3C强制认证，交货时提供3C强制认证证书复印件加盖公章。投标时提供承诺，否则投标无效。</w:t>
      </w:r>
    </w:p>
    <w:bookmarkEnd w:id="33"/>
    <w:p w14:paraId="7925F1C4">
      <w:pPr>
        <w:snapToGrid w:val="0"/>
        <w:spacing w:line="288" w:lineRule="auto"/>
        <w:rPr>
          <w:rFonts w:ascii="宋体" w:hAnsi="宋体" w:cs="宋体"/>
          <w:b/>
          <w:bCs/>
          <w:color w:val="auto"/>
          <w:szCs w:val="21"/>
          <w:highlight w:val="none"/>
        </w:rPr>
      </w:pPr>
      <w:r>
        <w:rPr>
          <w:rFonts w:hint="eastAsia" w:ascii="宋体" w:hAnsi="宋体" w:cs="宋体"/>
          <w:color w:val="auto"/>
          <w:szCs w:val="21"/>
          <w:highlight w:val="none"/>
        </w:rPr>
        <w:t>（2）投标人所提供的产品质量标准均须符合国家、行业相关标准要求，上述标准不一致的，以国家标准为准；没有国家标准、行业标准的，按照通常标准或者符合合同目的的特定标准确定。</w:t>
      </w:r>
    </w:p>
    <w:bookmarkEnd w:id="32"/>
    <w:p w14:paraId="332C3978">
      <w:pPr>
        <w:snapToGrid w:val="0"/>
        <w:spacing w:line="288" w:lineRule="auto"/>
        <w:rPr>
          <w:rFonts w:ascii="宋体" w:hAns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.需实现的功能或者目标：满足杭州职业技术大学</w:t>
      </w:r>
      <w:r>
        <w:rPr>
          <w:rFonts w:hint="eastAsia" w:ascii="宋体" w:hAnsi="宋体" w:cs="宋体"/>
          <w:b/>
          <w:bCs/>
          <w:color w:val="auto"/>
          <w:szCs w:val="21"/>
          <w:highlight w:val="none"/>
          <w:lang w:eastAsia="zh-CN"/>
        </w:rPr>
        <w:t>新安江校区</w:t>
      </w:r>
      <w:r>
        <w:rPr>
          <w:rFonts w:hint="eastAsia" w:ascii="宋体" w:hAnsi="宋体" w:cs="宋体"/>
          <w:b/>
          <w:bCs/>
          <w:color w:val="auto"/>
          <w:szCs w:val="21"/>
          <w:highlight w:val="none"/>
        </w:rPr>
        <w:t>多媒体教室建设项目的使用需要。</w:t>
      </w:r>
    </w:p>
    <w:p w14:paraId="2ADEF12B">
      <w:pPr>
        <w:rPr>
          <w:rFonts w:ascii="宋体" w:hAnsi="宋体"/>
          <w:b/>
          <w:bCs/>
          <w:color w:val="auto"/>
          <w:spacing w:val="-4"/>
          <w:szCs w:val="21"/>
          <w:highlight w:val="none"/>
        </w:rPr>
        <w:sectPr>
          <w:pgSz w:w="11907" w:h="16840"/>
          <w:pgMar w:top="1474" w:right="1814" w:bottom="1474" w:left="1814" w:header="851" w:footer="851" w:gutter="0"/>
          <w:cols w:space="720" w:num="1"/>
        </w:sectPr>
      </w:pPr>
      <w:r>
        <w:rPr>
          <w:rFonts w:ascii="宋体" w:hAnsi="宋体"/>
          <w:b/>
          <w:bCs/>
          <w:color w:val="auto"/>
          <w:spacing w:val="-4"/>
          <w:szCs w:val="21"/>
          <w:highlight w:val="none"/>
        </w:rPr>
        <w:br w:type="page"/>
      </w:r>
    </w:p>
    <w:p w14:paraId="6A880D04">
      <w:pPr>
        <w:numPr>
          <w:ilvl w:val="0"/>
          <w:numId w:val="1"/>
        </w:numPr>
        <w:snapToGrid w:val="0"/>
        <w:spacing w:line="288" w:lineRule="auto"/>
        <w:rPr>
          <w:rFonts w:ascii="宋体" w:hAnsi="宋体"/>
          <w:b/>
          <w:bCs/>
          <w:color w:val="auto"/>
          <w:spacing w:val="-4"/>
          <w:szCs w:val="21"/>
          <w:highlight w:val="none"/>
        </w:rPr>
      </w:pPr>
      <w:r>
        <w:rPr>
          <w:rFonts w:hint="eastAsia" w:ascii="宋体" w:hAnsi="宋体"/>
          <w:b/>
          <w:bCs/>
          <w:color w:val="auto"/>
          <w:spacing w:val="-4"/>
          <w:szCs w:val="21"/>
          <w:highlight w:val="none"/>
        </w:rPr>
        <w:t>需满足的质量、安全、技术规格、物理特性等要求：</w:t>
      </w:r>
    </w:p>
    <w:tbl>
      <w:tblPr>
        <w:tblStyle w:val="62"/>
        <w:tblW w:w="14019" w:type="dxa"/>
        <w:jc w:val="center"/>
        <w:tblLayout w:type="fixed"/>
        <w:tblCellMar>
          <w:top w:w="0" w:type="dxa"/>
          <w:left w:w="108" w:type="dxa"/>
          <w:bottom w:w="0" w:type="dxa"/>
          <w:right w:w="108" w:type="dxa"/>
        </w:tblCellMar>
      </w:tblPr>
      <w:tblGrid>
        <w:gridCol w:w="820"/>
        <w:gridCol w:w="1595"/>
        <w:gridCol w:w="10643"/>
        <w:gridCol w:w="961"/>
      </w:tblGrid>
      <w:tr w14:paraId="289FF141">
        <w:tblPrEx>
          <w:tblCellMar>
            <w:top w:w="0" w:type="dxa"/>
            <w:left w:w="108" w:type="dxa"/>
            <w:bottom w:w="0" w:type="dxa"/>
            <w:right w:w="108" w:type="dxa"/>
          </w:tblCellMar>
        </w:tblPrEx>
        <w:trPr>
          <w:trHeight w:val="559"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3134132F">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595" w:type="dxa"/>
            <w:tcBorders>
              <w:top w:val="single" w:color="000000" w:sz="4" w:space="0"/>
              <w:left w:val="single" w:color="000000" w:sz="4" w:space="0"/>
              <w:bottom w:val="single" w:color="000000" w:sz="4" w:space="0"/>
              <w:right w:val="single" w:color="000000" w:sz="4" w:space="0"/>
            </w:tcBorders>
            <w:vAlign w:val="center"/>
          </w:tcPr>
          <w:p w14:paraId="7FF3672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设备名称</w:t>
            </w:r>
          </w:p>
        </w:tc>
        <w:tc>
          <w:tcPr>
            <w:tcW w:w="10643" w:type="dxa"/>
            <w:tcBorders>
              <w:top w:val="single" w:color="000000" w:sz="4" w:space="0"/>
              <w:left w:val="single" w:color="000000" w:sz="4" w:space="0"/>
              <w:bottom w:val="single" w:color="000000" w:sz="4" w:space="0"/>
              <w:right w:val="single" w:color="000000" w:sz="4" w:space="0"/>
            </w:tcBorders>
            <w:vAlign w:val="center"/>
          </w:tcPr>
          <w:p w14:paraId="4C8C70DE">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技术指标</w:t>
            </w:r>
          </w:p>
        </w:tc>
        <w:tc>
          <w:tcPr>
            <w:tcW w:w="961" w:type="dxa"/>
            <w:tcBorders>
              <w:top w:val="single" w:color="000000" w:sz="4" w:space="0"/>
              <w:left w:val="single" w:color="000000" w:sz="4" w:space="0"/>
              <w:bottom w:val="single" w:color="000000" w:sz="4" w:space="0"/>
              <w:right w:val="single" w:color="000000" w:sz="4" w:space="0"/>
            </w:tcBorders>
            <w:vAlign w:val="center"/>
          </w:tcPr>
          <w:p w14:paraId="53399A06">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w:t>
            </w:r>
          </w:p>
        </w:tc>
      </w:tr>
      <w:tr w14:paraId="732867B8">
        <w:tblPrEx>
          <w:tblCellMar>
            <w:top w:w="0" w:type="dxa"/>
            <w:left w:w="108" w:type="dxa"/>
            <w:bottom w:w="0" w:type="dxa"/>
            <w:right w:w="108" w:type="dxa"/>
          </w:tblCellMar>
        </w:tblPrEx>
        <w:trPr>
          <w:trHeight w:val="460" w:hRule="atLeast"/>
          <w:jc w:val="center"/>
        </w:trPr>
        <w:tc>
          <w:tcPr>
            <w:tcW w:w="14019" w:type="dxa"/>
            <w:gridSpan w:val="4"/>
            <w:tcBorders>
              <w:top w:val="single" w:color="000000" w:sz="4" w:space="0"/>
              <w:left w:val="single" w:color="000000" w:sz="4" w:space="0"/>
              <w:bottom w:val="single" w:color="000000" w:sz="4" w:space="0"/>
              <w:right w:val="single" w:color="000000" w:sz="4" w:space="0"/>
            </w:tcBorders>
            <w:vAlign w:val="center"/>
          </w:tcPr>
          <w:p w14:paraId="6B7BC02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一、多媒体教室设施设备</w:t>
            </w:r>
          </w:p>
        </w:tc>
      </w:tr>
      <w:tr w14:paraId="45A0609C">
        <w:tblPrEx>
          <w:tblCellMar>
            <w:top w:w="0" w:type="dxa"/>
            <w:left w:w="108" w:type="dxa"/>
            <w:bottom w:w="0" w:type="dxa"/>
            <w:right w:w="108" w:type="dxa"/>
          </w:tblCellMar>
        </w:tblPrEx>
        <w:trPr>
          <w:trHeight w:val="25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72BAA8BA">
            <w:pPr>
              <w:widowControl/>
              <w:jc w:val="center"/>
              <w:textAlignment w:val="center"/>
              <w:rPr>
                <w:rFonts w:ascii="宋体" w:hAnsi="宋体" w:cs="宋体"/>
                <w:color w:val="auto"/>
                <w:szCs w:val="21"/>
                <w:highlight w:val="none"/>
              </w:rPr>
            </w:pPr>
            <w:bookmarkStart w:id="34" w:name="_Hlk229124949"/>
            <w:r>
              <w:rPr>
                <w:rFonts w:hint="eastAsia" w:ascii="宋体" w:hAnsi="宋体" w:cs="宋体"/>
                <w:color w:val="auto"/>
                <w:kern w:val="0"/>
                <w:sz w:val="20"/>
                <w:szCs w:val="20"/>
                <w:highlight w:val="none"/>
                <w:lang w:bidi="ar"/>
              </w:rPr>
              <w:t>1</w:t>
            </w:r>
          </w:p>
        </w:tc>
        <w:tc>
          <w:tcPr>
            <w:tcW w:w="1595" w:type="dxa"/>
            <w:tcBorders>
              <w:top w:val="single" w:color="000000" w:sz="4" w:space="0"/>
              <w:left w:val="single" w:color="000000" w:sz="4" w:space="0"/>
              <w:bottom w:val="single" w:color="000000" w:sz="4" w:space="0"/>
              <w:right w:val="single" w:color="000000" w:sz="4" w:space="0"/>
            </w:tcBorders>
            <w:vAlign w:val="center"/>
          </w:tcPr>
          <w:p w14:paraId="5B6272BE">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98寸智慧屏</w:t>
            </w:r>
          </w:p>
        </w:tc>
        <w:tc>
          <w:tcPr>
            <w:tcW w:w="10643" w:type="dxa"/>
            <w:tcBorders>
              <w:top w:val="single" w:color="000000" w:sz="4" w:space="0"/>
              <w:left w:val="single" w:color="000000" w:sz="4" w:space="0"/>
              <w:bottom w:val="single" w:color="000000" w:sz="4" w:space="0"/>
              <w:right w:val="single" w:color="000000" w:sz="4" w:space="0"/>
            </w:tcBorders>
            <w:vAlign w:val="center"/>
          </w:tcPr>
          <w:p w14:paraId="3367E99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1、整机采用≥98英寸超高清LED液晶屏，整机显示比例16:9，分辨率≥3840×2160，支持防眩光功能。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2、整机接口：输入接口具备≥2路HDMI、≥1路RS232、≥4路USB接口；输出接口具备≥1路音频输出、≥1路触控USB输出。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3、整机具备≥6个前置按键，可实现开关机、调出中控菜单、音量+/-、护眼、录屏操作。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4、为支持不同教师个性化教学使用习惯，灵活使用教学智慧屏；整机支持</w:t>
            </w:r>
            <w:r>
              <w:rPr>
                <w:rFonts w:hint="eastAsia" w:ascii="宋体" w:hAnsi="宋体" w:cs="宋体"/>
                <w:color w:val="auto"/>
                <w:kern w:val="0"/>
                <w:szCs w:val="21"/>
                <w:highlight w:val="none"/>
                <w:lang w:bidi="ar"/>
              </w:rPr>
              <w:t>≥</w:t>
            </w:r>
            <w:r>
              <w:rPr>
                <w:rFonts w:hint="eastAsia" w:ascii="宋体" w:hAnsi="宋体" w:cs="宋体"/>
                <w:color w:val="auto"/>
                <w:kern w:val="0"/>
                <w:sz w:val="20"/>
                <w:szCs w:val="20"/>
                <w:highlight w:val="none"/>
                <w:lang w:bidi="ar"/>
              </w:rPr>
              <w:t>5个自定义前置按键，可调节自定义功能包括：批注、截屏、计时、降半屏、放大镜等。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5、整机内置2.2声道扬声器，额定总功率≥60W。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6、整机内置非独立外扩展的8阵列麦克风，拾音角度≥180°。</w:t>
            </w:r>
          </w:p>
          <w:p w14:paraId="1701E27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7、为保障教室整体微课录制效果，拍摄画面学生全覆盖；整机上边框内置摄像头数量≥4个。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8、为保障教师教学网络流畅，实现快速文件传输及投屏；整机内置≥2个WiFi6无线网卡，在Android和Windows系统下，可实现Wi-Fi无线上网连接、AP无线热点发射。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整机具备智能手势识别功能，在整机全信号源通道下均可识别五指上、下、左、右方向手势，五指画O、画~、左右晃动、缩/放方向手势滑动并调用相应功能。支持将各手势滑动方向自定义设置为无操作、熄屏、批注、桌面、半屏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10、为支持教师数字化教学，节省课前备课时间；整机支持识别用户声纹并进行统一身份登录，登录后自动获取个人云端教学课件列表。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11、为支持教师信息化教学，节省投屏准备时间；整机支持超声波信号，智能手机通过麦克风接收后，智能手机与整机无需在同一局域网内，可实现配对，一键投屏，用户无需手动输入投屏码或扫码获取投屏码；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为支持教师快速调取电子板书，实现灵活授课；整机支持提笔书写，手笔分离，在Windows系统下可实现无需点击任意功能入口，当检测到红外笔笔尖接触屏幕时，自动进入书写模式。使用笔正常书写，使用手指可以操作应用，进行点击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为实现校本资源的有效留存，便于线上教学教研工作开展；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14、为保障教学授课流畅稳定性，整机嵌入式系统版本≥Android 14，主频≥1.8GHz，内存≥2GB，存储空间≥8GB。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15、采用红外触控方式，支持Windows系统中进行</w:t>
            </w:r>
            <w:r>
              <w:rPr>
                <w:rFonts w:hint="eastAsia" w:ascii="宋体" w:hAnsi="宋体" w:cs="宋体"/>
                <w:color w:val="auto"/>
                <w:kern w:val="0"/>
                <w:szCs w:val="21"/>
                <w:highlight w:val="none"/>
                <w:lang w:bidi="ar"/>
              </w:rPr>
              <w:t>≥</w:t>
            </w:r>
            <w:r>
              <w:rPr>
                <w:rFonts w:hint="eastAsia" w:ascii="宋体" w:hAnsi="宋体" w:cs="宋体"/>
                <w:color w:val="auto"/>
                <w:kern w:val="0"/>
                <w:sz w:val="20"/>
                <w:szCs w:val="20"/>
                <w:highlight w:val="none"/>
                <w:lang w:bidi="ar"/>
              </w:rPr>
              <w:t>40点触控，支持在Android系统中进行</w:t>
            </w:r>
            <w:r>
              <w:rPr>
                <w:rFonts w:hint="eastAsia" w:ascii="宋体" w:hAnsi="宋体" w:cs="宋体"/>
                <w:color w:val="auto"/>
                <w:kern w:val="0"/>
                <w:szCs w:val="21"/>
                <w:highlight w:val="none"/>
                <w:lang w:bidi="ar"/>
              </w:rPr>
              <w:t>≥</w:t>
            </w:r>
            <w:r>
              <w:rPr>
                <w:rFonts w:hint="eastAsia" w:ascii="宋体" w:hAnsi="宋体" w:cs="宋体"/>
                <w:color w:val="auto"/>
                <w:kern w:val="0"/>
                <w:sz w:val="20"/>
                <w:szCs w:val="20"/>
                <w:highlight w:val="none"/>
                <w:lang w:bidi="ar"/>
              </w:rPr>
              <w:t>40点触控。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16、搭载性能不低于Intel酷睿系列 i5，配置内存</w:t>
            </w:r>
            <w:r>
              <w:rPr>
                <w:rFonts w:hint="eastAsia" w:ascii="宋体" w:hAnsi="宋体" w:cs="宋体"/>
                <w:color w:val="auto"/>
                <w:kern w:val="0"/>
                <w:szCs w:val="21"/>
                <w:highlight w:val="none"/>
                <w:lang w:bidi="ar"/>
              </w:rPr>
              <w:t>≥</w:t>
            </w:r>
            <w:r>
              <w:rPr>
                <w:rFonts w:hint="eastAsia" w:ascii="宋体" w:hAnsi="宋体" w:cs="宋体"/>
                <w:color w:val="auto"/>
                <w:kern w:val="0"/>
                <w:sz w:val="20"/>
                <w:szCs w:val="20"/>
                <w:highlight w:val="none"/>
                <w:lang w:bidi="ar"/>
              </w:rPr>
              <w:t>8GB DDR4，配置硬盘</w:t>
            </w:r>
            <w:r>
              <w:rPr>
                <w:rFonts w:hint="eastAsia" w:ascii="宋体" w:hAnsi="宋体" w:cs="宋体"/>
                <w:color w:val="auto"/>
                <w:kern w:val="0"/>
                <w:szCs w:val="21"/>
                <w:highlight w:val="none"/>
                <w:lang w:bidi="ar"/>
              </w:rPr>
              <w:t>≥</w:t>
            </w:r>
            <w:r>
              <w:rPr>
                <w:rFonts w:hint="eastAsia" w:ascii="宋体" w:hAnsi="宋体" w:cs="宋体"/>
                <w:color w:val="auto"/>
                <w:kern w:val="0"/>
                <w:sz w:val="20"/>
                <w:szCs w:val="20"/>
                <w:highlight w:val="none"/>
                <w:lang w:bidi="ar"/>
              </w:rPr>
              <w:t>256 GB SSD固态硬盘。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r>
              <w:rPr>
                <w:rFonts w:hint="eastAsia" w:ascii="宋体" w:hAnsi="宋体" w:cs="宋体"/>
                <w:b/>
                <w:bCs/>
                <w:color w:val="auto"/>
                <w:kern w:val="0"/>
                <w:sz w:val="20"/>
                <w:szCs w:val="20"/>
                <w:highlight w:val="none"/>
                <w:lang w:bidi="ar"/>
              </w:rPr>
              <w:t>（此项需提供功能演示）</w:t>
            </w:r>
          </w:p>
          <w:p w14:paraId="56A16865">
            <w:pPr>
              <w:widowControl/>
              <w:jc w:val="left"/>
              <w:textAlignment w:val="center"/>
              <w:rPr>
                <w:rFonts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18、投标文件中提供上述第7、8、10、11、13项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5FCB9CED">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52块</w:t>
            </w:r>
          </w:p>
        </w:tc>
      </w:tr>
      <w:tr w14:paraId="418F3A38">
        <w:tblPrEx>
          <w:tblCellMar>
            <w:top w:w="0" w:type="dxa"/>
            <w:left w:w="108" w:type="dxa"/>
            <w:bottom w:w="0" w:type="dxa"/>
            <w:right w:w="108" w:type="dxa"/>
          </w:tblCellMar>
        </w:tblPrEx>
        <w:trPr>
          <w:trHeight w:val="9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97B2E2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w:t>
            </w:r>
          </w:p>
        </w:tc>
        <w:tc>
          <w:tcPr>
            <w:tcW w:w="1595" w:type="dxa"/>
            <w:tcBorders>
              <w:top w:val="single" w:color="000000" w:sz="4" w:space="0"/>
              <w:left w:val="single" w:color="000000" w:sz="4" w:space="0"/>
              <w:bottom w:val="single" w:color="000000" w:sz="4" w:space="0"/>
              <w:right w:val="single" w:color="000000" w:sz="4" w:space="0"/>
            </w:tcBorders>
            <w:vAlign w:val="center"/>
          </w:tcPr>
          <w:p w14:paraId="2FC8B5D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智能书写板</w:t>
            </w:r>
          </w:p>
        </w:tc>
        <w:tc>
          <w:tcPr>
            <w:tcW w:w="10643" w:type="dxa"/>
            <w:tcBorders>
              <w:top w:val="single" w:color="000000" w:sz="4" w:space="0"/>
              <w:left w:val="single" w:color="000000" w:sz="4" w:space="0"/>
              <w:bottom w:val="single" w:color="000000" w:sz="4" w:space="0"/>
              <w:right w:val="single" w:color="000000" w:sz="4" w:space="0"/>
            </w:tcBorders>
            <w:vAlign w:val="center"/>
          </w:tcPr>
          <w:p w14:paraId="58E33E45">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1.书写板支持磁吸附功能，可以满足带有磁吸的板擦等教具进行吸附。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2.书写板光泽度符合GB 28231《书写板安全卫生要求》，粉笔板书写面的光泽度应在12光泽单位以下，不应有因粉笔板本身的原因产生眩光。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3.书写板耐光性符合GB 28231《书写板安全卫生要求》，暴晒后对比度应大于GB/T 250《</w:t>
            </w:r>
            <w:r>
              <w:rPr>
                <w:color w:val="auto"/>
                <w:highlight w:val="none"/>
              </w:rPr>
              <w:fldChar w:fldCharType="begin"/>
            </w:r>
            <w:r>
              <w:rPr>
                <w:color w:val="auto"/>
                <w:highlight w:val="none"/>
              </w:rPr>
              <w:instrText xml:space="preserve"> HYPERLINK "javascript:void(0)" </w:instrText>
            </w:r>
            <w:r>
              <w:rPr>
                <w:color w:val="auto"/>
                <w:highlight w:val="none"/>
              </w:rPr>
              <w:fldChar w:fldCharType="separate"/>
            </w:r>
            <w:r>
              <w:rPr>
                <w:rFonts w:hint="eastAsia" w:ascii="宋体" w:hAnsi="宋体" w:cs="宋体"/>
                <w:color w:val="auto"/>
                <w:kern w:val="0"/>
                <w:sz w:val="20"/>
                <w:szCs w:val="20"/>
                <w:highlight w:val="none"/>
                <w:lang w:bidi="ar"/>
              </w:rPr>
              <w:t>纺织品色牢度试验评定变色用灰色样卡</w:t>
            </w:r>
            <w:r>
              <w:rPr>
                <w:rFonts w:hint="eastAsia" w:ascii="宋体" w:hAnsi="宋体" w:cs="宋体"/>
                <w:color w:val="auto"/>
                <w:kern w:val="0"/>
                <w:sz w:val="20"/>
                <w:szCs w:val="20"/>
                <w:highlight w:val="none"/>
                <w:lang w:bidi="ar"/>
              </w:rPr>
              <w:fldChar w:fldCharType="end"/>
            </w:r>
            <w:r>
              <w:rPr>
                <w:rFonts w:hint="eastAsia" w:ascii="宋体" w:hAnsi="宋体" w:cs="宋体"/>
                <w:color w:val="auto"/>
                <w:kern w:val="0"/>
                <w:sz w:val="20"/>
                <w:szCs w:val="20"/>
                <w:highlight w:val="none"/>
                <w:lang w:bidi="ar"/>
              </w:rPr>
              <w:t>》的四级。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4.书写板耐腐蚀性符合GB 28231《书写板安全卫生要求》，使用含有日常家用洗涤剂或消毒剂的温水(40℃ )，擦拭书写板的书写面后，书写面应不变色，无表皮脱落。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5.书写板甲醛释放限量符合GB 28231《书写板安全卫生要求》，甲醛释放限量应不大于1.5mg/L。</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6.书写板漆膜的附着力符合GB/T 9286 测试方法，支持色漆和清漆 漆膜的划格试验，脱漆面积不明显大于5%。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7.书写板漆膜的硬度符合GB/T 6739测试方法，支持漆膜硬度铅笔测定法，无塑性变形也无内聚破坏，铅笔硬度≧6H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8.书写板漆膜的抗冲击性符合GB/T 1732测试方法，支持漆膜耐冲击测定法，无裂纹现象。</w:t>
            </w:r>
          </w:p>
          <w:p w14:paraId="761D24CA">
            <w:pPr>
              <w:widowControl/>
              <w:jc w:val="left"/>
              <w:textAlignment w:val="center"/>
              <w:rPr>
                <w:color w:val="auto"/>
                <w:highlight w:val="none"/>
              </w:rPr>
            </w:pPr>
            <w:r>
              <w:rPr>
                <w:rFonts w:hint="eastAsia" w:ascii="宋体" w:hAnsi="宋体" w:cs="宋体"/>
                <w:color w:val="auto"/>
                <w:kern w:val="0"/>
                <w:sz w:val="20"/>
                <w:szCs w:val="20"/>
                <w:highlight w:val="none"/>
                <w:lang w:bidi="ar"/>
              </w:rPr>
              <w:t>9.左右两块书写板单个尺寸：1131x1348x114.5mm±5mm。</w:t>
            </w:r>
          </w:p>
        </w:tc>
        <w:tc>
          <w:tcPr>
            <w:tcW w:w="961" w:type="dxa"/>
            <w:tcBorders>
              <w:top w:val="single" w:color="000000" w:sz="4" w:space="0"/>
              <w:left w:val="single" w:color="000000" w:sz="4" w:space="0"/>
              <w:bottom w:val="single" w:color="000000" w:sz="4" w:space="0"/>
              <w:right w:val="single" w:color="000000" w:sz="4" w:space="0"/>
            </w:tcBorders>
            <w:vAlign w:val="center"/>
          </w:tcPr>
          <w:p w14:paraId="4D021E55">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52套</w:t>
            </w:r>
          </w:p>
        </w:tc>
      </w:tr>
      <w:tr w14:paraId="7CAA49EC">
        <w:tblPrEx>
          <w:tblCellMar>
            <w:top w:w="0" w:type="dxa"/>
            <w:left w:w="108" w:type="dxa"/>
            <w:bottom w:w="0" w:type="dxa"/>
            <w:right w:w="108" w:type="dxa"/>
          </w:tblCellMar>
        </w:tblPrEx>
        <w:trPr>
          <w:trHeight w:val="181"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39F084FF">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3</w:t>
            </w:r>
          </w:p>
        </w:tc>
        <w:tc>
          <w:tcPr>
            <w:tcW w:w="1595" w:type="dxa"/>
            <w:tcBorders>
              <w:top w:val="single" w:color="000000" w:sz="4" w:space="0"/>
              <w:left w:val="single" w:color="000000" w:sz="4" w:space="0"/>
              <w:bottom w:val="single" w:color="000000" w:sz="4" w:space="0"/>
              <w:right w:val="single" w:color="000000" w:sz="4" w:space="0"/>
            </w:tcBorders>
            <w:vAlign w:val="center"/>
          </w:tcPr>
          <w:p w14:paraId="59214FB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讲台智慧屏</w:t>
            </w:r>
          </w:p>
        </w:tc>
        <w:tc>
          <w:tcPr>
            <w:tcW w:w="10643" w:type="dxa"/>
            <w:tcBorders>
              <w:top w:val="single" w:color="000000" w:sz="4" w:space="0"/>
              <w:left w:val="single" w:color="000000" w:sz="4" w:space="0"/>
              <w:bottom w:val="single" w:color="000000" w:sz="4" w:space="0"/>
              <w:right w:val="single" w:color="000000" w:sz="4" w:space="0"/>
            </w:tcBorders>
            <w:vAlign w:val="center"/>
          </w:tcPr>
          <w:p w14:paraId="7D81754B">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1.智能讲台书写屏尺寸及外观：外观悬浮式设计，边缘光滑，无棱角处理，保护师生安全。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2.智能讲台智能屏包含至少21.5英寸电容触摸屏幕，支持10点同时触摸。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3.智能讲台书写屏屏幕采用防眩光全钢化防爆玻璃面板，厚度≥3mm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4.智能讲台书写屏支持通过触控屏幕对一体机的画面进行控制，同时支持同步显示一体机画面，老师讲课无需转身背对学生，提高授课效率。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5.智能讲台书写屏设置物理实体快捷按键，两侧按键共≥5个。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6.智能讲台书写屏至少具备1个可自定义功能按键，可通过软件设置选择按键功能，包括一键启动白板、一键启动视频展台，一键关闭当前应用程序选项功能。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7.智能讲台书写屏设置至少四个USB充电口，对接入设备进行充电，方便学校对教学用品的管理及维护。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8.智能讲台书写屏设置的USB口，可供老师接入键盘、鼠标、U盘等设备，可被一体机识别通讯。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9.为保障整体设备兼容性，智能讲台书写屏上支持调动智慧屏相关教学功能如一键启动白板、一键启动视频展台等教学软件，实现整机控制，开关机、熄屏，音量加控制、音量减控制等。</w:t>
            </w:r>
            <w:r>
              <w:rPr>
                <w:rFonts w:hint="eastAsia" w:ascii="宋体" w:hAnsi="宋体" w:cs="宋体"/>
                <w:b/>
                <w:bCs/>
                <w:color w:val="auto"/>
                <w:kern w:val="0"/>
                <w:sz w:val="20"/>
                <w:szCs w:val="20"/>
                <w:highlight w:val="none"/>
                <w:lang w:bidi="ar"/>
              </w:rPr>
              <w:t>（此项需提供演示）</w:t>
            </w:r>
          </w:p>
        </w:tc>
        <w:tc>
          <w:tcPr>
            <w:tcW w:w="961" w:type="dxa"/>
            <w:tcBorders>
              <w:top w:val="single" w:color="000000" w:sz="4" w:space="0"/>
              <w:left w:val="single" w:color="000000" w:sz="4" w:space="0"/>
              <w:bottom w:val="single" w:color="000000" w:sz="4" w:space="0"/>
              <w:right w:val="single" w:color="000000" w:sz="4" w:space="0"/>
            </w:tcBorders>
            <w:vAlign w:val="center"/>
          </w:tcPr>
          <w:p w14:paraId="526E9D2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38套</w:t>
            </w:r>
          </w:p>
        </w:tc>
      </w:tr>
      <w:tr w14:paraId="22872C64">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141947A">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595" w:type="dxa"/>
            <w:tcBorders>
              <w:top w:val="single" w:color="000000" w:sz="4" w:space="0"/>
              <w:left w:val="single" w:color="000000" w:sz="4" w:space="0"/>
              <w:bottom w:val="single" w:color="000000" w:sz="4" w:space="0"/>
              <w:right w:val="single" w:color="000000" w:sz="4" w:space="0"/>
            </w:tcBorders>
            <w:vAlign w:val="center"/>
          </w:tcPr>
          <w:p w14:paraId="2FF73603">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讲台1</w:t>
            </w:r>
          </w:p>
        </w:tc>
        <w:tc>
          <w:tcPr>
            <w:tcW w:w="10643" w:type="dxa"/>
            <w:tcBorders>
              <w:top w:val="single" w:color="000000" w:sz="4" w:space="0"/>
              <w:left w:val="single" w:color="000000" w:sz="4" w:space="0"/>
              <w:bottom w:val="single" w:color="000000" w:sz="4" w:space="0"/>
              <w:right w:val="single" w:color="000000" w:sz="4" w:space="0"/>
            </w:tcBorders>
            <w:vAlign w:val="center"/>
          </w:tcPr>
          <w:p w14:paraId="7E8CE14F">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1.钢木结合设计，采用冷轧钢板桌体，桌体金属板厚度0.8~1.5mm，老师接触位置为木质桌面，桌面采用E0级环保高密度板。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2.讲台尺寸设计为长×宽×高：1100×550×1030 ±5mm，环抱老师式设计，根据人体力学设计，讲台桌面高度合适老师放置教学用品。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3.讲台桌面平整，全封闭设计，整体外观圆弧设计，无菱角处理，正面中部受到170N的冲击力时不会倾倒，保护师生安全。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讲台支持标准机柜收纳，支持≥12U的设备收纳放置，收纳空间（含机柜部分）≥965mm×505mm×600mm±5mm，前后门都可以打开，方便设备安装及维护，前门采用旋钮式螺丝设计，易于操作，后门采用双开门式设计，只需要一把钥匙管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5.讲台机柜门采用大面积散热孔设计，易于柜内设备的通风散热，避免设备损坏。</w:t>
            </w:r>
          </w:p>
        </w:tc>
        <w:tc>
          <w:tcPr>
            <w:tcW w:w="961" w:type="dxa"/>
            <w:tcBorders>
              <w:top w:val="single" w:color="000000" w:sz="4" w:space="0"/>
              <w:left w:val="single" w:color="000000" w:sz="4" w:space="0"/>
              <w:bottom w:val="single" w:color="000000" w:sz="4" w:space="0"/>
              <w:right w:val="single" w:color="000000" w:sz="4" w:space="0"/>
            </w:tcBorders>
            <w:vAlign w:val="center"/>
          </w:tcPr>
          <w:p w14:paraId="33E5D793">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38套</w:t>
            </w:r>
          </w:p>
        </w:tc>
      </w:tr>
      <w:tr w14:paraId="2E3DD129">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4689402">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595" w:type="dxa"/>
            <w:tcBorders>
              <w:top w:val="single" w:color="000000" w:sz="4" w:space="0"/>
              <w:left w:val="single" w:color="000000" w:sz="4" w:space="0"/>
              <w:bottom w:val="single" w:color="000000" w:sz="4" w:space="0"/>
              <w:right w:val="single" w:color="000000" w:sz="4" w:space="0"/>
            </w:tcBorders>
            <w:vAlign w:val="center"/>
          </w:tcPr>
          <w:p w14:paraId="16ACCAF5">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讲台2</w:t>
            </w:r>
          </w:p>
        </w:tc>
        <w:tc>
          <w:tcPr>
            <w:tcW w:w="10643" w:type="dxa"/>
            <w:tcBorders>
              <w:top w:val="single" w:color="000000" w:sz="4" w:space="0"/>
              <w:left w:val="single" w:color="000000" w:sz="4" w:space="0"/>
              <w:bottom w:val="single" w:color="000000" w:sz="4" w:space="0"/>
              <w:right w:val="single" w:color="000000" w:sz="4" w:space="0"/>
            </w:tcBorders>
            <w:vAlign w:val="center"/>
          </w:tcPr>
          <w:p w14:paraId="0C9ACF7A">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1.讲桌为钢木结合设计,桌面台面尺寸为长1400mm，宽700mm，桌面离地高度800mm，桌面厚度≥25mm，材质实木颗粒板（环保等级E0）；</w:t>
            </w:r>
          </w:p>
          <w:p w14:paraId="4AB80A5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2.桌板前部具备木纹色围挡设计；</w:t>
            </w:r>
          </w:p>
          <w:p w14:paraId="2F9F0D7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3.桌体采用冷轧钢板,钢版厚度≥1mm。桌腿采用50mm×80mm冷轧方管，厚度≥1mm。表面采用静电喷塑工艺。</w:t>
            </w:r>
          </w:p>
          <w:p w14:paraId="490A33F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4.桌面下部具有抽屉；</w:t>
            </w:r>
          </w:p>
          <w:p w14:paraId="42231C0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5.桌面具有接线盒。内置隐藏式2*小五孔插座、2*USB及1*HDMI。</w:t>
            </w:r>
          </w:p>
          <w:p w14:paraId="072FA0E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讲桌的桌面需设计有一体化的显示器支架，可手动翻转，调节显示器角度。仰角范围：15~60度。支架采用阻尼铰链，具有辅助支撑板。显示器翻转后可任意停留，保持平衡。支架底座具有≥465*30mm的储物空间，可收纳全尺寸键盘。折叠后总高度低，不影响学生观看黑板。</w:t>
            </w:r>
          </w:p>
          <w:p w14:paraId="6DB7B4F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7.讲桌下部具有长×宽×高650mm×600mm×543mm的机柜。机柜容量10U,可适装标准19英寸系列网络、通讯类产品。</w:t>
            </w:r>
          </w:p>
          <w:p w14:paraId="584CB5F1">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8.机柜采用钢木结合设计。柜体顶板木板厚度18mm，钢板厚度≥1mm防水、防磨、耐污、耐刮划、抗氧化、老师接触位置为木质桌面，桌面防静电。</w:t>
            </w:r>
          </w:p>
          <w:p w14:paraId="18FA7528">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9.机柜散热孔位置：正面门板。</w:t>
            </w:r>
          </w:p>
          <w:p w14:paraId="45CDB925">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10.机柜出线孔位置：底部出线。</w:t>
            </w:r>
          </w:p>
          <w:p w14:paraId="361208A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11.机柜前后柜门采用平开打开方式，带机械锁，方便日常维护。</w:t>
            </w:r>
          </w:p>
          <w:p w14:paraId="62A6C9D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12.机柜桌面平整，柜体通风孔设计，保护师生安全。</w:t>
            </w:r>
          </w:p>
          <w:p w14:paraId="5E01B6E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13.讲桌底部装有可固定电脑主机的安装支架，高度宽度可调。</w:t>
            </w:r>
          </w:p>
        </w:tc>
        <w:tc>
          <w:tcPr>
            <w:tcW w:w="961" w:type="dxa"/>
            <w:tcBorders>
              <w:top w:val="single" w:color="000000" w:sz="4" w:space="0"/>
              <w:left w:val="single" w:color="000000" w:sz="4" w:space="0"/>
              <w:bottom w:val="single" w:color="000000" w:sz="4" w:space="0"/>
              <w:right w:val="single" w:color="000000" w:sz="4" w:space="0"/>
            </w:tcBorders>
            <w:vAlign w:val="center"/>
          </w:tcPr>
          <w:p w14:paraId="6E88F8B1">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14套</w:t>
            </w:r>
          </w:p>
        </w:tc>
      </w:tr>
      <w:tr w14:paraId="0361E495">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7BD12881">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6</w:t>
            </w:r>
          </w:p>
        </w:tc>
        <w:tc>
          <w:tcPr>
            <w:tcW w:w="1595" w:type="dxa"/>
            <w:tcBorders>
              <w:top w:val="single" w:color="000000" w:sz="4" w:space="0"/>
              <w:left w:val="single" w:color="000000" w:sz="4" w:space="0"/>
              <w:bottom w:val="single" w:color="000000" w:sz="4" w:space="0"/>
              <w:right w:val="single" w:color="000000" w:sz="4" w:space="0"/>
            </w:tcBorders>
            <w:vAlign w:val="center"/>
          </w:tcPr>
          <w:p w14:paraId="1A66FA6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音柱</w:t>
            </w:r>
          </w:p>
        </w:tc>
        <w:tc>
          <w:tcPr>
            <w:tcW w:w="10643" w:type="dxa"/>
            <w:tcBorders>
              <w:top w:val="single" w:color="000000" w:sz="4" w:space="0"/>
              <w:left w:val="single" w:color="000000" w:sz="4" w:space="0"/>
              <w:bottom w:val="single" w:color="000000" w:sz="4" w:space="0"/>
              <w:right w:val="single" w:color="000000" w:sz="4" w:space="0"/>
            </w:tcBorders>
            <w:vAlign w:val="center"/>
          </w:tcPr>
          <w:p w14:paraId="339641E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1.音柱型设计，使用专业功放搭配音柱实现音量扩声。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2.单音柱具备≥4 个 3”喇叭单元。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3.标准阻抗：8Ω。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4.频率响应：20Hz～20KHz。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5.单音柱额定功率 (RWS) ≥ 120W。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6.单音柱最大功率 (PEAK) ≥240W。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7.灵敏度：95dB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8.最大声压级：120dB。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9.单音柱覆盖角度：水平 120°、垂直 120°。</w:t>
            </w:r>
          </w:p>
        </w:tc>
        <w:tc>
          <w:tcPr>
            <w:tcW w:w="961" w:type="dxa"/>
            <w:tcBorders>
              <w:top w:val="single" w:color="000000" w:sz="4" w:space="0"/>
              <w:left w:val="single" w:color="000000" w:sz="4" w:space="0"/>
              <w:bottom w:val="single" w:color="000000" w:sz="4" w:space="0"/>
              <w:right w:val="single" w:color="000000" w:sz="4" w:space="0"/>
            </w:tcBorders>
            <w:vAlign w:val="center"/>
          </w:tcPr>
          <w:p w14:paraId="7D9E180C">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114只</w:t>
            </w:r>
          </w:p>
        </w:tc>
      </w:tr>
      <w:tr w14:paraId="4B69BABB">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966147F">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7</w:t>
            </w:r>
          </w:p>
        </w:tc>
        <w:tc>
          <w:tcPr>
            <w:tcW w:w="1595" w:type="dxa"/>
            <w:tcBorders>
              <w:top w:val="single" w:color="000000" w:sz="4" w:space="0"/>
              <w:left w:val="single" w:color="000000" w:sz="4" w:space="0"/>
              <w:bottom w:val="single" w:color="000000" w:sz="4" w:space="0"/>
              <w:right w:val="single" w:color="000000" w:sz="4" w:space="0"/>
            </w:tcBorders>
            <w:vAlign w:val="center"/>
          </w:tcPr>
          <w:p w14:paraId="09957AC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功放</w:t>
            </w:r>
          </w:p>
        </w:tc>
        <w:tc>
          <w:tcPr>
            <w:tcW w:w="10643" w:type="dxa"/>
            <w:tcBorders>
              <w:top w:val="single" w:color="000000" w:sz="4" w:space="0"/>
              <w:left w:val="single" w:color="000000" w:sz="4" w:space="0"/>
              <w:bottom w:val="single" w:color="000000" w:sz="4" w:space="0"/>
              <w:right w:val="single" w:color="000000" w:sz="4" w:space="0"/>
            </w:tcBorders>
            <w:vAlign w:val="center"/>
          </w:tcPr>
          <w:p w14:paraId="0772B45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1.支持 LINE IN 接口 ≥2 个，类型为 3.5mm 线性输入接口。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2.支持麦克风输入接口 ≥4 个，类型为 6.35mm 麦克风音频输入接口。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3.支持音频输出接口 ≥4 个，类型为香蕉端子类型。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 RS232接口 ≥ 1 个 ，具备输出音量调节，远程控制开关机功能。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5.输出功率 8Ω 300W*2。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6.MIC 输入灵敏度 50mV。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7.音频信号输入灵敏度 775mV。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8.信噪比 ≥90dB。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9.声音分离度 50dBA。</w:t>
            </w:r>
          </w:p>
        </w:tc>
        <w:tc>
          <w:tcPr>
            <w:tcW w:w="961" w:type="dxa"/>
            <w:tcBorders>
              <w:top w:val="single" w:color="000000" w:sz="4" w:space="0"/>
              <w:left w:val="single" w:color="000000" w:sz="4" w:space="0"/>
              <w:bottom w:val="single" w:color="000000" w:sz="4" w:space="0"/>
              <w:right w:val="single" w:color="000000" w:sz="4" w:space="0"/>
            </w:tcBorders>
            <w:vAlign w:val="center"/>
          </w:tcPr>
          <w:p w14:paraId="041697E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55台</w:t>
            </w:r>
          </w:p>
        </w:tc>
      </w:tr>
      <w:tr w14:paraId="6AB9BCC1">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CDB13E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8</w:t>
            </w:r>
          </w:p>
        </w:tc>
        <w:tc>
          <w:tcPr>
            <w:tcW w:w="1595" w:type="dxa"/>
            <w:tcBorders>
              <w:top w:val="single" w:color="000000" w:sz="4" w:space="0"/>
              <w:left w:val="single" w:color="000000" w:sz="4" w:space="0"/>
              <w:bottom w:val="single" w:color="000000" w:sz="4" w:space="0"/>
              <w:right w:val="single" w:color="000000" w:sz="4" w:space="0"/>
            </w:tcBorders>
            <w:vAlign w:val="center"/>
          </w:tcPr>
          <w:p w14:paraId="2D1E636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无线麦克风</w:t>
            </w:r>
          </w:p>
        </w:tc>
        <w:tc>
          <w:tcPr>
            <w:tcW w:w="10643" w:type="dxa"/>
            <w:tcBorders>
              <w:top w:val="single" w:color="000000" w:sz="4" w:space="0"/>
              <w:left w:val="single" w:color="000000" w:sz="4" w:space="0"/>
              <w:bottom w:val="single" w:color="000000" w:sz="4" w:space="0"/>
              <w:right w:val="single" w:color="000000" w:sz="4" w:space="0"/>
            </w:tcBorders>
            <w:vAlign w:val="center"/>
          </w:tcPr>
          <w:p w14:paraId="40B8D335">
            <w:pPr>
              <w:widowControl/>
              <w:jc w:val="left"/>
              <w:textAlignment w:val="center"/>
              <w:rPr>
                <w:rFonts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麦克风: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1.麦克风支持≥1个3.5mm音频接口，可输入头戴麦音频信号。整机3.5mm音频接口≥2个。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2.麦克风整机≥1个USBType-C接口。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3.麦克风支持≥1个Pogopin接口，支持通过Pogopin接口进行充电。整机Pogopin接口≥2个。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4.麦克风支持≥1个三合一按键，可控制麦克风的开关机、静音和配对。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5.麦克风支持≥2个音量控制按钮，可通过音量“+”“—”按钮控制麦克风输出音量。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6.麦克风单体重量≤30g。</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7.麦克风标配充电仓，方便快速充电及收纳。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8.麦克风充电仓支持电量指示，通过灯珠亮灭数量</w:t>
            </w:r>
            <w:r>
              <w:rPr>
                <w:rFonts w:hint="eastAsia"/>
                <w:color w:val="auto"/>
                <w:highlight w:val="none"/>
              </w:rPr>
              <w:t>显示</w:t>
            </w:r>
            <w:r>
              <w:rPr>
                <w:rFonts w:hint="eastAsia" w:ascii="宋体" w:hAnsi="宋体" w:cs="宋体"/>
                <w:color w:val="auto"/>
                <w:kern w:val="0"/>
                <w:sz w:val="20"/>
                <w:szCs w:val="20"/>
                <w:highlight w:val="none"/>
                <w:lang w:bidi="ar"/>
              </w:rPr>
              <w:t>充电仓剩余电量及充电状态。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9.麦克风支持≥4种佩戴方式。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10.麦克风领夹角度支持自由调节，调节角度≥±90°，以适配不同的使用者衣物；调节至0°位置时会有“卡扣感”,方便回归标准位置。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11.整机标配两个无线麦克风，且两个麦克风支持同时工作。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12.麦克风支持≥2种开机方式，可通过短按按键开机、打开充电仓并取出麦克风自动开机。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13.麦克风支持≥3种关机方式，可通过长按按键关机、长时间无配对或配对后无使用自动关机、麦克风放回充电仓自动关机。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14.麦克风支持≥2种配对方式，可通过麦克风从充电仓拿出自动开始配对、短按按键开始配对，配对完成时间≤5s。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15.麦克风支持≥2种断开连接方式，可通过麦克风放入充电仓自动断开连接、关机自动断开连接。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16.麦克风支持一键开启静音模式。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17.麦克风支持通过音量调节按钮调节输出音量；音量调节过程中通过麦克风一体化屏幕动态提示当前音量等级。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18.麦克风支持音量记忆功能，重启后麦克风恢复关机前的音量等级。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19.麦克风支持息屏时任意按键亮屏；亮屏后10s无按键操作息屏。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20.支持任意两个麦克风放入同一个充电仓完成配对，配对后两个麦克风可同时连接一个接收端。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21.麦克风支持自动重连，当离接收端距离过远时断开连接后，重新返回接收端距离以内能自动重连。</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22.麦克风采用超心型指向。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23.麦克风信噪比≥95dB。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24.麦克风音频采样率≥48000Hz。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25.麦克风音频采样精度≥16bit。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26.麦克风传输频段为2.4G。</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27.支持在空旷环境下，有效传输距离≥100m，无丢包、断连现象，声音清晰、稳定。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28.支持室内使用场景下，穿墙后有效传输距离≥20m，无丢包、断连现象，声音清晰、稳定。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29.支持抗干扰能力，支持自动跳频技术，避免同频干扰问题，同一空间内有多个无线麦克风不会产生相互干扰。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30.支持红外和无线2.4G同时配对。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31.麦克风自带全彩显示屏，支持显示显示麦克风电池电量、麦克风配对状态、麦克风所连接的设备、显示当前麦克风接收声音强度、无线连接信号强度。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32.麦克风电池容量≥180mAh，采用可充电式锂电池，非待机情况下续航时间≥7h。</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充电仓电池容量1500mAh，采用可充电式锂电池，不使用一次性干电池，不造成环境污染。充电仓可将两个麦克风同时从0%～100%充满电2次。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33.麦克风音频编码方式采用LC3plus。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34.支持啸叫抑制算法，本地扩声时不产生啸叫现象。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35.支持降噪功能设置。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36.支持多通道输入混音。</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接收器：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1.支持≥1个USBType-C接口。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2.支持≥1个3.5mmLineout音频输出接口。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3.支持内置状态显示灯，可显示当前接收器工作状态。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4.支持壁挂支架安装、可根据不同安装需求，实现0°或180°安装。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5.供电电压DC≤5V。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6.支持通过录播系统，实现OTA自动升级。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7.支持通过Type-C接口实现手动升级。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8.支持同时连接两个麦克风并工作。</w:t>
            </w:r>
          </w:p>
        </w:tc>
        <w:tc>
          <w:tcPr>
            <w:tcW w:w="961" w:type="dxa"/>
            <w:tcBorders>
              <w:top w:val="single" w:color="000000" w:sz="4" w:space="0"/>
              <w:left w:val="single" w:color="000000" w:sz="4" w:space="0"/>
              <w:bottom w:val="single" w:color="000000" w:sz="4" w:space="0"/>
              <w:right w:val="single" w:color="000000" w:sz="4" w:space="0"/>
            </w:tcBorders>
            <w:vAlign w:val="center"/>
          </w:tcPr>
          <w:p w14:paraId="07C083F6">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54套</w:t>
            </w:r>
          </w:p>
        </w:tc>
      </w:tr>
      <w:tr w14:paraId="098121CB">
        <w:tblPrEx>
          <w:tblCellMar>
            <w:top w:w="0" w:type="dxa"/>
            <w:left w:w="108" w:type="dxa"/>
            <w:bottom w:w="0" w:type="dxa"/>
            <w:right w:w="108" w:type="dxa"/>
          </w:tblCellMar>
        </w:tblPrEx>
        <w:trPr>
          <w:trHeight w:val="78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FEB483F">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9</w:t>
            </w:r>
          </w:p>
        </w:tc>
        <w:tc>
          <w:tcPr>
            <w:tcW w:w="1595" w:type="dxa"/>
            <w:tcBorders>
              <w:top w:val="single" w:color="000000" w:sz="4" w:space="0"/>
              <w:left w:val="single" w:color="000000" w:sz="4" w:space="0"/>
              <w:bottom w:val="single" w:color="000000" w:sz="4" w:space="0"/>
              <w:right w:val="single" w:color="000000" w:sz="4" w:space="0"/>
            </w:tcBorders>
            <w:vAlign w:val="center"/>
          </w:tcPr>
          <w:p w14:paraId="1857DB7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录播主机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7E2444E3">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1.为保证系统整体编解码性能及使用稳定性，主机需采用ARM架构处理器，具备不少于8核CPU，不少于4个主频2.4GHz芯片，且不少于4个主频1.8GHz芯片。采用Linux操作系统。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2.主机噪声小于20dB（A）。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3.主机存储容量不低于1TB。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4.内置蓝牙无线物联模块，主机无需线缆就可以实现对音量控制，也可通过讲台实现对主机开关机控制。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5.支持标准USB音视频信号输出，通过主机一体化TypeC接口可以实现图像和声音输出，输出音频可通过主机控制软件实现混音。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6.主机采用高度集成化设计，能够独立完成视频采集、音频采集、音频编码、视频编码、音频处理、视频处理、直播、录制、互动、远程运维参数设置功能。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7.支持断电扩声，在主机完全断电的情况下，从主机线性音频通道上输入的音频可以从主机输出通道输出，且≥2个音频输入通道可以支持该功能。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2个HDMI高清采集接口，支持分辨率包含：3840×2160p@30Hz、1920×1080p@60Hz、1920×1080p@30Hz、1680×1050p@30Hz、1600×900p@30Hz、1400×1050p@30fps、1280×1024p@30Hz、1280×1024p@60Hz、1280×960p@30Hz、1280×800p@30Hz、1280×720p@60Hz、1280×720p@30Hz、720×480p@60Hz、640×480p@30Hz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9.支持≥1路HDMI输入通道具备音频同步采集能力，可通过系统设置音频采集打开或者关闭。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10.支持≥4路高清视频输出，视频输出可同一时间输出不同视频源，其中HDMI信号输出≥3路且UVC视频输出≥1路。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11.支持≥5个RJ45接口，其中≥3个支持POE，支持≥2个线路信号立体声输入，支持≥2个线性立体声音频输出，可独立设置任意一个输出接口的混音模式。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12.支持≥1个阵列麦克风输入接口，可在不接入音频处理器的情况下，通过一根网线就可以完成2个阵列麦克风接入主机，并支持2个麦克风的供电、音频信号传输、音频参数设置，支持数字音频传输。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13.支持≥16 路 1080p@30fps 编/解码。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14.支持分辨率、码率、帧率设定，支持录制清晰度设定，支持可选择 1080p、720p、VGA、QVGA；支持录制帧率设定，可选择 25fps/30fps/60fps；支持录制画质选择，可选择≥5种等级；录制编码码率≥16Mbps。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15.支持多通道同时录制，支持生成标准 MP4 格式视频文件，支持≥ 7 路 MP4 文件同时录制，支持通过外接鼠标、触控回传、串口控制实现开始、暂停、停止录制。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16.支持≥2种录制视频自动分段模式：支持按照文件大小分段，可选择500MB，1GB，2GB进行分段录制；支持按照录制时长分段，可选择30分钟、60分钟。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17.为确保录制功能稳定，主机需支持网络自检功能，在外接屏幕上显示教室网络状态，包括：服务联通性、网络稳定性、上下行速度、网络追踪性、网卡信息。</w:t>
            </w:r>
            <w:r>
              <w:rPr>
                <w:rFonts w:hint="eastAsia" w:ascii="宋体" w:hAnsi="宋体" w:cs="宋体"/>
                <w:b/>
                <w:bCs/>
                <w:color w:val="auto"/>
                <w:kern w:val="0"/>
                <w:sz w:val="20"/>
                <w:szCs w:val="20"/>
                <w:highlight w:val="none"/>
                <w:lang w:bidi="ar"/>
              </w:rPr>
              <w:t>(此项需提供功能演示）</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18.投标文件中提供上述第1、4、7、10、12项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70AD727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52台</w:t>
            </w:r>
          </w:p>
        </w:tc>
      </w:tr>
      <w:tr w14:paraId="69DF71ED">
        <w:tblPrEx>
          <w:tblCellMar>
            <w:top w:w="0" w:type="dxa"/>
            <w:left w:w="108" w:type="dxa"/>
            <w:bottom w:w="0" w:type="dxa"/>
            <w:right w:w="108" w:type="dxa"/>
          </w:tblCellMar>
        </w:tblPrEx>
        <w:trPr>
          <w:trHeight w:val="1389"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5F175FB">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10</w:t>
            </w:r>
          </w:p>
        </w:tc>
        <w:tc>
          <w:tcPr>
            <w:tcW w:w="1595" w:type="dxa"/>
            <w:tcBorders>
              <w:top w:val="single" w:color="000000" w:sz="4" w:space="0"/>
              <w:left w:val="single" w:color="000000" w:sz="4" w:space="0"/>
              <w:bottom w:val="single" w:color="000000" w:sz="4" w:space="0"/>
              <w:right w:val="single" w:color="000000" w:sz="4" w:space="0"/>
            </w:tcBorders>
            <w:vAlign w:val="center"/>
          </w:tcPr>
          <w:p w14:paraId="436B363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导播系统</w:t>
            </w:r>
          </w:p>
        </w:tc>
        <w:tc>
          <w:tcPr>
            <w:tcW w:w="10643" w:type="dxa"/>
            <w:tcBorders>
              <w:top w:val="single" w:color="000000" w:sz="4" w:space="0"/>
              <w:left w:val="single" w:color="000000" w:sz="4" w:space="0"/>
              <w:bottom w:val="single" w:color="000000" w:sz="4" w:space="0"/>
              <w:right w:val="single" w:color="000000" w:sz="4" w:space="0"/>
            </w:tcBorders>
            <w:vAlign w:val="center"/>
          </w:tcPr>
          <w:p w14:paraId="1043917F">
            <w:pPr>
              <w:widowControl/>
              <w:numPr>
                <w:ilvl w:val="0"/>
                <w:numId w:val="2"/>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自动导播默认画面支持自定义设定，支持选择自动导播画面，可根据需要选择自动导播的画面，可设置自动导播画面的保护时间和保持时间。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支持多种画面模式，支持单画面、画中画、左右等分、三画面、四画面多种画面合成模式，支持自动导播、手动导播，可通过互动录播电脑主机一体化触控屏实现模式选择。</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导播优先级可自定义设定，支持定时切换设置，可自由选择切换时间和切换画面，支持根据学生、老师行为状态实现画面智能切换。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支持课件画面自动检测，可设置检测灵敏度；支持课件画面检测区域设定，可屏蔽电脑弹窗区域。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支持导入与导出互动录播主机配置文件，进行升级和调试。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支持云台摄像机控制，支持 PTZ（云台全方位移动及镜头变倍、变焦），多个预置位设置和调用；同时支持通过鼠标点击画面，实现云台摄像机跟踪，可通过鼠标滑轮实现镜头画面放大缩小。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在导播界面的预览窗口可实时观看教师全景/特写、学生全景/特写、多媒体电脑共五路画面，点击可进行画面切换。预监画面可实时推流给资源平台，实现平台直播。</w:t>
            </w:r>
          </w:p>
          <w:p w14:paraId="028D7245">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9.本系统软件需安装在52台录播主机设备上。</w:t>
            </w:r>
          </w:p>
        </w:tc>
        <w:tc>
          <w:tcPr>
            <w:tcW w:w="961" w:type="dxa"/>
            <w:tcBorders>
              <w:top w:val="single" w:color="000000" w:sz="4" w:space="0"/>
              <w:left w:val="single" w:color="000000" w:sz="4" w:space="0"/>
              <w:bottom w:val="single" w:color="000000" w:sz="4" w:space="0"/>
              <w:right w:val="single" w:color="000000" w:sz="4" w:space="0"/>
            </w:tcBorders>
            <w:vAlign w:val="center"/>
          </w:tcPr>
          <w:p w14:paraId="73C0E73C">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52套</w:t>
            </w:r>
          </w:p>
        </w:tc>
      </w:tr>
      <w:tr w14:paraId="68F27A8E">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3A7BDC0F">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11</w:t>
            </w:r>
          </w:p>
        </w:tc>
        <w:tc>
          <w:tcPr>
            <w:tcW w:w="1595" w:type="dxa"/>
            <w:tcBorders>
              <w:top w:val="single" w:color="000000" w:sz="4" w:space="0"/>
              <w:left w:val="single" w:color="000000" w:sz="4" w:space="0"/>
              <w:bottom w:val="single" w:color="000000" w:sz="4" w:space="0"/>
              <w:right w:val="single" w:color="000000" w:sz="4" w:space="0"/>
            </w:tcBorders>
            <w:vAlign w:val="center"/>
          </w:tcPr>
          <w:p w14:paraId="23204684">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互动系统</w:t>
            </w:r>
          </w:p>
        </w:tc>
        <w:tc>
          <w:tcPr>
            <w:tcW w:w="10643" w:type="dxa"/>
            <w:tcBorders>
              <w:top w:val="single" w:color="000000" w:sz="4" w:space="0"/>
              <w:left w:val="single" w:color="000000" w:sz="4" w:space="0"/>
              <w:bottom w:val="single" w:color="000000" w:sz="4" w:space="0"/>
              <w:right w:val="single" w:color="000000" w:sz="4" w:space="0"/>
            </w:tcBorders>
            <w:vAlign w:val="center"/>
          </w:tcPr>
          <w:p w14:paraId="672647E4">
            <w:pPr>
              <w:widowControl/>
              <w:numPr>
                <w:ilvl w:val="0"/>
                <w:numId w:val="3"/>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同时支持自动连线和手动连线；自动连线模式下，听课端会自动接通来自主讲端的互动请求，可选择设置关闭；手动连线模式下，当主讲端发出呼叫请求后，在外接屏幕上会出现呼叫提醒，用户可选择接听或者挂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支持标准SIP音视频互动协议，支持1080P@60fps视频互动。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支持互动清晰度设置：支持 1080P@60fps，分辨率可选择 1080p、720p、VGA、QVGA，帧率可选择 60fps、30fps、25fps。互动画质可选择极佳、好、一般、流畅四个等级。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支持双流自动发送，设置自动发送后，建立呼叫，主讲教室自动发送双流。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互动录播电脑主机能接收平台下发的互动课表，并显示于外接屏幕上，用户点击课表即可立即加入课堂，进行实时互动。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支持微信扫码登录，无需单独输入账号，使用微信扫描互动录播电脑主机一体化触控屏上显示的二维码即可登录互动系统，登陆后显示用户头像和用户名。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支持手动切换发给远端的画面。支持开启和关闭桌面共享功能。支持通过外接鼠标、触控回传实现音量大小调整、静音。支持互动过程中一键全屏，全屏放大主画面，隐藏所有图标。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互动过程中可随时邀请新的听课端加入，支持拨号呼叫，用户可通过控制外接屏幕上显示的拨号键盘实现拨号呼叫；支持互动通讯录功能，通讯录可显示最近呼叫的账号信息，可通过通讯录实现一键呼叫。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支持一键结束互动，用户可以一键结束互动。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 互动过程中可选择自动导播/手动导播；支持通过 PC 客户端软件进行远程导播控制。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 PC 客户端软件支持进行互动听课端列表查看、发言管理功能。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 无需通过任何第三方软件即可进行网络监测，并在主机外接屏幕上显示教室网络状态；实现对网络联通性、网络稳定性、上行速度、下行速度、网络追踪性、网卡信息实时检测；在一段时间内，支持以折线图方式实时呈现网络稳定性、上行速度和下行速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互动过程中，可以查看当前视频参数，包括视频分辨率、实时上行/下行速率、丢包率和服务厂商信息。</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14.投标文件中提供上述第2、3项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p w14:paraId="1229C2E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15.本系统软件需安装在52台录播主机设备上。</w:t>
            </w:r>
          </w:p>
        </w:tc>
        <w:tc>
          <w:tcPr>
            <w:tcW w:w="961" w:type="dxa"/>
            <w:tcBorders>
              <w:top w:val="single" w:color="000000" w:sz="4" w:space="0"/>
              <w:left w:val="single" w:color="000000" w:sz="4" w:space="0"/>
              <w:bottom w:val="single" w:color="000000" w:sz="4" w:space="0"/>
              <w:right w:val="single" w:color="000000" w:sz="4" w:space="0"/>
            </w:tcBorders>
            <w:vAlign w:val="center"/>
          </w:tcPr>
          <w:p w14:paraId="091FF1A8">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52套</w:t>
            </w:r>
          </w:p>
        </w:tc>
      </w:tr>
      <w:tr w14:paraId="28F52370">
        <w:tblPrEx>
          <w:tblCellMar>
            <w:top w:w="0" w:type="dxa"/>
            <w:left w:w="108" w:type="dxa"/>
            <w:bottom w:w="0" w:type="dxa"/>
            <w:right w:w="108" w:type="dxa"/>
          </w:tblCellMar>
        </w:tblPrEx>
        <w:trPr>
          <w:trHeight w:val="1785"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839E85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12</w:t>
            </w:r>
          </w:p>
        </w:tc>
        <w:tc>
          <w:tcPr>
            <w:tcW w:w="1595" w:type="dxa"/>
            <w:tcBorders>
              <w:top w:val="single" w:color="000000" w:sz="4" w:space="0"/>
              <w:left w:val="single" w:color="000000" w:sz="4" w:space="0"/>
              <w:bottom w:val="single" w:color="000000" w:sz="4" w:space="0"/>
              <w:right w:val="single" w:color="000000" w:sz="4" w:space="0"/>
            </w:tcBorders>
            <w:vAlign w:val="center"/>
          </w:tcPr>
          <w:p w14:paraId="16E3920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视频处理系统</w:t>
            </w:r>
          </w:p>
        </w:tc>
        <w:tc>
          <w:tcPr>
            <w:tcW w:w="10643" w:type="dxa"/>
            <w:tcBorders>
              <w:top w:val="single" w:color="000000" w:sz="4" w:space="0"/>
              <w:left w:val="single" w:color="000000" w:sz="4" w:space="0"/>
              <w:bottom w:val="single" w:color="000000" w:sz="4" w:space="0"/>
              <w:right w:val="single" w:color="000000" w:sz="4" w:space="0"/>
            </w:tcBorders>
            <w:vAlign w:val="center"/>
          </w:tcPr>
          <w:p w14:paraId="2E31D206">
            <w:pPr>
              <w:widowControl/>
              <w:numPr>
                <w:ilvl w:val="0"/>
                <w:numId w:val="4"/>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支持合成1920*1080的PGM画面，包含导播画面、教师全景画面、教师特写画面、学生全景画面、学生特写画面。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2.支持多种类型视频信号接入，支持标准网络视频信号接入、高速数字信号接入。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3.支持通过rtsp协议接入第三方摄像机视频流。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4.支持不少于3种编码复杂度，支持Baseline Profile、Main profile、High profile</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5.支持不少于两种码率控制方式，支持CBR（Constant Bit Rate）、VBR（Variable Bit Rate）。</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6.支持通过网络实现对接入摄像机的设备信息检索。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7.POE视频接入单元支持802.3af标准协议，可实现POE摄像机接入。</w:t>
            </w:r>
          </w:p>
          <w:p w14:paraId="65B7188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8.本系统软件需安装在52台录播主机设备上。</w:t>
            </w:r>
          </w:p>
        </w:tc>
        <w:tc>
          <w:tcPr>
            <w:tcW w:w="961" w:type="dxa"/>
            <w:tcBorders>
              <w:top w:val="single" w:color="000000" w:sz="4" w:space="0"/>
              <w:left w:val="single" w:color="000000" w:sz="4" w:space="0"/>
              <w:bottom w:val="single" w:color="000000" w:sz="4" w:space="0"/>
              <w:right w:val="single" w:color="000000" w:sz="4" w:space="0"/>
            </w:tcBorders>
            <w:vAlign w:val="center"/>
          </w:tcPr>
          <w:p w14:paraId="7FCD215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52套</w:t>
            </w:r>
          </w:p>
        </w:tc>
      </w:tr>
      <w:tr w14:paraId="5CBCBF5D">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73F002B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13</w:t>
            </w:r>
          </w:p>
        </w:tc>
        <w:tc>
          <w:tcPr>
            <w:tcW w:w="1595" w:type="dxa"/>
            <w:tcBorders>
              <w:top w:val="single" w:color="000000" w:sz="4" w:space="0"/>
              <w:left w:val="single" w:color="000000" w:sz="4" w:space="0"/>
              <w:bottom w:val="single" w:color="000000" w:sz="4" w:space="0"/>
              <w:right w:val="single" w:color="000000" w:sz="4" w:space="0"/>
            </w:tcBorders>
            <w:vAlign w:val="center"/>
          </w:tcPr>
          <w:p w14:paraId="0C48A9C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远程互动课堂软件</w:t>
            </w:r>
          </w:p>
        </w:tc>
        <w:tc>
          <w:tcPr>
            <w:tcW w:w="10643" w:type="dxa"/>
            <w:tcBorders>
              <w:top w:val="single" w:color="000000" w:sz="4" w:space="0"/>
              <w:left w:val="single" w:color="000000" w:sz="4" w:space="0"/>
              <w:bottom w:val="single" w:color="000000" w:sz="4" w:space="0"/>
              <w:right w:val="single" w:color="000000" w:sz="4" w:space="0"/>
            </w:tcBorders>
            <w:vAlign w:val="center"/>
          </w:tcPr>
          <w:p w14:paraId="79C83C74">
            <w:pPr>
              <w:widowControl/>
              <w:numPr>
                <w:ilvl w:val="0"/>
                <w:numId w:val="5"/>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【电脑端】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1.支持微信扫码登录，无需输入帐号密码即可实现登录，用户可便捷、快速进入课堂。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2.支持显示预约的活动信息，包括直播活动、互动课堂、网络教研的活动类型、活动名称、活动时间、活动状态及对应授课老师。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3.支持搭配录播主机，进入录制视频、直播活动、互动课堂、网络教研活动。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4.支持修改自动导播设置，可设置参与自动导播的画面。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5.支持用户通过直播链接，观看已结束的直播活动视频，视频在云端保存七天，并支持下载MP4格式到本地。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6.支持直接创建网络教研，即时生成教研二维码，扫码可进行查看教研简介、发送点评等。无需通过平台进行提前预约。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7.支持授课过程中老师任意放大某一端的画面，该将该听课端画面进行全屏显示。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8.可查看参与互动的教室网络连接情况，了解彼此的设备网络环境，房间内所有成员都能查看到每个上台成员的网络情况，支持由低到高至少4档位的信号展示。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美颜功能，美化课堂人物效果。对本地摄像头画面进行美颜处理，并显示对应的实时画面，方便教师查看美颜效果；支持对比控制，显示无美颜和美颜后的画面效果；支持一键美颜，通过滚动条快速调节美颜深度；至少支持自定义8个美颜项目（美白、磨皮、瘦脸、大眼、祛眼袋、祛法令纹、清晰、亮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为实现录播设备的多功能应用，录播主机能与智慧屏实现联动；支持无绿幕虚拟抠像功能，方便教师更换画面背景，突出人物；对本地摄像头画面进行虚拟背景处理，并显示对应的实时画面，方便教师查看虚拟背景效果；支持对比控制，显示无虚拟背景和虚拟背景后的画面效果；支持背景虚化和更换背景；提供不少于3个默认背景图；支持添加本地图片设置为背景图。</w:t>
            </w:r>
            <w:r>
              <w:rPr>
                <w:rFonts w:hint="eastAsia" w:ascii="宋体" w:hAnsi="宋体" w:cs="宋体"/>
                <w:b/>
                <w:bCs/>
                <w:color w:val="auto"/>
                <w:kern w:val="0"/>
                <w:sz w:val="20"/>
                <w:szCs w:val="20"/>
                <w:highlight w:val="none"/>
                <w:lang w:bidi="ar"/>
              </w:rPr>
              <w:t>(此项需提供演示)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11.在互动课堂与网络教研时，支持不少于3种角色实时切换。主持人可将课中任一成员设置为授课老师、学生。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12.支持生成拍照上传二维码，使用手机微信扫码后，可直接拍照或选择手机相册的照片，实时上传至授课端，听课端同步显示照片内容。支持授权授课老师与听课成员的对照片进行拖动、放大、批注操作。</w:t>
            </w:r>
            <w:r>
              <w:rPr>
                <w:rFonts w:hint="eastAsia" w:ascii="宋体" w:hAnsi="宋体" w:cs="宋体"/>
                <w:b/>
                <w:bCs/>
                <w:color w:val="auto"/>
                <w:kern w:val="0"/>
                <w:sz w:val="20"/>
                <w:szCs w:val="20"/>
                <w:highlight w:val="none"/>
                <w:lang w:bidi="ar"/>
              </w:rPr>
              <w:t>（投标文件中提供此项</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，未提供证明材料或者低于该技术指标的，视为该项负偏离。）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画板同步：授课过程中支持用户调起画板工具，提供不少于4种书写工具和14种基础颜色；提供调色板功能，可选择任意基础颜色进行混合产生新的颜色；画板工具中所有功能均可在授课老师以及各听课成员端同步操作，且可同时独立调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14.授课过程中支持用户调起乐器工具，提供虚拟键盘，不少于36个琴键，授课老师弹奏的内容可同步到所有听课成员；听课成员也可弹奏并反向同步给所有授课老师及其他听课成员。</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15.支持互动课堂中可对本地班级、听课班级中表现好的班级发送点评奖励，每堂课可统计各班点评总分，并在课上一键展示最高得分的班级进行表扬。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二、【移动端】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1.为保证APP安全性，需通过官方应用商城进行下载并安装。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2.APP支持用户修改个人头像、昵称及学科学段。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3.APP支持通过手机号或房间号加入互动课堂以及网络教研。</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APP支持创建“互动课堂”活动。创建过程中，可填写活动名称、学科、时间、授课教师、班级等基础信息。同时支持扩展更多设置，选择活动对应教室，设计活动封面，添加图文介绍，设置签到方式以及参与人权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5.APP支持在互动过程中，开启文字对话框，并通过文字进行留言讨论。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6.APP支持在互动过程中，添加答题器，可选择正确答案，可选答案不少于8个。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7.APP支持观看“互动课堂”课后报告，可查看互动数据、直播数据。</w:t>
            </w:r>
          </w:p>
          <w:p w14:paraId="3DE15EAE">
            <w:pPr>
              <w:widowControl/>
              <w:numPr>
                <w:ilvl w:val="0"/>
                <w:numId w:val="0"/>
              </w:numPr>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8.主要功能通过H5方式对接统一身份认证后接入学校移动端门户。</w:t>
            </w:r>
          </w:p>
          <w:p w14:paraId="52A4D143">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三、本系统软件需安装在52台录播主机设备上。</w:t>
            </w:r>
          </w:p>
        </w:tc>
        <w:tc>
          <w:tcPr>
            <w:tcW w:w="961" w:type="dxa"/>
            <w:tcBorders>
              <w:top w:val="single" w:color="000000" w:sz="4" w:space="0"/>
              <w:left w:val="single" w:color="000000" w:sz="4" w:space="0"/>
              <w:bottom w:val="single" w:color="000000" w:sz="4" w:space="0"/>
              <w:right w:val="single" w:color="000000" w:sz="4" w:space="0"/>
            </w:tcBorders>
            <w:vAlign w:val="center"/>
          </w:tcPr>
          <w:p w14:paraId="781E0C98">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52套</w:t>
            </w:r>
          </w:p>
        </w:tc>
      </w:tr>
      <w:tr w14:paraId="2CCFF4C0">
        <w:tblPrEx>
          <w:tblCellMar>
            <w:top w:w="0" w:type="dxa"/>
            <w:left w:w="108" w:type="dxa"/>
            <w:bottom w:w="0" w:type="dxa"/>
            <w:right w:w="108" w:type="dxa"/>
          </w:tblCellMar>
        </w:tblPrEx>
        <w:trPr>
          <w:trHeight w:val="9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FF53954">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14</w:t>
            </w:r>
          </w:p>
        </w:tc>
        <w:tc>
          <w:tcPr>
            <w:tcW w:w="1595" w:type="dxa"/>
            <w:tcBorders>
              <w:top w:val="single" w:color="000000" w:sz="4" w:space="0"/>
              <w:left w:val="single" w:color="000000" w:sz="4" w:space="0"/>
              <w:bottom w:val="single" w:color="000000" w:sz="4" w:space="0"/>
              <w:right w:val="single" w:color="000000" w:sz="4" w:space="0"/>
            </w:tcBorders>
            <w:vAlign w:val="center"/>
          </w:tcPr>
          <w:p w14:paraId="2F2BA43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教师摄像机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77668DC2">
            <w:pPr>
              <w:widowControl/>
              <w:jc w:val="left"/>
              <w:textAlignment w:val="center"/>
              <w:rPr>
                <w:rFonts w:ascii="宋体" w:hAnsi="宋体" w:cs="宋体"/>
                <w:color w:val="auto"/>
                <w:szCs w:val="21"/>
                <w:highlight w:val="none"/>
              </w:rPr>
            </w:pPr>
            <w:r>
              <w:rPr>
                <w:rFonts w:hint="eastAsia" w:ascii="宋体" w:hAnsi="宋体" w:cs="宋体"/>
                <w:b/>
                <w:bCs/>
                <w:color w:val="auto"/>
                <w:kern w:val="0"/>
                <w:sz w:val="20"/>
                <w:szCs w:val="20"/>
                <w:highlight w:val="none"/>
                <w:lang w:bidi="ar"/>
              </w:rPr>
              <w:t>硬件参数：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1.采用全景特写双镜头，全景镜头水平视场角≥40°，特写镜头水平视场角≥20°，搭配隐藏式云台，保证清晰度的同时，也减小对课堂的干扰。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2.为保证拍摄画面效果，采用低畸变设计，全景畸变≤±1%，特写畸变≤±1%。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3.摄像机接口支持RJ45接口≥1路，Type-C接口≥1路，Line in接口≥1路。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4.支持POE有线网络供电，只需要1路网线，即可实现供电及信号传输，支持同时输出特写和全景等多路画面。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5.传感器尺寸 CMOS ≥ 1/2.8英寸，全景图像传感器有效像素≥400万，特写图像传感器有效像素≥800万。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6.主码流分辨率：3840x2160, 1920x1080, 1280x720, 1024x576, 720x480, 640x360, 480x272, 320x240, 320x180。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7.辅码流分辨率：2880x1620, 1920x1080, 1280x720, 1024x576, 960x540, 640x480, 640x360, 320x240, 320x180。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8.支持2D&amp;3D数字降噪，信噪比≥55dB。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9.支持标准USB音视频信号输出，可以同时支持UVC和UAC协议，通过主机TypeC接口可以实现图像和声音同步输出，最大支持4K@30fps输出，兼容主流视频会议软件。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10.为确保运行稳定，使用平均无故障运行时间(MTBF)应≥250000小时。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11.为保证产品稳定性，教师摄像机需与录播主机兼容。</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12.投标文件中提供上述第2、5、10项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软件参数：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1.摄像机内嵌智能跟踪算法，无需单独安装定位跟踪主机及其他任何辅助拍摄设备，即可实现跟踪定位控制功能。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2.系统应采用智能图像识别算法，高清摄像机同时输出2路场景画面并分析计算，实现1台摄像机的2景位拍摄，通过导播跟踪系统，实现所有画面的自动导播切换：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3.支持设置摄像机分辨率、帧率、码率。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4.支持设置摄像机亮度、饱和度、对比度、锐度、色度、快门速度。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5.产品设备在双向互动过程中，在系统总丢包率 50%的网络环境下，视频清晰流畅无卡顿，语音连贯。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6.支持对摄像机网络进行管理，包括设置IP地址/网关/DNS等，支持组播协议搜索IP地址，并修改摄像机IP。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7.支持RTMP推流、RTSP拉流、ONVIF协议、GB28181协议。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8.支持跟随模式、混合模式、双镜模式、三预置位等多种导播模式。</w:t>
            </w:r>
          </w:p>
        </w:tc>
        <w:tc>
          <w:tcPr>
            <w:tcW w:w="961" w:type="dxa"/>
            <w:tcBorders>
              <w:top w:val="single" w:color="000000" w:sz="4" w:space="0"/>
              <w:left w:val="single" w:color="000000" w:sz="4" w:space="0"/>
              <w:bottom w:val="single" w:color="000000" w:sz="4" w:space="0"/>
              <w:right w:val="single" w:color="000000" w:sz="4" w:space="0"/>
            </w:tcBorders>
            <w:vAlign w:val="center"/>
          </w:tcPr>
          <w:p w14:paraId="4A2E248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50台</w:t>
            </w:r>
          </w:p>
        </w:tc>
      </w:tr>
      <w:tr w14:paraId="283A2569">
        <w:tblPrEx>
          <w:tblCellMar>
            <w:top w:w="0" w:type="dxa"/>
            <w:left w:w="108" w:type="dxa"/>
            <w:bottom w:w="0" w:type="dxa"/>
            <w:right w:w="108" w:type="dxa"/>
          </w:tblCellMar>
        </w:tblPrEx>
        <w:trPr>
          <w:trHeight w:val="9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87D7A8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15</w:t>
            </w:r>
          </w:p>
        </w:tc>
        <w:tc>
          <w:tcPr>
            <w:tcW w:w="1595" w:type="dxa"/>
            <w:tcBorders>
              <w:top w:val="single" w:color="000000" w:sz="4" w:space="0"/>
              <w:left w:val="single" w:color="000000" w:sz="4" w:space="0"/>
              <w:bottom w:val="single" w:color="000000" w:sz="4" w:space="0"/>
              <w:right w:val="single" w:color="000000" w:sz="4" w:space="0"/>
            </w:tcBorders>
            <w:vAlign w:val="center"/>
          </w:tcPr>
          <w:p w14:paraId="32E58A1F">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学生摄像机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0CBAF27B">
            <w:pPr>
              <w:widowControl/>
              <w:jc w:val="left"/>
              <w:textAlignment w:val="center"/>
              <w:rPr>
                <w:rFonts w:ascii="宋体" w:hAnsi="宋体" w:cs="宋体"/>
                <w:color w:val="auto"/>
                <w:szCs w:val="21"/>
                <w:highlight w:val="none"/>
              </w:rPr>
            </w:pPr>
            <w:r>
              <w:rPr>
                <w:rFonts w:hint="eastAsia" w:ascii="宋体" w:hAnsi="宋体" w:cs="宋体"/>
                <w:b/>
                <w:bCs/>
                <w:color w:val="auto"/>
                <w:kern w:val="0"/>
                <w:sz w:val="20"/>
                <w:szCs w:val="20"/>
                <w:highlight w:val="none"/>
                <w:lang w:bidi="ar"/>
              </w:rPr>
              <w:t>硬件参数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1.采用全景特写双镜头，全景镜头水平视场角≥110°，特写镜头水平视场角≥40°。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2.摄像机采用一体化集成设计，支持4K超高清，可提供≥3840×2160图像分辨率同时向下兼容。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3.内置图像识别跟踪算法，搭配隐藏式云台，保证清晰度的同时，也减小对课堂的干扰。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4.为保证拍摄画面效果，采用低畸变设计，全景畸变≤±2.5%，特写畸变≤±1%。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5.摄像机接口支持RJ45接口≥1路，Type-C接口≥1路，Line in接口≥1路。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6.支持POE有线网络供电，只需要1路网线，即可实现供电及信号传输，支持同时输出特写和全景等多路画面。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7.传感器尺寸 CMOS ≥ 1/2.8英寸。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8.全景图像传感器有效像素≥400万，特写图像传感器有效像素≥800万。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9.摄像机采用逐行扫描方式，支持自动白平衡。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10.支持2D&amp;3D数字降噪，信噪比≥55dB。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11.支持H.264、H.265、MJPEG视频编码格式。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12.摄像机支持≥6种网络流传输协议。</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软件参数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1.摄像机内嵌智能跟踪算法，无需单独安装定位跟踪主机及其他任何辅助拍摄设备，即可实现跟踪定位控制功能。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2.系统应采用智能图像识别算法，高清摄像机同时输出2路场景画面并分析计算，实现1台摄像机的2景位拍摄，通过导播跟踪系统，实现所有画面的自动导播切换：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3.支持设置摄像机分辨率、帧率、码率。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4.支持设置摄像机亮度、饱和度、对比度、锐度、色度、快门速度。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5.图像支持垂直翻转、水平翻转，默认不开启。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6.支持对摄像机网络进行管理，包括设置IP地址/网关/DNS等，支持组播协议搜索IP地址，并修改摄像机IP。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7.支持至少1个六边形导播跟踪区划定。</w:t>
            </w:r>
          </w:p>
        </w:tc>
        <w:tc>
          <w:tcPr>
            <w:tcW w:w="961" w:type="dxa"/>
            <w:tcBorders>
              <w:top w:val="single" w:color="000000" w:sz="4" w:space="0"/>
              <w:left w:val="single" w:color="000000" w:sz="4" w:space="0"/>
              <w:bottom w:val="single" w:color="000000" w:sz="4" w:space="0"/>
              <w:right w:val="single" w:color="000000" w:sz="4" w:space="0"/>
            </w:tcBorders>
            <w:vAlign w:val="center"/>
          </w:tcPr>
          <w:p w14:paraId="012DB35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52台</w:t>
            </w:r>
          </w:p>
        </w:tc>
      </w:tr>
      <w:tr w14:paraId="2E3F30AF">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63340C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16</w:t>
            </w:r>
          </w:p>
        </w:tc>
        <w:tc>
          <w:tcPr>
            <w:tcW w:w="1595" w:type="dxa"/>
            <w:tcBorders>
              <w:top w:val="single" w:color="000000" w:sz="4" w:space="0"/>
              <w:left w:val="single" w:color="000000" w:sz="4" w:space="0"/>
              <w:bottom w:val="single" w:color="000000" w:sz="4" w:space="0"/>
              <w:right w:val="single" w:color="000000" w:sz="4" w:space="0"/>
            </w:tcBorders>
            <w:vAlign w:val="center"/>
          </w:tcPr>
          <w:p w14:paraId="2D66DF6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教师云台摄像机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50CD537B">
            <w:pPr>
              <w:widowControl/>
              <w:jc w:val="left"/>
              <w:textAlignment w:val="center"/>
              <w:rPr>
                <w:rFonts w:ascii="宋体" w:hAnsi="宋体" w:cs="宋体"/>
                <w:color w:val="auto"/>
                <w:szCs w:val="21"/>
                <w:highlight w:val="none"/>
              </w:rPr>
            </w:pPr>
            <w:r>
              <w:rPr>
                <w:rFonts w:hint="eastAsia" w:ascii="宋体" w:hAnsi="宋体" w:cs="宋体"/>
                <w:b/>
                <w:bCs/>
                <w:color w:val="auto"/>
                <w:kern w:val="0"/>
                <w:sz w:val="20"/>
                <w:szCs w:val="20"/>
                <w:highlight w:val="none"/>
                <w:lang w:bidi="ar"/>
              </w:rPr>
              <w:t>一、硬件系统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传感器尺寸≥CMOS 1/2.8英寸。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传感器有效像素≥800万。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支持≥40倍变焦。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扫描方式：逐行。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支持畸变矫正功能，畸变≤±0.5%。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亮度灵敏度≤0.2Lx @ (F1.8, AGC ON)。</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镜头： F1.82 ~ F2.78。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快门： 1/30s ~ 1/10000s。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支持自动白平衡功能。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 支持背光补偿功能。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 支持图像冻结功能。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 支持POE供电。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 支持2D&amp;3D数字降噪，信噪比58 dB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 支持预置位个数≥255个，预置位精度≤0.1°。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 支持水平翻转、垂直翻转，水平转动范围：±170°，垂直转动范围：-30°~+90°。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 支持水平视场角≥75°。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 支持水平转动速度≥100°/s，垂直转动速度≥69°/s。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 为确保运行稳定，使用平均无故障运行时间(MTBF)≥25万小时。</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二、软件系统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 设备采用ARM硬件架构，linux操作系统。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 支持≥4种编码等级，包含baseline、mainprofile、highprofile、svc-t。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 支持AAC、G711A两种音频编码格式。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 支持TCP/IP, HTTP, RTSP, RTMP, Onvif, DHCP, 组播等网络协议。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 支持设置摄像机分辨率、帧率、码率。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 支持设置摄像机亮度、饱和度、对比度、锐度、色度、快门速度。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 支持图像左右镜像、上下翻转。</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 支持对摄像机网络进行管理，包括设置IP地址/网关/DNS等，支持组播协议搜索IP地址，并修改摄像机IP。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支持RTMP推流，RTSP拉流，地址可设置。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10.支持ONVIF协议，可预览ONVIF画面。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11.支持GB28181协议。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12.支持演讲者模式、学生全景模式、学生特写模式、教师全景模式、教师特写模式、板书模式6种模式切换。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13.支持人脸检测、人形检测AI算法。</w:t>
            </w:r>
          </w:p>
        </w:tc>
        <w:tc>
          <w:tcPr>
            <w:tcW w:w="961" w:type="dxa"/>
            <w:tcBorders>
              <w:top w:val="single" w:color="000000" w:sz="4" w:space="0"/>
              <w:left w:val="single" w:color="000000" w:sz="4" w:space="0"/>
              <w:bottom w:val="single" w:color="000000" w:sz="4" w:space="0"/>
              <w:right w:val="single" w:color="000000" w:sz="4" w:space="0"/>
            </w:tcBorders>
            <w:vAlign w:val="center"/>
          </w:tcPr>
          <w:p w14:paraId="72074E9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2台</w:t>
            </w:r>
          </w:p>
        </w:tc>
      </w:tr>
      <w:tr w14:paraId="6300CAE1">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73D1255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17</w:t>
            </w:r>
          </w:p>
        </w:tc>
        <w:tc>
          <w:tcPr>
            <w:tcW w:w="1595" w:type="dxa"/>
            <w:tcBorders>
              <w:top w:val="single" w:color="000000" w:sz="4" w:space="0"/>
              <w:left w:val="single" w:color="000000" w:sz="4" w:space="0"/>
              <w:bottom w:val="single" w:color="000000" w:sz="4" w:space="0"/>
              <w:right w:val="single" w:color="000000" w:sz="4" w:space="0"/>
            </w:tcBorders>
            <w:vAlign w:val="center"/>
          </w:tcPr>
          <w:p w14:paraId="0A744A64">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全向麦克风</w:t>
            </w:r>
          </w:p>
        </w:tc>
        <w:tc>
          <w:tcPr>
            <w:tcW w:w="10643" w:type="dxa"/>
            <w:tcBorders>
              <w:top w:val="single" w:color="000000" w:sz="4" w:space="0"/>
              <w:left w:val="single" w:color="000000" w:sz="4" w:space="0"/>
              <w:bottom w:val="single" w:color="000000" w:sz="4" w:space="0"/>
              <w:right w:val="single" w:color="000000" w:sz="4" w:space="0"/>
            </w:tcBorders>
            <w:vAlign w:val="center"/>
          </w:tcPr>
          <w:p w14:paraId="456B78C4">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1.麦克风采用≥4核的音频芯片。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2.麦克风频率响应范围不低于50Hz~16KHz。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3.麦克风拾音半径≥8m，信噪比≥68dB，声压级≥130dBSPL，10%THD@1 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4.麦克风无需额外适配器供电，能够通过网线实现麦克风供电、音频信号传输、参数调整。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5.麦克风具备≥1个状态指示灯，可显示麦克风工作状态。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6.麦克风采用标准1/4吋螺口，适配各种类型标准吊杆。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7.麦克风支持≥2个数字音频接口，支持盲插。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8.麦克风内置≥8个传感器单元。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9.麦克风支持在线OTA，可在线对麦克风进行升级，无需人员现场维护。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10.麦克风支持降噪、回声抵消、混响抑制、自动增益控制、多麦融合多种音频算法。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11.麦克风支持数字音频传输。</w:t>
            </w:r>
          </w:p>
        </w:tc>
        <w:tc>
          <w:tcPr>
            <w:tcW w:w="961" w:type="dxa"/>
            <w:tcBorders>
              <w:top w:val="single" w:color="000000" w:sz="4" w:space="0"/>
              <w:left w:val="single" w:color="000000" w:sz="4" w:space="0"/>
              <w:bottom w:val="single" w:color="000000" w:sz="4" w:space="0"/>
              <w:right w:val="single" w:color="000000" w:sz="4" w:space="0"/>
            </w:tcBorders>
            <w:vAlign w:val="center"/>
          </w:tcPr>
          <w:p w14:paraId="74C7676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w:t>
            </w:r>
            <w:r>
              <w:rPr>
                <w:rFonts w:hint="eastAsia" w:ascii="宋体" w:hAnsi="宋体" w:cs="宋体"/>
                <w:color w:val="auto"/>
                <w:kern w:val="0"/>
                <w:szCs w:val="21"/>
                <w:highlight w:val="none"/>
                <w:lang w:bidi="ar"/>
              </w:rPr>
              <w:t>套</w:t>
            </w:r>
          </w:p>
        </w:tc>
      </w:tr>
      <w:tr w14:paraId="2BAAF9C9">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37F9D50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18</w:t>
            </w:r>
          </w:p>
        </w:tc>
        <w:tc>
          <w:tcPr>
            <w:tcW w:w="1595" w:type="dxa"/>
            <w:tcBorders>
              <w:top w:val="single" w:color="000000" w:sz="4" w:space="0"/>
              <w:left w:val="single" w:color="000000" w:sz="4" w:space="0"/>
              <w:bottom w:val="single" w:color="000000" w:sz="4" w:space="0"/>
              <w:right w:val="single" w:color="000000" w:sz="4" w:space="0"/>
            </w:tcBorders>
            <w:vAlign w:val="center"/>
          </w:tcPr>
          <w:p w14:paraId="439A281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中控主机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1D5FA5F9">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1.机身高度不超过1U。</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2.HDMI视频输入接口≥4个，HDMI输出接口≥4个，支持HDMI矩阵功能，HDMI输入输出分辨率均不低于4K@30Hz。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3.HDMI支持音视频分离能力，支持HDMI信号内的音频，自动分离到音频模块，方便连接外置功放音箱设备。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4.具备3.5mm音频输入口≥2个，3.5mm音频输出接口≥2个。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5.支持音频输入和HDMI音频混音后从音频输出口输出，支持在本地及远程对输出总音量进行调节。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6.具备1路幕布升降控制电源，可直接控制幕布升降，并采用防脱落电源插口。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2路220V国标受控电源，每路电源具备时序供电、断电管理。可分别设置受控电源接口的供电、断电顺序及延迟时间，实现投影机、计算机等设备系统正常关机后才切断设备电源，避免强制断电对设备造成损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8.具备RS232接口≥6个，具备RS485接口≥2个；每个接口均独立逻辑可编程，支持延时发码、组合串口控制指令下发，支持波特率、校验位自定义。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9.支持仅通过1路POE网络接口，实现主机与面板的通讯与供电。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10.主机正面面板具备≥4颗指示灯，可实时查看主机的状态，包括：网络、串口通讯、时序电源，总电源；≥1路type-c接口，可实现通过电脑对中控主机的快捷调试。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11.支持用户在后台端通过局域网络在线配置中控各控制接口上的控制码发码指令。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12.采用超静音无风扇设计。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13.麦克风输入接口≥1路，支持幻象供电。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14.内置千兆交换机，接口数量≥5路；</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15.投标文件中提供上述第9、10项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0B1A2E34">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w:t>
            </w:r>
            <w:r>
              <w:rPr>
                <w:rFonts w:hint="eastAsia" w:ascii="宋体" w:hAnsi="宋体" w:cs="宋体"/>
                <w:color w:val="auto"/>
                <w:kern w:val="0"/>
                <w:szCs w:val="21"/>
                <w:highlight w:val="none"/>
                <w:lang w:bidi="ar"/>
              </w:rPr>
              <w:t>台</w:t>
            </w:r>
          </w:p>
        </w:tc>
      </w:tr>
      <w:tr w14:paraId="231A4687">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0C488E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19</w:t>
            </w:r>
          </w:p>
        </w:tc>
        <w:tc>
          <w:tcPr>
            <w:tcW w:w="1595" w:type="dxa"/>
            <w:tcBorders>
              <w:top w:val="single" w:color="000000" w:sz="4" w:space="0"/>
              <w:left w:val="single" w:color="000000" w:sz="4" w:space="0"/>
              <w:bottom w:val="single" w:color="000000" w:sz="4" w:space="0"/>
              <w:right w:val="single" w:color="000000" w:sz="4" w:space="0"/>
            </w:tcBorders>
            <w:vAlign w:val="center"/>
          </w:tcPr>
          <w:p w14:paraId="4A9CB96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中控面板</w:t>
            </w:r>
          </w:p>
        </w:tc>
        <w:tc>
          <w:tcPr>
            <w:tcW w:w="10643" w:type="dxa"/>
            <w:tcBorders>
              <w:top w:val="single" w:color="000000" w:sz="4" w:space="0"/>
              <w:left w:val="single" w:color="000000" w:sz="4" w:space="0"/>
              <w:bottom w:val="single" w:color="000000" w:sz="4" w:space="0"/>
              <w:right w:val="single" w:color="000000" w:sz="4" w:space="0"/>
            </w:tcBorders>
            <w:vAlign w:val="center"/>
          </w:tcPr>
          <w:p w14:paraId="06484A4F">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1．内置IC卡刷卡器，支持14443协议 A and B标准。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2．内置高灵敏度全向麦克风，拾音半径≥1米。内置双喇叭设计，功率≥1W*2。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3．内置摄像头，摄像头分辨率≥1600*1200。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4．采用≥10.1英寸电容显示屏，采用全贴合电容触控屏幕，显示效果更佳。支持10点触控，屏幕分辨率≥1920*1200。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5．整机表面覆盖钢化玻璃，硬度≥9H，具备防眩光效果。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6．整机CPU≥4核，最高主频≥1.8G，Linux系统。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7．系统运行内存≥2GB，存储容量≥32GB。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8．整机接口：RS232≥2，DC2.0≥1，Type-C≥1，RJ45（带POE功能）≥1。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9．支持≥2种供电方式，包括但不限于适配器供电、中控主机POE接口供电。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10．情景模式可配置需要开启或关闭的设备，基于不同授课需求，可配置多场景下教室设备的开关情景模式。上课情景模式≥4种，下课情景模式≥1种。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11．支持≥12个自定义功能按钮设置，自定义配置已连接的设备开关等操控功能。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12．支持≥3种身份鉴权方式，包括刷卡鉴权、人脸识别鉴权、扫码鉴权。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13．支持通过网络方式与小组互动软件系统进行连接，实现小组互动功能管控，包括投屏、广播和分享等功能。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14．支持通过网络方式无需接入控制录播设备，包括显示和切换≥5个机位的画面，一键启停录制、启停直播。</w:t>
            </w:r>
            <w:r>
              <w:rPr>
                <w:rFonts w:hint="eastAsia" w:ascii="宋体" w:hAnsi="宋体" w:cs="宋体"/>
                <w:b/>
                <w:bCs/>
                <w:color w:val="auto"/>
                <w:kern w:val="0"/>
                <w:sz w:val="20"/>
                <w:szCs w:val="20"/>
                <w:highlight w:val="none"/>
                <w:lang w:bidi="ar"/>
              </w:rPr>
              <w:t>（此项需提供功能演示)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15．支持无触控操作后自动息屏，支持配置1至120秒的自动息屏时间。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16．支持断网运行，设备断网后进入本地控制模式，不影响本地教学及控制。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17．支持与中控平台实现远程IP对讲功能。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18．支持中控平台远程推送中控固件及UI更新。</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19．投标文件中提供上述第7、9项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4AA21DC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52</w:t>
            </w:r>
            <w:r>
              <w:rPr>
                <w:rFonts w:hint="eastAsia" w:ascii="宋体" w:hAnsi="宋体" w:cs="宋体"/>
                <w:color w:val="auto"/>
                <w:kern w:val="0"/>
                <w:szCs w:val="21"/>
                <w:highlight w:val="none"/>
                <w:lang w:bidi="ar"/>
              </w:rPr>
              <w:t>台</w:t>
            </w:r>
          </w:p>
        </w:tc>
      </w:tr>
      <w:tr w14:paraId="277FCDE0">
        <w:tblPrEx>
          <w:tblCellMar>
            <w:top w:w="0" w:type="dxa"/>
            <w:left w:w="108" w:type="dxa"/>
            <w:bottom w:w="0" w:type="dxa"/>
            <w:right w:w="108" w:type="dxa"/>
          </w:tblCellMar>
        </w:tblPrEx>
        <w:trPr>
          <w:trHeight w:val="92"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43081DA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20</w:t>
            </w:r>
          </w:p>
        </w:tc>
        <w:tc>
          <w:tcPr>
            <w:tcW w:w="1595" w:type="dxa"/>
            <w:tcBorders>
              <w:top w:val="single" w:color="000000" w:sz="4" w:space="0"/>
              <w:left w:val="single" w:color="000000" w:sz="4" w:space="0"/>
              <w:bottom w:val="single" w:color="000000" w:sz="4" w:space="0"/>
              <w:right w:val="single" w:color="000000" w:sz="4" w:space="0"/>
            </w:tcBorders>
            <w:vAlign w:val="center"/>
          </w:tcPr>
          <w:p w14:paraId="1AEAAFBE">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考场数字定焦广角摄像机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6F615CB8">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▲1.符合《国家教育考试网上巡查系统视频标准技术规范（2017版）》技术要求，</w:t>
            </w:r>
            <w:r>
              <w:rPr>
                <w:rFonts w:hint="eastAsia" w:ascii="宋体" w:hAnsi="宋体"/>
                <w:color w:val="auto"/>
                <w:spacing w:val="-6"/>
                <w:szCs w:val="21"/>
                <w:highlight w:val="none"/>
              </w:rPr>
              <w:t>投标时提供承诺，否则投标无效。</w:t>
            </w:r>
          </w:p>
          <w:p w14:paraId="76F5427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2.符合《公共安全视频监控联网信息安全技术要求》GB35114-2017标准；</w:t>
            </w:r>
          </w:p>
          <w:p w14:paraId="28E3FEF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3.图像传感器：1/2.7 英寸 CMOS；</w:t>
            </w:r>
          </w:p>
          <w:p w14:paraId="36F814E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4.水平分辨率：≥1920*1080；</w:t>
            </w:r>
          </w:p>
          <w:p w14:paraId="13967B8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5.水平视角：水平视场角≥100°；</w:t>
            </w:r>
          </w:p>
          <w:p w14:paraId="40EEC7B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6.最低照度：0.01Lux（F1.2）；</w:t>
            </w:r>
          </w:p>
          <w:p w14:paraId="2E4141DF">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7.高清升级支持H.264、H.265视频编码标准，图像分辨率应支持主码流1080P，子码流支持720P。支持G.711、AAC音频编码标准，并支持Program Stream系统流和Transition Stream传输流的封装。H.264的具体要求符合ISO/IEC14496-10高级视频编码AVC标准；H.265的具体要求符合ITU-T制定的视频编码HEVC标准；G.711的具体要求符合ITU-T G.711标准；AAC的具体要求符合ISO 14496-3 Audio标准；Program Stream系统流和Transition Stream传输流的封装标准应遵照ISO/IEC-13818-1(2000 版本)的具体规定。</w:t>
            </w:r>
          </w:p>
          <w:p w14:paraId="373F1951">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8.镜头：2.8mm定焦镜头；</w:t>
            </w:r>
          </w:p>
          <w:p w14:paraId="24D93741">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9.红外照射：红外照射距离可达10-30米；</w:t>
            </w:r>
          </w:p>
          <w:p w14:paraId="33864EB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10.自动背光补偿、自动跟踪白平衡、支持日夜转换；</w:t>
            </w:r>
          </w:p>
          <w:p w14:paraId="2A5E0B7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11.视频输出：10/100M以太网接口(RJ45 接口)。可通过三个浏览器分别同时浏览主码 1920×1080(25fps )、子码流 704× 576(25fps)、第三码流 1920x1080(25fps) 的视频图像</w:t>
            </w:r>
          </w:p>
          <w:p w14:paraId="0432B4C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12.电源：DC 12V，支持POE供电；</w:t>
            </w:r>
          </w:p>
          <w:p w14:paraId="6AE42163">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13.外壳防暴力破坏； </w:t>
            </w:r>
          </w:p>
          <w:p w14:paraId="1DE19A8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14.内置拾音器。</w:t>
            </w:r>
          </w:p>
          <w:p w14:paraId="5C2C3385">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15.产品内置SIP-UA。</w:t>
            </w:r>
          </w:p>
          <w:p w14:paraId="01A0B7D1">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16.内置符合国密SM1/SM2/SM3/SM4算法的密码芯片。</w:t>
            </w:r>
          </w:p>
          <w:p w14:paraId="5A6675FC">
            <w:pPr>
              <w:widowControl/>
              <w:jc w:val="left"/>
              <w:textAlignment w:val="center"/>
              <w:rPr>
                <w:rFonts w:ascii="宋体" w:hAnsi="宋体" w:cs="宋体"/>
                <w:color w:val="auto"/>
                <w:szCs w:val="21"/>
                <w:highlight w:val="none"/>
              </w:rPr>
            </w:pPr>
            <w:r>
              <w:rPr>
                <w:rFonts w:hint="eastAsia" w:ascii="宋体" w:hAnsi="宋体" w:cs="宋体"/>
                <w:b/>
                <w:bCs/>
                <w:color w:val="auto"/>
                <w:kern w:val="0"/>
                <w:sz w:val="20"/>
                <w:szCs w:val="20"/>
                <w:highlight w:val="none"/>
                <w:lang w:bidi="ar"/>
              </w:rPr>
              <w:t>17.投标文件中提供上述第14、15、16项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5A8DD4D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54</w:t>
            </w:r>
            <w:r>
              <w:rPr>
                <w:rFonts w:hint="eastAsia" w:ascii="宋体" w:hAnsi="宋体" w:cs="宋体"/>
                <w:color w:val="auto"/>
                <w:kern w:val="0"/>
                <w:szCs w:val="21"/>
                <w:highlight w:val="none"/>
                <w:lang w:bidi="ar"/>
              </w:rPr>
              <w:t>台</w:t>
            </w:r>
          </w:p>
        </w:tc>
      </w:tr>
      <w:tr w14:paraId="2041DC34">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EE08821">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21</w:t>
            </w:r>
          </w:p>
        </w:tc>
        <w:tc>
          <w:tcPr>
            <w:tcW w:w="1595" w:type="dxa"/>
            <w:tcBorders>
              <w:top w:val="single" w:color="000000" w:sz="4" w:space="0"/>
              <w:left w:val="single" w:color="000000" w:sz="4" w:space="0"/>
              <w:bottom w:val="single" w:color="000000" w:sz="4" w:space="0"/>
              <w:right w:val="single" w:color="000000" w:sz="4" w:space="0"/>
            </w:tcBorders>
            <w:vAlign w:val="center"/>
          </w:tcPr>
          <w:p w14:paraId="5816E00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LED显示屏</w:t>
            </w:r>
          </w:p>
        </w:tc>
        <w:tc>
          <w:tcPr>
            <w:tcW w:w="10643" w:type="dxa"/>
            <w:tcBorders>
              <w:top w:val="single" w:color="000000" w:sz="4" w:space="0"/>
              <w:left w:val="single" w:color="000000" w:sz="4" w:space="0"/>
              <w:bottom w:val="single" w:color="000000" w:sz="4" w:space="0"/>
              <w:right w:val="single" w:color="000000" w:sz="4" w:space="0"/>
            </w:tcBorders>
            <w:vAlign w:val="center"/>
          </w:tcPr>
          <w:p w14:paraId="55E5088B">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显示尺寸：屏体宽度 5.12米，屏体高度 2.88 米 ；屏体分辨率： 3328列 × 1872 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1、像素点间距≤1.538mm，像素密度：422500点/m²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3、显示单元亮度800cd/㎡，亮度调节0~100%无极可调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4、亮度均匀性≥99%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5、盲点率为0，无常亮点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6、失控点/失控率为0，无连续失控点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7、屏体色温：800K~11000K可调，对比度≥10000:1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8、灯芯的波长误差值在±1nm之内，每个灯芯的亮度误差在5%以内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9、显示屏具备低亮高灰功能，亮度调节至500cd/㎡，灰度等级为16bit；刷新率不低于3200Hz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10、灰度等级：16bit，且支持在不同亮度情况下8~16bit任意设置，红绿蓝各16bit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11、发光点中心距偏差≤1%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12、LED显示屏正常使用达到热平衡后，屏体结构金属部分温升不 超过45K,绝缘材料温升不超过70K</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13、峰值功率≤502W/m²，平均功率≤180W/m²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14、电源插头或电源引入段与外壳裸露金属部件之间，能承受2KV交流电压，历时1min的抗电强度试验，应无击穿和飞弧现象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15、通过盐雾试验，试验结束后，样品表面无起泡、裂纹、毛刺、锈蚀现象，符合10级要求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16、LED显示屏具备防蓝光护眼模式，并通过光生物安全监测，属无害类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17、平均使用寿命≥100000hrs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18、平均失效间隔时间≥100000hrs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19、支持γ校正曲线≥20条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20、LED显示屏的发光模块面色一致，并且是哑光的，反光有效系数在5%以内。显示屏的杂点&lt;1/100000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21、采用完全静音设计，屏体无风 扇自然散热</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22、具备拼缝微调节机构，支持上下左右前后微调，提高拼接精度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23、故障平均修复时间 MTTR不超过10分钟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24、屏幕具备单独调教伽马设计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25、LED显示屏具有防静电、抗震 动、防电磁干扰、抗雷击等功 能，具有电源过压、过流、断电保护、分布上电措施，具有 实时监控温度、故障报警功能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26、LED显示屏通过高温试验：将样品放置60℃环境试验箱，通电工作8H后恢复常温1h，试验前、中、后样品工作无异常。</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27、投标文件中提供上述第8、12、20项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接收系统：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1、单卡最大带载512×512像素，最多支持 24组 RGB 并行数据。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2、采用 12个标准的 HUB75 接口，具有高稳定性和高可靠性，适用于多种环境的搭建。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3、支持逐点亮色度校正，可以对灯点的亮度和色度进行校正。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4、支持快速亮暗线调节，支持在调试软件上进行亮暗线调节，调节过程中生效。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5、配合支持 3D 功能的独立主控，在软件或独立主控的操作面板上开启 3D 功能，并设置 3D 参数，使画面显示 3D 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6、可以将指定图片设置为显示屏的开机、网线断开或无视频信号时的画面或者最后一帧画面。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7、支持5pin液晶模块，用于显示接收卡的温度、电压、单次运行时间和总运行时间。支持千兆网，可通过网线直接连接PC端进行调试和显示，无需发送卡。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8、RGB独立Gamma调节技术增加调节维度，通过对“红 Gamma”、“绿 Gamma”、“蓝 Gamma”分别进行调节，有效控制显示屏低灰不均匀、白平衡漂移等问题，使画面更加真实，提高色彩调节的灵活性。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10、通过主备冗余机制增加接收卡间网线级联的可靠性。主备级联线路中，当其中一条线路出现故障时，另一条线路会即时工作，保证显示屏正常工作。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11、可配合多功能卡，实现当温度高于设定值时，自动断电，或打开风扇降低温度。</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控制系统：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1、支持常见的视频接口，包括2 路 HDMI1.4，1 路 DVI，1路选配3G-SDI。</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2、支持音频输入输出，支持HDMI伴随音频输入；支持3.5mm独立音频输入；支持3.5mm独立音频输出；支持通过多功能卡进行音频输出。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 3 个窗口。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4、支持 HDMI、DVI 输入分辨率自定义调节。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5、支持设备间备份设置。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6、视频输出最大带载高达 650 万像素。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7、支持一键将优先级最低的窗口全屏自动缩放，增强产品实用性能。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8、支持创建10个用户场景作为模板保存，可直接调用，方便使用。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9、扩展子卡支持电脑的无线投屏，前面板配备LCD显示界面和按键灯指示。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10、产品本身集成视频处理器与发送卡于一体。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11、支持逐点亮色度校正技术，校正过程快速高效，支持直接现场校正；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12、配合FsLCT和校正平台，对每个灯点的亮度和色度进行校正，有效消除色差，使整屏的亮度和色度达到高度均匀一致，提高显示屏的画质。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13、支持语音控制整体预案切换及语音控制电视墙模块操作。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14、考虑系统兼容稳定性，所投产品必须与显示单元兼容。</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15、投标文件中提供上述第7、8、13项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0E342201">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2块</w:t>
            </w:r>
          </w:p>
        </w:tc>
      </w:tr>
      <w:tr w14:paraId="6B543BDD">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EA9F1D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22</w:t>
            </w:r>
          </w:p>
        </w:tc>
        <w:tc>
          <w:tcPr>
            <w:tcW w:w="1595" w:type="dxa"/>
            <w:tcBorders>
              <w:top w:val="single" w:color="000000" w:sz="4" w:space="0"/>
              <w:left w:val="single" w:color="000000" w:sz="4" w:space="0"/>
              <w:bottom w:val="single" w:color="000000" w:sz="4" w:space="0"/>
              <w:right w:val="single" w:color="000000" w:sz="4" w:space="0"/>
            </w:tcBorders>
            <w:vAlign w:val="center"/>
          </w:tcPr>
          <w:p w14:paraId="7B4C5744">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导播终端</w:t>
            </w:r>
          </w:p>
        </w:tc>
        <w:tc>
          <w:tcPr>
            <w:tcW w:w="10643" w:type="dxa"/>
            <w:tcBorders>
              <w:top w:val="single" w:color="000000" w:sz="4" w:space="0"/>
              <w:left w:val="single" w:color="000000" w:sz="4" w:space="0"/>
              <w:bottom w:val="single" w:color="000000" w:sz="4" w:space="0"/>
              <w:right w:val="single" w:color="000000" w:sz="4" w:space="0"/>
            </w:tcBorders>
            <w:vAlign w:val="center"/>
          </w:tcPr>
          <w:p w14:paraId="014216C4">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1.性能参照或相当于Intel 十二代 Core i7 处理器，主频 ≥2.1GHz 、 ≥12 核处理器 20 线程，三级缓存≥25MB；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2.显卡：≥4G 独立显卡，HDMI 接 口 ≥4 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3.内存：≥16GB DDR4 3200MT/s 内存，最大可支持拓展≥64GB；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4.硬盘：≥512GB M.2 NVMe SSD 硬盘，支持机械硬盘拓展；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5.前置面板：USB3.0 ≥6 个（其中两个支持 USB 3.2 Gen2，四个支持 USB 3.2 Gen1）；TypeC ≥ 1 个（支持 USB 3.2 Gen1）；麦克风输入≥ 1 个，音频输出≥ 1 个；  ≥2 前置 USB 端口支持在关机状态下对外供电；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6.后置面板：USB2.0 ≥4 个；HDMI 输出 ≥ 1；VGA 输出 ≥ 1；DP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输出 ≥ 1；音频输入≥2；音频输出 ≥ 1；RJ45 ≥ 1；串 口 ≥ 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7.机箱体积 ≥ 15L，电源功率 ≥ 300W；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8.可通过物理按键实现系统一键还原；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 ≥23.8 英寸显示屏幕，分辨率 ≥ 1920*1080，屏幕亮度 ≥250nit，IPS 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10.显示屏幕 DCI-P3 色域覆盖率 ≥ 90%；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11.对比度 ≥ 1000:1，屏幕刷新率 ≥75Hz，响应时间 ≤7ms，可视角度≥ 178°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12.显示屏分别提供标准模式、炫彩模式、护眼模式、阅读模式选项；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13.为保护教师、学生视力健康，硬件具备硬件低蓝光。</w:t>
            </w:r>
          </w:p>
        </w:tc>
        <w:tc>
          <w:tcPr>
            <w:tcW w:w="961" w:type="dxa"/>
            <w:tcBorders>
              <w:top w:val="single" w:color="000000" w:sz="4" w:space="0"/>
              <w:left w:val="single" w:color="000000" w:sz="4" w:space="0"/>
              <w:bottom w:val="single" w:color="000000" w:sz="4" w:space="0"/>
              <w:right w:val="single" w:color="000000" w:sz="4" w:space="0"/>
            </w:tcBorders>
            <w:vAlign w:val="center"/>
          </w:tcPr>
          <w:p w14:paraId="7C56BFE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2台</w:t>
            </w:r>
          </w:p>
        </w:tc>
      </w:tr>
      <w:tr w14:paraId="76A9FA42">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0E96B6A">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23</w:t>
            </w:r>
          </w:p>
        </w:tc>
        <w:tc>
          <w:tcPr>
            <w:tcW w:w="1595" w:type="dxa"/>
            <w:tcBorders>
              <w:top w:val="single" w:color="000000" w:sz="4" w:space="0"/>
              <w:left w:val="single" w:color="000000" w:sz="4" w:space="0"/>
              <w:bottom w:val="single" w:color="000000" w:sz="4" w:space="0"/>
              <w:right w:val="single" w:color="000000" w:sz="4" w:space="0"/>
            </w:tcBorders>
            <w:vAlign w:val="center"/>
          </w:tcPr>
          <w:p w14:paraId="537F8C6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控制型智慧讲台</w:t>
            </w:r>
          </w:p>
        </w:tc>
        <w:tc>
          <w:tcPr>
            <w:tcW w:w="10643" w:type="dxa"/>
            <w:tcBorders>
              <w:top w:val="single" w:color="000000" w:sz="4" w:space="0"/>
              <w:left w:val="single" w:color="000000" w:sz="4" w:space="0"/>
              <w:bottom w:val="single" w:color="000000" w:sz="4" w:space="0"/>
              <w:right w:val="single" w:color="000000" w:sz="4" w:space="0"/>
            </w:tcBorders>
            <w:vAlign w:val="center"/>
          </w:tcPr>
          <w:p w14:paraId="2C6BBF29">
            <w:pPr>
              <w:widowControl/>
              <w:jc w:val="left"/>
              <w:textAlignment w:val="center"/>
              <w:rPr>
                <w:rFonts w:ascii="宋体" w:hAnsi="宋体" w:cs="宋体"/>
                <w:color w:val="auto"/>
                <w:szCs w:val="21"/>
                <w:highlight w:val="none"/>
              </w:rPr>
            </w:pPr>
            <w:r>
              <w:rPr>
                <w:rFonts w:hint="eastAsia" w:ascii="宋体" w:hAnsi="宋体" w:cs="宋体"/>
                <w:b/>
                <w:bCs/>
                <w:color w:val="auto"/>
                <w:kern w:val="0"/>
                <w:sz w:val="20"/>
                <w:szCs w:val="20"/>
                <w:highlight w:val="none"/>
                <w:lang w:bidi="ar"/>
              </w:rPr>
              <w:t>讲台桌体要求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1.讲桌为钢木结合设计,采用冷轧钢板桌体,钢版厚度≥1.0mm；讲桌采用双层木质桌面设计，上层桌体木板厚度≥25mm，下层桌面厚度 ≥ 12mm。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2.升降立柱最大承重为≥ 120kg，讲桌具备垂直平面水平位置≥110N 推力位移仍不超过 5mm 的移动。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3.讲桌尺寸设计为长 ×宽 ×高 ≥ 1620mm ×770mm ×875mm，桌面支持升降功能，水平桌面支持电动升降功能，1080mm≥水平桌面距地高度≥780mm，根据人体工学设计，水平桌面高度合适教师站、坐教学。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4.底部机柜尺寸设计为长 ×宽 ×高 ≥ 1560mm × 585mm ×500mm，机柜容量≥10U,可适装标准 19 英寸系列网络、通讯类产品，机柜内部带有标准机架和标准电脑主机空间，主机柜门带有磁吸式小门，无需打开柜门即可开关电脑。机柜门采用大面积散热孔设计，易于柜内设备的通风散热，避免设备损坏。前后门都可以打开，方便设备安装及维护，前后门只需要一把钥匙管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5.讲桌具有升降控制器设计，至少具备水平桌面距地高度 LED数字显示、上升按键、下降按键；还具有一键调节水平桌面到出厂默认适合教师坐姿的高度和一键调节水平桌面到出厂默认适合教师站姿的高度，且均为独立按键，不与任何其他功能键复用，出厂即可使用，无需任何现场部署设置；支持过流过压保护、遇阻反弹保护、陀螺仪水平失衡保护。</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讲台屏体要求：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1.屏体的屏幕采用≥23.8 英寸电容触摸屏（简称：屏幕）且采用防眩光钢化玻璃面板，厚度≥2mm；支持≥ 10 点触控；支持屏幕手动角度调节，可实现与桌面形成 20°至 80°角度调节。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2.屏体侧面具有物理实体快捷按键≥6 个，按键功能包括对屏幕一键开/关屏幕、对匹配的大屏（如智慧黑板）进行一键熄屏以及一键音量加减。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3.屏体侧边具有≥2 路 USB 数据 口，可接入 U 盘等设备，且可被匹配的大屏识别和通讯；≥ 1 路 Type-C 和 HDMI IN 接 口，均可单路将连接外界笔记本电脑画面显示在屏幕及匹配的大屏上，其中Type-C 还可连接外接移动桌面系统终端（如 PAD、笔记本、手机等）即可将移动桌面系统终端画面显示在主屏幕及匹配的大屏上并可用于充电；具有≥ 1 个 220V 国标五插电源接口，支持对外供电。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4.屏体底座内置接口：HDMI IN ≥2 个；HDMI OUT ≥ 1 个;USB≥4 个；RJ45 ≥ 1 个；AUDIO OUT ≥ 1 个；RS232 ≥ 1 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5.屏体侧边内置 NFC 模块；讲台屏至少支持 NFC 刷卡、二维码2 种方式实现设备使用前的用户身份认证。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6.讲台屏自带定制化独立操作系统，基于 Android 11及以上版本，可在任意通道下唤出多功能中控菜单并实现相关操作。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屏幕可调出中控菜单界面，支持一键上课及下课两种场景控制，也可以对连接的设备单独控制开关机；支持对屏幕输入源显示画面切换，包括智能平板、电脑、HDMI、Type-C；支持当接入匹配教室内的录播产品时，可显示录播导播流画面，选择开始录制、暂停录制和结束录制等功能；支持当接入匹配教室内的物联产品时，可视化显示物联设备且可进行应用场景化管理；</w:t>
            </w:r>
          </w:p>
        </w:tc>
        <w:tc>
          <w:tcPr>
            <w:tcW w:w="961" w:type="dxa"/>
            <w:tcBorders>
              <w:top w:val="single" w:color="000000" w:sz="4" w:space="0"/>
              <w:left w:val="single" w:color="000000" w:sz="4" w:space="0"/>
              <w:bottom w:val="single" w:color="000000" w:sz="4" w:space="0"/>
              <w:right w:val="single" w:color="000000" w:sz="4" w:space="0"/>
            </w:tcBorders>
            <w:vAlign w:val="center"/>
          </w:tcPr>
          <w:p w14:paraId="32A5263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2套</w:t>
            </w:r>
          </w:p>
        </w:tc>
      </w:tr>
      <w:tr w14:paraId="7BEDEDA9">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FAD2D11">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24</w:t>
            </w:r>
          </w:p>
        </w:tc>
        <w:tc>
          <w:tcPr>
            <w:tcW w:w="1595" w:type="dxa"/>
            <w:tcBorders>
              <w:top w:val="single" w:color="000000" w:sz="4" w:space="0"/>
              <w:left w:val="single" w:color="000000" w:sz="4" w:space="0"/>
              <w:bottom w:val="single" w:color="000000" w:sz="4" w:space="0"/>
              <w:right w:val="single" w:color="000000" w:sz="4" w:space="0"/>
            </w:tcBorders>
            <w:vAlign w:val="center"/>
          </w:tcPr>
          <w:p w14:paraId="16A8A41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智能电源管理器</w:t>
            </w:r>
          </w:p>
        </w:tc>
        <w:tc>
          <w:tcPr>
            <w:tcW w:w="10643" w:type="dxa"/>
            <w:tcBorders>
              <w:top w:val="single" w:color="000000" w:sz="4" w:space="0"/>
              <w:left w:val="single" w:color="000000" w:sz="4" w:space="0"/>
              <w:bottom w:val="single" w:color="000000" w:sz="4" w:space="0"/>
              <w:right w:val="single" w:color="000000" w:sz="4" w:space="0"/>
            </w:tcBorders>
            <w:vAlign w:val="center"/>
          </w:tcPr>
          <w:p w14:paraId="5F3A851D">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1.机身高度不超过1U。</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2.支持HDMI矩阵功能，HDMI视频输入接口≥3个，HDMI输出接口≥4个，HDMI输入输出分辨率均不低于4K</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3.HDMI支持音视频分离能力，支持HDMI信号内的音频，自动分离到音频模块，方便连接外置功放音箱设备。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4.具备3.5mm音频线性输入接口≥2个，3.5mm音频线性输出接口≥2个。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5.支持音频输入和HDMI音频混音后输出，支持在本地及平台对输出总音量进行调节。</w:t>
            </w:r>
          </w:p>
        </w:tc>
        <w:tc>
          <w:tcPr>
            <w:tcW w:w="961" w:type="dxa"/>
            <w:tcBorders>
              <w:top w:val="single" w:color="000000" w:sz="4" w:space="0"/>
              <w:left w:val="single" w:color="000000" w:sz="4" w:space="0"/>
              <w:bottom w:val="single" w:color="000000" w:sz="4" w:space="0"/>
              <w:right w:val="single" w:color="000000" w:sz="4" w:space="0"/>
            </w:tcBorders>
            <w:vAlign w:val="center"/>
          </w:tcPr>
          <w:p w14:paraId="4BEC698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2台</w:t>
            </w:r>
          </w:p>
        </w:tc>
      </w:tr>
      <w:tr w14:paraId="0E62CB06">
        <w:tblPrEx>
          <w:tblCellMar>
            <w:top w:w="0" w:type="dxa"/>
            <w:left w:w="108" w:type="dxa"/>
            <w:bottom w:w="0" w:type="dxa"/>
            <w:right w:w="108" w:type="dxa"/>
          </w:tblCellMar>
        </w:tblPrEx>
        <w:trPr>
          <w:trHeight w:val="600" w:hRule="atLeast"/>
          <w:jc w:val="center"/>
        </w:trPr>
        <w:tc>
          <w:tcPr>
            <w:tcW w:w="14019" w:type="dxa"/>
            <w:gridSpan w:val="4"/>
            <w:tcBorders>
              <w:top w:val="single" w:color="000000" w:sz="4" w:space="0"/>
              <w:left w:val="single" w:color="000000" w:sz="4" w:space="0"/>
              <w:bottom w:val="single" w:color="000000" w:sz="4" w:space="0"/>
              <w:right w:val="single" w:color="000000" w:sz="4" w:space="0"/>
            </w:tcBorders>
            <w:vAlign w:val="center"/>
          </w:tcPr>
          <w:p w14:paraId="37EE8DD3">
            <w:pPr>
              <w:widowControl/>
              <w:jc w:val="center"/>
              <w:textAlignment w:val="center"/>
              <w:rPr>
                <w:rFonts w:ascii="宋体" w:hAnsi="宋体" w:cs="宋体"/>
                <w:color w:val="auto"/>
                <w:kern w:val="0"/>
                <w:szCs w:val="21"/>
                <w:highlight w:val="none"/>
                <w:lang w:bidi="ar"/>
              </w:rPr>
            </w:pPr>
            <w:r>
              <w:rPr>
                <w:rFonts w:hint="eastAsia" w:ascii="宋体" w:hAnsi="宋体" w:cs="宋体"/>
                <w:b/>
                <w:bCs/>
                <w:color w:val="auto"/>
                <w:kern w:val="0"/>
                <w:sz w:val="20"/>
                <w:szCs w:val="20"/>
                <w:highlight w:val="none"/>
                <w:lang w:bidi="ar"/>
              </w:rPr>
              <w:t>二、教师管理系统集成</w:t>
            </w:r>
          </w:p>
        </w:tc>
      </w:tr>
      <w:tr w14:paraId="2C03661F">
        <w:tblPrEx>
          <w:tblCellMar>
            <w:top w:w="0" w:type="dxa"/>
            <w:left w:w="108" w:type="dxa"/>
            <w:bottom w:w="0" w:type="dxa"/>
            <w:right w:w="108" w:type="dxa"/>
          </w:tblCellMar>
        </w:tblPrEx>
        <w:trPr>
          <w:trHeight w:val="3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33BE6B39">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25</w:t>
            </w:r>
          </w:p>
        </w:tc>
        <w:tc>
          <w:tcPr>
            <w:tcW w:w="1595" w:type="dxa"/>
            <w:tcBorders>
              <w:top w:val="single" w:color="000000" w:sz="4" w:space="0"/>
              <w:left w:val="single" w:color="000000" w:sz="4" w:space="0"/>
              <w:bottom w:val="single" w:color="000000" w:sz="4" w:space="0"/>
              <w:right w:val="single" w:color="000000" w:sz="4" w:space="0"/>
            </w:tcBorders>
            <w:vAlign w:val="center"/>
          </w:tcPr>
          <w:p w14:paraId="68F9E66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显示大屏</w:t>
            </w:r>
          </w:p>
        </w:tc>
        <w:tc>
          <w:tcPr>
            <w:tcW w:w="10643" w:type="dxa"/>
            <w:tcBorders>
              <w:top w:val="single" w:color="000000" w:sz="4" w:space="0"/>
              <w:left w:val="single" w:color="000000" w:sz="4" w:space="0"/>
              <w:bottom w:val="single" w:color="000000" w:sz="4" w:space="0"/>
              <w:right w:val="single" w:color="000000" w:sz="4" w:space="0"/>
            </w:tcBorders>
            <w:vAlign w:val="center"/>
          </w:tcPr>
          <w:p w14:paraId="5523247E">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1．点间距≤1.59mm，整机尺寸≥135英寸,分辨率：≥1920×1080；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2．采用性能不低于Android 9.0操作系统，性能不低于双Cortex-A72大核+四Cortex-A53小核，频率1.8GHz，内存≥4+32G；3840*2160以内（包括4K）的分辨率输入，机器都能自动适应满屏显示；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3．箱体尺寸≤ 600*337.5*32mm；LED灯珠：采用top型灯珠形式；单箱重量≤4.6Kg；箱体采用铝合金;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4．显示屏亮度100~600cd/㎡可调，白屏亮度≥600cd/m²；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5．亮度均匀性≥98%，对比度≥10000:1，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6．色温支持1000K-15000K可调；灰度等级≥14bit；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7．垂直视角≥170度，水平视角≥170度，刷新频率≥3840Hz，；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8．显示屏输入电压采用AC100-240/50-60Hz电压，最大功耗≤330W/m²，平均功耗≤100W/m²；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9．显示屏采用喷墨技术，防眩光，表面墨色一致性和散热性更好，LED显示大屏蓝光辐射能量符合A级；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10．屏体正面为亚黑处理，反光率≤2%；采用黑色防眩光设计，防止炫光影响可提升视觉观感；支持抑制摩尔纹功能，减轻摩尔纹视觉主观效果80%；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11．自动Gamma矫正技术，通过构造非线性校正曲线和色坐标变换系数矩阵实现了显示效果的不断改善，各项重要指标如色彩还原性、色温调节范围、亮度均匀性、刷新率、换帧频率等，均符合光电标准；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12．电源、接收卡、转接板三合一:电源、接收卡、转接板三合一，即箱体内接收卡、电源、转接板3个模块的线路及元器件都集成在同一块PCB板上（接收卡和电源非插拔、焊接或螺丝固定于PCB板上）；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13．接收卡控制方案（FPGA）为国产芯片，功能包含但不限于交/直流电源、接收卡，配合不同点间距灯板即可正常工作；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14．支持屏体拼缝亮线、暗线校正调节功能，为保证显示屏的校正效果和维护的便捷性，每块模组灯板带校正数据存储功能；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15．具有暖色、标准、冷色三种色温选择和色温用户自定性的功能。提供会议、演示、节能、用户模式供用户选择，用户可根据现场环境或个人喜好进行选择；</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16．内置视频播放器：可通过遥控器或鼠标可对视频进行暂时、播放、播放比例(自动、4:3、16:9)、播放模式(循环播放、顺序播放、单曲播放)、播放字幕(内嵌字幕、外挂字幕)添加字幕等操作；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17．系统内置图库通过遥控器或鼠标可对图片进行 360°旋转、上一张、下一张、放大、缩小、设为壁纸等操作。系统内置多张屏保图片，支持用户自己扫码上传的图片，并可以通过遥控器或鼠标进行操作；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18．维护方式:采用前全维护、前安装设计，灯板与三合一板采用硬连方式（两块板卡连接无需排线、电源线），灯板支持热插拔，所有元器件皆可从正面拆装、维护，有效节约安装空间；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19．耐热和防火试验：符合GB/T5169.5 中的第5 章和第9 章的替换试验，在试验期间，当试验火焰第二次施加后，样品延续燃烧不得超过1min，而且样品不得完全烧尽；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20．输入输出接口：HDMIIN*3,HDMIOUT*1,USB2.0*1,USB3.0*1,TYPE-C*1,LINEOUT*2,RS232*1,RJ45*1,LAN*1；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手机软件投屏：支持手机投屏软件操控大屏，小屏控大屏满足近端操控需求；投屏展示：手机和电脑支持混合投屏展示，最多支持9个画面同屏展示，最多可连接32台设备；无线传屏器与电脑软件投屏，最大支持4k@30的分辨率投屏，无线传屏器可实现3S内快速连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22．应用窗口投屏：支持沉浸式+个人端隐私保护，能避免如微信弹窗的尴尬，应用窗口投屏时，电脑屏幕仍能打开别的应用处理其他事情；无线传屏视频数据加密，加密方式：AES（CBC模式），128 位，保障数据传输安全；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设备支持无线热点隔离功能，当开启此功能后，连接热点的第三方设备只能无线投屏，无法通过热点网络访问互联网的视频网站、网页应用等；当关闭此功能后，连接热点的第三方设备除了可以正常投屏，还可以访问互联网的视频网站、网页应用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传屏开启独占模式之后，进入沉浸模式，阻止其他人传屏，避免在使用过程中，用户经常被其他人传屏顶替掉，造成使用中断；可通过传屏工具栏暂停投屏功能进行画面冻结暂停，投屏电脑可自主进行其他操作，不影响整机的冻结画面内容显示；</w:t>
            </w:r>
          </w:p>
        </w:tc>
        <w:tc>
          <w:tcPr>
            <w:tcW w:w="961" w:type="dxa"/>
            <w:tcBorders>
              <w:top w:val="single" w:color="000000" w:sz="4" w:space="0"/>
              <w:left w:val="single" w:color="000000" w:sz="4" w:space="0"/>
              <w:bottom w:val="single" w:color="000000" w:sz="4" w:space="0"/>
              <w:right w:val="single" w:color="000000" w:sz="4" w:space="0"/>
            </w:tcBorders>
            <w:vAlign w:val="center"/>
          </w:tcPr>
          <w:p w14:paraId="749B29AB">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1台</w:t>
            </w:r>
          </w:p>
        </w:tc>
      </w:tr>
      <w:tr w14:paraId="3DBF89E3">
        <w:tblPrEx>
          <w:tblCellMar>
            <w:top w:w="0" w:type="dxa"/>
            <w:left w:w="108" w:type="dxa"/>
            <w:bottom w:w="0" w:type="dxa"/>
            <w:right w:w="108" w:type="dxa"/>
          </w:tblCellMar>
        </w:tblPrEx>
        <w:trPr>
          <w:trHeight w:val="9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334645F3">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26</w:t>
            </w:r>
          </w:p>
        </w:tc>
        <w:tc>
          <w:tcPr>
            <w:tcW w:w="1595" w:type="dxa"/>
            <w:tcBorders>
              <w:top w:val="single" w:color="000000" w:sz="4" w:space="0"/>
              <w:left w:val="single" w:color="000000" w:sz="4" w:space="0"/>
              <w:bottom w:val="single" w:color="000000" w:sz="4" w:space="0"/>
              <w:right w:val="single" w:color="000000" w:sz="4" w:space="0"/>
            </w:tcBorders>
            <w:vAlign w:val="center"/>
          </w:tcPr>
          <w:p w14:paraId="7C98733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服务器</w:t>
            </w:r>
          </w:p>
        </w:tc>
        <w:tc>
          <w:tcPr>
            <w:tcW w:w="10643" w:type="dxa"/>
            <w:tcBorders>
              <w:top w:val="single" w:color="000000" w:sz="4" w:space="0"/>
              <w:left w:val="single" w:color="000000" w:sz="4" w:space="0"/>
              <w:bottom w:val="single" w:color="000000" w:sz="4" w:space="0"/>
              <w:right w:val="single" w:color="000000" w:sz="4" w:space="0"/>
            </w:tcBorders>
            <w:vAlign w:val="center"/>
          </w:tcPr>
          <w:p w14:paraId="303B505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1.CPU：参照或相当于Intel Xeon 4316(20C,150W,2.3GHz)*2</w:t>
            </w:r>
          </w:p>
          <w:p w14:paraId="331389F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2.内存：≥32G DDR4 3200*8</w:t>
            </w:r>
          </w:p>
          <w:p w14:paraId="610E578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3.数据盘：≥4T SATA HDD*3</w:t>
            </w:r>
          </w:p>
          <w:p w14:paraId="65E7A5A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4.系统盘：≥480GB SATA SSD*2</w:t>
            </w:r>
          </w:p>
          <w:p w14:paraId="433BDCA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5.管理/业务网卡：≥4口千兆网络子卡*1</w:t>
            </w:r>
          </w:p>
          <w:p w14:paraId="572CC50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6.其它：高性能raid卡、冗余电源、标准导轨若干</w:t>
            </w:r>
          </w:p>
        </w:tc>
        <w:tc>
          <w:tcPr>
            <w:tcW w:w="961" w:type="dxa"/>
            <w:tcBorders>
              <w:top w:val="single" w:color="000000" w:sz="4" w:space="0"/>
              <w:left w:val="single" w:color="000000" w:sz="4" w:space="0"/>
              <w:bottom w:val="single" w:color="000000" w:sz="4" w:space="0"/>
              <w:right w:val="single" w:color="000000" w:sz="4" w:space="0"/>
            </w:tcBorders>
            <w:vAlign w:val="center"/>
          </w:tcPr>
          <w:p w14:paraId="6A5E2587">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1台</w:t>
            </w:r>
          </w:p>
        </w:tc>
      </w:tr>
      <w:tr w14:paraId="12A2878C">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3305803">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27</w:t>
            </w:r>
          </w:p>
        </w:tc>
        <w:tc>
          <w:tcPr>
            <w:tcW w:w="1595" w:type="dxa"/>
            <w:tcBorders>
              <w:top w:val="single" w:color="000000" w:sz="4" w:space="0"/>
              <w:left w:val="single" w:color="000000" w:sz="4" w:space="0"/>
              <w:bottom w:val="single" w:color="000000" w:sz="4" w:space="0"/>
              <w:right w:val="single" w:color="000000" w:sz="4" w:space="0"/>
            </w:tcBorders>
            <w:vAlign w:val="center"/>
          </w:tcPr>
          <w:p w14:paraId="2821B843">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控制电脑</w:t>
            </w:r>
          </w:p>
        </w:tc>
        <w:tc>
          <w:tcPr>
            <w:tcW w:w="10643" w:type="dxa"/>
            <w:tcBorders>
              <w:top w:val="single" w:color="000000" w:sz="4" w:space="0"/>
              <w:left w:val="single" w:color="000000" w:sz="4" w:space="0"/>
              <w:bottom w:val="single" w:color="000000" w:sz="4" w:space="0"/>
              <w:right w:val="single" w:color="000000" w:sz="4" w:space="0"/>
            </w:tcBorders>
            <w:vAlign w:val="center"/>
          </w:tcPr>
          <w:p w14:paraId="7774B2D5">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CPU性能参照或相当于I7、内存≥16G、硬盘≥256+1T,</w:t>
            </w:r>
            <w:r>
              <w:rPr>
                <w:rFonts w:hint="eastAsia"/>
                <w:color w:val="auto"/>
                <w:highlight w:val="none"/>
              </w:rPr>
              <w:t>显示器</w:t>
            </w:r>
            <w:r>
              <w:rPr>
                <w:rFonts w:hint="eastAsia" w:ascii="宋体" w:hAnsi="宋体" w:cs="宋体"/>
                <w:color w:val="auto"/>
                <w:kern w:val="0"/>
                <w:sz w:val="20"/>
                <w:szCs w:val="20"/>
                <w:highlight w:val="none"/>
                <w:lang w:bidi="ar"/>
              </w:rPr>
              <w:t>≥32英寸、独显</w:t>
            </w:r>
          </w:p>
        </w:tc>
        <w:tc>
          <w:tcPr>
            <w:tcW w:w="961" w:type="dxa"/>
            <w:tcBorders>
              <w:top w:val="single" w:color="000000" w:sz="4" w:space="0"/>
              <w:left w:val="single" w:color="000000" w:sz="4" w:space="0"/>
              <w:bottom w:val="single" w:color="000000" w:sz="4" w:space="0"/>
              <w:right w:val="single" w:color="000000" w:sz="4" w:space="0"/>
            </w:tcBorders>
            <w:vAlign w:val="center"/>
          </w:tcPr>
          <w:p w14:paraId="06DF536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2台</w:t>
            </w:r>
          </w:p>
        </w:tc>
      </w:tr>
      <w:tr w14:paraId="4306D49D">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0D92547">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28</w:t>
            </w:r>
          </w:p>
        </w:tc>
        <w:tc>
          <w:tcPr>
            <w:tcW w:w="1595" w:type="dxa"/>
            <w:tcBorders>
              <w:top w:val="single" w:color="000000" w:sz="4" w:space="0"/>
              <w:left w:val="single" w:color="000000" w:sz="4" w:space="0"/>
              <w:bottom w:val="single" w:color="000000" w:sz="4" w:space="0"/>
              <w:right w:val="single" w:color="000000" w:sz="4" w:space="0"/>
            </w:tcBorders>
            <w:vAlign w:val="center"/>
          </w:tcPr>
          <w:p w14:paraId="4935A547">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控制桌</w:t>
            </w:r>
          </w:p>
        </w:tc>
        <w:tc>
          <w:tcPr>
            <w:tcW w:w="10643" w:type="dxa"/>
            <w:tcBorders>
              <w:top w:val="single" w:color="000000" w:sz="4" w:space="0"/>
              <w:left w:val="single" w:color="000000" w:sz="4" w:space="0"/>
              <w:bottom w:val="single" w:color="000000" w:sz="4" w:space="0"/>
              <w:right w:val="single" w:color="000000" w:sz="4" w:space="0"/>
            </w:tcBorders>
            <w:vAlign w:val="center"/>
          </w:tcPr>
          <w:p w14:paraId="26247F9A">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根据空间大小定制控制桌尺寸，桌子为钢木材质，并包含椅子2把，椅子为塑料材质。</w:t>
            </w:r>
          </w:p>
        </w:tc>
        <w:tc>
          <w:tcPr>
            <w:tcW w:w="961" w:type="dxa"/>
            <w:tcBorders>
              <w:top w:val="single" w:color="000000" w:sz="4" w:space="0"/>
              <w:left w:val="single" w:color="000000" w:sz="4" w:space="0"/>
              <w:bottom w:val="single" w:color="000000" w:sz="4" w:space="0"/>
              <w:right w:val="single" w:color="000000" w:sz="4" w:space="0"/>
            </w:tcBorders>
            <w:vAlign w:val="center"/>
          </w:tcPr>
          <w:p w14:paraId="3D7916B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1套</w:t>
            </w:r>
          </w:p>
        </w:tc>
      </w:tr>
      <w:tr w14:paraId="07D75058">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80FA78C">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29</w:t>
            </w:r>
          </w:p>
        </w:tc>
        <w:tc>
          <w:tcPr>
            <w:tcW w:w="1595" w:type="dxa"/>
            <w:tcBorders>
              <w:top w:val="single" w:color="000000" w:sz="4" w:space="0"/>
              <w:left w:val="single" w:color="000000" w:sz="4" w:space="0"/>
              <w:bottom w:val="single" w:color="000000" w:sz="4" w:space="0"/>
              <w:right w:val="single" w:color="000000" w:sz="4" w:space="0"/>
            </w:tcBorders>
            <w:vAlign w:val="center"/>
          </w:tcPr>
          <w:p w14:paraId="11714B65">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录直播资源管理平台</w:t>
            </w:r>
          </w:p>
        </w:tc>
        <w:tc>
          <w:tcPr>
            <w:tcW w:w="10643" w:type="dxa"/>
            <w:tcBorders>
              <w:top w:val="single" w:color="000000" w:sz="4" w:space="0"/>
              <w:left w:val="single" w:color="000000" w:sz="4" w:space="0"/>
              <w:bottom w:val="single" w:color="000000" w:sz="4" w:space="0"/>
              <w:right w:val="single" w:color="000000" w:sz="4" w:space="0"/>
            </w:tcBorders>
            <w:vAlign w:val="center"/>
          </w:tcPr>
          <w:p w14:paraId="0F488B3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【基础服务】</w:t>
            </w:r>
          </w:p>
          <w:p w14:paraId="0A35C23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1.为保障数据安全，平台采用本地化部署。</w:t>
            </w:r>
          </w:p>
          <w:p w14:paraId="4EE9974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2.系统采用模块化的架构设计B/S架构，通过浏览器打开即可使用教学质量管理平台中各项功能模块。</w:t>
            </w:r>
          </w:p>
          <w:p w14:paraId="59E5B2B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3.用户管理：平台除支持本校教职工账号管理外，还支持校外人员账号管理，满足校外专家登录平台进行督导巡课。</w:t>
            </w:r>
          </w:p>
          <w:p w14:paraId="26A7E20F">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4.角色权限：支持根据学校组织架构自定义添加用户角色并配置不同角色权限，支持通过搜索或选择姓名或工号添加不同角色成员。</w:t>
            </w:r>
          </w:p>
          <w:p w14:paraId="43FB90F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5.组织设置：支持用户对平台学校logo、组织名称、平台顶部栏logo、登录页背景图进行配置。</w:t>
            </w:r>
          </w:p>
          <w:p w14:paraId="42D4A72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【录播视频资源】</w:t>
            </w:r>
          </w:p>
          <w:p w14:paraId="3AA4468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1.录播资源查看：支持查看全校的录播资源，可查看录播资源详细信息，包括视频名称，开课时间，视频时长，视频分片数，主讲老师，所属学院，上课教室，视频大小。</w:t>
            </w:r>
          </w:p>
          <w:p w14:paraId="7A50FE4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2.录播资源整理：支持对录播资源进行操作，编辑视频名称，下载，删除。</w:t>
            </w:r>
          </w:p>
          <w:p w14:paraId="6E6E19A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3.录播资源筛选：支持通过学院、授课教室、授课时间进行资源筛选。</w:t>
            </w:r>
          </w:p>
          <w:p w14:paraId="68B36B00">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4.录播资源搜索：支持通过搜索不完整课程名称和不完整教师名称进行资源搜索。</w:t>
            </w:r>
          </w:p>
          <w:p w14:paraId="1F789A95">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5.检测无效视频：支持自动识别视频质量，对画面模糊、亮度异常、色彩偏差、无声音、无人员的视频，并支持批量删除。</w:t>
            </w:r>
          </w:p>
          <w:p w14:paraId="04F5659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【录播设备管理】</w:t>
            </w:r>
          </w:p>
          <w:p w14:paraId="7EB2791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1.录播信息查看：支持查看本校的录播设备信息，包括已绑定的设备总数，在线设备数，设备IP，绑定教室信息，信号源连接情况。</w:t>
            </w:r>
          </w:p>
          <w:p w14:paraId="12ECC96A">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2.录播设备状态：支持查看录播设备的状态信息，包括闲置、录制中、直播中、互动中、离线状态，在线设备的CPU占用率，网络上下行传输速率，磁盘空间使用情况，内存占用情况，录播系统版本。</w:t>
            </w:r>
            <w:r>
              <w:rPr>
                <w:rFonts w:hint="eastAsia" w:ascii="宋体" w:hAnsi="宋体" w:cs="宋体"/>
                <w:b/>
                <w:bCs/>
                <w:color w:val="auto"/>
                <w:kern w:val="0"/>
                <w:sz w:val="20"/>
                <w:szCs w:val="20"/>
                <w:highlight w:val="none"/>
                <w:lang w:bidi="ar"/>
              </w:rPr>
              <w:t>(提供功能截图)</w:t>
            </w:r>
          </w:p>
          <w:p w14:paraId="68F44C6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3.录播远程管理：支持在平台上对录播设备进行关机，重启，开始录制，停止录制，开启直播，停止直播操作。录制时可在“录播视频”查看录制的视频；直播时可在“直播中心”查看直播画面。</w:t>
            </w:r>
          </w:p>
          <w:p w14:paraId="470C2B9C">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4.录播机操作权限设置：支持设置录播机屏幕解锁密码和管理员密码；支持对录播主机上“查看视频”及“关机”权限是否需要密码进行管理。</w:t>
            </w:r>
          </w:p>
          <w:p w14:paraId="3AB1923E">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5.接入第三方音视频设备：支持配置第三方设备的rtsp流地址，可通过本地服务器将第三方设备的音视频内容接入至平台。</w:t>
            </w:r>
          </w:p>
          <w:p w14:paraId="5F36D9C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【录播服务设置】</w:t>
            </w:r>
          </w:p>
          <w:p w14:paraId="274EC538">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1.直播配置：支持管理员配置录播主机的直播服务器地址。</w:t>
            </w:r>
          </w:p>
          <w:p w14:paraId="635ED253">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2.存储服务器管理：支持管理员配置录播资源存储服务器IP地址，可查看总存储空间及当前已存储空间大小。</w:t>
            </w:r>
          </w:p>
          <w:p w14:paraId="6B32AA10">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3.录播视频智能覆盖：支持开启视频自动覆盖功能。</w:t>
            </w:r>
          </w:p>
          <w:p w14:paraId="347D4638">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【督导巡课看板】</w:t>
            </w:r>
          </w:p>
          <w:p w14:paraId="70DC0A67">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1.督导数据统计：支持查看督导评课数据，包括累计完成督导课程数、督导课节节数、受评教师人数、敏感词检测次数。</w:t>
            </w:r>
          </w:p>
          <w:p w14:paraId="177D774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2.评价趋势：支持统计每周累计评价课节数，并以折线图的方式显示每周评课数量变化趋势。</w:t>
            </w:r>
          </w:p>
          <w:p w14:paraId="65DABFB0">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3.低分预警：支持自定义督导低分阈值，并显示平均分低于阈值的课程名单，名单中包含课程名称、授课讲师、课程平均分信息。</w:t>
            </w:r>
          </w:p>
          <w:p w14:paraId="61F04CB6">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4.高分课程榜：支持按评课数据督导评分平均分高低显示课程排行榜。</w:t>
            </w:r>
          </w:p>
          <w:p w14:paraId="1BDB3F7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5.评课动态：支持滚动展示不同用户评价动态，动态包括评价人、评价日期时间、课程所属学院、授课讲师、课程名称。</w:t>
            </w:r>
          </w:p>
          <w:p w14:paraId="3899D79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6.学院督导节数：支持统计并通过柱状图方式展示不同开课单位累计受评课程节数。</w:t>
            </w:r>
          </w:p>
          <w:p w14:paraId="0A0D4EB6">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【移动巡课】</w:t>
            </w:r>
          </w:p>
          <w:p w14:paraId="61C12FF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1.移动端听评课：平台支持通过H5链接提供移动端听评课功能；支持通过微信、手机浏览器打开，支持对课程视频进行上课中和已下课筛选。</w:t>
            </w:r>
          </w:p>
          <w:p w14:paraId="404FBF5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2.线上听评课：支持与平台的课表数据对接，支持根据课程名称、学院、授课教师、班级和课节时间信息查找课堂；巡课时支持自主切换教师全景、学生全景和电脑画面通道。</w:t>
            </w:r>
          </w:p>
          <w:p w14:paraId="0EDDAF36">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3.督导任务：支持查看管理员分配的督导任务，任务可显示规定完成时间、任务数量、任务类型、任务状态。</w:t>
            </w:r>
          </w:p>
          <w:p w14:paraId="2DA5DAAB">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4.线下评课：支持移动端线下评课，评课后的数据自动回传至平台，可在平台上查看评价记录。</w:t>
            </w:r>
          </w:p>
          <w:p w14:paraId="637BDCD2">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5.我的评价：移动端支持查看我的评价记录，包括评价的课程信息、评价量表、评分及回放视频</w:t>
            </w:r>
          </w:p>
          <w:p w14:paraId="03897734">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6.搜索筛选：支持输入关键词搜索课程名称或老师进行搜索；支持查看历史记录，查询历史关键词信息；支持根据上课状态、上课时间、学院、建筑、场地条件筛选课程。</w:t>
            </w:r>
          </w:p>
          <w:p w14:paraId="4EC1420D">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7.pc端自动适配：在巡课页面转发分享访问链接，pc 端打开链接时页面自动适配成 pc 端效果。</w:t>
            </w:r>
          </w:p>
          <w:p w14:paraId="6B57957C">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8.记住播放进度：支持记住上次点播的播放进度，二次进入时自动跳转到对应进度播放。</w:t>
            </w:r>
          </w:p>
          <w:p w14:paraId="4EECA107">
            <w:pPr>
              <w:widowControl/>
              <w:numPr>
                <w:ilvl w:val="0"/>
                <w:numId w:val="0"/>
              </w:numPr>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9.主要功能通过H5方式对接统一身份认证后接入学校移动端门户。</w:t>
            </w:r>
          </w:p>
        </w:tc>
        <w:tc>
          <w:tcPr>
            <w:tcW w:w="961" w:type="dxa"/>
            <w:tcBorders>
              <w:top w:val="single" w:color="000000" w:sz="4" w:space="0"/>
              <w:left w:val="single" w:color="000000" w:sz="4" w:space="0"/>
              <w:bottom w:val="single" w:color="000000" w:sz="4" w:space="0"/>
              <w:right w:val="single" w:color="000000" w:sz="4" w:space="0"/>
            </w:tcBorders>
            <w:vAlign w:val="center"/>
          </w:tcPr>
          <w:p w14:paraId="4EFC595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套</w:t>
            </w:r>
          </w:p>
        </w:tc>
      </w:tr>
      <w:tr w14:paraId="129F34C7">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65D6E083">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30</w:t>
            </w:r>
          </w:p>
        </w:tc>
        <w:tc>
          <w:tcPr>
            <w:tcW w:w="1595" w:type="dxa"/>
            <w:tcBorders>
              <w:top w:val="single" w:color="000000" w:sz="4" w:space="0"/>
              <w:left w:val="single" w:color="000000" w:sz="4" w:space="0"/>
              <w:bottom w:val="single" w:color="000000" w:sz="4" w:space="0"/>
              <w:right w:val="single" w:color="000000" w:sz="4" w:space="0"/>
            </w:tcBorders>
            <w:vAlign w:val="center"/>
          </w:tcPr>
          <w:p w14:paraId="66DE3428">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教学管理平台</w:t>
            </w:r>
          </w:p>
        </w:tc>
        <w:tc>
          <w:tcPr>
            <w:tcW w:w="10643" w:type="dxa"/>
            <w:tcBorders>
              <w:top w:val="single" w:color="000000" w:sz="4" w:space="0"/>
              <w:left w:val="single" w:color="000000" w:sz="4" w:space="0"/>
              <w:bottom w:val="single" w:color="000000" w:sz="4" w:space="0"/>
              <w:right w:val="single" w:color="000000" w:sz="4" w:space="0"/>
            </w:tcBorders>
            <w:vAlign w:val="center"/>
          </w:tcPr>
          <w:p w14:paraId="798BA3E5">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1.系统采用B/S架构，以浏览器登录的管理方式，支持同一账号在多个终端同时登录；支持用户在安卓、IOS、Windows等操作系统通过浏览器登录并访问智能设备集中控制平台，支持账号密码登陆。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2.系统支持远程管理教室设备、控制教室设备、切换教学场景、查看监控画面；支持批量管理及独立控制设备，可批量控制教学场景切换。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3.系统支持监控画面的实时预览，同一个监控设备下不同角度的画面支持切换；支持对Windows电脑桌面实时预览及远程控制，采用网络唤醒和远程软件联动实现开机、关机功能。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4.系统支持自动化策略，包括自动开机策略、自动关机策略。策略可按周循环、按课表执行等重复模式，也可设定控制的教室范围、执行时间等，用户可随时启用/停用已设定的自动化策略。</w:t>
            </w:r>
            <w:r>
              <w:rPr>
                <w:rFonts w:hint="eastAsia" w:ascii="宋体" w:hAnsi="宋体" w:cs="宋体"/>
                <w:b/>
                <w:bCs/>
                <w:color w:val="auto"/>
                <w:kern w:val="0"/>
                <w:sz w:val="20"/>
                <w:szCs w:val="20"/>
                <w:highlight w:val="none"/>
                <w:lang w:bidi="ar"/>
              </w:rPr>
              <w:t>（此项需提供功能演示）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5.系统支持记录运维信息，记录故障内容、处理过程、解决情况，可按时间段筛选运维信息，支持Excel导出。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6.系统支持中控主机固件在线升级功能，支持远程对教室终端进行升级。系统支持对中控屏幕上的UI资源进行远程管理，支持本地一键下发资源到教室终端，实现中控屏幕UI在线更新，支持UI文件的增加、删除。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7.系统支持导入学校课程表内容，根据课表时间、地点自动开启/关闭设备。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8.系统支持查看刷卡日志信息记录，日志中包含设备信息，卡号信息，刷卡时间，刷卡结果。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9.系统支持IP对讲功能，通过终端可以呼叫后台人员，实现IP语音电话功能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系统支持远程配置设备，支持自定义设备基础信息，包括开关机提示音配置、UI选择、IP配置、VLAN配置；支持自定义设备物联配置，设备模型可以自定义关联添加或删除，设置成功后同步更新到触控面板；支持多设备关联控制，每类设备可添加≥60个；支持自定义场景配置，每台终端可定义≥5个教学场景，设置成功后同步更新到触控面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11.设备模型支持自定义编程，根据现场需求实时编辑模型功能；支持中控主机的接口功能自定义，一个中控接口可以接入不同类型的设备。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12.为实现智慧化管理，系统支持系统智能巡检设备，支持巡检设备类型的选择，包括中控、显示、扩声及录播设备等设备类型筛选；支持巡检周期、巡检时间的设置，系统巡检后自动生成巡检报告</w:t>
            </w:r>
            <w:r>
              <w:rPr>
                <w:rFonts w:hint="eastAsia" w:ascii="宋体" w:hAnsi="宋体" w:cs="宋体"/>
                <w:b/>
                <w:bCs/>
                <w:color w:val="auto"/>
                <w:kern w:val="0"/>
                <w:sz w:val="20"/>
                <w:szCs w:val="20"/>
                <w:highlight w:val="none"/>
                <w:lang w:bidi="ar"/>
              </w:rPr>
              <w:t>（此项需提供功能演示）</w:t>
            </w:r>
          </w:p>
        </w:tc>
        <w:tc>
          <w:tcPr>
            <w:tcW w:w="961" w:type="dxa"/>
            <w:tcBorders>
              <w:top w:val="single" w:color="000000" w:sz="4" w:space="0"/>
              <w:left w:val="single" w:color="000000" w:sz="4" w:space="0"/>
              <w:bottom w:val="single" w:color="000000" w:sz="4" w:space="0"/>
              <w:right w:val="single" w:color="000000" w:sz="4" w:space="0"/>
            </w:tcBorders>
            <w:vAlign w:val="center"/>
          </w:tcPr>
          <w:p w14:paraId="6C37DE89">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套</w:t>
            </w:r>
          </w:p>
        </w:tc>
      </w:tr>
      <w:tr w14:paraId="4EADD9F8">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6FD630A">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31</w:t>
            </w:r>
          </w:p>
        </w:tc>
        <w:tc>
          <w:tcPr>
            <w:tcW w:w="1595" w:type="dxa"/>
            <w:tcBorders>
              <w:top w:val="single" w:color="000000" w:sz="4" w:space="0"/>
              <w:left w:val="single" w:color="000000" w:sz="4" w:space="0"/>
              <w:bottom w:val="single" w:color="000000" w:sz="4" w:space="0"/>
              <w:right w:val="single" w:color="000000" w:sz="4" w:space="0"/>
            </w:tcBorders>
            <w:vAlign w:val="center"/>
          </w:tcPr>
          <w:p w14:paraId="35347B8B">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SIP 服务器</w:t>
            </w:r>
          </w:p>
        </w:tc>
        <w:tc>
          <w:tcPr>
            <w:tcW w:w="10643" w:type="dxa"/>
            <w:tcBorders>
              <w:top w:val="single" w:color="000000" w:sz="4" w:space="0"/>
              <w:left w:val="single" w:color="000000" w:sz="4" w:space="0"/>
              <w:bottom w:val="single" w:color="000000" w:sz="4" w:space="0"/>
              <w:right w:val="single" w:color="000000" w:sz="4" w:space="0"/>
            </w:tcBorders>
            <w:vAlign w:val="center"/>
          </w:tcPr>
          <w:p w14:paraId="2C0EFB8B">
            <w:pPr>
              <w:widowControl/>
              <w:jc w:val="left"/>
              <w:textAlignment w:val="center"/>
              <w:rPr>
                <w:rFonts w:ascii="宋体" w:hAnsi="宋体" w:cs="宋体"/>
                <w:b/>
                <w:bCs/>
                <w:color w:val="auto"/>
                <w:kern w:val="0"/>
                <w:sz w:val="20"/>
                <w:szCs w:val="20"/>
                <w:highlight w:val="none"/>
                <w:lang w:bidi="ar"/>
              </w:rPr>
            </w:pPr>
            <w:r>
              <w:rPr>
                <w:rFonts w:hint="eastAsia" w:ascii="宋体" w:hAnsi="宋体" w:cs="宋体"/>
                <w:color w:val="auto"/>
                <w:kern w:val="0"/>
                <w:sz w:val="20"/>
                <w:szCs w:val="20"/>
                <w:highlight w:val="none"/>
                <w:lang w:bidi="ar"/>
              </w:rPr>
              <w:t>▲1.符合《国家教育考试网上巡查系统视频标准技术规范（2017版）》技术要求；</w:t>
            </w:r>
            <w:r>
              <w:rPr>
                <w:rFonts w:hint="eastAsia" w:ascii="宋体" w:hAnsi="宋体" w:cs="宋体"/>
                <w:b/>
                <w:bCs/>
                <w:color w:val="auto"/>
                <w:kern w:val="0"/>
                <w:sz w:val="20"/>
                <w:szCs w:val="20"/>
                <w:highlight w:val="none"/>
                <w:lang w:bidi="ar"/>
              </w:rPr>
              <w:t>提供承诺书，否则投标无效。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2.符合《公共安全视频监控联网信息安全技术要求》GB35114-2017标准；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▲3.应满足国家教育考试国家教育考试综合平台建设与服务标准要求，确保跟杭州市2019年教育考试院已建平台和2021年人事考试院已建平台在信令完整、数据完整、数据加密的前提下实现无缝对接；</w:t>
            </w:r>
            <w:r>
              <w:rPr>
                <w:rFonts w:hint="eastAsia" w:ascii="宋体" w:hAnsi="宋体" w:cs="宋体"/>
                <w:b/>
                <w:bCs/>
                <w:color w:val="auto"/>
                <w:kern w:val="0"/>
                <w:sz w:val="20"/>
                <w:szCs w:val="20"/>
                <w:highlight w:val="none"/>
                <w:lang w:bidi="ar"/>
              </w:rPr>
              <w:t>（提供承诺书，承诺合同签订后3个工作日内，投标人必须完成互联互通测试）</w:t>
            </w:r>
          </w:p>
          <w:p w14:paraId="223EFC3D">
            <w:pPr>
              <w:widowControl/>
              <w:numPr>
                <w:ilvl w:val="255"/>
                <w:numId w:val="0"/>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4.在本地能展示运行状态，如SIP工作状态、转发工作状态、平台间SIP注册状对前端设备统一管理，实时查看设备在线状态。</w:t>
            </w:r>
          </w:p>
          <w:p w14:paraId="60204F74">
            <w:pPr>
              <w:widowControl/>
              <w:numPr>
                <w:ilvl w:val="255"/>
                <w:numId w:val="0"/>
              </w:numPr>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5.在杭州市考试院SIP 服务器可查看下级SIP注册状态。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6.支持标准SIP2.0,具有SIP 地址解息、信令转发、流媒体的NAT 穿越。支持SIP URI统一命名规则、分级命名、联合定位。具有实现SIP URI组、用户、树形列表管理，SIP 终端的接入认证功能，SIP 终端访问呼叫过程控制功能，能对SIP 终端远程访问权限控制。具有建立SIP 路由器间的信任关系，多级注册功能，媒体流的汇聚功能；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7.具有1000M 或以上的以太网接口；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8.采用嵌入式架构，国产CPU，具备Linux操作系统，自主可控，具有抗病毒和抗攻击能力。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9.内置符合国密SM1/SM2/SM3/SM4算法的密码芯片。</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10.投标文件中提供上述第8、9项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2F956228">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台</w:t>
            </w:r>
          </w:p>
        </w:tc>
      </w:tr>
      <w:tr w14:paraId="5C2E6DEB">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7F18EF42">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32</w:t>
            </w:r>
          </w:p>
        </w:tc>
        <w:tc>
          <w:tcPr>
            <w:tcW w:w="1595" w:type="dxa"/>
            <w:tcBorders>
              <w:top w:val="single" w:color="000000" w:sz="4" w:space="0"/>
              <w:left w:val="single" w:color="000000" w:sz="4" w:space="0"/>
              <w:bottom w:val="single" w:color="000000" w:sz="4" w:space="0"/>
              <w:right w:val="single" w:color="000000" w:sz="4" w:space="0"/>
            </w:tcBorders>
            <w:vAlign w:val="center"/>
          </w:tcPr>
          <w:p w14:paraId="1E4483B1">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4路网络音视频解码器</w:t>
            </w:r>
          </w:p>
        </w:tc>
        <w:tc>
          <w:tcPr>
            <w:tcW w:w="10643" w:type="dxa"/>
            <w:tcBorders>
              <w:top w:val="single" w:color="000000" w:sz="4" w:space="0"/>
              <w:left w:val="single" w:color="000000" w:sz="4" w:space="0"/>
              <w:bottom w:val="single" w:color="000000" w:sz="4" w:space="0"/>
              <w:right w:val="single" w:color="000000" w:sz="4" w:space="0"/>
            </w:tcBorders>
            <w:vAlign w:val="center"/>
          </w:tcPr>
          <w:p w14:paraId="50461AEC">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▲1.符合《国家教育考试网上巡查系统视频标准技术规范（2017版）》技术要求；</w:t>
            </w:r>
            <w:r>
              <w:rPr>
                <w:rFonts w:hint="eastAsia" w:ascii="宋体" w:hAnsi="宋体" w:cs="宋体"/>
                <w:b/>
                <w:bCs/>
                <w:color w:val="auto"/>
                <w:kern w:val="0"/>
                <w:sz w:val="20"/>
                <w:szCs w:val="20"/>
                <w:highlight w:val="none"/>
                <w:lang w:bidi="ar"/>
              </w:rPr>
              <w:t>提供承诺书，否则投标无效。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2.符合《公共安全视频监控联网信息安全技术要求》GB35114-2017标准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3.高清升级支持H.264、H.265视频编码标准，图像分辨率支持主码流1080P，子码流支持720P。支持G.711、AAC音频编码标准，并支持Program Stream系统流和Transition Stream传输流的封装。H.264的具体要求符合ISO/IEC14496-10高级视频编码AVC标准；H.265的具体要求符合ITU-T制定的视频编码HEVC标准；G.711的具体要求符合ITU-T G.711标准；AAC的具体要求符合ISO 14496-3 Audio标准；Program Stream系统流和Transition Stream传输流的封装标准应遵照ISO/IEC-13818-1(2000 版本)的具体规定。兼容符合2007规范规定的MPEG4视频编码格式（Advanced Simple Profile不带B帧，不带GMC），MPEG Layer II音频编码标准。可对原有标清系统编码进行视频解码。具有兼容性，支持更多的音视频编码标准；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4.解码通道可单路或多路，视频输出应为符合 DVI、HDMI等高清接口。支持不少于4路HDMI或DVI接口,输入接口：2路，HDMI或者DVI接口，标配转接头支持VGA，支持1080P/720P/UXGA/SXGA+/SXGA/XGA/SVGA/VGA分辨率。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5.10M/100M/1000M 自适应以太网口、 支持 UDP 单播，支持 TCP/IP、IPv4、IPv6、 HTTP、UPnP、 NTP、SNMP、PPPoE、DNS、FTP、 ONVIF、 SIP、RTP、RTCP、GB28181、GB35114 等网络协议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6.具有报警联动，报警时应能自动切换到对应的视频通道；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7.产品内置SIP-UA。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8.采用嵌入式架构，国产CPU，具备Linux操作系统，自主可控，具有抗病毒和抗攻击能力。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9.内置符合国密SM1/SM2/SM3/SM4算法的密码芯片。</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10.投标文件中提供上述第7、8、9项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16241D9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台</w:t>
            </w:r>
          </w:p>
        </w:tc>
      </w:tr>
      <w:tr w14:paraId="4219FDBA">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740BF5C">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33</w:t>
            </w:r>
          </w:p>
        </w:tc>
        <w:tc>
          <w:tcPr>
            <w:tcW w:w="1595" w:type="dxa"/>
            <w:tcBorders>
              <w:top w:val="single" w:color="000000" w:sz="4" w:space="0"/>
              <w:left w:val="single" w:color="000000" w:sz="4" w:space="0"/>
              <w:bottom w:val="single" w:color="000000" w:sz="4" w:space="0"/>
              <w:right w:val="single" w:color="000000" w:sz="4" w:space="0"/>
            </w:tcBorders>
            <w:vAlign w:val="center"/>
          </w:tcPr>
          <w:p w14:paraId="1523448E">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64路NVR存储设备</w:t>
            </w:r>
          </w:p>
        </w:tc>
        <w:tc>
          <w:tcPr>
            <w:tcW w:w="10643" w:type="dxa"/>
            <w:tcBorders>
              <w:top w:val="single" w:color="000000" w:sz="4" w:space="0"/>
              <w:left w:val="single" w:color="000000" w:sz="4" w:space="0"/>
              <w:bottom w:val="single" w:color="000000" w:sz="4" w:space="0"/>
              <w:right w:val="single" w:color="000000" w:sz="4" w:space="0"/>
            </w:tcBorders>
            <w:vAlign w:val="center"/>
          </w:tcPr>
          <w:p w14:paraId="12A688FD">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▲1.符合《国家教育考试网上巡查系统视频标准技术规范（2017版）》技术要求；</w:t>
            </w:r>
            <w:r>
              <w:rPr>
                <w:rFonts w:hint="eastAsia" w:ascii="宋体" w:hAnsi="宋体" w:cs="宋体"/>
                <w:b/>
                <w:bCs/>
                <w:color w:val="auto"/>
                <w:kern w:val="0"/>
                <w:sz w:val="20"/>
                <w:szCs w:val="20"/>
                <w:highlight w:val="none"/>
                <w:lang w:bidi="ar"/>
              </w:rPr>
              <w:t>提供承诺书，否则投标无效。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2.符合《公共安全视频监控联网信息安全技术要求》GB35114-2017标准；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3.支持网络64路1080P视频输入及IPC复合音频输入；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可支持扩展不少于 8 个 SATA 接口（可热插 拔），支持 Raid0、Raid1、 Raid5, Raid6、 Raid10、JBOD 等多种数据模。支持 USB 本地备份、USBDVD 刻录机备份、 eSata 接口同步备份、Web 端网络下载备份， 支持 8 块以上 8T 容量的 SATA 硬盘，可用于 录像和备份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可支持扩展不少于 4 个 RJ45 10/100/1000M bps 自适应以太网口。支持负载均衡和四网 分离，支持容错模式，可将 4 个网络接口绑 定为 1 个 IP 地址．当其中 1 个网络接口损 坏时仍能正常工作，支持不少于 2 个千兆光口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具有 RS232、RS485、USB、SATA、以太网、 报警输入输出接口、音频输入输出接口、 HDMI 接口，可扩展支持 VGA、BNC及 eSATA 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4.设备应有数字时钟显示（OSD）功能；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录像功能应包括手动、定时、报警触发录像功能。应支持时间同步功能，支持网络时间协议（NTP）。设备应具有日志功能，并且提供日志启用／关闭／控制接口。日志可存储在本地设备，也可以存储在中心日志服务器上。当日志存储在本地时，日志内容应包括模块名称、时间、描述信息；当存储到中心时，应再加上详细的位置信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 IP 单播技术；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7.应具有可设定的点对点、点对多点传输能力；多通道设备应支持多点对一点或多点对多点的切换控制功能；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8.具有视频移动侦测能力，可根据设置策略实现相应的编码、传输、存储或视频报警；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9.在重要场所或特殊应用时，应具有设备认证功能、防篡改功能及加密传输能力；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10.产品内置SIP-UA。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11.采用嵌入式架构，国产CPU，具备实时Linux操作系统，自主可控，具有抗病毒和抗攻击能力。</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12.内置符合国密SM1/SM2/SM3/SM4算法的密码芯片。</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13.投标文件中提供上述第10、12项</w:t>
            </w:r>
            <w:r>
              <w:rPr>
                <w:rFonts w:hint="eastAsia" w:ascii="宋体" w:hAnsi="宋体" w:cs="宋体"/>
                <w:b/>
                <w:bCs/>
                <w:color w:val="auto"/>
                <w:kern w:val="0"/>
                <w:sz w:val="20"/>
                <w:szCs w:val="20"/>
                <w:highlight w:val="none"/>
                <w:lang w:val="en-US" w:eastAsia="zh-CN" w:bidi="ar"/>
              </w:rPr>
              <w:t>的</w:t>
            </w:r>
            <w:r>
              <w:rPr>
                <w:rFonts w:hint="eastAsia" w:ascii="宋体" w:hAnsi="宋体" w:cs="宋体"/>
                <w:b/>
                <w:bCs/>
                <w:color w:val="auto"/>
                <w:kern w:val="0"/>
                <w:sz w:val="20"/>
                <w:szCs w:val="20"/>
                <w:highlight w:val="none"/>
                <w:lang w:bidi="ar"/>
              </w:rPr>
              <w:t>参数</w:t>
            </w:r>
            <w:r>
              <w:rPr>
                <w:rFonts w:hint="eastAsia" w:ascii="宋体" w:hAnsi="宋体" w:cs="宋体"/>
                <w:b/>
                <w:bCs/>
                <w:color w:val="auto"/>
                <w:kern w:val="0"/>
                <w:sz w:val="20"/>
                <w:szCs w:val="20"/>
                <w:highlight w:val="none"/>
                <w:lang w:val="en-US" w:eastAsia="zh-CN" w:bidi="ar"/>
              </w:rPr>
              <w:t>佐证材料</w:t>
            </w:r>
            <w:r>
              <w:rPr>
                <w:rFonts w:hint="eastAsia" w:ascii="宋体" w:hAnsi="宋体" w:cs="宋体"/>
                <w:b/>
                <w:bCs/>
                <w:color w:val="auto"/>
                <w:kern w:val="0"/>
                <w:sz w:val="20"/>
                <w:szCs w:val="20"/>
                <w:highlight w:val="none"/>
                <w:lang w:bidi="ar"/>
              </w:rPr>
              <w:t>，未提供证明材料或者低于该技术指标的，视为对应参数负偏离。</w:t>
            </w:r>
          </w:p>
        </w:tc>
        <w:tc>
          <w:tcPr>
            <w:tcW w:w="961" w:type="dxa"/>
            <w:tcBorders>
              <w:top w:val="single" w:color="000000" w:sz="4" w:space="0"/>
              <w:left w:val="single" w:color="000000" w:sz="4" w:space="0"/>
              <w:bottom w:val="single" w:color="000000" w:sz="4" w:space="0"/>
              <w:right w:val="single" w:color="000000" w:sz="4" w:space="0"/>
            </w:tcBorders>
            <w:vAlign w:val="center"/>
          </w:tcPr>
          <w:p w14:paraId="3B7864A7">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台</w:t>
            </w:r>
          </w:p>
        </w:tc>
      </w:tr>
      <w:tr w14:paraId="101D8370">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73F5CDD">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34</w:t>
            </w:r>
          </w:p>
        </w:tc>
        <w:tc>
          <w:tcPr>
            <w:tcW w:w="1595" w:type="dxa"/>
            <w:tcBorders>
              <w:top w:val="single" w:color="000000" w:sz="4" w:space="0"/>
              <w:left w:val="single" w:color="000000" w:sz="4" w:space="0"/>
              <w:bottom w:val="single" w:color="000000" w:sz="4" w:space="0"/>
              <w:right w:val="single" w:color="000000" w:sz="4" w:space="0"/>
            </w:tcBorders>
            <w:vAlign w:val="center"/>
          </w:tcPr>
          <w:p w14:paraId="406B73CD">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硬盘</w:t>
            </w:r>
          </w:p>
        </w:tc>
        <w:tc>
          <w:tcPr>
            <w:tcW w:w="10643" w:type="dxa"/>
            <w:tcBorders>
              <w:top w:val="single" w:color="000000" w:sz="4" w:space="0"/>
              <w:left w:val="single" w:color="000000" w:sz="4" w:space="0"/>
              <w:bottom w:val="single" w:color="000000" w:sz="4" w:space="0"/>
              <w:right w:val="single" w:color="000000" w:sz="4" w:space="0"/>
            </w:tcBorders>
            <w:vAlign w:val="center"/>
          </w:tcPr>
          <w:p w14:paraId="1739A561">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8T、7200 转</w:t>
            </w:r>
          </w:p>
        </w:tc>
        <w:tc>
          <w:tcPr>
            <w:tcW w:w="961" w:type="dxa"/>
            <w:tcBorders>
              <w:top w:val="single" w:color="000000" w:sz="4" w:space="0"/>
              <w:left w:val="single" w:color="000000" w:sz="4" w:space="0"/>
              <w:bottom w:val="single" w:color="000000" w:sz="4" w:space="0"/>
              <w:right w:val="single" w:color="000000" w:sz="4" w:space="0"/>
            </w:tcBorders>
            <w:vAlign w:val="center"/>
          </w:tcPr>
          <w:p w14:paraId="16B2E920">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8块</w:t>
            </w:r>
          </w:p>
        </w:tc>
      </w:tr>
      <w:tr w14:paraId="5B86A1FB">
        <w:tblPrEx>
          <w:tblCellMar>
            <w:top w:w="0" w:type="dxa"/>
            <w:left w:w="108" w:type="dxa"/>
            <w:bottom w:w="0" w:type="dxa"/>
            <w:right w:w="108" w:type="dxa"/>
          </w:tblCellMar>
        </w:tblPrEx>
        <w:trPr>
          <w:trHeight w:val="416"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15DF864">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35</w:t>
            </w:r>
          </w:p>
        </w:tc>
        <w:tc>
          <w:tcPr>
            <w:tcW w:w="1595" w:type="dxa"/>
            <w:tcBorders>
              <w:top w:val="single" w:color="000000" w:sz="4" w:space="0"/>
              <w:left w:val="single" w:color="000000" w:sz="4" w:space="0"/>
              <w:bottom w:val="single" w:color="000000" w:sz="4" w:space="0"/>
              <w:right w:val="single" w:color="000000" w:sz="4" w:space="0"/>
            </w:tcBorders>
            <w:vAlign w:val="center"/>
          </w:tcPr>
          <w:p w14:paraId="3B70CAE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教育考试网上巡查系统软件</w:t>
            </w:r>
          </w:p>
        </w:tc>
        <w:tc>
          <w:tcPr>
            <w:tcW w:w="10643" w:type="dxa"/>
            <w:tcBorders>
              <w:top w:val="single" w:color="000000" w:sz="4" w:space="0"/>
              <w:left w:val="single" w:color="000000" w:sz="4" w:space="0"/>
              <w:bottom w:val="single" w:color="000000" w:sz="4" w:space="0"/>
              <w:right w:val="single" w:color="000000" w:sz="4" w:space="0"/>
            </w:tcBorders>
            <w:vAlign w:val="center"/>
          </w:tcPr>
          <w:p w14:paraId="6243B219">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▲1.符合《国家教育考试网上巡查系统视频标准技术规范（2017版）》；</w:t>
            </w:r>
            <w:r>
              <w:rPr>
                <w:rFonts w:hint="eastAsia" w:ascii="宋体" w:hAnsi="宋体" w:cs="宋体"/>
                <w:b/>
                <w:bCs/>
                <w:color w:val="auto"/>
                <w:kern w:val="0"/>
                <w:sz w:val="20"/>
                <w:szCs w:val="20"/>
                <w:highlight w:val="none"/>
                <w:lang w:bidi="ar"/>
              </w:rPr>
              <w:t>提供承诺书，否则投标无效。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实现监控点音视频点播、历史音视频流的检索与回放、对考生的人脸识别、对考场内异常轨迹的检测并发出警告、存储和备份、报警联动、切换、轮巡、设备控制等功能，对网上巡查系统的用户、权限、设备、安全等进行管理。管理SIP域，形成URI树，配置SIP注册服务器，并提供音视频存储、转发、Web等服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3.提供二次开发接口，特别是与综合管理平台的接口以进行数据交互，允许第三方软件对其进行链接启动、嵌入管理；</w:t>
            </w:r>
          </w:p>
          <w:p w14:paraId="6E88EEEF">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4.能对任意通道画面进行截图保存,对任意通道画面录像进行保存。</w:t>
            </w:r>
          </w:p>
          <w:p w14:paraId="35AFDB83">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5.能便于业主快速定位任意考点位置，查看实时音视频画面。</w:t>
            </w:r>
          </w:p>
          <w:p w14:paraId="46C5167D">
            <w:pPr>
              <w:widowControl/>
              <w:jc w:val="left"/>
              <w:textAlignment w:val="center"/>
              <w:rPr>
                <w:rFonts w:eastAsia="仿宋_GB2312"/>
                <w:color w:val="auto"/>
                <w:highlight w:val="none"/>
              </w:rPr>
            </w:pPr>
            <w:r>
              <w:rPr>
                <w:rFonts w:hint="eastAsia" w:ascii="宋体" w:hAnsi="宋体" w:cs="宋体"/>
                <w:color w:val="auto"/>
                <w:kern w:val="0"/>
                <w:sz w:val="20"/>
                <w:szCs w:val="20"/>
                <w:highlight w:val="none"/>
                <w:lang w:bidi="ar"/>
              </w:rPr>
              <w:t>6.在杭州市考试院原有巡查系统客户端可查看视频图像。</w:t>
            </w:r>
          </w:p>
        </w:tc>
        <w:tc>
          <w:tcPr>
            <w:tcW w:w="961" w:type="dxa"/>
            <w:tcBorders>
              <w:top w:val="single" w:color="000000" w:sz="4" w:space="0"/>
              <w:left w:val="single" w:color="000000" w:sz="4" w:space="0"/>
              <w:bottom w:val="single" w:color="000000" w:sz="4" w:space="0"/>
              <w:right w:val="single" w:color="000000" w:sz="4" w:space="0"/>
            </w:tcBorders>
            <w:vAlign w:val="center"/>
          </w:tcPr>
          <w:p w14:paraId="04CBD81D">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套</w:t>
            </w:r>
          </w:p>
        </w:tc>
      </w:tr>
      <w:tr w14:paraId="2F01F23D">
        <w:tblPrEx>
          <w:tblCellMar>
            <w:top w:w="0" w:type="dxa"/>
            <w:left w:w="108" w:type="dxa"/>
            <w:bottom w:w="0" w:type="dxa"/>
            <w:right w:w="108" w:type="dxa"/>
          </w:tblCellMar>
        </w:tblPrEx>
        <w:trPr>
          <w:trHeight w:val="418"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25144BC4">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36</w:t>
            </w:r>
          </w:p>
        </w:tc>
        <w:tc>
          <w:tcPr>
            <w:tcW w:w="1595" w:type="dxa"/>
            <w:tcBorders>
              <w:top w:val="single" w:color="000000" w:sz="4" w:space="0"/>
              <w:left w:val="single" w:color="000000" w:sz="4" w:space="0"/>
              <w:bottom w:val="single" w:color="000000" w:sz="4" w:space="0"/>
              <w:right w:val="single" w:color="000000" w:sz="4" w:space="0"/>
            </w:tcBorders>
            <w:vAlign w:val="center"/>
          </w:tcPr>
          <w:p w14:paraId="3101F612">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机柜</w:t>
            </w:r>
          </w:p>
        </w:tc>
        <w:tc>
          <w:tcPr>
            <w:tcW w:w="10643" w:type="dxa"/>
            <w:tcBorders>
              <w:top w:val="single" w:color="000000" w:sz="4" w:space="0"/>
              <w:left w:val="single" w:color="000000" w:sz="4" w:space="0"/>
              <w:bottom w:val="single" w:color="000000" w:sz="4" w:space="0"/>
              <w:right w:val="single" w:color="000000" w:sz="4" w:space="0"/>
            </w:tcBorders>
            <w:vAlign w:val="center"/>
          </w:tcPr>
          <w:p w14:paraId="4A0D28D1">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42U服务器网络机柜</w:t>
            </w:r>
          </w:p>
        </w:tc>
        <w:tc>
          <w:tcPr>
            <w:tcW w:w="961" w:type="dxa"/>
            <w:tcBorders>
              <w:top w:val="single" w:color="000000" w:sz="4" w:space="0"/>
              <w:left w:val="single" w:color="000000" w:sz="4" w:space="0"/>
              <w:bottom w:val="single" w:color="000000" w:sz="4" w:space="0"/>
              <w:right w:val="single" w:color="000000" w:sz="4" w:space="0"/>
            </w:tcBorders>
            <w:vAlign w:val="center"/>
          </w:tcPr>
          <w:p w14:paraId="41D68C4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w:t>
            </w:r>
            <w:r>
              <w:rPr>
                <w:rFonts w:hint="eastAsia" w:ascii="宋体" w:hAnsi="宋体" w:cs="宋体"/>
                <w:color w:val="auto"/>
                <w:kern w:val="0"/>
                <w:szCs w:val="21"/>
                <w:highlight w:val="none"/>
                <w:lang w:bidi="ar"/>
              </w:rPr>
              <w:t>个</w:t>
            </w:r>
          </w:p>
        </w:tc>
      </w:tr>
      <w:tr w14:paraId="423FC51F">
        <w:tblPrEx>
          <w:tblCellMar>
            <w:top w:w="0" w:type="dxa"/>
            <w:left w:w="108" w:type="dxa"/>
            <w:bottom w:w="0" w:type="dxa"/>
            <w:right w:w="108" w:type="dxa"/>
          </w:tblCellMar>
        </w:tblPrEx>
        <w:trPr>
          <w:trHeight w:val="47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0EEC98ED">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37</w:t>
            </w:r>
          </w:p>
        </w:tc>
        <w:tc>
          <w:tcPr>
            <w:tcW w:w="1595" w:type="dxa"/>
            <w:tcBorders>
              <w:top w:val="single" w:color="000000" w:sz="4" w:space="0"/>
              <w:left w:val="single" w:color="000000" w:sz="4" w:space="0"/>
              <w:bottom w:val="single" w:color="000000" w:sz="4" w:space="0"/>
              <w:right w:val="single" w:color="000000" w:sz="4" w:space="0"/>
            </w:tcBorders>
            <w:vAlign w:val="center"/>
          </w:tcPr>
          <w:p w14:paraId="6D6E3E79">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多媒体播放器</w:t>
            </w:r>
          </w:p>
        </w:tc>
        <w:tc>
          <w:tcPr>
            <w:tcW w:w="10643" w:type="dxa"/>
            <w:tcBorders>
              <w:top w:val="single" w:color="000000" w:sz="4" w:space="0"/>
              <w:left w:val="single" w:color="000000" w:sz="4" w:space="0"/>
              <w:bottom w:val="single" w:color="000000" w:sz="4" w:space="0"/>
              <w:right w:val="single" w:color="000000" w:sz="4" w:space="0"/>
            </w:tcBorders>
            <w:vAlign w:val="center"/>
          </w:tcPr>
          <w:p w14:paraId="6AFEE7DD">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1.铝质1U黑色拉丝面板，机架式安装；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2.通电自动播放，悠闲红外线远距离全功能遥控；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3.自动播出控制，全数码伺服；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4.兼容DVD、VCD、CD、MP3、SVCD、MPEG4等格式的碟片；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5.系统+ESS解码方案，超强纠错功能；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6.自带MP3读卡器，可插入U盘进行播放；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7.具有高清视频输出接口；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8.音频输出：0.775V±0.2V(输出阻抗600欧)；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9.视频输出：0.775V±0.2V(输出阻抗75欧)；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10.失真加噪音：≤-60dB；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11.音频信噪比：≥80dB；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12.频率响应：20Hz~18KHz；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13.电 源 线：(3×0.5 mm2)×1.5M  (标准)；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14.电    源：AC220V±10% 50~60Hz；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15.功    率：10~15W；</w:t>
            </w:r>
          </w:p>
        </w:tc>
        <w:tc>
          <w:tcPr>
            <w:tcW w:w="961" w:type="dxa"/>
            <w:tcBorders>
              <w:top w:val="single" w:color="000000" w:sz="4" w:space="0"/>
              <w:left w:val="single" w:color="000000" w:sz="4" w:space="0"/>
              <w:bottom w:val="single" w:color="000000" w:sz="4" w:space="0"/>
              <w:right w:val="single" w:color="000000" w:sz="4" w:space="0"/>
            </w:tcBorders>
            <w:vAlign w:val="center"/>
          </w:tcPr>
          <w:p w14:paraId="2FFF9893">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w:t>
            </w:r>
            <w:r>
              <w:rPr>
                <w:rFonts w:hint="eastAsia" w:ascii="宋体" w:hAnsi="宋体" w:cs="宋体"/>
                <w:color w:val="auto"/>
                <w:kern w:val="0"/>
                <w:szCs w:val="21"/>
                <w:highlight w:val="none"/>
                <w:lang w:bidi="ar"/>
              </w:rPr>
              <w:t>台</w:t>
            </w:r>
          </w:p>
        </w:tc>
      </w:tr>
      <w:tr w14:paraId="3D02ABB1">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9E466C3">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38</w:t>
            </w:r>
          </w:p>
        </w:tc>
        <w:tc>
          <w:tcPr>
            <w:tcW w:w="1595" w:type="dxa"/>
            <w:tcBorders>
              <w:top w:val="single" w:color="000000" w:sz="4" w:space="0"/>
              <w:left w:val="single" w:color="000000" w:sz="4" w:space="0"/>
              <w:bottom w:val="single" w:color="000000" w:sz="4" w:space="0"/>
              <w:right w:val="single" w:color="000000" w:sz="4" w:space="0"/>
            </w:tcBorders>
            <w:vAlign w:val="center"/>
          </w:tcPr>
          <w:p w14:paraId="48B166B0">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程控调频发射机</w:t>
            </w:r>
          </w:p>
        </w:tc>
        <w:tc>
          <w:tcPr>
            <w:tcW w:w="10643" w:type="dxa"/>
            <w:tcBorders>
              <w:top w:val="single" w:color="000000" w:sz="4" w:space="0"/>
              <w:left w:val="single" w:color="000000" w:sz="4" w:space="0"/>
              <w:bottom w:val="single" w:color="000000" w:sz="4" w:space="0"/>
              <w:right w:val="single" w:color="000000" w:sz="4" w:space="0"/>
            </w:tcBorders>
            <w:vAlign w:val="center"/>
          </w:tcPr>
          <w:p w14:paraId="361764CD">
            <w:pPr>
              <w:widowControl/>
              <w:jc w:val="left"/>
              <w:textAlignment w:val="center"/>
              <w:rPr>
                <w:rFonts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一、产品功能：</w:t>
            </w:r>
          </w:p>
          <w:p w14:paraId="4E34ABEA">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1.采用≥3.2寸彩色液晶显示、微电脑锁相环、频率精确、绝无频漂；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2.采用RDS编码、326个独立控制码、可远程修改接收端频率、音量；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3.采用连续发码的方式、能在5秒内完成对326个接收机的远程控制；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4.采用SMT贴片工艺、性能稳定可靠；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5.时间日期、发射频率、正向功率、反向功率、功放温度、定时任务由2寸彩色液晶显示；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6.50组定时开关机任务、可实现定时、定曲、定区、定号设置；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7.外置2G内存SD卡，完美的MP3操作界面、可显歌曲名、歌曲持续时间、上下首、单曲循环、暂停/停止；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8.两路音频输入、一路主控音频输入、一路音频输出、两路话筒输入、一路带控制AC电源输出；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9.驻波比过大保护、功放温度过高保护；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10.可接电脑软件、无限次自动定时任务编程；</w:t>
            </w:r>
            <w:r>
              <w:rPr>
                <w:rFonts w:hint="eastAsia" w:ascii="宋体" w:hAnsi="宋体" w:cs="宋体"/>
                <w:color w:val="auto"/>
                <w:kern w:val="0"/>
                <w:sz w:val="20"/>
                <w:szCs w:val="20"/>
                <w:highlight w:val="none"/>
                <w:lang w:bidi="ar"/>
              </w:rPr>
              <w:br w:type="textWrapping"/>
            </w:r>
            <w:r>
              <w:rPr>
                <w:rFonts w:hint="eastAsia" w:ascii="宋体" w:hAnsi="宋体" w:cs="宋体"/>
                <w:b/>
                <w:bCs/>
                <w:color w:val="auto"/>
                <w:kern w:val="0"/>
                <w:sz w:val="20"/>
                <w:szCs w:val="20"/>
                <w:highlight w:val="none"/>
                <w:lang w:bidi="ar"/>
              </w:rPr>
              <w:t>二、技术参数：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1．发射频率:76-108MHz（可调）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2．频率步进:50KHz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3．频率稳定度:1×10</w:t>
            </w:r>
            <w:r>
              <w:rPr>
                <w:rFonts w:hint="eastAsia" w:ascii="宋体" w:hAnsi="宋体" w:cs="宋体"/>
                <w:color w:val="auto"/>
                <w:kern w:val="0"/>
                <w:sz w:val="20"/>
                <w:szCs w:val="20"/>
                <w:highlight w:val="none"/>
                <w:vertAlign w:val="superscript"/>
                <w:lang w:bidi="ar"/>
              </w:rPr>
              <w:t>-6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4．稳频方式:PLL锁相环频率合成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5．调制方式:FM 峰值偏差±75KHz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6．立体声信噪比:≥66db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7．稳健运行温度:≥-20至55℃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8．立体声分离度:-45db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9．音频失真:≤ 0.2%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10．音频响应:80-10kHz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11．谐波抑制:≤-60db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12．预加重:75us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13．射频输出阻抗:50Ω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14．射频输出功率:100W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15．工作方式:连续工作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16．电源电压:AC-220V±20% DC-12V</w:t>
            </w:r>
          </w:p>
        </w:tc>
        <w:tc>
          <w:tcPr>
            <w:tcW w:w="961" w:type="dxa"/>
            <w:tcBorders>
              <w:top w:val="single" w:color="000000" w:sz="4" w:space="0"/>
              <w:left w:val="single" w:color="000000" w:sz="4" w:space="0"/>
              <w:bottom w:val="single" w:color="000000" w:sz="4" w:space="0"/>
              <w:right w:val="single" w:color="000000" w:sz="4" w:space="0"/>
            </w:tcBorders>
            <w:vAlign w:val="center"/>
          </w:tcPr>
          <w:p w14:paraId="2F1F00BE">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2</w:t>
            </w:r>
            <w:r>
              <w:rPr>
                <w:rFonts w:hint="eastAsia" w:ascii="宋体" w:hAnsi="宋体" w:cs="宋体"/>
                <w:color w:val="auto"/>
                <w:kern w:val="0"/>
                <w:szCs w:val="21"/>
                <w:highlight w:val="none"/>
                <w:lang w:bidi="ar"/>
              </w:rPr>
              <w:t>台</w:t>
            </w:r>
          </w:p>
        </w:tc>
      </w:tr>
      <w:tr w14:paraId="3DD7246A">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C779DEE">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39</w:t>
            </w:r>
          </w:p>
        </w:tc>
        <w:tc>
          <w:tcPr>
            <w:tcW w:w="1595" w:type="dxa"/>
            <w:tcBorders>
              <w:top w:val="single" w:color="000000" w:sz="4" w:space="0"/>
              <w:left w:val="single" w:color="000000" w:sz="4" w:space="0"/>
              <w:bottom w:val="single" w:color="000000" w:sz="4" w:space="0"/>
              <w:right w:val="single" w:color="000000" w:sz="4" w:space="0"/>
            </w:tcBorders>
            <w:vAlign w:val="center"/>
          </w:tcPr>
          <w:p w14:paraId="128223E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系统避雷器</w:t>
            </w:r>
          </w:p>
        </w:tc>
        <w:tc>
          <w:tcPr>
            <w:tcW w:w="10643" w:type="dxa"/>
            <w:tcBorders>
              <w:top w:val="single" w:color="000000" w:sz="4" w:space="0"/>
              <w:left w:val="single" w:color="000000" w:sz="4" w:space="0"/>
              <w:bottom w:val="single" w:color="000000" w:sz="4" w:space="0"/>
              <w:right w:val="single" w:color="000000" w:sz="4" w:space="0"/>
            </w:tcBorders>
            <w:vAlign w:val="center"/>
          </w:tcPr>
          <w:p w14:paraId="54E05427">
            <w:pPr>
              <w:widowControl/>
              <w:numPr>
                <w:ilvl w:val="255"/>
                <w:numId w:val="0"/>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1.频率范围DC-2500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2.电压驻波比×4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3.峰值功率200W</w:t>
            </w:r>
          </w:p>
          <w:p w14:paraId="5A8920B9">
            <w:pPr>
              <w:widowControl/>
              <w:numPr>
                <w:ilvl w:val="255"/>
                <w:numId w:val="0"/>
              </w:numPr>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4.放电开始电压DC230V</w:t>
            </w:r>
          </w:p>
          <w:p w14:paraId="14F7788B">
            <w:pPr>
              <w:widowControl/>
              <w:numPr>
                <w:ilvl w:val="255"/>
                <w:numId w:val="0"/>
              </w:numPr>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5.标称阻抗50欧姆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5.损耗0.1接头型号N-J外型</w:t>
            </w:r>
          </w:p>
        </w:tc>
        <w:tc>
          <w:tcPr>
            <w:tcW w:w="961" w:type="dxa"/>
            <w:tcBorders>
              <w:top w:val="single" w:color="000000" w:sz="4" w:space="0"/>
              <w:left w:val="single" w:color="000000" w:sz="4" w:space="0"/>
              <w:bottom w:val="single" w:color="000000" w:sz="4" w:space="0"/>
              <w:right w:val="single" w:color="000000" w:sz="4" w:space="0"/>
            </w:tcBorders>
            <w:vAlign w:val="center"/>
          </w:tcPr>
          <w:p w14:paraId="2BAFC01F">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1套</w:t>
            </w:r>
          </w:p>
        </w:tc>
      </w:tr>
      <w:tr w14:paraId="36BABAC3">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536405EC">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40</w:t>
            </w:r>
          </w:p>
        </w:tc>
        <w:tc>
          <w:tcPr>
            <w:tcW w:w="1595" w:type="dxa"/>
            <w:tcBorders>
              <w:top w:val="single" w:color="000000" w:sz="4" w:space="0"/>
              <w:left w:val="single" w:color="000000" w:sz="4" w:space="0"/>
              <w:bottom w:val="single" w:color="000000" w:sz="4" w:space="0"/>
              <w:right w:val="single" w:color="000000" w:sz="4" w:space="0"/>
            </w:tcBorders>
            <w:vAlign w:val="center"/>
          </w:tcPr>
          <w:p w14:paraId="434517BF">
            <w:pPr>
              <w:widowControl/>
              <w:jc w:val="center"/>
              <w:textAlignment w:val="center"/>
              <w:rPr>
                <w:rFonts w:ascii="宋体" w:hAnsi="宋体" w:cs="宋体"/>
                <w:b/>
                <w:bCs/>
                <w:color w:val="auto"/>
                <w:szCs w:val="21"/>
                <w:highlight w:val="none"/>
              </w:rPr>
            </w:pPr>
            <w:r>
              <w:rPr>
                <w:rFonts w:hint="eastAsia" w:ascii="宋体" w:hAnsi="宋体" w:cs="宋体"/>
                <w:color w:val="auto"/>
                <w:kern w:val="0"/>
                <w:sz w:val="20"/>
                <w:szCs w:val="20"/>
                <w:highlight w:val="none"/>
                <w:lang w:bidi="ar"/>
              </w:rPr>
              <w:t>户外调频发射天线</w:t>
            </w:r>
          </w:p>
        </w:tc>
        <w:tc>
          <w:tcPr>
            <w:tcW w:w="10643" w:type="dxa"/>
            <w:tcBorders>
              <w:top w:val="single" w:color="000000" w:sz="4" w:space="0"/>
              <w:left w:val="single" w:color="000000" w:sz="4" w:space="0"/>
              <w:bottom w:val="single" w:color="000000" w:sz="4" w:space="0"/>
              <w:right w:val="single" w:color="000000" w:sz="4" w:space="0"/>
            </w:tcBorders>
            <w:vAlign w:val="center"/>
          </w:tcPr>
          <w:p w14:paraId="07F107D3">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1.材质：镁铝合金材料，永久不怕锈；</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2.频率范围： 60-108 MHZ，5MHZ一段；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3.极化方式：垂直；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4.带宽：136；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5.增益：15dB；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6.电压驻波比: ≤1.5；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7.输入阻抗:50Ω；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8.最大承载功率:100W；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9.工作温度:-45℃～+65℃；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10.天线长度:≥1m；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11.支撑杆直径:Φ15-Φ30mm；</w:t>
            </w:r>
          </w:p>
        </w:tc>
        <w:tc>
          <w:tcPr>
            <w:tcW w:w="961" w:type="dxa"/>
            <w:tcBorders>
              <w:top w:val="single" w:color="000000" w:sz="4" w:space="0"/>
              <w:left w:val="single" w:color="000000" w:sz="4" w:space="0"/>
              <w:bottom w:val="single" w:color="000000" w:sz="4" w:space="0"/>
              <w:right w:val="single" w:color="000000" w:sz="4" w:space="0"/>
            </w:tcBorders>
            <w:vAlign w:val="center"/>
          </w:tcPr>
          <w:p w14:paraId="02DAAD26">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2套</w:t>
            </w:r>
          </w:p>
        </w:tc>
      </w:tr>
      <w:tr w14:paraId="23332EAB">
        <w:tblPrEx>
          <w:tblCellMar>
            <w:top w:w="0" w:type="dxa"/>
            <w:left w:w="108" w:type="dxa"/>
            <w:bottom w:w="0" w:type="dxa"/>
            <w:right w:w="108" w:type="dxa"/>
          </w:tblCellMar>
        </w:tblPrEx>
        <w:trPr>
          <w:trHeight w:val="600" w:hRule="atLeast"/>
          <w:jc w:val="center"/>
        </w:trPr>
        <w:tc>
          <w:tcPr>
            <w:tcW w:w="820" w:type="dxa"/>
            <w:tcBorders>
              <w:top w:val="single" w:color="000000" w:sz="4" w:space="0"/>
              <w:left w:val="single" w:color="000000" w:sz="4" w:space="0"/>
              <w:bottom w:val="single" w:color="000000" w:sz="4" w:space="0"/>
              <w:right w:val="single" w:color="000000" w:sz="4" w:space="0"/>
            </w:tcBorders>
            <w:vAlign w:val="center"/>
          </w:tcPr>
          <w:p w14:paraId="10493B40">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41</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5EBCFCDC">
            <w:pPr>
              <w:widowControl/>
              <w:jc w:val="center"/>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系统馈线</w:t>
            </w:r>
          </w:p>
        </w:tc>
        <w:tc>
          <w:tcPr>
            <w:tcW w:w="10643" w:type="dxa"/>
            <w:tcBorders>
              <w:top w:val="single" w:color="000000" w:sz="4" w:space="0"/>
              <w:left w:val="single" w:color="000000" w:sz="4" w:space="0"/>
              <w:bottom w:val="single" w:color="000000" w:sz="4" w:space="0"/>
              <w:right w:val="single" w:color="000000" w:sz="4" w:space="0"/>
            </w:tcBorders>
            <w:vAlign w:val="center"/>
          </w:tcPr>
          <w:p w14:paraId="79282474">
            <w:pPr>
              <w:widowControl/>
              <w:jc w:val="left"/>
              <w:textAlignment w:val="center"/>
              <w:rPr>
                <w:rFonts w:ascii="宋体" w:hAnsi="宋体" w:cs="宋体"/>
                <w:color w:val="auto"/>
                <w:szCs w:val="21"/>
                <w:highlight w:val="none"/>
              </w:rPr>
            </w:pPr>
            <w:r>
              <w:rPr>
                <w:rFonts w:hint="eastAsia" w:ascii="宋体" w:hAnsi="宋体" w:cs="宋体"/>
                <w:color w:val="auto"/>
                <w:kern w:val="0"/>
                <w:sz w:val="20"/>
                <w:szCs w:val="20"/>
                <w:highlight w:val="none"/>
                <w:lang w:bidi="ar"/>
              </w:rPr>
              <w:t>铜包铝内导体；阻抗50欧姆；低损耗物理发泡；双屏蔽；自粘铝箔+纯铜镀锡屏蔽网；168网；环保护套；护套抽真空设计；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1.内导体最大直流电阻（20℃）： ≤*5Ω/km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2.电容 ： 81 ±3pF/m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3.特性阻抗： 50±2Ω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4.火花试验电压：2000V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5.试验电压：2000V</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63A703CD">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 w:val="20"/>
                <w:szCs w:val="20"/>
                <w:highlight w:val="none"/>
                <w:lang w:bidi="ar"/>
              </w:rPr>
              <w:t>100米</w:t>
            </w:r>
          </w:p>
        </w:tc>
      </w:tr>
      <w:bookmarkEnd w:id="34"/>
    </w:tbl>
    <w:p w14:paraId="496A9CAD">
      <w:pPr>
        <w:rPr>
          <w:rFonts w:ascii="宋体" w:hAnsi="宋体" w:cs="宋体"/>
          <w:color w:val="auto"/>
          <w:kern w:val="0"/>
          <w:sz w:val="20"/>
          <w:szCs w:val="20"/>
          <w:highlight w:val="none"/>
          <w:lang w:bidi="ar"/>
        </w:rPr>
      </w:pPr>
    </w:p>
    <w:p w14:paraId="3F2E5C3D">
      <w:pPr>
        <w:rPr>
          <w:rFonts w:hint="eastAsia"/>
          <w:b/>
          <w:bCs/>
          <w:color w:val="auto"/>
          <w:sz w:val="20"/>
          <w:szCs w:val="20"/>
          <w:highlight w:val="none"/>
        </w:rPr>
      </w:pPr>
      <w:r>
        <w:rPr>
          <w:rFonts w:hint="eastAsia" w:ascii="宋体" w:hAnsi="宋体" w:cs="宋体"/>
          <w:color w:val="auto"/>
          <w:kern w:val="0"/>
          <w:sz w:val="20"/>
          <w:szCs w:val="20"/>
          <w:highlight w:val="none"/>
          <w:lang w:bidi="ar"/>
        </w:rPr>
        <w:t>▲</w:t>
      </w:r>
      <w:r>
        <w:rPr>
          <w:rFonts w:hint="eastAsia"/>
          <w:b/>
          <w:bCs/>
          <w:color w:val="auto"/>
          <w:sz w:val="20"/>
          <w:szCs w:val="20"/>
          <w:highlight w:val="none"/>
        </w:rPr>
        <w:t>注：</w:t>
      </w:r>
      <w:r>
        <w:rPr>
          <w:rFonts w:hint="eastAsia"/>
          <w:b/>
          <w:bCs/>
          <w:color w:val="auto"/>
          <w:sz w:val="20"/>
          <w:szCs w:val="20"/>
          <w:highlight w:val="none"/>
          <w:lang w:val="en-US" w:eastAsia="zh-CN"/>
        </w:rPr>
        <w:t>1、</w:t>
      </w:r>
      <w:r>
        <w:rPr>
          <w:rFonts w:hint="eastAsia"/>
          <w:b/>
          <w:bCs/>
          <w:color w:val="auto"/>
          <w:sz w:val="20"/>
          <w:szCs w:val="20"/>
          <w:highlight w:val="none"/>
        </w:rPr>
        <w:t>要求录播系统按学校课表需求自动把视频源推送给学校的超星学习平台并实现无缝衔接，所需的一切费用均已包含在此次项目中，学校不另外支付任何相关费用。投标时提供承诺，否则投标无效。</w:t>
      </w:r>
    </w:p>
    <w:p w14:paraId="4AC9594C">
      <w:pPr>
        <w:ind w:firstLine="602" w:firstLineChars="300"/>
        <w:rPr>
          <w:rFonts w:hint="default" w:eastAsia="宋体"/>
          <w:b w:val="0"/>
          <w:bCs w:val="0"/>
          <w:color w:val="auto"/>
          <w:sz w:val="20"/>
          <w:szCs w:val="20"/>
          <w:highlight w:val="none"/>
          <w:lang w:val="en-US" w:eastAsia="zh-CN"/>
        </w:rPr>
        <w:sectPr>
          <w:pgSz w:w="16840" w:h="11907" w:orient="landscape"/>
          <w:pgMar w:top="1247" w:right="1247" w:bottom="1247" w:left="1247" w:header="851" w:footer="851" w:gutter="0"/>
          <w:cols w:space="720" w:num="1"/>
        </w:sectPr>
      </w:pPr>
      <w:r>
        <w:rPr>
          <w:rFonts w:hint="eastAsia"/>
          <w:b/>
          <w:bCs/>
          <w:color w:val="auto"/>
          <w:sz w:val="20"/>
          <w:szCs w:val="20"/>
          <w:highlight w:val="none"/>
          <w:lang w:val="en-US" w:eastAsia="zh-CN"/>
        </w:rPr>
        <w:t>2、供应商投标文件中提供</w:t>
      </w:r>
      <w:r>
        <w:rPr>
          <w:rFonts w:hint="eastAsia" w:ascii="宋体" w:hAnsi="宋体" w:cs="宋体"/>
          <w:b/>
          <w:bCs/>
          <w:color w:val="auto"/>
          <w:kern w:val="0"/>
          <w:sz w:val="20"/>
          <w:szCs w:val="20"/>
          <w:highlight w:val="none"/>
          <w:lang w:val="en-US" w:eastAsia="zh-CN" w:bidi="ar"/>
        </w:rPr>
        <w:t>的佐证材料需保证材料的真实性，</w:t>
      </w:r>
      <w:r>
        <w:rPr>
          <w:rFonts w:hint="eastAsia"/>
          <w:b/>
          <w:bCs/>
          <w:color w:val="auto"/>
          <w:sz w:val="20"/>
          <w:szCs w:val="20"/>
          <w:highlight w:val="none"/>
        </w:rPr>
        <w:t>投标时提供承诺，否则投标无效。</w:t>
      </w:r>
    </w:p>
    <w:p w14:paraId="326508F2">
      <w:pPr>
        <w:wordWrap w:val="0"/>
        <w:spacing w:line="288" w:lineRule="auto"/>
        <w:ind w:firstLine="422" w:firstLineChars="200"/>
        <w:jc w:val="left"/>
        <w:outlineLvl w:val="1"/>
        <w:rPr>
          <w:rFonts w:ascii="宋体" w:hAnsi="宋体" w:cs="宋体"/>
          <w:b/>
          <w:color w:val="auto"/>
          <w:szCs w:val="21"/>
          <w:highlight w:val="none"/>
        </w:rPr>
      </w:pPr>
      <w:r>
        <w:rPr>
          <w:rFonts w:hint="eastAsia" w:ascii="宋体" w:hAnsi="宋体" w:cs="宋体"/>
          <w:b/>
          <w:color w:val="auto"/>
          <w:szCs w:val="21"/>
          <w:highlight w:val="none"/>
        </w:rPr>
        <w:t>四、演示要求</w:t>
      </w:r>
    </w:p>
    <w:p w14:paraId="3ACCA7AA">
      <w:pPr>
        <w:spacing w:line="288"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1、演示内容：</w:t>
      </w:r>
    </w:p>
    <w:p w14:paraId="3408FCC0">
      <w:pPr>
        <w:snapToGrid w:val="0"/>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（1）98寸智慧屏：</w:t>
      </w:r>
      <w:r>
        <w:rPr>
          <w:rFonts w:hint="eastAsia" w:ascii="宋体" w:hAnsi="宋体" w:cs="宋体"/>
          <w:color w:val="auto"/>
          <w:szCs w:val="21"/>
          <w:highlight w:val="none"/>
        </w:rPr>
        <w:t>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3B6E10E9">
      <w:pPr>
        <w:snapToGrid w:val="0"/>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（2）讲台智慧屏：</w:t>
      </w:r>
      <w:r>
        <w:rPr>
          <w:rFonts w:hint="eastAsia" w:ascii="宋体" w:hAnsi="宋体" w:cs="宋体"/>
          <w:color w:val="auto"/>
          <w:szCs w:val="21"/>
          <w:highlight w:val="none"/>
        </w:rPr>
        <w:t>为保障整体设备兼容性，智能讲台书写屏上支持调动智慧屏相关教学功能如一键启动白板、一键启动视频展台等教学软件，实现整机控制，开关机、熄屏，音量加控制、音量减控制等。</w:t>
      </w:r>
    </w:p>
    <w:p w14:paraId="2B2CB416">
      <w:pPr>
        <w:snapToGrid w:val="0"/>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（3）录播主机：</w:t>
      </w:r>
      <w:r>
        <w:rPr>
          <w:rFonts w:hint="eastAsia" w:ascii="宋体" w:hAnsi="宋体" w:cs="宋体"/>
          <w:color w:val="auto"/>
          <w:szCs w:val="21"/>
          <w:highlight w:val="none"/>
        </w:rPr>
        <w:t>为确保录制功能稳定，主机需支持网络自检功能，在外接屏幕上显示教室网络状态，包括：服务联通性、网络稳定性、上下行速度、网络追踪性、网卡信息。</w:t>
      </w:r>
    </w:p>
    <w:p w14:paraId="252BCAB8">
      <w:pPr>
        <w:snapToGrid w:val="0"/>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（4）远程互动课堂软件：</w:t>
      </w:r>
      <w:r>
        <w:rPr>
          <w:rFonts w:hint="eastAsia" w:ascii="宋体" w:hAnsi="宋体" w:cs="宋体"/>
          <w:color w:val="auto"/>
          <w:szCs w:val="21"/>
          <w:highlight w:val="none"/>
        </w:rPr>
        <w:t>为实现录播设备的多功能应用，录播主机能与智慧屏实现联动；支持无绿幕虚拟抠像功能，方便教师更换画面背景，突出人物；对本地摄像头画面进行虚拟背景处理，并显示对应的实时画面，方便教师查看虚拟背景效果；支持对比控制，显示无虚拟背景和虚拟背景后的画面效果；支持背景虚化和更换背景；提供不少于3个默认背景图；支持添加本地图片设置为背景图。</w:t>
      </w:r>
    </w:p>
    <w:p w14:paraId="5381040B">
      <w:pPr>
        <w:snapToGrid w:val="0"/>
        <w:spacing w:line="288" w:lineRule="auto"/>
        <w:ind w:firstLine="422" w:firstLineChars="200"/>
        <w:rPr>
          <w:rFonts w:ascii="宋体" w:hAnsi="宋体" w:cs="宋体"/>
          <w:color w:val="auto"/>
          <w:szCs w:val="21"/>
          <w:highlight w:val="none"/>
          <w:lang w:val="zh-CN"/>
        </w:rPr>
      </w:pPr>
      <w:r>
        <w:rPr>
          <w:rFonts w:hint="eastAsia" w:ascii="宋体" w:hAnsi="宋体" w:cs="宋体"/>
          <w:b/>
          <w:bCs/>
          <w:color w:val="auto"/>
          <w:szCs w:val="21"/>
          <w:highlight w:val="none"/>
        </w:rPr>
        <w:t>（5）中控面板：</w:t>
      </w:r>
      <w:r>
        <w:rPr>
          <w:rFonts w:hint="eastAsia" w:ascii="宋体" w:hAnsi="宋体" w:cs="宋体"/>
          <w:color w:val="auto"/>
          <w:szCs w:val="21"/>
          <w:highlight w:val="none"/>
        </w:rPr>
        <w:t>为保障整体设备兼容性，中控面板支持通过网络方式无需接入控制录播设备，包括显示和切换≥5个机位的画面，一键启停录制、启停直播。</w:t>
      </w:r>
    </w:p>
    <w:p w14:paraId="596FF841">
      <w:pPr>
        <w:snapToGrid w:val="0"/>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（6）教学管理平台（功能1）：</w:t>
      </w:r>
      <w:r>
        <w:rPr>
          <w:rFonts w:hint="eastAsia" w:ascii="宋体" w:hAnsi="宋体" w:cs="宋体"/>
          <w:color w:val="auto"/>
          <w:szCs w:val="21"/>
          <w:highlight w:val="none"/>
        </w:rPr>
        <w:t>为实现智慧化管理，系统支持系统智能巡检设备，支持巡检设备类型的选择，包括中控、显示、扩声及录播设备等设备类型筛选；支持巡检周期、巡检时间的设置，系统巡检后自动生成巡检报告。</w:t>
      </w:r>
    </w:p>
    <w:p w14:paraId="3C66F678">
      <w:pPr>
        <w:snapToGrid w:val="0"/>
        <w:spacing w:line="288"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（7）教学管理平台（功能2）：</w:t>
      </w:r>
      <w:r>
        <w:rPr>
          <w:rFonts w:hint="eastAsia" w:ascii="宋体" w:hAnsi="宋体" w:cs="宋体"/>
          <w:color w:val="auto"/>
          <w:szCs w:val="21"/>
          <w:highlight w:val="none"/>
        </w:rPr>
        <w:t>系统支持自动化策略，包括自动开机策略、自动关机策略。策略可按周循环、按课表执行等重复模式，也可设定控制的教室范围、执行时间等，用户可随时启用/停用已设定的自动化策略。</w:t>
      </w:r>
    </w:p>
    <w:p w14:paraId="0A877EF7">
      <w:pPr>
        <w:widowControl/>
        <w:adjustRightInd/>
        <w:snapToGrid w:val="0"/>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502FD694">
      <w:pPr>
        <w:widowControl/>
        <w:adjustRightInd/>
        <w:snapToGrid w:val="0"/>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（1）在评标时安排每个投标人进行方案讲解演示。每个投标人时间不超过20分钟，讲解次序以投标文件解密时间先后次序为准，讲解演示人员不超过3人。</w:t>
      </w:r>
    </w:p>
    <w:p w14:paraId="371175A5">
      <w:pPr>
        <w:widowControl/>
        <w:adjustRightInd/>
        <w:snapToGrid w:val="0"/>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（2）讲解演示结束后按要求解答评标委员会提问。讲解演示所用电脑等设备由投标人自备。现场讲解演示人员进场时提供讲解人员名单（加盖公章或授权代表签名）及身份证明，否则不得讲解演示。</w:t>
      </w:r>
    </w:p>
    <w:p w14:paraId="539C7E98">
      <w:pPr>
        <w:widowControl/>
        <w:adjustRightInd/>
        <w:snapToGrid w:val="0"/>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（3）因投标人自身原因导致无法演示或者演示效果不理想的，责任自负。因平台原因导致本项目方案讲解演示环节无法顺利开展，按照《浙江省政府采购项目电子交易管理暂行办法》相关规定执行。</w:t>
      </w:r>
    </w:p>
    <w:p w14:paraId="09B63CE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其它：招标文件第四部分评分办法中评审因素相应的其它要求及第五部分采购合同中相应的其他要求。</w:t>
      </w:r>
    </w:p>
    <w:p w14:paraId="394E1BF3">
      <w:pPr>
        <w:tabs>
          <w:tab w:val="left" w:pos="0"/>
        </w:tabs>
        <w:spacing w:line="360" w:lineRule="auto"/>
        <w:ind w:firstLine="480"/>
        <w:rPr>
          <w:rFonts w:ascii="宋体" w:hAnsi="宋体" w:cs="宋体"/>
          <w:color w:val="auto"/>
          <w:kern w:val="0"/>
          <w:sz w:val="24"/>
          <w:highlight w:val="none"/>
        </w:rPr>
      </w:pPr>
    </w:p>
    <w:p w14:paraId="60C34907">
      <w:pPr>
        <w:adjustRightInd w:val="0"/>
        <w:snapToGrid w:val="0"/>
        <w:spacing w:line="560" w:lineRule="exact"/>
        <w:ind w:firstLine="482" w:firstLineChars="20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color w:val="auto"/>
          <w:sz w:val="24"/>
          <w:highlight w:val="none"/>
        </w:rPr>
        <w:br w:type="page"/>
      </w:r>
      <w:r>
        <w:rPr>
          <w:rFonts w:hint="eastAsia" w:ascii="宋体" w:hAnsi="宋体" w:eastAsia="宋体" w:cs="宋体"/>
          <w:b/>
          <w:bCs/>
          <w:color w:val="auto"/>
          <w:kern w:val="2"/>
          <w:sz w:val="21"/>
          <w:szCs w:val="21"/>
          <w:highlight w:val="none"/>
          <w:lang w:val="en-US" w:eastAsia="zh-CN" w:bidi="ar-SA"/>
        </w:rPr>
        <w:t>模板1  垃圾清运处置承诺书</w:t>
      </w:r>
    </w:p>
    <w:p w14:paraId="23E93E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承诺单位：</w:t>
      </w:r>
      <w:r>
        <w:rPr>
          <w:rFonts w:hint="eastAsia" w:ascii="宋体" w:hAnsi="宋体" w:eastAsia="宋体" w:cs="宋体"/>
          <w:color w:val="auto"/>
          <w:kern w:val="2"/>
          <w:sz w:val="21"/>
          <w:szCs w:val="21"/>
          <w:highlight w:val="none"/>
          <w:u w:val="single"/>
          <w:lang w:val="en-US" w:eastAsia="zh-CN" w:bidi="ar-SA"/>
        </w:rPr>
        <w:t xml:space="preserve">                      </w:t>
      </w:r>
    </w:p>
    <w:p w14:paraId="30D327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本单位全面负责</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项目相关工作，系本项目垃圾清运处置第一责任主体。为依法规范垃圾清运、运输、处置全流程管理，维护环境与公共安全，郑重作出如下承诺：</w:t>
      </w:r>
    </w:p>
    <w:p w14:paraId="375F0A0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1.自觉遵守《杭州市建筑垃圾管理条例》（2025年5月1日施行）及杭州市建筑垃圾长效管理相关规定，依法合规开展作业。</w:t>
      </w:r>
    </w:p>
    <w:p w14:paraId="0CF081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2.主动接受城管、住建等执法部门监督检查，发现问题立即整改，及时消除安全与环境隐患。</w:t>
      </w:r>
    </w:p>
    <w:p w14:paraId="1233A5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3.若违反承诺及相关法律法规，自愿接受停工整改、行政处罚、信用惩戒、取消项目资格等处理，并承担全部责任。</w:t>
      </w:r>
    </w:p>
    <w:p w14:paraId="3D3192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59C713F0">
      <w:pPr>
        <w:keepNext w:val="0"/>
        <w:keepLines w:val="0"/>
        <w:pageBreakBefore w:val="0"/>
        <w:widowControl w:val="0"/>
        <w:kinsoku/>
        <w:wordWrap/>
        <w:overflowPunct/>
        <w:topLinePunct w:val="0"/>
        <w:autoSpaceDE/>
        <w:autoSpaceDN/>
        <w:bidi w:val="0"/>
        <w:adjustRightInd w:val="0"/>
        <w:snapToGrid w:val="0"/>
        <w:spacing w:line="360" w:lineRule="auto"/>
        <w:ind w:firstLine="2730" w:firstLineChars="1300"/>
        <w:textAlignment w:val="auto"/>
        <w:rPr>
          <w:rFonts w:hint="eastAsia" w:ascii="宋体" w:hAnsi="宋体" w:eastAsia="宋体" w:cs="宋体"/>
          <w:color w:val="auto"/>
          <w:kern w:val="2"/>
          <w:sz w:val="21"/>
          <w:szCs w:val="21"/>
          <w:highlight w:val="none"/>
          <w:lang w:val="en-US" w:eastAsia="zh-CN" w:bidi="ar-SA"/>
        </w:rPr>
      </w:pPr>
    </w:p>
    <w:p w14:paraId="03200C8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承诺单位（盖章）：                  </w:t>
      </w:r>
    </w:p>
    <w:p w14:paraId="194667B0">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法定代表人/授权委托人（签字）：     </w:t>
      </w:r>
    </w:p>
    <w:p w14:paraId="6A80C8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时间：    年    月    日 </w:t>
      </w:r>
    </w:p>
    <w:p w14:paraId="0DC3A85A">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1A1C68F0">
      <w:pPr>
        <w:keepNext w:val="0"/>
        <w:keepLines w:val="0"/>
        <w:pageBreakBefore w:val="0"/>
        <w:widowControl w:val="0"/>
        <w:kinsoku/>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模板2   安全管理协议书</w:t>
      </w:r>
    </w:p>
    <w:p w14:paraId="4E2328DA">
      <w:pPr>
        <w:keepNext w:val="0"/>
        <w:keepLines w:val="0"/>
        <w:pageBreakBefore w:val="0"/>
        <w:widowControl w:val="0"/>
        <w:tabs>
          <w:tab w:val="left" w:pos="5103"/>
        </w:tabs>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(甲方)：   </w:t>
      </w:r>
      <w:r>
        <w:rPr>
          <w:rFonts w:hint="eastAsia" w:ascii="宋体" w:hAnsi="宋体" w:eastAsia="宋体" w:cs="宋体"/>
          <w:color w:val="auto"/>
          <w:kern w:val="2"/>
          <w:sz w:val="21"/>
          <w:szCs w:val="21"/>
          <w:highlight w:val="none"/>
          <w:lang w:val="en-US" w:eastAsia="zh-CN" w:bidi="ar-SA"/>
        </w:rPr>
        <w:t xml:space="preserve">（总承包单位）   </w:t>
      </w:r>
    </w:p>
    <w:p w14:paraId="355DD4E2">
      <w:pPr>
        <w:keepNext w:val="0"/>
        <w:keepLines w:val="0"/>
        <w:pageBreakBefore w:val="0"/>
        <w:widowControl w:val="0"/>
        <w:tabs>
          <w:tab w:val="left" w:pos="5103"/>
        </w:tabs>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 xml:space="preserve">    （中标单位）            </w:t>
      </w:r>
    </w:p>
    <w:p w14:paraId="75D83E40">
      <w:pPr>
        <w:keepNext w:val="0"/>
        <w:keepLines w:val="0"/>
        <w:pageBreakBefore w:val="0"/>
        <w:widowControl w:val="0"/>
        <w:tabs>
          <w:tab w:val="left" w:pos="5103"/>
        </w:tabs>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工程名称：</w:t>
      </w:r>
      <w:r>
        <w:rPr>
          <w:rFonts w:hint="eastAsia" w:ascii="宋体" w:hAnsi="宋体" w:eastAsia="宋体" w:cs="宋体"/>
          <w:color w:val="auto"/>
          <w:kern w:val="2"/>
          <w:sz w:val="21"/>
          <w:szCs w:val="21"/>
          <w:highlight w:val="none"/>
          <w:lang w:val="en-US" w:eastAsia="zh-CN" w:bidi="ar-SA"/>
        </w:rPr>
        <w:t xml:space="preserve">     </w:t>
      </w:r>
    </w:p>
    <w:p w14:paraId="06227864">
      <w:pPr>
        <w:keepNext w:val="0"/>
        <w:keepLines w:val="0"/>
        <w:pageBreakBefore w:val="0"/>
        <w:widowControl w:val="0"/>
        <w:tabs>
          <w:tab w:val="left" w:pos="5103"/>
        </w:tabs>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工程地点：</w:t>
      </w:r>
      <w:r>
        <w:rPr>
          <w:rFonts w:hint="eastAsia" w:ascii="宋体" w:hAnsi="宋体" w:eastAsia="宋体" w:cs="宋体"/>
          <w:color w:val="auto"/>
          <w:kern w:val="2"/>
          <w:sz w:val="21"/>
          <w:szCs w:val="21"/>
          <w:highlight w:val="none"/>
          <w:lang w:val="en-US" w:eastAsia="zh-CN" w:bidi="ar-SA"/>
        </w:rPr>
        <w:t xml:space="preserve">  浙江省 杭州市 建德市 新安江街道             </w:t>
      </w:r>
    </w:p>
    <w:p w14:paraId="185FC0A0">
      <w:pPr>
        <w:keepNext w:val="0"/>
        <w:keepLines w:val="0"/>
        <w:pageBreakBefore w:val="0"/>
        <w:widowControl w:val="0"/>
        <w:tabs>
          <w:tab w:val="left" w:pos="5103"/>
        </w:tabs>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范围：</w:t>
      </w:r>
    </w:p>
    <w:p w14:paraId="157B3BB6">
      <w:pPr>
        <w:keepNext w:val="0"/>
        <w:keepLines w:val="0"/>
        <w:pageBreakBefore w:val="0"/>
        <w:widowControl w:val="0"/>
        <w:tabs>
          <w:tab w:val="left" w:pos="5103"/>
        </w:tabs>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项目开、竣工时间:</w:t>
      </w:r>
      <w:r>
        <w:rPr>
          <w:rFonts w:hint="eastAsia" w:ascii="宋体" w:hAnsi="宋体" w:eastAsia="宋体" w:cs="宋体"/>
          <w:color w:val="auto"/>
          <w:kern w:val="2"/>
          <w:sz w:val="21"/>
          <w:szCs w:val="21"/>
          <w:highlight w:val="none"/>
          <w:lang w:val="en-US" w:eastAsia="zh-CN" w:bidi="ar-SA"/>
        </w:rPr>
        <w:t>自       年    月    日至 退场之日。</w:t>
      </w:r>
    </w:p>
    <w:p w14:paraId="2ACC1977">
      <w:pPr>
        <w:keepNext w:val="0"/>
        <w:keepLines w:val="0"/>
        <w:pageBreakBefore w:val="0"/>
        <w:widowControl w:val="0"/>
        <w:tabs>
          <w:tab w:val="left" w:pos="360"/>
          <w:tab w:val="left" w:pos="993"/>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p>
    <w:p w14:paraId="4FC91144">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加强项目安全管理，防止生产安全事故发生，保护员工生命安全和企业财产安全，保障施工生产的顺利进行，依据《中华人民共和国安全生产法》、《浙江省安全生产条例》等安全生产法律法规和集团公司及建筑部安全生产规章制度，双方本着平等、自愿的原则，达成如下协议，协议未尽事宜双方执行国家和地方有关安全生产法律法规的规定。</w:t>
      </w:r>
    </w:p>
    <w:p w14:paraId="4C632199">
      <w:pPr>
        <w:keepNext w:val="0"/>
        <w:keepLines w:val="0"/>
        <w:pageBreakBefore w:val="0"/>
        <w:widowControl w:val="0"/>
        <w:kinsoku/>
        <w:overflowPunct/>
        <w:topLinePunct w:val="0"/>
        <w:autoSpaceDE/>
        <w:autoSpaceDN/>
        <w:bidi w:val="0"/>
        <w:adjustRightInd w:val="0"/>
        <w:snapToGrid w:val="0"/>
        <w:spacing w:line="360" w:lineRule="auto"/>
        <w:ind w:left="525" w:leftChars="200" w:hanging="105" w:hangingChars="5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一、安全管理目标</w:t>
      </w:r>
    </w:p>
    <w:p w14:paraId="0701D9B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杜绝重伤及以上生产安全事故，现场安全管理达到浙江省安全生产标准化、浙江省文明生产标准化的标准。</w:t>
      </w:r>
    </w:p>
    <w:p w14:paraId="2E5044DB">
      <w:pPr>
        <w:keepNext w:val="0"/>
        <w:keepLines w:val="0"/>
        <w:pageBreakBefore w:val="0"/>
        <w:widowControl w:val="0"/>
        <w:kinsoku/>
        <w:overflowPunct/>
        <w:topLinePunct w:val="0"/>
        <w:autoSpaceDE/>
        <w:autoSpaceDN/>
        <w:bidi w:val="0"/>
        <w:adjustRightInd w:val="0"/>
        <w:snapToGrid w:val="0"/>
        <w:spacing w:line="360" w:lineRule="auto"/>
        <w:ind w:left="525" w:leftChars="200" w:hanging="105" w:hangingChars="5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二、甲方安全管理责任</w:t>
      </w:r>
    </w:p>
    <w:p w14:paraId="598CC034">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1.贯彻落实国家、地方安全生产法律法规和集团公司及建筑部有关安全生产规章制度，对施工现场安全生产进行全面监督管理。</w:t>
      </w:r>
    </w:p>
    <w:p w14:paraId="2A4FA0C7">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2.严格审查乙方施工资质、管理人员和特种作业人员资格，合格的复印件（盖红章）归档保存；对不具备施工要求的队伍和人员不允许进入现场施工，并有权向建设单位反映予以处理。</w:t>
      </w:r>
    </w:p>
    <w:p w14:paraId="50AEAC97">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3.对本项目实施统一协调、监控和管理，并按北京城建集团VIS企业形象设计进行施工现场策划布置，施工区、办公区、生活区和现场大门、围挡等统一标准，并监督实施。</w:t>
      </w:r>
    </w:p>
    <w:p w14:paraId="71B66531">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4.根据工程特点和安全管理要求，对乙方进行书面安全技术总交底，并提供乙方必须遵守和执行的项目安全生产管理规章制度和要求。</w:t>
      </w:r>
    </w:p>
    <w:p w14:paraId="7EB0515F">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5.督促乙方组织对作业人员进行安全生产教育、培训、考试，并报甲方备案。</w:t>
      </w:r>
    </w:p>
    <w:p w14:paraId="0293B90D">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6.督促乙方购置合格劳动防护用品，并及时发放和正确佩戴使用个人劳动防护用品。</w:t>
      </w:r>
    </w:p>
    <w:p w14:paraId="3EC99186">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7.提供现场施工生产基本条件（如起重机械、消防设施等），并对乙方使用情况进行监督检查。</w:t>
      </w:r>
    </w:p>
    <w:p w14:paraId="121282E9">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8.提供施工电源，并对乙方临时用电设备、设施进行验收，不合格的责令其清退，并进行监督检查，发现隐患问题，责成乙方及时整改，并按规定处罚。</w:t>
      </w:r>
    </w:p>
    <w:p w14:paraId="174628F0">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9.对乙方进入现场的机具、安全防护器材及用品等组织进行验收，不合格责令其清退，严禁投入使用。</w:t>
      </w:r>
    </w:p>
    <w:p w14:paraId="1A5FA66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10.对多个分包单位在同一现场作业，做好协调和监管工作，并督促各方签订《交叉作业安全管理协议书》。</w:t>
      </w:r>
    </w:p>
    <w:p w14:paraId="7078B0C9">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对乙方安全生产、文明施工、绿色施工进行监督检查，及时纠正违章、违规、违纪行为，并按照有关规定进行处罚。对乙方存在的重大安全隐患和严重违规行为，责令停工整改，情节严重的有权向建设单位反映予以清退、终止合同。</w:t>
      </w:r>
    </w:p>
    <w:p w14:paraId="2135A5A0">
      <w:pPr>
        <w:keepNext w:val="0"/>
        <w:keepLines w:val="0"/>
        <w:pageBreakBefore w:val="0"/>
        <w:widowControl w:val="0"/>
        <w:kinsoku/>
        <w:overflowPunct/>
        <w:topLinePunct w:val="0"/>
        <w:autoSpaceDE/>
        <w:autoSpaceDN/>
        <w:bidi w:val="0"/>
        <w:adjustRightInd w:val="0"/>
        <w:snapToGrid w:val="0"/>
        <w:spacing w:line="360" w:lineRule="auto"/>
        <w:ind w:left="525" w:leftChars="200" w:hanging="105" w:hangingChars="5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三、乙方安全管理责任</w:t>
      </w:r>
    </w:p>
    <w:p w14:paraId="53CEED23">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1.按投标文件要求及时提供本单位施工资质、安全生产许可证和项目经理、安全管理人员资质及特种作业人员操作证等，分包项目必须与其资质相符，不得将分包工程再次转包。</w:t>
      </w:r>
    </w:p>
    <w:p w14:paraId="0A0B234D">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2.贯彻落实国家、地方安全生产法律法规和北京城建集团及建筑部安全生产规章制度，以及甲方项目安全管理规章制度和要求。</w:t>
      </w:r>
    </w:p>
    <w:p w14:paraId="0581DB0B">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3.按规定设置项目安全管理组织机构，服从甲方的统一管理，接受甲方上级和政府部门的安全监督检查。并有权拒绝甲方违章指挥。</w:t>
      </w:r>
    </w:p>
    <w:p w14:paraId="44E40CB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4.建立健全安全生产责任制和安全生产管理制度及安全管理资料档案，对所管辖区域的安全生产负责。</w:t>
      </w:r>
    </w:p>
    <w:p w14:paraId="362700E4">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5.施工前要认真勘察施工现场，熟悉现场和周围的作业环境，并按要求编制的施工安全方案，并贯彻实施。</w:t>
      </w:r>
    </w:p>
    <w:p w14:paraId="2B5F0C14">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6.组织对所属进场施工人员进行审核，并按规定签订劳动合同和登记造册。</w:t>
      </w:r>
    </w:p>
    <w:p w14:paraId="47750E11">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7.组织进行全教育培训、考核，并报甲方备案。</w:t>
      </w:r>
    </w:p>
    <w:p w14:paraId="18A2EB5E">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8.按规定配备相应特种作业人员，上网核实其真实性，并报甲方备案。特种作业人员必须持证上岗。</w:t>
      </w:r>
    </w:p>
    <w:p w14:paraId="6B62F58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9.分部分项工程施工前必须对所有作业人员进行书面安全技术交底和班前安全教育等，作业人员必须严格按照安全技术交底和安全操作规程等进行施工作业。</w:t>
      </w:r>
    </w:p>
    <w:p w14:paraId="0B18002E">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10.按规定为进场作业人员配发合格的个人劳动防护用品，并严格督促施工人员正确穿戴和使用劳动防护用品。</w:t>
      </w:r>
    </w:p>
    <w:p w14:paraId="15EDA753">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施工作业过程中应按规定设专人旁站监护。高处作业禁止将工具、配件及材料等上下抛掷，楼内作业禁止将垃圾和任何物体从门窗洞口往外扔，交叉作业须甲方批准，落实防护与专人监护，严禁无防护交叉作业。</w:t>
      </w:r>
    </w:p>
    <w:p w14:paraId="62943AE4">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对施工现场的各类脚手架、支撑体系、安全网、洞口和临边防护设施、安全标志牌及机电、消防设备设施等，严禁擅自拆除、改动。如确实需要拆除改动的，必须向甲方安全管理部报告待批准后方能拆除、改动。且在施工过程中设专人监护，下班或本项工作完工后必须及时恢复原状或做好防护。</w:t>
      </w:r>
    </w:p>
    <w:p w14:paraId="43257C4B">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13.编制临时用电施工方案，按规范和方案进行临时用电工程的安装使用，并接受甲方电管人员的统一管理，杜绝私拉乱现象。</w:t>
      </w:r>
    </w:p>
    <w:p w14:paraId="626CE5A3">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14.自带的施工机械设备、手持电动工具、照明装置、消防器材等必须性能良好，安全防护装置齐全、灵敏、有效，符合规范、标准要求，并负责日常维护保养工作。</w:t>
      </w:r>
    </w:p>
    <w:p w14:paraId="614B410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15.按要求做好地下管线、设施和高压架空线路的保护，做好现场安全防护设施和起重机械等保护工作。</w:t>
      </w:r>
    </w:p>
    <w:p w14:paraId="7027544A">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16.现场机械设备、临时用电、脚手架等设施，在搭设、安装完成后应按规定组织验收，保存记录，并报甲方备案，严禁在未经验收或验收不合格的情况下投入使用。</w:t>
      </w:r>
    </w:p>
    <w:p w14:paraId="15965FB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17.对所属施工区域进行安全巡查，发现隐患问题及时整改消除，发现非管辖范围内的事故隐患，应及时向甲方报告处理。</w:t>
      </w:r>
    </w:p>
    <w:p w14:paraId="02B2D94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18.负责所辖施工区域内的安全生产、文明施工、绿色施工管理工作，做到活完脚下清、工完场净、日积日清，材料码放有序、现场整洁，保证所辖区域消防通道畅通，实现全面达标。</w:t>
      </w:r>
    </w:p>
    <w:p w14:paraId="0583C21D">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19.现场发生生产安全事故、火灾事故和机械设备事故等，必须立即向甲方报告，并组织抢救伤员，保护现场，积极配合事故调查处理。</w:t>
      </w:r>
    </w:p>
    <w:p w14:paraId="4D2A71A2">
      <w:pPr>
        <w:keepNext w:val="0"/>
        <w:keepLines w:val="0"/>
        <w:pageBreakBefore w:val="0"/>
        <w:widowControl w:val="0"/>
        <w:kinsoku/>
        <w:overflowPunct/>
        <w:topLinePunct w:val="0"/>
        <w:autoSpaceDE/>
        <w:autoSpaceDN/>
        <w:bidi w:val="0"/>
        <w:adjustRightInd w:val="0"/>
        <w:snapToGrid w:val="0"/>
        <w:spacing w:line="360" w:lineRule="auto"/>
        <w:ind w:left="525" w:leftChars="200" w:hanging="105" w:hangingChars="5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四、事故处理</w:t>
      </w:r>
    </w:p>
    <w:p w14:paraId="4FCC614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1.由于甲方原因造成的生产安全事故、机械设备事故和火灾事故等，由甲方承担事故责任和经济责任。乙方有义务负责处理善后事宜。</w:t>
      </w:r>
    </w:p>
    <w:p w14:paraId="6D25BFDC">
      <w:pPr>
        <w:keepNext w:val="0"/>
        <w:keepLines w:val="0"/>
        <w:pageBreakBefore w:val="0"/>
        <w:widowControl w:val="0"/>
        <w:tabs>
          <w:tab w:val="left" w:pos="36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2.由于乙方原因造成的生产安全事故、机械设备事故和火灾事故等，由乙方承担事故责任和经济责任。甲方协助乙方处理善后事宜。</w:t>
      </w:r>
    </w:p>
    <w:p w14:paraId="560028E0">
      <w:pPr>
        <w:keepNext w:val="0"/>
        <w:keepLines w:val="0"/>
        <w:pageBreakBefore w:val="0"/>
        <w:widowControl w:val="0"/>
        <w:tabs>
          <w:tab w:val="left" w:pos="360"/>
          <w:tab w:val="left" w:pos="42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3.由于双方责任造成的生产安全事故、机械设备事故和火灾事故等，根据政府有关部门的责任划分，各自承担相应的事故责任和经济责任。</w:t>
      </w:r>
    </w:p>
    <w:p w14:paraId="2C8BF49D">
      <w:pPr>
        <w:keepNext w:val="0"/>
        <w:keepLines w:val="0"/>
        <w:pageBreakBefore w:val="0"/>
        <w:widowControl w:val="0"/>
        <w:tabs>
          <w:tab w:val="left" w:pos="360"/>
          <w:tab w:val="left" w:pos="42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4.乙方现场发生生产安全事故、机械设备事故和火灾事故后，必须立即向甲方及其上级主管部门报告，迟报或者隐瞒不报的，由乙方承担相应的责任。</w:t>
      </w:r>
    </w:p>
    <w:p w14:paraId="3583194A">
      <w:pPr>
        <w:keepNext w:val="0"/>
        <w:keepLines w:val="0"/>
        <w:pageBreakBefore w:val="0"/>
        <w:widowControl w:val="0"/>
        <w:tabs>
          <w:tab w:val="left" w:pos="360"/>
          <w:tab w:val="left" w:pos="42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5.由于乙方原因被政府部门曝光、处罚和扣分的，给甲方造成不良影响和经济损失的，由乙方承担，甲方有权按规定对乙方进行处罚。</w:t>
      </w:r>
    </w:p>
    <w:p w14:paraId="64A9D352">
      <w:pPr>
        <w:keepNext w:val="0"/>
        <w:keepLines w:val="0"/>
        <w:pageBreakBefore w:val="0"/>
        <w:widowControl w:val="0"/>
        <w:kinsoku/>
        <w:overflowPunct/>
        <w:topLinePunct w:val="0"/>
        <w:autoSpaceDE/>
        <w:autoSpaceDN/>
        <w:bidi w:val="0"/>
        <w:adjustRightInd w:val="0"/>
        <w:snapToGrid w:val="0"/>
        <w:spacing w:line="360" w:lineRule="auto"/>
        <w:ind w:left="525" w:leftChars="200" w:hanging="105" w:hangingChars="5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五、其它事项：</w:t>
      </w:r>
    </w:p>
    <w:p w14:paraId="1A6E7066">
      <w:pPr>
        <w:keepNext w:val="0"/>
        <w:keepLines w:val="0"/>
        <w:pageBreakBefore w:val="0"/>
        <w:widowControl w:val="0"/>
        <w:tabs>
          <w:tab w:val="left" w:pos="360"/>
          <w:tab w:val="left" w:pos="420"/>
        </w:tabs>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本协议一式五份，建设单位三份，甲、乙双方各执一份，有效期自签字盖章之日起至乙方退场之日止。</w:t>
      </w:r>
    </w:p>
    <w:p w14:paraId="49897F67">
      <w:pPr>
        <w:adjustRightInd w:val="0"/>
        <w:snapToGrid w:val="0"/>
        <w:spacing w:line="520" w:lineRule="exact"/>
        <w:ind w:firstLine="420" w:firstLineChars="200"/>
        <w:rPr>
          <w:rFonts w:hint="eastAsia" w:ascii="宋体" w:hAnsi="宋体" w:eastAsia="宋体" w:cs="宋体"/>
          <w:color w:val="auto"/>
          <w:kern w:val="2"/>
          <w:sz w:val="21"/>
          <w:szCs w:val="21"/>
          <w:highlight w:val="none"/>
          <w:lang w:val="en-US" w:eastAsia="zh-CN" w:bidi="ar-SA"/>
        </w:rPr>
      </w:pPr>
    </w:p>
    <w:p w14:paraId="5A031CFD">
      <w:pPr>
        <w:tabs>
          <w:tab w:val="left" w:pos="993"/>
        </w:tabs>
        <w:adjustRightInd w:val="0"/>
        <w:snapToGrid w:val="0"/>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甲方单位（章）：                  乙方单位（ 章）：</w:t>
      </w:r>
    </w:p>
    <w:p w14:paraId="161A1CDE">
      <w:pPr>
        <w:tabs>
          <w:tab w:val="left" w:pos="993"/>
        </w:tabs>
        <w:adjustRightInd w:val="0"/>
        <w:snapToGrid w:val="0"/>
        <w:spacing w:line="520" w:lineRule="exact"/>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          法定代表人或委托代理人：</w:t>
      </w:r>
    </w:p>
    <w:p w14:paraId="30A1117E">
      <w:pPr>
        <w:tabs>
          <w:tab w:val="left" w:pos="993"/>
        </w:tabs>
        <w:adjustRightInd w:val="0"/>
        <w:snapToGrid w:val="0"/>
        <w:spacing w:line="520" w:lineRule="exact"/>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联系电话：                        联系电话：</w:t>
      </w:r>
    </w:p>
    <w:p w14:paraId="7375B438">
      <w:pPr>
        <w:tabs>
          <w:tab w:val="left" w:pos="993"/>
        </w:tabs>
        <w:adjustRightInd w:val="0"/>
        <w:snapToGrid w:val="0"/>
        <w:spacing w:line="520" w:lineRule="exact"/>
        <w:ind w:firstLine="420" w:firstLineChars="200"/>
        <w:outlineLvl w:val="9"/>
        <w:rPr>
          <w:rFonts w:hint="eastAsia" w:ascii="宋体" w:hAnsi="宋体" w:eastAsia="宋体" w:cs="宋体"/>
          <w:color w:val="auto"/>
          <w:kern w:val="2"/>
          <w:sz w:val="21"/>
          <w:szCs w:val="21"/>
          <w:highlight w:val="none"/>
          <w:lang w:val="en-US" w:eastAsia="zh-CN" w:bidi="ar-SA"/>
        </w:rPr>
      </w:pPr>
    </w:p>
    <w:p w14:paraId="4B40C662">
      <w:pPr>
        <w:adjustRightInd w:val="0"/>
        <w:spacing w:line="360" w:lineRule="auto"/>
        <w:ind w:firstLine="42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年    月    日                 年    月    日</w:t>
      </w:r>
    </w:p>
    <w:p w14:paraId="201AE2FB">
      <w:pPr>
        <w:spacing w:line="360" w:lineRule="auto"/>
        <w:jc w:val="center"/>
        <w:outlineLvl w:val="0"/>
        <w:rPr>
          <w:rFonts w:ascii="宋体" w:hAnsi="宋体" w:cs="宋体"/>
          <w:b/>
          <w:color w:val="auto"/>
          <w:sz w:val="36"/>
          <w:szCs w:val="36"/>
          <w:highlight w:val="none"/>
        </w:rPr>
      </w:pPr>
      <w:r>
        <w:rPr>
          <w:rFonts w:hint="eastAsia" w:ascii="宋体" w:hAnsi="宋体" w:eastAsia="宋体" w:cs="宋体"/>
          <w:b/>
          <w:bCs/>
          <w:color w:val="auto"/>
          <w:kern w:val="2"/>
          <w:sz w:val="36"/>
          <w:szCs w:val="21"/>
          <w:highlight w:val="none"/>
          <w:lang w:val="en-US" w:eastAsia="zh-CN" w:bidi="ar-SA"/>
        </w:rPr>
        <w:br w:type="page"/>
      </w:r>
      <w:r>
        <w:rPr>
          <w:rFonts w:hint="eastAsia" w:ascii="宋体" w:hAnsi="宋体" w:cs="宋体"/>
          <w:b/>
          <w:color w:val="auto"/>
          <w:sz w:val="36"/>
          <w:szCs w:val="36"/>
          <w:highlight w:val="none"/>
        </w:rPr>
        <w:t xml:space="preserve">第四部分   </w:t>
      </w:r>
      <w:bookmarkStart w:id="35" w:name="_Toc184313250"/>
      <w:bookmarkEnd w:id="35"/>
      <w:bookmarkStart w:id="36" w:name="_Toc184313275"/>
      <w:bookmarkEnd w:id="36"/>
      <w:bookmarkStart w:id="37" w:name="_Toc184310317"/>
      <w:bookmarkEnd w:id="37"/>
      <w:bookmarkStart w:id="38" w:name="_Toc184310297"/>
      <w:bookmarkEnd w:id="38"/>
      <w:bookmarkStart w:id="39" w:name="_Toc184312126"/>
      <w:bookmarkEnd w:id="39"/>
      <w:bookmarkStart w:id="40" w:name="_Toc184310294"/>
      <w:bookmarkEnd w:id="40"/>
      <w:bookmarkStart w:id="41" w:name="_Toc184313270"/>
      <w:bookmarkEnd w:id="41"/>
      <w:bookmarkStart w:id="42" w:name="_Toc184310272"/>
      <w:bookmarkEnd w:id="42"/>
      <w:bookmarkStart w:id="43" w:name="_Toc184310290"/>
      <w:bookmarkEnd w:id="43"/>
      <w:bookmarkStart w:id="44" w:name="_Toc184314421"/>
      <w:bookmarkEnd w:id="44"/>
      <w:bookmarkStart w:id="45" w:name="_Toc184313308"/>
      <w:bookmarkEnd w:id="45"/>
      <w:bookmarkStart w:id="46" w:name="_Toc184312078"/>
      <w:bookmarkEnd w:id="46"/>
      <w:bookmarkStart w:id="47" w:name="_Toc184313255"/>
      <w:bookmarkEnd w:id="47"/>
      <w:bookmarkStart w:id="48" w:name="_Toc184310339"/>
      <w:bookmarkEnd w:id="48"/>
      <w:bookmarkStart w:id="49" w:name="_Toc184314458"/>
      <w:bookmarkEnd w:id="49"/>
      <w:bookmarkStart w:id="50" w:name="_Toc184313246"/>
      <w:bookmarkEnd w:id="50"/>
      <w:bookmarkStart w:id="51" w:name="_Toc184308062"/>
      <w:bookmarkEnd w:id="51"/>
      <w:bookmarkStart w:id="52" w:name="_Toc184313267"/>
      <w:bookmarkEnd w:id="52"/>
      <w:bookmarkStart w:id="53" w:name="_Toc184312074"/>
      <w:bookmarkEnd w:id="53"/>
      <w:bookmarkStart w:id="54" w:name="_Toc184313259"/>
      <w:bookmarkEnd w:id="54"/>
      <w:bookmarkStart w:id="55" w:name="_Toc184314424"/>
      <w:bookmarkEnd w:id="55"/>
      <w:bookmarkStart w:id="56" w:name="_Toc184313263"/>
      <w:bookmarkEnd w:id="56"/>
      <w:bookmarkStart w:id="57" w:name="_Toc184310291"/>
      <w:bookmarkEnd w:id="57"/>
      <w:bookmarkStart w:id="58" w:name="_Toc184314441"/>
      <w:bookmarkEnd w:id="58"/>
      <w:bookmarkStart w:id="59" w:name="_Toc184313268"/>
      <w:bookmarkEnd w:id="59"/>
      <w:bookmarkStart w:id="60" w:name="_Toc184313304"/>
      <w:bookmarkEnd w:id="60"/>
      <w:bookmarkStart w:id="61" w:name="_Toc184308096"/>
      <w:bookmarkEnd w:id="61"/>
      <w:bookmarkStart w:id="62" w:name="_Toc184308087"/>
      <w:bookmarkEnd w:id="62"/>
      <w:bookmarkStart w:id="63" w:name="_Toc184312123"/>
      <w:bookmarkEnd w:id="63"/>
      <w:bookmarkStart w:id="64" w:name="_Toc184310332"/>
      <w:bookmarkEnd w:id="64"/>
      <w:bookmarkStart w:id="65" w:name="_Toc184312090"/>
      <w:bookmarkEnd w:id="65"/>
      <w:bookmarkStart w:id="66" w:name="_Toc184313249"/>
      <w:bookmarkEnd w:id="66"/>
      <w:bookmarkStart w:id="67" w:name="_Toc184313282"/>
      <w:bookmarkEnd w:id="67"/>
      <w:bookmarkStart w:id="68" w:name="_Toc184308094"/>
      <w:bookmarkEnd w:id="68"/>
      <w:bookmarkStart w:id="69" w:name="_Toc184313294"/>
      <w:bookmarkEnd w:id="69"/>
      <w:bookmarkStart w:id="70" w:name="_Toc184308075"/>
      <w:bookmarkEnd w:id="70"/>
      <w:bookmarkStart w:id="71" w:name="_Toc184312117"/>
      <w:bookmarkEnd w:id="71"/>
      <w:bookmarkStart w:id="72" w:name="_Toc184314433"/>
      <w:bookmarkEnd w:id="72"/>
      <w:bookmarkStart w:id="73" w:name="_Toc184308107"/>
      <w:bookmarkEnd w:id="73"/>
      <w:bookmarkStart w:id="74" w:name="_Toc184314453"/>
      <w:bookmarkEnd w:id="74"/>
      <w:bookmarkStart w:id="75" w:name="_Toc184314417"/>
      <w:bookmarkEnd w:id="75"/>
      <w:bookmarkStart w:id="76" w:name="_Toc184313303"/>
      <w:bookmarkEnd w:id="76"/>
      <w:bookmarkStart w:id="77" w:name="_Toc184312113"/>
      <w:bookmarkEnd w:id="77"/>
      <w:bookmarkStart w:id="78" w:name="_Toc184308047"/>
      <w:bookmarkEnd w:id="78"/>
      <w:bookmarkStart w:id="79" w:name="_Toc184312084"/>
      <w:bookmarkEnd w:id="79"/>
      <w:bookmarkStart w:id="80" w:name="_Toc184314429"/>
      <w:bookmarkEnd w:id="80"/>
      <w:bookmarkStart w:id="81" w:name="_Toc184308100"/>
      <w:bookmarkEnd w:id="81"/>
      <w:bookmarkStart w:id="82" w:name="_Toc184308080"/>
      <w:bookmarkEnd w:id="82"/>
      <w:bookmarkStart w:id="83" w:name="_Toc184313258"/>
      <w:bookmarkEnd w:id="83"/>
      <w:bookmarkStart w:id="84" w:name="_Toc184314477"/>
      <w:bookmarkEnd w:id="84"/>
      <w:bookmarkStart w:id="85" w:name="_Toc184314436"/>
      <w:bookmarkEnd w:id="85"/>
      <w:bookmarkStart w:id="86" w:name="_Toc184308082"/>
      <w:bookmarkEnd w:id="86"/>
      <w:bookmarkStart w:id="87" w:name="_Toc184310316"/>
      <w:bookmarkEnd w:id="87"/>
      <w:bookmarkStart w:id="88" w:name="_Toc184314481"/>
      <w:bookmarkEnd w:id="88"/>
      <w:bookmarkStart w:id="89" w:name="_Toc184310275"/>
      <w:bookmarkEnd w:id="89"/>
      <w:bookmarkStart w:id="90" w:name="_Toc184314466"/>
      <w:bookmarkEnd w:id="90"/>
      <w:bookmarkStart w:id="91" w:name="_Toc184314432"/>
      <w:bookmarkEnd w:id="91"/>
      <w:bookmarkStart w:id="92" w:name="_Toc184312125"/>
      <w:bookmarkEnd w:id="92"/>
      <w:bookmarkStart w:id="93" w:name="_Toc184308088"/>
      <w:bookmarkEnd w:id="93"/>
      <w:bookmarkStart w:id="94" w:name="_Toc184314443"/>
      <w:bookmarkEnd w:id="94"/>
      <w:bookmarkStart w:id="95" w:name="_Toc184308095"/>
      <w:bookmarkEnd w:id="95"/>
      <w:bookmarkStart w:id="96" w:name="_Toc184314413"/>
      <w:bookmarkEnd w:id="96"/>
      <w:bookmarkStart w:id="97" w:name="_Toc184314476"/>
      <w:bookmarkEnd w:id="97"/>
      <w:bookmarkStart w:id="98" w:name="_Toc184313241"/>
      <w:bookmarkEnd w:id="98"/>
      <w:bookmarkStart w:id="99" w:name="_Toc184312098"/>
      <w:bookmarkEnd w:id="99"/>
      <w:bookmarkStart w:id="100" w:name="_Toc184314426"/>
      <w:bookmarkEnd w:id="100"/>
      <w:bookmarkStart w:id="101" w:name="_Toc184313269"/>
      <w:bookmarkEnd w:id="101"/>
      <w:bookmarkStart w:id="102" w:name="_Toc184312108"/>
      <w:bookmarkEnd w:id="102"/>
      <w:bookmarkStart w:id="103" w:name="_Toc184313291"/>
      <w:bookmarkEnd w:id="103"/>
      <w:bookmarkStart w:id="104" w:name="_Toc184308103"/>
      <w:bookmarkEnd w:id="104"/>
      <w:bookmarkStart w:id="105" w:name="_Toc184313298"/>
      <w:bookmarkEnd w:id="105"/>
      <w:bookmarkStart w:id="106" w:name="_Toc184314470"/>
      <w:bookmarkEnd w:id="106"/>
      <w:bookmarkStart w:id="107" w:name="_Toc184313239"/>
      <w:bookmarkEnd w:id="107"/>
      <w:bookmarkStart w:id="108" w:name="_Toc184310285"/>
      <w:bookmarkEnd w:id="108"/>
      <w:bookmarkStart w:id="109" w:name="_Toc184308086"/>
      <w:bookmarkEnd w:id="109"/>
      <w:bookmarkStart w:id="110" w:name="_Toc184308050"/>
      <w:bookmarkEnd w:id="110"/>
      <w:bookmarkStart w:id="111" w:name="_Toc184314456"/>
      <w:bookmarkEnd w:id="111"/>
      <w:bookmarkStart w:id="112" w:name="_Toc184314473"/>
      <w:bookmarkEnd w:id="112"/>
      <w:bookmarkStart w:id="113" w:name="_Toc184314437"/>
      <w:bookmarkEnd w:id="113"/>
      <w:bookmarkStart w:id="114" w:name="_Toc184312135"/>
      <w:bookmarkEnd w:id="114"/>
      <w:bookmarkStart w:id="115" w:name="_Toc184312070"/>
      <w:bookmarkEnd w:id="115"/>
      <w:bookmarkStart w:id="116" w:name="_Toc184308070"/>
      <w:bookmarkEnd w:id="116"/>
      <w:bookmarkStart w:id="117" w:name="_Toc184308067"/>
      <w:bookmarkEnd w:id="117"/>
      <w:bookmarkStart w:id="118" w:name="_Toc184308089"/>
      <w:bookmarkEnd w:id="118"/>
      <w:bookmarkStart w:id="119" w:name="_Toc184314415"/>
      <w:bookmarkEnd w:id="119"/>
      <w:bookmarkStart w:id="120" w:name="_Toc184310280"/>
      <w:bookmarkEnd w:id="120"/>
      <w:bookmarkStart w:id="121" w:name="_Toc184313297"/>
      <w:bookmarkEnd w:id="121"/>
      <w:bookmarkStart w:id="122" w:name="_Toc184314480"/>
      <w:bookmarkEnd w:id="122"/>
      <w:bookmarkStart w:id="123" w:name="_Toc184310341"/>
      <w:bookmarkEnd w:id="123"/>
      <w:bookmarkStart w:id="124" w:name="_Toc184308105"/>
      <w:bookmarkEnd w:id="124"/>
      <w:bookmarkStart w:id="125" w:name="_Toc184312111"/>
      <w:bookmarkEnd w:id="125"/>
      <w:bookmarkStart w:id="126" w:name="_Toc184314444"/>
      <w:bookmarkEnd w:id="126"/>
      <w:bookmarkStart w:id="127" w:name="_Toc184310334"/>
      <w:bookmarkEnd w:id="127"/>
      <w:bookmarkStart w:id="128" w:name="_Toc184313307"/>
      <w:bookmarkEnd w:id="128"/>
      <w:bookmarkStart w:id="129" w:name="_Toc184312080"/>
      <w:bookmarkEnd w:id="129"/>
      <w:bookmarkStart w:id="130" w:name="_Toc184313240"/>
      <w:bookmarkEnd w:id="130"/>
      <w:bookmarkStart w:id="131" w:name="_Toc184312083"/>
      <w:bookmarkEnd w:id="131"/>
      <w:bookmarkStart w:id="132" w:name="_Toc184312099"/>
      <w:bookmarkEnd w:id="132"/>
      <w:bookmarkStart w:id="133" w:name="_Toc184310318"/>
      <w:bookmarkEnd w:id="133"/>
      <w:bookmarkStart w:id="134" w:name="_Toc184310314"/>
      <w:bookmarkEnd w:id="134"/>
      <w:bookmarkStart w:id="135" w:name="_Toc184312071"/>
      <w:bookmarkEnd w:id="135"/>
      <w:bookmarkStart w:id="136" w:name="_Toc184308045"/>
      <w:bookmarkEnd w:id="136"/>
      <w:bookmarkStart w:id="137" w:name="_Toc184312082"/>
      <w:bookmarkEnd w:id="137"/>
      <w:bookmarkStart w:id="138" w:name="_Toc184308061"/>
      <w:bookmarkEnd w:id="138"/>
      <w:bookmarkStart w:id="139" w:name="_Toc184313252"/>
      <w:bookmarkEnd w:id="139"/>
      <w:bookmarkStart w:id="140" w:name="_Toc184312106"/>
      <w:bookmarkEnd w:id="140"/>
      <w:bookmarkStart w:id="141" w:name="_Toc184308102"/>
      <w:bookmarkEnd w:id="141"/>
      <w:bookmarkStart w:id="142" w:name="_Toc184312069"/>
      <w:bookmarkEnd w:id="142"/>
      <w:bookmarkStart w:id="143" w:name="_Toc184312114"/>
      <w:bookmarkEnd w:id="143"/>
      <w:bookmarkStart w:id="144" w:name="_Toc184308074"/>
      <w:bookmarkEnd w:id="144"/>
      <w:bookmarkStart w:id="145" w:name="_Toc184314431"/>
      <w:bookmarkEnd w:id="145"/>
      <w:bookmarkStart w:id="146" w:name="_Toc184313302"/>
      <w:bookmarkEnd w:id="146"/>
      <w:bookmarkStart w:id="147" w:name="_Toc184310315"/>
      <w:bookmarkEnd w:id="147"/>
      <w:bookmarkStart w:id="148" w:name="_Toc184313293"/>
      <w:bookmarkEnd w:id="148"/>
      <w:bookmarkStart w:id="149" w:name="_Toc184312086"/>
      <w:bookmarkEnd w:id="149"/>
      <w:bookmarkStart w:id="150" w:name="_Toc184314416"/>
      <w:bookmarkEnd w:id="150"/>
      <w:bookmarkStart w:id="151" w:name="_Toc184312130"/>
      <w:bookmarkEnd w:id="151"/>
      <w:bookmarkStart w:id="152" w:name="_Toc184314455"/>
      <w:bookmarkEnd w:id="152"/>
      <w:bookmarkStart w:id="153" w:name="_Toc184314422"/>
      <w:bookmarkEnd w:id="153"/>
      <w:bookmarkStart w:id="154" w:name="_Toc184308053"/>
      <w:bookmarkEnd w:id="154"/>
      <w:bookmarkStart w:id="155" w:name="_Toc184312096"/>
      <w:bookmarkEnd w:id="155"/>
      <w:bookmarkStart w:id="156" w:name="_Toc184310276"/>
      <w:bookmarkEnd w:id="156"/>
      <w:bookmarkStart w:id="157" w:name="_Toc184312072"/>
      <w:bookmarkEnd w:id="157"/>
      <w:bookmarkStart w:id="158" w:name="_Toc184314425"/>
      <w:bookmarkEnd w:id="158"/>
      <w:bookmarkStart w:id="159" w:name="_Toc184308065"/>
      <w:bookmarkEnd w:id="159"/>
      <w:bookmarkStart w:id="160" w:name="_Toc184310305"/>
      <w:bookmarkEnd w:id="160"/>
      <w:bookmarkStart w:id="161" w:name="_Toc184314472"/>
      <w:bookmarkEnd w:id="161"/>
      <w:bookmarkStart w:id="162" w:name="_Toc184310307"/>
      <w:bookmarkEnd w:id="162"/>
      <w:bookmarkStart w:id="163" w:name="_Toc184310295"/>
      <w:bookmarkEnd w:id="163"/>
      <w:bookmarkStart w:id="164" w:name="_Toc184310327"/>
      <w:bookmarkEnd w:id="164"/>
      <w:bookmarkStart w:id="165" w:name="_Toc184314419"/>
      <w:bookmarkEnd w:id="165"/>
      <w:bookmarkStart w:id="166" w:name="_Toc184314410"/>
      <w:bookmarkEnd w:id="166"/>
      <w:bookmarkStart w:id="167" w:name="_Toc184312095"/>
      <w:bookmarkEnd w:id="167"/>
      <w:bookmarkStart w:id="168" w:name="_Toc184310322"/>
      <w:bookmarkEnd w:id="168"/>
      <w:bookmarkStart w:id="169" w:name="_Toc184310283"/>
      <w:bookmarkEnd w:id="169"/>
      <w:bookmarkStart w:id="170" w:name="_Toc184314418"/>
      <w:bookmarkEnd w:id="170"/>
      <w:bookmarkStart w:id="171" w:name="_Toc184310300"/>
      <w:bookmarkEnd w:id="171"/>
      <w:bookmarkStart w:id="172" w:name="_Toc184314478"/>
      <w:bookmarkEnd w:id="172"/>
      <w:bookmarkStart w:id="173" w:name="_Toc184310324"/>
      <w:bookmarkEnd w:id="173"/>
      <w:bookmarkStart w:id="174" w:name="_Toc184313243"/>
      <w:bookmarkEnd w:id="174"/>
      <w:bookmarkStart w:id="175" w:name="_Toc184310329"/>
      <w:bookmarkEnd w:id="175"/>
      <w:bookmarkStart w:id="176" w:name="_Toc184310278"/>
      <w:bookmarkEnd w:id="176"/>
      <w:bookmarkStart w:id="177" w:name="_Toc184313253"/>
      <w:bookmarkEnd w:id="177"/>
      <w:bookmarkStart w:id="178" w:name="_Toc184312128"/>
      <w:bookmarkEnd w:id="178"/>
      <w:bookmarkStart w:id="179" w:name="_Toc184312122"/>
      <w:bookmarkEnd w:id="179"/>
      <w:bookmarkStart w:id="180" w:name="_Toc184308036"/>
      <w:bookmarkEnd w:id="180"/>
      <w:bookmarkStart w:id="181" w:name="_Toc184312115"/>
      <w:bookmarkEnd w:id="181"/>
      <w:bookmarkStart w:id="182" w:name="_Toc184308039"/>
      <w:bookmarkEnd w:id="182"/>
      <w:bookmarkStart w:id="183" w:name="_Toc184310333"/>
      <w:bookmarkEnd w:id="183"/>
      <w:bookmarkStart w:id="184" w:name="_Toc184310325"/>
      <w:bookmarkEnd w:id="184"/>
      <w:bookmarkStart w:id="185" w:name="_Toc184308054"/>
      <w:bookmarkEnd w:id="185"/>
      <w:bookmarkStart w:id="186" w:name="_Toc184313278"/>
      <w:bookmarkEnd w:id="186"/>
      <w:bookmarkStart w:id="187" w:name="_Toc184312081"/>
      <w:bookmarkEnd w:id="187"/>
      <w:bookmarkStart w:id="188" w:name="_Toc184313273"/>
      <w:bookmarkEnd w:id="188"/>
      <w:bookmarkStart w:id="189" w:name="_Toc184310299"/>
      <w:bookmarkEnd w:id="189"/>
      <w:bookmarkStart w:id="190" w:name="_Toc184312100"/>
      <w:bookmarkEnd w:id="190"/>
      <w:bookmarkStart w:id="191" w:name="_Toc184314463"/>
      <w:bookmarkEnd w:id="191"/>
      <w:bookmarkStart w:id="192" w:name="_Toc184310328"/>
      <w:bookmarkEnd w:id="192"/>
      <w:bookmarkStart w:id="193" w:name="_Toc184313244"/>
      <w:bookmarkEnd w:id="193"/>
      <w:bookmarkStart w:id="194" w:name="_Toc184312121"/>
      <w:bookmarkEnd w:id="194"/>
      <w:bookmarkStart w:id="195" w:name="_Toc184308055"/>
      <w:bookmarkEnd w:id="195"/>
      <w:bookmarkStart w:id="196" w:name="_Toc184313248"/>
      <w:bookmarkEnd w:id="196"/>
      <w:bookmarkStart w:id="197" w:name="_Toc184312129"/>
      <w:bookmarkEnd w:id="197"/>
      <w:bookmarkStart w:id="198" w:name="_Toc184313280"/>
      <w:bookmarkEnd w:id="198"/>
      <w:bookmarkStart w:id="199" w:name="_Toc184312136"/>
      <w:bookmarkEnd w:id="199"/>
      <w:bookmarkStart w:id="200" w:name="_Toc184310338"/>
      <w:bookmarkEnd w:id="200"/>
      <w:bookmarkStart w:id="201" w:name="_Toc184313247"/>
      <w:bookmarkEnd w:id="201"/>
      <w:bookmarkStart w:id="202" w:name="_Toc184314435"/>
      <w:bookmarkEnd w:id="202"/>
      <w:bookmarkStart w:id="203" w:name="_Toc184310302"/>
      <w:bookmarkEnd w:id="203"/>
      <w:bookmarkStart w:id="204" w:name="_Toc184313276"/>
      <w:bookmarkEnd w:id="204"/>
      <w:bookmarkStart w:id="205" w:name="_Toc184313306"/>
      <w:bookmarkEnd w:id="205"/>
      <w:bookmarkStart w:id="206" w:name="_Toc184314475"/>
      <w:bookmarkEnd w:id="206"/>
      <w:bookmarkStart w:id="207" w:name="_Toc184310335"/>
      <w:bookmarkEnd w:id="207"/>
      <w:bookmarkStart w:id="208" w:name="_Toc184314442"/>
      <w:bookmarkEnd w:id="208"/>
      <w:bookmarkStart w:id="209" w:name="_Toc184308060"/>
      <w:bookmarkEnd w:id="209"/>
      <w:bookmarkStart w:id="210" w:name="_Toc184314440"/>
      <w:bookmarkEnd w:id="210"/>
      <w:bookmarkStart w:id="211" w:name="_Toc184313272"/>
      <w:bookmarkEnd w:id="211"/>
      <w:bookmarkStart w:id="212" w:name="_Toc184314423"/>
      <w:bookmarkEnd w:id="212"/>
      <w:bookmarkStart w:id="213" w:name="_Toc184314471"/>
      <w:bookmarkEnd w:id="213"/>
      <w:bookmarkStart w:id="214" w:name="_Toc184310340"/>
      <w:bookmarkEnd w:id="214"/>
      <w:bookmarkStart w:id="215" w:name="_Toc184312085"/>
      <w:bookmarkEnd w:id="215"/>
      <w:bookmarkStart w:id="216" w:name="_Toc184308098"/>
      <w:bookmarkEnd w:id="216"/>
      <w:bookmarkStart w:id="217" w:name="_Toc184308084"/>
      <w:bookmarkEnd w:id="217"/>
      <w:bookmarkStart w:id="218" w:name="_Toc184313257"/>
      <w:bookmarkEnd w:id="218"/>
      <w:bookmarkStart w:id="219" w:name="_Toc184312088"/>
      <w:bookmarkEnd w:id="219"/>
      <w:bookmarkStart w:id="220" w:name="_Toc184308040"/>
      <w:bookmarkEnd w:id="220"/>
      <w:bookmarkStart w:id="221" w:name="_Toc184308073"/>
      <w:bookmarkEnd w:id="221"/>
      <w:bookmarkStart w:id="222" w:name="_Toc184310286"/>
      <w:bookmarkEnd w:id="222"/>
      <w:bookmarkStart w:id="223" w:name="_Toc184308064"/>
      <w:bookmarkEnd w:id="223"/>
      <w:bookmarkStart w:id="224" w:name="_Toc184308048"/>
      <w:bookmarkEnd w:id="224"/>
      <w:bookmarkStart w:id="225" w:name="_Toc184314427"/>
      <w:bookmarkEnd w:id="225"/>
      <w:bookmarkStart w:id="226" w:name="_Toc184308058"/>
      <w:bookmarkEnd w:id="226"/>
      <w:bookmarkStart w:id="227" w:name="_Toc184313301"/>
      <w:bookmarkEnd w:id="227"/>
      <w:bookmarkStart w:id="228" w:name="_Toc184312124"/>
      <w:bookmarkEnd w:id="228"/>
      <w:bookmarkStart w:id="229" w:name="_Toc184312110"/>
      <w:bookmarkEnd w:id="229"/>
      <w:bookmarkStart w:id="230" w:name="_Toc184310277"/>
      <w:bookmarkEnd w:id="230"/>
      <w:bookmarkStart w:id="231" w:name="_Toc184313300"/>
      <w:bookmarkEnd w:id="231"/>
      <w:bookmarkStart w:id="232" w:name="_Toc184314439"/>
      <w:bookmarkEnd w:id="232"/>
      <w:bookmarkStart w:id="233" w:name="_Toc184308037"/>
      <w:bookmarkEnd w:id="233"/>
      <w:bookmarkStart w:id="234" w:name="_Toc184308063"/>
      <w:bookmarkEnd w:id="234"/>
      <w:bookmarkStart w:id="235" w:name="_Toc184313266"/>
      <w:bookmarkEnd w:id="235"/>
      <w:bookmarkStart w:id="236" w:name="_Toc184308081"/>
      <w:bookmarkEnd w:id="236"/>
      <w:bookmarkStart w:id="237" w:name="_Toc184313256"/>
      <w:bookmarkEnd w:id="237"/>
      <w:bookmarkStart w:id="238" w:name="_Toc184308090"/>
      <w:bookmarkEnd w:id="238"/>
      <w:bookmarkStart w:id="239" w:name="_Toc184310337"/>
      <w:bookmarkEnd w:id="239"/>
      <w:bookmarkStart w:id="240" w:name="_Toc184314451"/>
      <w:bookmarkEnd w:id="240"/>
      <w:bookmarkStart w:id="241" w:name="_Toc184313245"/>
      <w:bookmarkEnd w:id="241"/>
      <w:bookmarkStart w:id="242" w:name="_Toc184310281"/>
      <w:bookmarkEnd w:id="242"/>
      <w:bookmarkStart w:id="243" w:name="_Toc184308072"/>
      <w:bookmarkEnd w:id="243"/>
      <w:bookmarkStart w:id="244" w:name="_Toc184313287"/>
      <w:bookmarkEnd w:id="244"/>
      <w:bookmarkStart w:id="245" w:name="_Toc184308077"/>
      <w:bookmarkEnd w:id="245"/>
      <w:bookmarkStart w:id="246" w:name="_Toc184312089"/>
      <w:bookmarkEnd w:id="246"/>
      <w:bookmarkStart w:id="247" w:name="_Toc184313288"/>
      <w:bookmarkEnd w:id="247"/>
      <w:bookmarkStart w:id="248" w:name="_Toc184312075"/>
      <w:bookmarkEnd w:id="248"/>
      <w:bookmarkStart w:id="249" w:name="_Toc184308056"/>
      <w:bookmarkEnd w:id="249"/>
      <w:bookmarkStart w:id="250" w:name="_Toc184308097"/>
      <w:bookmarkEnd w:id="250"/>
      <w:bookmarkStart w:id="251" w:name="_Toc184314460"/>
      <w:bookmarkEnd w:id="251"/>
      <w:bookmarkStart w:id="252" w:name="_Toc184313277"/>
      <w:bookmarkEnd w:id="252"/>
      <w:bookmarkStart w:id="253" w:name="_Toc184312107"/>
      <w:bookmarkEnd w:id="253"/>
      <w:bookmarkStart w:id="254" w:name="_Toc184314482"/>
      <w:bookmarkEnd w:id="254"/>
      <w:bookmarkStart w:id="255" w:name="_Toc184313310"/>
      <w:bookmarkEnd w:id="255"/>
      <w:bookmarkStart w:id="256" w:name="_Toc184313292"/>
      <w:bookmarkEnd w:id="256"/>
      <w:bookmarkStart w:id="257" w:name="_Toc184312092"/>
      <w:bookmarkEnd w:id="257"/>
      <w:bookmarkStart w:id="258" w:name="_Toc184312104"/>
      <w:bookmarkEnd w:id="258"/>
      <w:bookmarkStart w:id="259" w:name="_Toc184310323"/>
      <w:bookmarkEnd w:id="259"/>
      <w:bookmarkStart w:id="260" w:name="_Toc184313261"/>
      <w:bookmarkEnd w:id="260"/>
      <w:bookmarkStart w:id="261" w:name="_Toc184314459"/>
      <w:bookmarkEnd w:id="261"/>
      <w:bookmarkStart w:id="262" w:name="_Toc184308049"/>
      <w:bookmarkEnd w:id="262"/>
      <w:bookmarkStart w:id="263" w:name="_Toc184310344"/>
      <w:bookmarkEnd w:id="263"/>
      <w:bookmarkStart w:id="264" w:name="_Toc184308038"/>
      <w:bookmarkEnd w:id="264"/>
      <w:bookmarkStart w:id="265" w:name="_Toc184308066"/>
      <w:bookmarkEnd w:id="265"/>
      <w:bookmarkStart w:id="266" w:name="_Toc184312131"/>
      <w:bookmarkEnd w:id="266"/>
      <w:bookmarkStart w:id="267" w:name="_Toc184310303"/>
      <w:bookmarkEnd w:id="267"/>
      <w:bookmarkStart w:id="268" w:name="_Toc184314448"/>
      <w:bookmarkEnd w:id="268"/>
      <w:bookmarkStart w:id="269" w:name="_Toc184310308"/>
      <w:bookmarkEnd w:id="269"/>
      <w:bookmarkStart w:id="270" w:name="_Toc184313284"/>
      <w:bookmarkEnd w:id="270"/>
      <w:bookmarkStart w:id="271" w:name="_Toc184312109"/>
      <w:bookmarkEnd w:id="271"/>
      <w:bookmarkStart w:id="272" w:name="_Toc184310336"/>
      <w:bookmarkEnd w:id="272"/>
      <w:bookmarkStart w:id="273" w:name="_Toc184314445"/>
      <w:bookmarkEnd w:id="273"/>
      <w:bookmarkStart w:id="274" w:name="_Toc184313283"/>
      <w:bookmarkEnd w:id="274"/>
      <w:bookmarkStart w:id="275" w:name="_Toc184314464"/>
      <w:bookmarkEnd w:id="275"/>
      <w:bookmarkStart w:id="276" w:name="_Toc184310310"/>
      <w:bookmarkEnd w:id="276"/>
      <w:bookmarkStart w:id="277" w:name="_Toc184308041"/>
      <w:bookmarkEnd w:id="277"/>
      <w:bookmarkStart w:id="278" w:name="_Toc184314465"/>
      <w:bookmarkEnd w:id="278"/>
      <w:bookmarkStart w:id="279" w:name="_Toc184312112"/>
      <w:bookmarkEnd w:id="279"/>
      <w:bookmarkStart w:id="280" w:name="_Toc184314449"/>
      <w:bookmarkEnd w:id="280"/>
      <w:bookmarkStart w:id="281" w:name="_Toc184313285"/>
      <w:bookmarkEnd w:id="281"/>
      <w:bookmarkStart w:id="282" w:name="_Toc184313262"/>
      <w:bookmarkEnd w:id="282"/>
      <w:bookmarkStart w:id="283" w:name="_Toc184308108"/>
      <w:bookmarkEnd w:id="283"/>
      <w:bookmarkStart w:id="284" w:name="_Toc184308043"/>
      <w:bookmarkEnd w:id="284"/>
      <w:bookmarkStart w:id="285" w:name="_Toc184310296"/>
      <w:bookmarkEnd w:id="285"/>
      <w:bookmarkStart w:id="286" w:name="_Toc184314446"/>
      <w:bookmarkEnd w:id="286"/>
      <w:bookmarkStart w:id="287" w:name="_Toc184312120"/>
      <w:bookmarkEnd w:id="287"/>
      <w:bookmarkStart w:id="288" w:name="_Toc184308076"/>
      <w:bookmarkEnd w:id="288"/>
      <w:bookmarkStart w:id="289" w:name="_Toc184312094"/>
      <w:bookmarkEnd w:id="289"/>
      <w:bookmarkStart w:id="290" w:name="_Toc184312068"/>
      <w:bookmarkEnd w:id="290"/>
      <w:bookmarkStart w:id="291" w:name="_Toc184308052"/>
      <w:bookmarkEnd w:id="291"/>
      <w:bookmarkStart w:id="292" w:name="_Toc184314430"/>
      <w:bookmarkEnd w:id="292"/>
      <w:bookmarkStart w:id="293" w:name="_Toc184314450"/>
      <w:bookmarkEnd w:id="293"/>
      <w:bookmarkStart w:id="294" w:name="_Toc184310320"/>
      <w:bookmarkEnd w:id="294"/>
      <w:bookmarkStart w:id="295" w:name="_Toc184310282"/>
      <w:bookmarkEnd w:id="295"/>
      <w:bookmarkStart w:id="296" w:name="_Toc184314428"/>
      <w:bookmarkEnd w:id="296"/>
      <w:bookmarkStart w:id="297" w:name="_Toc184310288"/>
      <w:bookmarkEnd w:id="297"/>
      <w:bookmarkStart w:id="298" w:name="_Toc184312079"/>
      <w:bookmarkEnd w:id="298"/>
      <w:bookmarkStart w:id="299" w:name="_Toc184310298"/>
      <w:bookmarkEnd w:id="299"/>
      <w:bookmarkStart w:id="300" w:name="_Toc184310321"/>
      <w:bookmarkEnd w:id="300"/>
      <w:bookmarkStart w:id="301" w:name="_Toc184314461"/>
      <w:bookmarkEnd w:id="301"/>
      <w:bookmarkStart w:id="302" w:name="_Toc184312067"/>
      <w:bookmarkEnd w:id="302"/>
      <w:bookmarkStart w:id="303" w:name="_Toc184314462"/>
      <w:bookmarkEnd w:id="303"/>
      <w:bookmarkStart w:id="304" w:name="_Toc184312102"/>
      <w:bookmarkEnd w:id="304"/>
      <w:bookmarkStart w:id="305" w:name="_Toc184308059"/>
      <w:bookmarkEnd w:id="305"/>
      <w:bookmarkStart w:id="306" w:name="_Toc184313264"/>
      <w:bookmarkEnd w:id="306"/>
      <w:bookmarkStart w:id="307" w:name="_Toc184308104"/>
      <w:bookmarkEnd w:id="307"/>
      <w:bookmarkStart w:id="308" w:name="_Toc184314468"/>
      <w:bookmarkEnd w:id="308"/>
      <w:bookmarkStart w:id="309" w:name="_Toc184314457"/>
      <w:bookmarkEnd w:id="309"/>
      <w:bookmarkStart w:id="310" w:name="_Toc184310313"/>
      <w:bookmarkEnd w:id="310"/>
      <w:bookmarkStart w:id="311" w:name="_Toc184312076"/>
      <w:bookmarkEnd w:id="311"/>
      <w:bookmarkStart w:id="312" w:name="_Toc184313260"/>
      <w:bookmarkEnd w:id="312"/>
      <w:bookmarkStart w:id="313" w:name="_Toc184308069"/>
      <w:bookmarkEnd w:id="313"/>
      <w:bookmarkStart w:id="314" w:name="_Toc184310330"/>
      <w:bookmarkEnd w:id="314"/>
      <w:bookmarkStart w:id="315" w:name="_Toc184312119"/>
      <w:bookmarkEnd w:id="315"/>
      <w:bookmarkStart w:id="316" w:name="_Toc184314479"/>
      <w:bookmarkEnd w:id="316"/>
      <w:bookmarkStart w:id="317" w:name="_Toc184308083"/>
      <w:bookmarkEnd w:id="317"/>
      <w:bookmarkStart w:id="318" w:name="_Toc184314469"/>
      <w:bookmarkEnd w:id="318"/>
      <w:bookmarkStart w:id="319" w:name="_Toc184308085"/>
      <w:bookmarkEnd w:id="319"/>
      <w:bookmarkStart w:id="320" w:name="_Toc184313238"/>
      <w:bookmarkEnd w:id="320"/>
      <w:bookmarkStart w:id="321" w:name="_Toc184308091"/>
      <w:bookmarkEnd w:id="321"/>
      <w:bookmarkStart w:id="322" w:name="_Toc184313279"/>
      <w:bookmarkEnd w:id="322"/>
      <w:bookmarkStart w:id="323" w:name="_Toc184312137"/>
      <w:bookmarkEnd w:id="323"/>
      <w:bookmarkStart w:id="324" w:name="_Toc184313286"/>
      <w:bookmarkEnd w:id="324"/>
      <w:bookmarkStart w:id="325" w:name="_Toc184310343"/>
      <w:bookmarkEnd w:id="325"/>
      <w:bookmarkStart w:id="326" w:name="_Toc184310309"/>
      <w:bookmarkEnd w:id="326"/>
      <w:bookmarkStart w:id="327" w:name="_Toc184312116"/>
      <w:bookmarkEnd w:id="327"/>
      <w:bookmarkStart w:id="328" w:name="_Toc184313295"/>
      <w:bookmarkEnd w:id="328"/>
      <w:bookmarkStart w:id="329" w:name="_Toc184310279"/>
      <w:bookmarkEnd w:id="329"/>
      <w:bookmarkStart w:id="330" w:name="_Toc184308106"/>
      <w:bookmarkEnd w:id="330"/>
      <w:bookmarkStart w:id="331" w:name="_Toc184313289"/>
      <w:bookmarkEnd w:id="331"/>
      <w:bookmarkStart w:id="332" w:name="_Toc184313254"/>
      <w:bookmarkEnd w:id="332"/>
      <w:bookmarkStart w:id="333" w:name="_Toc184308099"/>
      <w:bookmarkEnd w:id="333"/>
      <w:bookmarkStart w:id="334" w:name="_Toc184310287"/>
      <w:bookmarkEnd w:id="334"/>
      <w:bookmarkStart w:id="335" w:name="_Toc184310342"/>
      <w:bookmarkEnd w:id="335"/>
      <w:bookmarkStart w:id="336" w:name="_Toc184312105"/>
      <w:bookmarkEnd w:id="336"/>
      <w:bookmarkStart w:id="337" w:name="_Toc184312097"/>
      <w:bookmarkEnd w:id="337"/>
      <w:bookmarkStart w:id="338" w:name="_Toc184310289"/>
      <w:bookmarkEnd w:id="338"/>
      <w:bookmarkStart w:id="339" w:name="_Toc184312103"/>
      <w:bookmarkEnd w:id="339"/>
      <w:bookmarkStart w:id="340" w:name="_Toc184308042"/>
      <w:bookmarkEnd w:id="340"/>
      <w:bookmarkStart w:id="341" w:name="_Toc184308046"/>
      <w:bookmarkEnd w:id="341"/>
      <w:bookmarkStart w:id="342" w:name="_Toc184308078"/>
      <w:bookmarkEnd w:id="342"/>
      <w:bookmarkStart w:id="343" w:name="_Toc184312139"/>
      <w:bookmarkEnd w:id="343"/>
      <w:bookmarkStart w:id="344" w:name="_Toc184312077"/>
      <w:bookmarkEnd w:id="344"/>
      <w:bookmarkStart w:id="345" w:name="_Toc184310331"/>
      <w:bookmarkEnd w:id="345"/>
      <w:bookmarkStart w:id="346" w:name="_Toc184308079"/>
      <w:bookmarkEnd w:id="346"/>
      <w:bookmarkStart w:id="347" w:name="_Toc184313281"/>
      <w:bookmarkEnd w:id="347"/>
      <w:bookmarkStart w:id="348" w:name="_Toc184312118"/>
      <w:bookmarkEnd w:id="348"/>
      <w:bookmarkStart w:id="349" w:name="_Toc184312138"/>
      <w:bookmarkEnd w:id="349"/>
      <w:bookmarkStart w:id="350" w:name="_Toc184312134"/>
      <w:bookmarkEnd w:id="350"/>
      <w:bookmarkStart w:id="351" w:name="_Toc184312087"/>
      <w:bookmarkEnd w:id="351"/>
      <w:bookmarkStart w:id="352" w:name="_Toc184308093"/>
      <w:bookmarkEnd w:id="352"/>
      <w:bookmarkStart w:id="353" w:name="_Toc184314454"/>
      <w:bookmarkEnd w:id="353"/>
      <w:bookmarkStart w:id="354" w:name="_Toc184310292"/>
      <w:bookmarkEnd w:id="354"/>
      <w:bookmarkStart w:id="355" w:name="_Toc184310311"/>
      <w:bookmarkEnd w:id="355"/>
      <w:bookmarkStart w:id="356" w:name="_Toc184312091"/>
      <w:bookmarkEnd w:id="356"/>
      <w:bookmarkStart w:id="357" w:name="_Toc184313296"/>
      <w:bookmarkEnd w:id="357"/>
      <w:bookmarkStart w:id="358" w:name="_Toc184313271"/>
      <w:bookmarkEnd w:id="358"/>
      <w:bookmarkStart w:id="359" w:name="_Toc184314467"/>
      <w:bookmarkEnd w:id="359"/>
      <w:bookmarkStart w:id="360" w:name="_Toc184308101"/>
      <w:bookmarkEnd w:id="360"/>
      <w:bookmarkStart w:id="361" w:name="_Toc184314447"/>
      <w:bookmarkEnd w:id="361"/>
      <w:bookmarkStart w:id="362" w:name="_Toc184313242"/>
      <w:bookmarkEnd w:id="362"/>
      <w:bookmarkStart w:id="363" w:name="_Toc184313274"/>
      <w:bookmarkEnd w:id="363"/>
      <w:bookmarkStart w:id="364" w:name="_Toc184313299"/>
      <w:bookmarkEnd w:id="364"/>
      <w:bookmarkStart w:id="365" w:name="_Toc184312101"/>
      <w:bookmarkEnd w:id="365"/>
      <w:bookmarkStart w:id="366" w:name="_Toc184310304"/>
      <w:bookmarkEnd w:id="366"/>
      <w:bookmarkStart w:id="367" w:name="_Toc184313251"/>
      <w:bookmarkEnd w:id="367"/>
      <w:bookmarkStart w:id="368" w:name="_Toc184313265"/>
      <w:bookmarkEnd w:id="368"/>
      <w:bookmarkStart w:id="369" w:name="_Toc184314411"/>
      <w:bookmarkEnd w:id="369"/>
      <w:bookmarkStart w:id="370" w:name="_Toc184310319"/>
      <w:bookmarkEnd w:id="370"/>
      <w:bookmarkStart w:id="371" w:name="_Toc184310293"/>
      <w:bookmarkEnd w:id="371"/>
      <w:bookmarkStart w:id="372" w:name="_Toc184310301"/>
      <w:bookmarkEnd w:id="372"/>
      <w:bookmarkStart w:id="373" w:name="_Toc184310306"/>
      <w:bookmarkEnd w:id="373"/>
      <w:bookmarkStart w:id="374" w:name="_Toc184313305"/>
      <w:bookmarkEnd w:id="374"/>
      <w:bookmarkStart w:id="375" w:name="_Toc184310312"/>
      <w:bookmarkEnd w:id="375"/>
      <w:bookmarkStart w:id="376" w:name="_Toc184308051"/>
      <w:bookmarkEnd w:id="376"/>
      <w:bookmarkStart w:id="377" w:name="_Toc184314438"/>
      <w:bookmarkEnd w:id="377"/>
      <w:bookmarkStart w:id="378" w:name="_Toc184310326"/>
      <w:bookmarkEnd w:id="378"/>
      <w:bookmarkStart w:id="379" w:name="_Toc184310273"/>
      <w:bookmarkEnd w:id="379"/>
      <w:bookmarkStart w:id="380" w:name="_Toc184308057"/>
      <w:bookmarkEnd w:id="380"/>
      <w:bookmarkStart w:id="381" w:name="_Toc184308071"/>
      <w:bookmarkEnd w:id="381"/>
      <w:bookmarkStart w:id="382" w:name="_Toc184312093"/>
      <w:bookmarkEnd w:id="382"/>
      <w:bookmarkStart w:id="383" w:name="_Toc184310274"/>
      <w:bookmarkEnd w:id="383"/>
      <w:bookmarkStart w:id="384" w:name="_Toc184314412"/>
      <w:bookmarkEnd w:id="384"/>
      <w:bookmarkStart w:id="385" w:name="_Toc184314414"/>
      <w:bookmarkEnd w:id="385"/>
      <w:bookmarkStart w:id="386" w:name="_Toc184313290"/>
      <w:bookmarkEnd w:id="386"/>
      <w:bookmarkStart w:id="387" w:name="_Toc184308092"/>
      <w:bookmarkEnd w:id="387"/>
      <w:bookmarkStart w:id="388" w:name="_Toc184308068"/>
      <w:bookmarkEnd w:id="388"/>
      <w:bookmarkStart w:id="389" w:name="_Toc184314452"/>
      <w:bookmarkEnd w:id="389"/>
      <w:bookmarkStart w:id="390" w:name="_Toc184314434"/>
      <w:bookmarkEnd w:id="390"/>
      <w:bookmarkStart w:id="391" w:name="_Toc184312073"/>
      <w:bookmarkEnd w:id="391"/>
      <w:bookmarkStart w:id="392" w:name="_Toc184312132"/>
      <w:bookmarkEnd w:id="392"/>
      <w:bookmarkStart w:id="393" w:name="_Toc184308044"/>
      <w:bookmarkEnd w:id="393"/>
      <w:bookmarkStart w:id="394" w:name="_Toc184312127"/>
      <w:bookmarkEnd w:id="394"/>
      <w:bookmarkStart w:id="395" w:name="_Toc184310284"/>
      <w:bookmarkEnd w:id="395"/>
      <w:bookmarkStart w:id="396" w:name="_Toc184313309"/>
      <w:bookmarkEnd w:id="396"/>
      <w:bookmarkStart w:id="397" w:name="_Toc184312133"/>
      <w:bookmarkEnd w:id="397"/>
      <w:bookmarkStart w:id="398" w:name="_Toc184314474"/>
      <w:bookmarkEnd w:id="398"/>
      <w:bookmarkStart w:id="399" w:name="_Toc184314420"/>
      <w:bookmarkEnd w:id="399"/>
      <w:r>
        <w:rPr>
          <w:rFonts w:hint="eastAsia" w:ascii="宋体" w:hAnsi="宋体" w:cs="宋体"/>
          <w:b/>
          <w:color w:val="auto"/>
          <w:sz w:val="36"/>
          <w:szCs w:val="36"/>
          <w:highlight w:val="none"/>
        </w:rPr>
        <w:t>评标办法</w:t>
      </w:r>
    </w:p>
    <w:p w14:paraId="4BE76201">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545"/>
        <w:gridCol w:w="764"/>
        <w:gridCol w:w="1147"/>
        <w:gridCol w:w="2150"/>
      </w:tblGrid>
      <w:tr w14:paraId="2D88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D76106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545" w:type="dxa"/>
            <w:vAlign w:val="center"/>
          </w:tcPr>
          <w:p w14:paraId="4C3B4B1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评标标准</w:t>
            </w:r>
          </w:p>
        </w:tc>
        <w:tc>
          <w:tcPr>
            <w:tcW w:w="764" w:type="dxa"/>
            <w:vAlign w:val="center"/>
          </w:tcPr>
          <w:p w14:paraId="621775B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最高分值</w:t>
            </w:r>
          </w:p>
        </w:tc>
        <w:tc>
          <w:tcPr>
            <w:tcW w:w="1147" w:type="dxa"/>
            <w:vAlign w:val="center"/>
          </w:tcPr>
          <w:p w14:paraId="0E31E7D6">
            <w:pPr>
              <w:snapToGrid w:val="0"/>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主观分/客观分属性</w:t>
            </w:r>
          </w:p>
        </w:tc>
        <w:tc>
          <w:tcPr>
            <w:tcW w:w="2150" w:type="dxa"/>
            <w:vAlign w:val="center"/>
          </w:tcPr>
          <w:p w14:paraId="47273657">
            <w:pPr>
              <w:snapToGrid w:val="0"/>
              <w:spacing w:line="288" w:lineRule="auto"/>
              <w:jc w:val="center"/>
              <w:rPr>
                <w:rFonts w:ascii="宋体" w:hAnsi="宋体" w:cs="宋体"/>
                <w:color w:val="auto"/>
                <w:szCs w:val="21"/>
                <w:highlight w:val="none"/>
              </w:rPr>
            </w:pPr>
            <w:r>
              <w:rPr>
                <w:rFonts w:hint="eastAsia" w:ascii="宋体" w:hAnsi="宋体" w:cs="宋体"/>
                <w:bCs/>
                <w:color w:val="auto"/>
                <w:szCs w:val="21"/>
                <w:highlight w:val="none"/>
              </w:rPr>
              <w:t>投标文件中评标标准相应的商务技术资料目录*</w:t>
            </w:r>
          </w:p>
        </w:tc>
      </w:tr>
      <w:tr w14:paraId="5872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A8A209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545" w:type="dxa"/>
          </w:tcPr>
          <w:p w14:paraId="4330AE2B">
            <w:p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业绩：</w:t>
            </w:r>
          </w:p>
          <w:p w14:paraId="5CF4E8A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投标人自2023年1月1日以来（以合同签订时间为准）同类合同业绩（以提供的合同复印件为准）：每提供1份合同业绩得1分，最高得3分。</w:t>
            </w:r>
          </w:p>
          <w:p w14:paraId="52F75595">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注：以提供合同复印件、对应合同整体验收合格的验收报告为准（缺一项内容或未提供不得分）。</w:t>
            </w:r>
          </w:p>
        </w:tc>
        <w:tc>
          <w:tcPr>
            <w:tcW w:w="764" w:type="dxa"/>
            <w:vAlign w:val="center"/>
          </w:tcPr>
          <w:p w14:paraId="226200E2">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147" w:type="dxa"/>
            <w:vAlign w:val="center"/>
          </w:tcPr>
          <w:p w14:paraId="7F0995F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2150" w:type="dxa"/>
            <w:vAlign w:val="center"/>
          </w:tcPr>
          <w:p w14:paraId="3F907E7F">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业绩</w:t>
            </w:r>
          </w:p>
        </w:tc>
      </w:tr>
      <w:tr w14:paraId="6CC2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A58BD7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545" w:type="dxa"/>
          </w:tcPr>
          <w:p w14:paraId="2AD67227">
            <w:p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政策功能：</w:t>
            </w:r>
          </w:p>
          <w:p w14:paraId="317FE8B2">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投标产品（98寸智慧屏、导播终端、讲台智慧屏、LED显示屏、显示大屏、服务器、控制电脑、SIP 服务器 ）提供国家确定的认证机构出具的有效的环境标志产品认证证书（扫描件）的，提供1份得1分，本项最高得1分；</w:t>
            </w:r>
          </w:p>
        </w:tc>
        <w:tc>
          <w:tcPr>
            <w:tcW w:w="764" w:type="dxa"/>
            <w:vAlign w:val="center"/>
          </w:tcPr>
          <w:p w14:paraId="56BBAE5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47" w:type="dxa"/>
            <w:vAlign w:val="center"/>
          </w:tcPr>
          <w:p w14:paraId="5B9E30C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2150" w:type="dxa"/>
            <w:vAlign w:val="center"/>
          </w:tcPr>
          <w:p w14:paraId="45EE8DB1">
            <w:pPr>
              <w:snapToGrid w:val="0"/>
              <w:spacing w:line="288" w:lineRule="auto"/>
              <w:jc w:val="center"/>
              <w:rPr>
                <w:rFonts w:ascii="宋体" w:hAnsi="宋体" w:cs="宋体"/>
                <w:color w:val="auto"/>
                <w:szCs w:val="21"/>
                <w:highlight w:val="none"/>
              </w:rPr>
            </w:pPr>
            <w:r>
              <w:rPr>
                <w:rFonts w:hint="eastAsia" w:ascii="宋体" w:hAnsi="宋体" w:cs="宋体"/>
                <w:b/>
                <w:bCs/>
                <w:color w:val="auto"/>
                <w:szCs w:val="21"/>
                <w:highlight w:val="none"/>
              </w:rPr>
              <w:t>政策功能</w:t>
            </w:r>
          </w:p>
        </w:tc>
      </w:tr>
      <w:tr w14:paraId="5E27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0058E0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545" w:type="dxa"/>
            <w:vAlign w:val="center"/>
          </w:tcPr>
          <w:p w14:paraId="0774ABB8">
            <w:pPr>
              <w:widowControl/>
              <w:spacing w:line="288" w:lineRule="auto"/>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技术响应程度：</w:t>
            </w:r>
          </w:p>
          <w:p w14:paraId="50CA363F">
            <w:pPr>
              <w:widowControl/>
              <w:spacing w:line="288" w:lineRule="auto"/>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不符合（负偏离）技术要求中标注“▲”条款（不可偏离）的投标无效；</w:t>
            </w:r>
          </w:p>
          <w:p w14:paraId="16B5AF45">
            <w:pPr>
              <w:widowControl/>
              <w:spacing w:line="288" w:lineRule="auto"/>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满足招标文件明确的全部技术条款要求的该项得满分；</w:t>
            </w:r>
          </w:p>
          <w:p w14:paraId="6C6BC757">
            <w:pPr>
              <w:widowControl/>
              <w:spacing w:line="288"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技术条款（演示项参数除外）低于其他技术要求（负偏离）的每项扣3分，共24分，扣完为止；</w:t>
            </w:r>
          </w:p>
        </w:tc>
        <w:tc>
          <w:tcPr>
            <w:tcW w:w="764" w:type="dxa"/>
            <w:vAlign w:val="center"/>
          </w:tcPr>
          <w:p w14:paraId="436551A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147" w:type="dxa"/>
            <w:vAlign w:val="center"/>
          </w:tcPr>
          <w:p w14:paraId="60C5BD2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2150" w:type="dxa"/>
            <w:vAlign w:val="center"/>
          </w:tcPr>
          <w:p w14:paraId="317F15CE">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技术响应程度</w:t>
            </w:r>
          </w:p>
        </w:tc>
      </w:tr>
      <w:tr w14:paraId="15F7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E25711F">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3545" w:type="dxa"/>
            <w:vAlign w:val="center"/>
          </w:tcPr>
          <w:p w14:paraId="1CD22FCC">
            <w:pPr>
              <w:snapToGrid w:val="0"/>
              <w:spacing w:line="288" w:lineRule="auto"/>
              <w:rPr>
                <w:rFonts w:ascii="宋体" w:hAnsi="宋体" w:cs="宋体"/>
                <w:color w:val="auto"/>
                <w:szCs w:val="21"/>
                <w:highlight w:val="none"/>
              </w:rPr>
            </w:pPr>
            <w:r>
              <w:rPr>
                <w:rFonts w:hint="eastAsia" w:ascii="宋体" w:hAnsi="宋体" w:cs="宋体"/>
                <w:b/>
                <w:bCs/>
                <w:color w:val="auto"/>
                <w:szCs w:val="21"/>
                <w:highlight w:val="none"/>
              </w:rPr>
              <w:t>产品功能及配置：</w:t>
            </w:r>
          </w:p>
          <w:p w14:paraId="25A8681F">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投标产品结构、软硬件功能、配置情况，要求投标产品结构具有合理性、适用性、成熟性，硬件功能完善、配置齐全，整体专业、成熟、兼容性强、配套程度高。（评分范围：4,3,2,1,0）</w:t>
            </w:r>
          </w:p>
        </w:tc>
        <w:tc>
          <w:tcPr>
            <w:tcW w:w="764" w:type="dxa"/>
            <w:vAlign w:val="center"/>
          </w:tcPr>
          <w:p w14:paraId="5B55393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147" w:type="dxa"/>
            <w:vAlign w:val="center"/>
          </w:tcPr>
          <w:p w14:paraId="59E81D9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0663B988">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产品功能及配置</w:t>
            </w:r>
          </w:p>
        </w:tc>
      </w:tr>
      <w:tr w14:paraId="526D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2494BE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3545" w:type="dxa"/>
            <w:vAlign w:val="center"/>
          </w:tcPr>
          <w:p w14:paraId="14425BC6">
            <w:pPr>
              <w:pStyle w:val="5"/>
              <w:widowControl w:val="0"/>
              <w:spacing w:line="288" w:lineRule="auto"/>
              <w:ind w:firstLine="0"/>
              <w:rPr>
                <w:rFonts w:hAnsi="宋体" w:cs="宋体"/>
                <w:b/>
                <w:bCs/>
                <w:snapToGrid/>
                <w:color w:val="auto"/>
                <w:kern w:val="2"/>
                <w:sz w:val="21"/>
                <w:szCs w:val="21"/>
                <w:highlight w:val="none"/>
              </w:rPr>
            </w:pPr>
            <w:r>
              <w:rPr>
                <w:rFonts w:hint="eastAsia" w:hAnsi="宋体" w:cs="宋体"/>
                <w:b/>
                <w:bCs/>
                <w:snapToGrid/>
                <w:color w:val="auto"/>
                <w:kern w:val="2"/>
                <w:sz w:val="21"/>
                <w:szCs w:val="21"/>
                <w:highlight w:val="none"/>
              </w:rPr>
              <w:t>项目实施规划方案：</w:t>
            </w:r>
          </w:p>
          <w:p w14:paraId="2D3466C3">
            <w:pPr>
              <w:pStyle w:val="5"/>
              <w:widowControl w:val="0"/>
              <w:spacing w:line="288" w:lineRule="auto"/>
              <w:ind w:firstLine="0"/>
              <w:rPr>
                <w:rFonts w:hAnsi="宋体" w:cs="宋体"/>
                <w:snapToGrid/>
                <w:color w:val="auto"/>
                <w:kern w:val="2"/>
                <w:sz w:val="21"/>
                <w:szCs w:val="21"/>
                <w:highlight w:val="none"/>
              </w:rPr>
            </w:pPr>
            <w:r>
              <w:rPr>
                <w:rFonts w:hint="eastAsia" w:hAnsi="宋体" w:cs="宋体"/>
                <w:snapToGrid/>
                <w:color w:val="auto"/>
                <w:kern w:val="2"/>
                <w:sz w:val="21"/>
                <w:szCs w:val="21"/>
                <w:highlight w:val="none"/>
              </w:rPr>
              <w:t>包括整体实施方案、分解节点、跟踪实施、项目进度规划（评分范围：4,3,2,1,0）。</w:t>
            </w:r>
          </w:p>
        </w:tc>
        <w:tc>
          <w:tcPr>
            <w:tcW w:w="764" w:type="dxa"/>
            <w:vAlign w:val="center"/>
          </w:tcPr>
          <w:p w14:paraId="1B1237F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147" w:type="dxa"/>
            <w:vAlign w:val="center"/>
          </w:tcPr>
          <w:p w14:paraId="7400FC0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315AE0A7">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项目实施规划方案</w:t>
            </w:r>
          </w:p>
        </w:tc>
      </w:tr>
      <w:tr w14:paraId="675C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0D63E7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3545" w:type="dxa"/>
            <w:vAlign w:val="center"/>
          </w:tcPr>
          <w:p w14:paraId="68AAF9E6">
            <w:pPr>
              <w:pStyle w:val="5"/>
              <w:widowControl w:val="0"/>
              <w:spacing w:line="288" w:lineRule="auto"/>
              <w:ind w:firstLine="0"/>
              <w:rPr>
                <w:rFonts w:hAnsi="宋体" w:cs="宋体"/>
                <w:b/>
                <w:bCs/>
                <w:snapToGrid/>
                <w:color w:val="auto"/>
                <w:kern w:val="2"/>
                <w:sz w:val="21"/>
                <w:szCs w:val="21"/>
                <w:highlight w:val="none"/>
              </w:rPr>
            </w:pPr>
            <w:r>
              <w:rPr>
                <w:rFonts w:hint="eastAsia" w:hAnsi="宋体" w:cs="宋体"/>
                <w:b/>
                <w:bCs/>
                <w:snapToGrid/>
                <w:color w:val="auto"/>
                <w:kern w:val="2"/>
                <w:sz w:val="21"/>
                <w:szCs w:val="21"/>
                <w:highlight w:val="none"/>
              </w:rPr>
              <w:t>品质管理管控方案：</w:t>
            </w:r>
          </w:p>
          <w:p w14:paraId="2889E650">
            <w:pPr>
              <w:pStyle w:val="5"/>
              <w:widowControl w:val="0"/>
              <w:spacing w:line="288" w:lineRule="auto"/>
              <w:ind w:firstLine="0"/>
              <w:rPr>
                <w:rFonts w:hAnsi="宋体" w:cs="宋体"/>
                <w:snapToGrid/>
                <w:color w:val="auto"/>
                <w:kern w:val="2"/>
                <w:sz w:val="21"/>
                <w:szCs w:val="21"/>
                <w:highlight w:val="none"/>
              </w:rPr>
            </w:pPr>
            <w:r>
              <w:rPr>
                <w:rFonts w:hint="eastAsia" w:hAnsi="宋体" w:cs="宋体"/>
                <w:snapToGrid/>
                <w:color w:val="auto"/>
                <w:kern w:val="2"/>
                <w:sz w:val="21"/>
                <w:szCs w:val="21"/>
                <w:highlight w:val="none"/>
              </w:rPr>
              <w:t>包括产品品质管理管控过程、专职品控人员和相应的品控标准、确保产品生产过程中质量控制完善的措施（评分范围：4,3,2,1,0）。</w:t>
            </w:r>
          </w:p>
        </w:tc>
        <w:tc>
          <w:tcPr>
            <w:tcW w:w="764" w:type="dxa"/>
            <w:vAlign w:val="center"/>
          </w:tcPr>
          <w:p w14:paraId="6E5C9F3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147" w:type="dxa"/>
            <w:vAlign w:val="center"/>
          </w:tcPr>
          <w:p w14:paraId="096550A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1A797031">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品质管理管控方案</w:t>
            </w:r>
          </w:p>
        </w:tc>
      </w:tr>
      <w:tr w14:paraId="6B17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AE763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3545" w:type="dxa"/>
            <w:vAlign w:val="center"/>
          </w:tcPr>
          <w:p w14:paraId="4752555B">
            <w:pPr>
              <w:pStyle w:val="5"/>
              <w:widowControl w:val="0"/>
              <w:spacing w:line="288" w:lineRule="auto"/>
              <w:ind w:firstLine="0"/>
              <w:rPr>
                <w:rFonts w:hAnsi="宋体" w:cs="宋体"/>
                <w:b/>
                <w:bCs/>
                <w:snapToGrid/>
                <w:color w:val="auto"/>
                <w:kern w:val="2"/>
                <w:sz w:val="21"/>
                <w:szCs w:val="21"/>
                <w:highlight w:val="none"/>
              </w:rPr>
            </w:pPr>
            <w:r>
              <w:rPr>
                <w:rFonts w:hint="eastAsia" w:hAnsi="宋体" w:cs="宋体"/>
                <w:b/>
                <w:bCs/>
                <w:snapToGrid/>
                <w:color w:val="auto"/>
                <w:kern w:val="2"/>
                <w:sz w:val="21"/>
                <w:szCs w:val="21"/>
                <w:highlight w:val="none"/>
              </w:rPr>
              <w:t>安装服务实施方案：</w:t>
            </w:r>
          </w:p>
          <w:p w14:paraId="4519A1FE">
            <w:pPr>
              <w:pStyle w:val="5"/>
              <w:widowControl w:val="0"/>
              <w:spacing w:line="288" w:lineRule="auto"/>
              <w:ind w:firstLine="0"/>
              <w:rPr>
                <w:rFonts w:hAnsi="宋体" w:cs="宋体"/>
                <w:snapToGrid/>
                <w:color w:val="auto"/>
                <w:kern w:val="2"/>
                <w:sz w:val="21"/>
                <w:szCs w:val="21"/>
                <w:highlight w:val="none"/>
              </w:rPr>
            </w:pPr>
            <w:r>
              <w:rPr>
                <w:rFonts w:hint="eastAsia" w:hAnsi="宋体" w:cs="宋体"/>
                <w:snapToGrid/>
                <w:color w:val="auto"/>
                <w:kern w:val="2"/>
                <w:sz w:val="21"/>
                <w:szCs w:val="21"/>
                <w:highlight w:val="none"/>
              </w:rPr>
              <w:t>包括送货安装时间及项目负责人、专业技术安装人员、装卸人员的数量、经验、专业技术能力（评分范围：4,3,2,1,0）。</w:t>
            </w:r>
          </w:p>
        </w:tc>
        <w:tc>
          <w:tcPr>
            <w:tcW w:w="764" w:type="dxa"/>
            <w:vAlign w:val="center"/>
          </w:tcPr>
          <w:p w14:paraId="203F4A1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147" w:type="dxa"/>
            <w:vAlign w:val="center"/>
          </w:tcPr>
          <w:p w14:paraId="728BB4E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6A48A279">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安装服务实施方案</w:t>
            </w:r>
          </w:p>
        </w:tc>
      </w:tr>
      <w:tr w14:paraId="0AF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E7AB4A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3545" w:type="dxa"/>
            <w:vAlign w:val="center"/>
          </w:tcPr>
          <w:p w14:paraId="0F1E947E">
            <w:pPr>
              <w:snapToGrid w:val="0"/>
              <w:spacing w:line="288" w:lineRule="auto"/>
              <w:rPr>
                <w:rFonts w:ascii="宋体" w:hAnsi="宋体" w:cs="宋体"/>
                <w:b/>
                <w:bCs/>
                <w:color w:val="auto"/>
                <w:szCs w:val="21"/>
                <w:highlight w:val="none"/>
              </w:rPr>
            </w:pPr>
            <w:r>
              <w:rPr>
                <w:rFonts w:hint="eastAsia" w:ascii="宋体" w:hAnsi="宋体" w:cs="宋体"/>
                <w:b/>
                <w:bCs/>
                <w:color w:val="auto"/>
                <w:szCs w:val="21"/>
                <w:highlight w:val="none"/>
              </w:rPr>
              <w:t>技术服务、培训：</w:t>
            </w:r>
          </w:p>
          <w:p w14:paraId="24E3FCA6">
            <w:pPr>
              <w:snapToGrid w:val="0"/>
              <w:spacing w:line="288" w:lineRule="auto"/>
              <w:rPr>
                <w:rFonts w:ascii="宋体" w:hAnsi="宋体" w:cs="宋体"/>
                <w:color w:val="auto"/>
                <w:szCs w:val="21"/>
                <w:highlight w:val="none"/>
              </w:rPr>
            </w:pPr>
            <w:r>
              <w:rPr>
                <w:rFonts w:hint="eastAsia" w:ascii="宋体" w:hAnsi="宋体" w:cs="宋体"/>
                <w:color w:val="auto"/>
                <w:szCs w:val="21"/>
                <w:highlight w:val="none"/>
              </w:rPr>
              <w:t>服务力量和服务保障措施强，培训计划内容、培训范围完整且有针对性（评分范围：3,2,1,0）。</w:t>
            </w:r>
          </w:p>
        </w:tc>
        <w:tc>
          <w:tcPr>
            <w:tcW w:w="764" w:type="dxa"/>
            <w:vAlign w:val="center"/>
          </w:tcPr>
          <w:p w14:paraId="37FB28D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147" w:type="dxa"/>
            <w:vAlign w:val="center"/>
          </w:tcPr>
          <w:p w14:paraId="0EAC1C4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23C410F5">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技术服务、培训</w:t>
            </w:r>
          </w:p>
        </w:tc>
      </w:tr>
      <w:tr w14:paraId="6BB0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D9E4DD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3545" w:type="dxa"/>
            <w:vAlign w:val="center"/>
          </w:tcPr>
          <w:p w14:paraId="097F7E11">
            <w:pPr>
              <w:pStyle w:val="5"/>
              <w:widowControl w:val="0"/>
              <w:spacing w:line="288" w:lineRule="auto"/>
              <w:ind w:firstLine="0"/>
              <w:rPr>
                <w:rFonts w:hAnsi="宋体" w:cs="宋体"/>
                <w:b/>
                <w:bCs/>
                <w:snapToGrid/>
                <w:color w:val="auto"/>
                <w:kern w:val="2"/>
                <w:sz w:val="21"/>
                <w:szCs w:val="21"/>
                <w:highlight w:val="none"/>
              </w:rPr>
            </w:pPr>
            <w:r>
              <w:rPr>
                <w:rFonts w:hint="eastAsia" w:hAnsi="宋体" w:cs="宋体"/>
                <w:b/>
                <w:bCs/>
                <w:snapToGrid/>
                <w:color w:val="auto"/>
                <w:kern w:val="2"/>
                <w:sz w:val="21"/>
                <w:szCs w:val="21"/>
                <w:highlight w:val="none"/>
              </w:rPr>
              <w:t>售后服务方案：</w:t>
            </w:r>
          </w:p>
          <w:p w14:paraId="2432023B">
            <w:pPr>
              <w:pStyle w:val="5"/>
              <w:widowControl w:val="0"/>
              <w:spacing w:line="288" w:lineRule="auto"/>
              <w:ind w:firstLine="0"/>
              <w:rPr>
                <w:rFonts w:hAnsi="宋体" w:cs="宋体"/>
                <w:snapToGrid/>
                <w:color w:val="auto"/>
                <w:kern w:val="2"/>
                <w:sz w:val="21"/>
                <w:szCs w:val="21"/>
                <w:highlight w:val="none"/>
              </w:rPr>
            </w:pPr>
            <w:r>
              <w:rPr>
                <w:rFonts w:hint="eastAsia" w:hAnsi="宋体" w:cs="宋体"/>
                <w:snapToGrid/>
                <w:color w:val="auto"/>
                <w:kern w:val="2"/>
                <w:sz w:val="21"/>
                <w:szCs w:val="21"/>
                <w:highlight w:val="none"/>
              </w:rPr>
              <w:t>包括服务内容、服务承诺、响应时间、服务方式、人员配备、应急服务等（评分范围：4,3,2,1,0）。</w:t>
            </w:r>
          </w:p>
        </w:tc>
        <w:tc>
          <w:tcPr>
            <w:tcW w:w="764" w:type="dxa"/>
            <w:vAlign w:val="center"/>
          </w:tcPr>
          <w:p w14:paraId="000D578E">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147" w:type="dxa"/>
            <w:vAlign w:val="center"/>
          </w:tcPr>
          <w:p w14:paraId="49BE048B">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0391B9C5">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售后服务方案</w:t>
            </w:r>
          </w:p>
        </w:tc>
      </w:tr>
      <w:tr w14:paraId="5ABD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889" w:type="dxa"/>
            <w:vAlign w:val="center"/>
          </w:tcPr>
          <w:p w14:paraId="3FD12741">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3545" w:type="dxa"/>
            <w:vAlign w:val="center"/>
          </w:tcPr>
          <w:p w14:paraId="441AE890">
            <w:pPr>
              <w:pStyle w:val="5"/>
              <w:widowControl w:val="0"/>
              <w:spacing w:line="288" w:lineRule="auto"/>
              <w:ind w:firstLine="0"/>
              <w:rPr>
                <w:rFonts w:hAnsi="宋体" w:cs="宋体"/>
                <w:b/>
                <w:bCs/>
                <w:snapToGrid/>
                <w:color w:val="auto"/>
                <w:kern w:val="2"/>
                <w:sz w:val="21"/>
                <w:szCs w:val="21"/>
                <w:highlight w:val="none"/>
              </w:rPr>
            </w:pPr>
            <w:r>
              <w:rPr>
                <w:rFonts w:hint="eastAsia" w:hAnsi="宋体" w:cs="宋体"/>
                <w:b/>
                <w:bCs/>
                <w:snapToGrid/>
                <w:color w:val="auto"/>
                <w:kern w:val="2"/>
                <w:sz w:val="21"/>
                <w:szCs w:val="21"/>
                <w:highlight w:val="none"/>
              </w:rPr>
              <w:t>配件耗材：</w:t>
            </w:r>
          </w:p>
          <w:p w14:paraId="6F83B239">
            <w:pPr>
              <w:pStyle w:val="5"/>
              <w:widowControl w:val="0"/>
              <w:spacing w:line="288" w:lineRule="auto"/>
              <w:ind w:firstLine="0"/>
              <w:rPr>
                <w:rFonts w:hAnsi="宋体" w:cs="宋体"/>
                <w:snapToGrid/>
                <w:color w:val="auto"/>
                <w:kern w:val="2"/>
                <w:sz w:val="21"/>
                <w:szCs w:val="21"/>
                <w:highlight w:val="none"/>
              </w:rPr>
            </w:pPr>
            <w:r>
              <w:rPr>
                <w:rFonts w:hint="eastAsia" w:hAnsi="宋体" w:cs="宋体"/>
                <w:snapToGrid/>
                <w:color w:val="auto"/>
                <w:kern w:val="2"/>
                <w:sz w:val="21"/>
                <w:szCs w:val="21"/>
                <w:highlight w:val="none"/>
              </w:rPr>
              <w:t>配件、附件、备品备件准备和保障措施（评分范围：4,3,2,1,0）。</w:t>
            </w:r>
          </w:p>
          <w:p w14:paraId="2B0E1C13">
            <w:pPr>
              <w:pStyle w:val="5"/>
              <w:widowControl w:val="0"/>
              <w:spacing w:line="288" w:lineRule="auto"/>
              <w:ind w:firstLine="0"/>
              <w:rPr>
                <w:rFonts w:hAnsi="宋体" w:cs="宋体"/>
                <w:snapToGrid/>
                <w:color w:val="auto"/>
                <w:kern w:val="2"/>
                <w:sz w:val="21"/>
                <w:szCs w:val="21"/>
                <w:highlight w:val="none"/>
              </w:rPr>
            </w:pPr>
            <w:r>
              <w:rPr>
                <w:rFonts w:hint="eastAsia" w:hAnsi="宋体" w:cs="宋体"/>
                <w:snapToGrid/>
                <w:color w:val="auto"/>
                <w:kern w:val="2"/>
                <w:sz w:val="21"/>
                <w:szCs w:val="21"/>
                <w:highlight w:val="none"/>
              </w:rPr>
              <w:t>注：提供具体的配件备件清单并注明价格，不提供不得分。</w:t>
            </w:r>
          </w:p>
        </w:tc>
        <w:tc>
          <w:tcPr>
            <w:tcW w:w="764" w:type="dxa"/>
            <w:vAlign w:val="center"/>
          </w:tcPr>
          <w:p w14:paraId="4740308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147" w:type="dxa"/>
            <w:vAlign w:val="center"/>
          </w:tcPr>
          <w:p w14:paraId="78A87453">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Align w:val="center"/>
          </w:tcPr>
          <w:p w14:paraId="417322B6">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配件耗材</w:t>
            </w:r>
          </w:p>
        </w:tc>
      </w:tr>
      <w:tr w14:paraId="3D7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89" w:type="dxa"/>
            <w:vAlign w:val="center"/>
          </w:tcPr>
          <w:p w14:paraId="292C2E1C">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7606" w:type="dxa"/>
            <w:gridSpan w:val="4"/>
            <w:vAlign w:val="center"/>
          </w:tcPr>
          <w:p w14:paraId="7F8974E1">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演示：内容演示详细全面，界面流畅，功能完整，符合项目采购需求</w:t>
            </w:r>
          </w:p>
        </w:tc>
      </w:tr>
      <w:tr w14:paraId="0E8D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89" w:type="dxa"/>
            <w:vAlign w:val="center"/>
          </w:tcPr>
          <w:p w14:paraId="3D2EA3C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11.1</w:t>
            </w:r>
          </w:p>
        </w:tc>
        <w:tc>
          <w:tcPr>
            <w:tcW w:w="3545" w:type="dxa"/>
            <w:vAlign w:val="center"/>
          </w:tcPr>
          <w:p w14:paraId="59284974">
            <w:pPr>
              <w:snapToGrid w:val="0"/>
              <w:spacing w:line="288" w:lineRule="auto"/>
              <w:rPr>
                <w:rFonts w:ascii="宋体" w:hAnsi="宋体" w:cs="宋体"/>
                <w:color w:val="auto"/>
                <w:szCs w:val="21"/>
                <w:highlight w:val="none"/>
              </w:rPr>
            </w:pPr>
            <w:r>
              <w:rPr>
                <w:rFonts w:hint="eastAsia" w:ascii="宋体" w:hAnsi="宋体" w:cs="宋体"/>
                <w:b/>
                <w:bCs/>
                <w:color w:val="auto"/>
                <w:szCs w:val="21"/>
                <w:highlight w:val="none"/>
              </w:rPr>
              <w:t>（1）98寸智慧屏：</w:t>
            </w:r>
            <w:r>
              <w:rPr>
                <w:rFonts w:hint="eastAsia" w:ascii="宋体" w:hAnsi="宋体" w:cs="宋体"/>
                <w:color w:val="auto"/>
                <w:szCs w:val="21"/>
                <w:highlight w:val="none"/>
              </w:rPr>
              <w:t>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评分范围：2,1.5,1,0.5,0）</w:t>
            </w:r>
          </w:p>
        </w:tc>
        <w:tc>
          <w:tcPr>
            <w:tcW w:w="764" w:type="dxa"/>
            <w:vAlign w:val="center"/>
          </w:tcPr>
          <w:p w14:paraId="53D426F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47" w:type="dxa"/>
            <w:vMerge w:val="restart"/>
            <w:vAlign w:val="center"/>
          </w:tcPr>
          <w:p w14:paraId="7C2621F4">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2150" w:type="dxa"/>
            <w:vMerge w:val="restart"/>
            <w:vAlign w:val="center"/>
          </w:tcPr>
          <w:p w14:paraId="0B7DEE35">
            <w:pPr>
              <w:snapToGrid w:val="0"/>
              <w:spacing w:line="288" w:lineRule="auto"/>
              <w:jc w:val="center"/>
              <w:rPr>
                <w:rFonts w:ascii="宋体" w:hAnsi="宋体" w:cs="宋体"/>
                <w:b/>
                <w:bCs/>
                <w:color w:val="auto"/>
                <w:szCs w:val="21"/>
                <w:highlight w:val="none"/>
              </w:rPr>
            </w:pPr>
            <w:r>
              <w:rPr>
                <w:rFonts w:hint="eastAsia" w:ascii="宋体" w:hAnsi="宋体" w:cs="宋体"/>
                <w:b/>
                <w:bCs/>
                <w:color w:val="auto"/>
                <w:szCs w:val="21"/>
                <w:highlight w:val="none"/>
              </w:rPr>
              <w:t>演示</w:t>
            </w:r>
          </w:p>
        </w:tc>
      </w:tr>
      <w:tr w14:paraId="39DB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48A7394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3545" w:type="dxa"/>
            <w:vAlign w:val="center"/>
          </w:tcPr>
          <w:p w14:paraId="7518CF20">
            <w:pPr>
              <w:widowControl/>
              <w:snapToGrid w:val="0"/>
              <w:spacing w:line="288"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（2）讲台智慧屏：</w:t>
            </w:r>
            <w:r>
              <w:rPr>
                <w:rFonts w:hint="eastAsia" w:ascii="宋体" w:hAnsi="宋体" w:cs="宋体"/>
                <w:color w:val="auto"/>
                <w:szCs w:val="21"/>
                <w:highlight w:val="none"/>
              </w:rPr>
              <w:t>为保障整体设备兼容性，智能讲台书写屏上支持调动智慧屏相关教学功能如一键启动白板、一键启动视频展台等教学软件，实现整机控制，开关机、熄屏，音量加控制、音量减控制等。（评分范围：1,0.5,0）</w:t>
            </w:r>
          </w:p>
        </w:tc>
        <w:tc>
          <w:tcPr>
            <w:tcW w:w="764" w:type="dxa"/>
            <w:vAlign w:val="center"/>
          </w:tcPr>
          <w:p w14:paraId="0ABBD8E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47" w:type="dxa"/>
            <w:vMerge w:val="continue"/>
            <w:vAlign w:val="center"/>
          </w:tcPr>
          <w:p w14:paraId="0096CCC8">
            <w:pPr>
              <w:snapToGrid w:val="0"/>
              <w:spacing w:line="288" w:lineRule="auto"/>
              <w:jc w:val="center"/>
              <w:rPr>
                <w:rFonts w:ascii="宋体" w:hAnsi="宋体" w:cs="宋体"/>
                <w:color w:val="auto"/>
                <w:szCs w:val="21"/>
                <w:highlight w:val="none"/>
              </w:rPr>
            </w:pPr>
          </w:p>
        </w:tc>
        <w:tc>
          <w:tcPr>
            <w:tcW w:w="2150" w:type="dxa"/>
            <w:vMerge w:val="continue"/>
            <w:vAlign w:val="center"/>
          </w:tcPr>
          <w:p w14:paraId="2E4AE1C8">
            <w:pPr>
              <w:snapToGrid w:val="0"/>
              <w:spacing w:line="288" w:lineRule="auto"/>
              <w:jc w:val="center"/>
              <w:rPr>
                <w:rFonts w:ascii="宋体" w:hAnsi="宋体" w:cs="宋体"/>
                <w:b/>
                <w:bCs/>
                <w:color w:val="auto"/>
                <w:szCs w:val="21"/>
                <w:highlight w:val="none"/>
              </w:rPr>
            </w:pPr>
          </w:p>
        </w:tc>
      </w:tr>
      <w:tr w14:paraId="7DE0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3E7B516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3545" w:type="dxa"/>
            <w:vAlign w:val="center"/>
          </w:tcPr>
          <w:p w14:paraId="273A2AB1">
            <w:pPr>
              <w:widowControl/>
              <w:snapToGrid w:val="0"/>
              <w:spacing w:line="288" w:lineRule="auto"/>
              <w:jc w:val="left"/>
              <w:rPr>
                <w:rFonts w:ascii="宋体" w:hAnsi="宋体" w:cs="宋体"/>
                <w:b/>
                <w:bCs/>
                <w:color w:val="auto"/>
                <w:szCs w:val="21"/>
                <w:highlight w:val="none"/>
              </w:rPr>
            </w:pPr>
            <w:r>
              <w:rPr>
                <w:rFonts w:hint="eastAsia" w:ascii="宋体" w:hAnsi="宋体" w:cs="宋体"/>
                <w:b/>
                <w:bCs/>
                <w:color w:val="auto"/>
                <w:szCs w:val="21"/>
                <w:highlight w:val="none"/>
              </w:rPr>
              <w:t>（3）录播主机：</w:t>
            </w:r>
            <w:r>
              <w:rPr>
                <w:rFonts w:hint="eastAsia" w:ascii="宋体" w:hAnsi="宋体" w:cs="宋体"/>
                <w:color w:val="auto"/>
                <w:szCs w:val="21"/>
                <w:highlight w:val="none"/>
              </w:rPr>
              <w:t>为确保录制功能稳定，主机需支持网络自检功能，在外接屏幕上显示教室网络状态，包括：服务联通性、网络稳定性、上下行速度、网络追踪性、网卡信息。（评分范围：2,1.5,1,0.5,0）</w:t>
            </w:r>
          </w:p>
        </w:tc>
        <w:tc>
          <w:tcPr>
            <w:tcW w:w="764" w:type="dxa"/>
            <w:vAlign w:val="center"/>
          </w:tcPr>
          <w:p w14:paraId="55636B8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47" w:type="dxa"/>
            <w:vMerge w:val="continue"/>
            <w:vAlign w:val="center"/>
          </w:tcPr>
          <w:p w14:paraId="6E9899C3">
            <w:pPr>
              <w:snapToGrid w:val="0"/>
              <w:spacing w:line="288" w:lineRule="auto"/>
              <w:jc w:val="center"/>
              <w:rPr>
                <w:rFonts w:ascii="宋体" w:hAnsi="宋体" w:cs="宋体"/>
                <w:color w:val="auto"/>
                <w:szCs w:val="21"/>
                <w:highlight w:val="none"/>
              </w:rPr>
            </w:pPr>
          </w:p>
        </w:tc>
        <w:tc>
          <w:tcPr>
            <w:tcW w:w="2150" w:type="dxa"/>
            <w:vMerge w:val="continue"/>
            <w:vAlign w:val="center"/>
          </w:tcPr>
          <w:p w14:paraId="2D47F1D1">
            <w:pPr>
              <w:snapToGrid w:val="0"/>
              <w:spacing w:line="288" w:lineRule="auto"/>
              <w:jc w:val="center"/>
              <w:rPr>
                <w:rFonts w:ascii="宋体" w:hAnsi="宋体" w:cs="宋体"/>
                <w:b/>
                <w:bCs/>
                <w:color w:val="auto"/>
                <w:szCs w:val="21"/>
                <w:highlight w:val="none"/>
              </w:rPr>
            </w:pPr>
          </w:p>
        </w:tc>
      </w:tr>
      <w:tr w14:paraId="2CC1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889" w:type="dxa"/>
            <w:vAlign w:val="center"/>
          </w:tcPr>
          <w:p w14:paraId="306BD78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3545" w:type="dxa"/>
            <w:vAlign w:val="center"/>
          </w:tcPr>
          <w:p w14:paraId="42A87FB1">
            <w:pPr>
              <w:widowControl/>
              <w:snapToGrid w:val="0"/>
              <w:spacing w:line="288" w:lineRule="auto"/>
              <w:jc w:val="left"/>
              <w:rPr>
                <w:rFonts w:ascii="宋体" w:hAnsi="宋体" w:cs="宋体"/>
                <w:b/>
                <w:bCs/>
                <w:color w:val="auto"/>
                <w:szCs w:val="21"/>
                <w:highlight w:val="none"/>
              </w:rPr>
            </w:pPr>
            <w:r>
              <w:rPr>
                <w:rFonts w:hint="eastAsia" w:ascii="宋体" w:hAnsi="宋体" w:cs="宋体"/>
                <w:b/>
                <w:bCs/>
                <w:color w:val="auto"/>
                <w:szCs w:val="21"/>
                <w:highlight w:val="none"/>
              </w:rPr>
              <w:t>（4）远程互动课堂软件：</w:t>
            </w:r>
            <w:r>
              <w:rPr>
                <w:rFonts w:hint="eastAsia" w:ascii="宋体" w:hAnsi="宋体" w:cs="宋体"/>
                <w:color w:val="auto"/>
                <w:szCs w:val="21"/>
                <w:highlight w:val="none"/>
              </w:rPr>
              <w:t>为实现录播设备的多功能应用，录播主机能与智慧屏实现联动；支持无绿幕虚拟抠像功能，方便教师更换画面背景，突出人物；对本地摄像头画面进行虚拟背景处理，并显示对应的实时画面，方便教师查看虚拟背景效果；支持对比控制，显示无虚拟背景和虚拟背景后的画面效果；支持背景虚化和更换背景；提供不少于3个默认背景图；支持添加本地图片设置为背景图。（评分范围：2,1.5,1,0.5,0）</w:t>
            </w:r>
          </w:p>
        </w:tc>
        <w:tc>
          <w:tcPr>
            <w:tcW w:w="764" w:type="dxa"/>
            <w:vAlign w:val="center"/>
          </w:tcPr>
          <w:p w14:paraId="7A2B9866">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47" w:type="dxa"/>
            <w:vMerge w:val="continue"/>
            <w:vAlign w:val="center"/>
          </w:tcPr>
          <w:p w14:paraId="1053B6A8">
            <w:pPr>
              <w:snapToGrid w:val="0"/>
              <w:spacing w:line="288" w:lineRule="auto"/>
              <w:jc w:val="center"/>
              <w:rPr>
                <w:rFonts w:ascii="宋体" w:hAnsi="宋体" w:cs="宋体"/>
                <w:color w:val="auto"/>
                <w:szCs w:val="21"/>
                <w:highlight w:val="none"/>
              </w:rPr>
            </w:pPr>
          </w:p>
        </w:tc>
        <w:tc>
          <w:tcPr>
            <w:tcW w:w="2150" w:type="dxa"/>
            <w:vMerge w:val="continue"/>
            <w:vAlign w:val="center"/>
          </w:tcPr>
          <w:p w14:paraId="67F18241">
            <w:pPr>
              <w:snapToGrid w:val="0"/>
              <w:spacing w:line="288" w:lineRule="auto"/>
              <w:jc w:val="center"/>
              <w:rPr>
                <w:rFonts w:ascii="宋体" w:hAnsi="宋体" w:cs="宋体"/>
                <w:b/>
                <w:bCs/>
                <w:color w:val="auto"/>
                <w:szCs w:val="21"/>
                <w:highlight w:val="none"/>
              </w:rPr>
            </w:pPr>
          </w:p>
        </w:tc>
      </w:tr>
      <w:tr w14:paraId="00CA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218065BD">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11.5</w:t>
            </w:r>
          </w:p>
        </w:tc>
        <w:tc>
          <w:tcPr>
            <w:tcW w:w="3545" w:type="dxa"/>
            <w:vAlign w:val="center"/>
          </w:tcPr>
          <w:p w14:paraId="3EBF7F8C">
            <w:pPr>
              <w:widowControl/>
              <w:snapToGrid w:val="0"/>
              <w:spacing w:line="288" w:lineRule="auto"/>
              <w:jc w:val="left"/>
              <w:rPr>
                <w:rFonts w:ascii="宋体" w:hAnsi="宋体" w:cs="宋体"/>
                <w:b/>
                <w:bCs/>
                <w:color w:val="auto"/>
                <w:szCs w:val="21"/>
                <w:highlight w:val="none"/>
              </w:rPr>
            </w:pPr>
            <w:r>
              <w:rPr>
                <w:rFonts w:hint="eastAsia" w:ascii="宋体" w:hAnsi="宋体" w:cs="宋体"/>
                <w:b/>
                <w:bCs/>
                <w:color w:val="auto"/>
                <w:szCs w:val="21"/>
                <w:highlight w:val="none"/>
              </w:rPr>
              <w:t>（5）中控面板：</w:t>
            </w:r>
            <w:r>
              <w:rPr>
                <w:rFonts w:hint="eastAsia" w:ascii="宋体" w:hAnsi="宋体" w:cs="宋体"/>
                <w:color w:val="auto"/>
                <w:szCs w:val="21"/>
                <w:highlight w:val="none"/>
              </w:rPr>
              <w:t>为保障整体设备兼容性，中控面板支持通过网络方式无需接入控制录播设备，包括显示和切换≥5个机位的画面，一键启停录制、启停直播。（评分范围：2,1.5,1,0.5,0）</w:t>
            </w:r>
          </w:p>
        </w:tc>
        <w:tc>
          <w:tcPr>
            <w:tcW w:w="764" w:type="dxa"/>
            <w:vAlign w:val="center"/>
          </w:tcPr>
          <w:p w14:paraId="7C4EF8C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47" w:type="dxa"/>
            <w:vMerge w:val="continue"/>
            <w:vAlign w:val="center"/>
          </w:tcPr>
          <w:p w14:paraId="41B1FF74">
            <w:pPr>
              <w:snapToGrid w:val="0"/>
              <w:spacing w:line="288" w:lineRule="auto"/>
              <w:jc w:val="center"/>
              <w:rPr>
                <w:rFonts w:ascii="宋体" w:hAnsi="宋体" w:cs="宋体"/>
                <w:color w:val="auto"/>
                <w:szCs w:val="21"/>
                <w:highlight w:val="none"/>
              </w:rPr>
            </w:pPr>
          </w:p>
        </w:tc>
        <w:tc>
          <w:tcPr>
            <w:tcW w:w="2150" w:type="dxa"/>
            <w:vMerge w:val="continue"/>
            <w:vAlign w:val="center"/>
          </w:tcPr>
          <w:p w14:paraId="266AB40D">
            <w:pPr>
              <w:snapToGrid w:val="0"/>
              <w:spacing w:line="288" w:lineRule="auto"/>
              <w:jc w:val="center"/>
              <w:rPr>
                <w:rFonts w:ascii="宋体" w:hAnsi="宋体" w:cs="宋体"/>
                <w:b/>
                <w:bCs/>
                <w:color w:val="auto"/>
                <w:szCs w:val="21"/>
                <w:highlight w:val="none"/>
              </w:rPr>
            </w:pPr>
          </w:p>
        </w:tc>
      </w:tr>
      <w:tr w14:paraId="4557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495CEFB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3545" w:type="dxa"/>
            <w:vAlign w:val="center"/>
          </w:tcPr>
          <w:p w14:paraId="5C19F679">
            <w:pPr>
              <w:widowControl/>
              <w:snapToGrid w:val="0"/>
              <w:spacing w:line="288" w:lineRule="auto"/>
              <w:jc w:val="left"/>
              <w:rPr>
                <w:rFonts w:ascii="宋体" w:hAnsi="宋体" w:cs="宋体"/>
                <w:b/>
                <w:bCs/>
                <w:color w:val="auto"/>
                <w:szCs w:val="21"/>
                <w:highlight w:val="none"/>
              </w:rPr>
            </w:pPr>
            <w:r>
              <w:rPr>
                <w:rFonts w:hint="eastAsia" w:ascii="宋体" w:hAnsi="宋体" w:cs="宋体"/>
                <w:b/>
                <w:bCs/>
                <w:color w:val="auto"/>
                <w:szCs w:val="21"/>
                <w:highlight w:val="none"/>
              </w:rPr>
              <w:t>（6）教学管理平台（功能1）：</w:t>
            </w:r>
            <w:r>
              <w:rPr>
                <w:rFonts w:hint="eastAsia" w:ascii="宋体" w:hAnsi="宋体" w:cs="宋体"/>
                <w:color w:val="auto"/>
                <w:szCs w:val="21"/>
                <w:highlight w:val="none"/>
              </w:rPr>
              <w:t>为实现智慧化管理，系统支持系统智能巡检设备，支持巡检设备类型的选择，包括中控、显示、扩声及录播设备等设备类型筛选；支持巡检周期、巡检时间的设置，系统巡检后自动生成巡检报告。（评分范围：3，2.5，2,1.5,1,0.5,0）</w:t>
            </w:r>
          </w:p>
        </w:tc>
        <w:tc>
          <w:tcPr>
            <w:tcW w:w="764" w:type="dxa"/>
            <w:vAlign w:val="center"/>
          </w:tcPr>
          <w:p w14:paraId="13272D10">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147" w:type="dxa"/>
            <w:vMerge w:val="continue"/>
            <w:vAlign w:val="center"/>
          </w:tcPr>
          <w:p w14:paraId="521E8D21">
            <w:pPr>
              <w:snapToGrid w:val="0"/>
              <w:spacing w:line="288" w:lineRule="auto"/>
              <w:jc w:val="center"/>
              <w:rPr>
                <w:rFonts w:ascii="宋体" w:hAnsi="宋体" w:cs="宋体"/>
                <w:color w:val="auto"/>
                <w:szCs w:val="21"/>
                <w:highlight w:val="none"/>
              </w:rPr>
            </w:pPr>
          </w:p>
        </w:tc>
        <w:tc>
          <w:tcPr>
            <w:tcW w:w="2150" w:type="dxa"/>
            <w:vMerge w:val="continue"/>
            <w:vAlign w:val="center"/>
          </w:tcPr>
          <w:p w14:paraId="391BD20C">
            <w:pPr>
              <w:snapToGrid w:val="0"/>
              <w:spacing w:line="288" w:lineRule="auto"/>
              <w:jc w:val="center"/>
              <w:rPr>
                <w:rFonts w:ascii="宋体" w:hAnsi="宋体" w:cs="宋体"/>
                <w:b/>
                <w:bCs/>
                <w:color w:val="auto"/>
                <w:szCs w:val="21"/>
                <w:highlight w:val="none"/>
              </w:rPr>
            </w:pPr>
          </w:p>
        </w:tc>
      </w:tr>
      <w:tr w14:paraId="2A99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14:paraId="18AA71B7">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11.7</w:t>
            </w:r>
          </w:p>
        </w:tc>
        <w:tc>
          <w:tcPr>
            <w:tcW w:w="3545" w:type="dxa"/>
            <w:vAlign w:val="center"/>
          </w:tcPr>
          <w:p w14:paraId="00035BED">
            <w:pPr>
              <w:widowControl/>
              <w:snapToGrid w:val="0"/>
              <w:spacing w:line="288"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（7）教学管理平台（功能2）：</w:t>
            </w:r>
            <w:r>
              <w:rPr>
                <w:rFonts w:hint="eastAsia" w:ascii="宋体" w:hAnsi="宋体" w:cs="宋体"/>
                <w:color w:val="auto"/>
                <w:szCs w:val="21"/>
                <w:highlight w:val="none"/>
              </w:rPr>
              <w:t>系统支持自动化策略，包括自动开机策略、自动关机策略。策略可按周循环、按课表执行等重复模式，也可设定控制的教室范围、执行时间等，用户可随时启用/停用已设定的自动化策略。（评分范围：3，2.5，2,1.5,1,0.5,0）</w:t>
            </w:r>
          </w:p>
        </w:tc>
        <w:tc>
          <w:tcPr>
            <w:tcW w:w="764" w:type="dxa"/>
            <w:vAlign w:val="center"/>
          </w:tcPr>
          <w:p w14:paraId="54E5C6D8">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147" w:type="dxa"/>
            <w:vMerge w:val="continue"/>
            <w:vAlign w:val="center"/>
          </w:tcPr>
          <w:p w14:paraId="4063CA27">
            <w:pPr>
              <w:snapToGrid w:val="0"/>
              <w:spacing w:line="288" w:lineRule="auto"/>
              <w:jc w:val="center"/>
              <w:rPr>
                <w:rFonts w:ascii="宋体" w:hAnsi="宋体" w:cs="宋体"/>
                <w:color w:val="auto"/>
                <w:szCs w:val="21"/>
                <w:highlight w:val="none"/>
              </w:rPr>
            </w:pPr>
          </w:p>
        </w:tc>
        <w:tc>
          <w:tcPr>
            <w:tcW w:w="2150" w:type="dxa"/>
            <w:vMerge w:val="continue"/>
            <w:vAlign w:val="center"/>
          </w:tcPr>
          <w:p w14:paraId="6024B550">
            <w:pPr>
              <w:snapToGrid w:val="0"/>
              <w:spacing w:line="288" w:lineRule="auto"/>
              <w:jc w:val="center"/>
              <w:rPr>
                <w:rFonts w:ascii="宋体" w:hAnsi="宋体" w:cs="宋体"/>
                <w:b/>
                <w:bCs/>
                <w:color w:val="auto"/>
                <w:szCs w:val="21"/>
                <w:highlight w:val="none"/>
              </w:rPr>
            </w:pPr>
          </w:p>
        </w:tc>
      </w:tr>
      <w:tr w14:paraId="6CC5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5D5740A">
            <w:pPr>
              <w:snapToGri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3545" w:type="dxa"/>
          </w:tcPr>
          <w:p w14:paraId="6540DB2B">
            <w:pPr>
              <w:spacing w:line="288" w:lineRule="auto"/>
              <w:outlineLvl w:val="0"/>
              <w:rPr>
                <w:rFonts w:ascii="宋体" w:hAnsi="宋体" w:cs="宋体"/>
                <w:color w:val="auto"/>
                <w:szCs w:val="21"/>
                <w:highlight w:val="none"/>
              </w:rPr>
            </w:pPr>
            <w:r>
              <w:rPr>
                <w:rFonts w:hint="eastAsia" w:ascii="宋体" w:hAnsi="宋体" w:cs="宋体"/>
                <w:color w:val="auto"/>
                <w:szCs w:val="21"/>
                <w:highlight w:val="none"/>
              </w:rPr>
              <w:t>有效投标报价的最低价作为评标基准价，其最低报价为满分；按［投标报价得分=（评标基准价/投标报价）*最高分值］的计算公式计算。</w:t>
            </w:r>
          </w:p>
          <w:p w14:paraId="1A0050E3">
            <w:pPr>
              <w:widowControl/>
              <w:shd w:val="clear" w:color="auto" w:fill="FFFFFF"/>
              <w:adjustRightInd/>
              <w:spacing w:line="288" w:lineRule="auto"/>
              <w:rPr>
                <w:rFonts w:ascii="宋体" w:hAnsi="宋体" w:cs="宋体"/>
                <w:color w:val="auto"/>
                <w:szCs w:val="21"/>
                <w:highlight w:val="none"/>
              </w:rPr>
            </w:pPr>
            <w:r>
              <w:rPr>
                <w:rFonts w:hint="eastAsia" w:ascii="宋体" w:hAnsi="宋体" w:cs="宋体"/>
                <w:color w:val="auto"/>
                <w:szCs w:val="21"/>
                <w:highlight w:val="none"/>
              </w:rPr>
              <w:t>评标过程中，不得去掉报价中的最高报价和最低报价。</w:t>
            </w:r>
          </w:p>
          <w:p w14:paraId="325564F3">
            <w:pPr>
              <w:widowControl/>
              <w:shd w:val="clear" w:color="auto" w:fill="FFFFFF"/>
              <w:adjustRightInd/>
              <w:spacing w:line="288" w:lineRule="auto"/>
              <w:rPr>
                <w:rFonts w:ascii="宋体" w:hAnsi="宋体" w:cs="宋体"/>
                <w:color w:val="auto"/>
                <w:szCs w:val="21"/>
                <w:highlight w:val="none"/>
              </w:rPr>
            </w:pPr>
            <w:r>
              <w:rPr>
                <w:rFonts w:hint="eastAsia" w:ascii="宋体" w:hAnsi="宋体" w:cs="宋体"/>
                <w:color w:val="auto"/>
                <w:szCs w:val="21"/>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31772D1">
            <w:pPr>
              <w:widowControl/>
              <w:shd w:val="clear" w:color="auto" w:fill="FFFFFF"/>
              <w:adjustRightInd/>
              <w:spacing w:line="288" w:lineRule="auto"/>
              <w:rPr>
                <w:rFonts w:ascii="宋体" w:hAnsi="宋体" w:cs="宋体"/>
                <w:color w:val="auto"/>
                <w:szCs w:val="21"/>
                <w:highlight w:val="none"/>
              </w:rPr>
            </w:pPr>
            <w:r>
              <w:rPr>
                <w:rFonts w:hint="eastAsia" w:ascii="宋体" w:hAnsi="宋体" w:cs="宋体"/>
                <w:color w:val="auto"/>
                <w:szCs w:val="21"/>
                <w:highlight w:val="none"/>
              </w:rPr>
              <w:t>对于未预留份额专门面向中小企业的政府采购货物项目，以及预留份额政府采购货物项目中的非预留部分标项，对小型和微型企业的投标报价给予</w:t>
            </w:r>
            <w:r>
              <w:rPr>
                <w:rFonts w:hint="eastAsia" w:ascii="宋体" w:hAnsi="宋体" w:cs="宋体"/>
                <w:b/>
                <w:color w:val="auto"/>
                <w:szCs w:val="21"/>
                <w:highlight w:val="none"/>
                <w:u w:val="single"/>
              </w:rPr>
              <w:t>10%</w:t>
            </w:r>
            <w:r>
              <w:rPr>
                <w:rFonts w:hint="eastAsia" w:ascii="宋体" w:hAnsi="宋体" w:cs="宋体"/>
                <w:color w:val="auto"/>
                <w:szCs w:val="21"/>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宋体" w:hAnsi="宋体" w:cs="宋体"/>
                <w:b/>
                <w:color w:val="auto"/>
                <w:szCs w:val="21"/>
                <w:highlight w:val="none"/>
                <w:u w:val="single"/>
              </w:rPr>
              <w:t>4%</w:t>
            </w:r>
            <w:r>
              <w:rPr>
                <w:rFonts w:hint="eastAsia" w:ascii="宋体" w:hAnsi="宋体" w:cs="宋体"/>
                <w:color w:val="auto"/>
                <w:szCs w:val="21"/>
                <w:highlight w:val="none"/>
              </w:rPr>
              <w:t>的扣除，用扣除后的价格参加评审。</w:t>
            </w:r>
          </w:p>
        </w:tc>
        <w:tc>
          <w:tcPr>
            <w:tcW w:w="764" w:type="dxa"/>
            <w:vAlign w:val="center"/>
          </w:tcPr>
          <w:p w14:paraId="003FF0D5">
            <w:pPr>
              <w:spacing w:line="288" w:lineRule="auto"/>
              <w:jc w:val="center"/>
              <w:outlineLvl w:val="0"/>
              <w:rPr>
                <w:rFonts w:ascii="宋体" w:hAnsi="宋体" w:cs="宋体"/>
                <w:color w:val="auto"/>
                <w:szCs w:val="21"/>
                <w:highlight w:val="none"/>
              </w:rPr>
            </w:pPr>
            <w:r>
              <w:rPr>
                <w:rFonts w:hint="eastAsia" w:ascii="宋体" w:hAnsi="宋体" w:cs="宋体"/>
                <w:color w:val="auto"/>
                <w:szCs w:val="21"/>
                <w:highlight w:val="none"/>
              </w:rPr>
              <w:t>30</w:t>
            </w:r>
          </w:p>
        </w:tc>
        <w:tc>
          <w:tcPr>
            <w:tcW w:w="1147" w:type="dxa"/>
            <w:vAlign w:val="center"/>
          </w:tcPr>
          <w:p w14:paraId="0D6568BA">
            <w:pPr>
              <w:spacing w:line="288" w:lineRule="auto"/>
              <w:jc w:val="center"/>
              <w:outlineLvl w:val="0"/>
              <w:rPr>
                <w:rFonts w:ascii="宋体" w:hAnsi="宋体" w:cs="宋体"/>
                <w:color w:val="auto"/>
                <w:szCs w:val="21"/>
                <w:highlight w:val="none"/>
              </w:rPr>
            </w:pPr>
            <w:r>
              <w:rPr>
                <w:rFonts w:hint="eastAsia" w:ascii="宋体" w:hAnsi="宋体" w:cs="宋体"/>
                <w:color w:val="auto"/>
                <w:szCs w:val="21"/>
                <w:highlight w:val="none"/>
              </w:rPr>
              <w:t>价格分</w:t>
            </w:r>
          </w:p>
        </w:tc>
        <w:tc>
          <w:tcPr>
            <w:tcW w:w="2150" w:type="dxa"/>
            <w:vAlign w:val="center"/>
          </w:tcPr>
          <w:p w14:paraId="2ADEB7A9">
            <w:pPr>
              <w:spacing w:line="288" w:lineRule="auto"/>
              <w:jc w:val="center"/>
              <w:outlineLvl w:val="0"/>
              <w:rPr>
                <w:rFonts w:ascii="宋体" w:hAnsi="宋体" w:cs="宋体"/>
                <w:color w:val="auto"/>
                <w:szCs w:val="21"/>
                <w:highlight w:val="none"/>
              </w:rPr>
            </w:pPr>
            <w:r>
              <w:rPr>
                <w:rFonts w:hint="eastAsia" w:ascii="宋体" w:hAnsi="宋体" w:cs="宋体"/>
                <w:color w:val="auto"/>
                <w:szCs w:val="21"/>
                <w:highlight w:val="none"/>
              </w:rPr>
              <w:t>/</w:t>
            </w:r>
          </w:p>
        </w:tc>
      </w:tr>
    </w:tbl>
    <w:p w14:paraId="16BDB98D">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048071B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8893F0C">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F3DBD24">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40708438">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4AD449E0">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05E5D99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010382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3F8480A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CD7148B">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39E9894">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534D16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81E38D2">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3306D5A9">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2CFC1AE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3FDA4E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365D8F4">
      <w:pPr>
        <w:widowControl/>
        <w:shd w:val="clear" w:color="auto" w:fill="FFFFFF"/>
        <w:spacing w:line="480" w:lineRule="atLeast"/>
        <w:ind w:firstLine="640"/>
        <w:textAlignment w:val="baseline"/>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rPr>
        <w:t>3.4.2</w:t>
      </w:r>
      <w:r>
        <w:rPr>
          <w:rFonts w:hint="eastAsia" w:ascii="宋体" w:hAnsi="宋体" w:cs="宋体"/>
          <w:color w:val="auto"/>
          <w:kern w:val="0"/>
          <w:sz w:val="24"/>
          <w:highlight w:val="none"/>
          <w:shd w:val="clear" w:color="auto" w:fill="FFFFFF"/>
          <w:lang w:bidi="ar"/>
        </w:rPr>
        <w:t>政府采购评审中出现招标文件第二部分投标人须知《前附表》“报价要求”第（2）条所列情形之一的，评审委员会应当启动异常低价投标（响应）审查程序。</w:t>
      </w:r>
    </w:p>
    <w:p w14:paraId="112BDB69">
      <w:pPr>
        <w:widowControl/>
        <w:shd w:val="clear" w:color="auto" w:fill="FFFFFF"/>
        <w:spacing w:after="120" w:afterLines="50" w:line="480" w:lineRule="atLeast"/>
        <w:ind w:firstLine="641"/>
        <w:textAlignment w:val="baseline"/>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1C78D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3.4.3对于未预留份额专门面向中小企业的政府采购货物项目，以及预留份额政府采购货物项目中的非预留部分标项，对小型和微型企业的投标报价给予10%-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70ED37FE">
      <w:pPr>
        <w:spacing w:line="360" w:lineRule="auto"/>
        <w:ind w:firstLine="480" w:firstLineChars="200"/>
        <w:rPr>
          <w:rFonts w:ascii="宋体" w:hAnsi="宋体" w:cs="宋体"/>
          <w:b/>
          <w:color w:val="auto"/>
          <w:kern w:val="0"/>
          <w:sz w:val="24"/>
          <w:highlight w:val="none"/>
        </w:rPr>
      </w:pPr>
      <w:r>
        <w:rPr>
          <w:rFonts w:hint="eastAsia" w:ascii="宋体" w:hAnsi="宋体" w:cs="宋体"/>
          <w:bCs/>
          <w:color w:val="auto"/>
          <w:kern w:val="0"/>
          <w:sz w:val="24"/>
          <w:highlight w:val="none"/>
        </w:rPr>
        <w:t>3.4.4</w:t>
      </w:r>
      <w:r>
        <w:rPr>
          <w:rFonts w:hint="eastAsia" w:ascii="宋体" w:hAnsi="宋体" w:cs="宋体"/>
          <w:b/>
          <w:color w:val="auto"/>
          <w:kern w:val="0"/>
          <w:sz w:val="24"/>
          <w:highlight w:val="none"/>
        </w:rPr>
        <w:t xml:space="preserve"> </w:t>
      </w:r>
      <w:r>
        <w:rPr>
          <w:rFonts w:hint="eastAsia" w:ascii="宋体" w:hAnsi="宋体" w:cs="宋体"/>
          <w:color w:val="auto"/>
          <w:sz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99BCB5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BD3E58F">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AB8191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884449">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7DF8AD36">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63BDF72">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BD6864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D019A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78117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17A174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0CB46EB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3B49BF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64EA21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5470BB4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187EA9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4.2.9 </w:t>
      </w:r>
      <w:r>
        <w:rPr>
          <w:rFonts w:hint="eastAsia" w:ascii="宋体" w:hAnsi="宋体" w:cs="宋体"/>
          <w:color w:val="auto"/>
          <w:kern w:val="0"/>
          <w:sz w:val="24"/>
          <w:highlight w:val="none"/>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695A73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0D31C3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7AEC4336">
      <w:pPr>
        <w:spacing w:line="360" w:lineRule="auto"/>
        <w:ind w:firstLine="480" w:firstLineChars="200"/>
        <w:rPr>
          <w:color w:val="auto"/>
          <w:highlight w:val="none"/>
        </w:rPr>
      </w:pPr>
      <w:r>
        <w:rPr>
          <w:rFonts w:hint="eastAsia" w:ascii="宋体" w:hAnsi="宋体" w:cs="宋体"/>
          <w:color w:val="auto"/>
          <w:kern w:val="0"/>
          <w:sz w:val="24"/>
          <w:highlight w:val="none"/>
        </w:rPr>
        <w:t>4.2.12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317DB7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4.2.13投标人仅提交备份投标文件，未在电子交易平台传输递交投标文件的，投标无效；</w:t>
      </w:r>
    </w:p>
    <w:p w14:paraId="6BE69C8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4.2.14投标人未提供样品或提供的样品不满足采购需求实质性条件的，投标无效；</w:t>
      </w:r>
    </w:p>
    <w:p w14:paraId="6F878238">
      <w:pPr>
        <w:pStyle w:val="3"/>
        <w:rPr>
          <w:color w:val="auto"/>
          <w:highlight w:val="none"/>
        </w:rPr>
      </w:pPr>
      <w:r>
        <w:rPr>
          <w:rFonts w:hint="eastAsia"/>
          <w:color w:val="auto"/>
          <w:highlight w:val="none"/>
        </w:rPr>
        <w:t>4.2.15 投标文件不满足招标文件的其它实质性要求的；</w:t>
      </w:r>
    </w:p>
    <w:p w14:paraId="0F3F12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4.2.16法律、法规、规章（适用本市的）及省级以上规范性文件（适用本市的）规定的其他无效情形。</w:t>
      </w:r>
    </w:p>
    <w:p w14:paraId="0872B445">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A53E89C">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777710C2">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28D00C52">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65FA152">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3D49E40D">
      <w:pPr>
        <w:pStyle w:val="24"/>
        <w:snapToGrid w:val="0"/>
        <w:spacing w:line="360" w:lineRule="auto"/>
        <w:rPr>
          <w:rFonts w:cs="宋体"/>
          <w:color w:val="auto"/>
          <w:highlight w:val="none"/>
        </w:rPr>
      </w:pPr>
      <w:r>
        <w:rPr>
          <w:rFonts w:hint="eastAsia" w:cs="宋体"/>
          <w:color w:val="auto"/>
          <w:highlight w:val="none"/>
        </w:rPr>
        <w:t>废标后，采购机构应当将废标理由通知所有投标人。</w:t>
      </w:r>
    </w:p>
    <w:p w14:paraId="77EB7594">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6D171F11">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E91EBE0">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3EAB858">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B424735">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4538FB6">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4C36355">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665F7EF">
      <w:pPr>
        <w:pStyle w:val="24"/>
        <w:snapToGrid w:val="0"/>
        <w:spacing w:line="360" w:lineRule="auto"/>
        <w:ind w:firstLine="0" w:firstLineChars="0"/>
        <w:rPr>
          <w:rFonts w:cs="宋体"/>
          <w:color w:val="auto"/>
          <w:highlight w:val="none"/>
        </w:rPr>
      </w:pPr>
    </w:p>
    <w:bookmarkEnd w:id="30"/>
    <w:p w14:paraId="7F38F258">
      <w:pPr>
        <w:widowControl/>
        <w:adjustRightInd/>
        <w:jc w:val="left"/>
        <w:rPr>
          <w:rFonts w:ascii="宋体" w:hAnsi="宋体" w:cs="宋体"/>
          <w:b/>
          <w:color w:val="auto"/>
          <w:sz w:val="36"/>
          <w:szCs w:val="36"/>
          <w:highlight w:val="none"/>
        </w:rPr>
      </w:pPr>
      <w:bookmarkStart w:id="400" w:name="第五部分"/>
      <w:bookmarkStart w:id="401" w:name="_Toc86217003"/>
      <w:r>
        <w:rPr>
          <w:rFonts w:ascii="宋体" w:hAnsi="宋体" w:cs="宋体"/>
          <w:b/>
          <w:color w:val="auto"/>
          <w:sz w:val="36"/>
          <w:szCs w:val="36"/>
          <w:highlight w:val="none"/>
        </w:rPr>
        <w:br w:type="page"/>
      </w:r>
    </w:p>
    <w:p w14:paraId="56DADB4B">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66685F8">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14D63FD8">
      <w:pPr>
        <w:spacing w:line="480" w:lineRule="auto"/>
        <w:jc w:val="center"/>
        <w:rPr>
          <w:rFonts w:ascii="宋体" w:hAnsi="宋体" w:cs="宋体"/>
          <w:b/>
          <w:color w:val="auto"/>
          <w:sz w:val="28"/>
          <w:szCs w:val="28"/>
          <w:highlight w:val="none"/>
        </w:rPr>
      </w:pPr>
    </w:p>
    <w:p w14:paraId="3A07D534">
      <w:pPr>
        <w:spacing w:line="480" w:lineRule="auto"/>
        <w:jc w:val="center"/>
        <w:rPr>
          <w:rFonts w:ascii="宋体" w:hAnsi="宋体" w:cs="宋体"/>
          <w:b/>
          <w:color w:val="auto"/>
          <w:sz w:val="24"/>
          <w:highlight w:val="none"/>
        </w:rPr>
      </w:pPr>
    </w:p>
    <w:p w14:paraId="6E814E7F">
      <w:pPr>
        <w:spacing w:line="480" w:lineRule="auto"/>
        <w:jc w:val="center"/>
        <w:rPr>
          <w:rFonts w:ascii="宋体" w:hAnsi="宋体" w:cs="宋体"/>
          <w:b/>
          <w:color w:val="auto"/>
          <w:sz w:val="24"/>
          <w:highlight w:val="none"/>
        </w:rPr>
      </w:pPr>
    </w:p>
    <w:p w14:paraId="6A9CC39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2695ED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7957DBB0">
      <w:pPr>
        <w:pStyle w:val="702"/>
        <w:rPr>
          <w:rFonts w:ascii="宋体" w:hAnsi="宋体" w:cs="宋体"/>
          <w:color w:val="auto"/>
          <w:szCs w:val="24"/>
          <w:highlight w:val="none"/>
        </w:rPr>
      </w:pPr>
    </w:p>
    <w:p w14:paraId="009F357D">
      <w:pPr>
        <w:pStyle w:val="702"/>
        <w:rPr>
          <w:rFonts w:ascii="宋体" w:hAnsi="宋体" w:cs="宋体"/>
          <w:color w:val="auto"/>
          <w:szCs w:val="24"/>
          <w:highlight w:val="none"/>
        </w:rPr>
      </w:pPr>
    </w:p>
    <w:p w14:paraId="5298FF3C">
      <w:pPr>
        <w:pStyle w:val="702"/>
        <w:jc w:val="center"/>
        <w:rPr>
          <w:rFonts w:ascii="宋体" w:hAnsi="宋体" w:cs="宋体"/>
          <w:color w:val="auto"/>
          <w:szCs w:val="24"/>
          <w:highlight w:val="none"/>
        </w:rPr>
      </w:pPr>
    </w:p>
    <w:p w14:paraId="783A7CD9">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B9B5534">
      <w:pPr>
        <w:pStyle w:val="702"/>
        <w:rPr>
          <w:rFonts w:ascii="宋体" w:hAnsi="宋体" w:cs="宋体"/>
          <w:color w:val="auto"/>
          <w:szCs w:val="24"/>
          <w:highlight w:val="none"/>
        </w:rPr>
      </w:pPr>
    </w:p>
    <w:p w14:paraId="453E885C">
      <w:pPr>
        <w:pStyle w:val="702"/>
        <w:rPr>
          <w:rFonts w:ascii="宋体" w:hAnsi="宋体" w:cs="宋体"/>
          <w:color w:val="auto"/>
          <w:szCs w:val="24"/>
          <w:highlight w:val="none"/>
        </w:rPr>
      </w:pPr>
    </w:p>
    <w:p w14:paraId="18540E7D">
      <w:pPr>
        <w:spacing w:before="120" w:line="22" w:lineRule="atLeast"/>
        <w:rPr>
          <w:rFonts w:ascii="宋体" w:hAnsi="宋体" w:cs="宋体"/>
          <w:color w:val="auto"/>
          <w:sz w:val="24"/>
          <w:highlight w:val="none"/>
        </w:rPr>
      </w:pPr>
    </w:p>
    <w:p w14:paraId="27381AB7">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A44E39A">
      <w:pPr>
        <w:pStyle w:val="599"/>
        <w:spacing w:before="120" w:line="22" w:lineRule="atLeast"/>
        <w:rPr>
          <w:rFonts w:ascii="宋体" w:hAnsi="宋体" w:eastAsia="宋体" w:cs="宋体"/>
          <w:color w:val="auto"/>
          <w:szCs w:val="24"/>
          <w:highlight w:val="none"/>
        </w:rPr>
      </w:pPr>
    </w:p>
    <w:p w14:paraId="67BFDF83">
      <w:pPr>
        <w:pStyle w:val="599"/>
        <w:spacing w:before="120" w:line="22" w:lineRule="atLeast"/>
        <w:rPr>
          <w:rFonts w:ascii="宋体" w:hAnsi="宋体" w:eastAsia="宋体" w:cs="宋体"/>
          <w:color w:val="auto"/>
          <w:szCs w:val="24"/>
          <w:highlight w:val="none"/>
        </w:rPr>
      </w:pPr>
    </w:p>
    <w:p w14:paraId="561930D1">
      <w:pPr>
        <w:rPr>
          <w:rFonts w:ascii="宋体" w:hAnsi="宋体" w:cs="宋体"/>
          <w:color w:val="auto"/>
          <w:sz w:val="24"/>
          <w:highlight w:val="none"/>
        </w:rPr>
      </w:pPr>
    </w:p>
    <w:p w14:paraId="4AFAD32D">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468D9A18">
      <w:pPr>
        <w:spacing w:before="120" w:line="22" w:lineRule="atLeast"/>
        <w:rPr>
          <w:rFonts w:ascii="宋体" w:hAnsi="宋体" w:cs="宋体"/>
          <w:color w:val="auto"/>
          <w:sz w:val="24"/>
          <w:highlight w:val="none"/>
        </w:rPr>
      </w:pPr>
    </w:p>
    <w:p w14:paraId="30F4B34C">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76176BA">
      <w:pPr>
        <w:spacing w:before="120" w:line="22" w:lineRule="atLeast"/>
        <w:rPr>
          <w:rFonts w:ascii="宋体" w:hAnsi="宋体" w:cs="宋体"/>
          <w:color w:val="auto"/>
          <w:sz w:val="24"/>
          <w:highlight w:val="none"/>
        </w:rPr>
      </w:pPr>
    </w:p>
    <w:p w14:paraId="70DC2C22">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1389F43D">
      <w:pPr>
        <w:spacing w:before="120" w:line="22" w:lineRule="atLeast"/>
        <w:rPr>
          <w:rFonts w:ascii="宋体" w:hAnsi="宋体" w:cs="宋体"/>
          <w:color w:val="auto"/>
          <w:sz w:val="24"/>
          <w:highlight w:val="none"/>
        </w:rPr>
      </w:pPr>
    </w:p>
    <w:p w14:paraId="30EC7BF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B6E826A">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35B963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杭州职业技术大学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杭州职业技术大学</w:t>
      </w:r>
      <w:r>
        <w:rPr>
          <w:rFonts w:hint="eastAsia" w:ascii="宋体" w:hAnsi="宋体" w:cs="宋体"/>
          <w:color w:val="auto"/>
          <w:sz w:val="24"/>
          <w:highlight w:val="none"/>
          <w:u w:val="single"/>
          <w:lang w:eastAsia="zh-CN"/>
        </w:rPr>
        <w:t>新安江校区</w:t>
      </w:r>
      <w:r>
        <w:rPr>
          <w:rFonts w:hint="eastAsia" w:ascii="宋体" w:hAnsi="宋体" w:cs="宋体"/>
          <w:color w:val="auto"/>
          <w:sz w:val="24"/>
          <w:highlight w:val="none"/>
          <w:u w:val="single"/>
        </w:rPr>
        <w:t xml:space="preserve">多媒体教室建设项目HZZFCG-2026-072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2B0B94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杭州职业技术大学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4F2C3C2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31B3767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134BB3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3DDC1C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19DF88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17EA55A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20AD1D1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4114552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423D7F4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0674A04">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A5213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1A9D795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624CA67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433DC16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4A1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545C0E7">
            <w:pPr>
              <w:pStyle w:val="320"/>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79C4A100">
            <w:pPr>
              <w:pStyle w:val="320"/>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7CF08248">
            <w:pPr>
              <w:pStyle w:val="320"/>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1425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AF61A74">
            <w:pPr>
              <w:pStyle w:val="320"/>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3BDE160">
            <w:pPr>
              <w:pStyle w:val="320"/>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2D080AA5">
            <w:pPr>
              <w:pStyle w:val="320"/>
              <w:spacing w:line="560" w:lineRule="exact"/>
              <w:ind w:firstLine="200"/>
              <w:jc w:val="center"/>
              <w:rPr>
                <w:rFonts w:hAnsi="宋体" w:cs="宋体"/>
                <w:color w:val="auto"/>
                <w:sz w:val="24"/>
                <w:szCs w:val="24"/>
                <w:highlight w:val="none"/>
              </w:rPr>
            </w:pPr>
          </w:p>
        </w:tc>
      </w:tr>
      <w:tr w14:paraId="4166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7FB1BE6">
            <w:pPr>
              <w:pStyle w:val="320"/>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336043F">
            <w:pPr>
              <w:pStyle w:val="320"/>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6D73FBA">
            <w:pPr>
              <w:pStyle w:val="320"/>
              <w:spacing w:line="560" w:lineRule="exact"/>
              <w:ind w:firstLine="200"/>
              <w:jc w:val="center"/>
              <w:rPr>
                <w:rFonts w:hAnsi="宋体" w:cs="宋体"/>
                <w:color w:val="auto"/>
                <w:sz w:val="24"/>
                <w:szCs w:val="24"/>
                <w:highlight w:val="none"/>
              </w:rPr>
            </w:pPr>
          </w:p>
        </w:tc>
      </w:tr>
      <w:tr w14:paraId="1834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DD065A5">
            <w:pPr>
              <w:pStyle w:val="320"/>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1930C58">
            <w:pPr>
              <w:pStyle w:val="320"/>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C5FFF61">
            <w:pPr>
              <w:pStyle w:val="320"/>
              <w:spacing w:line="560" w:lineRule="exact"/>
              <w:ind w:firstLine="200"/>
              <w:jc w:val="center"/>
              <w:rPr>
                <w:rFonts w:hAnsi="宋体" w:cs="宋体"/>
                <w:color w:val="auto"/>
                <w:sz w:val="24"/>
                <w:szCs w:val="24"/>
                <w:highlight w:val="none"/>
              </w:rPr>
            </w:pPr>
          </w:p>
        </w:tc>
      </w:tr>
      <w:tr w14:paraId="3F9C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9CBA9B3">
            <w:pPr>
              <w:pStyle w:val="320"/>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D1BFB55">
            <w:pPr>
              <w:pStyle w:val="320"/>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A2BA5C2">
            <w:pPr>
              <w:pStyle w:val="320"/>
              <w:spacing w:line="560" w:lineRule="exact"/>
              <w:ind w:firstLine="200"/>
              <w:jc w:val="center"/>
              <w:rPr>
                <w:rFonts w:hAnsi="宋体" w:cs="宋体"/>
                <w:color w:val="auto"/>
                <w:sz w:val="24"/>
                <w:szCs w:val="24"/>
                <w:highlight w:val="none"/>
              </w:rPr>
            </w:pPr>
          </w:p>
        </w:tc>
      </w:tr>
      <w:tr w14:paraId="16A1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4B78FC2">
            <w:pPr>
              <w:pStyle w:val="320"/>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376ABAC5">
            <w:pPr>
              <w:pStyle w:val="320"/>
              <w:spacing w:line="560" w:lineRule="exact"/>
              <w:ind w:firstLine="200"/>
              <w:jc w:val="center"/>
              <w:rPr>
                <w:rFonts w:hAnsi="宋体" w:cs="宋体"/>
                <w:color w:val="auto"/>
                <w:sz w:val="24"/>
                <w:szCs w:val="24"/>
                <w:highlight w:val="none"/>
              </w:rPr>
            </w:pPr>
          </w:p>
        </w:tc>
      </w:tr>
    </w:tbl>
    <w:p w14:paraId="6B1AF238">
      <w:pPr>
        <w:pStyle w:val="959"/>
        <w:spacing w:before="0" w:beforeAutospacing="0" w:after="0" w:afterAutospacing="0" w:line="360" w:lineRule="auto"/>
        <w:ind w:firstLine="480"/>
        <w:rPr>
          <w:b/>
          <w:color w:val="auto"/>
          <w:highlight w:val="none"/>
        </w:rPr>
      </w:pPr>
      <w:r>
        <w:rPr>
          <w:rFonts w:hint="eastAsia"/>
          <w:b/>
          <w:color w:val="auto"/>
          <w:highlight w:val="none"/>
        </w:rPr>
        <w:t>1.4履约保证金</w:t>
      </w:r>
    </w:p>
    <w:p w14:paraId="221DF879">
      <w:pPr>
        <w:pStyle w:val="959"/>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7345C466">
      <w:pPr>
        <w:pageBreakBefore w:val="0"/>
        <w:widowControl w:val="0"/>
        <w:kinsoku/>
        <w:wordWrap/>
        <w:overflowPunct/>
        <w:topLinePunct w:val="0"/>
        <w:autoSpaceDE/>
        <w:autoSpaceDN/>
        <w:bidi w:val="0"/>
        <w:snapToGrid/>
        <w:spacing w:line="360" w:lineRule="auto"/>
        <w:ind w:firstLine="480" w:firstLineChars="200"/>
        <w:textAlignment w:val="auto"/>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18F948">
      <w:pPr>
        <w:pageBreakBefore w:val="0"/>
        <w:widowControl w:val="0"/>
        <w:kinsoku/>
        <w:wordWrap/>
        <w:overflowPunct/>
        <w:topLinePunct w:val="0"/>
        <w:autoSpaceDE/>
        <w:autoSpaceDN/>
        <w:bidi w:val="0"/>
        <w:snapToGrid/>
        <w:spacing w:line="360" w:lineRule="auto"/>
        <w:ind w:firstLine="480" w:firstLineChars="200"/>
        <w:textAlignment w:val="auto"/>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63F08B0">
      <w:pPr>
        <w:pStyle w:val="3"/>
        <w:pageBreakBefore w:val="0"/>
        <w:widowControl w:val="0"/>
        <w:tabs>
          <w:tab w:val="left" w:pos="0"/>
          <w:tab w:val="clear" w:pos="432"/>
        </w:tabs>
        <w:kinsoku/>
        <w:wordWrap/>
        <w:overflowPunct/>
        <w:topLinePunct w:val="0"/>
        <w:autoSpaceDE/>
        <w:autoSpaceDN/>
        <w:bidi w:val="0"/>
        <w:snapToGrid/>
        <w:spacing w:line="360" w:lineRule="auto"/>
        <w:ind w:left="-1" w:leftChars="0" w:firstLine="482" w:firstLineChars="200"/>
        <w:textAlignment w:val="auto"/>
        <w:rPr>
          <w:color w:val="auto"/>
          <w:sz w:val="24"/>
          <w:szCs w:val="24"/>
          <w:highlight w:val="none"/>
        </w:rPr>
      </w:pPr>
      <w:r>
        <w:rPr>
          <w:rFonts w:hint="eastAsia"/>
          <w:color w:val="auto"/>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050FE3F">
      <w:pPr>
        <w:pageBreakBefore w:val="0"/>
        <w:widowControl w:val="0"/>
        <w:kinsoku/>
        <w:wordWrap/>
        <w:overflowPunct/>
        <w:topLinePunct w:val="0"/>
        <w:autoSpaceDE/>
        <w:autoSpaceDN/>
        <w:bidi w:val="0"/>
        <w:snapToGrid/>
        <w:spacing w:line="360" w:lineRule="auto"/>
        <w:ind w:firstLine="480" w:firstLineChars="200"/>
        <w:textAlignment w:val="auto"/>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5888E10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5B2DF161">
      <w:pPr>
        <w:pStyle w:val="959"/>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563F1DF">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F2CF9F0">
      <w:pPr>
        <w:pStyle w:val="959"/>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87ECEC0">
      <w:pPr>
        <w:pStyle w:val="959"/>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1207FEF">
      <w:pPr>
        <w:pStyle w:val="959"/>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C378DAE">
      <w:pPr>
        <w:pStyle w:val="959"/>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4064619">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B8EEEB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14:paraId="30C6397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16E5A7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A50DE0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3A5B4A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14:paraId="1F4D3CD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40FD847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08FDBED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292B7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4FB6D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5B4B3AE6">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55E2FFF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1B103766">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0151A8F8">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6CC92F8E">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4E15F57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1.10 合同生效</w:t>
      </w:r>
    </w:p>
    <w:p w14:paraId="6C8342FE">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372825C">
      <w:pPr>
        <w:autoSpaceDE w:val="0"/>
        <w:autoSpaceDN w:val="0"/>
        <w:spacing w:line="560" w:lineRule="exact"/>
        <w:rPr>
          <w:rFonts w:ascii="宋体" w:hAnsi="宋体" w:cs="宋体"/>
          <w:color w:val="auto"/>
          <w:sz w:val="24"/>
          <w:highlight w:val="none"/>
          <w:lang w:val="zh-CN"/>
        </w:rPr>
      </w:pPr>
    </w:p>
    <w:p w14:paraId="58889588">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1BD7D8CB">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43A53F4A">
      <w:pPr>
        <w:autoSpaceDE w:val="0"/>
        <w:autoSpaceDN w:val="0"/>
        <w:spacing w:line="560" w:lineRule="exact"/>
        <w:rPr>
          <w:rFonts w:ascii="宋体" w:hAnsi="宋体" w:cs="宋体"/>
          <w:color w:val="auto"/>
          <w:sz w:val="24"/>
          <w:highlight w:val="none"/>
          <w:lang w:val="zh-CN"/>
        </w:rPr>
      </w:pPr>
    </w:p>
    <w:p w14:paraId="1ADEA9A3">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059DB891">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436A977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16B21416">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EBC63C0">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1FB9378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D66F0C7">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51F2A5C9">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43A3898A">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7843E1CA">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6AB9430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0E22D05B">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969AD21">
      <w:pPr>
        <w:pStyle w:val="3"/>
        <w:rPr>
          <w:color w:val="auto"/>
          <w:highlight w:val="none"/>
        </w:rPr>
      </w:pPr>
    </w:p>
    <w:p w14:paraId="2A72CC9A">
      <w:pPr>
        <w:rPr>
          <w:rFonts w:ascii="宋体" w:hAnsi="宋体" w:cs="宋体"/>
          <w:color w:val="auto"/>
          <w:sz w:val="24"/>
          <w:highlight w:val="none"/>
        </w:rPr>
      </w:pPr>
    </w:p>
    <w:p w14:paraId="0B9AC448">
      <w:pPr>
        <w:pStyle w:val="3"/>
        <w:rPr>
          <w:color w:val="auto"/>
          <w:highlight w:val="none"/>
        </w:rPr>
      </w:pPr>
    </w:p>
    <w:p w14:paraId="6A81CB43">
      <w:pPr>
        <w:rPr>
          <w:rFonts w:ascii="宋体" w:hAnsi="宋体" w:cs="宋体"/>
          <w:color w:val="auto"/>
          <w:sz w:val="24"/>
          <w:highlight w:val="none"/>
        </w:rPr>
      </w:pPr>
    </w:p>
    <w:p w14:paraId="76F6C741">
      <w:pPr>
        <w:pStyle w:val="3"/>
        <w:rPr>
          <w:color w:val="auto"/>
          <w:highlight w:val="none"/>
        </w:rPr>
      </w:pPr>
    </w:p>
    <w:p w14:paraId="02384B2F">
      <w:pPr>
        <w:rPr>
          <w:rFonts w:ascii="宋体" w:hAnsi="宋体" w:cs="宋体"/>
          <w:color w:val="auto"/>
          <w:sz w:val="24"/>
          <w:highlight w:val="none"/>
        </w:rPr>
      </w:pPr>
    </w:p>
    <w:p w14:paraId="5D6EE061">
      <w:pPr>
        <w:rPr>
          <w:rFonts w:ascii="宋体" w:hAnsi="宋体" w:cs="宋体"/>
          <w:b/>
          <w:color w:val="auto"/>
          <w:highlight w:val="none"/>
        </w:rPr>
      </w:pPr>
      <w:r>
        <w:rPr>
          <w:rFonts w:hint="eastAsia" w:ascii="宋体" w:hAnsi="宋体" w:cs="宋体"/>
          <w:b/>
          <w:color w:val="auto"/>
          <w:highlight w:val="none"/>
        </w:rPr>
        <w:br w:type="page"/>
      </w:r>
    </w:p>
    <w:p w14:paraId="4B5D6852">
      <w:pPr>
        <w:pStyle w:val="702"/>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778027F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14:paraId="1B3C5E6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018837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07A60A1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22D43F1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3BAB7B4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70DBB1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08C95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14:paraId="3DF4D62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14:paraId="1C55EA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3C09D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14:paraId="423DC91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018BD81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26C376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14:paraId="53D28E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54508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20731B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2A8190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14:paraId="2216A3F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58B5CE3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14:paraId="4C2DEC8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14:paraId="183FD1C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69CA49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69446F6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46090BD">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14:paraId="115C05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784C3C0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28B4EFC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14:paraId="39E7DCD5">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ACB142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14:paraId="5BA81C0B">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BDEBBE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14:paraId="4BED133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C036D1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14:paraId="2078B9B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38BAB6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494D4F1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14:paraId="4F0F1B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3EF4F3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6DF580D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1091067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0B9DF23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6A4A16F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4A88D4A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5AD0C56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44C927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53B7098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1211FA5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3807123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4D052E1F">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474489E7">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8861385">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628CDB1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10FD4D4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1545E93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02462F8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41E1D5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D0EFCB5">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27114A7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79219F6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6EB6DA8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76189D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45D177CE">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1129161F">
      <w:pPr>
        <w:spacing w:line="560" w:lineRule="exact"/>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41C0D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7D18BD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34" w:type="pct"/>
            <w:vAlign w:val="center"/>
          </w:tcPr>
          <w:p w14:paraId="18F761D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48F1C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8974C2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4534" w:type="pct"/>
            <w:vAlign w:val="center"/>
          </w:tcPr>
          <w:p w14:paraId="498CAE00">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51F76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6599646">
            <w:pPr>
              <w:spacing w:line="360" w:lineRule="auto"/>
              <w:rPr>
                <w:rFonts w:ascii="宋体" w:hAnsi="宋体" w:cs="宋体"/>
                <w:color w:val="auto"/>
                <w:sz w:val="24"/>
                <w:highlight w:val="none"/>
              </w:rPr>
            </w:pPr>
            <w:r>
              <w:rPr>
                <w:rFonts w:hint="eastAsia" w:ascii="宋体" w:hAnsi="宋体" w:cs="宋体"/>
                <w:color w:val="auto"/>
                <w:sz w:val="24"/>
                <w:highlight w:val="none"/>
              </w:rPr>
              <w:t>1.4.1</w:t>
            </w:r>
          </w:p>
        </w:tc>
        <w:tc>
          <w:tcPr>
            <w:tcW w:w="4534" w:type="pct"/>
            <w:vAlign w:val="center"/>
          </w:tcPr>
          <w:p w14:paraId="67FBD44F">
            <w:pPr>
              <w:spacing w:line="360" w:lineRule="auto"/>
              <w:rPr>
                <w:color w:val="auto"/>
                <w:sz w:val="24"/>
                <w:highlight w:val="none"/>
              </w:rPr>
            </w:pPr>
            <w:r>
              <w:rPr>
                <w:rFonts w:hint="eastAsia"/>
                <w:color w:val="auto"/>
                <w:sz w:val="24"/>
                <w:highlight w:val="none"/>
              </w:rPr>
              <w:t>履约保证金的比例为合同金额的 1 %；</w:t>
            </w:r>
          </w:p>
        </w:tc>
      </w:tr>
      <w:tr w14:paraId="26BC2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14:paraId="62C7E0CD">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534" w:type="pct"/>
            <w:vAlign w:val="center"/>
          </w:tcPr>
          <w:p w14:paraId="57FCC840">
            <w:pPr>
              <w:spacing w:line="360" w:lineRule="auto"/>
              <w:rPr>
                <w:rFonts w:ascii="宋体" w:hAnsi="宋体" w:cs="宋体"/>
                <w:color w:val="auto"/>
                <w:sz w:val="24"/>
                <w:highlight w:val="none"/>
              </w:rPr>
            </w:pPr>
            <w:r>
              <w:rPr>
                <w:rFonts w:hint="eastAsia" w:ascii="宋体" w:hAnsi="宋体" w:cs="宋体"/>
                <w:color w:val="auto"/>
                <w:sz w:val="24"/>
                <w:highlight w:val="none"/>
              </w:rPr>
              <w:t>以支票、汇票、本票或银行出具的保函（有效期至项目完成后的一个月）等非现金形式，提交合同金额 1 %的履约保证金。</w:t>
            </w:r>
          </w:p>
        </w:tc>
      </w:tr>
      <w:tr w14:paraId="78CAF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A0FDD77">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4534" w:type="pct"/>
            <w:vAlign w:val="center"/>
          </w:tcPr>
          <w:p w14:paraId="5F1493EC">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是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61880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6BF75FE">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4534" w:type="pct"/>
            <w:vAlign w:val="center"/>
          </w:tcPr>
          <w:p w14:paraId="09FBB08E">
            <w:pPr>
              <w:spacing w:line="360" w:lineRule="auto"/>
              <w:rPr>
                <w:rFonts w:ascii="宋体" w:hAnsi="宋体" w:cs="宋体"/>
                <w:color w:val="auto"/>
                <w:sz w:val="24"/>
                <w:highlight w:val="none"/>
              </w:rPr>
            </w:pPr>
            <w:r>
              <w:rPr>
                <w:rFonts w:hint="eastAsia" w:ascii="宋体" w:hAnsi="宋体" w:cs="宋体"/>
                <w:color w:val="auto"/>
                <w:sz w:val="24"/>
                <w:highlight w:val="none"/>
              </w:rPr>
              <w:t>合同生效以及具备实施条件后5个工作日内，且乙方已向甲方提交银行出具的（等额）预付款保函的，甲方向乙方支付合同总价的40%，若乙方未向甲方提交银行出具的（等额）预付款保函则甲方有权延迟或不支付预付款（预付款保函的有效期到本项目完成时间后的一个月）；</w:t>
            </w:r>
          </w:p>
          <w:p w14:paraId="2D1227D7">
            <w:pPr>
              <w:spacing w:line="360" w:lineRule="auto"/>
              <w:rPr>
                <w:rFonts w:ascii="宋体" w:hAnsi="宋体" w:cs="宋体"/>
                <w:color w:val="auto"/>
                <w:sz w:val="24"/>
                <w:highlight w:val="none"/>
              </w:rPr>
            </w:pPr>
            <w:r>
              <w:rPr>
                <w:rFonts w:hint="eastAsia" w:ascii="宋体" w:hAnsi="宋体" w:cs="宋体"/>
                <w:color w:val="auto"/>
                <w:sz w:val="24"/>
                <w:highlight w:val="none"/>
              </w:rPr>
              <w:t>在签订合同时，乙方明确表示无需预付款或者主动要求降低预付款比例的，可零预付款或降低预付款比例（预付款保函同步调整）。</w:t>
            </w:r>
          </w:p>
        </w:tc>
      </w:tr>
      <w:tr w14:paraId="53CB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D9A54B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4534" w:type="pct"/>
            <w:vAlign w:val="center"/>
          </w:tcPr>
          <w:p w14:paraId="70DEBCF6">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6F242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F98F54B">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4534" w:type="pct"/>
            <w:vAlign w:val="center"/>
          </w:tcPr>
          <w:p w14:paraId="3F43FEC0">
            <w:pPr>
              <w:spacing w:line="360" w:lineRule="auto"/>
              <w:rPr>
                <w:rFonts w:ascii="宋体" w:hAnsi="宋体" w:cs="宋体"/>
                <w:color w:val="auto"/>
                <w:sz w:val="24"/>
                <w:highlight w:val="none"/>
              </w:rPr>
            </w:pPr>
            <w:r>
              <w:rPr>
                <w:rFonts w:hint="eastAsia" w:ascii="宋体" w:hAnsi="宋体" w:cs="宋体"/>
                <w:color w:val="auto"/>
                <w:sz w:val="24"/>
                <w:highlight w:val="none"/>
              </w:rPr>
              <w:t>乙方已向甲方提交银行出具的（等额）预付款保函（预付款保函的有效期到本项目完成时间后的一个月）</w:t>
            </w:r>
          </w:p>
        </w:tc>
      </w:tr>
      <w:tr w14:paraId="6D6F4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D028D10">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34" w:type="pct"/>
            <w:vAlign w:val="center"/>
          </w:tcPr>
          <w:p w14:paraId="3BAC0EF7">
            <w:pPr>
              <w:spacing w:line="360" w:lineRule="auto"/>
              <w:rPr>
                <w:rFonts w:ascii="宋体" w:hAnsi="宋体" w:cs="宋体"/>
                <w:color w:val="auto"/>
                <w:sz w:val="24"/>
                <w:highlight w:val="none"/>
              </w:rPr>
            </w:pPr>
            <w:r>
              <w:rPr>
                <w:rFonts w:hint="eastAsia" w:ascii="宋体" w:hAnsi="宋体" w:cs="宋体"/>
                <w:color w:val="auto"/>
                <w:sz w:val="24"/>
                <w:highlight w:val="none"/>
              </w:rPr>
              <w:t>（1）合同生效以及具备实施条件后5个工作日内，且乙方已向甲方提交银行出具的（等额）预付款保函的，甲方向乙方支付合同总价的40%，若乙方未向甲方提交银行出具的（等额）预付款保函则甲方有权延迟或不支付预付款（预付款保函的有效期到本项目完成时间后的一个月）；</w:t>
            </w:r>
          </w:p>
          <w:p w14:paraId="65D3C3F0">
            <w:pPr>
              <w:spacing w:line="360" w:lineRule="auto"/>
              <w:rPr>
                <w:rFonts w:ascii="宋体" w:hAnsi="宋体" w:cs="宋体"/>
                <w:color w:val="auto"/>
                <w:sz w:val="24"/>
                <w:highlight w:val="none"/>
              </w:rPr>
            </w:pPr>
            <w:r>
              <w:rPr>
                <w:rFonts w:hint="eastAsia" w:ascii="宋体" w:hAnsi="宋体" w:cs="宋体"/>
                <w:color w:val="auto"/>
                <w:sz w:val="24"/>
                <w:highlight w:val="none"/>
              </w:rPr>
              <w:t>（2）项目履约完成，经甲方验收合格后，收到发票后5个工作日内，甲方向乙方据实支付剩余款项。</w:t>
            </w:r>
          </w:p>
          <w:p w14:paraId="2C120E4E">
            <w:pPr>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）在签订合同时，乙方明确表示无需预付款或者主动要求降低预付款比例的，可零预付款或降低预付款比例（预付款保函同步调整）。</w:t>
            </w:r>
          </w:p>
        </w:tc>
      </w:tr>
      <w:tr w14:paraId="0AFEC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351E8B3">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34" w:type="pct"/>
            <w:vAlign w:val="center"/>
          </w:tcPr>
          <w:p w14:paraId="46E7FB8C">
            <w:pPr>
              <w:spacing w:line="360" w:lineRule="auto"/>
              <w:rPr>
                <w:rFonts w:ascii="宋体" w:hAnsi="宋体" w:cs="宋体"/>
                <w:color w:val="auto"/>
                <w:sz w:val="24"/>
                <w:highlight w:val="none"/>
              </w:rPr>
            </w:pPr>
            <w:r>
              <w:rPr>
                <w:rFonts w:hint="eastAsia" w:ascii="宋体" w:hAnsi="宋体" w:eastAsia="宋体" w:cs="宋体"/>
                <w:color w:val="auto"/>
                <w:sz w:val="24"/>
                <w:highlight w:val="none"/>
              </w:rPr>
              <w:t>合同签订</w:t>
            </w:r>
            <w:r>
              <w:rPr>
                <w:rFonts w:hint="eastAsia" w:ascii="宋体" w:hAnsi="宋体" w:eastAsia="宋体" w:cs="宋体"/>
                <w:color w:val="auto"/>
                <w:sz w:val="24"/>
                <w:highlight w:val="none"/>
                <w:lang w:val="en-US" w:eastAsia="zh-CN"/>
              </w:rPr>
              <w:t>且接到进场指令</w:t>
            </w:r>
            <w:r>
              <w:rPr>
                <w:rFonts w:hint="eastAsia" w:ascii="宋体" w:hAnsi="宋体" w:eastAsia="宋体" w:cs="宋体"/>
                <w:color w:val="auto"/>
                <w:sz w:val="24"/>
                <w:highlight w:val="none"/>
              </w:rPr>
              <w:t>后45天内完成所有设备的供货、安装、调试工作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如果由于采购人工程进度原因延期，则工期顺延</w:t>
            </w:r>
            <w:r>
              <w:rPr>
                <w:rFonts w:hint="eastAsia" w:ascii="宋体" w:hAnsi="宋体" w:eastAsia="宋体" w:cs="宋体"/>
                <w:color w:val="auto"/>
                <w:sz w:val="24"/>
                <w:highlight w:val="none"/>
              </w:rPr>
              <w:t>。</w:t>
            </w:r>
          </w:p>
        </w:tc>
      </w:tr>
      <w:tr w14:paraId="6722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9444BE7">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34" w:type="pct"/>
            <w:vAlign w:val="center"/>
          </w:tcPr>
          <w:p w14:paraId="4D6801DA">
            <w:pPr>
              <w:spacing w:line="360" w:lineRule="auto"/>
              <w:rPr>
                <w:rFonts w:ascii="宋体" w:hAnsi="宋体" w:cs="宋体"/>
                <w:color w:val="auto"/>
                <w:sz w:val="24"/>
                <w:highlight w:val="none"/>
              </w:rPr>
            </w:pPr>
            <w:r>
              <w:rPr>
                <w:rFonts w:ascii="宋体" w:hAnsi="宋体" w:cs="宋体"/>
                <w:color w:val="auto"/>
                <w:sz w:val="24"/>
                <w:highlight w:val="none"/>
              </w:rPr>
              <w:t>杭州职业技术大学新安江校区</w:t>
            </w:r>
            <w:r>
              <w:rPr>
                <w:rFonts w:hint="eastAsia" w:ascii="宋体" w:hAnsi="宋体" w:cs="宋体"/>
                <w:color w:val="auto"/>
                <w:sz w:val="24"/>
                <w:highlight w:val="none"/>
              </w:rPr>
              <w:t>，甲方指定地点</w:t>
            </w:r>
          </w:p>
        </w:tc>
      </w:tr>
      <w:tr w14:paraId="0F83D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434250B">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34" w:type="pct"/>
            <w:vAlign w:val="center"/>
          </w:tcPr>
          <w:p w14:paraId="485EEF8A">
            <w:pPr>
              <w:spacing w:line="360" w:lineRule="auto"/>
              <w:rPr>
                <w:rFonts w:ascii="宋体" w:hAnsi="宋体" w:cs="宋体"/>
                <w:color w:val="auto"/>
                <w:sz w:val="24"/>
                <w:highlight w:val="none"/>
              </w:rPr>
            </w:pPr>
            <w:r>
              <w:rPr>
                <w:rFonts w:hint="eastAsia" w:ascii="宋体" w:hAnsi="宋体" w:cs="宋体"/>
                <w:color w:val="auto"/>
                <w:sz w:val="24"/>
                <w:highlight w:val="none"/>
              </w:rPr>
              <w:t>乙方承担本项目所有货物的生产、包装、运输、装卸、安装放置等至甲方指定地点，所有费用计入投标总价。</w:t>
            </w:r>
          </w:p>
        </w:tc>
      </w:tr>
      <w:tr w14:paraId="18E99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07403D6">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4534" w:type="pct"/>
            <w:vAlign w:val="center"/>
          </w:tcPr>
          <w:p w14:paraId="24DA1F0B">
            <w:pPr>
              <w:spacing w:line="360" w:lineRule="auto"/>
              <w:rPr>
                <w:rFonts w:hint="default" w:ascii="宋体" w:hAnsi="宋体" w:cs="宋体"/>
                <w:color w:val="auto"/>
                <w:sz w:val="24"/>
                <w:highlight w:val="none"/>
              </w:rPr>
            </w:pPr>
            <w:r>
              <w:rPr>
                <w:rFonts w:hint="default" w:ascii="宋体" w:hAnsi="宋体" w:cs="宋体"/>
                <w:color w:val="auto"/>
                <w:sz w:val="24"/>
                <w:highlight w:val="none"/>
                <w:lang w:val="en-US" w:eastAsia="zh-CN"/>
              </w:rPr>
              <w:t>1.甲方无正当理由逾期支付货款的，自逾期之日起，向乙方每日偿付</w:t>
            </w:r>
            <w:r>
              <w:rPr>
                <w:rFonts w:hint="eastAsia" w:ascii="宋体" w:hAnsi="宋体" w:cs="宋体"/>
                <w:color w:val="auto"/>
                <w:sz w:val="24"/>
                <w:highlight w:val="none"/>
                <w:lang w:val="en-US" w:eastAsia="zh-CN"/>
              </w:rPr>
              <w:t>应付未付价款</w:t>
            </w:r>
            <w:r>
              <w:rPr>
                <w:rFonts w:hint="default" w:ascii="宋体" w:hAnsi="宋体" w:cs="宋体"/>
                <w:color w:val="auto"/>
                <w:sz w:val="24"/>
                <w:highlight w:val="none"/>
                <w:lang w:val="en-US" w:eastAsia="zh-CN"/>
              </w:rPr>
              <w:t>0.05%</w:t>
            </w:r>
            <w:r>
              <w:rPr>
                <w:rFonts w:hint="eastAsia" w:ascii="宋体" w:hAnsi="宋体" w:cs="宋体"/>
                <w:color w:val="auto"/>
                <w:sz w:val="24"/>
                <w:highlight w:val="none"/>
                <w:lang w:val="en-US" w:eastAsia="zh-CN"/>
              </w:rPr>
              <w:t>的</w:t>
            </w:r>
            <w:r>
              <w:rPr>
                <w:rFonts w:hint="default" w:ascii="宋体" w:hAnsi="宋体" w:cs="宋体"/>
                <w:color w:val="auto"/>
                <w:sz w:val="24"/>
                <w:highlight w:val="none"/>
                <w:lang w:val="en-US" w:eastAsia="zh-CN"/>
              </w:rPr>
              <w:t>违约金</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最高限额为</w:t>
            </w:r>
            <w:r>
              <w:rPr>
                <w:rFonts w:hint="eastAsia" w:ascii="宋体" w:hAnsi="宋体" w:cs="宋体"/>
                <w:color w:val="auto"/>
                <w:sz w:val="24"/>
                <w:highlight w:val="none"/>
                <w:lang w:val="en-US" w:eastAsia="zh-CN"/>
              </w:rPr>
              <w:t>应付</w:t>
            </w:r>
            <w:r>
              <w:rPr>
                <w:rFonts w:hint="default" w:ascii="宋体" w:hAnsi="宋体" w:cs="宋体"/>
                <w:color w:val="auto"/>
                <w:sz w:val="24"/>
                <w:highlight w:val="none"/>
                <w:lang w:val="en-US" w:eastAsia="zh-CN"/>
              </w:rPr>
              <w:t>未付价款</w:t>
            </w:r>
            <w:r>
              <w:rPr>
                <w:rFonts w:hint="eastAsia" w:ascii="宋体" w:hAnsi="宋体" w:cs="宋体"/>
                <w:color w:val="auto"/>
                <w:sz w:val="24"/>
                <w:highlight w:val="none"/>
                <w:lang w:val="en-US" w:eastAsia="zh-CN"/>
              </w:rPr>
              <w:t>1</w:t>
            </w:r>
            <w:r>
              <w:rPr>
                <w:rFonts w:hint="default" w:ascii="宋体" w:hAnsi="宋体" w:cs="宋体"/>
                <w:color w:val="auto"/>
                <w:sz w:val="24"/>
                <w:highlight w:val="none"/>
                <w:lang w:val="en-US" w:eastAsia="zh-CN"/>
              </w:rPr>
              <w:t>0%的违约金。</w:t>
            </w:r>
          </w:p>
          <w:p w14:paraId="5FAF6E53">
            <w:pPr>
              <w:spacing w:line="360" w:lineRule="auto"/>
              <w:rPr>
                <w:rFonts w:hint="default" w:ascii="宋体" w:hAnsi="宋体" w:cs="宋体"/>
                <w:color w:val="auto"/>
                <w:sz w:val="24"/>
                <w:highlight w:val="none"/>
              </w:rPr>
            </w:pPr>
            <w:r>
              <w:rPr>
                <w:rFonts w:hint="default" w:ascii="宋体" w:hAnsi="宋体" w:cs="宋体"/>
                <w:color w:val="auto"/>
                <w:sz w:val="24"/>
                <w:highlight w:val="none"/>
                <w:lang w:val="en-US" w:eastAsia="zh-CN"/>
              </w:rPr>
              <w:t>2.乙方逾期供货及调试的，自逾期之日起，向甲方每日偿付合同总价1‰的违约金；乙方逾期10日不能交货的，应向甲方支付合同总价10%的违约金，并且甲方有权单方面解除本合同，不退还履约保证金。</w:t>
            </w:r>
          </w:p>
          <w:p w14:paraId="35EEACCD">
            <w:pPr>
              <w:spacing w:line="360" w:lineRule="auto"/>
              <w:rPr>
                <w:rFonts w:hint="default" w:ascii="宋体" w:hAnsi="宋体" w:cs="宋体"/>
                <w:color w:val="auto"/>
                <w:sz w:val="24"/>
                <w:highlight w:val="none"/>
              </w:rPr>
            </w:pPr>
            <w:r>
              <w:rPr>
                <w:rFonts w:hint="default" w:ascii="宋体" w:hAnsi="宋体" w:cs="宋体"/>
                <w:color w:val="auto"/>
                <w:sz w:val="24"/>
                <w:highlight w:val="none"/>
                <w:lang w:val="en-US" w:eastAsia="zh-CN"/>
              </w:rPr>
              <w:t>3.乙方所交的货物品种、型号、规格、技术参数、质量不符合合同规定及招标文件规定标准的，甲方有权拒收该货物，甲方愿意更换货物的，乙方仍应按照合同约定交货期交货，如更换后但逾期交货的，按乙方逾期交货处理。乙方拒绝更换货物的，甲方有权单方面解除合同，同时甲方有权没收履约保证金、要求乙方支付合同总价10%的违约金。</w:t>
            </w:r>
          </w:p>
          <w:p w14:paraId="6051B5E2">
            <w:pPr>
              <w:spacing w:line="360" w:lineRule="auto"/>
              <w:rPr>
                <w:rFonts w:ascii="宋体" w:hAnsi="宋体" w:cs="宋体"/>
                <w:color w:val="auto"/>
                <w:sz w:val="24"/>
                <w:highlight w:val="none"/>
              </w:rPr>
            </w:pPr>
            <w:r>
              <w:rPr>
                <w:rFonts w:hint="default" w:ascii="宋体" w:hAnsi="宋体" w:cs="宋体"/>
                <w:color w:val="auto"/>
                <w:sz w:val="24"/>
                <w:highlight w:val="none"/>
                <w:lang w:val="en-US" w:eastAsia="zh-CN"/>
              </w:rPr>
              <w:t>4.如验收不能达到质量功能（性能）标准，合同商品由乙方在验收后一周内运离安装地点，所需费用由乙方承担。如乙方在一个月内不处理（搬走）合同商品，视为乙方放弃该商品，甲方有权自行处理（包括废物处理）。同时，乙方要支付给甲方合同总价的20％作为违约金。</w:t>
            </w:r>
          </w:p>
        </w:tc>
      </w:tr>
      <w:tr w14:paraId="17B2F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A1B3D87">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4534" w:type="pct"/>
            <w:vAlign w:val="center"/>
          </w:tcPr>
          <w:p w14:paraId="0B6E8791">
            <w:pPr>
              <w:spacing w:line="360" w:lineRule="auto"/>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本合同履行过程中发生的任何争议，双方当事人均可通过和解或者调解解决；不愿和解、调解或者和解、调解不成的，可以选择以下第 1.9.1 条款规定的方式解决：</w:t>
            </w:r>
          </w:p>
        </w:tc>
      </w:tr>
      <w:tr w14:paraId="272F1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7BF3642">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534" w:type="pct"/>
            <w:vAlign w:val="center"/>
          </w:tcPr>
          <w:p w14:paraId="252BC9B1">
            <w:pPr>
              <w:spacing w:line="360" w:lineRule="auto"/>
              <w:rPr>
                <w:rFonts w:ascii="宋体" w:hAnsi="宋体" w:cs="宋体"/>
                <w:color w:val="auto"/>
                <w:sz w:val="24"/>
                <w:highlight w:val="none"/>
              </w:rPr>
            </w:pPr>
            <w:r>
              <w:rPr>
                <w:rFonts w:hint="eastAsia" w:ascii="宋体" w:hAnsi="宋体" w:cs="宋体"/>
                <w:color w:val="auto"/>
                <w:sz w:val="24"/>
                <w:highlight w:val="none"/>
              </w:rPr>
              <w:t>杭州仲裁委员会</w:t>
            </w:r>
          </w:p>
        </w:tc>
      </w:tr>
      <w:tr w14:paraId="48FE2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ED956B0">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534" w:type="pct"/>
            <w:vAlign w:val="center"/>
          </w:tcPr>
          <w:p w14:paraId="719761AC">
            <w:pPr>
              <w:spacing w:line="360" w:lineRule="auto"/>
              <w:rPr>
                <w:rFonts w:ascii="宋体" w:hAnsi="宋体" w:cs="宋体"/>
                <w:color w:val="auto"/>
                <w:sz w:val="24"/>
                <w:highlight w:val="none"/>
              </w:rPr>
            </w:pPr>
            <w:r>
              <w:rPr>
                <w:rFonts w:ascii="宋体" w:hAnsi="宋体" w:cs="宋体"/>
                <w:color w:val="auto"/>
                <w:sz w:val="24"/>
                <w:highlight w:val="none"/>
              </w:rPr>
              <w:t>无</w:t>
            </w:r>
          </w:p>
        </w:tc>
      </w:tr>
      <w:tr w14:paraId="668F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94DD8F0">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534" w:type="pct"/>
            <w:vAlign w:val="center"/>
          </w:tcPr>
          <w:p w14:paraId="7E9DD014">
            <w:pPr>
              <w:spacing w:line="360" w:lineRule="auto"/>
              <w:ind w:left="-420" w:leftChars="-200" w:right="-420" w:rightChars="-200" w:firstLine="480" w:firstLineChars="200"/>
              <w:rPr>
                <w:rFonts w:ascii="宋体" w:hAnsi="宋体" w:cs="宋体"/>
                <w:color w:val="auto"/>
                <w:sz w:val="24"/>
                <w:highlight w:val="none"/>
              </w:rPr>
            </w:pPr>
            <w:r>
              <w:rPr>
                <w:rFonts w:ascii="宋体" w:hAnsi="宋体" w:cs="宋体"/>
                <w:color w:val="auto"/>
                <w:sz w:val="24"/>
                <w:highlight w:val="none"/>
              </w:rPr>
              <w:t>无</w:t>
            </w:r>
          </w:p>
        </w:tc>
      </w:tr>
      <w:tr w14:paraId="0DC92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F2A8F75">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4534" w:type="pct"/>
            <w:vAlign w:val="center"/>
          </w:tcPr>
          <w:p w14:paraId="7ADE49C2">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乙方负责将货物安全运抵采购人指定地点，并承担由此产生的全部费用，包括</w:t>
            </w:r>
          </w:p>
          <w:p w14:paraId="7056C5BE">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但不限于运输费、装卸费、保险费、垃圾清运费等。</w:t>
            </w:r>
          </w:p>
        </w:tc>
      </w:tr>
      <w:tr w14:paraId="78F04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9EBFA08">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4534" w:type="pct"/>
            <w:vAlign w:val="center"/>
          </w:tcPr>
          <w:p w14:paraId="7F343C90">
            <w:pPr>
              <w:spacing w:line="360" w:lineRule="auto"/>
              <w:rPr>
                <w:rFonts w:ascii="宋体" w:hAnsi="宋体" w:cs="宋体"/>
                <w:color w:val="auto"/>
                <w:sz w:val="24"/>
                <w:highlight w:val="none"/>
              </w:rPr>
            </w:pPr>
            <w:r>
              <w:rPr>
                <w:rFonts w:hint="eastAsia" w:ascii="宋体" w:hAnsi="宋体" w:cs="宋体"/>
                <w:color w:val="auto"/>
                <w:sz w:val="24"/>
                <w:highlight w:val="none"/>
              </w:rPr>
              <w:t>乙方在运输及安装设备过程中，须负责对楼内现有设施设备（包括但不限于墙面、地面、门窗、管线及其他固定设施）实施有效的成品保护。如因乙方工作人员的操作不当，在运输、安装等环节造成校内设施设备损坏的，乙方应承担全部修复责任，并赔偿由此造成的相关损失。</w:t>
            </w:r>
          </w:p>
        </w:tc>
      </w:tr>
      <w:tr w14:paraId="0CD98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14:paraId="5905EDB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4534" w:type="pct"/>
          </w:tcPr>
          <w:p w14:paraId="5CC07036">
            <w:pPr>
              <w:spacing w:line="360" w:lineRule="auto"/>
              <w:rPr>
                <w:rFonts w:ascii="宋体" w:hAnsi="宋体" w:cs="宋体"/>
                <w:color w:val="auto"/>
                <w:sz w:val="24"/>
                <w:highlight w:val="none"/>
              </w:rPr>
            </w:pPr>
            <w:r>
              <w:rPr>
                <w:rFonts w:hint="eastAsia" w:ascii="宋体" w:hAnsi="宋体" w:cs="宋体"/>
                <w:color w:val="auto"/>
                <w:sz w:val="24"/>
                <w:highlight w:val="none"/>
              </w:rPr>
              <w:t>货物在安装、调试并验收合格前的一切保险事宜（含货物运输险及现场工作人员人身意外险等）均由乙方负责办理并承担费用。项目实施过程中，乙方须采取充分的安全防护措施，若因操作不当或现场防护不足导致人员伤亡、实施现场防范措施设置不明造成人员伤害事故，乙方应承担全部修复及赔偿责任，乙方应承担项目实施过程中的所有安全责任及各类损失赔偿。</w:t>
            </w:r>
          </w:p>
        </w:tc>
      </w:tr>
      <w:tr w14:paraId="3119A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B6CFC98">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4534" w:type="pct"/>
            <w:vAlign w:val="center"/>
          </w:tcPr>
          <w:p w14:paraId="65567C2B">
            <w:pPr>
              <w:spacing w:line="36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w:t>
            </w:r>
            <w:r>
              <w:rPr>
                <w:rFonts w:hint="eastAsia" w:ascii="宋体" w:hAnsi="宋体" w:cs="宋体"/>
                <w:color w:val="auto"/>
                <w:sz w:val="22"/>
                <w:szCs w:val="22"/>
                <w:highlight w:val="none"/>
              </w:rPr>
              <w:t>15 个工作日</w:t>
            </w:r>
            <w:r>
              <w:rPr>
                <w:rFonts w:hint="eastAsia" w:ascii="宋体" w:hAnsi="宋体" w:cs="宋体"/>
                <w:color w:val="auto"/>
                <w:sz w:val="24"/>
                <w:highlight w:val="none"/>
              </w:rPr>
              <w:t>内以书面形式变更合同；</w:t>
            </w:r>
          </w:p>
        </w:tc>
      </w:tr>
      <w:tr w14:paraId="02F17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6969568">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4534" w:type="pct"/>
            <w:vAlign w:val="center"/>
          </w:tcPr>
          <w:p w14:paraId="6E06395B">
            <w:pPr>
              <w:spacing w:line="360" w:lineRule="auto"/>
              <w:rPr>
                <w:rFonts w:ascii="宋体" w:hAnsi="宋体" w:cs="宋体"/>
                <w:color w:val="auto"/>
                <w:sz w:val="24"/>
                <w:highlight w:val="none"/>
              </w:rPr>
            </w:pPr>
            <w:r>
              <w:rPr>
                <w:rFonts w:hint="eastAsia" w:ascii="宋体" w:hAnsi="宋体" w:cs="宋体"/>
                <w:color w:val="auto"/>
                <w:sz w:val="24"/>
                <w:highlight w:val="none"/>
              </w:rPr>
              <w:t>受不可抗力影响的一方在不可抗力发生后，应在</w:t>
            </w:r>
            <w:r>
              <w:rPr>
                <w:rFonts w:hint="eastAsia" w:ascii="宋体" w:hAnsi="宋体" w:cs="宋体"/>
                <w:color w:val="auto"/>
                <w:sz w:val="22"/>
                <w:szCs w:val="22"/>
                <w:highlight w:val="none"/>
              </w:rPr>
              <w:t xml:space="preserve"> 3 个工作日</w:t>
            </w:r>
            <w:r>
              <w:rPr>
                <w:rFonts w:hint="eastAsia" w:ascii="宋体" w:hAnsi="宋体" w:cs="宋体"/>
                <w:color w:val="auto"/>
                <w:sz w:val="24"/>
                <w:highlight w:val="none"/>
              </w:rPr>
              <w:t>内以书面形式通知对方当事人，并在</w:t>
            </w:r>
            <w:r>
              <w:rPr>
                <w:rFonts w:hint="eastAsia" w:ascii="宋体" w:hAnsi="宋体" w:cs="宋体"/>
                <w:color w:val="auto"/>
                <w:sz w:val="22"/>
                <w:szCs w:val="22"/>
                <w:highlight w:val="none"/>
              </w:rPr>
              <w:t xml:space="preserve"> 3 个工作日</w:t>
            </w:r>
            <w:r>
              <w:rPr>
                <w:rFonts w:hint="eastAsia" w:ascii="宋体" w:hAnsi="宋体" w:cs="宋体"/>
                <w:color w:val="auto"/>
                <w:sz w:val="24"/>
                <w:highlight w:val="none"/>
              </w:rPr>
              <w:t>内，将有关部门出具的证明文件送达对方当事人。</w:t>
            </w:r>
          </w:p>
        </w:tc>
      </w:tr>
      <w:tr w14:paraId="43F34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E37AED6">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4534" w:type="pct"/>
            <w:vAlign w:val="center"/>
          </w:tcPr>
          <w:p w14:paraId="68617289">
            <w:pPr>
              <w:spacing w:line="360" w:lineRule="auto"/>
              <w:rPr>
                <w:rFonts w:ascii="宋体" w:hAnsi="宋体" w:cs="宋体"/>
                <w:color w:val="auto"/>
                <w:sz w:val="24"/>
                <w:highlight w:val="none"/>
              </w:rPr>
            </w:pPr>
            <w:r>
              <w:rPr>
                <w:rFonts w:hint="eastAsia" w:ascii="宋体" w:hAnsi="宋体" w:cs="宋体"/>
                <w:color w:val="auto"/>
                <w:sz w:val="22"/>
                <w:szCs w:val="22"/>
                <w:highlight w:val="none"/>
              </w:rPr>
              <w:t>供应商交付安装完毕之后5个工作日内组织验收，乙方应派专业的技术人员协助进行验收。</w:t>
            </w:r>
          </w:p>
        </w:tc>
      </w:tr>
      <w:tr w14:paraId="2A53D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14:paraId="0A7A2DB2">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4534" w:type="pct"/>
            <w:vAlign w:val="center"/>
          </w:tcPr>
          <w:p w14:paraId="2DC1B680">
            <w:pPr>
              <w:spacing w:line="360" w:lineRule="auto"/>
              <w:rPr>
                <w:rFonts w:ascii="宋体" w:hAnsi="宋体" w:cs="宋体"/>
                <w:color w:val="auto"/>
                <w:sz w:val="24"/>
                <w:highlight w:val="none"/>
              </w:rPr>
            </w:pPr>
            <w:r>
              <w:rPr>
                <w:rFonts w:hint="eastAsia" w:ascii="宋体" w:hAnsi="宋体" w:cs="宋体"/>
                <w:color w:val="auto"/>
                <w:sz w:val="24"/>
                <w:highlight w:val="none"/>
              </w:rPr>
              <w:t>交付验收标准：</w:t>
            </w:r>
          </w:p>
          <w:p w14:paraId="2952B637">
            <w:pPr>
              <w:spacing w:line="360" w:lineRule="auto"/>
              <w:rPr>
                <w:rFonts w:ascii="宋体" w:hAnsi="宋体" w:cs="宋体"/>
                <w:color w:val="auto"/>
                <w:sz w:val="24"/>
                <w:highlight w:val="none"/>
              </w:rPr>
            </w:pPr>
            <w:r>
              <w:rPr>
                <w:rFonts w:hint="eastAsia" w:ascii="宋体" w:hAnsi="宋体" w:cs="宋体"/>
                <w:color w:val="auto"/>
                <w:sz w:val="24"/>
                <w:highlight w:val="none"/>
              </w:rPr>
              <w:t>1.验收由采购人负责实施；</w:t>
            </w:r>
          </w:p>
          <w:p w14:paraId="78A9D948">
            <w:pPr>
              <w:spacing w:line="360" w:lineRule="auto"/>
              <w:rPr>
                <w:rFonts w:ascii="宋体" w:hAnsi="宋体" w:cs="宋体"/>
                <w:color w:val="auto"/>
                <w:sz w:val="24"/>
                <w:highlight w:val="none"/>
              </w:rPr>
            </w:pPr>
            <w:r>
              <w:rPr>
                <w:rFonts w:hint="eastAsia" w:ascii="宋体" w:hAnsi="宋体" w:cs="宋体"/>
                <w:color w:val="auto"/>
                <w:sz w:val="24"/>
                <w:highlight w:val="none"/>
              </w:rPr>
              <w:t>2.验收依据：</w:t>
            </w:r>
          </w:p>
          <w:p w14:paraId="69182955">
            <w:pPr>
              <w:spacing w:line="360" w:lineRule="auto"/>
              <w:rPr>
                <w:rFonts w:ascii="宋体" w:hAnsi="宋体" w:cs="宋体"/>
                <w:color w:val="auto"/>
                <w:sz w:val="24"/>
                <w:highlight w:val="none"/>
              </w:rPr>
            </w:pPr>
            <w:r>
              <w:rPr>
                <w:rFonts w:hint="eastAsia" w:ascii="宋体" w:hAnsi="宋体" w:cs="宋体"/>
                <w:color w:val="auto"/>
                <w:sz w:val="24"/>
                <w:highlight w:val="none"/>
              </w:rPr>
              <w:t>2.1合同、招标文件、投标文件；</w:t>
            </w:r>
          </w:p>
          <w:p w14:paraId="008876E0">
            <w:pPr>
              <w:spacing w:line="360" w:lineRule="auto"/>
              <w:rPr>
                <w:rFonts w:ascii="宋体" w:hAnsi="宋体" w:cs="宋体"/>
                <w:color w:val="auto"/>
                <w:sz w:val="24"/>
                <w:highlight w:val="none"/>
              </w:rPr>
            </w:pPr>
            <w:r>
              <w:rPr>
                <w:rFonts w:hint="eastAsia" w:ascii="宋体" w:hAnsi="宋体" w:cs="宋体"/>
                <w:color w:val="auto"/>
                <w:sz w:val="24"/>
                <w:highlight w:val="none"/>
              </w:rPr>
              <w:t>2.2乙方提供的技术规格、经甲方认可的合同货物的有效检验文件；</w:t>
            </w:r>
          </w:p>
          <w:p w14:paraId="18A7E92D">
            <w:pPr>
              <w:spacing w:line="360" w:lineRule="auto"/>
              <w:rPr>
                <w:rFonts w:ascii="宋体" w:hAnsi="宋体" w:cs="宋体"/>
                <w:color w:val="auto"/>
                <w:sz w:val="24"/>
                <w:highlight w:val="none"/>
              </w:rPr>
            </w:pPr>
            <w:r>
              <w:rPr>
                <w:rFonts w:hint="eastAsia" w:ascii="宋体" w:hAnsi="宋体" w:cs="宋体"/>
                <w:color w:val="auto"/>
                <w:sz w:val="24"/>
                <w:highlight w:val="none"/>
              </w:rPr>
              <w:t>2.3乙方投标文件中提供的经甲方认可的合同货物的验收标准（符合中国有关的国家、地方、行业标准）和检测办法及相应检测手段。</w:t>
            </w:r>
          </w:p>
          <w:p w14:paraId="613581D2">
            <w:pPr>
              <w:spacing w:line="360" w:lineRule="auto"/>
              <w:rPr>
                <w:rFonts w:ascii="宋体" w:hAnsi="宋体" w:cs="宋体"/>
                <w:color w:val="auto"/>
                <w:sz w:val="24"/>
                <w:highlight w:val="none"/>
              </w:rPr>
            </w:pPr>
            <w:r>
              <w:rPr>
                <w:rFonts w:hint="eastAsia" w:ascii="宋体" w:hAnsi="宋体" w:cs="宋体"/>
                <w:color w:val="auto"/>
                <w:sz w:val="24"/>
                <w:highlight w:val="none"/>
              </w:rPr>
              <w:t>3.乙方应派员在所供货物到甲方处时进行到货验收，有需要时能联系产品制造商到场共同验收，若发现任何损坏及质量问题，乙方负责妥善处理直至采购人满意，由此产生的费用由乙方承担。</w:t>
            </w:r>
          </w:p>
          <w:p w14:paraId="42223435">
            <w:pPr>
              <w:spacing w:line="360" w:lineRule="auto"/>
              <w:rPr>
                <w:rFonts w:ascii="宋体" w:hAnsi="宋体" w:cs="宋体"/>
                <w:color w:val="auto"/>
                <w:sz w:val="24"/>
                <w:highlight w:val="none"/>
              </w:rPr>
            </w:pPr>
            <w:r>
              <w:rPr>
                <w:rFonts w:hint="eastAsia" w:ascii="宋体" w:hAnsi="宋体" w:cs="宋体"/>
                <w:color w:val="auto"/>
                <w:sz w:val="24"/>
                <w:highlight w:val="none"/>
              </w:rPr>
              <w:t>4.验收合格的条件：</w:t>
            </w:r>
          </w:p>
          <w:p w14:paraId="754C4EEA">
            <w:pPr>
              <w:spacing w:line="360" w:lineRule="auto"/>
              <w:rPr>
                <w:rFonts w:ascii="宋体" w:hAnsi="宋体" w:cs="宋体"/>
                <w:color w:val="auto"/>
                <w:sz w:val="24"/>
                <w:highlight w:val="none"/>
              </w:rPr>
            </w:pPr>
            <w:r>
              <w:rPr>
                <w:rFonts w:hint="eastAsia" w:ascii="宋体" w:hAnsi="宋体" w:cs="宋体"/>
                <w:color w:val="auto"/>
                <w:sz w:val="24"/>
                <w:highlight w:val="none"/>
              </w:rPr>
              <w:t>4.1所供货物符合产品标准和合同的要求；</w:t>
            </w:r>
          </w:p>
          <w:p w14:paraId="64635878">
            <w:pPr>
              <w:spacing w:line="360" w:lineRule="auto"/>
              <w:rPr>
                <w:rFonts w:ascii="宋体" w:hAnsi="宋体" w:cs="宋体"/>
                <w:color w:val="auto"/>
                <w:sz w:val="24"/>
                <w:highlight w:val="none"/>
              </w:rPr>
            </w:pPr>
            <w:r>
              <w:rPr>
                <w:rFonts w:hint="eastAsia" w:ascii="宋体" w:hAnsi="宋体" w:cs="宋体"/>
                <w:color w:val="auto"/>
                <w:sz w:val="24"/>
                <w:highlight w:val="none"/>
              </w:rPr>
              <w:t>4.2在进行测试和验收过程中发现的问题已被解决并得到甲方的认可；</w:t>
            </w:r>
          </w:p>
          <w:p w14:paraId="1A235B7A">
            <w:pPr>
              <w:spacing w:line="360" w:lineRule="auto"/>
              <w:rPr>
                <w:rFonts w:ascii="宋体" w:hAnsi="宋体" w:cs="宋体"/>
                <w:color w:val="auto"/>
                <w:sz w:val="24"/>
                <w:highlight w:val="none"/>
              </w:rPr>
            </w:pPr>
            <w:r>
              <w:rPr>
                <w:rFonts w:hint="eastAsia" w:ascii="宋体" w:hAnsi="宋体" w:cs="宋体"/>
                <w:color w:val="auto"/>
                <w:sz w:val="24"/>
                <w:highlight w:val="none"/>
              </w:rPr>
              <w:t>4.3合同中规定的所有货物和材料均已交付；</w:t>
            </w:r>
          </w:p>
          <w:p w14:paraId="0E97C3E3">
            <w:pPr>
              <w:spacing w:line="360" w:lineRule="auto"/>
              <w:rPr>
                <w:rFonts w:ascii="宋体" w:hAnsi="宋体" w:cs="宋体"/>
                <w:color w:val="auto"/>
                <w:sz w:val="24"/>
                <w:highlight w:val="none"/>
              </w:rPr>
            </w:pPr>
            <w:r>
              <w:rPr>
                <w:rFonts w:hint="eastAsia" w:ascii="宋体" w:hAnsi="宋体" w:cs="宋体"/>
                <w:color w:val="auto"/>
                <w:sz w:val="24"/>
                <w:highlight w:val="none"/>
              </w:rPr>
              <w:t>4.4所供货物已通过使用单位组织的验收；</w:t>
            </w:r>
          </w:p>
          <w:p w14:paraId="5FEC65E3">
            <w:pPr>
              <w:spacing w:line="360" w:lineRule="auto"/>
              <w:rPr>
                <w:rFonts w:ascii="宋体" w:hAnsi="宋体" w:cs="宋体"/>
                <w:color w:val="auto"/>
                <w:sz w:val="24"/>
                <w:highlight w:val="none"/>
              </w:rPr>
            </w:pPr>
            <w:r>
              <w:rPr>
                <w:rFonts w:hint="eastAsia" w:ascii="宋体" w:hAnsi="宋体" w:cs="宋体"/>
                <w:color w:val="auto"/>
                <w:sz w:val="24"/>
                <w:highlight w:val="none"/>
              </w:rPr>
              <w:t>4.5所有相关的技术文件及资料均已提交并得到接受。</w:t>
            </w:r>
          </w:p>
        </w:tc>
      </w:tr>
      <w:tr w14:paraId="1DA58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14:paraId="567C421B">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4534" w:type="pct"/>
            <w:vAlign w:val="center"/>
          </w:tcPr>
          <w:p w14:paraId="62944BF0">
            <w:pPr>
              <w:spacing w:line="360" w:lineRule="auto"/>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color w:val="auto"/>
                <w:sz w:val="22"/>
                <w:szCs w:val="22"/>
                <w:highlight w:val="none"/>
              </w:rPr>
              <w:t>一式陆份，甲方肆份，乙方贰份。</w:t>
            </w:r>
            <w:r>
              <w:rPr>
                <w:rFonts w:hint="eastAsia" w:ascii="宋体" w:hAnsi="宋体" w:cs="宋体"/>
                <w:color w:val="auto"/>
                <w:sz w:val="24"/>
                <w:highlight w:val="none"/>
              </w:rPr>
              <w:t>规定，每份均具有同等法律效力。</w:t>
            </w:r>
          </w:p>
        </w:tc>
      </w:tr>
    </w:tbl>
    <w:p w14:paraId="13674D5F">
      <w:pPr>
        <w:spacing w:line="360" w:lineRule="auto"/>
        <w:ind w:left="-420" w:leftChars="-200" w:right="-420" w:rightChars="-200" w:firstLine="480" w:firstLineChars="200"/>
        <w:rPr>
          <w:rFonts w:ascii="宋体" w:hAnsi="宋体" w:cs="宋体"/>
          <w:color w:val="auto"/>
          <w:sz w:val="24"/>
          <w:highlight w:val="none"/>
        </w:rPr>
      </w:pPr>
    </w:p>
    <w:p w14:paraId="039AFD2F">
      <w:pPr>
        <w:spacing w:line="360" w:lineRule="auto"/>
        <w:ind w:left="-420" w:leftChars="-200" w:right="-420" w:rightChars="-200"/>
        <w:rPr>
          <w:rFonts w:ascii="宋体" w:hAnsi="宋体" w:cs="宋体"/>
          <w:color w:val="auto"/>
          <w:sz w:val="24"/>
          <w:highlight w:val="none"/>
        </w:rPr>
      </w:pPr>
    </w:p>
    <w:p w14:paraId="16EC70D4">
      <w:pPr>
        <w:spacing w:line="360" w:lineRule="auto"/>
        <w:ind w:left="-420" w:leftChars="-200" w:right="-420" w:rightChars="-200" w:firstLine="480" w:firstLineChars="200"/>
        <w:jc w:val="center"/>
        <w:outlineLvl w:val="0"/>
        <w:rPr>
          <w:rFonts w:ascii="宋体" w:hAnsi="宋体" w:cs="宋体"/>
          <w:color w:val="auto"/>
          <w:sz w:val="24"/>
          <w:highlight w:val="none"/>
        </w:rPr>
      </w:pPr>
    </w:p>
    <w:p w14:paraId="49527936">
      <w:pPr>
        <w:rPr>
          <w:rFonts w:ascii="宋体" w:hAnsi="宋体" w:cs="宋体"/>
          <w:b/>
          <w:color w:val="auto"/>
          <w:sz w:val="36"/>
          <w:szCs w:val="20"/>
          <w:highlight w:val="none"/>
        </w:rPr>
      </w:pPr>
    </w:p>
    <w:p w14:paraId="731ADD37">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00"/>
      <w:r>
        <w:rPr>
          <w:rFonts w:hint="eastAsia" w:ascii="宋体" w:hAnsi="宋体" w:cs="宋体"/>
          <w:b/>
          <w:color w:val="auto"/>
          <w:sz w:val="36"/>
          <w:szCs w:val="20"/>
          <w:highlight w:val="none"/>
        </w:rPr>
        <w:t xml:space="preserve"> </w:t>
      </w:r>
      <w:bookmarkEnd w:id="401"/>
      <w:r>
        <w:rPr>
          <w:rFonts w:hint="eastAsia" w:ascii="宋体" w:hAnsi="宋体" w:cs="宋体"/>
          <w:b/>
          <w:color w:val="auto"/>
          <w:sz w:val="36"/>
          <w:szCs w:val="20"/>
          <w:highlight w:val="none"/>
        </w:rPr>
        <w:t>应提交的有关格式范例</w:t>
      </w:r>
    </w:p>
    <w:p w14:paraId="711DA3E0">
      <w:pPr>
        <w:spacing w:line="360" w:lineRule="auto"/>
        <w:jc w:val="center"/>
        <w:outlineLvl w:val="0"/>
        <w:rPr>
          <w:rFonts w:ascii="宋体" w:hAnsi="宋体" w:cs="宋体"/>
          <w:b/>
          <w:color w:val="auto"/>
          <w:kern w:val="0"/>
          <w:sz w:val="36"/>
          <w:szCs w:val="36"/>
          <w:highlight w:val="none"/>
        </w:rPr>
      </w:pPr>
    </w:p>
    <w:p w14:paraId="4F884A1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04EEF6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8790CF6">
      <w:pPr>
        <w:spacing w:line="360" w:lineRule="auto"/>
        <w:jc w:val="center"/>
        <w:outlineLvl w:val="0"/>
        <w:rPr>
          <w:rFonts w:ascii="宋体" w:hAnsi="宋体" w:cs="宋体"/>
          <w:b/>
          <w:color w:val="auto"/>
          <w:kern w:val="0"/>
          <w:sz w:val="36"/>
          <w:szCs w:val="36"/>
          <w:highlight w:val="none"/>
        </w:rPr>
      </w:pPr>
    </w:p>
    <w:p w14:paraId="4E74E2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E92FE63">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F0C17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2F3D18D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43D05CB1">
      <w:pPr>
        <w:snapToGrid w:val="0"/>
        <w:spacing w:line="360" w:lineRule="auto"/>
        <w:ind w:firstLine="480" w:firstLineChars="200"/>
        <w:rPr>
          <w:rFonts w:ascii="宋体" w:hAnsi="宋体" w:cs="宋体"/>
          <w:color w:val="auto"/>
          <w:sz w:val="24"/>
          <w:highlight w:val="none"/>
        </w:rPr>
      </w:pPr>
    </w:p>
    <w:p w14:paraId="46D6CB1E">
      <w:pPr>
        <w:spacing w:line="360" w:lineRule="auto"/>
        <w:ind w:firstLine="480" w:firstLineChars="200"/>
        <w:rPr>
          <w:rFonts w:ascii="宋体" w:hAnsi="宋体" w:cs="宋体"/>
          <w:color w:val="auto"/>
          <w:sz w:val="24"/>
          <w:highlight w:val="none"/>
        </w:rPr>
      </w:pPr>
    </w:p>
    <w:p w14:paraId="6B88FF1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6EABF70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杭州职业技术大学、杭州市公共资源交易中心：</w:t>
      </w:r>
    </w:p>
    <w:p w14:paraId="1B92FA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多媒体教室建设项目【招标编号：HZZFCG-2026-072】政府采购活动，郑重承诺：</w:t>
      </w:r>
    </w:p>
    <w:p w14:paraId="77A4756B">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3CE722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7B94B8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7BBE2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711525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C6734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E699F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641D2A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7B9F1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57184B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F007C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C76FA96">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2792358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186126">
      <w:pPr>
        <w:pStyle w:val="3"/>
        <w:rPr>
          <w:color w:val="auto"/>
          <w:highlight w:val="none"/>
        </w:rPr>
      </w:pPr>
    </w:p>
    <w:p w14:paraId="57FCD9A7">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3249786">
      <w:pPr>
        <w:rPr>
          <w:rFonts w:ascii="宋体" w:hAnsi="宋体" w:cs="宋体"/>
          <w:color w:val="auto"/>
          <w:highlight w:val="none"/>
        </w:rPr>
      </w:pPr>
    </w:p>
    <w:p w14:paraId="341A4533">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ACFACB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4F3FA11">
      <w:pPr>
        <w:snapToGrid w:val="0"/>
        <w:spacing w:line="360" w:lineRule="auto"/>
        <w:ind w:right="480"/>
        <w:jc w:val="center"/>
        <w:rPr>
          <w:rFonts w:ascii="宋体" w:hAnsi="宋体" w:cs="宋体"/>
          <w:b/>
          <w:color w:val="auto"/>
          <w:kern w:val="0"/>
          <w:sz w:val="32"/>
          <w:szCs w:val="32"/>
          <w:highlight w:val="none"/>
        </w:rPr>
      </w:pPr>
    </w:p>
    <w:p w14:paraId="43638B94">
      <w:pPr>
        <w:snapToGrid w:val="0"/>
        <w:spacing w:line="360" w:lineRule="auto"/>
        <w:ind w:right="480"/>
        <w:jc w:val="center"/>
        <w:rPr>
          <w:rFonts w:ascii="宋体" w:hAnsi="宋体" w:cs="宋体"/>
          <w:b/>
          <w:color w:val="auto"/>
          <w:kern w:val="0"/>
          <w:sz w:val="32"/>
          <w:szCs w:val="32"/>
          <w:highlight w:val="none"/>
        </w:rPr>
      </w:pPr>
    </w:p>
    <w:p w14:paraId="198739B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70F180E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05AF121">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F324FB6">
      <w:pPr>
        <w:widowControl/>
        <w:spacing w:line="360" w:lineRule="auto"/>
        <w:ind w:firstLine="480"/>
        <w:jc w:val="left"/>
        <w:rPr>
          <w:rFonts w:ascii="宋体" w:hAnsi="宋体" w:cs="宋体"/>
          <w:color w:val="auto"/>
          <w:sz w:val="24"/>
          <w:highlight w:val="none"/>
        </w:rPr>
      </w:pPr>
    </w:p>
    <w:p w14:paraId="49654269">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），联合协议中，中小企业合同金额应当达到招标公告载明的比例；如果供应商提供的所有标的均由中小企业制造的，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7D0CD6BD">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A4645F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），分包意向协议中，中小企业合同金额应当达到招标公告载明的比例；如果供应商提供的所有标的均由中小企业制造的，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1645994E">
      <w:pPr>
        <w:widowControl/>
        <w:spacing w:line="360" w:lineRule="auto"/>
        <w:ind w:left="150"/>
        <w:jc w:val="center"/>
        <w:rPr>
          <w:rFonts w:ascii="宋体" w:hAnsi="宋体" w:cs="宋体"/>
          <w:b/>
          <w:color w:val="auto"/>
          <w:kern w:val="0"/>
          <w:sz w:val="32"/>
          <w:szCs w:val="32"/>
          <w:highlight w:val="none"/>
        </w:rPr>
      </w:pPr>
    </w:p>
    <w:p w14:paraId="582C5D30">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0092FC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675D07E">
      <w:pPr>
        <w:rPr>
          <w:rFonts w:ascii="宋体" w:hAnsi="宋体" w:cs="宋体"/>
          <w:color w:val="auto"/>
          <w:highlight w:val="none"/>
        </w:rPr>
      </w:pPr>
    </w:p>
    <w:p w14:paraId="60013AC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9BF88F">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0382126">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B40F50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3430F20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13C2D7F3">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0ED563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74CA75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7DC3B235">
      <w:pPr>
        <w:snapToGrid w:val="0"/>
        <w:spacing w:line="360" w:lineRule="auto"/>
        <w:jc w:val="center"/>
        <w:rPr>
          <w:rFonts w:ascii="宋体" w:hAnsi="宋体" w:cs="宋体"/>
          <w:b/>
          <w:color w:val="auto"/>
          <w:kern w:val="0"/>
          <w:sz w:val="32"/>
          <w:szCs w:val="32"/>
          <w:highlight w:val="none"/>
          <w:lang w:val="zh-CN"/>
        </w:rPr>
      </w:pPr>
    </w:p>
    <w:p w14:paraId="14872130">
      <w:pPr>
        <w:snapToGrid w:val="0"/>
        <w:spacing w:line="360" w:lineRule="auto"/>
        <w:jc w:val="center"/>
        <w:rPr>
          <w:rFonts w:ascii="宋体" w:hAnsi="宋体" w:cs="宋体"/>
          <w:b/>
          <w:color w:val="auto"/>
          <w:kern w:val="0"/>
          <w:sz w:val="32"/>
          <w:szCs w:val="32"/>
          <w:highlight w:val="none"/>
          <w:lang w:val="zh-CN"/>
        </w:rPr>
      </w:pPr>
    </w:p>
    <w:p w14:paraId="0F2B79C3">
      <w:pPr>
        <w:snapToGrid w:val="0"/>
        <w:spacing w:line="360" w:lineRule="auto"/>
        <w:jc w:val="center"/>
        <w:rPr>
          <w:rFonts w:ascii="宋体" w:hAnsi="宋体" w:cs="宋体"/>
          <w:b/>
          <w:color w:val="auto"/>
          <w:kern w:val="0"/>
          <w:sz w:val="32"/>
          <w:szCs w:val="32"/>
          <w:highlight w:val="none"/>
          <w:lang w:val="zh-CN"/>
        </w:rPr>
      </w:pPr>
    </w:p>
    <w:p w14:paraId="03D924D6">
      <w:pPr>
        <w:snapToGrid w:val="0"/>
        <w:spacing w:line="360" w:lineRule="auto"/>
        <w:jc w:val="center"/>
        <w:rPr>
          <w:rFonts w:ascii="宋体" w:hAnsi="宋体" w:cs="宋体"/>
          <w:b/>
          <w:color w:val="auto"/>
          <w:kern w:val="0"/>
          <w:sz w:val="32"/>
          <w:szCs w:val="32"/>
          <w:highlight w:val="none"/>
          <w:lang w:val="zh-CN"/>
        </w:rPr>
      </w:pPr>
    </w:p>
    <w:p w14:paraId="038A3E6B">
      <w:pPr>
        <w:snapToGrid w:val="0"/>
        <w:spacing w:line="360" w:lineRule="auto"/>
        <w:jc w:val="center"/>
        <w:rPr>
          <w:rFonts w:ascii="宋体" w:hAnsi="宋体" w:cs="宋体"/>
          <w:b/>
          <w:color w:val="auto"/>
          <w:kern w:val="0"/>
          <w:sz w:val="32"/>
          <w:szCs w:val="32"/>
          <w:highlight w:val="none"/>
          <w:lang w:val="zh-CN"/>
        </w:rPr>
      </w:pPr>
    </w:p>
    <w:p w14:paraId="4D4E1B5C">
      <w:pPr>
        <w:snapToGrid w:val="0"/>
        <w:spacing w:line="360" w:lineRule="auto"/>
        <w:jc w:val="center"/>
        <w:outlineLvl w:val="0"/>
        <w:rPr>
          <w:rFonts w:ascii="宋体" w:hAnsi="宋体" w:cs="宋体"/>
          <w:b/>
          <w:color w:val="auto"/>
          <w:kern w:val="0"/>
          <w:sz w:val="32"/>
          <w:szCs w:val="32"/>
          <w:highlight w:val="none"/>
        </w:rPr>
      </w:pPr>
    </w:p>
    <w:p w14:paraId="583AE8BF">
      <w:pPr>
        <w:snapToGrid w:val="0"/>
        <w:spacing w:line="360" w:lineRule="auto"/>
        <w:jc w:val="center"/>
        <w:outlineLvl w:val="0"/>
        <w:rPr>
          <w:rFonts w:ascii="宋体" w:hAnsi="宋体" w:cs="宋体"/>
          <w:b/>
          <w:color w:val="auto"/>
          <w:kern w:val="0"/>
          <w:sz w:val="32"/>
          <w:szCs w:val="32"/>
          <w:highlight w:val="none"/>
        </w:rPr>
      </w:pPr>
    </w:p>
    <w:p w14:paraId="63E6AA42">
      <w:pPr>
        <w:rPr>
          <w:rFonts w:ascii="宋体" w:hAnsi="宋体" w:cs="宋体"/>
          <w:color w:val="auto"/>
          <w:highlight w:val="none"/>
        </w:rPr>
      </w:pPr>
    </w:p>
    <w:p w14:paraId="1D6221F0">
      <w:pPr>
        <w:snapToGrid w:val="0"/>
        <w:spacing w:line="360" w:lineRule="auto"/>
        <w:jc w:val="center"/>
        <w:outlineLvl w:val="0"/>
        <w:rPr>
          <w:rFonts w:ascii="宋体" w:hAnsi="宋体" w:cs="宋体"/>
          <w:b/>
          <w:color w:val="auto"/>
          <w:kern w:val="0"/>
          <w:sz w:val="32"/>
          <w:szCs w:val="32"/>
          <w:highlight w:val="none"/>
        </w:rPr>
      </w:pPr>
    </w:p>
    <w:p w14:paraId="28340E7F">
      <w:pPr>
        <w:snapToGrid w:val="0"/>
        <w:spacing w:line="360" w:lineRule="auto"/>
        <w:jc w:val="center"/>
        <w:outlineLvl w:val="0"/>
        <w:rPr>
          <w:rFonts w:ascii="宋体" w:hAnsi="宋体" w:cs="宋体"/>
          <w:b/>
          <w:color w:val="auto"/>
          <w:kern w:val="0"/>
          <w:sz w:val="32"/>
          <w:szCs w:val="32"/>
          <w:highlight w:val="none"/>
        </w:rPr>
      </w:pPr>
    </w:p>
    <w:p w14:paraId="72E5069F">
      <w:pPr>
        <w:pStyle w:val="3"/>
        <w:rPr>
          <w:color w:val="auto"/>
          <w:highlight w:val="none"/>
        </w:rPr>
      </w:pPr>
    </w:p>
    <w:p w14:paraId="12D3164C">
      <w:pPr>
        <w:rPr>
          <w:color w:val="auto"/>
          <w:highlight w:val="none"/>
        </w:rPr>
      </w:pPr>
    </w:p>
    <w:p w14:paraId="1A621992">
      <w:pPr>
        <w:snapToGrid w:val="0"/>
        <w:spacing w:line="360" w:lineRule="auto"/>
        <w:ind w:firstLine="3855" w:firstLineChars="1200"/>
        <w:outlineLvl w:val="0"/>
        <w:rPr>
          <w:rFonts w:ascii="宋体" w:hAnsi="宋体" w:cs="宋体"/>
          <w:b/>
          <w:color w:val="auto"/>
          <w:kern w:val="0"/>
          <w:sz w:val="32"/>
          <w:szCs w:val="32"/>
          <w:highlight w:val="none"/>
        </w:rPr>
      </w:pPr>
    </w:p>
    <w:p w14:paraId="634CEC5C">
      <w:pPr>
        <w:snapToGrid w:val="0"/>
        <w:spacing w:line="360" w:lineRule="auto"/>
        <w:ind w:firstLine="3855" w:firstLineChars="1200"/>
        <w:outlineLvl w:val="0"/>
        <w:rPr>
          <w:rFonts w:ascii="宋体" w:hAnsi="宋体" w:cs="宋体"/>
          <w:b/>
          <w:color w:val="auto"/>
          <w:kern w:val="0"/>
          <w:sz w:val="32"/>
          <w:szCs w:val="32"/>
          <w:highlight w:val="none"/>
        </w:rPr>
      </w:pPr>
    </w:p>
    <w:p w14:paraId="390B4114">
      <w:pPr>
        <w:snapToGrid w:val="0"/>
        <w:spacing w:line="360" w:lineRule="auto"/>
        <w:ind w:firstLine="3855" w:firstLineChars="1200"/>
        <w:outlineLvl w:val="0"/>
        <w:rPr>
          <w:rFonts w:ascii="宋体" w:hAnsi="宋体" w:cs="宋体"/>
          <w:b/>
          <w:color w:val="auto"/>
          <w:kern w:val="0"/>
          <w:sz w:val="32"/>
          <w:szCs w:val="32"/>
          <w:highlight w:val="none"/>
        </w:rPr>
      </w:pPr>
    </w:p>
    <w:p w14:paraId="3FF81040">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22F75C6">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217F86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杭州职业技术大学、杭州市公共资源交易中心：</w:t>
      </w:r>
    </w:p>
    <w:p w14:paraId="5808759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多媒体教室建设项目【招标编号：HZZFCG-2026-072】招标的有关活动，并对此项目进行投标。为此：</w:t>
      </w:r>
    </w:p>
    <w:p w14:paraId="7AB96D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4D9AD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1605A2F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4C960E4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5CA077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33D13E5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F5B22E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1A58F4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1E465F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415491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002282D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AFE79F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DCF161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68046B6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E0224E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43620F1">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6D870F9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9991FF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48B7F92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lang w:val="en-US" w:eastAsia="zh-CN"/>
        </w:rPr>
        <w:t>证明材料</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569D675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2.3.3中小企业声明函（如果有）。</w:t>
      </w:r>
    </w:p>
    <w:p w14:paraId="1597E2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3、我方承诺除商务技术偏离表列出的偏离外，我方响应招标文件的全部要求。对投标文件中材料的真实性、合法性负责，积极配合采购人复核投标文件中的资料。</w:t>
      </w:r>
    </w:p>
    <w:p w14:paraId="3D81B87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9844A5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687B1B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424106F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8357D6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2E1E43AA">
      <w:pPr>
        <w:numPr>
          <w:ilvl w:val="0"/>
          <w:numId w:val="6"/>
        </w:num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对</w:t>
      </w:r>
      <w:r>
        <w:rPr>
          <w:rFonts w:hint="eastAsia" w:ascii="宋体" w:hAnsi="宋体" w:cs="宋体"/>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9E227B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864EF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3D88D4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CC8261">
      <w:pPr>
        <w:snapToGrid w:val="0"/>
        <w:spacing w:line="360" w:lineRule="auto"/>
        <w:ind w:left="420" w:leftChars="200" w:firstLine="4200" w:firstLineChars="1750"/>
        <w:rPr>
          <w:rFonts w:ascii="宋体" w:hAnsi="宋体" w:cs="宋体"/>
          <w:color w:val="auto"/>
          <w:kern w:val="0"/>
          <w:sz w:val="24"/>
          <w:highlight w:val="none"/>
          <w:u w:val="single"/>
        </w:rPr>
      </w:pPr>
    </w:p>
    <w:p w14:paraId="5327A88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201DBA2">
      <w:pPr>
        <w:snapToGrid w:val="0"/>
        <w:spacing w:line="360" w:lineRule="auto"/>
        <w:jc w:val="center"/>
        <w:rPr>
          <w:rFonts w:ascii="宋体" w:hAnsi="宋体" w:cs="宋体"/>
          <w:b/>
          <w:color w:val="auto"/>
          <w:kern w:val="0"/>
          <w:sz w:val="32"/>
          <w:szCs w:val="32"/>
          <w:highlight w:val="none"/>
        </w:rPr>
      </w:pPr>
    </w:p>
    <w:p w14:paraId="44083515">
      <w:pPr>
        <w:snapToGrid w:val="0"/>
        <w:spacing w:line="360" w:lineRule="auto"/>
        <w:rPr>
          <w:rFonts w:ascii="宋体" w:hAnsi="宋体" w:cs="宋体"/>
          <w:color w:val="auto"/>
          <w:sz w:val="24"/>
          <w:highlight w:val="none"/>
        </w:rPr>
      </w:pPr>
    </w:p>
    <w:p w14:paraId="2CFDF80F">
      <w:pPr>
        <w:jc w:val="center"/>
        <w:rPr>
          <w:rFonts w:ascii="宋体" w:hAnsi="宋体" w:cs="宋体"/>
          <w:b/>
          <w:color w:val="auto"/>
          <w:kern w:val="0"/>
          <w:sz w:val="32"/>
          <w:szCs w:val="32"/>
          <w:highlight w:val="none"/>
        </w:rPr>
      </w:pPr>
    </w:p>
    <w:p w14:paraId="295CF05D">
      <w:pPr>
        <w:jc w:val="center"/>
        <w:rPr>
          <w:rFonts w:ascii="宋体" w:hAnsi="宋体" w:cs="宋体"/>
          <w:b/>
          <w:color w:val="auto"/>
          <w:kern w:val="0"/>
          <w:sz w:val="32"/>
          <w:szCs w:val="32"/>
          <w:highlight w:val="none"/>
        </w:rPr>
      </w:pPr>
    </w:p>
    <w:p w14:paraId="197FBF49">
      <w:pPr>
        <w:jc w:val="center"/>
        <w:rPr>
          <w:rFonts w:ascii="宋体" w:hAnsi="宋体" w:cs="宋体"/>
          <w:b/>
          <w:color w:val="auto"/>
          <w:kern w:val="0"/>
          <w:sz w:val="32"/>
          <w:szCs w:val="32"/>
          <w:highlight w:val="none"/>
        </w:rPr>
      </w:pPr>
    </w:p>
    <w:p w14:paraId="4A8D5DAD">
      <w:pPr>
        <w:jc w:val="center"/>
        <w:rPr>
          <w:rFonts w:ascii="宋体" w:hAnsi="宋体" w:cs="宋体"/>
          <w:b/>
          <w:color w:val="auto"/>
          <w:kern w:val="0"/>
          <w:sz w:val="32"/>
          <w:szCs w:val="32"/>
          <w:highlight w:val="none"/>
        </w:rPr>
      </w:pPr>
    </w:p>
    <w:p w14:paraId="79EEA78D">
      <w:pPr>
        <w:jc w:val="center"/>
        <w:rPr>
          <w:rFonts w:ascii="宋体" w:hAnsi="宋体" w:cs="宋体"/>
          <w:b/>
          <w:color w:val="auto"/>
          <w:kern w:val="0"/>
          <w:sz w:val="32"/>
          <w:szCs w:val="32"/>
          <w:highlight w:val="none"/>
        </w:rPr>
      </w:pPr>
    </w:p>
    <w:p w14:paraId="3BD29A9F">
      <w:pPr>
        <w:jc w:val="center"/>
        <w:rPr>
          <w:rFonts w:ascii="宋体" w:hAnsi="宋体" w:cs="宋体"/>
          <w:b/>
          <w:color w:val="auto"/>
          <w:kern w:val="0"/>
          <w:sz w:val="32"/>
          <w:szCs w:val="32"/>
          <w:highlight w:val="none"/>
        </w:rPr>
      </w:pPr>
    </w:p>
    <w:p w14:paraId="318747AE">
      <w:pPr>
        <w:jc w:val="center"/>
        <w:rPr>
          <w:rFonts w:ascii="宋体" w:hAnsi="宋体" w:cs="宋体"/>
          <w:b/>
          <w:color w:val="auto"/>
          <w:kern w:val="0"/>
          <w:sz w:val="32"/>
          <w:szCs w:val="32"/>
          <w:highlight w:val="none"/>
        </w:rPr>
      </w:pPr>
    </w:p>
    <w:p w14:paraId="6884B9AA">
      <w:pPr>
        <w:jc w:val="center"/>
        <w:rPr>
          <w:rFonts w:ascii="宋体" w:hAnsi="宋体" w:cs="宋体"/>
          <w:b/>
          <w:color w:val="auto"/>
          <w:kern w:val="0"/>
          <w:sz w:val="32"/>
          <w:szCs w:val="32"/>
          <w:highlight w:val="none"/>
        </w:rPr>
      </w:pPr>
    </w:p>
    <w:p w14:paraId="133B54F0">
      <w:pPr>
        <w:jc w:val="center"/>
        <w:rPr>
          <w:rFonts w:ascii="宋体" w:hAnsi="宋体" w:cs="宋体"/>
          <w:b/>
          <w:color w:val="auto"/>
          <w:kern w:val="0"/>
          <w:sz w:val="32"/>
          <w:szCs w:val="32"/>
          <w:highlight w:val="none"/>
        </w:rPr>
      </w:pPr>
    </w:p>
    <w:p w14:paraId="21CF44ED">
      <w:pPr>
        <w:jc w:val="center"/>
        <w:rPr>
          <w:rFonts w:ascii="宋体" w:hAnsi="宋体" w:cs="宋体"/>
          <w:b/>
          <w:color w:val="auto"/>
          <w:kern w:val="0"/>
          <w:sz w:val="32"/>
          <w:szCs w:val="32"/>
          <w:highlight w:val="none"/>
        </w:rPr>
      </w:pPr>
    </w:p>
    <w:p w14:paraId="784FA07D">
      <w:pPr>
        <w:jc w:val="center"/>
        <w:rPr>
          <w:rFonts w:ascii="宋体" w:hAnsi="宋体" w:cs="宋体"/>
          <w:b/>
          <w:color w:val="auto"/>
          <w:kern w:val="0"/>
          <w:sz w:val="32"/>
          <w:szCs w:val="32"/>
          <w:highlight w:val="none"/>
        </w:rPr>
      </w:pPr>
    </w:p>
    <w:p w14:paraId="03D16D39">
      <w:pPr>
        <w:jc w:val="center"/>
        <w:rPr>
          <w:rFonts w:ascii="宋体" w:hAnsi="宋体" w:cs="宋体"/>
          <w:b/>
          <w:color w:val="auto"/>
          <w:kern w:val="0"/>
          <w:sz w:val="32"/>
          <w:szCs w:val="32"/>
          <w:highlight w:val="none"/>
        </w:rPr>
      </w:pPr>
    </w:p>
    <w:p w14:paraId="14A625B8">
      <w:pPr>
        <w:jc w:val="center"/>
        <w:rPr>
          <w:rFonts w:ascii="宋体" w:hAnsi="宋体" w:cs="宋体"/>
          <w:b/>
          <w:color w:val="auto"/>
          <w:kern w:val="0"/>
          <w:sz w:val="32"/>
          <w:szCs w:val="32"/>
          <w:highlight w:val="none"/>
        </w:rPr>
      </w:pPr>
    </w:p>
    <w:p w14:paraId="5E8883DF">
      <w:pPr>
        <w:jc w:val="center"/>
        <w:rPr>
          <w:rFonts w:ascii="宋体" w:hAnsi="宋体" w:cs="宋体"/>
          <w:b/>
          <w:color w:val="auto"/>
          <w:kern w:val="0"/>
          <w:sz w:val="32"/>
          <w:szCs w:val="32"/>
          <w:highlight w:val="none"/>
        </w:rPr>
      </w:pPr>
    </w:p>
    <w:p w14:paraId="2A7C6EC4">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C872B78">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0D86D2A0">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33E1D59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杭州职业技术大学、杭州市公共资源交易中心</w:t>
      </w:r>
      <w:r>
        <w:rPr>
          <w:rFonts w:hint="eastAsia" w:ascii="宋体" w:hAnsi="宋体" w:cs="宋体"/>
          <w:color w:val="auto"/>
          <w:kern w:val="0"/>
          <w:sz w:val="24"/>
          <w:highlight w:val="none"/>
          <w:lang w:val="zh-CN"/>
        </w:rPr>
        <w:t>：</w:t>
      </w:r>
    </w:p>
    <w:p w14:paraId="1C43A68B">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w:t>
      </w:r>
      <w:r>
        <w:rPr>
          <w:rFonts w:hint="eastAsia" w:ascii="宋体" w:hAnsi="宋体" w:cs="宋体"/>
          <w:color w:val="auto"/>
          <w:kern w:val="0"/>
          <w:sz w:val="24"/>
          <w:highlight w:val="none"/>
          <w:lang w:val="zh-CN"/>
        </w:rPr>
        <w:t>政府采购投标的一切事项，其法律后果由我方承担。</w:t>
      </w:r>
    </w:p>
    <w:p w14:paraId="1BB817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EA2E86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5B8AFE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65ED3D5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2094EC1">
      <w:pPr>
        <w:snapToGrid w:val="0"/>
        <w:spacing w:line="360" w:lineRule="auto"/>
        <w:rPr>
          <w:rFonts w:ascii="宋体" w:hAnsi="宋体" w:cs="宋体"/>
          <w:color w:val="auto"/>
          <w:sz w:val="24"/>
          <w:highlight w:val="none"/>
        </w:rPr>
      </w:pPr>
    </w:p>
    <w:p w14:paraId="34F08F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018E2F8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杭州职业技术大学、杭州市公共资源交易中心</w:t>
      </w:r>
      <w:r>
        <w:rPr>
          <w:rFonts w:hint="eastAsia" w:ascii="宋体" w:hAnsi="宋体" w:cs="宋体"/>
          <w:color w:val="auto"/>
          <w:kern w:val="0"/>
          <w:sz w:val="24"/>
          <w:highlight w:val="none"/>
          <w:lang w:val="zh-CN"/>
        </w:rPr>
        <w:t>：</w:t>
      </w:r>
    </w:p>
    <w:p w14:paraId="0DCEB06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w:t>
      </w:r>
      <w:r>
        <w:rPr>
          <w:rFonts w:hint="eastAsia" w:ascii="宋体" w:hAnsi="宋体" w:cs="宋体"/>
          <w:color w:val="auto"/>
          <w:kern w:val="0"/>
          <w:sz w:val="24"/>
          <w:highlight w:val="none"/>
          <w:lang w:val="zh-CN"/>
        </w:rPr>
        <w:t>政府采购投标的一切事项，其法律后果由我方承担。</w:t>
      </w:r>
    </w:p>
    <w:p w14:paraId="6B4F4C3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1BB501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BDBA094">
      <w:pPr>
        <w:jc w:val="center"/>
        <w:rPr>
          <w:rFonts w:ascii="宋体" w:hAnsi="宋体" w:cs="宋体"/>
          <w:b/>
          <w:color w:val="auto"/>
          <w:kern w:val="0"/>
          <w:sz w:val="32"/>
          <w:szCs w:val="32"/>
          <w:highlight w:val="none"/>
        </w:rPr>
      </w:pPr>
    </w:p>
    <w:p w14:paraId="79239310">
      <w:pPr>
        <w:rPr>
          <w:rFonts w:ascii="宋体" w:hAnsi="宋体" w:cs="宋体"/>
          <w:color w:val="auto"/>
          <w:highlight w:val="none"/>
        </w:rPr>
      </w:pPr>
    </w:p>
    <w:p w14:paraId="072800F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FEFD76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5701C6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A23A06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8F3A43F">
      <w:pPr>
        <w:snapToGrid w:val="0"/>
        <w:spacing w:line="360" w:lineRule="auto"/>
        <w:ind w:firstLine="480" w:firstLineChars="200"/>
        <w:rPr>
          <w:rFonts w:ascii="宋体" w:hAnsi="宋体" w:cs="宋体"/>
          <w:color w:val="auto"/>
          <w:kern w:val="0"/>
          <w:sz w:val="24"/>
          <w:highlight w:val="none"/>
          <w:lang w:val="zh-CN"/>
        </w:rPr>
      </w:pPr>
    </w:p>
    <w:p w14:paraId="3299E37E">
      <w:pPr>
        <w:snapToGrid w:val="0"/>
        <w:spacing w:line="360" w:lineRule="auto"/>
        <w:ind w:firstLine="480" w:firstLineChars="200"/>
        <w:rPr>
          <w:rFonts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ascii="宋体" w:hAnsi="宋体" w:cs="宋体"/>
          <w:b/>
          <w:color w:val="auto"/>
          <w:kern w:val="0"/>
          <w:sz w:val="32"/>
          <w:szCs w:val="32"/>
          <w:highlight w:val="none"/>
          <w:lang w:val="zh-CN"/>
        </w:rPr>
        <w:br w:type="page"/>
      </w:r>
    </w:p>
    <w:p w14:paraId="1F74342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3D75997">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AB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0CD351B">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70B8741">
            <w:pPr>
              <w:pStyle w:val="149"/>
              <w:adjustRightInd w:val="0"/>
              <w:spacing w:line="360" w:lineRule="auto"/>
              <w:rPr>
                <w:rFonts w:hAnsi="宋体" w:cs="宋体"/>
                <w:bCs/>
                <w:color w:val="auto"/>
                <w:sz w:val="24"/>
                <w:highlight w:val="none"/>
              </w:rPr>
            </w:pPr>
          </w:p>
        </w:tc>
      </w:tr>
    </w:tbl>
    <w:p w14:paraId="0A711EA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75E99D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99F84A8">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917B604">
      <w:pPr>
        <w:jc w:val="center"/>
        <w:rPr>
          <w:rFonts w:ascii="宋体" w:hAnsi="宋体" w:cs="宋体"/>
          <w:b/>
          <w:color w:val="auto"/>
          <w:kern w:val="0"/>
          <w:sz w:val="32"/>
          <w:szCs w:val="32"/>
          <w:highlight w:val="none"/>
        </w:rPr>
      </w:pPr>
    </w:p>
    <w:p w14:paraId="3390E4DC">
      <w:pPr>
        <w:jc w:val="center"/>
        <w:rPr>
          <w:rFonts w:ascii="宋体" w:hAnsi="宋体" w:cs="宋体"/>
          <w:b/>
          <w:color w:val="auto"/>
          <w:kern w:val="0"/>
          <w:sz w:val="32"/>
          <w:szCs w:val="32"/>
          <w:highlight w:val="none"/>
        </w:rPr>
      </w:pPr>
    </w:p>
    <w:p w14:paraId="0C354543">
      <w:pPr>
        <w:jc w:val="center"/>
        <w:rPr>
          <w:rFonts w:ascii="宋体" w:hAnsi="宋体" w:cs="宋体"/>
          <w:b/>
          <w:color w:val="auto"/>
          <w:kern w:val="0"/>
          <w:sz w:val="32"/>
          <w:szCs w:val="32"/>
          <w:highlight w:val="none"/>
        </w:rPr>
      </w:pPr>
    </w:p>
    <w:p w14:paraId="0159386A">
      <w:pPr>
        <w:jc w:val="center"/>
        <w:rPr>
          <w:rFonts w:ascii="宋体" w:hAnsi="宋体" w:cs="宋体"/>
          <w:b/>
          <w:color w:val="auto"/>
          <w:kern w:val="0"/>
          <w:sz w:val="32"/>
          <w:szCs w:val="32"/>
          <w:highlight w:val="none"/>
        </w:rPr>
      </w:pPr>
    </w:p>
    <w:p w14:paraId="48621C98">
      <w:pPr>
        <w:jc w:val="center"/>
        <w:rPr>
          <w:rFonts w:ascii="宋体" w:hAnsi="宋体" w:cs="宋体"/>
          <w:b/>
          <w:color w:val="auto"/>
          <w:kern w:val="0"/>
          <w:sz w:val="32"/>
          <w:szCs w:val="32"/>
          <w:highlight w:val="none"/>
        </w:rPr>
      </w:pPr>
    </w:p>
    <w:p w14:paraId="2F12AE2E">
      <w:pPr>
        <w:jc w:val="center"/>
        <w:rPr>
          <w:rFonts w:ascii="宋体" w:hAnsi="宋体" w:cs="宋体"/>
          <w:b/>
          <w:color w:val="auto"/>
          <w:kern w:val="0"/>
          <w:sz w:val="32"/>
          <w:szCs w:val="32"/>
          <w:highlight w:val="none"/>
        </w:rPr>
      </w:pPr>
    </w:p>
    <w:p w14:paraId="1446A133">
      <w:pPr>
        <w:jc w:val="center"/>
        <w:rPr>
          <w:rFonts w:ascii="宋体" w:hAnsi="宋体" w:cs="宋体"/>
          <w:b/>
          <w:color w:val="auto"/>
          <w:kern w:val="0"/>
          <w:sz w:val="32"/>
          <w:szCs w:val="32"/>
          <w:highlight w:val="none"/>
        </w:rPr>
      </w:pPr>
    </w:p>
    <w:p w14:paraId="6DF1DF09">
      <w:pPr>
        <w:jc w:val="center"/>
        <w:rPr>
          <w:rFonts w:ascii="宋体" w:hAnsi="宋体" w:cs="宋体"/>
          <w:b/>
          <w:color w:val="auto"/>
          <w:kern w:val="0"/>
          <w:sz w:val="32"/>
          <w:szCs w:val="32"/>
          <w:highlight w:val="none"/>
        </w:rPr>
      </w:pPr>
    </w:p>
    <w:p w14:paraId="1349A7E0">
      <w:pPr>
        <w:jc w:val="center"/>
        <w:rPr>
          <w:rFonts w:ascii="宋体" w:hAnsi="宋体" w:cs="宋体"/>
          <w:b/>
          <w:color w:val="auto"/>
          <w:kern w:val="0"/>
          <w:sz w:val="32"/>
          <w:szCs w:val="32"/>
          <w:highlight w:val="none"/>
        </w:rPr>
      </w:pPr>
    </w:p>
    <w:p w14:paraId="3D6A730F">
      <w:pPr>
        <w:jc w:val="center"/>
        <w:rPr>
          <w:rFonts w:ascii="宋体" w:hAnsi="宋体" w:cs="宋体"/>
          <w:b/>
          <w:color w:val="auto"/>
          <w:kern w:val="0"/>
          <w:sz w:val="32"/>
          <w:szCs w:val="32"/>
          <w:highlight w:val="none"/>
        </w:rPr>
      </w:pPr>
    </w:p>
    <w:p w14:paraId="19E3BC84">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14:paraId="4A03AD84">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79214FDD">
      <w:pPr>
        <w:widowControl/>
        <w:spacing w:line="360" w:lineRule="auto"/>
        <w:ind w:firstLine="120" w:firstLineChars="50"/>
        <w:jc w:val="left"/>
        <w:rPr>
          <w:rFonts w:ascii="宋体" w:hAnsi="宋体" w:cs="宋体"/>
          <w:color w:val="auto"/>
          <w:sz w:val="24"/>
          <w:highlight w:val="none"/>
        </w:rPr>
      </w:pPr>
      <w:bookmarkStart w:id="402"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02"/>
    <w:p w14:paraId="6E9EFF71">
      <w:pPr>
        <w:rPr>
          <w:color w:val="auto"/>
          <w:highlight w:val="none"/>
        </w:rPr>
      </w:pPr>
    </w:p>
    <w:p w14:paraId="2FBE08A0">
      <w:pPr>
        <w:pStyle w:val="3"/>
        <w:rPr>
          <w:color w:val="auto"/>
          <w:highlight w:val="none"/>
        </w:rPr>
      </w:pPr>
    </w:p>
    <w:p w14:paraId="06504D96">
      <w:pPr>
        <w:jc w:val="center"/>
        <w:rPr>
          <w:rFonts w:ascii="宋体" w:hAnsi="宋体" w:cs="宋体"/>
          <w:b/>
          <w:color w:val="auto"/>
          <w:kern w:val="0"/>
          <w:sz w:val="32"/>
          <w:szCs w:val="32"/>
          <w:highlight w:val="none"/>
        </w:rPr>
      </w:pPr>
    </w:p>
    <w:p w14:paraId="7C67F8E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76985E5">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263B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32C8ADD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3D09B51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BD5EB14">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CA98A8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35900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6D1D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89BFB58">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3D883E14">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543782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526DC36">
            <w:pPr>
              <w:rPr>
                <w:rFonts w:ascii="宋体" w:hAnsi="宋体" w:cs="宋体"/>
                <w:color w:val="auto"/>
                <w:sz w:val="24"/>
                <w:highlight w:val="none"/>
              </w:rPr>
            </w:pPr>
          </w:p>
          <w:p w14:paraId="712DB63A">
            <w:pPr>
              <w:rPr>
                <w:rFonts w:ascii="宋体" w:hAnsi="宋体" w:cs="宋体"/>
                <w:color w:val="auto"/>
                <w:sz w:val="24"/>
                <w:highlight w:val="none"/>
              </w:rPr>
            </w:pPr>
            <w:r>
              <w:rPr>
                <w:rFonts w:hint="eastAsia" w:ascii="宋体" w:hAnsi="宋体" w:cs="宋体"/>
                <w:color w:val="auto"/>
                <w:sz w:val="24"/>
                <w:highlight w:val="none"/>
              </w:rPr>
              <w:t>见投标文件</w:t>
            </w:r>
          </w:p>
          <w:p w14:paraId="1AC40685">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FEB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5E87510">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1C7AB155">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11BAB62">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092B4EB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D10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7AE2D9">
            <w:pPr>
              <w:jc w:val="center"/>
              <w:rPr>
                <w:rFonts w:ascii="宋体" w:hAnsi="宋体" w:cs="宋体"/>
                <w:color w:val="auto"/>
                <w:sz w:val="24"/>
                <w:highlight w:val="none"/>
              </w:rPr>
            </w:pPr>
            <w:r>
              <w:rPr>
                <w:rFonts w:hint="eastAsia" w:ascii="宋体" w:hAnsi="宋体" w:cs="宋体"/>
                <w:color w:val="auto"/>
                <w:sz w:val="24"/>
                <w:highlight w:val="none"/>
              </w:rPr>
              <w:t>3</w:t>
            </w:r>
          </w:p>
        </w:tc>
        <w:tc>
          <w:tcPr>
            <w:tcW w:w="4874" w:type="dxa"/>
          </w:tcPr>
          <w:p w14:paraId="1661A7F4">
            <w:pPr>
              <w:snapToGrid w:val="0"/>
              <w:spacing w:line="360" w:lineRule="auto"/>
              <w:rPr>
                <w:rFonts w:ascii="宋体" w:hAnsi="宋体" w:cs="宋体"/>
                <w:snapToGrid w:val="0"/>
                <w:color w:val="auto"/>
                <w:sz w:val="24"/>
                <w:highlight w:val="none"/>
              </w:rPr>
            </w:pPr>
            <w:r>
              <w:rPr>
                <w:rFonts w:hint="eastAsia" w:ascii="宋体" w:hAnsi="宋体" w:cs="宋体"/>
                <w:snapToGrid w:val="0"/>
                <w:color w:val="auto"/>
                <w:sz w:val="24"/>
                <w:highlight w:val="none"/>
              </w:rPr>
              <w:t>投标文件的组成应符合招标文件要求</w:t>
            </w:r>
          </w:p>
          <w:p w14:paraId="67E3C5CA">
            <w:pPr>
              <w:spacing w:line="360" w:lineRule="auto"/>
              <w:rPr>
                <w:rFonts w:ascii="宋体" w:hAnsi="宋体" w:cs="宋体"/>
                <w:snapToGrid w:val="0"/>
                <w:color w:val="auto"/>
                <w:sz w:val="24"/>
                <w:highlight w:val="none"/>
              </w:rPr>
            </w:pPr>
          </w:p>
        </w:tc>
        <w:tc>
          <w:tcPr>
            <w:tcW w:w="2551" w:type="dxa"/>
            <w:vAlign w:val="center"/>
          </w:tcPr>
          <w:p w14:paraId="633775CA">
            <w:pPr>
              <w:rPr>
                <w:rFonts w:ascii="宋体" w:hAnsi="宋体" w:cs="宋体"/>
                <w:color w:val="auto"/>
                <w:sz w:val="24"/>
                <w:highlight w:val="none"/>
              </w:rPr>
            </w:pPr>
            <w:r>
              <w:rPr>
                <w:rFonts w:hint="eastAsia" w:ascii="宋体" w:hAnsi="宋体" w:cs="宋体"/>
                <w:color w:val="auto"/>
                <w:sz w:val="24"/>
                <w:highlight w:val="none"/>
              </w:rPr>
              <w:t>投标文件</w:t>
            </w:r>
          </w:p>
        </w:tc>
        <w:tc>
          <w:tcPr>
            <w:tcW w:w="1418" w:type="dxa"/>
          </w:tcPr>
          <w:p w14:paraId="098DF297">
            <w:pPr>
              <w:rPr>
                <w:rFonts w:ascii="宋体" w:hAnsi="宋体" w:cs="宋体"/>
                <w:color w:val="auto"/>
                <w:sz w:val="24"/>
                <w:highlight w:val="none"/>
              </w:rPr>
            </w:pPr>
            <w:r>
              <w:rPr>
                <w:rFonts w:hint="eastAsia" w:ascii="宋体" w:hAnsi="宋体" w:cs="宋体"/>
                <w:color w:val="auto"/>
                <w:sz w:val="24"/>
                <w:highlight w:val="none"/>
              </w:rPr>
              <w:t>/</w:t>
            </w:r>
          </w:p>
        </w:tc>
      </w:tr>
      <w:tr w14:paraId="408B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0BEC644">
            <w:pPr>
              <w:jc w:val="center"/>
              <w:rPr>
                <w:rFonts w:ascii="宋体" w:hAnsi="宋体" w:cs="宋体"/>
                <w:color w:val="auto"/>
                <w:sz w:val="24"/>
                <w:highlight w:val="none"/>
              </w:rPr>
            </w:pPr>
            <w:r>
              <w:rPr>
                <w:rFonts w:hint="eastAsia" w:ascii="宋体" w:hAnsi="宋体" w:cs="宋体"/>
                <w:color w:val="auto"/>
                <w:sz w:val="24"/>
                <w:highlight w:val="none"/>
              </w:rPr>
              <w:t>4</w:t>
            </w:r>
          </w:p>
        </w:tc>
        <w:tc>
          <w:tcPr>
            <w:tcW w:w="4874" w:type="dxa"/>
          </w:tcPr>
          <w:p w14:paraId="03705E69">
            <w:pPr>
              <w:spacing w:line="360" w:lineRule="auto"/>
              <w:rPr>
                <w:rFonts w:ascii="宋体" w:hAnsi="宋体" w:cs="宋体"/>
                <w:snapToGrid w:val="0"/>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14:paraId="7BD8B710">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661A9E01">
            <w:pPr>
              <w:rPr>
                <w:rFonts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64D4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C0EE5A5">
            <w:pPr>
              <w:jc w:val="center"/>
              <w:rPr>
                <w:rFonts w:ascii="宋体" w:hAnsi="宋体" w:cs="宋体"/>
                <w:color w:val="auto"/>
                <w:sz w:val="24"/>
                <w:highlight w:val="none"/>
              </w:rPr>
            </w:pPr>
            <w:r>
              <w:rPr>
                <w:rFonts w:hint="eastAsia" w:ascii="宋体" w:hAnsi="宋体" w:cs="宋体"/>
                <w:color w:val="auto"/>
                <w:sz w:val="24"/>
                <w:highlight w:val="none"/>
              </w:rPr>
              <w:t>5</w:t>
            </w:r>
          </w:p>
        </w:tc>
        <w:tc>
          <w:tcPr>
            <w:tcW w:w="4874" w:type="dxa"/>
          </w:tcPr>
          <w:p w14:paraId="5DB76961">
            <w:pPr>
              <w:spacing w:line="360" w:lineRule="auto"/>
              <w:rPr>
                <w:rFonts w:ascii="宋体" w:hAnsi="宋体" w:cs="宋体"/>
                <w:snapToGrid w:val="0"/>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16444D31">
            <w:pPr>
              <w:rPr>
                <w:rFonts w:ascii="宋体" w:hAnsi="宋体" w:cs="宋体"/>
                <w:color w:val="auto"/>
                <w:kern w:val="0"/>
                <w:sz w:val="24"/>
                <w:highlight w:val="none"/>
              </w:rPr>
            </w:pPr>
          </w:p>
        </w:tc>
        <w:tc>
          <w:tcPr>
            <w:tcW w:w="1418" w:type="dxa"/>
          </w:tcPr>
          <w:p w14:paraId="0E58C8A8">
            <w:pPr>
              <w:rPr>
                <w:rFonts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CD7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D055F8A">
            <w:pPr>
              <w:jc w:val="center"/>
              <w:rPr>
                <w:rFonts w:ascii="宋体" w:hAnsi="宋体" w:cs="宋体"/>
                <w:color w:val="auto"/>
                <w:sz w:val="24"/>
                <w:highlight w:val="none"/>
              </w:rPr>
            </w:pPr>
            <w:r>
              <w:rPr>
                <w:rFonts w:hint="eastAsia" w:ascii="宋体" w:hAnsi="宋体" w:cs="宋体"/>
                <w:color w:val="auto"/>
                <w:kern w:val="0"/>
                <w:sz w:val="24"/>
                <w:highlight w:val="none"/>
              </w:rPr>
              <w:t>……</w:t>
            </w:r>
          </w:p>
        </w:tc>
        <w:tc>
          <w:tcPr>
            <w:tcW w:w="4874" w:type="dxa"/>
          </w:tcPr>
          <w:p w14:paraId="5D2327BA">
            <w:pPr>
              <w:spacing w:line="360" w:lineRule="auto"/>
              <w:rPr>
                <w:rFonts w:ascii="宋体" w:hAnsi="宋体" w:cs="宋体"/>
                <w:snapToGrid w:val="0"/>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7EF6EA8B">
            <w:pPr>
              <w:rPr>
                <w:rFonts w:ascii="宋体" w:hAnsi="宋体" w:cs="宋体"/>
                <w:color w:val="auto"/>
                <w:kern w:val="0"/>
                <w:sz w:val="24"/>
                <w:highlight w:val="none"/>
              </w:rPr>
            </w:pPr>
          </w:p>
        </w:tc>
        <w:tc>
          <w:tcPr>
            <w:tcW w:w="1418" w:type="dxa"/>
          </w:tcPr>
          <w:p w14:paraId="0478F810">
            <w:pPr>
              <w:rPr>
                <w:rFonts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ACADFF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27121E5C">
      <w:pPr>
        <w:spacing w:line="360" w:lineRule="auto"/>
        <w:ind w:right="420"/>
        <w:jc w:val="left"/>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r>
        <w:rPr>
          <w:rFonts w:hint="eastAsia" w:ascii="宋体" w:hAnsi="宋体" w:cs="宋体"/>
          <w:b/>
          <w:color w:val="auto"/>
          <w:kern w:val="0"/>
          <w:sz w:val="32"/>
          <w:szCs w:val="32"/>
          <w:highlight w:val="none"/>
        </w:rPr>
        <w:t xml:space="preserve">     </w:t>
      </w:r>
    </w:p>
    <w:p w14:paraId="229735B1">
      <w:pPr>
        <w:jc w:val="center"/>
        <w:rPr>
          <w:rFonts w:ascii="宋体" w:hAnsi="宋体" w:cs="宋体"/>
          <w:b/>
          <w:color w:val="auto"/>
          <w:kern w:val="0"/>
          <w:sz w:val="32"/>
          <w:szCs w:val="32"/>
          <w:highlight w:val="none"/>
        </w:rPr>
      </w:pPr>
    </w:p>
    <w:p w14:paraId="338677BD">
      <w:pPr>
        <w:jc w:val="center"/>
        <w:rPr>
          <w:rFonts w:ascii="宋体" w:hAnsi="宋体" w:cs="宋体"/>
          <w:b/>
          <w:color w:val="auto"/>
          <w:kern w:val="0"/>
          <w:sz w:val="32"/>
          <w:szCs w:val="32"/>
          <w:highlight w:val="none"/>
        </w:rPr>
      </w:pPr>
    </w:p>
    <w:p w14:paraId="09636F29">
      <w:pPr>
        <w:jc w:val="center"/>
        <w:rPr>
          <w:rFonts w:ascii="宋体" w:hAnsi="宋体" w:cs="宋体"/>
          <w:b/>
          <w:color w:val="auto"/>
          <w:kern w:val="0"/>
          <w:sz w:val="32"/>
          <w:szCs w:val="32"/>
          <w:highlight w:val="none"/>
        </w:rPr>
      </w:pPr>
    </w:p>
    <w:p w14:paraId="42874697">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0F0E07D">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C9A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B178F7F">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27C05290">
            <w:pPr>
              <w:snapToGrid w:val="0"/>
              <w:spacing w:line="360" w:lineRule="auto"/>
              <w:jc w:val="center"/>
              <w:rPr>
                <w:rFonts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515345C7">
            <w:pPr>
              <w:snapToGrid w:val="0"/>
              <w:spacing w:line="240" w:lineRule="atLeast"/>
              <w:jc w:val="center"/>
              <w:rPr>
                <w:rFonts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484A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D17F9B2">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36721B7F">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41D98B0E">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215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A469F55">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49A05EC8">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7569CD99">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2304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CF974B">
            <w:pPr>
              <w:snapToGrid w:val="0"/>
              <w:spacing w:line="360" w:lineRule="auto"/>
              <w:jc w:val="center"/>
              <w:rPr>
                <w:rFonts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70C1D1D7">
            <w:pPr>
              <w:snapToGrid w:val="0"/>
              <w:spacing w:line="360" w:lineRule="auto"/>
              <w:jc w:val="center"/>
              <w:rPr>
                <w:rFonts w:ascii="宋体" w:hAnsi="宋体" w:cs="宋体"/>
                <w:bCs/>
                <w:color w:val="auto"/>
                <w:sz w:val="24"/>
                <w:highlight w:val="none"/>
              </w:rPr>
            </w:pPr>
          </w:p>
        </w:tc>
        <w:tc>
          <w:tcPr>
            <w:tcW w:w="3046" w:type="dxa"/>
          </w:tcPr>
          <w:p w14:paraId="154BB2AF">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4BFB907E">
      <w:pPr>
        <w:jc w:val="center"/>
        <w:rPr>
          <w:rFonts w:ascii="宋体" w:hAnsi="宋体" w:cs="宋体"/>
          <w:b/>
          <w:color w:val="auto"/>
          <w:kern w:val="0"/>
          <w:sz w:val="32"/>
          <w:szCs w:val="32"/>
          <w:highlight w:val="none"/>
        </w:rPr>
      </w:pPr>
    </w:p>
    <w:p w14:paraId="13379D71">
      <w:pPr>
        <w:jc w:val="center"/>
        <w:rPr>
          <w:rFonts w:ascii="宋体" w:hAnsi="宋体" w:cs="宋体"/>
          <w:b/>
          <w:color w:val="auto"/>
          <w:kern w:val="0"/>
          <w:sz w:val="32"/>
          <w:szCs w:val="32"/>
          <w:highlight w:val="none"/>
        </w:rPr>
      </w:pPr>
    </w:p>
    <w:p w14:paraId="2B8FA78B">
      <w:pPr>
        <w:jc w:val="center"/>
        <w:rPr>
          <w:rFonts w:ascii="宋体" w:hAnsi="宋体" w:cs="宋体"/>
          <w:b/>
          <w:color w:val="auto"/>
          <w:kern w:val="0"/>
          <w:sz w:val="32"/>
          <w:szCs w:val="32"/>
          <w:highlight w:val="none"/>
        </w:rPr>
      </w:pPr>
    </w:p>
    <w:p w14:paraId="6EABD617">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AD1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34C9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31D5FC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2B53578E">
            <w:pPr>
              <w:spacing w:line="360" w:lineRule="auto"/>
              <w:jc w:val="center"/>
              <w:rPr>
                <w:rFonts w:ascii="宋体" w:hAnsi="宋体" w:cs="宋体"/>
                <w:b/>
                <w:color w:val="auto"/>
                <w:sz w:val="24"/>
                <w:highlight w:val="none"/>
              </w:rPr>
            </w:pPr>
          </w:p>
          <w:p w14:paraId="05A573D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358F023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C4C238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2707CF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7C44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0742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572B144">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C3C00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CD22A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204D12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47996F0">
            <w:pPr>
              <w:spacing w:line="360" w:lineRule="auto"/>
              <w:jc w:val="center"/>
              <w:rPr>
                <w:rFonts w:ascii="宋体" w:hAnsi="宋体" w:cs="宋体"/>
                <w:color w:val="auto"/>
                <w:sz w:val="24"/>
                <w:highlight w:val="none"/>
              </w:rPr>
            </w:pPr>
          </w:p>
        </w:tc>
      </w:tr>
      <w:tr w14:paraId="410B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2F9E1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C1E5BB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4EA99C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A0203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3DC87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A3218CF">
            <w:pPr>
              <w:spacing w:line="360" w:lineRule="auto"/>
              <w:jc w:val="center"/>
              <w:rPr>
                <w:rFonts w:ascii="宋体" w:hAnsi="宋体" w:cs="宋体"/>
                <w:color w:val="auto"/>
                <w:sz w:val="24"/>
                <w:highlight w:val="none"/>
              </w:rPr>
            </w:pPr>
          </w:p>
        </w:tc>
      </w:tr>
      <w:tr w14:paraId="5387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5BD23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54961E0">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67C8FD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85D89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9E144E6">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F63785B">
            <w:pPr>
              <w:spacing w:line="360" w:lineRule="auto"/>
              <w:jc w:val="center"/>
              <w:rPr>
                <w:rFonts w:ascii="宋体" w:hAnsi="宋体" w:cs="宋体"/>
                <w:color w:val="auto"/>
                <w:sz w:val="24"/>
                <w:highlight w:val="none"/>
              </w:rPr>
            </w:pPr>
          </w:p>
        </w:tc>
      </w:tr>
    </w:tbl>
    <w:p w14:paraId="020407D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BF83D3C">
      <w:pPr>
        <w:jc w:val="center"/>
        <w:rPr>
          <w:rFonts w:ascii="宋体" w:hAnsi="宋体" w:cs="宋体"/>
          <w:b/>
          <w:color w:val="auto"/>
          <w:kern w:val="0"/>
          <w:sz w:val="32"/>
          <w:szCs w:val="32"/>
          <w:highlight w:val="none"/>
        </w:rPr>
      </w:pPr>
    </w:p>
    <w:p w14:paraId="34CE0B97">
      <w:pPr>
        <w:jc w:val="center"/>
        <w:rPr>
          <w:rFonts w:ascii="宋体" w:hAnsi="宋体" w:cs="宋体"/>
          <w:b/>
          <w:color w:val="auto"/>
          <w:kern w:val="0"/>
          <w:sz w:val="32"/>
          <w:szCs w:val="32"/>
          <w:highlight w:val="none"/>
        </w:rPr>
      </w:pPr>
    </w:p>
    <w:p w14:paraId="30080FC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5A9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27D3188">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B786BDC">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07081C7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180E9C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FCA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2DA852">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5502689">
            <w:pPr>
              <w:jc w:val="center"/>
              <w:rPr>
                <w:rFonts w:ascii="宋体" w:hAnsi="宋体" w:cs="宋体"/>
                <w:b/>
                <w:color w:val="auto"/>
                <w:kern w:val="0"/>
                <w:sz w:val="32"/>
                <w:szCs w:val="32"/>
                <w:highlight w:val="none"/>
              </w:rPr>
            </w:pPr>
          </w:p>
        </w:tc>
        <w:tc>
          <w:tcPr>
            <w:tcW w:w="3546" w:type="dxa"/>
          </w:tcPr>
          <w:p w14:paraId="583CF95A">
            <w:pPr>
              <w:jc w:val="center"/>
              <w:rPr>
                <w:rFonts w:ascii="宋体" w:hAnsi="宋体" w:cs="宋体"/>
                <w:b/>
                <w:color w:val="auto"/>
                <w:kern w:val="0"/>
                <w:sz w:val="32"/>
                <w:szCs w:val="32"/>
                <w:highlight w:val="none"/>
              </w:rPr>
            </w:pPr>
          </w:p>
        </w:tc>
        <w:tc>
          <w:tcPr>
            <w:tcW w:w="1276" w:type="dxa"/>
          </w:tcPr>
          <w:p w14:paraId="094AF888">
            <w:pPr>
              <w:jc w:val="center"/>
              <w:rPr>
                <w:rFonts w:ascii="宋体" w:hAnsi="宋体" w:cs="宋体"/>
                <w:b/>
                <w:color w:val="auto"/>
                <w:kern w:val="0"/>
                <w:sz w:val="32"/>
                <w:szCs w:val="32"/>
                <w:highlight w:val="none"/>
              </w:rPr>
            </w:pPr>
          </w:p>
        </w:tc>
      </w:tr>
      <w:tr w14:paraId="4CAB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2D2A1B">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07C72230">
            <w:pPr>
              <w:jc w:val="center"/>
              <w:rPr>
                <w:rFonts w:ascii="宋体" w:hAnsi="宋体" w:cs="宋体"/>
                <w:b/>
                <w:color w:val="auto"/>
                <w:kern w:val="0"/>
                <w:sz w:val="32"/>
                <w:szCs w:val="32"/>
                <w:highlight w:val="none"/>
              </w:rPr>
            </w:pPr>
          </w:p>
        </w:tc>
        <w:tc>
          <w:tcPr>
            <w:tcW w:w="3546" w:type="dxa"/>
          </w:tcPr>
          <w:p w14:paraId="1581CE07">
            <w:pPr>
              <w:jc w:val="center"/>
              <w:rPr>
                <w:rFonts w:ascii="宋体" w:hAnsi="宋体" w:cs="宋体"/>
                <w:b/>
                <w:color w:val="auto"/>
                <w:kern w:val="0"/>
                <w:sz w:val="32"/>
                <w:szCs w:val="32"/>
                <w:highlight w:val="none"/>
              </w:rPr>
            </w:pPr>
          </w:p>
        </w:tc>
        <w:tc>
          <w:tcPr>
            <w:tcW w:w="1276" w:type="dxa"/>
          </w:tcPr>
          <w:p w14:paraId="5D17D70B">
            <w:pPr>
              <w:jc w:val="center"/>
              <w:rPr>
                <w:rFonts w:ascii="宋体" w:hAnsi="宋体" w:cs="宋体"/>
                <w:b/>
                <w:color w:val="auto"/>
                <w:kern w:val="0"/>
                <w:sz w:val="32"/>
                <w:szCs w:val="32"/>
                <w:highlight w:val="none"/>
              </w:rPr>
            </w:pPr>
          </w:p>
        </w:tc>
      </w:tr>
      <w:tr w14:paraId="0D7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27585B">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14FDC0A">
            <w:pPr>
              <w:jc w:val="center"/>
              <w:rPr>
                <w:rFonts w:ascii="宋体" w:hAnsi="宋体" w:cs="宋体"/>
                <w:b/>
                <w:color w:val="auto"/>
                <w:kern w:val="0"/>
                <w:sz w:val="32"/>
                <w:szCs w:val="32"/>
                <w:highlight w:val="none"/>
              </w:rPr>
            </w:pPr>
          </w:p>
        </w:tc>
        <w:tc>
          <w:tcPr>
            <w:tcW w:w="3546" w:type="dxa"/>
          </w:tcPr>
          <w:p w14:paraId="053699B1">
            <w:pPr>
              <w:jc w:val="center"/>
              <w:rPr>
                <w:rFonts w:ascii="宋体" w:hAnsi="宋体" w:cs="宋体"/>
                <w:b/>
                <w:color w:val="auto"/>
                <w:kern w:val="0"/>
                <w:sz w:val="32"/>
                <w:szCs w:val="32"/>
                <w:highlight w:val="none"/>
              </w:rPr>
            </w:pPr>
          </w:p>
        </w:tc>
        <w:tc>
          <w:tcPr>
            <w:tcW w:w="1276" w:type="dxa"/>
          </w:tcPr>
          <w:p w14:paraId="3554D38F">
            <w:pPr>
              <w:jc w:val="center"/>
              <w:rPr>
                <w:rFonts w:ascii="宋体" w:hAnsi="宋体" w:cs="宋体"/>
                <w:b/>
                <w:color w:val="auto"/>
                <w:kern w:val="0"/>
                <w:sz w:val="32"/>
                <w:szCs w:val="32"/>
                <w:highlight w:val="none"/>
              </w:rPr>
            </w:pPr>
          </w:p>
        </w:tc>
      </w:tr>
    </w:tbl>
    <w:p w14:paraId="7DA1EA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72C19AC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143DB21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7577815D">
      <w:pPr>
        <w:spacing w:line="360" w:lineRule="auto"/>
        <w:ind w:right="420"/>
        <w:rPr>
          <w:rFonts w:ascii="宋体" w:hAnsi="宋体" w:cs="宋体"/>
          <w:color w:val="auto"/>
          <w:sz w:val="24"/>
          <w:highlight w:val="none"/>
        </w:rPr>
      </w:pPr>
    </w:p>
    <w:p w14:paraId="3094868B">
      <w:pPr>
        <w:ind w:firstLine="1911" w:firstLineChars="595"/>
        <w:rPr>
          <w:rFonts w:ascii="宋体" w:hAnsi="宋体" w:cs="宋体"/>
          <w:b/>
          <w:bCs/>
          <w:color w:val="auto"/>
          <w:sz w:val="32"/>
          <w:szCs w:val="32"/>
          <w:highlight w:val="none"/>
        </w:rPr>
      </w:pPr>
    </w:p>
    <w:p w14:paraId="67A7E744">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D7837C3">
      <w:pPr>
        <w:snapToGrid w:val="0"/>
        <w:spacing w:line="360" w:lineRule="auto"/>
        <w:rPr>
          <w:rFonts w:ascii="宋体" w:hAnsi="宋体" w:cs="宋体"/>
          <w:color w:val="auto"/>
          <w:sz w:val="24"/>
          <w:highlight w:val="none"/>
        </w:rPr>
      </w:pPr>
    </w:p>
    <w:p w14:paraId="3BEFE16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杭州职业技术大学、杭州市公共资源交易中心</w:t>
      </w:r>
      <w:r>
        <w:rPr>
          <w:rFonts w:hint="eastAsia" w:ascii="宋体" w:hAnsi="宋体" w:cs="宋体"/>
          <w:color w:val="auto"/>
          <w:kern w:val="0"/>
          <w:sz w:val="24"/>
          <w:highlight w:val="none"/>
          <w:lang w:val="zh-CN"/>
        </w:rPr>
        <w:t>：</w:t>
      </w:r>
    </w:p>
    <w:p w14:paraId="1284567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C77511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5B3375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F2EABA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92E86B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D52129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25938E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44C0FE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603EC30C">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120DD7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AE8F470">
      <w:pPr>
        <w:autoSpaceDE w:val="0"/>
        <w:autoSpaceDN w:val="0"/>
        <w:spacing w:line="360" w:lineRule="auto"/>
        <w:ind w:left="2"/>
        <w:jc w:val="left"/>
        <w:rPr>
          <w:rFonts w:ascii="宋体" w:hAnsi="宋体" w:cs="宋体"/>
          <w:color w:val="auto"/>
          <w:kern w:val="0"/>
          <w:sz w:val="24"/>
          <w:highlight w:val="none"/>
          <w:lang w:val="zh-CN"/>
        </w:rPr>
      </w:pPr>
    </w:p>
    <w:p w14:paraId="2688D1D1">
      <w:pPr>
        <w:autoSpaceDE w:val="0"/>
        <w:autoSpaceDN w:val="0"/>
        <w:spacing w:line="360" w:lineRule="auto"/>
        <w:ind w:left="2"/>
        <w:jc w:val="left"/>
        <w:rPr>
          <w:rFonts w:ascii="宋体" w:hAnsi="宋体" w:cs="宋体"/>
          <w:color w:val="auto"/>
          <w:kern w:val="0"/>
          <w:sz w:val="24"/>
          <w:highlight w:val="none"/>
          <w:lang w:val="zh-CN"/>
        </w:rPr>
      </w:pPr>
    </w:p>
    <w:p w14:paraId="3B2981F3">
      <w:pPr>
        <w:autoSpaceDE w:val="0"/>
        <w:autoSpaceDN w:val="0"/>
        <w:spacing w:line="360" w:lineRule="auto"/>
        <w:ind w:left="2"/>
        <w:jc w:val="left"/>
        <w:rPr>
          <w:rFonts w:ascii="宋体" w:hAnsi="宋体" w:cs="宋体"/>
          <w:color w:val="auto"/>
          <w:kern w:val="0"/>
          <w:sz w:val="24"/>
          <w:highlight w:val="none"/>
          <w:lang w:val="zh-CN"/>
        </w:rPr>
      </w:pPr>
    </w:p>
    <w:p w14:paraId="6099EBF5">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B57775F">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29FF55F">
      <w:pPr>
        <w:spacing w:line="360" w:lineRule="auto"/>
        <w:jc w:val="center"/>
        <w:rPr>
          <w:rFonts w:ascii="宋体" w:hAnsi="宋体" w:cs="宋体"/>
          <w:b/>
          <w:bCs/>
          <w:color w:val="auto"/>
          <w:sz w:val="24"/>
          <w:highlight w:val="none"/>
        </w:rPr>
      </w:pPr>
    </w:p>
    <w:p w14:paraId="27B24B1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72B5B0B">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454FC4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2F0BF0F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A7FDAC">
      <w:pPr>
        <w:spacing w:line="360" w:lineRule="auto"/>
        <w:jc w:val="center"/>
        <w:outlineLvl w:val="0"/>
        <w:rPr>
          <w:rFonts w:ascii="宋体" w:hAnsi="宋体" w:cs="宋体"/>
          <w:b/>
          <w:color w:val="auto"/>
          <w:kern w:val="0"/>
          <w:sz w:val="36"/>
          <w:szCs w:val="36"/>
          <w:highlight w:val="none"/>
        </w:rPr>
      </w:pPr>
    </w:p>
    <w:p w14:paraId="2E750C5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7C1DA8A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lang w:val="en-US" w:eastAsia="zh-CN"/>
        </w:rPr>
        <w:t>证明材料</w:t>
      </w:r>
      <w:r>
        <w:rPr>
          <w:rFonts w:hint="eastAsia" w:ascii="宋体" w:hAnsi="宋体" w:cs="宋体"/>
          <w:color w:val="auto"/>
          <w:sz w:val="24"/>
          <w:highlight w:val="none"/>
        </w:rPr>
        <w:t>…………………………………………（页码）</w:t>
      </w:r>
    </w:p>
    <w:p w14:paraId="10F8E1F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（3）中小企业声明函………………………………………………………………（页码）</w:t>
      </w:r>
    </w:p>
    <w:p w14:paraId="5C7F2CF8">
      <w:pPr>
        <w:snapToGrid w:val="0"/>
        <w:spacing w:line="360" w:lineRule="auto"/>
        <w:ind w:right="480"/>
        <w:jc w:val="center"/>
        <w:rPr>
          <w:rFonts w:ascii="宋体" w:hAnsi="宋体" w:cs="宋体"/>
          <w:b/>
          <w:color w:val="auto"/>
          <w:kern w:val="0"/>
          <w:sz w:val="32"/>
          <w:szCs w:val="32"/>
          <w:highlight w:val="none"/>
        </w:rPr>
      </w:pPr>
    </w:p>
    <w:p w14:paraId="1F5000C5">
      <w:pPr>
        <w:snapToGrid w:val="0"/>
        <w:spacing w:line="360" w:lineRule="auto"/>
        <w:ind w:right="480"/>
        <w:jc w:val="center"/>
        <w:rPr>
          <w:rFonts w:ascii="宋体" w:hAnsi="宋体" w:cs="宋体"/>
          <w:b/>
          <w:color w:val="auto"/>
          <w:kern w:val="0"/>
          <w:sz w:val="32"/>
          <w:szCs w:val="32"/>
          <w:highlight w:val="none"/>
        </w:rPr>
      </w:pPr>
    </w:p>
    <w:p w14:paraId="74D06C90">
      <w:pPr>
        <w:snapToGrid w:val="0"/>
        <w:spacing w:line="360" w:lineRule="auto"/>
        <w:ind w:right="480"/>
        <w:jc w:val="center"/>
        <w:rPr>
          <w:rFonts w:ascii="宋体" w:hAnsi="宋体" w:cs="宋体"/>
          <w:b/>
          <w:color w:val="auto"/>
          <w:kern w:val="0"/>
          <w:sz w:val="32"/>
          <w:szCs w:val="32"/>
          <w:highlight w:val="none"/>
        </w:rPr>
      </w:pPr>
    </w:p>
    <w:p w14:paraId="2150DF7D">
      <w:pPr>
        <w:snapToGrid w:val="0"/>
        <w:spacing w:line="360" w:lineRule="auto"/>
        <w:ind w:right="480"/>
        <w:jc w:val="center"/>
        <w:rPr>
          <w:rFonts w:ascii="宋体" w:hAnsi="宋体" w:cs="宋体"/>
          <w:b/>
          <w:color w:val="auto"/>
          <w:kern w:val="0"/>
          <w:sz w:val="32"/>
          <w:szCs w:val="32"/>
          <w:highlight w:val="none"/>
        </w:rPr>
      </w:pPr>
    </w:p>
    <w:p w14:paraId="6067CC05">
      <w:pPr>
        <w:snapToGrid w:val="0"/>
        <w:spacing w:line="360" w:lineRule="auto"/>
        <w:ind w:right="480"/>
        <w:jc w:val="center"/>
        <w:rPr>
          <w:rFonts w:ascii="宋体" w:hAnsi="宋体" w:cs="宋体"/>
          <w:b/>
          <w:color w:val="auto"/>
          <w:kern w:val="0"/>
          <w:sz w:val="32"/>
          <w:szCs w:val="32"/>
          <w:highlight w:val="none"/>
        </w:rPr>
      </w:pPr>
    </w:p>
    <w:p w14:paraId="5A4CE68A">
      <w:pPr>
        <w:snapToGrid w:val="0"/>
        <w:spacing w:line="360" w:lineRule="auto"/>
        <w:ind w:right="480"/>
        <w:jc w:val="center"/>
        <w:rPr>
          <w:rFonts w:ascii="宋体" w:hAnsi="宋体" w:cs="宋体"/>
          <w:b/>
          <w:color w:val="auto"/>
          <w:kern w:val="0"/>
          <w:sz w:val="32"/>
          <w:szCs w:val="32"/>
          <w:highlight w:val="none"/>
        </w:rPr>
      </w:pPr>
    </w:p>
    <w:p w14:paraId="104D55DC">
      <w:pPr>
        <w:snapToGrid w:val="0"/>
        <w:spacing w:line="360" w:lineRule="auto"/>
        <w:ind w:right="480"/>
        <w:jc w:val="center"/>
        <w:rPr>
          <w:rFonts w:ascii="宋体" w:hAnsi="宋体" w:cs="宋体"/>
          <w:b/>
          <w:color w:val="auto"/>
          <w:kern w:val="0"/>
          <w:sz w:val="32"/>
          <w:szCs w:val="32"/>
          <w:highlight w:val="none"/>
        </w:rPr>
      </w:pPr>
    </w:p>
    <w:p w14:paraId="0C4F11E1">
      <w:pPr>
        <w:snapToGrid w:val="0"/>
        <w:spacing w:line="360" w:lineRule="auto"/>
        <w:ind w:right="480"/>
        <w:jc w:val="center"/>
        <w:rPr>
          <w:rFonts w:ascii="宋体" w:hAnsi="宋体" w:cs="宋体"/>
          <w:b/>
          <w:color w:val="auto"/>
          <w:kern w:val="0"/>
          <w:sz w:val="32"/>
          <w:szCs w:val="32"/>
          <w:highlight w:val="none"/>
        </w:rPr>
      </w:pPr>
    </w:p>
    <w:p w14:paraId="2490F5EC">
      <w:pPr>
        <w:snapToGrid w:val="0"/>
        <w:spacing w:line="360" w:lineRule="auto"/>
        <w:ind w:right="480"/>
        <w:jc w:val="center"/>
        <w:rPr>
          <w:rFonts w:ascii="宋体" w:hAnsi="宋体" w:cs="宋体"/>
          <w:b/>
          <w:color w:val="auto"/>
          <w:kern w:val="0"/>
          <w:sz w:val="32"/>
          <w:szCs w:val="32"/>
          <w:highlight w:val="none"/>
        </w:rPr>
      </w:pPr>
    </w:p>
    <w:p w14:paraId="25EE40A8">
      <w:pPr>
        <w:snapToGrid w:val="0"/>
        <w:spacing w:line="360" w:lineRule="auto"/>
        <w:ind w:right="480"/>
        <w:jc w:val="center"/>
        <w:rPr>
          <w:rFonts w:ascii="宋体" w:hAnsi="宋体" w:cs="宋体"/>
          <w:b/>
          <w:color w:val="auto"/>
          <w:kern w:val="0"/>
          <w:sz w:val="32"/>
          <w:szCs w:val="32"/>
          <w:highlight w:val="none"/>
        </w:rPr>
      </w:pPr>
    </w:p>
    <w:p w14:paraId="76ECB64E">
      <w:pPr>
        <w:snapToGrid w:val="0"/>
        <w:spacing w:line="360" w:lineRule="auto"/>
        <w:ind w:right="480"/>
        <w:jc w:val="center"/>
        <w:rPr>
          <w:rFonts w:ascii="宋体" w:hAnsi="宋体" w:cs="宋体"/>
          <w:b/>
          <w:color w:val="auto"/>
          <w:kern w:val="0"/>
          <w:sz w:val="32"/>
          <w:szCs w:val="32"/>
          <w:highlight w:val="none"/>
        </w:rPr>
      </w:pPr>
    </w:p>
    <w:p w14:paraId="460B4113">
      <w:pPr>
        <w:snapToGrid w:val="0"/>
        <w:spacing w:line="360" w:lineRule="auto"/>
        <w:ind w:right="480"/>
        <w:jc w:val="center"/>
        <w:rPr>
          <w:rFonts w:ascii="宋体" w:hAnsi="宋体" w:cs="宋体"/>
          <w:b/>
          <w:color w:val="auto"/>
          <w:kern w:val="0"/>
          <w:sz w:val="32"/>
          <w:szCs w:val="32"/>
          <w:highlight w:val="none"/>
        </w:rPr>
      </w:pPr>
    </w:p>
    <w:p w14:paraId="22364190">
      <w:pPr>
        <w:snapToGrid w:val="0"/>
        <w:spacing w:line="360" w:lineRule="auto"/>
        <w:ind w:right="480"/>
        <w:jc w:val="center"/>
        <w:rPr>
          <w:rFonts w:ascii="宋体" w:hAnsi="宋体" w:cs="宋体"/>
          <w:b/>
          <w:color w:val="auto"/>
          <w:kern w:val="0"/>
          <w:sz w:val="32"/>
          <w:szCs w:val="32"/>
          <w:highlight w:val="none"/>
        </w:rPr>
      </w:pPr>
    </w:p>
    <w:p w14:paraId="2881A712">
      <w:pPr>
        <w:snapToGrid w:val="0"/>
        <w:spacing w:line="360" w:lineRule="auto"/>
        <w:ind w:right="480"/>
        <w:jc w:val="center"/>
        <w:rPr>
          <w:rFonts w:ascii="宋体" w:hAnsi="宋体" w:cs="宋体"/>
          <w:b/>
          <w:color w:val="auto"/>
          <w:kern w:val="0"/>
          <w:sz w:val="32"/>
          <w:szCs w:val="32"/>
          <w:highlight w:val="none"/>
        </w:rPr>
      </w:pPr>
    </w:p>
    <w:p w14:paraId="2A3007E3">
      <w:pPr>
        <w:snapToGrid w:val="0"/>
        <w:spacing w:line="360" w:lineRule="auto"/>
        <w:ind w:right="480"/>
        <w:jc w:val="center"/>
        <w:rPr>
          <w:rFonts w:ascii="宋体" w:hAnsi="宋体" w:cs="宋体"/>
          <w:b/>
          <w:color w:val="auto"/>
          <w:kern w:val="0"/>
          <w:sz w:val="32"/>
          <w:szCs w:val="32"/>
          <w:highlight w:val="none"/>
        </w:rPr>
      </w:pPr>
    </w:p>
    <w:p w14:paraId="31F91345">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11AAADA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DBCC0B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杭州职业技术大学、杭州市公共资源交易中心</w:t>
      </w:r>
      <w:r>
        <w:rPr>
          <w:rFonts w:hint="eastAsia" w:ascii="宋体" w:hAnsi="宋体" w:cs="宋体"/>
          <w:color w:val="auto"/>
          <w:kern w:val="0"/>
          <w:sz w:val="24"/>
          <w:highlight w:val="none"/>
          <w:lang w:val="zh-CN"/>
        </w:rPr>
        <w:t>：</w:t>
      </w:r>
    </w:p>
    <w:p w14:paraId="4C73FE1C">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rPr>
        <w:t>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HZZFCG-2026-072】的实施</w:t>
      </w:r>
      <w:r>
        <w:rPr>
          <w:rFonts w:hint="eastAsia" w:ascii="宋体" w:hAnsi="宋体" w:cs="宋体"/>
          <w:color w:val="auto"/>
          <w:kern w:val="0"/>
          <w:sz w:val="24"/>
          <w:highlight w:val="none"/>
          <w:lang w:val="zh-CN"/>
        </w:rPr>
        <w:t>。</w:t>
      </w:r>
    </w:p>
    <w:p w14:paraId="001213EB">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2268"/>
        <w:gridCol w:w="2268"/>
        <w:gridCol w:w="993"/>
        <w:gridCol w:w="1559"/>
        <w:gridCol w:w="1984"/>
        <w:gridCol w:w="3119"/>
      </w:tblGrid>
      <w:tr w14:paraId="598B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75" w:type="dxa"/>
            <w:vAlign w:val="center"/>
          </w:tcPr>
          <w:p w14:paraId="33923600">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701" w:type="dxa"/>
            <w:vAlign w:val="center"/>
          </w:tcPr>
          <w:p w14:paraId="3333F3E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268" w:type="dxa"/>
          </w:tcPr>
          <w:p w14:paraId="652A4975">
            <w:pPr>
              <w:spacing w:line="360" w:lineRule="auto"/>
              <w:jc w:val="center"/>
              <w:rPr>
                <w:rFonts w:cs="宋体" w:asciiTheme="minorEastAsia" w:hAnsiTheme="minorEastAsia" w:eastAsiaTheme="minorEastAsia"/>
                <w:b/>
                <w:color w:val="auto"/>
                <w:sz w:val="24"/>
                <w:highlight w:val="none"/>
              </w:rPr>
            </w:pPr>
          </w:p>
          <w:p w14:paraId="66EB266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品牌（如果有）</w:t>
            </w:r>
          </w:p>
        </w:tc>
        <w:tc>
          <w:tcPr>
            <w:tcW w:w="2268" w:type="dxa"/>
            <w:vAlign w:val="center"/>
          </w:tcPr>
          <w:p w14:paraId="1997E0DB">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规格型号</w:t>
            </w:r>
          </w:p>
        </w:tc>
        <w:tc>
          <w:tcPr>
            <w:tcW w:w="993" w:type="dxa"/>
            <w:vAlign w:val="center"/>
          </w:tcPr>
          <w:p w14:paraId="108C5D89">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数量</w:t>
            </w:r>
          </w:p>
        </w:tc>
        <w:tc>
          <w:tcPr>
            <w:tcW w:w="1559" w:type="dxa"/>
            <w:vAlign w:val="center"/>
          </w:tcPr>
          <w:p w14:paraId="4E8280CF">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单价</w:t>
            </w:r>
          </w:p>
        </w:tc>
        <w:tc>
          <w:tcPr>
            <w:tcW w:w="1984" w:type="dxa"/>
            <w:vAlign w:val="center"/>
          </w:tcPr>
          <w:p w14:paraId="7C90089B">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合计</w:t>
            </w:r>
          </w:p>
        </w:tc>
        <w:tc>
          <w:tcPr>
            <w:tcW w:w="3119" w:type="dxa"/>
            <w:vAlign w:val="center"/>
          </w:tcPr>
          <w:p w14:paraId="424C7F6D">
            <w:pPr>
              <w:spacing w:line="360" w:lineRule="auto"/>
              <w:jc w:val="center"/>
              <w:rPr>
                <w:rFonts w:cs="宋体" w:asciiTheme="minorEastAsia" w:hAnsiTheme="minorEastAsia" w:eastAsiaTheme="minorEastAsia"/>
                <w:b/>
                <w:color w:val="auto"/>
                <w:sz w:val="24"/>
                <w:highlight w:val="none"/>
              </w:rPr>
            </w:pPr>
          </w:p>
          <w:p w14:paraId="51A3C6AB">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06F0AD18">
            <w:pPr>
              <w:spacing w:line="360" w:lineRule="auto"/>
              <w:jc w:val="center"/>
              <w:rPr>
                <w:rFonts w:cs="宋体" w:asciiTheme="minorEastAsia" w:hAnsiTheme="minorEastAsia" w:eastAsiaTheme="minorEastAsia"/>
                <w:b/>
                <w:color w:val="auto"/>
                <w:sz w:val="24"/>
                <w:highlight w:val="none"/>
              </w:rPr>
            </w:pPr>
          </w:p>
        </w:tc>
      </w:tr>
      <w:tr w14:paraId="17B6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567" w:type="dxa"/>
            <w:gridSpan w:val="8"/>
            <w:vAlign w:val="center"/>
          </w:tcPr>
          <w:p w14:paraId="7A175F81">
            <w:pPr>
              <w:snapToGrid w:val="0"/>
              <w:spacing w:line="360" w:lineRule="auto"/>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kern w:val="0"/>
                <w:sz w:val="24"/>
                <w:szCs w:val="24"/>
                <w:highlight w:val="none"/>
                <w:lang w:bidi="ar"/>
              </w:rPr>
              <w:t>一、多媒体教室设施设备</w:t>
            </w:r>
          </w:p>
        </w:tc>
      </w:tr>
      <w:tr w14:paraId="1691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vAlign w:val="center"/>
          </w:tcPr>
          <w:p w14:paraId="3262AD07">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p>
        </w:tc>
        <w:tc>
          <w:tcPr>
            <w:tcW w:w="1701" w:type="dxa"/>
            <w:vAlign w:val="center"/>
          </w:tcPr>
          <w:p w14:paraId="58CF8205">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98寸智慧屏</w:t>
            </w:r>
          </w:p>
        </w:tc>
        <w:tc>
          <w:tcPr>
            <w:tcW w:w="2268" w:type="dxa"/>
            <w:vAlign w:val="center"/>
          </w:tcPr>
          <w:p w14:paraId="6EBCF95C">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736AFEB">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23C06CC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52块</w:t>
            </w:r>
          </w:p>
        </w:tc>
        <w:tc>
          <w:tcPr>
            <w:tcW w:w="1559" w:type="dxa"/>
            <w:vAlign w:val="center"/>
          </w:tcPr>
          <w:p w14:paraId="28B86D5D">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6E4675D8">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776FE3CB">
            <w:pPr>
              <w:spacing w:line="360" w:lineRule="auto"/>
              <w:jc w:val="center"/>
              <w:rPr>
                <w:rFonts w:cs="宋体" w:asciiTheme="minorEastAsia" w:hAnsiTheme="minorEastAsia" w:eastAsiaTheme="minorEastAsia"/>
                <w:color w:val="auto"/>
                <w:sz w:val="24"/>
                <w:highlight w:val="none"/>
              </w:rPr>
            </w:pPr>
          </w:p>
        </w:tc>
      </w:tr>
      <w:tr w14:paraId="1793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3768CE6B">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w:t>
            </w:r>
          </w:p>
        </w:tc>
        <w:tc>
          <w:tcPr>
            <w:tcW w:w="1701" w:type="dxa"/>
            <w:vAlign w:val="center"/>
          </w:tcPr>
          <w:p w14:paraId="6D1733B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智能书写板</w:t>
            </w:r>
          </w:p>
        </w:tc>
        <w:tc>
          <w:tcPr>
            <w:tcW w:w="2268" w:type="dxa"/>
            <w:vAlign w:val="center"/>
          </w:tcPr>
          <w:p w14:paraId="2C59E3FD">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ADF7432">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EC01E21">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52套</w:t>
            </w:r>
          </w:p>
        </w:tc>
        <w:tc>
          <w:tcPr>
            <w:tcW w:w="1559" w:type="dxa"/>
            <w:vAlign w:val="center"/>
          </w:tcPr>
          <w:p w14:paraId="78A688D9">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5D2CACE">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11213F38">
            <w:pPr>
              <w:spacing w:line="360" w:lineRule="auto"/>
              <w:jc w:val="center"/>
              <w:rPr>
                <w:rFonts w:cs="宋体" w:asciiTheme="minorEastAsia" w:hAnsiTheme="minorEastAsia" w:eastAsiaTheme="minorEastAsia"/>
                <w:color w:val="auto"/>
                <w:sz w:val="24"/>
                <w:highlight w:val="none"/>
              </w:rPr>
            </w:pPr>
          </w:p>
        </w:tc>
      </w:tr>
      <w:tr w14:paraId="34B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4A86B85A">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w:t>
            </w:r>
          </w:p>
        </w:tc>
        <w:tc>
          <w:tcPr>
            <w:tcW w:w="1701" w:type="dxa"/>
            <w:vAlign w:val="center"/>
          </w:tcPr>
          <w:p w14:paraId="22E095A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讲台智慧屏</w:t>
            </w:r>
          </w:p>
        </w:tc>
        <w:tc>
          <w:tcPr>
            <w:tcW w:w="2268" w:type="dxa"/>
            <w:vAlign w:val="center"/>
          </w:tcPr>
          <w:p w14:paraId="73A68238">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BE86457">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302C1456">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38套</w:t>
            </w:r>
          </w:p>
        </w:tc>
        <w:tc>
          <w:tcPr>
            <w:tcW w:w="1559" w:type="dxa"/>
            <w:vAlign w:val="center"/>
          </w:tcPr>
          <w:p w14:paraId="5E8CC0A5">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BD26571">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08935596">
            <w:pPr>
              <w:spacing w:line="360" w:lineRule="auto"/>
              <w:jc w:val="center"/>
              <w:rPr>
                <w:rFonts w:cs="宋体" w:asciiTheme="minorEastAsia" w:hAnsiTheme="minorEastAsia" w:eastAsiaTheme="minorEastAsia"/>
                <w:color w:val="auto"/>
                <w:sz w:val="24"/>
                <w:highlight w:val="none"/>
              </w:rPr>
            </w:pPr>
          </w:p>
        </w:tc>
      </w:tr>
      <w:tr w14:paraId="038B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6A90377">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4</w:t>
            </w:r>
          </w:p>
        </w:tc>
        <w:tc>
          <w:tcPr>
            <w:tcW w:w="1701" w:type="dxa"/>
            <w:vAlign w:val="center"/>
          </w:tcPr>
          <w:p w14:paraId="107070F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讲台</w:t>
            </w:r>
            <w:r>
              <w:rPr>
                <w:rFonts w:cs="宋体" w:asciiTheme="minorEastAsia" w:hAnsiTheme="minorEastAsia" w:eastAsiaTheme="minorEastAsia"/>
                <w:color w:val="auto"/>
                <w:kern w:val="0"/>
                <w:sz w:val="24"/>
                <w:szCs w:val="24"/>
                <w:highlight w:val="none"/>
                <w:lang w:bidi="ar"/>
              </w:rPr>
              <w:t>1</w:t>
            </w:r>
          </w:p>
        </w:tc>
        <w:tc>
          <w:tcPr>
            <w:tcW w:w="2268" w:type="dxa"/>
            <w:vAlign w:val="center"/>
          </w:tcPr>
          <w:p w14:paraId="2CA4A1F5">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1141F33">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706E24EC">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38套</w:t>
            </w:r>
          </w:p>
        </w:tc>
        <w:tc>
          <w:tcPr>
            <w:tcW w:w="1559" w:type="dxa"/>
            <w:vAlign w:val="center"/>
          </w:tcPr>
          <w:p w14:paraId="4A96C2E9">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ABEEFB9">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6F0F3D7">
            <w:pPr>
              <w:spacing w:line="360" w:lineRule="auto"/>
              <w:jc w:val="center"/>
              <w:rPr>
                <w:rFonts w:cs="宋体" w:asciiTheme="minorEastAsia" w:hAnsiTheme="minorEastAsia" w:eastAsiaTheme="minorEastAsia"/>
                <w:color w:val="auto"/>
                <w:sz w:val="24"/>
                <w:highlight w:val="none"/>
              </w:rPr>
            </w:pPr>
          </w:p>
        </w:tc>
      </w:tr>
      <w:tr w14:paraId="6801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616C25E5">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w:t>
            </w:r>
          </w:p>
        </w:tc>
        <w:tc>
          <w:tcPr>
            <w:tcW w:w="1701" w:type="dxa"/>
            <w:vAlign w:val="center"/>
          </w:tcPr>
          <w:p w14:paraId="7E5DDAB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讲台</w:t>
            </w:r>
            <w:r>
              <w:rPr>
                <w:rFonts w:cs="宋体" w:asciiTheme="minorEastAsia" w:hAnsiTheme="minorEastAsia" w:eastAsiaTheme="minorEastAsia"/>
                <w:color w:val="auto"/>
                <w:kern w:val="0"/>
                <w:sz w:val="24"/>
                <w:szCs w:val="24"/>
                <w:highlight w:val="none"/>
                <w:lang w:bidi="ar"/>
              </w:rPr>
              <w:t>2</w:t>
            </w:r>
          </w:p>
        </w:tc>
        <w:tc>
          <w:tcPr>
            <w:tcW w:w="2268" w:type="dxa"/>
            <w:vAlign w:val="center"/>
          </w:tcPr>
          <w:p w14:paraId="661519D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47322FC">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F49160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14套</w:t>
            </w:r>
          </w:p>
        </w:tc>
        <w:tc>
          <w:tcPr>
            <w:tcW w:w="1559" w:type="dxa"/>
            <w:vAlign w:val="center"/>
          </w:tcPr>
          <w:p w14:paraId="69F3E7F4">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2D4B849C">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6A15605F">
            <w:pPr>
              <w:spacing w:line="360" w:lineRule="auto"/>
              <w:jc w:val="center"/>
              <w:rPr>
                <w:rFonts w:cs="宋体" w:asciiTheme="minorEastAsia" w:hAnsiTheme="minorEastAsia" w:eastAsiaTheme="minorEastAsia"/>
                <w:color w:val="auto"/>
                <w:sz w:val="24"/>
                <w:highlight w:val="none"/>
              </w:rPr>
            </w:pPr>
          </w:p>
        </w:tc>
      </w:tr>
      <w:tr w14:paraId="13A2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47A7F31F">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6</w:t>
            </w:r>
          </w:p>
        </w:tc>
        <w:tc>
          <w:tcPr>
            <w:tcW w:w="1701" w:type="dxa"/>
            <w:vAlign w:val="center"/>
          </w:tcPr>
          <w:p w14:paraId="0EB8A84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音柱</w:t>
            </w:r>
          </w:p>
        </w:tc>
        <w:tc>
          <w:tcPr>
            <w:tcW w:w="2268" w:type="dxa"/>
            <w:vAlign w:val="center"/>
          </w:tcPr>
          <w:p w14:paraId="2A80AFA6">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BF579D8">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13336595">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114只</w:t>
            </w:r>
          </w:p>
        </w:tc>
        <w:tc>
          <w:tcPr>
            <w:tcW w:w="1559" w:type="dxa"/>
            <w:vAlign w:val="center"/>
          </w:tcPr>
          <w:p w14:paraId="1F035F4F">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0AB97C1">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00C379FC">
            <w:pPr>
              <w:spacing w:line="360" w:lineRule="auto"/>
              <w:jc w:val="center"/>
              <w:rPr>
                <w:rFonts w:cs="宋体" w:asciiTheme="minorEastAsia" w:hAnsiTheme="minorEastAsia" w:eastAsiaTheme="minorEastAsia"/>
                <w:color w:val="auto"/>
                <w:sz w:val="24"/>
                <w:highlight w:val="none"/>
              </w:rPr>
            </w:pPr>
          </w:p>
        </w:tc>
      </w:tr>
      <w:tr w14:paraId="7CCF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0E09F3A">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7</w:t>
            </w:r>
          </w:p>
        </w:tc>
        <w:tc>
          <w:tcPr>
            <w:tcW w:w="1701" w:type="dxa"/>
            <w:vAlign w:val="center"/>
          </w:tcPr>
          <w:p w14:paraId="5A40640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功放</w:t>
            </w:r>
          </w:p>
        </w:tc>
        <w:tc>
          <w:tcPr>
            <w:tcW w:w="2268" w:type="dxa"/>
            <w:vAlign w:val="center"/>
          </w:tcPr>
          <w:p w14:paraId="1AB1C4EA">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570E0A9">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3B38C27C">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55台</w:t>
            </w:r>
          </w:p>
        </w:tc>
        <w:tc>
          <w:tcPr>
            <w:tcW w:w="1559" w:type="dxa"/>
            <w:vAlign w:val="center"/>
          </w:tcPr>
          <w:p w14:paraId="183053A6">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2A573F3E">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3B7427EA">
            <w:pPr>
              <w:spacing w:line="360" w:lineRule="auto"/>
              <w:jc w:val="center"/>
              <w:rPr>
                <w:rFonts w:cs="宋体" w:asciiTheme="minorEastAsia" w:hAnsiTheme="minorEastAsia" w:eastAsiaTheme="minorEastAsia"/>
                <w:color w:val="auto"/>
                <w:sz w:val="24"/>
                <w:highlight w:val="none"/>
              </w:rPr>
            </w:pPr>
          </w:p>
        </w:tc>
      </w:tr>
      <w:tr w14:paraId="2AF0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4A797F82">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8</w:t>
            </w:r>
          </w:p>
        </w:tc>
        <w:tc>
          <w:tcPr>
            <w:tcW w:w="1701" w:type="dxa"/>
            <w:vAlign w:val="center"/>
          </w:tcPr>
          <w:p w14:paraId="5F548BA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无线麦克风</w:t>
            </w:r>
          </w:p>
        </w:tc>
        <w:tc>
          <w:tcPr>
            <w:tcW w:w="2268" w:type="dxa"/>
            <w:vAlign w:val="center"/>
          </w:tcPr>
          <w:p w14:paraId="31B1CFA9">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9E23E85">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7CCD0D55">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54套</w:t>
            </w:r>
          </w:p>
        </w:tc>
        <w:tc>
          <w:tcPr>
            <w:tcW w:w="1559" w:type="dxa"/>
            <w:vAlign w:val="center"/>
          </w:tcPr>
          <w:p w14:paraId="1F015801">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76DCD7D">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3D53D07">
            <w:pPr>
              <w:spacing w:line="360" w:lineRule="auto"/>
              <w:jc w:val="center"/>
              <w:rPr>
                <w:rFonts w:cs="宋体" w:asciiTheme="minorEastAsia" w:hAnsiTheme="minorEastAsia" w:eastAsiaTheme="minorEastAsia"/>
                <w:color w:val="auto"/>
                <w:sz w:val="24"/>
                <w:highlight w:val="none"/>
              </w:rPr>
            </w:pPr>
          </w:p>
        </w:tc>
      </w:tr>
      <w:tr w14:paraId="6CEE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572B77E3">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9</w:t>
            </w:r>
          </w:p>
        </w:tc>
        <w:tc>
          <w:tcPr>
            <w:tcW w:w="1701" w:type="dxa"/>
            <w:vAlign w:val="center"/>
          </w:tcPr>
          <w:p w14:paraId="62909C3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录播主机</w:t>
            </w:r>
          </w:p>
        </w:tc>
        <w:tc>
          <w:tcPr>
            <w:tcW w:w="2268" w:type="dxa"/>
            <w:vAlign w:val="center"/>
          </w:tcPr>
          <w:p w14:paraId="04B3279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12FA054">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5BF0CFE5">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52台</w:t>
            </w:r>
          </w:p>
        </w:tc>
        <w:tc>
          <w:tcPr>
            <w:tcW w:w="1559" w:type="dxa"/>
            <w:vAlign w:val="center"/>
          </w:tcPr>
          <w:p w14:paraId="48F3AFEF">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F641AB9">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0D2FADB">
            <w:pPr>
              <w:spacing w:line="360" w:lineRule="auto"/>
              <w:jc w:val="center"/>
              <w:rPr>
                <w:rFonts w:cs="宋体" w:asciiTheme="minorEastAsia" w:hAnsiTheme="minorEastAsia" w:eastAsiaTheme="minorEastAsia"/>
                <w:color w:val="auto"/>
                <w:sz w:val="24"/>
                <w:highlight w:val="none"/>
              </w:rPr>
            </w:pPr>
          </w:p>
        </w:tc>
      </w:tr>
      <w:tr w14:paraId="4EB2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5E7AC69D">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10</w:t>
            </w:r>
          </w:p>
        </w:tc>
        <w:tc>
          <w:tcPr>
            <w:tcW w:w="1701" w:type="dxa"/>
            <w:vAlign w:val="center"/>
          </w:tcPr>
          <w:p w14:paraId="5397B2A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导播系统</w:t>
            </w:r>
          </w:p>
        </w:tc>
        <w:tc>
          <w:tcPr>
            <w:tcW w:w="2268" w:type="dxa"/>
            <w:vAlign w:val="center"/>
          </w:tcPr>
          <w:p w14:paraId="694B05E7">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479B2C9D">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D0534C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52套</w:t>
            </w:r>
          </w:p>
        </w:tc>
        <w:tc>
          <w:tcPr>
            <w:tcW w:w="1559" w:type="dxa"/>
            <w:vAlign w:val="center"/>
          </w:tcPr>
          <w:p w14:paraId="6AEDE4F6">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C074B7C">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2D2594E3">
            <w:pPr>
              <w:spacing w:line="360" w:lineRule="auto"/>
              <w:jc w:val="center"/>
              <w:rPr>
                <w:rFonts w:cs="宋体" w:asciiTheme="minorEastAsia" w:hAnsiTheme="minorEastAsia" w:eastAsiaTheme="minorEastAsia"/>
                <w:color w:val="auto"/>
                <w:sz w:val="24"/>
                <w:highlight w:val="none"/>
              </w:rPr>
            </w:pPr>
          </w:p>
        </w:tc>
      </w:tr>
      <w:tr w14:paraId="5579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4900512E">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11</w:t>
            </w:r>
          </w:p>
        </w:tc>
        <w:tc>
          <w:tcPr>
            <w:tcW w:w="1701" w:type="dxa"/>
            <w:vAlign w:val="center"/>
          </w:tcPr>
          <w:p w14:paraId="38D90C2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互动系统</w:t>
            </w:r>
          </w:p>
        </w:tc>
        <w:tc>
          <w:tcPr>
            <w:tcW w:w="2268" w:type="dxa"/>
            <w:vAlign w:val="center"/>
          </w:tcPr>
          <w:p w14:paraId="6752026F">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3044D15">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6969691">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52套</w:t>
            </w:r>
          </w:p>
        </w:tc>
        <w:tc>
          <w:tcPr>
            <w:tcW w:w="1559" w:type="dxa"/>
            <w:vAlign w:val="center"/>
          </w:tcPr>
          <w:p w14:paraId="320ED0E8">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666297CE">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CBD626D">
            <w:pPr>
              <w:spacing w:line="360" w:lineRule="auto"/>
              <w:jc w:val="center"/>
              <w:rPr>
                <w:rFonts w:cs="宋体" w:asciiTheme="minorEastAsia" w:hAnsiTheme="minorEastAsia" w:eastAsiaTheme="minorEastAsia"/>
                <w:color w:val="auto"/>
                <w:sz w:val="24"/>
                <w:highlight w:val="none"/>
              </w:rPr>
            </w:pPr>
          </w:p>
        </w:tc>
      </w:tr>
      <w:tr w14:paraId="2BC8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76AFD7D">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12</w:t>
            </w:r>
          </w:p>
        </w:tc>
        <w:tc>
          <w:tcPr>
            <w:tcW w:w="1701" w:type="dxa"/>
            <w:vAlign w:val="center"/>
          </w:tcPr>
          <w:p w14:paraId="451E174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视频处理系统</w:t>
            </w:r>
          </w:p>
        </w:tc>
        <w:tc>
          <w:tcPr>
            <w:tcW w:w="2268" w:type="dxa"/>
            <w:vAlign w:val="center"/>
          </w:tcPr>
          <w:p w14:paraId="589AF9A0">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3C327AB">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A33E49B">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52套</w:t>
            </w:r>
          </w:p>
        </w:tc>
        <w:tc>
          <w:tcPr>
            <w:tcW w:w="1559" w:type="dxa"/>
            <w:vAlign w:val="center"/>
          </w:tcPr>
          <w:p w14:paraId="46E448DC">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9AFD1CF">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55375ACA">
            <w:pPr>
              <w:spacing w:line="360" w:lineRule="auto"/>
              <w:jc w:val="center"/>
              <w:rPr>
                <w:rFonts w:cs="宋体" w:asciiTheme="minorEastAsia" w:hAnsiTheme="minorEastAsia" w:eastAsiaTheme="minorEastAsia"/>
                <w:color w:val="auto"/>
                <w:sz w:val="24"/>
                <w:highlight w:val="none"/>
              </w:rPr>
            </w:pPr>
          </w:p>
        </w:tc>
      </w:tr>
      <w:tr w14:paraId="35BA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04EE7006">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13</w:t>
            </w:r>
          </w:p>
        </w:tc>
        <w:tc>
          <w:tcPr>
            <w:tcW w:w="1701" w:type="dxa"/>
            <w:vAlign w:val="center"/>
          </w:tcPr>
          <w:p w14:paraId="11A74F8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远程互动课堂软件</w:t>
            </w:r>
          </w:p>
        </w:tc>
        <w:tc>
          <w:tcPr>
            <w:tcW w:w="2268" w:type="dxa"/>
            <w:vAlign w:val="center"/>
          </w:tcPr>
          <w:p w14:paraId="4DE4FED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7DF8412">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2C11EBD1">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52套</w:t>
            </w:r>
          </w:p>
        </w:tc>
        <w:tc>
          <w:tcPr>
            <w:tcW w:w="1559" w:type="dxa"/>
            <w:vAlign w:val="center"/>
          </w:tcPr>
          <w:p w14:paraId="4E527596">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0AF01A3">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09A01835">
            <w:pPr>
              <w:spacing w:line="360" w:lineRule="auto"/>
              <w:jc w:val="center"/>
              <w:rPr>
                <w:rFonts w:cs="宋体" w:asciiTheme="minorEastAsia" w:hAnsiTheme="minorEastAsia" w:eastAsiaTheme="minorEastAsia"/>
                <w:color w:val="auto"/>
                <w:sz w:val="24"/>
                <w:highlight w:val="none"/>
              </w:rPr>
            </w:pPr>
          </w:p>
        </w:tc>
      </w:tr>
      <w:tr w14:paraId="7C30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2E4042F">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14</w:t>
            </w:r>
          </w:p>
        </w:tc>
        <w:tc>
          <w:tcPr>
            <w:tcW w:w="1701" w:type="dxa"/>
            <w:vAlign w:val="center"/>
          </w:tcPr>
          <w:p w14:paraId="0620100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教师摄像机</w:t>
            </w:r>
          </w:p>
        </w:tc>
        <w:tc>
          <w:tcPr>
            <w:tcW w:w="2268" w:type="dxa"/>
            <w:vAlign w:val="center"/>
          </w:tcPr>
          <w:p w14:paraId="0D171D43">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88EAE5F">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61361A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50台</w:t>
            </w:r>
          </w:p>
        </w:tc>
        <w:tc>
          <w:tcPr>
            <w:tcW w:w="1559" w:type="dxa"/>
            <w:vAlign w:val="center"/>
          </w:tcPr>
          <w:p w14:paraId="3656855F">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7218CE0D">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79976F6">
            <w:pPr>
              <w:spacing w:line="360" w:lineRule="auto"/>
              <w:jc w:val="center"/>
              <w:rPr>
                <w:rFonts w:cs="宋体" w:asciiTheme="minorEastAsia" w:hAnsiTheme="minorEastAsia" w:eastAsiaTheme="minorEastAsia"/>
                <w:color w:val="auto"/>
                <w:sz w:val="24"/>
                <w:highlight w:val="none"/>
              </w:rPr>
            </w:pPr>
          </w:p>
        </w:tc>
      </w:tr>
      <w:tr w14:paraId="20B9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5E0625A8">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15</w:t>
            </w:r>
          </w:p>
        </w:tc>
        <w:tc>
          <w:tcPr>
            <w:tcW w:w="1701" w:type="dxa"/>
            <w:vAlign w:val="center"/>
          </w:tcPr>
          <w:p w14:paraId="1A54283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学生摄像机</w:t>
            </w:r>
          </w:p>
        </w:tc>
        <w:tc>
          <w:tcPr>
            <w:tcW w:w="2268" w:type="dxa"/>
            <w:vAlign w:val="center"/>
          </w:tcPr>
          <w:p w14:paraId="4A4AF4F7">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8567605">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1CE30A12">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52台</w:t>
            </w:r>
          </w:p>
        </w:tc>
        <w:tc>
          <w:tcPr>
            <w:tcW w:w="1559" w:type="dxa"/>
            <w:vAlign w:val="center"/>
          </w:tcPr>
          <w:p w14:paraId="7BDEB98F">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CEAC679">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16BD8FE3">
            <w:pPr>
              <w:spacing w:line="360" w:lineRule="auto"/>
              <w:jc w:val="center"/>
              <w:rPr>
                <w:rFonts w:cs="宋体" w:asciiTheme="minorEastAsia" w:hAnsiTheme="minorEastAsia" w:eastAsiaTheme="minorEastAsia"/>
                <w:color w:val="auto"/>
                <w:sz w:val="24"/>
                <w:highlight w:val="none"/>
              </w:rPr>
            </w:pPr>
          </w:p>
        </w:tc>
      </w:tr>
      <w:tr w14:paraId="0C12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12F4ECAF">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16</w:t>
            </w:r>
          </w:p>
        </w:tc>
        <w:tc>
          <w:tcPr>
            <w:tcW w:w="1701" w:type="dxa"/>
            <w:vAlign w:val="center"/>
          </w:tcPr>
          <w:p w14:paraId="4244729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教师云台摄像机</w:t>
            </w:r>
          </w:p>
        </w:tc>
        <w:tc>
          <w:tcPr>
            <w:tcW w:w="2268" w:type="dxa"/>
            <w:vAlign w:val="center"/>
          </w:tcPr>
          <w:p w14:paraId="491AE266">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4DFB973D">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CCAC048">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2台</w:t>
            </w:r>
          </w:p>
        </w:tc>
        <w:tc>
          <w:tcPr>
            <w:tcW w:w="1559" w:type="dxa"/>
            <w:vAlign w:val="center"/>
          </w:tcPr>
          <w:p w14:paraId="7113C1A9">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723E5D89">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57CAF0FF">
            <w:pPr>
              <w:spacing w:line="360" w:lineRule="auto"/>
              <w:jc w:val="center"/>
              <w:rPr>
                <w:rFonts w:cs="宋体" w:asciiTheme="minorEastAsia" w:hAnsiTheme="minorEastAsia" w:eastAsiaTheme="minorEastAsia"/>
                <w:color w:val="auto"/>
                <w:sz w:val="24"/>
                <w:highlight w:val="none"/>
              </w:rPr>
            </w:pPr>
          </w:p>
        </w:tc>
      </w:tr>
      <w:tr w14:paraId="09B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19A47365">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17</w:t>
            </w:r>
          </w:p>
        </w:tc>
        <w:tc>
          <w:tcPr>
            <w:tcW w:w="1701" w:type="dxa"/>
            <w:vAlign w:val="center"/>
          </w:tcPr>
          <w:p w14:paraId="37D1187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全向麦克风</w:t>
            </w:r>
          </w:p>
        </w:tc>
        <w:tc>
          <w:tcPr>
            <w:tcW w:w="2268" w:type="dxa"/>
            <w:vAlign w:val="center"/>
          </w:tcPr>
          <w:p w14:paraId="79F35FAB">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48C3E2A">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9602957">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w:t>
            </w:r>
            <w:r>
              <w:rPr>
                <w:rFonts w:hint="eastAsia" w:cs="宋体" w:asciiTheme="minorEastAsia" w:hAnsiTheme="minorEastAsia" w:eastAsiaTheme="minorEastAsia"/>
                <w:color w:val="auto"/>
                <w:kern w:val="0"/>
                <w:sz w:val="24"/>
                <w:szCs w:val="24"/>
                <w:highlight w:val="none"/>
                <w:lang w:bidi="ar"/>
              </w:rPr>
              <w:t>套</w:t>
            </w:r>
          </w:p>
        </w:tc>
        <w:tc>
          <w:tcPr>
            <w:tcW w:w="1559" w:type="dxa"/>
            <w:vAlign w:val="center"/>
          </w:tcPr>
          <w:p w14:paraId="03866077">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B7D5213">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5057423D">
            <w:pPr>
              <w:spacing w:line="360" w:lineRule="auto"/>
              <w:jc w:val="center"/>
              <w:rPr>
                <w:rFonts w:cs="宋体" w:asciiTheme="minorEastAsia" w:hAnsiTheme="minorEastAsia" w:eastAsiaTheme="minorEastAsia"/>
                <w:color w:val="auto"/>
                <w:sz w:val="24"/>
                <w:highlight w:val="none"/>
              </w:rPr>
            </w:pPr>
          </w:p>
        </w:tc>
      </w:tr>
      <w:tr w14:paraId="713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36F0152">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18</w:t>
            </w:r>
          </w:p>
        </w:tc>
        <w:tc>
          <w:tcPr>
            <w:tcW w:w="1701" w:type="dxa"/>
            <w:vAlign w:val="center"/>
          </w:tcPr>
          <w:p w14:paraId="3320AB9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中控主机</w:t>
            </w:r>
          </w:p>
        </w:tc>
        <w:tc>
          <w:tcPr>
            <w:tcW w:w="2268" w:type="dxa"/>
            <w:vAlign w:val="center"/>
          </w:tcPr>
          <w:p w14:paraId="252A0CFC">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D38B54C">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35A9A5E6">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2F720F99">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479880DE">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5FCCB738">
            <w:pPr>
              <w:spacing w:line="360" w:lineRule="auto"/>
              <w:jc w:val="center"/>
              <w:rPr>
                <w:rFonts w:cs="宋体" w:asciiTheme="minorEastAsia" w:hAnsiTheme="minorEastAsia" w:eastAsiaTheme="minorEastAsia"/>
                <w:color w:val="auto"/>
                <w:sz w:val="24"/>
                <w:highlight w:val="none"/>
              </w:rPr>
            </w:pPr>
          </w:p>
        </w:tc>
      </w:tr>
      <w:tr w14:paraId="13AA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F4B9326">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19</w:t>
            </w:r>
          </w:p>
        </w:tc>
        <w:tc>
          <w:tcPr>
            <w:tcW w:w="1701" w:type="dxa"/>
            <w:vAlign w:val="center"/>
          </w:tcPr>
          <w:p w14:paraId="55338AF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中控面板</w:t>
            </w:r>
          </w:p>
        </w:tc>
        <w:tc>
          <w:tcPr>
            <w:tcW w:w="2268" w:type="dxa"/>
            <w:vAlign w:val="center"/>
          </w:tcPr>
          <w:p w14:paraId="624D0B5E">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838EB4B">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550E081">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52</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4633B075">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2271BEF9">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28D99D12">
            <w:pPr>
              <w:spacing w:line="360" w:lineRule="auto"/>
              <w:jc w:val="center"/>
              <w:rPr>
                <w:rFonts w:cs="宋体" w:asciiTheme="minorEastAsia" w:hAnsiTheme="minorEastAsia" w:eastAsiaTheme="minorEastAsia"/>
                <w:color w:val="auto"/>
                <w:sz w:val="24"/>
                <w:highlight w:val="none"/>
              </w:rPr>
            </w:pPr>
          </w:p>
        </w:tc>
      </w:tr>
      <w:tr w14:paraId="503A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39F35830">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20</w:t>
            </w:r>
          </w:p>
        </w:tc>
        <w:tc>
          <w:tcPr>
            <w:tcW w:w="1701" w:type="dxa"/>
            <w:vAlign w:val="center"/>
          </w:tcPr>
          <w:p w14:paraId="5AA3FA4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考场数字定焦广角摄像机</w:t>
            </w:r>
          </w:p>
        </w:tc>
        <w:tc>
          <w:tcPr>
            <w:tcW w:w="2268" w:type="dxa"/>
            <w:vAlign w:val="center"/>
          </w:tcPr>
          <w:p w14:paraId="6597B728">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2380D8D">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6382D0AF">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54</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6CFFD556">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BBB6BBF">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65D09C0E">
            <w:pPr>
              <w:spacing w:line="360" w:lineRule="auto"/>
              <w:jc w:val="center"/>
              <w:rPr>
                <w:rFonts w:cs="宋体" w:asciiTheme="minorEastAsia" w:hAnsiTheme="minorEastAsia" w:eastAsiaTheme="minorEastAsia"/>
                <w:color w:val="auto"/>
                <w:sz w:val="24"/>
                <w:highlight w:val="none"/>
              </w:rPr>
            </w:pPr>
          </w:p>
        </w:tc>
      </w:tr>
      <w:tr w14:paraId="4B8F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A18ACAA">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21</w:t>
            </w:r>
          </w:p>
        </w:tc>
        <w:tc>
          <w:tcPr>
            <w:tcW w:w="1701" w:type="dxa"/>
            <w:vAlign w:val="center"/>
          </w:tcPr>
          <w:p w14:paraId="779A6C74">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LED显示屏</w:t>
            </w:r>
          </w:p>
        </w:tc>
        <w:tc>
          <w:tcPr>
            <w:tcW w:w="2268" w:type="dxa"/>
            <w:vAlign w:val="center"/>
          </w:tcPr>
          <w:p w14:paraId="411924F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38A8CF1">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5FB5EC9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2块</w:t>
            </w:r>
          </w:p>
        </w:tc>
        <w:tc>
          <w:tcPr>
            <w:tcW w:w="1559" w:type="dxa"/>
            <w:vAlign w:val="center"/>
          </w:tcPr>
          <w:p w14:paraId="114E9782">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7EA1F5DA">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274D812F">
            <w:pPr>
              <w:spacing w:line="360" w:lineRule="auto"/>
              <w:jc w:val="center"/>
              <w:rPr>
                <w:rFonts w:cs="宋体" w:asciiTheme="minorEastAsia" w:hAnsiTheme="minorEastAsia" w:eastAsiaTheme="minorEastAsia"/>
                <w:color w:val="auto"/>
                <w:sz w:val="24"/>
                <w:highlight w:val="none"/>
              </w:rPr>
            </w:pPr>
          </w:p>
        </w:tc>
      </w:tr>
      <w:tr w14:paraId="0B6D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633C0B36">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22</w:t>
            </w:r>
          </w:p>
        </w:tc>
        <w:tc>
          <w:tcPr>
            <w:tcW w:w="1701" w:type="dxa"/>
            <w:vAlign w:val="center"/>
          </w:tcPr>
          <w:p w14:paraId="1D7E39D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导播终端</w:t>
            </w:r>
          </w:p>
        </w:tc>
        <w:tc>
          <w:tcPr>
            <w:tcW w:w="2268" w:type="dxa"/>
            <w:vAlign w:val="center"/>
          </w:tcPr>
          <w:p w14:paraId="7F0A1955">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E572203">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FBB195B">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2台</w:t>
            </w:r>
          </w:p>
        </w:tc>
        <w:tc>
          <w:tcPr>
            <w:tcW w:w="1559" w:type="dxa"/>
            <w:vAlign w:val="center"/>
          </w:tcPr>
          <w:p w14:paraId="4654145C">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478F7495">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84CBE44">
            <w:pPr>
              <w:spacing w:line="360" w:lineRule="auto"/>
              <w:jc w:val="center"/>
              <w:rPr>
                <w:rFonts w:cs="宋体" w:asciiTheme="minorEastAsia" w:hAnsiTheme="minorEastAsia" w:eastAsiaTheme="minorEastAsia"/>
                <w:color w:val="auto"/>
                <w:sz w:val="24"/>
                <w:highlight w:val="none"/>
              </w:rPr>
            </w:pPr>
          </w:p>
        </w:tc>
      </w:tr>
      <w:tr w14:paraId="7D5F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3262C123">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23</w:t>
            </w:r>
          </w:p>
        </w:tc>
        <w:tc>
          <w:tcPr>
            <w:tcW w:w="1701" w:type="dxa"/>
            <w:vAlign w:val="center"/>
          </w:tcPr>
          <w:p w14:paraId="3883160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控制型智慧讲台</w:t>
            </w:r>
          </w:p>
        </w:tc>
        <w:tc>
          <w:tcPr>
            <w:tcW w:w="2268" w:type="dxa"/>
            <w:vAlign w:val="center"/>
          </w:tcPr>
          <w:p w14:paraId="3B4E3DF6">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47DBA3AC">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6F771821">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2套</w:t>
            </w:r>
          </w:p>
        </w:tc>
        <w:tc>
          <w:tcPr>
            <w:tcW w:w="1559" w:type="dxa"/>
            <w:vAlign w:val="center"/>
          </w:tcPr>
          <w:p w14:paraId="7CFFD7B7">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86BBFF7">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1AF6E87F">
            <w:pPr>
              <w:spacing w:line="360" w:lineRule="auto"/>
              <w:jc w:val="center"/>
              <w:rPr>
                <w:rFonts w:cs="宋体" w:asciiTheme="minorEastAsia" w:hAnsiTheme="minorEastAsia" w:eastAsiaTheme="minorEastAsia"/>
                <w:color w:val="auto"/>
                <w:sz w:val="24"/>
                <w:highlight w:val="none"/>
              </w:rPr>
            </w:pPr>
          </w:p>
        </w:tc>
      </w:tr>
      <w:tr w14:paraId="6A3D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5E55C60B">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24</w:t>
            </w:r>
          </w:p>
        </w:tc>
        <w:tc>
          <w:tcPr>
            <w:tcW w:w="1701" w:type="dxa"/>
            <w:vAlign w:val="center"/>
          </w:tcPr>
          <w:p w14:paraId="74CE051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智能电源管理器</w:t>
            </w:r>
          </w:p>
        </w:tc>
        <w:tc>
          <w:tcPr>
            <w:tcW w:w="2268" w:type="dxa"/>
            <w:vAlign w:val="center"/>
          </w:tcPr>
          <w:p w14:paraId="499A2445">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5476D69">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3CB9CD9">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2台</w:t>
            </w:r>
          </w:p>
        </w:tc>
        <w:tc>
          <w:tcPr>
            <w:tcW w:w="1559" w:type="dxa"/>
            <w:vAlign w:val="center"/>
          </w:tcPr>
          <w:p w14:paraId="5CB0A611">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1593F6E6">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E3FFE5F">
            <w:pPr>
              <w:spacing w:line="360" w:lineRule="auto"/>
              <w:jc w:val="center"/>
              <w:rPr>
                <w:rFonts w:cs="宋体" w:asciiTheme="minorEastAsia" w:hAnsiTheme="minorEastAsia" w:eastAsiaTheme="minorEastAsia"/>
                <w:color w:val="auto"/>
                <w:sz w:val="24"/>
                <w:highlight w:val="none"/>
              </w:rPr>
            </w:pPr>
          </w:p>
        </w:tc>
      </w:tr>
      <w:tr w14:paraId="4D87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567" w:type="dxa"/>
            <w:gridSpan w:val="8"/>
            <w:vAlign w:val="center"/>
          </w:tcPr>
          <w:p w14:paraId="5E5CDCB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kern w:val="0"/>
                <w:sz w:val="24"/>
                <w:szCs w:val="24"/>
                <w:highlight w:val="none"/>
                <w:lang w:bidi="ar"/>
              </w:rPr>
              <w:t>二、教师管理系统集成</w:t>
            </w:r>
          </w:p>
        </w:tc>
      </w:tr>
      <w:tr w14:paraId="535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FE91DD7">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25</w:t>
            </w:r>
          </w:p>
        </w:tc>
        <w:tc>
          <w:tcPr>
            <w:tcW w:w="1701" w:type="dxa"/>
            <w:vAlign w:val="center"/>
          </w:tcPr>
          <w:p w14:paraId="0E557A0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显示大屏</w:t>
            </w:r>
          </w:p>
        </w:tc>
        <w:tc>
          <w:tcPr>
            <w:tcW w:w="2268" w:type="dxa"/>
            <w:vAlign w:val="center"/>
          </w:tcPr>
          <w:p w14:paraId="72BF0077">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5AA79C4">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149903D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1台</w:t>
            </w:r>
          </w:p>
        </w:tc>
        <w:tc>
          <w:tcPr>
            <w:tcW w:w="1559" w:type="dxa"/>
            <w:vAlign w:val="center"/>
          </w:tcPr>
          <w:p w14:paraId="3514668E">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5195191">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6449A740">
            <w:pPr>
              <w:spacing w:line="360" w:lineRule="auto"/>
              <w:jc w:val="center"/>
              <w:rPr>
                <w:rFonts w:cs="宋体" w:asciiTheme="minorEastAsia" w:hAnsiTheme="minorEastAsia" w:eastAsiaTheme="minorEastAsia"/>
                <w:color w:val="auto"/>
                <w:sz w:val="24"/>
                <w:highlight w:val="none"/>
              </w:rPr>
            </w:pPr>
          </w:p>
        </w:tc>
      </w:tr>
      <w:tr w14:paraId="7ED5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1593FC5C">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26</w:t>
            </w:r>
          </w:p>
        </w:tc>
        <w:tc>
          <w:tcPr>
            <w:tcW w:w="1701" w:type="dxa"/>
            <w:vAlign w:val="center"/>
          </w:tcPr>
          <w:p w14:paraId="33F8ABD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服务器</w:t>
            </w:r>
          </w:p>
        </w:tc>
        <w:tc>
          <w:tcPr>
            <w:tcW w:w="2268" w:type="dxa"/>
            <w:vAlign w:val="center"/>
          </w:tcPr>
          <w:p w14:paraId="3E79D5B2">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1F8EA81">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19C6CD1">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1台</w:t>
            </w:r>
          </w:p>
        </w:tc>
        <w:tc>
          <w:tcPr>
            <w:tcW w:w="1559" w:type="dxa"/>
            <w:vAlign w:val="center"/>
          </w:tcPr>
          <w:p w14:paraId="65CD4E93">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7F78472">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2BCA4391">
            <w:pPr>
              <w:spacing w:line="360" w:lineRule="auto"/>
              <w:jc w:val="center"/>
              <w:rPr>
                <w:rFonts w:cs="宋体" w:asciiTheme="minorEastAsia" w:hAnsiTheme="minorEastAsia" w:eastAsiaTheme="minorEastAsia"/>
                <w:color w:val="auto"/>
                <w:sz w:val="24"/>
                <w:highlight w:val="none"/>
              </w:rPr>
            </w:pPr>
          </w:p>
        </w:tc>
      </w:tr>
      <w:tr w14:paraId="2998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6B456759">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27</w:t>
            </w:r>
          </w:p>
        </w:tc>
        <w:tc>
          <w:tcPr>
            <w:tcW w:w="1701" w:type="dxa"/>
            <w:vAlign w:val="center"/>
          </w:tcPr>
          <w:p w14:paraId="671453E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控制电脑</w:t>
            </w:r>
          </w:p>
        </w:tc>
        <w:tc>
          <w:tcPr>
            <w:tcW w:w="2268" w:type="dxa"/>
            <w:vAlign w:val="center"/>
          </w:tcPr>
          <w:p w14:paraId="7E64530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D77E9D2">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58428189">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2台</w:t>
            </w:r>
          </w:p>
        </w:tc>
        <w:tc>
          <w:tcPr>
            <w:tcW w:w="1559" w:type="dxa"/>
            <w:vAlign w:val="center"/>
          </w:tcPr>
          <w:p w14:paraId="3E591083">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13C8AB7C">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20DE87E2">
            <w:pPr>
              <w:spacing w:line="360" w:lineRule="auto"/>
              <w:jc w:val="center"/>
              <w:rPr>
                <w:rFonts w:cs="宋体" w:asciiTheme="minorEastAsia" w:hAnsiTheme="minorEastAsia" w:eastAsiaTheme="minorEastAsia"/>
                <w:color w:val="auto"/>
                <w:sz w:val="24"/>
                <w:highlight w:val="none"/>
              </w:rPr>
            </w:pPr>
          </w:p>
        </w:tc>
      </w:tr>
      <w:tr w14:paraId="0BC2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BA5A34B">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28</w:t>
            </w:r>
          </w:p>
        </w:tc>
        <w:tc>
          <w:tcPr>
            <w:tcW w:w="1701" w:type="dxa"/>
            <w:vAlign w:val="center"/>
          </w:tcPr>
          <w:p w14:paraId="71D5649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控制桌</w:t>
            </w:r>
          </w:p>
        </w:tc>
        <w:tc>
          <w:tcPr>
            <w:tcW w:w="2268" w:type="dxa"/>
            <w:vAlign w:val="center"/>
          </w:tcPr>
          <w:p w14:paraId="39F532C7">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FFD6F31">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0C15133C">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1套</w:t>
            </w:r>
          </w:p>
        </w:tc>
        <w:tc>
          <w:tcPr>
            <w:tcW w:w="1559" w:type="dxa"/>
            <w:vAlign w:val="center"/>
          </w:tcPr>
          <w:p w14:paraId="025096BC">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7C85CDA3">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61E757CA">
            <w:pPr>
              <w:spacing w:line="360" w:lineRule="auto"/>
              <w:jc w:val="center"/>
              <w:rPr>
                <w:rFonts w:cs="宋体" w:asciiTheme="minorEastAsia" w:hAnsiTheme="minorEastAsia" w:eastAsiaTheme="minorEastAsia"/>
                <w:color w:val="auto"/>
                <w:sz w:val="24"/>
                <w:highlight w:val="none"/>
              </w:rPr>
            </w:pPr>
          </w:p>
        </w:tc>
      </w:tr>
      <w:tr w14:paraId="2025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1BC47008">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29</w:t>
            </w:r>
          </w:p>
        </w:tc>
        <w:tc>
          <w:tcPr>
            <w:tcW w:w="1701" w:type="dxa"/>
            <w:vAlign w:val="center"/>
          </w:tcPr>
          <w:p w14:paraId="46C12A2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录直播资源管理平台</w:t>
            </w:r>
          </w:p>
        </w:tc>
        <w:tc>
          <w:tcPr>
            <w:tcW w:w="2268" w:type="dxa"/>
            <w:vAlign w:val="center"/>
          </w:tcPr>
          <w:p w14:paraId="36B9A94C">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2840ED5">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2FD2C018">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套</w:t>
            </w:r>
          </w:p>
        </w:tc>
        <w:tc>
          <w:tcPr>
            <w:tcW w:w="1559" w:type="dxa"/>
            <w:vAlign w:val="center"/>
          </w:tcPr>
          <w:p w14:paraId="1FB3E71E">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1629FBE">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5D50BCB">
            <w:pPr>
              <w:spacing w:line="360" w:lineRule="auto"/>
              <w:jc w:val="center"/>
              <w:rPr>
                <w:rFonts w:cs="宋体" w:asciiTheme="minorEastAsia" w:hAnsiTheme="minorEastAsia" w:eastAsiaTheme="minorEastAsia"/>
                <w:color w:val="auto"/>
                <w:sz w:val="24"/>
                <w:highlight w:val="none"/>
              </w:rPr>
            </w:pPr>
          </w:p>
        </w:tc>
      </w:tr>
      <w:tr w14:paraId="49DB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5D9FCE27">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30</w:t>
            </w:r>
          </w:p>
        </w:tc>
        <w:tc>
          <w:tcPr>
            <w:tcW w:w="1701" w:type="dxa"/>
            <w:vAlign w:val="center"/>
          </w:tcPr>
          <w:p w14:paraId="3795A34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教学管理平台</w:t>
            </w:r>
          </w:p>
        </w:tc>
        <w:tc>
          <w:tcPr>
            <w:tcW w:w="2268" w:type="dxa"/>
            <w:vAlign w:val="center"/>
          </w:tcPr>
          <w:p w14:paraId="43AB0CA5">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1030BBC">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59D92808">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套</w:t>
            </w:r>
          </w:p>
        </w:tc>
        <w:tc>
          <w:tcPr>
            <w:tcW w:w="1559" w:type="dxa"/>
            <w:vAlign w:val="center"/>
          </w:tcPr>
          <w:p w14:paraId="00AC6F0B">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3AC8C20">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66D6AA0B">
            <w:pPr>
              <w:spacing w:line="360" w:lineRule="auto"/>
              <w:jc w:val="center"/>
              <w:rPr>
                <w:rFonts w:cs="宋体" w:asciiTheme="minorEastAsia" w:hAnsiTheme="minorEastAsia" w:eastAsiaTheme="minorEastAsia"/>
                <w:color w:val="auto"/>
                <w:sz w:val="24"/>
                <w:highlight w:val="none"/>
              </w:rPr>
            </w:pPr>
          </w:p>
        </w:tc>
      </w:tr>
      <w:tr w14:paraId="6448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434B1029">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31</w:t>
            </w:r>
          </w:p>
        </w:tc>
        <w:tc>
          <w:tcPr>
            <w:tcW w:w="1701" w:type="dxa"/>
            <w:vAlign w:val="center"/>
          </w:tcPr>
          <w:p w14:paraId="404901E2">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 xml:space="preserve">SIP </w:t>
            </w:r>
            <w:r>
              <w:rPr>
                <w:rFonts w:hint="eastAsia" w:cs="宋体" w:asciiTheme="minorEastAsia" w:hAnsiTheme="minorEastAsia" w:eastAsiaTheme="minorEastAsia"/>
                <w:color w:val="auto"/>
                <w:kern w:val="0"/>
                <w:sz w:val="24"/>
                <w:szCs w:val="24"/>
                <w:highlight w:val="none"/>
                <w:lang w:bidi="ar"/>
              </w:rPr>
              <w:t>服务器</w:t>
            </w:r>
          </w:p>
        </w:tc>
        <w:tc>
          <w:tcPr>
            <w:tcW w:w="2268" w:type="dxa"/>
            <w:vAlign w:val="center"/>
          </w:tcPr>
          <w:p w14:paraId="71DABC0B">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7A54318">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5963727F">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5462900B">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F65007C">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7D6DF860">
            <w:pPr>
              <w:spacing w:line="360" w:lineRule="auto"/>
              <w:jc w:val="center"/>
              <w:rPr>
                <w:rFonts w:cs="宋体" w:asciiTheme="minorEastAsia" w:hAnsiTheme="minorEastAsia" w:eastAsiaTheme="minorEastAsia"/>
                <w:color w:val="auto"/>
                <w:sz w:val="24"/>
                <w:highlight w:val="none"/>
              </w:rPr>
            </w:pPr>
          </w:p>
        </w:tc>
      </w:tr>
      <w:tr w14:paraId="4623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69AA313">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32</w:t>
            </w:r>
          </w:p>
        </w:tc>
        <w:tc>
          <w:tcPr>
            <w:tcW w:w="1701" w:type="dxa"/>
            <w:vAlign w:val="center"/>
          </w:tcPr>
          <w:p w14:paraId="15433C26">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4路网络音视频解码器</w:t>
            </w:r>
          </w:p>
        </w:tc>
        <w:tc>
          <w:tcPr>
            <w:tcW w:w="2268" w:type="dxa"/>
            <w:vAlign w:val="center"/>
          </w:tcPr>
          <w:p w14:paraId="4BBAE33F">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9FE3D93">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C0DC6A9">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7F76F328">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C6D9594">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740D16B3">
            <w:pPr>
              <w:spacing w:line="360" w:lineRule="auto"/>
              <w:jc w:val="center"/>
              <w:rPr>
                <w:rFonts w:cs="宋体" w:asciiTheme="minorEastAsia" w:hAnsiTheme="minorEastAsia" w:eastAsiaTheme="minorEastAsia"/>
                <w:color w:val="auto"/>
                <w:sz w:val="24"/>
                <w:highlight w:val="none"/>
              </w:rPr>
            </w:pPr>
          </w:p>
        </w:tc>
      </w:tr>
      <w:tr w14:paraId="536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C965C06">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33</w:t>
            </w:r>
          </w:p>
        </w:tc>
        <w:tc>
          <w:tcPr>
            <w:tcW w:w="1701" w:type="dxa"/>
            <w:vAlign w:val="center"/>
          </w:tcPr>
          <w:p w14:paraId="6CCF81C3">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64路NVR存储设备</w:t>
            </w:r>
          </w:p>
        </w:tc>
        <w:tc>
          <w:tcPr>
            <w:tcW w:w="2268" w:type="dxa"/>
            <w:vAlign w:val="center"/>
          </w:tcPr>
          <w:p w14:paraId="5192E88B">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F075861">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76362AE0">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2088980F">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4743A4C2">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40F61F28">
            <w:pPr>
              <w:spacing w:line="360" w:lineRule="auto"/>
              <w:jc w:val="center"/>
              <w:rPr>
                <w:rFonts w:cs="宋体" w:asciiTheme="minorEastAsia" w:hAnsiTheme="minorEastAsia" w:eastAsiaTheme="minorEastAsia"/>
                <w:color w:val="auto"/>
                <w:sz w:val="24"/>
                <w:highlight w:val="none"/>
              </w:rPr>
            </w:pPr>
          </w:p>
        </w:tc>
      </w:tr>
      <w:tr w14:paraId="053B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72F8A6EB">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34</w:t>
            </w:r>
          </w:p>
        </w:tc>
        <w:tc>
          <w:tcPr>
            <w:tcW w:w="1701" w:type="dxa"/>
            <w:vAlign w:val="center"/>
          </w:tcPr>
          <w:p w14:paraId="3F74AF3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硬盘</w:t>
            </w:r>
          </w:p>
        </w:tc>
        <w:tc>
          <w:tcPr>
            <w:tcW w:w="2268" w:type="dxa"/>
            <w:vAlign w:val="center"/>
          </w:tcPr>
          <w:p w14:paraId="7260AAB4">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0B87C70">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4B363F87">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8块</w:t>
            </w:r>
          </w:p>
        </w:tc>
        <w:tc>
          <w:tcPr>
            <w:tcW w:w="1559" w:type="dxa"/>
            <w:vAlign w:val="center"/>
          </w:tcPr>
          <w:p w14:paraId="3C75E133">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220EBD4">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55A42ACF">
            <w:pPr>
              <w:spacing w:line="360" w:lineRule="auto"/>
              <w:jc w:val="center"/>
              <w:rPr>
                <w:rFonts w:cs="宋体" w:asciiTheme="minorEastAsia" w:hAnsiTheme="minorEastAsia" w:eastAsiaTheme="minorEastAsia"/>
                <w:color w:val="auto"/>
                <w:sz w:val="24"/>
                <w:highlight w:val="none"/>
              </w:rPr>
            </w:pPr>
          </w:p>
        </w:tc>
      </w:tr>
      <w:tr w14:paraId="338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51498E3F">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35</w:t>
            </w:r>
          </w:p>
        </w:tc>
        <w:tc>
          <w:tcPr>
            <w:tcW w:w="1701" w:type="dxa"/>
            <w:vAlign w:val="center"/>
          </w:tcPr>
          <w:p w14:paraId="5C22AF3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教育考试网上巡查系统软件</w:t>
            </w:r>
          </w:p>
        </w:tc>
        <w:tc>
          <w:tcPr>
            <w:tcW w:w="2268" w:type="dxa"/>
            <w:vAlign w:val="center"/>
          </w:tcPr>
          <w:p w14:paraId="084C34B3">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30ED3DA">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68F2154A">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套</w:t>
            </w:r>
          </w:p>
        </w:tc>
        <w:tc>
          <w:tcPr>
            <w:tcW w:w="1559" w:type="dxa"/>
            <w:vAlign w:val="center"/>
          </w:tcPr>
          <w:p w14:paraId="7F14BBB9">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768A0497">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14DC6640">
            <w:pPr>
              <w:spacing w:line="360" w:lineRule="auto"/>
              <w:jc w:val="center"/>
              <w:rPr>
                <w:rFonts w:cs="宋体" w:asciiTheme="minorEastAsia" w:hAnsiTheme="minorEastAsia" w:eastAsiaTheme="minorEastAsia"/>
                <w:color w:val="auto"/>
                <w:sz w:val="24"/>
                <w:highlight w:val="none"/>
              </w:rPr>
            </w:pPr>
          </w:p>
        </w:tc>
      </w:tr>
      <w:tr w14:paraId="7203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33FDA391">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36</w:t>
            </w:r>
          </w:p>
        </w:tc>
        <w:tc>
          <w:tcPr>
            <w:tcW w:w="1701" w:type="dxa"/>
            <w:vAlign w:val="center"/>
          </w:tcPr>
          <w:p w14:paraId="6379465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机柜</w:t>
            </w:r>
          </w:p>
        </w:tc>
        <w:tc>
          <w:tcPr>
            <w:tcW w:w="2268" w:type="dxa"/>
            <w:vAlign w:val="center"/>
          </w:tcPr>
          <w:p w14:paraId="251B8B1F">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95A2351">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10AA2C7E">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w:t>
            </w:r>
            <w:r>
              <w:rPr>
                <w:rFonts w:hint="eastAsia" w:cs="宋体" w:asciiTheme="minorEastAsia" w:hAnsiTheme="minorEastAsia" w:eastAsiaTheme="minorEastAsia"/>
                <w:color w:val="auto"/>
                <w:kern w:val="0"/>
                <w:sz w:val="24"/>
                <w:szCs w:val="24"/>
                <w:highlight w:val="none"/>
                <w:lang w:bidi="ar"/>
              </w:rPr>
              <w:t>个</w:t>
            </w:r>
          </w:p>
        </w:tc>
        <w:tc>
          <w:tcPr>
            <w:tcW w:w="1559" w:type="dxa"/>
            <w:vAlign w:val="center"/>
          </w:tcPr>
          <w:p w14:paraId="672DA089">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64FC2F76">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1068665A">
            <w:pPr>
              <w:spacing w:line="360" w:lineRule="auto"/>
              <w:jc w:val="center"/>
              <w:rPr>
                <w:rFonts w:cs="宋体" w:asciiTheme="minorEastAsia" w:hAnsiTheme="minorEastAsia" w:eastAsiaTheme="minorEastAsia"/>
                <w:color w:val="auto"/>
                <w:sz w:val="24"/>
                <w:highlight w:val="none"/>
              </w:rPr>
            </w:pPr>
          </w:p>
        </w:tc>
      </w:tr>
      <w:tr w14:paraId="47B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0EEB6A55">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37</w:t>
            </w:r>
          </w:p>
        </w:tc>
        <w:tc>
          <w:tcPr>
            <w:tcW w:w="1701" w:type="dxa"/>
            <w:vAlign w:val="center"/>
          </w:tcPr>
          <w:p w14:paraId="5D7CD05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多媒体播放器</w:t>
            </w:r>
          </w:p>
        </w:tc>
        <w:tc>
          <w:tcPr>
            <w:tcW w:w="2268" w:type="dxa"/>
            <w:vAlign w:val="center"/>
          </w:tcPr>
          <w:p w14:paraId="6F22C2D3">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9C64F8A">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66FEC2AE">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43761714">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4CE571D0">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6D77A1A3">
            <w:pPr>
              <w:spacing w:line="360" w:lineRule="auto"/>
              <w:jc w:val="center"/>
              <w:rPr>
                <w:rFonts w:cs="宋体" w:asciiTheme="minorEastAsia" w:hAnsiTheme="minorEastAsia" w:eastAsiaTheme="minorEastAsia"/>
                <w:color w:val="auto"/>
                <w:sz w:val="24"/>
                <w:highlight w:val="none"/>
              </w:rPr>
            </w:pPr>
          </w:p>
        </w:tc>
      </w:tr>
      <w:tr w14:paraId="7280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316C2606">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38</w:t>
            </w:r>
          </w:p>
        </w:tc>
        <w:tc>
          <w:tcPr>
            <w:tcW w:w="1701" w:type="dxa"/>
            <w:vAlign w:val="center"/>
          </w:tcPr>
          <w:p w14:paraId="1D90815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程控调频发射机</w:t>
            </w:r>
          </w:p>
        </w:tc>
        <w:tc>
          <w:tcPr>
            <w:tcW w:w="2268" w:type="dxa"/>
            <w:vAlign w:val="center"/>
          </w:tcPr>
          <w:p w14:paraId="5AAF77BC">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F169D29">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6D2C0E0A">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w:t>
            </w:r>
            <w:r>
              <w:rPr>
                <w:rFonts w:hint="eastAsia" w:cs="宋体" w:asciiTheme="minorEastAsia" w:hAnsiTheme="minorEastAsia" w:eastAsiaTheme="minorEastAsia"/>
                <w:color w:val="auto"/>
                <w:kern w:val="0"/>
                <w:sz w:val="24"/>
                <w:szCs w:val="24"/>
                <w:highlight w:val="none"/>
                <w:lang w:bidi="ar"/>
              </w:rPr>
              <w:t>台</w:t>
            </w:r>
          </w:p>
        </w:tc>
        <w:tc>
          <w:tcPr>
            <w:tcW w:w="1559" w:type="dxa"/>
            <w:vAlign w:val="center"/>
          </w:tcPr>
          <w:p w14:paraId="68AB4976">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50F62A26">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5F273724">
            <w:pPr>
              <w:spacing w:line="360" w:lineRule="auto"/>
              <w:jc w:val="center"/>
              <w:rPr>
                <w:rFonts w:cs="宋体" w:asciiTheme="minorEastAsia" w:hAnsiTheme="minorEastAsia" w:eastAsiaTheme="minorEastAsia"/>
                <w:color w:val="auto"/>
                <w:sz w:val="24"/>
                <w:highlight w:val="none"/>
              </w:rPr>
            </w:pPr>
          </w:p>
        </w:tc>
      </w:tr>
      <w:tr w14:paraId="5EF3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B98F521">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39</w:t>
            </w:r>
          </w:p>
        </w:tc>
        <w:tc>
          <w:tcPr>
            <w:tcW w:w="1701" w:type="dxa"/>
            <w:vAlign w:val="center"/>
          </w:tcPr>
          <w:p w14:paraId="0849131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系统避雷器</w:t>
            </w:r>
          </w:p>
        </w:tc>
        <w:tc>
          <w:tcPr>
            <w:tcW w:w="2268" w:type="dxa"/>
            <w:vAlign w:val="center"/>
          </w:tcPr>
          <w:p w14:paraId="7C5DF383">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3263765">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2DD68C9A">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1套</w:t>
            </w:r>
          </w:p>
        </w:tc>
        <w:tc>
          <w:tcPr>
            <w:tcW w:w="1559" w:type="dxa"/>
            <w:vAlign w:val="center"/>
          </w:tcPr>
          <w:p w14:paraId="32400B6A">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3302E5D8">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0BA57FAA">
            <w:pPr>
              <w:spacing w:line="360" w:lineRule="auto"/>
              <w:jc w:val="center"/>
              <w:rPr>
                <w:rFonts w:cs="宋体" w:asciiTheme="minorEastAsia" w:hAnsiTheme="minorEastAsia" w:eastAsiaTheme="minorEastAsia"/>
                <w:color w:val="auto"/>
                <w:sz w:val="24"/>
                <w:highlight w:val="none"/>
              </w:rPr>
            </w:pPr>
          </w:p>
        </w:tc>
      </w:tr>
      <w:tr w14:paraId="2FAB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6953C3EB">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40</w:t>
            </w:r>
          </w:p>
        </w:tc>
        <w:tc>
          <w:tcPr>
            <w:tcW w:w="1701" w:type="dxa"/>
            <w:vAlign w:val="center"/>
          </w:tcPr>
          <w:p w14:paraId="30D2C72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户外调频发射天线</w:t>
            </w:r>
          </w:p>
        </w:tc>
        <w:tc>
          <w:tcPr>
            <w:tcW w:w="2268" w:type="dxa"/>
            <w:vAlign w:val="center"/>
          </w:tcPr>
          <w:p w14:paraId="20EA80B5">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ABCC611">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2144243C">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2套</w:t>
            </w:r>
          </w:p>
        </w:tc>
        <w:tc>
          <w:tcPr>
            <w:tcW w:w="1559" w:type="dxa"/>
            <w:vAlign w:val="center"/>
          </w:tcPr>
          <w:p w14:paraId="1E959CFD">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0C21239F">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317B6103">
            <w:pPr>
              <w:spacing w:line="360" w:lineRule="auto"/>
              <w:jc w:val="center"/>
              <w:rPr>
                <w:rFonts w:cs="宋体" w:asciiTheme="minorEastAsia" w:hAnsiTheme="minorEastAsia" w:eastAsiaTheme="minorEastAsia"/>
                <w:color w:val="auto"/>
                <w:sz w:val="24"/>
                <w:highlight w:val="none"/>
              </w:rPr>
            </w:pPr>
          </w:p>
        </w:tc>
      </w:tr>
      <w:tr w14:paraId="322F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14:paraId="2BA0D987">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41</w:t>
            </w:r>
          </w:p>
        </w:tc>
        <w:tc>
          <w:tcPr>
            <w:tcW w:w="1701" w:type="dxa"/>
            <w:vAlign w:val="center"/>
          </w:tcPr>
          <w:p w14:paraId="422583B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szCs w:val="24"/>
                <w:highlight w:val="none"/>
                <w:lang w:bidi="ar"/>
              </w:rPr>
              <w:t>系统馈线</w:t>
            </w:r>
          </w:p>
        </w:tc>
        <w:tc>
          <w:tcPr>
            <w:tcW w:w="2268" w:type="dxa"/>
            <w:vAlign w:val="center"/>
          </w:tcPr>
          <w:p w14:paraId="41FAFDC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DAB996D">
            <w:pPr>
              <w:snapToGrid w:val="0"/>
              <w:spacing w:line="360" w:lineRule="auto"/>
              <w:jc w:val="center"/>
              <w:rPr>
                <w:rFonts w:cs="宋体" w:asciiTheme="minorEastAsia" w:hAnsiTheme="minorEastAsia" w:eastAsiaTheme="minorEastAsia"/>
                <w:color w:val="auto"/>
                <w:sz w:val="24"/>
                <w:highlight w:val="none"/>
              </w:rPr>
            </w:pPr>
          </w:p>
        </w:tc>
        <w:tc>
          <w:tcPr>
            <w:tcW w:w="993" w:type="dxa"/>
            <w:vAlign w:val="center"/>
          </w:tcPr>
          <w:p w14:paraId="2CA61B67">
            <w:pPr>
              <w:snapToGrid w:val="0"/>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kern w:val="0"/>
                <w:sz w:val="24"/>
                <w:szCs w:val="24"/>
                <w:highlight w:val="none"/>
                <w:lang w:bidi="ar"/>
              </w:rPr>
              <w:t>100米</w:t>
            </w:r>
          </w:p>
        </w:tc>
        <w:tc>
          <w:tcPr>
            <w:tcW w:w="1559" w:type="dxa"/>
            <w:vAlign w:val="center"/>
          </w:tcPr>
          <w:p w14:paraId="1F6792BB">
            <w:pPr>
              <w:spacing w:line="360" w:lineRule="auto"/>
              <w:jc w:val="center"/>
              <w:rPr>
                <w:rFonts w:cs="宋体" w:asciiTheme="minorEastAsia" w:hAnsiTheme="minorEastAsia" w:eastAsiaTheme="minorEastAsia"/>
                <w:color w:val="auto"/>
                <w:sz w:val="24"/>
                <w:highlight w:val="none"/>
              </w:rPr>
            </w:pPr>
          </w:p>
        </w:tc>
        <w:tc>
          <w:tcPr>
            <w:tcW w:w="1984" w:type="dxa"/>
            <w:vAlign w:val="center"/>
          </w:tcPr>
          <w:p w14:paraId="636D4479">
            <w:pPr>
              <w:spacing w:line="360" w:lineRule="auto"/>
              <w:jc w:val="center"/>
              <w:rPr>
                <w:rFonts w:cs="宋体" w:asciiTheme="minorEastAsia" w:hAnsiTheme="minorEastAsia" w:eastAsiaTheme="minorEastAsia"/>
                <w:color w:val="auto"/>
                <w:sz w:val="24"/>
                <w:highlight w:val="none"/>
              </w:rPr>
            </w:pPr>
          </w:p>
        </w:tc>
        <w:tc>
          <w:tcPr>
            <w:tcW w:w="3119" w:type="dxa"/>
            <w:vAlign w:val="center"/>
          </w:tcPr>
          <w:p w14:paraId="39BA5418">
            <w:pPr>
              <w:spacing w:line="360" w:lineRule="auto"/>
              <w:jc w:val="center"/>
              <w:rPr>
                <w:rFonts w:cs="宋体" w:asciiTheme="minorEastAsia" w:hAnsiTheme="minorEastAsia" w:eastAsiaTheme="minorEastAsia"/>
                <w:color w:val="auto"/>
                <w:sz w:val="24"/>
                <w:highlight w:val="none"/>
              </w:rPr>
            </w:pPr>
          </w:p>
        </w:tc>
      </w:tr>
      <w:tr w14:paraId="35EF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55A45DDF">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投标报价（小写）</w:t>
            </w:r>
          </w:p>
        </w:tc>
        <w:tc>
          <w:tcPr>
            <w:tcW w:w="7655" w:type="dxa"/>
            <w:gridSpan w:val="4"/>
            <w:vAlign w:val="center"/>
          </w:tcPr>
          <w:p w14:paraId="7CEA26C7">
            <w:pPr>
              <w:spacing w:line="360" w:lineRule="auto"/>
              <w:jc w:val="center"/>
              <w:rPr>
                <w:rFonts w:cs="宋体" w:asciiTheme="minorEastAsia" w:hAnsiTheme="minorEastAsia" w:eastAsiaTheme="minorEastAsia"/>
                <w:color w:val="auto"/>
                <w:sz w:val="24"/>
                <w:highlight w:val="none"/>
              </w:rPr>
            </w:pPr>
          </w:p>
        </w:tc>
      </w:tr>
      <w:tr w14:paraId="4486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43B0840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投标报价（大写）</w:t>
            </w:r>
          </w:p>
        </w:tc>
        <w:tc>
          <w:tcPr>
            <w:tcW w:w="7655" w:type="dxa"/>
            <w:gridSpan w:val="4"/>
            <w:vAlign w:val="center"/>
          </w:tcPr>
          <w:p w14:paraId="3159363A">
            <w:pPr>
              <w:spacing w:line="360" w:lineRule="auto"/>
              <w:jc w:val="center"/>
              <w:rPr>
                <w:rFonts w:cs="宋体" w:asciiTheme="minorEastAsia" w:hAnsiTheme="minorEastAsia" w:eastAsiaTheme="minorEastAsia"/>
                <w:color w:val="auto"/>
                <w:sz w:val="24"/>
                <w:highlight w:val="none"/>
              </w:rPr>
            </w:pPr>
          </w:p>
        </w:tc>
      </w:tr>
    </w:tbl>
    <w:p w14:paraId="55A92293">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CC231E9">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zh-CN"/>
        </w:rPr>
        <w:t>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21A415B8">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0035932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9F08E19">
      <w:pPr>
        <w:snapToGrid w:val="0"/>
        <w:spacing w:line="360" w:lineRule="auto"/>
        <w:ind w:firstLine="5520" w:firstLineChars="2300"/>
        <w:rPr>
          <w:rFonts w:ascii="宋体" w:hAnsi="宋体" w:cs="宋体"/>
          <w:color w:val="auto"/>
          <w:kern w:val="0"/>
          <w:sz w:val="24"/>
          <w:highlight w:val="none"/>
          <w:lang w:val="zh-CN"/>
        </w:rPr>
      </w:pPr>
    </w:p>
    <w:p w14:paraId="6D53824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B8AAAF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A071C1">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35D381FF">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B50E2D0">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w:t>
      </w:r>
      <w:r>
        <w:rPr>
          <w:rFonts w:hint="eastAsia" w:ascii="宋体" w:hAnsi="宋体" w:eastAsia="宋体" w:cs="宋体"/>
          <w:color w:val="auto"/>
          <w:kern w:val="2"/>
          <w:sz w:val="32"/>
          <w:szCs w:val="32"/>
          <w:highlight w:val="none"/>
          <w:lang w:val="en-US" w:eastAsia="zh-CN"/>
        </w:rPr>
        <w:t>证明材料</w:t>
      </w:r>
      <w:r>
        <w:rPr>
          <w:rFonts w:hint="eastAsia" w:ascii="宋体" w:hAnsi="宋体" w:eastAsia="宋体" w:cs="宋体"/>
          <w:color w:val="auto"/>
          <w:kern w:val="2"/>
          <w:sz w:val="32"/>
          <w:szCs w:val="32"/>
          <w:highlight w:val="none"/>
          <w:lang w:val="en-US" w:eastAsia="zh-CN"/>
        </w:rPr>
        <w:t>（如果有）</w:t>
      </w:r>
    </w:p>
    <w:p w14:paraId="781098CA">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sz w:val="24"/>
          <w:highlight w:val="none"/>
          <w:lang w:val="en-US" w:eastAsia="zh-CN"/>
        </w:rPr>
        <w:t>下列</w:t>
      </w:r>
      <w:r>
        <w:rPr>
          <w:rFonts w:hint="eastAsia" w:ascii="宋体" w:hAnsi="宋体" w:cs="宋体"/>
          <w:b/>
          <w:color w:val="auto"/>
          <w:sz w:val="24"/>
          <w:highlight w:val="none"/>
          <w:lang w:val="en-US" w:eastAsia="zh-CN"/>
        </w:rPr>
        <w:t>两项</w:t>
      </w:r>
      <w:r>
        <w:rPr>
          <w:rFonts w:hint="eastAsia" w:ascii="宋体" w:hAnsi="宋体" w:eastAsia="宋体" w:cs="宋体"/>
          <w:b/>
          <w:color w:val="auto"/>
          <w:sz w:val="24"/>
          <w:highlight w:val="none"/>
          <w:lang w:val="en-US" w:eastAsia="zh-CN"/>
        </w:rPr>
        <w:t>证明材料</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u w:val="single"/>
          <w:lang w:val="en-US" w:eastAsia="zh-CN"/>
        </w:rPr>
        <w:t>注：投标人未提供下列</w:t>
      </w:r>
      <w:r>
        <w:rPr>
          <w:rFonts w:hint="eastAsia" w:ascii="宋体" w:hAnsi="宋体" w:cs="宋体"/>
          <w:b/>
          <w:color w:val="auto"/>
          <w:sz w:val="24"/>
          <w:highlight w:val="none"/>
          <w:u w:val="single"/>
          <w:lang w:val="en-US" w:eastAsia="zh-CN"/>
        </w:rPr>
        <w:t>两项</w:t>
      </w:r>
      <w:r>
        <w:rPr>
          <w:rFonts w:hint="eastAsia" w:ascii="宋体" w:hAnsi="宋体" w:eastAsia="宋体" w:cs="宋体"/>
          <w:b/>
          <w:color w:val="auto"/>
          <w:sz w:val="24"/>
          <w:highlight w:val="none"/>
          <w:u w:val="single"/>
          <w:lang w:val="en-US" w:eastAsia="zh-CN"/>
        </w:rPr>
        <w:t>证明材料或提供的</w:t>
      </w:r>
      <w:r>
        <w:rPr>
          <w:rFonts w:hint="eastAsia" w:ascii="宋体" w:hAnsi="宋体" w:eastAsia="宋体" w:cs="宋体"/>
          <w:b/>
          <w:color w:val="auto"/>
          <w:kern w:val="2"/>
          <w:sz w:val="24"/>
          <w:szCs w:val="24"/>
          <w:highlight w:val="none"/>
          <w:u w:val="single"/>
          <w:lang w:val="en-US" w:eastAsia="zh-CN"/>
        </w:rPr>
        <w:t>证明材料不符合要求的，</w:t>
      </w:r>
      <w:r>
        <w:rPr>
          <w:rFonts w:hint="eastAsia" w:ascii="宋体" w:hAnsi="宋体" w:eastAsia="宋体" w:cs="宋体"/>
          <w:b/>
          <w:color w:val="auto"/>
          <w:sz w:val="24"/>
          <w:highlight w:val="none"/>
          <w:u w:val="single"/>
          <w:lang w:val="en-US" w:eastAsia="zh-CN"/>
        </w:rPr>
        <w:t>不享受本国产品价格扣除政策</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rPr>
        <w:t>]</w:t>
      </w:r>
    </w:p>
    <w:p w14:paraId="3A0F2678">
      <w:pPr>
        <w:snapToGrid w:val="0"/>
        <w:spacing w:before="0" w:line="360" w:lineRule="auto"/>
        <w:ind w:left="0" w:right="0" w:firstLine="643" w:firstLineChars="200"/>
        <w:jc w:val="center"/>
        <w:rPr>
          <w:rFonts w:hint="eastAsia" w:ascii="宋体" w:hAnsi="宋体" w:eastAsia="宋体" w:cs="宋体"/>
          <w:b/>
          <w:color w:val="auto"/>
          <w:sz w:val="32"/>
          <w:szCs w:val="32"/>
          <w:highlight w:val="none"/>
          <w:u w:val="none"/>
          <w:lang w:val="zh-CN" w:eastAsia="zh-CN"/>
        </w:rPr>
      </w:pPr>
    </w:p>
    <w:p w14:paraId="123184A6">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z w:val="32"/>
          <w:szCs w:val="32"/>
          <w:highlight w:val="none"/>
          <w:u w:val="none"/>
          <w:lang w:val="zh-CN" w:eastAsia="zh-CN"/>
        </w:rPr>
        <w:t>①</w:t>
      </w:r>
      <w:r>
        <w:rPr>
          <w:rFonts w:hint="eastAsia" w:ascii="宋体" w:hAnsi="宋体" w:cs="宋体"/>
          <w:b/>
          <w:color w:val="auto"/>
          <w:sz w:val="32"/>
          <w:szCs w:val="32"/>
          <w:highlight w:val="none"/>
          <w:u w:val="none"/>
          <w:lang w:val="en-US" w:eastAsia="zh-CN"/>
        </w:rPr>
        <w:t xml:space="preserve"> </w:t>
      </w:r>
      <w:r>
        <w:rPr>
          <w:rFonts w:hint="eastAsia" w:ascii="宋体" w:hAnsi="宋体" w:eastAsia="宋体" w:cs="宋体"/>
          <w:b/>
          <w:color w:val="auto"/>
          <w:spacing w:val="0"/>
          <w:sz w:val="32"/>
          <w:szCs w:val="32"/>
          <w:highlight w:val="none"/>
          <w:lang w:val="zh-CN"/>
        </w:rPr>
        <w:t>关于符合本国产品标准的声明函</w:t>
      </w:r>
    </w:p>
    <w:p w14:paraId="62E6C010">
      <w:pPr>
        <w:pStyle w:val="693"/>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（附件9）</w:t>
      </w:r>
    </w:p>
    <w:p w14:paraId="6168884A">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3A5DD6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color w:val="auto"/>
          <w:sz w:val="32"/>
          <w:szCs w:val="32"/>
          <w:highlight w:val="none"/>
          <w:lang w:val="zh-CN" w:eastAsia="zh-CN"/>
        </w:rPr>
      </w:pPr>
      <w:r>
        <w:rPr>
          <w:rFonts w:hint="eastAsia" w:ascii="宋体" w:hAnsi="宋体" w:eastAsia="宋体" w:cs="宋体"/>
          <w:b/>
          <w:bCs w:val="0"/>
          <w:color w:val="auto"/>
          <w:sz w:val="32"/>
          <w:szCs w:val="32"/>
          <w:highlight w:val="none"/>
          <w:lang w:val="zh-CN" w:eastAsia="zh-CN"/>
        </w:rPr>
        <w:t>②</w:t>
      </w:r>
      <w:r>
        <w:rPr>
          <w:rFonts w:hint="eastAsia" w:ascii="宋体" w:hAnsi="宋体" w:eastAsia="宋体" w:cs="宋体"/>
          <w:b/>
          <w:bCs w:val="0"/>
          <w:color w:val="auto"/>
          <w:sz w:val="32"/>
          <w:szCs w:val="32"/>
          <w:highlight w:val="none"/>
          <w:lang w:val="en-US" w:eastAsia="zh-CN"/>
        </w:rPr>
        <w:t xml:space="preserve"> </w:t>
      </w:r>
      <w:r>
        <w:rPr>
          <w:rFonts w:hint="eastAsia" w:ascii="宋体" w:hAnsi="宋体" w:eastAsia="宋体" w:cs="宋体"/>
          <w:b/>
          <w:color w:val="auto"/>
          <w:sz w:val="32"/>
          <w:szCs w:val="32"/>
          <w:highlight w:val="none"/>
          <w:lang w:val="zh-CN"/>
        </w:rPr>
        <w:t>关于本国产品比例的承诺</w:t>
      </w:r>
    </w:p>
    <w:p w14:paraId="1252978F">
      <w:pPr>
        <w:pStyle w:val="693"/>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1F424677">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p>
    <w:p w14:paraId="3B09BC18">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三、中小企业声明函</w:t>
      </w:r>
      <w:bookmarkStart w:id="403" w:name="_Hlk101259491"/>
      <w:r>
        <w:rPr>
          <w:rFonts w:hint="eastAsia" w:ascii="宋体" w:hAnsi="宋体" w:eastAsia="宋体" w:cs="宋体"/>
          <w:color w:val="auto"/>
          <w:sz w:val="32"/>
          <w:szCs w:val="32"/>
          <w:highlight w:val="none"/>
        </w:rPr>
        <w:t>（如果有）</w:t>
      </w:r>
      <w:bookmarkEnd w:id="403"/>
    </w:p>
    <w:p w14:paraId="40D04902">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92D795D">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1A8A3BD7">
      <w:pPr>
        <w:spacing w:line="360" w:lineRule="auto"/>
        <w:ind w:right="420" w:firstLine="3614" w:firstLineChars="1000"/>
        <w:rPr>
          <w:rFonts w:ascii="宋体" w:hAnsi="宋体" w:cs="宋体"/>
          <w:b/>
          <w:color w:val="auto"/>
          <w:kern w:val="0"/>
          <w:sz w:val="36"/>
          <w:szCs w:val="36"/>
          <w:highlight w:val="none"/>
        </w:rPr>
      </w:pPr>
    </w:p>
    <w:p w14:paraId="257B6F5A">
      <w:pPr>
        <w:spacing w:line="360" w:lineRule="auto"/>
        <w:ind w:right="420" w:firstLine="3614" w:firstLineChars="1000"/>
        <w:rPr>
          <w:rFonts w:ascii="宋体" w:hAnsi="宋体" w:cs="宋体"/>
          <w:b/>
          <w:color w:val="auto"/>
          <w:kern w:val="0"/>
          <w:sz w:val="36"/>
          <w:szCs w:val="36"/>
          <w:highlight w:val="none"/>
        </w:rPr>
      </w:pPr>
    </w:p>
    <w:p w14:paraId="04013639">
      <w:pPr>
        <w:spacing w:line="360" w:lineRule="auto"/>
        <w:ind w:right="420" w:firstLine="3614" w:firstLineChars="1000"/>
        <w:rPr>
          <w:rFonts w:ascii="宋体" w:hAnsi="宋体" w:cs="宋体"/>
          <w:b/>
          <w:color w:val="auto"/>
          <w:kern w:val="0"/>
          <w:sz w:val="36"/>
          <w:szCs w:val="36"/>
          <w:highlight w:val="none"/>
        </w:rPr>
      </w:pPr>
    </w:p>
    <w:p w14:paraId="70F1879D">
      <w:pPr>
        <w:spacing w:line="360" w:lineRule="auto"/>
        <w:ind w:right="420" w:firstLine="3614" w:firstLineChars="1000"/>
        <w:rPr>
          <w:rFonts w:ascii="宋体" w:hAnsi="宋体" w:cs="宋体"/>
          <w:b/>
          <w:color w:val="auto"/>
          <w:kern w:val="0"/>
          <w:sz w:val="36"/>
          <w:szCs w:val="36"/>
          <w:highlight w:val="none"/>
        </w:rPr>
      </w:pPr>
    </w:p>
    <w:p w14:paraId="1C8FC147">
      <w:pPr>
        <w:spacing w:line="360" w:lineRule="auto"/>
        <w:ind w:right="420" w:firstLine="3614" w:firstLineChars="1000"/>
        <w:rPr>
          <w:rFonts w:ascii="宋体" w:hAnsi="宋体" w:cs="宋体"/>
          <w:b/>
          <w:color w:val="auto"/>
          <w:kern w:val="0"/>
          <w:sz w:val="36"/>
          <w:szCs w:val="36"/>
          <w:highlight w:val="none"/>
        </w:rPr>
      </w:pPr>
    </w:p>
    <w:p w14:paraId="026A010F">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4" w:name="_Toc465665161"/>
      <w:r>
        <w:rPr>
          <w:rFonts w:hint="eastAsia" w:ascii="宋体" w:hAnsi="宋体" w:cs="宋体"/>
          <w:color w:val="auto"/>
          <w:highlight w:val="none"/>
        </w:rPr>
        <w:t>附件</w:t>
      </w:r>
      <w:bookmarkEnd w:id="404"/>
    </w:p>
    <w:p w14:paraId="17FEF6D0">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E1E6528">
      <w:pPr>
        <w:spacing w:line="360" w:lineRule="auto"/>
        <w:jc w:val="center"/>
        <w:rPr>
          <w:rFonts w:ascii="宋体" w:hAnsi="宋体" w:cs="宋体"/>
          <w:b/>
          <w:color w:val="auto"/>
          <w:spacing w:val="6"/>
          <w:sz w:val="32"/>
          <w:szCs w:val="32"/>
          <w:highlight w:val="none"/>
        </w:rPr>
      </w:pPr>
      <w:bookmarkStart w:id="405" w:name="OLE_LINK14"/>
      <w:bookmarkStart w:id="406" w:name="OLE_LINK13"/>
      <w:r>
        <w:rPr>
          <w:rFonts w:hint="eastAsia" w:ascii="宋体" w:hAnsi="宋体" w:cs="宋体"/>
          <w:b/>
          <w:color w:val="auto"/>
          <w:spacing w:val="6"/>
          <w:sz w:val="32"/>
          <w:szCs w:val="32"/>
          <w:highlight w:val="none"/>
        </w:rPr>
        <w:t>残疾人福利性单位声明函</w:t>
      </w:r>
    </w:p>
    <w:bookmarkEnd w:id="405"/>
    <w:bookmarkEnd w:id="406"/>
    <w:p w14:paraId="3F9AC40F">
      <w:pPr>
        <w:spacing w:line="360" w:lineRule="auto"/>
        <w:rPr>
          <w:rFonts w:ascii="宋体" w:hAnsi="宋体" w:cs="宋体"/>
          <w:b/>
          <w:color w:val="auto"/>
          <w:spacing w:val="6"/>
          <w:sz w:val="30"/>
          <w:szCs w:val="30"/>
          <w:highlight w:val="none"/>
        </w:rPr>
      </w:pPr>
    </w:p>
    <w:p w14:paraId="37E229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杭州职业技术大学</w:t>
      </w:r>
      <w:r>
        <w:rPr>
          <w:rFonts w:hint="eastAsia" w:ascii="宋体" w:hAnsi="宋体" w:cs="宋体"/>
          <w:color w:val="auto"/>
          <w:sz w:val="24"/>
          <w:highlight w:val="none"/>
        </w:rPr>
        <w:t>单位的</w:t>
      </w:r>
      <w:r>
        <w:rPr>
          <w:rFonts w:hint="eastAsia" w:ascii="宋体" w:hAnsi="宋体" w:cs="宋体"/>
          <w:color w:val="auto"/>
          <w:sz w:val="24"/>
          <w:highlight w:val="none"/>
          <w:u w:val="single"/>
        </w:rPr>
        <w:t>杭州职业技术大学</w:t>
      </w:r>
      <w:r>
        <w:rPr>
          <w:rFonts w:hint="eastAsia" w:ascii="宋体" w:hAnsi="宋体" w:cs="宋体"/>
          <w:color w:val="auto"/>
          <w:sz w:val="24"/>
          <w:highlight w:val="none"/>
          <w:u w:val="single"/>
          <w:lang w:eastAsia="zh-CN"/>
        </w:rPr>
        <w:t>新安江校区</w:t>
      </w:r>
      <w:r>
        <w:rPr>
          <w:rFonts w:hint="eastAsia" w:ascii="宋体" w:hAnsi="宋体" w:cs="宋体"/>
          <w:color w:val="auto"/>
          <w:sz w:val="24"/>
          <w:highlight w:val="none"/>
          <w:u w:val="single"/>
        </w:rPr>
        <w:t>多媒体教室建设项目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A73F1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10A16D2">
      <w:pPr>
        <w:spacing w:line="360" w:lineRule="auto"/>
        <w:ind w:firstLine="480" w:firstLineChars="200"/>
        <w:rPr>
          <w:rFonts w:ascii="宋体" w:hAnsi="宋体" w:cs="宋体"/>
          <w:color w:val="auto"/>
          <w:sz w:val="24"/>
          <w:highlight w:val="none"/>
        </w:rPr>
      </w:pPr>
    </w:p>
    <w:p w14:paraId="5AFFAFE2">
      <w:pPr>
        <w:spacing w:line="360" w:lineRule="auto"/>
        <w:ind w:firstLine="480" w:firstLineChars="200"/>
        <w:rPr>
          <w:rFonts w:ascii="宋体" w:hAnsi="宋体" w:cs="宋体"/>
          <w:color w:val="auto"/>
          <w:sz w:val="24"/>
          <w:highlight w:val="none"/>
        </w:rPr>
      </w:pPr>
    </w:p>
    <w:p w14:paraId="19B701A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E22447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39136FE8">
      <w:pPr>
        <w:spacing w:line="360" w:lineRule="auto"/>
        <w:ind w:firstLine="480" w:firstLineChars="200"/>
        <w:rPr>
          <w:rFonts w:ascii="宋体" w:hAnsi="宋体" w:cs="宋体"/>
          <w:color w:val="auto"/>
          <w:sz w:val="24"/>
          <w:highlight w:val="none"/>
        </w:rPr>
      </w:pPr>
    </w:p>
    <w:p w14:paraId="385D80A6">
      <w:pPr>
        <w:spacing w:line="360" w:lineRule="auto"/>
        <w:ind w:firstLine="420" w:firstLineChars="200"/>
        <w:rPr>
          <w:rFonts w:ascii="宋体" w:hAnsi="宋体" w:cs="宋体"/>
          <w:color w:val="auto"/>
          <w:highlight w:val="none"/>
        </w:rPr>
      </w:pPr>
    </w:p>
    <w:p w14:paraId="1FD128D5">
      <w:pPr>
        <w:spacing w:line="360" w:lineRule="auto"/>
        <w:ind w:firstLine="420" w:firstLineChars="200"/>
        <w:rPr>
          <w:rFonts w:ascii="宋体" w:hAnsi="宋体" w:cs="宋体"/>
          <w:color w:val="auto"/>
          <w:highlight w:val="none"/>
        </w:rPr>
      </w:pPr>
    </w:p>
    <w:p w14:paraId="40ED3CD0">
      <w:pPr>
        <w:spacing w:line="360" w:lineRule="auto"/>
        <w:ind w:firstLine="420" w:firstLineChars="200"/>
        <w:rPr>
          <w:rFonts w:ascii="宋体" w:hAnsi="宋体" w:cs="宋体"/>
          <w:color w:val="auto"/>
          <w:highlight w:val="none"/>
        </w:rPr>
      </w:pPr>
    </w:p>
    <w:p w14:paraId="4FD989BF">
      <w:pPr>
        <w:spacing w:line="360" w:lineRule="auto"/>
        <w:ind w:firstLine="420" w:firstLineChars="200"/>
        <w:rPr>
          <w:rFonts w:ascii="宋体" w:hAnsi="宋体" w:cs="宋体"/>
          <w:color w:val="auto"/>
          <w:highlight w:val="none"/>
        </w:rPr>
      </w:pPr>
    </w:p>
    <w:p w14:paraId="7249BF62">
      <w:pPr>
        <w:spacing w:line="360" w:lineRule="auto"/>
        <w:rPr>
          <w:rFonts w:ascii="宋体" w:hAnsi="宋体" w:cs="宋体"/>
          <w:b/>
          <w:color w:val="auto"/>
          <w:sz w:val="24"/>
          <w:highlight w:val="none"/>
        </w:rPr>
      </w:pPr>
    </w:p>
    <w:p w14:paraId="0255451C">
      <w:pPr>
        <w:spacing w:line="360" w:lineRule="auto"/>
        <w:rPr>
          <w:rFonts w:ascii="宋体" w:hAnsi="宋体" w:cs="宋体"/>
          <w:b/>
          <w:color w:val="auto"/>
          <w:sz w:val="24"/>
          <w:highlight w:val="none"/>
        </w:rPr>
      </w:pPr>
    </w:p>
    <w:p w14:paraId="558750DC">
      <w:pPr>
        <w:spacing w:line="360" w:lineRule="auto"/>
        <w:rPr>
          <w:rFonts w:ascii="宋体" w:hAnsi="宋体" w:cs="宋体"/>
          <w:b/>
          <w:color w:val="auto"/>
          <w:sz w:val="24"/>
          <w:highlight w:val="none"/>
        </w:rPr>
      </w:pPr>
    </w:p>
    <w:p w14:paraId="50E0E998">
      <w:pPr>
        <w:spacing w:line="360" w:lineRule="auto"/>
        <w:rPr>
          <w:rFonts w:ascii="宋体" w:hAnsi="宋体" w:cs="宋体"/>
          <w:b/>
          <w:color w:val="auto"/>
          <w:sz w:val="24"/>
          <w:highlight w:val="none"/>
        </w:rPr>
      </w:pPr>
    </w:p>
    <w:p w14:paraId="225CC49F">
      <w:pPr>
        <w:spacing w:line="360" w:lineRule="auto"/>
        <w:rPr>
          <w:rFonts w:ascii="宋体" w:hAnsi="宋体" w:cs="宋体"/>
          <w:b/>
          <w:color w:val="auto"/>
          <w:sz w:val="24"/>
          <w:highlight w:val="none"/>
        </w:rPr>
      </w:pPr>
    </w:p>
    <w:p w14:paraId="4140A7C6">
      <w:pPr>
        <w:spacing w:line="360" w:lineRule="auto"/>
        <w:rPr>
          <w:rFonts w:ascii="宋体" w:hAnsi="宋体" w:cs="宋体"/>
          <w:b/>
          <w:color w:val="auto"/>
          <w:sz w:val="24"/>
          <w:highlight w:val="none"/>
        </w:rPr>
      </w:pPr>
    </w:p>
    <w:p w14:paraId="47BA22BB">
      <w:pPr>
        <w:spacing w:line="360" w:lineRule="auto"/>
        <w:rPr>
          <w:rFonts w:ascii="宋体" w:hAnsi="宋体" w:cs="宋体"/>
          <w:b/>
          <w:color w:val="auto"/>
          <w:sz w:val="24"/>
          <w:highlight w:val="none"/>
        </w:rPr>
      </w:pPr>
    </w:p>
    <w:p w14:paraId="0DBBA082">
      <w:pPr>
        <w:spacing w:line="360" w:lineRule="auto"/>
        <w:rPr>
          <w:rFonts w:ascii="宋体" w:hAnsi="宋体" w:cs="宋体"/>
          <w:b/>
          <w:color w:val="auto"/>
          <w:sz w:val="24"/>
          <w:highlight w:val="none"/>
        </w:rPr>
      </w:pPr>
    </w:p>
    <w:p w14:paraId="4B51D4AB">
      <w:pPr>
        <w:spacing w:line="360" w:lineRule="auto"/>
        <w:rPr>
          <w:rFonts w:ascii="宋体" w:hAnsi="宋体" w:cs="宋体"/>
          <w:b/>
          <w:color w:val="auto"/>
          <w:sz w:val="24"/>
          <w:highlight w:val="none"/>
        </w:rPr>
      </w:pPr>
    </w:p>
    <w:p w14:paraId="5CA01DDB">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78DD13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AED874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007A2A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0D4F4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2B42C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FE26C2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8EF3B8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5391B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2EEB65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D586E6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C234DF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16C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E28686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638F08A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FFB19D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6F20E6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3B62215">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898D89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62B63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898100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D8F1DB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BD41C2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00B9EF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D831F7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A8CFC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7FF77CB">
      <w:pPr>
        <w:spacing w:line="360" w:lineRule="auto"/>
        <w:jc w:val="center"/>
        <w:rPr>
          <w:rFonts w:ascii="宋体" w:hAnsi="宋体" w:cs="宋体"/>
          <w:b/>
          <w:bCs/>
          <w:color w:val="auto"/>
          <w:sz w:val="24"/>
          <w:highlight w:val="none"/>
        </w:rPr>
      </w:pPr>
    </w:p>
    <w:p w14:paraId="3CE149D2">
      <w:pPr>
        <w:spacing w:line="360" w:lineRule="auto"/>
        <w:rPr>
          <w:rFonts w:ascii="宋体" w:hAnsi="宋体" w:cs="宋体"/>
          <w:b/>
          <w:color w:val="auto"/>
          <w:sz w:val="24"/>
          <w:highlight w:val="none"/>
        </w:rPr>
      </w:pPr>
    </w:p>
    <w:p w14:paraId="0AAF02E0">
      <w:pPr>
        <w:spacing w:line="360" w:lineRule="auto"/>
        <w:rPr>
          <w:rFonts w:ascii="宋体" w:hAnsi="宋体" w:cs="宋体"/>
          <w:b/>
          <w:color w:val="auto"/>
          <w:sz w:val="24"/>
          <w:highlight w:val="none"/>
        </w:rPr>
      </w:pPr>
    </w:p>
    <w:p w14:paraId="0FB89E39">
      <w:pPr>
        <w:spacing w:line="360" w:lineRule="auto"/>
        <w:rPr>
          <w:rFonts w:ascii="宋体" w:hAnsi="宋体" w:cs="宋体"/>
          <w:b/>
          <w:color w:val="auto"/>
          <w:sz w:val="24"/>
          <w:highlight w:val="none"/>
        </w:rPr>
      </w:pPr>
    </w:p>
    <w:p w14:paraId="5251089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45D72C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EB8E2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B9411B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A821C6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F6639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D24BB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CCB5B9D">
      <w:pPr>
        <w:widowControl/>
        <w:spacing w:line="360" w:lineRule="auto"/>
        <w:ind w:firstLine="600" w:firstLineChars="200"/>
        <w:jc w:val="left"/>
        <w:rPr>
          <w:rFonts w:ascii="宋体" w:hAnsi="宋体" w:cs="宋体"/>
          <w:color w:val="auto"/>
          <w:sz w:val="30"/>
          <w:szCs w:val="30"/>
          <w:highlight w:val="none"/>
        </w:rPr>
      </w:pPr>
    </w:p>
    <w:p w14:paraId="6C160F45">
      <w:pPr>
        <w:spacing w:line="360" w:lineRule="auto"/>
        <w:jc w:val="center"/>
        <w:rPr>
          <w:rFonts w:ascii="宋体" w:hAnsi="宋体" w:cs="宋体"/>
          <w:b/>
          <w:color w:val="auto"/>
          <w:spacing w:val="6"/>
          <w:sz w:val="32"/>
          <w:szCs w:val="32"/>
          <w:highlight w:val="none"/>
        </w:rPr>
      </w:pPr>
    </w:p>
    <w:p w14:paraId="08BC6297">
      <w:pPr>
        <w:spacing w:line="360" w:lineRule="auto"/>
        <w:jc w:val="center"/>
        <w:rPr>
          <w:rFonts w:ascii="宋体" w:hAnsi="宋体" w:cs="宋体"/>
          <w:b/>
          <w:color w:val="auto"/>
          <w:spacing w:val="6"/>
          <w:sz w:val="32"/>
          <w:szCs w:val="32"/>
          <w:highlight w:val="none"/>
        </w:rPr>
      </w:pPr>
    </w:p>
    <w:p w14:paraId="05B795B5">
      <w:pPr>
        <w:spacing w:line="360" w:lineRule="auto"/>
        <w:jc w:val="center"/>
        <w:rPr>
          <w:rFonts w:ascii="宋体" w:hAnsi="宋体" w:cs="宋体"/>
          <w:b/>
          <w:color w:val="auto"/>
          <w:spacing w:val="6"/>
          <w:sz w:val="32"/>
          <w:szCs w:val="32"/>
          <w:highlight w:val="none"/>
        </w:rPr>
      </w:pPr>
    </w:p>
    <w:p w14:paraId="15F7CC24">
      <w:pPr>
        <w:spacing w:line="360" w:lineRule="auto"/>
        <w:jc w:val="center"/>
        <w:rPr>
          <w:rFonts w:ascii="宋体" w:hAnsi="宋体" w:cs="宋体"/>
          <w:b/>
          <w:color w:val="auto"/>
          <w:spacing w:val="6"/>
          <w:sz w:val="32"/>
          <w:szCs w:val="32"/>
          <w:highlight w:val="none"/>
        </w:rPr>
      </w:pPr>
    </w:p>
    <w:p w14:paraId="7D9BAB2A">
      <w:pPr>
        <w:spacing w:line="360" w:lineRule="auto"/>
        <w:jc w:val="center"/>
        <w:rPr>
          <w:rFonts w:ascii="宋体" w:hAnsi="宋体" w:cs="宋体"/>
          <w:b/>
          <w:color w:val="auto"/>
          <w:spacing w:val="6"/>
          <w:sz w:val="32"/>
          <w:szCs w:val="32"/>
          <w:highlight w:val="none"/>
        </w:rPr>
      </w:pPr>
    </w:p>
    <w:p w14:paraId="24610901">
      <w:pPr>
        <w:spacing w:line="360" w:lineRule="auto"/>
        <w:jc w:val="center"/>
        <w:rPr>
          <w:rFonts w:ascii="宋体" w:hAnsi="宋体" w:cs="宋体"/>
          <w:b/>
          <w:color w:val="auto"/>
          <w:spacing w:val="6"/>
          <w:sz w:val="32"/>
          <w:szCs w:val="32"/>
          <w:highlight w:val="none"/>
        </w:rPr>
      </w:pPr>
    </w:p>
    <w:p w14:paraId="3F3B928A">
      <w:pPr>
        <w:spacing w:line="360" w:lineRule="auto"/>
        <w:jc w:val="center"/>
        <w:rPr>
          <w:rFonts w:ascii="宋体" w:hAnsi="宋体" w:cs="宋体"/>
          <w:b/>
          <w:color w:val="auto"/>
          <w:spacing w:val="6"/>
          <w:sz w:val="32"/>
          <w:szCs w:val="32"/>
          <w:highlight w:val="none"/>
        </w:rPr>
      </w:pPr>
    </w:p>
    <w:p w14:paraId="2EE3B0CD">
      <w:pPr>
        <w:spacing w:line="360" w:lineRule="auto"/>
        <w:jc w:val="center"/>
        <w:rPr>
          <w:rFonts w:ascii="宋体" w:hAnsi="宋体" w:cs="宋体"/>
          <w:b/>
          <w:color w:val="auto"/>
          <w:spacing w:val="6"/>
          <w:sz w:val="32"/>
          <w:szCs w:val="32"/>
          <w:highlight w:val="none"/>
        </w:rPr>
      </w:pPr>
    </w:p>
    <w:p w14:paraId="5D9D48BB">
      <w:pPr>
        <w:spacing w:line="360" w:lineRule="auto"/>
        <w:jc w:val="center"/>
        <w:rPr>
          <w:rFonts w:ascii="宋体" w:hAnsi="宋体" w:cs="宋体"/>
          <w:b/>
          <w:color w:val="auto"/>
          <w:spacing w:val="6"/>
          <w:sz w:val="32"/>
          <w:szCs w:val="32"/>
          <w:highlight w:val="none"/>
        </w:rPr>
      </w:pPr>
    </w:p>
    <w:p w14:paraId="7F76EBC4">
      <w:pPr>
        <w:spacing w:line="360" w:lineRule="auto"/>
        <w:jc w:val="center"/>
        <w:rPr>
          <w:rFonts w:ascii="宋体" w:hAnsi="宋体" w:cs="宋体"/>
          <w:b/>
          <w:color w:val="auto"/>
          <w:spacing w:val="6"/>
          <w:sz w:val="32"/>
          <w:szCs w:val="32"/>
          <w:highlight w:val="none"/>
        </w:rPr>
      </w:pPr>
    </w:p>
    <w:p w14:paraId="50330FF0">
      <w:pPr>
        <w:spacing w:line="360" w:lineRule="auto"/>
        <w:jc w:val="center"/>
        <w:rPr>
          <w:rFonts w:ascii="宋体" w:hAnsi="宋体" w:cs="宋体"/>
          <w:b/>
          <w:color w:val="auto"/>
          <w:spacing w:val="6"/>
          <w:sz w:val="32"/>
          <w:szCs w:val="32"/>
          <w:highlight w:val="none"/>
        </w:rPr>
      </w:pPr>
    </w:p>
    <w:p w14:paraId="4B4AF7F8">
      <w:pPr>
        <w:spacing w:line="360" w:lineRule="auto"/>
        <w:jc w:val="center"/>
        <w:rPr>
          <w:rFonts w:ascii="宋体" w:hAnsi="宋体" w:cs="宋体"/>
          <w:b/>
          <w:color w:val="auto"/>
          <w:spacing w:val="6"/>
          <w:sz w:val="32"/>
          <w:szCs w:val="32"/>
          <w:highlight w:val="none"/>
        </w:rPr>
      </w:pPr>
    </w:p>
    <w:p w14:paraId="181E4207">
      <w:pPr>
        <w:spacing w:line="360" w:lineRule="auto"/>
        <w:jc w:val="left"/>
        <w:rPr>
          <w:rFonts w:ascii="宋体" w:hAnsi="宋体" w:cs="宋体"/>
          <w:b/>
          <w:color w:val="auto"/>
          <w:spacing w:val="6"/>
          <w:sz w:val="32"/>
          <w:szCs w:val="32"/>
          <w:highlight w:val="none"/>
        </w:rPr>
      </w:pPr>
    </w:p>
    <w:p w14:paraId="4026BE60">
      <w:pPr>
        <w:spacing w:line="360" w:lineRule="auto"/>
        <w:jc w:val="left"/>
        <w:rPr>
          <w:rFonts w:ascii="宋体" w:hAnsi="宋体" w:cs="宋体"/>
          <w:b/>
          <w:color w:val="auto"/>
          <w:spacing w:val="6"/>
          <w:sz w:val="32"/>
          <w:szCs w:val="32"/>
          <w:highlight w:val="none"/>
        </w:rPr>
      </w:pPr>
    </w:p>
    <w:p w14:paraId="4779C08B">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0CD25F4C">
      <w:pPr>
        <w:spacing w:line="360" w:lineRule="auto"/>
        <w:jc w:val="center"/>
        <w:rPr>
          <w:rFonts w:ascii="宋体" w:hAnsi="宋体" w:cs="宋体"/>
          <w:b/>
          <w:color w:val="auto"/>
          <w:sz w:val="24"/>
          <w:highlight w:val="none"/>
        </w:rPr>
      </w:pPr>
    </w:p>
    <w:p w14:paraId="13F4FC6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67FDE121">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8377C01">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67361A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2AA121">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31AD61E">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8677AC7">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BBC58FC">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5B7B00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B84281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2CDFA1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69865F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0CBA1263">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830F1D6">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8EB2B1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2CE351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B23EC4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983FA5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3CED40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597E4BC">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CB16155">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0297EF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58745615">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01109BD">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3E43C5E">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4170A9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D91661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1F7E3D43">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95C7EFC">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06DC5A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F153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93004C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942923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8B94365">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A56D9CB">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414263B">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71DE92C">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5779E35">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380E55B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A8976D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5EA6CD1">
      <w:pPr>
        <w:spacing w:line="360" w:lineRule="auto"/>
        <w:rPr>
          <w:rFonts w:ascii="宋体" w:hAnsi="宋体" w:cs="宋体"/>
          <w:b/>
          <w:color w:val="auto"/>
          <w:sz w:val="24"/>
          <w:highlight w:val="none"/>
        </w:rPr>
      </w:pPr>
    </w:p>
    <w:p w14:paraId="57D55BA2">
      <w:pPr>
        <w:spacing w:line="360" w:lineRule="auto"/>
        <w:rPr>
          <w:rFonts w:ascii="宋体" w:hAnsi="宋体" w:cs="宋体"/>
          <w:b/>
          <w:color w:val="auto"/>
          <w:sz w:val="24"/>
          <w:highlight w:val="none"/>
        </w:rPr>
      </w:pPr>
    </w:p>
    <w:p w14:paraId="7D85053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23A9988">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61D30A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07FE5B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24CF056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BB9D86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6F5B9E0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BD33B2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57CA268">
      <w:pPr>
        <w:autoSpaceDE w:val="0"/>
        <w:autoSpaceDN w:val="0"/>
        <w:jc w:val="center"/>
        <w:rPr>
          <w:rFonts w:ascii="宋体" w:hAnsi="宋体" w:cs="宋体"/>
          <w:b/>
          <w:color w:val="auto"/>
          <w:spacing w:val="6"/>
          <w:sz w:val="32"/>
          <w:szCs w:val="32"/>
          <w:highlight w:val="none"/>
        </w:rPr>
      </w:pPr>
    </w:p>
    <w:p w14:paraId="1B77F682">
      <w:pPr>
        <w:autoSpaceDE w:val="0"/>
        <w:autoSpaceDN w:val="0"/>
        <w:jc w:val="center"/>
        <w:rPr>
          <w:rFonts w:ascii="宋体" w:hAnsi="宋体" w:cs="宋体"/>
          <w:b/>
          <w:color w:val="auto"/>
          <w:spacing w:val="6"/>
          <w:sz w:val="32"/>
          <w:szCs w:val="32"/>
          <w:highlight w:val="none"/>
        </w:rPr>
      </w:pPr>
    </w:p>
    <w:p w14:paraId="7D08BD9A">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6CE08C">
      <w:pPr>
        <w:spacing w:line="360" w:lineRule="auto"/>
        <w:rPr>
          <w:rFonts w:ascii="宋体" w:hAnsi="宋体" w:cs="宋体"/>
          <w:color w:val="auto"/>
          <w:sz w:val="24"/>
          <w:highlight w:val="none"/>
          <w:u w:val="single"/>
        </w:rPr>
      </w:pPr>
    </w:p>
    <w:p w14:paraId="41AC6730">
      <w:pPr>
        <w:spacing w:line="360" w:lineRule="auto"/>
        <w:rPr>
          <w:rFonts w:ascii="宋体" w:hAnsi="宋体" w:cs="宋体"/>
          <w:color w:val="auto"/>
          <w:sz w:val="24"/>
          <w:highlight w:val="none"/>
        </w:rPr>
      </w:pPr>
      <w:r>
        <w:rPr>
          <w:rFonts w:hint="eastAsia" w:ascii="宋体" w:hAnsi="宋体" w:cs="宋体"/>
          <w:color w:val="auto"/>
          <w:sz w:val="24"/>
          <w:highlight w:val="none"/>
          <w:u w:val="single"/>
        </w:rPr>
        <w:t>杭州职业技术大学、杭州市公共资源交易中心：</w:t>
      </w:r>
    </w:p>
    <w:p w14:paraId="3A8761B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2A3F4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2BF2883A">
      <w:pPr>
        <w:spacing w:line="360" w:lineRule="auto"/>
        <w:ind w:firstLine="494"/>
        <w:rPr>
          <w:rFonts w:ascii="宋体" w:hAnsi="宋体" w:cs="宋体"/>
          <w:color w:val="auto"/>
          <w:sz w:val="24"/>
          <w:highlight w:val="none"/>
        </w:rPr>
      </w:pPr>
    </w:p>
    <w:p w14:paraId="77B672E2">
      <w:pPr>
        <w:spacing w:line="360" w:lineRule="auto"/>
        <w:ind w:firstLine="494"/>
        <w:rPr>
          <w:rFonts w:ascii="宋体" w:hAnsi="宋体" w:cs="宋体"/>
          <w:color w:val="auto"/>
          <w:sz w:val="24"/>
          <w:highlight w:val="none"/>
        </w:rPr>
      </w:pPr>
    </w:p>
    <w:p w14:paraId="0276E108">
      <w:pPr>
        <w:spacing w:line="360" w:lineRule="auto"/>
        <w:ind w:firstLine="494"/>
        <w:rPr>
          <w:rFonts w:ascii="宋体" w:hAnsi="宋体" w:cs="宋体"/>
          <w:color w:val="auto"/>
          <w:sz w:val="24"/>
          <w:highlight w:val="none"/>
        </w:rPr>
      </w:pPr>
    </w:p>
    <w:p w14:paraId="5251971F">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44DCE3CA">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D720B3C">
      <w:pPr>
        <w:rPr>
          <w:rFonts w:ascii="宋体" w:hAnsi="宋体" w:cs="宋体"/>
          <w:color w:val="auto"/>
          <w:sz w:val="24"/>
          <w:highlight w:val="none"/>
        </w:rPr>
      </w:pPr>
      <w:r>
        <w:rPr>
          <w:rFonts w:hint="eastAsia" w:ascii="宋体" w:hAnsi="宋体" w:cs="宋体"/>
          <w:b/>
          <w:bCs/>
          <w:color w:val="auto"/>
          <w:sz w:val="24"/>
          <w:highlight w:val="none"/>
        </w:rPr>
        <w:t>附：</w:t>
      </w:r>
    </w:p>
    <w:p w14:paraId="1393AC0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DCF6EFC">
      <w:pPr>
        <w:autoSpaceDE w:val="0"/>
        <w:autoSpaceDN w:val="0"/>
        <w:jc w:val="center"/>
        <w:rPr>
          <w:rFonts w:ascii="宋体" w:hAnsi="宋体" w:cs="宋体"/>
          <w:b/>
          <w:color w:val="auto"/>
          <w:spacing w:val="6"/>
          <w:sz w:val="32"/>
          <w:szCs w:val="32"/>
          <w:highlight w:val="none"/>
        </w:rPr>
      </w:pPr>
    </w:p>
    <w:p w14:paraId="5149A010">
      <w:pPr>
        <w:autoSpaceDE w:val="0"/>
        <w:autoSpaceDN w:val="0"/>
        <w:jc w:val="center"/>
        <w:rPr>
          <w:rFonts w:ascii="宋体" w:hAnsi="宋体" w:cs="宋体"/>
          <w:b/>
          <w:color w:val="auto"/>
          <w:spacing w:val="6"/>
          <w:sz w:val="32"/>
          <w:szCs w:val="32"/>
          <w:highlight w:val="none"/>
        </w:rPr>
      </w:pPr>
    </w:p>
    <w:p w14:paraId="486AFE38">
      <w:pPr>
        <w:autoSpaceDE w:val="0"/>
        <w:autoSpaceDN w:val="0"/>
        <w:jc w:val="center"/>
        <w:rPr>
          <w:rFonts w:ascii="宋体" w:hAnsi="宋体" w:cs="宋体"/>
          <w:b/>
          <w:color w:val="auto"/>
          <w:spacing w:val="6"/>
          <w:sz w:val="32"/>
          <w:szCs w:val="32"/>
          <w:highlight w:val="none"/>
        </w:rPr>
      </w:pPr>
    </w:p>
    <w:p w14:paraId="1D9669D4">
      <w:pPr>
        <w:autoSpaceDE w:val="0"/>
        <w:autoSpaceDN w:val="0"/>
        <w:jc w:val="center"/>
        <w:rPr>
          <w:rFonts w:ascii="宋体" w:hAnsi="宋体" w:cs="宋体"/>
          <w:b/>
          <w:color w:val="auto"/>
          <w:spacing w:val="6"/>
          <w:sz w:val="32"/>
          <w:szCs w:val="32"/>
          <w:highlight w:val="none"/>
        </w:rPr>
      </w:pPr>
    </w:p>
    <w:p w14:paraId="2FC38193">
      <w:pPr>
        <w:autoSpaceDE w:val="0"/>
        <w:autoSpaceDN w:val="0"/>
        <w:jc w:val="center"/>
        <w:rPr>
          <w:rFonts w:ascii="宋体" w:hAnsi="宋体" w:cs="宋体"/>
          <w:b/>
          <w:color w:val="auto"/>
          <w:spacing w:val="6"/>
          <w:sz w:val="32"/>
          <w:szCs w:val="32"/>
          <w:highlight w:val="none"/>
        </w:rPr>
      </w:pPr>
    </w:p>
    <w:p w14:paraId="1868199F">
      <w:pPr>
        <w:autoSpaceDE w:val="0"/>
        <w:autoSpaceDN w:val="0"/>
        <w:jc w:val="center"/>
        <w:rPr>
          <w:rFonts w:ascii="宋体" w:hAnsi="宋体" w:cs="宋体"/>
          <w:b/>
          <w:color w:val="auto"/>
          <w:spacing w:val="6"/>
          <w:sz w:val="32"/>
          <w:szCs w:val="32"/>
          <w:highlight w:val="none"/>
        </w:rPr>
      </w:pPr>
    </w:p>
    <w:p w14:paraId="1108461C">
      <w:pPr>
        <w:autoSpaceDE w:val="0"/>
        <w:autoSpaceDN w:val="0"/>
        <w:jc w:val="center"/>
        <w:rPr>
          <w:rFonts w:ascii="宋体" w:hAnsi="宋体" w:cs="宋体"/>
          <w:b/>
          <w:color w:val="auto"/>
          <w:spacing w:val="6"/>
          <w:sz w:val="32"/>
          <w:szCs w:val="32"/>
          <w:highlight w:val="none"/>
        </w:rPr>
      </w:pPr>
    </w:p>
    <w:p w14:paraId="4DA1025A">
      <w:pPr>
        <w:autoSpaceDE w:val="0"/>
        <w:autoSpaceDN w:val="0"/>
        <w:jc w:val="center"/>
        <w:rPr>
          <w:rFonts w:ascii="宋体" w:hAnsi="宋体" w:cs="宋体"/>
          <w:b/>
          <w:color w:val="auto"/>
          <w:spacing w:val="6"/>
          <w:sz w:val="32"/>
          <w:szCs w:val="32"/>
          <w:highlight w:val="none"/>
        </w:rPr>
      </w:pPr>
    </w:p>
    <w:p w14:paraId="33F68603">
      <w:pPr>
        <w:autoSpaceDE w:val="0"/>
        <w:autoSpaceDN w:val="0"/>
        <w:jc w:val="center"/>
        <w:rPr>
          <w:rFonts w:ascii="宋体" w:hAnsi="宋体" w:cs="宋体"/>
          <w:b/>
          <w:color w:val="auto"/>
          <w:spacing w:val="6"/>
          <w:sz w:val="32"/>
          <w:szCs w:val="32"/>
          <w:highlight w:val="none"/>
        </w:rPr>
      </w:pPr>
    </w:p>
    <w:p w14:paraId="41D8EB20">
      <w:pPr>
        <w:autoSpaceDE w:val="0"/>
        <w:autoSpaceDN w:val="0"/>
        <w:jc w:val="center"/>
        <w:rPr>
          <w:rFonts w:ascii="宋体" w:hAnsi="宋体" w:cs="宋体"/>
          <w:b/>
          <w:color w:val="auto"/>
          <w:spacing w:val="6"/>
          <w:sz w:val="32"/>
          <w:szCs w:val="32"/>
          <w:highlight w:val="none"/>
        </w:rPr>
      </w:pPr>
    </w:p>
    <w:p w14:paraId="5A8023CB">
      <w:pPr>
        <w:autoSpaceDE w:val="0"/>
        <w:autoSpaceDN w:val="0"/>
        <w:jc w:val="center"/>
        <w:rPr>
          <w:rFonts w:ascii="宋体" w:hAnsi="宋体" w:cs="宋体"/>
          <w:b/>
          <w:color w:val="auto"/>
          <w:spacing w:val="6"/>
          <w:sz w:val="32"/>
          <w:szCs w:val="32"/>
          <w:highlight w:val="none"/>
        </w:rPr>
      </w:pPr>
    </w:p>
    <w:p w14:paraId="77A4D33B">
      <w:pPr>
        <w:autoSpaceDE w:val="0"/>
        <w:autoSpaceDN w:val="0"/>
        <w:jc w:val="center"/>
        <w:rPr>
          <w:rFonts w:ascii="宋体" w:hAnsi="宋体" w:cs="宋体"/>
          <w:b/>
          <w:color w:val="auto"/>
          <w:spacing w:val="6"/>
          <w:sz w:val="32"/>
          <w:szCs w:val="32"/>
          <w:highlight w:val="none"/>
        </w:rPr>
      </w:pPr>
    </w:p>
    <w:p w14:paraId="62135E7E">
      <w:pPr>
        <w:autoSpaceDE w:val="0"/>
        <w:autoSpaceDN w:val="0"/>
        <w:jc w:val="center"/>
        <w:rPr>
          <w:rFonts w:ascii="宋体" w:hAnsi="宋体" w:cs="宋体"/>
          <w:b/>
          <w:color w:val="auto"/>
          <w:spacing w:val="6"/>
          <w:sz w:val="32"/>
          <w:szCs w:val="32"/>
          <w:highlight w:val="none"/>
        </w:rPr>
      </w:pPr>
    </w:p>
    <w:p w14:paraId="5F7FF32C">
      <w:pPr>
        <w:autoSpaceDE w:val="0"/>
        <w:autoSpaceDN w:val="0"/>
        <w:jc w:val="center"/>
        <w:rPr>
          <w:rFonts w:ascii="宋体" w:hAnsi="宋体" w:cs="宋体"/>
          <w:b/>
          <w:color w:val="auto"/>
          <w:spacing w:val="6"/>
          <w:sz w:val="32"/>
          <w:szCs w:val="32"/>
          <w:highlight w:val="none"/>
        </w:rPr>
      </w:pPr>
    </w:p>
    <w:p w14:paraId="6EAFEBDA">
      <w:pPr>
        <w:autoSpaceDE w:val="0"/>
        <w:autoSpaceDN w:val="0"/>
        <w:jc w:val="center"/>
        <w:rPr>
          <w:rFonts w:ascii="宋体" w:hAnsi="宋体" w:cs="宋体"/>
          <w:b/>
          <w:color w:val="auto"/>
          <w:spacing w:val="6"/>
          <w:sz w:val="32"/>
          <w:szCs w:val="32"/>
          <w:highlight w:val="none"/>
        </w:rPr>
      </w:pPr>
    </w:p>
    <w:p w14:paraId="62D8B756">
      <w:pPr>
        <w:autoSpaceDE w:val="0"/>
        <w:autoSpaceDN w:val="0"/>
        <w:jc w:val="center"/>
        <w:rPr>
          <w:rFonts w:ascii="宋体" w:hAnsi="宋体" w:cs="宋体"/>
          <w:b/>
          <w:color w:val="auto"/>
          <w:spacing w:val="6"/>
          <w:sz w:val="32"/>
          <w:szCs w:val="32"/>
          <w:highlight w:val="none"/>
        </w:rPr>
      </w:pPr>
    </w:p>
    <w:p w14:paraId="3348C3A1">
      <w:pPr>
        <w:autoSpaceDE w:val="0"/>
        <w:autoSpaceDN w:val="0"/>
        <w:jc w:val="center"/>
        <w:rPr>
          <w:rFonts w:ascii="宋体" w:hAnsi="宋体" w:cs="宋体"/>
          <w:b/>
          <w:color w:val="auto"/>
          <w:spacing w:val="6"/>
          <w:sz w:val="32"/>
          <w:szCs w:val="32"/>
          <w:highlight w:val="none"/>
        </w:rPr>
      </w:pPr>
    </w:p>
    <w:p w14:paraId="62D124A4">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4E5D0E2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C8810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w:t>
      </w:r>
      <w:r>
        <w:rPr>
          <w:rFonts w:hint="eastAsia" w:ascii="宋体" w:hAnsi="宋体" w:cs="宋体"/>
          <w:color w:val="auto"/>
          <w:kern w:val="0"/>
          <w:sz w:val="24"/>
          <w:highlight w:val="none"/>
          <w:lang w:val="zh-CN"/>
        </w:rPr>
        <w:t xml:space="preserve">投标。 </w:t>
      </w:r>
    </w:p>
    <w:p w14:paraId="1030CC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3ABEC0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cs="宋体"/>
          <w:color w:val="auto"/>
          <w:kern w:val="0"/>
          <w:sz w:val="24"/>
          <w:highlight w:val="none"/>
        </w:rPr>
        <w:t>响</w:t>
      </w:r>
      <w:r>
        <w:rPr>
          <w:rFonts w:hint="eastAsia" w:ascii="宋体" w:hAnsi="宋体" w:cs="宋体"/>
          <w:color w:val="auto"/>
          <w:kern w:val="0"/>
          <w:sz w:val="24"/>
          <w:highlight w:val="none"/>
          <w:lang w:val="zh-CN"/>
        </w:rPr>
        <w:t>应等均对联合投标各方产生约束力。</w:t>
      </w:r>
    </w:p>
    <w:p w14:paraId="6227C76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rPr>
        <w:t>所有联合体成员</w:t>
      </w:r>
      <w:r>
        <w:rPr>
          <w:rFonts w:hint="eastAsia" w:ascii="宋体" w:hAnsi="宋体" w:cs="宋体"/>
          <w:color w:val="auto"/>
          <w:kern w:val="0"/>
          <w:sz w:val="24"/>
          <w:highlight w:val="none"/>
          <w:lang w:val="zh-CN"/>
        </w:rPr>
        <w:t>分工如下：</w:t>
      </w:r>
    </w:p>
    <w:p w14:paraId="4C88C3EF">
      <w:pPr>
        <w:snapToGrid w:val="0"/>
        <w:spacing w:line="360" w:lineRule="auto"/>
        <w:ind w:firstLine="576"/>
        <w:rPr>
          <w:rFonts w:ascii="宋体" w:hAnsi="宋体" w:cs="宋体"/>
          <w:color w:val="auto"/>
          <w:kern w:val="0"/>
          <w:sz w:val="24"/>
          <w:highlight w:val="none"/>
          <w:lang w:val="zh-CN"/>
        </w:rPr>
      </w:pPr>
      <w:bookmarkStart w:id="407" w:name="_Hlk101134295"/>
      <w:r>
        <w:rPr>
          <w:rFonts w:hint="eastAsia" w:ascii="宋体" w:hAnsi="宋体" w:cs="宋体"/>
          <w:color w:val="auto"/>
          <w:kern w:val="0"/>
          <w:sz w:val="24"/>
          <w:highlight w:val="none"/>
          <w:u w:val="single"/>
        </w:rPr>
        <w:t>（联合体成员1名称）</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A384BA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8071F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7"/>
    <w:p w14:paraId="4D671A3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rPr>
        <w:t>根据项目具体情况二选一填写）</w:t>
      </w:r>
      <w:r>
        <w:rPr>
          <w:rFonts w:hint="eastAsia" w:ascii="宋体" w:hAnsi="宋体" w:cs="宋体"/>
          <w:color w:val="auto"/>
          <w:kern w:val="0"/>
          <w:sz w:val="24"/>
          <w:highlight w:val="none"/>
          <w:lang w:val="zh-CN"/>
        </w:rPr>
        <w:t>。</w:t>
      </w:r>
    </w:p>
    <w:p w14:paraId="65157509">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925787D">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ascii="宋体" w:hAnsi="宋体" w:cs="宋体"/>
          <w:color w:val="auto"/>
          <w:kern w:val="0"/>
          <w:sz w:val="24"/>
          <w:highlight w:val="none"/>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792261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1FB123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D170B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52CBC3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A02C57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14:paraId="16FFF3B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8DC693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9519B6">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C81E82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9EACE8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5F4FAE6">
      <w:pPr>
        <w:autoSpaceDE w:val="0"/>
        <w:autoSpaceDN w:val="0"/>
        <w:jc w:val="center"/>
        <w:rPr>
          <w:rFonts w:ascii="宋体" w:hAnsi="宋体" w:cs="宋体"/>
          <w:b/>
          <w:color w:val="auto"/>
          <w:spacing w:val="6"/>
          <w:sz w:val="32"/>
          <w:szCs w:val="32"/>
          <w:highlight w:val="none"/>
        </w:rPr>
      </w:pPr>
    </w:p>
    <w:p w14:paraId="4B044A7E">
      <w:pPr>
        <w:autoSpaceDE w:val="0"/>
        <w:autoSpaceDN w:val="0"/>
        <w:jc w:val="center"/>
        <w:rPr>
          <w:rFonts w:ascii="宋体" w:hAnsi="宋体" w:cs="宋体"/>
          <w:b/>
          <w:color w:val="auto"/>
          <w:spacing w:val="6"/>
          <w:sz w:val="32"/>
          <w:szCs w:val="32"/>
          <w:highlight w:val="none"/>
        </w:rPr>
      </w:pPr>
    </w:p>
    <w:p w14:paraId="75537F93">
      <w:pPr>
        <w:autoSpaceDE w:val="0"/>
        <w:autoSpaceDN w:val="0"/>
        <w:jc w:val="center"/>
        <w:rPr>
          <w:rFonts w:ascii="宋体" w:hAnsi="宋体" w:cs="宋体"/>
          <w:b/>
          <w:color w:val="auto"/>
          <w:spacing w:val="6"/>
          <w:sz w:val="32"/>
          <w:szCs w:val="32"/>
          <w:highlight w:val="none"/>
        </w:rPr>
      </w:pPr>
    </w:p>
    <w:p w14:paraId="0A4E8D13">
      <w:pPr>
        <w:autoSpaceDE w:val="0"/>
        <w:autoSpaceDN w:val="0"/>
        <w:jc w:val="center"/>
        <w:rPr>
          <w:rFonts w:ascii="宋体" w:hAnsi="宋体" w:cs="宋体"/>
          <w:b/>
          <w:color w:val="auto"/>
          <w:spacing w:val="6"/>
          <w:sz w:val="32"/>
          <w:szCs w:val="32"/>
          <w:highlight w:val="none"/>
        </w:rPr>
      </w:pPr>
    </w:p>
    <w:p w14:paraId="29963708">
      <w:pPr>
        <w:autoSpaceDE w:val="0"/>
        <w:autoSpaceDN w:val="0"/>
        <w:jc w:val="center"/>
        <w:rPr>
          <w:rFonts w:ascii="宋体" w:hAnsi="宋体" w:cs="宋体"/>
          <w:b/>
          <w:color w:val="auto"/>
          <w:spacing w:val="6"/>
          <w:sz w:val="32"/>
          <w:szCs w:val="32"/>
          <w:highlight w:val="none"/>
        </w:rPr>
      </w:pPr>
    </w:p>
    <w:p w14:paraId="4C09F93B">
      <w:pPr>
        <w:autoSpaceDE w:val="0"/>
        <w:autoSpaceDN w:val="0"/>
        <w:jc w:val="center"/>
        <w:rPr>
          <w:rFonts w:ascii="宋体" w:hAnsi="宋体" w:cs="宋体"/>
          <w:b/>
          <w:color w:val="auto"/>
          <w:spacing w:val="6"/>
          <w:sz w:val="32"/>
          <w:szCs w:val="32"/>
          <w:highlight w:val="none"/>
        </w:rPr>
      </w:pPr>
    </w:p>
    <w:p w14:paraId="7BA06B5B">
      <w:pPr>
        <w:autoSpaceDE w:val="0"/>
        <w:autoSpaceDN w:val="0"/>
        <w:jc w:val="center"/>
        <w:rPr>
          <w:rFonts w:ascii="宋体" w:hAnsi="宋体" w:cs="宋体"/>
          <w:b/>
          <w:color w:val="auto"/>
          <w:spacing w:val="6"/>
          <w:sz w:val="32"/>
          <w:szCs w:val="32"/>
          <w:highlight w:val="none"/>
        </w:rPr>
      </w:pPr>
    </w:p>
    <w:p w14:paraId="052380CC">
      <w:pPr>
        <w:autoSpaceDE w:val="0"/>
        <w:autoSpaceDN w:val="0"/>
        <w:jc w:val="center"/>
        <w:rPr>
          <w:rFonts w:ascii="宋体" w:hAnsi="宋体" w:cs="宋体"/>
          <w:b/>
          <w:color w:val="auto"/>
          <w:spacing w:val="6"/>
          <w:sz w:val="32"/>
          <w:szCs w:val="32"/>
          <w:highlight w:val="none"/>
        </w:rPr>
      </w:pPr>
    </w:p>
    <w:p w14:paraId="5A0774FF">
      <w:pPr>
        <w:autoSpaceDE w:val="0"/>
        <w:autoSpaceDN w:val="0"/>
        <w:jc w:val="center"/>
        <w:rPr>
          <w:rFonts w:ascii="宋体" w:hAnsi="宋体" w:cs="宋体"/>
          <w:b/>
          <w:color w:val="auto"/>
          <w:spacing w:val="6"/>
          <w:sz w:val="32"/>
          <w:szCs w:val="32"/>
          <w:highlight w:val="none"/>
        </w:rPr>
      </w:pPr>
    </w:p>
    <w:p w14:paraId="0DE23B37">
      <w:pPr>
        <w:autoSpaceDE w:val="0"/>
        <w:autoSpaceDN w:val="0"/>
        <w:jc w:val="center"/>
        <w:rPr>
          <w:rFonts w:ascii="宋体" w:hAnsi="宋体" w:cs="宋体"/>
          <w:b/>
          <w:color w:val="auto"/>
          <w:spacing w:val="6"/>
          <w:sz w:val="32"/>
          <w:szCs w:val="32"/>
          <w:highlight w:val="none"/>
        </w:rPr>
      </w:pPr>
    </w:p>
    <w:p w14:paraId="3A85D2EC">
      <w:pPr>
        <w:autoSpaceDE w:val="0"/>
        <w:autoSpaceDN w:val="0"/>
        <w:jc w:val="center"/>
        <w:rPr>
          <w:rFonts w:ascii="宋体" w:hAnsi="宋体" w:cs="宋体"/>
          <w:b/>
          <w:color w:val="auto"/>
          <w:spacing w:val="6"/>
          <w:sz w:val="32"/>
          <w:szCs w:val="32"/>
          <w:highlight w:val="none"/>
        </w:rPr>
      </w:pPr>
    </w:p>
    <w:p w14:paraId="0611EE18">
      <w:pPr>
        <w:autoSpaceDE w:val="0"/>
        <w:autoSpaceDN w:val="0"/>
        <w:jc w:val="center"/>
        <w:rPr>
          <w:rFonts w:ascii="宋体" w:hAnsi="宋体" w:cs="宋体"/>
          <w:b/>
          <w:color w:val="auto"/>
          <w:spacing w:val="6"/>
          <w:sz w:val="32"/>
          <w:szCs w:val="32"/>
          <w:highlight w:val="none"/>
        </w:rPr>
      </w:pPr>
    </w:p>
    <w:p w14:paraId="1B805A1F">
      <w:pPr>
        <w:autoSpaceDE w:val="0"/>
        <w:autoSpaceDN w:val="0"/>
        <w:jc w:val="center"/>
        <w:rPr>
          <w:rFonts w:ascii="宋体" w:hAnsi="宋体" w:cs="宋体"/>
          <w:b/>
          <w:color w:val="auto"/>
          <w:spacing w:val="6"/>
          <w:sz w:val="32"/>
          <w:szCs w:val="32"/>
          <w:highlight w:val="none"/>
        </w:rPr>
      </w:pPr>
    </w:p>
    <w:p w14:paraId="00ABEBEE">
      <w:pPr>
        <w:autoSpaceDE w:val="0"/>
        <w:autoSpaceDN w:val="0"/>
        <w:jc w:val="center"/>
        <w:rPr>
          <w:rFonts w:ascii="宋体" w:hAnsi="宋体" w:cs="宋体"/>
          <w:b/>
          <w:color w:val="auto"/>
          <w:spacing w:val="6"/>
          <w:sz w:val="32"/>
          <w:szCs w:val="32"/>
          <w:highlight w:val="none"/>
        </w:rPr>
      </w:pPr>
    </w:p>
    <w:p w14:paraId="73F1CABF">
      <w:pPr>
        <w:autoSpaceDE w:val="0"/>
        <w:autoSpaceDN w:val="0"/>
        <w:jc w:val="center"/>
        <w:rPr>
          <w:rFonts w:ascii="宋体" w:hAnsi="宋体" w:cs="宋体"/>
          <w:b/>
          <w:color w:val="auto"/>
          <w:spacing w:val="6"/>
          <w:sz w:val="32"/>
          <w:szCs w:val="32"/>
          <w:highlight w:val="none"/>
        </w:rPr>
      </w:pPr>
    </w:p>
    <w:p w14:paraId="73C5B108">
      <w:pPr>
        <w:autoSpaceDE w:val="0"/>
        <w:autoSpaceDN w:val="0"/>
        <w:jc w:val="center"/>
        <w:rPr>
          <w:rFonts w:ascii="宋体" w:hAnsi="宋体" w:cs="宋体"/>
          <w:b/>
          <w:color w:val="auto"/>
          <w:spacing w:val="6"/>
          <w:sz w:val="32"/>
          <w:szCs w:val="32"/>
          <w:highlight w:val="none"/>
        </w:rPr>
      </w:pPr>
    </w:p>
    <w:p w14:paraId="460B015A">
      <w:pPr>
        <w:autoSpaceDE w:val="0"/>
        <w:autoSpaceDN w:val="0"/>
        <w:jc w:val="center"/>
        <w:rPr>
          <w:rFonts w:ascii="宋体" w:hAnsi="宋体" w:cs="宋体"/>
          <w:b/>
          <w:color w:val="auto"/>
          <w:spacing w:val="6"/>
          <w:sz w:val="32"/>
          <w:szCs w:val="32"/>
          <w:highlight w:val="none"/>
        </w:rPr>
      </w:pPr>
    </w:p>
    <w:p w14:paraId="5447A089">
      <w:pPr>
        <w:autoSpaceDE w:val="0"/>
        <w:autoSpaceDN w:val="0"/>
        <w:jc w:val="center"/>
        <w:rPr>
          <w:rFonts w:ascii="宋体" w:hAnsi="宋体" w:cs="宋体"/>
          <w:b/>
          <w:color w:val="auto"/>
          <w:spacing w:val="6"/>
          <w:sz w:val="32"/>
          <w:szCs w:val="32"/>
          <w:highlight w:val="none"/>
        </w:rPr>
      </w:pPr>
    </w:p>
    <w:p w14:paraId="05F8E555">
      <w:pPr>
        <w:autoSpaceDE w:val="0"/>
        <w:autoSpaceDN w:val="0"/>
        <w:jc w:val="center"/>
        <w:rPr>
          <w:rFonts w:ascii="宋体" w:hAnsi="宋体" w:cs="宋体"/>
          <w:b/>
          <w:color w:val="auto"/>
          <w:spacing w:val="6"/>
          <w:sz w:val="32"/>
          <w:szCs w:val="32"/>
          <w:highlight w:val="none"/>
        </w:rPr>
      </w:pPr>
    </w:p>
    <w:p w14:paraId="750B0DC8">
      <w:pPr>
        <w:autoSpaceDE w:val="0"/>
        <w:autoSpaceDN w:val="0"/>
        <w:jc w:val="center"/>
        <w:rPr>
          <w:rFonts w:ascii="宋体" w:hAnsi="宋体" w:cs="宋体"/>
          <w:b/>
          <w:color w:val="auto"/>
          <w:spacing w:val="6"/>
          <w:sz w:val="32"/>
          <w:szCs w:val="32"/>
          <w:highlight w:val="none"/>
        </w:rPr>
      </w:pPr>
    </w:p>
    <w:p w14:paraId="0AB8D461">
      <w:pPr>
        <w:autoSpaceDE w:val="0"/>
        <w:autoSpaceDN w:val="0"/>
        <w:jc w:val="center"/>
        <w:rPr>
          <w:rFonts w:ascii="宋体" w:hAnsi="宋体" w:cs="宋体"/>
          <w:b/>
          <w:color w:val="auto"/>
          <w:spacing w:val="6"/>
          <w:sz w:val="32"/>
          <w:szCs w:val="32"/>
          <w:highlight w:val="none"/>
        </w:rPr>
      </w:pPr>
    </w:p>
    <w:p w14:paraId="0CE556C3">
      <w:pPr>
        <w:autoSpaceDE w:val="0"/>
        <w:autoSpaceDN w:val="0"/>
        <w:jc w:val="center"/>
        <w:rPr>
          <w:rFonts w:ascii="宋体" w:hAnsi="宋体" w:cs="宋体"/>
          <w:b/>
          <w:color w:val="auto"/>
          <w:spacing w:val="6"/>
          <w:sz w:val="32"/>
          <w:szCs w:val="32"/>
          <w:highlight w:val="none"/>
        </w:rPr>
      </w:pPr>
    </w:p>
    <w:p w14:paraId="7AA9F26E">
      <w:pPr>
        <w:autoSpaceDE w:val="0"/>
        <w:autoSpaceDN w:val="0"/>
        <w:jc w:val="center"/>
        <w:rPr>
          <w:rFonts w:ascii="宋体" w:hAnsi="宋体" w:cs="宋体"/>
          <w:b/>
          <w:color w:val="auto"/>
          <w:spacing w:val="6"/>
          <w:sz w:val="32"/>
          <w:szCs w:val="32"/>
          <w:highlight w:val="none"/>
        </w:rPr>
      </w:pPr>
    </w:p>
    <w:p w14:paraId="2EAB81FE">
      <w:pPr>
        <w:autoSpaceDE w:val="0"/>
        <w:autoSpaceDN w:val="0"/>
        <w:jc w:val="center"/>
        <w:rPr>
          <w:rFonts w:ascii="宋体" w:hAnsi="宋体" w:cs="宋体"/>
          <w:b/>
          <w:color w:val="auto"/>
          <w:spacing w:val="6"/>
          <w:sz w:val="32"/>
          <w:szCs w:val="32"/>
          <w:highlight w:val="none"/>
        </w:rPr>
      </w:pPr>
    </w:p>
    <w:p w14:paraId="611C0DE5">
      <w:pPr>
        <w:autoSpaceDE w:val="0"/>
        <w:autoSpaceDN w:val="0"/>
        <w:jc w:val="center"/>
        <w:rPr>
          <w:rFonts w:ascii="宋体" w:hAnsi="宋体" w:cs="宋体"/>
          <w:b/>
          <w:color w:val="auto"/>
          <w:spacing w:val="6"/>
          <w:sz w:val="32"/>
          <w:szCs w:val="32"/>
          <w:highlight w:val="none"/>
        </w:rPr>
      </w:pPr>
    </w:p>
    <w:p w14:paraId="2B8A0F09">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2FD4CAA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DEB6C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杭州职业技术大学</w:t>
      </w:r>
      <w:r>
        <w:rPr>
          <w:rFonts w:hint="eastAsia" w:ascii="宋体" w:hAnsi="宋体" w:cs="宋体"/>
          <w:color w:val="auto"/>
          <w:sz w:val="24"/>
          <w:highlight w:val="none"/>
          <w:lang w:eastAsia="zh-CN"/>
        </w:rPr>
        <w:t>新安江校区</w:t>
      </w:r>
      <w:r>
        <w:rPr>
          <w:rFonts w:hint="eastAsia" w:ascii="宋体" w:hAnsi="宋体" w:cs="宋体"/>
          <w:color w:val="auto"/>
          <w:sz w:val="24"/>
          <w:highlight w:val="none"/>
        </w:rPr>
        <w:t>多媒体教室建设项目【招标编号：HZZFCG-2026-072】</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6EFD3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lang w:val="zh-CN"/>
        </w:rPr>
        <w:t>将工作分包如下：</w:t>
      </w:r>
      <w:r>
        <w:rPr>
          <w:rFonts w:hint="eastAsia" w:ascii="宋体" w:hAnsi="宋体" w:cs="宋体"/>
          <w:b/>
          <w:bCs/>
          <w:i/>
          <w:iCs/>
          <w:color w:val="auto"/>
          <w:kern w:val="0"/>
          <w:sz w:val="24"/>
          <w:highlight w:val="none"/>
          <w:lang w:val="zh-CN"/>
        </w:rPr>
        <w:t>（注：投标人只能将招标文件第二部分中“前附表”的“分包”规定的工作进行分包）</w:t>
      </w:r>
    </w:p>
    <w:p w14:paraId="3A9337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p>
    <w:p w14:paraId="7B41FB8A">
      <w:pPr>
        <w:snapToGrid w:val="0"/>
        <w:spacing w:line="360" w:lineRule="auto"/>
        <w:ind w:firstLine="576"/>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（分包供应商2名称）；</w:t>
      </w:r>
    </w:p>
    <w:p w14:paraId="03604CF6">
      <w:pPr>
        <w:pStyle w:val="3"/>
        <w:rPr>
          <w:color w:val="auto"/>
          <w:highlight w:val="none"/>
        </w:rPr>
      </w:pPr>
      <w:r>
        <w:rPr>
          <w:rFonts w:hint="eastAsia"/>
          <w:color w:val="auto"/>
          <w:highlight w:val="none"/>
        </w:rPr>
        <w:t>……</w:t>
      </w:r>
    </w:p>
    <w:p w14:paraId="400BC969">
      <w:pPr>
        <w:pStyle w:val="3"/>
        <w:ind w:firstLine="200"/>
        <w:rPr>
          <w:color w:val="auto"/>
          <w:highlight w:val="none"/>
        </w:rPr>
      </w:pPr>
      <w:r>
        <w:rPr>
          <w:rFonts w:hint="eastAsia"/>
          <w:color w:val="auto"/>
          <w:highlight w:val="none"/>
        </w:rPr>
        <w:t>以上分包供应商具备所承担分包工作内容相应的资质条件且不得再次分包。</w:t>
      </w:r>
    </w:p>
    <w:p w14:paraId="542EB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rPr>
        <w:t>根据项目具体情况二选一填写）。</w:t>
      </w:r>
    </w:p>
    <w:p w14:paraId="4FB9C274">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提供的货物全部由小微企业制造，其合同份额占到合同总金额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B2FF9EE">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ascii="宋体" w:hAnsi="宋体" w:cs="宋体"/>
          <w:color w:val="auto"/>
          <w:kern w:val="0"/>
          <w:sz w:val="24"/>
          <w:highlight w:val="none"/>
        </w:rPr>
        <w:t xml:space="preserve"> </w:t>
      </w:r>
      <w:bookmarkStart w:id="40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408"/>
    </w:p>
    <w:p w14:paraId="29B9BF7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C17B61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83B2DB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404E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16705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7C92D4C">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F5D9A2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6D434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486ED0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8F982C8">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2770C603">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1CF3929F">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B57E78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A63042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F5DBB4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A9317E4">
      <w:pPr>
        <w:autoSpaceDE w:val="0"/>
        <w:autoSpaceDN w:val="0"/>
        <w:jc w:val="center"/>
        <w:rPr>
          <w:rFonts w:ascii="宋体" w:hAnsi="宋体" w:cs="宋体"/>
          <w:b/>
          <w:color w:val="auto"/>
          <w:spacing w:val="6"/>
          <w:sz w:val="32"/>
          <w:szCs w:val="32"/>
          <w:highlight w:val="none"/>
        </w:rPr>
      </w:pPr>
    </w:p>
    <w:p w14:paraId="0C65A257">
      <w:pPr>
        <w:autoSpaceDE w:val="0"/>
        <w:autoSpaceDN w:val="0"/>
        <w:jc w:val="center"/>
        <w:rPr>
          <w:rFonts w:ascii="宋体" w:hAnsi="宋体" w:cs="宋体"/>
          <w:b/>
          <w:color w:val="auto"/>
          <w:spacing w:val="6"/>
          <w:sz w:val="32"/>
          <w:szCs w:val="32"/>
          <w:highlight w:val="none"/>
        </w:rPr>
      </w:pPr>
    </w:p>
    <w:p w14:paraId="01C3CA6B">
      <w:pPr>
        <w:autoSpaceDE w:val="0"/>
        <w:autoSpaceDN w:val="0"/>
        <w:jc w:val="center"/>
        <w:rPr>
          <w:rFonts w:ascii="宋体" w:hAnsi="宋体" w:cs="宋体"/>
          <w:b/>
          <w:color w:val="auto"/>
          <w:spacing w:val="6"/>
          <w:sz w:val="32"/>
          <w:szCs w:val="32"/>
          <w:highlight w:val="none"/>
        </w:rPr>
      </w:pPr>
    </w:p>
    <w:p w14:paraId="3A0E9FC5">
      <w:pPr>
        <w:autoSpaceDE w:val="0"/>
        <w:autoSpaceDN w:val="0"/>
        <w:jc w:val="center"/>
        <w:rPr>
          <w:rFonts w:ascii="宋体" w:hAnsi="宋体" w:cs="宋体"/>
          <w:b/>
          <w:color w:val="auto"/>
          <w:spacing w:val="6"/>
          <w:sz w:val="32"/>
          <w:szCs w:val="32"/>
          <w:highlight w:val="none"/>
        </w:rPr>
      </w:pPr>
    </w:p>
    <w:p w14:paraId="6BAD93B6">
      <w:pPr>
        <w:autoSpaceDE w:val="0"/>
        <w:autoSpaceDN w:val="0"/>
        <w:jc w:val="center"/>
        <w:rPr>
          <w:rFonts w:ascii="宋体" w:hAnsi="宋体" w:cs="宋体"/>
          <w:b/>
          <w:color w:val="auto"/>
          <w:spacing w:val="6"/>
          <w:sz w:val="32"/>
          <w:szCs w:val="32"/>
          <w:highlight w:val="none"/>
        </w:rPr>
      </w:pPr>
    </w:p>
    <w:p w14:paraId="6525DD13">
      <w:pPr>
        <w:autoSpaceDE w:val="0"/>
        <w:autoSpaceDN w:val="0"/>
        <w:jc w:val="center"/>
        <w:rPr>
          <w:rFonts w:ascii="宋体" w:hAnsi="宋体" w:cs="宋体"/>
          <w:b/>
          <w:color w:val="auto"/>
          <w:spacing w:val="6"/>
          <w:sz w:val="32"/>
          <w:szCs w:val="32"/>
          <w:highlight w:val="none"/>
        </w:rPr>
      </w:pPr>
    </w:p>
    <w:p w14:paraId="71DDAE5E">
      <w:pPr>
        <w:autoSpaceDE w:val="0"/>
        <w:autoSpaceDN w:val="0"/>
        <w:jc w:val="center"/>
        <w:rPr>
          <w:rFonts w:ascii="宋体" w:hAnsi="宋体" w:cs="宋体"/>
          <w:b/>
          <w:color w:val="auto"/>
          <w:spacing w:val="6"/>
          <w:sz w:val="32"/>
          <w:szCs w:val="32"/>
          <w:highlight w:val="none"/>
        </w:rPr>
      </w:pPr>
    </w:p>
    <w:p w14:paraId="674B39C0">
      <w:pPr>
        <w:autoSpaceDE w:val="0"/>
        <w:autoSpaceDN w:val="0"/>
        <w:jc w:val="center"/>
        <w:rPr>
          <w:rFonts w:ascii="宋体" w:hAnsi="宋体" w:cs="宋体"/>
          <w:b/>
          <w:color w:val="auto"/>
          <w:spacing w:val="6"/>
          <w:sz w:val="32"/>
          <w:szCs w:val="32"/>
          <w:highlight w:val="none"/>
        </w:rPr>
      </w:pPr>
    </w:p>
    <w:p w14:paraId="6186C718">
      <w:pPr>
        <w:autoSpaceDE w:val="0"/>
        <w:autoSpaceDN w:val="0"/>
        <w:jc w:val="center"/>
        <w:rPr>
          <w:rFonts w:ascii="宋体" w:hAnsi="宋体" w:cs="宋体"/>
          <w:b/>
          <w:color w:val="auto"/>
          <w:spacing w:val="6"/>
          <w:sz w:val="32"/>
          <w:szCs w:val="32"/>
          <w:highlight w:val="none"/>
        </w:rPr>
      </w:pPr>
    </w:p>
    <w:p w14:paraId="2F8A60F6">
      <w:pPr>
        <w:autoSpaceDE w:val="0"/>
        <w:autoSpaceDN w:val="0"/>
        <w:jc w:val="center"/>
        <w:rPr>
          <w:rFonts w:ascii="宋体" w:hAnsi="宋体" w:cs="宋体"/>
          <w:b/>
          <w:color w:val="auto"/>
          <w:spacing w:val="6"/>
          <w:sz w:val="32"/>
          <w:szCs w:val="32"/>
          <w:highlight w:val="none"/>
        </w:rPr>
      </w:pPr>
    </w:p>
    <w:p w14:paraId="42A822EE">
      <w:pPr>
        <w:autoSpaceDE w:val="0"/>
        <w:autoSpaceDN w:val="0"/>
        <w:jc w:val="center"/>
        <w:rPr>
          <w:rFonts w:ascii="宋体" w:hAnsi="宋体" w:cs="宋体"/>
          <w:b/>
          <w:color w:val="auto"/>
          <w:spacing w:val="6"/>
          <w:sz w:val="32"/>
          <w:szCs w:val="32"/>
          <w:highlight w:val="none"/>
        </w:rPr>
      </w:pPr>
    </w:p>
    <w:p w14:paraId="7AC11B2E">
      <w:pPr>
        <w:autoSpaceDE w:val="0"/>
        <w:autoSpaceDN w:val="0"/>
        <w:jc w:val="center"/>
        <w:rPr>
          <w:rFonts w:ascii="宋体" w:hAnsi="宋体" w:cs="宋体"/>
          <w:b/>
          <w:color w:val="auto"/>
          <w:spacing w:val="6"/>
          <w:sz w:val="32"/>
          <w:szCs w:val="32"/>
          <w:highlight w:val="none"/>
        </w:rPr>
      </w:pPr>
    </w:p>
    <w:p w14:paraId="0A4B5D41">
      <w:pPr>
        <w:autoSpaceDE w:val="0"/>
        <w:autoSpaceDN w:val="0"/>
        <w:jc w:val="center"/>
        <w:rPr>
          <w:rFonts w:ascii="宋体" w:hAnsi="宋体" w:cs="宋体"/>
          <w:b/>
          <w:color w:val="auto"/>
          <w:spacing w:val="6"/>
          <w:sz w:val="32"/>
          <w:szCs w:val="32"/>
          <w:highlight w:val="none"/>
        </w:rPr>
      </w:pPr>
    </w:p>
    <w:p w14:paraId="107B80B2">
      <w:pPr>
        <w:autoSpaceDE w:val="0"/>
        <w:autoSpaceDN w:val="0"/>
        <w:jc w:val="center"/>
        <w:rPr>
          <w:rFonts w:ascii="宋体" w:hAnsi="宋体" w:cs="宋体"/>
          <w:b/>
          <w:color w:val="auto"/>
          <w:spacing w:val="6"/>
          <w:sz w:val="32"/>
          <w:szCs w:val="32"/>
          <w:highlight w:val="none"/>
        </w:rPr>
      </w:pPr>
    </w:p>
    <w:p w14:paraId="08B5CD07">
      <w:pPr>
        <w:autoSpaceDE w:val="0"/>
        <w:autoSpaceDN w:val="0"/>
        <w:jc w:val="center"/>
        <w:rPr>
          <w:rFonts w:ascii="宋体" w:hAnsi="宋体" w:cs="宋体"/>
          <w:b/>
          <w:color w:val="auto"/>
          <w:spacing w:val="6"/>
          <w:sz w:val="32"/>
          <w:szCs w:val="32"/>
          <w:highlight w:val="none"/>
        </w:rPr>
      </w:pPr>
    </w:p>
    <w:p w14:paraId="62902BDB">
      <w:pPr>
        <w:autoSpaceDE w:val="0"/>
        <w:autoSpaceDN w:val="0"/>
        <w:jc w:val="center"/>
        <w:rPr>
          <w:rFonts w:ascii="宋体" w:hAnsi="宋体" w:cs="宋体"/>
          <w:b/>
          <w:color w:val="auto"/>
          <w:spacing w:val="6"/>
          <w:sz w:val="32"/>
          <w:szCs w:val="32"/>
          <w:highlight w:val="none"/>
        </w:rPr>
      </w:pPr>
    </w:p>
    <w:p w14:paraId="63118249">
      <w:pPr>
        <w:autoSpaceDE w:val="0"/>
        <w:autoSpaceDN w:val="0"/>
        <w:jc w:val="center"/>
        <w:rPr>
          <w:rFonts w:ascii="宋体" w:hAnsi="宋体" w:cs="宋体"/>
          <w:b/>
          <w:color w:val="auto"/>
          <w:spacing w:val="6"/>
          <w:sz w:val="32"/>
          <w:szCs w:val="32"/>
          <w:highlight w:val="none"/>
        </w:rPr>
      </w:pPr>
    </w:p>
    <w:p w14:paraId="42FC7650">
      <w:pPr>
        <w:autoSpaceDE w:val="0"/>
        <w:autoSpaceDN w:val="0"/>
        <w:jc w:val="center"/>
        <w:rPr>
          <w:rFonts w:ascii="宋体" w:hAnsi="宋体" w:cs="宋体"/>
          <w:b/>
          <w:color w:val="auto"/>
          <w:spacing w:val="6"/>
          <w:sz w:val="32"/>
          <w:szCs w:val="32"/>
          <w:highlight w:val="none"/>
        </w:rPr>
      </w:pPr>
    </w:p>
    <w:p w14:paraId="6ABCD87C">
      <w:pPr>
        <w:autoSpaceDE w:val="0"/>
        <w:autoSpaceDN w:val="0"/>
        <w:jc w:val="center"/>
        <w:rPr>
          <w:rFonts w:ascii="宋体" w:hAnsi="宋体" w:cs="宋体"/>
          <w:b/>
          <w:color w:val="auto"/>
          <w:spacing w:val="6"/>
          <w:sz w:val="32"/>
          <w:szCs w:val="32"/>
          <w:highlight w:val="none"/>
        </w:rPr>
      </w:pPr>
    </w:p>
    <w:p w14:paraId="55E434CC">
      <w:pPr>
        <w:autoSpaceDE w:val="0"/>
        <w:autoSpaceDN w:val="0"/>
        <w:jc w:val="center"/>
        <w:rPr>
          <w:rFonts w:ascii="宋体" w:hAnsi="宋体" w:cs="宋体"/>
          <w:b/>
          <w:color w:val="auto"/>
          <w:spacing w:val="6"/>
          <w:sz w:val="32"/>
          <w:szCs w:val="32"/>
          <w:highlight w:val="none"/>
        </w:rPr>
      </w:pPr>
    </w:p>
    <w:p w14:paraId="5D720AC5">
      <w:pPr>
        <w:autoSpaceDE w:val="0"/>
        <w:autoSpaceDN w:val="0"/>
        <w:jc w:val="center"/>
        <w:rPr>
          <w:rFonts w:ascii="宋体" w:hAnsi="宋体" w:cs="宋体"/>
          <w:b/>
          <w:color w:val="auto"/>
          <w:spacing w:val="6"/>
          <w:sz w:val="32"/>
          <w:szCs w:val="32"/>
          <w:highlight w:val="none"/>
        </w:rPr>
      </w:pPr>
    </w:p>
    <w:p w14:paraId="7252FE6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BD4AC07">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0517D0C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653C27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杭州职业技术大学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杭州职业技术大学</w:t>
      </w:r>
      <w:r>
        <w:rPr>
          <w:rFonts w:hint="eastAsia" w:ascii="宋体" w:hAnsi="宋体" w:cs="宋体"/>
          <w:color w:val="auto"/>
          <w:sz w:val="24"/>
          <w:highlight w:val="none"/>
          <w:u w:val="single"/>
          <w:lang w:eastAsia="zh-CN"/>
        </w:rPr>
        <w:t>新安江校区</w:t>
      </w:r>
      <w:r>
        <w:rPr>
          <w:rFonts w:hint="eastAsia" w:ascii="宋体" w:hAnsi="宋体" w:cs="宋体"/>
          <w:color w:val="auto"/>
          <w:sz w:val="24"/>
          <w:highlight w:val="none"/>
          <w:u w:val="single"/>
        </w:rPr>
        <w:t>多媒体教室建设项目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09E330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98寸智慧屏</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CCD3E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智能书写板</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0A6C13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highlight w:val="none"/>
        </w:rPr>
        <w:t xml:space="preserve"> </w:t>
      </w:r>
      <w:r>
        <w:rPr>
          <w:rFonts w:hint="eastAsia" w:ascii="宋体" w:hAnsi="宋体" w:cs="宋体"/>
          <w:color w:val="auto"/>
          <w:sz w:val="24"/>
          <w:highlight w:val="none"/>
          <w:u w:val="single"/>
        </w:rPr>
        <w:t>讲台智慧屏</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1F895D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highlight w:val="none"/>
        </w:rPr>
        <w:t xml:space="preserve"> </w:t>
      </w:r>
      <w:r>
        <w:rPr>
          <w:rFonts w:hint="eastAsia" w:ascii="宋体" w:hAnsi="宋体" w:cs="宋体"/>
          <w:color w:val="auto"/>
          <w:sz w:val="24"/>
          <w:highlight w:val="none"/>
          <w:u w:val="single"/>
        </w:rPr>
        <w:t>讲台1</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57729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highlight w:val="none"/>
        </w:rPr>
        <w:t xml:space="preserve"> </w:t>
      </w:r>
      <w:r>
        <w:rPr>
          <w:rFonts w:hint="eastAsia" w:ascii="宋体" w:hAnsi="宋体" w:cs="宋体"/>
          <w:color w:val="auto"/>
          <w:sz w:val="24"/>
          <w:highlight w:val="none"/>
          <w:u w:val="single"/>
        </w:rPr>
        <w:t>讲台2</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DBC91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highlight w:val="none"/>
        </w:rPr>
        <w:t xml:space="preserve"> </w:t>
      </w:r>
      <w:r>
        <w:rPr>
          <w:rFonts w:hint="eastAsia" w:ascii="宋体" w:hAnsi="宋体" w:cs="宋体"/>
          <w:color w:val="auto"/>
          <w:sz w:val="24"/>
          <w:highlight w:val="none"/>
          <w:u w:val="single"/>
        </w:rPr>
        <w:t>音柱</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88412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highlight w:val="none"/>
        </w:rPr>
        <w:t xml:space="preserve"> </w:t>
      </w:r>
      <w:r>
        <w:rPr>
          <w:rFonts w:hint="eastAsia" w:ascii="宋体" w:hAnsi="宋体" w:cs="宋体"/>
          <w:color w:val="auto"/>
          <w:sz w:val="24"/>
          <w:highlight w:val="none"/>
          <w:u w:val="single"/>
        </w:rPr>
        <w:t>功放</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1CFB13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highlight w:val="none"/>
        </w:rPr>
        <w:t xml:space="preserve"> </w:t>
      </w:r>
      <w:r>
        <w:rPr>
          <w:rFonts w:hint="eastAsia" w:ascii="宋体" w:hAnsi="宋体" w:cs="宋体"/>
          <w:color w:val="auto"/>
          <w:sz w:val="24"/>
          <w:highlight w:val="none"/>
          <w:u w:val="single"/>
        </w:rPr>
        <w:t>无线麦克风</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0218E0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highlight w:val="none"/>
        </w:rPr>
        <w:t xml:space="preserve"> </w:t>
      </w:r>
      <w:r>
        <w:rPr>
          <w:rFonts w:hint="eastAsia" w:ascii="宋体" w:hAnsi="宋体" w:cs="宋体"/>
          <w:color w:val="auto"/>
          <w:sz w:val="24"/>
          <w:highlight w:val="none"/>
          <w:u w:val="single"/>
        </w:rPr>
        <w:t>录播主机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8C242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highlight w:val="none"/>
        </w:rPr>
        <w:t xml:space="preserve"> </w:t>
      </w:r>
      <w:r>
        <w:rPr>
          <w:rFonts w:hint="eastAsia" w:ascii="宋体" w:hAnsi="宋体" w:cs="宋体"/>
          <w:color w:val="auto"/>
          <w:sz w:val="24"/>
          <w:highlight w:val="none"/>
          <w:u w:val="single"/>
        </w:rPr>
        <w:t>导播系统</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EE1DB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highlight w:val="none"/>
        </w:rPr>
        <w:t xml:space="preserve"> </w:t>
      </w:r>
      <w:r>
        <w:rPr>
          <w:rFonts w:hint="eastAsia" w:ascii="宋体" w:hAnsi="宋体" w:cs="宋体"/>
          <w:color w:val="auto"/>
          <w:sz w:val="24"/>
          <w:highlight w:val="none"/>
          <w:u w:val="single"/>
        </w:rPr>
        <w:t>互动系统</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133F1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highlight w:val="none"/>
        </w:rPr>
        <w:t xml:space="preserve"> </w:t>
      </w:r>
      <w:r>
        <w:rPr>
          <w:rFonts w:hint="eastAsia" w:ascii="宋体" w:hAnsi="宋体" w:cs="宋体"/>
          <w:color w:val="auto"/>
          <w:sz w:val="24"/>
          <w:highlight w:val="none"/>
          <w:u w:val="single"/>
        </w:rPr>
        <w:t>视频处理系统</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6D232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highlight w:val="none"/>
        </w:rPr>
        <w:t xml:space="preserve"> </w:t>
      </w:r>
      <w:r>
        <w:rPr>
          <w:rFonts w:hint="eastAsia" w:ascii="宋体" w:hAnsi="宋体" w:cs="宋体"/>
          <w:color w:val="auto"/>
          <w:sz w:val="24"/>
          <w:highlight w:val="none"/>
          <w:u w:val="single"/>
        </w:rPr>
        <w:t>远程互动课堂软件</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1A587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highlight w:val="none"/>
        </w:rPr>
        <w:t xml:space="preserve"> </w:t>
      </w:r>
      <w:r>
        <w:rPr>
          <w:rFonts w:hint="eastAsia" w:ascii="宋体" w:hAnsi="宋体" w:cs="宋体"/>
          <w:color w:val="auto"/>
          <w:sz w:val="24"/>
          <w:highlight w:val="none"/>
          <w:u w:val="single"/>
        </w:rPr>
        <w:t>教师摄像机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4F818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color w:val="auto"/>
          <w:highlight w:val="none"/>
        </w:rPr>
        <w:t xml:space="preserve"> </w:t>
      </w:r>
      <w:r>
        <w:rPr>
          <w:rFonts w:hint="eastAsia" w:ascii="宋体" w:hAnsi="宋体" w:cs="宋体"/>
          <w:color w:val="auto"/>
          <w:sz w:val="24"/>
          <w:highlight w:val="none"/>
          <w:u w:val="single"/>
        </w:rPr>
        <w:t>学生摄像机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1B949B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highlight w:val="none"/>
        </w:rPr>
        <w:t xml:space="preserve"> </w:t>
      </w:r>
      <w:r>
        <w:rPr>
          <w:rFonts w:hint="eastAsia" w:ascii="宋体" w:hAnsi="宋体" w:cs="宋体"/>
          <w:color w:val="auto"/>
          <w:sz w:val="24"/>
          <w:highlight w:val="none"/>
          <w:u w:val="single"/>
        </w:rPr>
        <w:t>教师云台摄像机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693BD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highlight w:val="none"/>
        </w:rPr>
        <w:t xml:space="preserve"> </w:t>
      </w:r>
      <w:r>
        <w:rPr>
          <w:rFonts w:hint="eastAsia" w:ascii="宋体" w:hAnsi="宋体" w:cs="宋体"/>
          <w:color w:val="auto"/>
          <w:sz w:val="24"/>
          <w:highlight w:val="none"/>
          <w:u w:val="single"/>
        </w:rPr>
        <w:t>全向麦克风</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B6464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r>
        <w:rPr>
          <w:rFonts w:hint="eastAsia" w:ascii="宋体" w:hAnsi="宋体" w:cs="宋体"/>
          <w:color w:val="auto"/>
          <w:highlight w:val="none"/>
        </w:rPr>
        <w:t xml:space="preserve"> </w:t>
      </w:r>
      <w:r>
        <w:rPr>
          <w:rFonts w:hint="eastAsia" w:ascii="宋体" w:hAnsi="宋体" w:cs="宋体"/>
          <w:color w:val="auto"/>
          <w:sz w:val="24"/>
          <w:highlight w:val="none"/>
          <w:u w:val="single"/>
        </w:rPr>
        <w:t>中控主机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762B9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w:t>
      </w:r>
      <w:r>
        <w:rPr>
          <w:rFonts w:hint="eastAsia" w:ascii="宋体" w:hAnsi="宋体" w:cs="宋体"/>
          <w:color w:val="auto"/>
          <w:highlight w:val="none"/>
        </w:rPr>
        <w:t xml:space="preserve"> </w:t>
      </w:r>
      <w:r>
        <w:rPr>
          <w:rFonts w:hint="eastAsia" w:ascii="宋体" w:hAnsi="宋体" w:cs="宋体"/>
          <w:color w:val="auto"/>
          <w:sz w:val="24"/>
          <w:highlight w:val="none"/>
          <w:u w:val="single"/>
        </w:rPr>
        <w:t>中控面板</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48A8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highlight w:val="none"/>
        </w:rPr>
        <w:t xml:space="preserve"> </w:t>
      </w:r>
      <w:r>
        <w:rPr>
          <w:rFonts w:hint="eastAsia" w:ascii="宋体" w:hAnsi="宋体" w:cs="宋体"/>
          <w:color w:val="auto"/>
          <w:sz w:val="24"/>
          <w:highlight w:val="none"/>
          <w:u w:val="single"/>
        </w:rPr>
        <w:t>考场数字定焦广角摄像机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0455D1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u w:val="single"/>
        </w:rPr>
        <w:t>LED显示屏</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6F1973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highlight w:val="none"/>
        </w:rPr>
        <w:t xml:space="preserve"> </w:t>
      </w:r>
      <w:r>
        <w:rPr>
          <w:rFonts w:hint="eastAsia" w:ascii="宋体" w:hAnsi="宋体" w:cs="宋体"/>
          <w:color w:val="auto"/>
          <w:sz w:val="24"/>
          <w:highlight w:val="none"/>
          <w:u w:val="single"/>
        </w:rPr>
        <w:t>导播终端</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A7217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highlight w:val="none"/>
        </w:rPr>
        <w:t xml:space="preserve"> </w:t>
      </w:r>
      <w:r>
        <w:rPr>
          <w:rFonts w:hint="eastAsia" w:ascii="宋体" w:hAnsi="宋体" w:cs="宋体"/>
          <w:color w:val="auto"/>
          <w:sz w:val="24"/>
          <w:highlight w:val="none"/>
          <w:u w:val="single"/>
        </w:rPr>
        <w:t>控制型智慧讲台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277B8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w:t>
      </w:r>
      <w:r>
        <w:rPr>
          <w:rFonts w:hint="eastAsia" w:ascii="宋体" w:hAnsi="宋体" w:cs="宋体"/>
          <w:color w:val="auto"/>
          <w:highlight w:val="none"/>
        </w:rPr>
        <w:t xml:space="preserve"> </w:t>
      </w:r>
      <w:r>
        <w:rPr>
          <w:rFonts w:hint="eastAsia" w:ascii="宋体" w:hAnsi="宋体" w:cs="宋体"/>
          <w:color w:val="auto"/>
          <w:sz w:val="24"/>
          <w:highlight w:val="none"/>
          <w:u w:val="single"/>
        </w:rPr>
        <w:t>智能电源管理器</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42677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ascii="宋体" w:hAnsi="宋体" w:cs="宋体"/>
          <w:color w:val="auto"/>
          <w:highlight w:val="none"/>
        </w:rPr>
        <w:t xml:space="preserve"> </w:t>
      </w:r>
      <w:r>
        <w:rPr>
          <w:rFonts w:hint="eastAsia" w:ascii="宋体" w:hAnsi="宋体" w:cs="宋体"/>
          <w:color w:val="auto"/>
          <w:sz w:val="24"/>
          <w:highlight w:val="none"/>
          <w:u w:val="single"/>
        </w:rPr>
        <w:t>显示大屏</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1C587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hint="eastAsia" w:ascii="宋体" w:hAnsi="宋体" w:cs="宋体"/>
          <w:color w:val="auto"/>
          <w:highlight w:val="none"/>
        </w:rPr>
        <w:t xml:space="preserve"> </w:t>
      </w:r>
      <w:r>
        <w:rPr>
          <w:rFonts w:hint="eastAsia" w:ascii="宋体" w:hAnsi="宋体" w:cs="宋体"/>
          <w:color w:val="auto"/>
          <w:sz w:val="24"/>
          <w:highlight w:val="none"/>
          <w:u w:val="single"/>
        </w:rPr>
        <w:t>服务器</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D8A8C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w:t>
      </w:r>
      <w:r>
        <w:rPr>
          <w:rFonts w:hint="eastAsia" w:ascii="宋体" w:hAnsi="宋体" w:cs="宋体"/>
          <w:color w:val="auto"/>
          <w:highlight w:val="none"/>
        </w:rPr>
        <w:t xml:space="preserve"> </w:t>
      </w:r>
      <w:r>
        <w:rPr>
          <w:rFonts w:hint="eastAsia" w:ascii="宋体" w:hAnsi="宋体" w:cs="宋体"/>
          <w:color w:val="auto"/>
          <w:sz w:val="24"/>
          <w:highlight w:val="none"/>
          <w:u w:val="single"/>
        </w:rPr>
        <w:t>控制电脑</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3C9E5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w:t>
      </w:r>
      <w:r>
        <w:rPr>
          <w:rFonts w:hint="eastAsia" w:ascii="宋体" w:hAnsi="宋体" w:cs="宋体"/>
          <w:color w:val="auto"/>
          <w:highlight w:val="none"/>
        </w:rPr>
        <w:t xml:space="preserve"> </w:t>
      </w:r>
      <w:r>
        <w:rPr>
          <w:rFonts w:hint="eastAsia" w:ascii="宋体" w:hAnsi="宋体" w:cs="宋体"/>
          <w:color w:val="auto"/>
          <w:sz w:val="24"/>
          <w:highlight w:val="none"/>
          <w:u w:val="single"/>
        </w:rPr>
        <w:t>控制桌</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FF2F6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w:t>
      </w:r>
      <w:r>
        <w:rPr>
          <w:rFonts w:hint="eastAsia" w:ascii="宋体" w:hAnsi="宋体" w:cs="宋体"/>
          <w:color w:val="auto"/>
          <w:highlight w:val="none"/>
        </w:rPr>
        <w:t xml:space="preserve"> </w:t>
      </w:r>
      <w:r>
        <w:rPr>
          <w:rFonts w:hint="eastAsia" w:ascii="宋体" w:hAnsi="宋体" w:cs="宋体"/>
          <w:color w:val="auto"/>
          <w:sz w:val="24"/>
          <w:highlight w:val="none"/>
          <w:u w:val="single"/>
        </w:rPr>
        <w:t>录直播资源管理平台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E236A72">
      <w:pPr>
        <w:spacing w:line="360" w:lineRule="auto"/>
        <w:ind w:firstLine="480" w:firstLineChars="200"/>
        <w:rPr>
          <w:color w:val="auto"/>
          <w:highlight w:val="none"/>
        </w:rPr>
      </w:pPr>
      <w:r>
        <w:rPr>
          <w:rFonts w:hint="eastAsia" w:ascii="宋体" w:hAnsi="宋体" w:cs="宋体"/>
          <w:color w:val="auto"/>
          <w:sz w:val="24"/>
          <w:highlight w:val="none"/>
        </w:rPr>
        <w:t>30.</w:t>
      </w:r>
      <w:r>
        <w:rPr>
          <w:rFonts w:hint="eastAsia" w:ascii="宋体" w:hAnsi="宋体" w:cs="宋体"/>
          <w:color w:val="auto"/>
          <w:highlight w:val="none"/>
        </w:rPr>
        <w:t xml:space="preserve"> </w:t>
      </w:r>
      <w:r>
        <w:rPr>
          <w:rFonts w:hint="eastAsia" w:ascii="宋体" w:hAnsi="宋体" w:cs="宋体"/>
          <w:color w:val="auto"/>
          <w:sz w:val="24"/>
          <w:highlight w:val="none"/>
          <w:u w:val="single"/>
        </w:rPr>
        <w:t>教学管理平台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40D4B7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w:t>
      </w:r>
      <w:r>
        <w:rPr>
          <w:rFonts w:hint="eastAsia" w:ascii="宋体" w:hAnsi="宋体" w:cs="宋体"/>
          <w:color w:val="auto"/>
          <w:highlight w:val="none"/>
        </w:rPr>
        <w:t xml:space="preserve"> </w:t>
      </w:r>
      <w:r>
        <w:rPr>
          <w:rFonts w:hint="eastAsia" w:ascii="宋体" w:hAnsi="宋体" w:cs="宋体"/>
          <w:color w:val="auto"/>
          <w:sz w:val="24"/>
          <w:highlight w:val="none"/>
          <w:u w:val="single"/>
        </w:rPr>
        <w:t>SIP 服务器</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0D562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highlight w:val="none"/>
        </w:rPr>
        <w:t xml:space="preserve"> </w:t>
      </w:r>
      <w:r>
        <w:rPr>
          <w:rFonts w:hint="eastAsia" w:ascii="宋体" w:hAnsi="宋体" w:cs="宋体"/>
          <w:color w:val="auto"/>
          <w:sz w:val="24"/>
          <w:highlight w:val="none"/>
          <w:u w:val="single"/>
        </w:rPr>
        <w:t>4路网络音视频解码器</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AEAF0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highlight w:val="none"/>
        </w:rPr>
        <w:t xml:space="preserve"> </w:t>
      </w:r>
      <w:r>
        <w:rPr>
          <w:rFonts w:hint="eastAsia" w:ascii="宋体" w:hAnsi="宋体" w:cs="宋体"/>
          <w:color w:val="auto"/>
          <w:sz w:val="24"/>
          <w:highlight w:val="none"/>
          <w:u w:val="single"/>
        </w:rPr>
        <w:t>64路NVR存储设备</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3A3B2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highlight w:val="none"/>
        </w:rPr>
        <w:t xml:space="preserve"> </w:t>
      </w:r>
      <w:r>
        <w:rPr>
          <w:rFonts w:hint="eastAsia" w:ascii="宋体" w:hAnsi="宋体" w:cs="宋体"/>
          <w:color w:val="auto"/>
          <w:sz w:val="24"/>
          <w:highlight w:val="none"/>
          <w:u w:val="single"/>
        </w:rPr>
        <w:t>硬盘</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2C847F71">
      <w:pPr>
        <w:spacing w:line="360" w:lineRule="auto"/>
        <w:ind w:firstLine="480" w:firstLineChars="200"/>
        <w:rPr>
          <w:color w:val="auto"/>
          <w:highlight w:val="none"/>
        </w:rPr>
      </w:pPr>
      <w:r>
        <w:rPr>
          <w:rFonts w:hint="eastAsia" w:ascii="宋体" w:hAnsi="宋体" w:cs="宋体"/>
          <w:color w:val="auto"/>
          <w:sz w:val="24"/>
          <w:highlight w:val="none"/>
        </w:rPr>
        <w:t>35.</w:t>
      </w:r>
      <w:r>
        <w:rPr>
          <w:rFonts w:hint="eastAsia" w:ascii="宋体" w:hAnsi="宋体" w:cs="宋体"/>
          <w:color w:val="auto"/>
          <w:highlight w:val="none"/>
        </w:rPr>
        <w:t xml:space="preserve"> </w:t>
      </w:r>
      <w:r>
        <w:rPr>
          <w:rFonts w:hint="eastAsia" w:ascii="宋体" w:hAnsi="宋体" w:cs="宋体"/>
          <w:color w:val="auto"/>
          <w:sz w:val="24"/>
          <w:highlight w:val="none"/>
          <w:u w:val="single"/>
        </w:rPr>
        <w:t>教育考试网上巡查系统软件</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软件和信息技术服务业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FBB58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w:t>
      </w:r>
      <w:r>
        <w:rPr>
          <w:rFonts w:hint="eastAsia" w:ascii="宋体" w:hAnsi="宋体" w:cs="宋体"/>
          <w:color w:val="auto"/>
          <w:highlight w:val="none"/>
        </w:rPr>
        <w:t xml:space="preserve"> </w:t>
      </w:r>
      <w:r>
        <w:rPr>
          <w:rFonts w:hint="eastAsia" w:ascii="宋体" w:hAnsi="宋体" w:cs="宋体"/>
          <w:color w:val="auto"/>
          <w:sz w:val="24"/>
          <w:highlight w:val="none"/>
          <w:u w:val="single"/>
        </w:rPr>
        <w:t>机柜</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A15DF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w:t>
      </w:r>
      <w:r>
        <w:rPr>
          <w:rFonts w:hint="eastAsia" w:ascii="宋体" w:hAnsi="宋体" w:cs="宋体"/>
          <w:color w:val="auto"/>
          <w:highlight w:val="none"/>
        </w:rPr>
        <w:t xml:space="preserve"> </w:t>
      </w:r>
      <w:r>
        <w:rPr>
          <w:rFonts w:hint="eastAsia" w:ascii="宋体" w:hAnsi="宋体" w:cs="宋体"/>
          <w:color w:val="auto"/>
          <w:sz w:val="24"/>
          <w:highlight w:val="none"/>
          <w:u w:val="single"/>
        </w:rPr>
        <w:t>多媒体播放器</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6ED0C3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w:t>
      </w:r>
      <w:r>
        <w:rPr>
          <w:rFonts w:hint="eastAsia" w:ascii="宋体" w:hAnsi="宋体" w:cs="宋体"/>
          <w:color w:val="auto"/>
          <w:highlight w:val="none"/>
        </w:rPr>
        <w:t xml:space="preserve"> </w:t>
      </w:r>
      <w:r>
        <w:rPr>
          <w:rFonts w:hint="eastAsia" w:ascii="宋体" w:hAnsi="宋体" w:cs="宋体"/>
          <w:color w:val="auto"/>
          <w:sz w:val="24"/>
          <w:highlight w:val="none"/>
          <w:u w:val="single"/>
        </w:rPr>
        <w:t>程控调频发射机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E7256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39.</w:t>
      </w:r>
      <w:r>
        <w:rPr>
          <w:rFonts w:hint="eastAsia" w:ascii="宋体" w:hAnsi="宋体" w:cs="宋体"/>
          <w:color w:val="auto"/>
          <w:highlight w:val="none"/>
        </w:rPr>
        <w:t xml:space="preserve"> </w:t>
      </w:r>
      <w:r>
        <w:rPr>
          <w:rFonts w:hint="eastAsia" w:ascii="宋体" w:hAnsi="宋体" w:cs="宋体"/>
          <w:color w:val="auto"/>
          <w:sz w:val="24"/>
          <w:highlight w:val="none"/>
          <w:u w:val="single"/>
        </w:rPr>
        <w:t>系统避雷器</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1B87FA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40.</w:t>
      </w:r>
      <w:r>
        <w:rPr>
          <w:rFonts w:hint="eastAsia" w:ascii="宋体" w:hAnsi="宋体" w:cs="宋体"/>
          <w:color w:val="auto"/>
          <w:highlight w:val="none"/>
        </w:rPr>
        <w:t xml:space="preserve"> </w:t>
      </w:r>
      <w:r>
        <w:rPr>
          <w:rFonts w:hint="eastAsia" w:ascii="宋体" w:hAnsi="宋体" w:cs="宋体"/>
          <w:color w:val="auto"/>
          <w:sz w:val="24"/>
          <w:highlight w:val="none"/>
          <w:u w:val="single"/>
        </w:rPr>
        <w:t>户外调频发射天线</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533483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highlight w:val="none"/>
        </w:rPr>
        <w:t xml:space="preserve"> </w:t>
      </w:r>
      <w:r>
        <w:rPr>
          <w:rFonts w:hint="eastAsia" w:ascii="宋体" w:hAnsi="宋体" w:cs="宋体"/>
          <w:color w:val="auto"/>
          <w:sz w:val="24"/>
          <w:highlight w:val="none"/>
          <w:u w:val="single"/>
        </w:rPr>
        <w:t>系统馈线</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3883E9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B75D9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8F954AD">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43FD44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8817B6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7165514F">
      <w:pPr>
        <w:spacing w:line="360" w:lineRule="auto"/>
        <w:ind w:right="420" w:firstLine="480" w:firstLineChars="200"/>
        <w:rPr>
          <w:color w:val="auto"/>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9269BA5">
      <w:pPr>
        <w:pStyle w:val="3"/>
        <w:rPr>
          <w:color w:val="auto"/>
          <w:highlight w:val="none"/>
        </w:rPr>
      </w:pPr>
    </w:p>
    <w:p w14:paraId="483510C2">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3E8540DA">
      <w:pPr>
        <w:snapToGrid w:val="0"/>
        <w:spacing w:line="360" w:lineRule="auto"/>
        <w:outlineLvl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附件8：中小企业划型标准</w:t>
      </w:r>
    </w:p>
    <w:p w14:paraId="304A351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各行业划型标准为：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（十六）其他未列明行业。从业人员300人以下的为中小微型企业。其中，从业人员100人及以上的为中型企业；从业人员10人及以上的为小型企业；从业人员10人以下的为微型企业。</w:t>
      </w:r>
    </w:p>
    <w:p w14:paraId="599BECA4">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36C913DA">
      <w:pPr>
        <w:snapToGrid w:val="0"/>
        <w:spacing w:line="360" w:lineRule="auto"/>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附件</w:t>
      </w:r>
      <w:r>
        <w:rPr>
          <w:rFonts w:hint="eastAsia" w:ascii="宋体" w:hAnsi="宋体" w:cs="宋体"/>
          <w:b/>
          <w:color w:val="auto"/>
          <w:kern w:val="0"/>
          <w:sz w:val="32"/>
          <w:szCs w:val="32"/>
          <w:highlight w:val="none"/>
        </w:rPr>
        <w:t>9：</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480" w:firstLineChars="20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078E8A5B">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注：1、</w:t>
      </w: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305CE39D">
      <w:pPr>
        <w:snapToGrid w:val="0"/>
        <w:spacing w:before="0" w:line="360" w:lineRule="auto"/>
        <w:ind w:left="0"/>
        <w:rPr>
          <w:rFonts w:hint="eastAsia" w:ascii="宋体" w:hAnsi="宋体" w:eastAsia="宋体" w:cs="宋体"/>
          <w:color w:val="auto"/>
          <w:spacing w:val="0"/>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57FE6FE6">
      <w:pPr>
        <w:snapToGrid w:val="0"/>
        <w:spacing w:line="360" w:lineRule="auto"/>
        <w:ind w:right="0" w:firstLine="0" w:firstLineChars="0"/>
        <w:rPr>
          <w:rFonts w:hint="eastAsia" w:ascii="宋体" w:hAnsi="宋体" w:eastAsia="宋体" w:cs="宋体"/>
          <w:b w:val="0"/>
          <w:bCs w:val="0"/>
          <w:color w:val="auto"/>
          <w:kern w:val="0"/>
          <w:sz w:val="24"/>
          <w:szCs w:val="24"/>
          <w:highlight w:val="none"/>
          <w:u w:val="none"/>
          <w:lang w:val="zh-CN"/>
        </w:rPr>
      </w:pPr>
      <w:r>
        <w:rPr>
          <w:rFonts w:hint="eastAsia" w:ascii="宋体" w:hAnsi="宋体" w:eastAsia="宋体" w:cs="宋体"/>
          <w:color w:val="auto"/>
          <w:spacing w:val="0"/>
          <w:kern w:val="0"/>
          <w:sz w:val="24"/>
          <w:szCs w:val="24"/>
          <w:highlight w:val="none"/>
          <w:u w:val="none"/>
          <w:lang w:val="zh-CN" w:eastAsia="zh-CN"/>
        </w:rPr>
        <w:t>2、</w:t>
      </w:r>
      <w:r>
        <w:rPr>
          <w:rFonts w:hint="eastAsia" w:ascii="宋体" w:hAnsi="宋体" w:eastAsia="宋体" w:cs="宋体"/>
          <w:b/>
          <w:bCs/>
          <w:color w:val="auto"/>
          <w:kern w:val="0"/>
          <w:sz w:val="24"/>
          <w:szCs w:val="24"/>
          <w:highlight w:val="none"/>
          <w:u w:val="single"/>
          <w:lang w:val="zh-CN"/>
        </w:rPr>
        <w:t>适用本国产品标准的货物</w:t>
      </w:r>
      <w:r>
        <w:rPr>
          <w:rFonts w:hint="eastAsia" w:ascii="宋体" w:hAnsi="宋体" w:eastAsia="宋体" w:cs="宋体"/>
          <w:b w:val="0"/>
          <w:bCs w:val="0"/>
          <w:color w:val="auto"/>
          <w:kern w:val="0"/>
          <w:sz w:val="24"/>
          <w:szCs w:val="24"/>
          <w:highlight w:val="none"/>
          <w:u w:val="none"/>
          <w:lang w:val="zh-CN"/>
        </w:rPr>
        <w:t>具体是指《政府采购品目分类目录》中的货物类产品，但</w:t>
      </w:r>
      <w:r>
        <w:rPr>
          <w:rFonts w:hint="eastAsia" w:ascii="宋体" w:hAnsi="宋体" w:eastAsia="宋体" w:cs="宋体"/>
          <w:b/>
          <w:bCs/>
          <w:color w:val="auto"/>
          <w:kern w:val="0"/>
          <w:sz w:val="24"/>
          <w:szCs w:val="24"/>
          <w:highlight w:val="none"/>
          <w:u w:val="single"/>
          <w:lang w:val="zh-CN"/>
        </w:rPr>
        <w:t>不包括</w:t>
      </w:r>
      <w:r>
        <w:rPr>
          <w:rFonts w:hint="eastAsia" w:ascii="宋体" w:hAnsi="宋体" w:eastAsia="宋体" w:cs="宋体"/>
          <w:b w:val="0"/>
          <w:bCs w:val="0"/>
          <w:color w:val="auto"/>
          <w:kern w:val="0"/>
          <w:sz w:val="24"/>
          <w:szCs w:val="24"/>
          <w:highlight w:val="none"/>
          <w:u w:val="none"/>
          <w:lang w:val="zh-CN"/>
        </w:rPr>
        <w:t>其中的房屋和构筑物，文物和陈列品，图书和档案，特种动植物，农林牧渔 业产品，矿与矿物，电力、城市燃气、蒸汽和热水、水，食品、饮料和烟草原料，</w:t>
      </w:r>
      <w:r>
        <w:rPr>
          <w:rFonts w:hint="eastAsia" w:ascii="宋体" w:hAnsi="宋体" w:eastAsia="宋体" w:cs="宋体"/>
          <w:b/>
          <w:bCs/>
          <w:color w:val="auto"/>
          <w:kern w:val="0"/>
          <w:sz w:val="24"/>
          <w:szCs w:val="24"/>
          <w:highlight w:val="none"/>
          <w:u w:val="single"/>
          <w:lang w:val="zh-CN"/>
        </w:rPr>
        <w:t>无形资产</w:t>
      </w:r>
      <w:r>
        <w:rPr>
          <w:rFonts w:hint="eastAsia" w:ascii="宋体" w:hAnsi="宋体" w:eastAsia="宋体" w:cs="宋体"/>
          <w:b w:val="0"/>
          <w:bCs w:val="0"/>
          <w:color w:val="auto"/>
          <w:kern w:val="0"/>
          <w:sz w:val="24"/>
          <w:szCs w:val="24"/>
          <w:highlight w:val="none"/>
          <w:u w:val="none"/>
          <w:lang w:val="zh-CN"/>
        </w:rPr>
        <w:t>。</w:t>
      </w:r>
    </w:p>
    <w:p w14:paraId="6EBF4285">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kern w:val="0"/>
          <w:sz w:val="24"/>
          <w:szCs w:val="24"/>
          <w:highlight w:val="none"/>
          <w:u w:val="none"/>
          <w:lang w:val="en-US" w:eastAsia="zh-CN"/>
        </w:rPr>
        <w:t>3、</w:t>
      </w:r>
      <w:r>
        <w:rPr>
          <w:rFonts w:hint="eastAsia" w:ascii="宋体" w:hAnsi="宋体" w:eastAsia="宋体" w:cs="宋体"/>
          <w:b/>
          <w:bCs/>
          <w:color w:val="auto"/>
          <w:spacing w:val="0"/>
          <w:kern w:val="0"/>
          <w:sz w:val="24"/>
          <w:szCs w:val="24"/>
          <w:highlight w:val="none"/>
          <w:u w:val="single"/>
          <w:lang w:val="en-US" w:eastAsia="zh-CN"/>
        </w:rPr>
        <w:t>计算机软件（基础软件、支撑软件、应用软件、其他计算机软件）属于无形资产。</w:t>
      </w:r>
    </w:p>
    <w:p w14:paraId="4562C054">
      <w:pPr>
        <w:snapToGrid w:val="0"/>
        <w:spacing w:line="36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p>
    <w:p w14:paraId="28A3010B">
      <w:pPr>
        <w:snapToGrid/>
        <w:spacing w:line="240" w:lineRule="auto"/>
        <w:ind w:right="0" w:firstLine="0" w:firstLineChars="0"/>
        <w:rPr>
          <w:rFonts w:hint="eastAsia" w:ascii="宋体" w:hAnsi="宋体" w:eastAsia="宋体" w:cs="宋体"/>
          <w:b/>
          <w:bCs/>
          <w:color w:val="auto"/>
          <w:spacing w:val="0"/>
          <w:kern w:val="0"/>
          <w:sz w:val="24"/>
          <w:szCs w:val="24"/>
          <w:highlight w:val="none"/>
          <w:u w:val="single"/>
          <w:lang w:val="en-US" w:eastAsia="zh-CN"/>
        </w:rPr>
      </w:pPr>
      <w:r>
        <w:rPr>
          <w:rFonts w:hint="eastAsia" w:ascii="宋体" w:hAnsi="宋体" w:eastAsia="宋体" w:cs="宋体"/>
          <w:b/>
          <w:bCs/>
          <w:color w:val="auto"/>
          <w:spacing w:val="0"/>
          <w:kern w:val="0"/>
          <w:sz w:val="24"/>
          <w:szCs w:val="24"/>
          <w:highlight w:val="none"/>
          <w:u w:val="single"/>
          <w:lang w:val="en-US" w:eastAsia="zh-CN"/>
        </w:rPr>
        <w:br w:type="page"/>
      </w:r>
    </w:p>
    <w:p w14:paraId="28306B4D">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10</w:t>
      </w:r>
      <w:r>
        <w:rPr>
          <w:rFonts w:hint="eastAsia" w:ascii="宋体" w:hAnsi="宋体" w:eastAsia="宋体" w:cs="宋体"/>
          <w:b/>
          <w:color w:val="auto"/>
          <w:spacing w:val="0"/>
          <w:kern w:val="0"/>
          <w:sz w:val="32"/>
          <w:szCs w:val="32"/>
          <w:highlight w:val="none"/>
          <w:lang w:val="en-US" w:eastAsia="zh-CN"/>
        </w:rPr>
        <w:t>：</w:t>
      </w:r>
    </w:p>
    <w:p w14:paraId="7D0FBE7D">
      <w:pPr>
        <w:keepNext w:val="0"/>
        <w:keepLines w:val="0"/>
        <w:widowControl/>
        <w:snapToGrid w:val="0"/>
        <w:ind w:firstLine="643" w:firstLineChars="200"/>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关于本国产品比例的承诺</w:t>
      </w:r>
    </w:p>
    <w:p w14:paraId="7A688B8C">
      <w:pPr>
        <w:pStyle w:val="57"/>
        <w:spacing w:before="30" w:beforeAutospacing="0" w:after="30" w:afterAutospacing="0" w:line="450" w:lineRule="atLeast"/>
        <w:ind w:firstLine="480"/>
        <w:rPr>
          <w:rFonts w:hint="eastAsia" w:ascii="宋体" w:hAnsi="宋体" w:eastAsia="宋体" w:cs="宋体"/>
          <w:color w:val="auto"/>
          <w:highlight w:val="none"/>
          <w:lang w:val="zh-CN"/>
        </w:rPr>
      </w:pPr>
    </w:p>
    <w:p w14:paraId="65D2666B">
      <w:pPr>
        <w:pStyle w:val="57"/>
        <w:spacing w:before="30" w:beforeAutospacing="0" w:after="30" w:afterAutospacing="0" w:line="450" w:lineRule="atLeast"/>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本公司（单位）郑重承诺，根据《国务院办公厅关于在政府采购中实施本国产品标准及相关政策的通知》（国办发〔2025〕34号）的规定，本公司（单位）提供的符合本国产品标准的产品成本之和</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lang w:val="zh-CN"/>
        </w:rPr>
        <w:t>本公司（单位）提供的全部产品成本之和的比例达到80%以上。</w:t>
      </w:r>
    </w:p>
    <w:p w14:paraId="599D3521">
      <w:pPr>
        <w:pStyle w:val="57"/>
        <w:spacing w:before="30" w:beforeAutospacing="0" w:after="30" w:afterAutospacing="0" w:line="450" w:lineRule="atLeast"/>
        <w:ind w:firstLine="480"/>
        <w:rPr>
          <w:rFonts w:hint="eastAsia" w:ascii="仿宋_GB2312" w:hAnsi="仿宋_GB2312" w:eastAsia="仿宋_GB2312"/>
          <w:color w:val="auto"/>
          <w:highlight w:val="none"/>
        </w:rPr>
      </w:pPr>
      <w:r>
        <w:rPr>
          <w:rFonts w:hint="eastAsia" w:ascii="宋体" w:hAnsi="宋体" w:eastAsia="宋体" w:cs="宋体"/>
          <w:color w:val="auto"/>
          <w:highlight w:val="none"/>
          <w:lang w:val="zh-CN"/>
        </w:rPr>
        <w:t>本公司（单位）对上述承诺内容的真实性负责。如有虚假，愿承担相应法律责任。</w:t>
      </w:r>
    </w:p>
    <w:p w14:paraId="403A18EC">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16DE1685">
      <w:pPr>
        <w:keepNext w:val="0"/>
        <w:keepLines w:val="0"/>
        <w:pageBreakBefore w:val="0"/>
        <w:widowControl/>
        <w:kinsoku/>
        <w:wordWrap/>
        <w:overflowPunct/>
        <w:topLinePunct w:val="0"/>
        <w:autoSpaceDE/>
        <w:autoSpaceDN/>
        <w:bidi w:val="0"/>
        <w:adjustRightInd/>
        <w:snapToGrid w:val="0"/>
        <w:spacing w:line="360" w:lineRule="auto"/>
        <w:ind w:firstLine="643" w:firstLineChars="200"/>
        <w:jc w:val="center"/>
        <w:textAlignment w:val="auto"/>
        <w:rPr>
          <w:rFonts w:hint="eastAsia" w:ascii="宋体" w:hAnsi="宋体" w:eastAsia="宋体" w:cs="宋体"/>
          <w:b/>
          <w:bCs w:val="0"/>
          <w:color w:val="auto"/>
          <w:sz w:val="32"/>
          <w:szCs w:val="32"/>
          <w:highlight w:val="none"/>
          <w:lang w:val="zh-CN" w:eastAsia="zh-CN"/>
        </w:rPr>
      </w:pPr>
    </w:p>
    <w:p w14:paraId="75ED5EBE">
      <w:pPr>
        <w:snapToGrid w:val="0"/>
        <w:spacing w:before="0" w:line="360" w:lineRule="auto"/>
        <w:ind w:left="0"/>
        <w:jc w:val="right"/>
        <w:rPr>
          <w:rFonts w:hint="eastAsia" w:ascii="宋体" w:hAnsi="宋体" w:eastAsia="宋体" w:cs="宋体"/>
          <w:color w:val="auto"/>
          <w:spacing w:val="0"/>
          <w:kern w:val="0"/>
          <w:sz w:val="24"/>
          <w:szCs w:val="24"/>
          <w:highlight w:val="none"/>
          <w:lang w:val="en-US" w:eastAsia="zh-CN"/>
        </w:rPr>
      </w:pPr>
    </w:p>
    <w:p w14:paraId="2D0CDF0F">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259B7DB">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1F5B5772">
      <w:pPr>
        <w:snapToGrid w:val="0"/>
        <w:spacing w:before="0" w:line="360" w:lineRule="auto"/>
        <w:ind w:left="0"/>
        <w:outlineLvl w:val="0"/>
        <w:rPr>
          <w:rFonts w:hint="eastAsia" w:ascii="宋体" w:hAnsi="宋体" w:eastAsia="宋体" w:cs="宋体"/>
          <w:b/>
          <w:color w:val="auto"/>
          <w:spacing w:val="0"/>
          <w:kern w:val="0"/>
          <w:sz w:val="32"/>
          <w:szCs w:val="32"/>
          <w:highlight w:val="none"/>
          <w:lang w:val="en-US" w:eastAsia="zh-CN"/>
        </w:rPr>
      </w:pPr>
    </w:p>
    <w:p w14:paraId="2E417637">
      <w:pPr>
        <w:snapToGrid w:val="0"/>
        <w:ind w:firstLine="0"/>
        <w:rPr>
          <w:rFonts w:ascii="宋体" w:hAnsi="宋体" w:cs="宋体"/>
          <w:b/>
          <w:color w:val="auto"/>
          <w:sz w:val="32"/>
          <w:szCs w:val="32"/>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04C000" w:usb3="00000000" w:csb0="00000001" w:csb1="4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hakuyoxingshu7000"/>
    <w:panose1 w:val="00000000000000000000"/>
    <w:charset w:val="00"/>
    <w:family w:val="auto"/>
    <w:pitch w:val="default"/>
    <w:sig w:usb0="00000000" w:usb1="00000000" w:usb2="00000000" w:usb3="00000000" w:csb0="00040001" w:csb1="00000000"/>
  </w:font>
  <w:font w:name="Monlam Sans Serif">
    <w:altName w:val="宋体"/>
    <w:panose1 w:val="02000400000000000000"/>
    <w:charset w:val="86"/>
    <w:family w:val="auto"/>
    <w:pitch w:val="default"/>
    <w:sig w:usb0="00000000" w:usb1="00000000" w:usb2="00000040" w:usb3="00000000" w:csb0="FFFFFFFF" w:csb1="FFFFFFFF"/>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hakuyoxingshu7000"/>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PMingLiU-ExtB"/>
    <w:panose1 w:val="02020503050405090304"/>
    <w:charset w:val="00"/>
    <w:family w:val="moder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317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116</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17D7">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116</w:t>
    </w:r>
    <w:r>
      <w:rPr>
        <w:rFonts w:hint="eastAsia" w:ascii="仿宋_GB2312" w:eastAsia="仿宋_GB2312"/>
        <w:kern w:val="0"/>
        <w:szCs w:val="21"/>
      </w:rPr>
      <w:fldChar w:fldCharType="end"/>
    </w:r>
    <w:r>
      <w:rPr>
        <w:rFonts w:hint="eastAsia" w:ascii="仿宋_GB2312" w:eastAsia="仿宋_GB2312"/>
        <w:kern w:val="0"/>
        <w:szCs w:val="21"/>
      </w:rPr>
      <w:t xml:space="preserve"> 页</w:t>
    </w:r>
  </w:p>
  <w:p w14:paraId="0C82C24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5694">
    <w:pPr>
      <w:pStyle w:val="39"/>
      <w:framePr w:wrap="around" w:vAnchor="text" w:hAnchor="margin" w:xAlign="right" w:y="1"/>
      <w:rPr>
        <w:rStyle w:val="72"/>
      </w:rPr>
    </w:pPr>
    <w:r>
      <w:fldChar w:fldCharType="begin"/>
    </w:r>
    <w:r>
      <w:rPr>
        <w:rStyle w:val="72"/>
      </w:rPr>
      <w:instrText xml:space="preserve">PAGE  </w:instrText>
    </w:r>
    <w:r>
      <w:fldChar w:fldCharType="end"/>
    </w:r>
  </w:p>
  <w:p w14:paraId="3FDF41DD">
    <w:pPr>
      <w:pStyle w:val="39"/>
      <w:ind w:right="360"/>
    </w:pPr>
  </w:p>
  <w:p w14:paraId="549648C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D4D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bookmarkStart w:id="409" w:name="_Toc36110187"/>
    <w:bookmarkStart w:id="410" w:name="_Toc164085800"/>
    <w:bookmarkStart w:id="411" w:name="_Toc91899912"/>
    <w:bookmarkStart w:id="412" w:name="_Toc131845147"/>
    <w:r>
      <w:rPr>
        <w:rFonts w:hint="eastAsia" w:ascii="仿宋_GB2312" w:eastAsia="仿宋_GB2312"/>
        <w:kern w:val="0"/>
        <w:szCs w:val="21"/>
      </w:rPr>
      <w:t xml:space="preserve"> 页</w:t>
    </w:r>
    <w:bookmarkEnd w:id="409"/>
    <w:bookmarkEnd w:id="410"/>
    <w:bookmarkEnd w:id="411"/>
    <w:bookmarkEnd w:id="412"/>
  </w:p>
  <w:p w14:paraId="395DE1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2120">
    <w:pPr>
      <w:pStyle w:val="39"/>
      <w:framePr w:wrap="around" w:vAnchor="text" w:hAnchor="margin" w:xAlign="right" w:y="1"/>
      <w:rPr>
        <w:rStyle w:val="72"/>
      </w:rPr>
    </w:pPr>
    <w:r>
      <w:fldChar w:fldCharType="begin"/>
    </w:r>
    <w:r>
      <w:rPr>
        <w:rStyle w:val="72"/>
      </w:rPr>
      <w:instrText xml:space="preserve">PAGE  </w:instrText>
    </w:r>
    <w:r>
      <w:fldChar w:fldCharType="end"/>
    </w:r>
  </w:p>
  <w:p w14:paraId="63BCF62A">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587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E3D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116</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AD1C">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116</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522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116</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F70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116</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89A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95</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97B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F925">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A968">
    <w:pPr>
      <w:pStyle w:val="40"/>
    </w:pPr>
    <w:r>
      <w:t></w:t>
    </w:r>
    <w:r>
      <w:rPr>
        <w:rFonts w:hint="eastAsia"/>
      </w:rPr>
      <w:t xml:space="preserve">                                             </w:t>
    </w:r>
    <w:r>
      <w:t>杭州市政府采购公开招标文件</w:t>
    </w:r>
  </w:p>
  <w:p w14:paraId="7FF0ED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98E7">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8909D">
    <w:pPr>
      <w:pStyle w:val="40"/>
      <w:jc w:val="right"/>
      <w:rPr>
        <w:rFonts w:ascii="仿宋_GB2312" w:eastAsia="仿宋_GB2312"/>
        <w:b/>
        <w:i/>
        <w:u w:val="single"/>
      </w:rPr>
    </w:pPr>
    <w:r>
      <w:t></w:t>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20B3">
    <w:pPr>
      <w:pStyle w:val="40"/>
      <w:jc w:val="right"/>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0DCD">
    <w:pPr>
      <w:pStyle w:val="40"/>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FC66">
    <w:pPr>
      <w:pStyle w:val="40"/>
      <w:jc w:val="right"/>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DA276">
    <w:pPr>
      <w:pStyle w:val="40"/>
      <w:jc w:val="right"/>
      <w:rPr>
        <w:rFonts w:ascii="仿宋_GB2312" w:eastAsia="仿宋_GB2312"/>
        <w:b/>
        <w:i/>
        <w:u w:val="single"/>
      </w:rPr>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7235">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08356">
    <w:pPr>
      <w:pStyle w:val="40"/>
      <w:jc w:val="right"/>
      <w:rPr>
        <w:rFonts w:ascii="仿宋_GB2312" w:eastAsia="仿宋_GB2312"/>
        <w:b/>
        <w:i/>
        <w:iCs/>
        <w:u w:val="single"/>
      </w:rPr>
    </w:pPr>
    <w:r>
      <w:t>杭州市政府采购公开招标文件</w:t>
    </w:r>
  </w:p>
  <w:p w14:paraId="5F1894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56286"/>
    <w:multiLevelType w:val="singleLevel"/>
    <w:tmpl w:val="84056286"/>
    <w:lvl w:ilvl="0" w:tentative="0">
      <w:start w:val="1"/>
      <w:numFmt w:val="chineseCounting"/>
      <w:suff w:val="nothing"/>
      <w:lvlText w:val="%1、"/>
      <w:lvlJc w:val="left"/>
      <w:rPr>
        <w:rFonts w:hint="eastAsia"/>
      </w:rPr>
    </w:lvl>
  </w:abstractNum>
  <w:abstractNum w:abstractNumId="1">
    <w:nsid w:val="C68573EE"/>
    <w:multiLevelType w:val="singleLevel"/>
    <w:tmpl w:val="C68573EE"/>
    <w:lvl w:ilvl="0" w:tentative="0">
      <w:start w:val="1"/>
      <w:numFmt w:val="decimal"/>
      <w:suff w:val="space"/>
      <w:lvlText w:val="%1."/>
      <w:lvlJc w:val="left"/>
    </w:lvl>
  </w:abstractNum>
  <w:abstractNum w:abstractNumId="2">
    <w:nsid w:val="CBD6563A"/>
    <w:multiLevelType w:val="singleLevel"/>
    <w:tmpl w:val="CBD6563A"/>
    <w:lvl w:ilvl="0" w:tentative="0">
      <w:start w:val="3"/>
      <w:numFmt w:val="decimal"/>
      <w:lvlText w:val="%1."/>
      <w:lvlJc w:val="left"/>
      <w:pPr>
        <w:tabs>
          <w:tab w:val="left" w:pos="312"/>
        </w:tabs>
      </w:pPr>
    </w:lvl>
  </w:abstractNum>
  <w:abstractNum w:abstractNumId="3">
    <w:nsid w:val="CFD511CA"/>
    <w:multiLevelType w:val="singleLevel"/>
    <w:tmpl w:val="CFD511CA"/>
    <w:lvl w:ilvl="0" w:tentative="0">
      <w:start w:val="1"/>
      <w:numFmt w:val="decimal"/>
      <w:suff w:val="space"/>
      <w:lvlText w:val="%1."/>
      <w:lvlJc w:val="left"/>
    </w:lvl>
  </w:abstractNum>
  <w:abstractNum w:abstractNumId="4">
    <w:nsid w:val="D5131716"/>
    <w:multiLevelType w:val="singleLevel"/>
    <w:tmpl w:val="D5131716"/>
    <w:lvl w:ilvl="0" w:tentative="0">
      <w:start w:val="5"/>
      <w:numFmt w:val="decimal"/>
      <w:suff w:val="nothing"/>
      <w:lvlText w:val="%1、"/>
      <w:lvlJc w:val="left"/>
    </w:lvl>
  </w:abstractNum>
  <w:abstractNum w:abstractNumId="5">
    <w:nsid w:val="D5BE56F5"/>
    <w:multiLevelType w:val="singleLevel"/>
    <w:tmpl w:val="D5BE56F5"/>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37EC"/>
    <w:rsid w:val="00024130"/>
    <w:rsid w:val="00024584"/>
    <w:rsid w:val="00024962"/>
    <w:rsid w:val="000249AA"/>
    <w:rsid w:val="00025350"/>
    <w:rsid w:val="000253E5"/>
    <w:rsid w:val="00025776"/>
    <w:rsid w:val="00026EAC"/>
    <w:rsid w:val="000270F2"/>
    <w:rsid w:val="00027540"/>
    <w:rsid w:val="00027C93"/>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6E2"/>
    <w:rsid w:val="00042DBB"/>
    <w:rsid w:val="00042E65"/>
    <w:rsid w:val="00042E8D"/>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57FEF"/>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06"/>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E76"/>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2F51"/>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2B79"/>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15F"/>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7AA"/>
    <w:rsid w:val="0025184F"/>
    <w:rsid w:val="00251967"/>
    <w:rsid w:val="002527CC"/>
    <w:rsid w:val="00252F48"/>
    <w:rsid w:val="002530C0"/>
    <w:rsid w:val="002531CF"/>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120"/>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4EF4"/>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62"/>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9C7"/>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DE8"/>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0C"/>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5B15"/>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CC9"/>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2CE"/>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816"/>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881"/>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2C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ACC"/>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67DF8"/>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07E"/>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45F"/>
    <w:rsid w:val="00925A3E"/>
    <w:rsid w:val="009261DB"/>
    <w:rsid w:val="00926939"/>
    <w:rsid w:val="00926F4C"/>
    <w:rsid w:val="00927330"/>
    <w:rsid w:val="00927608"/>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7A2"/>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1F"/>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571"/>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A19"/>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97D"/>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1E51"/>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266"/>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7F5"/>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4A8"/>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6FAD"/>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19D2"/>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3D68"/>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6D2"/>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366"/>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3081"/>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3C2"/>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6E06"/>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7AC"/>
    <w:rsid w:val="00EB7B67"/>
    <w:rsid w:val="00EB7E9D"/>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A87"/>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0B0"/>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324"/>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C9"/>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E3B97"/>
    <w:rsid w:val="011C32AB"/>
    <w:rsid w:val="011F6449"/>
    <w:rsid w:val="01236AFB"/>
    <w:rsid w:val="01541149"/>
    <w:rsid w:val="019F7441"/>
    <w:rsid w:val="01B37585"/>
    <w:rsid w:val="01D55165"/>
    <w:rsid w:val="01DF6BF8"/>
    <w:rsid w:val="01EC2C57"/>
    <w:rsid w:val="020227A1"/>
    <w:rsid w:val="025F0711"/>
    <w:rsid w:val="026B2E25"/>
    <w:rsid w:val="02824D4D"/>
    <w:rsid w:val="02DC4B10"/>
    <w:rsid w:val="02DD76CE"/>
    <w:rsid w:val="02F36323"/>
    <w:rsid w:val="02F5619C"/>
    <w:rsid w:val="0326446A"/>
    <w:rsid w:val="032D5555"/>
    <w:rsid w:val="036634D2"/>
    <w:rsid w:val="036D1000"/>
    <w:rsid w:val="03BE6034"/>
    <w:rsid w:val="03DD35E4"/>
    <w:rsid w:val="04076900"/>
    <w:rsid w:val="041A5A3B"/>
    <w:rsid w:val="042311BA"/>
    <w:rsid w:val="042B157A"/>
    <w:rsid w:val="0436211C"/>
    <w:rsid w:val="044D2C6F"/>
    <w:rsid w:val="04884340"/>
    <w:rsid w:val="048F763B"/>
    <w:rsid w:val="049F330E"/>
    <w:rsid w:val="04AA775C"/>
    <w:rsid w:val="04AF1889"/>
    <w:rsid w:val="04EF553A"/>
    <w:rsid w:val="04F66F48"/>
    <w:rsid w:val="05251E14"/>
    <w:rsid w:val="053022E6"/>
    <w:rsid w:val="05393890"/>
    <w:rsid w:val="053C1FF4"/>
    <w:rsid w:val="055B3F73"/>
    <w:rsid w:val="05634469"/>
    <w:rsid w:val="059565ED"/>
    <w:rsid w:val="05A16594"/>
    <w:rsid w:val="05A7762D"/>
    <w:rsid w:val="05C903E9"/>
    <w:rsid w:val="060E5941"/>
    <w:rsid w:val="06110FAF"/>
    <w:rsid w:val="06493CA7"/>
    <w:rsid w:val="065A6178"/>
    <w:rsid w:val="066F1CF3"/>
    <w:rsid w:val="067F52D3"/>
    <w:rsid w:val="06930BB8"/>
    <w:rsid w:val="07245D42"/>
    <w:rsid w:val="07264C62"/>
    <w:rsid w:val="07351E35"/>
    <w:rsid w:val="07374582"/>
    <w:rsid w:val="077723A5"/>
    <w:rsid w:val="0779354C"/>
    <w:rsid w:val="07F69C99"/>
    <w:rsid w:val="08024366"/>
    <w:rsid w:val="08061376"/>
    <w:rsid w:val="081E0B1B"/>
    <w:rsid w:val="08452D77"/>
    <w:rsid w:val="086401F8"/>
    <w:rsid w:val="08751CAA"/>
    <w:rsid w:val="087E4C40"/>
    <w:rsid w:val="08A871D0"/>
    <w:rsid w:val="08D66AD6"/>
    <w:rsid w:val="08DA33A3"/>
    <w:rsid w:val="08E80F13"/>
    <w:rsid w:val="091361A6"/>
    <w:rsid w:val="09335624"/>
    <w:rsid w:val="0944690F"/>
    <w:rsid w:val="09535675"/>
    <w:rsid w:val="095F057D"/>
    <w:rsid w:val="09642282"/>
    <w:rsid w:val="09733572"/>
    <w:rsid w:val="09772C16"/>
    <w:rsid w:val="098353B5"/>
    <w:rsid w:val="09A92330"/>
    <w:rsid w:val="09B06B87"/>
    <w:rsid w:val="09C13146"/>
    <w:rsid w:val="09E04166"/>
    <w:rsid w:val="0A1C0718"/>
    <w:rsid w:val="0A2F47AD"/>
    <w:rsid w:val="0A3E7710"/>
    <w:rsid w:val="0A5B7E63"/>
    <w:rsid w:val="0AA374A5"/>
    <w:rsid w:val="0AAB7649"/>
    <w:rsid w:val="0ABC5606"/>
    <w:rsid w:val="0AF91D12"/>
    <w:rsid w:val="0B30404E"/>
    <w:rsid w:val="0B450CAF"/>
    <w:rsid w:val="0B4C6C14"/>
    <w:rsid w:val="0B547599"/>
    <w:rsid w:val="0B631A88"/>
    <w:rsid w:val="0B683D45"/>
    <w:rsid w:val="0B7F3F11"/>
    <w:rsid w:val="0B884417"/>
    <w:rsid w:val="0B99095E"/>
    <w:rsid w:val="0BF6188C"/>
    <w:rsid w:val="0BF73C91"/>
    <w:rsid w:val="0C170175"/>
    <w:rsid w:val="0C1F16AD"/>
    <w:rsid w:val="0C252478"/>
    <w:rsid w:val="0C403756"/>
    <w:rsid w:val="0C571A41"/>
    <w:rsid w:val="0C5C1171"/>
    <w:rsid w:val="0C5E1CBC"/>
    <w:rsid w:val="0C615B50"/>
    <w:rsid w:val="0C8445DA"/>
    <w:rsid w:val="0C87121B"/>
    <w:rsid w:val="0CC007F7"/>
    <w:rsid w:val="0CC617AC"/>
    <w:rsid w:val="0CD22F77"/>
    <w:rsid w:val="0CE618DF"/>
    <w:rsid w:val="0CFE707A"/>
    <w:rsid w:val="0D063BDA"/>
    <w:rsid w:val="0D06617E"/>
    <w:rsid w:val="0D08375F"/>
    <w:rsid w:val="0D184CFB"/>
    <w:rsid w:val="0D4A7419"/>
    <w:rsid w:val="0D7116ED"/>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6538BF"/>
    <w:rsid w:val="107D4B15"/>
    <w:rsid w:val="108A3C80"/>
    <w:rsid w:val="10C26171"/>
    <w:rsid w:val="10C70674"/>
    <w:rsid w:val="10F33360"/>
    <w:rsid w:val="10FC16EA"/>
    <w:rsid w:val="110F1D40"/>
    <w:rsid w:val="11266F33"/>
    <w:rsid w:val="11317B11"/>
    <w:rsid w:val="1163748E"/>
    <w:rsid w:val="118963A1"/>
    <w:rsid w:val="11C6522A"/>
    <w:rsid w:val="11CB5870"/>
    <w:rsid w:val="11E104CC"/>
    <w:rsid w:val="11E20309"/>
    <w:rsid w:val="12255233"/>
    <w:rsid w:val="12530213"/>
    <w:rsid w:val="127723A9"/>
    <w:rsid w:val="127E28E2"/>
    <w:rsid w:val="12862074"/>
    <w:rsid w:val="12883966"/>
    <w:rsid w:val="12980823"/>
    <w:rsid w:val="129E45B4"/>
    <w:rsid w:val="12D81596"/>
    <w:rsid w:val="13072A44"/>
    <w:rsid w:val="135B0E75"/>
    <w:rsid w:val="135F4BE2"/>
    <w:rsid w:val="139B1A0A"/>
    <w:rsid w:val="139D25C7"/>
    <w:rsid w:val="13BF3CE4"/>
    <w:rsid w:val="141008D8"/>
    <w:rsid w:val="14125FE6"/>
    <w:rsid w:val="142676D5"/>
    <w:rsid w:val="146D271E"/>
    <w:rsid w:val="14982588"/>
    <w:rsid w:val="149A5AD9"/>
    <w:rsid w:val="14A7619D"/>
    <w:rsid w:val="14C81A92"/>
    <w:rsid w:val="150536C3"/>
    <w:rsid w:val="150C1963"/>
    <w:rsid w:val="151447A0"/>
    <w:rsid w:val="154A6454"/>
    <w:rsid w:val="15762120"/>
    <w:rsid w:val="158C1DA8"/>
    <w:rsid w:val="1657373C"/>
    <w:rsid w:val="16A8729C"/>
    <w:rsid w:val="16B33777"/>
    <w:rsid w:val="16BC70A7"/>
    <w:rsid w:val="16C6339E"/>
    <w:rsid w:val="16EA17B8"/>
    <w:rsid w:val="17125CEF"/>
    <w:rsid w:val="171D2867"/>
    <w:rsid w:val="172F2D79"/>
    <w:rsid w:val="17557BEF"/>
    <w:rsid w:val="17D349C1"/>
    <w:rsid w:val="182818DB"/>
    <w:rsid w:val="1830729E"/>
    <w:rsid w:val="18463EA2"/>
    <w:rsid w:val="1870062C"/>
    <w:rsid w:val="18817102"/>
    <w:rsid w:val="18830A15"/>
    <w:rsid w:val="18852B28"/>
    <w:rsid w:val="188B5321"/>
    <w:rsid w:val="18A63700"/>
    <w:rsid w:val="19031D93"/>
    <w:rsid w:val="195048E3"/>
    <w:rsid w:val="196071E6"/>
    <w:rsid w:val="19932372"/>
    <w:rsid w:val="19A20DD5"/>
    <w:rsid w:val="19AE03F1"/>
    <w:rsid w:val="1A071A03"/>
    <w:rsid w:val="1A1F16AE"/>
    <w:rsid w:val="1A3B5C77"/>
    <w:rsid w:val="1A606D71"/>
    <w:rsid w:val="1A984BAD"/>
    <w:rsid w:val="1A9D7FC6"/>
    <w:rsid w:val="1AB05F4B"/>
    <w:rsid w:val="1AB21997"/>
    <w:rsid w:val="1AB74606"/>
    <w:rsid w:val="1AB8095B"/>
    <w:rsid w:val="1AB8220E"/>
    <w:rsid w:val="1AC612CA"/>
    <w:rsid w:val="1AE23C2A"/>
    <w:rsid w:val="1AE4166C"/>
    <w:rsid w:val="1AF06CFB"/>
    <w:rsid w:val="1AF11B8D"/>
    <w:rsid w:val="1B11359C"/>
    <w:rsid w:val="1B2A271F"/>
    <w:rsid w:val="1B2C029F"/>
    <w:rsid w:val="1B530544"/>
    <w:rsid w:val="1B713184"/>
    <w:rsid w:val="1B83082F"/>
    <w:rsid w:val="1B83540D"/>
    <w:rsid w:val="1B8F3DB2"/>
    <w:rsid w:val="1BA209CF"/>
    <w:rsid w:val="1BAA299A"/>
    <w:rsid w:val="1BB32FF8"/>
    <w:rsid w:val="1BB4777D"/>
    <w:rsid w:val="1BD75AB8"/>
    <w:rsid w:val="1C0459C2"/>
    <w:rsid w:val="1C053FF9"/>
    <w:rsid w:val="1C1B3B4A"/>
    <w:rsid w:val="1C88086E"/>
    <w:rsid w:val="1CFC2692"/>
    <w:rsid w:val="1D066D66"/>
    <w:rsid w:val="1D266CE1"/>
    <w:rsid w:val="1D3963AF"/>
    <w:rsid w:val="1D55566A"/>
    <w:rsid w:val="1D6A673C"/>
    <w:rsid w:val="1D9247AE"/>
    <w:rsid w:val="1D9421C7"/>
    <w:rsid w:val="1DB567EC"/>
    <w:rsid w:val="1DC840A8"/>
    <w:rsid w:val="1DF51A98"/>
    <w:rsid w:val="1E3D060F"/>
    <w:rsid w:val="1E3F7D2E"/>
    <w:rsid w:val="1E4134E4"/>
    <w:rsid w:val="1E5062B3"/>
    <w:rsid w:val="1E523514"/>
    <w:rsid w:val="1E714A66"/>
    <w:rsid w:val="1E802593"/>
    <w:rsid w:val="1E8B34D8"/>
    <w:rsid w:val="1E8B6156"/>
    <w:rsid w:val="1EA703CC"/>
    <w:rsid w:val="1EB7330C"/>
    <w:rsid w:val="1EBA4931"/>
    <w:rsid w:val="1EE73F05"/>
    <w:rsid w:val="1EFA59E6"/>
    <w:rsid w:val="1F0A0FF3"/>
    <w:rsid w:val="1F5771FF"/>
    <w:rsid w:val="1FE868A9"/>
    <w:rsid w:val="20034907"/>
    <w:rsid w:val="20173E4B"/>
    <w:rsid w:val="204E48BC"/>
    <w:rsid w:val="20761D66"/>
    <w:rsid w:val="208921B3"/>
    <w:rsid w:val="20973DEB"/>
    <w:rsid w:val="20B26522"/>
    <w:rsid w:val="20B44310"/>
    <w:rsid w:val="20C938C2"/>
    <w:rsid w:val="211116EB"/>
    <w:rsid w:val="216133FC"/>
    <w:rsid w:val="2190618E"/>
    <w:rsid w:val="21C1200C"/>
    <w:rsid w:val="21D56769"/>
    <w:rsid w:val="21DC2CED"/>
    <w:rsid w:val="21DD6EFA"/>
    <w:rsid w:val="21E52EF3"/>
    <w:rsid w:val="21FB5D7B"/>
    <w:rsid w:val="22015E94"/>
    <w:rsid w:val="220B1C3D"/>
    <w:rsid w:val="221D1D20"/>
    <w:rsid w:val="22334A87"/>
    <w:rsid w:val="22494370"/>
    <w:rsid w:val="226D60F0"/>
    <w:rsid w:val="22BE6801"/>
    <w:rsid w:val="23251041"/>
    <w:rsid w:val="233500BF"/>
    <w:rsid w:val="23377FF7"/>
    <w:rsid w:val="236B425F"/>
    <w:rsid w:val="23836192"/>
    <w:rsid w:val="23901F29"/>
    <w:rsid w:val="239C0061"/>
    <w:rsid w:val="23B908A4"/>
    <w:rsid w:val="23CF178A"/>
    <w:rsid w:val="23DB161B"/>
    <w:rsid w:val="23E822B1"/>
    <w:rsid w:val="23E95BEF"/>
    <w:rsid w:val="23FD0064"/>
    <w:rsid w:val="23FF6181"/>
    <w:rsid w:val="24422C3A"/>
    <w:rsid w:val="24476BBD"/>
    <w:rsid w:val="245375B0"/>
    <w:rsid w:val="24642C0A"/>
    <w:rsid w:val="24B22173"/>
    <w:rsid w:val="24B95AD9"/>
    <w:rsid w:val="24BE24DA"/>
    <w:rsid w:val="24CF5825"/>
    <w:rsid w:val="24D663E6"/>
    <w:rsid w:val="24D77F2B"/>
    <w:rsid w:val="251352E4"/>
    <w:rsid w:val="2524184E"/>
    <w:rsid w:val="25684F13"/>
    <w:rsid w:val="258B00E2"/>
    <w:rsid w:val="25A917A6"/>
    <w:rsid w:val="25BE27CC"/>
    <w:rsid w:val="25CC175F"/>
    <w:rsid w:val="25DD71A2"/>
    <w:rsid w:val="25F74A5C"/>
    <w:rsid w:val="2628662C"/>
    <w:rsid w:val="262D45DE"/>
    <w:rsid w:val="266A5519"/>
    <w:rsid w:val="26871DC8"/>
    <w:rsid w:val="26A53EF9"/>
    <w:rsid w:val="26A94201"/>
    <w:rsid w:val="26AC274F"/>
    <w:rsid w:val="27044A29"/>
    <w:rsid w:val="271D34C8"/>
    <w:rsid w:val="276142BF"/>
    <w:rsid w:val="27783712"/>
    <w:rsid w:val="27907362"/>
    <w:rsid w:val="27E17931"/>
    <w:rsid w:val="28333E1D"/>
    <w:rsid w:val="28454BD6"/>
    <w:rsid w:val="28455253"/>
    <w:rsid w:val="28551971"/>
    <w:rsid w:val="285B1C53"/>
    <w:rsid w:val="289F7086"/>
    <w:rsid w:val="28C32028"/>
    <w:rsid w:val="28CC490F"/>
    <w:rsid w:val="28DE40AA"/>
    <w:rsid w:val="29345E77"/>
    <w:rsid w:val="29363ABF"/>
    <w:rsid w:val="294C65AD"/>
    <w:rsid w:val="29806583"/>
    <w:rsid w:val="298B3C4C"/>
    <w:rsid w:val="29B652B8"/>
    <w:rsid w:val="29D90840"/>
    <w:rsid w:val="29F26D24"/>
    <w:rsid w:val="2A15033F"/>
    <w:rsid w:val="2A1662C1"/>
    <w:rsid w:val="2A17569E"/>
    <w:rsid w:val="2A1C7367"/>
    <w:rsid w:val="2A246A79"/>
    <w:rsid w:val="2A2815FA"/>
    <w:rsid w:val="2A60296B"/>
    <w:rsid w:val="2A6D6092"/>
    <w:rsid w:val="2A7A1FF0"/>
    <w:rsid w:val="2A7D76B4"/>
    <w:rsid w:val="2A81520E"/>
    <w:rsid w:val="2B2636BF"/>
    <w:rsid w:val="2B2D5F15"/>
    <w:rsid w:val="2B406152"/>
    <w:rsid w:val="2B437463"/>
    <w:rsid w:val="2B5355CD"/>
    <w:rsid w:val="2B6B0A67"/>
    <w:rsid w:val="2B7807EE"/>
    <w:rsid w:val="2B7A0324"/>
    <w:rsid w:val="2B966A97"/>
    <w:rsid w:val="2BA50BF7"/>
    <w:rsid w:val="2BBF00EC"/>
    <w:rsid w:val="2BC37CFD"/>
    <w:rsid w:val="2BD5237F"/>
    <w:rsid w:val="2BE536CE"/>
    <w:rsid w:val="2BE758D9"/>
    <w:rsid w:val="2C09049E"/>
    <w:rsid w:val="2C0A653C"/>
    <w:rsid w:val="2C0C61E1"/>
    <w:rsid w:val="2C191F85"/>
    <w:rsid w:val="2C254DA8"/>
    <w:rsid w:val="2C4B376B"/>
    <w:rsid w:val="2C6A3498"/>
    <w:rsid w:val="2CE82D6F"/>
    <w:rsid w:val="2D0F16AB"/>
    <w:rsid w:val="2D343236"/>
    <w:rsid w:val="2D404F0C"/>
    <w:rsid w:val="2DA37249"/>
    <w:rsid w:val="2DD15014"/>
    <w:rsid w:val="2DF72DE4"/>
    <w:rsid w:val="2E0220AF"/>
    <w:rsid w:val="2E3453F5"/>
    <w:rsid w:val="2E4B082A"/>
    <w:rsid w:val="2E5D4E86"/>
    <w:rsid w:val="2E5D790B"/>
    <w:rsid w:val="2E9A3C18"/>
    <w:rsid w:val="2EBB0FEE"/>
    <w:rsid w:val="2EC63002"/>
    <w:rsid w:val="2EE10029"/>
    <w:rsid w:val="2F0A6B38"/>
    <w:rsid w:val="2F0E3BA3"/>
    <w:rsid w:val="2F946CCB"/>
    <w:rsid w:val="2FD25781"/>
    <w:rsid w:val="2FDC745C"/>
    <w:rsid w:val="2FFD7934"/>
    <w:rsid w:val="30125257"/>
    <w:rsid w:val="30403475"/>
    <w:rsid w:val="30733ACD"/>
    <w:rsid w:val="30767F8E"/>
    <w:rsid w:val="308C3862"/>
    <w:rsid w:val="309379D8"/>
    <w:rsid w:val="30A270F7"/>
    <w:rsid w:val="30C9346B"/>
    <w:rsid w:val="30DF1478"/>
    <w:rsid w:val="30EC586F"/>
    <w:rsid w:val="313308E4"/>
    <w:rsid w:val="31933ADE"/>
    <w:rsid w:val="319770C5"/>
    <w:rsid w:val="319C6071"/>
    <w:rsid w:val="31AC537E"/>
    <w:rsid w:val="31E3679B"/>
    <w:rsid w:val="31E732FD"/>
    <w:rsid w:val="32076C52"/>
    <w:rsid w:val="324B0876"/>
    <w:rsid w:val="32517576"/>
    <w:rsid w:val="32BE5C2C"/>
    <w:rsid w:val="32D74902"/>
    <w:rsid w:val="32FB6478"/>
    <w:rsid w:val="33263B3F"/>
    <w:rsid w:val="336963EB"/>
    <w:rsid w:val="336F654B"/>
    <w:rsid w:val="33816EEB"/>
    <w:rsid w:val="339C5AFF"/>
    <w:rsid w:val="33EB55CD"/>
    <w:rsid w:val="33EC4C02"/>
    <w:rsid w:val="340D2360"/>
    <w:rsid w:val="3410665D"/>
    <w:rsid w:val="34211214"/>
    <w:rsid w:val="342E63AB"/>
    <w:rsid w:val="34950E68"/>
    <w:rsid w:val="34986E94"/>
    <w:rsid w:val="34AF62C9"/>
    <w:rsid w:val="34CB4388"/>
    <w:rsid w:val="34CE591D"/>
    <w:rsid w:val="34FA6E12"/>
    <w:rsid w:val="35284C04"/>
    <w:rsid w:val="354D7158"/>
    <w:rsid w:val="355A4115"/>
    <w:rsid w:val="358D5588"/>
    <w:rsid w:val="35A818A1"/>
    <w:rsid w:val="35BB2355"/>
    <w:rsid w:val="35EF75B4"/>
    <w:rsid w:val="363A3B40"/>
    <w:rsid w:val="365302AE"/>
    <w:rsid w:val="36607A0A"/>
    <w:rsid w:val="366E227C"/>
    <w:rsid w:val="366F2E0D"/>
    <w:rsid w:val="367B6A5C"/>
    <w:rsid w:val="369E361B"/>
    <w:rsid w:val="36A74ADA"/>
    <w:rsid w:val="36AD60D5"/>
    <w:rsid w:val="36B224F9"/>
    <w:rsid w:val="36EC0CC9"/>
    <w:rsid w:val="37377380"/>
    <w:rsid w:val="373F410B"/>
    <w:rsid w:val="379F2985"/>
    <w:rsid w:val="37B02C8E"/>
    <w:rsid w:val="37E138A3"/>
    <w:rsid w:val="37EE7094"/>
    <w:rsid w:val="38296C89"/>
    <w:rsid w:val="383002EB"/>
    <w:rsid w:val="38471845"/>
    <w:rsid w:val="38586797"/>
    <w:rsid w:val="3890759E"/>
    <w:rsid w:val="38BC0149"/>
    <w:rsid w:val="38D87D1C"/>
    <w:rsid w:val="38E76B84"/>
    <w:rsid w:val="3914549F"/>
    <w:rsid w:val="391A0D07"/>
    <w:rsid w:val="3925145A"/>
    <w:rsid w:val="39636459"/>
    <w:rsid w:val="396B7F6C"/>
    <w:rsid w:val="39B417A9"/>
    <w:rsid w:val="39DD73A2"/>
    <w:rsid w:val="39FC5695"/>
    <w:rsid w:val="3A006D8E"/>
    <w:rsid w:val="3A3651E5"/>
    <w:rsid w:val="3A744481"/>
    <w:rsid w:val="3A772A1D"/>
    <w:rsid w:val="3A8C7BEF"/>
    <w:rsid w:val="3A906246"/>
    <w:rsid w:val="3AD4138A"/>
    <w:rsid w:val="3B2349B7"/>
    <w:rsid w:val="3B616CFF"/>
    <w:rsid w:val="3B6259F6"/>
    <w:rsid w:val="3B700132"/>
    <w:rsid w:val="3B737BD5"/>
    <w:rsid w:val="3B976654"/>
    <w:rsid w:val="3BC01EFC"/>
    <w:rsid w:val="3BCA786A"/>
    <w:rsid w:val="3BD31E2F"/>
    <w:rsid w:val="3BF15831"/>
    <w:rsid w:val="3C105946"/>
    <w:rsid w:val="3C471448"/>
    <w:rsid w:val="3C5F759A"/>
    <w:rsid w:val="3C6436E5"/>
    <w:rsid w:val="3C6C525A"/>
    <w:rsid w:val="3CCE23CB"/>
    <w:rsid w:val="3CD17D17"/>
    <w:rsid w:val="3CEC4769"/>
    <w:rsid w:val="3D3C7F39"/>
    <w:rsid w:val="3D440F09"/>
    <w:rsid w:val="3D4504A0"/>
    <w:rsid w:val="3D8734BB"/>
    <w:rsid w:val="3D9A11D4"/>
    <w:rsid w:val="3DA16D89"/>
    <w:rsid w:val="3DA364BE"/>
    <w:rsid w:val="3DB8289D"/>
    <w:rsid w:val="3DE041CB"/>
    <w:rsid w:val="3E0D48F6"/>
    <w:rsid w:val="3E1868B4"/>
    <w:rsid w:val="3E377251"/>
    <w:rsid w:val="3E42664B"/>
    <w:rsid w:val="3E5A7334"/>
    <w:rsid w:val="3E7B5D6B"/>
    <w:rsid w:val="3E843E66"/>
    <w:rsid w:val="3E8F51FE"/>
    <w:rsid w:val="3E926F87"/>
    <w:rsid w:val="3E946E66"/>
    <w:rsid w:val="3E9A59DE"/>
    <w:rsid w:val="3EAF4836"/>
    <w:rsid w:val="3EC33DFA"/>
    <w:rsid w:val="3EFE0783"/>
    <w:rsid w:val="3F060E16"/>
    <w:rsid w:val="3F1D1096"/>
    <w:rsid w:val="3F2F0234"/>
    <w:rsid w:val="3F4000D4"/>
    <w:rsid w:val="3F6363FE"/>
    <w:rsid w:val="3F756B8F"/>
    <w:rsid w:val="3F95482B"/>
    <w:rsid w:val="4019356B"/>
    <w:rsid w:val="40592157"/>
    <w:rsid w:val="406E1CAE"/>
    <w:rsid w:val="40A0133A"/>
    <w:rsid w:val="40B7508E"/>
    <w:rsid w:val="40C31A53"/>
    <w:rsid w:val="40FF545D"/>
    <w:rsid w:val="410067C8"/>
    <w:rsid w:val="418F0D2A"/>
    <w:rsid w:val="41A15386"/>
    <w:rsid w:val="41D01505"/>
    <w:rsid w:val="42310E70"/>
    <w:rsid w:val="42426100"/>
    <w:rsid w:val="42474939"/>
    <w:rsid w:val="424C3C57"/>
    <w:rsid w:val="42613FF3"/>
    <w:rsid w:val="42660D96"/>
    <w:rsid w:val="42756FAE"/>
    <w:rsid w:val="427775F2"/>
    <w:rsid w:val="428667D2"/>
    <w:rsid w:val="42CD1CE0"/>
    <w:rsid w:val="42E1381E"/>
    <w:rsid w:val="42ED6459"/>
    <w:rsid w:val="42FE58DD"/>
    <w:rsid w:val="430614BE"/>
    <w:rsid w:val="43174B3D"/>
    <w:rsid w:val="432602A9"/>
    <w:rsid w:val="43474996"/>
    <w:rsid w:val="434B790E"/>
    <w:rsid w:val="4360274F"/>
    <w:rsid w:val="43783BD9"/>
    <w:rsid w:val="43977AB6"/>
    <w:rsid w:val="439A302D"/>
    <w:rsid w:val="43A3342B"/>
    <w:rsid w:val="43C77C27"/>
    <w:rsid w:val="43DE09EE"/>
    <w:rsid w:val="43F565F9"/>
    <w:rsid w:val="44002FAD"/>
    <w:rsid w:val="449101DD"/>
    <w:rsid w:val="44990651"/>
    <w:rsid w:val="44DE1391"/>
    <w:rsid w:val="450B1E4C"/>
    <w:rsid w:val="451B225C"/>
    <w:rsid w:val="45216F7A"/>
    <w:rsid w:val="452410C9"/>
    <w:rsid w:val="45317DFB"/>
    <w:rsid w:val="45425A4E"/>
    <w:rsid w:val="45450AE9"/>
    <w:rsid w:val="455D5668"/>
    <w:rsid w:val="456D3CE4"/>
    <w:rsid w:val="4579042C"/>
    <w:rsid w:val="457F0571"/>
    <w:rsid w:val="45851176"/>
    <w:rsid w:val="45C63B94"/>
    <w:rsid w:val="460E7DA5"/>
    <w:rsid w:val="462D48B7"/>
    <w:rsid w:val="46422483"/>
    <w:rsid w:val="4659254A"/>
    <w:rsid w:val="465B0637"/>
    <w:rsid w:val="465E3F0D"/>
    <w:rsid w:val="466A16E6"/>
    <w:rsid w:val="46893F2B"/>
    <w:rsid w:val="46BA7686"/>
    <w:rsid w:val="46C4686E"/>
    <w:rsid w:val="46D02A05"/>
    <w:rsid w:val="472C0120"/>
    <w:rsid w:val="474A246F"/>
    <w:rsid w:val="475C24EB"/>
    <w:rsid w:val="477B778F"/>
    <w:rsid w:val="478203EC"/>
    <w:rsid w:val="47B025FA"/>
    <w:rsid w:val="48050DD4"/>
    <w:rsid w:val="4809698F"/>
    <w:rsid w:val="4811697D"/>
    <w:rsid w:val="487A3E25"/>
    <w:rsid w:val="488B5503"/>
    <w:rsid w:val="48937E21"/>
    <w:rsid w:val="489A0361"/>
    <w:rsid w:val="48AD5BBF"/>
    <w:rsid w:val="48B94FF3"/>
    <w:rsid w:val="48E37AAB"/>
    <w:rsid w:val="48FD4B4C"/>
    <w:rsid w:val="4900334A"/>
    <w:rsid w:val="490A68E0"/>
    <w:rsid w:val="491055FE"/>
    <w:rsid w:val="495E1FB7"/>
    <w:rsid w:val="495F5B3E"/>
    <w:rsid w:val="496F77D7"/>
    <w:rsid w:val="497654FD"/>
    <w:rsid w:val="49B64211"/>
    <w:rsid w:val="49D62A28"/>
    <w:rsid w:val="49E728CF"/>
    <w:rsid w:val="49F6167F"/>
    <w:rsid w:val="4A064FA0"/>
    <w:rsid w:val="4A16615C"/>
    <w:rsid w:val="4A4424D7"/>
    <w:rsid w:val="4A800BE6"/>
    <w:rsid w:val="4A894D04"/>
    <w:rsid w:val="4A8A3813"/>
    <w:rsid w:val="4AB82D0F"/>
    <w:rsid w:val="4AEB7664"/>
    <w:rsid w:val="4AFD7C19"/>
    <w:rsid w:val="4B0567D1"/>
    <w:rsid w:val="4B236AAE"/>
    <w:rsid w:val="4B707271"/>
    <w:rsid w:val="4B9739F7"/>
    <w:rsid w:val="4BA257C5"/>
    <w:rsid w:val="4BEE2503"/>
    <w:rsid w:val="4C245A30"/>
    <w:rsid w:val="4C303F46"/>
    <w:rsid w:val="4C6F0F12"/>
    <w:rsid w:val="4CB6685F"/>
    <w:rsid w:val="4CC367FE"/>
    <w:rsid w:val="4D077F3C"/>
    <w:rsid w:val="4D123355"/>
    <w:rsid w:val="4D2A3B31"/>
    <w:rsid w:val="4D312C52"/>
    <w:rsid w:val="4D422183"/>
    <w:rsid w:val="4D5C34C2"/>
    <w:rsid w:val="4D8D46D3"/>
    <w:rsid w:val="4D905305"/>
    <w:rsid w:val="4D964A72"/>
    <w:rsid w:val="4D9C1254"/>
    <w:rsid w:val="4D9C6E2F"/>
    <w:rsid w:val="4DAD168E"/>
    <w:rsid w:val="4E693057"/>
    <w:rsid w:val="4E79326B"/>
    <w:rsid w:val="4E793892"/>
    <w:rsid w:val="4E800872"/>
    <w:rsid w:val="4E915170"/>
    <w:rsid w:val="4EA329F0"/>
    <w:rsid w:val="4EC5306C"/>
    <w:rsid w:val="4EC569ED"/>
    <w:rsid w:val="4ED4505D"/>
    <w:rsid w:val="4ED50EA1"/>
    <w:rsid w:val="4ED7026C"/>
    <w:rsid w:val="4EEC050C"/>
    <w:rsid w:val="4F104EC3"/>
    <w:rsid w:val="4F47354A"/>
    <w:rsid w:val="4F911C54"/>
    <w:rsid w:val="4FDF7053"/>
    <w:rsid w:val="4FE625E0"/>
    <w:rsid w:val="50045C0C"/>
    <w:rsid w:val="5006393C"/>
    <w:rsid w:val="50097733"/>
    <w:rsid w:val="5021480F"/>
    <w:rsid w:val="50962ECB"/>
    <w:rsid w:val="50A42E38"/>
    <w:rsid w:val="50A4577F"/>
    <w:rsid w:val="50B73D1F"/>
    <w:rsid w:val="50BD5BC9"/>
    <w:rsid w:val="50C11EEE"/>
    <w:rsid w:val="50E97CFC"/>
    <w:rsid w:val="50FA4028"/>
    <w:rsid w:val="510D65B7"/>
    <w:rsid w:val="511157AB"/>
    <w:rsid w:val="5142540C"/>
    <w:rsid w:val="5153495F"/>
    <w:rsid w:val="518832C8"/>
    <w:rsid w:val="519D3C50"/>
    <w:rsid w:val="51A0432A"/>
    <w:rsid w:val="51A86090"/>
    <w:rsid w:val="51B7396D"/>
    <w:rsid w:val="522E4CC3"/>
    <w:rsid w:val="5244713B"/>
    <w:rsid w:val="52615633"/>
    <w:rsid w:val="526F4DE4"/>
    <w:rsid w:val="52977FD4"/>
    <w:rsid w:val="52A25790"/>
    <w:rsid w:val="52A96B6F"/>
    <w:rsid w:val="52B45975"/>
    <w:rsid w:val="52BD1CD4"/>
    <w:rsid w:val="52D94AA4"/>
    <w:rsid w:val="52EA3A62"/>
    <w:rsid w:val="52F50BB8"/>
    <w:rsid w:val="53097272"/>
    <w:rsid w:val="5333175B"/>
    <w:rsid w:val="53544462"/>
    <w:rsid w:val="53671FB1"/>
    <w:rsid w:val="5397158E"/>
    <w:rsid w:val="54013861"/>
    <w:rsid w:val="54487265"/>
    <w:rsid w:val="544D6070"/>
    <w:rsid w:val="54605E1E"/>
    <w:rsid w:val="54814DA6"/>
    <w:rsid w:val="54B3506A"/>
    <w:rsid w:val="54CA0D16"/>
    <w:rsid w:val="54DD4057"/>
    <w:rsid w:val="54E7490F"/>
    <w:rsid w:val="550764A4"/>
    <w:rsid w:val="550B2BF6"/>
    <w:rsid w:val="55214EB5"/>
    <w:rsid w:val="552A2BBF"/>
    <w:rsid w:val="55364EFD"/>
    <w:rsid w:val="55544871"/>
    <w:rsid w:val="555D4828"/>
    <w:rsid w:val="557A4C8B"/>
    <w:rsid w:val="558325EE"/>
    <w:rsid w:val="558931E1"/>
    <w:rsid w:val="55923347"/>
    <w:rsid w:val="55925180"/>
    <w:rsid w:val="55983B1B"/>
    <w:rsid w:val="55A8376B"/>
    <w:rsid w:val="55DC29B6"/>
    <w:rsid w:val="55DD4241"/>
    <w:rsid w:val="566B6D1E"/>
    <w:rsid w:val="566F3C9D"/>
    <w:rsid w:val="568941E7"/>
    <w:rsid w:val="56A7044E"/>
    <w:rsid w:val="57032A2C"/>
    <w:rsid w:val="570452C9"/>
    <w:rsid w:val="570F5219"/>
    <w:rsid w:val="5733704C"/>
    <w:rsid w:val="574720D1"/>
    <w:rsid w:val="574F6F92"/>
    <w:rsid w:val="575D12B5"/>
    <w:rsid w:val="57610A87"/>
    <w:rsid w:val="577B1140"/>
    <w:rsid w:val="577B7F21"/>
    <w:rsid w:val="577F181B"/>
    <w:rsid w:val="57850638"/>
    <w:rsid w:val="578A6C00"/>
    <w:rsid w:val="57921984"/>
    <w:rsid w:val="579737F0"/>
    <w:rsid w:val="57AB7B30"/>
    <w:rsid w:val="57AF5251"/>
    <w:rsid w:val="57B26373"/>
    <w:rsid w:val="57B35D3A"/>
    <w:rsid w:val="57B63F04"/>
    <w:rsid w:val="57CD20C2"/>
    <w:rsid w:val="57D675AB"/>
    <w:rsid w:val="57D95FDD"/>
    <w:rsid w:val="58103758"/>
    <w:rsid w:val="582708F3"/>
    <w:rsid w:val="58917D2F"/>
    <w:rsid w:val="5894085C"/>
    <w:rsid w:val="58AE4F0C"/>
    <w:rsid w:val="58B85899"/>
    <w:rsid w:val="58E363A9"/>
    <w:rsid w:val="595E1678"/>
    <w:rsid w:val="596D5BD4"/>
    <w:rsid w:val="597E3DD8"/>
    <w:rsid w:val="598053B9"/>
    <w:rsid w:val="59995C23"/>
    <w:rsid w:val="59F80043"/>
    <w:rsid w:val="5A09252F"/>
    <w:rsid w:val="5A0B2778"/>
    <w:rsid w:val="5A2A7C7B"/>
    <w:rsid w:val="5A3E2560"/>
    <w:rsid w:val="5A5D3B6E"/>
    <w:rsid w:val="5A637A76"/>
    <w:rsid w:val="5A6D33BA"/>
    <w:rsid w:val="5A792B1F"/>
    <w:rsid w:val="5A874767"/>
    <w:rsid w:val="5A971D60"/>
    <w:rsid w:val="5AA85BE2"/>
    <w:rsid w:val="5AAD6F28"/>
    <w:rsid w:val="5ACB41F5"/>
    <w:rsid w:val="5AD63A24"/>
    <w:rsid w:val="5B2305C4"/>
    <w:rsid w:val="5B2E1A1D"/>
    <w:rsid w:val="5B835357"/>
    <w:rsid w:val="5B843A1C"/>
    <w:rsid w:val="5B873E3F"/>
    <w:rsid w:val="5BB209AF"/>
    <w:rsid w:val="5C02690E"/>
    <w:rsid w:val="5C196DA7"/>
    <w:rsid w:val="5C2A048C"/>
    <w:rsid w:val="5C80234E"/>
    <w:rsid w:val="5C8A680C"/>
    <w:rsid w:val="5C98591B"/>
    <w:rsid w:val="5D033FEE"/>
    <w:rsid w:val="5D061C6C"/>
    <w:rsid w:val="5D0C4701"/>
    <w:rsid w:val="5D0F0395"/>
    <w:rsid w:val="5D221076"/>
    <w:rsid w:val="5D235B2D"/>
    <w:rsid w:val="5D397964"/>
    <w:rsid w:val="5D3E36E0"/>
    <w:rsid w:val="5D5A391C"/>
    <w:rsid w:val="5D5F10C0"/>
    <w:rsid w:val="5D891B7B"/>
    <w:rsid w:val="5D913727"/>
    <w:rsid w:val="5DAD38EE"/>
    <w:rsid w:val="5DCA7D57"/>
    <w:rsid w:val="5DE16345"/>
    <w:rsid w:val="5E006862"/>
    <w:rsid w:val="5E0207B9"/>
    <w:rsid w:val="5E1834A1"/>
    <w:rsid w:val="5E261785"/>
    <w:rsid w:val="5E455F5D"/>
    <w:rsid w:val="5E4A7017"/>
    <w:rsid w:val="5E552BBA"/>
    <w:rsid w:val="5E611C10"/>
    <w:rsid w:val="5E7A0F3F"/>
    <w:rsid w:val="5EFC7377"/>
    <w:rsid w:val="5F06174D"/>
    <w:rsid w:val="5F3A3602"/>
    <w:rsid w:val="5F45733B"/>
    <w:rsid w:val="5F6277C6"/>
    <w:rsid w:val="5F6D0B1D"/>
    <w:rsid w:val="5F8B2783"/>
    <w:rsid w:val="5F8D0B82"/>
    <w:rsid w:val="5FCC5339"/>
    <w:rsid w:val="5FDC1FC3"/>
    <w:rsid w:val="5FE34A5B"/>
    <w:rsid w:val="5FFE1E36"/>
    <w:rsid w:val="60015E92"/>
    <w:rsid w:val="60232584"/>
    <w:rsid w:val="604F6380"/>
    <w:rsid w:val="607330CE"/>
    <w:rsid w:val="60825176"/>
    <w:rsid w:val="609F2AC4"/>
    <w:rsid w:val="60C413D5"/>
    <w:rsid w:val="60FA2EE8"/>
    <w:rsid w:val="61031871"/>
    <w:rsid w:val="61054A27"/>
    <w:rsid w:val="610A52BC"/>
    <w:rsid w:val="611D2366"/>
    <w:rsid w:val="61421856"/>
    <w:rsid w:val="61473390"/>
    <w:rsid w:val="614C5323"/>
    <w:rsid w:val="615227C4"/>
    <w:rsid w:val="61524EF4"/>
    <w:rsid w:val="61654E3F"/>
    <w:rsid w:val="6182292A"/>
    <w:rsid w:val="619F7F92"/>
    <w:rsid w:val="61E760F3"/>
    <w:rsid w:val="61F94C26"/>
    <w:rsid w:val="62000E56"/>
    <w:rsid w:val="621912AD"/>
    <w:rsid w:val="622B7232"/>
    <w:rsid w:val="624F3E49"/>
    <w:rsid w:val="625E7607"/>
    <w:rsid w:val="62632286"/>
    <w:rsid w:val="62885958"/>
    <w:rsid w:val="62F40B65"/>
    <w:rsid w:val="62FC2CFE"/>
    <w:rsid w:val="63024505"/>
    <w:rsid w:val="63507DF2"/>
    <w:rsid w:val="635600A5"/>
    <w:rsid w:val="635B1DB5"/>
    <w:rsid w:val="63711FED"/>
    <w:rsid w:val="63880DDC"/>
    <w:rsid w:val="638906B4"/>
    <w:rsid w:val="638D750D"/>
    <w:rsid w:val="63AB58D7"/>
    <w:rsid w:val="63AC6CC0"/>
    <w:rsid w:val="63F66A7A"/>
    <w:rsid w:val="64055776"/>
    <w:rsid w:val="64240056"/>
    <w:rsid w:val="643E143A"/>
    <w:rsid w:val="64491666"/>
    <w:rsid w:val="647924D6"/>
    <w:rsid w:val="648B6EEF"/>
    <w:rsid w:val="64C158BF"/>
    <w:rsid w:val="64CE2EAA"/>
    <w:rsid w:val="653C3090"/>
    <w:rsid w:val="65854376"/>
    <w:rsid w:val="6586246E"/>
    <w:rsid w:val="658767BE"/>
    <w:rsid w:val="65892531"/>
    <w:rsid w:val="65F242EE"/>
    <w:rsid w:val="66195831"/>
    <w:rsid w:val="662E75B1"/>
    <w:rsid w:val="66342C2E"/>
    <w:rsid w:val="663E784C"/>
    <w:rsid w:val="668B6A45"/>
    <w:rsid w:val="672F3F24"/>
    <w:rsid w:val="673E055F"/>
    <w:rsid w:val="67551CE3"/>
    <w:rsid w:val="67A22552"/>
    <w:rsid w:val="67B22DCC"/>
    <w:rsid w:val="67B87403"/>
    <w:rsid w:val="67BE71AA"/>
    <w:rsid w:val="67C2339D"/>
    <w:rsid w:val="67CA37D0"/>
    <w:rsid w:val="67D90273"/>
    <w:rsid w:val="67DE5875"/>
    <w:rsid w:val="67E55852"/>
    <w:rsid w:val="67EB1AB4"/>
    <w:rsid w:val="67FA1285"/>
    <w:rsid w:val="68551F4F"/>
    <w:rsid w:val="686408B6"/>
    <w:rsid w:val="687C10C9"/>
    <w:rsid w:val="68840C16"/>
    <w:rsid w:val="68876EFB"/>
    <w:rsid w:val="68884654"/>
    <w:rsid w:val="68982ED4"/>
    <w:rsid w:val="689F444F"/>
    <w:rsid w:val="68B96DBB"/>
    <w:rsid w:val="68CA2805"/>
    <w:rsid w:val="68E937A3"/>
    <w:rsid w:val="68EC14C9"/>
    <w:rsid w:val="693A6306"/>
    <w:rsid w:val="693E15D3"/>
    <w:rsid w:val="694C1F68"/>
    <w:rsid w:val="69627681"/>
    <w:rsid w:val="6977531D"/>
    <w:rsid w:val="69A13929"/>
    <w:rsid w:val="69CC2BFF"/>
    <w:rsid w:val="69FD55B8"/>
    <w:rsid w:val="6A0B1C62"/>
    <w:rsid w:val="6A2406C8"/>
    <w:rsid w:val="6A6C124E"/>
    <w:rsid w:val="6ADE0BD1"/>
    <w:rsid w:val="6AE96859"/>
    <w:rsid w:val="6B053DC8"/>
    <w:rsid w:val="6B147746"/>
    <w:rsid w:val="6B24787C"/>
    <w:rsid w:val="6B573233"/>
    <w:rsid w:val="6B5B6274"/>
    <w:rsid w:val="6B6D2669"/>
    <w:rsid w:val="6B761553"/>
    <w:rsid w:val="6B7F5AF7"/>
    <w:rsid w:val="6B935D53"/>
    <w:rsid w:val="6BA047ED"/>
    <w:rsid w:val="6BA34B63"/>
    <w:rsid w:val="6BAA2A4D"/>
    <w:rsid w:val="6C196F71"/>
    <w:rsid w:val="6C226FCB"/>
    <w:rsid w:val="6C31226F"/>
    <w:rsid w:val="6C552F0B"/>
    <w:rsid w:val="6C884B18"/>
    <w:rsid w:val="6C8C67B7"/>
    <w:rsid w:val="6C9D744C"/>
    <w:rsid w:val="6D167928"/>
    <w:rsid w:val="6D194382"/>
    <w:rsid w:val="6D26299B"/>
    <w:rsid w:val="6D2F407A"/>
    <w:rsid w:val="6D4772EC"/>
    <w:rsid w:val="6D5C4743"/>
    <w:rsid w:val="6D8E4EF3"/>
    <w:rsid w:val="6D9078AF"/>
    <w:rsid w:val="6D9B3275"/>
    <w:rsid w:val="6DAA3FEF"/>
    <w:rsid w:val="6DBE0F5A"/>
    <w:rsid w:val="6DC0172B"/>
    <w:rsid w:val="6DCB690C"/>
    <w:rsid w:val="6DD41A5B"/>
    <w:rsid w:val="6DF43C2E"/>
    <w:rsid w:val="6DF51CA3"/>
    <w:rsid w:val="6E38361A"/>
    <w:rsid w:val="6E8335BD"/>
    <w:rsid w:val="6E8E12EF"/>
    <w:rsid w:val="6E972936"/>
    <w:rsid w:val="6ED446C5"/>
    <w:rsid w:val="6F2A7D94"/>
    <w:rsid w:val="6F4436E1"/>
    <w:rsid w:val="6F632E9C"/>
    <w:rsid w:val="6F77BE8A"/>
    <w:rsid w:val="6F8331F1"/>
    <w:rsid w:val="6FAA5C3A"/>
    <w:rsid w:val="6FAE1A09"/>
    <w:rsid w:val="6FCE16EC"/>
    <w:rsid w:val="6FD75BF8"/>
    <w:rsid w:val="6FD864AA"/>
    <w:rsid w:val="6FFF1196"/>
    <w:rsid w:val="70594C86"/>
    <w:rsid w:val="70644E8B"/>
    <w:rsid w:val="707723D0"/>
    <w:rsid w:val="70A95EF1"/>
    <w:rsid w:val="70F5661B"/>
    <w:rsid w:val="71360107"/>
    <w:rsid w:val="713B688E"/>
    <w:rsid w:val="713E488C"/>
    <w:rsid w:val="71D43752"/>
    <w:rsid w:val="71F1796A"/>
    <w:rsid w:val="72154626"/>
    <w:rsid w:val="72262B5D"/>
    <w:rsid w:val="72283FF7"/>
    <w:rsid w:val="722E7212"/>
    <w:rsid w:val="723668BD"/>
    <w:rsid w:val="723A0474"/>
    <w:rsid w:val="725923E4"/>
    <w:rsid w:val="727E0840"/>
    <w:rsid w:val="72864BF7"/>
    <w:rsid w:val="729023FC"/>
    <w:rsid w:val="72C45265"/>
    <w:rsid w:val="73526EFB"/>
    <w:rsid w:val="735F6D3B"/>
    <w:rsid w:val="7363682B"/>
    <w:rsid w:val="736762F1"/>
    <w:rsid w:val="73936C91"/>
    <w:rsid w:val="73C0646E"/>
    <w:rsid w:val="742222F5"/>
    <w:rsid w:val="74476126"/>
    <w:rsid w:val="74706664"/>
    <w:rsid w:val="747F2323"/>
    <w:rsid w:val="747F3682"/>
    <w:rsid w:val="749A44CF"/>
    <w:rsid w:val="749C4185"/>
    <w:rsid w:val="74E67714"/>
    <w:rsid w:val="75067759"/>
    <w:rsid w:val="752E6DCD"/>
    <w:rsid w:val="75491A51"/>
    <w:rsid w:val="7551380D"/>
    <w:rsid w:val="75600BE5"/>
    <w:rsid w:val="7564475C"/>
    <w:rsid w:val="7583797F"/>
    <w:rsid w:val="758B5587"/>
    <w:rsid w:val="75D07FFD"/>
    <w:rsid w:val="75D20F1D"/>
    <w:rsid w:val="75DA2C18"/>
    <w:rsid w:val="75F54412"/>
    <w:rsid w:val="761D08E0"/>
    <w:rsid w:val="76366479"/>
    <w:rsid w:val="765D347C"/>
    <w:rsid w:val="76826699"/>
    <w:rsid w:val="768946F7"/>
    <w:rsid w:val="76C770D1"/>
    <w:rsid w:val="76C87133"/>
    <w:rsid w:val="76CD08D5"/>
    <w:rsid w:val="76D86CF7"/>
    <w:rsid w:val="76DB4B92"/>
    <w:rsid w:val="77052AA4"/>
    <w:rsid w:val="77136511"/>
    <w:rsid w:val="77340A39"/>
    <w:rsid w:val="77351FD0"/>
    <w:rsid w:val="77453BED"/>
    <w:rsid w:val="77472422"/>
    <w:rsid w:val="775546DD"/>
    <w:rsid w:val="777F31F2"/>
    <w:rsid w:val="77B533CE"/>
    <w:rsid w:val="77D1700D"/>
    <w:rsid w:val="77EC04CC"/>
    <w:rsid w:val="78767001"/>
    <w:rsid w:val="78775729"/>
    <w:rsid w:val="78A42DB0"/>
    <w:rsid w:val="78A656AB"/>
    <w:rsid w:val="78B2245C"/>
    <w:rsid w:val="78E172CC"/>
    <w:rsid w:val="78EA1D1F"/>
    <w:rsid w:val="78EA70A7"/>
    <w:rsid w:val="7904172F"/>
    <w:rsid w:val="790F7E27"/>
    <w:rsid w:val="791D122B"/>
    <w:rsid w:val="792A231A"/>
    <w:rsid w:val="79316829"/>
    <w:rsid w:val="79597C6D"/>
    <w:rsid w:val="797E66A9"/>
    <w:rsid w:val="798518A4"/>
    <w:rsid w:val="798D4602"/>
    <w:rsid w:val="79A97383"/>
    <w:rsid w:val="79BD70A9"/>
    <w:rsid w:val="79E27E8B"/>
    <w:rsid w:val="79F850CE"/>
    <w:rsid w:val="79FD443C"/>
    <w:rsid w:val="7A1D1975"/>
    <w:rsid w:val="7A3E5150"/>
    <w:rsid w:val="7A4670D6"/>
    <w:rsid w:val="7A534B63"/>
    <w:rsid w:val="7A615382"/>
    <w:rsid w:val="7A67303B"/>
    <w:rsid w:val="7A852E5D"/>
    <w:rsid w:val="7A9B5CDB"/>
    <w:rsid w:val="7AAB1D04"/>
    <w:rsid w:val="7ABA4368"/>
    <w:rsid w:val="7ACE4ED2"/>
    <w:rsid w:val="7AD05746"/>
    <w:rsid w:val="7AD61FD9"/>
    <w:rsid w:val="7B257FFD"/>
    <w:rsid w:val="7B343476"/>
    <w:rsid w:val="7B5A2978"/>
    <w:rsid w:val="7B5A7E4C"/>
    <w:rsid w:val="7B667AF9"/>
    <w:rsid w:val="7B7468F8"/>
    <w:rsid w:val="7B904755"/>
    <w:rsid w:val="7BB625B6"/>
    <w:rsid w:val="7BEE0103"/>
    <w:rsid w:val="7C0A0FE4"/>
    <w:rsid w:val="7C254906"/>
    <w:rsid w:val="7C590818"/>
    <w:rsid w:val="7C7C10F6"/>
    <w:rsid w:val="7C853BEA"/>
    <w:rsid w:val="7C881368"/>
    <w:rsid w:val="7CE27788"/>
    <w:rsid w:val="7CF00FFF"/>
    <w:rsid w:val="7D0C32F1"/>
    <w:rsid w:val="7D0F408D"/>
    <w:rsid w:val="7D252DA4"/>
    <w:rsid w:val="7D491C6C"/>
    <w:rsid w:val="7D496A92"/>
    <w:rsid w:val="7D5429C0"/>
    <w:rsid w:val="7D6E6D43"/>
    <w:rsid w:val="7DB57A34"/>
    <w:rsid w:val="7DE60973"/>
    <w:rsid w:val="7DEF0916"/>
    <w:rsid w:val="7E0929FF"/>
    <w:rsid w:val="7E1E5218"/>
    <w:rsid w:val="7E3231B3"/>
    <w:rsid w:val="7E9A4E1F"/>
    <w:rsid w:val="7E9E4952"/>
    <w:rsid w:val="7EA7723A"/>
    <w:rsid w:val="7EF56FBB"/>
    <w:rsid w:val="7F0768EB"/>
    <w:rsid w:val="7F143BEC"/>
    <w:rsid w:val="7F470546"/>
    <w:rsid w:val="7F715AF2"/>
    <w:rsid w:val="7F886E69"/>
    <w:rsid w:val="7FA77AA0"/>
    <w:rsid w:val="BB7FA927"/>
    <w:rsid w:val="F5FFD31F"/>
    <w:rsid w:val="FDFF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Theme="minorEastAsia" w:hAnsiTheme="minorEastAsia" w:eastAsiaTheme="minorEastAsia"/>
      <w:b/>
      <w:bCs/>
      <w:szCs w:val="21"/>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autoRedefine/>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1"/>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autoRedefine/>
    <w:qFormat/>
    <w:uiPriority w:val="0"/>
    <w:rPr>
      <w:b/>
      <w:bCs/>
    </w:rPr>
  </w:style>
  <w:style w:type="paragraph" w:styleId="60">
    <w:name w:val="Body Text First Indent"/>
    <w:basedOn w:val="23"/>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_Style 1"/>
    <w:basedOn w:val="1"/>
    <w:autoRedefine/>
    <w:qFormat/>
    <w:uiPriority w:val="34"/>
    <w:pPr>
      <w:adjustRightInd/>
      <w:ind w:firstLine="420" w:firstLineChars="200"/>
    </w:pPr>
    <w:rPr>
      <w:rFonts w:eastAsia="仿宋_GB2312"/>
      <w:sz w:val="28"/>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2"/>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7"/>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6"/>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9"/>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6"/>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autoRedefine/>
    <w:qFormat/>
    <w:uiPriority w:val="0"/>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autoRedefine/>
    <w:qFormat/>
    <w:uiPriority w:val="0"/>
    <w:pPr>
      <w:tabs>
        <w:tab w:val="left" w:pos="1260"/>
      </w:tabs>
      <w:ind w:left="1260" w:hanging="420"/>
    </w:pPr>
    <w:rPr>
      <w:rFonts w:ascii="Arial" w:hAnsi="Arial" w:eastAsia="黑体"/>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7"/>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2"/>
    <w:autoRedefine/>
    <w:qFormat/>
    <w:uiPriority w:val="0"/>
    <w:pPr>
      <w:tabs>
        <w:tab w:val="left" w:pos="840"/>
      </w:tabs>
      <w:adjustRightInd/>
      <w:ind w:left="840" w:hanging="420"/>
    </w:pPr>
  </w:style>
  <w:style w:type="paragraph" w:customStyle="1" w:styleId="626">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autoRedefine/>
    <w:qFormat/>
    <w:uiPriority w:val="0"/>
    <w:pPr>
      <w:spacing w:before="260" w:after="260" w:line="415" w:lineRule="auto"/>
      <w:ind w:left="420" w:hanging="420"/>
    </w:pPr>
    <w:rPr>
      <w:rFonts w:ascii="Arial" w:hAnsi="Arial" w:eastAsia="微软雅黑"/>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autoRedefine/>
    <w:qFormat/>
    <w:uiPriority w:val="0"/>
    <w:pPr>
      <w:tabs>
        <w:tab w:val="left" w:pos="480"/>
      </w:tabs>
      <w:ind w:left="480" w:hanging="480"/>
    </w:pPr>
    <w:rPr>
      <w:rFonts w:ascii="Times New Roman" w:eastAsia="宋体"/>
      <w:i/>
      <w:sz w:val="36"/>
      <w:szCs w:val="36"/>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autoRedefine/>
    <w:qFormat/>
    <w:uiPriority w:val="0"/>
    <w:pPr>
      <w:spacing w:before="120" w:after="120"/>
      <w:ind w:left="0" w:firstLine="0"/>
      <w:jc w:val="both"/>
    </w:pPr>
    <w:rPr>
      <w:rFonts w:ascii="宋体" w:hAnsi="Arial" w:eastAsia="宋体"/>
      <w:sz w:val="28"/>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8"/>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表格 内容"/>
    <w:basedOn w:val="729"/>
    <w:autoRedefine/>
    <w:qFormat/>
    <w:uiPriority w:val="0"/>
    <w:rPr>
      <w:b w:val="0"/>
      <w:sz w:val="20"/>
    </w:rPr>
  </w:style>
  <w:style w:type="paragraph" w:customStyle="1" w:styleId="893">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autoRedefine/>
    <w:qFormat/>
    <w:uiPriority w:val="0"/>
    <w:pPr>
      <w:tabs>
        <w:tab w:val="left" w:pos="1080"/>
      </w:tabs>
      <w:ind w:left="1080" w:hanging="1080"/>
    </w:pPr>
  </w:style>
  <w:style w:type="paragraph" w:customStyle="1" w:styleId="896">
    <w:name w:val="数字标题1"/>
    <w:basedOn w:val="2"/>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autoRedefine/>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autoRedefine/>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autoRedefine/>
    <w:qFormat/>
    <w:uiPriority w:val="6"/>
    <w:pPr>
      <w:widowControl/>
      <w:spacing w:after="160" w:line="240" w:lineRule="exact"/>
      <w:jc w:val="left"/>
    </w:pPr>
    <w:rPr>
      <w:rFonts w:eastAsia="仿宋_GB2312"/>
      <w:sz w:val="28"/>
    </w:rPr>
  </w:style>
  <w:style w:type="paragraph" w:customStyle="1" w:styleId="913">
    <w:name w:val="正文 图"/>
    <w:basedOn w:val="443"/>
    <w:autoRedefine/>
    <w:qFormat/>
    <w:uiPriority w:val="0"/>
    <w:pPr>
      <w:adjustRightInd/>
      <w:spacing w:before="0"/>
      <w:ind w:firstLine="0"/>
      <w:jc w:val="center"/>
    </w:pPr>
    <w:rPr>
      <w:rFonts w:ascii="微软雅黑" w:hAnsi="微软雅黑"/>
    </w:rPr>
  </w:style>
  <w:style w:type="paragraph" w:customStyle="1" w:styleId="914">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autoRedefine/>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autoRedefine/>
    <w:qFormat/>
    <w:uiPriority w:val="0"/>
    <w:pPr>
      <w:adjustRightInd/>
      <w:spacing w:line="360" w:lineRule="auto"/>
      <w:ind w:firstLine="480"/>
    </w:pPr>
    <w:rPr>
      <w:sz w:val="24"/>
    </w:rPr>
  </w:style>
  <w:style w:type="table" w:customStyle="1" w:styleId="920">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autoRedefine/>
    <w:qFormat/>
    <w:uiPriority w:val="34"/>
    <w:pPr>
      <w:ind w:firstLine="420" w:firstLineChars="200"/>
    </w:pPr>
  </w:style>
  <w:style w:type="character" w:customStyle="1" w:styleId="927">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autoRedefine/>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37"/>
    <w:autoRedefine/>
    <w:qFormat/>
    <w:uiPriority w:val="0"/>
    <w:rPr>
      <w:kern w:val="2"/>
      <w:sz w:val="21"/>
      <w:szCs w:val="24"/>
      <w:lang w:val="zh-CN"/>
    </w:rPr>
  </w:style>
  <w:style w:type="character" w:customStyle="1" w:styleId="932">
    <w:name w:val="无间隔 Char"/>
    <w:link w:val="483"/>
    <w:autoRedefine/>
    <w:qFormat/>
    <w:uiPriority w:val="99"/>
    <w:rPr>
      <w:kern w:val="2"/>
      <w:sz w:val="21"/>
      <w:szCs w:val="22"/>
    </w:rPr>
  </w:style>
  <w:style w:type="character" w:customStyle="1" w:styleId="933">
    <w:name w:val="标准文本 Char Char"/>
    <w:link w:val="934"/>
    <w:autoRedefine/>
    <w:qFormat/>
    <w:uiPriority w:val="0"/>
    <w:rPr>
      <w:rFonts w:cs="宋体"/>
      <w:kern w:val="2"/>
      <w:sz w:val="24"/>
    </w:rPr>
  </w:style>
  <w:style w:type="paragraph" w:customStyle="1" w:styleId="934">
    <w:name w:val="标准文本"/>
    <w:basedOn w:val="1"/>
    <w:link w:val="933"/>
    <w:autoRedefine/>
    <w:qFormat/>
    <w:uiPriority w:val="0"/>
    <w:pPr>
      <w:adjustRightInd/>
      <w:spacing w:line="360" w:lineRule="auto"/>
      <w:ind w:firstLine="480" w:firstLineChars="200"/>
    </w:pPr>
    <w:rPr>
      <w:rFonts w:cs="宋体"/>
      <w:sz w:val="24"/>
      <w:szCs w:val="20"/>
    </w:rPr>
  </w:style>
  <w:style w:type="character" w:customStyle="1" w:styleId="935">
    <w:name w:val="Char Char213"/>
    <w:autoRedefine/>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autoRedefine/>
    <w:qFormat/>
    <w:uiPriority w:val="0"/>
    <w:rPr>
      <w:sz w:val="20"/>
      <w:szCs w:val="20"/>
    </w:rPr>
  </w:style>
  <w:style w:type="character" w:customStyle="1" w:styleId="941">
    <w:name w:val="正文文本缩进 字符"/>
    <w:autoRedefine/>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autoRedefine/>
    <w:qFormat/>
    <w:uiPriority w:val="0"/>
    <w:rPr>
      <w:rFonts w:ascii="Arial" w:hAnsi="Arial" w:eastAsia="黑体" w:cs="Arial"/>
      <w:snapToGrid w:val="0"/>
      <w:kern w:val="0"/>
      <w:szCs w:val="21"/>
    </w:rPr>
  </w:style>
  <w:style w:type="character" w:customStyle="1" w:styleId="945">
    <w:name w:val="zbggtop11 style5"/>
    <w:autoRedefine/>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7">
    <w:name w:val="bulletintext1"/>
    <w:autoRedefine/>
    <w:qFormat/>
    <w:uiPriority w:val="0"/>
    <w:rPr>
      <w:color w:val="000000"/>
      <w:sz w:val="18"/>
    </w:rPr>
  </w:style>
  <w:style w:type="paragraph" w:customStyle="1" w:styleId="948">
    <w:name w:val="_Style 947"/>
    <w:basedOn w:val="1"/>
    <w:next w:val="258"/>
    <w:autoRedefine/>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autoRedefine/>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autoRedefine/>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autoRedefine/>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65">
    <w:name w:val="10"/>
    <w:basedOn w:val="69"/>
    <w:autoRedefine/>
    <w:qFormat/>
    <w:uiPriority w:val="0"/>
    <w:rPr>
      <w:rFonts w:hint="default" w:ascii="Times New Roman" w:hAnsi="Times New Roman" w:cs="Times New Roman"/>
    </w:rPr>
  </w:style>
  <w:style w:type="paragraph" w:customStyle="1" w:styleId="966">
    <w:name w:val="修订5"/>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96843-ABBA-4233-8140-4F294A1C996B}">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120</Pages>
  <Words>42170</Words>
  <Characters>47274</Characters>
  <Lines>642</Lines>
  <Paragraphs>180</Paragraphs>
  <TotalTime>124</TotalTime>
  <ScaleCrop>false</ScaleCrop>
  <LinksUpToDate>false</LinksUpToDate>
  <CharactersWithSpaces>48234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2026-05-09T17:35:00Z</dcterms:created>
  <dc:creator>玥</dc:creator>
  <cp:lastModifiedBy>WPS_1661847895</cp:lastModifiedBy>
  <cp:lastPrinted>2026-04-25T20:42:00Z</cp:lastPrinted>
  <dcterms:modified xsi:type="dcterms:W3CDTF">2026-06-01T05:43:05Z</dcterms:modified>
  <dc:title>杭州市市民卡扩大发卡工程</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52FFA4DB39F446BCB0D6FA239A18F16F_13</vt:lpwstr>
  </property>
  <property fmtid="{D5CDD505-2E9C-101B-9397-08002B2CF9AE}" pid="5" name="KSOTemplateDocerSaveRecord">
    <vt:lpwstr>eyJoZGlkIjoiMjE1MDMyYjc5YTI4OTY3NzIzM2Q1NmY4OTg3MjczNmEiLCJ1c2VySWQiOiIxNDAyNTM3NjY2In0=</vt:lpwstr>
  </property>
</Properties>
</file>