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版本号：N511101202600011420260612001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计算机机房建设(二次)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N5111012026000114</w:t>
      </w:r>
    </w:p>
    <w:p>
      <w:pPr>
        <w:pStyle w:val="null3"/>
        <w:jc w:val="left"/>
        <w:outlineLvl w:val="2"/>
      </w:pPr>
      <w:r>
        <w:rPr>
          <w:rFonts w:ascii="仿宋_GB2312" w:hAnsi="仿宋_GB2312" w:cs="仿宋_GB2312" w:eastAsia="仿宋_GB2312"/>
          <w:sz w:val="28"/>
          <w:b/>
        </w:rPr>
        <w:t>四川省乐山市第一职业高级中学</w:t>
      </w:r>
    </w:p>
    <w:p>
      <w:pPr>
        <w:pStyle w:val="null3"/>
        <w:jc w:val="center"/>
        <w:outlineLvl w:val="2"/>
      </w:pPr>
      <w:r>
        <w:rPr>
          <w:rFonts w:ascii="仿宋_GB2312" w:hAnsi="仿宋_GB2312" w:cs="仿宋_GB2312" w:eastAsia="仿宋_GB2312"/>
          <w:sz w:val="28"/>
          <w:b/>
        </w:rPr>
        <w:t>乐山市政府采购中心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四川省乐山市第一职业高级中学</w:t>
      </w:r>
      <w:r>
        <w:rPr>
          <w:rFonts w:ascii="仿宋_GB2312" w:hAnsi="仿宋_GB2312" w:cs="仿宋_GB2312" w:eastAsia="仿宋_GB2312"/>
        </w:rPr>
        <w:t xml:space="preserve"> 委托，拟对 </w:t>
      </w:r>
      <w:r>
        <w:rPr>
          <w:rFonts w:ascii="仿宋_GB2312" w:hAnsi="仿宋_GB2312" w:cs="仿宋_GB2312" w:eastAsia="仿宋_GB2312"/>
        </w:rPr>
        <w:t>计算机机房建设(二次)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N5111012026000114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计算机机房建设(二次)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四川省乐山一职中计算机专业实训室建设，用于满足计算机专业日常教学、技能大赛训练、图形图像处理、计算机组装维护等实训需求，支撑计算机应用、平面设计、动漫与游戏制作等核心课程开展，实现教学设备与行业技术标准对接，培养符合市场需求的计算机技术技能人才。项目需完成两个普通计算机机房、一个高配专业图形处理机房、组装维护机房国产 PC 补充、配套打印设备建设，所有设备须适配中职教学场景、满足技能大赛硬件要求。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四川省乐山市第一职业高级中学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乐山市苏稽新区青峰路199号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13350757248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乐山市政府采购中心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四川省乐山市高新区乐高大道6号6幢智创SOHO A座三层至七层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0833-2481835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采购包1：1,125,790.00元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四川省乐山市第一职业高级中学</w:t>
      </w:r>
      <w:r>
        <w:rPr>
          <w:rFonts w:ascii="仿宋_GB2312" w:hAnsi="仿宋_GB2312" w:cs="仿宋_GB2312" w:eastAsia="仿宋_GB2312"/>
        </w:rPr>
        <w:t xml:space="preserve"> 和 </w:t>
      </w:r>
      <w:r>
        <w:rPr>
          <w:rFonts w:ascii="仿宋_GB2312" w:hAnsi="仿宋_GB2312" w:cs="仿宋_GB2312" w:eastAsia="仿宋_GB2312"/>
        </w:rPr>
        <w:t>乐山市政府采购中心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四川省乐山市第一职业高级中学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交货并安装调试完成后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计算机专业部、总务科、教务科、财务科共同组织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根据谈判文件第二章2.6.6.履约验收方案要求执行。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根据谈判文件第二章2.6.6.履约验收方案要求执行。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1、供应商须提供全新的货物（含零部件、配件等），表面无划伤、无碰撞痕迹，且权属清楚，不得侵害他人的知识产权。 2、货物必须符合或优于国家及行业标准，以及本项目谈判文件的质量要求和技术指标与出厂标准。 3、质保期内货物制造质量出现问题，成交供应商应负责三包（包修、包换、包退），费用由成交供应商负担。 4、货到现场后交付采购人使用前由于成交供应商运输、装卸、保管不当造成的质量问题，由成交供应商负责修理，并承担相应费用。</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负责产品的安装、调试，直至采购人能正常使用，所需的一切材料、备件、专业工具均由供应商负责提供。货物到达生产现场后，供应商接到采购人通知后2日内到达现场组织安装、调试，达到正常运行要求，保证采购人正常使用。所涉及的价格包括在报价总价格中。 2、供应商应就产品的安装、调试、操作、维修、保养等对采购人使用人员进行培训。产品安装调试完毕后，供应商应对采购人使用人员进行现场培训，直至采购人的使用人员能独立操作，同时能完成一般常见故障的维修工作。</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四川省乐山市第一职业高级中学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联系人：马老师</w:t>
      </w:r>
    </w:p>
    <w:p>
      <w:pPr>
        <w:pStyle w:val="null3"/>
        <w:jc w:val="left"/>
      </w:pPr>
      <w:r>
        <w:rPr>
          <w:rFonts w:ascii="仿宋_GB2312" w:hAnsi="仿宋_GB2312" w:cs="仿宋_GB2312" w:eastAsia="仿宋_GB2312"/>
        </w:rPr>
        <w:t>联系电话：0833-2191322</w:t>
      </w:r>
    </w:p>
    <w:p>
      <w:pPr>
        <w:pStyle w:val="null3"/>
        <w:jc w:val="left"/>
      </w:pPr>
      <w:r>
        <w:rPr>
          <w:rFonts w:ascii="仿宋_GB2312" w:hAnsi="仿宋_GB2312" w:cs="仿宋_GB2312" w:eastAsia="仿宋_GB2312"/>
        </w:rPr>
        <w:t>地址：乐山市苏稽新区青峰路199号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联系电话：0833-2406065</w:t>
      </w:r>
    </w:p>
    <w:p>
      <w:pPr>
        <w:pStyle w:val="null3"/>
        <w:jc w:val="left"/>
      </w:pPr>
      <w:r>
        <w:rPr>
          <w:rFonts w:ascii="仿宋_GB2312" w:hAnsi="仿宋_GB2312" w:cs="仿宋_GB2312" w:eastAsia="仿宋_GB2312"/>
        </w:rPr>
        <w:t>地址：乐山市高新区乐高大道6号6幢智创SOHO A座5楼现场监督科</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1,125,790.00</w:t>
      </w:r>
    </w:p>
    <w:p>
      <w:pPr>
        <w:pStyle w:val="null3"/>
        <w:jc w:val="left"/>
      </w:pPr>
      <w:r>
        <w:rPr>
          <w:rFonts w:ascii="仿宋_GB2312" w:hAnsi="仿宋_GB2312" w:cs="仿宋_GB2312" w:eastAsia="仿宋_GB2312"/>
        </w:rPr>
        <w:t>采购包最高限价（元）: 1,125,790.00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112.00（套）</w:t>
            </w:r>
          </w:p>
        </w:tc>
        <w:tc>
          <w:tcPr>
            <w:tcW w:type="dxa" w:w="821"/>
          </w:tcPr>
          <w:p>
            <w:pPr>
              <w:pStyle w:val="null3"/>
              <w:jc w:val="right"/>
            </w:pPr>
            <w:r>
              <w:rPr>
                <w:rFonts w:ascii="仿宋_GB2312" w:hAnsi="仿宋_GB2312" w:cs="仿宋_GB2312" w:eastAsia="仿宋_GB2312"/>
              </w:rPr>
              <w:t>448,000.00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台式工作站</w:t>
            </w:r>
          </w:p>
        </w:tc>
        <w:tc>
          <w:tcPr>
            <w:tcW w:type="dxa" w:w="821"/>
          </w:tcPr>
          <w:p>
            <w:pPr>
              <w:pStyle w:val="null3"/>
              <w:jc w:val="right"/>
            </w:pPr>
            <w:r>
              <w:rPr>
                <w:rFonts w:ascii="仿宋_GB2312" w:hAnsi="仿宋_GB2312" w:cs="仿宋_GB2312" w:eastAsia="仿宋_GB2312"/>
              </w:rPr>
              <w:t>64.00（套）</w:t>
            </w:r>
          </w:p>
        </w:tc>
        <w:tc>
          <w:tcPr>
            <w:tcW w:type="dxa" w:w="821"/>
          </w:tcPr>
          <w:p>
            <w:pPr>
              <w:pStyle w:val="null3"/>
              <w:jc w:val="right"/>
            </w:pPr>
            <w:r>
              <w:rPr>
                <w:rFonts w:ascii="仿宋_GB2312" w:hAnsi="仿宋_GB2312" w:cs="仿宋_GB2312" w:eastAsia="仿宋_GB2312"/>
              </w:rPr>
              <w:t>537,600.00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国产台式电脑</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定制学生电脑桌</w:t>
            </w:r>
          </w:p>
        </w:tc>
        <w:tc>
          <w:tcPr>
            <w:tcW w:type="dxa" w:w="821"/>
          </w:tcPr>
          <w:p>
            <w:pPr>
              <w:pStyle w:val="null3"/>
              <w:jc w:val="right"/>
            </w:pPr>
            <w:r>
              <w:rPr>
                <w:rFonts w:ascii="仿宋_GB2312" w:hAnsi="仿宋_GB2312" w:cs="仿宋_GB2312" w:eastAsia="仿宋_GB2312"/>
              </w:rPr>
              <w:t>91.00（项）</w:t>
            </w:r>
          </w:p>
        </w:tc>
        <w:tc>
          <w:tcPr>
            <w:tcW w:type="dxa" w:w="821"/>
          </w:tcPr>
          <w:p>
            <w:pPr>
              <w:pStyle w:val="null3"/>
              <w:jc w:val="right"/>
            </w:pPr>
            <w:r>
              <w:rPr>
                <w:rFonts w:ascii="仿宋_GB2312" w:hAnsi="仿宋_GB2312" w:cs="仿宋_GB2312" w:eastAsia="仿宋_GB2312"/>
              </w:rPr>
              <w:t>59,150.00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定制方凳</w:t>
            </w:r>
          </w:p>
        </w:tc>
        <w:tc>
          <w:tcPr>
            <w:tcW w:type="dxa" w:w="821"/>
          </w:tcPr>
          <w:p>
            <w:pPr>
              <w:pStyle w:val="null3"/>
              <w:jc w:val="right"/>
            </w:pPr>
            <w:r>
              <w:rPr>
                <w:rFonts w:ascii="仿宋_GB2312" w:hAnsi="仿宋_GB2312" w:cs="仿宋_GB2312" w:eastAsia="仿宋_GB2312"/>
              </w:rPr>
              <w:t>176.00（张）</w:t>
            </w:r>
          </w:p>
        </w:tc>
        <w:tc>
          <w:tcPr>
            <w:tcW w:type="dxa" w:w="821"/>
          </w:tcPr>
          <w:p>
            <w:pPr>
              <w:pStyle w:val="null3"/>
              <w:jc w:val="right"/>
            </w:pPr>
            <w:r>
              <w:rPr>
                <w:rFonts w:ascii="仿宋_GB2312" w:hAnsi="仿宋_GB2312" w:cs="仿宋_GB2312" w:eastAsia="仿宋_GB2312"/>
              </w:rPr>
              <w:t>7,040.00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112.00（套）</w:t>
            </w:r>
          </w:p>
        </w:tc>
        <w:tc>
          <w:tcPr>
            <w:tcW w:type="dxa" w:w="1365"/>
          </w:tcPr>
          <w:p>
            <w:pPr>
              <w:pStyle w:val="null3"/>
              <w:jc w:val="center"/>
            </w:pPr>
            <w:r>
              <w:rPr>
                <w:rFonts w:ascii="仿宋_GB2312" w:hAnsi="仿宋_GB2312" w:cs="仿宋_GB2312" w:eastAsia="仿宋_GB2312"/>
              </w:rPr>
              <w:t>448,000.00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因采购文件模板设定固化，《报价表》无法填报单价，请供应商另行填写报价明细表。在最后报价时，也需重新上传调整后的《报价明细表》。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台式工作站</w:t>
            </w:r>
          </w:p>
        </w:tc>
        <w:tc>
          <w:tcPr>
            <w:tcW w:type="dxa" w:w="1138"/>
          </w:tcPr>
          <w:p>
            <w:pPr>
              <w:pStyle w:val="null3"/>
              <w:jc w:val="center"/>
            </w:pPr>
            <w:r>
              <w:rPr>
                <w:rFonts w:ascii="仿宋_GB2312" w:hAnsi="仿宋_GB2312" w:cs="仿宋_GB2312" w:eastAsia="仿宋_GB2312"/>
              </w:rPr>
              <w:t>64.00（套）</w:t>
            </w:r>
          </w:p>
        </w:tc>
        <w:tc>
          <w:tcPr>
            <w:tcW w:type="dxa" w:w="1365"/>
          </w:tcPr>
          <w:p>
            <w:pPr>
              <w:pStyle w:val="null3"/>
              <w:jc w:val="center"/>
            </w:pPr>
            <w:r>
              <w:rPr>
                <w:rFonts w:ascii="仿宋_GB2312" w:hAnsi="仿宋_GB2312" w:cs="仿宋_GB2312" w:eastAsia="仿宋_GB2312"/>
              </w:rPr>
              <w:t>537,600.00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国产台式电脑</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定制学生电脑桌</w:t>
            </w:r>
          </w:p>
        </w:tc>
        <w:tc>
          <w:tcPr>
            <w:tcW w:type="dxa" w:w="1138"/>
          </w:tcPr>
          <w:p>
            <w:pPr>
              <w:pStyle w:val="null3"/>
              <w:jc w:val="center"/>
            </w:pPr>
            <w:r>
              <w:rPr>
                <w:rFonts w:ascii="仿宋_GB2312" w:hAnsi="仿宋_GB2312" w:cs="仿宋_GB2312" w:eastAsia="仿宋_GB2312"/>
              </w:rPr>
              <w:t>91.00（项）</w:t>
            </w:r>
          </w:p>
        </w:tc>
        <w:tc>
          <w:tcPr>
            <w:tcW w:type="dxa" w:w="1365"/>
          </w:tcPr>
          <w:p>
            <w:pPr>
              <w:pStyle w:val="null3"/>
              <w:jc w:val="center"/>
            </w:pPr>
            <w:r>
              <w:rPr>
                <w:rFonts w:ascii="仿宋_GB2312" w:hAnsi="仿宋_GB2312" w:cs="仿宋_GB2312" w:eastAsia="仿宋_GB2312"/>
              </w:rPr>
              <w:t>59,150.00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定制方凳</w:t>
            </w:r>
          </w:p>
        </w:tc>
        <w:tc>
          <w:tcPr>
            <w:tcW w:type="dxa" w:w="1138"/>
          </w:tcPr>
          <w:p>
            <w:pPr>
              <w:pStyle w:val="null3"/>
              <w:jc w:val="center"/>
            </w:pPr>
            <w:r>
              <w:rPr>
                <w:rFonts w:ascii="仿宋_GB2312" w:hAnsi="仿宋_GB2312" w:cs="仿宋_GB2312" w:eastAsia="仿宋_GB2312"/>
              </w:rPr>
              <w:t>176.00（张）</w:t>
            </w:r>
          </w:p>
        </w:tc>
        <w:tc>
          <w:tcPr>
            <w:tcW w:type="dxa" w:w="1365"/>
          </w:tcPr>
          <w:p>
            <w:pPr>
              <w:pStyle w:val="null3"/>
              <w:jc w:val="center"/>
            </w:pPr>
            <w:r>
              <w:rPr>
                <w:rFonts w:ascii="仿宋_GB2312" w:hAnsi="仿宋_GB2312" w:cs="仿宋_GB2312" w:eastAsia="仿宋_GB2312"/>
              </w:rPr>
              <w:t>7,040.00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台式计算机（含主机和液晶显示器）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国产台式电脑</w:t>
            </w:r>
          </w:p>
        </w:tc>
        <w:tc>
          <w:tcPr>
            <w:tcW w:type="dxa" w:w="2492"/>
          </w:tcPr>
          <w:p>
            <w:pPr>
              <w:pStyle w:val="null3"/>
              <w:jc w:val="left"/>
            </w:pPr>
            <w:r>
              <w:rPr>
                <w:rFonts w:ascii="仿宋_GB2312" w:hAnsi="仿宋_GB2312" w:cs="仿宋_GB2312" w:eastAsia="仿宋_GB2312"/>
              </w:rPr>
              <w:t>国产台式电脑（含主机和液晶显示器）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台式计算机（含主机和液晶显示器）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台式工作站</w:t>
            </w:r>
          </w:p>
        </w:tc>
        <w:tc>
          <w:tcPr>
            <w:tcW w:type="dxa" w:w="2492"/>
          </w:tcPr>
          <w:p>
            <w:pPr>
              <w:pStyle w:val="null3"/>
              <w:jc w:val="left"/>
            </w:pPr>
            <w:r>
              <w:rPr>
                <w:rFonts w:ascii="仿宋_GB2312" w:hAnsi="仿宋_GB2312" w:cs="仿宋_GB2312" w:eastAsia="仿宋_GB2312"/>
              </w:rPr>
              <w:t>台式工作站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国产台式电脑</w:t>
            </w:r>
          </w:p>
        </w:tc>
        <w:tc>
          <w:tcPr>
            <w:tcW w:type="dxa" w:w="2492"/>
          </w:tcPr>
          <w:p>
            <w:pPr>
              <w:pStyle w:val="null3"/>
              <w:jc w:val="left"/>
            </w:pPr>
            <w:r>
              <w:rPr>
                <w:rFonts w:ascii="仿宋_GB2312" w:hAnsi="仿宋_GB2312" w:cs="仿宋_GB2312" w:eastAsia="仿宋_GB2312"/>
              </w:rPr>
              <w:t>国产台式电脑（含主机和液晶显示器）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定制学生电脑桌</w:t>
            </w:r>
          </w:p>
        </w:tc>
        <w:tc>
          <w:tcPr>
            <w:tcW w:type="dxa" w:w="2492"/>
          </w:tcPr>
          <w:p>
            <w:pPr>
              <w:pStyle w:val="null3"/>
              <w:jc w:val="left"/>
            </w:pPr>
            <w:r>
              <w:rPr>
                <w:rFonts w:ascii="仿宋_GB2312" w:hAnsi="仿宋_GB2312" w:cs="仿宋_GB2312" w:eastAsia="仿宋_GB2312"/>
              </w:rPr>
              <w:t>定制学生电脑桌</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定制方凳</w:t>
            </w:r>
          </w:p>
        </w:tc>
        <w:tc>
          <w:tcPr>
            <w:tcW w:type="dxa" w:w="2492"/>
          </w:tcPr>
          <w:p>
            <w:pPr>
              <w:pStyle w:val="null3"/>
              <w:jc w:val="left"/>
            </w:pPr>
            <w:r>
              <w:rPr>
                <w:rFonts w:ascii="仿宋_GB2312" w:hAnsi="仿宋_GB2312" w:cs="仿宋_GB2312" w:eastAsia="仿宋_GB2312"/>
              </w:rPr>
              <w:t>定制方凳</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CPU规格：≥14核20线程处理器；基础频率≥2.50GHz，末级缓存≥24M；热设计功耗：≤65W；内存的最高速率：≥3200MT/s；内存通道数：≥2；内存位宽：≥64位宽。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主板芯片：主板集成模块：集成资源扩展模块、计算处理模块性能不低于</w:t>
            </w:r>
            <w:r>
              <w:rPr>
                <w:rFonts w:ascii="仿宋_GB2312" w:hAnsi="仿宋_GB2312" w:cs="仿宋_GB2312" w:eastAsia="仿宋_GB2312"/>
                <w:sz w:val="21"/>
              </w:rPr>
              <w:t>770芯片组、集成可信平台模块（TPM）2.0、音频扩展模块等，主板的互联拓扑可通过处理器或交换电路实现；≥2个SATA接口；≥1个全高 PCI；≥2个M.2；≥1个PCIe x1；≥1个PCIe x16。</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≥16G DDR4-3200内存，最高可扩展至64G内存。</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 GB NVMe SSD硬盘；支持硬盘故障前自检技术。（硬盘故障前告警，帮助用户在硬盘损坏前备份数据）。</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显卡：集成核心显卡及以上，基本频率</w:t>
            </w:r>
            <w:r>
              <w:rPr>
                <w:rFonts w:ascii="仿宋_GB2312" w:hAnsi="仿宋_GB2312" w:cs="仿宋_GB2312" w:eastAsia="仿宋_GB2312"/>
                <w:sz w:val="21"/>
              </w:rPr>
              <w:t>≥300MHz,支持DP、HDMI，分辨率支持4K。</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网卡、声卡：有线网卡数量</w:t>
            </w:r>
            <w:r>
              <w:rPr>
                <w:rFonts w:ascii="仿宋_GB2312" w:hAnsi="仿宋_GB2312" w:cs="仿宋_GB2312" w:eastAsia="仿宋_GB2312"/>
                <w:sz w:val="21"/>
              </w:rPr>
              <w:t>≥1，集成10/100/1000M自适应有线以太网卡、声卡。</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机箱：产品表面不应有凹痕、划伤、裂缝、变形和污染等，表面涂层均匀，不应起泡、龟裂、脱落和磨损，金属零部件无锈蚀及其它机械损伤；机身颜色：黑色；具备冷却风扇技术。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≥180W EPA 90%，具备电源管理功能。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o</w:t>
            </w:r>
            <w:r>
              <w:rPr>
                <w:rFonts w:ascii="仿宋_GB2312" w:hAnsi="仿宋_GB2312" w:cs="仿宋_GB2312" w:eastAsia="仿宋_GB2312"/>
                <w:sz w:val="21"/>
              </w:rPr>
              <w:t>接口：音频接口数量：</w:t>
            </w:r>
            <w:r>
              <w:rPr>
                <w:rFonts w:ascii="仿宋_GB2312" w:hAnsi="仿宋_GB2312" w:cs="仿宋_GB2312" w:eastAsia="仿宋_GB2312"/>
                <w:sz w:val="21"/>
              </w:rPr>
              <w:t>≥3个（前置1个耳麦通用插孔，后置1个音频输入、1个音频输出）；主机≥10个USB 端口（前置接口≥6个USB端口，后置接口≥4个，至少包含1个USB-C端口）；视频接口数量：≥2个（其中DP接口[原生非转接]和HDMI接口分别不少于1个）。</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平均无故障时间</w:t>
            </w:r>
            <w:r>
              <w:rPr>
                <w:rFonts w:ascii="仿宋_GB2312" w:hAnsi="仿宋_GB2312" w:cs="仿宋_GB2312" w:eastAsia="仿宋_GB2312"/>
                <w:sz w:val="21"/>
              </w:rPr>
              <w:t>≥120万小时。</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键鼠：鼠标数量</w:t>
            </w:r>
            <w:r>
              <w:rPr>
                <w:rFonts w:ascii="仿宋_GB2312" w:hAnsi="仿宋_GB2312" w:cs="仿宋_GB2312" w:eastAsia="仿宋_GB2312"/>
                <w:sz w:val="21"/>
              </w:rPr>
              <w:t>≥1个。键盘数量≥1个。键盘按键数目≥104键。键盘连接方式，有线。键盘键程 2.3mm~4.0mm。键盘按键压力，按键压力应在 0.54N±0.14N。有线键盘连接线≥1.5 米。键盘颜色，黑色。鼠标连接方式，有线。有线鼠标连接线≥1.5 米。鼠标 DPI 分辨率 800~1600。鼠标颜色，黑色。鼠标其他要求，其它参数应符合GB/T 26245-2010《计算机用鼠标器通用规范》的相关规定。</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软件：出厂预装正版操作系统。</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网络同传功能：出厂自带</w:t>
            </w:r>
            <w:r>
              <w:rPr>
                <w:rFonts w:ascii="仿宋_GB2312" w:hAnsi="仿宋_GB2312" w:cs="仿宋_GB2312" w:eastAsia="仿宋_GB2312"/>
                <w:sz w:val="21"/>
              </w:rPr>
              <w:t>BIOS版还原卡，支持系统自动还原、同时支持GPT分区和MBR分区、自动修改IP和计算机名、硬盘保护、网络同传、增量拷贝、断点续传、远程唤醒、远程重启、远程锁定、远程关机，千兆网络传输速度最大可以达到10GB/分钟或以上（百兆网络平均传输速度2.5GB/分钟或以上）、支持多硬盘拷贝；支持数据加密传输功能。支持任意机器作为主机对整个机房的维护和数据加密传输功能；具备支持网络传输故障定位。</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具有电脑管理功能：</w:t>
            </w:r>
            <w:r>
              <w:rPr>
                <w:rFonts w:ascii="仿宋_GB2312" w:hAnsi="仿宋_GB2312" w:cs="仿宋_GB2312" w:eastAsia="仿宋_GB2312"/>
                <w:sz w:val="21"/>
              </w:rPr>
              <w:t>1-硬件主要参数检测；优化加速；2-系统垃圾清理；3-病毒查杀；4-原厂驱动更新；5-网络测速；网络诊断，6-自动识别品牌型号，自动识别序列号，自动识别保修开始至截止信息。</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显示器：</w:t>
            </w:r>
            <w:r>
              <w:rPr>
                <w:rFonts w:ascii="仿宋_GB2312" w:hAnsi="仿宋_GB2312" w:cs="仿宋_GB2312" w:eastAsia="仿宋_GB2312"/>
                <w:sz w:val="21"/>
              </w:rPr>
              <w:t>≥23.8英寸，显示屏分辨率≥1920*1080，宽屏16:9 LED背光IPS液晶显示器，VGA+HDMI1.4接口；背置1个三合一按钮，可一键调整显示器亮度、分辨率、音量；具备相应显示器寿命优化技术；显示器带有独立的密码保护功能（可防盗）；显示器外观颜色为：黑色/白色；显示屏屏占比≥80%，显示器支持防蓝光模式，显示屏低频闪≤-35dB；显示屏防眩目：显示屏镜面反射率≤10%。</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供应商须完全满足采购文件已经列明的技术参数与性能指标要求，未列明的须承诺完全满足</w:t>
            </w:r>
            <w:r>
              <w:rPr>
                <w:rFonts w:ascii="仿宋_GB2312" w:hAnsi="仿宋_GB2312" w:cs="仿宋_GB2312" w:eastAsia="仿宋_GB2312"/>
                <w:sz w:val="21"/>
              </w:rPr>
              <w:t>“关于印发《台式计算机政府采购需求标准（2023年版）》的通知（财库〔2023〕29号）--附件：台式计算机政府采购需求标准（2023年版）中带*技术参数与性能指标要求”；</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保修服务：主机和显示器原厂</w:t>
            </w:r>
            <w:r>
              <w:rPr>
                <w:rFonts w:ascii="仿宋_GB2312" w:hAnsi="仿宋_GB2312" w:cs="仿宋_GB2312" w:eastAsia="仿宋_GB2312"/>
                <w:sz w:val="21"/>
              </w:rPr>
              <w:t>3年保修及3年上门服务；</w:t>
            </w:r>
            <w:r>
              <w:rPr>
                <w:rFonts w:ascii="仿宋_GB2312" w:hAnsi="仿宋_GB2312" w:cs="仿宋_GB2312" w:eastAsia="仿宋_GB2312"/>
                <w:sz w:val="21"/>
              </w:rPr>
              <w:t>如</w:t>
            </w:r>
            <w:r>
              <w:rPr>
                <w:rFonts w:ascii="仿宋_GB2312" w:hAnsi="仿宋_GB2312" w:cs="仿宋_GB2312" w:eastAsia="仿宋_GB2312"/>
                <w:sz w:val="21"/>
              </w:rPr>
              <w:t>设备停产后应继续提供设备主要部件（主要部件</w:t>
            </w:r>
            <w:r>
              <w:rPr>
                <w:rFonts w:ascii="仿宋_GB2312" w:hAnsi="仿宋_GB2312" w:cs="仿宋_GB2312" w:eastAsia="仿宋_GB2312"/>
                <w:sz w:val="21"/>
              </w:rPr>
              <w:t>6年）质量保障服务（含备品备件），服务终止时间与最后一批设备交付时间间隔≥6年；</w:t>
            </w:r>
          </w:p>
          <w:p>
            <w:pPr>
              <w:pStyle w:val="null3"/>
              <w:jc w:val="both"/>
            </w:pPr>
          </w:p>
        </w:tc>
      </w:tr>
    </w:tbl>
    <w:p>
      <w:pPr>
        <w:pStyle w:val="null3"/>
        <w:jc w:val="left"/>
      </w:pPr>
      <w:r>
        <w:rPr>
          <w:rFonts w:ascii="仿宋_GB2312" w:hAnsi="仿宋_GB2312" w:cs="仿宋_GB2312" w:eastAsia="仿宋_GB2312"/>
        </w:rPr>
        <w:t>标的名称：台式工作站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台式工作站</w:t>
            </w:r>
          </w:p>
        </w:tc>
        <w:tc>
          <w:tcPr>
            <w:tcW w:type="dxa" w:w="5814"/>
          </w:tcPr>
          <w:p>
            <w:pPr>
              <w:pStyle w:val="null3"/>
              <w:jc w:val="left"/>
            </w:pPr>
            <w:r>
              <w:rPr>
                <w:rFonts w:ascii="仿宋_GB2312" w:hAnsi="仿宋_GB2312" w:cs="仿宋_GB2312" w:eastAsia="仿宋_GB2312"/>
                <w:sz w:val="21"/>
              </w:rPr>
              <w:t>1.芯片组：制程≤14nm，CPU插槽≥LGA 1200，内存类型≥DDR5，SATA接口：SATA III，SATA 6.0 Gb/秒端口数的最大值≥8，PCI-E信道≥24，RAID功能支持≥0，1，5，10，集成1000M自适应以太网卡，集成声卡，≥1个集成Intel千兆网卡；</w:t>
            </w:r>
          </w:p>
          <w:p>
            <w:pPr>
              <w:pStyle w:val="null3"/>
              <w:jc w:val="left"/>
            </w:pPr>
            <w:r>
              <w:rPr>
                <w:rFonts w:ascii="仿宋_GB2312" w:hAnsi="仿宋_GB2312" w:cs="仿宋_GB2312" w:eastAsia="仿宋_GB2312"/>
                <w:sz w:val="21"/>
              </w:rPr>
              <w:t>2.扩展插槽：≥1个PCIe 4 x16，≥2个PCIe x1，≥1个PCIe 4 x16，≥2个M.2 2280，≥1个M.2 2230；</w:t>
            </w:r>
          </w:p>
          <w:p>
            <w:pPr>
              <w:pStyle w:val="null3"/>
              <w:jc w:val="left"/>
            </w:pPr>
            <w:r>
              <w:rPr>
                <w:rFonts w:ascii="仿宋_GB2312" w:hAnsi="仿宋_GB2312" w:cs="仿宋_GB2312" w:eastAsia="仿宋_GB2312"/>
                <w:sz w:val="21"/>
              </w:rPr>
              <w:t>3.CPU规格：≥16核24线程处理器；基础频率≥2.10GHz，末级缓存≥30M；热设计功耗：≤65W；内存的最高速率：≥DDR5 5600MT/s；内存通道数：≥2；内存位宽：≥64位宽；</w:t>
            </w:r>
          </w:p>
          <w:p>
            <w:pPr>
              <w:pStyle w:val="null3"/>
              <w:jc w:val="left"/>
            </w:pPr>
            <w:r>
              <w:rPr>
                <w:rFonts w:ascii="仿宋_GB2312" w:hAnsi="仿宋_GB2312" w:cs="仿宋_GB2312" w:eastAsia="仿宋_GB2312"/>
                <w:sz w:val="21"/>
              </w:rPr>
              <w:t>4.内存：≥32 GB DDR5 4800 NEC内存，通道≥4个DIMM插槽；可升级到≥128GB内存容量；</w:t>
            </w:r>
          </w:p>
          <w:p>
            <w:pPr>
              <w:pStyle w:val="null3"/>
              <w:jc w:val="left"/>
            </w:pPr>
            <w:r>
              <w:rPr>
                <w:rFonts w:ascii="仿宋_GB2312" w:hAnsi="仿宋_GB2312" w:cs="仿宋_GB2312" w:eastAsia="仿宋_GB2312"/>
                <w:sz w:val="21"/>
              </w:rPr>
              <w:t>5.显卡：显卡性能≥T1000 ，显存容量≥4G；</w:t>
            </w:r>
          </w:p>
          <w:p>
            <w:pPr>
              <w:pStyle w:val="null3"/>
              <w:jc w:val="left"/>
            </w:pPr>
            <w:r>
              <w:rPr>
                <w:rFonts w:ascii="仿宋_GB2312" w:hAnsi="仿宋_GB2312" w:cs="仿宋_GB2312" w:eastAsia="仿宋_GB2312"/>
                <w:sz w:val="21"/>
              </w:rPr>
              <w:t>6.硬盘：≥512GB M.2 2280 PCIe NVME SSD，最大支持3个M.2 SSD硬盘槽位和3个3.5寸SATA硬盘槽位；</w:t>
            </w:r>
          </w:p>
          <w:p>
            <w:pPr>
              <w:pStyle w:val="null3"/>
              <w:jc w:val="left"/>
            </w:pPr>
            <w:r>
              <w:rPr>
                <w:rFonts w:ascii="仿宋_GB2312" w:hAnsi="仿宋_GB2312" w:cs="仿宋_GB2312" w:eastAsia="仿宋_GB2312"/>
                <w:sz w:val="21"/>
              </w:rPr>
              <w:t xml:space="preserve">7.输入设备：1套USB键盘鼠标；                                        </w:t>
            </w:r>
          </w:p>
          <w:p>
            <w:pPr>
              <w:pStyle w:val="null3"/>
              <w:jc w:val="left"/>
            </w:pPr>
            <w:r>
              <w:rPr>
                <w:rFonts w:ascii="仿宋_GB2312" w:hAnsi="仿宋_GB2312" w:cs="仿宋_GB2312" w:eastAsia="仿宋_GB2312"/>
                <w:sz w:val="21"/>
              </w:rPr>
              <w:t xml:space="preserve">8.网卡：主板集成1000M自适应以太网卡；                               </w:t>
            </w:r>
          </w:p>
          <w:p>
            <w:pPr>
              <w:pStyle w:val="null3"/>
              <w:jc w:val="left"/>
            </w:pPr>
            <w:r>
              <w:rPr>
                <w:rFonts w:ascii="仿宋_GB2312" w:hAnsi="仿宋_GB2312" w:cs="仿宋_GB2312" w:eastAsia="仿宋_GB2312"/>
                <w:sz w:val="21"/>
              </w:rPr>
              <w:t>9.机箱：容积≥16L；</w:t>
            </w:r>
          </w:p>
          <w:p>
            <w:pPr>
              <w:pStyle w:val="null3"/>
              <w:jc w:val="left"/>
            </w:pPr>
            <w:r>
              <w:rPr>
                <w:rFonts w:ascii="仿宋_GB2312" w:hAnsi="仿宋_GB2312" w:cs="仿宋_GB2312" w:eastAsia="仿宋_GB2312"/>
                <w:sz w:val="21"/>
              </w:rPr>
              <w:t>10.支持免工具即可访问系统主板和内存，具备系统中冷却风扇和多向风扇的散热技术；</w:t>
            </w:r>
          </w:p>
          <w:p>
            <w:pPr>
              <w:pStyle w:val="null3"/>
              <w:jc w:val="left"/>
            </w:pPr>
            <w:r>
              <w:rPr>
                <w:rFonts w:ascii="仿宋_GB2312" w:hAnsi="仿宋_GB2312" w:cs="仿宋_GB2312" w:eastAsia="仿宋_GB2312"/>
                <w:sz w:val="21"/>
              </w:rPr>
              <w:t>11.电源：≥550W；</w:t>
            </w:r>
          </w:p>
          <w:p>
            <w:pPr>
              <w:pStyle w:val="null3"/>
              <w:jc w:val="left"/>
            </w:pPr>
            <w:r>
              <w:rPr>
                <w:rFonts w:ascii="仿宋_GB2312" w:hAnsi="仿宋_GB2312" w:cs="仿宋_GB2312" w:eastAsia="仿宋_GB2312"/>
                <w:sz w:val="21"/>
              </w:rPr>
              <w:t xml:space="preserve">12.电源可支持配置桌面外接电源开关键；                              </w:t>
            </w:r>
          </w:p>
          <w:p>
            <w:pPr>
              <w:pStyle w:val="null3"/>
              <w:jc w:val="left"/>
            </w:pPr>
            <w:r>
              <w:rPr>
                <w:rFonts w:ascii="仿宋_GB2312" w:hAnsi="仿宋_GB2312" w:cs="仿宋_GB2312" w:eastAsia="仿宋_GB2312"/>
                <w:sz w:val="21"/>
              </w:rPr>
              <w:t>13.声卡：主板集成声卡；</w:t>
            </w:r>
          </w:p>
          <w:p>
            <w:pPr>
              <w:pStyle w:val="null3"/>
              <w:jc w:val="left"/>
            </w:pPr>
            <w:r>
              <w:rPr>
                <w:rFonts w:ascii="仿宋_GB2312" w:hAnsi="仿宋_GB2312" w:cs="仿宋_GB2312" w:eastAsia="仿宋_GB2312"/>
                <w:sz w:val="21"/>
              </w:rPr>
              <w:t>14.外部端口：前置接口：≥1个SuperSpeed USB Type-C 20Gbps 信率端口（1个充电端口）；≥4个SuperSpeed USB Type-A 10Gbps 信率端口（1 个充电端口）；≥1个通用音频插孔 后置接口：≥1个音频输出；≥1个电源接口；≥1个RJ-45；≥2个DisplayPort；≥3 个USB Type-A 480Mbps 信率端口；≥3个SuperSpeed USB Type-A 5Gbps 信率端口；</w:t>
            </w:r>
          </w:p>
          <w:p>
            <w:pPr>
              <w:pStyle w:val="null3"/>
              <w:jc w:val="left"/>
            </w:pPr>
            <w:r>
              <w:rPr>
                <w:rFonts w:ascii="仿宋_GB2312" w:hAnsi="仿宋_GB2312" w:cs="仿宋_GB2312" w:eastAsia="仿宋_GB2312"/>
                <w:sz w:val="21"/>
              </w:rPr>
              <w:t>15.网络同传：出厂自带BIOS版还原卡，支持系统自动原、同时支持GPT分区和MBR分区、自动修改IP和计算机名、硬盘保护、网络同传、增量拷贝、断点续传、远程唤醒、远程重启、远程锁定、远程关机、千兆网络传输速度最大可以达到7GB/分钟或以上（百兆网络平均传输速度2.5GB/分钟或以上）、支持多硬盘、可以从底层控制U盘和光驱设备的使用；支持数据传输加密功能；</w:t>
            </w:r>
          </w:p>
          <w:p>
            <w:pPr>
              <w:pStyle w:val="null3"/>
              <w:jc w:val="left"/>
            </w:pPr>
            <w:r>
              <w:rPr>
                <w:rFonts w:ascii="仿宋_GB2312" w:hAnsi="仿宋_GB2312" w:cs="仿宋_GB2312" w:eastAsia="仿宋_GB2312"/>
                <w:sz w:val="21"/>
              </w:rPr>
              <w:t>16.操作系统：随机预装正版操作系统；</w:t>
            </w:r>
          </w:p>
          <w:p>
            <w:pPr>
              <w:pStyle w:val="null3"/>
              <w:jc w:val="left"/>
            </w:pPr>
            <w:r>
              <w:rPr>
                <w:rFonts w:ascii="仿宋_GB2312" w:hAnsi="仿宋_GB2312" w:cs="仿宋_GB2312" w:eastAsia="仿宋_GB2312"/>
                <w:sz w:val="21"/>
              </w:rPr>
              <w:t>17.显示器≥23.8寸 2K显示器(23.8"宽屏16:9 LD背光IPS液晶显示器,2HDMI 1.4,DP1.2接口, HDMI线统, 250 nits,1000:1,5ms，75Hz，2560*1440,可视角度为水平 178度/垂直178度,75x75壁挂标准)</w:t>
            </w:r>
          </w:p>
          <w:p>
            <w:pPr>
              <w:pStyle w:val="null3"/>
              <w:jc w:val="left"/>
            </w:pPr>
            <w:r>
              <w:rPr>
                <w:rFonts w:ascii="仿宋_GB2312" w:hAnsi="仿宋_GB2312" w:cs="仿宋_GB2312" w:eastAsia="仿宋_GB2312"/>
                <w:sz w:val="21"/>
              </w:rPr>
              <w:t>18. 供应商须完全满足采购文件已经列明的技术参数与性能指标要求，未列明的须承诺完全满足“关于印发《工作站政府采购需求标准（2023 年版）》的通知--附件：工作站政府采购需求标准（2023 年版）中带*技术参数与性能指标要求”；</w:t>
            </w:r>
          </w:p>
          <w:p>
            <w:pPr>
              <w:pStyle w:val="null3"/>
              <w:jc w:val="left"/>
            </w:pPr>
            <w:r>
              <w:rPr>
                <w:rFonts w:ascii="仿宋_GB2312" w:hAnsi="仿宋_GB2312" w:cs="仿宋_GB2312" w:eastAsia="仿宋_GB2312"/>
                <w:sz w:val="21"/>
              </w:rPr>
              <w:t>19.提供中文版性能优化软件,支持不少于15个ISV厂商，专业显卡驱动自动依据ISV应用匹配，系统 BIOS自动依据ISV应用优化设置，超过100个主流DCC/CAD/CAE/GIS应用，有优化 Autodesk 3Ds Max、photoshop、ANSYS、CATIA软件的选项；</w:t>
            </w:r>
          </w:p>
          <w:p>
            <w:pPr>
              <w:pStyle w:val="null3"/>
              <w:jc w:val="left"/>
            </w:pPr>
            <w:r>
              <w:rPr>
                <w:rFonts w:ascii="仿宋_GB2312" w:hAnsi="仿宋_GB2312" w:cs="仿宋_GB2312" w:eastAsia="仿宋_GB2312"/>
                <w:sz w:val="21"/>
              </w:rPr>
              <w:t>20.预装图形工作站管理系统软件，可实现：（1）硬件主要参数检测；（2）系统垃圾清理；（3）病毒查杀；（4）原厂驱动更新；（5）网络测速；网络诊断； （6）自动识别品牌型号，自动识别序列号，自动识别保修开始至截止信息；</w:t>
            </w:r>
          </w:p>
          <w:p>
            <w:pPr>
              <w:pStyle w:val="null3"/>
              <w:jc w:val="left"/>
            </w:pPr>
            <w:r>
              <w:rPr>
                <w:rFonts w:ascii="仿宋_GB2312" w:hAnsi="仿宋_GB2312" w:cs="仿宋_GB2312" w:eastAsia="仿宋_GB2312"/>
                <w:sz w:val="21"/>
              </w:rPr>
              <w:t>21.安全管理软件：(1)支持对终端主机的CPU、内存、磁盘读写、网络上下行流量达到配置阈值时告警。当主机的CPU、内存达到一定阈值时客户端自动进行熔断；(2)支持从资产视角和病毒视角展示病毒查杀概况，并对病毒进行处理；(3)提供专门的针对未知勒索病毒的行为检测防御引擎，基于异常行为分析对于未知勒索病毒进行发现和阻断；(4)自动识别并拦截终端上的广告弹窗，至少覆盖输入法、压缩类、杀毒软件、视频播放、浏览器、游戏助手、模拟器、装机下载、桌面管理、办公学习、聊天通讯、图片编辑、网络工具类软件、≥100款软件+B1，≥500种广告弹窗；(5)支持通过集中管理平台统一对全网的软件系统进行统一管理，并能够一键设置客户端卸载密码、一键卸载客户端、一键停止/启动防护、一键关闭/重启/锁定主机、一键重启客户端、一键迁移、一键导出终端调试日志；（6）支持电子教室功能，可实现屏幕广播、共享白板、网络影院、语音广播、语音对讲、分组教学、分组讨论、作业提交、网络快照、抢答竞赛、随堂考试功能。</w:t>
            </w:r>
          </w:p>
          <w:p>
            <w:pPr>
              <w:pStyle w:val="null3"/>
              <w:jc w:val="both"/>
            </w:pPr>
            <w:r>
              <w:rPr>
                <w:rFonts w:ascii="仿宋_GB2312" w:hAnsi="仿宋_GB2312" w:cs="仿宋_GB2312" w:eastAsia="仿宋_GB2312"/>
                <w:sz w:val="21"/>
              </w:rPr>
              <w:t>22.保修服务：主机和显示器原厂3年保修及3年上门服务；设备停产后应继续提供设备主要部件（主要部件6年）质量保障服务（含备品备件），服务终止时间与最后一批设备交付时间间隔≥6年；</w:t>
            </w:r>
          </w:p>
        </w:tc>
      </w:tr>
    </w:tbl>
    <w:p>
      <w:pPr>
        <w:pStyle w:val="null3"/>
        <w:jc w:val="left"/>
      </w:pPr>
      <w:r>
        <w:rPr>
          <w:rFonts w:ascii="仿宋_GB2312" w:hAnsi="仿宋_GB2312" w:cs="仿宋_GB2312" w:eastAsia="仿宋_GB2312"/>
        </w:rPr>
        <w:t>标的名称：国产台式电脑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国产台式电脑</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CPU规格：配置一颗八核心处理器、核心主频≥2.7GHz、末级缓存容量≥8MB、热设计功耗≤70W、通道数≥2、位宽≥64位；</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内存：配置</w:t>
            </w:r>
            <w:r>
              <w:rPr>
                <w:rFonts w:ascii="仿宋_GB2312" w:hAnsi="仿宋_GB2312" w:cs="仿宋_GB2312" w:eastAsia="仿宋_GB2312"/>
                <w:sz w:val="21"/>
              </w:rPr>
              <w:t xml:space="preserve">≥8GB DDR4 UDIMM内存，配置≥2个内存插槽；                             </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显卡：集成显卡；支持</w:t>
            </w:r>
            <w:r>
              <w:rPr>
                <w:rFonts w:ascii="仿宋_GB2312" w:hAnsi="仿宋_GB2312" w:cs="仿宋_GB2312" w:eastAsia="仿宋_GB2312"/>
                <w:sz w:val="21"/>
              </w:rPr>
              <w:t xml:space="preserve">3D图形加速，可达4K分辨率；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≥512GB M.2接口NVME协议SSD，最高可支持1TB SSD，最大支持2块3.5英寸机械硬盘扩展，单块容量最大2T；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网口：</w:t>
            </w:r>
            <w:r>
              <w:rPr>
                <w:rFonts w:ascii="仿宋_GB2312" w:hAnsi="仿宋_GB2312" w:cs="仿宋_GB2312" w:eastAsia="仿宋_GB2312"/>
                <w:sz w:val="21"/>
              </w:rPr>
              <w:t xml:space="preserve">1个RJ45 10/100/1000自适应以太网口。                                       </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接口：</w:t>
            </w:r>
            <w:r>
              <w:rPr>
                <w:rFonts w:ascii="仿宋_GB2312" w:hAnsi="仿宋_GB2312" w:cs="仿宋_GB2312" w:eastAsia="仿宋_GB2312"/>
                <w:sz w:val="21"/>
              </w:rPr>
              <w:t>USB接口≥8个（其中前置USB3.0数量≥4个，后置USB3.0数量≥2个，USB2.0数量≥2个）；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 xml:space="preserve">PCIe扩展：PCIe插槽≥3个（其中1个PCIe x16，2个PCIe x1扩展槽）；                  </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机箱：机箱</w:t>
            </w:r>
            <w:r>
              <w:rPr>
                <w:rFonts w:ascii="仿宋_GB2312" w:hAnsi="仿宋_GB2312" w:cs="仿宋_GB2312" w:eastAsia="仿宋_GB2312"/>
                <w:sz w:val="21"/>
              </w:rPr>
              <w:t xml:space="preserve">≤18L，免工具拆卸机箱、带顶置提手，便于维护；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电源：电源功率</w:t>
            </w:r>
            <w:r>
              <w:rPr>
                <w:rFonts w:ascii="仿宋_GB2312" w:hAnsi="仿宋_GB2312" w:cs="仿宋_GB2312" w:eastAsia="仿宋_GB2312"/>
                <w:sz w:val="21"/>
              </w:rPr>
              <w:t xml:space="preserve">≤180W；电源通过80PLUS认证；                                     </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键鼠：</w:t>
            </w:r>
            <w:r>
              <w:rPr>
                <w:rFonts w:ascii="仿宋_GB2312" w:hAnsi="仿宋_GB2312" w:cs="仿宋_GB2312" w:eastAsia="仿宋_GB2312"/>
                <w:sz w:val="21"/>
              </w:rPr>
              <w:t xml:space="preserve">USB有线键盘鼠标；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显示器：与主机同品牌，</w:t>
            </w:r>
            <w:r>
              <w:rPr>
                <w:rFonts w:ascii="仿宋_GB2312" w:hAnsi="仿宋_GB2312" w:cs="仿宋_GB2312" w:eastAsia="仿宋_GB2312"/>
                <w:sz w:val="21"/>
              </w:rPr>
              <w:t xml:space="preserve">≥23.8寸LED显示器；分辨率≥1920*1080，刷新频率≥75Hz，对比度≥3000:1，响应时间≤4ms，视频接口VGA+HDMI。                                     </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正版国产操作系统；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供应商须完全满足采购文件已经列明的技术参数与性能指标要求，未列明的须承诺完全满足</w:t>
            </w:r>
            <w:r>
              <w:rPr>
                <w:rFonts w:ascii="仿宋_GB2312" w:hAnsi="仿宋_GB2312" w:cs="仿宋_GB2312" w:eastAsia="仿宋_GB2312"/>
                <w:sz w:val="21"/>
              </w:rPr>
              <w:t>“关于印发《台式计算机政府采购需求标准（2023年版）》的通知（财库〔2023〕29号）--附件：台式计算机政府采购需求标准（2023年版）中带*技术参数与性能指标要求”；</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保修服务：主机和显示器原厂</w:t>
            </w:r>
            <w:r>
              <w:rPr>
                <w:rFonts w:ascii="仿宋_GB2312" w:hAnsi="仿宋_GB2312" w:cs="仿宋_GB2312" w:eastAsia="仿宋_GB2312"/>
                <w:sz w:val="21"/>
              </w:rPr>
              <w:t>3年保修及3年上门服务；</w:t>
            </w:r>
          </w:p>
        </w:tc>
      </w:tr>
    </w:tbl>
    <w:p>
      <w:pPr>
        <w:pStyle w:val="null3"/>
        <w:jc w:val="left"/>
      </w:pPr>
      <w:r>
        <w:rPr>
          <w:rFonts w:ascii="仿宋_GB2312" w:hAnsi="仿宋_GB2312" w:cs="仿宋_GB2312" w:eastAsia="仿宋_GB2312"/>
        </w:rPr>
        <w:t>标的名称：定制学生电脑桌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定制学生电脑桌</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1400*700*760</w:t>
            </w:r>
            <w:r>
              <w:rPr>
                <w:rFonts w:ascii="仿宋_GB2312" w:hAnsi="仿宋_GB2312" w:cs="仿宋_GB2312" w:eastAsia="仿宋_GB2312"/>
                <w:sz w:val="21"/>
              </w:rPr>
              <w:t>~</w:t>
            </w:r>
            <w:r>
              <w:rPr>
                <w:rFonts w:ascii="仿宋_GB2312" w:hAnsi="仿宋_GB2312" w:cs="仿宋_GB2312" w:eastAsia="仿宋_GB2312"/>
                <w:sz w:val="21"/>
              </w:rPr>
              <w:t>1100mm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760~1100mm根据实训室实际尺度测量后定制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桌面采用</w:t>
            </w:r>
            <w:r>
              <w:rPr>
                <w:rFonts w:ascii="仿宋_GB2312" w:hAnsi="仿宋_GB2312" w:cs="仿宋_GB2312" w:eastAsia="仿宋_GB2312"/>
                <w:sz w:val="21"/>
              </w:rPr>
              <w:t>25mm厚E1级实木颗粒三聚氰胺饰面板，其他采用18mm优质实木颗粒三聚氰胺饰面板，实木颗粒板符合GB/T4897-2015、HJ571-2010、GB18580-2017的检测依据，板内密度偏差-10%~10%合格符合要求，基材实木颗粒板合格符合要求，含水率3%-13%合格符合要求，吸水厚度膨胀率≤1.5%, 静曲强度≥25MPa，弹性模量≥2200MPa，内胶合强度≥0.38MPa，表面胶合强度≥0.95MPa，握螺钉力；板面≥1165N、板边≥723N，甲醛释放限量E1未检出，产品总会发性有机化合物（TVOC)的释放率（72h）未检出，外观质量；不允许有断痕、透裂、肉眼不允许有压痕、在公称尺寸内不允许有边角残损合格符合要求。橡木纹颜色。</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同色</w:t>
            </w:r>
            <w:r>
              <w:rPr>
                <w:rFonts w:ascii="仿宋_GB2312" w:hAnsi="仿宋_GB2312" w:cs="仿宋_GB2312" w:eastAsia="仿宋_GB2312"/>
                <w:sz w:val="21"/>
              </w:rPr>
              <w:t>PVC 封边带封边，采用PVC封边条经自动封边机在180摄氏度高温下热熔封边，与板材熔为一体，黏结牢固可靠。封标条未检出钡（Ba）、铅(Pb）、汞（Hg）、镉（Cd）、铬（Cr）、砷（As）、 砷（As）、锑（Sb）、硒（Se）等元素，未检出邻苯二甲酸脂，甲醛释放量≤0.1mg/L。</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桌架采用</w:t>
            </w:r>
            <w:r>
              <w:rPr>
                <w:rFonts w:ascii="仿宋_GB2312" w:hAnsi="仿宋_GB2312" w:cs="仿宋_GB2312" w:eastAsia="仿宋_GB2312"/>
                <w:sz w:val="21"/>
              </w:rPr>
              <w:t>50*50*1.2mm</w:t>
            </w:r>
            <w:r>
              <w:rPr>
                <w:rFonts w:ascii="仿宋_GB2312" w:hAnsi="仿宋_GB2312" w:cs="仿宋_GB2312" w:eastAsia="仿宋_GB2312"/>
                <w:sz w:val="21"/>
              </w:rPr>
              <w:t>（</w:t>
            </w:r>
            <w:r>
              <w:rPr>
                <w:rFonts w:ascii="仿宋_GB2312" w:hAnsi="仿宋_GB2312" w:cs="仿宋_GB2312" w:eastAsia="仿宋_GB2312"/>
                <w:sz w:val="21"/>
              </w:rPr>
              <w:t>±0.05mm</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方管</w:t>
            </w:r>
            <w:r>
              <w:rPr>
                <w:rFonts w:ascii="仿宋_GB2312" w:hAnsi="仿宋_GB2312" w:cs="仿宋_GB2312" w:eastAsia="仿宋_GB2312"/>
                <w:sz w:val="21"/>
              </w:rPr>
              <w:t>,抛完喷塑处理;五金配件，采用锌合金三合一链接件，耐腐蚀等级中性盐雾试验（NSS)；连续喷雾48h：镀层本身的耐腐蚀等级≥10级合格符合要求、镀层对基体的保护等级≥10级合格符合要求，扭矩≥14N·m，锁紧角度；三合一偏心连接件的偏心体与连接螺杆的锁紧角度应在150 °-190 ° 范围内合格符合要求，抗压强度≥380N，金属件外观；表面应无剥落、返绣、毛刺合格符合要求，表面应无烧焦、起泡、针孔、裂纹、花斑（不包括镀彩锌）和划痕合格符合要求，检测依据符合QB/T3826-</w:t>
            </w:r>
            <w:r>
              <w:rPr>
                <w:rFonts w:ascii="仿宋_GB2312" w:hAnsi="仿宋_GB2312" w:cs="仿宋_GB2312" w:eastAsia="仿宋_GB2312"/>
                <w:sz w:val="21"/>
                <w:color w:val="0000FF"/>
              </w:rPr>
              <w:t>1999</w:t>
            </w:r>
            <w:r>
              <w:rPr>
                <w:rFonts w:ascii="仿宋_GB2312" w:hAnsi="仿宋_GB2312" w:cs="仿宋_GB2312" w:eastAsia="仿宋_GB2312"/>
                <w:sz w:val="21"/>
              </w:rPr>
              <w:t>、</w:t>
            </w:r>
            <w:r>
              <w:rPr>
                <w:rFonts w:ascii="仿宋_GB2312" w:hAnsi="仿宋_GB2312" w:cs="仿宋_GB2312" w:eastAsia="仿宋_GB2312"/>
                <w:sz w:val="21"/>
              </w:rPr>
              <w:t>GB/T28203-2011。</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通过台面板下预设的过线孔通至台面上安置插座盖</w:t>
            </w:r>
            <w:r>
              <w:rPr>
                <w:rFonts w:ascii="仿宋_GB2312" w:hAnsi="仿宋_GB2312" w:cs="仿宋_GB2312" w:eastAsia="仿宋_GB2312"/>
                <w:sz w:val="21"/>
              </w:rPr>
              <w:t>,使用方便灵活。</w:t>
            </w:r>
          </w:p>
          <w:p>
            <w:pPr>
              <w:pStyle w:val="null3"/>
              <w:jc w:val="both"/>
            </w:pPr>
          </w:p>
        </w:tc>
      </w:tr>
    </w:tbl>
    <w:p>
      <w:pPr>
        <w:pStyle w:val="null3"/>
        <w:jc w:val="left"/>
      </w:pPr>
      <w:r>
        <w:rPr>
          <w:rFonts w:ascii="仿宋_GB2312" w:hAnsi="仿宋_GB2312" w:cs="仿宋_GB2312" w:eastAsia="仿宋_GB2312"/>
        </w:rPr>
        <w:t>标的名称：定制方凳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定制方凳</w:t>
            </w:r>
          </w:p>
        </w:tc>
        <w:tc>
          <w:tcPr>
            <w:tcW w:type="dxa" w:w="5814"/>
          </w:tcPr>
          <w:p>
            <w:pPr>
              <w:pStyle w:val="null3"/>
              <w:jc w:val="left"/>
            </w:pPr>
            <w:r>
              <w:rPr>
                <w:rFonts w:ascii="仿宋_GB2312" w:hAnsi="仿宋_GB2312" w:cs="仿宋_GB2312" w:eastAsia="仿宋_GB2312"/>
                <w:sz w:val="21"/>
              </w:rPr>
              <w:t>1.钢架结构，规格尺寸:340*240*420mm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2.凳面:材质采用25mm厚E1级实木颗粒三聚氰胺饰面板;暴露断面封边采用的 PVC 同色封条；</w:t>
            </w:r>
          </w:p>
          <w:p>
            <w:pPr>
              <w:pStyle w:val="null3"/>
              <w:jc w:val="left"/>
            </w:pPr>
            <w:r>
              <w:rPr>
                <w:rFonts w:ascii="仿宋_GB2312" w:hAnsi="仿宋_GB2312" w:cs="仿宋_GB2312" w:eastAsia="仿宋_GB2312"/>
                <w:sz w:val="21"/>
              </w:rPr>
              <w:t xml:space="preserve">3.凳架采用30*30*1.2mm </w:t>
            </w:r>
            <w:r>
              <w:rPr>
                <w:rFonts w:ascii="仿宋_GB2312" w:hAnsi="仿宋_GB2312" w:cs="仿宋_GB2312" w:eastAsia="仿宋_GB2312"/>
                <w:sz w:val="21"/>
              </w:rPr>
              <w:t>（</w:t>
            </w:r>
            <w:r>
              <w:rPr>
                <w:rFonts w:ascii="仿宋_GB2312" w:hAnsi="仿宋_GB2312" w:cs="仿宋_GB2312" w:eastAsia="仿宋_GB2312"/>
                <w:sz w:val="21"/>
              </w:rPr>
              <w:t>±0.05mm</w:t>
            </w:r>
            <w:r>
              <w:rPr>
                <w:rFonts w:ascii="仿宋_GB2312" w:hAnsi="仿宋_GB2312" w:cs="仿宋_GB2312" w:eastAsia="仿宋_GB2312"/>
                <w:sz w:val="21"/>
              </w:rPr>
              <w:t>）</w:t>
            </w:r>
            <w:r>
              <w:rPr>
                <w:rFonts w:ascii="仿宋_GB2312" w:hAnsi="仿宋_GB2312" w:cs="仿宋_GB2312" w:eastAsia="仿宋_GB2312"/>
                <w:sz w:val="21"/>
              </w:rPr>
              <w:t>方管</w:t>
            </w:r>
            <w:r>
              <w:rPr>
                <w:rFonts w:ascii="仿宋_GB2312" w:hAnsi="仿宋_GB2312" w:cs="仿宋_GB2312" w:eastAsia="仿宋_GB2312"/>
                <w:sz w:val="21"/>
              </w:rPr>
              <w:t>;着地部位有防滑胶套，凳架表面作抛丸、喷塑处理。</w:t>
            </w:r>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系统集成</w:t>
            </w:r>
          </w:p>
        </w:tc>
        <w:tc>
          <w:tcPr>
            <w:tcW w:type="dxa" w:w="5814"/>
          </w:tcPr>
          <w:p>
            <w:pPr>
              <w:pStyle w:val="null3"/>
              <w:jc w:val="both"/>
            </w:pPr>
            <w:r>
              <w:rPr>
                <w:rFonts w:ascii="仿宋_GB2312" w:hAnsi="仿宋_GB2312" w:cs="仿宋_GB2312" w:eastAsia="仿宋_GB2312"/>
                <w:sz w:val="22"/>
              </w:rPr>
              <w:t>供应商提供所有产品的安装、调试服务，包含机房电源及网络综合布线(包括电源线、网线、排插及安装所需所有辅助材料）。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2"/>
              </w:rPr>
              <w:t>1、供应商须提供全新的货物（含零部件、配件等），表面无划伤、无碰撞痕迹，且权属清楚，不得侵害他人的知识产权。</w:t>
            </w:r>
          </w:p>
          <w:p>
            <w:pPr>
              <w:pStyle w:val="null3"/>
              <w:jc w:val="both"/>
            </w:pPr>
            <w:r>
              <w:rPr>
                <w:rFonts w:ascii="仿宋_GB2312" w:hAnsi="仿宋_GB2312" w:cs="仿宋_GB2312" w:eastAsia="仿宋_GB2312"/>
                <w:sz w:val="22"/>
              </w:rPr>
              <w:t>2、货物必须符合或优于国家及行业标准，以及本项目谈判文件的质量要求和技术指标与出厂标准。</w:t>
            </w:r>
          </w:p>
          <w:p>
            <w:pPr>
              <w:pStyle w:val="null3"/>
              <w:jc w:val="both"/>
            </w:pPr>
            <w:r>
              <w:rPr>
                <w:rFonts w:ascii="仿宋_GB2312" w:hAnsi="仿宋_GB2312" w:cs="仿宋_GB2312" w:eastAsia="仿宋_GB2312"/>
                <w:sz w:val="22"/>
              </w:rPr>
              <w:t>3、质保期内货物制造质量出现问题，成交供应商应负责三包（包修、包换、包退），费用由成交供应商负担。</w:t>
            </w:r>
          </w:p>
          <w:p>
            <w:pPr>
              <w:pStyle w:val="null3"/>
              <w:jc w:val="left"/>
            </w:pPr>
            <w:r>
              <w:rPr>
                <w:rFonts w:ascii="仿宋_GB2312" w:hAnsi="仿宋_GB2312" w:cs="仿宋_GB2312" w:eastAsia="仿宋_GB2312"/>
                <w:sz w:val="22"/>
              </w:rPr>
              <w:t>4、货到现场后交付采购人使用前由于成交供应商运输、装卸、保管不当造成的质量问题，由成交供应商负责修理，并承担相应费用。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安装调试要求</w:t>
            </w:r>
          </w:p>
        </w:tc>
        <w:tc>
          <w:tcPr>
            <w:tcW w:type="dxa" w:w="5814"/>
          </w:tcPr>
          <w:p>
            <w:pPr>
              <w:pStyle w:val="null3"/>
              <w:jc w:val="both"/>
            </w:pPr>
            <w:r>
              <w:rPr>
                <w:rFonts w:ascii="仿宋_GB2312" w:hAnsi="仿宋_GB2312" w:cs="仿宋_GB2312" w:eastAsia="仿宋_GB2312"/>
                <w:sz w:val="22"/>
              </w:rPr>
              <w:t>1、供应商负责产品的安装、调试，直至采购人能正常使用，所需的一切材料、备件、专业工具均由供应商负责提供。货物到达生产现场后，供应商接到采购人通知后2日内到达现场组织安装、调试，达到正常运行要求，保证采购人正常使用。所涉及的价格包括在报价总价格中。</w:t>
            </w:r>
          </w:p>
          <w:p>
            <w:pPr>
              <w:pStyle w:val="null3"/>
              <w:jc w:val="left"/>
            </w:pPr>
            <w:r>
              <w:rPr>
                <w:rFonts w:ascii="仿宋_GB2312" w:hAnsi="仿宋_GB2312" w:cs="仿宋_GB2312" w:eastAsia="仿宋_GB2312"/>
                <w:sz w:val="22"/>
              </w:rPr>
              <w:t>2、供应商应就产品的安装、调试、操作、维修、保养等对采购人使用人员进行培训。产品安装调试完毕后，供应商应对采购人使用人员进行现场培训，直至采购人的使用人员能独立操作，同时能完成一般常见故障的维修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安全责任要求</w:t>
            </w:r>
          </w:p>
        </w:tc>
        <w:tc>
          <w:tcPr>
            <w:tcW w:type="dxa" w:w="5814"/>
          </w:tcPr>
          <w:p>
            <w:pPr>
              <w:pStyle w:val="null3"/>
              <w:jc w:val="left"/>
            </w:pPr>
            <w:r>
              <w:rPr>
                <w:rFonts w:ascii="仿宋_GB2312" w:hAnsi="仿宋_GB2312" w:cs="仿宋_GB2312" w:eastAsia="仿宋_GB2312"/>
                <w:sz w:val="22"/>
              </w:rPr>
              <w:t>1、在合同履约过程中由于供应商或其工作人员原因出现的给他人或自身造成伤害的安全责任(含事故)均由供应商自行承担相应责任。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合同签订之日起30日历天内交货、完成安装，并保证设备的正常使用。</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四川省乐山市第一职业高级中学（乐山市中区苏稽新区青峰路199号）。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1、经采购人验收合格且财政资金到达采购人账户后，采购人收到成交供应商开具有效的税务发票，达到付款条件起30日内，支付合同总金额的100.00%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根据本项目采购文件第二章2.6.6.履约验收方案要求执行。</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1、质保期：为验收合格之日起整体质保3年，如货物制造商质保期大于3年，则该货物的质保期按照货物制造商的质保期执行。 2、质保期内出现质量问题，供应商在接到通知后2小时内响应，8小时内进场维修，48小时内完成维修或更换。 3、其他按照国家相关规定及货物制造商质保期提供的产品质保条例执行。</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（1）质量瑕疵的违约责任 成交供应商提供的产品不符合合同约定的质量标准或存在产品质量缺陷，采购人有权要求成交供应商及时修理、重作、更换，并承担由此给采购人造成的损失。 （2）迟延交货的违约责任 ①成交供应商应按照本合同规定的时间、地点交货和提供相关服务。在履行合同过程中，如果成交供应商遇到可能影响按时交货和提供服务的情形时，应及时以书面形式将迟延的事实、可能迟延的期限和理由通知采购人。采购人在收到成交供应商通知后，应尽快对情况进行评价，并确定是否同意延长交货时间或延期提供服务。 ②如果成交供应商没有按照合同规定的时间交货和提供相关服务，采购人有权从货款中扣除误期赔偿费而不影响合同项下的其他补救方法，赔偿费按合同金额的20%扣除。如果涉及公共利益，且赔偿金额无法弥补公共利益损失，采购人可要求继续履行或者采取其他补救措施。 2、解决争议的方法 因履行合同所发生的一切争议，双方应友好协商解决，协商不成的，按下列第（2）种方式解决： （1）提交仲裁委员会仲裁，仲裁裁决为终局裁决； （2）双方均同意向采购人所在地人民法院提起诉讼，涉及诉讼费用等均由败诉方承担。</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除标注</w:t>
      </w:r>
      <w:r>
        <w:rPr>
          <w:rFonts w:ascii="仿宋_GB2312" w:hAnsi="仿宋_GB2312" w:cs="仿宋_GB2312" w:eastAsia="仿宋_GB2312"/>
          <w:sz w:val="21"/>
        </w:rPr>
        <w:t>“★”的实质性要求以外的内容，根据采购人项目实际需求可进行谈判。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采购文件中除标注</w:t>
      </w:r>
      <w:r>
        <w:rPr>
          <w:rFonts w:ascii="仿宋_GB2312" w:hAnsi="仿宋_GB2312" w:cs="仿宋_GB2312" w:eastAsia="仿宋_GB2312"/>
          <w:sz w:val="21"/>
        </w:rPr>
        <w:t>“★”的实质性要求以外的内容，根据采购人项目实际需求可进行谈判。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不正当竞争（实质性要求）</w:t>
            </w:r>
          </w:p>
        </w:tc>
        <w:tc>
          <w:tcPr>
            <w:tcW w:type="dxa" w:w="3322"/>
          </w:tcPr>
          <w:p>
            <w:pPr>
              <w:pStyle w:val="null3"/>
              <w:jc w:val="left"/>
            </w:pPr>
            <w:r>
              <w:rPr>
                <w:rFonts w:ascii="仿宋_GB2312" w:hAnsi="仿宋_GB2312" w:cs="仿宋_GB2312" w:eastAsia="仿宋_GB2312"/>
              </w:rPr>
              <w:t>在评审过程中，谈判小组认为供应商响应报价符合采购文件规定的异常低价的情形，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技术参数要求响应</w:t>
            </w:r>
          </w:p>
        </w:tc>
        <w:tc>
          <w:tcPr>
            <w:tcW w:type="dxa" w:w="3322"/>
          </w:tcPr>
          <w:p>
            <w:pPr>
              <w:pStyle w:val="null3"/>
              <w:jc w:val="left"/>
            </w:pPr>
            <w:r>
              <w:rPr>
                <w:rFonts w:ascii="仿宋_GB2312" w:hAnsi="仿宋_GB2312" w:cs="仿宋_GB2312" w:eastAsia="仿宋_GB2312"/>
              </w:rPr>
              <w:t>1、供应商须把采购文件第三章“3.2技术要求”的全部内容按顺序对应列入《技术要求应答表》进行应答（其中技术要求中的“注”可不作文字响应）。标注有“★”的参数为实质性要求，谈判前不满足或有负偏离的，响应文件作无效处理。 2、技术要求中要求提供证明材料的，供应商需按要求提供，证明材料可作为《技术要求应答表》附件附后，格式自拟。 3、响应文件及相关的证明材料须加盖供应商电子印章。</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1、供应商须对采购文件第三章“3.3服务要求”的全部内容按顺序对应列入《商务要求应答表》进行应答。标注有“★”的内容为实质性要求，谈判前未响应或有负偏离的，作无效处理；2、采购文件如有要求提供证明材料的，供应商需按要求提供，可作为《商务要求应答表》附件附后，格式自拟。 3、响应文件及相关的证明材料须加盖供应商电子印章。</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强制采购节能产品响应</w:t>
            </w:r>
          </w:p>
        </w:tc>
        <w:tc>
          <w:tcPr>
            <w:tcW w:type="dxa" w:w="3322"/>
          </w:tcPr>
          <w:p>
            <w:pPr>
              <w:pStyle w:val="null3"/>
              <w:jc w:val="left"/>
            </w:pPr>
            <w:r>
              <w:rPr>
                <w:rFonts w:ascii="仿宋_GB2312" w:hAnsi="仿宋_GB2312" w:cs="仿宋_GB2312" w:eastAsia="仿宋_GB2312"/>
              </w:rPr>
              <w:t>采购文件第三章“3.1采购内容”中，列为强制采购的节能产品，供应商应当提供由国家确定的认证机构出具的、处于有效期之内的节能产品认证证书的原件扫描件或“全国认证认可信息公共服务平台”http://cx.cnca.cn）的认证信息截图（所有证明材料须加盖供应商电子印章）。未提供或提供的材料不符合要求的作无效投标处理。</w:t>
            </w:r>
          </w:p>
        </w:tc>
        <w:tc>
          <w:tcPr>
            <w:tcW w:type="dxa" w:w="1661"/>
          </w:tcPr>
          <w:p>
            <w:pPr>
              <w:pStyle w:val="null3"/>
              <w:jc w:val="left"/>
            </w:pPr>
            <w:r>
              <w:rPr>
                <w:rFonts w:ascii="仿宋_GB2312" w:hAnsi="仿宋_GB2312" w:cs="仿宋_GB2312" w:eastAsia="仿宋_GB2312"/>
              </w:rPr>
              <w:t>强制节能产品证明材料.docx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评审价格=最后报价。【特别提示：供应商在最后报价时，需重新上传调整后的《报价明细表》】</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优先采购的环境标志产品证明材料.docx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详见附件：强制节能产品证明材料.docx</w:t>
      </w:r>
    </w:p>
    <w:p>
      <w:pPr>
        <w:pStyle w:val="null3"/>
        <w:ind w:firstLine="960"/>
        <w:jc w:val="left"/>
      </w:pPr>
      <w:r>
        <w:rPr>
          <w:rFonts w:ascii="仿宋_GB2312" w:hAnsi="仿宋_GB2312" w:cs="仿宋_GB2312" w:eastAsia="仿宋_GB2312"/>
        </w:rPr>
        <w:t>详见附件：优先采购的环境标志产品证明材料.docx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